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BCC49" w14:textId="5990A31B" w:rsidR="00F62238" w:rsidRPr="00CA7855" w:rsidRDefault="00551B34" w:rsidP="009401A9">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7275"/>
        </w:tabs>
      </w:pPr>
      <w:r>
        <w:rPr>
          <w:noProof/>
          <w:lang w:eastAsia="en-AU"/>
        </w:rPr>
        <w:drawing>
          <wp:anchor distT="0" distB="0" distL="114300" distR="114300" simplePos="0" relativeHeight="251658240" behindDoc="1" locked="0" layoutInCell="1" allowOverlap="1" wp14:anchorId="66308F6E" wp14:editId="1CCE2292">
            <wp:simplePos x="0" y="0"/>
            <wp:positionH relativeFrom="column">
              <wp:posOffset>-1192530</wp:posOffset>
            </wp:positionH>
            <wp:positionV relativeFrom="page">
              <wp:posOffset>-242570</wp:posOffset>
            </wp:positionV>
            <wp:extent cx="9237345" cy="3506470"/>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7345" cy="3506470"/>
                    </a:xfrm>
                    <a:prstGeom prst="rect">
                      <a:avLst/>
                    </a:prstGeom>
                    <a:noFill/>
                  </pic:spPr>
                </pic:pic>
              </a:graphicData>
            </a:graphic>
            <wp14:sizeRelH relativeFrom="page">
              <wp14:pctWidth>0</wp14:pctWidth>
            </wp14:sizeRelH>
            <wp14:sizeRelV relativeFrom="page">
              <wp14:pctHeight>0</wp14:pctHeight>
            </wp14:sizeRelV>
          </wp:anchor>
        </w:drawing>
      </w:r>
      <w:r w:rsidR="009401A9">
        <w:tab/>
      </w:r>
    </w:p>
    <w:p w14:paraId="6AD8D74C" w14:textId="77777777" w:rsidR="00F62238" w:rsidRPr="00CA7855" w:rsidRDefault="00F62238" w:rsidP="00E225A5">
      <w:pPr>
        <w:pStyle w:val="Logo-Centred"/>
        <w:jc w:val="right"/>
      </w:pPr>
    </w:p>
    <w:p w14:paraId="1BC86317" w14:textId="77777777" w:rsidR="00F62238" w:rsidRPr="00CA7855" w:rsidRDefault="00F62238" w:rsidP="00F62238">
      <w:pPr>
        <w:pStyle w:val="Logo-Centred"/>
      </w:pPr>
    </w:p>
    <w:p w14:paraId="718E3328" w14:textId="77777777" w:rsidR="00F62238" w:rsidRPr="00CA7855" w:rsidRDefault="00F62238" w:rsidP="00F62238">
      <w:pPr>
        <w:pStyle w:val="Logo-Centred"/>
      </w:pPr>
    </w:p>
    <w:p w14:paraId="774D8282" w14:textId="77777777" w:rsidR="00F62238" w:rsidRPr="00CA7855" w:rsidRDefault="00F62238" w:rsidP="00F62238">
      <w:pPr>
        <w:pStyle w:val="Logo-Centred"/>
      </w:pPr>
    </w:p>
    <w:p w14:paraId="7394B487" w14:textId="77777777" w:rsidR="00F62238" w:rsidRPr="00CA7855" w:rsidRDefault="00F62238" w:rsidP="00F62238">
      <w:pPr>
        <w:pStyle w:val="Logo-Centred"/>
      </w:pPr>
    </w:p>
    <w:p w14:paraId="2ADE9043" w14:textId="77777777" w:rsidR="00F62238" w:rsidRPr="00CA7855" w:rsidRDefault="00F62238" w:rsidP="00F62238">
      <w:pPr>
        <w:pStyle w:val="Logo-Centred"/>
      </w:pPr>
    </w:p>
    <w:p w14:paraId="37511F80" w14:textId="77777777" w:rsidR="00F62238" w:rsidRPr="00CA7855" w:rsidRDefault="00F62238" w:rsidP="00F62238">
      <w:pPr>
        <w:pStyle w:val="Logo-Centred"/>
      </w:pPr>
    </w:p>
    <w:p w14:paraId="3E323E14" w14:textId="6DD2F675" w:rsidR="00F62238" w:rsidRPr="00CA7855" w:rsidRDefault="00551B34" w:rsidP="00F62238">
      <w:pPr>
        <w:pStyle w:val="Logo-Centred"/>
      </w:pPr>
      <w:r>
        <w:rPr>
          <w:noProof/>
        </w:rPr>
        <w:drawing>
          <wp:inline distT="0" distB="0" distL="0" distR="0" wp14:anchorId="6FFB493F" wp14:editId="14EA075E">
            <wp:extent cx="2886075" cy="1085850"/>
            <wp:effectExtent l="0" t="0" r="0" b="0"/>
            <wp:docPr id="1" name="Picture 1" descr="Logo: ACT Council of Social Service Inc. (ACT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1085850"/>
                    </a:xfrm>
                    <a:prstGeom prst="rect">
                      <a:avLst/>
                    </a:prstGeom>
                    <a:noFill/>
                    <a:ln>
                      <a:noFill/>
                    </a:ln>
                  </pic:spPr>
                </pic:pic>
              </a:graphicData>
            </a:graphic>
          </wp:inline>
        </w:drawing>
      </w:r>
    </w:p>
    <w:p w14:paraId="2884512B" w14:textId="77777777" w:rsidR="00F62238" w:rsidRPr="00CA7855" w:rsidRDefault="00F62238" w:rsidP="003F3AC3">
      <w:pPr>
        <w:pStyle w:val="BodyText"/>
      </w:pPr>
    </w:p>
    <w:p w14:paraId="772AB888" w14:textId="77777777" w:rsidR="00F62238" w:rsidRPr="00CA7855" w:rsidRDefault="00F62238" w:rsidP="003F3AC3">
      <w:pPr>
        <w:pStyle w:val="BodyText"/>
      </w:pPr>
    </w:p>
    <w:p w14:paraId="4CDEE97D" w14:textId="412475C0" w:rsidR="00F62238" w:rsidRDefault="00CE576E" w:rsidP="00F62238">
      <w:pPr>
        <w:pStyle w:val="Titlepagetitle"/>
      </w:pPr>
      <w:r>
        <w:t>2022 ACT Cost of Living Report</w:t>
      </w:r>
    </w:p>
    <w:p w14:paraId="0344625E" w14:textId="3DEF8E32" w:rsidR="00CE576E" w:rsidRPr="0028195E" w:rsidRDefault="00CE576E" w:rsidP="0034772C">
      <w:pPr>
        <w:pStyle w:val="Titlepagetitle"/>
        <w:rPr>
          <w:sz w:val="36"/>
          <w:szCs w:val="36"/>
        </w:rPr>
      </w:pPr>
      <w:r w:rsidRPr="0028195E">
        <w:rPr>
          <w:sz w:val="36"/>
          <w:szCs w:val="36"/>
        </w:rPr>
        <w:t xml:space="preserve">Tracking changes in the </w:t>
      </w:r>
      <w:r w:rsidR="00A37D37">
        <w:rPr>
          <w:sz w:val="36"/>
          <w:szCs w:val="36"/>
        </w:rPr>
        <w:br/>
      </w:r>
      <w:r w:rsidRPr="0028195E">
        <w:rPr>
          <w:sz w:val="36"/>
          <w:szCs w:val="36"/>
        </w:rPr>
        <w:t>cost of living for low-income households in the Australian Capital Territory</w:t>
      </w:r>
    </w:p>
    <w:p w14:paraId="1EB035FB" w14:textId="77777777" w:rsidR="00F62238" w:rsidRPr="00CA7855" w:rsidRDefault="00F62238" w:rsidP="00F62238">
      <w:pPr>
        <w:pStyle w:val="BodyText"/>
      </w:pPr>
    </w:p>
    <w:p w14:paraId="6913A24B" w14:textId="725E5DF2" w:rsidR="00F62238" w:rsidRPr="00CA7855" w:rsidRDefault="00CE576E" w:rsidP="00F62238">
      <w:pPr>
        <w:pStyle w:val="Titlepagesubtitle"/>
      </w:pPr>
      <w:r>
        <w:t>May 2022</w:t>
      </w:r>
    </w:p>
    <w:p w14:paraId="3145F55B" w14:textId="77777777" w:rsidR="00F62238" w:rsidRPr="00CA7855" w:rsidRDefault="00F62238" w:rsidP="00F62238">
      <w:pPr>
        <w:pStyle w:val="BodyText"/>
      </w:pPr>
    </w:p>
    <w:p w14:paraId="63E2834A" w14:textId="77777777" w:rsidR="005913F7" w:rsidRPr="00CA7855" w:rsidRDefault="005913F7" w:rsidP="00703089">
      <w:pPr>
        <w:pStyle w:val="PseudoHeading1"/>
      </w:pPr>
      <w:r w:rsidRPr="00CA7855">
        <w:lastRenderedPageBreak/>
        <w:t>About ACTCOSS</w:t>
      </w:r>
    </w:p>
    <w:p w14:paraId="0A1201F9" w14:textId="0514C0C4" w:rsidR="00DD3314" w:rsidRDefault="00DD3314" w:rsidP="00DD3314">
      <w:pPr>
        <w:pStyle w:val="Frontmatter"/>
      </w:pPr>
      <w:r>
        <w:t>ACTCOSS acknowledges Canberra has been built on the land of the Ngunnawal people. We pay respects to their Elders and recognise the strength and resilience of Aboriginal and</w:t>
      </w:r>
      <w:r w:rsidR="00E97CC6">
        <w:t>/or</w:t>
      </w:r>
      <w:r>
        <w:t xml:space="preserve"> Torres Strait Islander peoples. We celebrate Aboriginal and</w:t>
      </w:r>
      <w:r w:rsidR="00E97CC6">
        <w:t>/or</w:t>
      </w:r>
      <w:r>
        <w:t xml:space="preserve"> Torres Strait Islander cultures and ongoing contribution</w:t>
      </w:r>
      <w:r w:rsidR="00E97CC6">
        <w:t>s</w:t>
      </w:r>
      <w:r>
        <w:t xml:space="preserve"> to the ACT community.</w:t>
      </w:r>
    </w:p>
    <w:p w14:paraId="6FE26414" w14:textId="28A9014B" w:rsidR="00DD3314" w:rsidRDefault="00DD3314" w:rsidP="00DD3314">
      <w:pPr>
        <w:pStyle w:val="Frontmatter"/>
      </w:pPr>
      <w:r>
        <w:t xml:space="preserve">The ACT Council of Social Service Inc. (ACTCOSS) </w:t>
      </w:r>
      <w:r w:rsidR="008D350D">
        <w:t xml:space="preserve">advocates for social justice in the ACT and </w:t>
      </w:r>
      <w:r>
        <w:t>represents not-for-profit community organisations.</w:t>
      </w:r>
    </w:p>
    <w:p w14:paraId="5B263D10" w14:textId="77777777" w:rsidR="00DD3314" w:rsidRDefault="00DD3314" w:rsidP="00DD3314">
      <w:pPr>
        <w:pStyle w:val="Frontmatter"/>
      </w:pPr>
      <w:r>
        <w:t>ACTCOSS is a member of the nationwide COSS Network, made up of each of the state and territory Councils and the national body, the Australian Council of Social Service (ACOSS).</w:t>
      </w:r>
    </w:p>
    <w:p w14:paraId="65017AEF" w14:textId="27409E91" w:rsidR="00DD3314" w:rsidRDefault="00DD3314" w:rsidP="00DD3314">
      <w:pPr>
        <w:pStyle w:val="Frontmatter"/>
      </w:pPr>
      <w:proofErr w:type="spellStart"/>
      <w:r>
        <w:t>ACTCOSS’</w:t>
      </w:r>
      <w:r w:rsidR="00ED6E1E">
        <w:t>s</w:t>
      </w:r>
      <w:proofErr w:type="spellEnd"/>
      <w:r>
        <w:t xml:space="preserve"> vision is for Canberra to be a just, </w:t>
      </w:r>
      <w:proofErr w:type="gramStart"/>
      <w:r>
        <w:t>safe</w:t>
      </w:r>
      <w:proofErr w:type="gramEnd"/>
      <w:r>
        <w:t xml:space="preserve"> and sustainable community in which everyone has the opportunity for self-determination and a fair share of resources and services.</w:t>
      </w:r>
    </w:p>
    <w:p w14:paraId="04D600CA" w14:textId="77777777" w:rsidR="00DD3314" w:rsidRDefault="00DD3314" w:rsidP="00DD3314">
      <w:pPr>
        <w:pStyle w:val="Frontmatter"/>
      </w:pPr>
      <w:r>
        <w:t xml:space="preserve">The membership of the Council includes </w:t>
      </w:r>
      <w:proofErr w:type="gramStart"/>
      <w:r>
        <w:t>the majority of</w:t>
      </w:r>
      <w:proofErr w:type="gramEnd"/>
      <w:r>
        <w:t xml:space="preserve"> community-based service providers in the social welfare area, a range of community associations and networks, self-help and consumer groups and interested individuals.</w:t>
      </w:r>
    </w:p>
    <w:p w14:paraId="41903ED4" w14:textId="20E8F052" w:rsidR="005913F7" w:rsidRDefault="00DD3314" w:rsidP="00DD3314">
      <w:pPr>
        <w:pStyle w:val="Frontmatter"/>
      </w:pPr>
      <w:r>
        <w:t>ACTCOSS advises that this document may be publicly distributed, including by placing a copy on our website.</w:t>
      </w:r>
    </w:p>
    <w:p w14:paraId="55C71DCF" w14:textId="77777777" w:rsidR="005913F7" w:rsidRPr="00CA7855" w:rsidRDefault="005913F7" w:rsidP="005913F7">
      <w:pPr>
        <w:pStyle w:val="Frontmatter"/>
        <w:rPr>
          <w:rStyle w:val="Bold"/>
        </w:rPr>
      </w:pPr>
      <w:r w:rsidRPr="00CA7855">
        <w:rPr>
          <w:rStyle w:val="Bold"/>
        </w:rPr>
        <w:t>Contact Details</w:t>
      </w:r>
    </w:p>
    <w:p w14:paraId="52CF8363" w14:textId="6133A8CB" w:rsidR="004F6015" w:rsidRPr="001D19C8" w:rsidRDefault="004F6015" w:rsidP="004F6015">
      <w:pPr>
        <w:pStyle w:val="Frontmatter"/>
      </w:pPr>
      <w:r w:rsidRPr="001D19C8">
        <w:t>Phone:</w:t>
      </w:r>
      <w:r w:rsidRPr="001D19C8">
        <w:tab/>
      </w:r>
      <w:r w:rsidRPr="001D19C8">
        <w:tab/>
        <w:t>02 6202 7200</w:t>
      </w:r>
      <w:r w:rsidRPr="001D19C8">
        <w:br/>
      </w:r>
      <w:r w:rsidR="00D5570A">
        <w:t>Address</w:t>
      </w:r>
      <w:r w:rsidRPr="001D19C8">
        <w:t>:</w:t>
      </w:r>
      <w:r w:rsidRPr="001D19C8">
        <w:tab/>
      </w:r>
      <w:r w:rsidRPr="001D19C8">
        <w:tab/>
      </w:r>
      <w:r w:rsidR="00D5570A" w:rsidRPr="001D19C8">
        <w:t xml:space="preserve">Weston Community Hub, 1/6 </w:t>
      </w:r>
      <w:proofErr w:type="spellStart"/>
      <w:r w:rsidR="00D5570A" w:rsidRPr="001D19C8">
        <w:t>Gritten</w:t>
      </w:r>
      <w:proofErr w:type="spellEnd"/>
      <w:r w:rsidR="00D5570A" w:rsidRPr="001D19C8">
        <w:t xml:space="preserve"> St, Weston ACT 2611</w:t>
      </w:r>
      <w:r w:rsidRPr="001D19C8">
        <w:br/>
        <w:t>Email:</w:t>
      </w:r>
      <w:r w:rsidRPr="001D19C8">
        <w:tab/>
      </w:r>
      <w:r w:rsidRPr="001D19C8">
        <w:tab/>
      </w:r>
      <w:r w:rsidRPr="001D19C8">
        <w:tab/>
      </w:r>
      <w:hyperlink r:id="rId13" w:history="1">
        <w:r w:rsidRPr="001D19C8">
          <w:rPr>
            <w:rStyle w:val="Hyperlink"/>
          </w:rPr>
          <w:t>actcoss@actcoss.org.au</w:t>
        </w:r>
      </w:hyperlink>
      <w:r w:rsidRPr="001D19C8">
        <w:t xml:space="preserve">  </w:t>
      </w:r>
      <w:r w:rsidRPr="001D19C8">
        <w:br/>
        <w:t xml:space="preserve">Web:  </w:t>
      </w:r>
      <w:r w:rsidRPr="001D19C8">
        <w:tab/>
      </w:r>
      <w:r w:rsidRPr="001D19C8">
        <w:tab/>
      </w:r>
      <w:hyperlink r:id="rId14" w:history="1">
        <w:r w:rsidR="00DD3314">
          <w:rPr>
            <w:rStyle w:val="Hyperlink"/>
          </w:rPr>
          <w:t>actcoss.org.au</w:t>
        </w:r>
      </w:hyperlink>
      <w:r w:rsidRPr="001D19C8">
        <w:tab/>
      </w:r>
      <w:r w:rsidRPr="001D19C8">
        <w:tab/>
      </w:r>
    </w:p>
    <w:p w14:paraId="7DF04A19" w14:textId="440F60D8" w:rsidR="004F6015" w:rsidRPr="001D19C8" w:rsidRDefault="00ED6E1E" w:rsidP="004F6015">
      <w:pPr>
        <w:pStyle w:val="Frontmatter"/>
      </w:pPr>
      <w:r>
        <w:t>CEO</w:t>
      </w:r>
      <w:r w:rsidR="004F6015" w:rsidRPr="001D19C8">
        <w:t>:</w:t>
      </w:r>
      <w:r w:rsidR="004F6015" w:rsidRPr="001D19C8">
        <w:tab/>
      </w:r>
      <w:r w:rsidR="004F6015" w:rsidRPr="001D19C8">
        <w:tab/>
      </w:r>
      <w:r>
        <w:tab/>
      </w:r>
      <w:r w:rsidR="00324177">
        <w:t xml:space="preserve">Dr </w:t>
      </w:r>
      <w:r w:rsidR="007833E9">
        <w:t>Emma Campbell</w:t>
      </w:r>
      <w:r w:rsidR="00534946">
        <w:br/>
        <w:t>Deputy CEO:</w:t>
      </w:r>
      <w:r w:rsidR="00534946">
        <w:tab/>
        <w:t>Adam Poulter</w:t>
      </w:r>
      <w:r w:rsidR="004F6015" w:rsidRPr="001D19C8">
        <w:tab/>
      </w:r>
      <w:r w:rsidR="004F6015" w:rsidRPr="001D19C8">
        <w:tab/>
      </w:r>
      <w:r w:rsidR="004F6015" w:rsidRPr="001D19C8">
        <w:tab/>
      </w:r>
      <w:r w:rsidR="004F6015" w:rsidRPr="001D19C8">
        <w:br/>
        <w:t>Policy Officer:</w:t>
      </w:r>
      <w:r w:rsidR="004F6015" w:rsidRPr="001D19C8">
        <w:tab/>
      </w:r>
      <w:r w:rsidR="00CE576E">
        <w:t>Geoff Buchanan</w:t>
      </w:r>
    </w:p>
    <w:p w14:paraId="065798D2" w14:textId="77777777" w:rsidR="005913F7" w:rsidRPr="00CA7855" w:rsidRDefault="005913F7" w:rsidP="005913F7">
      <w:pPr>
        <w:pStyle w:val="Frontmatter"/>
      </w:pPr>
    </w:p>
    <w:p w14:paraId="698E6DF4" w14:textId="5926C16B" w:rsidR="005913F7" w:rsidRPr="00CA7855" w:rsidRDefault="00534946" w:rsidP="005913F7">
      <w:pPr>
        <w:pStyle w:val="Frontmatter"/>
      </w:pPr>
      <w:r>
        <w:t>May</w:t>
      </w:r>
      <w:r w:rsidR="00CE576E">
        <w:t xml:space="preserve"> 2022</w:t>
      </w:r>
    </w:p>
    <w:p w14:paraId="181D164A" w14:textId="5E86B35E" w:rsidR="005913F7" w:rsidRPr="00CA7855" w:rsidRDefault="005913F7" w:rsidP="005913F7">
      <w:pPr>
        <w:pStyle w:val="Frontmatter"/>
      </w:pPr>
      <w:r w:rsidRPr="00CA7855">
        <w:t xml:space="preserve">ISBN </w:t>
      </w:r>
      <w:r w:rsidR="00B212E5" w:rsidRPr="00B212E5">
        <w:t>978-1-921651-78-6</w:t>
      </w:r>
      <w:r w:rsidRPr="00CA7855">
        <w:t xml:space="preserve"> (</w:t>
      </w:r>
      <w:r w:rsidR="004179CF">
        <w:t xml:space="preserve">PDF and </w:t>
      </w:r>
      <w:r w:rsidR="00B212E5">
        <w:t xml:space="preserve">Word docx </w:t>
      </w:r>
      <w:r w:rsidR="004179CF">
        <w:t>versions</w:t>
      </w:r>
      <w:r w:rsidRPr="00CA7855">
        <w:t>)</w:t>
      </w:r>
      <w:r w:rsidRPr="00CA7855">
        <w:br/>
        <w:t>© Copyright ACT Council of Social Service Incorporated</w:t>
      </w:r>
    </w:p>
    <w:p w14:paraId="2EECD6E5" w14:textId="655D0911" w:rsidR="001B2FCD" w:rsidRDefault="005913F7" w:rsidP="005913F7">
      <w:pPr>
        <w:pStyle w:val="Frontmatter"/>
      </w:pPr>
      <w:r w:rsidRPr="00CA7855">
        <w:t xml:space="preserve">This publication is copyright, apart from use by those agencies for which it has been produced. Non-profit associations and groups have permission to reproduce parts of this publication </w:t>
      </w:r>
      <w:proofErr w:type="gramStart"/>
      <w:r w:rsidRPr="00CA7855">
        <w:t>as long as</w:t>
      </w:r>
      <w:proofErr w:type="gramEnd"/>
      <w:r w:rsidRPr="00CA7855">
        <w:t xml:space="preserve"> the original meaning is </w:t>
      </w:r>
      <w:r w:rsidR="006A4467" w:rsidRPr="00CA7855">
        <w:t>retained,</w:t>
      </w:r>
      <w:r w:rsidRPr="00CA7855">
        <w:t xml:space="preserve"> and proper credit is given to the ACT Council of Social Service Inc (ACTCOSS). All other individuals and Agencies seeking to reproduce material from this publication should obtain the permission of the </w:t>
      </w:r>
      <w:r w:rsidR="000B7938">
        <w:t>CEO</w:t>
      </w:r>
      <w:r w:rsidRPr="00CA7855">
        <w:t xml:space="preserve"> of ACTCOSS.</w:t>
      </w:r>
    </w:p>
    <w:p w14:paraId="4EFCEA01" w14:textId="77777777" w:rsidR="000622B1" w:rsidRDefault="000622B1" w:rsidP="005913F7">
      <w:pPr>
        <w:pStyle w:val="Frontmatter"/>
      </w:pPr>
    </w:p>
    <w:p w14:paraId="57AA07E5" w14:textId="77777777" w:rsidR="000622B1" w:rsidRPr="00CA7855" w:rsidRDefault="000622B1" w:rsidP="000622B1">
      <w:pPr>
        <w:pStyle w:val="Frontmatter"/>
      </w:pPr>
      <w:r w:rsidRPr="000622B1">
        <w:t>An ACT Government funded initiative</w:t>
      </w:r>
      <w:r>
        <w:t>.</w:t>
      </w:r>
    </w:p>
    <w:p w14:paraId="30FDCCBC" w14:textId="1DA887E2" w:rsidR="000622B1" w:rsidRPr="00CA7855" w:rsidRDefault="00551B34" w:rsidP="005913F7">
      <w:pPr>
        <w:pStyle w:val="Frontmatter"/>
      </w:pPr>
      <w:r>
        <w:rPr>
          <w:noProof/>
        </w:rPr>
        <w:drawing>
          <wp:inline distT="0" distB="0" distL="0" distR="0" wp14:anchorId="1635F15F" wp14:editId="4C8D3223">
            <wp:extent cx="1466850" cy="1009650"/>
            <wp:effectExtent l="0" t="0" r="0" b="0"/>
            <wp:docPr id="2" name="Picture 2" descr="Logo: Initiative of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itiative_of_ACTGov"/>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6850" cy="1009650"/>
                    </a:xfrm>
                    <a:prstGeom prst="rect">
                      <a:avLst/>
                    </a:prstGeom>
                    <a:noFill/>
                    <a:ln>
                      <a:noFill/>
                    </a:ln>
                  </pic:spPr>
                </pic:pic>
              </a:graphicData>
            </a:graphic>
          </wp:inline>
        </w:drawing>
      </w:r>
    </w:p>
    <w:p w14:paraId="13A41B65" w14:textId="77777777" w:rsidR="005913F7" w:rsidRPr="00CA7855" w:rsidRDefault="00AB255D" w:rsidP="00703089">
      <w:pPr>
        <w:pStyle w:val="PseudoHeading1"/>
      </w:pPr>
      <w:r w:rsidRPr="00CA7855">
        <w:lastRenderedPageBreak/>
        <w:t>Table of contents</w:t>
      </w:r>
    </w:p>
    <w:p w14:paraId="6B800AED" w14:textId="323B5427" w:rsidR="00E24203" w:rsidRDefault="00AB255D">
      <w:pPr>
        <w:pStyle w:val="TOC1"/>
        <w:rPr>
          <w:rFonts w:asciiTheme="minorHAnsi" w:eastAsiaTheme="minorEastAsia" w:hAnsiTheme="minorHAnsi" w:cstheme="minorBidi"/>
          <w:b w:val="0"/>
          <w:noProof/>
          <w:sz w:val="22"/>
          <w:lang w:eastAsia="en-AU"/>
        </w:rPr>
      </w:pPr>
      <w:r w:rsidRPr="00CA7855">
        <w:fldChar w:fldCharType="begin"/>
      </w:r>
      <w:r w:rsidRPr="00CA7855">
        <w:instrText xml:space="preserve"> TOC \o "1-3" \h \z \u </w:instrText>
      </w:r>
      <w:r w:rsidRPr="00CA7855">
        <w:fldChar w:fldCharType="separate"/>
      </w:r>
      <w:hyperlink w:anchor="_Toc102651007" w:history="1">
        <w:r w:rsidR="00E24203" w:rsidRPr="00BB6195">
          <w:rPr>
            <w:rStyle w:val="Hyperlink"/>
            <w:noProof/>
          </w:rPr>
          <w:t>Acronyms</w:t>
        </w:r>
        <w:r w:rsidR="00E24203">
          <w:rPr>
            <w:noProof/>
            <w:webHidden/>
          </w:rPr>
          <w:tab/>
        </w:r>
        <w:r w:rsidR="00E24203">
          <w:rPr>
            <w:noProof/>
            <w:webHidden/>
          </w:rPr>
          <w:fldChar w:fldCharType="begin"/>
        </w:r>
        <w:r w:rsidR="00E24203">
          <w:rPr>
            <w:noProof/>
            <w:webHidden/>
          </w:rPr>
          <w:instrText xml:space="preserve"> PAGEREF _Toc102651007 \h </w:instrText>
        </w:r>
        <w:r w:rsidR="00E24203">
          <w:rPr>
            <w:noProof/>
            <w:webHidden/>
          </w:rPr>
        </w:r>
        <w:r w:rsidR="00E24203">
          <w:rPr>
            <w:noProof/>
            <w:webHidden/>
          </w:rPr>
          <w:fldChar w:fldCharType="separate"/>
        </w:r>
        <w:r w:rsidR="00E24203">
          <w:rPr>
            <w:noProof/>
            <w:webHidden/>
          </w:rPr>
          <w:t>4</w:t>
        </w:r>
        <w:r w:rsidR="00E24203">
          <w:rPr>
            <w:noProof/>
            <w:webHidden/>
          </w:rPr>
          <w:fldChar w:fldCharType="end"/>
        </w:r>
      </w:hyperlink>
    </w:p>
    <w:p w14:paraId="2A302840" w14:textId="67B5AA7B" w:rsidR="00E24203" w:rsidRDefault="0070150D">
      <w:pPr>
        <w:pStyle w:val="TOC1"/>
        <w:rPr>
          <w:rFonts w:asciiTheme="minorHAnsi" w:eastAsiaTheme="minorEastAsia" w:hAnsiTheme="minorHAnsi" w:cstheme="minorBidi"/>
          <w:b w:val="0"/>
          <w:noProof/>
          <w:sz w:val="22"/>
          <w:lang w:eastAsia="en-AU"/>
        </w:rPr>
      </w:pPr>
      <w:hyperlink w:anchor="_Toc102651008" w:history="1">
        <w:r w:rsidR="00E24203" w:rsidRPr="00BB6195">
          <w:rPr>
            <w:rStyle w:val="Hyperlink"/>
            <w:noProof/>
          </w:rPr>
          <w:t>Introduction</w:t>
        </w:r>
        <w:r w:rsidR="00E24203">
          <w:rPr>
            <w:noProof/>
            <w:webHidden/>
          </w:rPr>
          <w:tab/>
        </w:r>
        <w:r w:rsidR="00E24203">
          <w:rPr>
            <w:noProof/>
            <w:webHidden/>
          </w:rPr>
          <w:fldChar w:fldCharType="begin"/>
        </w:r>
        <w:r w:rsidR="00E24203">
          <w:rPr>
            <w:noProof/>
            <w:webHidden/>
          </w:rPr>
          <w:instrText xml:space="preserve"> PAGEREF _Toc102651008 \h </w:instrText>
        </w:r>
        <w:r w:rsidR="00E24203">
          <w:rPr>
            <w:noProof/>
            <w:webHidden/>
          </w:rPr>
        </w:r>
        <w:r w:rsidR="00E24203">
          <w:rPr>
            <w:noProof/>
            <w:webHidden/>
          </w:rPr>
          <w:fldChar w:fldCharType="separate"/>
        </w:r>
        <w:r w:rsidR="00E24203">
          <w:rPr>
            <w:noProof/>
            <w:webHidden/>
          </w:rPr>
          <w:t>5</w:t>
        </w:r>
        <w:r w:rsidR="00E24203">
          <w:rPr>
            <w:noProof/>
            <w:webHidden/>
          </w:rPr>
          <w:fldChar w:fldCharType="end"/>
        </w:r>
      </w:hyperlink>
    </w:p>
    <w:p w14:paraId="1484E65C" w14:textId="756EDD14" w:rsidR="00E24203" w:rsidRDefault="0070150D">
      <w:pPr>
        <w:pStyle w:val="TOC1"/>
        <w:rPr>
          <w:rFonts w:asciiTheme="minorHAnsi" w:eastAsiaTheme="minorEastAsia" w:hAnsiTheme="minorHAnsi" w:cstheme="minorBidi"/>
          <w:b w:val="0"/>
          <w:noProof/>
          <w:sz w:val="22"/>
          <w:lang w:eastAsia="en-AU"/>
        </w:rPr>
      </w:pPr>
      <w:hyperlink w:anchor="_Toc102651009" w:history="1">
        <w:r w:rsidR="00E24203" w:rsidRPr="00BB6195">
          <w:rPr>
            <w:rStyle w:val="Hyperlink"/>
            <w:noProof/>
          </w:rPr>
          <w:t>Recommendations</w:t>
        </w:r>
        <w:r w:rsidR="00E24203">
          <w:rPr>
            <w:noProof/>
            <w:webHidden/>
          </w:rPr>
          <w:tab/>
        </w:r>
        <w:r w:rsidR="00E24203">
          <w:rPr>
            <w:noProof/>
            <w:webHidden/>
          </w:rPr>
          <w:fldChar w:fldCharType="begin"/>
        </w:r>
        <w:r w:rsidR="00E24203">
          <w:rPr>
            <w:noProof/>
            <w:webHidden/>
          </w:rPr>
          <w:instrText xml:space="preserve"> PAGEREF _Toc102651009 \h </w:instrText>
        </w:r>
        <w:r w:rsidR="00E24203">
          <w:rPr>
            <w:noProof/>
            <w:webHidden/>
          </w:rPr>
        </w:r>
        <w:r w:rsidR="00E24203">
          <w:rPr>
            <w:noProof/>
            <w:webHidden/>
          </w:rPr>
          <w:fldChar w:fldCharType="separate"/>
        </w:r>
        <w:r w:rsidR="00E24203">
          <w:rPr>
            <w:noProof/>
            <w:webHidden/>
          </w:rPr>
          <w:t>7</w:t>
        </w:r>
        <w:r w:rsidR="00E24203">
          <w:rPr>
            <w:noProof/>
            <w:webHidden/>
          </w:rPr>
          <w:fldChar w:fldCharType="end"/>
        </w:r>
      </w:hyperlink>
    </w:p>
    <w:p w14:paraId="4986195C" w14:textId="18FAC2DC" w:rsidR="00E24203" w:rsidRDefault="0070150D">
      <w:pPr>
        <w:pStyle w:val="TOC2"/>
        <w:rPr>
          <w:rFonts w:asciiTheme="minorHAnsi" w:eastAsiaTheme="minorEastAsia" w:hAnsiTheme="minorHAnsi" w:cstheme="minorBidi"/>
          <w:noProof/>
          <w:sz w:val="22"/>
          <w:lang w:eastAsia="en-AU"/>
        </w:rPr>
      </w:pPr>
      <w:hyperlink w:anchor="_Toc102651010" w:history="1">
        <w:r w:rsidR="00E24203" w:rsidRPr="00BB6195">
          <w:rPr>
            <w:rStyle w:val="Hyperlink"/>
            <w:noProof/>
          </w:rPr>
          <w:t>Recommendations to ACT Government</w:t>
        </w:r>
        <w:r w:rsidR="00E24203">
          <w:rPr>
            <w:noProof/>
            <w:webHidden/>
          </w:rPr>
          <w:tab/>
        </w:r>
        <w:r w:rsidR="00E24203">
          <w:rPr>
            <w:noProof/>
            <w:webHidden/>
          </w:rPr>
          <w:fldChar w:fldCharType="begin"/>
        </w:r>
        <w:r w:rsidR="00E24203">
          <w:rPr>
            <w:noProof/>
            <w:webHidden/>
          </w:rPr>
          <w:instrText xml:space="preserve"> PAGEREF _Toc102651010 \h </w:instrText>
        </w:r>
        <w:r w:rsidR="00E24203">
          <w:rPr>
            <w:noProof/>
            <w:webHidden/>
          </w:rPr>
        </w:r>
        <w:r w:rsidR="00E24203">
          <w:rPr>
            <w:noProof/>
            <w:webHidden/>
          </w:rPr>
          <w:fldChar w:fldCharType="separate"/>
        </w:r>
        <w:r w:rsidR="00E24203">
          <w:rPr>
            <w:noProof/>
            <w:webHidden/>
          </w:rPr>
          <w:t>7</w:t>
        </w:r>
        <w:r w:rsidR="00E24203">
          <w:rPr>
            <w:noProof/>
            <w:webHidden/>
          </w:rPr>
          <w:fldChar w:fldCharType="end"/>
        </w:r>
      </w:hyperlink>
    </w:p>
    <w:p w14:paraId="3887B244" w14:textId="19C501E0" w:rsidR="00E24203" w:rsidRDefault="0070150D">
      <w:pPr>
        <w:pStyle w:val="TOC3"/>
        <w:rPr>
          <w:rFonts w:asciiTheme="minorHAnsi" w:eastAsiaTheme="minorEastAsia" w:hAnsiTheme="minorHAnsi" w:cstheme="minorBidi"/>
          <w:noProof/>
          <w:sz w:val="22"/>
          <w:lang w:eastAsia="en-AU"/>
        </w:rPr>
      </w:pPr>
      <w:hyperlink w:anchor="_Toc102651011" w:history="1">
        <w:r w:rsidR="00E24203" w:rsidRPr="00BB6195">
          <w:rPr>
            <w:rStyle w:val="Hyperlink"/>
            <w:noProof/>
          </w:rPr>
          <w:t>Housing</w:t>
        </w:r>
        <w:r w:rsidR="00E24203">
          <w:rPr>
            <w:noProof/>
            <w:webHidden/>
          </w:rPr>
          <w:tab/>
        </w:r>
        <w:r w:rsidR="00E24203">
          <w:rPr>
            <w:noProof/>
            <w:webHidden/>
          </w:rPr>
          <w:fldChar w:fldCharType="begin"/>
        </w:r>
        <w:r w:rsidR="00E24203">
          <w:rPr>
            <w:noProof/>
            <w:webHidden/>
          </w:rPr>
          <w:instrText xml:space="preserve"> PAGEREF _Toc102651011 \h </w:instrText>
        </w:r>
        <w:r w:rsidR="00E24203">
          <w:rPr>
            <w:noProof/>
            <w:webHidden/>
          </w:rPr>
        </w:r>
        <w:r w:rsidR="00E24203">
          <w:rPr>
            <w:noProof/>
            <w:webHidden/>
          </w:rPr>
          <w:fldChar w:fldCharType="separate"/>
        </w:r>
        <w:r w:rsidR="00E24203">
          <w:rPr>
            <w:noProof/>
            <w:webHidden/>
          </w:rPr>
          <w:t>7</w:t>
        </w:r>
        <w:r w:rsidR="00E24203">
          <w:rPr>
            <w:noProof/>
            <w:webHidden/>
          </w:rPr>
          <w:fldChar w:fldCharType="end"/>
        </w:r>
      </w:hyperlink>
    </w:p>
    <w:p w14:paraId="48CEBE5C" w14:textId="2E8DDE64" w:rsidR="00E24203" w:rsidRDefault="0070150D">
      <w:pPr>
        <w:pStyle w:val="TOC3"/>
        <w:rPr>
          <w:rFonts w:asciiTheme="minorHAnsi" w:eastAsiaTheme="minorEastAsia" w:hAnsiTheme="minorHAnsi" w:cstheme="minorBidi"/>
          <w:noProof/>
          <w:sz w:val="22"/>
          <w:lang w:eastAsia="en-AU"/>
        </w:rPr>
      </w:pPr>
      <w:hyperlink w:anchor="_Toc102651012" w:history="1">
        <w:r w:rsidR="00E24203" w:rsidRPr="00BB6195">
          <w:rPr>
            <w:rStyle w:val="Hyperlink"/>
            <w:noProof/>
          </w:rPr>
          <w:t>Concessions, fines, fees and charges</w:t>
        </w:r>
        <w:r w:rsidR="00E24203">
          <w:rPr>
            <w:noProof/>
            <w:webHidden/>
          </w:rPr>
          <w:tab/>
        </w:r>
        <w:r w:rsidR="00E24203">
          <w:rPr>
            <w:noProof/>
            <w:webHidden/>
          </w:rPr>
          <w:fldChar w:fldCharType="begin"/>
        </w:r>
        <w:r w:rsidR="00E24203">
          <w:rPr>
            <w:noProof/>
            <w:webHidden/>
          </w:rPr>
          <w:instrText xml:space="preserve"> PAGEREF _Toc102651012 \h </w:instrText>
        </w:r>
        <w:r w:rsidR="00E24203">
          <w:rPr>
            <w:noProof/>
            <w:webHidden/>
          </w:rPr>
        </w:r>
        <w:r w:rsidR="00E24203">
          <w:rPr>
            <w:noProof/>
            <w:webHidden/>
          </w:rPr>
          <w:fldChar w:fldCharType="separate"/>
        </w:r>
        <w:r w:rsidR="00E24203">
          <w:rPr>
            <w:noProof/>
            <w:webHidden/>
          </w:rPr>
          <w:t>7</w:t>
        </w:r>
        <w:r w:rsidR="00E24203">
          <w:rPr>
            <w:noProof/>
            <w:webHidden/>
          </w:rPr>
          <w:fldChar w:fldCharType="end"/>
        </w:r>
      </w:hyperlink>
    </w:p>
    <w:p w14:paraId="3E69993A" w14:textId="34EDF961" w:rsidR="00E24203" w:rsidRDefault="0070150D">
      <w:pPr>
        <w:pStyle w:val="TOC3"/>
        <w:rPr>
          <w:rFonts w:asciiTheme="minorHAnsi" w:eastAsiaTheme="minorEastAsia" w:hAnsiTheme="minorHAnsi" w:cstheme="minorBidi"/>
          <w:noProof/>
          <w:sz w:val="22"/>
          <w:lang w:eastAsia="en-AU"/>
        </w:rPr>
      </w:pPr>
      <w:hyperlink w:anchor="_Toc102651013" w:history="1">
        <w:r w:rsidR="00E24203" w:rsidRPr="00BB6195">
          <w:rPr>
            <w:rStyle w:val="Hyperlink"/>
            <w:noProof/>
          </w:rPr>
          <w:t>Transport</w:t>
        </w:r>
        <w:r w:rsidR="00E24203">
          <w:rPr>
            <w:noProof/>
            <w:webHidden/>
          </w:rPr>
          <w:tab/>
        </w:r>
        <w:r w:rsidR="00E24203">
          <w:rPr>
            <w:noProof/>
            <w:webHidden/>
          </w:rPr>
          <w:fldChar w:fldCharType="begin"/>
        </w:r>
        <w:r w:rsidR="00E24203">
          <w:rPr>
            <w:noProof/>
            <w:webHidden/>
          </w:rPr>
          <w:instrText xml:space="preserve"> PAGEREF _Toc102651013 \h </w:instrText>
        </w:r>
        <w:r w:rsidR="00E24203">
          <w:rPr>
            <w:noProof/>
            <w:webHidden/>
          </w:rPr>
        </w:r>
        <w:r w:rsidR="00E24203">
          <w:rPr>
            <w:noProof/>
            <w:webHidden/>
          </w:rPr>
          <w:fldChar w:fldCharType="separate"/>
        </w:r>
        <w:r w:rsidR="00E24203">
          <w:rPr>
            <w:noProof/>
            <w:webHidden/>
          </w:rPr>
          <w:t>7</w:t>
        </w:r>
        <w:r w:rsidR="00E24203">
          <w:rPr>
            <w:noProof/>
            <w:webHidden/>
          </w:rPr>
          <w:fldChar w:fldCharType="end"/>
        </w:r>
      </w:hyperlink>
    </w:p>
    <w:p w14:paraId="74281CAF" w14:textId="0F37243F" w:rsidR="00E24203" w:rsidRDefault="0070150D">
      <w:pPr>
        <w:pStyle w:val="TOC3"/>
        <w:rPr>
          <w:rFonts w:asciiTheme="minorHAnsi" w:eastAsiaTheme="minorEastAsia" w:hAnsiTheme="minorHAnsi" w:cstheme="minorBidi"/>
          <w:noProof/>
          <w:sz w:val="22"/>
          <w:lang w:eastAsia="en-AU"/>
        </w:rPr>
      </w:pPr>
      <w:hyperlink w:anchor="_Toc102651014" w:history="1">
        <w:r w:rsidR="00E24203" w:rsidRPr="00BB6195">
          <w:rPr>
            <w:rStyle w:val="Hyperlink"/>
            <w:noProof/>
          </w:rPr>
          <w:t>Health</w:t>
        </w:r>
        <w:r w:rsidR="00E24203">
          <w:rPr>
            <w:noProof/>
            <w:webHidden/>
          </w:rPr>
          <w:tab/>
        </w:r>
        <w:r w:rsidR="00E24203">
          <w:rPr>
            <w:noProof/>
            <w:webHidden/>
          </w:rPr>
          <w:fldChar w:fldCharType="begin"/>
        </w:r>
        <w:r w:rsidR="00E24203">
          <w:rPr>
            <w:noProof/>
            <w:webHidden/>
          </w:rPr>
          <w:instrText xml:space="preserve"> PAGEREF _Toc102651014 \h </w:instrText>
        </w:r>
        <w:r w:rsidR="00E24203">
          <w:rPr>
            <w:noProof/>
            <w:webHidden/>
          </w:rPr>
        </w:r>
        <w:r w:rsidR="00E24203">
          <w:rPr>
            <w:noProof/>
            <w:webHidden/>
          </w:rPr>
          <w:fldChar w:fldCharType="separate"/>
        </w:r>
        <w:r w:rsidR="00E24203">
          <w:rPr>
            <w:noProof/>
            <w:webHidden/>
          </w:rPr>
          <w:t>7</w:t>
        </w:r>
        <w:r w:rsidR="00E24203">
          <w:rPr>
            <w:noProof/>
            <w:webHidden/>
          </w:rPr>
          <w:fldChar w:fldCharType="end"/>
        </w:r>
      </w:hyperlink>
    </w:p>
    <w:p w14:paraId="41E164E1" w14:textId="3CCC40E1" w:rsidR="00E24203" w:rsidRDefault="0070150D">
      <w:pPr>
        <w:pStyle w:val="TOC3"/>
        <w:rPr>
          <w:rFonts w:asciiTheme="minorHAnsi" w:eastAsiaTheme="minorEastAsia" w:hAnsiTheme="minorHAnsi" w:cstheme="minorBidi"/>
          <w:noProof/>
          <w:sz w:val="22"/>
          <w:lang w:eastAsia="en-AU"/>
        </w:rPr>
      </w:pPr>
      <w:hyperlink w:anchor="_Toc102651015" w:history="1">
        <w:r w:rsidR="00E24203" w:rsidRPr="00BB6195">
          <w:rPr>
            <w:rStyle w:val="Hyperlink"/>
            <w:noProof/>
          </w:rPr>
          <w:t>Energy and water</w:t>
        </w:r>
        <w:r w:rsidR="00E24203">
          <w:rPr>
            <w:noProof/>
            <w:webHidden/>
          </w:rPr>
          <w:tab/>
        </w:r>
        <w:r w:rsidR="00E24203">
          <w:rPr>
            <w:noProof/>
            <w:webHidden/>
          </w:rPr>
          <w:fldChar w:fldCharType="begin"/>
        </w:r>
        <w:r w:rsidR="00E24203">
          <w:rPr>
            <w:noProof/>
            <w:webHidden/>
          </w:rPr>
          <w:instrText xml:space="preserve"> PAGEREF _Toc102651015 \h </w:instrText>
        </w:r>
        <w:r w:rsidR="00E24203">
          <w:rPr>
            <w:noProof/>
            <w:webHidden/>
          </w:rPr>
        </w:r>
        <w:r w:rsidR="00E24203">
          <w:rPr>
            <w:noProof/>
            <w:webHidden/>
          </w:rPr>
          <w:fldChar w:fldCharType="separate"/>
        </w:r>
        <w:r w:rsidR="00E24203">
          <w:rPr>
            <w:noProof/>
            <w:webHidden/>
          </w:rPr>
          <w:t>8</w:t>
        </w:r>
        <w:r w:rsidR="00E24203">
          <w:rPr>
            <w:noProof/>
            <w:webHidden/>
          </w:rPr>
          <w:fldChar w:fldCharType="end"/>
        </w:r>
      </w:hyperlink>
    </w:p>
    <w:p w14:paraId="7EE7D697" w14:textId="028DEA9D" w:rsidR="00E24203" w:rsidRDefault="0070150D">
      <w:pPr>
        <w:pStyle w:val="TOC2"/>
        <w:rPr>
          <w:rFonts w:asciiTheme="minorHAnsi" w:eastAsiaTheme="minorEastAsia" w:hAnsiTheme="minorHAnsi" w:cstheme="minorBidi"/>
          <w:noProof/>
          <w:sz w:val="22"/>
          <w:lang w:eastAsia="en-AU"/>
        </w:rPr>
      </w:pPr>
      <w:hyperlink w:anchor="_Toc102651016" w:history="1">
        <w:r w:rsidR="00E24203" w:rsidRPr="00BB6195">
          <w:rPr>
            <w:rStyle w:val="Hyperlink"/>
            <w:noProof/>
          </w:rPr>
          <w:t>Recommendations to the Australian Government</w:t>
        </w:r>
        <w:r w:rsidR="00E24203">
          <w:rPr>
            <w:noProof/>
            <w:webHidden/>
          </w:rPr>
          <w:tab/>
        </w:r>
        <w:r w:rsidR="00E24203">
          <w:rPr>
            <w:noProof/>
            <w:webHidden/>
          </w:rPr>
          <w:fldChar w:fldCharType="begin"/>
        </w:r>
        <w:r w:rsidR="00E24203">
          <w:rPr>
            <w:noProof/>
            <w:webHidden/>
          </w:rPr>
          <w:instrText xml:space="preserve"> PAGEREF _Toc102651016 \h </w:instrText>
        </w:r>
        <w:r w:rsidR="00E24203">
          <w:rPr>
            <w:noProof/>
            <w:webHidden/>
          </w:rPr>
        </w:r>
        <w:r w:rsidR="00E24203">
          <w:rPr>
            <w:noProof/>
            <w:webHidden/>
          </w:rPr>
          <w:fldChar w:fldCharType="separate"/>
        </w:r>
        <w:r w:rsidR="00E24203">
          <w:rPr>
            <w:noProof/>
            <w:webHidden/>
          </w:rPr>
          <w:t>8</w:t>
        </w:r>
        <w:r w:rsidR="00E24203">
          <w:rPr>
            <w:noProof/>
            <w:webHidden/>
          </w:rPr>
          <w:fldChar w:fldCharType="end"/>
        </w:r>
      </w:hyperlink>
    </w:p>
    <w:p w14:paraId="1F204A4E" w14:textId="04760BC8" w:rsidR="00E24203" w:rsidRDefault="0070150D">
      <w:pPr>
        <w:pStyle w:val="TOC1"/>
        <w:rPr>
          <w:rFonts w:asciiTheme="minorHAnsi" w:eastAsiaTheme="minorEastAsia" w:hAnsiTheme="minorHAnsi" w:cstheme="minorBidi"/>
          <w:b w:val="0"/>
          <w:noProof/>
          <w:sz w:val="22"/>
          <w:lang w:eastAsia="en-AU"/>
        </w:rPr>
      </w:pPr>
      <w:hyperlink w:anchor="_Toc102651017" w:history="1">
        <w:r w:rsidR="00E24203" w:rsidRPr="00BB6195">
          <w:rPr>
            <w:rStyle w:val="Hyperlink"/>
            <w:noProof/>
          </w:rPr>
          <w:t xml:space="preserve">Tracking changes in the price of key goods and services: </w:t>
        </w:r>
        <w:r w:rsidR="00E24203">
          <w:rPr>
            <w:rStyle w:val="Hyperlink"/>
            <w:noProof/>
          </w:rPr>
          <w:br/>
        </w:r>
        <w:r w:rsidR="00E24203" w:rsidRPr="00BB6195">
          <w:rPr>
            <w:rStyle w:val="Hyperlink"/>
            <w:noProof/>
          </w:rPr>
          <w:t>Consumer Price Index</w:t>
        </w:r>
        <w:r w:rsidR="00E24203">
          <w:rPr>
            <w:noProof/>
            <w:webHidden/>
          </w:rPr>
          <w:tab/>
        </w:r>
        <w:r w:rsidR="00E24203">
          <w:rPr>
            <w:noProof/>
            <w:webHidden/>
          </w:rPr>
          <w:fldChar w:fldCharType="begin"/>
        </w:r>
        <w:r w:rsidR="00E24203">
          <w:rPr>
            <w:noProof/>
            <w:webHidden/>
          </w:rPr>
          <w:instrText xml:space="preserve"> PAGEREF _Toc102651017 \h </w:instrText>
        </w:r>
        <w:r w:rsidR="00E24203">
          <w:rPr>
            <w:noProof/>
            <w:webHidden/>
          </w:rPr>
        </w:r>
        <w:r w:rsidR="00E24203">
          <w:rPr>
            <w:noProof/>
            <w:webHidden/>
          </w:rPr>
          <w:fldChar w:fldCharType="separate"/>
        </w:r>
        <w:r w:rsidR="00E24203">
          <w:rPr>
            <w:noProof/>
            <w:webHidden/>
          </w:rPr>
          <w:t>9</w:t>
        </w:r>
        <w:r w:rsidR="00E24203">
          <w:rPr>
            <w:noProof/>
            <w:webHidden/>
          </w:rPr>
          <w:fldChar w:fldCharType="end"/>
        </w:r>
      </w:hyperlink>
    </w:p>
    <w:p w14:paraId="34CF5818" w14:textId="3FAEA36A" w:rsidR="00E24203" w:rsidRDefault="0070150D">
      <w:pPr>
        <w:pStyle w:val="TOC1"/>
        <w:rPr>
          <w:rFonts w:asciiTheme="minorHAnsi" w:eastAsiaTheme="minorEastAsia" w:hAnsiTheme="minorHAnsi" w:cstheme="minorBidi"/>
          <w:b w:val="0"/>
          <w:noProof/>
          <w:sz w:val="22"/>
          <w:lang w:eastAsia="en-AU"/>
        </w:rPr>
      </w:pPr>
      <w:hyperlink w:anchor="_Toc102651018" w:history="1">
        <w:r w:rsidR="00E24203" w:rsidRPr="00BB6195">
          <w:rPr>
            <w:rStyle w:val="Hyperlink"/>
            <w:noProof/>
          </w:rPr>
          <w:t xml:space="preserve">Fuel and energy price rises highlight need for targeted support </w:t>
        </w:r>
        <w:r w:rsidR="00E24203">
          <w:rPr>
            <w:rStyle w:val="Hyperlink"/>
            <w:noProof/>
          </w:rPr>
          <w:br/>
        </w:r>
        <w:r w:rsidR="00E24203" w:rsidRPr="00BB6195">
          <w:rPr>
            <w:rStyle w:val="Hyperlink"/>
            <w:noProof/>
          </w:rPr>
          <w:t>and a just transition</w:t>
        </w:r>
        <w:r w:rsidR="00E24203">
          <w:rPr>
            <w:noProof/>
            <w:webHidden/>
          </w:rPr>
          <w:tab/>
        </w:r>
        <w:r w:rsidR="00E24203">
          <w:rPr>
            <w:noProof/>
            <w:webHidden/>
          </w:rPr>
          <w:fldChar w:fldCharType="begin"/>
        </w:r>
        <w:r w:rsidR="00E24203">
          <w:rPr>
            <w:noProof/>
            <w:webHidden/>
          </w:rPr>
          <w:instrText xml:space="preserve"> PAGEREF _Toc102651018 \h </w:instrText>
        </w:r>
        <w:r w:rsidR="00E24203">
          <w:rPr>
            <w:noProof/>
            <w:webHidden/>
          </w:rPr>
        </w:r>
        <w:r w:rsidR="00E24203">
          <w:rPr>
            <w:noProof/>
            <w:webHidden/>
          </w:rPr>
          <w:fldChar w:fldCharType="separate"/>
        </w:r>
        <w:r w:rsidR="00E24203">
          <w:rPr>
            <w:noProof/>
            <w:webHidden/>
          </w:rPr>
          <w:t>16</w:t>
        </w:r>
        <w:r w:rsidR="00E24203">
          <w:rPr>
            <w:noProof/>
            <w:webHidden/>
          </w:rPr>
          <w:fldChar w:fldCharType="end"/>
        </w:r>
      </w:hyperlink>
    </w:p>
    <w:p w14:paraId="11736EAF" w14:textId="7A0BE32C" w:rsidR="00E24203" w:rsidRDefault="0070150D">
      <w:pPr>
        <w:pStyle w:val="TOC2"/>
        <w:rPr>
          <w:rFonts w:asciiTheme="minorHAnsi" w:eastAsiaTheme="minorEastAsia" w:hAnsiTheme="minorHAnsi" w:cstheme="minorBidi"/>
          <w:noProof/>
          <w:sz w:val="22"/>
          <w:lang w:eastAsia="en-AU"/>
        </w:rPr>
      </w:pPr>
      <w:hyperlink w:anchor="_Toc102651019" w:history="1">
        <w:r w:rsidR="00E24203" w:rsidRPr="00BB6195">
          <w:rPr>
            <w:rStyle w:val="Hyperlink"/>
            <w:noProof/>
          </w:rPr>
          <w:t>Transport</w:t>
        </w:r>
        <w:r w:rsidR="00E24203">
          <w:rPr>
            <w:noProof/>
            <w:webHidden/>
          </w:rPr>
          <w:tab/>
        </w:r>
        <w:r w:rsidR="00E24203">
          <w:rPr>
            <w:noProof/>
            <w:webHidden/>
          </w:rPr>
          <w:fldChar w:fldCharType="begin"/>
        </w:r>
        <w:r w:rsidR="00E24203">
          <w:rPr>
            <w:noProof/>
            <w:webHidden/>
          </w:rPr>
          <w:instrText xml:space="preserve"> PAGEREF _Toc102651019 \h </w:instrText>
        </w:r>
        <w:r w:rsidR="00E24203">
          <w:rPr>
            <w:noProof/>
            <w:webHidden/>
          </w:rPr>
        </w:r>
        <w:r w:rsidR="00E24203">
          <w:rPr>
            <w:noProof/>
            <w:webHidden/>
          </w:rPr>
          <w:fldChar w:fldCharType="separate"/>
        </w:r>
        <w:r w:rsidR="00E24203">
          <w:rPr>
            <w:noProof/>
            <w:webHidden/>
          </w:rPr>
          <w:t>16</w:t>
        </w:r>
        <w:r w:rsidR="00E24203">
          <w:rPr>
            <w:noProof/>
            <w:webHidden/>
          </w:rPr>
          <w:fldChar w:fldCharType="end"/>
        </w:r>
      </w:hyperlink>
    </w:p>
    <w:p w14:paraId="1469DA83" w14:textId="1C7A8574" w:rsidR="00E24203" w:rsidRDefault="0070150D">
      <w:pPr>
        <w:pStyle w:val="TOC2"/>
        <w:rPr>
          <w:rFonts w:asciiTheme="minorHAnsi" w:eastAsiaTheme="minorEastAsia" w:hAnsiTheme="minorHAnsi" w:cstheme="minorBidi"/>
          <w:noProof/>
          <w:sz w:val="22"/>
          <w:lang w:eastAsia="en-AU"/>
        </w:rPr>
      </w:pPr>
      <w:hyperlink w:anchor="_Toc102651020" w:history="1">
        <w:r w:rsidR="00E24203" w:rsidRPr="00BB6195">
          <w:rPr>
            <w:rStyle w:val="Hyperlink"/>
            <w:noProof/>
          </w:rPr>
          <w:t>Energy</w:t>
        </w:r>
        <w:r w:rsidR="00E24203">
          <w:rPr>
            <w:noProof/>
            <w:webHidden/>
          </w:rPr>
          <w:tab/>
        </w:r>
        <w:r w:rsidR="00E24203">
          <w:rPr>
            <w:noProof/>
            <w:webHidden/>
          </w:rPr>
          <w:fldChar w:fldCharType="begin"/>
        </w:r>
        <w:r w:rsidR="00E24203">
          <w:rPr>
            <w:noProof/>
            <w:webHidden/>
          </w:rPr>
          <w:instrText xml:space="preserve"> PAGEREF _Toc102651020 \h </w:instrText>
        </w:r>
        <w:r w:rsidR="00E24203">
          <w:rPr>
            <w:noProof/>
            <w:webHidden/>
          </w:rPr>
        </w:r>
        <w:r w:rsidR="00E24203">
          <w:rPr>
            <w:noProof/>
            <w:webHidden/>
          </w:rPr>
          <w:fldChar w:fldCharType="separate"/>
        </w:r>
        <w:r w:rsidR="00E24203">
          <w:rPr>
            <w:noProof/>
            <w:webHidden/>
          </w:rPr>
          <w:t>18</w:t>
        </w:r>
        <w:r w:rsidR="00E24203">
          <w:rPr>
            <w:noProof/>
            <w:webHidden/>
          </w:rPr>
          <w:fldChar w:fldCharType="end"/>
        </w:r>
      </w:hyperlink>
    </w:p>
    <w:p w14:paraId="3BF08A23" w14:textId="55418C4A" w:rsidR="00E24203" w:rsidRDefault="0070150D">
      <w:pPr>
        <w:pStyle w:val="TOC1"/>
        <w:rPr>
          <w:rFonts w:asciiTheme="minorHAnsi" w:eastAsiaTheme="minorEastAsia" w:hAnsiTheme="minorHAnsi" w:cstheme="minorBidi"/>
          <w:b w:val="0"/>
          <w:noProof/>
          <w:sz w:val="22"/>
          <w:lang w:eastAsia="en-AU"/>
        </w:rPr>
      </w:pPr>
      <w:hyperlink w:anchor="_Toc102651021" w:history="1">
        <w:r w:rsidR="00E24203" w:rsidRPr="00BB6195">
          <w:rPr>
            <w:rStyle w:val="Hyperlink"/>
            <w:noProof/>
          </w:rPr>
          <w:t>Housing remains ACT’s key cost of living issue</w:t>
        </w:r>
        <w:r w:rsidR="00E24203">
          <w:rPr>
            <w:noProof/>
            <w:webHidden/>
          </w:rPr>
          <w:tab/>
        </w:r>
        <w:r w:rsidR="00E24203">
          <w:rPr>
            <w:noProof/>
            <w:webHidden/>
          </w:rPr>
          <w:fldChar w:fldCharType="begin"/>
        </w:r>
        <w:r w:rsidR="00E24203">
          <w:rPr>
            <w:noProof/>
            <w:webHidden/>
          </w:rPr>
          <w:instrText xml:space="preserve"> PAGEREF _Toc102651021 \h </w:instrText>
        </w:r>
        <w:r w:rsidR="00E24203">
          <w:rPr>
            <w:noProof/>
            <w:webHidden/>
          </w:rPr>
        </w:r>
        <w:r w:rsidR="00E24203">
          <w:rPr>
            <w:noProof/>
            <w:webHidden/>
          </w:rPr>
          <w:fldChar w:fldCharType="separate"/>
        </w:r>
        <w:r w:rsidR="00E24203">
          <w:rPr>
            <w:noProof/>
            <w:webHidden/>
          </w:rPr>
          <w:t>22</w:t>
        </w:r>
        <w:r w:rsidR="00E24203">
          <w:rPr>
            <w:noProof/>
            <w:webHidden/>
          </w:rPr>
          <w:fldChar w:fldCharType="end"/>
        </w:r>
      </w:hyperlink>
    </w:p>
    <w:p w14:paraId="15F0438C" w14:textId="65BA7789" w:rsidR="00E24203" w:rsidRDefault="0070150D">
      <w:pPr>
        <w:pStyle w:val="TOC2"/>
        <w:rPr>
          <w:rFonts w:asciiTheme="minorHAnsi" w:eastAsiaTheme="minorEastAsia" w:hAnsiTheme="minorHAnsi" w:cstheme="minorBidi"/>
          <w:noProof/>
          <w:sz w:val="22"/>
          <w:lang w:eastAsia="en-AU"/>
        </w:rPr>
      </w:pPr>
      <w:hyperlink w:anchor="_Toc102651022" w:history="1">
        <w:r w:rsidR="00E24203" w:rsidRPr="00BB6195">
          <w:rPr>
            <w:rStyle w:val="Hyperlink"/>
            <w:noProof/>
          </w:rPr>
          <w:t>Rental unaffordability in the ACT</w:t>
        </w:r>
        <w:r w:rsidR="00E24203">
          <w:rPr>
            <w:noProof/>
            <w:webHidden/>
          </w:rPr>
          <w:tab/>
        </w:r>
        <w:r w:rsidR="00E24203">
          <w:rPr>
            <w:noProof/>
            <w:webHidden/>
          </w:rPr>
          <w:fldChar w:fldCharType="begin"/>
        </w:r>
        <w:r w:rsidR="00E24203">
          <w:rPr>
            <w:noProof/>
            <w:webHidden/>
          </w:rPr>
          <w:instrText xml:space="preserve"> PAGEREF _Toc102651022 \h </w:instrText>
        </w:r>
        <w:r w:rsidR="00E24203">
          <w:rPr>
            <w:noProof/>
            <w:webHidden/>
          </w:rPr>
        </w:r>
        <w:r w:rsidR="00E24203">
          <w:rPr>
            <w:noProof/>
            <w:webHidden/>
          </w:rPr>
          <w:fldChar w:fldCharType="separate"/>
        </w:r>
        <w:r w:rsidR="00E24203">
          <w:rPr>
            <w:noProof/>
            <w:webHidden/>
          </w:rPr>
          <w:t>22</w:t>
        </w:r>
        <w:r w:rsidR="00E24203">
          <w:rPr>
            <w:noProof/>
            <w:webHidden/>
          </w:rPr>
          <w:fldChar w:fldCharType="end"/>
        </w:r>
      </w:hyperlink>
    </w:p>
    <w:p w14:paraId="3D5C1BBD" w14:textId="42CECA28" w:rsidR="00E24203" w:rsidRDefault="0070150D">
      <w:pPr>
        <w:pStyle w:val="TOC2"/>
        <w:rPr>
          <w:rFonts w:asciiTheme="minorHAnsi" w:eastAsiaTheme="minorEastAsia" w:hAnsiTheme="minorHAnsi" w:cstheme="minorBidi"/>
          <w:noProof/>
          <w:sz w:val="22"/>
          <w:lang w:eastAsia="en-AU"/>
        </w:rPr>
      </w:pPr>
      <w:hyperlink w:anchor="_Toc102651023" w:history="1">
        <w:r w:rsidR="00E24203" w:rsidRPr="00BB6195">
          <w:rPr>
            <w:rStyle w:val="Hyperlink"/>
            <w:noProof/>
          </w:rPr>
          <w:t>The need for more social and affordable housing</w:t>
        </w:r>
        <w:r w:rsidR="00E24203">
          <w:rPr>
            <w:noProof/>
            <w:webHidden/>
          </w:rPr>
          <w:tab/>
        </w:r>
        <w:r w:rsidR="00E24203">
          <w:rPr>
            <w:noProof/>
            <w:webHidden/>
          </w:rPr>
          <w:fldChar w:fldCharType="begin"/>
        </w:r>
        <w:r w:rsidR="00E24203">
          <w:rPr>
            <w:noProof/>
            <w:webHidden/>
          </w:rPr>
          <w:instrText xml:space="preserve"> PAGEREF _Toc102651023 \h </w:instrText>
        </w:r>
        <w:r w:rsidR="00E24203">
          <w:rPr>
            <w:noProof/>
            <w:webHidden/>
          </w:rPr>
        </w:r>
        <w:r w:rsidR="00E24203">
          <w:rPr>
            <w:noProof/>
            <w:webHidden/>
          </w:rPr>
          <w:fldChar w:fldCharType="separate"/>
        </w:r>
        <w:r w:rsidR="00E24203">
          <w:rPr>
            <w:noProof/>
            <w:webHidden/>
          </w:rPr>
          <w:t>28</w:t>
        </w:r>
        <w:r w:rsidR="00E24203">
          <w:rPr>
            <w:noProof/>
            <w:webHidden/>
          </w:rPr>
          <w:fldChar w:fldCharType="end"/>
        </w:r>
      </w:hyperlink>
    </w:p>
    <w:p w14:paraId="11A0FF40" w14:textId="3655024B" w:rsidR="00E24203" w:rsidRDefault="0070150D">
      <w:pPr>
        <w:pStyle w:val="TOC1"/>
        <w:rPr>
          <w:rFonts w:asciiTheme="minorHAnsi" w:eastAsiaTheme="minorEastAsia" w:hAnsiTheme="minorHAnsi" w:cstheme="minorBidi"/>
          <w:b w:val="0"/>
          <w:noProof/>
          <w:sz w:val="22"/>
          <w:lang w:eastAsia="en-AU"/>
        </w:rPr>
      </w:pPr>
      <w:hyperlink w:anchor="_Toc102651024" w:history="1">
        <w:r w:rsidR="00E24203" w:rsidRPr="00BB6195">
          <w:rPr>
            <w:rStyle w:val="Hyperlink"/>
            <w:noProof/>
          </w:rPr>
          <w:t>Tracking changes in the cost of living for low-income households: Selected Living Cost Indexes</w:t>
        </w:r>
        <w:r w:rsidR="00E24203">
          <w:rPr>
            <w:noProof/>
            <w:webHidden/>
          </w:rPr>
          <w:tab/>
        </w:r>
        <w:r w:rsidR="00E24203">
          <w:rPr>
            <w:noProof/>
            <w:webHidden/>
          </w:rPr>
          <w:fldChar w:fldCharType="begin"/>
        </w:r>
        <w:r w:rsidR="00E24203">
          <w:rPr>
            <w:noProof/>
            <w:webHidden/>
          </w:rPr>
          <w:instrText xml:space="preserve"> PAGEREF _Toc102651024 \h </w:instrText>
        </w:r>
        <w:r w:rsidR="00E24203">
          <w:rPr>
            <w:noProof/>
            <w:webHidden/>
          </w:rPr>
        </w:r>
        <w:r w:rsidR="00E24203">
          <w:rPr>
            <w:noProof/>
            <w:webHidden/>
          </w:rPr>
          <w:fldChar w:fldCharType="separate"/>
        </w:r>
        <w:r w:rsidR="00E24203">
          <w:rPr>
            <w:noProof/>
            <w:webHidden/>
          </w:rPr>
          <w:t>30</w:t>
        </w:r>
        <w:r w:rsidR="00E24203">
          <w:rPr>
            <w:noProof/>
            <w:webHidden/>
          </w:rPr>
          <w:fldChar w:fldCharType="end"/>
        </w:r>
      </w:hyperlink>
    </w:p>
    <w:p w14:paraId="686CE8B4" w14:textId="7EA3BB3B" w:rsidR="00E24203" w:rsidRDefault="0070150D">
      <w:pPr>
        <w:pStyle w:val="TOC2"/>
        <w:rPr>
          <w:rFonts w:asciiTheme="minorHAnsi" w:eastAsiaTheme="minorEastAsia" w:hAnsiTheme="minorHAnsi" w:cstheme="minorBidi"/>
          <w:noProof/>
          <w:sz w:val="22"/>
          <w:lang w:eastAsia="en-AU"/>
        </w:rPr>
      </w:pPr>
      <w:hyperlink w:anchor="_Toc102651025" w:history="1">
        <w:r w:rsidR="00E24203" w:rsidRPr="00BB6195">
          <w:rPr>
            <w:rStyle w:val="Hyperlink"/>
            <w:noProof/>
          </w:rPr>
          <w:t>Changes in income, living costs and the poverty gap</w:t>
        </w:r>
        <w:r w:rsidR="00E24203">
          <w:rPr>
            <w:noProof/>
            <w:webHidden/>
          </w:rPr>
          <w:tab/>
        </w:r>
        <w:r w:rsidR="00E24203">
          <w:rPr>
            <w:noProof/>
            <w:webHidden/>
          </w:rPr>
          <w:fldChar w:fldCharType="begin"/>
        </w:r>
        <w:r w:rsidR="00E24203">
          <w:rPr>
            <w:noProof/>
            <w:webHidden/>
          </w:rPr>
          <w:instrText xml:space="preserve"> PAGEREF _Toc102651025 \h </w:instrText>
        </w:r>
        <w:r w:rsidR="00E24203">
          <w:rPr>
            <w:noProof/>
            <w:webHidden/>
          </w:rPr>
        </w:r>
        <w:r w:rsidR="00E24203">
          <w:rPr>
            <w:noProof/>
            <w:webHidden/>
          </w:rPr>
          <w:fldChar w:fldCharType="separate"/>
        </w:r>
        <w:r w:rsidR="00E24203">
          <w:rPr>
            <w:noProof/>
            <w:webHidden/>
          </w:rPr>
          <w:t>31</w:t>
        </w:r>
        <w:r w:rsidR="00E24203">
          <w:rPr>
            <w:noProof/>
            <w:webHidden/>
          </w:rPr>
          <w:fldChar w:fldCharType="end"/>
        </w:r>
      </w:hyperlink>
    </w:p>
    <w:p w14:paraId="352832E8" w14:textId="652F809C" w:rsidR="00E24203" w:rsidRDefault="0070150D">
      <w:pPr>
        <w:pStyle w:val="TOC1"/>
        <w:rPr>
          <w:rFonts w:asciiTheme="minorHAnsi" w:eastAsiaTheme="minorEastAsia" w:hAnsiTheme="minorHAnsi" w:cstheme="minorBidi"/>
          <w:b w:val="0"/>
          <w:noProof/>
          <w:sz w:val="22"/>
          <w:lang w:eastAsia="en-AU"/>
        </w:rPr>
      </w:pPr>
      <w:hyperlink w:anchor="_Toc102651026" w:history="1">
        <w:r w:rsidR="00E24203" w:rsidRPr="00BB6195">
          <w:rPr>
            <w:rStyle w:val="Hyperlink"/>
            <w:noProof/>
          </w:rPr>
          <w:t>Conclusion</w:t>
        </w:r>
        <w:r w:rsidR="00E24203">
          <w:rPr>
            <w:noProof/>
            <w:webHidden/>
          </w:rPr>
          <w:tab/>
        </w:r>
        <w:r w:rsidR="00E24203">
          <w:rPr>
            <w:noProof/>
            <w:webHidden/>
          </w:rPr>
          <w:fldChar w:fldCharType="begin"/>
        </w:r>
        <w:r w:rsidR="00E24203">
          <w:rPr>
            <w:noProof/>
            <w:webHidden/>
          </w:rPr>
          <w:instrText xml:space="preserve"> PAGEREF _Toc102651026 \h </w:instrText>
        </w:r>
        <w:r w:rsidR="00E24203">
          <w:rPr>
            <w:noProof/>
            <w:webHidden/>
          </w:rPr>
        </w:r>
        <w:r w:rsidR="00E24203">
          <w:rPr>
            <w:noProof/>
            <w:webHidden/>
          </w:rPr>
          <w:fldChar w:fldCharType="separate"/>
        </w:r>
        <w:r w:rsidR="00E24203">
          <w:rPr>
            <w:noProof/>
            <w:webHidden/>
          </w:rPr>
          <w:t>35</w:t>
        </w:r>
        <w:r w:rsidR="00E24203">
          <w:rPr>
            <w:noProof/>
            <w:webHidden/>
          </w:rPr>
          <w:fldChar w:fldCharType="end"/>
        </w:r>
      </w:hyperlink>
    </w:p>
    <w:p w14:paraId="6235CF3D" w14:textId="00A70497" w:rsidR="00E24203" w:rsidRDefault="0070150D">
      <w:pPr>
        <w:pStyle w:val="TOC1"/>
        <w:rPr>
          <w:rFonts w:asciiTheme="minorHAnsi" w:eastAsiaTheme="minorEastAsia" w:hAnsiTheme="minorHAnsi" w:cstheme="minorBidi"/>
          <w:b w:val="0"/>
          <w:noProof/>
          <w:sz w:val="22"/>
          <w:lang w:eastAsia="en-AU"/>
        </w:rPr>
      </w:pPr>
      <w:hyperlink w:anchor="_Toc102651027" w:history="1">
        <w:r w:rsidR="00E24203" w:rsidRPr="00BB6195">
          <w:rPr>
            <w:rStyle w:val="Hyperlink"/>
            <w:noProof/>
          </w:rPr>
          <w:t>Appendix: Explanatory Notes</w:t>
        </w:r>
        <w:r w:rsidR="00E24203">
          <w:rPr>
            <w:noProof/>
            <w:webHidden/>
          </w:rPr>
          <w:tab/>
        </w:r>
        <w:r w:rsidR="00E24203">
          <w:rPr>
            <w:noProof/>
            <w:webHidden/>
          </w:rPr>
          <w:fldChar w:fldCharType="begin"/>
        </w:r>
        <w:r w:rsidR="00E24203">
          <w:rPr>
            <w:noProof/>
            <w:webHidden/>
          </w:rPr>
          <w:instrText xml:space="preserve"> PAGEREF _Toc102651027 \h </w:instrText>
        </w:r>
        <w:r w:rsidR="00E24203">
          <w:rPr>
            <w:noProof/>
            <w:webHidden/>
          </w:rPr>
        </w:r>
        <w:r w:rsidR="00E24203">
          <w:rPr>
            <w:noProof/>
            <w:webHidden/>
          </w:rPr>
          <w:fldChar w:fldCharType="separate"/>
        </w:r>
        <w:r w:rsidR="00E24203">
          <w:rPr>
            <w:noProof/>
            <w:webHidden/>
          </w:rPr>
          <w:t>36</w:t>
        </w:r>
        <w:r w:rsidR="00E24203">
          <w:rPr>
            <w:noProof/>
            <w:webHidden/>
          </w:rPr>
          <w:fldChar w:fldCharType="end"/>
        </w:r>
      </w:hyperlink>
    </w:p>
    <w:p w14:paraId="455C32A6" w14:textId="23DD6F82" w:rsidR="00E24203" w:rsidRDefault="0070150D">
      <w:pPr>
        <w:pStyle w:val="TOC2"/>
        <w:rPr>
          <w:rFonts w:asciiTheme="minorHAnsi" w:eastAsiaTheme="minorEastAsia" w:hAnsiTheme="minorHAnsi" w:cstheme="minorBidi"/>
          <w:noProof/>
          <w:sz w:val="22"/>
          <w:lang w:eastAsia="en-AU"/>
        </w:rPr>
      </w:pPr>
      <w:hyperlink w:anchor="_Toc102651028" w:history="1">
        <w:r w:rsidR="00E24203" w:rsidRPr="00BB6195">
          <w:rPr>
            <w:rStyle w:val="Hyperlink"/>
            <w:noProof/>
          </w:rPr>
          <w:t>Consumer Price Index and Selected Living Cost Indexes</w:t>
        </w:r>
        <w:r w:rsidR="00E24203">
          <w:rPr>
            <w:noProof/>
            <w:webHidden/>
          </w:rPr>
          <w:tab/>
        </w:r>
        <w:r w:rsidR="00E24203">
          <w:rPr>
            <w:noProof/>
            <w:webHidden/>
          </w:rPr>
          <w:fldChar w:fldCharType="begin"/>
        </w:r>
        <w:r w:rsidR="00E24203">
          <w:rPr>
            <w:noProof/>
            <w:webHidden/>
          </w:rPr>
          <w:instrText xml:space="preserve"> PAGEREF _Toc102651028 \h </w:instrText>
        </w:r>
        <w:r w:rsidR="00E24203">
          <w:rPr>
            <w:noProof/>
            <w:webHidden/>
          </w:rPr>
        </w:r>
        <w:r w:rsidR="00E24203">
          <w:rPr>
            <w:noProof/>
            <w:webHidden/>
          </w:rPr>
          <w:fldChar w:fldCharType="separate"/>
        </w:r>
        <w:r w:rsidR="00E24203">
          <w:rPr>
            <w:noProof/>
            <w:webHidden/>
          </w:rPr>
          <w:t>36</w:t>
        </w:r>
        <w:r w:rsidR="00E24203">
          <w:rPr>
            <w:noProof/>
            <w:webHidden/>
          </w:rPr>
          <w:fldChar w:fldCharType="end"/>
        </w:r>
      </w:hyperlink>
    </w:p>
    <w:p w14:paraId="7D0FDBD3" w14:textId="694E6960" w:rsidR="00E24203" w:rsidRDefault="0070150D">
      <w:pPr>
        <w:pStyle w:val="TOC2"/>
        <w:rPr>
          <w:rFonts w:asciiTheme="minorHAnsi" w:eastAsiaTheme="minorEastAsia" w:hAnsiTheme="minorHAnsi" w:cstheme="minorBidi"/>
          <w:noProof/>
          <w:sz w:val="22"/>
          <w:lang w:eastAsia="en-AU"/>
        </w:rPr>
      </w:pPr>
      <w:hyperlink w:anchor="_Toc102651029" w:history="1">
        <w:r w:rsidR="00E24203" w:rsidRPr="00BB6195">
          <w:rPr>
            <w:rStyle w:val="Hyperlink"/>
            <w:noProof/>
          </w:rPr>
          <w:t>Limitations of the Selected Living Cost Indexes</w:t>
        </w:r>
        <w:r w:rsidR="00E24203">
          <w:rPr>
            <w:noProof/>
            <w:webHidden/>
          </w:rPr>
          <w:tab/>
        </w:r>
        <w:r w:rsidR="00E24203">
          <w:rPr>
            <w:noProof/>
            <w:webHidden/>
          </w:rPr>
          <w:fldChar w:fldCharType="begin"/>
        </w:r>
        <w:r w:rsidR="00E24203">
          <w:rPr>
            <w:noProof/>
            <w:webHidden/>
          </w:rPr>
          <w:instrText xml:space="preserve"> PAGEREF _Toc102651029 \h </w:instrText>
        </w:r>
        <w:r w:rsidR="00E24203">
          <w:rPr>
            <w:noProof/>
            <w:webHidden/>
          </w:rPr>
        </w:r>
        <w:r w:rsidR="00E24203">
          <w:rPr>
            <w:noProof/>
            <w:webHidden/>
          </w:rPr>
          <w:fldChar w:fldCharType="separate"/>
        </w:r>
        <w:r w:rsidR="00E24203">
          <w:rPr>
            <w:noProof/>
            <w:webHidden/>
          </w:rPr>
          <w:t>36</w:t>
        </w:r>
        <w:r w:rsidR="00E24203">
          <w:rPr>
            <w:noProof/>
            <w:webHidden/>
          </w:rPr>
          <w:fldChar w:fldCharType="end"/>
        </w:r>
      </w:hyperlink>
    </w:p>
    <w:p w14:paraId="64711F77" w14:textId="29BFF658" w:rsidR="00E24203" w:rsidRDefault="0070150D">
      <w:pPr>
        <w:pStyle w:val="TOC2"/>
        <w:rPr>
          <w:rFonts w:asciiTheme="minorHAnsi" w:eastAsiaTheme="minorEastAsia" w:hAnsiTheme="minorHAnsi" w:cstheme="minorBidi"/>
          <w:noProof/>
          <w:sz w:val="22"/>
          <w:lang w:eastAsia="en-AU"/>
        </w:rPr>
      </w:pPr>
      <w:hyperlink w:anchor="_Toc102651030" w:history="1">
        <w:r w:rsidR="00E24203" w:rsidRPr="00BB6195">
          <w:rPr>
            <w:rStyle w:val="Hyperlink"/>
            <w:noProof/>
          </w:rPr>
          <w:t xml:space="preserve">Income support payment calculations – December 2020 to </w:t>
        </w:r>
        <w:r w:rsidR="00E24203">
          <w:rPr>
            <w:rStyle w:val="Hyperlink"/>
            <w:noProof/>
          </w:rPr>
          <w:br/>
        </w:r>
        <w:r w:rsidR="00E24203" w:rsidRPr="00BB6195">
          <w:rPr>
            <w:rStyle w:val="Hyperlink"/>
            <w:noProof/>
          </w:rPr>
          <w:t>December 2021</w:t>
        </w:r>
        <w:r w:rsidR="00E24203">
          <w:rPr>
            <w:noProof/>
            <w:webHidden/>
          </w:rPr>
          <w:tab/>
        </w:r>
        <w:r w:rsidR="00E24203">
          <w:rPr>
            <w:noProof/>
            <w:webHidden/>
          </w:rPr>
          <w:fldChar w:fldCharType="begin"/>
        </w:r>
        <w:r w:rsidR="00E24203">
          <w:rPr>
            <w:noProof/>
            <w:webHidden/>
          </w:rPr>
          <w:instrText xml:space="preserve"> PAGEREF _Toc102651030 \h </w:instrText>
        </w:r>
        <w:r w:rsidR="00E24203">
          <w:rPr>
            <w:noProof/>
            <w:webHidden/>
          </w:rPr>
        </w:r>
        <w:r w:rsidR="00E24203">
          <w:rPr>
            <w:noProof/>
            <w:webHidden/>
          </w:rPr>
          <w:fldChar w:fldCharType="separate"/>
        </w:r>
        <w:r w:rsidR="00E24203">
          <w:rPr>
            <w:noProof/>
            <w:webHidden/>
          </w:rPr>
          <w:t>37</w:t>
        </w:r>
        <w:r w:rsidR="00E24203">
          <w:rPr>
            <w:noProof/>
            <w:webHidden/>
          </w:rPr>
          <w:fldChar w:fldCharType="end"/>
        </w:r>
      </w:hyperlink>
    </w:p>
    <w:p w14:paraId="62D11522" w14:textId="25AB4F6B" w:rsidR="00E24203" w:rsidRDefault="0070150D">
      <w:pPr>
        <w:pStyle w:val="TOC2"/>
        <w:rPr>
          <w:rFonts w:asciiTheme="minorHAnsi" w:eastAsiaTheme="minorEastAsia" w:hAnsiTheme="minorHAnsi" w:cstheme="minorBidi"/>
          <w:noProof/>
          <w:sz w:val="22"/>
          <w:lang w:eastAsia="en-AU"/>
        </w:rPr>
      </w:pPr>
      <w:hyperlink w:anchor="_Toc102651031" w:history="1">
        <w:r w:rsidR="00E24203" w:rsidRPr="00BB6195">
          <w:rPr>
            <w:rStyle w:val="Hyperlink"/>
            <w:noProof/>
          </w:rPr>
          <w:t>How pension rates are adjusted</w:t>
        </w:r>
        <w:r w:rsidR="00E24203">
          <w:rPr>
            <w:noProof/>
            <w:webHidden/>
          </w:rPr>
          <w:tab/>
        </w:r>
        <w:r w:rsidR="00E24203">
          <w:rPr>
            <w:noProof/>
            <w:webHidden/>
          </w:rPr>
          <w:fldChar w:fldCharType="begin"/>
        </w:r>
        <w:r w:rsidR="00E24203">
          <w:rPr>
            <w:noProof/>
            <w:webHidden/>
          </w:rPr>
          <w:instrText xml:space="preserve"> PAGEREF _Toc102651031 \h </w:instrText>
        </w:r>
        <w:r w:rsidR="00E24203">
          <w:rPr>
            <w:noProof/>
            <w:webHidden/>
          </w:rPr>
        </w:r>
        <w:r w:rsidR="00E24203">
          <w:rPr>
            <w:noProof/>
            <w:webHidden/>
          </w:rPr>
          <w:fldChar w:fldCharType="separate"/>
        </w:r>
        <w:r w:rsidR="00E24203">
          <w:rPr>
            <w:noProof/>
            <w:webHidden/>
          </w:rPr>
          <w:t>38</w:t>
        </w:r>
        <w:r w:rsidR="00E24203">
          <w:rPr>
            <w:noProof/>
            <w:webHidden/>
          </w:rPr>
          <w:fldChar w:fldCharType="end"/>
        </w:r>
      </w:hyperlink>
    </w:p>
    <w:p w14:paraId="65ECFC32" w14:textId="0A24B1B1" w:rsidR="001B2FCD" w:rsidRPr="00CA7855" w:rsidRDefault="00AB255D" w:rsidP="00F62238">
      <w:pPr>
        <w:pStyle w:val="BodyText"/>
      </w:pPr>
      <w:r w:rsidRPr="00CA7855">
        <w:fldChar w:fldCharType="end"/>
      </w:r>
    </w:p>
    <w:p w14:paraId="4F93FAA1" w14:textId="77777777" w:rsidR="00AB255D" w:rsidRPr="00CA7855" w:rsidRDefault="00AB255D" w:rsidP="00F62238">
      <w:pPr>
        <w:pStyle w:val="BodyText"/>
      </w:pPr>
    </w:p>
    <w:p w14:paraId="7B02E4FA" w14:textId="77777777" w:rsidR="00AB255D" w:rsidRPr="00CA7855" w:rsidRDefault="00AB255D" w:rsidP="00AB255D">
      <w:pPr>
        <w:pStyle w:val="Heading1-Pagebreakbefore"/>
      </w:pPr>
      <w:bookmarkStart w:id="0" w:name="_Toc102651007"/>
      <w:r w:rsidRPr="00CA7855">
        <w:lastRenderedPageBreak/>
        <w:t>Acronyms</w:t>
      </w:r>
      <w:bookmarkEnd w:id="0"/>
    </w:p>
    <w:p w14:paraId="205F67C0" w14:textId="77777777" w:rsidR="00C45CEA" w:rsidRDefault="00C45CEA" w:rsidP="00C45CEA">
      <w:pPr>
        <w:pStyle w:val="AcronymsList"/>
      </w:pPr>
      <w:r>
        <w:t>ABS</w:t>
      </w:r>
      <w:r>
        <w:tab/>
        <w:t>Australian Bureau of Statistics</w:t>
      </w:r>
    </w:p>
    <w:p w14:paraId="071BF4A4" w14:textId="77777777" w:rsidR="00C45CEA" w:rsidRDefault="00C45CEA" w:rsidP="00C45CEA">
      <w:pPr>
        <w:pStyle w:val="AcronymsList"/>
      </w:pPr>
      <w:r>
        <w:t>ACOSS</w:t>
      </w:r>
      <w:r>
        <w:tab/>
        <w:t>Australian Council of Social Service</w:t>
      </w:r>
    </w:p>
    <w:p w14:paraId="5684DA6B" w14:textId="77777777" w:rsidR="00C45CEA" w:rsidRDefault="00C45CEA" w:rsidP="00C45CEA">
      <w:pPr>
        <w:pStyle w:val="AcronymsList"/>
      </w:pPr>
      <w:r>
        <w:t>ACT</w:t>
      </w:r>
      <w:r>
        <w:tab/>
        <w:t>Australian Capital Territory</w:t>
      </w:r>
    </w:p>
    <w:p w14:paraId="41BC2678" w14:textId="77777777" w:rsidR="00AB255D" w:rsidRPr="00CA7855" w:rsidRDefault="00703089" w:rsidP="00AB255D">
      <w:pPr>
        <w:pStyle w:val="AcronymsList"/>
      </w:pPr>
      <w:r>
        <w:t>ACTCOSS</w:t>
      </w:r>
      <w:r>
        <w:tab/>
        <w:t>ACT Council of S</w:t>
      </w:r>
      <w:r w:rsidR="00AB255D" w:rsidRPr="00CA7855">
        <w:t>ocial Service Inc.</w:t>
      </w:r>
    </w:p>
    <w:p w14:paraId="173C2CC1" w14:textId="6983BD6E" w:rsidR="00297C7F" w:rsidRDefault="00297C7F" w:rsidP="00C45CEA">
      <w:pPr>
        <w:pStyle w:val="AcronymsList"/>
      </w:pPr>
      <w:proofErr w:type="spellStart"/>
      <w:r>
        <w:t>AEMO</w:t>
      </w:r>
      <w:proofErr w:type="spellEnd"/>
      <w:r>
        <w:tab/>
        <w:t>Australian Energy Market Operator</w:t>
      </w:r>
    </w:p>
    <w:p w14:paraId="6A1C9D23" w14:textId="77777777" w:rsidR="00C45CEA" w:rsidRDefault="00C45CEA" w:rsidP="00C45CEA">
      <w:pPr>
        <w:pStyle w:val="AcronymsList"/>
      </w:pPr>
      <w:r>
        <w:t>AER</w:t>
      </w:r>
      <w:r>
        <w:tab/>
        <w:t xml:space="preserve">Australian Energy Regulator </w:t>
      </w:r>
    </w:p>
    <w:p w14:paraId="66C535DB" w14:textId="77777777" w:rsidR="00C45CEA" w:rsidRDefault="00C45CEA" w:rsidP="00C45CEA">
      <w:pPr>
        <w:pStyle w:val="AcronymsList"/>
      </w:pPr>
      <w:proofErr w:type="spellStart"/>
      <w:r>
        <w:t>AHURI</w:t>
      </w:r>
      <w:proofErr w:type="spellEnd"/>
      <w:r>
        <w:t xml:space="preserve"> </w:t>
      </w:r>
      <w:r>
        <w:tab/>
        <w:t>Australian Housing and Urban Research Institute</w:t>
      </w:r>
    </w:p>
    <w:p w14:paraId="36B01336" w14:textId="77777777" w:rsidR="00C45CEA" w:rsidRDefault="00C45CEA" w:rsidP="00C45CEA">
      <w:pPr>
        <w:pStyle w:val="AcronymsList"/>
      </w:pPr>
      <w:r>
        <w:t>CPI</w:t>
      </w:r>
      <w:r>
        <w:tab/>
        <w:t>Consumer Price Index</w:t>
      </w:r>
    </w:p>
    <w:p w14:paraId="7066EE80" w14:textId="4BB0D14C" w:rsidR="00182FA7" w:rsidRDefault="00182FA7" w:rsidP="00C45CEA">
      <w:pPr>
        <w:pStyle w:val="AcronymsList"/>
      </w:pPr>
      <w:r>
        <w:t>CRA</w:t>
      </w:r>
      <w:r>
        <w:tab/>
        <w:t>Commonwealth Rent Assistance</w:t>
      </w:r>
    </w:p>
    <w:p w14:paraId="1BDDD3BD" w14:textId="77777777" w:rsidR="00C45CEA" w:rsidRDefault="00C45CEA" w:rsidP="00C45CEA">
      <w:pPr>
        <w:pStyle w:val="AcronymsList"/>
      </w:pPr>
      <w:r>
        <w:t>GDP</w:t>
      </w:r>
      <w:r>
        <w:tab/>
        <w:t>Gross Domestic Product</w:t>
      </w:r>
    </w:p>
    <w:p w14:paraId="5605C2E8" w14:textId="342B2736" w:rsidR="00AF4399" w:rsidRDefault="00AF4399" w:rsidP="00C45CEA">
      <w:pPr>
        <w:pStyle w:val="AcronymsList"/>
      </w:pPr>
      <w:r>
        <w:t>GST</w:t>
      </w:r>
      <w:r>
        <w:tab/>
      </w:r>
      <w:r w:rsidR="003D47DA">
        <w:t>g</w:t>
      </w:r>
      <w:r>
        <w:t>oods and services tax</w:t>
      </w:r>
    </w:p>
    <w:p w14:paraId="2810BA53" w14:textId="77777777" w:rsidR="00C45CEA" w:rsidRDefault="00C45CEA" w:rsidP="00C45CEA">
      <w:pPr>
        <w:pStyle w:val="AcronymsList"/>
      </w:pPr>
      <w:r>
        <w:t>ICRC</w:t>
      </w:r>
      <w:r>
        <w:tab/>
        <w:t>Independent Competition and Regulatory Commission</w:t>
      </w:r>
    </w:p>
    <w:p w14:paraId="24C8D2A1" w14:textId="77777777" w:rsidR="00C45CEA" w:rsidRDefault="00C45CEA" w:rsidP="00C45CEA">
      <w:pPr>
        <w:pStyle w:val="AcronymsList"/>
      </w:pPr>
      <w:proofErr w:type="spellStart"/>
      <w:r>
        <w:t>IGPA</w:t>
      </w:r>
      <w:proofErr w:type="spellEnd"/>
      <w:r>
        <w:t xml:space="preserve"> </w:t>
      </w:r>
      <w:r>
        <w:tab/>
        <w:t>Institute for Governance and Policy Analysis</w:t>
      </w:r>
    </w:p>
    <w:p w14:paraId="4745211C" w14:textId="77777777" w:rsidR="00C45CEA" w:rsidRDefault="00C45CEA" w:rsidP="00C45CEA">
      <w:pPr>
        <w:pStyle w:val="AcronymsList"/>
      </w:pPr>
      <w:proofErr w:type="spellStart"/>
      <w:r>
        <w:t>LCI</w:t>
      </w:r>
      <w:proofErr w:type="spellEnd"/>
      <w:r>
        <w:tab/>
        <w:t>Living Cost Index</w:t>
      </w:r>
    </w:p>
    <w:p w14:paraId="4F89D28F" w14:textId="135D1402" w:rsidR="00AC4F45" w:rsidRDefault="00AC4F45" w:rsidP="00C45CEA">
      <w:pPr>
        <w:pStyle w:val="AcronymsList"/>
      </w:pPr>
      <w:proofErr w:type="spellStart"/>
      <w:r w:rsidRPr="00AC4F45">
        <w:t>LFiT</w:t>
      </w:r>
      <w:proofErr w:type="spellEnd"/>
      <w:r>
        <w:tab/>
      </w:r>
      <w:r w:rsidRPr="00AC4F45">
        <w:t xml:space="preserve">Large-scale Feed-in Tariff </w:t>
      </w:r>
    </w:p>
    <w:p w14:paraId="421418F9" w14:textId="77777777" w:rsidR="00C45CEA" w:rsidRDefault="00C45CEA" w:rsidP="00C45CEA">
      <w:pPr>
        <w:pStyle w:val="AcronymsList"/>
      </w:pPr>
      <w:proofErr w:type="spellStart"/>
      <w:r>
        <w:t>NATSEM</w:t>
      </w:r>
      <w:proofErr w:type="spellEnd"/>
      <w:r>
        <w:t xml:space="preserve"> </w:t>
      </w:r>
      <w:r>
        <w:tab/>
        <w:t>National Centre for Social and Economic Modelling</w:t>
      </w:r>
    </w:p>
    <w:p w14:paraId="19FD819D" w14:textId="109E69EC" w:rsidR="00F5203A" w:rsidRDefault="00F5203A" w:rsidP="00C45CEA">
      <w:pPr>
        <w:pStyle w:val="AcronymsList"/>
      </w:pPr>
      <w:proofErr w:type="spellStart"/>
      <w:r>
        <w:t>PBLCI</w:t>
      </w:r>
      <w:proofErr w:type="spellEnd"/>
      <w:r>
        <w:tab/>
      </w:r>
      <w:r w:rsidR="00FE7100">
        <w:t>Pensioner and benefici</w:t>
      </w:r>
      <w:r w:rsidR="001D27AA">
        <w:t>ary L</w:t>
      </w:r>
      <w:r w:rsidR="00630379">
        <w:t>iving Cost Index</w:t>
      </w:r>
    </w:p>
    <w:p w14:paraId="180ECE38" w14:textId="77F8AC78" w:rsidR="00C45CEA" w:rsidRDefault="00C45CEA" w:rsidP="00C45CEA">
      <w:pPr>
        <w:pStyle w:val="AcronymsList"/>
      </w:pPr>
      <w:proofErr w:type="spellStart"/>
      <w:r>
        <w:t>SACOSS</w:t>
      </w:r>
      <w:proofErr w:type="spellEnd"/>
      <w:r>
        <w:tab/>
        <w:t>South Australian Council of Social Service</w:t>
      </w:r>
    </w:p>
    <w:p w14:paraId="4B0B14EE" w14:textId="0B09F1F2" w:rsidR="00AB255D" w:rsidRPr="00CA7855" w:rsidRDefault="00C45CEA" w:rsidP="00776BAC">
      <w:pPr>
        <w:pStyle w:val="AcronymsList"/>
      </w:pPr>
      <w:proofErr w:type="spellStart"/>
      <w:r>
        <w:t>SLCI</w:t>
      </w:r>
      <w:proofErr w:type="spellEnd"/>
      <w:r>
        <w:tab/>
        <w:t>Selected Living Cost Indexes</w:t>
      </w:r>
    </w:p>
    <w:p w14:paraId="032ECBD3" w14:textId="77777777" w:rsidR="00AB255D" w:rsidRDefault="00F54FAF" w:rsidP="00F54FAF">
      <w:pPr>
        <w:pStyle w:val="Heading1-Pagebreakbefore"/>
      </w:pPr>
      <w:bookmarkStart w:id="1" w:name="_Toc102651008"/>
      <w:r w:rsidRPr="00CA7855">
        <w:lastRenderedPageBreak/>
        <w:t>Introduction</w:t>
      </w:r>
      <w:bookmarkEnd w:id="1"/>
    </w:p>
    <w:p w14:paraId="51AB6672" w14:textId="22662201" w:rsidR="0010063A" w:rsidRDefault="001476DB" w:rsidP="00986CF8">
      <w:pPr>
        <w:pStyle w:val="BodyText"/>
      </w:pPr>
      <w:r w:rsidRPr="001476DB">
        <w:t>The ACT has the highest average weekly earnings in Australia</w:t>
      </w:r>
      <w:r w:rsidR="000D23BE">
        <w:t>,</w:t>
      </w:r>
      <w:r w:rsidR="00F11F56">
        <w:t xml:space="preserve"> but</w:t>
      </w:r>
      <w:r w:rsidRPr="001476DB">
        <w:t xml:space="preserve"> </w:t>
      </w:r>
      <w:r w:rsidR="000D23BE">
        <w:t xml:space="preserve">when we look beyond the </w:t>
      </w:r>
      <w:r w:rsidR="009624D2">
        <w:t>average,</w:t>
      </w:r>
      <w:r w:rsidR="000D23BE">
        <w:t xml:space="preserve"> we </w:t>
      </w:r>
      <w:r w:rsidR="00FA7113">
        <w:t xml:space="preserve">see that </w:t>
      </w:r>
      <w:r w:rsidRPr="001476DB">
        <w:t xml:space="preserve">the cost of living in Canberra means many </w:t>
      </w:r>
      <w:r w:rsidR="00C8038E">
        <w:t xml:space="preserve">households </w:t>
      </w:r>
      <w:r w:rsidRPr="001476DB">
        <w:t xml:space="preserve">cannot afford the fundamentals of a healthy life such as </w:t>
      </w:r>
      <w:r w:rsidR="00976A7E">
        <w:t xml:space="preserve">housing, food, transport, </w:t>
      </w:r>
      <w:r w:rsidRPr="001476DB">
        <w:t>health services, and energy.</w:t>
      </w:r>
      <w:r>
        <w:t xml:space="preserve"> </w:t>
      </w:r>
      <w:r w:rsidR="00750D84">
        <w:t xml:space="preserve">Since March 2020, the COVID-19 pandemic has </w:t>
      </w:r>
      <w:r w:rsidR="008D336B">
        <w:t xml:space="preserve">had a significant impact on low-income households in the ACT. </w:t>
      </w:r>
      <w:r w:rsidR="00B23632" w:rsidRPr="00B23632">
        <w:t>Employment, incomes, and the prices of essential goods and services have fluctuated over the course of the pandemic.</w:t>
      </w:r>
      <w:r w:rsidR="00B23632">
        <w:t xml:space="preserve"> </w:t>
      </w:r>
      <w:r w:rsidR="00B23632" w:rsidRPr="00B23632">
        <w:t>More recently, the war in Ukraine has had a significant impact on the global economy, especially in relation to fuel prices.</w:t>
      </w:r>
      <w:r w:rsidR="00BA332E">
        <w:t xml:space="preserve"> </w:t>
      </w:r>
      <w:r w:rsidR="00A30E23">
        <w:t xml:space="preserve">In March 2022 we </w:t>
      </w:r>
      <w:r w:rsidR="0029213F">
        <w:t>saw</w:t>
      </w:r>
      <w:r w:rsidR="00594E42">
        <w:t xml:space="preserve"> </w:t>
      </w:r>
      <w:r w:rsidR="00A30E23">
        <w:t xml:space="preserve">the </w:t>
      </w:r>
      <w:r w:rsidR="00141D80">
        <w:t xml:space="preserve">largest quarterly and annual </w:t>
      </w:r>
      <w:r w:rsidR="0029213F">
        <w:t>increases</w:t>
      </w:r>
      <w:r w:rsidR="00141D80">
        <w:t xml:space="preserve"> in the Consumer Price Index since the introduction of the </w:t>
      </w:r>
      <w:r w:rsidR="00160692">
        <w:t>goods and services tax (GST)</w:t>
      </w:r>
      <w:r w:rsidR="00A835BC">
        <w:t xml:space="preserve"> on 1 July 2000</w:t>
      </w:r>
      <w:r w:rsidR="00160692">
        <w:t>.</w:t>
      </w:r>
      <w:r w:rsidR="00633E1B">
        <w:rPr>
          <w:rStyle w:val="FootnoteReference"/>
        </w:rPr>
        <w:footnoteReference w:id="2"/>
      </w:r>
      <w:r w:rsidR="00365BDE">
        <w:t xml:space="preserve"> The Reserve Bank</w:t>
      </w:r>
      <w:r w:rsidR="006865D3">
        <w:t xml:space="preserve"> of Australia expects inflation to rise even further in 2022.</w:t>
      </w:r>
      <w:r w:rsidR="0040634F">
        <w:rPr>
          <w:rStyle w:val="FootnoteReference"/>
        </w:rPr>
        <w:footnoteReference w:id="3"/>
      </w:r>
    </w:p>
    <w:p w14:paraId="118E98FB" w14:textId="3725BD18" w:rsidR="005017D9" w:rsidRDefault="00192F1D" w:rsidP="00986CF8">
      <w:pPr>
        <w:pStyle w:val="BodyText"/>
      </w:pPr>
      <w:r>
        <w:t>Over</w:t>
      </w:r>
      <w:r w:rsidR="00315030">
        <w:t xml:space="preserve"> the course of the COVID-19 pandemic </w:t>
      </w:r>
      <w:r w:rsidR="006A4167">
        <w:t xml:space="preserve">we </w:t>
      </w:r>
      <w:r w:rsidR="00540178">
        <w:t>saw</w:t>
      </w:r>
      <w:r w:rsidR="006A4167">
        <w:t xml:space="preserve"> </w:t>
      </w:r>
      <w:r>
        <w:t xml:space="preserve">poverty and inequality </w:t>
      </w:r>
      <w:r w:rsidR="006A4167">
        <w:t xml:space="preserve">reduce </w:t>
      </w:r>
      <w:r w:rsidR="00E853BD">
        <w:t xml:space="preserve">in a time of recession </w:t>
      </w:r>
      <w:r w:rsidR="006A4167">
        <w:t>and rise</w:t>
      </w:r>
      <w:r w:rsidR="00E853BD">
        <w:t xml:space="preserve"> during the period of </w:t>
      </w:r>
      <w:r w:rsidR="00BE6BDF">
        <w:t xml:space="preserve">economic </w:t>
      </w:r>
      <w:r w:rsidR="00E853BD">
        <w:t>recovery.</w:t>
      </w:r>
      <w:r w:rsidR="00540178">
        <w:rPr>
          <w:rStyle w:val="FootnoteReference"/>
        </w:rPr>
        <w:footnoteReference w:id="4"/>
      </w:r>
      <w:r w:rsidR="001E627D">
        <w:t xml:space="preserve"> </w:t>
      </w:r>
      <w:r w:rsidR="00315030">
        <w:t xml:space="preserve"> </w:t>
      </w:r>
      <w:r w:rsidR="00323E0A">
        <w:t xml:space="preserve">As we </w:t>
      </w:r>
      <w:r w:rsidR="003B6185">
        <w:t>observed</w:t>
      </w:r>
      <w:r w:rsidR="00323E0A">
        <w:t xml:space="preserve"> in our </w:t>
      </w:r>
      <w:r w:rsidR="00323E0A" w:rsidRPr="000E2584">
        <w:rPr>
          <w:i/>
        </w:rPr>
        <w:t xml:space="preserve">2021 </w:t>
      </w:r>
      <w:r w:rsidR="00907A2C" w:rsidRPr="000E2584">
        <w:rPr>
          <w:i/>
        </w:rPr>
        <w:t>ACT Cost of Living Report</w:t>
      </w:r>
      <w:r w:rsidR="00907A2C">
        <w:t>, d</w:t>
      </w:r>
      <w:r w:rsidR="00D07B5E" w:rsidRPr="00D07B5E">
        <w:t xml:space="preserve">espite the deepest recession in a century and </w:t>
      </w:r>
      <w:r w:rsidR="005A6D7A">
        <w:t>record high</w:t>
      </w:r>
      <w:r w:rsidR="00D07B5E" w:rsidRPr="00D07B5E">
        <w:t xml:space="preserve"> unemployment</w:t>
      </w:r>
      <w:r w:rsidR="00CD02B7">
        <w:t>,</w:t>
      </w:r>
      <w:r w:rsidR="007431BF" w:rsidRPr="007431BF">
        <w:t xml:space="preserve"> income inequality and poverty declined during the </w:t>
      </w:r>
      <w:r w:rsidR="00D07B5E">
        <w:t>first</w:t>
      </w:r>
      <w:r w:rsidR="007431BF" w:rsidRPr="007431BF">
        <w:t xml:space="preserve"> wave of the pandemic</w:t>
      </w:r>
      <w:r w:rsidR="00A304B8">
        <w:t xml:space="preserve"> </w:t>
      </w:r>
      <w:r w:rsidR="007431BF" w:rsidRPr="007431BF">
        <w:t xml:space="preserve">due to robust income supports </w:t>
      </w:r>
      <w:r w:rsidR="009A7172">
        <w:t xml:space="preserve">in the form of the </w:t>
      </w:r>
      <w:proofErr w:type="spellStart"/>
      <w:r w:rsidR="007431BF" w:rsidRPr="007431BF">
        <w:t>JobKeeper</w:t>
      </w:r>
      <w:proofErr w:type="spellEnd"/>
      <w:r w:rsidR="007431BF" w:rsidRPr="007431BF">
        <w:t xml:space="preserve"> Payment and </w:t>
      </w:r>
      <w:r w:rsidR="009A7172">
        <w:t xml:space="preserve">the </w:t>
      </w:r>
      <w:r w:rsidR="007431BF" w:rsidRPr="007431BF">
        <w:t>Coronavirus Supplement.</w:t>
      </w:r>
      <w:r w:rsidR="005017D9">
        <w:rPr>
          <w:rStyle w:val="FootnoteReference"/>
        </w:rPr>
        <w:footnoteReference w:id="5"/>
      </w:r>
      <w:r w:rsidR="00E36690">
        <w:t xml:space="preserve"> </w:t>
      </w:r>
    </w:p>
    <w:p w14:paraId="71C73F27" w14:textId="1FC533A3" w:rsidR="00FB7C18" w:rsidRDefault="00E36690" w:rsidP="00986CF8">
      <w:pPr>
        <w:pStyle w:val="BodyText"/>
      </w:pPr>
      <w:r>
        <w:t xml:space="preserve">In the ACT this </w:t>
      </w:r>
      <w:r w:rsidR="008C0092">
        <w:t xml:space="preserve">meant that while the number of people receiving </w:t>
      </w:r>
      <w:proofErr w:type="spellStart"/>
      <w:r w:rsidR="008C0092">
        <w:t>JobSeeker</w:t>
      </w:r>
      <w:proofErr w:type="spellEnd"/>
      <w:r w:rsidR="008C0092">
        <w:t xml:space="preserve"> and Youth Allowance (other) </w:t>
      </w:r>
      <w:r w:rsidR="00D14968">
        <w:t>more than doubled</w:t>
      </w:r>
      <w:r w:rsidR="00422328">
        <w:t>,</w:t>
      </w:r>
      <w:r w:rsidR="00D14968">
        <w:t xml:space="preserve"> ou</w:t>
      </w:r>
      <w:r w:rsidR="00422328">
        <w:t>r</w:t>
      </w:r>
      <w:r w:rsidR="00D14968">
        <w:t xml:space="preserve"> poverty rate </w:t>
      </w:r>
      <w:r w:rsidR="009E4374">
        <w:t xml:space="preserve">dropped from a pre-COVID estimate of 8.6% to 5.2% </w:t>
      </w:r>
      <w:r w:rsidR="00FC4384">
        <w:t>by</w:t>
      </w:r>
      <w:r w:rsidR="009E4374">
        <w:t xml:space="preserve"> October 2020.</w:t>
      </w:r>
      <w:r w:rsidR="00F26C43">
        <w:t xml:space="preserve"> </w:t>
      </w:r>
      <w:r w:rsidR="003B6185">
        <w:t>The</w:t>
      </w:r>
      <w:r w:rsidR="00D45FA1">
        <w:t xml:space="preserve"> withdrawal of </w:t>
      </w:r>
      <w:proofErr w:type="spellStart"/>
      <w:r w:rsidR="00D45FA1">
        <w:t>JobKeeper</w:t>
      </w:r>
      <w:proofErr w:type="spellEnd"/>
      <w:r w:rsidR="00D45FA1">
        <w:t xml:space="preserve"> and the Coronavirus Supplement </w:t>
      </w:r>
      <w:r w:rsidR="005C7F16">
        <w:t>saw</w:t>
      </w:r>
      <w:r w:rsidR="00F26C43" w:rsidRPr="00F26C43">
        <w:t xml:space="preserve"> the poverty rate in the ACT </w:t>
      </w:r>
      <w:r w:rsidR="005C7F16">
        <w:t>increase</w:t>
      </w:r>
      <w:r w:rsidR="00F26C43" w:rsidRPr="00F26C43">
        <w:t xml:space="preserve"> to approximately 9.0%, representing an estimated 38,300 Canberrans</w:t>
      </w:r>
      <w:r w:rsidR="00441F5A">
        <w:t xml:space="preserve"> – including approximately </w:t>
      </w:r>
      <w:r w:rsidR="005017D9">
        <w:t>9,000 children.</w:t>
      </w:r>
      <w:r w:rsidR="00412978">
        <w:rPr>
          <w:rStyle w:val="FootnoteReference"/>
        </w:rPr>
        <w:footnoteReference w:id="6"/>
      </w:r>
    </w:p>
    <w:p w14:paraId="21816109" w14:textId="0C29D72A" w:rsidR="00215774" w:rsidRDefault="000523F0" w:rsidP="00215774">
      <w:pPr>
        <w:pStyle w:val="BodyText"/>
      </w:pPr>
      <w:r>
        <w:t xml:space="preserve">This report tracks changes in </w:t>
      </w:r>
      <w:r w:rsidR="002A5E5A">
        <w:t xml:space="preserve">income and </w:t>
      </w:r>
      <w:r>
        <w:t>the cost of living for low-income households in the ACT from December 202</w:t>
      </w:r>
      <w:r w:rsidR="002A5E5A">
        <w:t xml:space="preserve">0 to December 2021. </w:t>
      </w:r>
      <w:r w:rsidR="00F26498">
        <w:t>During this period t</w:t>
      </w:r>
      <w:r w:rsidR="00893623">
        <w:t>he Coronavirus Supplement</w:t>
      </w:r>
      <w:r w:rsidR="00F0123A">
        <w:t xml:space="preserve"> was phased </w:t>
      </w:r>
      <w:r w:rsidR="007D08EF">
        <w:t xml:space="preserve">out </w:t>
      </w:r>
      <w:r w:rsidR="009F0E7E">
        <w:t>and despite</w:t>
      </w:r>
      <w:r w:rsidR="00F0123A">
        <w:t xml:space="preserve"> a</w:t>
      </w:r>
      <w:r w:rsidR="00D17475">
        <w:t xml:space="preserve"> permanent increase to </w:t>
      </w:r>
      <w:proofErr w:type="spellStart"/>
      <w:r w:rsidR="00D17475">
        <w:t>JobSeeker</w:t>
      </w:r>
      <w:proofErr w:type="spellEnd"/>
      <w:r w:rsidR="00D17475">
        <w:t xml:space="preserve"> of $50 per fortnight from </w:t>
      </w:r>
      <w:r w:rsidR="009F0E7E">
        <w:t>1 April 2021</w:t>
      </w:r>
      <w:r w:rsidR="00D17475">
        <w:t xml:space="preserve">, </w:t>
      </w:r>
      <w:r w:rsidR="00F170E8">
        <w:t xml:space="preserve">the payment </w:t>
      </w:r>
      <w:r w:rsidR="00215774">
        <w:t>returned to well below the poverty line</w:t>
      </w:r>
      <w:r w:rsidR="00DF36CC">
        <w:t>.</w:t>
      </w:r>
      <w:r w:rsidR="00F1311F">
        <w:rPr>
          <w:rStyle w:val="FootnoteReference"/>
        </w:rPr>
        <w:footnoteReference w:id="7"/>
      </w:r>
      <w:r w:rsidR="00893623">
        <w:t xml:space="preserve"> </w:t>
      </w:r>
      <w:r w:rsidR="00215774">
        <w:t>By December 2021, a single person with</w:t>
      </w:r>
      <w:r w:rsidR="00277480">
        <w:t>out</w:t>
      </w:r>
      <w:r w:rsidR="00215774">
        <w:t xml:space="preserve"> children on </w:t>
      </w:r>
      <w:proofErr w:type="spellStart"/>
      <w:r w:rsidR="00215774">
        <w:t>JobSeeker</w:t>
      </w:r>
      <w:proofErr w:type="spellEnd"/>
      <w:r w:rsidR="00215774">
        <w:t xml:space="preserve"> </w:t>
      </w:r>
      <w:r w:rsidR="00B514A1">
        <w:t>had an income that was</w:t>
      </w:r>
      <w:r w:rsidR="00215774">
        <w:t xml:space="preserve"> $138 </w:t>
      </w:r>
      <w:r w:rsidR="00B514A1">
        <w:t>below the poverty line of $457 per week</w:t>
      </w:r>
      <w:r w:rsidR="00374E63">
        <w:t xml:space="preserve"> – for a single person on Youth Allowance (other) their </w:t>
      </w:r>
      <w:r w:rsidR="00374E63">
        <w:lastRenderedPageBreak/>
        <w:t>income dropped to</w:t>
      </w:r>
      <w:r w:rsidR="00215774">
        <w:t xml:space="preserve"> $197 below the poverty line per week. For a single parent </w:t>
      </w:r>
      <w:r w:rsidR="00784724">
        <w:t>with two children</w:t>
      </w:r>
      <w:r w:rsidR="00267E82">
        <w:t xml:space="preserve">, the </w:t>
      </w:r>
      <w:proofErr w:type="spellStart"/>
      <w:r w:rsidR="00267E82">
        <w:t>JobSeeker</w:t>
      </w:r>
      <w:proofErr w:type="spellEnd"/>
      <w:r w:rsidR="00267E82">
        <w:t xml:space="preserve"> </w:t>
      </w:r>
      <w:r w:rsidR="00215774">
        <w:t xml:space="preserve">payment dropped to $108 below the poverty line </w:t>
      </w:r>
      <w:r w:rsidR="00F87DF7">
        <w:t xml:space="preserve">of $731 </w:t>
      </w:r>
      <w:r w:rsidR="00215774">
        <w:t>per week.</w:t>
      </w:r>
    </w:p>
    <w:p w14:paraId="3A52F954" w14:textId="36B7547C" w:rsidR="00A57A78" w:rsidRDefault="00267E82" w:rsidP="00986CF8">
      <w:pPr>
        <w:pStyle w:val="BodyText"/>
      </w:pPr>
      <w:r>
        <w:t>Over the same period</w:t>
      </w:r>
      <w:r w:rsidR="00871DCC">
        <w:t>,</w:t>
      </w:r>
      <w:r>
        <w:t xml:space="preserve"> we saw some of the largest increases in the prices of </w:t>
      </w:r>
      <w:r w:rsidR="00565AA1">
        <w:t xml:space="preserve">essential </w:t>
      </w:r>
      <w:r>
        <w:t xml:space="preserve">goods and services </w:t>
      </w:r>
      <w:r w:rsidR="00C82365">
        <w:t xml:space="preserve">in </w:t>
      </w:r>
      <w:r w:rsidR="008370A6">
        <w:t>over</w:t>
      </w:r>
      <w:r w:rsidR="00C82365">
        <w:t xml:space="preserve"> two decades. </w:t>
      </w:r>
      <w:r w:rsidR="00A57A78" w:rsidRPr="00A57A78">
        <w:t>Over the last five years, Canberra has experienced significant increases in prices for</w:t>
      </w:r>
      <w:r w:rsidR="00E36193">
        <w:t xml:space="preserve"> the following essential goods and services</w:t>
      </w:r>
      <w:r w:rsidR="00E64671">
        <w:t>:</w:t>
      </w:r>
    </w:p>
    <w:p w14:paraId="0E40423E" w14:textId="7E56F010" w:rsidR="00A57A78" w:rsidRDefault="00A56F80" w:rsidP="00620E01">
      <w:pPr>
        <w:pStyle w:val="ListBullet"/>
      </w:pPr>
      <w:r w:rsidRPr="00A56F80">
        <w:t>automotive fuel (34.9%)</w:t>
      </w:r>
      <w:r>
        <w:t xml:space="preserve"> and </w:t>
      </w:r>
      <w:r w:rsidR="00A57A78" w:rsidRPr="00A57A78">
        <w:t>transport (19.2%</w:t>
      </w:r>
      <w:r>
        <w:t>)</w:t>
      </w:r>
    </w:p>
    <w:p w14:paraId="6925486C" w14:textId="2B79CA82" w:rsidR="00A56F80" w:rsidRPr="00A56F80" w:rsidRDefault="00A56F80" w:rsidP="00A56F80">
      <w:pPr>
        <w:pStyle w:val="ListBullet"/>
      </w:pPr>
      <w:r w:rsidRPr="00A56F80">
        <w:t>electricity (28.1%)</w:t>
      </w:r>
      <w:r>
        <w:t xml:space="preserve"> and </w:t>
      </w:r>
      <w:r w:rsidRPr="00A56F80">
        <w:t>gas (24.0%)</w:t>
      </w:r>
    </w:p>
    <w:p w14:paraId="5A40FFBC" w14:textId="258EAD62" w:rsidR="00A56F80" w:rsidRDefault="00A56F80" w:rsidP="00DB17BF">
      <w:pPr>
        <w:pStyle w:val="ListBullet"/>
      </w:pPr>
      <w:r w:rsidRPr="00A56F80">
        <w:t>medical and hospital services (21.4%)</w:t>
      </w:r>
    </w:p>
    <w:p w14:paraId="156D43DB" w14:textId="04E257D4" w:rsidR="00A57A78" w:rsidRDefault="00A57A78" w:rsidP="00620E01">
      <w:pPr>
        <w:pStyle w:val="ListBullet"/>
      </w:pPr>
      <w:r w:rsidRPr="00A57A78">
        <w:t>housing (19.0%)</w:t>
      </w:r>
      <w:r w:rsidR="00A56F80">
        <w:t xml:space="preserve"> and </w:t>
      </w:r>
      <w:r w:rsidR="00A56F80" w:rsidRPr="00A56F80">
        <w:t>rents (13.1%)</w:t>
      </w:r>
    </w:p>
    <w:p w14:paraId="2FDC3E71" w14:textId="5D7CAAFC" w:rsidR="00620E01" w:rsidRDefault="00A57A78" w:rsidP="00620E01">
      <w:pPr>
        <w:pStyle w:val="ListBullet"/>
        <w:rPr>
          <w:rFonts w:eastAsia="Arial" w:cs="Arial"/>
          <w:szCs w:val="24"/>
        </w:rPr>
      </w:pPr>
      <w:r>
        <w:t>education (17.0%</w:t>
      </w:r>
      <w:r w:rsidR="00A56F80">
        <w:t>)</w:t>
      </w:r>
      <w:r>
        <w:t xml:space="preserve"> </w:t>
      </w:r>
    </w:p>
    <w:p w14:paraId="69EDA3A2" w14:textId="6CDB0E2E" w:rsidR="00620E01" w:rsidRDefault="00A57A78" w:rsidP="00F471E0">
      <w:pPr>
        <w:pStyle w:val="ListBullet"/>
      </w:pPr>
      <w:r w:rsidRPr="00A57A78">
        <w:t>meat and seafoods (15.8%)</w:t>
      </w:r>
      <w:r w:rsidR="00B00054">
        <w:t>.</w:t>
      </w:r>
    </w:p>
    <w:p w14:paraId="729EA7EB" w14:textId="745475DE" w:rsidR="004228EE" w:rsidRDefault="00EF2D04" w:rsidP="00DD4085">
      <w:pPr>
        <w:pStyle w:val="BodyText"/>
      </w:pPr>
      <w:r>
        <w:t>Such significant</w:t>
      </w:r>
      <w:r w:rsidR="004228EE">
        <w:t xml:space="preserve"> increases in the cost of essential goods and services hits </w:t>
      </w:r>
      <w:r w:rsidR="00DD4085">
        <w:t>low-income households hardest.</w:t>
      </w:r>
      <w:r w:rsidR="003D1453">
        <w:t xml:space="preserve"> </w:t>
      </w:r>
      <w:r>
        <w:t>Over the past 12 months, t</w:t>
      </w:r>
      <w:r w:rsidR="003D1453">
        <w:t xml:space="preserve">his impact </w:t>
      </w:r>
      <w:r w:rsidR="008D3666">
        <w:t>has be</w:t>
      </w:r>
      <w:r w:rsidR="00CB5DC0">
        <w:t xml:space="preserve">en </w:t>
      </w:r>
      <w:r w:rsidR="003D1453">
        <w:t xml:space="preserve">even greater </w:t>
      </w:r>
      <w:r w:rsidR="00CB5DC0">
        <w:t>as</w:t>
      </w:r>
      <w:r w:rsidR="003D1453">
        <w:t xml:space="preserve"> many households saw </w:t>
      </w:r>
      <w:r w:rsidR="00DA7F7C">
        <w:t xml:space="preserve">their income drop to well below the poverty line with the </w:t>
      </w:r>
      <w:r w:rsidR="00F57C28">
        <w:t>phasing out</w:t>
      </w:r>
      <w:r w:rsidR="00DA7F7C">
        <w:t xml:space="preserve"> of </w:t>
      </w:r>
      <w:r w:rsidR="00222D30">
        <w:t>the</w:t>
      </w:r>
      <w:r w:rsidR="00DA7F7C">
        <w:t xml:space="preserve"> temporary COVID-19 </w:t>
      </w:r>
      <w:r w:rsidR="00F57C28">
        <w:t xml:space="preserve">Supplement and Disaster </w:t>
      </w:r>
      <w:r w:rsidR="00DA7F7C">
        <w:t xml:space="preserve">payments. </w:t>
      </w:r>
    </w:p>
    <w:p w14:paraId="78EEC178" w14:textId="1EDB8A2E" w:rsidR="00DE4E1F" w:rsidRDefault="004C5F06" w:rsidP="00DD4085">
      <w:pPr>
        <w:pStyle w:val="BodyText"/>
      </w:pPr>
      <w:r>
        <w:t>ACT community service providers observed t</w:t>
      </w:r>
      <w:r w:rsidR="00DE4E1F">
        <w:t xml:space="preserve">he impacts of </w:t>
      </w:r>
      <w:r w:rsidR="002D5843">
        <w:t xml:space="preserve">rising </w:t>
      </w:r>
      <w:r w:rsidR="000B1AFD">
        <w:t xml:space="preserve">living </w:t>
      </w:r>
      <w:r w:rsidR="002D5843">
        <w:t>costs and declining income</w:t>
      </w:r>
      <w:r w:rsidR="000B1AFD">
        <w:t xml:space="preserve"> support</w:t>
      </w:r>
      <w:r w:rsidR="00C55B3C">
        <w:t xml:space="preserve"> </w:t>
      </w:r>
      <w:r w:rsidR="00FA611B">
        <w:t>all too clearly</w:t>
      </w:r>
      <w:r w:rsidR="00AE6C2A">
        <w:t xml:space="preserve"> over the past year</w:t>
      </w:r>
      <w:r w:rsidR="00FA611B">
        <w:t xml:space="preserve">. </w:t>
      </w:r>
      <w:r w:rsidR="004472F6">
        <w:t>The</w:t>
      </w:r>
      <w:r w:rsidR="00A468BE">
        <w:t xml:space="preserve"> 2021 Australian Community Sector Survey</w:t>
      </w:r>
      <w:r w:rsidR="004472F6">
        <w:t xml:space="preserve"> found that </w:t>
      </w:r>
      <w:r w:rsidR="00A468BE">
        <w:t>o</w:t>
      </w:r>
      <w:r w:rsidR="00A468BE" w:rsidRPr="00A468BE">
        <w:t>ver two thirds (67%) of ACT community sector staff, including CEOs and managers, reported that levels of poverty and disadvantage have increased among the groups they support.</w:t>
      </w:r>
      <w:r w:rsidR="00273BEC">
        <w:rPr>
          <w:rStyle w:val="FootnoteReference"/>
        </w:rPr>
        <w:footnoteReference w:id="8"/>
      </w:r>
      <w:r w:rsidR="00A468BE" w:rsidRPr="00A468BE">
        <w:t xml:space="preserve"> </w:t>
      </w:r>
      <w:r w:rsidR="005432B7" w:rsidRPr="005432B7">
        <w:t xml:space="preserve">Almost four in five ACT </w:t>
      </w:r>
      <w:r w:rsidR="008C3AA8">
        <w:t>respondents</w:t>
      </w:r>
      <w:r w:rsidR="005432B7" w:rsidRPr="005432B7">
        <w:t xml:space="preserve"> (78%) reported that levels of demand for their main service increased.</w:t>
      </w:r>
      <w:r w:rsidR="005432B7">
        <w:t xml:space="preserve"> </w:t>
      </w:r>
      <w:r w:rsidR="008C3AA8">
        <w:t xml:space="preserve">The </w:t>
      </w:r>
      <w:r w:rsidR="00004C9B">
        <w:t xml:space="preserve">ACT community sector </w:t>
      </w:r>
      <w:r w:rsidR="00D45898">
        <w:t>reported</w:t>
      </w:r>
      <w:r w:rsidR="00F66FC1">
        <w:t xml:space="preserve"> that</w:t>
      </w:r>
      <w:r w:rsidR="00BA1F3C" w:rsidRPr="00BA1F3C">
        <w:t xml:space="preserve"> housing affordability and homelessness (76%), cost of living pressures (65%), and a lack of COVID-19 financial support and inadequate Centrelink payments (42%)</w:t>
      </w:r>
      <w:r w:rsidR="00ED1346">
        <w:t xml:space="preserve"> were among some of the </w:t>
      </w:r>
      <w:r w:rsidR="00ED1346" w:rsidRPr="00ED1346">
        <w:t>main challenges affecting the people and communities they support</w:t>
      </w:r>
      <w:r w:rsidR="00ED1346">
        <w:t xml:space="preserve">. </w:t>
      </w:r>
    </w:p>
    <w:p w14:paraId="2C180D12" w14:textId="6AA8C471" w:rsidR="004C44B7" w:rsidRDefault="004C44B7" w:rsidP="00DD4085">
      <w:pPr>
        <w:pStyle w:val="BodyText"/>
      </w:pPr>
      <w:r>
        <w:t xml:space="preserve">This report highlights the key </w:t>
      </w:r>
      <w:r w:rsidR="000C639A">
        <w:t>areas where the cost of living for low-income households increased over the past 12 months and five years</w:t>
      </w:r>
      <w:r w:rsidR="003B0972">
        <w:t xml:space="preserve">. It </w:t>
      </w:r>
      <w:r w:rsidR="000B1E5F">
        <w:t>examines how changes in these costs have tracked with changes in income</w:t>
      </w:r>
      <w:r w:rsidR="00317B31">
        <w:t xml:space="preserve"> over the past year. </w:t>
      </w:r>
      <w:r w:rsidR="00E6553D">
        <w:t>In doing so, this report</w:t>
      </w:r>
      <w:r w:rsidR="00811FEE">
        <w:t xml:space="preserve"> aims to identify </w:t>
      </w:r>
      <w:r w:rsidR="00D16934">
        <w:t xml:space="preserve">key areas where </w:t>
      </w:r>
      <w:r w:rsidR="0032414E">
        <w:t xml:space="preserve">greater and more </w:t>
      </w:r>
      <w:r w:rsidR="00D16934">
        <w:t xml:space="preserve">targeted support </w:t>
      </w:r>
      <w:r w:rsidR="0032414E">
        <w:t xml:space="preserve">is needed </w:t>
      </w:r>
      <w:r w:rsidR="006E4360">
        <w:t xml:space="preserve">from both the ACT and </w:t>
      </w:r>
      <w:r w:rsidR="009E2303">
        <w:t>f</w:t>
      </w:r>
      <w:r w:rsidR="006E4360">
        <w:t xml:space="preserve">ederal governments </w:t>
      </w:r>
      <w:r w:rsidR="00447774">
        <w:t xml:space="preserve">to </w:t>
      </w:r>
      <w:r w:rsidR="000A73A5">
        <w:t xml:space="preserve">reduce poverty and inequality in our community, and to ease the </w:t>
      </w:r>
      <w:proofErr w:type="gramStart"/>
      <w:r w:rsidR="006A4467">
        <w:t>cost</w:t>
      </w:r>
      <w:r w:rsidR="002E7EBC">
        <w:t xml:space="preserve"> </w:t>
      </w:r>
      <w:r w:rsidR="006A4467">
        <w:t>of</w:t>
      </w:r>
      <w:r w:rsidR="002E7EBC">
        <w:t xml:space="preserve"> </w:t>
      </w:r>
      <w:r w:rsidR="006A4467">
        <w:t>living</w:t>
      </w:r>
      <w:proofErr w:type="gramEnd"/>
      <w:r w:rsidR="000A73A5">
        <w:t xml:space="preserve"> </w:t>
      </w:r>
      <w:r w:rsidR="00630289">
        <w:t>pressures experienced by low-income households</w:t>
      </w:r>
      <w:r w:rsidR="0032408B">
        <w:t>.</w:t>
      </w:r>
    </w:p>
    <w:p w14:paraId="1C9F9828" w14:textId="77777777" w:rsidR="00724559" w:rsidRDefault="00724559" w:rsidP="00DD4085">
      <w:pPr>
        <w:pStyle w:val="BodyText"/>
      </w:pPr>
    </w:p>
    <w:p w14:paraId="4868A009" w14:textId="69A8BDF5" w:rsidR="002C10D5" w:rsidRDefault="009A7148" w:rsidP="00565AA1">
      <w:pPr>
        <w:pStyle w:val="Heading1-Pagebreakbefore"/>
      </w:pPr>
      <w:bookmarkStart w:id="2" w:name="_Toc102651009"/>
      <w:r>
        <w:lastRenderedPageBreak/>
        <w:t>R</w:t>
      </w:r>
      <w:r w:rsidR="002C10D5">
        <w:t>ecommendations</w:t>
      </w:r>
      <w:bookmarkEnd w:id="2"/>
    </w:p>
    <w:p w14:paraId="68164476" w14:textId="5C3B1A86" w:rsidR="00834174" w:rsidRDefault="00093D8B" w:rsidP="000D7800">
      <w:pPr>
        <w:pStyle w:val="BodyText"/>
      </w:pPr>
      <w:r>
        <w:t xml:space="preserve">The ACT and </w:t>
      </w:r>
      <w:r w:rsidR="00037DE8">
        <w:t>f</w:t>
      </w:r>
      <w:r>
        <w:t xml:space="preserve">ederal governments have a shared responsibility to </w:t>
      </w:r>
      <w:r w:rsidR="00735DB3">
        <w:t xml:space="preserve">reduce poverty and </w:t>
      </w:r>
      <w:r w:rsidR="006A4467">
        <w:t>inequality and</w:t>
      </w:r>
      <w:r w:rsidR="00735DB3">
        <w:t xml:space="preserve"> alleviate cost of living pressures faced by low-income households.</w:t>
      </w:r>
    </w:p>
    <w:p w14:paraId="4D2C0035" w14:textId="40FAD292" w:rsidR="004D14BA" w:rsidRDefault="004D14BA" w:rsidP="004D14BA">
      <w:pPr>
        <w:pStyle w:val="Heading2"/>
      </w:pPr>
      <w:bookmarkStart w:id="3" w:name="_Toc102651010"/>
      <w:r>
        <w:t>Recommendations to ACT Government</w:t>
      </w:r>
      <w:bookmarkEnd w:id="3"/>
    </w:p>
    <w:p w14:paraId="791271A7" w14:textId="30B59781" w:rsidR="00735DB3" w:rsidRDefault="00735DB3" w:rsidP="000D7800">
      <w:pPr>
        <w:pStyle w:val="BodyText"/>
      </w:pPr>
      <w:r>
        <w:t>In the lead up to the 2022-23 ACT Budget, ACTCOSS is calling on the ACT Government to</w:t>
      </w:r>
      <w:r w:rsidR="00F476E0">
        <w:t xml:space="preserve"> take action</w:t>
      </w:r>
      <w:r w:rsidR="00607F26">
        <w:t xml:space="preserve"> across a range of </w:t>
      </w:r>
      <w:proofErr w:type="gramStart"/>
      <w:r w:rsidR="006A4467">
        <w:t>cost</w:t>
      </w:r>
      <w:r w:rsidR="002E7EBC">
        <w:t xml:space="preserve"> </w:t>
      </w:r>
      <w:r w:rsidR="006A4467">
        <w:t>of</w:t>
      </w:r>
      <w:r w:rsidR="002E7EBC">
        <w:t xml:space="preserve"> </w:t>
      </w:r>
      <w:r w:rsidR="006A4467">
        <w:t>living</w:t>
      </w:r>
      <w:proofErr w:type="gramEnd"/>
      <w:r w:rsidR="00607F26">
        <w:t xml:space="preserve"> issues, including</w:t>
      </w:r>
      <w:r>
        <w:t>:</w:t>
      </w:r>
    </w:p>
    <w:p w14:paraId="7A093291" w14:textId="34BBC2C4" w:rsidR="00607F26" w:rsidRDefault="00607F26" w:rsidP="00607F26">
      <w:pPr>
        <w:pStyle w:val="Heading3"/>
      </w:pPr>
      <w:bookmarkStart w:id="4" w:name="_Toc102651011"/>
      <w:r>
        <w:t>Housing</w:t>
      </w:r>
      <w:bookmarkEnd w:id="4"/>
      <w:r>
        <w:t xml:space="preserve"> </w:t>
      </w:r>
    </w:p>
    <w:p w14:paraId="19EE1681" w14:textId="3D4DE215" w:rsidR="006631BD" w:rsidRDefault="006631BD" w:rsidP="001D57D0">
      <w:pPr>
        <w:pStyle w:val="ListBullet"/>
      </w:pPr>
      <w:r>
        <w:t xml:space="preserve">Increase investment in social </w:t>
      </w:r>
      <w:r w:rsidR="00721758">
        <w:t xml:space="preserve">and affordable </w:t>
      </w:r>
      <w:r>
        <w:t xml:space="preserve">housing </w:t>
      </w:r>
      <w:r w:rsidR="00721758">
        <w:t>to address the current and projected shortfall</w:t>
      </w:r>
      <w:r w:rsidR="00C3242B">
        <w:t xml:space="preserve"> (in partnership with the </w:t>
      </w:r>
      <w:r w:rsidR="00827D5A">
        <w:t xml:space="preserve">Australian </w:t>
      </w:r>
      <w:r w:rsidR="00C3242B">
        <w:t>Government)</w:t>
      </w:r>
    </w:p>
    <w:p w14:paraId="59960EF6" w14:textId="4A9DBB19" w:rsidR="00607F26" w:rsidRPr="00485C5C" w:rsidRDefault="00AC1E6F" w:rsidP="00906C46">
      <w:pPr>
        <w:pStyle w:val="Heading3"/>
      </w:pPr>
      <w:bookmarkStart w:id="5" w:name="_Toc102651012"/>
      <w:r>
        <w:t>Concessions</w:t>
      </w:r>
      <w:r w:rsidR="00C11E53">
        <w:t xml:space="preserve">, fines, </w:t>
      </w:r>
      <w:proofErr w:type="gramStart"/>
      <w:r w:rsidR="00C11E53">
        <w:t>fees</w:t>
      </w:r>
      <w:proofErr w:type="gramEnd"/>
      <w:r w:rsidR="00C11E53">
        <w:t xml:space="preserve"> and charges</w:t>
      </w:r>
      <w:bookmarkEnd w:id="5"/>
    </w:p>
    <w:p w14:paraId="48FAF854" w14:textId="621DD3FF" w:rsidR="001D57D0" w:rsidRDefault="001D57D0" w:rsidP="001D57D0">
      <w:pPr>
        <w:pStyle w:val="ListBullet"/>
      </w:pPr>
      <w:r w:rsidRPr="001D57D0">
        <w:t xml:space="preserve">Ensure concessions are adequate and targeted to need based on the </w:t>
      </w:r>
      <w:r w:rsidR="00D356EE">
        <w:t>ACT Government’s commitment to</w:t>
      </w:r>
      <w:r w:rsidRPr="001D57D0">
        <w:t xml:space="preserve"> review and update the Targeted Assistance Strategy</w:t>
      </w:r>
    </w:p>
    <w:p w14:paraId="5FC72268" w14:textId="7E85353C" w:rsidR="009D0208" w:rsidRDefault="009D0208" w:rsidP="00906C46">
      <w:pPr>
        <w:pStyle w:val="ListBullet"/>
      </w:pPr>
      <w:r w:rsidRPr="009D0208">
        <w:t xml:space="preserve">Introduce an income-based approach to ACT Government fines, </w:t>
      </w:r>
      <w:proofErr w:type="gramStart"/>
      <w:r w:rsidRPr="009D0208">
        <w:t>fees</w:t>
      </w:r>
      <w:proofErr w:type="gramEnd"/>
      <w:r w:rsidRPr="009D0208">
        <w:t xml:space="preserve"> and other charges</w:t>
      </w:r>
    </w:p>
    <w:p w14:paraId="564A3889" w14:textId="74D963ED" w:rsidR="00485C5C" w:rsidRDefault="00906C46" w:rsidP="00906C46">
      <w:pPr>
        <w:pStyle w:val="Heading3"/>
      </w:pPr>
      <w:bookmarkStart w:id="6" w:name="_Toc102651013"/>
      <w:r>
        <w:t>Transport</w:t>
      </w:r>
      <w:bookmarkEnd w:id="6"/>
    </w:p>
    <w:p w14:paraId="6A39BEC3" w14:textId="13D7296F" w:rsidR="009D0208" w:rsidRDefault="009D0208" w:rsidP="00906C46">
      <w:pPr>
        <w:pStyle w:val="ListBullet"/>
      </w:pPr>
      <w:r w:rsidRPr="009D0208">
        <w:t xml:space="preserve">Trial free public transport and analyse its costs, </w:t>
      </w:r>
      <w:proofErr w:type="gramStart"/>
      <w:r w:rsidRPr="009D0208">
        <w:t>benefits</w:t>
      </w:r>
      <w:proofErr w:type="gramEnd"/>
      <w:r w:rsidRPr="009D0208">
        <w:t xml:space="preserve"> and distributional impact</w:t>
      </w:r>
    </w:p>
    <w:p w14:paraId="24604BF7" w14:textId="47B7DD1A" w:rsidR="00C71475" w:rsidRDefault="00C71475" w:rsidP="00906C46">
      <w:pPr>
        <w:pStyle w:val="ListBullet"/>
      </w:pPr>
      <w:r>
        <w:t>Align</w:t>
      </w:r>
      <w:r w:rsidRPr="00C71475">
        <w:t xml:space="preserve"> the discount on license fees for Health Care Card holders (currently 50% of costs) with Pension Card Holders (100%).</w:t>
      </w:r>
    </w:p>
    <w:p w14:paraId="26E3A924" w14:textId="31A8ED9F" w:rsidR="001577F6" w:rsidRDefault="001577F6" w:rsidP="00906C46">
      <w:pPr>
        <w:pStyle w:val="ListBullet"/>
      </w:pPr>
      <w:r w:rsidRPr="001577F6">
        <w:t xml:space="preserve">Provide </w:t>
      </w:r>
      <w:r w:rsidR="00E838B3">
        <w:t xml:space="preserve">targeted </w:t>
      </w:r>
      <w:r w:rsidRPr="001577F6">
        <w:t>support to low-income households to purchase a zero emissions vehicle and/or access charging infrastructure (privately or publicly)</w:t>
      </w:r>
    </w:p>
    <w:p w14:paraId="063A4936" w14:textId="52DB81BE" w:rsidR="00402C4B" w:rsidRDefault="00402C4B" w:rsidP="00402C4B">
      <w:pPr>
        <w:pStyle w:val="Heading3"/>
      </w:pPr>
      <w:bookmarkStart w:id="7" w:name="_Toc102651014"/>
      <w:r>
        <w:t>Health</w:t>
      </w:r>
      <w:bookmarkEnd w:id="7"/>
      <w:r>
        <w:t xml:space="preserve"> </w:t>
      </w:r>
    </w:p>
    <w:p w14:paraId="28336CC9" w14:textId="2C925E59" w:rsidR="00907B81" w:rsidRDefault="00907B81" w:rsidP="00402C4B">
      <w:pPr>
        <w:pStyle w:val="ListBullet"/>
      </w:pPr>
      <w:r w:rsidRPr="00907B81">
        <w:t>Invest in integrative health services that prioritise access for people on low incomes, including early intervention and mental health and support for carers</w:t>
      </w:r>
    </w:p>
    <w:p w14:paraId="180C6D7B" w14:textId="0F1C22F4" w:rsidR="00402C4B" w:rsidRDefault="00C11E53" w:rsidP="00102F58">
      <w:pPr>
        <w:pStyle w:val="Heading3"/>
      </w:pPr>
      <w:bookmarkStart w:id="8" w:name="_Toc102651015"/>
      <w:r>
        <w:lastRenderedPageBreak/>
        <w:t>Energy and water</w:t>
      </w:r>
      <w:bookmarkEnd w:id="8"/>
    </w:p>
    <w:p w14:paraId="3010508D" w14:textId="77777777" w:rsidR="004C03D1" w:rsidRPr="004C03D1" w:rsidRDefault="004C03D1" w:rsidP="004C03D1">
      <w:pPr>
        <w:pStyle w:val="ListBullet"/>
      </w:pPr>
      <w:r w:rsidRPr="004C03D1">
        <w:t xml:space="preserve">Ensure the Utilities Concession is adjusted in line with increases in costs of electricity, gas, </w:t>
      </w:r>
      <w:proofErr w:type="gramStart"/>
      <w:r w:rsidRPr="004C03D1">
        <w:t>water</w:t>
      </w:r>
      <w:proofErr w:type="gramEnd"/>
      <w:r w:rsidRPr="004C03D1">
        <w:t xml:space="preserve"> and sewerage services for low-income households</w:t>
      </w:r>
    </w:p>
    <w:p w14:paraId="0F42AE0A" w14:textId="405D54CD" w:rsidR="009D0208" w:rsidRPr="004C03D1" w:rsidRDefault="009D0208" w:rsidP="00217B6D">
      <w:pPr>
        <w:pStyle w:val="ListBullet"/>
      </w:pPr>
      <w:r>
        <w:t xml:space="preserve">Consider </w:t>
      </w:r>
      <w:r w:rsidRPr="009D0208">
        <w:t>expand</w:t>
      </w:r>
      <w:r>
        <w:t>ing</w:t>
      </w:r>
      <w:r w:rsidRPr="009D0208">
        <w:t xml:space="preserve"> the Utilities Hardship Fund to Icon Water to address customer hardship</w:t>
      </w:r>
    </w:p>
    <w:p w14:paraId="33910CA9" w14:textId="775ED159" w:rsidR="00AB330D" w:rsidRDefault="00907B81" w:rsidP="00214DAC">
      <w:pPr>
        <w:pStyle w:val="ListBullet"/>
      </w:pPr>
      <w:r>
        <w:t>P</w:t>
      </w:r>
      <w:r w:rsidR="00AB330D">
        <w:t>rovide</w:t>
      </w:r>
      <w:bookmarkStart w:id="9" w:name="_Hlk102394781"/>
      <w:r w:rsidR="00AB330D">
        <w:t xml:space="preserve"> additional funding under the Home Energy Support Program to </w:t>
      </w:r>
      <w:r w:rsidR="00073DC3">
        <w:t xml:space="preserve">enable low-income (including </w:t>
      </w:r>
      <w:r w:rsidR="008F34FC">
        <w:t>private rental and social housing</w:t>
      </w:r>
      <w:r w:rsidR="00073DC3">
        <w:t xml:space="preserve">) households to </w:t>
      </w:r>
      <w:r w:rsidR="008F28B8">
        <w:t xml:space="preserve">access rooftop solar and energy efficient heating, cooling, </w:t>
      </w:r>
      <w:proofErr w:type="gramStart"/>
      <w:r w:rsidR="008F28B8">
        <w:t>cooking</w:t>
      </w:r>
      <w:proofErr w:type="gramEnd"/>
      <w:r w:rsidR="008F28B8">
        <w:t xml:space="preserve"> and hot water</w:t>
      </w:r>
      <w:r w:rsidR="00360752">
        <w:t>.</w:t>
      </w:r>
      <w:r w:rsidR="00085C8B">
        <w:rPr>
          <w:rStyle w:val="FootnoteReference"/>
        </w:rPr>
        <w:footnoteReference w:id="9"/>
      </w:r>
    </w:p>
    <w:p w14:paraId="352193F7" w14:textId="4A5C566D" w:rsidR="004D14BA" w:rsidRDefault="004D14BA" w:rsidP="004D14BA">
      <w:pPr>
        <w:pStyle w:val="Heading2"/>
      </w:pPr>
      <w:bookmarkStart w:id="10" w:name="_Toc102651016"/>
      <w:bookmarkEnd w:id="9"/>
      <w:r>
        <w:t xml:space="preserve">Recommendations to the </w:t>
      </w:r>
      <w:r w:rsidR="004D3911">
        <w:t>Australian</w:t>
      </w:r>
      <w:r>
        <w:t xml:space="preserve"> Government</w:t>
      </w:r>
      <w:bookmarkEnd w:id="10"/>
    </w:p>
    <w:p w14:paraId="6DD0630E" w14:textId="00479659" w:rsidR="00EB3B68" w:rsidRDefault="00EB3B68" w:rsidP="00EB3B68">
      <w:pPr>
        <w:pStyle w:val="ListBullet"/>
        <w:numPr>
          <w:ilvl w:val="0"/>
          <w:numId w:val="0"/>
        </w:numPr>
      </w:pPr>
      <w:r>
        <w:t xml:space="preserve">In the lead up to the </w:t>
      </w:r>
      <w:r w:rsidR="000D6BF7">
        <w:t xml:space="preserve">2022 </w:t>
      </w:r>
      <w:r>
        <w:t>Federal Election</w:t>
      </w:r>
      <w:r w:rsidR="000D6BF7">
        <w:t xml:space="preserve">, ACTCOSS is calling on the next Australian Government </w:t>
      </w:r>
      <w:r w:rsidR="00CA2B19">
        <w:t>to deliver:</w:t>
      </w:r>
    </w:p>
    <w:p w14:paraId="412C5571" w14:textId="26F141A6" w:rsidR="00214DAC" w:rsidRDefault="00214DAC" w:rsidP="00214DAC">
      <w:pPr>
        <w:pStyle w:val="ListBullet"/>
      </w:pPr>
      <w:r>
        <w:t>A 25,000 dwelling per year social and affordable housing package to reduce homelessness and kick-start housing construction and growth in jobs and incomes</w:t>
      </w:r>
    </w:p>
    <w:p w14:paraId="3337AD62" w14:textId="7A961658" w:rsidR="00214DAC" w:rsidRDefault="00214DAC" w:rsidP="00214DAC">
      <w:pPr>
        <w:pStyle w:val="ListBullet"/>
      </w:pPr>
      <w:r>
        <w:t>A new affordable rental investment incentive scheme</w:t>
      </w:r>
    </w:p>
    <w:p w14:paraId="5F91153F" w14:textId="78F6964F" w:rsidR="00852F1E" w:rsidRDefault="00214DAC" w:rsidP="00214DAC">
      <w:pPr>
        <w:pStyle w:val="ListBullet"/>
      </w:pPr>
      <w:r>
        <w:t>A national First Nations housing strategy to boost the stock of community housing and new remote housing agreement</w:t>
      </w:r>
    </w:p>
    <w:p w14:paraId="4E2A2E3A" w14:textId="357F8AA4" w:rsidR="00852F1E" w:rsidRDefault="00852F1E" w:rsidP="00214DAC">
      <w:pPr>
        <w:pStyle w:val="ListBullet"/>
      </w:pPr>
      <w:r>
        <w:t>Establish a minimum income floor in our income support system by lifting all base rates of payment to at least $70 a day (the same level as the pension and pension supplement) and indexing them to wages as well as prices</w:t>
      </w:r>
    </w:p>
    <w:p w14:paraId="433C49C0" w14:textId="0A54A94E" w:rsidR="00852F1E" w:rsidRDefault="00852F1E" w:rsidP="00214DAC">
      <w:pPr>
        <w:pStyle w:val="ListBullet"/>
      </w:pPr>
      <w:r>
        <w:t>Ensure supplementary payments meet specific needs, including lifting Commonwealth Rent Assistance by 50%, providing a Disability and Illness Supplement of at least $50 a week</w:t>
      </w:r>
      <w:r w:rsidR="009B43BA">
        <w:t>,</w:t>
      </w:r>
      <w:r>
        <w:t xml:space="preserve"> as well as a Single Parent Supplement that recognises the costs of single parenthood</w:t>
      </w:r>
    </w:p>
    <w:p w14:paraId="53D25192" w14:textId="1B83C547" w:rsidR="002C10D5" w:rsidRPr="00986CF8" w:rsidRDefault="00852F1E" w:rsidP="00214DAC">
      <w:pPr>
        <w:pStyle w:val="ListBullet"/>
      </w:pPr>
      <w:r>
        <w:t>Abolish mandatory cashless debit and income management and put in place an independent Social Security Commission to advise the Parliament on income support payment settings ongoing.</w:t>
      </w:r>
      <w:r w:rsidR="00464BD6">
        <w:rPr>
          <w:rStyle w:val="FootnoteReference"/>
        </w:rPr>
        <w:footnoteReference w:id="10"/>
      </w:r>
    </w:p>
    <w:p w14:paraId="2C6EFEAE" w14:textId="77777777" w:rsidR="00B32197" w:rsidRDefault="00B32197">
      <w:pPr>
        <w:rPr>
          <w:rFonts w:cs="Arial"/>
          <w:b/>
          <w:bCs/>
          <w:color w:val="005984"/>
          <w:kern w:val="32"/>
          <w:sz w:val="37"/>
          <w:szCs w:val="32"/>
        </w:rPr>
      </w:pPr>
      <w:r>
        <w:br w:type="page"/>
      </w:r>
    </w:p>
    <w:p w14:paraId="65743630" w14:textId="7452ED85" w:rsidR="00595DC7" w:rsidRDefault="00595DC7" w:rsidP="00AE100C">
      <w:pPr>
        <w:pStyle w:val="Heading1"/>
      </w:pPr>
      <w:bookmarkStart w:id="11" w:name="_Toc102651017"/>
      <w:r>
        <w:lastRenderedPageBreak/>
        <w:t>Tracking changes in the price of key goods and services: Consumer Price Index</w:t>
      </w:r>
      <w:bookmarkEnd w:id="11"/>
    </w:p>
    <w:p w14:paraId="4672E6DE" w14:textId="7F14DEAC" w:rsidR="00FB2A98" w:rsidRDefault="00B61C26" w:rsidP="002C4E3A">
      <w:pPr>
        <w:pStyle w:val="BodyText"/>
      </w:pPr>
      <w:r>
        <w:t xml:space="preserve">Low-income households spend a greater proportion of their income on essential goods and services compared to middle- and high-income households. </w:t>
      </w:r>
      <w:r w:rsidR="00085752">
        <w:t>As a result, c</w:t>
      </w:r>
      <w:r w:rsidR="00C70311">
        <w:t xml:space="preserve">hanges in the </w:t>
      </w:r>
      <w:r w:rsidR="007A6BD6">
        <w:t>prices of essential or non-discretionary goods and services have a disproportionate impact on low-income households.</w:t>
      </w:r>
      <w:r w:rsidR="001C255D">
        <w:t xml:space="preserve"> </w:t>
      </w:r>
      <w:r w:rsidR="002008BD">
        <w:t>In tracking changes in the cost of living it</w:t>
      </w:r>
      <w:r w:rsidR="00136411">
        <w:t xml:space="preserve"> is also important to </w:t>
      </w:r>
      <w:r w:rsidR="00F4078F">
        <w:t xml:space="preserve">consider </w:t>
      </w:r>
      <w:r w:rsidR="002008BD">
        <w:t xml:space="preserve">the proportion of </w:t>
      </w:r>
      <w:r w:rsidR="00FA43B8">
        <w:t xml:space="preserve">household income </w:t>
      </w:r>
      <w:r w:rsidR="008808BB">
        <w:t xml:space="preserve">typically </w:t>
      </w:r>
      <w:r w:rsidR="00FA43B8">
        <w:t>spen</w:t>
      </w:r>
      <w:r w:rsidR="008808BB">
        <w:t>t</w:t>
      </w:r>
      <w:r w:rsidR="00FA43B8">
        <w:t xml:space="preserve"> on different goods and services</w:t>
      </w:r>
      <w:r w:rsidR="00EB20EB">
        <w:t xml:space="preserve"> by low-income households</w:t>
      </w:r>
      <w:r w:rsidR="00642E8B">
        <w:t>.</w:t>
      </w:r>
      <w:r w:rsidR="00642E8B">
        <w:rPr>
          <w:rStyle w:val="FootnoteReference"/>
        </w:rPr>
        <w:footnoteReference w:id="11"/>
      </w:r>
      <w:r w:rsidR="00F4078F">
        <w:t xml:space="preserve"> </w:t>
      </w:r>
      <w:r w:rsidR="00642E8B">
        <w:t>Table 1</w:t>
      </w:r>
      <w:r w:rsidR="001C255D">
        <w:t xml:space="preserve"> below shows </w:t>
      </w:r>
      <w:r w:rsidR="00FB2A98">
        <w:t>how expenditure across different groups of goods and services varies depending on household income.</w:t>
      </w:r>
      <w:r w:rsidR="00D71F43">
        <w:t xml:space="preserve"> This highlights that housing, food, and transport are the top three areas of expenditure</w:t>
      </w:r>
      <w:r w:rsidR="00B744F5">
        <w:t xml:space="preserve">, accounting for over half (55.1%) of expenditure for </w:t>
      </w:r>
      <w:r w:rsidR="00B32746">
        <w:t xml:space="preserve">ACT </w:t>
      </w:r>
      <w:r w:rsidR="00B744F5">
        <w:t>households in the lowest income quintile.</w:t>
      </w:r>
    </w:p>
    <w:p w14:paraId="1DE94058" w14:textId="6CDF48B5" w:rsidR="007A6BD6" w:rsidRDefault="001A29C8" w:rsidP="002C4E3A">
      <w:pPr>
        <w:pStyle w:val="BodyText"/>
      </w:pPr>
      <w:r>
        <w:t xml:space="preserve">Our analysis </w:t>
      </w:r>
      <w:r w:rsidR="00C959FF">
        <w:t>of changes in the cost of living in the ACT</w:t>
      </w:r>
      <w:r>
        <w:t xml:space="preserve"> examines changes in the </w:t>
      </w:r>
      <w:r w:rsidR="00280A4A">
        <w:t xml:space="preserve">Australian Bureau of Statistics’ </w:t>
      </w:r>
      <w:r w:rsidR="00854C6B">
        <w:t xml:space="preserve">(ABS) </w:t>
      </w:r>
      <w:r w:rsidR="00280A4A">
        <w:t xml:space="preserve">Consumer Price Index (CPI) across </w:t>
      </w:r>
      <w:r w:rsidR="002E4C5F">
        <w:t xml:space="preserve">the 11 </w:t>
      </w:r>
      <w:r w:rsidR="00280A4A">
        <w:t xml:space="preserve">categories and </w:t>
      </w:r>
      <w:r w:rsidR="002E4C5F">
        <w:t xml:space="preserve">selected </w:t>
      </w:r>
      <w:r w:rsidR="00280A4A">
        <w:t>sub-categories</w:t>
      </w:r>
      <w:r w:rsidR="001D4161">
        <w:t xml:space="preserve">. This analysis explores changes in the CPI </w:t>
      </w:r>
      <w:r w:rsidR="00526C6D">
        <w:t xml:space="preserve">in Canberra and nationally </w:t>
      </w:r>
      <w:r w:rsidR="001D4161">
        <w:t xml:space="preserve">over the 12 months from December 2020 to December 2021 and over the </w:t>
      </w:r>
      <w:r w:rsidR="001054E1">
        <w:t>five years from December 2016 to December 2021</w:t>
      </w:r>
      <w:r w:rsidR="00CC5A80">
        <w:t xml:space="preserve"> (see Table</w:t>
      </w:r>
      <w:r w:rsidR="00C959FF">
        <w:t xml:space="preserve"> 2</w:t>
      </w:r>
      <w:r w:rsidR="00CC5A80">
        <w:t xml:space="preserve"> and Fig</w:t>
      </w:r>
      <w:r w:rsidR="00C959FF">
        <w:t>ures 1 &amp; 2</w:t>
      </w:r>
      <w:r w:rsidR="00CC5A80">
        <w:t>)</w:t>
      </w:r>
      <w:r w:rsidR="00526C6D">
        <w:t xml:space="preserve">. </w:t>
      </w:r>
      <w:r w:rsidR="002E4C5F">
        <w:t xml:space="preserve">This is aimed at identifying </w:t>
      </w:r>
      <w:r w:rsidR="002E55AE">
        <w:t xml:space="preserve">areas of household expenditure that </w:t>
      </w:r>
      <w:r w:rsidR="005B5486">
        <w:t xml:space="preserve">are likely to have had a significant impact on </w:t>
      </w:r>
      <w:r w:rsidR="00BB5540">
        <w:t xml:space="preserve">low-income households </w:t>
      </w:r>
      <w:r w:rsidR="005B5486">
        <w:t>in the ACT</w:t>
      </w:r>
      <w:r w:rsidR="00DE3432">
        <w:t>. This can then assist in identifying where</w:t>
      </w:r>
      <w:r w:rsidR="00CC5A80">
        <w:t xml:space="preserve"> targeted</w:t>
      </w:r>
      <w:r w:rsidR="00DE3432">
        <w:t xml:space="preserve"> </w:t>
      </w:r>
      <w:r w:rsidR="00615094">
        <w:t>support is needed</w:t>
      </w:r>
      <w:r w:rsidR="00415769">
        <w:t>.</w:t>
      </w:r>
    </w:p>
    <w:p w14:paraId="1D93E970" w14:textId="6E326130" w:rsidR="00480192" w:rsidRDefault="006423DD" w:rsidP="006C1542">
      <w:pPr>
        <w:pStyle w:val="BodyText"/>
      </w:pPr>
      <w:r>
        <w:t xml:space="preserve">Over the year from December 2020 to December 2021, Canberra’s CPI rose </w:t>
      </w:r>
      <w:r w:rsidR="00BB6EB4">
        <w:t>4.0%</w:t>
      </w:r>
      <w:r w:rsidR="00671B53">
        <w:t>, this was</w:t>
      </w:r>
      <w:r w:rsidR="00BB6EB4">
        <w:t xml:space="preserve"> above the national CPI increase of 3.5%. Over the past five years, Canberra’s CPI has also increased at a rate above the national CPI – </w:t>
      </w:r>
      <w:r w:rsidR="003B044C">
        <w:t>12.1</w:t>
      </w:r>
      <w:r w:rsidR="00BB6EB4">
        <w:t xml:space="preserve">% compared to </w:t>
      </w:r>
      <w:r w:rsidR="003B044C">
        <w:t>10.2</w:t>
      </w:r>
      <w:r w:rsidR="00BB6EB4">
        <w:t xml:space="preserve">%. </w:t>
      </w:r>
      <w:r w:rsidR="002D4759">
        <w:t>Between</w:t>
      </w:r>
      <w:r w:rsidR="000C1308">
        <w:t xml:space="preserve"> December 2016 </w:t>
      </w:r>
      <w:r w:rsidR="002D4759">
        <w:t>and</w:t>
      </w:r>
      <w:r w:rsidR="000C1308">
        <w:t xml:space="preserve"> December 2021</w:t>
      </w:r>
      <w:r w:rsidR="005C3009">
        <w:t xml:space="preserve">, </w:t>
      </w:r>
      <w:r w:rsidR="00913CDA">
        <w:t>Canberra has experienced significant increases in</w:t>
      </w:r>
      <w:r w:rsidR="002824AE">
        <w:t xml:space="preserve"> prices for transport (</w:t>
      </w:r>
      <w:r w:rsidR="00BB264D">
        <w:t>19.2%), housing (19.0%), education (17.0%), and health (</w:t>
      </w:r>
      <w:r w:rsidR="00DB1E85">
        <w:t>16.5%)</w:t>
      </w:r>
      <w:r w:rsidR="00531BC8">
        <w:t xml:space="preserve"> which all rose at a rate above the overall CPI.</w:t>
      </w:r>
      <w:r w:rsidR="00C935AA">
        <w:t xml:space="preserve"> Looking in finer detail at the CPI sub-</w:t>
      </w:r>
      <w:r w:rsidR="00377701">
        <w:t>groups</w:t>
      </w:r>
      <w:r w:rsidR="00C935AA">
        <w:t xml:space="preserve"> reveals</w:t>
      </w:r>
      <w:r w:rsidR="000F2A0D">
        <w:t xml:space="preserve"> automotive fuel (</w:t>
      </w:r>
      <w:r w:rsidR="00360D82">
        <w:t>34.9%), electricity (28.1%), gas (24.0%)</w:t>
      </w:r>
      <w:r w:rsidR="00F90501">
        <w:t>, medical and hospital services (</w:t>
      </w:r>
      <w:r w:rsidR="00895A50">
        <w:t xml:space="preserve">21.4%), meat and seafoods (15.8%), and rents (13.1%) </w:t>
      </w:r>
      <w:r w:rsidR="00DA6240">
        <w:t xml:space="preserve">as key essential goods and services </w:t>
      </w:r>
      <w:r w:rsidR="00BB5890">
        <w:t>where price increases will have had a disproportionate impact on low-income households in the ACT</w:t>
      </w:r>
      <w:r w:rsidR="00E54AD9">
        <w:t xml:space="preserve"> (see Figure 3)</w:t>
      </w:r>
      <w:r w:rsidR="00BB5890">
        <w:t>.</w:t>
      </w:r>
    </w:p>
    <w:p w14:paraId="6AB80A6F" w14:textId="163FDD2B" w:rsidR="00A101F3" w:rsidRDefault="006C1542" w:rsidP="00A101F3">
      <w:pPr>
        <w:pStyle w:val="BodyText"/>
      </w:pPr>
      <w:r>
        <w:t xml:space="preserve">The ABS </w:t>
      </w:r>
      <w:r w:rsidR="002274DA">
        <w:t xml:space="preserve">releases updated </w:t>
      </w:r>
      <w:r>
        <w:t>CPI</w:t>
      </w:r>
      <w:r w:rsidR="002274DA">
        <w:t xml:space="preserve"> figures</w:t>
      </w:r>
      <w:r w:rsidR="00B13B86">
        <w:t xml:space="preserve"> </w:t>
      </w:r>
      <w:r w:rsidR="002274DA">
        <w:t>every three months</w:t>
      </w:r>
      <w:r w:rsidR="00452C76">
        <w:t xml:space="preserve">. </w:t>
      </w:r>
      <w:r w:rsidR="001A0FB8">
        <w:t>Sin</w:t>
      </w:r>
      <w:r w:rsidR="004F7DF7">
        <w:t>ce December 2021</w:t>
      </w:r>
      <w:r w:rsidR="000F5E6A">
        <w:t xml:space="preserve"> the prices of most of these essential goods and services have risen even higher</w:t>
      </w:r>
      <w:r w:rsidR="002274DA">
        <w:t xml:space="preserve">. The </w:t>
      </w:r>
      <w:r w:rsidR="00CD6F32">
        <w:t>March 2022 CPI saw</w:t>
      </w:r>
      <w:r w:rsidR="005165EE">
        <w:t xml:space="preserve"> the highest</w:t>
      </w:r>
      <w:r w:rsidR="00097C0F">
        <w:t xml:space="preserve"> quarterly and annual </w:t>
      </w:r>
      <w:r w:rsidR="00CD6F32">
        <w:t xml:space="preserve">price </w:t>
      </w:r>
      <w:r w:rsidR="00097C0F">
        <w:t xml:space="preserve">rises in over 20 years. </w:t>
      </w:r>
      <w:r w:rsidR="00CB0109">
        <w:t xml:space="preserve">Canberra’s </w:t>
      </w:r>
      <w:r w:rsidR="006C5954">
        <w:t xml:space="preserve">overall </w:t>
      </w:r>
      <w:r w:rsidR="00CB0109">
        <w:t xml:space="preserve">CPI rose by a further 2.2% </w:t>
      </w:r>
      <w:r w:rsidR="00196235">
        <w:t>between</w:t>
      </w:r>
      <w:r w:rsidR="00A101F3">
        <w:t xml:space="preserve"> December 2021 </w:t>
      </w:r>
      <w:r w:rsidR="001A0FB8">
        <w:t>and</w:t>
      </w:r>
      <w:r w:rsidR="00A101F3">
        <w:t xml:space="preserve"> March 2022</w:t>
      </w:r>
      <w:r w:rsidR="00196235">
        <w:t>, and by 5.4% over the 12 months from March 2021 to March 2022.</w:t>
      </w:r>
      <w:r w:rsidR="00B41663">
        <w:t xml:space="preserve"> </w:t>
      </w:r>
      <w:r w:rsidR="001A0FB8">
        <w:t>The ABS note</w:t>
      </w:r>
      <w:r w:rsidR="008B74BF">
        <w:t>s</w:t>
      </w:r>
      <w:r w:rsidR="001A0FB8">
        <w:t xml:space="preserve"> that f</w:t>
      </w:r>
      <w:r w:rsidR="00B41663">
        <w:t>uel, housing</w:t>
      </w:r>
      <w:r w:rsidR="001A0FB8">
        <w:t>,</w:t>
      </w:r>
      <w:r w:rsidR="00B41663">
        <w:t xml:space="preserve"> and energy prices were the </w:t>
      </w:r>
      <w:r w:rsidR="008B74BF">
        <w:t>main</w:t>
      </w:r>
      <w:r w:rsidR="00B41663">
        <w:t xml:space="preserve"> contributors</w:t>
      </w:r>
      <w:r w:rsidR="001A0FB8">
        <w:t xml:space="preserve"> to this further increase in Canberra prices</w:t>
      </w:r>
      <w:r w:rsidR="00193573">
        <w:t xml:space="preserve"> between December 2021 and March 2022</w:t>
      </w:r>
      <w:r w:rsidR="00B41663">
        <w:t>:</w:t>
      </w:r>
    </w:p>
    <w:p w14:paraId="3C3B230D" w14:textId="42DA6031" w:rsidR="00A101F3" w:rsidRDefault="00A101F3" w:rsidP="001A0FB8">
      <w:pPr>
        <w:pStyle w:val="ListBullet"/>
      </w:pPr>
      <w:r>
        <w:t>Automotive fuel (8.8%)</w:t>
      </w:r>
    </w:p>
    <w:p w14:paraId="5FEF2065" w14:textId="6B87C3F6" w:rsidR="00B41663" w:rsidRDefault="00B41663" w:rsidP="001A0FB8">
      <w:pPr>
        <w:pStyle w:val="ListBullet"/>
      </w:pPr>
      <w:r w:rsidRPr="00B41663">
        <w:lastRenderedPageBreak/>
        <w:t>Electricity (6.9%) rose due to electricity costs returning to normal levels following the removal of a one-off $200 rebate for concession customers introduced in the previous quarter</w:t>
      </w:r>
    </w:p>
    <w:p w14:paraId="11FD2962" w14:textId="078D16FA" w:rsidR="00A101F3" w:rsidRDefault="00A101F3" w:rsidP="001A0FB8">
      <w:pPr>
        <w:pStyle w:val="ListBullet"/>
      </w:pPr>
      <w:r>
        <w:t>New dwelling purchase by owner occupiers (2.6%)</w:t>
      </w:r>
    </w:p>
    <w:p w14:paraId="56AB9DE1" w14:textId="7AEE4951" w:rsidR="00480192" w:rsidRDefault="00A101F3" w:rsidP="001F59CD">
      <w:pPr>
        <w:pStyle w:val="ListBullet"/>
      </w:pPr>
      <w:r>
        <w:t>Rents (2.2%) rose due to historically low vacancy rates resulting in price rises.</w:t>
      </w:r>
      <w:r w:rsidR="006C5954">
        <w:rPr>
          <w:rStyle w:val="FootnoteReference"/>
        </w:rPr>
        <w:footnoteReference w:id="12"/>
      </w:r>
      <w:r>
        <w:t xml:space="preserve"> </w:t>
      </w:r>
    </w:p>
    <w:p w14:paraId="256DD058" w14:textId="0790D43A" w:rsidR="00480192" w:rsidRDefault="00A15BF3" w:rsidP="00A15BF3">
      <w:pPr>
        <w:pStyle w:val="Figuretabletitle"/>
      </w:pPr>
      <w:r>
        <w:t>Table</w:t>
      </w:r>
      <w:r w:rsidR="00642E8B">
        <w:t xml:space="preserve"> 1</w:t>
      </w:r>
      <w:r>
        <w:t xml:space="preserve"> Proportion of household expenditure on goods and services by equivalised disposable household income quintiles, </w:t>
      </w:r>
      <w:r w:rsidR="00B32746">
        <w:t>ACT,</w:t>
      </w:r>
      <w:r>
        <w:t xml:space="preserve"> 2015-16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5" w:type="dxa"/>
          <w:bottom w:w="45" w:type="dxa"/>
        </w:tblCellMar>
        <w:tblLook w:val="04A0" w:firstRow="1" w:lastRow="0" w:firstColumn="1" w:lastColumn="0" w:noHBand="0" w:noVBand="1"/>
      </w:tblPr>
      <w:tblGrid>
        <w:gridCol w:w="3261"/>
        <w:gridCol w:w="874"/>
        <w:gridCol w:w="874"/>
        <w:gridCol w:w="874"/>
        <w:gridCol w:w="874"/>
        <w:gridCol w:w="874"/>
        <w:gridCol w:w="873"/>
      </w:tblGrid>
      <w:tr w:rsidR="00480192" w:rsidRPr="00F700F1" w14:paraId="127BE844" w14:textId="77777777" w:rsidTr="008338CF">
        <w:trPr>
          <w:trHeight w:val="290"/>
          <w:tblHeader/>
        </w:trPr>
        <w:tc>
          <w:tcPr>
            <w:tcW w:w="1917" w:type="pct"/>
            <w:tcBorders>
              <w:top w:val="single" w:sz="12" w:space="0" w:color="A6A6A6" w:themeColor="background1" w:themeShade="A6"/>
              <w:bottom w:val="single" w:sz="12" w:space="0" w:color="A6A6A6" w:themeColor="background1" w:themeShade="A6"/>
            </w:tcBorders>
            <w:noWrap/>
            <w:hideMark/>
          </w:tcPr>
          <w:p w14:paraId="432D89C6" w14:textId="77777777" w:rsidR="00480192" w:rsidRPr="00F700F1" w:rsidRDefault="00480192" w:rsidP="00B76E00">
            <w:pPr>
              <w:keepNext/>
              <w:spacing w:before="80" w:after="60"/>
              <w:rPr>
                <w:b/>
                <w:sz w:val="20"/>
              </w:rPr>
            </w:pPr>
            <w:r w:rsidRPr="00F700F1">
              <w:rPr>
                <w:b/>
                <w:sz w:val="20"/>
              </w:rPr>
              <w:t>Goods and services</w:t>
            </w:r>
          </w:p>
        </w:tc>
        <w:tc>
          <w:tcPr>
            <w:tcW w:w="514" w:type="pct"/>
            <w:tcBorders>
              <w:top w:val="single" w:sz="12" w:space="0" w:color="A6A6A6" w:themeColor="background1" w:themeShade="A6"/>
              <w:bottom w:val="single" w:sz="12" w:space="0" w:color="A6A6A6" w:themeColor="background1" w:themeShade="A6"/>
            </w:tcBorders>
            <w:noWrap/>
            <w:hideMark/>
          </w:tcPr>
          <w:p w14:paraId="450B4C1E" w14:textId="77777777" w:rsidR="00480192" w:rsidRPr="00F700F1" w:rsidRDefault="00480192" w:rsidP="00B76E00">
            <w:pPr>
              <w:keepNext/>
              <w:spacing w:before="80" w:after="60"/>
              <w:rPr>
                <w:b/>
                <w:sz w:val="20"/>
              </w:rPr>
            </w:pPr>
            <w:r w:rsidRPr="00F700F1">
              <w:rPr>
                <w:b/>
                <w:sz w:val="20"/>
              </w:rPr>
              <w:t>Q1 - low</w:t>
            </w:r>
          </w:p>
        </w:tc>
        <w:tc>
          <w:tcPr>
            <w:tcW w:w="514" w:type="pct"/>
            <w:tcBorders>
              <w:top w:val="single" w:sz="12" w:space="0" w:color="A6A6A6" w:themeColor="background1" w:themeShade="A6"/>
              <w:bottom w:val="single" w:sz="12" w:space="0" w:color="A6A6A6" w:themeColor="background1" w:themeShade="A6"/>
            </w:tcBorders>
            <w:hideMark/>
          </w:tcPr>
          <w:p w14:paraId="5D73F6E9" w14:textId="77777777" w:rsidR="00480192" w:rsidRPr="00F700F1" w:rsidRDefault="00480192" w:rsidP="00B76E00">
            <w:pPr>
              <w:keepNext/>
              <w:spacing w:before="80" w:after="60"/>
              <w:rPr>
                <w:b/>
                <w:sz w:val="20"/>
              </w:rPr>
            </w:pPr>
            <w:r w:rsidRPr="00F700F1">
              <w:rPr>
                <w:b/>
                <w:sz w:val="20"/>
              </w:rPr>
              <w:t>Q2</w:t>
            </w:r>
          </w:p>
        </w:tc>
        <w:tc>
          <w:tcPr>
            <w:tcW w:w="514" w:type="pct"/>
            <w:tcBorders>
              <w:top w:val="single" w:sz="12" w:space="0" w:color="A6A6A6" w:themeColor="background1" w:themeShade="A6"/>
              <w:bottom w:val="single" w:sz="12" w:space="0" w:color="A6A6A6" w:themeColor="background1" w:themeShade="A6"/>
            </w:tcBorders>
            <w:hideMark/>
          </w:tcPr>
          <w:p w14:paraId="44D42495" w14:textId="77777777" w:rsidR="00480192" w:rsidRPr="00F700F1" w:rsidRDefault="00480192" w:rsidP="00B76E00">
            <w:pPr>
              <w:keepNext/>
              <w:spacing w:before="80" w:after="60"/>
              <w:rPr>
                <w:b/>
                <w:sz w:val="20"/>
              </w:rPr>
            </w:pPr>
            <w:r w:rsidRPr="00F700F1">
              <w:rPr>
                <w:b/>
                <w:sz w:val="20"/>
              </w:rPr>
              <w:t>Q3</w:t>
            </w:r>
          </w:p>
        </w:tc>
        <w:tc>
          <w:tcPr>
            <w:tcW w:w="514" w:type="pct"/>
            <w:tcBorders>
              <w:top w:val="single" w:sz="12" w:space="0" w:color="A6A6A6" w:themeColor="background1" w:themeShade="A6"/>
              <w:bottom w:val="single" w:sz="12" w:space="0" w:color="A6A6A6" w:themeColor="background1" w:themeShade="A6"/>
            </w:tcBorders>
            <w:hideMark/>
          </w:tcPr>
          <w:p w14:paraId="198C3D1A" w14:textId="77777777" w:rsidR="00480192" w:rsidRPr="00F700F1" w:rsidRDefault="00480192" w:rsidP="00B76E00">
            <w:pPr>
              <w:keepNext/>
              <w:spacing w:before="80" w:after="60"/>
              <w:rPr>
                <w:b/>
                <w:sz w:val="20"/>
              </w:rPr>
            </w:pPr>
            <w:r w:rsidRPr="00F700F1">
              <w:rPr>
                <w:b/>
                <w:sz w:val="20"/>
              </w:rPr>
              <w:t>Q4</w:t>
            </w:r>
          </w:p>
        </w:tc>
        <w:tc>
          <w:tcPr>
            <w:tcW w:w="514" w:type="pct"/>
            <w:tcBorders>
              <w:top w:val="single" w:sz="12" w:space="0" w:color="A6A6A6" w:themeColor="background1" w:themeShade="A6"/>
              <w:bottom w:val="single" w:sz="12" w:space="0" w:color="A6A6A6" w:themeColor="background1" w:themeShade="A6"/>
            </w:tcBorders>
            <w:hideMark/>
          </w:tcPr>
          <w:p w14:paraId="3410C12C" w14:textId="77777777" w:rsidR="00480192" w:rsidRPr="00F700F1" w:rsidRDefault="00480192" w:rsidP="00B76E00">
            <w:pPr>
              <w:keepNext/>
              <w:spacing w:before="80" w:after="60"/>
              <w:rPr>
                <w:b/>
                <w:sz w:val="20"/>
              </w:rPr>
            </w:pPr>
            <w:r w:rsidRPr="00F700F1">
              <w:rPr>
                <w:b/>
                <w:sz w:val="20"/>
              </w:rPr>
              <w:t>Q5 - high</w:t>
            </w:r>
          </w:p>
        </w:tc>
        <w:tc>
          <w:tcPr>
            <w:tcW w:w="513" w:type="pct"/>
            <w:tcBorders>
              <w:top w:val="single" w:sz="12" w:space="0" w:color="A6A6A6" w:themeColor="background1" w:themeShade="A6"/>
              <w:bottom w:val="single" w:sz="12" w:space="0" w:color="A6A6A6" w:themeColor="background1" w:themeShade="A6"/>
            </w:tcBorders>
            <w:noWrap/>
            <w:hideMark/>
          </w:tcPr>
          <w:p w14:paraId="01CF8DB4" w14:textId="77777777" w:rsidR="00480192" w:rsidRPr="00F700F1" w:rsidRDefault="00480192" w:rsidP="00B76E00">
            <w:pPr>
              <w:keepNext/>
              <w:spacing w:before="80" w:after="60"/>
              <w:rPr>
                <w:b/>
                <w:sz w:val="20"/>
              </w:rPr>
            </w:pPr>
            <w:r w:rsidRPr="00F700F1">
              <w:rPr>
                <w:b/>
                <w:sz w:val="20"/>
              </w:rPr>
              <w:t>All</w:t>
            </w:r>
          </w:p>
        </w:tc>
      </w:tr>
      <w:tr w:rsidR="00480192" w:rsidRPr="00F700F1" w14:paraId="1037A55D" w14:textId="77777777" w:rsidTr="008338CF">
        <w:trPr>
          <w:trHeight w:val="290"/>
        </w:trPr>
        <w:tc>
          <w:tcPr>
            <w:tcW w:w="1917" w:type="pct"/>
            <w:tcBorders>
              <w:top w:val="single" w:sz="12" w:space="0" w:color="A6A6A6" w:themeColor="background1" w:themeShade="A6"/>
            </w:tcBorders>
            <w:shd w:val="clear" w:color="auto" w:fill="D9E2F3" w:themeFill="accent1" w:themeFillTint="33"/>
            <w:noWrap/>
            <w:hideMark/>
          </w:tcPr>
          <w:p w14:paraId="368A432F" w14:textId="77777777" w:rsidR="00480192" w:rsidRPr="00F700F1"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rPr>
                <w:sz w:val="20"/>
              </w:rPr>
            </w:pPr>
            <w:r w:rsidRPr="00F700F1">
              <w:rPr>
                <w:sz w:val="20"/>
              </w:rPr>
              <w:t>Current housing costs (selected dwelling)</w:t>
            </w:r>
          </w:p>
        </w:tc>
        <w:tc>
          <w:tcPr>
            <w:tcW w:w="514" w:type="pct"/>
            <w:tcBorders>
              <w:top w:val="single" w:sz="12" w:space="0" w:color="A6A6A6" w:themeColor="background1" w:themeShade="A6"/>
            </w:tcBorders>
            <w:shd w:val="clear" w:color="auto" w:fill="D9E2F3" w:themeFill="accent1" w:themeFillTint="33"/>
            <w:noWrap/>
            <w:vAlign w:val="center"/>
            <w:hideMark/>
          </w:tcPr>
          <w:p w14:paraId="714041AE" w14:textId="77777777" w:rsidR="00480192" w:rsidRPr="00F700F1"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sidRPr="00F700F1">
              <w:rPr>
                <w:sz w:val="20"/>
              </w:rPr>
              <w:t>23.2</w:t>
            </w:r>
          </w:p>
        </w:tc>
        <w:tc>
          <w:tcPr>
            <w:tcW w:w="514" w:type="pct"/>
            <w:tcBorders>
              <w:top w:val="single" w:sz="12" w:space="0" w:color="A6A6A6" w:themeColor="background1" w:themeShade="A6"/>
            </w:tcBorders>
            <w:shd w:val="clear" w:color="auto" w:fill="D9E2F3" w:themeFill="accent1" w:themeFillTint="33"/>
            <w:noWrap/>
            <w:vAlign w:val="center"/>
            <w:hideMark/>
          </w:tcPr>
          <w:p w14:paraId="4924A7B9" w14:textId="77777777" w:rsidR="00480192" w:rsidRPr="00F700F1"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sidRPr="00F700F1">
              <w:rPr>
                <w:sz w:val="20"/>
              </w:rPr>
              <w:t>18.4</w:t>
            </w:r>
          </w:p>
        </w:tc>
        <w:tc>
          <w:tcPr>
            <w:tcW w:w="514" w:type="pct"/>
            <w:tcBorders>
              <w:top w:val="single" w:sz="12" w:space="0" w:color="A6A6A6" w:themeColor="background1" w:themeShade="A6"/>
            </w:tcBorders>
            <w:shd w:val="clear" w:color="auto" w:fill="D9E2F3" w:themeFill="accent1" w:themeFillTint="33"/>
            <w:noWrap/>
            <w:vAlign w:val="center"/>
            <w:hideMark/>
          </w:tcPr>
          <w:p w14:paraId="1E433342" w14:textId="77777777" w:rsidR="00480192" w:rsidRPr="00F700F1"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sidRPr="00F700F1">
              <w:rPr>
                <w:sz w:val="20"/>
              </w:rPr>
              <w:t>22.3</w:t>
            </w:r>
          </w:p>
        </w:tc>
        <w:tc>
          <w:tcPr>
            <w:tcW w:w="514" w:type="pct"/>
            <w:tcBorders>
              <w:top w:val="single" w:sz="12" w:space="0" w:color="A6A6A6" w:themeColor="background1" w:themeShade="A6"/>
            </w:tcBorders>
            <w:shd w:val="clear" w:color="auto" w:fill="D9E2F3" w:themeFill="accent1" w:themeFillTint="33"/>
            <w:noWrap/>
            <w:vAlign w:val="center"/>
            <w:hideMark/>
          </w:tcPr>
          <w:p w14:paraId="131236A8" w14:textId="77777777" w:rsidR="00480192" w:rsidRPr="00F700F1"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sidRPr="00F700F1">
              <w:rPr>
                <w:sz w:val="20"/>
              </w:rPr>
              <w:t>13.6</w:t>
            </w:r>
          </w:p>
        </w:tc>
        <w:tc>
          <w:tcPr>
            <w:tcW w:w="514" w:type="pct"/>
            <w:tcBorders>
              <w:top w:val="single" w:sz="12" w:space="0" w:color="A6A6A6" w:themeColor="background1" w:themeShade="A6"/>
            </w:tcBorders>
            <w:shd w:val="clear" w:color="auto" w:fill="D9E2F3" w:themeFill="accent1" w:themeFillTint="33"/>
            <w:noWrap/>
            <w:vAlign w:val="center"/>
            <w:hideMark/>
          </w:tcPr>
          <w:p w14:paraId="3CC7900A" w14:textId="77777777" w:rsidR="00480192" w:rsidRPr="00F700F1"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sidRPr="00F700F1">
              <w:rPr>
                <w:sz w:val="20"/>
              </w:rPr>
              <w:t>14.0</w:t>
            </w:r>
          </w:p>
        </w:tc>
        <w:tc>
          <w:tcPr>
            <w:tcW w:w="513" w:type="pct"/>
            <w:tcBorders>
              <w:top w:val="single" w:sz="12" w:space="0" w:color="A6A6A6" w:themeColor="background1" w:themeShade="A6"/>
            </w:tcBorders>
            <w:shd w:val="clear" w:color="auto" w:fill="D9E2F3" w:themeFill="accent1" w:themeFillTint="33"/>
            <w:noWrap/>
            <w:vAlign w:val="center"/>
            <w:hideMark/>
          </w:tcPr>
          <w:p w14:paraId="4EEDB4A3" w14:textId="77777777" w:rsidR="00480192" w:rsidRPr="00F700F1"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sidRPr="00F700F1">
              <w:rPr>
                <w:sz w:val="20"/>
              </w:rPr>
              <w:t>17.7</w:t>
            </w:r>
          </w:p>
        </w:tc>
      </w:tr>
      <w:tr w:rsidR="00480192" w:rsidRPr="00F700F1" w14:paraId="07AAEF99" w14:textId="77777777" w:rsidTr="008338CF">
        <w:trPr>
          <w:trHeight w:val="290"/>
        </w:trPr>
        <w:tc>
          <w:tcPr>
            <w:tcW w:w="1917" w:type="pct"/>
            <w:noWrap/>
            <w:hideMark/>
          </w:tcPr>
          <w:p w14:paraId="41CF9396" w14:textId="77777777" w:rsidR="00480192" w:rsidRPr="00F700F1"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rPr>
                <w:sz w:val="20"/>
              </w:rPr>
            </w:pPr>
            <w:r w:rsidRPr="00F700F1">
              <w:rPr>
                <w:sz w:val="20"/>
              </w:rPr>
              <w:t>Food and non-alcoholic beverages</w:t>
            </w:r>
          </w:p>
        </w:tc>
        <w:tc>
          <w:tcPr>
            <w:tcW w:w="514" w:type="pct"/>
            <w:noWrap/>
            <w:vAlign w:val="center"/>
            <w:hideMark/>
          </w:tcPr>
          <w:p w14:paraId="535DC12D" w14:textId="77777777" w:rsidR="00480192" w:rsidRPr="00F700F1"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sidRPr="00F700F1">
              <w:rPr>
                <w:sz w:val="20"/>
              </w:rPr>
              <w:t>20.5</w:t>
            </w:r>
          </w:p>
        </w:tc>
        <w:tc>
          <w:tcPr>
            <w:tcW w:w="514" w:type="pct"/>
            <w:noWrap/>
            <w:vAlign w:val="center"/>
            <w:hideMark/>
          </w:tcPr>
          <w:p w14:paraId="4EC8B376" w14:textId="77777777" w:rsidR="00480192" w:rsidRPr="00F700F1"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sidRPr="00F700F1">
              <w:rPr>
                <w:sz w:val="20"/>
              </w:rPr>
              <w:t>17.1</w:t>
            </w:r>
          </w:p>
        </w:tc>
        <w:tc>
          <w:tcPr>
            <w:tcW w:w="514" w:type="pct"/>
            <w:noWrap/>
            <w:vAlign w:val="center"/>
            <w:hideMark/>
          </w:tcPr>
          <w:p w14:paraId="0499A716" w14:textId="77777777" w:rsidR="00480192" w:rsidRPr="00F700F1"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sidRPr="00F700F1">
              <w:rPr>
                <w:sz w:val="20"/>
              </w:rPr>
              <w:t>17.2</w:t>
            </w:r>
          </w:p>
        </w:tc>
        <w:tc>
          <w:tcPr>
            <w:tcW w:w="514" w:type="pct"/>
            <w:noWrap/>
            <w:vAlign w:val="center"/>
            <w:hideMark/>
          </w:tcPr>
          <w:p w14:paraId="15ABBC14" w14:textId="77777777" w:rsidR="00480192" w:rsidRPr="00F700F1"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sidRPr="00F700F1">
              <w:rPr>
                <w:sz w:val="20"/>
              </w:rPr>
              <w:t>15.1</w:t>
            </w:r>
          </w:p>
        </w:tc>
        <w:tc>
          <w:tcPr>
            <w:tcW w:w="514" w:type="pct"/>
            <w:noWrap/>
            <w:vAlign w:val="center"/>
            <w:hideMark/>
          </w:tcPr>
          <w:p w14:paraId="785B10DF" w14:textId="77777777" w:rsidR="00480192" w:rsidRPr="00F700F1"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sidRPr="00F700F1">
              <w:rPr>
                <w:sz w:val="20"/>
              </w:rPr>
              <w:t>14.2</w:t>
            </w:r>
          </w:p>
        </w:tc>
        <w:tc>
          <w:tcPr>
            <w:tcW w:w="513" w:type="pct"/>
            <w:noWrap/>
            <w:vAlign w:val="center"/>
            <w:hideMark/>
          </w:tcPr>
          <w:p w14:paraId="58A33166" w14:textId="77777777" w:rsidR="00480192" w:rsidRPr="00F700F1"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sidRPr="00F700F1">
              <w:rPr>
                <w:sz w:val="20"/>
              </w:rPr>
              <w:t>16.1</w:t>
            </w:r>
          </w:p>
        </w:tc>
      </w:tr>
      <w:tr w:rsidR="00480192" w:rsidRPr="00F700F1" w14:paraId="2CB0FE59" w14:textId="77777777" w:rsidTr="008338CF">
        <w:trPr>
          <w:trHeight w:val="290"/>
        </w:trPr>
        <w:tc>
          <w:tcPr>
            <w:tcW w:w="1917" w:type="pct"/>
            <w:shd w:val="clear" w:color="auto" w:fill="D9E2F3" w:themeFill="accent1" w:themeFillTint="33"/>
            <w:noWrap/>
          </w:tcPr>
          <w:p w14:paraId="43B67661" w14:textId="77777777" w:rsidR="00480192" w:rsidRPr="00F700F1"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rPr>
                <w:sz w:val="20"/>
              </w:rPr>
            </w:pPr>
            <w:r>
              <w:rPr>
                <w:sz w:val="20"/>
              </w:rPr>
              <w:t>Transport</w:t>
            </w:r>
          </w:p>
        </w:tc>
        <w:tc>
          <w:tcPr>
            <w:tcW w:w="514" w:type="pct"/>
            <w:shd w:val="clear" w:color="auto" w:fill="D9E2F3" w:themeFill="accent1" w:themeFillTint="33"/>
            <w:noWrap/>
            <w:vAlign w:val="center"/>
          </w:tcPr>
          <w:p w14:paraId="49E8511D" w14:textId="77777777" w:rsidR="00480192" w:rsidRPr="00F700F1"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11.4</w:t>
            </w:r>
          </w:p>
        </w:tc>
        <w:tc>
          <w:tcPr>
            <w:tcW w:w="514" w:type="pct"/>
            <w:shd w:val="clear" w:color="auto" w:fill="D9E2F3" w:themeFill="accent1" w:themeFillTint="33"/>
            <w:noWrap/>
            <w:vAlign w:val="center"/>
          </w:tcPr>
          <w:p w14:paraId="707C9242" w14:textId="77777777" w:rsidR="00480192" w:rsidRPr="00F700F1"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12.4</w:t>
            </w:r>
          </w:p>
        </w:tc>
        <w:tc>
          <w:tcPr>
            <w:tcW w:w="514" w:type="pct"/>
            <w:shd w:val="clear" w:color="auto" w:fill="D9E2F3" w:themeFill="accent1" w:themeFillTint="33"/>
            <w:noWrap/>
            <w:vAlign w:val="center"/>
          </w:tcPr>
          <w:p w14:paraId="7603EE2D" w14:textId="77777777" w:rsidR="00480192" w:rsidRPr="00F700F1"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12.7</w:t>
            </w:r>
          </w:p>
        </w:tc>
        <w:tc>
          <w:tcPr>
            <w:tcW w:w="514" w:type="pct"/>
            <w:shd w:val="clear" w:color="auto" w:fill="D9E2F3" w:themeFill="accent1" w:themeFillTint="33"/>
            <w:noWrap/>
            <w:vAlign w:val="center"/>
          </w:tcPr>
          <w:p w14:paraId="0FD52C76" w14:textId="77777777" w:rsidR="00480192" w:rsidRPr="00F700F1"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16.5</w:t>
            </w:r>
          </w:p>
        </w:tc>
        <w:tc>
          <w:tcPr>
            <w:tcW w:w="514" w:type="pct"/>
            <w:shd w:val="clear" w:color="auto" w:fill="D9E2F3" w:themeFill="accent1" w:themeFillTint="33"/>
            <w:noWrap/>
            <w:vAlign w:val="center"/>
          </w:tcPr>
          <w:p w14:paraId="001764F1" w14:textId="77777777" w:rsidR="00480192" w:rsidRPr="00F700F1"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14.4</w:t>
            </w:r>
          </w:p>
        </w:tc>
        <w:tc>
          <w:tcPr>
            <w:tcW w:w="513" w:type="pct"/>
            <w:shd w:val="clear" w:color="auto" w:fill="D9E2F3" w:themeFill="accent1" w:themeFillTint="33"/>
            <w:noWrap/>
            <w:vAlign w:val="center"/>
          </w:tcPr>
          <w:p w14:paraId="1C881C43" w14:textId="77777777" w:rsidR="00480192" w:rsidRPr="00F700F1"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13.4</w:t>
            </w:r>
          </w:p>
        </w:tc>
      </w:tr>
      <w:tr w:rsidR="00480192" w:rsidRPr="00F700F1" w14:paraId="345EE142" w14:textId="77777777" w:rsidTr="008338CF">
        <w:trPr>
          <w:trHeight w:val="290"/>
        </w:trPr>
        <w:tc>
          <w:tcPr>
            <w:tcW w:w="1917" w:type="pct"/>
            <w:shd w:val="clear" w:color="auto" w:fill="auto"/>
            <w:noWrap/>
          </w:tcPr>
          <w:p w14:paraId="1D1A72CD" w14:textId="77777777" w:rsidR="00480192"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rPr>
                <w:sz w:val="20"/>
              </w:rPr>
            </w:pPr>
            <w:r>
              <w:rPr>
                <w:sz w:val="20"/>
              </w:rPr>
              <w:t>Recreation</w:t>
            </w:r>
          </w:p>
        </w:tc>
        <w:tc>
          <w:tcPr>
            <w:tcW w:w="514" w:type="pct"/>
            <w:shd w:val="clear" w:color="auto" w:fill="auto"/>
            <w:noWrap/>
            <w:vAlign w:val="center"/>
          </w:tcPr>
          <w:p w14:paraId="1AB2ED7A" w14:textId="77777777" w:rsidR="00480192"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9.5</w:t>
            </w:r>
          </w:p>
        </w:tc>
        <w:tc>
          <w:tcPr>
            <w:tcW w:w="514" w:type="pct"/>
            <w:shd w:val="clear" w:color="auto" w:fill="auto"/>
            <w:noWrap/>
            <w:vAlign w:val="center"/>
          </w:tcPr>
          <w:p w14:paraId="5D4D3457" w14:textId="77777777" w:rsidR="00480192"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10.7</w:t>
            </w:r>
          </w:p>
        </w:tc>
        <w:tc>
          <w:tcPr>
            <w:tcW w:w="514" w:type="pct"/>
            <w:shd w:val="clear" w:color="auto" w:fill="auto"/>
            <w:noWrap/>
            <w:vAlign w:val="center"/>
          </w:tcPr>
          <w:p w14:paraId="75DDD155" w14:textId="77777777" w:rsidR="00480192"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12.9</w:t>
            </w:r>
          </w:p>
        </w:tc>
        <w:tc>
          <w:tcPr>
            <w:tcW w:w="514" w:type="pct"/>
            <w:shd w:val="clear" w:color="auto" w:fill="auto"/>
            <w:noWrap/>
            <w:vAlign w:val="center"/>
          </w:tcPr>
          <w:p w14:paraId="59B4A103" w14:textId="77777777" w:rsidR="00480192"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13.8</w:t>
            </w:r>
          </w:p>
        </w:tc>
        <w:tc>
          <w:tcPr>
            <w:tcW w:w="514" w:type="pct"/>
            <w:shd w:val="clear" w:color="auto" w:fill="auto"/>
            <w:noWrap/>
            <w:vAlign w:val="center"/>
          </w:tcPr>
          <w:p w14:paraId="0191E91A" w14:textId="77777777" w:rsidR="00480192"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22.1</w:t>
            </w:r>
          </w:p>
        </w:tc>
        <w:tc>
          <w:tcPr>
            <w:tcW w:w="513" w:type="pct"/>
            <w:shd w:val="clear" w:color="auto" w:fill="auto"/>
            <w:noWrap/>
            <w:vAlign w:val="center"/>
          </w:tcPr>
          <w:p w14:paraId="55A84B55" w14:textId="77777777" w:rsidR="00480192"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14.4</w:t>
            </w:r>
          </w:p>
        </w:tc>
      </w:tr>
      <w:tr w:rsidR="00480192" w:rsidRPr="00F700F1" w14:paraId="7B3B033D" w14:textId="77777777" w:rsidTr="008338CF">
        <w:trPr>
          <w:trHeight w:val="290"/>
        </w:trPr>
        <w:tc>
          <w:tcPr>
            <w:tcW w:w="1917" w:type="pct"/>
            <w:shd w:val="clear" w:color="auto" w:fill="D9E2F3" w:themeFill="accent1" w:themeFillTint="33"/>
            <w:noWrap/>
          </w:tcPr>
          <w:p w14:paraId="36F47D10" w14:textId="77777777" w:rsidR="00480192"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rPr>
                <w:sz w:val="20"/>
              </w:rPr>
            </w:pPr>
            <w:r>
              <w:rPr>
                <w:sz w:val="20"/>
              </w:rPr>
              <w:t>Household furnishings and equipment</w:t>
            </w:r>
          </w:p>
        </w:tc>
        <w:tc>
          <w:tcPr>
            <w:tcW w:w="514" w:type="pct"/>
            <w:shd w:val="clear" w:color="auto" w:fill="D9E2F3" w:themeFill="accent1" w:themeFillTint="33"/>
            <w:noWrap/>
            <w:vAlign w:val="center"/>
          </w:tcPr>
          <w:p w14:paraId="5C6EB1B7" w14:textId="77777777" w:rsidR="00480192"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9.0</w:t>
            </w:r>
          </w:p>
        </w:tc>
        <w:tc>
          <w:tcPr>
            <w:tcW w:w="514" w:type="pct"/>
            <w:shd w:val="clear" w:color="auto" w:fill="D9E2F3" w:themeFill="accent1" w:themeFillTint="33"/>
            <w:noWrap/>
            <w:vAlign w:val="center"/>
          </w:tcPr>
          <w:p w14:paraId="1DA4B0B2" w14:textId="77777777" w:rsidR="00480192"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3.3</w:t>
            </w:r>
          </w:p>
        </w:tc>
        <w:tc>
          <w:tcPr>
            <w:tcW w:w="514" w:type="pct"/>
            <w:shd w:val="clear" w:color="auto" w:fill="D9E2F3" w:themeFill="accent1" w:themeFillTint="33"/>
            <w:noWrap/>
            <w:vAlign w:val="center"/>
          </w:tcPr>
          <w:p w14:paraId="521B4FC4" w14:textId="77777777" w:rsidR="00480192"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5.2</w:t>
            </w:r>
          </w:p>
        </w:tc>
        <w:tc>
          <w:tcPr>
            <w:tcW w:w="514" w:type="pct"/>
            <w:shd w:val="clear" w:color="auto" w:fill="D9E2F3" w:themeFill="accent1" w:themeFillTint="33"/>
            <w:noWrap/>
            <w:vAlign w:val="center"/>
          </w:tcPr>
          <w:p w14:paraId="7CCFE765" w14:textId="77777777" w:rsidR="00480192"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3.9</w:t>
            </w:r>
          </w:p>
        </w:tc>
        <w:tc>
          <w:tcPr>
            <w:tcW w:w="514" w:type="pct"/>
            <w:shd w:val="clear" w:color="auto" w:fill="D9E2F3" w:themeFill="accent1" w:themeFillTint="33"/>
            <w:noWrap/>
            <w:vAlign w:val="center"/>
          </w:tcPr>
          <w:p w14:paraId="4EECFBB0" w14:textId="77777777" w:rsidR="00480192"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3.4</w:t>
            </w:r>
          </w:p>
        </w:tc>
        <w:tc>
          <w:tcPr>
            <w:tcW w:w="513" w:type="pct"/>
            <w:shd w:val="clear" w:color="auto" w:fill="D9E2F3" w:themeFill="accent1" w:themeFillTint="33"/>
            <w:noWrap/>
            <w:vAlign w:val="center"/>
          </w:tcPr>
          <w:p w14:paraId="74805B49" w14:textId="77777777" w:rsidR="00480192"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4.5</w:t>
            </w:r>
          </w:p>
        </w:tc>
      </w:tr>
      <w:tr w:rsidR="00480192" w:rsidRPr="00F700F1" w14:paraId="0E7FDA25" w14:textId="77777777" w:rsidTr="008338CF">
        <w:trPr>
          <w:trHeight w:val="290"/>
        </w:trPr>
        <w:tc>
          <w:tcPr>
            <w:tcW w:w="1917" w:type="pct"/>
            <w:shd w:val="clear" w:color="auto" w:fill="auto"/>
            <w:noWrap/>
            <w:hideMark/>
          </w:tcPr>
          <w:p w14:paraId="21F847F4" w14:textId="77777777" w:rsidR="00480192" w:rsidRPr="00F700F1"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rPr>
                <w:sz w:val="20"/>
              </w:rPr>
            </w:pPr>
            <w:r w:rsidRPr="00F700F1">
              <w:rPr>
                <w:sz w:val="20"/>
              </w:rPr>
              <w:t>Domestic fuel and power</w:t>
            </w:r>
          </w:p>
        </w:tc>
        <w:tc>
          <w:tcPr>
            <w:tcW w:w="514" w:type="pct"/>
            <w:shd w:val="clear" w:color="auto" w:fill="auto"/>
            <w:noWrap/>
            <w:vAlign w:val="center"/>
            <w:hideMark/>
          </w:tcPr>
          <w:p w14:paraId="4CED1ACE" w14:textId="77777777" w:rsidR="00480192" w:rsidRPr="00F700F1"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sidRPr="00F700F1">
              <w:rPr>
                <w:sz w:val="20"/>
              </w:rPr>
              <w:t>4.0</w:t>
            </w:r>
          </w:p>
        </w:tc>
        <w:tc>
          <w:tcPr>
            <w:tcW w:w="514" w:type="pct"/>
            <w:shd w:val="clear" w:color="auto" w:fill="auto"/>
            <w:noWrap/>
            <w:vAlign w:val="center"/>
            <w:hideMark/>
          </w:tcPr>
          <w:p w14:paraId="3F2A2F65" w14:textId="77777777" w:rsidR="00480192" w:rsidRPr="00F700F1"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sidRPr="00F700F1">
              <w:rPr>
                <w:sz w:val="20"/>
              </w:rPr>
              <w:t>4.4</w:t>
            </w:r>
          </w:p>
        </w:tc>
        <w:tc>
          <w:tcPr>
            <w:tcW w:w="514" w:type="pct"/>
            <w:shd w:val="clear" w:color="auto" w:fill="auto"/>
            <w:noWrap/>
            <w:vAlign w:val="center"/>
            <w:hideMark/>
          </w:tcPr>
          <w:p w14:paraId="5069185F" w14:textId="77777777" w:rsidR="00480192" w:rsidRPr="00F700F1"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sidRPr="00F700F1">
              <w:rPr>
                <w:sz w:val="20"/>
              </w:rPr>
              <w:t>3.0</w:t>
            </w:r>
          </w:p>
        </w:tc>
        <w:tc>
          <w:tcPr>
            <w:tcW w:w="514" w:type="pct"/>
            <w:shd w:val="clear" w:color="auto" w:fill="auto"/>
            <w:noWrap/>
            <w:vAlign w:val="center"/>
            <w:hideMark/>
          </w:tcPr>
          <w:p w14:paraId="6AD8D6D1" w14:textId="77777777" w:rsidR="00480192" w:rsidRPr="00F700F1"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sidRPr="00F700F1">
              <w:rPr>
                <w:sz w:val="20"/>
              </w:rPr>
              <w:t>2.2</w:t>
            </w:r>
          </w:p>
        </w:tc>
        <w:tc>
          <w:tcPr>
            <w:tcW w:w="514" w:type="pct"/>
            <w:shd w:val="clear" w:color="auto" w:fill="auto"/>
            <w:noWrap/>
            <w:vAlign w:val="center"/>
            <w:hideMark/>
          </w:tcPr>
          <w:p w14:paraId="1BB5F5C2" w14:textId="77777777" w:rsidR="00480192" w:rsidRPr="00F700F1"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sidRPr="00F700F1">
              <w:rPr>
                <w:sz w:val="20"/>
              </w:rPr>
              <w:t>2.4</w:t>
            </w:r>
          </w:p>
        </w:tc>
        <w:tc>
          <w:tcPr>
            <w:tcW w:w="513" w:type="pct"/>
            <w:shd w:val="clear" w:color="auto" w:fill="auto"/>
            <w:noWrap/>
            <w:vAlign w:val="center"/>
            <w:hideMark/>
          </w:tcPr>
          <w:p w14:paraId="2EA1C142" w14:textId="77777777" w:rsidR="00480192" w:rsidRPr="00F700F1"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sidRPr="00F700F1">
              <w:rPr>
                <w:sz w:val="20"/>
              </w:rPr>
              <w:t>2.8</w:t>
            </w:r>
          </w:p>
        </w:tc>
      </w:tr>
      <w:tr w:rsidR="00480192" w:rsidRPr="00F700F1" w14:paraId="7378A5AF" w14:textId="77777777" w:rsidTr="008338CF">
        <w:trPr>
          <w:trHeight w:val="290"/>
        </w:trPr>
        <w:tc>
          <w:tcPr>
            <w:tcW w:w="1917" w:type="pct"/>
            <w:shd w:val="clear" w:color="auto" w:fill="D9E2F3" w:themeFill="accent1" w:themeFillTint="33"/>
            <w:noWrap/>
          </w:tcPr>
          <w:p w14:paraId="59E076C3" w14:textId="77777777" w:rsidR="00480192" w:rsidRPr="00F700F1"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rPr>
                <w:sz w:val="20"/>
              </w:rPr>
            </w:pPr>
            <w:r>
              <w:rPr>
                <w:sz w:val="20"/>
              </w:rPr>
              <w:t>Miscellaneous goods and services</w:t>
            </w:r>
          </w:p>
        </w:tc>
        <w:tc>
          <w:tcPr>
            <w:tcW w:w="514" w:type="pct"/>
            <w:shd w:val="clear" w:color="auto" w:fill="D9E2F3" w:themeFill="accent1" w:themeFillTint="33"/>
            <w:noWrap/>
            <w:vAlign w:val="center"/>
          </w:tcPr>
          <w:p w14:paraId="1338EEF5" w14:textId="77777777" w:rsidR="00480192" w:rsidRPr="00F700F1"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3.9</w:t>
            </w:r>
          </w:p>
        </w:tc>
        <w:tc>
          <w:tcPr>
            <w:tcW w:w="514" w:type="pct"/>
            <w:shd w:val="clear" w:color="auto" w:fill="D9E2F3" w:themeFill="accent1" w:themeFillTint="33"/>
            <w:noWrap/>
            <w:vAlign w:val="center"/>
          </w:tcPr>
          <w:p w14:paraId="0A33F7DC" w14:textId="77777777" w:rsidR="00480192" w:rsidRPr="00F700F1"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4.2</w:t>
            </w:r>
          </w:p>
        </w:tc>
        <w:tc>
          <w:tcPr>
            <w:tcW w:w="514" w:type="pct"/>
            <w:shd w:val="clear" w:color="auto" w:fill="D9E2F3" w:themeFill="accent1" w:themeFillTint="33"/>
            <w:noWrap/>
            <w:vAlign w:val="center"/>
          </w:tcPr>
          <w:p w14:paraId="06B87802" w14:textId="77777777" w:rsidR="00480192" w:rsidRPr="00F700F1"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9.2</w:t>
            </w:r>
          </w:p>
        </w:tc>
        <w:tc>
          <w:tcPr>
            <w:tcW w:w="514" w:type="pct"/>
            <w:shd w:val="clear" w:color="auto" w:fill="D9E2F3" w:themeFill="accent1" w:themeFillTint="33"/>
            <w:noWrap/>
            <w:vAlign w:val="center"/>
          </w:tcPr>
          <w:p w14:paraId="6DE0AA55" w14:textId="77777777" w:rsidR="00480192" w:rsidRPr="00F700F1"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7.9</w:t>
            </w:r>
          </w:p>
        </w:tc>
        <w:tc>
          <w:tcPr>
            <w:tcW w:w="514" w:type="pct"/>
            <w:shd w:val="clear" w:color="auto" w:fill="D9E2F3" w:themeFill="accent1" w:themeFillTint="33"/>
            <w:noWrap/>
            <w:vAlign w:val="center"/>
          </w:tcPr>
          <w:p w14:paraId="5EF37544" w14:textId="77777777" w:rsidR="00480192" w:rsidRPr="00F700F1"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12.4</w:t>
            </w:r>
          </w:p>
        </w:tc>
        <w:tc>
          <w:tcPr>
            <w:tcW w:w="513" w:type="pct"/>
            <w:shd w:val="clear" w:color="auto" w:fill="D9E2F3" w:themeFill="accent1" w:themeFillTint="33"/>
            <w:noWrap/>
            <w:vAlign w:val="center"/>
          </w:tcPr>
          <w:p w14:paraId="3CE68B3E" w14:textId="77777777" w:rsidR="00480192" w:rsidRPr="00F700F1"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8.5</w:t>
            </w:r>
          </w:p>
        </w:tc>
      </w:tr>
      <w:tr w:rsidR="00480192" w:rsidRPr="00F700F1" w14:paraId="0A163A9A" w14:textId="77777777" w:rsidTr="008338CF">
        <w:trPr>
          <w:trHeight w:val="290"/>
        </w:trPr>
        <w:tc>
          <w:tcPr>
            <w:tcW w:w="1917" w:type="pct"/>
            <w:shd w:val="clear" w:color="auto" w:fill="auto"/>
            <w:noWrap/>
          </w:tcPr>
          <w:p w14:paraId="76791472" w14:textId="77777777" w:rsidR="00480192"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rPr>
                <w:sz w:val="20"/>
              </w:rPr>
            </w:pPr>
            <w:r>
              <w:rPr>
                <w:sz w:val="20"/>
              </w:rPr>
              <w:t>Communication</w:t>
            </w:r>
          </w:p>
        </w:tc>
        <w:tc>
          <w:tcPr>
            <w:tcW w:w="514" w:type="pct"/>
            <w:shd w:val="clear" w:color="auto" w:fill="auto"/>
            <w:noWrap/>
            <w:vAlign w:val="center"/>
          </w:tcPr>
          <w:p w14:paraId="1E124C95" w14:textId="77777777" w:rsidR="00480192"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3.8</w:t>
            </w:r>
          </w:p>
        </w:tc>
        <w:tc>
          <w:tcPr>
            <w:tcW w:w="514" w:type="pct"/>
            <w:shd w:val="clear" w:color="auto" w:fill="auto"/>
            <w:noWrap/>
            <w:vAlign w:val="center"/>
          </w:tcPr>
          <w:p w14:paraId="3F10AAA6" w14:textId="77777777" w:rsidR="00480192"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3.1</w:t>
            </w:r>
          </w:p>
        </w:tc>
        <w:tc>
          <w:tcPr>
            <w:tcW w:w="514" w:type="pct"/>
            <w:shd w:val="clear" w:color="auto" w:fill="auto"/>
            <w:noWrap/>
            <w:vAlign w:val="center"/>
          </w:tcPr>
          <w:p w14:paraId="7D6F76D2" w14:textId="77777777" w:rsidR="00480192"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2.9</w:t>
            </w:r>
          </w:p>
        </w:tc>
        <w:tc>
          <w:tcPr>
            <w:tcW w:w="514" w:type="pct"/>
            <w:shd w:val="clear" w:color="auto" w:fill="auto"/>
            <w:noWrap/>
            <w:vAlign w:val="center"/>
          </w:tcPr>
          <w:p w14:paraId="382E524C" w14:textId="77777777" w:rsidR="00480192"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2.8</w:t>
            </w:r>
          </w:p>
        </w:tc>
        <w:tc>
          <w:tcPr>
            <w:tcW w:w="514" w:type="pct"/>
            <w:shd w:val="clear" w:color="auto" w:fill="auto"/>
            <w:noWrap/>
            <w:vAlign w:val="center"/>
          </w:tcPr>
          <w:p w14:paraId="6417F8C3" w14:textId="77777777" w:rsidR="00480192"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2.4</w:t>
            </w:r>
          </w:p>
        </w:tc>
        <w:tc>
          <w:tcPr>
            <w:tcW w:w="513" w:type="pct"/>
            <w:shd w:val="clear" w:color="auto" w:fill="auto"/>
            <w:noWrap/>
            <w:vAlign w:val="center"/>
          </w:tcPr>
          <w:p w14:paraId="06AF31CD" w14:textId="77777777" w:rsidR="00480192"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2.8</w:t>
            </w:r>
          </w:p>
        </w:tc>
      </w:tr>
      <w:tr w:rsidR="00480192" w:rsidRPr="00F700F1" w14:paraId="15F9593D" w14:textId="77777777" w:rsidTr="008338CF">
        <w:trPr>
          <w:trHeight w:val="290"/>
        </w:trPr>
        <w:tc>
          <w:tcPr>
            <w:tcW w:w="1917" w:type="pct"/>
            <w:shd w:val="clear" w:color="auto" w:fill="D9E2F3" w:themeFill="accent1" w:themeFillTint="33"/>
            <w:noWrap/>
            <w:hideMark/>
          </w:tcPr>
          <w:p w14:paraId="11D2D11B" w14:textId="77777777" w:rsidR="00480192" w:rsidRPr="00F700F1"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rPr>
                <w:sz w:val="20"/>
              </w:rPr>
            </w:pPr>
            <w:r w:rsidRPr="00F700F1">
              <w:rPr>
                <w:sz w:val="20"/>
              </w:rPr>
              <w:t>Medical care and health expenses</w:t>
            </w:r>
          </w:p>
        </w:tc>
        <w:tc>
          <w:tcPr>
            <w:tcW w:w="514" w:type="pct"/>
            <w:shd w:val="clear" w:color="auto" w:fill="D9E2F3" w:themeFill="accent1" w:themeFillTint="33"/>
            <w:noWrap/>
            <w:vAlign w:val="center"/>
            <w:hideMark/>
          </w:tcPr>
          <w:p w14:paraId="5FACC443" w14:textId="77777777" w:rsidR="00480192" w:rsidRPr="00F700F1"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sidRPr="00F700F1">
              <w:rPr>
                <w:sz w:val="20"/>
              </w:rPr>
              <w:t>3.4</w:t>
            </w:r>
          </w:p>
        </w:tc>
        <w:tc>
          <w:tcPr>
            <w:tcW w:w="514" w:type="pct"/>
            <w:shd w:val="clear" w:color="auto" w:fill="D9E2F3" w:themeFill="accent1" w:themeFillTint="33"/>
            <w:noWrap/>
            <w:vAlign w:val="center"/>
            <w:hideMark/>
          </w:tcPr>
          <w:p w14:paraId="01F214D0" w14:textId="77777777" w:rsidR="00480192" w:rsidRPr="00F700F1"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sidRPr="00F700F1">
              <w:rPr>
                <w:sz w:val="20"/>
              </w:rPr>
              <w:t>5.7</w:t>
            </w:r>
          </w:p>
        </w:tc>
        <w:tc>
          <w:tcPr>
            <w:tcW w:w="514" w:type="pct"/>
            <w:shd w:val="clear" w:color="auto" w:fill="D9E2F3" w:themeFill="accent1" w:themeFillTint="33"/>
            <w:noWrap/>
            <w:vAlign w:val="center"/>
            <w:hideMark/>
          </w:tcPr>
          <w:p w14:paraId="3F151434" w14:textId="77777777" w:rsidR="00480192" w:rsidRPr="00F700F1"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sidRPr="00F700F1">
              <w:rPr>
                <w:sz w:val="20"/>
              </w:rPr>
              <w:t>4.5</w:t>
            </w:r>
          </w:p>
        </w:tc>
        <w:tc>
          <w:tcPr>
            <w:tcW w:w="514" w:type="pct"/>
            <w:shd w:val="clear" w:color="auto" w:fill="D9E2F3" w:themeFill="accent1" w:themeFillTint="33"/>
            <w:noWrap/>
            <w:vAlign w:val="center"/>
            <w:hideMark/>
          </w:tcPr>
          <w:p w14:paraId="26B4E1EA" w14:textId="77777777" w:rsidR="00480192" w:rsidRPr="00F700F1"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sidRPr="00F700F1">
              <w:rPr>
                <w:sz w:val="20"/>
              </w:rPr>
              <w:t>7.1</w:t>
            </w:r>
          </w:p>
        </w:tc>
        <w:tc>
          <w:tcPr>
            <w:tcW w:w="514" w:type="pct"/>
            <w:shd w:val="clear" w:color="auto" w:fill="D9E2F3" w:themeFill="accent1" w:themeFillTint="33"/>
            <w:noWrap/>
            <w:vAlign w:val="center"/>
            <w:hideMark/>
          </w:tcPr>
          <w:p w14:paraId="044BA262" w14:textId="77777777" w:rsidR="00480192" w:rsidRPr="00F700F1"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sidRPr="00F700F1">
              <w:rPr>
                <w:sz w:val="20"/>
              </w:rPr>
              <w:t>5.4</w:t>
            </w:r>
          </w:p>
        </w:tc>
        <w:tc>
          <w:tcPr>
            <w:tcW w:w="513" w:type="pct"/>
            <w:shd w:val="clear" w:color="auto" w:fill="D9E2F3" w:themeFill="accent1" w:themeFillTint="33"/>
            <w:noWrap/>
            <w:vAlign w:val="center"/>
            <w:hideMark/>
          </w:tcPr>
          <w:p w14:paraId="64A12AF1" w14:textId="77777777" w:rsidR="00480192" w:rsidRPr="00F700F1"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sidRPr="00F700F1">
              <w:rPr>
                <w:sz w:val="20"/>
              </w:rPr>
              <w:t>5.5</w:t>
            </w:r>
          </w:p>
        </w:tc>
      </w:tr>
      <w:tr w:rsidR="00480192" w:rsidRPr="00F700F1" w14:paraId="141EE3F8" w14:textId="77777777" w:rsidTr="008338CF">
        <w:trPr>
          <w:trHeight w:val="290"/>
        </w:trPr>
        <w:tc>
          <w:tcPr>
            <w:tcW w:w="1917" w:type="pct"/>
            <w:shd w:val="clear" w:color="auto" w:fill="FFFFFF" w:themeFill="background1"/>
            <w:noWrap/>
          </w:tcPr>
          <w:p w14:paraId="19E12C0A" w14:textId="77777777" w:rsidR="00480192" w:rsidRPr="00F700F1"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rPr>
                <w:sz w:val="20"/>
              </w:rPr>
            </w:pPr>
            <w:r>
              <w:rPr>
                <w:sz w:val="20"/>
              </w:rPr>
              <w:t>Clothing and footwear</w:t>
            </w:r>
          </w:p>
        </w:tc>
        <w:tc>
          <w:tcPr>
            <w:tcW w:w="514" w:type="pct"/>
            <w:shd w:val="clear" w:color="auto" w:fill="FFFFFF" w:themeFill="background1"/>
            <w:noWrap/>
            <w:vAlign w:val="center"/>
          </w:tcPr>
          <w:p w14:paraId="6E633BEB" w14:textId="77777777" w:rsidR="00480192" w:rsidRPr="00F700F1"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3.3</w:t>
            </w:r>
          </w:p>
        </w:tc>
        <w:tc>
          <w:tcPr>
            <w:tcW w:w="514" w:type="pct"/>
            <w:shd w:val="clear" w:color="auto" w:fill="FFFFFF" w:themeFill="background1"/>
            <w:noWrap/>
            <w:vAlign w:val="center"/>
          </w:tcPr>
          <w:p w14:paraId="6FFEA0BA" w14:textId="77777777" w:rsidR="00480192" w:rsidRPr="00F700F1"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3.0</w:t>
            </w:r>
          </w:p>
        </w:tc>
        <w:tc>
          <w:tcPr>
            <w:tcW w:w="514" w:type="pct"/>
            <w:shd w:val="clear" w:color="auto" w:fill="FFFFFF" w:themeFill="background1"/>
            <w:noWrap/>
            <w:vAlign w:val="center"/>
          </w:tcPr>
          <w:p w14:paraId="1668F13D" w14:textId="77777777" w:rsidR="00480192" w:rsidRPr="00F700F1"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4.6</w:t>
            </w:r>
          </w:p>
        </w:tc>
        <w:tc>
          <w:tcPr>
            <w:tcW w:w="514" w:type="pct"/>
            <w:shd w:val="clear" w:color="auto" w:fill="FFFFFF" w:themeFill="background1"/>
            <w:noWrap/>
            <w:vAlign w:val="center"/>
          </w:tcPr>
          <w:p w14:paraId="52FB79C4" w14:textId="77777777" w:rsidR="00480192" w:rsidRPr="00F700F1"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3.6</w:t>
            </w:r>
          </w:p>
        </w:tc>
        <w:tc>
          <w:tcPr>
            <w:tcW w:w="514" w:type="pct"/>
            <w:shd w:val="clear" w:color="auto" w:fill="FFFFFF" w:themeFill="background1"/>
            <w:noWrap/>
            <w:vAlign w:val="center"/>
          </w:tcPr>
          <w:p w14:paraId="147B2E6B" w14:textId="77777777" w:rsidR="00480192" w:rsidRPr="00F700F1"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2.5</w:t>
            </w:r>
          </w:p>
        </w:tc>
        <w:tc>
          <w:tcPr>
            <w:tcW w:w="513" w:type="pct"/>
            <w:shd w:val="clear" w:color="auto" w:fill="FFFFFF" w:themeFill="background1"/>
            <w:noWrap/>
            <w:vAlign w:val="center"/>
          </w:tcPr>
          <w:p w14:paraId="54B08D05" w14:textId="77777777" w:rsidR="00480192" w:rsidRPr="00F700F1"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3.2</w:t>
            </w:r>
          </w:p>
        </w:tc>
      </w:tr>
      <w:tr w:rsidR="00480192" w:rsidRPr="00F700F1" w14:paraId="2007E23A" w14:textId="77777777" w:rsidTr="008338CF">
        <w:trPr>
          <w:trHeight w:val="290"/>
        </w:trPr>
        <w:tc>
          <w:tcPr>
            <w:tcW w:w="1917" w:type="pct"/>
            <w:shd w:val="clear" w:color="auto" w:fill="D9E2F3" w:themeFill="accent1" w:themeFillTint="33"/>
            <w:noWrap/>
          </w:tcPr>
          <w:p w14:paraId="001C4AD5" w14:textId="77777777" w:rsidR="00480192"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rPr>
                <w:sz w:val="20"/>
              </w:rPr>
            </w:pPr>
            <w:r>
              <w:rPr>
                <w:sz w:val="20"/>
              </w:rPr>
              <w:t>Household services and operation</w:t>
            </w:r>
          </w:p>
        </w:tc>
        <w:tc>
          <w:tcPr>
            <w:tcW w:w="514" w:type="pct"/>
            <w:shd w:val="clear" w:color="auto" w:fill="D9E2F3" w:themeFill="accent1" w:themeFillTint="33"/>
            <w:noWrap/>
            <w:vAlign w:val="center"/>
          </w:tcPr>
          <w:p w14:paraId="586F8786" w14:textId="77777777" w:rsidR="00480192"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2.6</w:t>
            </w:r>
          </w:p>
        </w:tc>
        <w:tc>
          <w:tcPr>
            <w:tcW w:w="514" w:type="pct"/>
            <w:shd w:val="clear" w:color="auto" w:fill="D9E2F3" w:themeFill="accent1" w:themeFillTint="33"/>
            <w:noWrap/>
            <w:vAlign w:val="center"/>
          </w:tcPr>
          <w:p w14:paraId="49AEF7B9" w14:textId="77777777" w:rsidR="00480192"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5.2</w:t>
            </w:r>
          </w:p>
        </w:tc>
        <w:tc>
          <w:tcPr>
            <w:tcW w:w="514" w:type="pct"/>
            <w:shd w:val="clear" w:color="auto" w:fill="D9E2F3" w:themeFill="accent1" w:themeFillTint="33"/>
            <w:noWrap/>
            <w:vAlign w:val="center"/>
          </w:tcPr>
          <w:p w14:paraId="5862467A" w14:textId="77777777" w:rsidR="00480192"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3.5</w:t>
            </w:r>
          </w:p>
        </w:tc>
        <w:tc>
          <w:tcPr>
            <w:tcW w:w="514" w:type="pct"/>
            <w:shd w:val="clear" w:color="auto" w:fill="D9E2F3" w:themeFill="accent1" w:themeFillTint="33"/>
            <w:noWrap/>
            <w:vAlign w:val="center"/>
          </w:tcPr>
          <w:p w14:paraId="4D36A118" w14:textId="77777777" w:rsidR="00480192"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3.7</w:t>
            </w:r>
          </w:p>
        </w:tc>
        <w:tc>
          <w:tcPr>
            <w:tcW w:w="514" w:type="pct"/>
            <w:shd w:val="clear" w:color="auto" w:fill="D9E2F3" w:themeFill="accent1" w:themeFillTint="33"/>
            <w:noWrap/>
            <w:vAlign w:val="center"/>
          </w:tcPr>
          <w:p w14:paraId="43CEE957" w14:textId="77777777" w:rsidR="00480192"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2.4</w:t>
            </w:r>
          </w:p>
        </w:tc>
        <w:tc>
          <w:tcPr>
            <w:tcW w:w="513" w:type="pct"/>
            <w:shd w:val="clear" w:color="auto" w:fill="D9E2F3" w:themeFill="accent1" w:themeFillTint="33"/>
            <w:noWrap/>
            <w:vAlign w:val="center"/>
          </w:tcPr>
          <w:p w14:paraId="73DA7D5A" w14:textId="77777777" w:rsidR="00480192"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3.1</w:t>
            </w:r>
          </w:p>
        </w:tc>
      </w:tr>
      <w:tr w:rsidR="00480192" w:rsidRPr="00F700F1" w14:paraId="5E9031DD" w14:textId="77777777" w:rsidTr="008338CF">
        <w:trPr>
          <w:trHeight w:val="290"/>
        </w:trPr>
        <w:tc>
          <w:tcPr>
            <w:tcW w:w="1917" w:type="pct"/>
            <w:shd w:val="clear" w:color="auto" w:fill="FFFFFF" w:themeFill="background1"/>
            <w:noWrap/>
          </w:tcPr>
          <w:p w14:paraId="697EA0B6" w14:textId="77777777" w:rsidR="00480192"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rPr>
                <w:sz w:val="20"/>
              </w:rPr>
            </w:pPr>
            <w:r>
              <w:rPr>
                <w:sz w:val="20"/>
              </w:rPr>
              <w:t xml:space="preserve">Alcoholic beverages </w:t>
            </w:r>
          </w:p>
        </w:tc>
        <w:tc>
          <w:tcPr>
            <w:tcW w:w="514" w:type="pct"/>
            <w:shd w:val="clear" w:color="auto" w:fill="FFFFFF" w:themeFill="background1"/>
            <w:noWrap/>
            <w:vAlign w:val="center"/>
          </w:tcPr>
          <w:p w14:paraId="39E8578F" w14:textId="77777777" w:rsidR="00480192"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1.6</w:t>
            </w:r>
          </w:p>
        </w:tc>
        <w:tc>
          <w:tcPr>
            <w:tcW w:w="514" w:type="pct"/>
            <w:shd w:val="clear" w:color="auto" w:fill="FFFFFF" w:themeFill="background1"/>
            <w:noWrap/>
            <w:vAlign w:val="center"/>
          </w:tcPr>
          <w:p w14:paraId="2173E2F1" w14:textId="77777777" w:rsidR="00480192"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2.3</w:t>
            </w:r>
          </w:p>
        </w:tc>
        <w:tc>
          <w:tcPr>
            <w:tcW w:w="514" w:type="pct"/>
            <w:shd w:val="clear" w:color="auto" w:fill="FFFFFF" w:themeFill="background1"/>
            <w:noWrap/>
            <w:vAlign w:val="center"/>
          </w:tcPr>
          <w:p w14:paraId="75D5F0CB" w14:textId="77777777" w:rsidR="00480192"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2.2</w:t>
            </w:r>
          </w:p>
        </w:tc>
        <w:tc>
          <w:tcPr>
            <w:tcW w:w="514" w:type="pct"/>
            <w:shd w:val="clear" w:color="auto" w:fill="FFFFFF" w:themeFill="background1"/>
            <w:noWrap/>
            <w:vAlign w:val="center"/>
          </w:tcPr>
          <w:p w14:paraId="2B839342" w14:textId="77777777" w:rsidR="00480192"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2.1</w:t>
            </w:r>
          </w:p>
        </w:tc>
        <w:tc>
          <w:tcPr>
            <w:tcW w:w="514" w:type="pct"/>
            <w:shd w:val="clear" w:color="auto" w:fill="FFFFFF" w:themeFill="background1"/>
            <w:noWrap/>
            <w:vAlign w:val="center"/>
          </w:tcPr>
          <w:p w14:paraId="71B51A06" w14:textId="77777777" w:rsidR="00480192"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1.6</w:t>
            </w:r>
          </w:p>
        </w:tc>
        <w:tc>
          <w:tcPr>
            <w:tcW w:w="513" w:type="pct"/>
            <w:shd w:val="clear" w:color="auto" w:fill="FFFFFF" w:themeFill="background1"/>
            <w:noWrap/>
            <w:vAlign w:val="center"/>
          </w:tcPr>
          <w:p w14:paraId="4BB44A38" w14:textId="77777777" w:rsidR="00480192"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1.8</w:t>
            </w:r>
          </w:p>
        </w:tc>
      </w:tr>
      <w:tr w:rsidR="00480192" w:rsidRPr="00F700F1" w14:paraId="355E560E" w14:textId="77777777" w:rsidTr="008338CF">
        <w:trPr>
          <w:trHeight w:val="290"/>
        </w:trPr>
        <w:tc>
          <w:tcPr>
            <w:tcW w:w="1917" w:type="pct"/>
            <w:shd w:val="clear" w:color="auto" w:fill="D9E2F3" w:themeFill="accent1" w:themeFillTint="33"/>
            <w:noWrap/>
          </w:tcPr>
          <w:p w14:paraId="5CD5DE39" w14:textId="77777777" w:rsidR="00480192"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rPr>
                <w:sz w:val="20"/>
              </w:rPr>
            </w:pPr>
            <w:r>
              <w:rPr>
                <w:sz w:val="20"/>
              </w:rPr>
              <w:t>Education</w:t>
            </w:r>
          </w:p>
        </w:tc>
        <w:tc>
          <w:tcPr>
            <w:tcW w:w="514" w:type="pct"/>
            <w:shd w:val="clear" w:color="auto" w:fill="D9E2F3" w:themeFill="accent1" w:themeFillTint="33"/>
            <w:noWrap/>
            <w:vAlign w:val="center"/>
          </w:tcPr>
          <w:p w14:paraId="13BB22FA" w14:textId="77777777" w:rsidR="00480192"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1.6</w:t>
            </w:r>
          </w:p>
        </w:tc>
        <w:tc>
          <w:tcPr>
            <w:tcW w:w="514" w:type="pct"/>
            <w:shd w:val="clear" w:color="auto" w:fill="D9E2F3" w:themeFill="accent1" w:themeFillTint="33"/>
            <w:noWrap/>
            <w:vAlign w:val="center"/>
          </w:tcPr>
          <w:p w14:paraId="0D398460" w14:textId="77777777" w:rsidR="00480192"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6.3</w:t>
            </w:r>
          </w:p>
        </w:tc>
        <w:tc>
          <w:tcPr>
            <w:tcW w:w="514" w:type="pct"/>
            <w:shd w:val="clear" w:color="auto" w:fill="D9E2F3" w:themeFill="accent1" w:themeFillTint="33"/>
            <w:noWrap/>
            <w:vAlign w:val="center"/>
          </w:tcPr>
          <w:p w14:paraId="72980926" w14:textId="77777777" w:rsidR="00480192"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3.4</w:t>
            </w:r>
          </w:p>
        </w:tc>
        <w:tc>
          <w:tcPr>
            <w:tcW w:w="514" w:type="pct"/>
            <w:shd w:val="clear" w:color="auto" w:fill="D9E2F3" w:themeFill="accent1" w:themeFillTint="33"/>
            <w:noWrap/>
            <w:vAlign w:val="center"/>
          </w:tcPr>
          <w:p w14:paraId="4DA3F270" w14:textId="77777777" w:rsidR="00480192"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3.2</w:t>
            </w:r>
          </w:p>
        </w:tc>
        <w:tc>
          <w:tcPr>
            <w:tcW w:w="514" w:type="pct"/>
            <w:shd w:val="clear" w:color="auto" w:fill="D9E2F3" w:themeFill="accent1" w:themeFillTint="33"/>
            <w:noWrap/>
            <w:vAlign w:val="center"/>
          </w:tcPr>
          <w:p w14:paraId="25988170" w14:textId="77777777" w:rsidR="00480192"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4.6</w:t>
            </w:r>
          </w:p>
        </w:tc>
        <w:tc>
          <w:tcPr>
            <w:tcW w:w="513" w:type="pct"/>
            <w:shd w:val="clear" w:color="auto" w:fill="D9E2F3" w:themeFill="accent1" w:themeFillTint="33"/>
            <w:noWrap/>
            <w:vAlign w:val="center"/>
          </w:tcPr>
          <w:p w14:paraId="66AA7BDA" w14:textId="77777777" w:rsidR="00480192"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3.6</w:t>
            </w:r>
          </w:p>
        </w:tc>
      </w:tr>
      <w:tr w:rsidR="00480192" w:rsidRPr="00F700F1" w14:paraId="2577E148" w14:textId="77777777" w:rsidTr="008338CF">
        <w:trPr>
          <w:trHeight w:val="290"/>
        </w:trPr>
        <w:tc>
          <w:tcPr>
            <w:tcW w:w="1917" w:type="pct"/>
            <w:shd w:val="clear" w:color="auto" w:fill="FFFFFF" w:themeFill="background1"/>
            <w:noWrap/>
          </w:tcPr>
          <w:p w14:paraId="7F181439" w14:textId="77777777" w:rsidR="00480192"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rPr>
                <w:sz w:val="20"/>
              </w:rPr>
            </w:pPr>
            <w:r>
              <w:rPr>
                <w:sz w:val="20"/>
              </w:rPr>
              <w:t>Personal care</w:t>
            </w:r>
          </w:p>
        </w:tc>
        <w:tc>
          <w:tcPr>
            <w:tcW w:w="514" w:type="pct"/>
            <w:shd w:val="clear" w:color="auto" w:fill="FFFFFF" w:themeFill="background1"/>
            <w:noWrap/>
            <w:vAlign w:val="center"/>
          </w:tcPr>
          <w:p w14:paraId="59CCD74D" w14:textId="77777777" w:rsidR="00480192"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1.3</w:t>
            </w:r>
          </w:p>
        </w:tc>
        <w:tc>
          <w:tcPr>
            <w:tcW w:w="514" w:type="pct"/>
            <w:shd w:val="clear" w:color="auto" w:fill="FFFFFF" w:themeFill="background1"/>
            <w:noWrap/>
            <w:vAlign w:val="center"/>
          </w:tcPr>
          <w:p w14:paraId="226C83E9" w14:textId="77777777" w:rsidR="00480192"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2.7</w:t>
            </w:r>
          </w:p>
        </w:tc>
        <w:tc>
          <w:tcPr>
            <w:tcW w:w="514" w:type="pct"/>
            <w:shd w:val="clear" w:color="auto" w:fill="FFFFFF" w:themeFill="background1"/>
            <w:noWrap/>
            <w:vAlign w:val="center"/>
          </w:tcPr>
          <w:p w14:paraId="380D3A71" w14:textId="77777777" w:rsidR="00480192"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2.0</w:t>
            </w:r>
          </w:p>
        </w:tc>
        <w:tc>
          <w:tcPr>
            <w:tcW w:w="514" w:type="pct"/>
            <w:shd w:val="clear" w:color="auto" w:fill="FFFFFF" w:themeFill="background1"/>
            <w:noWrap/>
            <w:vAlign w:val="center"/>
          </w:tcPr>
          <w:p w14:paraId="6E87CEC0" w14:textId="77777777" w:rsidR="00480192"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1.6</w:t>
            </w:r>
          </w:p>
        </w:tc>
        <w:tc>
          <w:tcPr>
            <w:tcW w:w="514" w:type="pct"/>
            <w:shd w:val="clear" w:color="auto" w:fill="FFFFFF" w:themeFill="background1"/>
            <w:noWrap/>
            <w:vAlign w:val="center"/>
          </w:tcPr>
          <w:p w14:paraId="6B138373" w14:textId="77777777" w:rsidR="00480192"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1.5</w:t>
            </w:r>
          </w:p>
        </w:tc>
        <w:tc>
          <w:tcPr>
            <w:tcW w:w="513" w:type="pct"/>
            <w:shd w:val="clear" w:color="auto" w:fill="FFFFFF" w:themeFill="background1"/>
            <w:noWrap/>
            <w:vAlign w:val="center"/>
          </w:tcPr>
          <w:p w14:paraId="66A6BB9A" w14:textId="77777777" w:rsidR="00480192"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1.7</w:t>
            </w:r>
          </w:p>
        </w:tc>
      </w:tr>
      <w:tr w:rsidR="00480192" w:rsidRPr="00F700F1" w14:paraId="623F58FC" w14:textId="77777777" w:rsidTr="008338CF">
        <w:trPr>
          <w:trHeight w:val="290"/>
        </w:trPr>
        <w:tc>
          <w:tcPr>
            <w:tcW w:w="1917" w:type="pct"/>
            <w:tcBorders>
              <w:bottom w:val="single" w:sz="12" w:space="0" w:color="A6A6A6" w:themeColor="background1" w:themeShade="A6"/>
            </w:tcBorders>
            <w:shd w:val="clear" w:color="auto" w:fill="D9E2F3" w:themeFill="accent1" w:themeFillTint="33"/>
            <w:noWrap/>
          </w:tcPr>
          <w:p w14:paraId="030A54F0" w14:textId="77777777" w:rsidR="00480192"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rPr>
                <w:sz w:val="20"/>
              </w:rPr>
            </w:pPr>
            <w:r>
              <w:rPr>
                <w:sz w:val="20"/>
              </w:rPr>
              <w:t>Tobacco products</w:t>
            </w:r>
          </w:p>
        </w:tc>
        <w:tc>
          <w:tcPr>
            <w:tcW w:w="514" w:type="pct"/>
            <w:tcBorders>
              <w:bottom w:val="single" w:sz="12" w:space="0" w:color="A6A6A6" w:themeColor="background1" w:themeShade="A6"/>
            </w:tcBorders>
            <w:shd w:val="clear" w:color="auto" w:fill="D9E2F3" w:themeFill="accent1" w:themeFillTint="33"/>
            <w:noWrap/>
            <w:vAlign w:val="center"/>
          </w:tcPr>
          <w:p w14:paraId="3E691D21" w14:textId="77777777" w:rsidR="00480192"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0.3</w:t>
            </w:r>
          </w:p>
        </w:tc>
        <w:tc>
          <w:tcPr>
            <w:tcW w:w="514" w:type="pct"/>
            <w:tcBorders>
              <w:bottom w:val="single" w:sz="12" w:space="0" w:color="A6A6A6" w:themeColor="background1" w:themeShade="A6"/>
            </w:tcBorders>
            <w:shd w:val="clear" w:color="auto" w:fill="D9E2F3" w:themeFill="accent1" w:themeFillTint="33"/>
            <w:noWrap/>
            <w:vAlign w:val="center"/>
          </w:tcPr>
          <w:p w14:paraId="618F5FB1" w14:textId="77777777" w:rsidR="00480192"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1.1</w:t>
            </w:r>
          </w:p>
        </w:tc>
        <w:tc>
          <w:tcPr>
            <w:tcW w:w="514" w:type="pct"/>
            <w:tcBorders>
              <w:bottom w:val="single" w:sz="12" w:space="0" w:color="A6A6A6" w:themeColor="background1" w:themeShade="A6"/>
            </w:tcBorders>
            <w:shd w:val="clear" w:color="auto" w:fill="D9E2F3" w:themeFill="accent1" w:themeFillTint="33"/>
            <w:noWrap/>
            <w:vAlign w:val="center"/>
          </w:tcPr>
          <w:p w14:paraId="5456FEF0" w14:textId="77777777" w:rsidR="00480192"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0.8</w:t>
            </w:r>
          </w:p>
        </w:tc>
        <w:tc>
          <w:tcPr>
            <w:tcW w:w="514" w:type="pct"/>
            <w:tcBorders>
              <w:bottom w:val="single" w:sz="12" w:space="0" w:color="A6A6A6" w:themeColor="background1" w:themeShade="A6"/>
            </w:tcBorders>
            <w:shd w:val="clear" w:color="auto" w:fill="D9E2F3" w:themeFill="accent1" w:themeFillTint="33"/>
            <w:noWrap/>
            <w:vAlign w:val="center"/>
          </w:tcPr>
          <w:p w14:paraId="287F1DC6" w14:textId="77777777" w:rsidR="00480192"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0.2</w:t>
            </w:r>
          </w:p>
        </w:tc>
        <w:tc>
          <w:tcPr>
            <w:tcW w:w="514" w:type="pct"/>
            <w:tcBorders>
              <w:bottom w:val="single" w:sz="12" w:space="0" w:color="A6A6A6" w:themeColor="background1" w:themeShade="A6"/>
            </w:tcBorders>
            <w:shd w:val="clear" w:color="auto" w:fill="D9E2F3" w:themeFill="accent1" w:themeFillTint="33"/>
            <w:noWrap/>
            <w:vAlign w:val="center"/>
          </w:tcPr>
          <w:p w14:paraId="2FA5ED94" w14:textId="77777777" w:rsidR="00480192"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0.1</w:t>
            </w:r>
          </w:p>
        </w:tc>
        <w:tc>
          <w:tcPr>
            <w:tcW w:w="513" w:type="pct"/>
            <w:tcBorders>
              <w:bottom w:val="single" w:sz="12" w:space="0" w:color="A6A6A6" w:themeColor="background1" w:themeShade="A6"/>
            </w:tcBorders>
            <w:shd w:val="clear" w:color="auto" w:fill="D9E2F3" w:themeFill="accent1" w:themeFillTint="33"/>
            <w:noWrap/>
            <w:vAlign w:val="center"/>
          </w:tcPr>
          <w:p w14:paraId="0B980688" w14:textId="77777777" w:rsidR="00480192" w:rsidRDefault="0048019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0.4</w:t>
            </w:r>
          </w:p>
        </w:tc>
      </w:tr>
    </w:tbl>
    <w:p w14:paraId="1034D67A" w14:textId="77777777" w:rsidR="00D71F43" w:rsidRPr="006171DB" w:rsidRDefault="00D71F43" w:rsidP="00D71F43">
      <w:pPr>
        <w:pStyle w:val="Source"/>
      </w:pPr>
      <w:r>
        <w:t xml:space="preserve">Source: </w:t>
      </w:r>
      <w:r w:rsidRPr="00C65801">
        <w:t>ABS</w:t>
      </w:r>
      <w:r>
        <w:t>,</w:t>
      </w:r>
      <w:r w:rsidRPr="00C65801">
        <w:t xml:space="preserve"> ‘Table 21.1 Household Expenditure, Broad expenditure groups, Equivalised disposable household income quintiles, ACT’, </w:t>
      </w:r>
      <w:hyperlink r:id="rId16" w:history="1">
        <w:r w:rsidRPr="00C65801">
          <w:rPr>
            <w:rStyle w:val="Hyperlink"/>
            <w:i/>
            <w:iCs/>
          </w:rPr>
          <w:t>Household Expenditure Survey, Australia: Summary of Result</w:t>
        </w:r>
        <w:r>
          <w:rPr>
            <w:rStyle w:val="Hyperlink"/>
            <w:i/>
            <w:iCs/>
          </w:rPr>
          <w:t>s, 2015-16 financial year</w:t>
        </w:r>
      </w:hyperlink>
      <w:r w:rsidRPr="00C65801">
        <w:t xml:space="preserve">, </w:t>
      </w:r>
      <w:r>
        <w:t xml:space="preserve">ABS, 2017, </w:t>
      </w:r>
      <w:r w:rsidRPr="00C65801">
        <w:t>accessed 8 July 2021.</w:t>
      </w:r>
    </w:p>
    <w:p w14:paraId="1AF4BF8A" w14:textId="631047CF" w:rsidR="001E1ECE" w:rsidRDefault="004D6D29" w:rsidP="002568F8">
      <w:pPr>
        <w:pStyle w:val="Figuretabletitle"/>
      </w:pPr>
      <w:r>
        <w:lastRenderedPageBreak/>
        <w:t>Table</w:t>
      </w:r>
      <w:r w:rsidR="00C959FF">
        <w:t xml:space="preserve"> 2</w:t>
      </w:r>
      <w:r>
        <w:t xml:space="preserve"> CPI changes for key household expenditure areas, Canberra and Australia, Dec 2020</w:t>
      </w:r>
      <w:r w:rsidR="00986CF8">
        <w:t xml:space="preserve"> – Dec 2021 and Dec 2016 – Dec 2021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8"/>
        <w:gridCol w:w="1548"/>
        <w:gridCol w:w="1546"/>
        <w:gridCol w:w="1546"/>
        <w:gridCol w:w="1546"/>
      </w:tblGrid>
      <w:tr w:rsidR="00623E5C" w:rsidRPr="00623E5C" w14:paraId="702BC530" w14:textId="77777777" w:rsidTr="00B76E00">
        <w:trPr>
          <w:trHeight w:val="580"/>
          <w:tblHeader/>
        </w:trPr>
        <w:tc>
          <w:tcPr>
            <w:tcW w:w="1363" w:type="pct"/>
            <w:tcBorders>
              <w:top w:val="single" w:sz="12" w:space="0" w:color="A6A6A6" w:themeColor="background1" w:themeShade="A6"/>
              <w:bottom w:val="single" w:sz="12" w:space="0" w:color="A6A6A6" w:themeColor="background1" w:themeShade="A6"/>
            </w:tcBorders>
            <w:shd w:val="clear" w:color="auto" w:fill="auto"/>
            <w:hideMark/>
          </w:tcPr>
          <w:p w14:paraId="1D513FF7" w14:textId="77777777" w:rsidR="00623E5C" w:rsidRPr="00623E5C" w:rsidRDefault="00623E5C" w:rsidP="00623E5C">
            <w:pPr>
              <w:spacing w:before="80" w:after="60"/>
              <w:rPr>
                <w:b/>
                <w:sz w:val="16"/>
                <w:szCs w:val="16"/>
              </w:rPr>
            </w:pPr>
            <w:r w:rsidRPr="00623E5C">
              <w:rPr>
                <w:b/>
                <w:sz w:val="16"/>
                <w:szCs w:val="16"/>
              </w:rPr>
              <w:t>Cost of Living area</w:t>
            </w:r>
          </w:p>
        </w:tc>
        <w:tc>
          <w:tcPr>
            <w:tcW w:w="910" w:type="pct"/>
            <w:tcBorders>
              <w:top w:val="single" w:sz="12" w:space="0" w:color="A6A6A6" w:themeColor="background1" w:themeShade="A6"/>
              <w:bottom w:val="single" w:sz="12" w:space="0" w:color="A6A6A6" w:themeColor="background1" w:themeShade="A6"/>
            </w:tcBorders>
            <w:shd w:val="clear" w:color="auto" w:fill="auto"/>
            <w:hideMark/>
          </w:tcPr>
          <w:p w14:paraId="510FB27B" w14:textId="77777777" w:rsidR="00623E5C" w:rsidRPr="00623E5C" w:rsidRDefault="00623E5C" w:rsidP="00623E5C">
            <w:pPr>
              <w:spacing w:before="80" w:after="60"/>
              <w:jc w:val="center"/>
              <w:rPr>
                <w:b/>
                <w:sz w:val="16"/>
                <w:szCs w:val="16"/>
                <w:lang w:val="fr-BE"/>
              </w:rPr>
            </w:pPr>
            <w:r w:rsidRPr="00623E5C">
              <w:rPr>
                <w:b/>
                <w:sz w:val="16"/>
                <w:szCs w:val="16"/>
                <w:lang w:val="fr-BE"/>
              </w:rPr>
              <w:t>Canberra CPI Change - 1yr</w:t>
            </w:r>
          </w:p>
          <w:p w14:paraId="623F0B06" w14:textId="3D8CD27A" w:rsidR="00623E5C" w:rsidRPr="00623E5C" w:rsidRDefault="00623E5C" w:rsidP="00623E5C">
            <w:pPr>
              <w:spacing w:before="80" w:after="60"/>
              <w:jc w:val="center"/>
              <w:rPr>
                <w:b/>
                <w:sz w:val="16"/>
                <w:szCs w:val="16"/>
                <w:lang w:val="fr-BE"/>
              </w:rPr>
            </w:pPr>
            <w:r w:rsidRPr="00623E5C">
              <w:rPr>
                <w:b/>
                <w:sz w:val="16"/>
                <w:szCs w:val="16"/>
                <w:lang w:val="fr-BE"/>
              </w:rPr>
              <w:t>Dec</w:t>
            </w:r>
            <w:r>
              <w:rPr>
                <w:b/>
                <w:sz w:val="16"/>
                <w:szCs w:val="16"/>
                <w:lang w:val="fr-BE"/>
              </w:rPr>
              <w:t>20</w:t>
            </w:r>
            <w:r w:rsidRPr="00623E5C">
              <w:rPr>
                <w:b/>
                <w:sz w:val="16"/>
                <w:szCs w:val="16"/>
                <w:lang w:val="fr-BE"/>
              </w:rPr>
              <w:t>-Dec2</w:t>
            </w:r>
            <w:r>
              <w:rPr>
                <w:b/>
                <w:sz w:val="16"/>
                <w:szCs w:val="16"/>
                <w:lang w:val="fr-BE"/>
              </w:rPr>
              <w:t>1</w:t>
            </w:r>
          </w:p>
          <w:p w14:paraId="2796C610" w14:textId="77777777" w:rsidR="00623E5C" w:rsidRPr="00623E5C" w:rsidRDefault="00623E5C" w:rsidP="00623E5C">
            <w:pPr>
              <w:spacing w:before="80" w:after="60"/>
              <w:jc w:val="center"/>
              <w:rPr>
                <w:b/>
                <w:sz w:val="16"/>
                <w:szCs w:val="16"/>
              </w:rPr>
            </w:pPr>
            <w:r w:rsidRPr="00623E5C">
              <w:rPr>
                <w:b/>
                <w:sz w:val="16"/>
                <w:szCs w:val="16"/>
              </w:rPr>
              <w:t>(%)</w:t>
            </w:r>
          </w:p>
        </w:tc>
        <w:tc>
          <w:tcPr>
            <w:tcW w:w="909" w:type="pct"/>
            <w:tcBorders>
              <w:top w:val="single" w:sz="12" w:space="0" w:color="A6A6A6" w:themeColor="background1" w:themeShade="A6"/>
              <w:bottom w:val="single" w:sz="12" w:space="0" w:color="A6A6A6" w:themeColor="background1" w:themeShade="A6"/>
            </w:tcBorders>
            <w:shd w:val="clear" w:color="auto" w:fill="auto"/>
            <w:hideMark/>
          </w:tcPr>
          <w:p w14:paraId="5E392855" w14:textId="77777777" w:rsidR="00623E5C" w:rsidRPr="00623E5C" w:rsidRDefault="00623E5C" w:rsidP="00623E5C">
            <w:pPr>
              <w:spacing w:before="80" w:after="60"/>
              <w:jc w:val="center"/>
              <w:rPr>
                <w:b/>
                <w:sz w:val="16"/>
                <w:szCs w:val="16"/>
              </w:rPr>
            </w:pPr>
            <w:r w:rsidRPr="00623E5C">
              <w:rPr>
                <w:b/>
                <w:sz w:val="16"/>
                <w:szCs w:val="16"/>
              </w:rPr>
              <w:t>Australia CPI Change - 1yr</w:t>
            </w:r>
          </w:p>
          <w:p w14:paraId="51CD1A85" w14:textId="582A1BF1" w:rsidR="00623E5C" w:rsidRPr="00623E5C" w:rsidRDefault="00623E5C" w:rsidP="00623E5C">
            <w:pPr>
              <w:spacing w:before="80" w:after="60"/>
              <w:jc w:val="center"/>
              <w:rPr>
                <w:b/>
                <w:sz w:val="16"/>
                <w:szCs w:val="16"/>
              </w:rPr>
            </w:pPr>
            <w:r w:rsidRPr="00623E5C">
              <w:rPr>
                <w:b/>
                <w:sz w:val="16"/>
                <w:szCs w:val="16"/>
              </w:rPr>
              <w:t>Dec</w:t>
            </w:r>
            <w:r>
              <w:rPr>
                <w:b/>
                <w:sz w:val="16"/>
                <w:szCs w:val="16"/>
              </w:rPr>
              <w:t>20</w:t>
            </w:r>
            <w:r w:rsidRPr="00623E5C">
              <w:rPr>
                <w:b/>
                <w:sz w:val="16"/>
                <w:szCs w:val="16"/>
              </w:rPr>
              <w:t>-Dec2</w:t>
            </w:r>
            <w:r>
              <w:rPr>
                <w:b/>
                <w:sz w:val="16"/>
                <w:szCs w:val="16"/>
              </w:rPr>
              <w:t>1</w:t>
            </w:r>
          </w:p>
          <w:p w14:paraId="447F51C2" w14:textId="77777777" w:rsidR="00623E5C" w:rsidRPr="00623E5C" w:rsidRDefault="00623E5C" w:rsidP="00623E5C">
            <w:pPr>
              <w:spacing w:before="80" w:after="60"/>
              <w:jc w:val="center"/>
              <w:rPr>
                <w:b/>
                <w:sz w:val="16"/>
                <w:szCs w:val="16"/>
              </w:rPr>
            </w:pPr>
            <w:r w:rsidRPr="00623E5C">
              <w:rPr>
                <w:b/>
                <w:sz w:val="16"/>
                <w:szCs w:val="16"/>
              </w:rPr>
              <w:t>(%)</w:t>
            </w:r>
          </w:p>
        </w:tc>
        <w:tc>
          <w:tcPr>
            <w:tcW w:w="909" w:type="pct"/>
            <w:tcBorders>
              <w:top w:val="single" w:sz="12" w:space="0" w:color="A6A6A6" w:themeColor="background1" w:themeShade="A6"/>
              <w:bottom w:val="single" w:sz="12" w:space="0" w:color="A6A6A6" w:themeColor="background1" w:themeShade="A6"/>
            </w:tcBorders>
            <w:shd w:val="clear" w:color="auto" w:fill="auto"/>
            <w:hideMark/>
          </w:tcPr>
          <w:p w14:paraId="63705977" w14:textId="77777777" w:rsidR="00623E5C" w:rsidRPr="00623E5C" w:rsidRDefault="00623E5C" w:rsidP="00623E5C">
            <w:pPr>
              <w:spacing w:before="80" w:after="60"/>
              <w:jc w:val="center"/>
              <w:rPr>
                <w:b/>
                <w:sz w:val="16"/>
                <w:szCs w:val="16"/>
                <w:lang w:val="fr-BE"/>
              </w:rPr>
            </w:pPr>
            <w:r w:rsidRPr="00623E5C">
              <w:rPr>
                <w:b/>
                <w:sz w:val="16"/>
                <w:szCs w:val="16"/>
                <w:lang w:val="fr-BE"/>
              </w:rPr>
              <w:t>Canberra CPI change - 5yrs</w:t>
            </w:r>
          </w:p>
          <w:p w14:paraId="682509D6" w14:textId="257EDA64" w:rsidR="00623E5C" w:rsidRPr="00623E5C" w:rsidRDefault="00623E5C" w:rsidP="00623E5C">
            <w:pPr>
              <w:spacing w:before="80" w:after="60"/>
              <w:jc w:val="center"/>
              <w:rPr>
                <w:b/>
                <w:sz w:val="16"/>
                <w:szCs w:val="16"/>
                <w:lang w:val="fr-BE"/>
              </w:rPr>
            </w:pPr>
            <w:r w:rsidRPr="00623E5C">
              <w:rPr>
                <w:b/>
                <w:sz w:val="16"/>
                <w:szCs w:val="16"/>
                <w:lang w:val="fr-BE"/>
              </w:rPr>
              <w:t>Dec</w:t>
            </w:r>
            <w:r>
              <w:rPr>
                <w:b/>
                <w:sz w:val="16"/>
                <w:szCs w:val="16"/>
                <w:lang w:val="fr-BE"/>
              </w:rPr>
              <w:t>16</w:t>
            </w:r>
            <w:r w:rsidRPr="00623E5C">
              <w:rPr>
                <w:b/>
                <w:sz w:val="16"/>
                <w:szCs w:val="16"/>
                <w:lang w:val="fr-BE"/>
              </w:rPr>
              <w:t>-Dec2</w:t>
            </w:r>
            <w:r>
              <w:rPr>
                <w:b/>
                <w:sz w:val="16"/>
                <w:szCs w:val="16"/>
                <w:lang w:val="fr-BE"/>
              </w:rPr>
              <w:t>1</w:t>
            </w:r>
          </w:p>
          <w:p w14:paraId="6FF74E40" w14:textId="77777777" w:rsidR="00623E5C" w:rsidRPr="00623E5C" w:rsidRDefault="00623E5C" w:rsidP="00623E5C">
            <w:pPr>
              <w:spacing w:before="80" w:after="60"/>
              <w:jc w:val="center"/>
              <w:rPr>
                <w:b/>
                <w:sz w:val="16"/>
                <w:szCs w:val="16"/>
              </w:rPr>
            </w:pPr>
            <w:r w:rsidRPr="00623E5C">
              <w:rPr>
                <w:b/>
                <w:sz w:val="16"/>
                <w:szCs w:val="16"/>
              </w:rPr>
              <w:t>(%)</w:t>
            </w:r>
          </w:p>
        </w:tc>
        <w:tc>
          <w:tcPr>
            <w:tcW w:w="909" w:type="pct"/>
            <w:tcBorders>
              <w:top w:val="single" w:sz="12" w:space="0" w:color="A6A6A6" w:themeColor="background1" w:themeShade="A6"/>
              <w:bottom w:val="single" w:sz="12" w:space="0" w:color="A6A6A6" w:themeColor="background1" w:themeShade="A6"/>
            </w:tcBorders>
            <w:shd w:val="clear" w:color="auto" w:fill="auto"/>
            <w:hideMark/>
          </w:tcPr>
          <w:p w14:paraId="7D81E296" w14:textId="77777777" w:rsidR="00623E5C" w:rsidRPr="00623E5C" w:rsidRDefault="00623E5C" w:rsidP="00623E5C">
            <w:pPr>
              <w:spacing w:before="80" w:after="60"/>
              <w:jc w:val="center"/>
              <w:rPr>
                <w:b/>
                <w:sz w:val="16"/>
                <w:szCs w:val="16"/>
                <w:lang w:val="fr-BE"/>
              </w:rPr>
            </w:pPr>
            <w:r w:rsidRPr="00623E5C">
              <w:rPr>
                <w:b/>
                <w:sz w:val="16"/>
                <w:szCs w:val="16"/>
                <w:lang w:val="fr-BE"/>
              </w:rPr>
              <w:t>Australia CPI Change - 5yrs</w:t>
            </w:r>
          </w:p>
          <w:p w14:paraId="7ADE7FB6" w14:textId="711E0B00" w:rsidR="00623E5C" w:rsidRPr="00623E5C" w:rsidRDefault="00623E5C" w:rsidP="00623E5C">
            <w:pPr>
              <w:spacing w:before="80" w:after="60"/>
              <w:jc w:val="center"/>
              <w:rPr>
                <w:b/>
                <w:sz w:val="16"/>
                <w:szCs w:val="16"/>
                <w:lang w:val="fr-BE"/>
              </w:rPr>
            </w:pPr>
            <w:r w:rsidRPr="00623E5C">
              <w:rPr>
                <w:b/>
                <w:sz w:val="16"/>
                <w:szCs w:val="16"/>
                <w:lang w:val="fr-BE"/>
              </w:rPr>
              <w:t>Dec1</w:t>
            </w:r>
            <w:r>
              <w:rPr>
                <w:b/>
                <w:sz w:val="16"/>
                <w:szCs w:val="16"/>
                <w:lang w:val="fr-BE"/>
              </w:rPr>
              <w:t>6</w:t>
            </w:r>
            <w:r w:rsidRPr="00623E5C">
              <w:rPr>
                <w:b/>
                <w:sz w:val="16"/>
                <w:szCs w:val="16"/>
                <w:lang w:val="fr-BE"/>
              </w:rPr>
              <w:t>-Dec2</w:t>
            </w:r>
            <w:r>
              <w:rPr>
                <w:b/>
                <w:sz w:val="16"/>
                <w:szCs w:val="16"/>
                <w:lang w:val="fr-BE"/>
              </w:rPr>
              <w:t>1</w:t>
            </w:r>
          </w:p>
          <w:p w14:paraId="44D6669F" w14:textId="77777777" w:rsidR="00623E5C" w:rsidRPr="00623E5C" w:rsidRDefault="00623E5C" w:rsidP="00623E5C">
            <w:pPr>
              <w:spacing w:before="80" w:after="60"/>
              <w:jc w:val="center"/>
              <w:rPr>
                <w:b/>
                <w:sz w:val="16"/>
                <w:szCs w:val="16"/>
              </w:rPr>
            </w:pPr>
            <w:r w:rsidRPr="00623E5C">
              <w:rPr>
                <w:b/>
                <w:sz w:val="16"/>
                <w:szCs w:val="16"/>
              </w:rPr>
              <w:t>(%)</w:t>
            </w:r>
          </w:p>
        </w:tc>
      </w:tr>
      <w:tr w:rsidR="009901F8" w:rsidRPr="00623E5C" w14:paraId="6F293CCA" w14:textId="77777777" w:rsidTr="009901F8">
        <w:trPr>
          <w:trHeight w:val="13"/>
        </w:trPr>
        <w:tc>
          <w:tcPr>
            <w:tcW w:w="1363" w:type="pct"/>
            <w:tcBorders>
              <w:top w:val="single" w:sz="12" w:space="0" w:color="A6A6A6" w:themeColor="background1" w:themeShade="A6"/>
            </w:tcBorders>
            <w:shd w:val="clear" w:color="auto" w:fill="D9E2F3" w:themeFill="accent1" w:themeFillTint="33"/>
            <w:hideMark/>
          </w:tcPr>
          <w:p w14:paraId="5A38C410" w14:textId="77777777" w:rsidR="00AF78EB" w:rsidRPr="00623E5C" w:rsidRDefault="00AF78EB" w:rsidP="00AF78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b/>
                <w:sz w:val="16"/>
                <w:szCs w:val="16"/>
              </w:rPr>
            </w:pPr>
            <w:r w:rsidRPr="00623E5C">
              <w:rPr>
                <w:b/>
                <w:sz w:val="16"/>
                <w:szCs w:val="16"/>
              </w:rPr>
              <w:t xml:space="preserve">Food &amp; Non-Alcoholic Beverages </w:t>
            </w:r>
          </w:p>
        </w:tc>
        <w:tc>
          <w:tcPr>
            <w:tcW w:w="910" w:type="pct"/>
            <w:tcBorders>
              <w:top w:val="nil"/>
              <w:left w:val="nil"/>
              <w:bottom w:val="nil"/>
              <w:right w:val="nil"/>
            </w:tcBorders>
            <w:shd w:val="clear" w:color="auto" w:fill="B4C6E7" w:themeFill="accent1" w:themeFillTint="66"/>
            <w:noWrap/>
            <w:vAlign w:val="bottom"/>
          </w:tcPr>
          <w:p w14:paraId="4EC67CF1" w14:textId="24FB9522" w:rsidR="00AF78EB" w:rsidRPr="00623E5C" w:rsidRDefault="00AF78EB" w:rsidP="00AF78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1.9</w:t>
            </w:r>
          </w:p>
        </w:tc>
        <w:tc>
          <w:tcPr>
            <w:tcW w:w="909" w:type="pct"/>
            <w:tcBorders>
              <w:top w:val="nil"/>
              <w:left w:val="nil"/>
              <w:bottom w:val="nil"/>
              <w:right w:val="nil"/>
            </w:tcBorders>
            <w:shd w:val="clear" w:color="auto" w:fill="B4C6E7" w:themeFill="accent1" w:themeFillTint="66"/>
            <w:noWrap/>
            <w:vAlign w:val="bottom"/>
          </w:tcPr>
          <w:p w14:paraId="2FB40F4E" w14:textId="62950AF2" w:rsidR="00AF78EB" w:rsidRPr="00623E5C" w:rsidRDefault="00AF78EB" w:rsidP="00AF78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1.9</w:t>
            </w:r>
          </w:p>
        </w:tc>
        <w:tc>
          <w:tcPr>
            <w:tcW w:w="909" w:type="pct"/>
            <w:tcBorders>
              <w:top w:val="nil"/>
              <w:left w:val="nil"/>
              <w:bottom w:val="nil"/>
              <w:right w:val="nil"/>
            </w:tcBorders>
            <w:shd w:val="clear" w:color="auto" w:fill="8EAADB" w:themeFill="accent1" w:themeFillTint="99"/>
            <w:noWrap/>
            <w:vAlign w:val="bottom"/>
          </w:tcPr>
          <w:p w14:paraId="29BBF070" w14:textId="0AD1DEB4" w:rsidR="00AF78EB" w:rsidRPr="00623E5C" w:rsidRDefault="00AF78EB" w:rsidP="00AF78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8.0</w:t>
            </w:r>
          </w:p>
        </w:tc>
        <w:tc>
          <w:tcPr>
            <w:tcW w:w="909" w:type="pct"/>
            <w:tcBorders>
              <w:top w:val="nil"/>
              <w:left w:val="nil"/>
              <w:bottom w:val="nil"/>
              <w:right w:val="nil"/>
            </w:tcBorders>
            <w:shd w:val="clear" w:color="auto" w:fill="8EAADB" w:themeFill="accent1" w:themeFillTint="99"/>
            <w:noWrap/>
            <w:vAlign w:val="bottom"/>
          </w:tcPr>
          <w:p w14:paraId="2A03CF02" w14:textId="30594B60" w:rsidR="00AF78EB" w:rsidRPr="00623E5C" w:rsidRDefault="00AF78EB" w:rsidP="00AF78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8.2</w:t>
            </w:r>
          </w:p>
        </w:tc>
      </w:tr>
      <w:tr w:rsidR="009901F8" w:rsidRPr="00623E5C" w14:paraId="221BEAB5" w14:textId="77777777" w:rsidTr="009901F8">
        <w:trPr>
          <w:trHeight w:val="306"/>
        </w:trPr>
        <w:tc>
          <w:tcPr>
            <w:tcW w:w="1363" w:type="pct"/>
            <w:shd w:val="clear" w:color="auto" w:fill="D9E2F3" w:themeFill="accent1" w:themeFillTint="33"/>
            <w:hideMark/>
          </w:tcPr>
          <w:p w14:paraId="1C0E1303" w14:textId="77777777" w:rsidR="00AF78EB" w:rsidRPr="00623E5C" w:rsidRDefault="00AF78EB" w:rsidP="00AF78EB">
            <w:pPr>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sz w:val="16"/>
                <w:szCs w:val="16"/>
              </w:rPr>
            </w:pPr>
            <w:r w:rsidRPr="00623E5C">
              <w:rPr>
                <w:sz w:val="16"/>
                <w:szCs w:val="16"/>
              </w:rPr>
              <w:t>Bread and cereal products</w:t>
            </w:r>
          </w:p>
        </w:tc>
        <w:tc>
          <w:tcPr>
            <w:tcW w:w="910" w:type="pct"/>
            <w:tcBorders>
              <w:top w:val="nil"/>
              <w:left w:val="nil"/>
              <w:bottom w:val="nil"/>
              <w:right w:val="nil"/>
            </w:tcBorders>
            <w:shd w:val="clear" w:color="auto" w:fill="B4C6E7" w:themeFill="accent1" w:themeFillTint="66"/>
            <w:noWrap/>
            <w:vAlign w:val="bottom"/>
          </w:tcPr>
          <w:p w14:paraId="62FC16DB" w14:textId="6CAD6D40" w:rsidR="00AF78EB" w:rsidRPr="00623E5C" w:rsidRDefault="00AF78EB" w:rsidP="00AF78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0.9</w:t>
            </w:r>
          </w:p>
        </w:tc>
        <w:tc>
          <w:tcPr>
            <w:tcW w:w="909" w:type="pct"/>
            <w:tcBorders>
              <w:top w:val="nil"/>
              <w:left w:val="nil"/>
              <w:bottom w:val="nil"/>
              <w:right w:val="nil"/>
            </w:tcBorders>
            <w:shd w:val="clear" w:color="auto" w:fill="B4C6E7" w:themeFill="accent1" w:themeFillTint="66"/>
            <w:noWrap/>
            <w:vAlign w:val="bottom"/>
          </w:tcPr>
          <w:p w14:paraId="7C05B54F" w14:textId="5445261C" w:rsidR="00AF78EB" w:rsidRPr="00623E5C" w:rsidRDefault="00AF78EB" w:rsidP="00AF78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1.2</w:t>
            </w:r>
          </w:p>
        </w:tc>
        <w:tc>
          <w:tcPr>
            <w:tcW w:w="909" w:type="pct"/>
            <w:tcBorders>
              <w:top w:val="nil"/>
              <w:left w:val="nil"/>
              <w:bottom w:val="nil"/>
              <w:right w:val="nil"/>
            </w:tcBorders>
            <w:shd w:val="clear" w:color="auto" w:fill="8EAADB" w:themeFill="accent1" w:themeFillTint="99"/>
            <w:noWrap/>
            <w:vAlign w:val="bottom"/>
          </w:tcPr>
          <w:p w14:paraId="02098B2B" w14:textId="7BD3F5BB" w:rsidR="00AF78EB" w:rsidRPr="00623E5C" w:rsidRDefault="00AF78EB" w:rsidP="00AF78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4.3</w:t>
            </w:r>
          </w:p>
        </w:tc>
        <w:tc>
          <w:tcPr>
            <w:tcW w:w="909" w:type="pct"/>
            <w:tcBorders>
              <w:top w:val="nil"/>
              <w:left w:val="nil"/>
              <w:bottom w:val="nil"/>
              <w:right w:val="nil"/>
            </w:tcBorders>
            <w:shd w:val="clear" w:color="auto" w:fill="8EAADB" w:themeFill="accent1" w:themeFillTint="99"/>
            <w:noWrap/>
            <w:vAlign w:val="bottom"/>
          </w:tcPr>
          <w:p w14:paraId="432CA0A6" w14:textId="0D8706EA" w:rsidR="00AF78EB" w:rsidRPr="00623E5C" w:rsidRDefault="00AF78EB" w:rsidP="00AF78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5.6</w:t>
            </w:r>
          </w:p>
        </w:tc>
      </w:tr>
      <w:tr w:rsidR="009901F8" w:rsidRPr="00623E5C" w14:paraId="068E8446" w14:textId="77777777" w:rsidTr="009901F8">
        <w:trPr>
          <w:trHeight w:val="88"/>
        </w:trPr>
        <w:tc>
          <w:tcPr>
            <w:tcW w:w="1363" w:type="pct"/>
            <w:shd w:val="clear" w:color="auto" w:fill="D9E2F3" w:themeFill="accent1" w:themeFillTint="33"/>
            <w:hideMark/>
          </w:tcPr>
          <w:p w14:paraId="2407E98A" w14:textId="77777777" w:rsidR="00AF78EB" w:rsidRPr="00623E5C" w:rsidRDefault="00AF78EB" w:rsidP="00AF78EB">
            <w:pPr>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sz w:val="16"/>
                <w:szCs w:val="16"/>
              </w:rPr>
            </w:pPr>
            <w:r w:rsidRPr="00623E5C">
              <w:rPr>
                <w:sz w:val="16"/>
                <w:szCs w:val="16"/>
              </w:rPr>
              <w:t>Meat and seafoods</w:t>
            </w:r>
          </w:p>
        </w:tc>
        <w:tc>
          <w:tcPr>
            <w:tcW w:w="910" w:type="pct"/>
            <w:tcBorders>
              <w:top w:val="nil"/>
              <w:left w:val="nil"/>
              <w:bottom w:val="nil"/>
              <w:right w:val="nil"/>
            </w:tcBorders>
            <w:shd w:val="clear" w:color="auto" w:fill="B4C6E7" w:themeFill="accent1" w:themeFillTint="66"/>
            <w:noWrap/>
            <w:vAlign w:val="bottom"/>
          </w:tcPr>
          <w:p w14:paraId="5E97070E" w14:textId="1020FBC7" w:rsidR="00AF78EB" w:rsidRPr="00623E5C" w:rsidRDefault="00AF78EB" w:rsidP="00AF78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2.1</w:t>
            </w:r>
          </w:p>
        </w:tc>
        <w:tc>
          <w:tcPr>
            <w:tcW w:w="909" w:type="pct"/>
            <w:tcBorders>
              <w:top w:val="nil"/>
              <w:left w:val="nil"/>
              <w:bottom w:val="nil"/>
              <w:right w:val="nil"/>
            </w:tcBorders>
            <w:shd w:val="clear" w:color="auto" w:fill="B4C6E7" w:themeFill="accent1" w:themeFillTint="66"/>
            <w:noWrap/>
            <w:vAlign w:val="bottom"/>
          </w:tcPr>
          <w:p w14:paraId="62F69F91" w14:textId="5C67C0AE" w:rsidR="00AF78EB" w:rsidRPr="00623E5C" w:rsidRDefault="00AF78EB" w:rsidP="00AF78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2.5</w:t>
            </w:r>
          </w:p>
        </w:tc>
        <w:tc>
          <w:tcPr>
            <w:tcW w:w="909" w:type="pct"/>
            <w:tcBorders>
              <w:top w:val="nil"/>
              <w:left w:val="nil"/>
              <w:bottom w:val="nil"/>
              <w:right w:val="nil"/>
            </w:tcBorders>
            <w:shd w:val="clear" w:color="auto" w:fill="8EAADB" w:themeFill="accent1" w:themeFillTint="99"/>
            <w:noWrap/>
            <w:vAlign w:val="bottom"/>
          </w:tcPr>
          <w:p w14:paraId="2A5464B4" w14:textId="1357C6AE" w:rsidR="00AF78EB" w:rsidRPr="00623E5C" w:rsidRDefault="00AF78EB" w:rsidP="00AF78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15.8</w:t>
            </w:r>
          </w:p>
        </w:tc>
        <w:tc>
          <w:tcPr>
            <w:tcW w:w="909" w:type="pct"/>
            <w:tcBorders>
              <w:top w:val="nil"/>
              <w:left w:val="nil"/>
              <w:bottom w:val="nil"/>
              <w:right w:val="nil"/>
            </w:tcBorders>
            <w:shd w:val="clear" w:color="auto" w:fill="8EAADB" w:themeFill="accent1" w:themeFillTint="99"/>
            <w:noWrap/>
            <w:vAlign w:val="bottom"/>
          </w:tcPr>
          <w:p w14:paraId="02A81DDE" w14:textId="296DB12B" w:rsidR="00AF78EB" w:rsidRPr="00623E5C" w:rsidRDefault="00AF78EB" w:rsidP="00AF78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15.7</w:t>
            </w:r>
          </w:p>
        </w:tc>
      </w:tr>
      <w:tr w:rsidR="009901F8" w:rsidRPr="00623E5C" w14:paraId="0B03AB4D" w14:textId="77777777" w:rsidTr="009901F8">
        <w:trPr>
          <w:trHeight w:val="13"/>
        </w:trPr>
        <w:tc>
          <w:tcPr>
            <w:tcW w:w="1363" w:type="pct"/>
            <w:shd w:val="clear" w:color="auto" w:fill="D9E2F3" w:themeFill="accent1" w:themeFillTint="33"/>
            <w:hideMark/>
          </w:tcPr>
          <w:p w14:paraId="247534DF" w14:textId="77777777" w:rsidR="00AF78EB" w:rsidRPr="00623E5C" w:rsidRDefault="00AF78EB" w:rsidP="00AF78EB">
            <w:pPr>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sz w:val="16"/>
                <w:szCs w:val="16"/>
              </w:rPr>
            </w:pPr>
            <w:r w:rsidRPr="00623E5C">
              <w:rPr>
                <w:sz w:val="16"/>
                <w:szCs w:val="16"/>
              </w:rPr>
              <w:t>Dairy &amp; related products</w:t>
            </w:r>
          </w:p>
        </w:tc>
        <w:tc>
          <w:tcPr>
            <w:tcW w:w="910" w:type="pct"/>
            <w:tcBorders>
              <w:top w:val="nil"/>
              <w:left w:val="nil"/>
              <w:bottom w:val="nil"/>
              <w:right w:val="nil"/>
            </w:tcBorders>
            <w:shd w:val="clear" w:color="auto" w:fill="B4C6E7" w:themeFill="accent1" w:themeFillTint="66"/>
            <w:noWrap/>
            <w:vAlign w:val="bottom"/>
          </w:tcPr>
          <w:p w14:paraId="3F7A0567" w14:textId="70327BAF" w:rsidR="00AF78EB" w:rsidRPr="00623E5C" w:rsidRDefault="00AF78EB" w:rsidP="00AF78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1.9</w:t>
            </w:r>
          </w:p>
        </w:tc>
        <w:tc>
          <w:tcPr>
            <w:tcW w:w="909" w:type="pct"/>
            <w:tcBorders>
              <w:top w:val="nil"/>
              <w:left w:val="nil"/>
              <w:bottom w:val="nil"/>
              <w:right w:val="nil"/>
            </w:tcBorders>
            <w:shd w:val="clear" w:color="auto" w:fill="B4C6E7" w:themeFill="accent1" w:themeFillTint="66"/>
            <w:noWrap/>
            <w:vAlign w:val="bottom"/>
          </w:tcPr>
          <w:p w14:paraId="472E0610" w14:textId="5BBFEA33" w:rsidR="00AF78EB" w:rsidRPr="00623E5C" w:rsidRDefault="00AF78EB" w:rsidP="00AF78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1.8</w:t>
            </w:r>
          </w:p>
        </w:tc>
        <w:tc>
          <w:tcPr>
            <w:tcW w:w="909" w:type="pct"/>
            <w:tcBorders>
              <w:top w:val="nil"/>
              <w:left w:val="nil"/>
              <w:bottom w:val="nil"/>
              <w:right w:val="nil"/>
            </w:tcBorders>
            <w:shd w:val="clear" w:color="auto" w:fill="8EAADB" w:themeFill="accent1" w:themeFillTint="99"/>
            <w:noWrap/>
            <w:vAlign w:val="bottom"/>
          </w:tcPr>
          <w:p w14:paraId="4BAB7A77" w14:textId="6C8889A8" w:rsidR="00AF78EB" w:rsidRPr="00623E5C" w:rsidRDefault="00AF78EB" w:rsidP="00AF78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8.6</w:t>
            </w:r>
          </w:p>
        </w:tc>
        <w:tc>
          <w:tcPr>
            <w:tcW w:w="909" w:type="pct"/>
            <w:tcBorders>
              <w:top w:val="nil"/>
              <w:left w:val="nil"/>
              <w:bottom w:val="nil"/>
              <w:right w:val="nil"/>
            </w:tcBorders>
            <w:shd w:val="clear" w:color="auto" w:fill="8EAADB" w:themeFill="accent1" w:themeFillTint="99"/>
            <w:noWrap/>
            <w:vAlign w:val="bottom"/>
          </w:tcPr>
          <w:p w14:paraId="0C85FB3B" w14:textId="4D15D7C9" w:rsidR="00AF78EB" w:rsidRPr="00623E5C" w:rsidRDefault="00AF78EB" w:rsidP="00AF78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9.7</w:t>
            </w:r>
          </w:p>
        </w:tc>
      </w:tr>
      <w:tr w:rsidR="009901F8" w:rsidRPr="00623E5C" w14:paraId="35C28BC6" w14:textId="77777777" w:rsidTr="009901F8">
        <w:trPr>
          <w:trHeight w:val="13"/>
        </w:trPr>
        <w:tc>
          <w:tcPr>
            <w:tcW w:w="1363" w:type="pct"/>
            <w:shd w:val="clear" w:color="auto" w:fill="D9E2F3" w:themeFill="accent1" w:themeFillTint="33"/>
            <w:hideMark/>
          </w:tcPr>
          <w:p w14:paraId="26CF6A89" w14:textId="77777777" w:rsidR="00AF78EB" w:rsidRPr="00623E5C" w:rsidRDefault="00AF78EB" w:rsidP="00AF78EB">
            <w:pPr>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sz w:val="16"/>
                <w:szCs w:val="16"/>
              </w:rPr>
            </w:pPr>
            <w:r w:rsidRPr="00623E5C">
              <w:rPr>
                <w:sz w:val="16"/>
                <w:szCs w:val="16"/>
              </w:rPr>
              <w:t>Fruit and vegetables</w:t>
            </w:r>
          </w:p>
        </w:tc>
        <w:tc>
          <w:tcPr>
            <w:tcW w:w="910" w:type="pct"/>
            <w:tcBorders>
              <w:top w:val="nil"/>
              <w:left w:val="nil"/>
              <w:bottom w:val="nil"/>
              <w:right w:val="nil"/>
            </w:tcBorders>
            <w:shd w:val="clear" w:color="auto" w:fill="B4C6E7" w:themeFill="accent1" w:themeFillTint="66"/>
            <w:noWrap/>
            <w:vAlign w:val="bottom"/>
          </w:tcPr>
          <w:p w14:paraId="7E36E122" w14:textId="5A040745" w:rsidR="00AF78EB" w:rsidRPr="00623E5C" w:rsidRDefault="00AF78EB" w:rsidP="00AF78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0.1</w:t>
            </w:r>
          </w:p>
        </w:tc>
        <w:tc>
          <w:tcPr>
            <w:tcW w:w="909" w:type="pct"/>
            <w:tcBorders>
              <w:top w:val="nil"/>
              <w:left w:val="nil"/>
              <w:bottom w:val="nil"/>
              <w:right w:val="nil"/>
            </w:tcBorders>
            <w:shd w:val="clear" w:color="auto" w:fill="B4C6E7" w:themeFill="accent1" w:themeFillTint="66"/>
            <w:noWrap/>
            <w:vAlign w:val="bottom"/>
          </w:tcPr>
          <w:p w14:paraId="1A67CD9D" w14:textId="6797C652" w:rsidR="00AF78EB" w:rsidRPr="00623E5C" w:rsidRDefault="00AF78EB" w:rsidP="00AF78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0.2</w:t>
            </w:r>
          </w:p>
        </w:tc>
        <w:tc>
          <w:tcPr>
            <w:tcW w:w="909" w:type="pct"/>
            <w:tcBorders>
              <w:top w:val="nil"/>
              <w:left w:val="nil"/>
              <w:bottom w:val="nil"/>
              <w:right w:val="nil"/>
            </w:tcBorders>
            <w:shd w:val="clear" w:color="auto" w:fill="8EAADB" w:themeFill="accent1" w:themeFillTint="99"/>
            <w:noWrap/>
            <w:vAlign w:val="bottom"/>
          </w:tcPr>
          <w:p w14:paraId="1B47C80B" w14:textId="44A012FA" w:rsidR="00AF78EB" w:rsidRPr="00623E5C" w:rsidRDefault="00AF78EB" w:rsidP="00AF78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0.9</w:t>
            </w:r>
          </w:p>
        </w:tc>
        <w:tc>
          <w:tcPr>
            <w:tcW w:w="909" w:type="pct"/>
            <w:tcBorders>
              <w:top w:val="nil"/>
              <w:left w:val="nil"/>
              <w:bottom w:val="nil"/>
              <w:right w:val="nil"/>
            </w:tcBorders>
            <w:shd w:val="clear" w:color="auto" w:fill="8EAADB" w:themeFill="accent1" w:themeFillTint="99"/>
            <w:noWrap/>
            <w:vAlign w:val="bottom"/>
          </w:tcPr>
          <w:p w14:paraId="2BD216D4" w14:textId="4C04DCD5" w:rsidR="00AF78EB" w:rsidRPr="00623E5C" w:rsidRDefault="00AF78EB" w:rsidP="00AF78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2.6</w:t>
            </w:r>
          </w:p>
        </w:tc>
      </w:tr>
      <w:tr w:rsidR="009901F8" w:rsidRPr="00623E5C" w14:paraId="6E922690" w14:textId="77777777" w:rsidTr="009901F8">
        <w:trPr>
          <w:trHeight w:val="13"/>
        </w:trPr>
        <w:tc>
          <w:tcPr>
            <w:tcW w:w="1363" w:type="pct"/>
            <w:shd w:val="clear" w:color="auto" w:fill="D9E2F3" w:themeFill="accent1" w:themeFillTint="33"/>
            <w:hideMark/>
          </w:tcPr>
          <w:p w14:paraId="0378ECB9" w14:textId="77777777" w:rsidR="00AF78EB" w:rsidRPr="00623E5C" w:rsidRDefault="00AF78EB" w:rsidP="00AF78EB">
            <w:pPr>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sz w:val="16"/>
                <w:szCs w:val="16"/>
              </w:rPr>
            </w:pPr>
            <w:r w:rsidRPr="00623E5C">
              <w:rPr>
                <w:sz w:val="16"/>
                <w:szCs w:val="16"/>
              </w:rPr>
              <w:t xml:space="preserve">Food products </w:t>
            </w:r>
            <w:proofErr w:type="spellStart"/>
            <w:r w:rsidRPr="00623E5C">
              <w:rPr>
                <w:sz w:val="16"/>
                <w:szCs w:val="16"/>
              </w:rPr>
              <w:t>n.e.c.</w:t>
            </w:r>
            <w:proofErr w:type="spellEnd"/>
          </w:p>
        </w:tc>
        <w:tc>
          <w:tcPr>
            <w:tcW w:w="910" w:type="pct"/>
            <w:tcBorders>
              <w:top w:val="nil"/>
              <w:left w:val="nil"/>
              <w:bottom w:val="nil"/>
              <w:right w:val="nil"/>
            </w:tcBorders>
            <w:shd w:val="clear" w:color="auto" w:fill="B4C6E7" w:themeFill="accent1" w:themeFillTint="66"/>
            <w:noWrap/>
            <w:vAlign w:val="bottom"/>
          </w:tcPr>
          <w:p w14:paraId="511E14C0" w14:textId="7198B350" w:rsidR="00AF78EB" w:rsidRPr="00623E5C" w:rsidRDefault="00AF78EB" w:rsidP="00AF78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1.5</w:t>
            </w:r>
          </w:p>
        </w:tc>
        <w:tc>
          <w:tcPr>
            <w:tcW w:w="909" w:type="pct"/>
            <w:tcBorders>
              <w:top w:val="nil"/>
              <w:left w:val="nil"/>
              <w:bottom w:val="nil"/>
              <w:right w:val="nil"/>
            </w:tcBorders>
            <w:shd w:val="clear" w:color="auto" w:fill="B4C6E7" w:themeFill="accent1" w:themeFillTint="66"/>
            <w:noWrap/>
            <w:vAlign w:val="bottom"/>
          </w:tcPr>
          <w:p w14:paraId="0A0EF5A6" w14:textId="0A23FF66" w:rsidR="00AF78EB" w:rsidRPr="00623E5C" w:rsidRDefault="00AF78EB" w:rsidP="00AF78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1.6</w:t>
            </w:r>
          </w:p>
        </w:tc>
        <w:tc>
          <w:tcPr>
            <w:tcW w:w="909" w:type="pct"/>
            <w:tcBorders>
              <w:top w:val="nil"/>
              <w:left w:val="nil"/>
              <w:bottom w:val="nil"/>
              <w:right w:val="nil"/>
            </w:tcBorders>
            <w:shd w:val="clear" w:color="auto" w:fill="8EAADB" w:themeFill="accent1" w:themeFillTint="99"/>
            <w:noWrap/>
            <w:vAlign w:val="bottom"/>
          </w:tcPr>
          <w:p w14:paraId="7AF2AA5B" w14:textId="22099EEF" w:rsidR="00AF78EB" w:rsidRPr="00623E5C" w:rsidRDefault="00AF78EB" w:rsidP="00AF78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3.0</w:t>
            </w:r>
          </w:p>
        </w:tc>
        <w:tc>
          <w:tcPr>
            <w:tcW w:w="909" w:type="pct"/>
            <w:tcBorders>
              <w:top w:val="nil"/>
              <w:left w:val="nil"/>
              <w:bottom w:val="nil"/>
              <w:right w:val="nil"/>
            </w:tcBorders>
            <w:shd w:val="clear" w:color="auto" w:fill="8EAADB" w:themeFill="accent1" w:themeFillTint="99"/>
            <w:noWrap/>
            <w:vAlign w:val="bottom"/>
          </w:tcPr>
          <w:p w14:paraId="4A7E6915" w14:textId="6622F71C" w:rsidR="00AF78EB" w:rsidRPr="00623E5C" w:rsidRDefault="00AF78EB" w:rsidP="00AF78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3.4</w:t>
            </w:r>
          </w:p>
        </w:tc>
      </w:tr>
      <w:tr w:rsidR="009901F8" w:rsidRPr="00623E5C" w14:paraId="4EE51B3B" w14:textId="77777777" w:rsidTr="009901F8">
        <w:trPr>
          <w:trHeight w:val="13"/>
        </w:trPr>
        <w:tc>
          <w:tcPr>
            <w:tcW w:w="1363" w:type="pct"/>
            <w:shd w:val="clear" w:color="auto" w:fill="D9E2F3" w:themeFill="accent1" w:themeFillTint="33"/>
            <w:hideMark/>
          </w:tcPr>
          <w:p w14:paraId="77DE5DA4" w14:textId="77777777" w:rsidR="00AF78EB" w:rsidRPr="00623E5C" w:rsidRDefault="00AF78EB" w:rsidP="00AF78EB">
            <w:pPr>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sz w:val="16"/>
                <w:szCs w:val="16"/>
              </w:rPr>
            </w:pPr>
            <w:r w:rsidRPr="00623E5C">
              <w:rPr>
                <w:sz w:val="16"/>
                <w:szCs w:val="16"/>
              </w:rPr>
              <w:t>Non-alcoholic beverages</w:t>
            </w:r>
          </w:p>
        </w:tc>
        <w:tc>
          <w:tcPr>
            <w:tcW w:w="910" w:type="pct"/>
            <w:tcBorders>
              <w:top w:val="nil"/>
              <w:left w:val="nil"/>
              <w:bottom w:val="nil"/>
              <w:right w:val="nil"/>
            </w:tcBorders>
            <w:shd w:val="clear" w:color="auto" w:fill="B4C6E7" w:themeFill="accent1" w:themeFillTint="66"/>
            <w:noWrap/>
            <w:vAlign w:val="bottom"/>
          </w:tcPr>
          <w:p w14:paraId="28BB5C2F" w14:textId="666EE787" w:rsidR="00AF78EB" w:rsidRPr="00623E5C" w:rsidRDefault="00AF78EB" w:rsidP="00AF78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1.6</w:t>
            </w:r>
          </w:p>
        </w:tc>
        <w:tc>
          <w:tcPr>
            <w:tcW w:w="909" w:type="pct"/>
            <w:tcBorders>
              <w:top w:val="nil"/>
              <w:left w:val="nil"/>
              <w:bottom w:val="nil"/>
              <w:right w:val="nil"/>
            </w:tcBorders>
            <w:shd w:val="clear" w:color="auto" w:fill="B4C6E7" w:themeFill="accent1" w:themeFillTint="66"/>
            <w:noWrap/>
            <w:vAlign w:val="bottom"/>
          </w:tcPr>
          <w:p w14:paraId="36CC3770" w14:textId="47B517A2" w:rsidR="00AF78EB" w:rsidRPr="00623E5C" w:rsidRDefault="00AF78EB" w:rsidP="00AF78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2.0</w:t>
            </w:r>
          </w:p>
        </w:tc>
        <w:tc>
          <w:tcPr>
            <w:tcW w:w="909" w:type="pct"/>
            <w:tcBorders>
              <w:top w:val="nil"/>
              <w:left w:val="nil"/>
              <w:bottom w:val="nil"/>
              <w:right w:val="nil"/>
            </w:tcBorders>
            <w:shd w:val="clear" w:color="auto" w:fill="8EAADB" w:themeFill="accent1" w:themeFillTint="99"/>
            <w:noWrap/>
            <w:vAlign w:val="bottom"/>
          </w:tcPr>
          <w:p w14:paraId="53779EA6" w14:textId="095889C8" w:rsidR="00AF78EB" w:rsidRPr="00623E5C" w:rsidRDefault="00AF78EB" w:rsidP="00AF78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9.5</w:t>
            </w:r>
          </w:p>
        </w:tc>
        <w:tc>
          <w:tcPr>
            <w:tcW w:w="909" w:type="pct"/>
            <w:tcBorders>
              <w:top w:val="nil"/>
              <w:left w:val="nil"/>
              <w:bottom w:val="nil"/>
              <w:right w:val="nil"/>
            </w:tcBorders>
            <w:shd w:val="clear" w:color="auto" w:fill="8EAADB" w:themeFill="accent1" w:themeFillTint="99"/>
            <w:noWrap/>
            <w:vAlign w:val="bottom"/>
          </w:tcPr>
          <w:p w14:paraId="2F0E33C7" w14:textId="24AA6EA9" w:rsidR="00AF78EB" w:rsidRPr="00623E5C" w:rsidRDefault="00AF78EB" w:rsidP="00AF78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8.1</w:t>
            </w:r>
          </w:p>
        </w:tc>
      </w:tr>
      <w:tr w:rsidR="009901F8" w:rsidRPr="00623E5C" w14:paraId="638F354B" w14:textId="77777777" w:rsidTr="009901F8">
        <w:trPr>
          <w:trHeight w:val="13"/>
        </w:trPr>
        <w:tc>
          <w:tcPr>
            <w:tcW w:w="1363" w:type="pct"/>
            <w:shd w:val="clear" w:color="auto" w:fill="D9E2F3" w:themeFill="accent1" w:themeFillTint="33"/>
            <w:hideMark/>
          </w:tcPr>
          <w:p w14:paraId="46527A47" w14:textId="77777777" w:rsidR="00AF78EB" w:rsidRPr="00623E5C" w:rsidRDefault="00AF78EB" w:rsidP="00AF78EB">
            <w:pPr>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sz w:val="16"/>
                <w:szCs w:val="16"/>
              </w:rPr>
            </w:pPr>
            <w:r w:rsidRPr="00623E5C">
              <w:rPr>
                <w:sz w:val="16"/>
                <w:szCs w:val="16"/>
              </w:rPr>
              <w:t>Meals out and takeaway foods</w:t>
            </w:r>
          </w:p>
        </w:tc>
        <w:tc>
          <w:tcPr>
            <w:tcW w:w="910" w:type="pct"/>
            <w:tcBorders>
              <w:top w:val="nil"/>
              <w:left w:val="nil"/>
              <w:bottom w:val="nil"/>
              <w:right w:val="nil"/>
            </w:tcBorders>
            <w:shd w:val="clear" w:color="auto" w:fill="B4C6E7" w:themeFill="accent1" w:themeFillTint="66"/>
            <w:noWrap/>
            <w:vAlign w:val="bottom"/>
          </w:tcPr>
          <w:p w14:paraId="6529D972" w14:textId="39641B4B" w:rsidR="00AF78EB" w:rsidRPr="00623E5C" w:rsidRDefault="00AF78EB" w:rsidP="00AF78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2.7</w:t>
            </w:r>
          </w:p>
        </w:tc>
        <w:tc>
          <w:tcPr>
            <w:tcW w:w="909" w:type="pct"/>
            <w:tcBorders>
              <w:top w:val="nil"/>
              <w:left w:val="nil"/>
              <w:bottom w:val="nil"/>
              <w:right w:val="nil"/>
            </w:tcBorders>
            <w:shd w:val="clear" w:color="auto" w:fill="B4C6E7" w:themeFill="accent1" w:themeFillTint="66"/>
            <w:noWrap/>
            <w:vAlign w:val="bottom"/>
          </w:tcPr>
          <w:p w14:paraId="1187DA96" w14:textId="5077D42D" w:rsidR="00AF78EB" w:rsidRPr="00623E5C" w:rsidRDefault="00AF78EB" w:rsidP="00AF78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2.4</w:t>
            </w:r>
          </w:p>
        </w:tc>
        <w:tc>
          <w:tcPr>
            <w:tcW w:w="909" w:type="pct"/>
            <w:tcBorders>
              <w:top w:val="nil"/>
              <w:left w:val="nil"/>
              <w:bottom w:val="nil"/>
              <w:right w:val="nil"/>
            </w:tcBorders>
            <w:shd w:val="clear" w:color="auto" w:fill="8EAADB" w:themeFill="accent1" w:themeFillTint="99"/>
            <w:noWrap/>
            <w:vAlign w:val="bottom"/>
          </w:tcPr>
          <w:p w14:paraId="23D95CC0" w14:textId="2013AA93" w:rsidR="00AF78EB" w:rsidRPr="00623E5C" w:rsidRDefault="00AF78EB" w:rsidP="00AF78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11.1</w:t>
            </w:r>
          </w:p>
        </w:tc>
        <w:tc>
          <w:tcPr>
            <w:tcW w:w="909" w:type="pct"/>
            <w:tcBorders>
              <w:top w:val="nil"/>
              <w:left w:val="nil"/>
              <w:bottom w:val="nil"/>
              <w:right w:val="nil"/>
            </w:tcBorders>
            <w:shd w:val="clear" w:color="auto" w:fill="8EAADB" w:themeFill="accent1" w:themeFillTint="99"/>
            <w:noWrap/>
            <w:vAlign w:val="bottom"/>
          </w:tcPr>
          <w:p w14:paraId="64C7E453" w14:textId="2D839648" w:rsidR="00AF78EB" w:rsidRPr="00623E5C" w:rsidRDefault="00AF78EB" w:rsidP="00AF78E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10.5</w:t>
            </w:r>
          </w:p>
        </w:tc>
      </w:tr>
      <w:tr w:rsidR="00FA3493" w:rsidRPr="00623E5C" w14:paraId="1E9D2FFB" w14:textId="77777777" w:rsidTr="00623E5C">
        <w:trPr>
          <w:trHeight w:val="13"/>
        </w:trPr>
        <w:tc>
          <w:tcPr>
            <w:tcW w:w="1363" w:type="pct"/>
            <w:hideMark/>
          </w:tcPr>
          <w:p w14:paraId="07FC62BB" w14:textId="77777777" w:rsidR="00FA3493" w:rsidRPr="00623E5C" w:rsidRDefault="00FA3493" w:rsidP="00FA349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b/>
                <w:sz w:val="16"/>
                <w:szCs w:val="16"/>
              </w:rPr>
            </w:pPr>
            <w:r w:rsidRPr="00623E5C">
              <w:rPr>
                <w:b/>
                <w:sz w:val="16"/>
                <w:szCs w:val="16"/>
              </w:rPr>
              <w:t xml:space="preserve">Alcohol &amp; Tobacco </w:t>
            </w:r>
          </w:p>
        </w:tc>
        <w:tc>
          <w:tcPr>
            <w:tcW w:w="910" w:type="pct"/>
            <w:tcBorders>
              <w:top w:val="nil"/>
              <w:left w:val="nil"/>
              <w:bottom w:val="nil"/>
              <w:right w:val="nil"/>
            </w:tcBorders>
            <w:shd w:val="clear" w:color="auto" w:fill="auto"/>
            <w:noWrap/>
            <w:vAlign w:val="bottom"/>
          </w:tcPr>
          <w:p w14:paraId="7864434C" w14:textId="3CECF620" w:rsidR="00FA3493" w:rsidRPr="00623E5C" w:rsidRDefault="00FA3493" w:rsidP="00FA349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1.1</w:t>
            </w:r>
          </w:p>
        </w:tc>
        <w:tc>
          <w:tcPr>
            <w:tcW w:w="909" w:type="pct"/>
            <w:tcBorders>
              <w:top w:val="nil"/>
              <w:left w:val="nil"/>
              <w:bottom w:val="nil"/>
              <w:right w:val="nil"/>
            </w:tcBorders>
            <w:shd w:val="clear" w:color="auto" w:fill="auto"/>
            <w:noWrap/>
            <w:vAlign w:val="bottom"/>
          </w:tcPr>
          <w:p w14:paraId="3976B09F" w14:textId="69AAF347" w:rsidR="00FA3493" w:rsidRPr="00623E5C" w:rsidRDefault="00FA3493" w:rsidP="00FA349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1.1</w:t>
            </w:r>
          </w:p>
        </w:tc>
        <w:tc>
          <w:tcPr>
            <w:tcW w:w="909" w:type="pct"/>
            <w:tcBorders>
              <w:top w:val="nil"/>
              <w:left w:val="nil"/>
              <w:bottom w:val="nil"/>
              <w:right w:val="nil"/>
            </w:tcBorders>
            <w:shd w:val="clear" w:color="auto" w:fill="auto"/>
            <w:noWrap/>
            <w:vAlign w:val="bottom"/>
          </w:tcPr>
          <w:p w14:paraId="1962A0E6" w14:textId="5E43D9D6" w:rsidR="00FA3493" w:rsidRPr="00623E5C" w:rsidRDefault="00FA3493" w:rsidP="00FA349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31.2</w:t>
            </w:r>
          </w:p>
        </w:tc>
        <w:tc>
          <w:tcPr>
            <w:tcW w:w="909" w:type="pct"/>
            <w:tcBorders>
              <w:top w:val="nil"/>
              <w:left w:val="nil"/>
              <w:bottom w:val="nil"/>
              <w:right w:val="nil"/>
            </w:tcBorders>
            <w:shd w:val="clear" w:color="auto" w:fill="auto"/>
            <w:noWrap/>
            <w:vAlign w:val="bottom"/>
          </w:tcPr>
          <w:p w14:paraId="77C368EC" w14:textId="6C08C7EC" w:rsidR="00FA3493" w:rsidRPr="00623E5C" w:rsidRDefault="00FA3493" w:rsidP="00FA349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35.2</w:t>
            </w:r>
          </w:p>
        </w:tc>
      </w:tr>
      <w:tr w:rsidR="00FA3493" w:rsidRPr="00623E5C" w14:paraId="02F1944A" w14:textId="77777777" w:rsidTr="00623E5C">
        <w:trPr>
          <w:trHeight w:val="13"/>
        </w:trPr>
        <w:tc>
          <w:tcPr>
            <w:tcW w:w="1363" w:type="pct"/>
            <w:hideMark/>
          </w:tcPr>
          <w:p w14:paraId="0F46689C" w14:textId="77777777" w:rsidR="00FA3493" w:rsidRPr="00623E5C" w:rsidRDefault="00FA3493" w:rsidP="00FA3493">
            <w:pPr>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b/>
                <w:sz w:val="16"/>
                <w:szCs w:val="16"/>
              </w:rPr>
            </w:pPr>
            <w:r w:rsidRPr="00623E5C">
              <w:rPr>
                <w:b/>
                <w:sz w:val="16"/>
                <w:szCs w:val="16"/>
              </w:rPr>
              <w:t xml:space="preserve">Alcohol </w:t>
            </w:r>
          </w:p>
        </w:tc>
        <w:tc>
          <w:tcPr>
            <w:tcW w:w="910" w:type="pct"/>
            <w:tcBorders>
              <w:top w:val="nil"/>
              <w:left w:val="nil"/>
              <w:bottom w:val="nil"/>
              <w:right w:val="nil"/>
            </w:tcBorders>
            <w:shd w:val="clear" w:color="auto" w:fill="auto"/>
            <w:noWrap/>
            <w:vAlign w:val="bottom"/>
          </w:tcPr>
          <w:p w14:paraId="1B27D389" w14:textId="27EA9921" w:rsidR="00FA3493" w:rsidRPr="00623E5C" w:rsidRDefault="00FA3493" w:rsidP="00FA349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1.3</w:t>
            </w:r>
          </w:p>
        </w:tc>
        <w:tc>
          <w:tcPr>
            <w:tcW w:w="909" w:type="pct"/>
            <w:tcBorders>
              <w:top w:val="nil"/>
              <w:left w:val="nil"/>
              <w:bottom w:val="nil"/>
              <w:right w:val="nil"/>
            </w:tcBorders>
            <w:shd w:val="clear" w:color="auto" w:fill="auto"/>
            <w:noWrap/>
            <w:vAlign w:val="bottom"/>
          </w:tcPr>
          <w:p w14:paraId="61EADE59" w14:textId="6E014C25" w:rsidR="00FA3493" w:rsidRPr="00623E5C" w:rsidRDefault="00FA3493" w:rsidP="00FA349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1.1</w:t>
            </w:r>
          </w:p>
        </w:tc>
        <w:tc>
          <w:tcPr>
            <w:tcW w:w="909" w:type="pct"/>
            <w:tcBorders>
              <w:top w:val="nil"/>
              <w:left w:val="nil"/>
              <w:bottom w:val="nil"/>
              <w:right w:val="nil"/>
            </w:tcBorders>
            <w:shd w:val="clear" w:color="auto" w:fill="auto"/>
            <w:noWrap/>
            <w:vAlign w:val="bottom"/>
          </w:tcPr>
          <w:p w14:paraId="0A60E349" w14:textId="42D31A62" w:rsidR="00FA3493" w:rsidRPr="00623E5C" w:rsidRDefault="00FA3493" w:rsidP="00FA349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11.5</w:t>
            </w:r>
          </w:p>
        </w:tc>
        <w:tc>
          <w:tcPr>
            <w:tcW w:w="909" w:type="pct"/>
            <w:tcBorders>
              <w:top w:val="nil"/>
              <w:left w:val="nil"/>
              <w:bottom w:val="nil"/>
              <w:right w:val="nil"/>
            </w:tcBorders>
            <w:shd w:val="clear" w:color="auto" w:fill="auto"/>
            <w:noWrap/>
            <w:vAlign w:val="bottom"/>
          </w:tcPr>
          <w:p w14:paraId="41FC3106" w14:textId="37A7EDA8" w:rsidR="00FA3493" w:rsidRPr="00623E5C" w:rsidRDefault="00FA3493" w:rsidP="00FA349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9.1</w:t>
            </w:r>
          </w:p>
        </w:tc>
      </w:tr>
      <w:tr w:rsidR="00FA3493" w:rsidRPr="00623E5C" w14:paraId="4C55AE3E" w14:textId="77777777" w:rsidTr="00623E5C">
        <w:trPr>
          <w:trHeight w:val="23"/>
        </w:trPr>
        <w:tc>
          <w:tcPr>
            <w:tcW w:w="1363" w:type="pct"/>
            <w:hideMark/>
          </w:tcPr>
          <w:p w14:paraId="08D29DF3" w14:textId="77777777" w:rsidR="00FA3493" w:rsidRPr="00623E5C" w:rsidRDefault="00FA3493" w:rsidP="00FA3493">
            <w:pPr>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b/>
                <w:sz w:val="16"/>
                <w:szCs w:val="16"/>
              </w:rPr>
            </w:pPr>
            <w:r w:rsidRPr="00623E5C">
              <w:rPr>
                <w:b/>
                <w:sz w:val="16"/>
                <w:szCs w:val="16"/>
              </w:rPr>
              <w:t>Tobacco</w:t>
            </w:r>
          </w:p>
        </w:tc>
        <w:tc>
          <w:tcPr>
            <w:tcW w:w="910" w:type="pct"/>
            <w:tcBorders>
              <w:top w:val="nil"/>
              <w:left w:val="nil"/>
              <w:bottom w:val="nil"/>
              <w:right w:val="nil"/>
            </w:tcBorders>
            <w:shd w:val="clear" w:color="auto" w:fill="auto"/>
            <w:noWrap/>
            <w:vAlign w:val="bottom"/>
          </w:tcPr>
          <w:p w14:paraId="13021633" w14:textId="40550785" w:rsidR="00FA3493" w:rsidRPr="00623E5C" w:rsidRDefault="00FA3493" w:rsidP="00FA349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0.9</w:t>
            </w:r>
          </w:p>
        </w:tc>
        <w:tc>
          <w:tcPr>
            <w:tcW w:w="909" w:type="pct"/>
            <w:tcBorders>
              <w:top w:val="nil"/>
              <w:left w:val="nil"/>
              <w:bottom w:val="nil"/>
              <w:right w:val="nil"/>
            </w:tcBorders>
            <w:shd w:val="clear" w:color="auto" w:fill="auto"/>
            <w:noWrap/>
            <w:vAlign w:val="bottom"/>
          </w:tcPr>
          <w:p w14:paraId="521A5F5C" w14:textId="190E49B8" w:rsidR="00FA3493" w:rsidRPr="00623E5C" w:rsidRDefault="00FA3493" w:rsidP="00FA349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1.1</w:t>
            </w:r>
          </w:p>
        </w:tc>
        <w:tc>
          <w:tcPr>
            <w:tcW w:w="909" w:type="pct"/>
            <w:tcBorders>
              <w:top w:val="nil"/>
              <w:left w:val="nil"/>
              <w:bottom w:val="nil"/>
              <w:right w:val="nil"/>
            </w:tcBorders>
            <w:shd w:val="clear" w:color="auto" w:fill="auto"/>
            <w:noWrap/>
            <w:vAlign w:val="bottom"/>
          </w:tcPr>
          <w:p w14:paraId="58C929E5" w14:textId="542EC77F" w:rsidR="00FA3493" w:rsidRPr="00623E5C" w:rsidRDefault="00FA3493" w:rsidP="00FA349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82.1</w:t>
            </w:r>
          </w:p>
        </w:tc>
        <w:tc>
          <w:tcPr>
            <w:tcW w:w="909" w:type="pct"/>
            <w:tcBorders>
              <w:top w:val="nil"/>
              <w:left w:val="nil"/>
              <w:bottom w:val="nil"/>
              <w:right w:val="nil"/>
            </w:tcBorders>
            <w:shd w:val="clear" w:color="auto" w:fill="auto"/>
            <w:noWrap/>
            <w:vAlign w:val="bottom"/>
          </w:tcPr>
          <w:p w14:paraId="385913B4" w14:textId="21A8410F" w:rsidR="00FA3493" w:rsidRPr="00623E5C" w:rsidRDefault="00FA3493" w:rsidP="00FA349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82.9</w:t>
            </w:r>
          </w:p>
        </w:tc>
      </w:tr>
      <w:tr w:rsidR="00FA3493" w:rsidRPr="00623E5C" w14:paraId="1F311DAF" w14:textId="77777777" w:rsidTr="00FA3493">
        <w:trPr>
          <w:trHeight w:val="290"/>
        </w:trPr>
        <w:tc>
          <w:tcPr>
            <w:tcW w:w="1363" w:type="pct"/>
            <w:shd w:val="clear" w:color="auto" w:fill="D9E2F3" w:themeFill="accent1" w:themeFillTint="33"/>
            <w:hideMark/>
          </w:tcPr>
          <w:p w14:paraId="0E0A4FCD" w14:textId="77777777" w:rsidR="00FA3493" w:rsidRPr="00623E5C" w:rsidRDefault="00FA3493" w:rsidP="00FA349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b/>
                <w:sz w:val="16"/>
                <w:szCs w:val="16"/>
              </w:rPr>
            </w:pPr>
            <w:r w:rsidRPr="00623E5C">
              <w:rPr>
                <w:b/>
                <w:sz w:val="16"/>
                <w:szCs w:val="16"/>
              </w:rPr>
              <w:t>Clothing &amp; Footwear</w:t>
            </w:r>
          </w:p>
        </w:tc>
        <w:tc>
          <w:tcPr>
            <w:tcW w:w="910" w:type="pct"/>
            <w:tcBorders>
              <w:top w:val="nil"/>
              <w:left w:val="nil"/>
              <w:bottom w:val="nil"/>
              <w:right w:val="nil"/>
            </w:tcBorders>
            <w:shd w:val="clear" w:color="auto" w:fill="B4C6E7" w:themeFill="accent1" w:themeFillTint="66"/>
            <w:noWrap/>
            <w:vAlign w:val="bottom"/>
          </w:tcPr>
          <w:p w14:paraId="3CA425B1" w14:textId="1D9AE72B" w:rsidR="00FA3493" w:rsidRPr="00623E5C" w:rsidRDefault="00FA3493" w:rsidP="00FA349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-1.6</w:t>
            </w:r>
          </w:p>
        </w:tc>
        <w:tc>
          <w:tcPr>
            <w:tcW w:w="909" w:type="pct"/>
            <w:tcBorders>
              <w:top w:val="nil"/>
              <w:left w:val="nil"/>
              <w:bottom w:val="nil"/>
              <w:right w:val="nil"/>
            </w:tcBorders>
            <w:shd w:val="clear" w:color="auto" w:fill="B4C6E7" w:themeFill="accent1" w:themeFillTint="66"/>
            <w:noWrap/>
            <w:vAlign w:val="bottom"/>
          </w:tcPr>
          <w:p w14:paraId="0046D650" w14:textId="5AA32872" w:rsidR="00FA3493" w:rsidRPr="00623E5C" w:rsidRDefault="00FA3493" w:rsidP="00FA349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-0.3</w:t>
            </w:r>
          </w:p>
        </w:tc>
        <w:tc>
          <w:tcPr>
            <w:tcW w:w="909" w:type="pct"/>
            <w:tcBorders>
              <w:top w:val="nil"/>
              <w:left w:val="nil"/>
              <w:bottom w:val="nil"/>
              <w:right w:val="nil"/>
            </w:tcBorders>
            <w:shd w:val="clear" w:color="auto" w:fill="8EAADB" w:themeFill="accent1" w:themeFillTint="99"/>
            <w:noWrap/>
            <w:vAlign w:val="bottom"/>
          </w:tcPr>
          <w:p w14:paraId="38987AD4" w14:textId="405396B9" w:rsidR="00FA3493" w:rsidRPr="00623E5C" w:rsidRDefault="00FA3493" w:rsidP="00FA349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-3.8</w:t>
            </w:r>
          </w:p>
        </w:tc>
        <w:tc>
          <w:tcPr>
            <w:tcW w:w="909" w:type="pct"/>
            <w:tcBorders>
              <w:top w:val="nil"/>
              <w:left w:val="nil"/>
              <w:bottom w:val="nil"/>
              <w:right w:val="nil"/>
            </w:tcBorders>
            <w:shd w:val="clear" w:color="auto" w:fill="8EAADB" w:themeFill="accent1" w:themeFillTint="99"/>
            <w:noWrap/>
            <w:vAlign w:val="bottom"/>
          </w:tcPr>
          <w:p w14:paraId="4CACE099" w14:textId="61CA13F7" w:rsidR="00FA3493" w:rsidRPr="00623E5C" w:rsidRDefault="00FA3493" w:rsidP="00FA349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-3.8</w:t>
            </w:r>
          </w:p>
        </w:tc>
      </w:tr>
      <w:tr w:rsidR="007F3EE2" w:rsidRPr="00623E5C" w14:paraId="323A0DB7" w14:textId="77777777" w:rsidTr="00623E5C">
        <w:trPr>
          <w:trHeight w:val="13"/>
        </w:trPr>
        <w:tc>
          <w:tcPr>
            <w:tcW w:w="1363" w:type="pct"/>
            <w:hideMark/>
          </w:tcPr>
          <w:p w14:paraId="3A4C7CB8" w14:textId="77777777" w:rsidR="007F3EE2" w:rsidRPr="00623E5C" w:rsidRDefault="007F3EE2" w:rsidP="007F3EE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b/>
                <w:sz w:val="16"/>
                <w:szCs w:val="16"/>
              </w:rPr>
            </w:pPr>
            <w:r w:rsidRPr="00623E5C">
              <w:rPr>
                <w:b/>
                <w:bCs/>
                <w:sz w:val="16"/>
                <w:szCs w:val="16"/>
              </w:rPr>
              <w:t xml:space="preserve">Housing </w:t>
            </w:r>
          </w:p>
        </w:tc>
        <w:tc>
          <w:tcPr>
            <w:tcW w:w="910" w:type="pct"/>
            <w:tcBorders>
              <w:top w:val="nil"/>
              <w:left w:val="nil"/>
              <w:bottom w:val="nil"/>
              <w:right w:val="nil"/>
            </w:tcBorders>
            <w:shd w:val="clear" w:color="auto" w:fill="auto"/>
            <w:noWrap/>
            <w:vAlign w:val="bottom"/>
          </w:tcPr>
          <w:p w14:paraId="235976E3" w14:textId="5ADB485D" w:rsidR="007F3EE2" w:rsidRPr="00623E5C" w:rsidRDefault="007F3EE2" w:rsidP="007F3EE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5.1</w:t>
            </w:r>
          </w:p>
        </w:tc>
        <w:tc>
          <w:tcPr>
            <w:tcW w:w="909" w:type="pct"/>
            <w:tcBorders>
              <w:top w:val="nil"/>
              <w:left w:val="nil"/>
              <w:bottom w:val="nil"/>
              <w:right w:val="nil"/>
            </w:tcBorders>
            <w:shd w:val="clear" w:color="auto" w:fill="auto"/>
            <w:noWrap/>
            <w:vAlign w:val="bottom"/>
          </w:tcPr>
          <w:p w14:paraId="3A32A65A" w14:textId="2973F2E6" w:rsidR="007F3EE2" w:rsidRPr="00623E5C" w:rsidRDefault="007F3EE2" w:rsidP="007F3EE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4.0</w:t>
            </w:r>
          </w:p>
        </w:tc>
        <w:tc>
          <w:tcPr>
            <w:tcW w:w="909" w:type="pct"/>
            <w:tcBorders>
              <w:top w:val="nil"/>
              <w:left w:val="nil"/>
              <w:bottom w:val="nil"/>
              <w:right w:val="nil"/>
            </w:tcBorders>
            <w:shd w:val="clear" w:color="auto" w:fill="auto"/>
            <w:noWrap/>
            <w:vAlign w:val="bottom"/>
          </w:tcPr>
          <w:p w14:paraId="442493E6" w14:textId="603A3699" w:rsidR="007F3EE2" w:rsidRPr="00623E5C" w:rsidRDefault="007F3EE2" w:rsidP="007F3EE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19.0</w:t>
            </w:r>
          </w:p>
        </w:tc>
        <w:tc>
          <w:tcPr>
            <w:tcW w:w="909" w:type="pct"/>
            <w:tcBorders>
              <w:top w:val="nil"/>
              <w:left w:val="nil"/>
              <w:bottom w:val="nil"/>
              <w:right w:val="nil"/>
            </w:tcBorders>
            <w:shd w:val="clear" w:color="auto" w:fill="auto"/>
            <w:noWrap/>
            <w:vAlign w:val="bottom"/>
          </w:tcPr>
          <w:p w14:paraId="4A4ACA27" w14:textId="344D6BA4" w:rsidR="007F3EE2" w:rsidRPr="00623E5C" w:rsidRDefault="007F3EE2" w:rsidP="007F3EE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8.2</w:t>
            </w:r>
          </w:p>
        </w:tc>
      </w:tr>
      <w:tr w:rsidR="007F3EE2" w:rsidRPr="00623E5C" w14:paraId="4F8E498F" w14:textId="77777777" w:rsidTr="00623E5C">
        <w:trPr>
          <w:trHeight w:val="290"/>
        </w:trPr>
        <w:tc>
          <w:tcPr>
            <w:tcW w:w="1363" w:type="pct"/>
            <w:hideMark/>
          </w:tcPr>
          <w:p w14:paraId="782CED42" w14:textId="77777777" w:rsidR="007F3EE2" w:rsidRPr="00623E5C" w:rsidRDefault="007F3EE2" w:rsidP="007F3EE2">
            <w:pPr>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sz w:val="16"/>
                <w:szCs w:val="16"/>
              </w:rPr>
            </w:pPr>
            <w:r w:rsidRPr="00623E5C">
              <w:rPr>
                <w:sz w:val="16"/>
                <w:szCs w:val="16"/>
              </w:rPr>
              <w:t>Rents</w:t>
            </w:r>
          </w:p>
        </w:tc>
        <w:tc>
          <w:tcPr>
            <w:tcW w:w="910" w:type="pct"/>
            <w:tcBorders>
              <w:top w:val="nil"/>
              <w:left w:val="nil"/>
              <w:bottom w:val="nil"/>
              <w:right w:val="nil"/>
            </w:tcBorders>
            <w:shd w:val="clear" w:color="auto" w:fill="auto"/>
            <w:noWrap/>
            <w:vAlign w:val="bottom"/>
          </w:tcPr>
          <w:p w14:paraId="6E96FDA0" w14:textId="1927472D" w:rsidR="007F3EE2" w:rsidRPr="00623E5C" w:rsidRDefault="007F3EE2" w:rsidP="007F3EE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3.0</w:t>
            </w:r>
          </w:p>
        </w:tc>
        <w:tc>
          <w:tcPr>
            <w:tcW w:w="909" w:type="pct"/>
            <w:tcBorders>
              <w:top w:val="nil"/>
              <w:left w:val="nil"/>
              <w:bottom w:val="nil"/>
              <w:right w:val="nil"/>
            </w:tcBorders>
            <w:shd w:val="clear" w:color="auto" w:fill="auto"/>
            <w:noWrap/>
            <w:vAlign w:val="bottom"/>
          </w:tcPr>
          <w:p w14:paraId="318CDEAF" w14:textId="12E23F99" w:rsidR="007F3EE2" w:rsidRPr="00623E5C" w:rsidRDefault="007F3EE2" w:rsidP="007F3EE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0.4</w:t>
            </w:r>
          </w:p>
        </w:tc>
        <w:tc>
          <w:tcPr>
            <w:tcW w:w="909" w:type="pct"/>
            <w:tcBorders>
              <w:top w:val="nil"/>
              <w:left w:val="nil"/>
              <w:bottom w:val="nil"/>
              <w:right w:val="nil"/>
            </w:tcBorders>
            <w:shd w:val="clear" w:color="auto" w:fill="auto"/>
            <w:noWrap/>
            <w:vAlign w:val="bottom"/>
          </w:tcPr>
          <w:p w14:paraId="0447A749" w14:textId="0CAE978B" w:rsidR="007F3EE2" w:rsidRPr="00623E5C" w:rsidRDefault="007F3EE2" w:rsidP="007F3EE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13.1</w:t>
            </w:r>
          </w:p>
        </w:tc>
        <w:tc>
          <w:tcPr>
            <w:tcW w:w="909" w:type="pct"/>
            <w:tcBorders>
              <w:top w:val="nil"/>
              <w:left w:val="nil"/>
              <w:bottom w:val="nil"/>
              <w:right w:val="nil"/>
            </w:tcBorders>
            <w:shd w:val="clear" w:color="auto" w:fill="auto"/>
            <w:noWrap/>
            <w:vAlign w:val="bottom"/>
          </w:tcPr>
          <w:p w14:paraId="4BE9487A" w14:textId="20F86380" w:rsidR="007F3EE2" w:rsidRPr="00623E5C" w:rsidRDefault="007F3EE2" w:rsidP="007F3EE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0.7</w:t>
            </w:r>
          </w:p>
        </w:tc>
      </w:tr>
      <w:tr w:rsidR="007F3EE2" w:rsidRPr="00623E5C" w14:paraId="67A374E2" w14:textId="77777777" w:rsidTr="00B76E00">
        <w:trPr>
          <w:trHeight w:val="196"/>
        </w:trPr>
        <w:tc>
          <w:tcPr>
            <w:tcW w:w="1363" w:type="pct"/>
          </w:tcPr>
          <w:p w14:paraId="20A8D99A" w14:textId="77777777" w:rsidR="007F3EE2" w:rsidRPr="00623E5C" w:rsidRDefault="007F3EE2" w:rsidP="007F3EE2">
            <w:pPr>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sz w:val="16"/>
                <w:szCs w:val="16"/>
              </w:rPr>
            </w:pPr>
            <w:r w:rsidRPr="00623E5C">
              <w:rPr>
                <w:sz w:val="16"/>
                <w:szCs w:val="16"/>
              </w:rPr>
              <w:t>New dwelling purchase</w:t>
            </w:r>
          </w:p>
        </w:tc>
        <w:tc>
          <w:tcPr>
            <w:tcW w:w="910" w:type="pct"/>
            <w:tcBorders>
              <w:top w:val="nil"/>
              <w:left w:val="nil"/>
              <w:bottom w:val="nil"/>
              <w:right w:val="nil"/>
            </w:tcBorders>
            <w:shd w:val="clear" w:color="auto" w:fill="auto"/>
            <w:noWrap/>
            <w:vAlign w:val="bottom"/>
          </w:tcPr>
          <w:p w14:paraId="08B0BCF2" w14:textId="740DDB39" w:rsidR="007F3EE2" w:rsidRPr="00623E5C" w:rsidRDefault="007F3EE2" w:rsidP="007F3EE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bCs/>
                <w:sz w:val="16"/>
                <w:szCs w:val="16"/>
              </w:rPr>
            </w:pPr>
            <w:r>
              <w:rPr>
                <w:rFonts w:cs="Arial"/>
                <w:color w:val="000000"/>
                <w:sz w:val="16"/>
                <w:szCs w:val="16"/>
              </w:rPr>
              <w:t>8.0</w:t>
            </w:r>
          </w:p>
        </w:tc>
        <w:tc>
          <w:tcPr>
            <w:tcW w:w="909" w:type="pct"/>
            <w:tcBorders>
              <w:top w:val="nil"/>
              <w:left w:val="nil"/>
              <w:bottom w:val="nil"/>
              <w:right w:val="nil"/>
            </w:tcBorders>
            <w:shd w:val="clear" w:color="auto" w:fill="auto"/>
            <w:noWrap/>
            <w:vAlign w:val="bottom"/>
          </w:tcPr>
          <w:p w14:paraId="7F4D34C6" w14:textId="529FFC9D" w:rsidR="007F3EE2" w:rsidRPr="00623E5C" w:rsidRDefault="007F3EE2" w:rsidP="007F3EE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bCs/>
                <w:sz w:val="16"/>
                <w:szCs w:val="16"/>
              </w:rPr>
            </w:pPr>
            <w:r>
              <w:rPr>
                <w:rFonts w:cs="Arial"/>
                <w:color w:val="000000"/>
                <w:sz w:val="16"/>
                <w:szCs w:val="16"/>
              </w:rPr>
              <w:t>7.5</w:t>
            </w:r>
          </w:p>
        </w:tc>
        <w:tc>
          <w:tcPr>
            <w:tcW w:w="909" w:type="pct"/>
            <w:tcBorders>
              <w:top w:val="nil"/>
              <w:left w:val="nil"/>
              <w:bottom w:val="nil"/>
              <w:right w:val="nil"/>
            </w:tcBorders>
            <w:shd w:val="clear" w:color="auto" w:fill="auto"/>
            <w:noWrap/>
            <w:vAlign w:val="bottom"/>
          </w:tcPr>
          <w:p w14:paraId="4FEE9E38" w14:textId="5EAAE3E2" w:rsidR="007F3EE2" w:rsidRPr="00623E5C" w:rsidRDefault="007F3EE2" w:rsidP="007F3EE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bCs/>
                <w:sz w:val="16"/>
                <w:szCs w:val="16"/>
              </w:rPr>
            </w:pPr>
            <w:r>
              <w:rPr>
                <w:rFonts w:cs="Arial"/>
                <w:color w:val="000000"/>
                <w:sz w:val="16"/>
                <w:szCs w:val="16"/>
              </w:rPr>
              <w:t>18.0</w:t>
            </w:r>
          </w:p>
        </w:tc>
        <w:tc>
          <w:tcPr>
            <w:tcW w:w="909" w:type="pct"/>
            <w:tcBorders>
              <w:top w:val="nil"/>
              <w:left w:val="nil"/>
              <w:bottom w:val="nil"/>
              <w:right w:val="nil"/>
            </w:tcBorders>
            <w:shd w:val="clear" w:color="auto" w:fill="auto"/>
            <w:noWrap/>
            <w:vAlign w:val="bottom"/>
          </w:tcPr>
          <w:p w14:paraId="1038A1CA" w14:textId="5CF52E91" w:rsidR="007F3EE2" w:rsidRPr="00623E5C" w:rsidRDefault="007F3EE2" w:rsidP="007F3EE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bCs/>
                <w:sz w:val="16"/>
                <w:szCs w:val="16"/>
              </w:rPr>
            </w:pPr>
            <w:r>
              <w:rPr>
                <w:rFonts w:cs="Arial"/>
                <w:color w:val="000000"/>
                <w:sz w:val="16"/>
                <w:szCs w:val="16"/>
              </w:rPr>
              <w:t>14.7</w:t>
            </w:r>
          </w:p>
        </w:tc>
      </w:tr>
      <w:tr w:rsidR="007F3EE2" w:rsidRPr="00623E5C" w14:paraId="65CA88CC" w14:textId="77777777" w:rsidTr="00623E5C">
        <w:trPr>
          <w:trHeight w:val="196"/>
        </w:trPr>
        <w:tc>
          <w:tcPr>
            <w:tcW w:w="1363" w:type="pct"/>
            <w:hideMark/>
          </w:tcPr>
          <w:p w14:paraId="04C7EC47" w14:textId="77777777" w:rsidR="007F3EE2" w:rsidRPr="00623E5C" w:rsidRDefault="007F3EE2" w:rsidP="007F3EE2">
            <w:pPr>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sz w:val="16"/>
                <w:szCs w:val="16"/>
              </w:rPr>
            </w:pPr>
            <w:r w:rsidRPr="00623E5C">
              <w:rPr>
                <w:sz w:val="16"/>
                <w:szCs w:val="16"/>
              </w:rPr>
              <w:t>Property rates &amp; charges</w:t>
            </w:r>
          </w:p>
        </w:tc>
        <w:tc>
          <w:tcPr>
            <w:tcW w:w="910" w:type="pct"/>
            <w:tcBorders>
              <w:top w:val="nil"/>
              <w:left w:val="nil"/>
              <w:bottom w:val="nil"/>
              <w:right w:val="nil"/>
            </w:tcBorders>
            <w:shd w:val="clear" w:color="auto" w:fill="auto"/>
            <w:noWrap/>
            <w:vAlign w:val="bottom"/>
          </w:tcPr>
          <w:p w14:paraId="04C02209" w14:textId="450845DF" w:rsidR="007F3EE2" w:rsidRPr="00623E5C" w:rsidRDefault="007F3EE2" w:rsidP="007F3EE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10.1</w:t>
            </w:r>
          </w:p>
        </w:tc>
        <w:tc>
          <w:tcPr>
            <w:tcW w:w="909" w:type="pct"/>
            <w:tcBorders>
              <w:top w:val="nil"/>
              <w:left w:val="nil"/>
              <w:bottom w:val="nil"/>
              <w:right w:val="nil"/>
            </w:tcBorders>
            <w:shd w:val="clear" w:color="auto" w:fill="auto"/>
            <w:noWrap/>
            <w:vAlign w:val="bottom"/>
          </w:tcPr>
          <w:p w14:paraId="59E65643" w14:textId="696D43A4" w:rsidR="007F3EE2" w:rsidRPr="00623E5C" w:rsidRDefault="007F3EE2" w:rsidP="007F3EE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3.3</w:t>
            </w:r>
          </w:p>
        </w:tc>
        <w:tc>
          <w:tcPr>
            <w:tcW w:w="909" w:type="pct"/>
            <w:tcBorders>
              <w:top w:val="nil"/>
              <w:left w:val="nil"/>
              <w:bottom w:val="nil"/>
              <w:right w:val="nil"/>
            </w:tcBorders>
            <w:shd w:val="clear" w:color="auto" w:fill="auto"/>
            <w:noWrap/>
            <w:vAlign w:val="bottom"/>
          </w:tcPr>
          <w:p w14:paraId="74881B82" w14:textId="1FC8DD4C" w:rsidR="007F3EE2" w:rsidRPr="00623E5C" w:rsidRDefault="007F3EE2" w:rsidP="007F3EE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36.9</w:t>
            </w:r>
          </w:p>
        </w:tc>
        <w:tc>
          <w:tcPr>
            <w:tcW w:w="909" w:type="pct"/>
            <w:tcBorders>
              <w:top w:val="nil"/>
              <w:left w:val="nil"/>
              <w:bottom w:val="nil"/>
              <w:right w:val="nil"/>
            </w:tcBorders>
            <w:shd w:val="clear" w:color="auto" w:fill="auto"/>
            <w:noWrap/>
            <w:vAlign w:val="bottom"/>
          </w:tcPr>
          <w:p w14:paraId="24943BE5" w14:textId="77DE639B" w:rsidR="007F3EE2" w:rsidRPr="00623E5C" w:rsidRDefault="007F3EE2" w:rsidP="007F3EE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12.6</w:t>
            </w:r>
          </w:p>
        </w:tc>
      </w:tr>
      <w:tr w:rsidR="007F3EE2" w:rsidRPr="00623E5C" w14:paraId="0B48CF60" w14:textId="77777777" w:rsidTr="00623E5C">
        <w:trPr>
          <w:trHeight w:val="290"/>
        </w:trPr>
        <w:tc>
          <w:tcPr>
            <w:tcW w:w="1363" w:type="pct"/>
            <w:hideMark/>
          </w:tcPr>
          <w:p w14:paraId="25EED453" w14:textId="77777777" w:rsidR="007F3EE2" w:rsidRPr="00623E5C" w:rsidRDefault="007F3EE2" w:rsidP="007F3EE2">
            <w:pPr>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sz w:val="16"/>
                <w:szCs w:val="16"/>
              </w:rPr>
            </w:pPr>
            <w:r w:rsidRPr="00623E5C">
              <w:rPr>
                <w:sz w:val="16"/>
                <w:szCs w:val="16"/>
              </w:rPr>
              <w:t>Utilities</w:t>
            </w:r>
          </w:p>
        </w:tc>
        <w:tc>
          <w:tcPr>
            <w:tcW w:w="910" w:type="pct"/>
            <w:tcBorders>
              <w:top w:val="nil"/>
              <w:left w:val="nil"/>
              <w:bottom w:val="nil"/>
              <w:right w:val="nil"/>
            </w:tcBorders>
            <w:shd w:val="clear" w:color="auto" w:fill="auto"/>
            <w:noWrap/>
            <w:vAlign w:val="bottom"/>
          </w:tcPr>
          <w:p w14:paraId="5654424D" w14:textId="29A01796" w:rsidR="007F3EE2" w:rsidRPr="00623E5C" w:rsidRDefault="007F3EE2" w:rsidP="007F3EE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0.9</w:t>
            </w:r>
          </w:p>
        </w:tc>
        <w:tc>
          <w:tcPr>
            <w:tcW w:w="909" w:type="pct"/>
            <w:tcBorders>
              <w:top w:val="nil"/>
              <w:left w:val="nil"/>
              <w:bottom w:val="nil"/>
              <w:right w:val="nil"/>
            </w:tcBorders>
            <w:shd w:val="clear" w:color="auto" w:fill="auto"/>
            <w:noWrap/>
            <w:vAlign w:val="bottom"/>
          </w:tcPr>
          <w:p w14:paraId="79806F1E" w14:textId="7DB5AD14" w:rsidR="007F3EE2" w:rsidRPr="00623E5C" w:rsidRDefault="007F3EE2" w:rsidP="007F3EE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2.3</w:t>
            </w:r>
          </w:p>
        </w:tc>
        <w:tc>
          <w:tcPr>
            <w:tcW w:w="909" w:type="pct"/>
            <w:tcBorders>
              <w:top w:val="nil"/>
              <w:left w:val="nil"/>
              <w:bottom w:val="nil"/>
              <w:right w:val="nil"/>
            </w:tcBorders>
            <w:shd w:val="clear" w:color="auto" w:fill="auto"/>
            <w:noWrap/>
            <w:vAlign w:val="bottom"/>
          </w:tcPr>
          <w:p w14:paraId="4F33C85C" w14:textId="3DBDE56E" w:rsidR="007F3EE2" w:rsidRPr="00623E5C" w:rsidRDefault="007F3EE2" w:rsidP="007F3EE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21.0</w:t>
            </w:r>
          </w:p>
        </w:tc>
        <w:tc>
          <w:tcPr>
            <w:tcW w:w="909" w:type="pct"/>
            <w:tcBorders>
              <w:top w:val="nil"/>
              <w:left w:val="nil"/>
              <w:bottom w:val="nil"/>
              <w:right w:val="nil"/>
            </w:tcBorders>
            <w:shd w:val="clear" w:color="auto" w:fill="auto"/>
            <w:noWrap/>
            <w:vAlign w:val="bottom"/>
          </w:tcPr>
          <w:p w14:paraId="109A5202" w14:textId="39178EE5" w:rsidR="007F3EE2" w:rsidRPr="00623E5C" w:rsidRDefault="007F3EE2" w:rsidP="007F3EE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5.2</w:t>
            </w:r>
          </w:p>
        </w:tc>
      </w:tr>
      <w:tr w:rsidR="007F3EE2" w:rsidRPr="00623E5C" w14:paraId="447BED3A" w14:textId="77777777" w:rsidTr="00623E5C">
        <w:trPr>
          <w:trHeight w:val="13"/>
        </w:trPr>
        <w:tc>
          <w:tcPr>
            <w:tcW w:w="1363" w:type="pct"/>
            <w:hideMark/>
          </w:tcPr>
          <w:p w14:paraId="034855A5" w14:textId="77777777" w:rsidR="007F3EE2" w:rsidRPr="00623E5C" w:rsidRDefault="007F3EE2" w:rsidP="007F3EE2">
            <w:pPr>
              <w:numPr>
                <w:ilvl w:val="1"/>
                <w:numId w:val="6"/>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i/>
                <w:sz w:val="16"/>
                <w:szCs w:val="16"/>
              </w:rPr>
            </w:pPr>
            <w:r w:rsidRPr="00623E5C">
              <w:rPr>
                <w:i/>
                <w:sz w:val="16"/>
                <w:szCs w:val="16"/>
              </w:rPr>
              <w:t>Water &amp; sewerage</w:t>
            </w:r>
          </w:p>
        </w:tc>
        <w:tc>
          <w:tcPr>
            <w:tcW w:w="910" w:type="pct"/>
            <w:tcBorders>
              <w:top w:val="nil"/>
              <w:left w:val="nil"/>
              <w:bottom w:val="nil"/>
              <w:right w:val="nil"/>
            </w:tcBorders>
            <w:shd w:val="clear" w:color="auto" w:fill="auto"/>
            <w:noWrap/>
            <w:vAlign w:val="bottom"/>
          </w:tcPr>
          <w:p w14:paraId="090A3E29" w14:textId="57D1AA2D" w:rsidR="007F3EE2" w:rsidRPr="00623E5C" w:rsidRDefault="007F3EE2" w:rsidP="007F3EE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1.5</w:t>
            </w:r>
          </w:p>
        </w:tc>
        <w:tc>
          <w:tcPr>
            <w:tcW w:w="909" w:type="pct"/>
            <w:tcBorders>
              <w:top w:val="nil"/>
              <w:left w:val="nil"/>
              <w:bottom w:val="nil"/>
              <w:right w:val="nil"/>
            </w:tcBorders>
            <w:shd w:val="clear" w:color="auto" w:fill="auto"/>
            <w:noWrap/>
            <w:vAlign w:val="bottom"/>
          </w:tcPr>
          <w:p w14:paraId="68FF6C9B" w14:textId="217A6906" w:rsidR="007F3EE2" w:rsidRPr="00623E5C" w:rsidRDefault="007F3EE2" w:rsidP="007F3EE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0.3</w:t>
            </w:r>
          </w:p>
        </w:tc>
        <w:tc>
          <w:tcPr>
            <w:tcW w:w="909" w:type="pct"/>
            <w:tcBorders>
              <w:top w:val="nil"/>
              <w:left w:val="nil"/>
              <w:bottom w:val="nil"/>
              <w:right w:val="nil"/>
            </w:tcBorders>
            <w:shd w:val="clear" w:color="auto" w:fill="auto"/>
            <w:noWrap/>
            <w:vAlign w:val="bottom"/>
          </w:tcPr>
          <w:p w14:paraId="29F6729B" w14:textId="701BDB80" w:rsidR="007F3EE2" w:rsidRPr="00623E5C" w:rsidRDefault="007F3EE2" w:rsidP="007F3EE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6.0</w:t>
            </w:r>
          </w:p>
        </w:tc>
        <w:tc>
          <w:tcPr>
            <w:tcW w:w="909" w:type="pct"/>
            <w:tcBorders>
              <w:top w:val="nil"/>
              <w:left w:val="nil"/>
              <w:bottom w:val="nil"/>
              <w:right w:val="nil"/>
            </w:tcBorders>
            <w:shd w:val="clear" w:color="auto" w:fill="auto"/>
            <w:noWrap/>
            <w:vAlign w:val="bottom"/>
          </w:tcPr>
          <w:p w14:paraId="6E977BF9" w14:textId="77C0B2E9" w:rsidR="007F3EE2" w:rsidRPr="00623E5C" w:rsidRDefault="007F3EE2" w:rsidP="007F3EE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4.5</w:t>
            </w:r>
          </w:p>
        </w:tc>
      </w:tr>
      <w:tr w:rsidR="007F3EE2" w:rsidRPr="00623E5C" w14:paraId="1CF0AC67" w14:textId="77777777" w:rsidTr="00623E5C">
        <w:trPr>
          <w:trHeight w:val="290"/>
        </w:trPr>
        <w:tc>
          <w:tcPr>
            <w:tcW w:w="1363" w:type="pct"/>
            <w:hideMark/>
          </w:tcPr>
          <w:p w14:paraId="6148A7F4" w14:textId="77777777" w:rsidR="007F3EE2" w:rsidRPr="00623E5C" w:rsidRDefault="007F3EE2" w:rsidP="007F3EE2">
            <w:pPr>
              <w:numPr>
                <w:ilvl w:val="1"/>
                <w:numId w:val="6"/>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i/>
                <w:sz w:val="16"/>
                <w:szCs w:val="16"/>
              </w:rPr>
            </w:pPr>
            <w:r w:rsidRPr="00623E5C">
              <w:rPr>
                <w:i/>
                <w:sz w:val="16"/>
                <w:szCs w:val="16"/>
              </w:rPr>
              <w:t>Electricity</w:t>
            </w:r>
          </w:p>
        </w:tc>
        <w:tc>
          <w:tcPr>
            <w:tcW w:w="910" w:type="pct"/>
            <w:tcBorders>
              <w:top w:val="nil"/>
              <w:left w:val="nil"/>
              <w:bottom w:val="nil"/>
              <w:right w:val="nil"/>
            </w:tcBorders>
            <w:shd w:val="clear" w:color="auto" w:fill="auto"/>
            <w:noWrap/>
            <w:vAlign w:val="bottom"/>
          </w:tcPr>
          <w:p w14:paraId="3B602C55" w14:textId="369C86C3" w:rsidR="007F3EE2" w:rsidRPr="00623E5C" w:rsidRDefault="007F3EE2" w:rsidP="007F3EE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6.6</w:t>
            </w:r>
          </w:p>
        </w:tc>
        <w:tc>
          <w:tcPr>
            <w:tcW w:w="909" w:type="pct"/>
            <w:tcBorders>
              <w:top w:val="nil"/>
              <w:left w:val="nil"/>
              <w:bottom w:val="nil"/>
              <w:right w:val="nil"/>
            </w:tcBorders>
            <w:shd w:val="clear" w:color="auto" w:fill="auto"/>
            <w:noWrap/>
            <w:vAlign w:val="bottom"/>
          </w:tcPr>
          <w:p w14:paraId="739199E9" w14:textId="2DEAB2E5" w:rsidR="007F3EE2" w:rsidRPr="00623E5C" w:rsidRDefault="007F3EE2" w:rsidP="007F3EE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3.0</w:t>
            </w:r>
          </w:p>
        </w:tc>
        <w:tc>
          <w:tcPr>
            <w:tcW w:w="909" w:type="pct"/>
            <w:tcBorders>
              <w:top w:val="nil"/>
              <w:left w:val="nil"/>
              <w:bottom w:val="nil"/>
              <w:right w:val="nil"/>
            </w:tcBorders>
            <w:shd w:val="clear" w:color="auto" w:fill="auto"/>
            <w:noWrap/>
            <w:vAlign w:val="bottom"/>
          </w:tcPr>
          <w:p w14:paraId="33CA621A" w14:textId="1FDDBCAE" w:rsidR="007F3EE2" w:rsidRPr="00623E5C" w:rsidRDefault="007F3EE2" w:rsidP="007F3EE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28.1</w:t>
            </w:r>
          </w:p>
        </w:tc>
        <w:tc>
          <w:tcPr>
            <w:tcW w:w="909" w:type="pct"/>
            <w:tcBorders>
              <w:top w:val="nil"/>
              <w:left w:val="nil"/>
              <w:bottom w:val="nil"/>
              <w:right w:val="nil"/>
            </w:tcBorders>
            <w:shd w:val="clear" w:color="auto" w:fill="auto"/>
            <w:noWrap/>
            <w:vAlign w:val="bottom"/>
          </w:tcPr>
          <w:p w14:paraId="76224CFE" w14:textId="189C2F9D" w:rsidR="007F3EE2" w:rsidRPr="00623E5C" w:rsidRDefault="007F3EE2" w:rsidP="007F3EE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3.0</w:t>
            </w:r>
          </w:p>
        </w:tc>
      </w:tr>
      <w:tr w:rsidR="007F3EE2" w:rsidRPr="00623E5C" w14:paraId="7490C5D1" w14:textId="77777777" w:rsidTr="00623E5C">
        <w:trPr>
          <w:trHeight w:val="13"/>
        </w:trPr>
        <w:tc>
          <w:tcPr>
            <w:tcW w:w="1363" w:type="pct"/>
            <w:hideMark/>
          </w:tcPr>
          <w:p w14:paraId="5812B645" w14:textId="77777777" w:rsidR="007F3EE2" w:rsidRPr="00623E5C" w:rsidRDefault="007F3EE2" w:rsidP="007F3EE2">
            <w:pPr>
              <w:numPr>
                <w:ilvl w:val="1"/>
                <w:numId w:val="6"/>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i/>
                <w:sz w:val="16"/>
                <w:szCs w:val="16"/>
              </w:rPr>
            </w:pPr>
            <w:r w:rsidRPr="00623E5C">
              <w:rPr>
                <w:i/>
                <w:iCs/>
                <w:sz w:val="16"/>
                <w:szCs w:val="16"/>
              </w:rPr>
              <w:t xml:space="preserve">Gas </w:t>
            </w:r>
          </w:p>
        </w:tc>
        <w:tc>
          <w:tcPr>
            <w:tcW w:w="910" w:type="pct"/>
            <w:tcBorders>
              <w:top w:val="nil"/>
              <w:left w:val="nil"/>
              <w:bottom w:val="nil"/>
              <w:right w:val="nil"/>
            </w:tcBorders>
            <w:shd w:val="clear" w:color="auto" w:fill="auto"/>
            <w:noWrap/>
            <w:vAlign w:val="bottom"/>
          </w:tcPr>
          <w:p w14:paraId="60E76083" w14:textId="3ADB49B1" w:rsidR="007F3EE2" w:rsidRPr="00623E5C" w:rsidRDefault="007F3EE2" w:rsidP="007F3EE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-6.2</w:t>
            </w:r>
          </w:p>
        </w:tc>
        <w:tc>
          <w:tcPr>
            <w:tcW w:w="909" w:type="pct"/>
            <w:tcBorders>
              <w:top w:val="nil"/>
              <w:left w:val="nil"/>
              <w:bottom w:val="nil"/>
              <w:right w:val="nil"/>
            </w:tcBorders>
            <w:shd w:val="clear" w:color="auto" w:fill="auto"/>
            <w:noWrap/>
            <w:vAlign w:val="bottom"/>
          </w:tcPr>
          <w:p w14:paraId="276E6D90" w14:textId="09A6D2DC" w:rsidR="007F3EE2" w:rsidRPr="00623E5C" w:rsidRDefault="007F3EE2" w:rsidP="007F3EE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2.6</w:t>
            </w:r>
          </w:p>
        </w:tc>
        <w:tc>
          <w:tcPr>
            <w:tcW w:w="909" w:type="pct"/>
            <w:tcBorders>
              <w:top w:val="nil"/>
              <w:left w:val="nil"/>
              <w:bottom w:val="nil"/>
              <w:right w:val="nil"/>
            </w:tcBorders>
            <w:shd w:val="clear" w:color="auto" w:fill="auto"/>
            <w:noWrap/>
            <w:vAlign w:val="bottom"/>
          </w:tcPr>
          <w:p w14:paraId="526DFD56" w14:textId="5FF4074E" w:rsidR="007F3EE2" w:rsidRPr="00623E5C" w:rsidRDefault="007F3EE2" w:rsidP="007F3EE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24.0</w:t>
            </w:r>
          </w:p>
        </w:tc>
        <w:tc>
          <w:tcPr>
            <w:tcW w:w="909" w:type="pct"/>
            <w:tcBorders>
              <w:top w:val="nil"/>
              <w:left w:val="nil"/>
              <w:bottom w:val="nil"/>
              <w:right w:val="nil"/>
            </w:tcBorders>
            <w:shd w:val="clear" w:color="auto" w:fill="auto"/>
            <w:noWrap/>
            <w:vAlign w:val="bottom"/>
          </w:tcPr>
          <w:p w14:paraId="609CA5C8" w14:textId="2FC91CD2" w:rsidR="007F3EE2" w:rsidRPr="00623E5C" w:rsidRDefault="007F3EE2" w:rsidP="007F3EE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12.7</w:t>
            </w:r>
          </w:p>
        </w:tc>
      </w:tr>
      <w:tr w:rsidR="003E309D" w:rsidRPr="00623E5C" w14:paraId="517F25E6" w14:textId="77777777" w:rsidTr="003E309D">
        <w:trPr>
          <w:trHeight w:val="13"/>
        </w:trPr>
        <w:tc>
          <w:tcPr>
            <w:tcW w:w="1363" w:type="pct"/>
            <w:shd w:val="clear" w:color="auto" w:fill="D9E2F3" w:themeFill="accent1" w:themeFillTint="33"/>
            <w:hideMark/>
          </w:tcPr>
          <w:p w14:paraId="7101CCCC" w14:textId="77777777" w:rsidR="003E309D" w:rsidRPr="00623E5C" w:rsidRDefault="003E309D" w:rsidP="003E309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b/>
                <w:sz w:val="16"/>
                <w:szCs w:val="16"/>
              </w:rPr>
            </w:pPr>
            <w:r w:rsidRPr="00623E5C">
              <w:rPr>
                <w:b/>
                <w:sz w:val="16"/>
                <w:szCs w:val="16"/>
              </w:rPr>
              <w:t>Furnishings, household equipment/ services</w:t>
            </w:r>
          </w:p>
        </w:tc>
        <w:tc>
          <w:tcPr>
            <w:tcW w:w="910" w:type="pct"/>
            <w:tcBorders>
              <w:top w:val="nil"/>
              <w:left w:val="nil"/>
              <w:bottom w:val="nil"/>
              <w:right w:val="nil"/>
            </w:tcBorders>
            <w:shd w:val="clear" w:color="auto" w:fill="B4C6E7" w:themeFill="accent1" w:themeFillTint="66"/>
            <w:noWrap/>
            <w:vAlign w:val="bottom"/>
          </w:tcPr>
          <w:p w14:paraId="6D1AA146" w14:textId="50BB9A90" w:rsidR="003E309D" w:rsidRPr="00623E5C" w:rsidRDefault="003E309D" w:rsidP="003E309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5.0</w:t>
            </w:r>
          </w:p>
        </w:tc>
        <w:tc>
          <w:tcPr>
            <w:tcW w:w="909" w:type="pct"/>
            <w:tcBorders>
              <w:top w:val="nil"/>
              <w:left w:val="nil"/>
              <w:bottom w:val="nil"/>
              <w:right w:val="nil"/>
            </w:tcBorders>
            <w:shd w:val="clear" w:color="auto" w:fill="B4C6E7" w:themeFill="accent1" w:themeFillTint="66"/>
            <w:noWrap/>
            <w:vAlign w:val="bottom"/>
          </w:tcPr>
          <w:p w14:paraId="31A9DB50" w14:textId="4825659F" w:rsidR="003E309D" w:rsidRPr="00623E5C" w:rsidRDefault="003E309D" w:rsidP="003E309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3.6</w:t>
            </w:r>
          </w:p>
        </w:tc>
        <w:tc>
          <w:tcPr>
            <w:tcW w:w="909" w:type="pct"/>
            <w:tcBorders>
              <w:top w:val="nil"/>
              <w:left w:val="nil"/>
              <w:bottom w:val="nil"/>
              <w:right w:val="nil"/>
            </w:tcBorders>
            <w:shd w:val="clear" w:color="auto" w:fill="8EAADB" w:themeFill="accent1" w:themeFillTint="99"/>
            <w:noWrap/>
            <w:vAlign w:val="bottom"/>
          </w:tcPr>
          <w:p w14:paraId="5C4F60A8" w14:textId="5DB86066" w:rsidR="003E309D" w:rsidRPr="00623E5C" w:rsidRDefault="003E309D" w:rsidP="003E309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7.1</w:t>
            </w:r>
          </w:p>
        </w:tc>
        <w:tc>
          <w:tcPr>
            <w:tcW w:w="909" w:type="pct"/>
            <w:tcBorders>
              <w:top w:val="nil"/>
              <w:left w:val="nil"/>
              <w:bottom w:val="nil"/>
              <w:right w:val="nil"/>
            </w:tcBorders>
            <w:shd w:val="clear" w:color="auto" w:fill="8EAADB" w:themeFill="accent1" w:themeFillTint="99"/>
            <w:noWrap/>
            <w:vAlign w:val="bottom"/>
          </w:tcPr>
          <w:p w14:paraId="6C3BE9A4" w14:textId="05570884" w:rsidR="003E309D" w:rsidRPr="00623E5C" w:rsidRDefault="003E309D" w:rsidP="003E309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7.0</w:t>
            </w:r>
          </w:p>
        </w:tc>
      </w:tr>
      <w:tr w:rsidR="003E309D" w:rsidRPr="00623E5C" w14:paraId="6D8999A6" w14:textId="77777777" w:rsidTr="00623E5C">
        <w:trPr>
          <w:trHeight w:val="290"/>
        </w:trPr>
        <w:tc>
          <w:tcPr>
            <w:tcW w:w="1363" w:type="pct"/>
            <w:hideMark/>
          </w:tcPr>
          <w:p w14:paraId="15DDC2FF" w14:textId="77777777" w:rsidR="003E309D" w:rsidRPr="00623E5C" w:rsidRDefault="003E309D" w:rsidP="003E309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b/>
                <w:sz w:val="16"/>
                <w:szCs w:val="16"/>
              </w:rPr>
            </w:pPr>
            <w:r w:rsidRPr="00623E5C">
              <w:rPr>
                <w:b/>
                <w:sz w:val="16"/>
                <w:szCs w:val="16"/>
              </w:rPr>
              <w:t>Childcare</w:t>
            </w:r>
          </w:p>
        </w:tc>
        <w:tc>
          <w:tcPr>
            <w:tcW w:w="910" w:type="pct"/>
            <w:tcBorders>
              <w:top w:val="nil"/>
              <w:left w:val="nil"/>
              <w:bottom w:val="nil"/>
              <w:right w:val="nil"/>
            </w:tcBorders>
            <w:shd w:val="clear" w:color="auto" w:fill="auto"/>
            <w:noWrap/>
            <w:vAlign w:val="bottom"/>
          </w:tcPr>
          <w:p w14:paraId="778E6D53" w14:textId="76EE7329" w:rsidR="003E309D" w:rsidRPr="00623E5C" w:rsidRDefault="003E309D" w:rsidP="003E309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8.8</w:t>
            </w:r>
          </w:p>
        </w:tc>
        <w:tc>
          <w:tcPr>
            <w:tcW w:w="909" w:type="pct"/>
            <w:tcBorders>
              <w:top w:val="nil"/>
              <w:left w:val="nil"/>
              <w:bottom w:val="nil"/>
              <w:right w:val="nil"/>
            </w:tcBorders>
            <w:shd w:val="clear" w:color="auto" w:fill="auto"/>
            <w:noWrap/>
            <w:vAlign w:val="bottom"/>
          </w:tcPr>
          <w:p w14:paraId="2E050E4D" w14:textId="34C4E97A" w:rsidR="003E309D" w:rsidRPr="00623E5C" w:rsidRDefault="003E309D" w:rsidP="003E309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6.5</w:t>
            </w:r>
          </w:p>
        </w:tc>
        <w:tc>
          <w:tcPr>
            <w:tcW w:w="909" w:type="pct"/>
            <w:tcBorders>
              <w:top w:val="nil"/>
              <w:left w:val="nil"/>
              <w:bottom w:val="nil"/>
              <w:right w:val="nil"/>
            </w:tcBorders>
            <w:shd w:val="clear" w:color="auto" w:fill="auto"/>
            <w:noWrap/>
            <w:vAlign w:val="bottom"/>
          </w:tcPr>
          <w:p w14:paraId="13027146" w14:textId="013DB149" w:rsidR="003E309D" w:rsidRPr="00623E5C" w:rsidRDefault="003E309D" w:rsidP="003E309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7.9</w:t>
            </w:r>
          </w:p>
        </w:tc>
        <w:tc>
          <w:tcPr>
            <w:tcW w:w="909" w:type="pct"/>
            <w:tcBorders>
              <w:top w:val="nil"/>
              <w:left w:val="nil"/>
              <w:bottom w:val="nil"/>
              <w:right w:val="nil"/>
            </w:tcBorders>
            <w:shd w:val="clear" w:color="auto" w:fill="auto"/>
            <w:noWrap/>
            <w:vAlign w:val="bottom"/>
          </w:tcPr>
          <w:p w14:paraId="5FC040FA" w14:textId="36C6E755" w:rsidR="003E309D" w:rsidRPr="00623E5C" w:rsidRDefault="003E309D" w:rsidP="003E309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13.8</w:t>
            </w:r>
          </w:p>
        </w:tc>
      </w:tr>
      <w:tr w:rsidR="003E309D" w:rsidRPr="00623E5C" w14:paraId="36943A06" w14:textId="77777777" w:rsidTr="003E309D">
        <w:trPr>
          <w:trHeight w:val="13"/>
        </w:trPr>
        <w:tc>
          <w:tcPr>
            <w:tcW w:w="1363" w:type="pct"/>
            <w:shd w:val="clear" w:color="auto" w:fill="D9E2F3" w:themeFill="accent1" w:themeFillTint="33"/>
            <w:hideMark/>
          </w:tcPr>
          <w:p w14:paraId="52D8658C" w14:textId="77777777" w:rsidR="003E309D" w:rsidRPr="00623E5C" w:rsidRDefault="003E309D" w:rsidP="003E309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b/>
                <w:sz w:val="16"/>
                <w:szCs w:val="16"/>
              </w:rPr>
            </w:pPr>
            <w:r w:rsidRPr="00623E5C">
              <w:rPr>
                <w:b/>
                <w:sz w:val="16"/>
                <w:szCs w:val="16"/>
              </w:rPr>
              <w:t>Health</w:t>
            </w:r>
          </w:p>
        </w:tc>
        <w:tc>
          <w:tcPr>
            <w:tcW w:w="910" w:type="pct"/>
            <w:tcBorders>
              <w:top w:val="nil"/>
              <w:left w:val="nil"/>
              <w:bottom w:val="nil"/>
              <w:right w:val="nil"/>
            </w:tcBorders>
            <w:shd w:val="clear" w:color="auto" w:fill="B4C6E7" w:themeFill="accent1" w:themeFillTint="66"/>
            <w:noWrap/>
            <w:vAlign w:val="bottom"/>
          </w:tcPr>
          <w:p w14:paraId="52BC8998" w14:textId="07A568FF" w:rsidR="003E309D" w:rsidRPr="00623E5C" w:rsidRDefault="003E309D" w:rsidP="003E309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2.3</w:t>
            </w:r>
          </w:p>
        </w:tc>
        <w:tc>
          <w:tcPr>
            <w:tcW w:w="909" w:type="pct"/>
            <w:tcBorders>
              <w:top w:val="nil"/>
              <w:left w:val="nil"/>
              <w:bottom w:val="nil"/>
              <w:right w:val="nil"/>
            </w:tcBorders>
            <w:shd w:val="clear" w:color="auto" w:fill="B4C6E7" w:themeFill="accent1" w:themeFillTint="66"/>
            <w:noWrap/>
            <w:vAlign w:val="bottom"/>
          </w:tcPr>
          <w:p w14:paraId="25F76EFA" w14:textId="6FB9B7A8" w:rsidR="003E309D" w:rsidRPr="00623E5C" w:rsidRDefault="003E309D" w:rsidP="003E309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3.3</w:t>
            </w:r>
          </w:p>
        </w:tc>
        <w:tc>
          <w:tcPr>
            <w:tcW w:w="909" w:type="pct"/>
            <w:tcBorders>
              <w:top w:val="nil"/>
              <w:left w:val="nil"/>
              <w:bottom w:val="nil"/>
              <w:right w:val="nil"/>
            </w:tcBorders>
            <w:shd w:val="clear" w:color="auto" w:fill="8EAADB" w:themeFill="accent1" w:themeFillTint="99"/>
            <w:noWrap/>
            <w:vAlign w:val="bottom"/>
          </w:tcPr>
          <w:p w14:paraId="20692FBC" w14:textId="42C78AA3" w:rsidR="003E309D" w:rsidRPr="00623E5C" w:rsidRDefault="003E309D" w:rsidP="003E309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16.5</w:t>
            </w:r>
          </w:p>
        </w:tc>
        <w:tc>
          <w:tcPr>
            <w:tcW w:w="909" w:type="pct"/>
            <w:tcBorders>
              <w:top w:val="nil"/>
              <w:left w:val="nil"/>
              <w:bottom w:val="nil"/>
              <w:right w:val="nil"/>
            </w:tcBorders>
            <w:shd w:val="clear" w:color="auto" w:fill="8EAADB" w:themeFill="accent1" w:themeFillTint="99"/>
            <w:noWrap/>
            <w:vAlign w:val="bottom"/>
          </w:tcPr>
          <w:p w14:paraId="7E58FAA3" w14:textId="7C1E6A8D" w:rsidR="003E309D" w:rsidRPr="00623E5C" w:rsidRDefault="003E309D" w:rsidP="003E309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17.6</w:t>
            </w:r>
          </w:p>
        </w:tc>
      </w:tr>
      <w:tr w:rsidR="00F334BE" w:rsidRPr="00623E5C" w14:paraId="13B52954" w14:textId="77777777" w:rsidTr="00F334BE">
        <w:trPr>
          <w:trHeight w:val="290"/>
        </w:trPr>
        <w:tc>
          <w:tcPr>
            <w:tcW w:w="1363" w:type="pct"/>
            <w:shd w:val="clear" w:color="auto" w:fill="D9E2F3" w:themeFill="accent1" w:themeFillTint="33"/>
          </w:tcPr>
          <w:p w14:paraId="195FC438" w14:textId="1912D662" w:rsidR="00F334BE" w:rsidRPr="004B74ED" w:rsidRDefault="00F334BE" w:rsidP="00F334BE">
            <w:pPr>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sz w:val="16"/>
                <w:szCs w:val="16"/>
              </w:rPr>
            </w:pPr>
            <w:r w:rsidRPr="004B74ED">
              <w:rPr>
                <w:sz w:val="16"/>
                <w:szCs w:val="16"/>
              </w:rPr>
              <w:t>Pharmaceutical products</w:t>
            </w:r>
          </w:p>
        </w:tc>
        <w:tc>
          <w:tcPr>
            <w:tcW w:w="910" w:type="pct"/>
            <w:tcBorders>
              <w:top w:val="nil"/>
              <w:left w:val="nil"/>
              <w:bottom w:val="nil"/>
              <w:right w:val="nil"/>
            </w:tcBorders>
            <w:shd w:val="clear" w:color="auto" w:fill="B4C6E7" w:themeFill="accent1" w:themeFillTint="66"/>
            <w:noWrap/>
            <w:vAlign w:val="bottom"/>
          </w:tcPr>
          <w:p w14:paraId="09F74B13" w14:textId="4FFD0DDF" w:rsidR="00F334BE" w:rsidRPr="00623E5C" w:rsidRDefault="00F334BE" w:rsidP="00F334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-0.6</w:t>
            </w:r>
          </w:p>
        </w:tc>
        <w:tc>
          <w:tcPr>
            <w:tcW w:w="909" w:type="pct"/>
            <w:tcBorders>
              <w:top w:val="nil"/>
              <w:left w:val="nil"/>
              <w:bottom w:val="nil"/>
              <w:right w:val="nil"/>
            </w:tcBorders>
            <w:shd w:val="clear" w:color="auto" w:fill="B4C6E7" w:themeFill="accent1" w:themeFillTint="66"/>
            <w:noWrap/>
            <w:vAlign w:val="bottom"/>
          </w:tcPr>
          <w:p w14:paraId="6F07CA40" w14:textId="3A0A0C50" w:rsidR="00F334BE" w:rsidRPr="00623E5C" w:rsidRDefault="00F334BE" w:rsidP="00F334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1.0</w:t>
            </w:r>
          </w:p>
        </w:tc>
        <w:tc>
          <w:tcPr>
            <w:tcW w:w="909" w:type="pct"/>
            <w:tcBorders>
              <w:top w:val="nil"/>
              <w:left w:val="nil"/>
              <w:bottom w:val="nil"/>
              <w:right w:val="nil"/>
            </w:tcBorders>
            <w:shd w:val="clear" w:color="auto" w:fill="8EAADB" w:themeFill="accent1" w:themeFillTint="99"/>
            <w:noWrap/>
            <w:vAlign w:val="bottom"/>
          </w:tcPr>
          <w:p w14:paraId="18E6FBDA" w14:textId="2E872CE9" w:rsidR="00F334BE" w:rsidRPr="00623E5C" w:rsidRDefault="00F334BE" w:rsidP="00F334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4.8</w:t>
            </w:r>
          </w:p>
        </w:tc>
        <w:tc>
          <w:tcPr>
            <w:tcW w:w="909" w:type="pct"/>
            <w:tcBorders>
              <w:top w:val="nil"/>
              <w:left w:val="nil"/>
              <w:bottom w:val="nil"/>
              <w:right w:val="nil"/>
            </w:tcBorders>
            <w:shd w:val="clear" w:color="auto" w:fill="8EAADB" w:themeFill="accent1" w:themeFillTint="99"/>
            <w:noWrap/>
            <w:vAlign w:val="bottom"/>
          </w:tcPr>
          <w:p w14:paraId="7058A4BF" w14:textId="12D2A3F0" w:rsidR="00F334BE" w:rsidRPr="00623E5C" w:rsidRDefault="00F334BE" w:rsidP="00F334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5.1</w:t>
            </w:r>
          </w:p>
        </w:tc>
      </w:tr>
      <w:tr w:rsidR="00F334BE" w:rsidRPr="00623E5C" w14:paraId="4EE82DE2" w14:textId="77777777" w:rsidTr="00F334BE">
        <w:trPr>
          <w:trHeight w:val="290"/>
        </w:trPr>
        <w:tc>
          <w:tcPr>
            <w:tcW w:w="1363" w:type="pct"/>
            <w:shd w:val="clear" w:color="auto" w:fill="D9E2F3" w:themeFill="accent1" w:themeFillTint="33"/>
          </w:tcPr>
          <w:p w14:paraId="19490135" w14:textId="15190BCA" w:rsidR="00F334BE" w:rsidRPr="004B74ED" w:rsidRDefault="00F334BE" w:rsidP="00F334BE">
            <w:pPr>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sz w:val="16"/>
                <w:szCs w:val="16"/>
              </w:rPr>
            </w:pPr>
            <w:r w:rsidRPr="004B74ED">
              <w:rPr>
                <w:sz w:val="16"/>
                <w:szCs w:val="16"/>
              </w:rPr>
              <w:lastRenderedPageBreak/>
              <w:t>Therapeutic appliances and equipment</w:t>
            </w:r>
          </w:p>
        </w:tc>
        <w:tc>
          <w:tcPr>
            <w:tcW w:w="910" w:type="pct"/>
            <w:tcBorders>
              <w:top w:val="nil"/>
              <w:left w:val="nil"/>
              <w:bottom w:val="nil"/>
              <w:right w:val="nil"/>
            </w:tcBorders>
            <w:shd w:val="clear" w:color="auto" w:fill="B4C6E7" w:themeFill="accent1" w:themeFillTint="66"/>
            <w:noWrap/>
            <w:vAlign w:val="bottom"/>
          </w:tcPr>
          <w:p w14:paraId="20C012AB" w14:textId="35E7F7FE" w:rsidR="00F334BE" w:rsidRPr="00623E5C" w:rsidRDefault="00F334BE" w:rsidP="00F334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0.0</w:t>
            </w:r>
          </w:p>
        </w:tc>
        <w:tc>
          <w:tcPr>
            <w:tcW w:w="909" w:type="pct"/>
            <w:tcBorders>
              <w:top w:val="nil"/>
              <w:left w:val="nil"/>
              <w:bottom w:val="nil"/>
              <w:right w:val="nil"/>
            </w:tcBorders>
            <w:shd w:val="clear" w:color="auto" w:fill="B4C6E7" w:themeFill="accent1" w:themeFillTint="66"/>
            <w:noWrap/>
            <w:vAlign w:val="bottom"/>
          </w:tcPr>
          <w:p w14:paraId="0398E2E2" w14:textId="1F21A1E5" w:rsidR="00F334BE" w:rsidRPr="00623E5C" w:rsidRDefault="00F334BE" w:rsidP="00F334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0.5</w:t>
            </w:r>
          </w:p>
        </w:tc>
        <w:tc>
          <w:tcPr>
            <w:tcW w:w="909" w:type="pct"/>
            <w:tcBorders>
              <w:top w:val="nil"/>
              <w:left w:val="nil"/>
              <w:bottom w:val="nil"/>
              <w:right w:val="nil"/>
            </w:tcBorders>
            <w:shd w:val="clear" w:color="auto" w:fill="8EAADB" w:themeFill="accent1" w:themeFillTint="99"/>
            <w:noWrap/>
            <w:vAlign w:val="bottom"/>
          </w:tcPr>
          <w:p w14:paraId="1B44AF24" w14:textId="684C80C4" w:rsidR="00F334BE" w:rsidRPr="00623E5C" w:rsidRDefault="00F334BE" w:rsidP="00F334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3.2</w:t>
            </w:r>
          </w:p>
        </w:tc>
        <w:tc>
          <w:tcPr>
            <w:tcW w:w="909" w:type="pct"/>
            <w:tcBorders>
              <w:top w:val="nil"/>
              <w:left w:val="nil"/>
              <w:bottom w:val="nil"/>
              <w:right w:val="nil"/>
            </w:tcBorders>
            <w:shd w:val="clear" w:color="auto" w:fill="8EAADB" w:themeFill="accent1" w:themeFillTint="99"/>
            <w:noWrap/>
            <w:vAlign w:val="bottom"/>
          </w:tcPr>
          <w:p w14:paraId="34FFA84C" w14:textId="59F4D058" w:rsidR="00F334BE" w:rsidRPr="00623E5C" w:rsidRDefault="00F334BE" w:rsidP="00F334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1.0</w:t>
            </w:r>
          </w:p>
        </w:tc>
      </w:tr>
      <w:tr w:rsidR="00F334BE" w:rsidRPr="00623E5C" w14:paraId="2758F878" w14:textId="77777777" w:rsidTr="00F334BE">
        <w:trPr>
          <w:trHeight w:val="290"/>
        </w:trPr>
        <w:tc>
          <w:tcPr>
            <w:tcW w:w="1363" w:type="pct"/>
            <w:shd w:val="clear" w:color="auto" w:fill="D9E2F3" w:themeFill="accent1" w:themeFillTint="33"/>
          </w:tcPr>
          <w:p w14:paraId="32F25EAB" w14:textId="459675EC" w:rsidR="00F334BE" w:rsidRPr="004B74ED" w:rsidRDefault="00F334BE" w:rsidP="00F334BE">
            <w:pPr>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sz w:val="16"/>
                <w:szCs w:val="16"/>
              </w:rPr>
            </w:pPr>
            <w:r w:rsidRPr="004B74ED">
              <w:rPr>
                <w:sz w:val="16"/>
                <w:szCs w:val="16"/>
              </w:rPr>
              <w:t>Medical and hospital services</w:t>
            </w:r>
          </w:p>
        </w:tc>
        <w:tc>
          <w:tcPr>
            <w:tcW w:w="910" w:type="pct"/>
            <w:tcBorders>
              <w:top w:val="nil"/>
              <w:left w:val="nil"/>
              <w:bottom w:val="nil"/>
              <w:right w:val="nil"/>
            </w:tcBorders>
            <w:shd w:val="clear" w:color="auto" w:fill="B4C6E7" w:themeFill="accent1" w:themeFillTint="66"/>
            <w:noWrap/>
            <w:vAlign w:val="bottom"/>
          </w:tcPr>
          <w:p w14:paraId="1726976C" w14:textId="1FE9A473" w:rsidR="00F334BE" w:rsidRPr="00623E5C" w:rsidRDefault="00F334BE" w:rsidP="00F334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3.1</w:t>
            </w:r>
          </w:p>
        </w:tc>
        <w:tc>
          <w:tcPr>
            <w:tcW w:w="909" w:type="pct"/>
            <w:tcBorders>
              <w:top w:val="nil"/>
              <w:left w:val="nil"/>
              <w:bottom w:val="nil"/>
              <w:right w:val="nil"/>
            </w:tcBorders>
            <w:shd w:val="clear" w:color="auto" w:fill="B4C6E7" w:themeFill="accent1" w:themeFillTint="66"/>
            <w:noWrap/>
            <w:vAlign w:val="bottom"/>
          </w:tcPr>
          <w:p w14:paraId="3E8BC0C8" w14:textId="61569981" w:rsidR="00F334BE" w:rsidRPr="00623E5C" w:rsidRDefault="00F334BE" w:rsidP="00F334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4.3</w:t>
            </w:r>
          </w:p>
        </w:tc>
        <w:tc>
          <w:tcPr>
            <w:tcW w:w="909" w:type="pct"/>
            <w:tcBorders>
              <w:top w:val="nil"/>
              <w:left w:val="nil"/>
              <w:bottom w:val="nil"/>
              <w:right w:val="nil"/>
            </w:tcBorders>
            <w:shd w:val="clear" w:color="auto" w:fill="8EAADB" w:themeFill="accent1" w:themeFillTint="99"/>
            <w:noWrap/>
            <w:vAlign w:val="bottom"/>
          </w:tcPr>
          <w:p w14:paraId="126F9B7D" w14:textId="524BDFE0" w:rsidR="00F334BE" w:rsidRPr="00623E5C" w:rsidRDefault="00F334BE" w:rsidP="00F334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21.4</w:t>
            </w:r>
          </w:p>
        </w:tc>
        <w:tc>
          <w:tcPr>
            <w:tcW w:w="909" w:type="pct"/>
            <w:tcBorders>
              <w:top w:val="nil"/>
              <w:left w:val="nil"/>
              <w:bottom w:val="nil"/>
              <w:right w:val="nil"/>
            </w:tcBorders>
            <w:shd w:val="clear" w:color="auto" w:fill="8EAADB" w:themeFill="accent1" w:themeFillTint="99"/>
            <w:noWrap/>
            <w:vAlign w:val="bottom"/>
          </w:tcPr>
          <w:p w14:paraId="5EACD44A" w14:textId="43D87170" w:rsidR="00F334BE" w:rsidRPr="00623E5C" w:rsidRDefault="00F334BE" w:rsidP="00F334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23.0</w:t>
            </w:r>
          </w:p>
        </w:tc>
      </w:tr>
      <w:tr w:rsidR="00F334BE" w:rsidRPr="00623E5C" w14:paraId="31D83219" w14:textId="77777777" w:rsidTr="00F334BE">
        <w:trPr>
          <w:trHeight w:val="290"/>
        </w:trPr>
        <w:tc>
          <w:tcPr>
            <w:tcW w:w="1363" w:type="pct"/>
            <w:shd w:val="clear" w:color="auto" w:fill="D9E2F3" w:themeFill="accent1" w:themeFillTint="33"/>
          </w:tcPr>
          <w:p w14:paraId="0A69024C" w14:textId="1BE30CE8" w:rsidR="00F334BE" w:rsidRPr="004B74ED" w:rsidRDefault="00F334BE" w:rsidP="00F334BE">
            <w:pPr>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sz w:val="16"/>
                <w:szCs w:val="16"/>
              </w:rPr>
            </w:pPr>
            <w:r w:rsidRPr="004B74ED">
              <w:rPr>
                <w:sz w:val="16"/>
                <w:szCs w:val="16"/>
              </w:rPr>
              <w:t>Dental services</w:t>
            </w:r>
          </w:p>
        </w:tc>
        <w:tc>
          <w:tcPr>
            <w:tcW w:w="910" w:type="pct"/>
            <w:tcBorders>
              <w:top w:val="nil"/>
              <w:left w:val="nil"/>
              <w:bottom w:val="nil"/>
              <w:right w:val="nil"/>
            </w:tcBorders>
            <w:shd w:val="clear" w:color="auto" w:fill="B4C6E7" w:themeFill="accent1" w:themeFillTint="66"/>
            <w:noWrap/>
            <w:vAlign w:val="bottom"/>
          </w:tcPr>
          <w:p w14:paraId="7989E1A4" w14:textId="6184A017" w:rsidR="00F334BE" w:rsidRPr="00623E5C" w:rsidRDefault="00F334BE" w:rsidP="00F334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1.9</w:t>
            </w:r>
          </w:p>
        </w:tc>
        <w:tc>
          <w:tcPr>
            <w:tcW w:w="909" w:type="pct"/>
            <w:tcBorders>
              <w:top w:val="nil"/>
              <w:left w:val="nil"/>
              <w:bottom w:val="nil"/>
              <w:right w:val="nil"/>
            </w:tcBorders>
            <w:shd w:val="clear" w:color="auto" w:fill="B4C6E7" w:themeFill="accent1" w:themeFillTint="66"/>
            <w:noWrap/>
            <w:vAlign w:val="bottom"/>
          </w:tcPr>
          <w:p w14:paraId="39A24E15" w14:textId="37FE7A5B" w:rsidR="00F334BE" w:rsidRPr="00623E5C" w:rsidRDefault="00F334BE" w:rsidP="00F334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0.9</w:t>
            </w:r>
          </w:p>
        </w:tc>
        <w:tc>
          <w:tcPr>
            <w:tcW w:w="909" w:type="pct"/>
            <w:tcBorders>
              <w:top w:val="nil"/>
              <w:left w:val="nil"/>
              <w:bottom w:val="nil"/>
              <w:right w:val="nil"/>
            </w:tcBorders>
            <w:shd w:val="clear" w:color="auto" w:fill="8EAADB" w:themeFill="accent1" w:themeFillTint="99"/>
            <w:noWrap/>
            <w:vAlign w:val="bottom"/>
          </w:tcPr>
          <w:p w14:paraId="229A5F10" w14:textId="38A8D365" w:rsidR="00F334BE" w:rsidRPr="00623E5C" w:rsidRDefault="00F334BE" w:rsidP="00F334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6.8</w:t>
            </w:r>
          </w:p>
        </w:tc>
        <w:tc>
          <w:tcPr>
            <w:tcW w:w="909" w:type="pct"/>
            <w:tcBorders>
              <w:top w:val="nil"/>
              <w:left w:val="nil"/>
              <w:bottom w:val="nil"/>
              <w:right w:val="nil"/>
            </w:tcBorders>
            <w:shd w:val="clear" w:color="auto" w:fill="8EAADB" w:themeFill="accent1" w:themeFillTint="99"/>
            <w:noWrap/>
            <w:vAlign w:val="bottom"/>
          </w:tcPr>
          <w:p w14:paraId="173D9DB7" w14:textId="3FC29778" w:rsidR="00F334BE" w:rsidRPr="00623E5C" w:rsidRDefault="00F334BE" w:rsidP="00F334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7.4</w:t>
            </w:r>
          </w:p>
        </w:tc>
      </w:tr>
      <w:tr w:rsidR="00702925" w:rsidRPr="00623E5C" w14:paraId="5B9418E3" w14:textId="77777777" w:rsidTr="00623E5C">
        <w:trPr>
          <w:trHeight w:val="290"/>
        </w:trPr>
        <w:tc>
          <w:tcPr>
            <w:tcW w:w="1363" w:type="pct"/>
            <w:hideMark/>
          </w:tcPr>
          <w:p w14:paraId="6F82C6ED" w14:textId="77777777" w:rsidR="00702925" w:rsidRPr="00623E5C" w:rsidRDefault="00702925" w:rsidP="007029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b/>
                <w:sz w:val="16"/>
                <w:szCs w:val="16"/>
              </w:rPr>
            </w:pPr>
            <w:r w:rsidRPr="00623E5C">
              <w:rPr>
                <w:b/>
                <w:sz w:val="16"/>
                <w:szCs w:val="16"/>
              </w:rPr>
              <w:t>Transport</w:t>
            </w:r>
          </w:p>
        </w:tc>
        <w:tc>
          <w:tcPr>
            <w:tcW w:w="910" w:type="pct"/>
            <w:tcBorders>
              <w:top w:val="nil"/>
              <w:left w:val="nil"/>
              <w:bottom w:val="nil"/>
              <w:right w:val="nil"/>
            </w:tcBorders>
            <w:shd w:val="clear" w:color="auto" w:fill="auto"/>
            <w:noWrap/>
            <w:vAlign w:val="bottom"/>
          </w:tcPr>
          <w:p w14:paraId="07166EA2" w14:textId="20FEEC35" w:rsidR="00702925" w:rsidRPr="00623E5C" w:rsidRDefault="00702925" w:rsidP="007029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14.2</w:t>
            </w:r>
          </w:p>
        </w:tc>
        <w:tc>
          <w:tcPr>
            <w:tcW w:w="909" w:type="pct"/>
            <w:tcBorders>
              <w:top w:val="nil"/>
              <w:left w:val="nil"/>
              <w:bottom w:val="nil"/>
              <w:right w:val="nil"/>
            </w:tcBorders>
            <w:shd w:val="clear" w:color="auto" w:fill="auto"/>
            <w:noWrap/>
            <w:vAlign w:val="bottom"/>
          </w:tcPr>
          <w:p w14:paraId="029EEC23" w14:textId="6EB85FD4" w:rsidR="00702925" w:rsidRPr="00623E5C" w:rsidRDefault="00702925" w:rsidP="007029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12.5</w:t>
            </w:r>
          </w:p>
        </w:tc>
        <w:tc>
          <w:tcPr>
            <w:tcW w:w="909" w:type="pct"/>
            <w:tcBorders>
              <w:top w:val="nil"/>
              <w:left w:val="nil"/>
              <w:bottom w:val="nil"/>
              <w:right w:val="nil"/>
            </w:tcBorders>
            <w:shd w:val="clear" w:color="auto" w:fill="auto"/>
            <w:noWrap/>
            <w:vAlign w:val="bottom"/>
          </w:tcPr>
          <w:p w14:paraId="25D59F6E" w14:textId="32413929" w:rsidR="00702925" w:rsidRPr="00623E5C" w:rsidRDefault="00702925" w:rsidP="007029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19.2</w:t>
            </w:r>
          </w:p>
        </w:tc>
        <w:tc>
          <w:tcPr>
            <w:tcW w:w="909" w:type="pct"/>
            <w:tcBorders>
              <w:top w:val="nil"/>
              <w:left w:val="nil"/>
              <w:bottom w:val="nil"/>
              <w:right w:val="nil"/>
            </w:tcBorders>
            <w:shd w:val="clear" w:color="auto" w:fill="auto"/>
            <w:noWrap/>
            <w:vAlign w:val="bottom"/>
          </w:tcPr>
          <w:p w14:paraId="0F5218F5" w14:textId="0B3A982A" w:rsidR="00702925" w:rsidRPr="00623E5C" w:rsidRDefault="00702925" w:rsidP="007029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17.3</w:t>
            </w:r>
          </w:p>
        </w:tc>
      </w:tr>
      <w:tr w:rsidR="00702925" w:rsidRPr="00623E5C" w14:paraId="5CD5427C" w14:textId="77777777" w:rsidTr="00623E5C">
        <w:trPr>
          <w:trHeight w:val="290"/>
        </w:trPr>
        <w:tc>
          <w:tcPr>
            <w:tcW w:w="1363" w:type="pct"/>
            <w:hideMark/>
          </w:tcPr>
          <w:p w14:paraId="5B8BAAE8" w14:textId="77777777" w:rsidR="00702925" w:rsidRPr="00623E5C" w:rsidRDefault="00702925" w:rsidP="00702925">
            <w:pPr>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sz w:val="16"/>
                <w:szCs w:val="16"/>
              </w:rPr>
            </w:pPr>
            <w:r w:rsidRPr="00623E5C">
              <w:rPr>
                <w:sz w:val="16"/>
                <w:szCs w:val="16"/>
              </w:rPr>
              <w:t xml:space="preserve">Automotive Fuel </w:t>
            </w:r>
          </w:p>
        </w:tc>
        <w:tc>
          <w:tcPr>
            <w:tcW w:w="910" w:type="pct"/>
            <w:tcBorders>
              <w:top w:val="nil"/>
              <w:left w:val="nil"/>
              <w:bottom w:val="nil"/>
              <w:right w:val="nil"/>
            </w:tcBorders>
            <w:shd w:val="clear" w:color="auto" w:fill="auto"/>
            <w:noWrap/>
            <w:vAlign w:val="bottom"/>
          </w:tcPr>
          <w:p w14:paraId="18287C72" w14:textId="61EC348F" w:rsidR="00702925" w:rsidRPr="00623E5C" w:rsidRDefault="00702925" w:rsidP="007029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34.7</w:t>
            </w:r>
          </w:p>
        </w:tc>
        <w:tc>
          <w:tcPr>
            <w:tcW w:w="909" w:type="pct"/>
            <w:tcBorders>
              <w:top w:val="nil"/>
              <w:left w:val="nil"/>
              <w:bottom w:val="nil"/>
              <w:right w:val="nil"/>
            </w:tcBorders>
            <w:shd w:val="clear" w:color="auto" w:fill="auto"/>
            <w:noWrap/>
            <w:vAlign w:val="bottom"/>
          </w:tcPr>
          <w:p w14:paraId="643AE60C" w14:textId="3DA93FB8" w:rsidR="00702925" w:rsidRPr="00623E5C" w:rsidRDefault="00702925" w:rsidP="007029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32.3</w:t>
            </w:r>
          </w:p>
        </w:tc>
        <w:tc>
          <w:tcPr>
            <w:tcW w:w="909" w:type="pct"/>
            <w:tcBorders>
              <w:top w:val="nil"/>
              <w:left w:val="nil"/>
              <w:bottom w:val="nil"/>
              <w:right w:val="nil"/>
            </w:tcBorders>
            <w:shd w:val="clear" w:color="auto" w:fill="auto"/>
            <w:noWrap/>
            <w:vAlign w:val="bottom"/>
          </w:tcPr>
          <w:p w14:paraId="429842E2" w14:textId="20FE53A8" w:rsidR="00702925" w:rsidRPr="00623E5C" w:rsidRDefault="00702925" w:rsidP="007029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34.9</w:t>
            </w:r>
          </w:p>
        </w:tc>
        <w:tc>
          <w:tcPr>
            <w:tcW w:w="909" w:type="pct"/>
            <w:tcBorders>
              <w:top w:val="nil"/>
              <w:left w:val="nil"/>
              <w:bottom w:val="nil"/>
              <w:right w:val="nil"/>
            </w:tcBorders>
            <w:shd w:val="clear" w:color="auto" w:fill="auto"/>
            <w:noWrap/>
            <w:vAlign w:val="bottom"/>
          </w:tcPr>
          <w:p w14:paraId="664AC0D9" w14:textId="57DC1764" w:rsidR="00702925" w:rsidRPr="00623E5C" w:rsidRDefault="00702925" w:rsidP="007029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34.5</w:t>
            </w:r>
          </w:p>
        </w:tc>
      </w:tr>
      <w:tr w:rsidR="00702925" w:rsidRPr="00623E5C" w14:paraId="38F5E114" w14:textId="77777777" w:rsidTr="00623E5C">
        <w:trPr>
          <w:trHeight w:val="290"/>
        </w:trPr>
        <w:tc>
          <w:tcPr>
            <w:tcW w:w="1363" w:type="pct"/>
            <w:hideMark/>
          </w:tcPr>
          <w:p w14:paraId="7C648056" w14:textId="77777777" w:rsidR="00702925" w:rsidRPr="00623E5C" w:rsidRDefault="00702925" w:rsidP="00702925">
            <w:pPr>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sz w:val="16"/>
                <w:szCs w:val="16"/>
              </w:rPr>
            </w:pPr>
            <w:r w:rsidRPr="00623E5C">
              <w:rPr>
                <w:sz w:val="16"/>
                <w:szCs w:val="16"/>
              </w:rPr>
              <w:t>Public Transport</w:t>
            </w:r>
          </w:p>
        </w:tc>
        <w:tc>
          <w:tcPr>
            <w:tcW w:w="910" w:type="pct"/>
            <w:tcBorders>
              <w:top w:val="nil"/>
              <w:left w:val="nil"/>
              <w:bottom w:val="nil"/>
              <w:right w:val="nil"/>
            </w:tcBorders>
            <w:shd w:val="clear" w:color="auto" w:fill="auto"/>
            <w:noWrap/>
            <w:vAlign w:val="bottom"/>
          </w:tcPr>
          <w:p w14:paraId="369C55A9" w14:textId="317A3C7C" w:rsidR="00702925" w:rsidRPr="00623E5C" w:rsidRDefault="00702925" w:rsidP="007029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0.1</w:t>
            </w:r>
          </w:p>
        </w:tc>
        <w:tc>
          <w:tcPr>
            <w:tcW w:w="909" w:type="pct"/>
            <w:tcBorders>
              <w:top w:val="nil"/>
              <w:left w:val="nil"/>
              <w:bottom w:val="nil"/>
              <w:right w:val="nil"/>
            </w:tcBorders>
            <w:shd w:val="clear" w:color="auto" w:fill="auto"/>
            <w:noWrap/>
            <w:vAlign w:val="bottom"/>
          </w:tcPr>
          <w:p w14:paraId="268EF5F5" w14:textId="396F1CC4" w:rsidR="00702925" w:rsidRPr="00623E5C" w:rsidRDefault="00702925" w:rsidP="007029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1.0</w:t>
            </w:r>
          </w:p>
        </w:tc>
        <w:tc>
          <w:tcPr>
            <w:tcW w:w="909" w:type="pct"/>
            <w:tcBorders>
              <w:top w:val="nil"/>
              <w:left w:val="nil"/>
              <w:bottom w:val="nil"/>
              <w:right w:val="nil"/>
            </w:tcBorders>
            <w:shd w:val="clear" w:color="auto" w:fill="auto"/>
            <w:noWrap/>
            <w:vAlign w:val="bottom"/>
          </w:tcPr>
          <w:p w14:paraId="557E8F5F" w14:textId="76AF5C1F" w:rsidR="00702925" w:rsidRPr="00623E5C" w:rsidRDefault="00702925" w:rsidP="007029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5.4</w:t>
            </w:r>
          </w:p>
        </w:tc>
        <w:tc>
          <w:tcPr>
            <w:tcW w:w="909" w:type="pct"/>
            <w:tcBorders>
              <w:top w:val="nil"/>
              <w:left w:val="nil"/>
              <w:bottom w:val="nil"/>
              <w:right w:val="nil"/>
            </w:tcBorders>
            <w:shd w:val="clear" w:color="auto" w:fill="auto"/>
            <w:noWrap/>
            <w:vAlign w:val="bottom"/>
          </w:tcPr>
          <w:p w14:paraId="734F0168" w14:textId="406E180F" w:rsidR="00702925" w:rsidRPr="00623E5C" w:rsidRDefault="00702925" w:rsidP="007029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5.7</w:t>
            </w:r>
          </w:p>
        </w:tc>
      </w:tr>
      <w:tr w:rsidR="00702925" w:rsidRPr="00623E5C" w14:paraId="35D11DF1" w14:textId="77777777" w:rsidTr="00702925">
        <w:trPr>
          <w:trHeight w:val="290"/>
        </w:trPr>
        <w:tc>
          <w:tcPr>
            <w:tcW w:w="1363" w:type="pct"/>
            <w:shd w:val="clear" w:color="auto" w:fill="D9E2F3" w:themeFill="accent1" w:themeFillTint="33"/>
            <w:hideMark/>
          </w:tcPr>
          <w:p w14:paraId="4BC87E21" w14:textId="77777777" w:rsidR="00702925" w:rsidRPr="00623E5C" w:rsidRDefault="00702925" w:rsidP="007029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b/>
                <w:sz w:val="16"/>
                <w:szCs w:val="16"/>
              </w:rPr>
            </w:pPr>
            <w:r w:rsidRPr="00623E5C">
              <w:rPr>
                <w:b/>
                <w:sz w:val="16"/>
                <w:szCs w:val="16"/>
              </w:rPr>
              <w:t>Communication</w:t>
            </w:r>
          </w:p>
        </w:tc>
        <w:tc>
          <w:tcPr>
            <w:tcW w:w="910" w:type="pct"/>
            <w:tcBorders>
              <w:top w:val="nil"/>
              <w:left w:val="nil"/>
              <w:bottom w:val="nil"/>
              <w:right w:val="nil"/>
            </w:tcBorders>
            <w:shd w:val="clear" w:color="auto" w:fill="B4C6E7" w:themeFill="accent1" w:themeFillTint="66"/>
            <w:noWrap/>
            <w:vAlign w:val="bottom"/>
          </w:tcPr>
          <w:p w14:paraId="659B84DD" w14:textId="18DBF2C6" w:rsidR="00702925" w:rsidRPr="00623E5C" w:rsidRDefault="00702925" w:rsidP="007029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-0.4</w:t>
            </w:r>
          </w:p>
        </w:tc>
        <w:tc>
          <w:tcPr>
            <w:tcW w:w="909" w:type="pct"/>
            <w:tcBorders>
              <w:top w:val="nil"/>
              <w:left w:val="nil"/>
              <w:bottom w:val="nil"/>
              <w:right w:val="nil"/>
            </w:tcBorders>
            <w:shd w:val="clear" w:color="auto" w:fill="B4C6E7" w:themeFill="accent1" w:themeFillTint="66"/>
            <w:noWrap/>
            <w:vAlign w:val="bottom"/>
          </w:tcPr>
          <w:p w14:paraId="1A44FA10" w14:textId="48FD5086" w:rsidR="00702925" w:rsidRPr="00623E5C" w:rsidRDefault="00702925" w:rsidP="007029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-0.5</w:t>
            </w:r>
          </w:p>
        </w:tc>
        <w:tc>
          <w:tcPr>
            <w:tcW w:w="909" w:type="pct"/>
            <w:tcBorders>
              <w:top w:val="nil"/>
              <w:left w:val="nil"/>
              <w:bottom w:val="nil"/>
              <w:right w:val="nil"/>
            </w:tcBorders>
            <w:shd w:val="clear" w:color="auto" w:fill="8EAADB" w:themeFill="accent1" w:themeFillTint="99"/>
            <w:noWrap/>
            <w:vAlign w:val="bottom"/>
          </w:tcPr>
          <w:p w14:paraId="633A013E" w14:textId="3907002B" w:rsidR="00702925" w:rsidRPr="00623E5C" w:rsidRDefault="00702925" w:rsidP="007029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-13.6</w:t>
            </w:r>
          </w:p>
        </w:tc>
        <w:tc>
          <w:tcPr>
            <w:tcW w:w="909" w:type="pct"/>
            <w:tcBorders>
              <w:top w:val="nil"/>
              <w:left w:val="nil"/>
              <w:bottom w:val="nil"/>
              <w:right w:val="nil"/>
            </w:tcBorders>
            <w:shd w:val="clear" w:color="auto" w:fill="8EAADB" w:themeFill="accent1" w:themeFillTint="99"/>
            <w:noWrap/>
            <w:vAlign w:val="bottom"/>
          </w:tcPr>
          <w:p w14:paraId="434E81AA" w14:textId="5C9E4324" w:rsidR="00702925" w:rsidRPr="00623E5C" w:rsidRDefault="00702925" w:rsidP="007029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-14.0</w:t>
            </w:r>
          </w:p>
        </w:tc>
      </w:tr>
      <w:tr w:rsidR="00702925" w:rsidRPr="00623E5C" w14:paraId="590B30CD" w14:textId="77777777" w:rsidTr="00702925">
        <w:trPr>
          <w:trHeight w:val="13"/>
        </w:trPr>
        <w:tc>
          <w:tcPr>
            <w:tcW w:w="1363" w:type="pct"/>
            <w:shd w:val="clear" w:color="auto" w:fill="D9E2F3" w:themeFill="accent1" w:themeFillTint="33"/>
            <w:hideMark/>
          </w:tcPr>
          <w:p w14:paraId="32766F75" w14:textId="77777777" w:rsidR="00702925" w:rsidRPr="00623E5C" w:rsidRDefault="00702925" w:rsidP="00702925">
            <w:pPr>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sz w:val="16"/>
                <w:szCs w:val="16"/>
              </w:rPr>
            </w:pPr>
            <w:r w:rsidRPr="00623E5C">
              <w:rPr>
                <w:sz w:val="16"/>
                <w:szCs w:val="16"/>
              </w:rPr>
              <w:t>Telecommunication Equipment &amp; Services</w:t>
            </w:r>
          </w:p>
        </w:tc>
        <w:tc>
          <w:tcPr>
            <w:tcW w:w="910" w:type="pct"/>
            <w:tcBorders>
              <w:top w:val="nil"/>
              <w:left w:val="nil"/>
              <w:bottom w:val="nil"/>
              <w:right w:val="nil"/>
            </w:tcBorders>
            <w:shd w:val="clear" w:color="auto" w:fill="B4C6E7" w:themeFill="accent1" w:themeFillTint="66"/>
            <w:noWrap/>
            <w:vAlign w:val="bottom"/>
          </w:tcPr>
          <w:p w14:paraId="049EAB3B" w14:textId="3E82ADE5" w:rsidR="00702925" w:rsidRPr="00623E5C" w:rsidRDefault="00702925" w:rsidP="007029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-0.8</w:t>
            </w:r>
          </w:p>
        </w:tc>
        <w:tc>
          <w:tcPr>
            <w:tcW w:w="909" w:type="pct"/>
            <w:tcBorders>
              <w:top w:val="nil"/>
              <w:left w:val="nil"/>
              <w:bottom w:val="nil"/>
              <w:right w:val="nil"/>
            </w:tcBorders>
            <w:shd w:val="clear" w:color="auto" w:fill="B4C6E7" w:themeFill="accent1" w:themeFillTint="66"/>
            <w:noWrap/>
            <w:vAlign w:val="bottom"/>
          </w:tcPr>
          <w:p w14:paraId="561BB419" w14:textId="365600A9" w:rsidR="00702925" w:rsidRPr="00623E5C" w:rsidRDefault="00702925" w:rsidP="007029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-0.8</w:t>
            </w:r>
          </w:p>
        </w:tc>
        <w:tc>
          <w:tcPr>
            <w:tcW w:w="909" w:type="pct"/>
            <w:tcBorders>
              <w:top w:val="nil"/>
              <w:left w:val="nil"/>
              <w:bottom w:val="nil"/>
              <w:right w:val="nil"/>
            </w:tcBorders>
            <w:shd w:val="clear" w:color="auto" w:fill="8EAADB" w:themeFill="accent1" w:themeFillTint="99"/>
            <w:noWrap/>
            <w:vAlign w:val="bottom"/>
          </w:tcPr>
          <w:p w14:paraId="7FD90FB9" w14:textId="1C641E66" w:rsidR="00702925" w:rsidRPr="00623E5C" w:rsidRDefault="00702925" w:rsidP="007029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-15.3</w:t>
            </w:r>
          </w:p>
        </w:tc>
        <w:tc>
          <w:tcPr>
            <w:tcW w:w="909" w:type="pct"/>
            <w:tcBorders>
              <w:top w:val="nil"/>
              <w:left w:val="nil"/>
              <w:bottom w:val="nil"/>
              <w:right w:val="nil"/>
            </w:tcBorders>
            <w:shd w:val="clear" w:color="auto" w:fill="8EAADB" w:themeFill="accent1" w:themeFillTint="99"/>
            <w:noWrap/>
            <w:vAlign w:val="bottom"/>
          </w:tcPr>
          <w:p w14:paraId="453D3AF2" w14:textId="47EF0213" w:rsidR="00702925" w:rsidRPr="00623E5C" w:rsidRDefault="00702925" w:rsidP="007029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-15.2</w:t>
            </w:r>
          </w:p>
        </w:tc>
      </w:tr>
      <w:tr w:rsidR="00481918" w:rsidRPr="00623E5C" w14:paraId="27ABD80A" w14:textId="77777777" w:rsidTr="00623E5C">
        <w:trPr>
          <w:trHeight w:val="13"/>
        </w:trPr>
        <w:tc>
          <w:tcPr>
            <w:tcW w:w="1363" w:type="pct"/>
            <w:shd w:val="clear" w:color="auto" w:fill="auto"/>
            <w:hideMark/>
          </w:tcPr>
          <w:p w14:paraId="1D5C0EFA" w14:textId="77777777" w:rsidR="00481918" w:rsidRPr="00623E5C" w:rsidRDefault="00481918" w:rsidP="004819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b/>
                <w:sz w:val="16"/>
                <w:szCs w:val="16"/>
              </w:rPr>
            </w:pPr>
            <w:r w:rsidRPr="00623E5C">
              <w:rPr>
                <w:b/>
                <w:sz w:val="16"/>
                <w:szCs w:val="16"/>
              </w:rPr>
              <w:t>Recreation &amp; culture</w:t>
            </w:r>
          </w:p>
        </w:tc>
        <w:tc>
          <w:tcPr>
            <w:tcW w:w="910" w:type="pct"/>
            <w:tcBorders>
              <w:top w:val="nil"/>
              <w:left w:val="nil"/>
              <w:bottom w:val="nil"/>
              <w:right w:val="nil"/>
            </w:tcBorders>
            <w:shd w:val="clear" w:color="auto" w:fill="auto"/>
            <w:noWrap/>
            <w:vAlign w:val="bottom"/>
          </w:tcPr>
          <w:p w14:paraId="6FB752E0" w14:textId="7D96C285" w:rsidR="00481918" w:rsidRPr="00623E5C" w:rsidRDefault="00481918" w:rsidP="004819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1.7</w:t>
            </w:r>
          </w:p>
        </w:tc>
        <w:tc>
          <w:tcPr>
            <w:tcW w:w="909" w:type="pct"/>
            <w:tcBorders>
              <w:top w:val="nil"/>
              <w:left w:val="nil"/>
              <w:bottom w:val="nil"/>
              <w:right w:val="nil"/>
            </w:tcBorders>
            <w:shd w:val="clear" w:color="auto" w:fill="auto"/>
            <w:noWrap/>
            <w:vAlign w:val="bottom"/>
          </w:tcPr>
          <w:p w14:paraId="66F35535" w14:textId="1BB15112" w:rsidR="00481918" w:rsidRPr="00623E5C" w:rsidRDefault="00481918" w:rsidP="004819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2.1</w:t>
            </w:r>
          </w:p>
        </w:tc>
        <w:tc>
          <w:tcPr>
            <w:tcW w:w="909" w:type="pct"/>
            <w:tcBorders>
              <w:top w:val="nil"/>
              <w:left w:val="nil"/>
              <w:bottom w:val="nil"/>
              <w:right w:val="nil"/>
            </w:tcBorders>
            <w:shd w:val="clear" w:color="auto" w:fill="auto"/>
            <w:noWrap/>
            <w:vAlign w:val="bottom"/>
          </w:tcPr>
          <w:p w14:paraId="2018B995" w14:textId="7C7FD09D" w:rsidR="00481918" w:rsidRPr="00623E5C" w:rsidRDefault="00481918" w:rsidP="004819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8.3</w:t>
            </w:r>
          </w:p>
        </w:tc>
        <w:tc>
          <w:tcPr>
            <w:tcW w:w="909" w:type="pct"/>
            <w:tcBorders>
              <w:top w:val="nil"/>
              <w:left w:val="nil"/>
              <w:bottom w:val="nil"/>
              <w:right w:val="nil"/>
            </w:tcBorders>
            <w:shd w:val="clear" w:color="auto" w:fill="auto"/>
            <w:noWrap/>
            <w:vAlign w:val="bottom"/>
          </w:tcPr>
          <w:p w14:paraId="6F944F1C" w14:textId="4E731643" w:rsidR="00481918" w:rsidRPr="00623E5C" w:rsidRDefault="00481918" w:rsidP="004819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5.8</w:t>
            </w:r>
          </w:p>
        </w:tc>
      </w:tr>
      <w:tr w:rsidR="00481918" w:rsidRPr="00623E5C" w14:paraId="14D3161D" w14:textId="77777777" w:rsidTr="00623E5C">
        <w:trPr>
          <w:trHeight w:val="13"/>
        </w:trPr>
        <w:tc>
          <w:tcPr>
            <w:tcW w:w="1363" w:type="pct"/>
            <w:shd w:val="clear" w:color="auto" w:fill="auto"/>
            <w:hideMark/>
          </w:tcPr>
          <w:p w14:paraId="068BBCA5" w14:textId="77777777" w:rsidR="00481918" w:rsidRPr="00623E5C" w:rsidRDefault="00481918" w:rsidP="00481918">
            <w:pPr>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sz w:val="16"/>
                <w:szCs w:val="16"/>
              </w:rPr>
            </w:pPr>
            <w:r w:rsidRPr="00623E5C">
              <w:rPr>
                <w:sz w:val="16"/>
                <w:szCs w:val="16"/>
              </w:rPr>
              <w:t xml:space="preserve">Audio, </w:t>
            </w:r>
            <w:proofErr w:type="gramStart"/>
            <w:r w:rsidRPr="00623E5C">
              <w:rPr>
                <w:sz w:val="16"/>
                <w:szCs w:val="16"/>
              </w:rPr>
              <w:t>visual</w:t>
            </w:r>
            <w:proofErr w:type="gramEnd"/>
            <w:r w:rsidRPr="00623E5C">
              <w:rPr>
                <w:sz w:val="16"/>
                <w:szCs w:val="16"/>
              </w:rPr>
              <w:t xml:space="preserve"> and computing equipment</w:t>
            </w:r>
          </w:p>
        </w:tc>
        <w:tc>
          <w:tcPr>
            <w:tcW w:w="910" w:type="pct"/>
            <w:tcBorders>
              <w:top w:val="nil"/>
              <w:left w:val="nil"/>
              <w:bottom w:val="nil"/>
              <w:right w:val="nil"/>
            </w:tcBorders>
            <w:shd w:val="clear" w:color="auto" w:fill="auto"/>
            <w:noWrap/>
            <w:vAlign w:val="bottom"/>
          </w:tcPr>
          <w:p w14:paraId="39D0C495" w14:textId="3029F2AA" w:rsidR="00481918" w:rsidRPr="00623E5C" w:rsidRDefault="00481918" w:rsidP="004819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0.0</w:t>
            </w:r>
          </w:p>
        </w:tc>
        <w:tc>
          <w:tcPr>
            <w:tcW w:w="909" w:type="pct"/>
            <w:tcBorders>
              <w:top w:val="nil"/>
              <w:left w:val="nil"/>
              <w:bottom w:val="nil"/>
              <w:right w:val="nil"/>
            </w:tcBorders>
            <w:shd w:val="clear" w:color="auto" w:fill="auto"/>
            <w:noWrap/>
            <w:vAlign w:val="bottom"/>
          </w:tcPr>
          <w:p w14:paraId="19125C47" w14:textId="544F33EE" w:rsidR="00481918" w:rsidRPr="00623E5C" w:rsidRDefault="00481918" w:rsidP="004819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0.4</w:t>
            </w:r>
          </w:p>
        </w:tc>
        <w:tc>
          <w:tcPr>
            <w:tcW w:w="909" w:type="pct"/>
            <w:tcBorders>
              <w:top w:val="nil"/>
              <w:left w:val="nil"/>
              <w:bottom w:val="nil"/>
              <w:right w:val="nil"/>
            </w:tcBorders>
            <w:shd w:val="clear" w:color="auto" w:fill="auto"/>
            <w:noWrap/>
            <w:vAlign w:val="bottom"/>
          </w:tcPr>
          <w:p w14:paraId="706AC297" w14:textId="7D8818EF" w:rsidR="00481918" w:rsidRPr="00623E5C" w:rsidRDefault="00481918" w:rsidP="004819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-18.3</w:t>
            </w:r>
          </w:p>
        </w:tc>
        <w:tc>
          <w:tcPr>
            <w:tcW w:w="909" w:type="pct"/>
            <w:tcBorders>
              <w:top w:val="nil"/>
              <w:left w:val="nil"/>
              <w:bottom w:val="nil"/>
              <w:right w:val="nil"/>
            </w:tcBorders>
            <w:shd w:val="clear" w:color="auto" w:fill="auto"/>
            <w:noWrap/>
            <w:vAlign w:val="bottom"/>
          </w:tcPr>
          <w:p w14:paraId="4AB820E7" w14:textId="6931831B" w:rsidR="00481918" w:rsidRPr="00623E5C" w:rsidRDefault="00481918" w:rsidP="004819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-19.9</w:t>
            </w:r>
          </w:p>
        </w:tc>
      </w:tr>
      <w:tr w:rsidR="00481918" w:rsidRPr="00623E5C" w14:paraId="32F7F503" w14:textId="77777777" w:rsidTr="00623E5C">
        <w:trPr>
          <w:trHeight w:val="42"/>
        </w:trPr>
        <w:tc>
          <w:tcPr>
            <w:tcW w:w="1363" w:type="pct"/>
            <w:shd w:val="clear" w:color="auto" w:fill="auto"/>
            <w:hideMark/>
          </w:tcPr>
          <w:p w14:paraId="010401FF" w14:textId="77777777" w:rsidR="00481918" w:rsidRPr="00623E5C" w:rsidRDefault="00481918" w:rsidP="00481918">
            <w:pPr>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sz w:val="16"/>
                <w:szCs w:val="16"/>
              </w:rPr>
            </w:pPr>
            <w:r w:rsidRPr="00623E5C">
              <w:rPr>
                <w:sz w:val="16"/>
                <w:szCs w:val="16"/>
              </w:rPr>
              <w:t xml:space="preserve">Audio, </w:t>
            </w:r>
            <w:proofErr w:type="gramStart"/>
            <w:r w:rsidRPr="00623E5C">
              <w:rPr>
                <w:sz w:val="16"/>
                <w:szCs w:val="16"/>
              </w:rPr>
              <w:t>visual</w:t>
            </w:r>
            <w:proofErr w:type="gramEnd"/>
            <w:r w:rsidRPr="00623E5C">
              <w:rPr>
                <w:sz w:val="16"/>
                <w:szCs w:val="16"/>
              </w:rPr>
              <w:t xml:space="preserve"> and computing media &amp; services</w:t>
            </w:r>
          </w:p>
        </w:tc>
        <w:tc>
          <w:tcPr>
            <w:tcW w:w="910" w:type="pct"/>
            <w:tcBorders>
              <w:top w:val="nil"/>
              <w:left w:val="nil"/>
              <w:bottom w:val="nil"/>
              <w:right w:val="nil"/>
            </w:tcBorders>
            <w:shd w:val="clear" w:color="auto" w:fill="auto"/>
            <w:noWrap/>
            <w:vAlign w:val="bottom"/>
          </w:tcPr>
          <w:p w14:paraId="11CD549A" w14:textId="2B7F8D6F" w:rsidR="00481918" w:rsidRPr="00623E5C" w:rsidRDefault="00481918" w:rsidP="004819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3.5</w:t>
            </w:r>
          </w:p>
        </w:tc>
        <w:tc>
          <w:tcPr>
            <w:tcW w:w="909" w:type="pct"/>
            <w:tcBorders>
              <w:top w:val="nil"/>
              <w:left w:val="nil"/>
              <w:bottom w:val="nil"/>
              <w:right w:val="nil"/>
            </w:tcBorders>
            <w:shd w:val="clear" w:color="auto" w:fill="auto"/>
            <w:noWrap/>
            <w:vAlign w:val="bottom"/>
          </w:tcPr>
          <w:p w14:paraId="0D335DEF" w14:textId="5761A102" w:rsidR="00481918" w:rsidRPr="00623E5C" w:rsidRDefault="00481918" w:rsidP="004819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3.2</w:t>
            </w:r>
          </w:p>
        </w:tc>
        <w:tc>
          <w:tcPr>
            <w:tcW w:w="909" w:type="pct"/>
            <w:tcBorders>
              <w:top w:val="nil"/>
              <w:left w:val="nil"/>
              <w:bottom w:val="nil"/>
              <w:right w:val="nil"/>
            </w:tcBorders>
            <w:shd w:val="clear" w:color="auto" w:fill="auto"/>
            <w:noWrap/>
            <w:vAlign w:val="bottom"/>
          </w:tcPr>
          <w:p w14:paraId="06A74B78" w14:textId="576AA0B8" w:rsidR="00481918" w:rsidRPr="00623E5C" w:rsidRDefault="00481918" w:rsidP="004819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9.9</w:t>
            </w:r>
          </w:p>
        </w:tc>
        <w:tc>
          <w:tcPr>
            <w:tcW w:w="909" w:type="pct"/>
            <w:tcBorders>
              <w:top w:val="nil"/>
              <w:left w:val="nil"/>
              <w:bottom w:val="nil"/>
              <w:right w:val="nil"/>
            </w:tcBorders>
            <w:shd w:val="clear" w:color="auto" w:fill="auto"/>
            <w:noWrap/>
            <w:vAlign w:val="bottom"/>
          </w:tcPr>
          <w:p w14:paraId="5B06E7D0" w14:textId="30A48843" w:rsidR="00481918" w:rsidRPr="00623E5C" w:rsidRDefault="00481918" w:rsidP="004819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7.8</w:t>
            </w:r>
          </w:p>
        </w:tc>
      </w:tr>
      <w:tr w:rsidR="00481918" w:rsidRPr="00623E5C" w14:paraId="4BDBCD75" w14:textId="77777777" w:rsidTr="00481918">
        <w:trPr>
          <w:trHeight w:val="290"/>
        </w:trPr>
        <w:tc>
          <w:tcPr>
            <w:tcW w:w="1363" w:type="pct"/>
            <w:shd w:val="clear" w:color="auto" w:fill="D9E2F3" w:themeFill="accent1" w:themeFillTint="33"/>
            <w:hideMark/>
          </w:tcPr>
          <w:p w14:paraId="6D7F392C" w14:textId="77777777" w:rsidR="00481918" w:rsidRPr="00623E5C" w:rsidRDefault="00481918" w:rsidP="004819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b/>
                <w:sz w:val="16"/>
                <w:szCs w:val="16"/>
              </w:rPr>
            </w:pPr>
            <w:r w:rsidRPr="00623E5C">
              <w:rPr>
                <w:b/>
                <w:sz w:val="16"/>
                <w:szCs w:val="16"/>
              </w:rPr>
              <w:t>Education</w:t>
            </w:r>
          </w:p>
        </w:tc>
        <w:tc>
          <w:tcPr>
            <w:tcW w:w="910" w:type="pct"/>
            <w:tcBorders>
              <w:top w:val="nil"/>
              <w:left w:val="nil"/>
              <w:bottom w:val="nil"/>
              <w:right w:val="nil"/>
            </w:tcBorders>
            <w:shd w:val="clear" w:color="auto" w:fill="B4C6E7" w:themeFill="accent1" w:themeFillTint="66"/>
            <w:noWrap/>
            <w:vAlign w:val="bottom"/>
          </w:tcPr>
          <w:p w14:paraId="44C138F5" w14:textId="5C51C0A9" w:rsidR="00481918" w:rsidRPr="00623E5C" w:rsidRDefault="00481918" w:rsidP="004819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2.6</w:t>
            </w:r>
          </w:p>
        </w:tc>
        <w:tc>
          <w:tcPr>
            <w:tcW w:w="909" w:type="pct"/>
            <w:tcBorders>
              <w:top w:val="nil"/>
              <w:left w:val="nil"/>
              <w:bottom w:val="nil"/>
              <w:right w:val="nil"/>
            </w:tcBorders>
            <w:shd w:val="clear" w:color="auto" w:fill="B4C6E7" w:themeFill="accent1" w:themeFillTint="66"/>
            <w:noWrap/>
            <w:vAlign w:val="bottom"/>
          </w:tcPr>
          <w:p w14:paraId="43B2DF1A" w14:textId="47590822" w:rsidR="00481918" w:rsidRPr="00623E5C" w:rsidRDefault="00481918" w:rsidP="004819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0.6</w:t>
            </w:r>
          </w:p>
        </w:tc>
        <w:tc>
          <w:tcPr>
            <w:tcW w:w="909" w:type="pct"/>
            <w:tcBorders>
              <w:top w:val="nil"/>
              <w:left w:val="nil"/>
              <w:bottom w:val="nil"/>
              <w:right w:val="nil"/>
            </w:tcBorders>
            <w:shd w:val="clear" w:color="auto" w:fill="8EAADB" w:themeFill="accent1" w:themeFillTint="99"/>
            <w:noWrap/>
            <w:vAlign w:val="bottom"/>
          </w:tcPr>
          <w:p w14:paraId="4025C8F4" w14:textId="3D99DA0B" w:rsidR="00481918" w:rsidRPr="00623E5C" w:rsidRDefault="00481918" w:rsidP="004819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17.0</w:t>
            </w:r>
          </w:p>
        </w:tc>
        <w:tc>
          <w:tcPr>
            <w:tcW w:w="909" w:type="pct"/>
            <w:tcBorders>
              <w:top w:val="nil"/>
              <w:left w:val="nil"/>
              <w:bottom w:val="nil"/>
              <w:right w:val="nil"/>
            </w:tcBorders>
            <w:shd w:val="clear" w:color="auto" w:fill="8EAADB" w:themeFill="accent1" w:themeFillTint="99"/>
            <w:noWrap/>
            <w:vAlign w:val="bottom"/>
          </w:tcPr>
          <w:p w14:paraId="049B10AF" w14:textId="524E9BBB" w:rsidR="00481918" w:rsidRPr="00623E5C" w:rsidRDefault="00481918" w:rsidP="004819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12.1</w:t>
            </w:r>
          </w:p>
        </w:tc>
      </w:tr>
      <w:tr w:rsidR="00120DE9" w:rsidRPr="00623E5C" w14:paraId="7C647056" w14:textId="77777777" w:rsidTr="00623E5C">
        <w:trPr>
          <w:trHeight w:val="13"/>
        </w:trPr>
        <w:tc>
          <w:tcPr>
            <w:tcW w:w="1363" w:type="pct"/>
            <w:shd w:val="clear" w:color="auto" w:fill="auto"/>
            <w:hideMark/>
          </w:tcPr>
          <w:p w14:paraId="4A65F112" w14:textId="77777777" w:rsidR="00120DE9" w:rsidRPr="00623E5C" w:rsidRDefault="00120DE9" w:rsidP="00120D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b/>
                <w:sz w:val="16"/>
                <w:szCs w:val="16"/>
              </w:rPr>
            </w:pPr>
            <w:r w:rsidRPr="00623E5C">
              <w:rPr>
                <w:b/>
                <w:sz w:val="16"/>
                <w:szCs w:val="16"/>
              </w:rPr>
              <w:t>Insurance &amp; financial services</w:t>
            </w:r>
          </w:p>
        </w:tc>
        <w:tc>
          <w:tcPr>
            <w:tcW w:w="910" w:type="pct"/>
            <w:tcBorders>
              <w:top w:val="nil"/>
              <w:left w:val="nil"/>
              <w:bottom w:val="nil"/>
              <w:right w:val="nil"/>
            </w:tcBorders>
            <w:shd w:val="clear" w:color="auto" w:fill="auto"/>
            <w:noWrap/>
            <w:vAlign w:val="bottom"/>
          </w:tcPr>
          <w:p w14:paraId="43DE2B23" w14:textId="68D3EEDC" w:rsidR="00120DE9" w:rsidRPr="00623E5C" w:rsidRDefault="00120DE9" w:rsidP="00120D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-0.6</w:t>
            </w:r>
          </w:p>
        </w:tc>
        <w:tc>
          <w:tcPr>
            <w:tcW w:w="909" w:type="pct"/>
            <w:tcBorders>
              <w:top w:val="nil"/>
              <w:left w:val="nil"/>
              <w:bottom w:val="nil"/>
              <w:right w:val="nil"/>
            </w:tcBorders>
            <w:shd w:val="clear" w:color="auto" w:fill="auto"/>
            <w:noWrap/>
            <w:vAlign w:val="bottom"/>
          </w:tcPr>
          <w:p w14:paraId="3D29B143" w14:textId="257F6330" w:rsidR="00120DE9" w:rsidRPr="00623E5C" w:rsidRDefault="00120DE9" w:rsidP="00120D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2.2</w:t>
            </w:r>
          </w:p>
        </w:tc>
        <w:tc>
          <w:tcPr>
            <w:tcW w:w="909" w:type="pct"/>
            <w:tcBorders>
              <w:top w:val="nil"/>
              <w:left w:val="nil"/>
              <w:bottom w:val="nil"/>
              <w:right w:val="nil"/>
            </w:tcBorders>
            <w:shd w:val="clear" w:color="auto" w:fill="auto"/>
            <w:noWrap/>
            <w:vAlign w:val="bottom"/>
          </w:tcPr>
          <w:p w14:paraId="03821F20" w14:textId="230CE62E" w:rsidR="00120DE9" w:rsidRPr="00623E5C" w:rsidRDefault="00120DE9" w:rsidP="00120D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-3.2</w:t>
            </w:r>
          </w:p>
        </w:tc>
        <w:tc>
          <w:tcPr>
            <w:tcW w:w="909" w:type="pct"/>
            <w:tcBorders>
              <w:top w:val="nil"/>
              <w:left w:val="nil"/>
              <w:bottom w:val="nil"/>
              <w:right w:val="nil"/>
            </w:tcBorders>
            <w:shd w:val="clear" w:color="auto" w:fill="auto"/>
            <w:noWrap/>
            <w:vAlign w:val="bottom"/>
          </w:tcPr>
          <w:p w14:paraId="31F0C28D" w14:textId="40E73FF6" w:rsidR="00120DE9" w:rsidRPr="00623E5C" w:rsidRDefault="00120DE9" w:rsidP="00120D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7.1</w:t>
            </w:r>
          </w:p>
        </w:tc>
      </w:tr>
      <w:tr w:rsidR="00120DE9" w:rsidRPr="00623E5C" w14:paraId="3E950472" w14:textId="77777777" w:rsidTr="002353E5">
        <w:trPr>
          <w:trHeight w:val="290"/>
        </w:trPr>
        <w:tc>
          <w:tcPr>
            <w:tcW w:w="1363" w:type="pct"/>
            <w:tcBorders>
              <w:bottom w:val="single" w:sz="12" w:space="0" w:color="A6A6A6" w:themeColor="background1" w:themeShade="A6"/>
            </w:tcBorders>
            <w:shd w:val="clear" w:color="auto" w:fill="auto"/>
            <w:hideMark/>
          </w:tcPr>
          <w:p w14:paraId="3436A0A2" w14:textId="77777777" w:rsidR="00120DE9" w:rsidRPr="00623E5C" w:rsidRDefault="00120DE9" w:rsidP="00120DE9">
            <w:pPr>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sz w:val="16"/>
                <w:szCs w:val="16"/>
              </w:rPr>
            </w:pPr>
            <w:r w:rsidRPr="00623E5C">
              <w:rPr>
                <w:sz w:val="16"/>
                <w:szCs w:val="16"/>
              </w:rPr>
              <w:t>Insurance</w:t>
            </w:r>
          </w:p>
        </w:tc>
        <w:tc>
          <w:tcPr>
            <w:tcW w:w="910" w:type="pct"/>
            <w:tcBorders>
              <w:top w:val="nil"/>
              <w:left w:val="nil"/>
              <w:bottom w:val="single" w:sz="12" w:space="0" w:color="A6A6A6" w:themeColor="background1" w:themeShade="A6"/>
              <w:right w:val="nil"/>
            </w:tcBorders>
            <w:shd w:val="clear" w:color="auto" w:fill="auto"/>
            <w:noWrap/>
            <w:vAlign w:val="bottom"/>
          </w:tcPr>
          <w:p w14:paraId="2EBD3767" w14:textId="028DA4A0" w:rsidR="00120DE9" w:rsidRPr="00623E5C" w:rsidRDefault="00120DE9" w:rsidP="00120D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2.6</w:t>
            </w:r>
          </w:p>
        </w:tc>
        <w:tc>
          <w:tcPr>
            <w:tcW w:w="909" w:type="pct"/>
            <w:tcBorders>
              <w:top w:val="nil"/>
              <w:left w:val="nil"/>
              <w:bottom w:val="single" w:sz="12" w:space="0" w:color="A6A6A6" w:themeColor="background1" w:themeShade="A6"/>
              <w:right w:val="nil"/>
            </w:tcBorders>
            <w:shd w:val="clear" w:color="auto" w:fill="auto"/>
            <w:noWrap/>
            <w:vAlign w:val="bottom"/>
          </w:tcPr>
          <w:p w14:paraId="2C032803" w14:textId="0EF142F4" w:rsidR="00120DE9" w:rsidRPr="00623E5C" w:rsidRDefault="00120DE9" w:rsidP="00120D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3.4</w:t>
            </w:r>
          </w:p>
        </w:tc>
        <w:tc>
          <w:tcPr>
            <w:tcW w:w="909" w:type="pct"/>
            <w:tcBorders>
              <w:top w:val="nil"/>
              <w:left w:val="nil"/>
              <w:bottom w:val="single" w:sz="12" w:space="0" w:color="A6A6A6" w:themeColor="background1" w:themeShade="A6"/>
              <w:right w:val="nil"/>
            </w:tcBorders>
            <w:shd w:val="clear" w:color="auto" w:fill="auto"/>
            <w:noWrap/>
            <w:vAlign w:val="bottom"/>
          </w:tcPr>
          <w:p w14:paraId="1022BA68" w14:textId="58A2404A" w:rsidR="00120DE9" w:rsidRPr="00623E5C" w:rsidRDefault="00120DE9" w:rsidP="00120D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8.9</w:t>
            </w:r>
          </w:p>
        </w:tc>
        <w:tc>
          <w:tcPr>
            <w:tcW w:w="909" w:type="pct"/>
            <w:tcBorders>
              <w:top w:val="nil"/>
              <w:left w:val="nil"/>
              <w:bottom w:val="single" w:sz="12" w:space="0" w:color="A6A6A6" w:themeColor="background1" w:themeShade="A6"/>
              <w:right w:val="nil"/>
            </w:tcBorders>
            <w:shd w:val="clear" w:color="auto" w:fill="auto"/>
            <w:noWrap/>
            <w:vAlign w:val="bottom"/>
          </w:tcPr>
          <w:p w14:paraId="1F55EDEB" w14:textId="638949D2" w:rsidR="00120DE9" w:rsidRPr="00623E5C" w:rsidRDefault="00120DE9" w:rsidP="00120D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13.8</w:t>
            </w:r>
          </w:p>
        </w:tc>
      </w:tr>
      <w:tr w:rsidR="00120DE9" w:rsidRPr="00623E5C" w14:paraId="233009E1" w14:textId="77777777" w:rsidTr="002353E5">
        <w:trPr>
          <w:trHeight w:val="290"/>
        </w:trPr>
        <w:tc>
          <w:tcPr>
            <w:tcW w:w="1363" w:type="pct"/>
            <w:tcBorders>
              <w:top w:val="single" w:sz="12" w:space="0" w:color="A6A6A6" w:themeColor="background1" w:themeShade="A6"/>
              <w:bottom w:val="single" w:sz="12" w:space="0" w:color="A6A6A6" w:themeColor="background1" w:themeShade="A6"/>
            </w:tcBorders>
            <w:shd w:val="clear" w:color="auto" w:fill="D9E2F3" w:themeFill="accent1" w:themeFillTint="33"/>
            <w:hideMark/>
          </w:tcPr>
          <w:p w14:paraId="75D86C77" w14:textId="77777777" w:rsidR="00120DE9" w:rsidRPr="00623E5C" w:rsidRDefault="00120DE9" w:rsidP="00120D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b/>
                <w:sz w:val="16"/>
                <w:szCs w:val="16"/>
              </w:rPr>
            </w:pPr>
            <w:r w:rsidRPr="00623E5C">
              <w:rPr>
                <w:b/>
                <w:sz w:val="16"/>
                <w:szCs w:val="16"/>
              </w:rPr>
              <w:t>CPI All Groups</w:t>
            </w:r>
          </w:p>
        </w:tc>
        <w:tc>
          <w:tcPr>
            <w:tcW w:w="910" w:type="pct"/>
            <w:tcBorders>
              <w:top w:val="single" w:sz="12" w:space="0" w:color="A6A6A6" w:themeColor="background1" w:themeShade="A6"/>
              <w:left w:val="nil"/>
              <w:bottom w:val="single" w:sz="12" w:space="0" w:color="A6A6A6" w:themeColor="background1" w:themeShade="A6"/>
              <w:right w:val="nil"/>
            </w:tcBorders>
            <w:shd w:val="clear" w:color="auto" w:fill="B4C6E7" w:themeFill="accent1" w:themeFillTint="66"/>
            <w:noWrap/>
            <w:vAlign w:val="bottom"/>
          </w:tcPr>
          <w:p w14:paraId="0AC61662" w14:textId="599AD2A7" w:rsidR="00120DE9" w:rsidRPr="00623E5C" w:rsidRDefault="00120DE9" w:rsidP="00120D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4.0</w:t>
            </w:r>
          </w:p>
        </w:tc>
        <w:tc>
          <w:tcPr>
            <w:tcW w:w="909" w:type="pct"/>
            <w:tcBorders>
              <w:top w:val="single" w:sz="12" w:space="0" w:color="A6A6A6" w:themeColor="background1" w:themeShade="A6"/>
              <w:left w:val="nil"/>
              <w:bottom w:val="single" w:sz="12" w:space="0" w:color="A6A6A6" w:themeColor="background1" w:themeShade="A6"/>
              <w:right w:val="nil"/>
            </w:tcBorders>
            <w:shd w:val="clear" w:color="auto" w:fill="B4C6E7" w:themeFill="accent1" w:themeFillTint="66"/>
            <w:noWrap/>
            <w:vAlign w:val="bottom"/>
          </w:tcPr>
          <w:p w14:paraId="6C555888" w14:textId="23902AE2" w:rsidR="00120DE9" w:rsidRPr="00623E5C" w:rsidRDefault="00120DE9" w:rsidP="00120D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3.5</w:t>
            </w:r>
          </w:p>
        </w:tc>
        <w:tc>
          <w:tcPr>
            <w:tcW w:w="909" w:type="pct"/>
            <w:tcBorders>
              <w:top w:val="single" w:sz="12" w:space="0" w:color="A6A6A6" w:themeColor="background1" w:themeShade="A6"/>
              <w:left w:val="nil"/>
              <w:bottom w:val="single" w:sz="12" w:space="0" w:color="A6A6A6" w:themeColor="background1" w:themeShade="A6"/>
              <w:right w:val="nil"/>
            </w:tcBorders>
            <w:shd w:val="clear" w:color="auto" w:fill="8EAADB" w:themeFill="accent1" w:themeFillTint="99"/>
            <w:noWrap/>
            <w:vAlign w:val="bottom"/>
          </w:tcPr>
          <w:p w14:paraId="21325CAF" w14:textId="6CC9EE40" w:rsidR="00120DE9" w:rsidRPr="00623E5C" w:rsidRDefault="00120DE9" w:rsidP="00120D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12.1</w:t>
            </w:r>
          </w:p>
        </w:tc>
        <w:tc>
          <w:tcPr>
            <w:tcW w:w="909" w:type="pct"/>
            <w:tcBorders>
              <w:top w:val="single" w:sz="12" w:space="0" w:color="A6A6A6" w:themeColor="background1" w:themeShade="A6"/>
              <w:left w:val="nil"/>
              <w:bottom w:val="single" w:sz="12" w:space="0" w:color="A6A6A6" w:themeColor="background1" w:themeShade="A6"/>
              <w:right w:val="nil"/>
            </w:tcBorders>
            <w:shd w:val="clear" w:color="auto" w:fill="8EAADB" w:themeFill="accent1" w:themeFillTint="99"/>
            <w:noWrap/>
            <w:vAlign w:val="bottom"/>
          </w:tcPr>
          <w:p w14:paraId="241A620B" w14:textId="19C5F866" w:rsidR="00120DE9" w:rsidRPr="00623E5C" w:rsidRDefault="00120DE9" w:rsidP="00120D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b/>
                <w:sz w:val="16"/>
                <w:szCs w:val="16"/>
              </w:rPr>
            </w:pPr>
            <w:r>
              <w:rPr>
                <w:rFonts w:cs="Arial"/>
                <w:color w:val="000000"/>
                <w:sz w:val="16"/>
                <w:szCs w:val="16"/>
              </w:rPr>
              <w:t>10.2</w:t>
            </w:r>
          </w:p>
        </w:tc>
      </w:tr>
    </w:tbl>
    <w:p w14:paraId="1BB2A523" w14:textId="7E95CA83" w:rsidR="00AD6DDD" w:rsidRDefault="00AD6DDD" w:rsidP="00AD6DDD">
      <w:pPr>
        <w:pStyle w:val="Source"/>
      </w:pPr>
      <w:r>
        <w:t xml:space="preserve">Source: </w:t>
      </w:r>
      <w:r w:rsidRPr="00B01433">
        <w:t xml:space="preserve">ABS, ‘Table 10. CPI: Group, Sub-group and Expenditure Class, Percentage change from corresponding quarter of previous year by Capital City’ and ‘Table 11. CPI: Group, Sub-group and Expenditure Class, Percentage change from previous quarter by Capital City’ [time series spreadsheets], </w:t>
      </w:r>
      <w:hyperlink r:id="rId17" w:history="1">
        <w:r w:rsidRPr="00B01433">
          <w:rPr>
            <w:rStyle w:val="Hyperlink"/>
            <w:i/>
            <w:iCs/>
          </w:rPr>
          <w:t>Consumer Price Index, Australia</w:t>
        </w:r>
      </w:hyperlink>
      <w:r w:rsidRPr="00B01433">
        <w:rPr>
          <w:i/>
          <w:iCs/>
        </w:rPr>
        <w:t>,</w:t>
      </w:r>
      <w:r>
        <w:rPr>
          <w:i/>
          <w:iCs/>
        </w:rPr>
        <w:t xml:space="preserve"> </w:t>
      </w:r>
      <w:r w:rsidRPr="00C877F1">
        <w:t>Reference period December 202</w:t>
      </w:r>
      <w:r>
        <w:t>1</w:t>
      </w:r>
      <w:r w:rsidRPr="00C877F1">
        <w:t>,</w:t>
      </w:r>
      <w:r w:rsidRPr="00FB42FE">
        <w:t xml:space="preserve"> </w:t>
      </w:r>
      <w:r>
        <w:t xml:space="preserve">ABS, 2021, </w:t>
      </w:r>
      <w:r w:rsidRPr="00B01433">
        <w:t xml:space="preserve">accessed </w:t>
      </w:r>
      <w:r w:rsidR="00B04C17">
        <w:t>21 April 2022</w:t>
      </w:r>
      <w:r w:rsidRPr="00B01433">
        <w:t>.</w:t>
      </w:r>
    </w:p>
    <w:p w14:paraId="6C1BE46E" w14:textId="77777777" w:rsidR="00415769" w:rsidRDefault="00415769" w:rsidP="002C4E3A">
      <w:pPr>
        <w:pStyle w:val="BodyText"/>
      </w:pPr>
    </w:p>
    <w:p w14:paraId="1E27E6B3" w14:textId="77777777" w:rsidR="00615094" w:rsidRDefault="00615094" w:rsidP="002C4E3A">
      <w:pPr>
        <w:pStyle w:val="BodyText"/>
      </w:pPr>
    </w:p>
    <w:p w14:paraId="63FD2E6B" w14:textId="77777777" w:rsidR="009369CB" w:rsidRDefault="009369CB" w:rsidP="002C4E3A">
      <w:pPr>
        <w:pStyle w:val="BodyText"/>
      </w:pPr>
    </w:p>
    <w:p w14:paraId="01919A83" w14:textId="77777777" w:rsidR="009369CB" w:rsidRDefault="009369CB" w:rsidP="002C4E3A">
      <w:pPr>
        <w:pStyle w:val="BodyText"/>
      </w:pPr>
    </w:p>
    <w:p w14:paraId="60E391B1" w14:textId="77777777" w:rsidR="009369CB" w:rsidRDefault="009369CB" w:rsidP="002C4E3A">
      <w:pPr>
        <w:pStyle w:val="BodyText"/>
      </w:pPr>
    </w:p>
    <w:p w14:paraId="14CCEA94" w14:textId="77777777" w:rsidR="009369CB" w:rsidRDefault="009369CB" w:rsidP="002C4E3A">
      <w:pPr>
        <w:pStyle w:val="BodyText"/>
      </w:pPr>
    </w:p>
    <w:p w14:paraId="5BC7256A" w14:textId="77777777" w:rsidR="009369CB" w:rsidRDefault="009369CB" w:rsidP="002C4E3A">
      <w:pPr>
        <w:pStyle w:val="BodyText"/>
      </w:pPr>
    </w:p>
    <w:p w14:paraId="68E60397" w14:textId="77777777" w:rsidR="009369CB" w:rsidRDefault="009369CB" w:rsidP="002C4E3A">
      <w:pPr>
        <w:pStyle w:val="BodyText"/>
      </w:pPr>
    </w:p>
    <w:p w14:paraId="1522A5CE" w14:textId="43C3A25D" w:rsidR="009369CB" w:rsidRDefault="009369CB" w:rsidP="00AD1D39">
      <w:pPr>
        <w:pStyle w:val="Figuretabletitle"/>
      </w:pPr>
      <w:r>
        <w:lastRenderedPageBreak/>
        <w:t>Figure</w:t>
      </w:r>
      <w:r w:rsidR="00C959FF">
        <w:t xml:space="preserve"> 1</w:t>
      </w:r>
      <w:r>
        <w:t xml:space="preserve"> </w:t>
      </w:r>
      <w:r w:rsidR="00AD1D39">
        <w:t>Change in CPI Groups and CPI All Groups, Canberra and Australia, December 2016 – December 2021</w:t>
      </w:r>
    </w:p>
    <w:p w14:paraId="364A6DD1" w14:textId="7A740A07" w:rsidR="00B6596F" w:rsidRDefault="00522790" w:rsidP="00300B93">
      <w:r>
        <w:rPr>
          <w:noProof/>
        </w:rPr>
        <w:drawing>
          <wp:inline distT="0" distB="0" distL="0" distR="0" wp14:anchorId="50B19E69" wp14:editId="5224FA25">
            <wp:extent cx="5400040" cy="3351530"/>
            <wp:effectExtent l="0" t="0" r="0" b="0"/>
            <wp:docPr id="20" name="Picture 2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har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00040" cy="3351530"/>
                    </a:xfrm>
                    <a:prstGeom prst="rect">
                      <a:avLst/>
                    </a:prstGeom>
                  </pic:spPr>
                </pic:pic>
              </a:graphicData>
            </a:graphic>
          </wp:inline>
        </w:drawing>
      </w:r>
    </w:p>
    <w:p w14:paraId="2B7824D6" w14:textId="77777777" w:rsidR="003B4629" w:rsidRDefault="003B4629" w:rsidP="003B4629">
      <w:pPr>
        <w:pStyle w:val="Source"/>
      </w:pPr>
      <w:r>
        <w:t xml:space="preserve">Source: </w:t>
      </w:r>
      <w:r w:rsidRPr="00B01433">
        <w:t xml:space="preserve">ABS, ‘Table 10. CPI: Group, Sub-group and Expenditure Class, Percentage change from corresponding quarter of previous year by Capital City’ and ‘Table 11. CPI: Group, Sub-group and Expenditure Class, Percentage change from previous quarter by Capital City’ [time series spreadsheets], </w:t>
      </w:r>
      <w:hyperlink r:id="rId19" w:history="1">
        <w:r w:rsidRPr="00B01433">
          <w:rPr>
            <w:rStyle w:val="Hyperlink"/>
            <w:i/>
            <w:iCs/>
          </w:rPr>
          <w:t>Consumer Price Index, Australia</w:t>
        </w:r>
      </w:hyperlink>
      <w:r w:rsidRPr="00B01433">
        <w:rPr>
          <w:i/>
          <w:iCs/>
        </w:rPr>
        <w:t>,</w:t>
      </w:r>
      <w:r>
        <w:rPr>
          <w:i/>
          <w:iCs/>
        </w:rPr>
        <w:t xml:space="preserve"> </w:t>
      </w:r>
      <w:r w:rsidRPr="00C877F1">
        <w:t>Reference period December 202</w:t>
      </w:r>
      <w:r>
        <w:t>1</w:t>
      </w:r>
      <w:r w:rsidRPr="00C877F1">
        <w:t>,</w:t>
      </w:r>
      <w:r w:rsidRPr="00FB42FE">
        <w:t xml:space="preserve"> </w:t>
      </w:r>
      <w:r>
        <w:t xml:space="preserve">ABS, 2021, </w:t>
      </w:r>
      <w:r w:rsidRPr="00B01433">
        <w:t xml:space="preserve">accessed </w:t>
      </w:r>
      <w:r>
        <w:t>21 April 2022</w:t>
      </w:r>
      <w:r w:rsidRPr="00B01433">
        <w:t>.</w:t>
      </w:r>
    </w:p>
    <w:p w14:paraId="3FEFD610" w14:textId="5F510FD2" w:rsidR="00796D3D" w:rsidRDefault="00AD1D39" w:rsidP="008413C4">
      <w:pPr>
        <w:pStyle w:val="Figuretabletitle"/>
      </w:pPr>
      <w:r>
        <w:lastRenderedPageBreak/>
        <w:t>Figure</w:t>
      </w:r>
      <w:r w:rsidR="00C959FF">
        <w:t xml:space="preserve"> 2</w:t>
      </w:r>
      <w:r>
        <w:t xml:space="preserve"> </w:t>
      </w:r>
      <w:r w:rsidR="00647F0A">
        <w:t>Change in CPI sub-groups and expenditure classes and CPI All Groups, Canberra and Australia, December 2016 – December 2021</w:t>
      </w:r>
    </w:p>
    <w:p w14:paraId="55A73ACB" w14:textId="66179A8B" w:rsidR="004E1C36" w:rsidRDefault="004E1C36" w:rsidP="0020746A">
      <w:r>
        <w:rPr>
          <w:noProof/>
        </w:rPr>
        <w:drawing>
          <wp:inline distT="0" distB="0" distL="0" distR="0" wp14:anchorId="3290C3ED" wp14:editId="342031D8">
            <wp:extent cx="5400040" cy="5264785"/>
            <wp:effectExtent l="0" t="0" r="8890" b="0"/>
            <wp:docPr id="19" name="Picture 19"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abl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00040" cy="5264785"/>
                    </a:xfrm>
                    <a:prstGeom prst="rect">
                      <a:avLst/>
                    </a:prstGeom>
                  </pic:spPr>
                </pic:pic>
              </a:graphicData>
            </a:graphic>
          </wp:inline>
        </w:drawing>
      </w:r>
    </w:p>
    <w:p w14:paraId="2A621222" w14:textId="77777777" w:rsidR="0001553C" w:rsidRDefault="0001553C" w:rsidP="0001553C">
      <w:pPr>
        <w:pStyle w:val="Source"/>
      </w:pPr>
      <w:r>
        <w:t xml:space="preserve">Source: </w:t>
      </w:r>
      <w:r w:rsidRPr="00B01433">
        <w:t xml:space="preserve">ABS, ‘Table 10. CPI: Group, Sub-group and Expenditure Class, Percentage change from corresponding quarter of previous year by Capital City’ and ‘Table 11. CPI: Group, Sub-group and Expenditure Class, Percentage change from previous quarter by Capital City’ [time series spreadsheets], </w:t>
      </w:r>
      <w:hyperlink r:id="rId21" w:history="1">
        <w:r w:rsidRPr="00B01433">
          <w:rPr>
            <w:rStyle w:val="Hyperlink"/>
            <w:i/>
            <w:iCs/>
          </w:rPr>
          <w:t>Consumer Price Index, Australia</w:t>
        </w:r>
      </w:hyperlink>
      <w:r w:rsidRPr="00B01433">
        <w:rPr>
          <w:i/>
          <w:iCs/>
        </w:rPr>
        <w:t>,</w:t>
      </w:r>
      <w:r>
        <w:rPr>
          <w:i/>
          <w:iCs/>
        </w:rPr>
        <w:t xml:space="preserve"> </w:t>
      </w:r>
      <w:r w:rsidRPr="00C877F1">
        <w:t>Reference period December 202</w:t>
      </w:r>
      <w:r>
        <w:t>1</w:t>
      </w:r>
      <w:r w:rsidRPr="00C877F1">
        <w:t>,</w:t>
      </w:r>
      <w:r w:rsidRPr="00FB42FE">
        <w:t xml:space="preserve"> </w:t>
      </w:r>
      <w:r>
        <w:t xml:space="preserve">ABS, 2021, </w:t>
      </w:r>
      <w:r w:rsidRPr="00B01433">
        <w:t xml:space="preserve">accessed </w:t>
      </w:r>
      <w:r>
        <w:t>21 April 2022</w:t>
      </w:r>
      <w:r w:rsidRPr="00B01433">
        <w:t>.</w:t>
      </w:r>
    </w:p>
    <w:p w14:paraId="323FB2B0" w14:textId="1247D420" w:rsidR="00CC6AF4" w:rsidRDefault="00CC6AF4" w:rsidP="00561996">
      <w:pPr>
        <w:pStyle w:val="Figuretabletitle"/>
      </w:pPr>
      <w:r>
        <w:lastRenderedPageBreak/>
        <w:t>Figure</w:t>
      </w:r>
      <w:r w:rsidR="00E54AD9">
        <w:t xml:space="preserve"> 3</w:t>
      </w:r>
      <w:r w:rsidR="00190446">
        <w:t xml:space="preserve"> Changes in CPI for</w:t>
      </w:r>
      <w:r w:rsidR="004C0C65">
        <w:t xml:space="preserve"> key</w:t>
      </w:r>
      <w:r w:rsidR="00190446">
        <w:t xml:space="preserve"> items with high rate</w:t>
      </w:r>
      <w:r w:rsidR="00D43C7B">
        <w:t>s</w:t>
      </w:r>
      <w:r w:rsidR="00190446">
        <w:t xml:space="preserve"> of increase </w:t>
      </w:r>
      <w:r w:rsidR="005A5959">
        <w:t>and All Groups CPI, Canberra, December 2016 – December 2021</w:t>
      </w:r>
    </w:p>
    <w:p w14:paraId="3733157A" w14:textId="4DD124A4" w:rsidR="00D66177" w:rsidRDefault="00D66177" w:rsidP="00EF41C5">
      <w:r w:rsidRPr="00EF41C5">
        <w:rPr>
          <w:noProof/>
        </w:rPr>
        <w:drawing>
          <wp:inline distT="0" distB="0" distL="0" distR="0" wp14:anchorId="6B779785" wp14:editId="1FC6E0C8">
            <wp:extent cx="5400040" cy="5332095"/>
            <wp:effectExtent l="0" t="0" r="0" b="1905"/>
            <wp:docPr id="16" name="Picture 1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 line chart&#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400040" cy="5332095"/>
                    </a:xfrm>
                    <a:prstGeom prst="rect">
                      <a:avLst/>
                    </a:prstGeom>
                  </pic:spPr>
                </pic:pic>
              </a:graphicData>
            </a:graphic>
          </wp:inline>
        </w:drawing>
      </w:r>
    </w:p>
    <w:p w14:paraId="44B486FB" w14:textId="77777777" w:rsidR="0001553C" w:rsidRDefault="0001553C" w:rsidP="0001553C">
      <w:pPr>
        <w:pStyle w:val="Source"/>
      </w:pPr>
      <w:r>
        <w:t xml:space="preserve">Source: </w:t>
      </w:r>
      <w:r w:rsidRPr="00B01433">
        <w:t xml:space="preserve">ABS, ‘Table 10. CPI: Group, Sub-group and Expenditure Class, Percentage change from corresponding quarter of previous year by Capital City’ and ‘Table 11. CPI: Group, Sub-group and Expenditure Class, Percentage change from previous quarter by Capital City’ [time series spreadsheets], </w:t>
      </w:r>
      <w:hyperlink r:id="rId23" w:history="1">
        <w:r w:rsidRPr="00B01433">
          <w:rPr>
            <w:rStyle w:val="Hyperlink"/>
            <w:i/>
            <w:iCs/>
          </w:rPr>
          <w:t>Consumer Price Index, Australia</w:t>
        </w:r>
      </w:hyperlink>
      <w:r w:rsidRPr="00B01433">
        <w:rPr>
          <w:i/>
          <w:iCs/>
        </w:rPr>
        <w:t>,</w:t>
      </w:r>
      <w:r>
        <w:rPr>
          <w:i/>
          <w:iCs/>
        </w:rPr>
        <w:t xml:space="preserve"> </w:t>
      </w:r>
      <w:r w:rsidRPr="00C877F1">
        <w:t>Reference period December 202</w:t>
      </w:r>
      <w:r>
        <w:t>1</w:t>
      </w:r>
      <w:r w:rsidRPr="00C877F1">
        <w:t>,</w:t>
      </w:r>
      <w:r w:rsidRPr="00FB42FE">
        <w:t xml:space="preserve"> </w:t>
      </w:r>
      <w:r>
        <w:t xml:space="preserve">ABS, 2021, </w:t>
      </w:r>
      <w:r w:rsidRPr="00B01433">
        <w:t xml:space="preserve">accessed </w:t>
      </w:r>
      <w:r>
        <w:t>21 April 2022</w:t>
      </w:r>
      <w:r w:rsidRPr="00B01433">
        <w:t>.</w:t>
      </w:r>
    </w:p>
    <w:p w14:paraId="430F851F" w14:textId="77777777" w:rsidR="00561996" w:rsidRDefault="00561996">
      <w:pPr>
        <w:rPr>
          <w:rFonts w:cs="Arial"/>
          <w:b/>
          <w:bCs/>
          <w:color w:val="005984"/>
          <w:kern w:val="32"/>
          <w:sz w:val="37"/>
          <w:szCs w:val="32"/>
        </w:rPr>
      </w:pPr>
      <w:r>
        <w:br w:type="page"/>
      </w:r>
    </w:p>
    <w:p w14:paraId="528985EC" w14:textId="3E224074" w:rsidR="007B21DD" w:rsidRDefault="005F5C09" w:rsidP="00AE100C">
      <w:pPr>
        <w:pStyle w:val="Heading1"/>
      </w:pPr>
      <w:bookmarkStart w:id="12" w:name="_Toc102651018"/>
      <w:r>
        <w:lastRenderedPageBreak/>
        <w:t>Fuel</w:t>
      </w:r>
      <w:r w:rsidR="00015A49">
        <w:t xml:space="preserve"> </w:t>
      </w:r>
      <w:r w:rsidR="00EA5598">
        <w:t>and energy</w:t>
      </w:r>
      <w:r w:rsidR="00565DFB">
        <w:t xml:space="preserve"> price rises</w:t>
      </w:r>
      <w:r w:rsidR="0013085C">
        <w:t xml:space="preserve"> </w:t>
      </w:r>
      <w:r w:rsidR="007552E6">
        <w:t>highlight need for targeted support</w:t>
      </w:r>
      <w:r w:rsidR="00A95029">
        <w:t xml:space="preserve"> </w:t>
      </w:r>
      <w:r w:rsidR="006A6A49">
        <w:t>and</w:t>
      </w:r>
      <w:r w:rsidR="00A95029">
        <w:t xml:space="preserve"> a just transition</w:t>
      </w:r>
      <w:bookmarkEnd w:id="12"/>
    </w:p>
    <w:p w14:paraId="20BB7258" w14:textId="1B744C17" w:rsidR="00A11695" w:rsidRPr="00A11695" w:rsidRDefault="00191AFB" w:rsidP="00A11695">
      <w:pPr>
        <w:pStyle w:val="BodyText"/>
      </w:pPr>
      <w:r>
        <w:t xml:space="preserve">We need a fast, </w:t>
      </w:r>
      <w:proofErr w:type="gramStart"/>
      <w:r>
        <w:t>fair</w:t>
      </w:r>
      <w:proofErr w:type="gramEnd"/>
      <w:r>
        <w:t xml:space="preserve"> and inclusive transition to net zero </w:t>
      </w:r>
      <w:r w:rsidR="007469BD">
        <w:t xml:space="preserve">greenhouse gas </w:t>
      </w:r>
      <w:r>
        <w:t>emissions in the ACT</w:t>
      </w:r>
      <w:r w:rsidR="00623EEE">
        <w:t>.</w:t>
      </w:r>
      <w:r w:rsidR="00493346">
        <w:t xml:space="preserve"> Transport and energy are the </w:t>
      </w:r>
      <w:r w:rsidR="00EE0BD4">
        <w:t xml:space="preserve">two most significant contributors to </w:t>
      </w:r>
      <w:r w:rsidR="007469BD">
        <w:t>ACT emissions.</w:t>
      </w:r>
      <w:r w:rsidR="007469BD">
        <w:rPr>
          <w:rStyle w:val="FootnoteReference"/>
        </w:rPr>
        <w:footnoteReference w:id="13"/>
      </w:r>
      <w:r w:rsidR="00916A48">
        <w:t xml:space="preserve"> T</w:t>
      </w:r>
      <w:r w:rsidR="00DC6233">
        <w:t xml:space="preserve">ransport and energy </w:t>
      </w:r>
      <w:r w:rsidR="00AD6E89">
        <w:t xml:space="preserve">are also among the </w:t>
      </w:r>
      <w:r w:rsidR="00434A46">
        <w:t xml:space="preserve">main contributors to </w:t>
      </w:r>
      <w:r w:rsidR="007060D6">
        <w:t>increasing cost of living pressures for low-income households in the ACT.</w:t>
      </w:r>
      <w:r w:rsidR="00681CD1">
        <w:t xml:space="preserve"> To achieve a just transition in the ACT it will be critical </w:t>
      </w:r>
      <w:r w:rsidR="00AA0F31">
        <w:t xml:space="preserve">to prioritise supports and safeguards for low-income and other vulnerable households (e.g., rental households) most at risk of being </w:t>
      </w:r>
      <w:r w:rsidR="00923653">
        <w:t>left behind</w:t>
      </w:r>
      <w:r w:rsidR="001832F6">
        <w:t xml:space="preserve"> as </w:t>
      </w:r>
      <w:r w:rsidR="00492C38">
        <w:t>our transport and household energy shift to renewable sources.</w:t>
      </w:r>
      <w:r w:rsidR="003811E5">
        <w:t xml:space="preserve"> These supports and safeguards need to ensure that</w:t>
      </w:r>
      <w:r w:rsidR="00EA0E33">
        <w:t xml:space="preserve"> all ACT households can access affordable, </w:t>
      </w:r>
      <w:proofErr w:type="gramStart"/>
      <w:r w:rsidR="00EA0E33">
        <w:t>clean</w:t>
      </w:r>
      <w:proofErr w:type="gramEnd"/>
      <w:r w:rsidR="00EA0E33">
        <w:t xml:space="preserve"> </w:t>
      </w:r>
      <w:r w:rsidR="00F24B6A">
        <w:t>and reliable transport and energy.</w:t>
      </w:r>
    </w:p>
    <w:p w14:paraId="23B1C0B0" w14:textId="63D83DB9" w:rsidR="00E311B9" w:rsidRPr="00E311B9" w:rsidRDefault="00E311B9" w:rsidP="00E311B9">
      <w:pPr>
        <w:pStyle w:val="Heading2"/>
      </w:pPr>
      <w:bookmarkStart w:id="13" w:name="_Toc102651019"/>
      <w:r>
        <w:t>Transport</w:t>
      </w:r>
      <w:bookmarkEnd w:id="13"/>
    </w:p>
    <w:p w14:paraId="2ABA80CC" w14:textId="25B68E14" w:rsidR="004C2BCE" w:rsidRDefault="00DA0B72" w:rsidP="004C2BCE">
      <w:pPr>
        <w:pStyle w:val="BodyText"/>
      </w:pPr>
      <w:r>
        <w:t>Transport is the third largest area of expenditure for low-income households</w:t>
      </w:r>
      <w:r w:rsidR="00C2296E">
        <w:t xml:space="preserve"> (see Table 1)</w:t>
      </w:r>
      <w:r>
        <w:t xml:space="preserve">. </w:t>
      </w:r>
      <w:r w:rsidR="004C2BCE">
        <w:t xml:space="preserve">Transport </w:t>
      </w:r>
      <w:r w:rsidR="00AD40D6">
        <w:t xml:space="preserve">prices in Canberra have </w:t>
      </w:r>
      <w:r w:rsidR="00612404">
        <w:t xml:space="preserve">increased by 14.2% </w:t>
      </w:r>
      <w:r w:rsidR="00723F50">
        <w:t>between December 2020 and December 2021</w:t>
      </w:r>
      <w:r w:rsidR="00612404">
        <w:t>, and by 19.2% over the past five years</w:t>
      </w:r>
      <w:r w:rsidR="00C2296E">
        <w:t xml:space="preserve"> (see Table 2)</w:t>
      </w:r>
      <w:r w:rsidR="00612404">
        <w:t xml:space="preserve">. This has been driven largely by </w:t>
      </w:r>
      <w:r w:rsidR="00076888">
        <w:t xml:space="preserve">recent </w:t>
      </w:r>
      <w:r w:rsidR="00612404">
        <w:t xml:space="preserve">sharp </w:t>
      </w:r>
      <w:r w:rsidR="00076888">
        <w:t>rises</w:t>
      </w:r>
      <w:r w:rsidR="00612404">
        <w:t xml:space="preserve"> in the price of automotive fuel which increased by 3</w:t>
      </w:r>
      <w:r w:rsidR="00723F50">
        <w:t xml:space="preserve">4.7% </w:t>
      </w:r>
      <w:r w:rsidR="000178BD">
        <w:t>in Canberra over the last year</w:t>
      </w:r>
      <w:r w:rsidR="000E098B">
        <w:t>.</w:t>
      </w:r>
    </w:p>
    <w:p w14:paraId="2C3220AA" w14:textId="3AE8A1A3" w:rsidR="00523BF2" w:rsidRPr="00523BF2" w:rsidRDefault="00523BF2" w:rsidP="00523BF2">
      <w:pPr>
        <w:pStyle w:val="BodyText"/>
      </w:pPr>
      <w:r>
        <w:t>H</w:t>
      </w:r>
      <w:r w:rsidRPr="00523BF2">
        <w:t>igh fuel prices hit Canberra’s low-income households hardest. For households in the bottom 40% of the income distribution, fuel costs account for a similar proportion of income (4.0% to 6.1%) as that spent on other essentials such as energy and telecommunications (see Figure</w:t>
      </w:r>
      <w:r w:rsidR="00C2296E">
        <w:t xml:space="preserve"> 4</w:t>
      </w:r>
      <w:r w:rsidRPr="00523BF2">
        <w:t xml:space="preserve">). Price fluctuations present a budgeting challenge for people living on low incomes who may be on fixed incomes and may not have adequate income and/or savings to cover sudden and substantial price increases. </w:t>
      </w:r>
      <w:proofErr w:type="spellStart"/>
      <w:r w:rsidR="00AD27D1">
        <w:t>ACTCOSS’s</w:t>
      </w:r>
      <w:proofErr w:type="spellEnd"/>
      <w:r w:rsidR="00AD27D1">
        <w:t xml:space="preserve"> detailed analysis of transport as part of our </w:t>
      </w:r>
      <w:r w:rsidR="00AD27D1" w:rsidRPr="001A47BC">
        <w:rPr>
          <w:i/>
        </w:rPr>
        <w:t>2016 ACT Cost of Living Report</w:t>
      </w:r>
      <w:r w:rsidR="00AD27D1">
        <w:t xml:space="preserve"> noted that</w:t>
      </w:r>
      <w:r w:rsidRPr="00523BF2">
        <w:t xml:space="preserve"> ‘people on </w:t>
      </w:r>
      <w:r w:rsidR="00894E36">
        <w:t xml:space="preserve">Newstart </w:t>
      </w:r>
      <w:r w:rsidR="00AD27D1">
        <w:t>[</w:t>
      </w:r>
      <w:r w:rsidR="00894E36">
        <w:t xml:space="preserve">now </w:t>
      </w:r>
      <w:proofErr w:type="spellStart"/>
      <w:r w:rsidR="00AD27D1">
        <w:t>JobSeeker</w:t>
      </w:r>
      <w:proofErr w:type="spellEnd"/>
      <w:r w:rsidR="00AD27D1">
        <w:t xml:space="preserve">] </w:t>
      </w:r>
      <w:r w:rsidRPr="00523BF2">
        <w:t>and Youth Allowance would be particularly impacted by future price rises’.</w:t>
      </w:r>
      <w:r w:rsidRPr="00523BF2">
        <w:rPr>
          <w:vertAlign w:val="superscript"/>
        </w:rPr>
        <w:footnoteReference w:id="14"/>
      </w:r>
      <w:r w:rsidR="00F82FEA">
        <w:t xml:space="preserve"> </w:t>
      </w:r>
      <w:r w:rsidR="00BE737B">
        <w:t>Households</w:t>
      </w:r>
      <w:r w:rsidR="00217A62" w:rsidRPr="00217A62">
        <w:t xml:space="preserve"> </w:t>
      </w:r>
      <w:r w:rsidR="00217A62">
        <w:t xml:space="preserve">receiving </w:t>
      </w:r>
      <w:r w:rsidR="00BE737B">
        <w:t>these payments were found to</w:t>
      </w:r>
      <w:r w:rsidR="00217A62">
        <w:t xml:space="preserve"> </w:t>
      </w:r>
      <w:r w:rsidR="00217A62" w:rsidRPr="00217A62">
        <w:t>spend more on fuel than other low-income households both in absolute terms and as a proportion of their total expenditure.</w:t>
      </w:r>
      <w:r w:rsidR="00745012">
        <w:rPr>
          <w:rStyle w:val="FootnoteReference"/>
        </w:rPr>
        <w:footnoteReference w:id="15"/>
      </w:r>
      <w:r w:rsidR="00D12A85">
        <w:t xml:space="preserve"> </w:t>
      </w:r>
    </w:p>
    <w:p w14:paraId="080B6068" w14:textId="2BA3B2F7" w:rsidR="001C13A1" w:rsidRPr="001C13A1" w:rsidRDefault="001C13A1" w:rsidP="001C13A1">
      <w:pPr>
        <w:keepNext/>
        <w:spacing w:before="240" w:after="120"/>
        <w:rPr>
          <w:b/>
          <w:sz w:val="20"/>
        </w:rPr>
      </w:pPr>
      <w:r w:rsidRPr="001C13A1">
        <w:rPr>
          <w:b/>
          <w:sz w:val="20"/>
        </w:rPr>
        <w:lastRenderedPageBreak/>
        <w:t>Figure</w:t>
      </w:r>
      <w:r w:rsidR="00C2296E">
        <w:rPr>
          <w:b/>
          <w:sz w:val="20"/>
        </w:rPr>
        <w:t xml:space="preserve"> 4</w:t>
      </w:r>
      <w:r w:rsidRPr="001C13A1">
        <w:rPr>
          <w:b/>
          <w:sz w:val="20"/>
        </w:rPr>
        <w:t xml:space="preserve"> Fuel expenditure as a proportion of weekly disposable household income, by income quintile, Australia, 2015-16</w:t>
      </w:r>
    </w:p>
    <w:p w14:paraId="4734374B" w14:textId="03D4A7AB" w:rsidR="001B0776" w:rsidRPr="001C13A1" w:rsidRDefault="001B0776" w:rsidP="001C13A1">
      <w:r>
        <w:rPr>
          <w:noProof/>
        </w:rPr>
        <w:drawing>
          <wp:inline distT="0" distB="0" distL="0" distR="0" wp14:anchorId="1030FE27" wp14:editId="08487337">
            <wp:extent cx="5400040" cy="2858770"/>
            <wp:effectExtent l="0" t="0" r="0" b="0"/>
            <wp:docPr id="24" name="Picture 2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hart, bar chart&#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400040" cy="2858770"/>
                    </a:xfrm>
                    <a:prstGeom prst="rect">
                      <a:avLst/>
                    </a:prstGeom>
                  </pic:spPr>
                </pic:pic>
              </a:graphicData>
            </a:graphic>
          </wp:inline>
        </w:drawing>
      </w:r>
    </w:p>
    <w:p w14:paraId="7FB0C73F" w14:textId="3AE0306C" w:rsidR="001C13A1" w:rsidRPr="001C13A1" w:rsidRDefault="001C13A1" w:rsidP="0050286C">
      <w:pPr>
        <w:pStyle w:val="Source"/>
      </w:pPr>
      <w:r w:rsidRPr="001C13A1">
        <w:t xml:space="preserve">Source: ACTCOSS analysis derived from ABS, </w:t>
      </w:r>
      <w:hyperlink r:id="rId25" w:history="1">
        <w:r w:rsidRPr="00173D10">
          <w:rPr>
            <w:rStyle w:val="Hyperlink"/>
            <w:i/>
          </w:rPr>
          <w:t>Household expenditure survey, Australia, Summary of results, 2015-16</w:t>
        </w:r>
      </w:hyperlink>
      <w:r w:rsidRPr="001C13A1">
        <w:t>, ABS, Canberra, 2017, Tables 3.2 &amp; 3.3A.</w:t>
      </w:r>
    </w:p>
    <w:p w14:paraId="5C4CEE5A" w14:textId="11B78C89" w:rsidR="002360CA" w:rsidRDefault="00794A4C" w:rsidP="002360CA">
      <w:pPr>
        <w:pStyle w:val="BodyText"/>
      </w:pPr>
      <w:r>
        <w:t>F</w:t>
      </w:r>
      <w:r w:rsidR="002360CA" w:rsidRPr="002360CA">
        <w:t xml:space="preserve">uel pricing </w:t>
      </w:r>
      <w:r>
        <w:t>i</w:t>
      </w:r>
      <w:r w:rsidR="002360CA" w:rsidRPr="002360CA">
        <w:t xml:space="preserve">s one element to be addressed as part of a comprehensive response to transport disadvantage in the ACT. Transport is a social determinant of health and transport disadvantage can exacerbate food insecurity and impede access to health services. We encourage the ACT Government to view the impact of fuel prices within the context of addressing transport disadvantage as a social determinant of health in Canberra. </w:t>
      </w:r>
    </w:p>
    <w:p w14:paraId="0ACF4D48" w14:textId="27B96353" w:rsidR="00802774" w:rsidRDefault="00FB092C" w:rsidP="002360CA">
      <w:pPr>
        <w:pStyle w:val="BodyText"/>
      </w:pPr>
      <w:r>
        <w:t xml:space="preserve">ACTCOSS has </w:t>
      </w:r>
      <w:r w:rsidR="00E75AEE">
        <w:t xml:space="preserve">previously called on the ACT Government to invest to address transport disadvantage </w:t>
      </w:r>
      <w:r w:rsidR="00854318">
        <w:t xml:space="preserve">through </w:t>
      </w:r>
      <w:r w:rsidR="00335703">
        <w:t>several</w:t>
      </w:r>
      <w:r w:rsidR="00854318">
        <w:t xml:space="preserve"> measures, including</w:t>
      </w:r>
      <w:r w:rsidR="00E75AEE">
        <w:t>:</w:t>
      </w:r>
    </w:p>
    <w:p w14:paraId="5D1FCBDB" w14:textId="4BD8625A" w:rsidR="00444E4F" w:rsidRDefault="00444E4F" w:rsidP="00444E4F">
      <w:pPr>
        <w:pStyle w:val="ListBullet"/>
      </w:pPr>
      <w:r>
        <w:t xml:space="preserve">Fund </w:t>
      </w:r>
      <w:r w:rsidR="00F2327F">
        <w:t>a</w:t>
      </w:r>
      <w:r>
        <w:t xml:space="preserve"> transport needs analysis</w:t>
      </w:r>
    </w:p>
    <w:p w14:paraId="27DC7F3B" w14:textId="566F78D4" w:rsidR="00444E4F" w:rsidRDefault="00444E4F" w:rsidP="00444E4F">
      <w:pPr>
        <w:pStyle w:val="ListBullet"/>
      </w:pPr>
      <w:r>
        <w:t>Guarantee and adequately fund on-demand transport (like community transport) as well as mass transit (like trams and buses)</w:t>
      </w:r>
    </w:p>
    <w:p w14:paraId="4B4D7025" w14:textId="6F9EED2F" w:rsidR="00E75AEE" w:rsidRDefault="00444E4F" w:rsidP="00444E4F">
      <w:pPr>
        <w:pStyle w:val="ListBullet"/>
      </w:pPr>
      <w:r>
        <w:t>Develop a cost benefit business case to make travel on public transport free and in the meantime extend concessions and lift the cap on the Taxi Subsidy Scheme.</w:t>
      </w:r>
      <w:r w:rsidR="007A49C9">
        <w:rPr>
          <w:rStyle w:val="FootnoteReference"/>
        </w:rPr>
        <w:footnoteReference w:id="16"/>
      </w:r>
    </w:p>
    <w:p w14:paraId="07658AC9" w14:textId="2A40B077" w:rsidR="00884B81" w:rsidRDefault="00127933" w:rsidP="00127933">
      <w:pPr>
        <w:pStyle w:val="BodyText"/>
      </w:pPr>
      <w:r>
        <w:t>We have also called on the ACT Government to i</w:t>
      </w:r>
      <w:r w:rsidRPr="00127933">
        <w:t xml:space="preserve">mprove the fairness and adequacy of transport related concessions. This should include concessions for learner, probationary and restricted driver’s licenses and </w:t>
      </w:r>
      <w:bookmarkStart w:id="14" w:name="_Hlk102458333"/>
      <w:r w:rsidRPr="00127933">
        <w:t>aligning the discount on license fees for Health Care Card holders (currently 50% of costs) with Pension Card Holders (100%)</w:t>
      </w:r>
      <w:r>
        <w:t>.</w:t>
      </w:r>
    </w:p>
    <w:bookmarkEnd w:id="14"/>
    <w:p w14:paraId="2067C7AA" w14:textId="560BEA77" w:rsidR="00EA2AC5" w:rsidRDefault="00077ACE" w:rsidP="00EA2AC5">
      <w:pPr>
        <w:pStyle w:val="BodyText"/>
      </w:pPr>
      <w:r>
        <w:t>While</w:t>
      </w:r>
      <w:r w:rsidR="0076178E">
        <w:t xml:space="preserve"> </w:t>
      </w:r>
      <w:r w:rsidR="00550737">
        <w:t xml:space="preserve">some </w:t>
      </w:r>
      <w:r w:rsidR="0076178E">
        <w:t xml:space="preserve">households can avoid the </w:t>
      </w:r>
      <w:r w:rsidR="00026FF5">
        <w:t>impact of fuel price rises by transitioning to a zero emissions vehicl</w:t>
      </w:r>
      <w:r>
        <w:t xml:space="preserve">e, low-income households are </w:t>
      </w:r>
      <w:r w:rsidR="00EA2AC5">
        <w:t xml:space="preserve">unlikely to be able to </w:t>
      </w:r>
      <w:r w:rsidR="00EA2AC5">
        <w:lastRenderedPageBreak/>
        <w:t>afford to do this.</w:t>
      </w:r>
      <w:r w:rsidR="00026FF5">
        <w:t xml:space="preserve"> </w:t>
      </w:r>
      <w:r w:rsidR="00EA2AC5">
        <w:t>Recent analysis of the ACT Government’s incentives for electric vehicle uptake found that:</w:t>
      </w:r>
    </w:p>
    <w:p w14:paraId="744D6C91" w14:textId="77777777" w:rsidR="001700DD" w:rsidRDefault="00B95C69" w:rsidP="00EA2AC5">
      <w:pPr>
        <w:pStyle w:val="BlockText"/>
      </w:pPr>
      <w:r>
        <w:t xml:space="preserve">… </w:t>
      </w:r>
      <w:r w:rsidRPr="00B95C69">
        <w:t>high income households are far more likely to replace their cars within five years and far more likely to switch electric even without incentives – and that for them, the incentives didn’t make much difference</w:t>
      </w:r>
      <w:r w:rsidR="001700DD">
        <w:t xml:space="preserve">. </w:t>
      </w:r>
    </w:p>
    <w:p w14:paraId="2AB495A8" w14:textId="6CDE2A31" w:rsidR="001700DD" w:rsidRDefault="001700DD" w:rsidP="00EA2AC5">
      <w:pPr>
        <w:pStyle w:val="BlockText"/>
      </w:pPr>
      <w:r>
        <w:t xml:space="preserve">The </w:t>
      </w:r>
      <w:r w:rsidR="00EA2AC5" w:rsidRPr="009900F0">
        <w:t>incentives had their biggest impact, not among the highest earning three-fifths of households, or among the bottom fifth, but in the second-bottom fifth.</w:t>
      </w:r>
      <w:r w:rsidR="00EA2AC5">
        <w:t xml:space="preserve"> </w:t>
      </w:r>
    </w:p>
    <w:p w14:paraId="486381C0" w14:textId="4C8F0CC1" w:rsidR="00EA2AC5" w:rsidRPr="002360CA" w:rsidRDefault="001700DD" w:rsidP="00EA2AC5">
      <w:pPr>
        <w:pStyle w:val="BlockText"/>
      </w:pPr>
      <w:r>
        <w:t>…</w:t>
      </w:r>
      <w:r w:rsidR="00EA2AC5" w:rsidRPr="008B0A06">
        <w:t xml:space="preserve">Policies that increase the electric vehicle take-up in lower income households are likely to have the greatest effect, </w:t>
      </w:r>
      <w:proofErr w:type="gramStart"/>
      <w:r w:rsidR="00EA2AC5" w:rsidRPr="008B0A06">
        <w:t>and also</w:t>
      </w:r>
      <w:proofErr w:type="gramEnd"/>
      <w:r w:rsidR="00EA2AC5" w:rsidRPr="008B0A06">
        <w:t xml:space="preserve"> likely to benefit these households by freeing them from the need to pay for fuel.</w:t>
      </w:r>
      <w:r w:rsidR="00EA2AC5">
        <w:rPr>
          <w:rStyle w:val="FootnoteReference"/>
        </w:rPr>
        <w:footnoteReference w:id="17"/>
      </w:r>
    </w:p>
    <w:p w14:paraId="0A644E6B" w14:textId="5DE101EF" w:rsidR="008B0A06" w:rsidRPr="002360CA" w:rsidRDefault="00EF6E8A" w:rsidP="00EA2AC5">
      <w:pPr>
        <w:pStyle w:val="BodyText"/>
      </w:pPr>
      <w:r>
        <w:t xml:space="preserve">As part of ensuring a just transition to net zero greenhouse gas emissions in the ACT by 2045, </w:t>
      </w:r>
      <w:r w:rsidR="00EA2AC5">
        <w:t xml:space="preserve">ACTCOSS </w:t>
      </w:r>
      <w:r>
        <w:t>recommend</w:t>
      </w:r>
      <w:r w:rsidR="00EA2AC5">
        <w:t>s</w:t>
      </w:r>
      <w:r>
        <w:t xml:space="preserve"> that the </w:t>
      </w:r>
      <w:r w:rsidR="008829C3" w:rsidRPr="008829C3">
        <w:t xml:space="preserve">ACT Government provide </w:t>
      </w:r>
      <w:r w:rsidR="00EA2AC5">
        <w:t xml:space="preserve">targeted </w:t>
      </w:r>
      <w:r w:rsidR="008829C3" w:rsidRPr="008829C3">
        <w:t>support to low-income households to purchase</w:t>
      </w:r>
      <w:r w:rsidR="00EA2AC5">
        <w:t xml:space="preserve"> </w:t>
      </w:r>
      <w:r w:rsidR="002C6990">
        <w:t>zero emissions vehicle</w:t>
      </w:r>
      <w:r w:rsidR="00EA2AC5">
        <w:t>s</w:t>
      </w:r>
      <w:r w:rsidR="008829C3" w:rsidRPr="008829C3">
        <w:t xml:space="preserve"> and/or access charging infrastructure (privately or publicly)</w:t>
      </w:r>
      <w:r>
        <w:t xml:space="preserve">. </w:t>
      </w:r>
      <w:r w:rsidR="002A4A4F">
        <w:t xml:space="preserve">This will need to be </w:t>
      </w:r>
      <w:r w:rsidR="00ED1460">
        <w:t xml:space="preserve">combined with measures to ensure these households are not then </w:t>
      </w:r>
      <w:r w:rsidR="00297C86">
        <w:t>faced with unaffordable electricity bills.</w:t>
      </w:r>
      <w:r w:rsidR="002638C7">
        <w:t xml:space="preserve"> </w:t>
      </w:r>
    </w:p>
    <w:p w14:paraId="653E0DBB" w14:textId="3110081E" w:rsidR="00155B55" w:rsidRDefault="00155B55" w:rsidP="00155B55">
      <w:pPr>
        <w:pStyle w:val="Heading2"/>
      </w:pPr>
      <w:bookmarkStart w:id="15" w:name="_Toc102651020"/>
      <w:r>
        <w:t>Energy</w:t>
      </w:r>
      <w:bookmarkEnd w:id="15"/>
    </w:p>
    <w:p w14:paraId="526F62C3" w14:textId="4BCB4764" w:rsidR="00155B55" w:rsidRDefault="00526672" w:rsidP="00155B55">
      <w:pPr>
        <w:pStyle w:val="BodyText"/>
      </w:pPr>
      <w:r>
        <w:t>As with transport</w:t>
      </w:r>
      <w:r w:rsidR="00D544C1">
        <w:t>, low-income households spend a significantly higher proportion of their income on gas and electricity</w:t>
      </w:r>
      <w:r w:rsidR="006C06FC">
        <w:t xml:space="preserve"> (see Fig</w:t>
      </w:r>
      <w:r w:rsidR="003D077E">
        <w:t>ure</w:t>
      </w:r>
      <w:r w:rsidR="009F4A67">
        <w:t xml:space="preserve"> 5</w:t>
      </w:r>
      <w:r w:rsidR="006C06FC">
        <w:t>).</w:t>
      </w:r>
      <w:r w:rsidR="00F10D2B">
        <w:t xml:space="preserve"> </w:t>
      </w:r>
      <w:r w:rsidR="00E671BD">
        <w:t>Energy costs are</w:t>
      </w:r>
      <w:r w:rsidR="00F10D2B">
        <w:t xml:space="preserve"> often exacerbated</w:t>
      </w:r>
      <w:r w:rsidR="00C0597C">
        <w:t xml:space="preserve"> for these households</w:t>
      </w:r>
      <w:r w:rsidR="00F10D2B">
        <w:t xml:space="preserve"> </w:t>
      </w:r>
      <w:r w:rsidR="00FE1FDC">
        <w:t xml:space="preserve">by poor </w:t>
      </w:r>
      <w:r w:rsidR="003A4AD5">
        <w:t xml:space="preserve">home </w:t>
      </w:r>
      <w:r w:rsidR="00FE1FDC">
        <w:t xml:space="preserve">energy efficiency </w:t>
      </w:r>
      <w:r w:rsidR="003A4AD5">
        <w:t xml:space="preserve">and </w:t>
      </w:r>
      <w:r w:rsidR="00D1169A">
        <w:t>lack of access to the benefits of rooftop solar</w:t>
      </w:r>
      <w:r w:rsidR="001D111F">
        <w:t xml:space="preserve"> panels</w:t>
      </w:r>
      <w:r w:rsidR="00E54892">
        <w:t xml:space="preserve"> and </w:t>
      </w:r>
      <w:r w:rsidR="007F0E87">
        <w:t>h</w:t>
      </w:r>
      <w:r w:rsidR="001D111F">
        <w:t>ousehold battery storage systems.</w:t>
      </w:r>
      <w:r w:rsidR="006C06FC">
        <w:t xml:space="preserve"> </w:t>
      </w:r>
      <w:r w:rsidR="003B6F1F">
        <w:t>ABS CPI data shows that o</w:t>
      </w:r>
      <w:r w:rsidR="000133B9">
        <w:t xml:space="preserve">ver the past five years ACT households have seen the price of electricity increase </w:t>
      </w:r>
      <w:r w:rsidR="00233FF7">
        <w:t xml:space="preserve">by </w:t>
      </w:r>
      <w:r w:rsidR="0066204C">
        <w:t>28.1%</w:t>
      </w:r>
      <w:r w:rsidR="00174DF6">
        <w:t xml:space="preserve"> compared to </w:t>
      </w:r>
      <w:r w:rsidR="0047142D">
        <w:t xml:space="preserve">3.0% nationally. Over the same period, household gas prices in the ACT have increased by 24.0% compared with </w:t>
      </w:r>
      <w:r w:rsidR="003B6F1F">
        <w:t>12.7% nationally.</w:t>
      </w:r>
      <w:r w:rsidR="002473FC" w:rsidRPr="002473FC">
        <w:t xml:space="preserve"> Over the past 20 years, electricity prices in Canberra have increased by almost 60%, while gas prices have doubled (see Figure</w:t>
      </w:r>
      <w:r w:rsidR="009F4A67">
        <w:t xml:space="preserve"> 6</w:t>
      </w:r>
      <w:r w:rsidR="002473FC" w:rsidRPr="002473FC">
        <w:t>).</w:t>
      </w:r>
    </w:p>
    <w:p w14:paraId="7CB92892" w14:textId="52C0BDEC" w:rsidR="000C3100" w:rsidRDefault="001E0249" w:rsidP="00155B55">
      <w:pPr>
        <w:pStyle w:val="BodyText"/>
      </w:pPr>
      <w:r>
        <w:t>I</w:t>
      </w:r>
      <w:r w:rsidRPr="001E0249">
        <w:t xml:space="preserve">n 2021-22 </w:t>
      </w:r>
      <w:proofErr w:type="spellStart"/>
      <w:r w:rsidRPr="001E0249">
        <w:t>ActewAGL’s</w:t>
      </w:r>
      <w:proofErr w:type="spellEnd"/>
      <w:r w:rsidRPr="001E0249">
        <w:t xml:space="preserve"> regulated </w:t>
      </w:r>
      <w:r w:rsidR="00446589">
        <w:t xml:space="preserve">retail electricity </w:t>
      </w:r>
      <w:r w:rsidRPr="001E0249">
        <w:t>standing offers increas</w:t>
      </w:r>
      <w:r>
        <w:t>ed</w:t>
      </w:r>
      <w:r w:rsidRPr="001E0249">
        <w:t xml:space="preserve"> by almost 12%, resulting in an annual bill increase of $3.76 per week or $195 over the year for an average residential standing offer customer consuming 6,500kWh</w:t>
      </w:r>
      <w:r>
        <w:t>.</w:t>
      </w:r>
      <w:r>
        <w:rPr>
          <w:rStyle w:val="FootnoteReference"/>
        </w:rPr>
        <w:footnoteReference w:id="18"/>
      </w:r>
      <w:r w:rsidR="00475AC3">
        <w:t xml:space="preserve"> </w:t>
      </w:r>
      <w:r w:rsidR="00452856" w:rsidRPr="00452856">
        <w:t>ACT electricity prices are forecast to rise by a further 4% in 2022-23, while they are forecast to decline in most other jurisdictions</w:t>
      </w:r>
      <w:r w:rsidR="00452856">
        <w:t>.</w:t>
      </w:r>
      <w:r w:rsidR="00452856">
        <w:rPr>
          <w:rStyle w:val="FootnoteReference"/>
        </w:rPr>
        <w:footnoteReference w:id="19"/>
      </w:r>
      <w:r w:rsidR="00AC550C">
        <w:t xml:space="preserve"> </w:t>
      </w:r>
      <w:r w:rsidR="00DE410E">
        <w:t xml:space="preserve">It is not yet clear </w:t>
      </w:r>
      <w:r w:rsidR="00691AAC">
        <w:t xml:space="preserve">how ACT energy bills will be impacted by the </w:t>
      </w:r>
      <w:r w:rsidR="00AE7AD2">
        <w:t>recent surge in wholesale electricity prices</w:t>
      </w:r>
      <w:r w:rsidR="00B203A9">
        <w:t xml:space="preserve"> </w:t>
      </w:r>
      <w:r w:rsidR="00CF7E32">
        <w:t>reported by the Australian Energy Market Operator</w:t>
      </w:r>
      <w:r w:rsidR="00F909F4">
        <w:t xml:space="preserve"> (</w:t>
      </w:r>
      <w:proofErr w:type="spellStart"/>
      <w:r w:rsidR="00F909F4">
        <w:t>AEMO</w:t>
      </w:r>
      <w:proofErr w:type="spellEnd"/>
      <w:r w:rsidR="00F909F4">
        <w:t>)</w:t>
      </w:r>
      <w:r w:rsidR="00CF7E32">
        <w:t>.</w:t>
      </w:r>
      <w:r w:rsidR="00CF7E32">
        <w:rPr>
          <w:rStyle w:val="FootnoteReference"/>
        </w:rPr>
        <w:footnoteReference w:id="20"/>
      </w:r>
    </w:p>
    <w:p w14:paraId="77287B54" w14:textId="7F2B871E" w:rsidR="00F42D44" w:rsidRDefault="00AC550C" w:rsidP="001F6BFB">
      <w:pPr>
        <w:pStyle w:val="BodyText"/>
      </w:pPr>
      <w:r w:rsidRPr="00AC550C">
        <w:lastRenderedPageBreak/>
        <w:t>As the ACT transitions to net zero greenhouse gas emissions, it will be critical to ensure that low-income</w:t>
      </w:r>
      <w:r w:rsidR="009D16E9">
        <w:t xml:space="preserve"> </w:t>
      </w:r>
      <w:r w:rsidRPr="00AC550C">
        <w:t>households are not left worse off and are not disproportionately impacted by any increases in energy prices in the short, medium, and long term.</w:t>
      </w:r>
      <w:r w:rsidR="00314FEE">
        <w:t xml:space="preserve"> </w:t>
      </w:r>
      <w:r w:rsidR="003B3FCC">
        <w:t xml:space="preserve">ACTCOSS has welcomed the ACT Government’s temporary and permanent increases to the Utilities Concession </w:t>
      </w:r>
      <w:r w:rsidR="002029B6">
        <w:t xml:space="preserve">over the course of the COVID-19 pandemic, including in response to the significant increase in </w:t>
      </w:r>
      <w:r w:rsidR="007A0CA8">
        <w:t xml:space="preserve">ACT </w:t>
      </w:r>
      <w:r w:rsidR="0046350F">
        <w:t xml:space="preserve">electricity prices in 2021-22 </w:t>
      </w:r>
      <w:r w:rsidR="004430CF">
        <w:t>driven largely by</w:t>
      </w:r>
      <w:r w:rsidR="0046350F">
        <w:t xml:space="preserve"> </w:t>
      </w:r>
      <w:r w:rsidR="00B17626">
        <w:t xml:space="preserve">the ACT Government’s Large-scale Feed-in Tariff </w:t>
      </w:r>
      <w:r w:rsidR="005F5E92">
        <w:t>(</w:t>
      </w:r>
      <w:proofErr w:type="spellStart"/>
      <w:r w:rsidR="005F5E92">
        <w:t>LFiT</w:t>
      </w:r>
      <w:proofErr w:type="spellEnd"/>
      <w:r w:rsidR="005F5E92">
        <w:t xml:space="preserve">) </w:t>
      </w:r>
      <w:r w:rsidR="00B17626">
        <w:t xml:space="preserve">Scheme which underpins its 100% renewable electricity target. </w:t>
      </w:r>
      <w:r w:rsidR="00D214BA">
        <w:t>ACTCOSS is calling on the ACT Government to e</w:t>
      </w:r>
      <w:r w:rsidR="00314FEE" w:rsidRPr="00314FEE">
        <w:t xml:space="preserve">nsure the Utilities Concession is adjusted in line with increases in costs of electricity, gas, </w:t>
      </w:r>
      <w:proofErr w:type="gramStart"/>
      <w:r w:rsidR="00314FEE" w:rsidRPr="00314FEE">
        <w:t>water</w:t>
      </w:r>
      <w:proofErr w:type="gramEnd"/>
      <w:r w:rsidR="00314FEE" w:rsidRPr="00314FEE">
        <w:t xml:space="preserve"> and sewerage services for low-income households</w:t>
      </w:r>
      <w:r w:rsidR="001F6BFB">
        <w:t xml:space="preserve">. </w:t>
      </w:r>
      <w:r w:rsidR="00F54AF5">
        <w:t xml:space="preserve">It will also be important to closely monitor the impact of the </w:t>
      </w:r>
      <w:proofErr w:type="spellStart"/>
      <w:r w:rsidR="00F54AF5">
        <w:t>L</w:t>
      </w:r>
      <w:r w:rsidR="005F5E92">
        <w:t>FiT</w:t>
      </w:r>
      <w:proofErr w:type="spellEnd"/>
      <w:r w:rsidR="005F5E92">
        <w:t xml:space="preserve"> Scheme to ensure it results in an equitable distribution of the costs and benefits of </w:t>
      </w:r>
      <w:r w:rsidR="008A7905">
        <w:t xml:space="preserve">achieving </w:t>
      </w:r>
      <w:r w:rsidR="00FA166C">
        <w:t>zero emissions electricity.</w:t>
      </w:r>
    </w:p>
    <w:p w14:paraId="1B5FAD92" w14:textId="223F55EA" w:rsidR="0007460E" w:rsidRDefault="003C1576" w:rsidP="001F6BFB">
      <w:pPr>
        <w:pStyle w:val="BodyText"/>
      </w:pPr>
      <w:r>
        <w:t xml:space="preserve">Alongside measures that address the impact of </w:t>
      </w:r>
      <w:r w:rsidR="00E0756F">
        <w:t xml:space="preserve">changes in </w:t>
      </w:r>
      <w:r>
        <w:t xml:space="preserve">energy prices, it is critical </w:t>
      </w:r>
      <w:r w:rsidR="00154F7D">
        <w:t xml:space="preserve">to provide energy efficiency supports to enable </w:t>
      </w:r>
      <w:r w:rsidR="00CC3713">
        <w:t>low-income</w:t>
      </w:r>
      <w:r w:rsidR="009C6692">
        <w:t xml:space="preserve"> and other vulnerable</w:t>
      </w:r>
      <w:r w:rsidR="00CC3713">
        <w:t xml:space="preserve"> households </w:t>
      </w:r>
      <w:r w:rsidR="0069324B">
        <w:t xml:space="preserve">to </w:t>
      </w:r>
      <w:r w:rsidR="00154F7D">
        <w:t>have lower energy bills and healthier homes</w:t>
      </w:r>
      <w:r w:rsidR="00E4181B">
        <w:t xml:space="preserve">. </w:t>
      </w:r>
      <w:r w:rsidR="00F42D44">
        <w:t>ACTCOSS welcomed the ACT Government’s commitment</w:t>
      </w:r>
      <w:r w:rsidR="00200EAA">
        <w:t xml:space="preserve"> in the Parliamentary and Governing Agreement</w:t>
      </w:r>
      <w:r w:rsidR="00F42D44">
        <w:t xml:space="preserve"> to establish minimum energy efficiency standards for rental properties</w:t>
      </w:r>
      <w:r w:rsidR="00372CEB">
        <w:t>.</w:t>
      </w:r>
      <w:r w:rsidR="006C2E01">
        <w:rPr>
          <w:rStyle w:val="FootnoteReference"/>
        </w:rPr>
        <w:footnoteReference w:id="21"/>
      </w:r>
      <w:r w:rsidR="00372CEB">
        <w:t xml:space="preserve"> </w:t>
      </w:r>
      <w:r w:rsidR="00B01D9F">
        <w:t xml:space="preserve">The ACT </w:t>
      </w:r>
      <w:r w:rsidR="00152945">
        <w:t>Government’s</w:t>
      </w:r>
      <w:r w:rsidR="00B01D9F">
        <w:t xml:space="preserve"> proposed</w:t>
      </w:r>
      <w:r w:rsidR="00B51E2D" w:rsidRPr="00B51E2D">
        <w:t xml:space="preserve"> ceiling insulation standard </w:t>
      </w:r>
      <w:r w:rsidR="00B01D9F">
        <w:t>i</w:t>
      </w:r>
      <w:r w:rsidR="00B51E2D" w:rsidRPr="00B51E2D">
        <w:t>s a bare minimum</w:t>
      </w:r>
      <w:r w:rsidR="00B703C5">
        <w:t xml:space="preserve"> starting point</w:t>
      </w:r>
      <w:r w:rsidR="00152945">
        <w:t>.</w:t>
      </w:r>
      <w:r w:rsidR="00F06904">
        <w:rPr>
          <w:rStyle w:val="FootnoteReference"/>
        </w:rPr>
        <w:footnoteReference w:id="22"/>
      </w:r>
      <w:r w:rsidR="00152945">
        <w:t xml:space="preserve"> </w:t>
      </w:r>
      <w:r w:rsidR="00EA3C63">
        <w:t>In our response to this proposal, we</w:t>
      </w:r>
      <w:r w:rsidR="00820762">
        <w:t xml:space="preserve"> </w:t>
      </w:r>
      <w:r w:rsidR="00EA3C63">
        <w:t>have</w:t>
      </w:r>
      <w:r w:rsidR="0007460E">
        <w:t xml:space="preserve"> called</w:t>
      </w:r>
      <w:r w:rsidR="00820762">
        <w:t xml:space="preserve"> on the ACT Government to develop</w:t>
      </w:r>
      <w:r w:rsidR="00B51E2D" w:rsidRPr="00B51E2D">
        <w:t xml:space="preserve"> a clear pathway to a more ambitious minimum standard </w:t>
      </w:r>
      <w:r w:rsidR="009A48B8">
        <w:t>– for example</w:t>
      </w:r>
      <w:r w:rsidR="004D3172">
        <w:t>, including</w:t>
      </w:r>
      <w:r w:rsidR="0031060B">
        <w:t xml:space="preserve"> </w:t>
      </w:r>
      <w:r w:rsidR="00B703C5">
        <w:t>energy efficient heating and cooling</w:t>
      </w:r>
      <w:r w:rsidR="0031060B">
        <w:t xml:space="preserve"> requirement</w:t>
      </w:r>
      <w:r w:rsidR="0007460E">
        <w:t>s</w:t>
      </w:r>
      <w:r w:rsidR="00B703C5">
        <w:t>.</w:t>
      </w:r>
      <w:r w:rsidR="00EA3C63">
        <w:rPr>
          <w:rStyle w:val="FootnoteReference"/>
        </w:rPr>
        <w:footnoteReference w:id="23"/>
      </w:r>
      <w:r w:rsidR="00B703C5">
        <w:t xml:space="preserve"> </w:t>
      </w:r>
    </w:p>
    <w:p w14:paraId="340BA9F5" w14:textId="38216577" w:rsidR="00AB358C" w:rsidRDefault="00194D37" w:rsidP="001F6BFB">
      <w:pPr>
        <w:pStyle w:val="BodyText"/>
      </w:pPr>
      <w:r>
        <w:t>ACTCOSS also welcomed the commitment under the Parliamentary and Governing Agreement to</w:t>
      </w:r>
      <w:r w:rsidR="00AB358C">
        <w:t>:</w:t>
      </w:r>
      <w:r>
        <w:t xml:space="preserve"> </w:t>
      </w:r>
    </w:p>
    <w:p w14:paraId="14F0F482" w14:textId="50465DCB" w:rsidR="00AB358C" w:rsidRDefault="00AB358C" w:rsidP="00AB358C">
      <w:pPr>
        <w:pStyle w:val="BlockText"/>
      </w:pPr>
      <w:r>
        <w:t xml:space="preserve">Implement a five-year, $50 million program to improve building efficiency and sustainability for social and public housing, </w:t>
      </w:r>
      <w:r w:rsidR="006A4467">
        <w:t>low-income</w:t>
      </w:r>
      <w:r>
        <w:t xml:space="preserve"> owner-occupiers, and the lowest performing rental properties; this includes upgrades to government housing, and financial incentives to implement minimum energy efficiency standards in rental properties.</w:t>
      </w:r>
      <w:r>
        <w:rPr>
          <w:rStyle w:val="FootnoteReference"/>
        </w:rPr>
        <w:footnoteReference w:id="24"/>
      </w:r>
    </w:p>
    <w:p w14:paraId="55EE5C3C" w14:textId="77777777" w:rsidR="00E70754" w:rsidRDefault="009C543E" w:rsidP="001F6BFB">
      <w:pPr>
        <w:pStyle w:val="BodyText"/>
      </w:pPr>
      <w:r>
        <w:t>The ACT Government launched the first stage of</w:t>
      </w:r>
      <w:r w:rsidR="004E3A53">
        <w:t xml:space="preserve"> this program – </w:t>
      </w:r>
      <w:r>
        <w:t>the Home Energy Support Program</w:t>
      </w:r>
      <w:r w:rsidR="004E3A53">
        <w:t xml:space="preserve"> – in March 2022</w:t>
      </w:r>
      <w:r w:rsidR="00587550">
        <w:t xml:space="preserve"> with rebates for </w:t>
      </w:r>
      <w:r w:rsidR="00F2496D">
        <w:t xml:space="preserve">rooftop solar panels </w:t>
      </w:r>
      <w:r w:rsidR="00587550">
        <w:t>low</w:t>
      </w:r>
      <w:r w:rsidR="00F2496D">
        <w:t>-income owner-occupiers</w:t>
      </w:r>
      <w:r w:rsidR="004E3A53">
        <w:t>.</w:t>
      </w:r>
      <w:r w:rsidR="002D6FFF">
        <w:t xml:space="preserve"> The program </w:t>
      </w:r>
      <w:r w:rsidR="00B13D73">
        <w:t xml:space="preserve">is to be further extended to </w:t>
      </w:r>
      <w:r w:rsidR="003F5173">
        <w:t xml:space="preserve">social </w:t>
      </w:r>
      <w:r w:rsidR="00777690">
        <w:t xml:space="preserve">housing and </w:t>
      </w:r>
      <w:r w:rsidR="002323B5">
        <w:t>the private rental sector</w:t>
      </w:r>
      <w:r w:rsidR="00E70754">
        <w:t xml:space="preserve"> in future stages</w:t>
      </w:r>
      <w:r w:rsidR="00777690">
        <w:t>.</w:t>
      </w:r>
      <w:r w:rsidR="00C41A4B">
        <w:t xml:space="preserve"> </w:t>
      </w:r>
    </w:p>
    <w:p w14:paraId="2A3E73CE" w14:textId="081653CF" w:rsidR="00D214BA" w:rsidRDefault="00C41A4B" w:rsidP="001F6BFB">
      <w:pPr>
        <w:pStyle w:val="BodyText"/>
      </w:pPr>
      <w:r>
        <w:t xml:space="preserve">It is notable that this </w:t>
      </w:r>
      <w:r w:rsidR="00282AF1">
        <w:t xml:space="preserve">investment </w:t>
      </w:r>
      <w:r w:rsidR="00C01545">
        <w:t>equates to</w:t>
      </w:r>
      <w:r w:rsidR="00282AF1">
        <w:t xml:space="preserve"> </w:t>
      </w:r>
      <w:r w:rsidR="002323B5">
        <w:t xml:space="preserve">just </w:t>
      </w:r>
      <w:r>
        <w:t xml:space="preserve">one third </w:t>
      </w:r>
      <w:r w:rsidR="002B7B1B">
        <w:t xml:space="preserve">of the ACT </w:t>
      </w:r>
      <w:r w:rsidR="00D02E7E">
        <w:t>Government’s</w:t>
      </w:r>
      <w:r w:rsidR="002B7B1B">
        <w:t xml:space="preserve"> </w:t>
      </w:r>
      <w:r w:rsidR="00FE7D28">
        <w:t>$150</w:t>
      </w:r>
      <w:r w:rsidR="001D187C">
        <w:t xml:space="preserve"> </w:t>
      </w:r>
      <w:r w:rsidR="00FE7D28">
        <w:t>m</w:t>
      </w:r>
      <w:r w:rsidR="001D187C">
        <w:t>illion</w:t>
      </w:r>
      <w:r w:rsidR="00FE7D28">
        <w:t xml:space="preserve"> </w:t>
      </w:r>
      <w:r w:rsidR="00727866">
        <w:t xml:space="preserve">investment </w:t>
      </w:r>
      <w:r w:rsidR="00FE7D28">
        <w:t xml:space="preserve">in the </w:t>
      </w:r>
      <w:r w:rsidR="002B7B1B">
        <w:t>Sustainable Household Scheme</w:t>
      </w:r>
      <w:r w:rsidR="00FE7D28">
        <w:t xml:space="preserve"> which</w:t>
      </w:r>
      <w:r w:rsidR="00CA01AD">
        <w:t xml:space="preserve"> was launched in June 2021 and</w:t>
      </w:r>
      <w:r w:rsidR="009C543E">
        <w:t xml:space="preserve"> </w:t>
      </w:r>
      <w:r w:rsidR="00FE7D28" w:rsidRPr="00FE7D28">
        <w:t>provide</w:t>
      </w:r>
      <w:r w:rsidR="00FE7D28">
        <w:t>s</w:t>
      </w:r>
      <w:r w:rsidR="00FE7D28" w:rsidRPr="00FE7D28">
        <w:t xml:space="preserve"> zero interest loans to eligible </w:t>
      </w:r>
      <w:r w:rsidR="00FE7D28">
        <w:t xml:space="preserve">home-owner </w:t>
      </w:r>
      <w:r w:rsidR="00FE7D28" w:rsidRPr="00FE7D28">
        <w:t xml:space="preserve">households to help with the upfront costs of investing in products </w:t>
      </w:r>
      <w:r w:rsidR="00FE7D28" w:rsidRPr="00FE7D28">
        <w:lastRenderedPageBreak/>
        <w:t>and appliances that make their homes more energy efficient.</w:t>
      </w:r>
      <w:r w:rsidR="00FE7D28">
        <w:t xml:space="preserve"> </w:t>
      </w:r>
      <w:r w:rsidR="00727866">
        <w:t>ACTCOSS is</w:t>
      </w:r>
      <w:r w:rsidR="001F6BFB">
        <w:t xml:space="preserve"> calling on the ACT Government to p</w:t>
      </w:r>
      <w:r w:rsidR="00D214BA" w:rsidRPr="00D214BA">
        <w:t xml:space="preserve">rovide additional funding under the Home Energy Support Program to enable low-income </w:t>
      </w:r>
      <w:r w:rsidR="004F7194">
        <w:t xml:space="preserve">and other vulnerable </w:t>
      </w:r>
      <w:r w:rsidR="006C277D">
        <w:t>households (including</w:t>
      </w:r>
      <w:r w:rsidR="00727866">
        <w:t xml:space="preserve"> </w:t>
      </w:r>
      <w:r w:rsidR="006C277D">
        <w:t>rental households)</w:t>
      </w:r>
      <w:r w:rsidR="00D214BA" w:rsidRPr="00D214BA">
        <w:t xml:space="preserve"> to </w:t>
      </w:r>
      <w:r w:rsidR="00C750C7">
        <w:t>upgrade</w:t>
      </w:r>
      <w:r w:rsidR="00D03B26">
        <w:t xml:space="preserve"> to</w:t>
      </w:r>
      <w:r w:rsidR="00D214BA" w:rsidRPr="00D214BA">
        <w:t xml:space="preserve"> energy efficient heating, cooling, cooking</w:t>
      </w:r>
      <w:r w:rsidR="00E36A24">
        <w:t>,</w:t>
      </w:r>
      <w:r w:rsidR="00D214BA" w:rsidRPr="00D214BA">
        <w:t xml:space="preserve"> and hot water</w:t>
      </w:r>
      <w:r w:rsidR="001246FF">
        <w:t xml:space="preserve"> – including transitioning from gas to energy efficient electric appliances and systems. </w:t>
      </w:r>
      <w:r w:rsidR="002103D9">
        <w:t xml:space="preserve">The program should also be expanded to </w:t>
      </w:r>
      <w:r w:rsidR="00E36A24">
        <w:t xml:space="preserve">enable these </w:t>
      </w:r>
      <w:r w:rsidR="002103D9">
        <w:t xml:space="preserve">households to access the benefits of </w:t>
      </w:r>
      <w:r w:rsidR="00E36A24">
        <w:t>renewable energy</w:t>
      </w:r>
      <w:r w:rsidR="00F25DFB">
        <w:t xml:space="preserve"> and distributed energy resources</w:t>
      </w:r>
      <w:r w:rsidR="006707FA">
        <w:t xml:space="preserve">, including </w:t>
      </w:r>
      <w:r w:rsidR="002103D9">
        <w:t>rooftop solar panels and household</w:t>
      </w:r>
      <w:r w:rsidR="006973BD">
        <w:t xml:space="preserve"> and </w:t>
      </w:r>
      <w:r w:rsidR="00F25DFB">
        <w:t>community</w:t>
      </w:r>
      <w:r w:rsidR="002103D9">
        <w:t xml:space="preserve"> battery storage systems.</w:t>
      </w:r>
    </w:p>
    <w:p w14:paraId="522457D5" w14:textId="501281D0" w:rsidR="00272678" w:rsidRDefault="00272678" w:rsidP="001F6BFB">
      <w:pPr>
        <w:pStyle w:val="BodyText"/>
      </w:pPr>
      <w:r>
        <w:t xml:space="preserve">As </w:t>
      </w:r>
      <w:r w:rsidR="00E61F9B">
        <w:t>with</w:t>
      </w:r>
      <w:r>
        <w:t xml:space="preserve"> </w:t>
      </w:r>
      <w:r w:rsidR="00563779">
        <w:t xml:space="preserve">the </w:t>
      </w:r>
      <w:r w:rsidR="00A54670">
        <w:t>recent</w:t>
      </w:r>
      <w:r>
        <w:t xml:space="preserve"> analy</w:t>
      </w:r>
      <w:r w:rsidR="000A609D">
        <w:t>sis of the ACT Government’s incentives for ele</w:t>
      </w:r>
      <w:r w:rsidR="00C00771">
        <w:t>ctric vehicle uptake</w:t>
      </w:r>
      <w:r w:rsidR="00EE64EA">
        <w:t xml:space="preserve"> mentioned above</w:t>
      </w:r>
      <w:r w:rsidR="00E61F9B">
        <w:t xml:space="preserve">, </w:t>
      </w:r>
      <w:r w:rsidR="00EE64EA">
        <w:t xml:space="preserve">incentives and supports </w:t>
      </w:r>
      <w:r w:rsidR="003373E5">
        <w:t xml:space="preserve">for low-income and other vulnerable households to </w:t>
      </w:r>
      <w:r w:rsidR="007249B4">
        <w:t>access the benefits o</w:t>
      </w:r>
      <w:r w:rsidR="00D327C2">
        <w:t>f</w:t>
      </w:r>
      <w:r w:rsidR="007249B4">
        <w:t xml:space="preserve"> renewable energy and </w:t>
      </w:r>
      <w:r w:rsidR="003373E5">
        <w:t xml:space="preserve">energy efficiency </w:t>
      </w:r>
      <w:r w:rsidR="00EE64EA" w:rsidRPr="00EE64EA">
        <w:t xml:space="preserve">are likely to </w:t>
      </w:r>
      <w:r w:rsidR="00D327C2">
        <w:t>deliver</w:t>
      </w:r>
      <w:r w:rsidR="00EE64EA" w:rsidRPr="00EE64EA">
        <w:t xml:space="preserve"> </w:t>
      </w:r>
      <w:r w:rsidR="003373E5">
        <w:t>greater</w:t>
      </w:r>
      <w:r w:rsidR="00EE64EA" w:rsidRPr="00EE64EA">
        <w:t xml:space="preserve"> </w:t>
      </w:r>
      <w:r w:rsidR="003373E5">
        <w:t xml:space="preserve">social and environmental </w:t>
      </w:r>
      <w:r w:rsidR="00787971">
        <w:t>outcome</w:t>
      </w:r>
      <w:r w:rsidR="00D327C2">
        <w:t>s</w:t>
      </w:r>
      <w:r w:rsidR="00787971" w:rsidRPr="00EE64EA">
        <w:t xml:space="preserve"> and</w:t>
      </w:r>
      <w:r w:rsidR="00EE64EA" w:rsidRPr="00EE64EA">
        <w:t xml:space="preserve"> benefit these households by </w:t>
      </w:r>
      <w:r w:rsidR="003373E5">
        <w:t>reducing their energy bills.</w:t>
      </w:r>
      <w:r w:rsidR="00CB40BB">
        <w:t xml:space="preserve"> Such</w:t>
      </w:r>
      <w:r w:rsidR="00CB40BB" w:rsidRPr="00CB40BB">
        <w:t xml:space="preserve"> support</w:t>
      </w:r>
      <w:r w:rsidR="00D84DDC">
        <w:t xml:space="preserve"> that is</w:t>
      </w:r>
      <w:r w:rsidR="00CB40BB" w:rsidRPr="00CB40BB">
        <w:t xml:space="preserve"> </w:t>
      </w:r>
      <w:r w:rsidR="005336FA">
        <w:t>targeted toward need</w:t>
      </w:r>
      <w:r w:rsidR="00EF127E">
        <w:t xml:space="preserve"> and which addresses</w:t>
      </w:r>
      <w:r w:rsidR="00CF6A89">
        <w:t xml:space="preserve"> significant</w:t>
      </w:r>
      <w:r w:rsidR="00EF127E">
        <w:t xml:space="preserve"> </w:t>
      </w:r>
      <w:r w:rsidR="00CF6A89">
        <w:t>financial and structural barriers</w:t>
      </w:r>
      <w:r w:rsidR="005336FA">
        <w:t xml:space="preserve"> </w:t>
      </w:r>
      <w:r w:rsidR="00CB40BB" w:rsidRPr="00CB40BB">
        <w:t xml:space="preserve">should </w:t>
      </w:r>
      <w:r w:rsidR="00CB40BB">
        <w:t>be prioritised over</w:t>
      </w:r>
      <w:r w:rsidR="00D35980">
        <w:t xml:space="preserve"> incentives that</w:t>
      </w:r>
      <w:r w:rsidR="00C82F1C">
        <w:t xml:space="preserve"> are</w:t>
      </w:r>
      <w:r w:rsidR="00CB40BB" w:rsidRPr="00CB40BB">
        <w:t xml:space="preserve"> </w:t>
      </w:r>
      <w:r w:rsidR="00D35980">
        <w:t>poorly</w:t>
      </w:r>
      <w:r w:rsidR="00F82A08">
        <w:t xml:space="preserve"> </w:t>
      </w:r>
      <w:r w:rsidR="006C4FE4">
        <w:t>ta</w:t>
      </w:r>
      <w:r w:rsidR="00CB40BB" w:rsidRPr="00CB40BB">
        <w:t>rgeted</w:t>
      </w:r>
      <w:r w:rsidR="00C82F1C">
        <w:t xml:space="preserve"> </w:t>
      </w:r>
      <w:r w:rsidR="004E7478">
        <w:t xml:space="preserve">and </w:t>
      </w:r>
      <w:r w:rsidR="00CB40BB" w:rsidRPr="00CB40BB">
        <w:t>represent an effective net wealth transfer to wealthier households.</w:t>
      </w:r>
    </w:p>
    <w:p w14:paraId="043F7D5D" w14:textId="19411F5E" w:rsidR="00547F54" w:rsidRPr="00155B55" w:rsidRDefault="00BD7E54" w:rsidP="00951C3E">
      <w:pPr>
        <w:pStyle w:val="Figuretabletitle"/>
      </w:pPr>
      <w:r>
        <w:t>Figure</w:t>
      </w:r>
      <w:r w:rsidR="009F4A67">
        <w:t xml:space="preserve"> 5</w:t>
      </w:r>
      <w:r>
        <w:t xml:space="preserve"> </w:t>
      </w:r>
      <w:r w:rsidR="00FF072D">
        <w:t>Energy (domestic</w:t>
      </w:r>
      <w:r w:rsidR="00AC6817">
        <w:t xml:space="preserve"> fuel and power) </w:t>
      </w:r>
      <w:r w:rsidR="0058030C">
        <w:t>expenditure as a proportion of equivalised disposable household income by income quintile, ACT, 2015-16</w:t>
      </w:r>
    </w:p>
    <w:p w14:paraId="500EBDE0" w14:textId="20D23DEE" w:rsidR="00951C3E" w:rsidRPr="00155B55" w:rsidRDefault="00951C3E" w:rsidP="00951C3E">
      <w:r w:rsidRPr="00951C3E">
        <w:rPr>
          <w:noProof/>
        </w:rPr>
        <w:drawing>
          <wp:inline distT="0" distB="0" distL="0" distR="0" wp14:anchorId="3C9E84B0" wp14:editId="533590FE">
            <wp:extent cx="5400040" cy="3999865"/>
            <wp:effectExtent l="0" t="0" r="0" b="635"/>
            <wp:docPr id="21" name="Picture 2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t, bar chart&#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00040" cy="3999865"/>
                    </a:xfrm>
                    <a:prstGeom prst="rect">
                      <a:avLst/>
                    </a:prstGeom>
                  </pic:spPr>
                </pic:pic>
              </a:graphicData>
            </a:graphic>
          </wp:inline>
        </w:drawing>
      </w:r>
    </w:p>
    <w:p w14:paraId="3F013445" w14:textId="4A3AED68" w:rsidR="00155B55" w:rsidRDefault="0058030C" w:rsidP="007B3695">
      <w:pPr>
        <w:pStyle w:val="Source"/>
      </w:pPr>
      <w:r>
        <w:t xml:space="preserve">Source: </w:t>
      </w:r>
      <w:r w:rsidR="001307D6">
        <w:t xml:space="preserve">ABS, </w:t>
      </w:r>
      <w:r w:rsidR="00EA52BE">
        <w:t xml:space="preserve">‘Table </w:t>
      </w:r>
      <w:r w:rsidR="00603FD2">
        <w:t xml:space="preserve">22.1 Household expenditure: Broad expenditure groups, equivalised disposable </w:t>
      </w:r>
      <w:r w:rsidR="006566E1">
        <w:t xml:space="preserve">household </w:t>
      </w:r>
      <w:r w:rsidR="00603FD2">
        <w:t>income</w:t>
      </w:r>
      <w:r w:rsidR="006566E1">
        <w:t xml:space="preserve"> quintiles, ACT’</w:t>
      </w:r>
      <w:r w:rsidR="00506A44">
        <w:t xml:space="preserve">, </w:t>
      </w:r>
      <w:hyperlink r:id="rId27" w:history="1">
        <w:r w:rsidR="00506A44" w:rsidRPr="007B3695">
          <w:rPr>
            <w:rStyle w:val="Hyperlink"/>
            <w:i/>
            <w:iCs/>
          </w:rPr>
          <w:t>Household Expenditure Survey, Australia: Summary of Results, 2015–16</w:t>
        </w:r>
      </w:hyperlink>
      <w:r w:rsidR="00506A44">
        <w:t xml:space="preserve">, </w:t>
      </w:r>
      <w:r w:rsidR="009368C8">
        <w:t>ABS, 2017, accessed 2 May 2022.</w:t>
      </w:r>
    </w:p>
    <w:p w14:paraId="236D154A" w14:textId="77777777" w:rsidR="001501E6" w:rsidRDefault="001501E6" w:rsidP="00683A43">
      <w:pPr>
        <w:pStyle w:val="BodyText"/>
      </w:pPr>
    </w:p>
    <w:p w14:paraId="4B8E1DF6" w14:textId="77777777" w:rsidR="00683A43" w:rsidRDefault="00683A43" w:rsidP="00683A43">
      <w:pPr>
        <w:pStyle w:val="BodyText"/>
      </w:pPr>
    </w:p>
    <w:p w14:paraId="484CFFFE" w14:textId="27E7FE8A" w:rsidR="00683A43" w:rsidRDefault="00683A43" w:rsidP="00683A43">
      <w:pPr>
        <w:pStyle w:val="Figuretabletitle"/>
      </w:pPr>
      <w:r>
        <w:lastRenderedPageBreak/>
        <w:t>Figure</w:t>
      </w:r>
      <w:r w:rsidR="009F4A67">
        <w:t xml:space="preserve"> 6</w:t>
      </w:r>
      <w:r>
        <w:t xml:space="preserve"> Energy retail price indices (inflation adjusted), Canberra and Australia, 2000-2020</w:t>
      </w:r>
    </w:p>
    <w:p w14:paraId="5242EADA" w14:textId="501CD061" w:rsidR="001501E6" w:rsidRDefault="00A94D2F" w:rsidP="00A94D2F">
      <w:r>
        <w:rPr>
          <w:noProof/>
        </w:rPr>
        <w:drawing>
          <wp:inline distT="0" distB="0" distL="0" distR="0" wp14:anchorId="7C73014F" wp14:editId="05C76DC0">
            <wp:extent cx="5400040" cy="4390390"/>
            <wp:effectExtent l="0" t="0" r="0" b="0"/>
            <wp:docPr id="22" name="Picture 2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art, line chart&#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400040" cy="4390390"/>
                    </a:xfrm>
                    <a:prstGeom prst="rect">
                      <a:avLst/>
                    </a:prstGeom>
                  </pic:spPr>
                </pic:pic>
              </a:graphicData>
            </a:graphic>
          </wp:inline>
        </w:drawing>
      </w:r>
    </w:p>
    <w:p w14:paraId="330097AB" w14:textId="77777777" w:rsidR="00F87B40" w:rsidRDefault="00F87B40" w:rsidP="00F87B40">
      <w:pPr>
        <w:pStyle w:val="Source"/>
      </w:pPr>
      <w:r>
        <w:t xml:space="preserve">Source: Adapted from: </w:t>
      </w:r>
      <w:r w:rsidRPr="005E19AF">
        <w:t xml:space="preserve">AER, ‘Figure 6.10: Energy retail price indices (inflation adjusted)’, </w:t>
      </w:r>
      <w:hyperlink r:id="rId29" w:history="1">
        <w:r w:rsidRPr="005E19AF">
          <w:rPr>
            <w:rStyle w:val="Hyperlink"/>
            <w:i/>
            <w:iCs/>
          </w:rPr>
          <w:t>State of the Energy Market Report 2021</w:t>
        </w:r>
      </w:hyperlink>
      <w:r w:rsidRPr="005E19AF">
        <w:t>, Australian Energy Regulator, 2021, accessed 12 July 2021.</w:t>
      </w:r>
    </w:p>
    <w:p w14:paraId="07A62923" w14:textId="77777777" w:rsidR="00A67198" w:rsidRDefault="00A67198">
      <w:pPr>
        <w:rPr>
          <w:rFonts w:cs="Arial"/>
          <w:b/>
          <w:bCs/>
          <w:color w:val="005984"/>
          <w:kern w:val="32"/>
          <w:sz w:val="37"/>
          <w:szCs w:val="32"/>
        </w:rPr>
      </w:pPr>
      <w:r>
        <w:br w:type="page"/>
      </w:r>
    </w:p>
    <w:p w14:paraId="398D81B9" w14:textId="31DD08C5" w:rsidR="00AE100C" w:rsidRDefault="00AE100C" w:rsidP="00AE100C">
      <w:pPr>
        <w:pStyle w:val="Heading1"/>
      </w:pPr>
      <w:bookmarkStart w:id="16" w:name="_Toc102651021"/>
      <w:r>
        <w:lastRenderedPageBreak/>
        <w:t xml:space="preserve">Housing remains </w:t>
      </w:r>
      <w:r w:rsidR="00B21620">
        <w:t>ACT’s</w:t>
      </w:r>
      <w:r>
        <w:t xml:space="preserve"> key cost of living issue</w:t>
      </w:r>
      <w:bookmarkEnd w:id="16"/>
    </w:p>
    <w:p w14:paraId="42DEC9DD" w14:textId="4D7DF3DC" w:rsidR="00AE100C" w:rsidRDefault="007B5D63" w:rsidP="002C4E3A">
      <w:pPr>
        <w:pStyle w:val="BodyText"/>
      </w:pPr>
      <w:r>
        <w:t xml:space="preserve">While transport costs have risen </w:t>
      </w:r>
      <w:r w:rsidR="00254DE9">
        <w:t>significantly due to</w:t>
      </w:r>
      <w:r w:rsidR="007921EC">
        <w:t xml:space="preserve"> recent sharp</w:t>
      </w:r>
      <w:r w:rsidR="00254DE9">
        <w:t xml:space="preserve"> increases in the price of petrol, housing remains the biggest </w:t>
      </w:r>
      <w:r w:rsidR="00A138B2">
        <w:t>cost of living pressure for low-income households in the ACT</w:t>
      </w:r>
      <w:r w:rsidR="0095602C">
        <w:t xml:space="preserve">. For </w:t>
      </w:r>
      <w:r w:rsidR="00FF5470">
        <w:t xml:space="preserve">ACT </w:t>
      </w:r>
      <w:r w:rsidR="0095602C">
        <w:t>households in the lowest two</w:t>
      </w:r>
      <w:r w:rsidR="00FF5470">
        <w:t xml:space="preserve"> income</w:t>
      </w:r>
      <w:r w:rsidR="0095602C">
        <w:t xml:space="preserve"> quintiles housing costs </w:t>
      </w:r>
      <w:r w:rsidR="00D82E16">
        <w:t>on average</w:t>
      </w:r>
      <w:r w:rsidR="0095602C">
        <w:t xml:space="preserve"> a</w:t>
      </w:r>
      <w:r w:rsidR="00FF5470">
        <w:t>ccount for between 24% and 35% of gross household income</w:t>
      </w:r>
      <w:r w:rsidR="006A68CB">
        <w:t xml:space="preserve"> (see Figure </w:t>
      </w:r>
      <w:r w:rsidR="00B60A46">
        <w:t>7)</w:t>
      </w:r>
      <w:r w:rsidR="00FF5470">
        <w:t xml:space="preserve">. </w:t>
      </w:r>
      <w:r w:rsidR="00477089">
        <w:t>Over the past five years</w:t>
      </w:r>
      <w:r w:rsidR="00E60679">
        <w:t xml:space="preserve"> housing prices have increased by 19.0% in Canberra compared to </w:t>
      </w:r>
      <w:r w:rsidR="005F082D">
        <w:t xml:space="preserve">8.2% nationally (see Table 2). </w:t>
      </w:r>
      <w:r w:rsidR="00CF3A42">
        <w:t xml:space="preserve">The price to purchase a new dwelling </w:t>
      </w:r>
      <w:r w:rsidR="000D615C">
        <w:t>increased by 18.0%</w:t>
      </w:r>
      <w:r w:rsidR="00F73185">
        <w:t xml:space="preserve"> in Canberra over this period, compared to </w:t>
      </w:r>
      <w:r w:rsidR="002A2264">
        <w:t>a 14.7% increase nationally.</w:t>
      </w:r>
      <w:r w:rsidR="00CD3244">
        <w:t xml:space="preserve"> Canberra is now the second most expensive capital city to purchase </w:t>
      </w:r>
      <w:r w:rsidR="006F0A28">
        <w:t>a house, behind Sydney.</w:t>
      </w:r>
      <w:r w:rsidR="006F0A28">
        <w:rPr>
          <w:rStyle w:val="FootnoteReference"/>
        </w:rPr>
        <w:footnoteReference w:id="25"/>
      </w:r>
      <w:r w:rsidR="00597271">
        <w:t xml:space="preserve"> </w:t>
      </w:r>
      <w:r w:rsidR="00DB75D7">
        <w:t>For most low-income households</w:t>
      </w:r>
      <w:r w:rsidR="002E7C6E">
        <w:t xml:space="preserve">, </w:t>
      </w:r>
      <w:r w:rsidR="00B01D74">
        <w:t>the cost of purchasing a home in Canberra is severely unaffordable.</w:t>
      </w:r>
      <w:r w:rsidR="004B3E37">
        <w:t xml:space="preserve"> At the same time</w:t>
      </w:r>
      <w:r w:rsidR="008E323E">
        <w:t>, Canberra’s private rental market is also becoming less and less affordable.</w:t>
      </w:r>
    </w:p>
    <w:p w14:paraId="519ACDD3" w14:textId="0414B508" w:rsidR="00E35EBB" w:rsidRDefault="00E35EBB" w:rsidP="00E300CA">
      <w:pPr>
        <w:pStyle w:val="Figuretabletitle"/>
      </w:pPr>
      <w:r>
        <w:t xml:space="preserve">Figure </w:t>
      </w:r>
      <w:r w:rsidR="004303B1">
        <w:t>7</w:t>
      </w:r>
      <w:r>
        <w:t xml:space="preserve"> Housing costs as a proportion of gross household income, ACT, 2017-18</w:t>
      </w:r>
    </w:p>
    <w:p w14:paraId="1741E239" w14:textId="1D0F9AB3" w:rsidR="00E300CA" w:rsidRDefault="00E300CA" w:rsidP="00E300CA">
      <w:r w:rsidRPr="00E300CA">
        <w:rPr>
          <w:noProof/>
        </w:rPr>
        <w:drawing>
          <wp:inline distT="0" distB="0" distL="0" distR="0" wp14:anchorId="7AAE75CD" wp14:editId="0E2425E5">
            <wp:extent cx="5400040" cy="2891155"/>
            <wp:effectExtent l="0" t="0" r="0" b="4445"/>
            <wp:docPr id="25" name="Picture 2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Chart, bar chart&#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400040" cy="2891155"/>
                    </a:xfrm>
                    <a:prstGeom prst="rect">
                      <a:avLst/>
                    </a:prstGeom>
                  </pic:spPr>
                </pic:pic>
              </a:graphicData>
            </a:graphic>
          </wp:inline>
        </w:drawing>
      </w:r>
    </w:p>
    <w:p w14:paraId="42BC6B23" w14:textId="77777777" w:rsidR="00EB02A5" w:rsidRDefault="00EB02A5" w:rsidP="00EB02A5">
      <w:pPr>
        <w:pStyle w:val="Source"/>
      </w:pPr>
      <w:r>
        <w:t xml:space="preserve">Source: </w:t>
      </w:r>
      <w:r w:rsidRPr="00DE0F81">
        <w:t>ABS</w:t>
      </w:r>
      <w:r>
        <w:t xml:space="preserve">, </w:t>
      </w:r>
      <w:r w:rsidRPr="00DE0F81">
        <w:t xml:space="preserve">‘Table 12.3 Housing Costs as a Proportion of Gross Household Income, Selected household characteristics, States, and territories, 2017–18’, </w:t>
      </w:r>
      <w:hyperlink r:id="rId31" w:history="1">
        <w:r w:rsidRPr="00DE0F81">
          <w:rPr>
            <w:rStyle w:val="Hyperlink"/>
            <w:i/>
            <w:iCs/>
          </w:rPr>
          <w:t>Housing Occupancy and Cost</w:t>
        </w:r>
        <w:r>
          <w:rPr>
            <w:rStyle w:val="Hyperlink"/>
            <w:i/>
            <w:iCs/>
          </w:rPr>
          <w:t>s, 2017-18 financial year</w:t>
        </w:r>
      </w:hyperlink>
      <w:r w:rsidRPr="00DE0F81">
        <w:t xml:space="preserve">, </w:t>
      </w:r>
      <w:r>
        <w:t xml:space="preserve">ABS, 2019, </w:t>
      </w:r>
      <w:r w:rsidRPr="00DE0F81">
        <w:t>accessed 8 July 2021.</w:t>
      </w:r>
    </w:p>
    <w:p w14:paraId="16298448" w14:textId="048B6795" w:rsidR="00BE6922" w:rsidRDefault="00BE6922" w:rsidP="00E22612">
      <w:pPr>
        <w:pStyle w:val="Heading2"/>
      </w:pPr>
      <w:bookmarkStart w:id="17" w:name="_Toc102651022"/>
      <w:r>
        <w:t>Rental unaffordability in the ACT</w:t>
      </w:r>
      <w:bookmarkEnd w:id="17"/>
      <w:r w:rsidR="00E22612">
        <w:t xml:space="preserve"> </w:t>
      </w:r>
    </w:p>
    <w:p w14:paraId="4838B674" w14:textId="599A6590" w:rsidR="00EB02A5" w:rsidRDefault="006A08B1" w:rsidP="002C4E3A">
      <w:pPr>
        <w:pStyle w:val="BodyText"/>
      </w:pPr>
      <w:r>
        <w:t>In Australia, t</w:t>
      </w:r>
      <w:r w:rsidRPr="00D264D3">
        <w:t>he ACT has the highest rate of rental stress among lower income private rental households at 73%</w:t>
      </w:r>
      <w:r>
        <w:t>.</w:t>
      </w:r>
      <w:r>
        <w:rPr>
          <w:rStyle w:val="FootnoteReference"/>
        </w:rPr>
        <w:footnoteReference w:id="26"/>
      </w:r>
      <w:r w:rsidR="008F2328">
        <w:t xml:space="preserve"> </w:t>
      </w:r>
      <w:r w:rsidR="00A22A9C" w:rsidRPr="00A22A9C">
        <w:t xml:space="preserve">Housing stress is defined as a household in the two lowest income quintiles spending more than 30% of gross household income on housing. </w:t>
      </w:r>
      <w:r w:rsidR="008F2328">
        <w:t xml:space="preserve">Over the past five years the CPI for rents in Canberra has risen by </w:t>
      </w:r>
      <w:r w:rsidR="007D5F9C">
        <w:t>13.1%</w:t>
      </w:r>
      <w:r w:rsidR="002A36BF">
        <w:t xml:space="preserve"> compared to</w:t>
      </w:r>
      <w:r w:rsidR="002A5EC3">
        <w:t xml:space="preserve"> an increase of</w:t>
      </w:r>
      <w:r w:rsidR="002A36BF">
        <w:t xml:space="preserve"> just 0.7% nationally</w:t>
      </w:r>
      <w:r w:rsidR="002A5EC3">
        <w:t xml:space="preserve">. </w:t>
      </w:r>
      <w:r w:rsidR="00E40B77">
        <w:t>Canberra</w:t>
      </w:r>
      <w:r w:rsidR="006D2290">
        <w:t xml:space="preserve"> has </w:t>
      </w:r>
      <w:r w:rsidR="006D2290">
        <w:lastRenderedPageBreak/>
        <w:t xml:space="preserve">been Australia’s most expensive capital city to rent a </w:t>
      </w:r>
      <w:r w:rsidR="00773538">
        <w:t xml:space="preserve">house </w:t>
      </w:r>
      <w:r w:rsidR="00E666EC">
        <w:t xml:space="preserve">since late 2018 and </w:t>
      </w:r>
      <w:r w:rsidR="003D55F8">
        <w:t xml:space="preserve">to rent </w:t>
      </w:r>
      <w:r w:rsidR="00E666EC">
        <w:t>a unit since late 2020.</w:t>
      </w:r>
      <w:r w:rsidR="00634698">
        <w:rPr>
          <w:rStyle w:val="FootnoteReference"/>
        </w:rPr>
        <w:footnoteReference w:id="27"/>
      </w:r>
      <w:r w:rsidR="00FB2564">
        <w:t xml:space="preserve"> The </w:t>
      </w:r>
      <w:r w:rsidR="00546B22">
        <w:t xml:space="preserve">Domain Rental Report for March 2022 found that the median weekly rent in Canberra was $700 for houses </w:t>
      </w:r>
      <w:r w:rsidR="005821A3">
        <w:t xml:space="preserve">(up by $100 since March 2021) and </w:t>
      </w:r>
      <w:r w:rsidR="000D6460">
        <w:t xml:space="preserve">$540 for units (up by </w:t>
      </w:r>
      <w:r w:rsidR="008A3484">
        <w:t>$40 since March 2021)</w:t>
      </w:r>
      <w:r w:rsidR="004303B1">
        <w:t xml:space="preserve"> (see Figure 8)</w:t>
      </w:r>
      <w:r w:rsidR="008A3484">
        <w:t xml:space="preserve">. </w:t>
      </w:r>
      <w:r w:rsidR="00104E04">
        <w:t>At the same time</w:t>
      </w:r>
      <w:r w:rsidR="005737DB">
        <w:t xml:space="preserve">, Domain found </w:t>
      </w:r>
      <w:r w:rsidR="00FD7FB8">
        <w:t xml:space="preserve">that </w:t>
      </w:r>
      <w:r w:rsidR="005737DB">
        <w:t xml:space="preserve">in </w:t>
      </w:r>
      <w:r w:rsidR="00322055">
        <w:t>March</w:t>
      </w:r>
      <w:r w:rsidR="005737DB">
        <w:t xml:space="preserve"> 2022 Canberra</w:t>
      </w:r>
      <w:r w:rsidR="009B27C0">
        <w:t xml:space="preserve"> had reached an all-time low vacancy rate of just 0.5%, leaving prospective tenants with extremely limited choice and market power.</w:t>
      </w:r>
      <w:r w:rsidR="00634698">
        <w:rPr>
          <w:rStyle w:val="FootnoteReference"/>
        </w:rPr>
        <w:footnoteReference w:id="28"/>
      </w:r>
    </w:p>
    <w:p w14:paraId="0A8E60D2" w14:textId="59096A15" w:rsidR="00395915" w:rsidRDefault="00395915" w:rsidP="00AA6DCE">
      <w:pPr>
        <w:pStyle w:val="BodyText"/>
      </w:pPr>
      <w:r>
        <w:t>As a growing proportion of ACT households rent their home</w:t>
      </w:r>
      <w:r w:rsidR="007F5A51">
        <w:t xml:space="preserve"> and rent </w:t>
      </w:r>
      <w:r w:rsidR="00F65830">
        <w:t xml:space="preserve">it </w:t>
      </w:r>
      <w:r w:rsidR="007F5A51">
        <w:t xml:space="preserve">for longer, it is critical to ensure that </w:t>
      </w:r>
      <w:r w:rsidR="00FD79B8" w:rsidRPr="00FD79B8">
        <w:t xml:space="preserve">residential tenancy laws </w:t>
      </w:r>
      <w:r w:rsidR="00FD79B8">
        <w:t xml:space="preserve">are improved to </w:t>
      </w:r>
      <w:r w:rsidR="00FD79B8" w:rsidRPr="00FD79B8">
        <w:t>create a fairer, safer home rental system in Canberra.</w:t>
      </w:r>
      <w:r w:rsidR="00B6751B">
        <w:t xml:space="preserve"> ACTCOSS has welcomed the ACT Government’s commitment under the </w:t>
      </w:r>
      <w:r w:rsidR="005F63F8">
        <w:t>Parliamentary and Governing Agreement to a</w:t>
      </w:r>
      <w:r w:rsidR="005F63F8" w:rsidRPr="005F63F8">
        <w:t xml:space="preserve">mend </w:t>
      </w:r>
      <w:r w:rsidR="005F63F8" w:rsidRPr="005F63F8">
        <w:rPr>
          <w:i/>
          <w:iCs/>
        </w:rPr>
        <w:t>Residential Tenancies Act 1997</w:t>
      </w:r>
      <w:r w:rsidR="005F63F8" w:rsidRPr="005F63F8">
        <w:t xml:space="preserve"> to end no cause evictions</w:t>
      </w:r>
      <w:r w:rsidR="005F63F8">
        <w:t>.</w:t>
      </w:r>
      <w:r w:rsidR="00F65830">
        <w:rPr>
          <w:rStyle w:val="FootnoteReference"/>
        </w:rPr>
        <w:footnoteReference w:id="29"/>
      </w:r>
      <w:r w:rsidR="008F54CA">
        <w:t xml:space="preserve"> Further, </w:t>
      </w:r>
      <w:r w:rsidR="00315043">
        <w:t>ACTCOSS</w:t>
      </w:r>
      <w:r w:rsidR="009253FB">
        <w:t xml:space="preserve"> </w:t>
      </w:r>
      <w:r w:rsidR="00EE53A0">
        <w:t>has called for the prohibition of</w:t>
      </w:r>
      <w:r w:rsidR="00EE53A0" w:rsidRPr="00EE53A0">
        <w:t xml:space="preserve"> rent bidding</w:t>
      </w:r>
      <w:r w:rsidR="00AA6DCE">
        <w:t xml:space="preserve"> – where a prospective tenant offers or is asked to pay more than the advertised price for a rental property</w:t>
      </w:r>
      <w:r w:rsidR="00EE53A0" w:rsidRPr="00EE53A0">
        <w:t xml:space="preserve"> </w:t>
      </w:r>
      <w:r w:rsidR="00AA6DCE">
        <w:t xml:space="preserve">– and </w:t>
      </w:r>
      <w:r w:rsidR="003A5556">
        <w:t>t</w:t>
      </w:r>
      <w:r w:rsidR="00EE53A0">
        <w:t xml:space="preserve">he introduction of </w:t>
      </w:r>
      <w:r w:rsidR="00EE53A0" w:rsidRPr="00EE53A0">
        <w:t xml:space="preserve">financial penalties for landlords or agents found to have solicited and/or accepted </w:t>
      </w:r>
      <w:r w:rsidR="001F250B">
        <w:t>such a bid</w:t>
      </w:r>
      <w:r w:rsidR="00EE53A0" w:rsidRPr="00EE53A0">
        <w:t>.</w:t>
      </w:r>
      <w:r w:rsidR="001D2B5A">
        <w:rPr>
          <w:rStyle w:val="FootnoteReference"/>
        </w:rPr>
        <w:footnoteReference w:id="30"/>
      </w:r>
      <w:r w:rsidR="00461D94">
        <w:t xml:space="preserve"> </w:t>
      </w:r>
      <w:r w:rsidR="00CD3869">
        <w:t>Community feedback on t</w:t>
      </w:r>
      <w:r w:rsidR="00461D94">
        <w:t xml:space="preserve">he ACT Government’s recent </w:t>
      </w:r>
      <w:r w:rsidR="00FF6D42">
        <w:t xml:space="preserve">public consultation on improving residential tenancies found that </w:t>
      </w:r>
      <w:r w:rsidR="00C7569C">
        <w:t xml:space="preserve">‘it </w:t>
      </w:r>
      <w:r w:rsidR="00CD3869">
        <w:t>is a common market practice for tenants to offer</w:t>
      </w:r>
      <w:r w:rsidR="005D194F">
        <w:t xml:space="preserve"> </w:t>
      </w:r>
      <w:r w:rsidR="00CD3869">
        <w:t>more than the advertised price for a rental property</w:t>
      </w:r>
      <w:r w:rsidR="00B051DD">
        <w:t>’.</w:t>
      </w:r>
      <w:r w:rsidR="00CC4E55">
        <w:rPr>
          <w:rStyle w:val="FootnoteReference"/>
        </w:rPr>
        <w:footnoteReference w:id="31"/>
      </w:r>
      <w:r w:rsidR="00B051DD">
        <w:t xml:space="preserve"> </w:t>
      </w:r>
    </w:p>
    <w:p w14:paraId="5AD614E4" w14:textId="7816091E" w:rsidR="00FB2564" w:rsidRDefault="00C34F34" w:rsidP="00E610E4">
      <w:pPr>
        <w:pStyle w:val="Figuretabletitle"/>
      </w:pPr>
      <w:r>
        <w:t xml:space="preserve">Figure </w:t>
      </w:r>
      <w:r w:rsidR="004303B1">
        <w:t xml:space="preserve">8 </w:t>
      </w:r>
      <w:r>
        <w:t>Median house and unit rents by capital city, March 2022</w:t>
      </w:r>
    </w:p>
    <w:p w14:paraId="417FF0BD" w14:textId="07DBA531" w:rsidR="00E73CC9" w:rsidRDefault="00E73CC9" w:rsidP="0031038D">
      <w:r>
        <w:rPr>
          <w:noProof/>
        </w:rPr>
        <w:drawing>
          <wp:inline distT="0" distB="0" distL="0" distR="0" wp14:anchorId="105D0379" wp14:editId="7250BDC0">
            <wp:extent cx="5400040" cy="3244850"/>
            <wp:effectExtent l="0" t="0" r="0" b="0"/>
            <wp:docPr id="26" name="Picture 2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Chart, bar chart&#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400040" cy="3244850"/>
                    </a:xfrm>
                    <a:prstGeom prst="rect">
                      <a:avLst/>
                    </a:prstGeom>
                  </pic:spPr>
                </pic:pic>
              </a:graphicData>
            </a:graphic>
          </wp:inline>
        </w:drawing>
      </w:r>
    </w:p>
    <w:p w14:paraId="00484656" w14:textId="0DED01E3" w:rsidR="005E4A52" w:rsidRDefault="005E4A52" w:rsidP="005E4A52">
      <w:pPr>
        <w:pStyle w:val="Source"/>
      </w:pPr>
      <w:r>
        <w:t xml:space="preserve">Source: </w:t>
      </w:r>
      <w:r w:rsidRPr="00CC746E">
        <w:t xml:space="preserve">Domain, </w:t>
      </w:r>
      <w:hyperlink r:id="rId33" w:anchor="canberra" w:history="1">
        <w:r w:rsidRPr="0080301A">
          <w:rPr>
            <w:rStyle w:val="Hyperlink"/>
            <w:i/>
            <w:iCs/>
          </w:rPr>
          <w:t>March 2022 Rental Report</w:t>
        </w:r>
      </w:hyperlink>
      <w:r w:rsidRPr="00CC746E">
        <w:t xml:space="preserve">, Domain website, n.d., accessed </w:t>
      </w:r>
      <w:r w:rsidR="0080301A">
        <w:t>21 April 2022</w:t>
      </w:r>
      <w:r w:rsidRPr="00CC746E">
        <w:t>.</w:t>
      </w:r>
    </w:p>
    <w:p w14:paraId="69342013" w14:textId="0A6AD9F9" w:rsidR="00BA4037" w:rsidRDefault="00D52823" w:rsidP="00E610E4">
      <w:pPr>
        <w:pStyle w:val="BodyText"/>
        <w:rPr>
          <w:b/>
          <w:sz w:val="20"/>
        </w:rPr>
      </w:pPr>
      <w:r>
        <w:lastRenderedPageBreak/>
        <w:t xml:space="preserve">The latest Rental Affordability Index found that </w:t>
      </w:r>
      <w:r w:rsidR="004C61E4">
        <w:t xml:space="preserve">Canberra is the least affordable </w:t>
      </w:r>
      <w:r w:rsidR="00BA4037">
        <w:t xml:space="preserve">Australian </w:t>
      </w:r>
      <w:r w:rsidR="004C61E4">
        <w:t xml:space="preserve">city for </w:t>
      </w:r>
      <w:r w:rsidR="006D5AF3">
        <w:t>low-to-moderate income households to rent in</w:t>
      </w:r>
      <w:r w:rsidR="00487A3D">
        <w:t xml:space="preserve"> (see Table</w:t>
      </w:r>
      <w:r w:rsidR="00F935FF">
        <w:t xml:space="preserve"> 3)</w:t>
      </w:r>
      <w:r w:rsidR="006D5AF3">
        <w:t>.</w:t>
      </w:r>
      <w:r w:rsidR="00F935FF">
        <w:rPr>
          <w:rStyle w:val="FootnoteReference"/>
        </w:rPr>
        <w:footnoteReference w:id="32"/>
      </w:r>
      <w:r w:rsidR="006D5AF3">
        <w:t xml:space="preserve"> </w:t>
      </w:r>
      <w:r w:rsidR="007B111A">
        <w:t xml:space="preserve">It shows that </w:t>
      </w:r>
      <w:r w:rsidR="00C05DEC">
        <w:t>ACT</w:t>
      </w:r>
      <w:r w:rsidR="007B111A" w:rsidRPr="007B111A">
        <w:t xml:space="preserve"> rents are extremely unaffordable for a single person on </w:t>
      </w:r>
      <w:proofErr w:type="spellStart"/>
      <w:r w:rsidR="007B111A" w:rsidRPr="007B111A">
        <w:t>JobSeeker</w:t>
      </w:r>
      <w:proofErr w:type="spellEnd"/>
      <w:r w:rsidR="007B111A" w:rsidRPr="007B111A">
        <w:t xml:space="preserve"> Payment, a single pensioner, and a single part-time worker parent on benefits.</w:t>
      </w:r>
      <w:r w:rsidR="00ED3449">
        <w:t xml:space="preserve"> </w:t>
      </w:r>
      <w:r w:rsidR="00C05DEC">
        <w:t>ACT</w:t>
      </w:r>
      <w:r w:rsidR="00ED3449">
        <w:t xml:space="preserve"> rents are severely unaffordable for a pensioner couple and a hospitality worker, and unaffordable for </w:t>
      </w:r>
      <w:r w:rsidR="00326E21">
        <w:t xml:space="preserve">a minimum wage couple and a student </w:t>
      </w:r>
      <w:proofErr w:type="spellStart"/>
      <w:r w:rsidR="00326E21">
        <w:t>sharehouse</w:t>
      </w:r>
      <w:proofErr w:type="spellEnd"/>
      <w:r w:rsidR="00091461">
        <w:t xml:space="preserve"> occupant</w:t>
      </w:r>
      <w:r w:rsidR="00326E21">
        <w:t>.</w:t>
      </w:r>
    </w:p>
    <w:p w14:paraId="1E52BC08" w14:textId="53B7E8BC" w:rsidR="00C05DEC" w:rsidRDefault="00C05DEC" w:rsidP="00C05DEC">
      <w:pPr>
        <w:pStyle w:val="Figuretabletitle"/>
      </w:pPr>
      <w:r>
        <w:t xml:space="preserve">Table </w:t>
      </w:r>
      <w:r w:rsidR="008B5BC2">
        <w:t>3</w:t>
      </w:r>
      <w:r>
        <w:t xml:space="preserve"> Rental Affordability Index, November 2021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1126"/>
        <w:gridCol w:w="2055"/>
        <w:gridCol w:w="2248"/>
      </w:tblGrid>
      <w:tr w:rsidR="00111553" w:rsidRPr="000F4976" w14:paraId="0284B027" w14:textId="77777777" w:rsidTr="00BA4037">
        <w:trPr>
          <w:trHeight w:val="700"/>
        </w:trPr>
        <w:tc>
          <w:tcPr>
            <w:tcW w:w="1808" w:type="pct"/>
            <w:tcBorders>
              <w:top w:val="single" w:sz="4" w:space="0" w:color="auto"/>
              <w:bottom w:val="single" w:sz="4" w:space="0" w:color="auto"/>
            </w:tcBorders>
            <w:hideMark/>
          </w:tcPr>
          <w:p w14:paraId="5637942C" w14:textId="77777777" w:rsidR="000F4976" w:rsidRPr="000F4976" w:rsidRDefault="000F4976" w:rsidP="000F4976">
            <w:pPr>
              <w:rPr>
                <w:rFonts w:cs="Arial"/>
                <w:b/>
                <w:bCs/>
                <w:color w:val="000000"/>
                <w:sz w:val="20"/>
                <w:szCs w:val="20"/>
                <w:lang w:eastAsia="en-AU"/>
              </w:rPr>
            </w:pPr>
            <w:r w:rsidRPr="000F4976">
              <w:rPr>
                <w:rFonts w:cs="Arial"/>
                <w:b/>
                <w:bCs/>
                <w:color w:val="000000"/>
                <w:sz w:val="20"/>
                <w:szCs w:val="20"/>
                <w:lang w:eastAsia="en-AU"/>
              </w:rPr>
              <w:t xml:space="preserve">Household </w:t>
            </w:r>
          </w:p>
        </w:tc>
        <w:tc>
          <w:tcPr>
            <w:tcW w:w="662" w:type="pct"/>
            <w:tcBorders>
              <w:top w:val="single" w:sz="4" w:space="0" w:color="auto"/>
              <w:bottom w:val="single" w:sz="4" w:space="0" w:color="auto"/>
            </w:tcBorders>
            <w:hideMark/>
          </w:tcPr>
          <w:p w14:paraId="2D3C4170" w14:textId="77777777" w:rsidR="000F4976" w:rsidRPr="000F4976" w:rsidRDefault="000F4976" w:rsidP="000F4976">
            <w:pPr>
              <w:rPr>
                <w:rFonts w:cs="Arial"/>
                <w:b/>
                <w:bCs/>
                <w:color w:val="000000"/>
                <w:sz w:val="20"/>
                <w:szCs w:val="20"/>
                <w:lang w:eastAsia="en-AU"/>
              </w:rPr>
            </w:pPr>
            <w:r w:rsidRPr="000F4976">
              <w:rPr>
                <w:rFonts w:cs="Arial"/>
                <w:b/>
                <w:bCs/>
                <w:color w:val="000000"/>
                <w:sz w:val="20"/>
                <w:szCs w:val="20"/>
                <w:lang w:eastAsia="en-AU"/>
              </w:rPr>
              <w:t xml:space="preserve">RAI score </w:t>
            </w:r>
          </w:p>
        </w:tc>
        <w:tc>
          <w:tcPr>
            <w:tcW w:w="1208" w:type="pct"/>
            <w:tcBorders>
              <w:top w:val="single" w:sz="4" w:space="0" w:color="auto"/>
              <w:bottom w:val="single" w:sz="4" w:space="0" w:color="auto"/>
            </w:tcBorders>
            <w:hideMark/>
          </w:tcPr>
          <w:p w14:paraId="7BA73D46" w14:textId="77777777" w:rsidR="000F4976" w:rsidRPr="000F4976" w:rsidRDefault="000F4976" w:rsidP="000F4976">
            <w:pPr>
              <w:rPr>
                <w:rFonts w:cs="Arial"/>
                <w:b/>
                <w:bCs/>
                <w:color w:val="000000"/>
                <w:sz w:val="20"/>
                <w:szCs w:val="20"/>
                <w:lang w:eastAsia="en-AU"/>
              </w:rPr>
            </w:pPr>
            <w:r w:rsidRPr="000F4976">
              <w:rPr>
                <w:rFonts w:cs="Arial"/>
                <w:b/>
                <w:bCs/>
                <w:color w:val="000000"/>
                <w:sz w:val="20"/>
                <w:szCs w:val="20"/>
                <w:lang w:eastAsia="en-AU"/>
              </w:rPr>
              <w:t>Rent as share of income</w:t>
            </w:r>
          </w:p>
        </w:tc>
        <w:tc>
          <w:tcPr>
            <w:tcW w:w="1322" w:type="pct"/>
            <w:tcBorders>
              <w:top w:val="single" w:sz="4" w:space="0" w:color="auto"/>
              <w:bottom w:val="single" w:sz="4" w:space="0" w:color="auto"/>
            </w:tcBorders>
            <w:hideMark/>
          </w:tcPr>
          <w:p w14:paraId="59E6B398" w14:textId="77777777" w:rsidR="000F4976" w:rsidRPr="000F4976" w:rsidRDefault="000F4976" w:rsidP="000F4976">
            <w:pPr>
              <w:rPr>
                <w:rFonts w:cs="Arial"/>
                <w:b/>
                <w:bCs/>
                <w:color w:val="000000"/>
                <w:sz w:val="20"/>
                <w:szCs w:val="20"/>
                <w:lang w:eastAsia="en-AU"/>
              </w:rPr>
            </w:pPr>
            <w:r w:rsidRPr="000F4976">
              <w:rPr>
                <w:rFonts w:cs="Arial"/>
                <w:b/>
                <w:bCs/>
                <w:color w:val="000000"/>
                <w:sz w:val="20"/>
                <w:szCs w:val="20"/>
                <w:lang w:eastAsia="en-AU"/>
              </w:rPr>
              <w:t>Relative unaffordability</w:t>
            </w:r>
          </w:p>
        </w:tc>
      </w:tr>
      <w:tr w:rsidR="00C05DEC" w:rsidRPr="00C05DEC" w14:paraId="419EB818" w14:textId="77777777" w:rsidTr="00BA4037">
        <w:trPr>
          <w:trHeight w:val="700"/>
        </w:trPr>
        <w:tc>
          <w:tcPr>
            <w:tcW w:w="1808" w:type="pct"/>
            <w:tcBorders>
              <w:top w:val="single" w:sz="4" w:space="0" w:color="auto"/>
            </w:tcBorders>
            <w:shd w:val="clear" w:color="auto" w:fill="8EAADB" w:themeFill="accent1" w:themeFillTint="99"/>
            <w:hideMark/>
          </w:tcPr>
          <w:p w14:paraId="2F4B6B32" w14:textId="77777777" w:rsidR="00C05DEC" w:rsidRPr="00C05DEC" w:rsidRDefault="00C05DEC" w:rsidP="00C05DEC">
            <w:pPr>
              <w:rPr>
                <w:rFonts w:cs="Arial"/>
                <w:color w:val="000000"/>
                <w:sz w:val="20"/>
                <w:szCs w:val="20"/>
                <w:lang w:eastAsia="en-AU"/>
              </w:rPr>
            </w:pPr>
            <w:r w:rsidRPr="00C05DEC">
              <w:rPr>
                <w:rFonts w:cs="Arial"/>
                <w:color w:val="000000"/>
                <w:sz w:val="20"/>
                <w:szCs w:val="20"/>
                <w:lang w:eastAsia="en-AU"/>
              </w:rPr>
              <w:t xml:space="preserve">Single person on </w:t>
            </w:r>
            <w:proofErr w:type="spellStart"/>
            <w:r w:rsidRPr="00C05DEC">
              <w:rPr>
                <w:rFonts w:cs="Arial"/>
                <w:color w:val="000000"/>
                <w:sz w:val="20"/>
                <w:szCs w:val="20"/>
                <w:lang w:eastAsia="en-AU"/>
              </w:rPr>
              <w:t>JobSeeker</w:t>
            </w:r>
            <w:proofErr w:type="spellEnd"/>
            <w:r w:rsidRPr="00C05DEC">
              <w:rPr>
                <w:rFonts w:cs="Arial"/>
                <w:color w:val="000000"/>
                <w:sz w:val="20"/>
                <w:szCs w:val="20"/>
                <w:lang w:eastAsia="en-AU"/>
              </w:rPr>
              <w:t xml:space="preserve"> payment</w:t>
            </w:r>
          </w:p>
        </w:tc>
        <w:tc>
          <w:tcPr>
            <w:tcW w:w="662" w:type="pct"/>
            <w:tcBorders>
              <w:top w:val="single" w:sz="4" w:space="0" w:color="auto"/>
            </w:tcBorders>
            <w:shd w:val="clear" w:color="auto" w:fill="8EAADB" w:themeFill="accent1" w:themeFillTint="99"/>
            <w:hideMark/>
          </w:tcPr>
          <w:p w14:paraId="7B5C31AE" w14:textId="77777777" w:rsidR="00C05DEC" w:rsidRPr="00C05DEC" w:rsidRDefault="00C05DEC" w:rsidP="00C05DEC">
            <w:pPr>
              <w:jc w:val="right"/>
              <w:rPr>
                <w:rFonts w:cs="Arial"/>
                <w:color w:val="000000"/>
                <w:sz w:val="20"/>
                <w:szCs w:val="20"/>
                <w:lang w:eastAsia="en-AU"/>
              </w:rPr>
            </w:pPr>
            <w:r w:rsidRPr="00C05DEC">
              <w:rPr>
                <w:rFonts w:cs="Arial"/>
                <w:color w:val="000000"/>
                <w:sz w:val="20"/>
                <w:szCs w:val="20"/>
                <w:lang w:eastAsia="en-AU"/>
              </w:rPr>
              <w:t>27</w:t>
            </w:r>
          </w:p>
        </w:tc>
        <w:tc>
          <w:tcPr>
            <w:tcW w:w="1208" w:type="pct"/>
            <w:tcBorders>
              <w:top w:val="single" w:sz="4" w:space="0" w:color="auto"/>
            </w:tcBorders>
            <w:shd w:val="clear" w:color="auto" w:fill="8EAADB" w:themeFill="accent1" w:themeFillTint="99"/>
            <w:hideMark/>
          </w:tcPr>
          <w:p w14:paraId="1AEADC38" w14:textId="77777777" w:rsidR="00C05DEC" w:rsidRPr="00C05DEC" w:rsidRDefault="00C05DEC" w:rsidP="00C05DEC">
            <w:pPr>
              <w:jc w:val="right"/>
              <w:rPr>
                <w:rFonts w:cs="Arial"/>
                <w:color w:val="000000"/>
                <w:sz w:val="20"/>
                <w:szCs w:val="20"/>
                <w:lang w:eastAsia="en-AU"/>
              </w:rPr>
            </w:pPr>
            <w:r w:rsidRPr="00C05DEC">
              <w:rPr>
                <w:rFonts w:cs="Arial"/>
                <w:color w:val="000000"/>
                <w:sz w:val="20"/>
                <w:szCs w:val="20"/>
                <w:lang w:eastAsia="en-AU"/>
              </w:rPr>
              <w:t>113%</w:t>
            </w:r>
          </w:p>
        </w:tc>
        <w:tc>
          <w:tcPr>
            <w:tcW w:w="1322" w:type="pct"/>
            <w:tcBorders>
              <w:top w:val="single" w:sz="4" w:space="0" w:color="auto"/>
            </w:tcBorders>
            <w:shd w:val="clear" w:color="auto" w:fill="8EAADB" w:themeFill="accent1" w:themeFillTint="99"/>
            <w:hideMark/>
          </w:tcPr>
          <w:p w14:paraId="3F0F1B7F" w14:textId="77777777" w:rsidR="00C05DEC" w:rsidRPr="00C05DEC" w:rsidRDefault="00C05DEC" w:rsidP="00C05DEC">
            <w:pPr>
              <w:rPr>
                <w:rFonts w:cs="Arial"/>
                <w:color w:val="000000"/>
                <w:sz w:val="20"/>
                <w:szCs w:val="20"/>
                <w:lang w:eastAsia="en-AU"/>
              </w:rPr>
            </w:pPr>
            <w:r w:rsidRPr="00C05DEC">
              <w:rPr>
                <w:rFonts w:cs="Arial"/>
                <w:color w:val="000000"/>
                <w:sz w:val="20"/>
                <w:szCs w:val="20"/>
                <w:lang w:eastAsia="en-AU"/>
              </w:rPr>
              <w:t>Extremely unaffordable</w:t>
            </w:r>
          </w:p>
        </w:tc>
      </w:tr>
      <w:tr w:rsidR="00C05DEC" w:rsidRPr="00C05DEC" w14:paraId="41161A27" w14:textId="77777777" w:rsidTr="00111553">
        <w:trPr>
          <w:trHeight w:val="700"/>
        </w:trPr>
        <w:tc>
          <w:tcPr>
            <w:tcW w:w="1808" w:type="pct"/>
            <w:shd w:val="clear" w:color="auto" w:fill="8EAADB" w:themeFill="accent1" w:themeFillTint="99"/>
            <w:hideMark/>
          </w:tcPr>
          <w:p w14:paraId="78F19FC9" w14:textId="77777777" w:rsidR="00C05DEC" w:rsidRPr="00C05DEC" w:rsidRDefault="00C05DEC" w:rsidP="00C05DEC">
            <w:pPr>
              <w:rPr>
                <w:rFonts w:cs="Arial"/>
                <w:color w:val="000000"/>
                <w:sz w:val="20"/>
                <w:szCs w:val="20"/>
                <w:lang w:eastAsia="en-AU"/>
              </w:rPr>
            </w:pPr>
            <w:r w:rsidRPr="00C05DEC">
              <w:rPr>
                <w:rFonts w:cs="Arial"/>
                <w:color w:val="000000"/>
                <w:sz w:val="20"/>
                <w:szCs w:val="20"/>
                <w:lang w:eastAsia="en-AU"/>
              </w:rPr>
              <w:t>Single pensioner</w:t>
            </w:r>
          </w:p>
        </w:tc>
        <w:tc>
          <w:tcPr>
            <w:tcW w:w="662" w:type="pct"/>
            <w:shd w:val="clear" w:color="auto" w:fill="8EAADB" w:themeFill="accent1" w:themeFillTint="99"/>
            <w:hideMark/>
          </w:tcPr>
          <w:p w14:paraId="688BCB24" w14:textId="77777777" w:rsidR="00C05DEC" w:rsidRPr="00C05DEC" w:rsidRDefault="00C05DEC" w:rsidP="00C05DEC">
            <w:pPr>
              <w:jc w:val="right"/>
              <w:rPr>
                <w:rFonts w:cs="Arial"/>
                <w:color w:val="000000"/>
                <w:sz w:val="20"/>
                <w:szCs w:val="20"/>
                <w:lang w:eastAsia="en-AU"/>
              </w:rPr>
            </w:pPr>
            <w:r w:rsidRPr="00C05DEC">
              <w:rPr>
                <w:rFonts w:cs="Arial"/>
                <w:color w:val="000000"/>
                <w:sz w:val="20"/>
                <w:szCs w:val="20"/>
                <w:lang w:eastAsia="en-AU"/>
              </w:rPr>
              <w:t>44</w:t>
            </w:r>
          </w:p>
        </w:tc>
        <w:tc>
          <w:tcPr>
            <w:tcW w:w="1208" w:type="pct"/>
            <w:shd w:val="clear" w:color="auto" w:fill="8EAADB" w:themeFill="accent1" w:themeFillTint="99"/>
            <w:hideMark/>
          </w:tcPr>
          <w:p w14:paraId="55FD1E49" w14:textId="77777777" w:rsidR="00C05DEC" w:rsidRPr="00C05DEC" w:rsidRDefault="00C05DEC" w:rsidP="00C05DEC">
            <w:pPr>
              <w:jc w:val="right"/>
              <w:rPr>
                <w:rFonts w:cs="Arial"/>
                <w:color w:val="000000"/>
                <w:sz w:val="20"/>
                <w:szCs w:val="20"/>
                <w:lang w:eastAsia="en-AU"/>
              </w:rPr>
            </w:pPr>
            <w:r w:rsidRPr="00C05DEC">
              <w:rPr>
                <w:rFonts w:cs="Arial"/>
                <w:color w:val="000000"/>
                <w:sz w:val="20"/>
                <w:szCs w:val="20"/>
                <w:lang w:eastAsia="en-AU"/>
              </w:rPr>
              <w:t>68%</w:t>
            </w:r>
          </w:p>
        </w:tc>
        <w:tc>
          <w:tcPr>
            <w:tcW w:w="1322" w:type="pct"/>
            <w:shd w:val="clear" w:color="auto" w:fill="8EAADB" w:themeFill="accent1" w:themeFillTint="99"/>
            <w:hideMark/>
          </w:tcPr>
          <w:p w14:paraId="6A7FBA2C" w14:textId="77777777" w:rsidR="00C05DEC" w:rsidRPr="00C05DEC" w:rsidRDefault="00C05DEC" w:rsidP="00C05DEC">
            <w:pPr>
              <w:rPr>
                <w:rFonts w:cs="Arial"/>
                <w:color w:val="000000"/>
                <w:sz w:val="20"/>
                <w:szCs w:val="20"/>
                <w:lang w:eastAsia="en-AU"/>
              </w:rPr>
            </w:pPr>
            <w:r w:rsidRPr="00C05DEC">
              <w:rPr>
                <w:rFonts w:cs="Arial"/>
                <w:color w:val="000000"/>
                <w:sz w:val="20"/>
                <w:szCs w:val="20"/>
                <w:lang w:eastAsia="en-AU"/>
              </w:rPr>
              <w:t>Extremely unaffordable</w:t>
            </w:r>
          </w:p>
        </w:tc>
      </w:tr>
      <w:tr w:rsidR="00C05DEC" w:rsidRPr="00C05DEC" w14:paraId="3D005577" w14:textId="77777777" w:rsidTr="00111553">
        <w:trPr>
          <w:trHeight w:val="700"/>
        </w:trPr>
        <w:tc>
          <w:tcPr>
            <w:tcW w:w="1808" w:type="pct"/>
            <w:shd w:val="clear" w:color="auto" w:fill="8EAADB" w:themeFill="accent1" w:themeFillTint="99"/>
            <w:hideMark/>
          </w:tcPr>
          <w:p w14:paraId="07F620CA" w14:textId="77777777" w:rsidR="00C05DEC" w:rsidRPr="00C05DEC" w:rsidRDefault="00C05DEC" w:rsidP="00C05DEC">
            <w:pPr>
              <w:rPr>
                <w:rFonts w:cs="Arial"/>
                <w:color w:val="000000"/>
                <w:sz w:val="20"/>
                <w:szCs w:val="20"/>
                <w:lang w:eastAsia="en-AU"/>
              </w:rPr>
            </w:pPr>
            <w:r w:rsidRPr="00C05DEC">
              <w:rPr>
                <w:rFonts w:cs="Arial"/>
                <w:color w:val="000000"/>
                <w:sz w:val="20"/>
                <w:szCs w:val="20"/>
                <w:lang w:eastAsia="en-AU"/>
              </w:rPr>
              <w:t>Single part-time worker parent on benefits</w:t>
            </w:r>
          </w:p>
        </w:tc>
        <w:tc>
          <w:tcPr>
            <w:tcW w:w="662" w:type="pct"/>
            <w:shd w:val="clear" w:color="auto" w:fill="8EAADB" w:themeFill="accent1" w:themeFillTint="99"/>
            <w:hideMark/>
          </w:tcPr>
          <w:p w14:paraId="085497F7" w14:textId="77777777" w:rsidR="00C05DEC" w:rsidRPr="00C05DEC" w:rsidRDefault="00C05DEC" w:rsidP="00C05DEC">
            <w:pPr>
              <w:jc w:val="right"/>
              <w:rPr>
                <w:rFonts w:cs="Arial"/>
                <w:color w:val="000000"/>
                <w:sz w:val="20"/>
                <w:szCs w:val="20"/>
                <w:lang w:eastAsia="en-AU"/>
              </w:rPr>
            </w:pPr>
            <w:r w:rsidRPr="00C05DEC">
              <w:rPr>
                <w:rFonts w:cs="Arial"/>
                <w:color w:val="000000"/>
                <w:sz w:val="20"/>
                <w:szCs w:val="20"/>
                <w:lang w:eastAsia="en-AU"/>
              </w:rPr>
              <w:t>48</w:t>
            </w:r>
          </w:p>
        </w:tc>
        <w:tc>
          <w:tcPr>
            <w:tcW w:w="1208" w:type="pct"/>
            <w:shd w:val="clear" w:color="auto" w:fill="8EAADB" w:themeFill="accent1" w:themeFillTint="99"/>
            <w:hideMark/>
          </w:tcPr>
          <w:p w14:paraId="30568326" w14:textId="77777777" w:rsidR="00C05DEC" w:rsidRPr="00C05DEC" w:rsidRDefault="00C05DEC" w:rsidP="00C05DEC">
            <w:pPr>
              <w:jc w:val="right"/>
              <w:rPr>
                <w:rFonts w:cs="Arial"/>
                <w:color w:val="000000"/>
                <w:sz w:val="20"/>
                <w:szCs w:val="20"/>
                <w:lang w:eastAsia="en-AU"/>
              </w:rPr>
            </w:pPr>
            <w:r w:rsidRPr="00C05DEC">
              <w:rPr>
                <w:rFonts w:cs="Arial"/>
                <w:color w:val="000000"/>
                <w:sz w:val="20"/>
                <w:szCs w:val="20"/>
                <w:lang w:eastAsia="en-AU"/>
              </w:rPr>
              <w:t>63%</w:t>
            </w:r>
          </w:p>
        </w:tc>
        <w:tc>
          <w:tcPr>
            <w:tcW w:w="1322" w:type="pct"/>
            <w:shd w:val="clear" w:color="auto" w:fill="8EAADB" w:themeFill="accent1" w:themeFillTint="99"/>
            <w:hideMark/>
          </w:tcPr>
          <w:p w14:paraId="01F206ED" w14:textId="77777777" w:rsidR="00C05DEC" w:rsidRPr="00C05DEC" w:rsidRDefault="00C05DEC" w:rsidP="00C05DEC">
            <w:pPr>
              <w:rPr>
                <w:rFonts w:cs="Arial"/>
                <w:color w:val="000000"/>
                <w:sz w:val="20"/>
                <w:szCs w:val="20"/>
                <w:lang w:eastAsia="en-AU"/>
              </w:rPr>
            </w:pPr>
            <w:r w:rsidRPr="00C05DEC">
              <w:rPr>
                <w:rFonts w:cs="Arial"/>
                <w:color w:val="000000"/>
                <w:sz w:val="20"/>
                <w:szCs w:val="20"/>
                <w:lang w:eastAsia="en-AU"/>
              </w:rPr>
              <w:t>Extremely unaffordable</w:t>
            </w:r>
          </w:p>
        </w:tc>
      </w:tr>
      <w:tr w:rsidR="00C05DEC" w:rsidRPr="00C05DEC" w14:paraId="24DDEF76" w14:textId="77777777" w:rsidTr="00111553">
        <w:trPr>
          <w:trHeight w:val="700"/>
        </w:trPr>
        <w:tc>
          <w:tcPr>
            <w:tcW w:w="1808" w:type="pct"/>
            <w:shd w:val="clear" w:color="auto" w:fill="B4C6E7" w:themeFill="accent1" w:themeFillTint="66"/>
            <w:hideMark/>
          </w:tcPr>
          <w:p w14:paraId="50DB85E2" w14:textId="77777777" w:rsidR="00C05DEC" w:rsidRPr="00C05DEC" w:rsidRDefault="00C05DEC" w:rsidP="00C05DEC">
            <w:pPr>
              <w:rPr>
                <w:rFonts w:cs="Arial"/>
                <w:color w:val="000000"/>
                <w:sz w:val="20"/>
                <w:szCs w:val="20"/>
                <w:lang w:eastAsia="en-AU"/>
              </w:rPr>
            </w:pPr>
            <w:r w:rsidRPr="00C05DEC">
              <w:rPr>
                <w:rFonts w:cs="Arial"/>
                <w:color w:val="000000"/>
                <w:sz w:val="20"/>
                <w:szCs w:val="20"/>
                <w:lang w:eastAsia="en-AU"/>
              </w:rPr>
              <w:t>Pensioner couple</w:t>
            </w:r>
          </w:p>
        </w:tc>
        <w:tc>
          <w:tcPr>
            <w:tcW w:w="662" w:type="pct"/>
            <w:shd w:val="clear" w:color="auto" w:fill="B4C6E7" w:themeFill="accent1" w:themeFillTint="66"/>
            <w:hideMark/>
          </w:tcPr>
          <w:p w14:paraId="10ABFCCE" w14:textId="77777777" w:rsidR="00C05DEC" w:rsidRPr="00C05DEC" w:rsidRDefault="00C05DEC" w:rsidP="00C05DEC">
            <w:pPr>
              <w:jc w:val="right"/>
              <w:rPr>
                <w:rFonts w:cs="Arial"/>
                <w:color w:val="000000"/>
                <w:sz w:val="20"/>
                <w:szCs w:val="20"/>
                <w:lang w:eastAsia="en-AU"/>
              </w:rPr>
            </w:pPr>
            <w:r w:rsidRPr="00C05DEC">
              <w:rPr>
                <w:rFonts w:cs="Arial"/>
                <w:color w:val="000000"/>
                <w:sz w:val="20"/>
                <w:szCs w:val="20"/>
                <w:lang w:eastAsia="en-AU"/>
              </w:rPr>
              <w:t>59</w:t>
            </w:r>
          </w:p>
        </w:tc>
        <w:tc>
          <w:tcPr>
            <w:tcW w:w="1208" w:type="pct"/>
            <w:shd w:val="clear" w:color="auto" w:fill="B4C6E7" w:themeFill="accent1" w:themeFillTint="66"/>
            <w:hideMark/>
          </w:tcPr>
          <w:p w14:paraId="310E2C2D" w14:textId="77777777" w:rsidR="00C05DEC" w:rsidRPr="00C05DEC" w:rsidRDefault="00C05DEC" w:rsidP="00C05DEC">
            <w:pPr>
              <w:jc w:val="right"/>
              <w:rPr>
                <w:rFonts w:cs="Arial"/>
                <w:color w:val="000000"/>
                <w:sz w:val="20"/>
                <w:szCs w:val="20"/>
                <w:lang w:eastAsia="en-AU"/>
              </w:rPr>
            </w:pPr>
            <w:r w:rsidRPr="00C05DEC">
              <w:rPr>
                <w:rFonts w:cs="Arial"/>
                <w:color w:val="000000"/>
                <w:sz w:val="20"/>
                <w:szCs w:val="20"/>
                <w:lang w:eastAsia="en-AU"/>
              </w:rPr>
              <w:t>51%</w:t>
            </w:r>
          </w:p>
        </w:tc>
        <w:tc>
          <w:tcPr>
            <w:tcW w:w="1322" w:type="pct"/>
            <w:shd w:val="clear" w:color="auto" w:fill="B4C6E7" w:themeFill="accent1" w:themeFillTint="66"/>
            <w:hideMark/>
          </w:tcPr>
          <w:p w14:paraId="07C17CD0" w14:textId="77777777" w:rsidR="00C05DEC" w:rsidRPr="00C05DEC" w:rsidRDefault="00C05DEC" w:rsidP="00C05DEC">
            <w:pPr>
              <w:rPr>
                <w:rFonts w:cs="Arial"/>
                <w:color w:val="000000"/>
                <w:sz w:val="20"/>
                <w:szCs w:val="20"/>
                <w:lang w:eastAsia="en-AU"/>
              </w:rPr>
            </w:pPr>
            <w:r w:rsidRPr="00C05DEC">
              <w:rPr>
                <w:rFonts w:cs="Arial"/>
                <w:color w:val="000000"/>
                <w:sz w:val="20"/>
                <w:szCs w:val="20"/>
                <w:lang w:eastAsia="en-AU"/>
              </w:rPr>
              <w:t>Severely unaffordable</w:t>
            </w:r>
          </w:p>
        </w:tc>
      </w:tr>
      <w:tr w:rsidR="00C05DEC" w:rsidRPr="00C05DEC" w14:paraId="71C750BD" w14:textId="77777777" w:rsidTr="00111553">
        <w:trPr>
          <w:trHeight w:val="700"/>
        </w:trPr>
        <w:tc>
          <w:tcPr>
            <w:tcW w:w="1808" w:type="pct"/>
            <w:shd w:val="clear" w:color="auto" w:fill="B4C6E7" w:themeFill="accent1" w:themeFillTint="66"/>
            <w:hideMark/>
          </w:tcPr>
          <w:p w14:paraId="713848AC" w14:textId="77777777" w:rsidR="00C05DEC" w:rsidRPr="00C05DEC" w:rsidRDefault="00C05DEC" w:rsidP="00C05DEC">
            <w:pPr>
              <w:rPr>
                <w:rFonts w:cs="Arial"/>
                <w:color w:val="000000"/>
                <w:sz w:val="20"/>
                <w:szCs w:val="20"/>
                <w:lang w:eastAsia="en-AU"/>
              </w:rPr>
            </w:pPr>
            <w:r w:rsidRPr="00C05DEC">
              <w:rPr>
                <w:rFonts w:cs="Arial"/>
                <w:color w:val="000000"/>
                <w:sz w:val="20"/>
                <w:szCs w:val="20"/>
                <w:lang w:eastAsia="en-AU"/>
              </w:rPr>
              <w:t>Hospitality worker</w:t>
            </w:r>
          </w:p>
        </w:tc>
        <w:tc>
          <w:tcPr>
            <w:tcW w:w="662" w:type="pct"/>
            <w:shd w:val="clear" w:color="auto" w:fill="B4C6E7" w:themeFill="accent1" w:themeFillTint="66"/>
            <w:hideMark/>
          </w:tcPr>
          <w:p w14:paraId="1748E147" w14:textId="77777777" w:rsidR="00C05DEC" w:rsidRPr="00C05DEC" w:rsidRDefault="00C05DEC" w:rsidP="00C05DEC">
            <w:pPr>
              <w:jc w:val="right"/>
              <w:rPr>
                <w:rFonts w:cs="Arial"/>
                <w:color w:val="000000"/>
                <w:sz w:val="20"/>
                <w:szCs w:val="20"/>
                <w:lang w:eastAsia="en-AU"/>
              </w:rPr>
            </w:pPr>
            <w:r w:rsidRPr="00C05DEC">
              <w:rPr>
                <w:rFonts w:cs="Arial"/>
                <w:color w:val="000000"/>
                <w:sz w:val="20"/>
                <w:szCs w:val="20"/>
                <w:lang w:eastAsia="en-AU"/>
              </w:rPr>
              <w:t>75</w:t>
            </w:r>
          </w:p>
        </w:tc>
        <w:tc>
          <w:tcPr>
            <w:tcW w:w="1208" w:type="pct"/>
            <w:shd w:val="clear" w:color="auto" w:fill="B4C6E7" w:themeFill="accent1" w:themeFillTint="66"/>
            <w:hideMark/>
          </w:tcPr>
          <w:p w14:paraId="61F71EC2" w14:textId="77777777" w:rsidR="00C05DEC" w:rsidRPr="00C05DEC" w:rsidRDefault="00C05DEC" w:rsidP="00C05DEC">
            <w:pPr>
              <w:jc w:val="right"/>
              <w:rPr>
                <w:rFonts w:cs="Arial"/>
                <w:color w:val="000000"/>
                <w:sz w:val="20"/>
                <w:szCs w:val="20"/>
                <w:lang w:eastAsia="en-AU"/>
              </w:rPr>
            </w:pPr>
            <w:r w:rsidRPr="00C05DEC">
              <w:rPr>
                <w:rFonts w:cs="Arial"/>
                <w:color w:val="000000"/>
                <w:sz w:val="20"/>
                <w:szCs w:val="20"/>
                <w:lang w:eastAsia="en-AU"/>
              </w:rPr>
              <w:t>40%</w:t>
            </w:r>
          </w:p>
        </w:tc>
        <w:tc>
          <w:tcPr>
            <w:tcW w:w="1322" w:type="pct"/>
            <w:shd w:val="clear" w:color="auto" w:fill="B4C6E7" w:themeFill="accent1" w:themeFillTint="66"/>
            <w:hideMark/>
          </w:tcPr>
          <w:p w14:paraId="6063DAA2" w14:textId="77777777" w:rsidR="00C05DEC" w:rsidRPr="00C05DEC" w:rsidRDefault="00C05DEC" w:rsidP="00C05DEC">
            <w:pPr>
              <w:rPr>
                <w:rFonts w:cs="Arial"/>
                <w:color w:val="000000"/>
                <w:sz w:val="20"/>
                <w:szCs w:val="20"/>
                <w:lang w:eastAsia="en-AU"/>
              </w:rPr>
            </w:pPr>
            <w:r w:rsidRPr="00C05DEC">
              <w:rPr>
                <w:rFonts w:cs="Arial"/>
                <w:color w:val="000000"/>
                <w:sz w:val="20"/>
                <w:szCs w:val="20"/>
                <w:lang w:eastAsia="en-AU"/>
              </w:rPr>
              <w:t>Severely unaffordable</w:t>
            </w:r>
          </w:p>
        </w:tc>
      </w:tr>
      <w:tr w:rsidR="00C05DEC" w:rsidRPr="00C05DEC" w14:paraId="5E88B34D" w14:textId="77777777" w:rsidTr="00111553">
        <w:trPr>
          <w:trHeight w:val="700"/>
        </w:trPr>
        <w:tc>
          <w:tcPr>
            <w:tcW w:w="1808" w:type="pct"/>
            <w:shd w:val="clear" w:color="auto" w:fill="D9E2F3" w:themeFill="accent1" w:themeFillTint="33"/>
            <w:hideMark/>
          </w:tcPr>
          <w:p w14:paraId="06716557" w14:textId="5A9E37E1" w:rsidR="00C05DEC" w:rsidRPr="00C05DEC" w:rsidRDefault="00C05DEC" w:rsidP="00C05DEC">
            <w:pPr>
              <w:rPr>
                <w:rFonts w:cs="Arial"/>
                <w:color w:val="000000"/>
                <w:sz w:val="20"/>
                <w:szCs w:val="20"/>
                <w:lang w:eastAsia="en-AU"/>
              </w:rPr>
            </w:pPr>
            <w:r w:rsidRPr="00C05DEC">
              <w:rPr>
                <w:rFonts w:cs="Arial"/>
                <w:color w:val="000000"/>
                <w:sz w:val="20"/>
                <w:szCs w:val="20"/>
                <w:lang w:eastAsia="en-AU"/>
              </w:rPr>
              <w:t xml:space="preserve">Student </w:t>
            </w:r>
            <w:proofErr w:type="spellStart"/>
            <w:r w:rsidR="00961248">
              <w:rPr>
                <w:rFonts w:cs="Arial"/>
                <w:color w:val="000000"/>
                <w:sz w:val="20"/>
                <w:szCs w:val="20"/>
                <w:lang w:eastAsia="en-AU"/>
              </w:rPr>
              <w:t>s</w:t>
            </w:r>
            <w:r w:rsidRPr="00C05DEC">
              <w:rPr>
                <w:rFonts w:cs="Arial"/>
                <w:color w:val="000000"/>
                <w:sz w:val="20"/>
                <w:szCs w:val="20"/>
                <w:lang w:eastAsia="en-AU"/>
              </w:rPr>
              <w:t>harehouse</w:t>
            </w:r>
            <w:proofErr w:type="spellEnd"/>
          </w:p>
        </w:tc>
        <w:tc>
          <w:tcPr>
            <w:tcW w:w="662" w:type="pct"/>
            <w:shd w:val="clear" w:color="auto" w:fill="D9E2F3" w:themeFill="accent1" w:themeFillTint="33"/>
            <w:hideMark/>
          </w:tcPr>
          <w:p w14:paraId="474965B0" w14:textId="77777777" w:rsidR="00C05DEC" w:rsidRPr="00C05DEC" w:rsidRDefault="00C05DEC" w:rsidP="00C05DEC">
            <w:pPr>
              <w:jc w:val="right"/>
              <w:rPr>
                <w:rFonts w:cs="Arial"/>
                <w:color w:val="000000"/>
                <w:sz w:val="20"/>
                <w:szCs w:val="20"/>
                <w:lang w:eastAsia="en-AU"/>
              </w:rPr>
            </w:pPr>
            <w:r w:rsidRPr="00C05DEC">
              <w:rPr>
                <w:rFonts w:cs="Arial"/>
                <w:color w:val="000000"/>
                <w:sz w:val="20"/>
                <w:szCs w:val="20"/>
                <w:lang w:eastAsia="en-AU"/>
              </w:rPr>
              <w:t>81</w:t>
            </w:r>
          </w:p>
        </w:tc>
        <w:tc>
          <w:tcPr>
            <w:tcW w:w="1208" w:type="pct"/>
            <w:shd w:val="clear" w:color="auto" w:fill="D9E2F3" w:themeFill="accent1" w:themeFillTint="33"/>
            <w:hideMark/>
          </w:tcPr>
          <w:p w14:paraId="65CEFBC9" w14:textId="77777777" w:rsidR="00C05DEC" w:rsidRPr="00C05DEC" w:rsidRDefault="00C05DEC" w:rsidP="00C05DEC">
            <w:pPr>
              <w:jc w:val="right"/>
              <w:rPr>
                <w:rFonts w:cs="Arial"/>
                <w:color w:val="000000"/>
                <w:sz w:val="20"/>
                <w:szCs w:val="20"/>
                <w:lang w:eastAsia="en-AU"/>
              </w:rPr>
            </w:pPr>
            <w:r w:rsidRPr="00C05DEC">
              <w:rPr>
                <w:rFonts w:cs="Arial"/>
                <w:color w:val="000000"/>
                <w:sz w:val="20"/>
                <w:szCs w:val="20"/>
                <w:lang w:eastAsia="en-AU"/>
              </w:rPr>
              <w:t>37%</w:t>
            </w:r>
          </w:p>
        </w:tc>
        <w:tc>
          <w:tcPr>
            <w:tcW w:w="1322" w:type="pct"/>
            <w:shd w:val="clear" w:color="auto" w:fill="D9E2F3" w:themeFill="accent1" w:themeFillTint="33"/>
            <w:hideMark/>
          </w:tcPr>
          <w:p w14:paraId="509E289B" w14:textId="77777777" w:rsidR="00C05DEC" w:rsidRPr="00C05DEC" w:rsidRDefault="00C05DEC" w:rsidP="00C05DEC">
            <w:pPr>
              <w:rPr>
                <w:rFonts w:cs="Arial"/>
                <w:color w:val="000000"/>
                <w:sz w:val="20"/>
                <w:szCs w:val="20"/>
                <w:lang w:eastAsia="en-AU"/>
              </w:rPr>
            </w:pPr>
            <w:r w:rsidRPr="00C05DEC">
              <w:rPr>
                <w:rFonts w:cs="Arial"/>
                <w:color w:val="000000"/>
                <w:sz w:val="20"/>
                <w:szCs w:val="20"/>
                <w:lang w:eastAsia="en-AU"/>
              </w:rPr>
              <w:t>Unaffordable</w:t>
            </w:r>
          </w:p>
        </w:tc>
      </w:tr>
      <w:tr w:rsidR="00C05DEC" w:rsidRPr="00C05DEC" w14:paraId="5FC32E46" w14:textId="77777777" w:rsidTr="00111553">
        <w:trPr>
          <w:trHeight w:val="700"/>
        </w:trPr>
        <w:tc>
          <w:tcPr>
            <w:tcW w:w="1808" w:type="pct"/>
            <w:shd w:val="clear" w:color="auto" w:fill="D9E2F3" w:themeFill="accent1" w:themeFillTint="33"/>
            <w:hideMark/>
          </w:tcPr>
          <w:p w14:paraId="3D536784" w14:textId="77777777" w:rsidR="00C05DEC" w:rsidRPr="00C05DEC" w:rsidRDefault="00C05DEC" w:rsidP="00C05DEC">
            <w:pPr>
              <w:rPr>
                <w:rFonts w:cs="Arial"/>
                <w:color w:val="000000"/>
                <w:sz w:val="20"/>
                <w:szCs w:val="20"/>
                <w:lang w:eastAsia="en-AU"/>
              </w:rPr>
            </w:pPr>
            <w:r w:rsidRPr="00C05DEC">
              <w:rPr>
                <w:rFonts w:cs="Arial"/>
                <w:color w:val="000000"/>
                <w:sz w:val="20"/>
                <w:szCs w:val="20"/>
                <w:lang w:eastAsia="en-AU"/>
              </w:rPr>
              <w:t>Minimum wage couple</w:t>
            </w:r>
          </w:p>
        </w:tc>
        <w:tc>
          <w:tcPr>
            <w:tcW w:w="662" w:type="pct"/>
            <w:shd w:val="clear" w:color="auto" w:fill="D9E2F3" w:themeFill="accent1" w:themeFillTint="33"/>
            <w:hideMark/>
          </w:tcPr>
          <w:p w14:paraId="43B704ED" w14:textId="77777777" w:rsidR="00C05DEC" w:rsidRPr="00C05DEC" w:rsidRDefault="00C05DEC" w:rsidP="00C05DEC">
            <w:pPr>
              <w:jc w:val="right"/>
              <w:rPr>
                <w:rFonts w:cs="Arial"/>
                <w:color w:val="000000"/>
                <w:sz w:val="20"/>
                <w:szCs w:val="20"/>
                <w:lang w:eastAsia="en-AU"/>
              </w:rPr>
            </w:pPr>
            <w:r w:rsidRPr="00C05DEC">
              <w:rPr>
                <w:rFonts w:cs="Arial"/>
                <w:color w:val="000000"/>
                <w:sz w:val="20"/>
                <w:szCs w:val="20"/>
                <w:lang w:eastAsia="en-AU"/>
              </w:rPr>
              <w:t>91</w:t>
            </w:r>
          </w:p>
        </w:tc>
        <w:tc>
          <w:tcPr>
            <w:tcW w:w="1208" w:type="pct"/>
            <w:shd w:val="clear" w:color="auto" w:fill="D9E2F3" w:themeFill="accent1" w:themeFillTint="33"/>
            <w:hideMark/>
          </w:tcPr>
          <w:p w14:paraId="5F44C6FF" w14:textId="77777777" w:rsidR="00C05DEC" w:rsidRPr="00C05DEC" w:rsidRDefault="00C05DEC" w:rsidP="00C05DEC">
            <w:pPr>
              <w:jc w:val="right"/>
              <w:rPr>
                <w:rFonts w:cs="Arial"/>
                <w:color w:val="000000"/>
                <w:sz w:val="20"/>
                <w:szCs w:val="20"/>
                <w:lang w:eastAsia="en-AU"/>
              </w:rPr>
            </w:pPr>
            <w:r w:rsidRPr="00C05DEC">
              <w:rPr>
                <w:rFonts w:cs="Arial"/>
                <w:color w:val="000000"/>
                <w:sz w:val="20"/>
                <w:szCs w:val="20"/>
                <w:lang w:eastAsia="en-AU"/>
              </w:rPr>
              <w:t>33%</w:t>
            </w:r>
          </w:p>
        </w:tc>
        <w:tc>
          <w:tcPr>
            <w:tcW w:w="1322" w:type="pct"/>
            <w:shd w:val="clear" w:color="auto" w:fill="D9E2F3" w:themeFill="accent1" w:themeFillTint="33"/>
            <w:hideMark/>
          </w:tcPr>
          <w:p w14:paraId="6C9308BD" w14:textId="77777777" w:rsidR="00C05DEC" w:rsidRPr="00C05DEC" w:rsidRDefault="00C05DEC" w:rsidP="00C05DEC">
            <w:pPr>
              <w:rPr>
                <w:rFonts w:cs="Arial"/>
                <w:color w:val="000000"/>
                <w:sz w:val="20"/>
                <w:szCs w:val="20"/>
                <w:lang w:eastAsia="en-AU"/>
              </w:rPr>
            </w:pPr>
            <w:r w:rsidRPr="00C05DEC">
              <w:rPr>
                <w:rFonts w:cs="Arial"/>
                <w:color w:val="000000"/>
                <w:sz w:val="20"/>
                <w:szCs w:val="20"/>
                <w:lang w:eastAsia="en-AU"/>
              </w:rPr>
              <w:t>Unaffordable</w:t>
            </w:r>
          </w:p>
        </w:tc>
      </w:tr>
      <w:tr w:rsidR="00111553" w:rsidRPr="00C05DEC" w14:paraId="070EAEB1" w14:textId="77777777" w:rsidTr="00BA4037">
        <w:trPr>
          <w:trHeight w:val="700"/>
        </w:trPr>
        <w:tc>
          <w:tcPr>
            <w:tcW w:w="1808" w:type="pct"/>
            <w:shd w:val="clear" w:color="auto" w:fill="E7E6E6" w:themeFill="background2"/>
            <w:hideMark/>
          </w:tcPr>
          <w:p w14:paraId="5DD317C2" w14:textId="77777777" w:rsidR="00C05DEC" w:rsidRPr="00C05DEC" w:rsidRDefault="00C05DEC" w:rsidP="00C05DEC">
            <w:pPr>
              <w:rPr>
                <w:rFonts w:cs="Arial"/>
                <w:color w:val="000000"/>
                <w:sz w:val="20"/>
                <w:szCs w:val="20"/>
                <w:lang w:eastAsia="en-AU"/>
              </w:rPr>
            </w:pPr>
            <w:r w:rsidRPr="00C05DEC">
              <w:rPr>
                <w:rFonts w:cs="Arial"/>
                <w:color w:val="000000"/>
                <w:sz w:val="20"/>
                <w:szCs w:val="20"/>
                <w:lang w:eastAsia="en-AU"/>
              </w:rPr>
              <w:t>Single income couple with children</w:t>
            </w:r>
          </w:p>
        </w:tc>
        <w:tc>
          <w:tcPr>
            <w:tcW w:w="662" w:type="pct"/>
            <w:shd w:val="clear" w:color="auto" w:fill="E7E6E6" w:themeFill="background2"/>
            <w:hideMark/>
          </w:tcPr>
          <w:p w14:paraId="06434FA3" w14:textId="77777777" w:rsidR="00C05DEC" w:rsidRPr="00C05DEC" w:rsidRDefault="00C05DEC" w:rsidP="00C05DEC">
            <w:pPr>
              <w:jc w:val="right"/>
              <w:rPr>
                <w:rFonts w:cs="Arial"/>
                <w:color w:val="000000"/>
                <w:sz w:val="20"/>
                <w:szCs w:val="20"/>
                <w:lang w:eastAsia="en-AU"/>
              </w:rPr>
            </w:pPr>
            <w:r w:rsidRPr="00C05DEC">
              <w:rPr>
                <w:rFonts w:cs="Arial"/>
                <w:color w:val="000000"/>
                <w:sz w:val="20"/>
                <w:szCs w:val="20"/>
                <w:lang w:eastAsia="en-AU"/>
              </w:rPr>
              <w:t>109</w:t>
            </w:r>
          </w:p>
        </w:tc>
        <w:tc>
          <w:tcPr>
            <w:tcW w:w="1208" w:type="pct"/>
            <w:shd w:val="clear" w:color="auto" w:fill="E7E6E6" w:themeFill="background2"/>
            <w:hideMark/>
          </w:tcPr>
          <w:p w14:paraId="5F52D1BE" w14:textId="77777777" w:rsidR="00C05DEC" w:rsidRPr="00C05DEC" w:rsidRDefault="00C05DEC" w:rsidP="00C05DEC">
            <w:pPr>
              <w:jc w:val="right"/>
              <w:rPr>
                <w:rFonts w:cs="Arial"/>
                <w:color w:val="000000"/>
                <w:sz w:val="20"/>
                <w:szCs w:val="20"/>
                <w:lang w:eastAsia="en-AU"/>
              </w:rPr>
            </w:pPr>
            <w:r w:rsidRPr="00C05DEC">
              <w:rPr>
                <w:rFonts w:cs="Arial"/>
                <w:color w:val="000000"/>
                <w:sz w:val="20"/>
                <w:szCs w:val="20"/>
                <w:lang w:eastAsia="en-AU"/>
              </w:rPr>
              <w:t>28%</w:t>
            </w:r>
          </w:p>
        </w:tc>
        <w:tc>
          <w:tcPr>
            <w:tcW w:w="1322" w:type="pct"/>
            <w:shd w:val="clear" w:color="auto" w:fill="E7E6E6" w:themeFill="background2"/>
            <w:hideMark/>
          </w:tcPr>
          <w:p w14:paraId="07454257" w14:textId="77777777" w:rsidR="00C05DEC" w:rsidRPr="00C05DEC" w:rsidRDefault="00C05DEC" w:rsidP="00C05DEC">
            <w:pPr>
              <w:rPr>
                <w:rFonts w:cs="Arial"/>
                <w:color w:val="000000"/>
                <w:sz w:val="20"/>
                <w:szCs w:val="20"/>
                <w:lang w:eastAsia="en-AU"/>
              </w:rPr>
            </w:pPr>
            <w:r w:rsidRPr="00C05DEC">
              <w:rPr>
                <w:rFonts w:cs="Arial"/>
                <w:color w:val="000000"/>
                <w:sz w:val="20"/>
                <w:szCs w:val="20"/>
                <w:lang w:eastAsia="en-AU"/>
              </w:rPr>
              <w:t>Moderately unaffordable</w:t>
            </w:r>
          </w:p>
        </w:tc>
      </w:tr>
      <w:tr w:rsidR="00111553" w:rsidRPr="00C05DEC" w14:paraId="4CF7A84F" w14:textId="77777777" w:rsidTr="00BA4037">
        <w:trPr>
          <w:trHeight w:val="700"/>
        </w:trPr>
        <w:tc>
          <w:tcPr>
            <w:tcW w:w="1808" w:type="pct"/>
            <w:shd w:val="clear" w:color="auto" w:fill="E7E6E6" w:themeFill="background2"/>
            <w:hideMark/>
          </w:tcPr>
          <w:p w14:paraId="595080C9" w14:textId="77777777" w:rsidR="00C05DEC" w:rsidRPr="00C05DEC" w:rsidRDefault="00C05DEC" w:rsidP="00C05DEC">
            <w:pPr>
              <w:rPr>
                <w:rFonts w:cs="Arial"/>
                <w:color w:val="000000"/>
                <w:sz w:val="20"/>
                <w:szCs w:val="20"/>
                <w:lang w:eastAsia="en-AU"/>
              </w:rPr>
            </w:pPr>
            <w:r w:rsidRPr="00C05DEC">
              <w:rPr>
                <w:rFonts w:cs="Arial"/>
                <w:color w:val="000000"/>
                <w:sz w:val="20"/>
                <w:szCs w:val="20"/>
                <w:lang w:eastAsia="en-AU"/>
              </w:rPr>
              <w:t>ACT - Overall</w:t>
            </w:r>
          </w:p>
        </w:tc>
        <w:tc>
          <w:tcPr>
            <w:tcW w:w="662" w:type="pct"/>
            <w:shd w:val="clear" w:color="auto" w:fill="E7E6E6" w:themeFill="background2"/>
            <w:hideMark/>
          </w:tcPr>
          <w:p w14:paraId="0069799D" w14:textId="77777777" w:rsidR="00C05DEC" w:rsidRPr="00C05DEC" w:rsidRDefault="00C05DEC" w:rsidP="00C05DEC">
            <w:pPr>
              <w:jc w:val="right"/>
              <w:rPr>
                <w:rFonts w:cs="Arial"/>
                <w:color w:val="000000"/>
                <w:sz w:val="20"/>
                <w:szCs w:val="20"/>
                <w:lang w:eastAsia="en-AU"/>
              </w:rPr>
            </w:pPr>
            <w:r w:rsidRPr="00C05DEC">
              <w:rPr>
                <w:rFonts w:cs="Arial"/>
                <w:color w:val="000000"/>
                <w:sz w:val="20"/>
                <w:szCs w:val="20"/>
                <w:lang w:eastAsia="en-AU"/>
              </w:rPr>
              <w:t>119</w:t>
            </w:r>
          </w:p>
        </w:tc>
        <w:tc>
          <w:tcPr>
            <w:tcW w:w="1208" w:type="pct"/>
            <w:shd w:val="clear" w:color="auto" w:fill="E7E6E6" w:themeFill="background2"/>
            <w:hideMark/>
          </w:tcPr>
          <w:p w14:paraId="696B204C" w14:textId="77777777" w:rsidR="00C05DEC" w:rsidRPr="00C05DEC" w:rsidRDefault="00C05DEC" w:rsidP="00C05DEC">
            <w:pPr>
              <w:jc w:val="right"/>
              <w:rPr>
                <w:rFonts w:cs="Arial"/>
                <w:color w:val="000000"/>
                <w:sz w:val="20"/>
                <w:szCs w:val="20"/>
                <w:lang w:eastAsia="en-AU"/>
              </w:rPr>
            </w:pPr>
            <w:r w:rsidRPr="00C05DEC">
              <w:rPr>
                <w:rFonts w:cs="Arial"/>
                <w:color w:val="000000"/>
                <w:sz w:val="20"/>
                <w:szCs w:val="20"/>
                <w:lang w:eastAsia="en-AU"/>
              </w:rPr>
              <w:t>25%</w:t>
            </w:r>
          </w:p>
        </w:tc>
        <w:tc>
          <w:tcPr>
            <w:tcW w:w="1322" w:type="pct"/>
            <w:shd w:val="clear" w:color="auto" w:fill="E7E6E6" w:themeFill="background2"/>
            <w:hideMark/>
          </w:tcPr>
          <w:p w14:paraId="4DC30084" w14:textId="77777777" w:rsidR="00C05DEC" w:rsidRPr="00C05DEC" w:rsidRDefault="00C05DEC" w:rsidP="00C05DEC">
            <w:pPr>
              <w:rPr>
                <w:rFonts w:cs="Arial"/>
                <w:color w:val="000000"/>
                <w:sz w:val="20"/>
                <w:szCs w:val="20"/>
                <w:lang w:eastAsia="en-AU"/>
              </w:rPr>
            </w:pPr>
            <w:r w:rsidRPr="00C05DEC">
              <w:rPr>
                <w:rFonts w:cs="Arial"/>
                <w:color w:val="000000"/>
                <w:sz w:val="20"/>
                <w:szCs w:val="20"/>
                <w:lang w:eastAsia="en-AU"/>
              </w:rPr>
              <w:t>Moderately unaffordable</w:t>
            </w:r>
          </w:p>
        </w:tc>
      </w:tr>
      <w:tr w:rsidR="00111553" w:rsidRPr="00C05DEC" w14:paraId="17288ECD" w14:textId="77777777" w:rsidTr="00BA4037">
        <w:trPr>
          <w:trHeight w:val="700"/>
        </w:trPr>
        <w:tc>
          <w:tcPr>
            <w:tcW w:w="1808" w:type="pct"/>
            <w:shd w:val="clear" w:color="auto" w:fill="F2F2F2" w:themeFill="background1" w:themeFillShade="F2"/>
            <w:hideMark/>
          </w:tcPr>
          <w:p w14:paraId="5400CF2A" w14:textId="77777777" w:rsidR="00C05DEC" w:rsidRPr="00C05DEC" w:rsidRDefault="00C05DEC" w:rsidP="00C05DEC">
            <w:pPr>
              <w:rPr>
                <w:rFonts w:cs="Arial"/>
                <w:color w:val="000000"/>
                <w:sz w:val="20"/>
                <w:szCs w:val="20"/>
                <w:lang w:eastAsia="en-AU"/>
              </w:rPr>
            </w:pPr>
            <w:r w:rsidRPr="00C05DEC">
              <w:rPr>
                <w:rFonts w:cs="Arial"/>
                <w:color w:val="000000"/>
                <w:sz w:val="20"/>
                <w:szCs w:val="20"/>
                <w:lang w:eastAsia="en-AU"/>
              </w:rPr>
              <w:t>Single full-time working parent</w:t>
            </w:r>
          </w:p>
        </w:tc>
        <w:tc>
          <w:tcPr>
            <w:tcW w:w="662" w:type="pct"/>
            <w:shd w:val="clear" w:color="auto" w:fill="F2F2F2" w:themeFill="background1" w:themeFillShade="F2"/>
            <w:hideMark/>
          </w:tcPr>
          <w:p w14:paraId="3E1870C0" w14:textId="77777777" w:rsidR="00C05DEC" w:rsidRPr="00C05DEC" w:rsidRDefault="00C05DEC" w:rsidP="00C05DEC">
            <w:pPr>
              <w:jc w:val="right"/>
              <w:rPr>
                <w:rFonts w:cs="Arial"/>
                <w:color w:val="000000"/>
                <w:sz w:val="20"/>
                <w:szCs w:val="20"/>
                <w:lang w:eastAsia="en-AU"/>
              </w:rPr>
            </w:pPr>
            <w:r w:rsidRPr="00C05DEC">
              <w:rPr>
                <w:rFonts w:cs="Arial"/>
                <w:color w:val="000000"/>
                <w:sz w:val="20"/>
                <w:szCs w:val="20"/>
                <w:lang w:eastAsia="en-AU"/>
              </w:rPr>
              <w:t>124</w:t>
            </w:r>
          </w:p>
        </w:tc>
        <w:tc>
          <w:tcPr>
            <w:tcW w:w="1208" w:type="pct"/>
            <w:shd w:val="clear" w:color="auto" w:fill="F2F2F2" w:themeFill="background1" w:themeFillShade="F2"/>
            <w:hideMark/>
          </w:tcPr>
          <w:p w14:paraId="4AAA3E35" w14:textId="77777777" w:rsidR="00C05DEC" w:rsidRPr="00C05DEC" w:rsidRDefault="00C05DEC" w:rsidP="00C05DEC">
            <w:pPr>
              <w:jc w:val="right"/>
              <w:rPr>
                <w:rFonts w:cs="Arial"/>
                <w:color w:val="000000"/>
                <w:sz w:val="20"/>
                <w:szCs w:val="20"/>
                <w:lang w:eastAsia="en-AU"/>
              </w:rPr>
            </w:pPr>
            <w:r w:rsidRPr="00C05DEC">
              <w:rPr>
                <w:rFonts w:cs="Arial"/>
                <w:color w:val="000000"/>
                <w:sz w:val="20"/>
                <w:szCs w:val="20"/>
                <w:lang w:eastAsia="en-AU"/>
              </w:rPr>
              <w:t>24%</w:t>
            </w:r>
          </w:p>
        </w:tc>
        <w:tc>
          <w:tcPr>
            <w:tcW w:w="1322" w:type="pct"/>
            <w:shd w:val="clear" w:color="auto" w:fill="F2F2F2" w:themeFill="background1" w:themeFillShade="F2"/>
            <w:hideMark/>
          </w:tcPr>
          <w:p w14:paraId="00214389" w14:textId="77777777" w:rsidR="00C05DEC" w:rsidRPr="00C05DEC" w:rsidRDefault="00C05DEC" w:rsidP="00C05DEC">
            <w:pPr>
              <w:rPr>
                <w:rFonts w:cs="Arial"/>
                <w:color w:val="000000"/>
                <w:sz w:val="20"/>
                <w:szCs w:val="20"/>
                <w:lang w:eastAsia="en-AU"/>
              </w:rPr>
            </w:pPr>
            <w:r w:rsidRPr="00C05DEC">
              <w:rPr>
                <w:rFonts w:cs="Arial"/>
                <w:color w:val="000000"/>
                <w:sz w:val="20"/>
                <w:szCs w:val="20"/>
                <w:lang w:eastAsia="en-AU"/>
              </w:rPr>
              <w:t>Acceptable</w:t>
            </w:r>
          </w:p>
        </w:tc>
      </w:tr>
      <w:tr w:rsidR="00111553" w:rsidRPr="00C05DEC" w14:paraId="552CB851" w14:textId="77777777" w:rsidTr="00111553">
        <w:trPr>
          <w:trHeight w:val="700"/>
        </w:trPr>
        <w:tc>
          <w:tcPr>
            <w:tcW w:w="1808" w:type="pct"/>
            <w:tcBorders>
              <w:bottom w:val="single" w:sz="4" w:space="0" w:color="auto"/>
            </w:tcBorders>
            <w:hideMark/>
          </w:tcPr>
          <w:p w14:paraId="09FB1283" w14:textId="77777777" w:rsidR="00C05DEC" w:rsidRPr="00C05DEC" w:rsidRDefault="00C05DEC" w:rsidP="00C05DEC">
            <w:pPr>
              <w:rPr>
                <w:rFonts w:cs="Arial"/>
                <w:color w:val="000000"/>
                <w:sz w:val="20"/>
                <w:szCs w:val="20"/>
                <w:lang w:eastAsia="en-AU"/>
              </w:rPr>
            </w:pPr>
            <w:r w:rsidRPr="00C05DEC">
              <w:rPr>
                <w:rFonts w:cs="Arial"/>
                <w:color w:val="000000"/>
                <w:sz w:val="20"/>
                <w:szCs w:val="20"/>
                <w:lang w:eastAsia="en-AU"/>
              </w:rPr>
              <w:t>Dual income couple with children</w:t>
            </w:r>
          </w:p>
        </w:tc>
        <w:tc>
          <w:tcPr>
            <w:tcW w:w="662" w:type="pct"/>
            <w:tcBorders>
              <w:bottom w:val="single" w:sz="4" w:space="0" w:color="auto"/>
            </w:tcBorders>
            <w:hideMark/>
          </w:tcPr>
          <w:p w14:paraId="0001EABD" w14:textId="77777777" w:rsidR="00C05DEC" w:rsidRPr="00C05DEC" w:rsidRDefault="00C05DEC" w:rsidP="00C05DEC">
            <w:pPr>
              <w:jc w:val="right"/>
              <w:rPr>
                <w:rFonts w:cs="Arial"/>
                <w:color w:val="000000"/>
                <w:sz w:val="20"/>
                <w:szCs w:val="20"/>
                <w:lang w:eastAsia="en-AU"/>
              </w:rPr>
            </w:pPr>
            <w:r w:rsidRPr="00C05DEC">
              <w:rPr>
                <w:rFonts w:cs="Arial"/>
                <w:color w:val="000000"/>
                <w:sz w:val="20"/>
                <w:szCs w:val="20"/>
                <w:lang w:eastAsia="en-AU"/>
              </w:rPr>
              <w:t>218</w:t>
            </w:r>
          </w:p>
        </w:tc>
        <w:tc>
          <w:tcPr>
            <w:tcW w:w="1208" w:type="pct"/>
            <w:tcBorders>
              <w:bottom w:val="single" w:sz="4" w:space="0" w:color="auto"/>
            </w:tcBorders>
            <w:hideMark/>
          </w:tcPr>
          <w:p w14:paraId="649714B4" w14:textId="77777777" w:rsidR="00C05DEC" w:rsidRPr="00C05DEC" w:rsidRDefault="00C05DEC" w:rsidP="00C05DEC">
            <w:pPr>
              <w:jc w:val="right"/>
              <w:rPr>
                <w:rFonts w:cs="Arial"/>
                <w:color w:val="000000"/>
                <w:sz w:val="20"/>
                <w:szCs w:val="20"/>
                <w:lang w:eastAsia="en-AU"/>
              </w:rPr>
            </w:pPr>
            <w:r w:rsidRPr="00C05DEC">
              <w:rPr>
                <w:rFonts w:cs="Arial"/>
                <w:color w:val="000000"/>
                <w:sz w:val="20"/>
                <w:szCs w:val="20"/>
                <w:lang w:eastAsia="en-AU"/>
              </w:rPr>
              <w:t>14%</w:t>
            </w:r>
          </w:p>
        </w:tc>
        <w:tc>
          <w:tcPr>
            <w:tcW w:w="1322" w:type="pct"/>
            <w:tcBorders>
              <w:bottom w:val="single" w:sz="4" w:space="0" w:color="auto"/>
            </w:tcBorders>
            <w:hideMark/>
          </w:tcPr>
          <w:p w14:paraId="13022AB2" w14:textId="77777777" w:rsidR="00C05DEC" w:rsidRPr="00C05DEC" w:rsidRDefault="00C05DEC" w:rsidP="00C05DEC">
            <w:pPr>
              <w:rPr>
                <w:rFonts w:cs="Arial"/>
                <w:color w:val="000000"/>
                <w:sz w:val="20"/>
                <w:szCs w:val="20"/>
                <w:lang w:eastAsia="en-AU"/>
              </w:rPr>
            </w:pPr>
            <w:r w:rsidRPr="00C05DEC">
              <w:rPr>
                <w:rFonts w:cs="Arial"/>
                <w:color w:val="000000"/>
                <w:sz w:val="20"/>
                <w:szCs w:val="20"/>
                <w:lang w:eastAsia="en-AU"/>
              </w:rPr>
              <w:t>Affordable</w:t>
            </w:r>
          </w:p>
        </w:tc>
      </w:tr>
    </w:tbl>
    <w:p w14:paraId="6D7D6659" w14:textId="434C8223" w:rsidR="00326E21" w:rsidRDefault="008B5BC2" w:rsidP="00D71DC6">
      <w:pPr>
        <w:pStyle w:val="Source"/>
      </w:pPr>
      <w:r>
        <w:t xml:space="preserve">Source: </w:t>
      </w:r>
      <w:proofErr w:type="spellStart"/>
      <w:r w:rsidR="0068091D">
        <w:t>SGS</w:t>
      </w:r>
      <w:proofErr w:type="spellEnd"/>
      <w:r w:rsidR="0068091D">
        <w:t xml:space="preserve"> Economics &amp; Planning, </w:t>
      </w:r>
      <w:hyperlink r:id="rId34" w:history="1">
        <w:r w:rsidR="00D71DC6" w:rsidRPr="00F935FF">
          <w:rPr>
            <w:rStyle w:val="Hyperlink"/>
            <w:i/>
            <w:iCs/>
          </w:rPr>
          <w:t>Rental Affordability Index: November 2021 Key Findings</w:t>
        </w:r>
      </w:hyperlink>
      <w:r w:rsidR="00F935FF">
        <w:t xml:space="preserve"> [PDF]</w:t>
      </w:r>
      <w:r w:rsidR="00D71DC6">
        <w:t xml:space="preserve">, </w:t>
      </w:r>
      <w:proofErr w:type="spellStart"/>
      <w:r w:rsidR="00D71DC6">
        <w:t>SGS</w:t>
      </w:r>
      <w:proofErr w:type="spellEnd"/>
      <w:r w:rsidR="00D71DC6">
        <w:t xml:space="preserve"> Economics &amp; Planning, Canberra, 2021, accessed 2 May 2022.</w:t>
      </w:r>
    </w:p>
    <w:p w14:paraId="0DB22A2D" w14:textId="1024C537" w:rsidR="00C5684D" w:rsidRDefault="00DA6599" w:rsidP="008B75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pPr>
      <w:r>
        <w:lastRenderedPageBreak/>
        <w:t xml:space="preserve">Analysis by </w:t>
      </w:r>
      <w:r w:rsidR="00C5684D">
        <w:t>Everybody’s Home</w:t>
      </w:r>
      <w:r>
        <w:t xml:space="preserve"> found that Canberra is the least affordable city to rent in for young people working in retail and hospitality </w:t>
      </w:r>
      <w:r w:rsidR="00582EB0">
        <w:t>and/</w:t>
      </w:r>
      <w:r>
        <w:t>or receiving Youth Allowance</w:t>
      </w:r>
      <w:r w:rsidR="006603A2">
        <w:t xml:space="preserve"> (see Table 4)</w:t>
      </w:r>
      <w:r w:rsidR="00582EB0">
        <w:t>.</w:t>
      </w:r>
      <w:r w:rsidR="00C5166F">
        <w:rPr>
          <w:rStyle w:val="FootnoteReference"/>
        </w:rPr>
        <w:footnoteReference w:id="33"/>
      </w:r>
    </w:p>
    <w:p w14:paraId="57C77D56" w14:textId="1750E058" w:rsidR="007B03F7" w:rsidRDefault="007B03F7" w:rsidP="00EB1D6C">
      <w:pPr>
        <w:pStyle w:val="Figuretabletitle"/>
      </w:pPr>
      <w:r>
        <w:t>Table</w:t>
      </w:r>
      <w:r w:rsidR="006603A2">
        <w:t xml:space="preserve"> 4</w:t>
      </w:r>
      <w:r>
        <w:t xml:space="preserve"> </w:t>
      </w:r>
      <w:r w:rsidR="00EB1D6C">
        <w:t>Rent as a proportion of income for young Australians by capital city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6"/>
        <w:gridCol w:w="2337"/>
        <w:gridCol w:w="2452"/>
        <w:gridCol w:w="2429"/>
      </w:tblGrid>
      <w:tr w:rsidR="00E9527A" w14:paraId="51C39B07" w14:textId="77777777" w:rsidTr="007B03F7">
        <w:tc>
          <w:tcPr>
            <w:tcW w:w="0" w:type="auto"/>
            <w:tcBorders>
              <w:top w:val="single" w:sz="4" w:space="0" w:color="auto"/>
              <w:bottom w:val="single" w:sz="4" w:space="0" w:color="auto"/>
            </w:tcBorders>
          </w:tcPr>
          <w:p w14:paraId="22590768" w14:textId="6E63E1B6" w:rsidR="00E9527A" w:rsidRPr="00D324CB" w:rsidRDefault="00E9527A" w:rsidP="008B75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rPr>
                <w:b/>
                <w:bCs/>
                <w:sz w:val="20"/>
                <w:szCs w:val="20"/>
              </w:rPr>
            </w:pPr>
            <w:r w:rsidRPr="00D324CB">
              <w:rPr>
                <w:b/>
                <w:bCs/>
                <w:sz w:val="20"/>
                <w:szCs w:val="20"/>
              </w:rPr>
              <w:t>City</w:t>
            </w:r>
          </w:p>
        </w:tc>
        <w:tc>
          <w:tcPr>
            <w:tcW w:w="0" w:type="auto"/>
            <w:tcBorders>
              <w:top w:val="single" w:sz="4" w:space="0" w:color="auto"/>
              <w:bottom w:val="single" w:sz="4" w:space="0" w:color="auto"/>
            </w:tcBorders>
          </w:tcPr>
          <w:p w14:paraId="11900296" w14:textId="77777777" w:rsidR="00D324CB" w:rsidRDefault="00E9527A" w:rsidP="008B75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rPr>
                <w:b/>
                <w:bCs/>
                <w:sz w:val="20"/>
                <w:szCs w:val="20"/>
              </w:rPr>
            </w:pPr>
            <w:r w:rsidRPr="00D324CB">
              <w:rPr>
                <w:b/>
                <w:bCs/>
                <w:sz w:val="20"/>
                <w:szCs w:val="20"/>
              </w:rPr>
              <w:t xml:space="preserve">Retail worker </w:t>
            </w:r>
          </w:p>
          <w:p w14:paraId="4C7DD801" w14:textId="6CE11282" w:rsidR="00E9527A" w:rsidRPr="00D324CB" w:rsidRDefault="001D247B" w:rsidP="008B75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rPr>
                <w:b/>
                <w:bCs/>
                <w:sz w:val="20"/>
                <w:szCs w:val="20"/>
              </w:rPr>
            </w:pPr>
            <w:r w:rsidRPr="00D324CB">
              <w:rPr>
                <w:b/>
                <w:bCs/>
                <w:sz w:val="20"/>
                <w:szCs w:val="20"/>
              </w:rPr>
              <w:t xml:space="preserve">% </w:t>
            </w:r>
            <w:proofErr w:type="gramStart"/>
            <w:r w:rsidRPr="00D324CB">
              <w:rPr>
                <w:b/>
                <w:bCs/>
                <w:sz w:val="20"/>
                <w:szCs w:val="20"/>
              </w:rPr>
              <w:t>of</w:t>
            </w:r>
            <w:proofErr w:type="gramEnd"/>
            <w:r w:rsidRPr="00D324CB">
              <w:rPr>
                <w:b/>
                <w:bCs/>
                <w:sz w:val="20"/>
                <w:szCs w:val="20"/>
              </w:rPr>
              <w:t xml:space="preserve"> income to rent 1 room in a 2-bedroom unit</w:t>
            </w:r>
          </w:p>
        </w:tc>
        <w:tc>
          <w:tcPr>
            <w:tcW w:w="0" w:type="auto"/>
            <w:tcBorders>
              <w:top w:val="single" w:sz="4" w:space="0" w:color="auto"/>
              <w:bottom w:val="single" w:sz="4" w:space="0" w:color="auto"/>
            </w:tcBorders>
          </w:tcPr>
          <w:p w14:paraId="49E4ACC4" w14:textId="77777777" w:rsidR="00D324CB" w:rsidRDefault="001D247B" w:rsidP="008B75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rPr>
                <w:b/>
                <w:bCs/>
                <w:sz w:val="20"/>
                <w:szCs w:val="20"/>
              </w:rPr>
            </w:pPr>
            <w:r w:rsidRPr="00D324CB">
              <w:rPr>
                <w:b/>
                <w:bCs/>
                <w:sz w:val="20"/>
                <w:szCs w:val="20"/>
              </w:rPr>
              <w:t>Hospitality worker</w:t>
            </w:r>
          </w:p>
          <w:p w14:paraId="12D4732F" w14:textId="7FB09EE8" w:rsidR="00E9527A" w:rsidRPr="00D324CB" w:rsidRDefault="001D247B" w:rsidP="008B75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rPr>
                <w:b/>
                <w:bCs/>
                <w:sz w:val="20"/>
                <w:szCs w:val="20"/>
              </w:rPr>
            </w:pPr>
            <w:r w:rsidRPr="00D324CB">
              <w:rPr>
                <w:b/>
                <w:bCs/>
                <w:sz w:val="20"/>
                <w:szCs w:val="20"/>
              </w:rPr>
              <w:t xml:space="preserve">% </w:t>
            </w:r>
            <w:proofErr w:type="gramStart"/>
            <w:r w:rsidRPr="00D324CB">
              <w:rPr>
                <w:b/>
                <w:bCs/>
                <w:sz w:val="20"/>
                <w:szCs w:val="20"/>
              </w:rPr>
              <w:t>of</w:t>
            </w:r>
            <w:proofErr w:type="gramEnd"/>
            <w:r w:rsidRPr="00D324CB">
              <w:rPr>
                <w:b/>
                <w:bCs/>
                <w:sz w:val="20"/>
                <w:szCs w:val="20"/>
              </w:rPr>
              <w:t xml:space="preserve"> income to rent 1 room in a 2-bedroom uni</w:t>
            </w:r>
            <w:r w:rsidR="00CD725E">
              <w:rPr>
                <w:b/>
                <w:bCs/>
                <w:sz w:val="20"/>
                <w:szCs w:val="20"/>
              </w:rPr>
              <w:t>t</w:t>
            </w:r>
          </w:p>
        </w:tc>
        <w:tc>
          <w:tcPr>
            <w:tcW w:w="0" w:type="auto"/>
            <w:tcBorders>
              <w:top w:val="single" w:sz="4" w:space="0" w:color="auto"/>
              <w:bottom w:val="single" w:sz="4" w:space="0" w:color="auto"/>
            </w:tcBorders>
          </w:tcPr>
          <w:p w14:paraId="73698531" w14:textId="3227AD33" w:rsidR="00D324CB" w:rsidRDefault="001D247B" w:rsidP="008B75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rPr>
                <w:b/>
                <w:bCs/>
                <w:sz w:val="20"/>
                <w:szCs w:val="20"/>
              </w:rPr>
            </w:pPr>
            <w:r w:rsidRPr="00D324CB">
              <w:rPr>
                <w:b/>
                <w:bCs/>
                <w:sz w:val="20"/>
                <w:szCs w:val="20"/>
              </w:rPr>
              <w:t xml:space="preserve">Youth Allowance </w:t>
            </w:r>
          </w:p>
          <w:p w14:paraId="7B539D39" w14:textId="56A0D71E" w:rsidR="00E9527A" w:rsidRPr="00D324CB" w:rsidRDefault="001D247B" w:rsidP="008B75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rPr>
                <w:b/>
                <w:bCs/>
                <w:sz w:val="20"/>
                <w:szCs w:val="20"/>
              </w:rPr>
            </w:pPr>
            <w:r w:rsidRPr="00D324CB">
              <w:rPr>
                <w:b/>
                <w:bCs/>
                <w:sz w:val="20"/>
                <w:szCs w:val="20"/>
              </w:rPr>
              <w:t xml:space="preserve">% </w:t>
            </w:r>
            <w:proofErr w:type="gramStart"/>
            <w:r w:rsidRPr="00D324CB">
              <w:rPr>
                <w:b/>
                <w:bCs/>
                <w:sz w:val="20"/>
                <w:szCs w:val="20"/>
              </w:rPr>
              <w:t>of</w:t>
            </w:r>
            <w:proofErr w:type="gramEnd"/>
            <w:r w:rsidRPr="00D324CB">
              <w:rPr>
                <w:b/>
                <w:bCs/>
                <w:sz w:val="20"/>
                <w:szCs w:val="20"/>
              </w:rPr>
              <w:t xml:space="preserve"> income to rent 1 room in a 2-bedroom unit</w:t>
            </w:r>
          </w:p>
        </w:tc>
      </w:tr>
      <w:tr w:rsidR="00E9527A" w14:paraId="4C9D8290" w14:textId="77777777" w:rsidTr="007B03F7">
        <w:tc>
          <w:tcPr>
            <w:tcW w:w="0" w:type="auto"/>
            <w:tcBorders>
              <w:top w:val="single" w:sz="4" w:space="0" w:color="auto"/>
            </w:tcBorders>
            <w:shd w:val="clear" w:color="auto" w:fill="D9E2F3" w:themeFill="accent1" w:themeFillTint="33"/>
          </w:tcPr>
          <w:p w14:paraId="581F372E" w14:textId="407A57E6" w:rsidR="00E9527A" w:rsidRPr="00D324CB" w:rsidRDefault="00096DAB" w:rsidP="008B75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rPr>
                <w:sz w:val="20"/>
                <w:szCs w:val="20"/>
              </w:rPr>
            </w:pPr>
            <w:r w:rsidRPr="00D324CB">
              <w:rPr>
                <w:sz w:val="20"/>
                <w:szCs w:val="20"/>
              </w:rPr>
              <w:t>Canberra</w:t>
            </w:r>
          </w:p>
        </w:tc>
        <w:tc>
          <w:tcPr>
            <w:tcW w:w="0" w:type="auto"/>
            <w:tcBorders>
              <w:top w:val="single" w:sz="4" w:space="0" w:color="auto"/>
            </w:tcBorders>
            <w:shd w:val="clear" w:color="auto" w:fill="D9E2F3" w:themeFill="accent1" w:themeFillTint="33"/>
          </w:tcPr>
          <w:p w14:paraId="4094BF2B" w14:textId="456DEA07" w:rsidR="00E9527A" w:rsidRPr="00D324CB" w:rsidRDefault="00D25B8A" w:rsidP="007B03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jc w:val="center"/>
              <w:rPr>
                <w:sz w:val="20"/>
                <w:szCs w:val="20"/>
              </w:rPr>
            </w:pPr>
            <w:r w:rsidRPr="00D324CB">
              <w:rPr>
                <w:sz w:val="20"/>
                <w:szCs w:val="20"/>
              </w:rPr>
              <w:t>48%</w:t>
            </w:r>
          </w:p>
        </w:tc>
        <w:tc>
          <w:tcPr>
            <w:tcW w:w="0" w:type="auto"/>
            <w:tcBorders>
              <w:top w:val="single" w:sz="4" w:space="0" w:color="auto"/>
            </w:tcBorders>
            <w:shd w:val="clear" w:color="auto" w:fill="D9E2F3" w:themeFill="accent1" w:themeFillTint="33"/>
          </w:tcPr>
          <w:p w14:paraId="2576BE32" w14:textId="4B4206EB" w:rsidR="00E9527A" w:rsidRPr="00D324CB" w:rsidRDefault="00AE3DCE" w:rsidP="007B03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jc w:val="center"/>
              <w:rPr>
                <w:sz w:val="20"/>
                <w:szCs w:val="20"/>
              </w:rPr>
            </w:pPr>
            <w:r w:rsidRPr="00D324CB">
              <w:rPr>
                <w:sz w:val="20"/>
                <w:szCs w:val="20"/>
              </w:rPr>
              <w:t>53%</w:t>
            </w:r>
          </w:p>
        </w:tc>
        <w:tc>
          <w:tcPr>
            <w:tcW w:w="0" w:type="auto"/>
            <w:tcBorders>
              <w:top w:val="single" w:sz="4" w:space="0" w:color="auto"/>
            </w:tcBorders>
            <w:shd w:val="clear" w:color="auto" w:fill="D9E2F3" w:themeFill="accent1" w:themeFillTint="33"/>
          </w:tcPr>
          <w:p w14:paraId="576B5B61" w14:textId="2B4FACCA" w:rsidR="00E9527A" w:rsidRPr="00D324CB" w:rsidRDefault="003D74DF" w:rsidP="007B03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jc w:val="center"/>
              <w:rPr>
                <w:sz w:val="20"/>
                <w:szCs w:val="20"/>
              </w:rPr>
            </w:pPr>
            <w:r w:rsidRPr="00D324CB">
              <w:rPr>
                <w:sz w:val="20"/>
                <w:szCs w:val="20"/>
              </w:rPr>
              <w:t>92%</w:t>
            </w:r>
          </w:p>
        </w:tc>
      </w:tr>
      <w:tr w:rsidR="00E9527A" w14:paraId="405ECF53" w14:textId="77777777" w:rsidTr="007B03F7">
        <w:tc>
          <w:tcPr>
            <w:tcW w:w="0" w:type="auto"/>
          </w:tcPr>
          <w:p w14:paraId="51A69E7C" w14:textId="667F2C53" w:rsidR="00E9527A" w:rsidRPr="00D324CB" w:rsidRDefault="00096DAB" w:rsidP="008B75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rPr>
                <w:sz w:val="20"/>
                <w:szCs w:val="20"/>
              </w:rPr>
            </w:pPr>
            <w:r w:rsidRPr="00D324CB">
              <w:rPr>
                <w:sz w:val="20"/>
                <w:szCs w:val="20"/>
              </w:rPr>
              <w:t>Sydney</w:t>
            </w:r>
          </w:p>
        </w:tc>
        <w:tc>
          <w:tcPr>
            <w:tcW w:w="0" w:type="auto"/>
          </w:tcPr>
          <w:p w14:paraId="001AE287" w14:textId="3C6DD3F2" w:rsidR="00E9527A" w:rsidRPr="00D324CB" w:rsidRDefault="00D25B8A" w:rsidP="007B03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jc w:val="center"/>
              <w:rPr>
                <w:sz w:val="20"/>
                <w:szCs w:val="20"/>
              </w:rPr>
            </w:pPr>
            <w:r w:rsidRPr="00D324CB">
              <w:rPr>
                <w:sz w:val="20"/>
                <w:szCs w:val="20"/>
              </w:rPr>
              <w:t>44%</w:t>
            </w:r>
          </w:p>
        </w:tc>
        <w:tc>
          <w:tcPr>
            <w:tcW w:w="0" w:type="auto"/>
          </w:tcPr>
          <w:p w14:paraId="2271029A" w14:textId="3EE4054D" w:rsidR="00E9527A" w:rsidRPr="00D324CB" w:rsidRDefault="00AE3DCE" w:rsidP="007B03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jc w:val="center"/>
              <w:rPr>
                <w:sz w:val="20"/>
                <w:szCs w:val="20"/>
              </w:rPr>
            </w:pPr>
            <w:r w:rsidRPr="00D324CB">
              <w:rPr>
                <w:sz w:val="20"/>
                <w:szCs w:val="20"/>
              </w:rPr>
              <w:t>48%</w:t>
            </w:r>
          </w:p>
        </w:tc>
        <w:tc>
          <w:tcPr>
            <w:tcW w:w="0" w:type="auto"/>
          </w:tcPr>
          <w:p w14:paraId="647D9234" w14:textId="32D642D7" w:rsidR="00E9527A" w:rsidRPr="00D324CB" w:rsidRDefault="003D74DF" w:rsidP="007B03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jc w:val="center"/>
              <w:rPr>
                <w:sz w:val="20"/>
                <w:szCs w:val="20"/>
              </w:rPr>
            </w:pPr>
            <w:r w:rsidRPr="00D324CB">
              <w:rPr>
                <w:sz w:val="20"/>
                <w:szCs w:val="20"/>
              </w:rPr>
              <w:t>83%</w:t>
            </w:r>
          </w:p>
        </w:tc>
      </w:tr>
      <w:tr w:rsidR="00E9527A" w14:paraId="4132BC94" w14:textId="77777777" w:rsidTr="007B03F7">
        <w:tc>
          <w:tcPr>
            <w:tcW w:w="0" w:type="auto"/>
            <w:shd w:val="clear" w:color="auto" w:fill="D9E2F3" w:themeFill="accent1" w:themeFillTint="33"/>
          </w:tcPr>
          <w:p w14:paraId="1044755A" w14:textId="0DFB687C" w:rsidR="00E9527A" w:rsidRPr="00D324CB" w:rsidRDefault="00096DAB" w:rsidP="008B75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rPr>
                <w:sz w:val="20"/>
                <w:szCs w:val="20"/>
              </w:rPr>
            </w:pPr>
            <w:r w:rsidRPr="00D324CB">
              <w:rPr>
                <w:sz w:val="20"/>
                <w:szCs w:val="20"/>
              </w:rPr>
              <w:t>Darwin</w:t>
            </w:r>
          </w:p>
        </w:tc>
        <w:tc>
          <w:tcPr>
            <w:tcW w:w="0" w:type="auto"/>
            <w:shd w:val="clear" w:color="auto" w:fill="D9E2F3" w:themeFill="accent1" w:themeFillTint="33"/>
          </w:tcPr>
          <w:p w14:paraId="2D56BB23" w14:textId="01410C5B" w:rsidR="00E9527A" w:rsidRPr="00D324CB" w:rsidRDefault="00D25B8A" w:rsidP="007B03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jc w:val="center"/>
              <w:rPr>
                <w:sz w:val="20"/>
                <w:szCs w:val="20"/>
              </w:rPr>
            </w:pPr>
            <w:r w:rsidRPr="00D324CB">
              <w:rPr>
                <w:sz w:val="20"/>
                <w:szCs w:val="20"/>
              </w:rPr>
              <w:t>40%</w:t>
            </w:r>
          </w:p>
        </w:tc>
        <w:tc>
          <w:tcPr>
            <w:tcW w:w="0" w:type="auto"/>
            <w:shd w:val="clear" w:color="auto" w:fill="D9E2F3" w:themeFill="accent1" w:themeFillTint="33"/>
          </w:tcPr>
          <w:p w14:paraId="73560574" w14:textId="466C8631" w:rsidR="00E9527A" w:rsidRPr="00D324CB" w:rsidRDefault="00AE3DCE" w:rsidP="007B03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jc w:val="center"/>
              <w:rPr>
                <w:sz w:val="20"/>
                <w:szCs w:val="20"/>
              </w:rPr>
            </w:pPr>
            <w:r w:rsidRPr="00D324CB">
              <w:rPr>
                <w:sz w:val="20"/>
                <w:szCs w:val="20"/>
              </w:rPr>
              <w:t>43%</w:t>
            </w:r>
          </w:p>
        </w:tc>
        <w:tc>
          <w:tcPr>
            <w:tcW w:w="0" w:type="auto"/>
            <w:shd w:val="clear" w:color="auto" w:fill="D9E2F3" w:themeFill="accent1" w:themeFillTint="33"/>
          </w:tcPr>
          <w:p w14:paraId="461C27E1" w14:textId="3AFE58DA" w:rsidR="00E9527A" w:rsidRPr="00D324CB" w:rsidRDefault="00BE122E" w:rsidP="007B03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jc w:val="center"/>
              <w:rPr>
                <w:sz w:val="20"/>
                <w:szCs w:val="20"/>
              </w:rPr>
            </w:pPr>
            <w:r w:rsidRPr="00D324CB">
              <w:rPr>
                <w:sz w:val="20"/>
                <w:szCs w:val="20"/>
              </w:rPr>
              <w:t>56%</w:t>
            </w:r>
          </w:p>
        </w:tc>
      </w:tr>
      <w:tr w:rsidR="00E9527A" w14:paraId="3C693A05" w14:textId="77777777" w:rsidTr="007B03F7">
        <w:tc>
          <w:tcPr>
            <w:tcW w:w="0" w:type="auto"/>
          </w:tcPr>
          <w:p w14:paraId="52794B70" w14:textId="1DD1E9E7" w:rsidR="00E9527A" w:rsidRPr="00D324CB" w:rsidRDefault="0068333E" w:rsidP="008B75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rPr>
                <w:sz w:val="20"/>
                <w:szCs w:val="20"/>
              </w:rPr>
            </w:pPr>
            <w:r w:rsidRPr="00D324CB">
              <w:rPr>
                <w:sz w:val="20"/>
                <w:szCs w:val="20"/>
              </w:rPr>
              <w:t>Hobart</w:t>
            </w:r>
          </w:p>
        </w:tc>
        <w:tc>
          <w:tcPr>
            <w:tcW w:w="0" w:type="auto"/>
          </w:tcPr>
          <w:p w14:paraId="124FE114" w14:textId="3556A88D" w:rsidR="00E9527A" w:rsidRPr="00D324CB" w:rsidRDefault="00D25B8A" w:rsidP="007B03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jc w:val="center"/>
              <w:rPr>
                <w:sz w:val="20"/>
                <w:szCs w:val="20"/>
              </w:rPr>
            </w:pPr>
            <w:r w:rsidRPr="00D324CB">
              <w:rPr>
                <w:sz w:val="20"/>
                <w:szCs w:val="20"/>
              </w:rPr>
              <w:t>38%</w:t>
            </w:r>
          </w:p>
        </w:tc>
        <w:tc>
          <w:tcPr>
            <w:tcW w:w="0" w:type="auto"/>
          </w:tcPr>
          <w:p w14:paraId="1D7A8A7E" w14:textId="38130D98" w:rsidR="00E9527A" w:rsidRPr="00D324CB" w:rsidRDefault="00AE3DCE" w:rsidP="007B03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jc w:val="center"/>
              <w:rPr>
                <w:sz w:val="20"/>
                <w:szCs w:val="20"/>
              </w:rPr>
            </w:pPr>
            <w:r w:rsidRPr="00D324CB">
              <w:rPr>
                <w:sz w:val="20"/>
                <w:szCs w:val="20"/>
              </w:rPr>
              <w:t>42%</w:t>
            </w:r>
          </w:p>
        </w:tc>
        <w:tc>
          <w:tcPr>
            <w:tcW w:w="0" w:type="auto"/>
          </w:tcPr>
          <w:p w14:paraId="011FCF88" w14:textId="5B0CB2DD" w:rsidR="00E9527A" w:rsidRPr="00D324CB" w:rsidRDefault="00BE122E" w:rsidP="007B03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jc w:val="center"/>
              <w:rPr>
                <w:sz w:val="20"/>
                <w:szCs w:val="20"/>
              </w:rPr>
            </w:pPr>
            <w:r w:rsidRPr="00D324CB">
              <w:rPr>
                <w:sz w:val="20"/>
                <w:szCs w:val="20"/>
              </w:rPr>
              <w:t>73%</w:t>
            </w:r>
          </w:p>
        </w:tc>
      </w:tr>
      <w:tr w:rsidR="00E9527A" w14:paraId="7FEF0E8F" w14:textId="77777777" w:rsidTr="007B03F7">
        <w:tc>
          <w:tcPr>
            <w:tcW w:w="0" w:type="auto"/>
            <w:shd w:val="clear" w:color="auto" w:fill="D9E2F3" w:themeFill="accent1" w:themeFillTint="33"/>
          </w:tcPr>
          <w:p w14:paraId="2BE3B2B4" w14:textId="44E3A95C" w:rsidR="00E9527A" w:rsidRPr="00D324CB" w:rsidRDefault="0068333E" w:rsidP="008B75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rPr>
                <w:sz w:val="20"/>
                <w:szCs w:val="20"/>
              </w:rPr>
            </w:pPr>
            <w:r w:rsidRPr="00D324CB">
              <w:rPr>
                <w:sz w:val="20"/>
                <w:szCs w:val="20"/>
              </w:rPr>
              <w:t>Melbourne</w:t>
            </w:r>
          </w:p>
        </w:tc>
        <w:tc>
          <w:tcPr>
            <w:tcW w:w="0" w:type="auto"/>
            <w:shd w:val="clear" w:color="auto" w:fill="D9E2F3" w:themeFill="accent1" w:themeFillTint="33"/>
          </w:tcPr>
          <w:p w14:paraId="594B5D02" w14:textId="0942514B" w:rsidR="00E9527A" w:rsidRPr="00D324CB" w:rsidRDefault="00D25B8A" w:rsidP="007B03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jc w:val="center"/>
              <w:rPr>
                <w:sz w:val="20"/>
                <w:szCs w:val="20"/>
              </w:rPr>
            </w:pPr>
            <w:r w:rsidRPr="00D324CB">
              <w:rPr>
                <w:sz w:val="20"/>
                <w:szCs w:val="20"/>
              </w:rPr>
              <w:t>36%</w:t>
            </w:r>
          </w:p>
        </w:tc>
        <w:tc>
          <w:tcPr>
            <w:tcW w:w="0" w:type="auto"/>
            <w:shd w:val="clear" w:color="auto" w:fill="D9E2F3" w:themeFill="accent1" w:themeFillTint="33"/>
          </w:tcPr>
          <w:p w14:paraId="3B3C09B7" w14:textId="2DAA615C" w:rsidR="00E9527A" w:rsidRPr="00D324CB" w:rsidRDefault="00AE3DCE" w:rsidP="007B03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jc w:val="center"/>
              <w:rPr>
                <w:sz w:val="20"/>
                <w:szCs w:val="20"/>
              </w:rPr>
            </w:pPr>
            <w:r w:rsidRPr="00D324CB">
              <w:rPr>
                <w:sz w:val="20"/>
                <w:szCs w:val="20"/>
              </w:rPr>
              <w:t>39%</w:t>
            </w:r>
          </w:p>
        </w:tc>
        <w:tc>
          <w:tcPr>
            <w:tcW w:w="0" w:type="auto"/>
            <w:shd w:val="clear" w:color="auto" w:fill="D9E2F3" w:themeFill="accent1" w:themeFillTint="33"/>
          </w:tcPr>
          <w:p w14:paraId="094D9237" w14:textId="44CF0392" w:rsidR="00E9527A" w:rsidRPr="00D324CB" w:rsidRDefault="00BE122E" w:rsidP="007B03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jc w:val="center"/>
              <w:rPr>
                <w:sz w:val="20"/>
                <w:szCs w:val="20"/>
              </w:rPr>
            </w:pPr>
            <w:r w:rsidRPr="00D324CB">
              <w:rPr>
                <w:sz w:val="20"/>
                <w:szCs w:val="20"/>
              </w:rPr>
              <w:t>68%</w:t>
            </w:r>
          </w:p>
        </w:tc>
      </w:tr>
      <w:tr w:rsidR="00E9527A" w14:paraId="0DF3A1AB" w14:textId="77777777" w:rsidTr="007B03F7">
        <w:tc>
          <w:tcPr>
            <w:tcW w:w="0" w:type="auto"/>
          </w:tcPr>
          <w:p w14:paraId="110E8833" w14:textId="50A2A17B" w:rsidR="00E9527A" w:rsidRPr="00D324CB" w:rsidRDefault="0068333E" w:rsidP="008B75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rPr>
                <w:sz w:val="20"/>
                <w:szCs w:val="20"/>
              </w:rPr>
            </w:pPr>
            <w:r w:rsidRPr="00D324CB">
              <w:rPr>
                <w:sz w:val="20"/>
                <w:szCs w:val="20"/>
              </w:rPr>
              <w:t>Brisbane</w:t>
            </w:r>
          </w:p>
        </w:tc>
        <w:tc>
          <w:tcPr>
            <w:tcW w:w="0" w:type="auto"/>
          </w:tcPr>
          <w:p w14:paraId="758BD6EE" w14:textId="6F8AEB5E" w:rsidR="00E9527A" w:rsidRPr="00D324CB" w:rsidRDefault="00D25B8A" w:rsidP="007B03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jc w:val="center"/>
              <w:rPr>
                <w:sz w:val="20"/>
                <w:szCs w:val="20"/>
              </w:rPr>
            </w:pPr>
            <w:r w:rsidRPr="00D324CB">
              <w:rPr>
                <w:sz w:val="20"/>
                <w:szCs w:val="20"/>
              </w:rPr>
              <w:t>35%</w:t>
            </w:r>
          </w:p>
        </w:tc>
        <w:tc>
          <w:tcPr>
            <w:tcW w:w="0" w:type="auto"/>
          </w:tcPr>
          <w:p w14:paraId="10C15077" w14:textId="2A1141C0" w:rsidR="00E9527A" w:rsidRPr="00D324CB" w:rsidRDefault="003D74DF" w:rsidP="007B03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jc w:val="center"/>
              <w:rPr>
                <w:sz w:val="20"/>
                <w:szCs w:val="20"/>
              </w:rPr>
            </w:pPr>
            <w:r w:rsidRPr="00D324CB">
              <w:rPr>
                <w:sz w:val="20"/>
                <w:szCs w:val="20"/>
              </w:rPr>
              <w:t>38%</w:t>
            </w:r>
          </w:p>
        </w:tc>
        <w:tc>
          <w:tcPr>
            <w:tcW w:w="0" w:type="auto"/>
          </w:tcPr>
          <w:p w14:paraId="63389D33" w14:textId="11FFD169" w:rsidR="00E9527A" w:rsidRPr="00D324CB" w:rsidRDefault="00BE122E" w:rsidP="007B03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jc w:val="center"/>
              <w:rPr>
                <w:sz w:val="20"/>
                <w:szCs w:val="20"/>
              </w:rPr>
            </w:pPr>
            <w:r w:rsidRPr="00D324CB">
              <w:rPr>
                <w:sz w:val="20"/>
                <w:szCs w:val="20"/>
              </w:rPr>
              <w:t>66%</w:t>
            </w:r>
          </w:p>
        </w:tc>
      </w:tr>
      <w:tr w:rsidR="00E9527A" w14:paraId="43530B30" w14:textId="77777777" w:rsidTr="007B03F7">
        <w:tc>
          <w:tcPr>
            <w:tcW w:w="0" w:type="auto"/>
            <w:shd w:val="clear" w:color="auto" w:fill="D9E2F3" w:themeFill="accent1" w:themeFillTint="33"/>
          </w:tcPr>
          <w:p w14:paraId="568DE56D" w14:textId="44184A7D" w:rsidR="00E9527A" w:rsidRPr="00D324CB" w:rsidRDefault="0068333E" w:rsidP="008B75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rPr>
                <w:sz w:val="20"/>
                <w:szCs w:val="20"/>
              </w:rPr>
            </w:pPr>
            <w:r w:rsidRPr="00D324CB">
              <w:rPr>
                <w:sz w:val="20"/>
                <w:szCs w:val="20"/>
              </w:rPr>
              <w:t>Perth</w:t>
            </w:r>
          </w:p>
        </w:tc>
        <w:tc>
          <w:tcPr>
            <w:tcW w:w="0" w:type="auto"/>
            <w:shd w:val="clear" w:color="auto" w:fill="D9E2F3" w:themeFill="accent1" w:themeFillTint="33"/>
          </w:tcPr>
          <w:p w14:paraId="1CA76B4E" w14:textId="360795BE" w:rsidR="00E9527A" w:rsidRPr="00D324CB" w:rsidRDefault="00D25B8A" w:rsidP="007B03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jc w:val="center"/>
              <w:rPr>
                <w:sz w:val="20"/>
                <w:szCs w:val="20"/>
              </w:rPr>
            </w:pPr>
            <w:r w:rsidRPr="00D324CB">
              <w:rPr>
                <w:sz w:val="20"/>
                <w:szCs w:val="20"/>
              </w:rPr>
              <w:t>35%</w:t>
            </w:r>
          </w:p>
        </w:tc>
        <w:tc>
          <w:tcPr>
            <w:tcW w:w="0" w:type="auto"/>
            <w:shd w:val="clear" w:color="auto" w:fill="D9E2F3" w:themeFill="accent1" w:themeFillTint="33"/>
          </w:tcPr>
          <w:p w14:paraId="5DCC479B" w14:textId="23C28A27" w:rsidR="00E9527A" w:rsidRPr="00D324CB" w:rsidRDefault="003D74DF" w:rsidP="007B03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jc w:val="center"/>
              <w:rPr>
                <w:sz w:val="20"/>
                <w:szCs w:val="20"/>
              </w:rPr>
            </w:pPr>
            <w:r w:rsidRPr="00D324CB">
              <w:rPr>
                <w:sz w:val="20"/>
                <w:szCs w:val="20"/>
              </w:rPr>
              <w:t>39%</w:t>
            </w:r>
          </w:p>
        </w:tc>
        <w:tc>
          <w:tcPr>
            <w:tcW w:w="0" w:type="auto"/>
            <w:shd w:val="clear" w:color="auto" w:fill="D9E2F3" w:themeFill="accent1" w:themeFillTint="33"/>
          </w:tcPr>
          <w:p w14:paraId="00E3EEF6" w14:textId="2CD1A5A1" w:rsidR="00E9527A" w:rsidRPr="00D324CB" w:rsidRDefault="00D324CB" w:rsidP="007B03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jc w:val="center"/>
              <w:rPr>
                <w:sz w:val="20"/>
                <w:szCs w:val="20"/>
              </w:rPr>
            </w:pPr>
            <w:r w:rsidRPr="00D324CB">
              <w:rPr>
                <w:sz w:val="20"/>
                <w:szCs w:val="20"/>
              </w:rPr>
              <w:t>67%</w:t>
            </w:r>
          </w:p>
        </w:tc>
      </w:tr>
      <w:tr w:rsidR="0068333E" w14:paraId="168C06A0" w14:textId="77777777" w:rsidTr="007B03F7">
        <w:tc>
          <w:tcPr>
            <w:tcW w:w="0" w:type="auto"/>
          </w:tcPr>
          <w:p w14:paraId="57B97DA5" w14:textId="30786477" w:rsidR="0068333E" w:rsidRPr="00D324CB" w:rsidRDefault="00D25B8A" w:rsidP="008B75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rPr>
                <w:sz w:val="20"/>
                <w:szCs w:val="20"/>
              </w:rPr>
            </w:pPr>
            <w:r w:rsidRPr="00D324CB">
              <w:rPr>
                <w:sz w:val="20"/>
                <w:szCs w:val="20"/>
              </w:rPr>
              <w:t>Adelaide</w:t>
            </w:r>
          </w:p>
        </w:tc>
        <w:tc>
          <w:tcPr>
            <w:tcW w:w="0" w:type="auto"/>
          </w:tcPr>
          <w:p w14:paraId="0216100B" w14:textId="4B445777" w:rsidR="0068333E" w:rsidRPr="00D324CB" w:rsidRDefault="00AE3DCE" w:rsidP="007B03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jc w:val="center"/>
              <w:rPr>
                <w:sz w:val="20"/>
                <w:szCs w:val="20"/>
              </w:rPr>
            </w:pPr>
            <w:r w:rsidRPr="00D324CB">
              <w:rPr>
                <w:sz w:val="20"/>
                <w:szCs w:val="20"/>
              </w:rPr>
              <w:t>29%</w:t>
            </w:r>
          </w:p>
        </w:tc>
        <w:tc>
          <w:tcPr>
            <w:tcW w:w="0" w:type="auto"/>
          </w:tcPr>
          <w:p w14:paraId="23721518" w14:textId="2BA40E0E" w:rsidR="0068333E" w:rsidRPr="00D324CB" w:rsidRDefault="003D74DF" w:rsidP="007B03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jc w:val="center"/>
              <w:rPr>
                <w:sz w:val="20"/>
                <w:szCs w:val="20"/>
              </w:rPr>
            </w:pPr>
            <w:r w:rsidRPr="00D324CB">
              <w:rPr>
                <w:sz w:val="20"/>
                <w:szCs w:val="20"/>
              </w:rPr>
              <w:t>32%</w:t>
            </w:r>
          </w:p>
        </w:tc>
        <w:tc>
          <w:tcPr>
            <w:tcW w:w="0" w:type="auto"/>
          </w:tcPr>
          <w:p w14:paraId="6A9FFBCE" w14:textId="2CA04B59" w:rsidR="0068333E" w:rsidRPr="00D324CB" w:rsidRDefault="00D324CB" w:rsidP="007B03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jc w:val="center"/>
              <w:rPr>
                <w:sz w:val="20"/>
                <w:szCs w:val="20"/>
              </w:rPr>
            </w:pPr>
            <w:r w:rsidRPr="00D324CB">
              <w:rPr>
                <w:sz w:val="20"/>
                <w:szCs w:val="20"/>
              </w:rPr>
              <w:t>75%</w:t>
            </w:r>
          </w:p>
        </w:tc>
      </w:tr>
      <w:tr w:rsidR="00D25B8A" w14:paraId="46A095EE" w14:textId="77777777" w:rsidTr="007B03F7">
        <w:tc>
          <w:tcPr>
            <w:tcW w:w="0" w:type="auto"/>
            <w:tcBorders>
              <w:bottom w:val="single" w:sz="4" w:space="0" w:color="auto"/>
            </w:tcBorders>
            <w:shd w:val="clear" w:color="auto" w:fill="D9E2F3" w:themeFill="accent1" w:themeFillTint="33"/>
          </w:tcPr>
          <w:p w14:paraId="458E8C07" w14:textId="26F1A0FF" w:rsidR="00D25B8A" w:rsidRPr="00D324CB" w:rsidRDefault="00D25B8A" w:rsidP="008B75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rPr>
                <w:sz w:val="20"/>
                <w:szCs w:val="20"/>
              </w:rPr>
            </w:pPr>
            <w:r w:rsidRPr="00D324CB">
              <w:rPr>
                <w:sz w:val="20"/>
                <w:szCs w:val="20"/>
              </w:rPr>
              <w:t>National</w:t>
            </w:r>
          </w:p>
        </w:tc>
        <w:tc>
          <w:tcPr>
            <w:tcW w:w="0" w:type="auto"/>
            <w:tcBorders>
              <w:bottom w:val="single" w:sz="4" w:space="0" w:color="auto"/>
            </w:tcBorders>
            <w:shd w:val="clear" w:color="auto" w:fill="D9E2F3" w:themeFill="accent1" w:themeFillTint="33"/>
          </w:tcPr>
          <w:p w14:paraId="089ECDA0" w14:textId="3E66A1F1" w:rsidR="00D25B8A" w:rsidRPr="00D324CB" w:rsidRDefault="00AE3DCE" w:rsidP="007B03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jc w:val="center"/>
              <w:rPr>
                <w:sz w:val="20"/>
                <w:szCs w:val="20"/>
              </w:rPr>
            </w:pPr>
            <w:r w:rsidRPr="00D324CB">
              <w:rPr>
                <w:sz w:val="20"/>
                <w:szCs w:val="20"/>
              </w:rPr>
              <w:t>36%</w:t>
            </w:r>
          </w:p>
        </w:tc>
        <w:tc>
          <w:tcPr>
            <w:tcW w:w="0" w:type="auto"/>
            <w:tcBorders>
              <w:bottom w:val="single" w:sz="4" w:space="0" w:color="auto"/>
            </w:tcBorders>
            <w:shd w:val="clear" w:color="auto" w:fill="D9E2F3" w:themeFill="accent1" w:themeFillTint="33"/>
          </w:tcPr>
          <w:p w14:paraId="4F4327E0" w14:textId="01591278" w:rsidR="00D25B8A" w:rsidRPr="00D324CB" w:rsidRDefault="003D74DF" w:rsidP="007B03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jc w:val="center"/>
              <w:rPr>
                <w:sz w:val="20"/>
                <w:szCs w:val="20"/>
              </w:rPr>
            </w:pPr>
            <w:r w:rsidRPr="00D324CB">
              <w:rPr>
                <w:sz w:val="20"/>
                <w:szCs w:val="20"/>
              </w:rPr>
              <w:t>40%</w:t>
            </w:r>
          </w:p>
        </w:tc>
        <w:tc>
          <w:tcPr>
            <w:tcW w:w="0" w:type="auto"/>
            <w:tcBorders>
              <w:bottom w:val="single" w:sz="4" w:space="0" w:color="auto"/>
            </w:tcBorders>
            <w:shd w:val="clear" w:color="auto" w:fill="D9E2F3" w:themeFill="accent1" w:themeFillTint="33"/>
          </w:tcPr>
          <w:p w14:paraId="5E5D916B" w14:textId="5817C41D" w:rsidR="00D25B8A" w:rsidRPr="00D324CB" w:rsidRDefault="00D324CB" w:rsidP="007B03F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jc w:val="center"/>
              <w:rPr>
                <w:sz w:val="20"/>
                <w:szCs w:val="20"/>
              </w:rPr>
            </w:pPr>
            <w:r w:rsidRPr="00D324CB">
              <w:rPr>
                <w:sz w:val="20"/>
                <w:szCs w:val="20"/>
              </w:rPr>
              <w:t>69%</w:t>
            </w:r>
          </w:p>
        </w:tc>
      </w:tr>
    </w:tbl>
    <w:p w14:paraId="595E2748" w14:textId="50FCAB55" w:rsidR="00582EB0" w:rsidRDefault="00EB1D6C" w:rsidP="00D03EF4">
      <w:pPr>
        <w:pStyle w:val="Source"/>
      </w:pPr>
      <w:r>
        <w:t xml:space="preserve">Source: </w:t>
      </w:r>
      <w:bookmarkStart w:id="19" w:name="_Hlk101451276"/>
      <w:r>
        <w:t xml:space="preserve">Everybody’s Home, </w:t>
      </w:r>
      <w:hyperlink r:id="rId35" w:history="1">
        <w:r w:rsidRPr="007600B1">
          <w:rPr>
            <w:rStyle w:val="Hyperlink"/>
            <w:i/>
            <w:iCs/>
          </w:rPr>
          <w:t>Young Australians crunched by housing crisis</w:t>
        </w:r>
      </w:hyperlink>
      <w:r>
        <w:t xml:space="preserve">, </w:t>
      </w:r>
      <w:r w:rsidR="00D03EF4">
        <w:t>Everybody’s Home website, 20 April 2022, accessed 21 April 2022.</w:t>
      </w:r>
      <w:bookmarkEnd w:id="19"/>
    </w:p>
    <w:p w14:paraId="3A5C1DED" w14:textId="3926BE79" w:rsidR="00F579C6" w:rsidRDefault="002833BC" w:rsidP="009B600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pPr>
      <w:r>
        <w:t xml:space="preserve">Previous </w:t>
      </w:r>
      <w:r w:rsidR="00D648B4">
        <w:t xml:space="preserve">analysis by </w:t>
      </w:r>
      <w:r w:rsidR="00F579C6">
        <w:t>Everybody’s Home</w:t>
      </w:r>
      <w:r w:rsidR="000954D4">
        <w:t xml:space="preserve"> undertaken in 2021</w:t>
      </w:r>
      <w:r w:rsidR="00D648B4">
        <w:t xml:space="preserve"> found that Canberra was the least affordable capital city for </w:t>
      </w:r>
      <w:r w:rsidR="00A407F5">
        <w:t>key COVID-</w:t>
      </w:r>
      <w:r w:rsidR="000954D4">
        <w:t>essential workers</w:t>
      </w:r>
      <w:r w:rsidR="00A407F5">
        <w:t xml:space="preserve"> </w:t>
      </w:r>
      <w:r w:rsidR="00F34282">
        <w:t xml:space="preserve">– </w:t>
      </w:r>
      <w:r w:rsidR="00157936">
        <w:t xml:space="preserve">i.e., </w:t>
      </w:r>
      <w:r w:rsidR="00A407F5">
        <w:t>disability</w:t>
      </w:r>
      <w:r w:rsidR="00D15B43">
        <w:t xml:space="preserve"> support, aged care, childcare, hospitality, and supermarket</w:t>
      </w:r>
      <w:r w:rsidR="004E4EE0">
        <w:t xml:space="preserve"> workers</w:t>
      </w:r>
      <w:r w:rsidR="00F34282">
        <w:t xml:space="preserve"> – in terms o</w:t>
      </w:r>
      <w:r w:rsidR="006A484D">
        <w:t>f hours worked to pay rent.</w:t>
      </w:r>
      <w:r w:rsidR="006A484D">
        <w:rPr>
          <w:rStyle w:val="FootnoteReference"/>
        </w:rPr>
        <w:footnoteReference w:id="34"/>
      </w:r>
      <w:r w:rsidR="00EB5010">
        <w:t xml:space="preserve"> </w:t>
      </w:r>
      <w:r w:rsidR="009D55F9">
        <w:t>Across</w:t>
      </w:r>
      <w:r w:rsidR="00157936">
        <w:t xml:space="preserve"> the</w:t>
      </w:r>
      <w:r w:rsidR="009D55F9">
        <w:t xml:space="preserve"> </w:t>
      </w:r>
      <w:r w:rsidR="00D67266">
        <w:t xml:space="preserve">inner south, </w:t>
      </w:r>
      <w:r w:rsidR="00681C2B">
        <w:t>south, inner north, and north of</w:t>
      </w:r>
      <w:r w:rsidR="009D55F9">
        <w:t xml:space="preserve"> Canberra </w:t>
      </w:r>
      <w:r w:rsidR="00CE5D3D">
        <w:t>it found that</w:t>
      </w:r>
      <w:r w:rsidR="009D55F9">
        <w:t xml:space="preserve"> ‘</w:t>
      </w:r>
      <w:r w:rsidR="00EB5010">
        <w:t>an essential worker would need</w:t>
      </w:r>
      <w:r w:rsidR="009D55F9">
        <w:t xml:space="preserve"> </w:t>
      </w:r>
      <w:r w:rsidR="00EB5010">
        <w:t>to sacrifice more than two thirds of a full working week’s income to rent an apartment</w:t>
      </w:r>
      <w:r w:rsidR="009D55F9">
        <w:t>’.</w:t>
      </w:r>
      <w:r w:rsidR="00681C2B">
        <w:rPr>
          <w:rStyle w:val="FootnoteReference"/>
        </w:rPr>
        <w:footnoteReference w:id="35"/>
      </w:r>
      <w:r w:rsidR="009B6002">
        <w:t xml:space="preserve"> In </w:t>
      </w:r>
      <w:r w:rsidR="009B6002" w:rsidRPr="009B6002">
        <w:t>Weston Creek, Belconnen, Tuggeranong, Gungahlin, Woden Valley</w:t>
      </w:r>
      <w:r w:rsidR="009B6002">
        <w:t xml:space="preserve"> ‘an essential care or service worker would need to spend between one third and two-thirds of normal working week’s wages, to rent an apartment’.</w:t>
      </w:r>
      <w:r w:rsidR="009B6002">
        <w:rPr>
          <w:rStyle w:val="FootnoteReference"/>
        </w:rPr>
        <w:footnoteReference w:id="36"/>
      </w:r>
      <w:r w:rsidR="009B6002">
        <w:t xml:space="preserve"> </w:t>
      </w:r>
    </w:p>
    <w:p w14:paraId="118B0694" w14:textId="4D6A06D6" w:rsidR="00DC672B" w:rsidRDefault="00DC672B" w:rsidP="009B600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pPr>
      <w:r>
        <w:lastRenderedPageBreak/>
        <w:t xml:space="preserve">Anglicare Australia’s 2022 Rental Affordability Snapshot found </w:t>
      </w:r>
      <w:r w:rsidR="00182C11">
        <w:t xml:space="preserve">1,354 </w:t>
      </w:r>
      <w:r w:rsidR="00E83A40">
        <w:t>private rentals advertised for rent in the ACT and Queanbeyan on 18 March 2022</w:t>
      </w:r>
      <w:r w:rsidR="00A12E29">
        <w:t xml:space="preserve"> (see Table 5)</w:t>
      </w:r>
      <w:r w:rsidR="002B0F81">
        <w:t>. Of these it found that</w:t>
      </w:r>
      <w:r w:rsidR="00CC5A2A">
        <w:t>:</w:t>
      </w:r>
    </w:p>
    <w:p w14:paraId="7B2622D6" w14:textId="62DE79AA" w:rsidR="008468F7" w:rsidRDefault="003A4D71" w:rsidP="00F73D20">
      <w:pPr>
        <w:pStyle w:val="ListBullet"/>
      </w:pPr>
      <w:r>
        <w:t>F</w:t>
      </w:r>
      <w:r w:rsidR="0034604F">
        <w:t>ive</w:t>
      </w:r>
      <w:r w:rsidR="008468F7">
        <w:t xml:space="preserve"> (0.</w:t>
      </w:r>
      <w:r w:rsidR="00F73D20">
        <w:t>3%</w:t>
      </w:r>
      <w:r w:rsidR="008468F7">
        <w:t>) individual properties were suitable for at least one household type living on</w:t>
      </w:r>
      <w:r w:rsidR="00F73D20">
        <w:t xml:space="preserve"> </w:t>
      </w:r>
      <w:r w:rsidR="00F73D20" w:rsidRPr="00F73D20">
        <w:t>income support payments without placing them in housing stress.</w:t>
      </w:r>
    </w:p>
    <w:p w14:paraId="4E0DD670" w14:textId="24863CB4" w:rsidR="00F73D20" w:rsidRDefault="00F73D20" w:rsidP="00F73D20">
      <w:pPr>
        <w:pStyle w:val="ListBullet"/>
      </w:pPr>
      <w:r>
        <w:t>36 (2.6%) individual properties were suitable for at least one household type living on minimum wage without placing them in housing stress.</w:t>
      </w:r>
    </w:p>
    <w:p w14:paraId="06B178D6" w14:textId="760C07A9" w:rsidR="00CC5A2A" w:rsidRDefault="00CC5A2A" w:rsidP="00F73D20">
      <w:pPr>
        <w:pStyle w:val="ListBullet"/>
      </w:pPr>
      <w:r>
        <w:t xml:space="preserve">None were affordable and appropriate for a single person or single parent on </w:t>
      </w:r>
      <w:proofErr w:type="spellStart"/>
      <w:r>
        <w:t>JobSeeker</w:t>
      </w:r>
      <w:proofErr w:type="spellEnd"/>
      <w:r w:rsidR="00A24DDC">
        <w:t xml:space="preserve"> or</w:t>
      </w:r>
      <w:r w:rsidR="00941F5A">
        <w:t xml:space="preserve"> a single person on Disability Support Pension</w:t>
      </w:r>
      <w:r w:rsidR="00A24DDC">
        <w:t xml:space="preserve"> or Youth Allowance</w:t>
      </w:r>
    </w:p>
    <w:p w14:paraId="7528A1BB" w14:textId="4C45711A" w:rsidR="00366A24" w:rsidRDefault="00F361C3" w:rsidP="003A4D71">
      <w:pPr>
        <w:pStyle w:val="ListBullet"/>
      </w:pPr>
      <w:r>
        <w:t>Less than 1% were affordable for a single person or couple on the age pension,</w:t>
      </w:r>
      <w:r w:rsidR="001B2C67">
        <w:t xml:space="preserve"> a couple with children on </w:t>
      </w:r>
      <w:proofErr w:type="spellStart"/>
      <w:r w:rsidR="001B2C67">
        <w:t>JobSeeker</w:t>
      </w:r>
      <w:proofErr w:type="spellEnd"/>
      <w:r w:rsidR="001B2C67">
        <w:t>,</w:t>
      </w:r>
      <w:r>
        <w:t xml:space="preserve"> a single parent on Parenting Payment Single</w:t>
      </w:r>
      <w:r w:rsidR="00427376">
        <w:t>, or a single parent</w:t>
      </w:r>
      <w:r w:rsidR="0015251F">
        <w:t xml:space="preserve"> or couple with children on the minimum wage plus </w:t>
      </w:r>
      <w:proofErr w:type="spellStart"/>
      <w:r w:rsidR="0015251F">
        <w:t>FTB</w:t>
      </w:r>
      <w:proofErr w:type="spellEnd"/>
      <w:r w:rsidR="0015251F">
        <w:t xml:space="preserve"> </w:t>
      </w:r>
      <w:r w:rsidR="0038582A">
        <w:t>A and/or B.</w:t>
      </w:r>
      <w:r w:rsidR="0038582A">
        <w:rPr>
          <w:rStyle w:val="FootnoteReference"/>
        </w:rPr>
        <w:footnoteReference w:id="37"/>
      </w:r>
    </w:p>
    <w:p w14:paraId="2BABFB5C" w14:textId="50F5AD38" w:rsidR="00366A24" w:rsidRDefault="00F52987" w:rsidP="001B66E9">
      <w:pPr>
        <w:pStyle w:val="Figuretabletitle"/>
      </w:pPr>
      <w:r>
        <w:t>Table</w:t>
      </w:r>
      <w:r w:rsidR="00A12E29">
        <w:t xml:space="preserve"> 5</w:t>
      </w:r>
      <w:r>
        <w:t xml:space="preserve"> </w:t>
      </w:r>
      <w:r w:rsidR="00BE7304">
        <w:t>Rental affordability in the ACT including Queanbeyan, analysed by household type and percentage</w:t>
      </w:r>
      <w:r w:rsidR="001B66E9">
        <w:t xml:space="preserve">, </w:t>
      </w:r>
      <w:r w:rsidR="00A12E29">
        <w:t>18 March 2022</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126"/>
        <w:gridCol w:w="2126"/>
        <w:gridCol w:w="2126"/>
      </w:tblGrid>
      <w:tr w:rsidR="00C61124" w14:paraId="2B815252" w14:textId="77777777" w:rsidTr="00D823D1">
        <w:trPr>
          <w:tblHeader/>
        </w:trPr>
        <w:tc>
          <w:tcPr>
            <w:tcW w:w="1250" w:type="pct"/>
            <w:tcBorders>
              <w:top w:val="single" w:sz="4" w:space="0" w:color="auto"/>
              <w:bottom w:val="single" w:sz="4" w:space="0" w:color="auto"/>
            </w:tcBorders>
          </w:tcPr>
          <w:p w14:paraId="1BE3BB11" w14:textId="0262F26A" w:rsidR="00E915E8" w:rsidRPr="00C61124" w:rsidRDefault="00E915E8" w:rsidP="00366A24">
            <w:pPr>
              <w:pStyle w:val="BodyText"/>
              <w:rPr>
                <w:rFonts w:cs="Arial"/>
                <w:b/>
                <w:bCs/>
                <w:sz w:val="20"/>
                <w:szCs w:val="20"/>
              </w:rPr>
            </w:pPr>
            <w:r w:rsidRPr="00C61124">
              <w:rPr>
                <w:rFonts w:cs="Arial"/>
                <w:b/>
                <w:bCs/>
                <w:sz w:val="20"/>
                <w:szCs w:val="20"/>
              </w:rPr>
              <w:t>Household Type</w:t>
            </w:r>
          </w:p>
        </w:tc>
        <w:tc>
          <w:tcPr>
            <w:tcW w:w="1250" w:type="pct"/>
            <w:tcBorders>
              <w:top w:val="single" w:sz="4" w:space="0" w:color="auto"/>
              <w:bottom w:val="single" w:sz="4" w:space="0" w:color="auto"/>
            </w:tcBorders>
          </w:tcPr>
          <w:p w14:paraId="0A8C2AC2" w14:textId="045EF9AB" w:rsidR="00E915E8" w:rsidRPr="00C61124" w:rsidRDefault="00E915E8" w:rsidP="00366A24">
            <w:pPr>
              <w:pStyle w:val="BodyText"/>
              <w:rPr>
                <w:rFonts w:cs="Arial"/>
                <w:b/>
                <w:bCs/>
                <w:sz w:val="20"/>
                <w:szCs w:val="20"/>
              </w:rPr>
            </w:pPr>
            <w:r w:rsidRPr="00C61124">
              <w:rPr>
                <w:rFonts w:cs="Arial"/>
                <w:b/>
                <w:bCs/>
                <w:sz w:val="20"/>
                <w:szCs w:val="20"/>
              </w:rPr>
              <w:t>Payment Type</w:t>
            </w:r>
          </w:p>
        </w:tc>
        <w:tc>
          <w:tcPr>
            <w:tcW w:w="1250" w:type="pct"/>
            <w:tcBorders>
              <w:top w:val="single" w:sz="4" w:space="0" w:color="auto"/>
              <w:bottom w:val="single" w:sz="4" w:space="0" w:color="auto"/>
            </w:tcBorders>
          </w:tcPr>
          <w:p w14:paraId="3E511511" w14:textId="29E521EC" w:rsidR="00E915E8" w:rsidRPr="00C61124" w:rsidRDefault="00E915E8" w:rsidP="00C61124">
            <w:pPr>
              <w:pStyle w:val="BodyText"/>
              <w:rPr>
                <w:rFonts w:cs="Arial"/>
                <w:b/>
                <w:bCs/>
                <w:sz w:val="20"/>
                <w:szCs w:val="20"/>
              </w:rPr>
            </w:pPr>
            <w:r w:rsidRPr="00C61124">
              <w:rPr>
                <w:rFonts w:cs="Arial"/>
                <w:b/>
                <w:bCs/>
                <w:sz w:val="20"/>
                <w:szCs w:val="20"/>
              </w:rPr>
              <w:t>Number</w:t>
            </w:r>
            <w:r w:rsidR="00C61124" w:rsidRPr="00C61124">
              <w:rPr>
                <w:rFonts w:cs="Arial"/>
                <w:b/>
                <w:bCs/>
                <w:sz w:val="20"/>
                <w:szCs w:val="20"/>
              </w:rPr>
              <w:t xml:space="preserve"> </w:t>
            </w:r>
            <w:r w:rsidRPr="00C61124">
              <w:rPr>
                <w:rFonts w:cs="Arial"/>
                <w:b/>
                <w:bCs/>
                <w:sz w:val="20"/>
                <w:szCs w:val="20"/>
              </w:rPr>
              <w:t>Affordable</w:t>
            </w:r>
            <w:r w:rsidR="00C61124" w:rsidRPr="00C61124">
              <w:rPr>
                <w:rFonts w:cs="Arial"/>
                <w:b/>
                <w:bCs/>
                <w:sz w:val="20"/>
                <w:szCs w:val="20"/>
              </w:rPr>
              <w:t xml:space="preserve"> </w:t>
            </w:r>
            <w:r w:rsidRPr="00C61124">
              <w:rPr>
                <w:rFonts w:cs="Arial"/>
                <w:b/>
                <w:bCs/>
                <w:sz w:val="20"/>
                <w:szCs w:val="20"/>
              </w:rPr>
              <w:t>&amp;</w:t>
            </w:r>
            <w:r w:rsidR="00C61124" w:rsidRPr="00C61124">
              <w:rPr>
                <w:rFonts w:cs="Arial"/>
                <w:b/>
                <w:bCs/>
                <w:sz w:val="20"/>
                <w:szCs w:val="20"/>
              </w:rPr>
              <w:t xml:space="preserve"> </w:t>
            </w:r>
            <w:r w:rsidRPr="00C61124">
              <w:rPr>
                <w:rFonts w:cs="Arial"/>
                <w:b/>
                <w:bCs/>
                <w:sz w:val="20"/>
                <w:szCs w:val="20"/>
              </w:rPr>
              <w:t>Appropriate</w:t>
            </w:r>
          </w:p>
        </w:tc>
        <w:tc>
          <w:tcPr>
            <w:tcW w:w="1250" w:type="pct"/>
            <w:tcBorders>
              <w:top w:val="single" w:sz="4" w:space="0" w:color="auto"/>
              <w:bottom w:val="single" w:sz="4" w:space="0" w:color="auto"/>
            </w:tcBorders>
          </w:tcPr>
          <w:p w14:paraId="47A1F6AE" w14:textId="756F4976" w:rsidR="00E915E8" w:rsidRPr="00C61124" w:rsidRDefault="00366A24" w:rsidP="00C61124">
            <w:pPr>
              <w:pStyle w:val="BodyText"/>
              <w:rPr>
                <w:rFonts w:cs="Arial"/>
                <w:b/>
                <w:bCs/>
                <w:sz w:val="20"/>
                <w:szCs w:val="20"/>
              </w:rPr>
            </w:pPr>
            <w:r w:rsidRPr="00C61124">
              <w:rPr>
                <w:rFonts w:cs="Arial"/>
                <w:b/>
                <w:bCs/>
                <w:sz w:val="20"/>
                <w:szCs w:val="20"/>
              </w:rPr>
              <w:t>Percentage</w:t>
            </w:r>
            <w:r w:rsidR="00C61124" w:rsidRPr="00C61124">
              <w:rPr>
                <w:rFonts w:cs="Arial"/>
                <w:b/>
                <w:bCs/>
                <w:sz w:val="20"/>
                <w:szCs w:val="20"/>
              </w:rPr>
              <w:t xml:space="preserve"> </w:t>
            </w:r>
            <w:r w:rsidRPr="00C61124">
              <w:rPr>
                <w:rFonts w:cs="Arial"/>
                <w:b/>
                <w:bCs/>
                <w:sz w:val="20"/>
                <w:szCs w:val="20"/>
              </w:rPr>
              <w:t>Affordable</w:t>
            </w:r>
            <w:r w:rsidR="00C61124" w:rsidRPr="00C61124">
              <w:rPr>
                <w:rFonts w:cs="Arial"/>
                <w:b/>
                <w:bCs/>
                <w:sz w:val="20"/>
                <w:szCs w:val="20"/>
              </w:rPr>
              <w:t xml:space="preserve"> </w:t>
            </w:r>
            <w:r w:rsidRPr="00C61124">
              <w:rPr>
                <w:rFonts w:cs="Arial"/>
                <w:b/>
                <w:bCs/>
                <w:sz w:val="20"/>
                <w:szCs w:val="20"/>
              </w:rPr>
              <w:t>&amp;</w:t>
            </w:r>
            <w:r w:rsidR="00C61124" w:rsidRPr="00C61124">
              <w:rPr>
                <w:rFonts w:cs="Arial"/>
                <w:b/>
                <w:bCs/>
                <w:sz w:val="20"/>
                <w:szCs w:val="20"/>
              </w:rPr>
              <w:t xml:space="preserve"> </w:t>
            </w:r>
            <w:r w:rsidRPr="00C61124">
              <w:rPr>
                <w:rFonts w:cs="Arial"/>
                <w:b/>
                <w:bCs/>
                <w:sz w:val="20"/>
                <w:szCs w:val="20"/>
              </w:rPr>
              <w:t>Appropriate</w:t>
            </w:r>
          </w:p>
        </w:tc>
      </w:tr>
      <w:tr w:rsidR="00536313" w14:paraId="55C435D6" w14:textId="77777777" w:rsidTr="00D823D1">
        <w:tc>
          <w:tcPr>
            <w:tcW w:w="1250" w:type="pct"/>
            <w:tcBorders>
              <w:top w:val="single" w:sz="4" w:space="0" w:color="auto"/>
            </w:tcBorders>
            <w:shd w:val="clear" w:color="auto" w:fill="D9E2F3" w:themeFill="accent1" w:themeFillTint="33"/>
          </w:tcPr>
          <w:p w14:paraId="1B3FD6DA" w14:textId="66E30D44" w:rsidR="00E915E8" w:rsidRPr="00C61124" w:rsidRDefault="00366A24" w:rsidP="00C61124">
            <w:pPr>
              <w:pStyle w:val="BodyText"/>
              <w:rPr>
                <w:rFonts w:cs="Arial"/>
                <w:sz w:val="20"/>
                <w:szCs w:val="20"/>
              </w:rPr>
            </w:pPr>
            <w:r w:rsidRPr="00C61124">
              <w:rPr>
                <w:rFonts w:cs="Arial"/>
                <w:sz w:val="20"/>
                <w:szCs w:val="20"/>
              </w:rPr>
              <w:t>Couple, two children</w:t>
            </w:r>
            <w:r w:rsidR="00C61124">
              <w:rPr>
                <w:rFonts w:cs="Arial"/>
                <w:sz w:val="20"/>
                <w:szCs w:val="20"/>
              </w:rPr>
              <w:t xml:space="preserve"> </w:t>
            </w:r>
            <w:r w:rsidRPr="00C61124">
              <w:rPr>
                <w:rFonts w:cs="Arial"/>
                <w:sz w:val="20"/>
                <w:szCs w:val="20"/>
              </w:rPr>
              <w:t>(one aged less than 5,</w:t>
            </w:r>
            <w:r w:rsidR="00C61124">
              <w:rPr>
                <w:rFonts w:cs="Arial"/>
                <w:sz w:val="20"/>
                <w:szCs w:val="20"/>
              </w:rPr>
              <w:t xml:space="preserve"> </w:t>
            </w:r>
            <w:r w:rsidRPr="00C61124">
              <w:rPr>
                <w:rFonts w:cs="Arial"/>
                <w:sz w:val="20"/>
                <w:szCs w:val="20"/>
              </w:rPr>
              <w:t>one aged less</w:t>
            </w:r>
            <w:r w:rsidR="00C61124">
              <w:rPr>
                <w:rFonts w:cs="Arial"/>
                <w:sz w:val="20"/>
                <w:szCs w:val="20"/>
              </w:rPr>
              <w:t xml:space="preserve"> </w:t>
            </w:r>
            <w:r w:rsidRPr="00C61124">
              <w:rPr>
                <w:rFonts w:cs="Arial"/>
                <w:sz w:val="20"/>
                <w:szCs w:val="20"/>
              </w:rPr>
              <w:t>than 10)</w:t>
            </w:r>
          </w:p>
        </w:tc>
        <w:tc>
          <w:tcPr>
            <w:tcW w:w="1250" w:type="pct"/>
            <w:tcBorders>
              <w:top w:val="single" w:sz="4" w:space="0" w:color="auto"/>
            </w:tcBorders>
            <w:shd w:val="clear" w:color="auto" w:fill="D9E2F3" w:themeFill="accent1" w:themeFillTint="33"/>
          </w:tcPr>
          <w:p w14:paraId="7B223279" w14:textId="192AECB7" w:rsidR="00E915E8" w:rsidRPr="00C61124" w:rsidRDefault="0054404A" w:rsidP="00C61124">
            <w:pPr>
              <w:pStyle w:val="BodyText"/>
              <w:rPr>
                <w:rFonts w:cs="Arial"/>
                <w:sz w:val="20"/>
                <w:szCs w:val="20"/>
              </w:rPr>
            </w:pPr>
            <w:r w:rsidRPr="00C61124">
              <w:rPr>
                <w:rFonts w:cs="Arial"/>
                <w:sz w:val="20"/>
                <w:szCs w:val="20"/>
              </w:rPr>
              <w:t xml:space="preserve">Jobseeker </w:t>
            </w:r>
            <w:r w:rsidR="00C61124">
              <w:rPr>
                <w:rFonts w:cs="Arial"/>
                <w:sz w:val="20"/>
                <w:szCs w:val="20"/>
              </w:rPr>
              <w:t>P</w:t>
            </w:r>
            <w:r w:rsidRPr="00C61124">
              <w:rPr>
                <w:rFonts w:cs="Arial"/>
                <w:sz w:val="20"/>
                <w:szCs w:val="20"/>
              </w:rPr>
              <w:t>ayment</w:t>
            </w:r>
            <w:r w:rsidR="00C61124">
              <w:rPr>
                <w:rFonts w:cs="Arial"/>
                <w:sz w:val="20"/>
                <w:szCs w:val="20"/>
              </w:rPr>
              <w:t xml:space="preserve"> </w:t>
            </w:r>
            <w:r w:rsidRPr="00C61124">
              <w:rPr>
                <w:rFonts w:cs="Arial"/>
                <w:sz w:val="20"/>
                <w:szCs w:val="20"/>
              </w:rPr>
              <w:t>(both adults)</w:t>
            </w:r>
          </w:p>
        </w:tc>
        <w:tc>
          <w:tcPr>
            <w:tcW w:w="1250" w:type="pct"/>
            <w:tcBorders>
              <w:top w:val="single" w:sz="4" w:space="0" w:color="auto"/>
            </w:tcBorders>
            <w:shd w:val="clear" w:color="auto" w:fill="D9E2F3" w:themeFill="accent1" w:themeFillTint="33"/>
          </w:tcPr>
          <w:p w14:paraId="69F73E85" w14:textId="5FFA7E27" w:rsidR="00E915E8" w:rsidRPr="00C61124" w:rsidRDefault="0054404A" w:rsidP="00F52987">
            <w:pPr>
              <w:pStyle w:val="BodyText"/>
              <w:jc w:val="right"/>
              <w:rPr>
                <w:rFonts w:cs="Arial"/>
                <w:sz w:val="20"/>
                <w:szCs w:val="20"/>
              </w:rPr>
            </w:pPr>
            <w:r w:rsidRPr="00C61124">
              <w:rPr>
                <w:rFonts w:cs="Arial"/>
                <w:sz w:val="20"/>
                <w:szCs w:val="20"/>
              </w:rPr>
              <w:t>5</w:t>
            </w:r>
          </w:p>
        </w:tc>
        <w:tc>
          <w:tcPr>
            <w:tcW w:w="1250" w:type="pct"/>
            <w:tcBorders>
              <w:top w:val="single" w:sz="4" w:space="0" w:color="auto"/>
            </w:tcBorders>
            <w:shd w:val="clear" w:color="auto" w:fill="D9E2F3" w:themeFill="accent1" w:themeFillTint="33"/>
          </w:tcPr>
          <w:p w14:paraId="4D266A2E" w14:textId="05D3E0EF" w:rsidR="00E915E8" w:rsidRPr="00C61124" w:rsidRDefault="0054404A" w:rsidP="00F52987">
            <w:pPr>
              <w:pStyle w:val="BodyText"/>
              <w:jc w:val="right"/>
              <w:rPr>
                <w:rFonts w:cs="Arial"/>
                <w:sz w:val="20"/>
                <w:szCs w:val="20"/>
              </w:rPr>
            </w:pPr>
            <w:r w:rsidRPr="00C61124">
              <w:rPr>
                <w:rFonts w:cs="Arial"/>
                <w:sz w:val="20"/>
                <w:szCs w:val="20"/>
              </w:rPr>
              <w:t>0%</w:t>
            </w:r>
          </w:p>
        </w:tc>
      </w:tr>
      <w:tr w:rsidR="00C61124" w14:paraId="1F29E3EC" w14:textId="77777777" w:rsidTr="00D823D1">
        <w:tc>
          <w:tcPr>
            <w:tcW w:w="1250" w:type="pct"/>
          </w:tcPr>
          <w:p w14:paraId="63522563" w14:textId="2385E9B7" w:rsidR="00E915E8" w:rsidRPr="00C61124" w:rsidRDefault="0054404A" w:rsidP="00C61124">
            <w:pPr>
              <w:pStyle w:val="BodyText"/>
              <w:rPr>
                <w:rFonts w:cs="Arial"/>
                <w:sz w:val="20"/>
                <w:szCs w:val="20"/>
              </w:rPr>
            </w:pPr>
            <w:r w:rsidRPr="00C61124">
              <w:rPr>
                <w:rFonts w:cs="Arial"/>
                <w:sz w:val="20"/>
                <w:szCs w:val="20"/>
              </w:rPr>
              <w:t>Single, two children</w:t>
            </w:r>
            <w:r w:rsidR="00C61124">
              <w:rPr>
                <w:rFonts w:cs="Arial"/>
                <w:sz w:val="20"/>
                <w:szCs w:val="20"/>
              </w:rPr>
              <w:t xml:space="preserve"> </w:t>
            </w:r>
            <w:r w:rsidRPr="00C61124">
              <w:rPr>
                <w:rFonts w:cs="Arial"/>
                <w:sz w:val="20"/>
                <w:szCs w:val="20"/>
              </w:rPr>
              <w:t>(one aged less than 5,</w:t>
            </w:r>
            <w:r w:rsidR="00C61124">
              <w:rPr>
                <w:rFonts w:cs="Arial"/>
                <w:sz w:val="20"/>
                <w:szCs w:val="20"/>
              </w:rPr>
              <w:t xml:space="preserve"> </w:t>
            </w:r>
            <w:r w:rsidRPr="00C61124">
              <w:rPr>
                <w:rFonts w:cs="Arial"/>
                <w:sz w:val="20"/>
                <w:szCs w:val="20"/>
              </w:rPr>
              <w:t>one aged less than 10)</w:t>
            </w:r>
          </w:p>
        </w:tc>
        <w:tc>
          <w:tcPr>
            <w:tcW w:w="1250" w:type="pct"/>
          </w:tcPr>
          <w:p w14:paraId="61712E37" w14:textId="19D52C42" w:rsidR="00E915E8" w:rsidRPr="00C61124" w:rsidRDefault="0054404A" w:rsidP="00C61124">
            <w:pPr>
              <w:pStyle w:val="BodyText"/>
              <w:rPr>
                <w:rFonts w:cs="Arial"/>
                <w:sz w:val="20"/>
                <w:szCs w:val="20"/>
              </w:rPr>
            </w:pPr>
            <w:r w:rsidRPr="00C61124">
              <w:rPr>
                <w:rFonts w:cs="Arial"/>
                <w:sz w:val="20"/>
                <w:szCs w:val="20"/>
              </w:rPr>
              <w:t>Parenting Payment</w:t>
            </w:r>
            <w:r w:rsidR="00C61124">
              <w:rPr>
                <w:rFonts w:cs="Arial"/>
                <w:sz w:val="20"/>
                <w:szCs w:val="20"/>
              </w:rPr>
              <w:t xml:space="preserve"> </w:t>
            </w:r>
            <w:r w:rsidRPr="00C61124">
              <w:rPr>
                <w:rFonts w:cs="Arial"/>
                <w:sz w:val="20"/>
                <w:szCs w:val="20"/>
              </w:rPr>
              <w:t>Single</w:t>
            </w:r>
          </w:p>
        </w:tc>
        <w:tc>
          <w:tcPr>
            <w:tcW w:w="1250" w:type="pct"/>
          </w:tcPr>
          <w:p w14:paraId="4E06D95C" w14:textId="39FF1F4C" w:rsidR="00E915E8" w:rsidRPr="00C61124" w:rsidRDefault="00E80952" w:rsidP="00F52987">
            <w:pPr>
              <w:pStyle w:val="BodyText"/>
              <w:jc w:val="right"/>
              <w:rPr>
                <w:rFonts w:cs="Arial"/>
                <w:sz w:val="20"/>
                <w:szCs w:val="20"/>
              </w:rPr>
            </w:pPr>
            <w:r w:rsidRPr="00C61124">
              <w:rPr>
                <w:rFonts w:cs="Arial"/>
                <w:sz w:val="20"/>
                <w:szCs w:val="20"/>
              </w:rPr>
              <w:t>5</w:t>
            </w:r>
          </w:p>
        </w:tc>
        <w:tc>
          <w:tcPr>
            <w:tcW w:w="1250" w:type="pct"/>
          </w:tcPr>
          <w:p w14:paraId="77CD6F0B" w14:textId="0DA00ACF" w:rsidR="00E915E8" w:rsidRPr="00C61124" w:rsidRDefault="00E80952" w:rsidP="00F52987">
            <w:pPr>
              <w:pStyle w:val="BodyText"/>
              <w:jc w:val="right"/>
              <w:rPr>
                <w:rFonts w:cs="Arial"/>
                <w:sz w:val="20"/>
                <w:szCs w:val="20"/>
              </w:rPr>
            </w:pPr>
            <w:r w:rsidRPr="00C61124">
              <w:rPr>
                <w:rFonts w:cs="Arial"/>
                <w:sz w:val="20"/>
                <w:szCs w:val="20"/>
              </w:rPr>
              <w:t>0%</w:t>
            </w:r>
          </w:p>
        </w:tc>
      </w:tr>
      <w:tr w:rsidR="00536313" w14:paraId="1311BB2A" w14:textId="77777777" w:rsidTr="00D823D1">
        <w:tc>
          <w:tcPr>
            <w:tcW w:w="1250" w:type="pct"/>
            <w:shd w:val="clear" w:color="auto" w:fill="D9E2F3" w:themeFill="accent1" w:themeFillTint="33"/>
          </w:tcPr>
          <w:p w14:paraId="25199001" w14:textId="361E14DB" w:rsidR="00E915E8" w:rsidRPr="00C61124" w:rsidRDefault="00E80952" w:rsidP="00366A24">
            <w:pPr>
              <w:pStyle w:val="BodyText"/>
              <w:rPr>
                <w:rFonts w:cs="Arial"/>
                <w:sz w:val="20"/>
                <w:szCs w:val="20"/>
              </w:rPr>
            </w:pPr>
            <w:r w:rsidRPr="00C61124">
              <w:rPr>
                <w:rFonts w:cs="Arial"/>
                <w:sz w:val="20"/>
                <w:szCs w:val="20"/>
              </w:rPr>
              <w:t>Couple, no children</w:t>
            </w:r>
          </w:p>
        </w:tc>
        <w:tc>
          <w:tcPr>
            <w:tcW w:w="1250" w:type="pct"/>
            <w:shd w:val="clear" w:color="auto" w:fill="D9E2F3" w:themeFill="accent1" w:themeFillTint="33"/>
          </w:tcPr>
          <w:p w14:paraId="60B643D6" w14:textId="4C5E745B" w:rsidR="00E915E8" w:rsidRPr="00C61124" w:rsidRDefault="00E80952" w:rsidP="00366A24">
            <w:pPr>
              <w:pStyle w:val="BodyText"/>
              <w:rPr>
                <w:rFonts w:cs="Arial"/>
                <w:sz w:val="20"/>
                <w:szCs w:val="20"/>
              </w:rPr>
            </w:pPr>
            <w:r w:rsidRPr="00C61124">
              <w:rPr>
                <w:rFonts w:cs="Arial"/>
                <w:sz w:val="20"/>
                <w:szCs w:val="20"/>
              </w:rPr>
              <w:t>Age Pension</w:t>
            </w:r>
          </w:p>
        </w:tc>
        <w:tc>
          <w:tcPr>
            <w:tcW w:w="1250" w:type="pct"/>
            <w:shd w:val="clear" w:color="auto" w:fill="D9E2F3" w:themeFill="accent1" w:themeFillTint="33"/>
          </w:tcPr>
          <w:p w14:paraId="4B5561E7" w14:textId="5EA2A3E5" w:rsidR="00E915E8" w:rsidRPr="00C61124" w:rsidRDefault="00E80952" w:rsidP="00F52987">
            <w:pPr>
              <w:pStyle w:val="BodyText"/>
              <w:jc w:val="right"/>
              <w:rPr>
                <w:rFonts w:cs="Arial"/>
                <w:sz w:val="20"/>
                <w:szCs w:val="20"/>
              </w:rPr>
            </w:pPr>
            <w:r w:rsidRPr="00C61124">
              <w:rPr>
                <w:rFonts w:cs="Arial"/>
                <w:sz w:val="20"/>
                <w:szCs w:val="20"/>
              </w:rPr>
              <w:t>6</w:t>
            </w:r>
          </w:p>
        </w:tc>
        <w:tc>
          <w:tcPr>
            <w:tcW w:w="1250" w:type="pct"/>
            <w:shd w:val="clear" w:color="auto" w:fill="D9E2F3" w:themeFill="accent1" w:themeFillTint="33"/>
          </w:tcPr>
          <w:p w14:paraId="2599A9BF" w14:textId="78E93B15" w:rsidR="00E915E8" w:rsidRPr="00C61124" w:rsidRDefault="00E80952" w:rsidP="00F52987">
            <w:pPr>
              <w:pStyle w:val="BodyText"/>
              <w:jc w:val="right"/>
              <w:rPr>
                <w:rFonts w:cs="Arial"/>
                <w:sz w:val="20"/>
                <w:szCs w:val="20"/>
              </w:rPr>
            </w:pPr>
            <w:r w:rsidRPr="00C61124">
              <w:rPr>
                <w:rFonts w:cs="Arial"/>
                <w:sz w:val="20"/>
                <w:szCs w:val="20"/>
              </w:rPr>
              <w:t>0%</w:t>
            </w:r>
          </w:p>
        </w:tc>
      </w:tr>
      <w:tr w:rsidR="00C61124" w14:paraId="0E92F87D" w14:textId="77777777" w:rsidTr="00D823D1">
        <w:tc>
          <w:tcPr>
            <w:tcW w:w="1250" w:type="pct"/>
          </w:tcPr>
          <w:p w14:paraId="2A45E545" w14:textId="61FD077B" w:rsidR="00E915E8" w:rsidRPr="00C61124" w:rsidRDefault="00E80952" w:rsidP="00C61124">
            <w:pPr>
              <w:pStyle w:val="BodyText"/>
              <w:rPr>
                <w:rFonts w:cs="Arial"/>
                <w:sz w:val="20"/>
                <w:szCs w:val="20"/>
              </w:rPr>
            </w:pPr>
            <w:r w:rsidRPr="00C61124">
              <w:rPr>
                <w:rFonts w:cs="Arial"/>
                <w:sz w:val="20"/>
                <w:szCs w:val="20"/>
              </w:rPr>
              <w:t>Single, one child</w:t>
            </w:r>
            <w:r w:rsidR="00C61124">
              <w:rPr>
                <w:rFonts w:cs="Arial"/>
                <w:sz w:val="20"/>
                <w:szCs w:val="20"/>
              </w:rPr>
              <w:t xml:space="preserve"> </w:t>
            </w:r>
            <w:r w:rsidRPr="00C61124">
              <w:rPr>
                <w:rFonts w:cs="Arial"/>
                <w:sz w:val="20"/>
                <w:szCs w:val="20"/>
              </w:rPr>
              <w:t>(aged less than 5)</w:t>
            </w:r>
          </w:p>
        </w:tc>
        <w:tc>
          <w:tcPr>
            <w:tcW w:w="1250" w:type="pct"/>
          </w:tcPr>
          <w:p w14:paraId="56794595" w14:textId="2840A5A0" w:rsidR="00E915E8" w:rsidRPr="00C61124" w:rsidRDefault="00057C3D" w:rsidP="00C61124">
            <w:pPr>
              <w:pStyle w:val="BodyText"/>
              <w:rPr>
                <w:rFonts w:cs="Arial"/>
                <w:sz w:val="20"/>
                <w:szCs w:val="20"/>
              </w:rPr>
            </w:pPr>
            <w:r w:rsidRPr="00C61124">
              <w:rPr>
                <w:rFonts w:cs="Arial"/>
                <w:sz w:val="20"/>
                <w:szCs w:val="20"/>
              </w:rPr>
              <w:t>Parenting Payment</w:t>
            </w:r>
            <w:r w:rsidR="00C61124">
              <w:rPr>
                <w:rFonts w:cs="Arial"/>
                <w:sz w:val="20"/>
                <w:szCs w:val="20"/>
              </w:rPr>
              <w:t xml:space="preserve"> </w:t>
            </w:r>
            <w:r w:rsidRPr="00C61124">
              <w:rPr>
                <w:rFonts w:cs="Arial"/>
                <w:sz w:val="20"/>
                <w:szCs w:val="20"/>
              </w:rPr>
              <w:t>Single</w:t>
            </w:r>
          </w:p>
        </w:tc>
        <w:tc>
          <w:tcPr>
            <w:tcW w:w="1250" w:type="pct"/>
          </w:tcPr>
          <w:p w14:paraId="056F43D8" w14:textId="472A2BF7" w:rsidR="00E915E8" w:rsidRPr="00C61124" w:rsidRDefault="00057C3D" w:rsidP="00F52987">
            <w:pPr>
              <w:pStyle w:val="BodyText"/>
              <w:jc w:val="right"/>
              <w:rPr>
                <w:rFonts w:cs="Arial"/>
                <w:sz w:val="20"/>
                <w:szCs w:val="20"/>
              </w:rPr>
            </w:pPr>
            <w:r w:rsidRPr="00C61124">
              <w:rPr>
                <w:rFonts w:cs="Arial"/>
                <w:sz w:val="20"/>
                <w:szCs w:val="20"/>
              </w:rPr>
              <w:t>4</w:t>
            </w:r>
          </w:p>
        </w:tc>
        <w:tc>
          <w:tcPr>
            <w:tcW w:w="1250" w:type="pct"/>
          </w:tcPr>
          <w:p w14:paraId="188A595D" w14:textId="7CBFFDFD" w:rsidR="00E915E8" w:rsidRPr="00C61124" w:rsidRDefault="00057C3D" w:rsidP="00F52987">
            <w:pPr>
              <w:pStyle w:val="BodyText"/>
              <w:jc w:val="right"/>
              <w:rPr>
                <w:rFonts w:cs="Arial"/>
                <w:sz w:val="20"/>
                <w:szCs w:val="20"/>
              </w:rPr>
            </w:pPr>
            <w:r w:rsidRPr="00C61124">
              <w:rPr>
                <w:rFonts w:cs="Arial"/>
                <w:sz w:val="20"/>
                <w:szCs w:val="20"/>
              </w:rPr>
              <w:t>0%</w:t>
            </w:r>
          </w:p>
        </w:tc>
      </w:tr>
      <w:tr w:rsidR="00536313" w14:paraId="6379C7C0" w14:textId="77777777" w:rsidTr="00D823D1">
        <w:tc>
          <w:tcPr>
            <w:tcW w:w="1250" w:type="pct"/>
            <w:shd w:val="clear" w:color="auto" w:fill="D9E2F3" w:themeFill="accent1" w:themeFillTint="33"/>
          </w:tcPr>
          <w:p w14:paraId="375393A0" w14:textId="579E63DF" w:rsidR="00E915E8" w:rsidRPr="00C61124" w:rsidRDefault="00057C3D" w:rsidP="00C61124">
            <w:pPr>
              <w:pStyle w:val="BodyText"/>
              <w:rPr>
                <w:rFonts w:cs="Arial"/>
                <w:sz w:val="20"/>
                <w:szCs w:val="20"/>
              </w:rPr>
            </w:pPr>
            <w:r w:rsidRPr="00C61124">
              <w:rPr>
                <w:rFonts w:cs="Arial"/>
                <w:sz w:val="20"/>
                <w:szCs w:val="20"/>
              </w:rPr>
              <w:t>Single, one child</w:t>
            </w:r>
            <w:r w:rsidR="00C61124">
              <w:rPr>
                <w:rFonts w:cs="Arial"/>
                <w:sz w:val="20"/>
                <w:szCs w:val="20"/>
              </w:rPr>
              <w:t xml:space="preserve"> </w:t>
            </w:r>
            <w:r w:rsidRPr="00C61124">
              <w:rPr>
                <w:rFonts w:cs="Arial"/>
                <w:sz w:val="20"/>
                <w:szCs w:val="20"/>
              </w:rPr>
              <w:t>(aged over 8)</w:t>
            </w:r>
          </w:p>
        </w:tc>
        <w:tc>
          <w:tcPr>
            <w:tcW w:w="1250" w:type="pct"/>
            <w:shd w:val="clear" w:color="auto" w:fill="D9E2F3" w:themeFill="accent1" w:themeFillTint="33"/>
          </w:tcPr>
          <w:p w14:paraId="1C532E27" w14:textId="4F87625C" w:rsidR="00E915E8" w:rsidRPr="00C61124" w:rsidRDefault="00057C3D" w:rsidP="00366A24">
            <w:pPr>
              <w:pStyle w:val="BodyText"/>
              <w:rPr>
                <w:rFonts w:cs="Arial"/>
                <w:sz w:val="20"/>
                <w:szCs w:val="20"/>
              </w:rPr>
            </w:pPr>
            <w:r w:rsidRPr="00C61124">
              <w:rPr>
                <w:rFonts w:cs="Arial"/>
                <w:sz w:val="20"/>
                <w:szCs w:val="20"/>
              </w:rPr>
              <w:t>Jobseeker</w:t>
            </w:r>
            <w:r w:rsidR="00F52987">
              <w:rPr>
                <w:rFonts w:cs="Arial"/>
                <w:sz w:val="20"/>
                <w:szCs w:val="20"/>
              </w:rPr>
              <w:t xml:space="preserve"> </w:t>
            </w:r>
            <w:r w:rsidRPr="00C61124">
              <w:rPr>
                <w:rFonts w:cs="Arial"/>
                <w:sz w:val="20"/>
                <w:szCs w:val="20"/>
              </w:rPr>
              <w:t>Payment</w:t>
            </w:r>
          </w:p>
        </w:tc>
        <w:tc>
          <w:tcPr>
            <w:tcW w:w="1250" w:type="pct"/>
            <w:shd w:val="clear" w:color="auto" w:fill="D9E2F3" w:themeFill="accent1" w:themeFillTint="33"/>
          </w:tcPr>
          <w:p w14:paraId="3E1E5D84" w14:textId="3A31D78D" w:rsidR="00E915E8" w:rsidRPr="00C61124" w:rsidRDefault="00057C3D" w:rsidP="00F52987">
            <w:pPr>
              <w:pStyle w:val="BodyText"/>
              <w:jc w:val="right"/>
              <w:rPr>
                <w:rFonts w:cs="Arial"/>
                <w:sz w:val="20"/>
                <w:szCs w:val="20"/>
              </w:rPr>
            </w:pPr>
            <w:r w:rsidRPr="00C61124">
              <w:rPr>
                <w:rFonts w:cs="Arial"/>
                <w:sz w:val="20"/>
                <w:szCs w:val="20"/>
              </w:rPr>
              <w:t>0</w:t>
            </w:r>
          </w:p>
        </w:tc>
        <w:tc>
          <w:tcPr>
            <w:tcW w:w="1250" w:type="pct"/>
            <w:shd w:val="clear" w:color="auto" w:fill="D9E2F3" w:themeFill="accent1" w:themeFillTint="33"/>
          </w:tcPr>
          <w:p w14:paraId="2DF67881" w14:textId="68804A3B" w:rsidR="00E915E8" w:rsidRPr="00C61124" w:rsidRDefault="00057C3D" w:rsidP="00F52987">
            <w:pPr>
              <w:pStyle w:val="BodyText"/>
              <w:jc w:val="right"/>
              <w:rPr>
                <w:rFonts w:cs="Arial"/>
                <w:sz w:val="20"/>
                <w:szCs w:val="20"/>
              </w:rPr>
            </w:pPr>
            <w:r w:rsidRPr="00C61124">
              <w:rPr>
                <w:rFonts w:cs="Arial"/>
                <w:sz w:val="20"/>
                <w:szCs w:val="20"/>
              </w:rPr>
              <w:t>0%</w:t>
            </w:r>
          </w:p>
        </w:tc>
      </w:tr>
      <w:tr w:rsidR="00C61124" w14:paraId="1AF4C257" w14:textId="77777777" w:rsidTr="00D823D1">
        <w:tc>
          <w:tcPr>
            <w:tcW w:w="1250" w:type="pct"/>
          </w:tcPr>
          <w:p w14:paraId="51F0F740" w14:textId="2B9EA53F" w:rsidR="00E915E8" w:rsidRPr="00C61124" w:rsidRDefault="00A31CB7" w:rsidP="00366A24">
            <w:pPr>
              <w:pStyle w:val="BodyText"/>
              <w:rPr>
                <w:rFonts w:cs="Arial"/>
                <w:sz w:val="20"/>
                <w:szCs w:val="20"/>
              </w:rPr>
            </w:pPr>
            <w:r w:rsidRPr="00C61124">
              <w:rPr>
                <w:rFonts w:cs="Arial"/>
                <w:sz w:val="20"/>
                <w:szCs w:val="20"/>
              </w:rPr>
              <w:t>Single</w:t>
            </w:r>
          </w:p>
        </w:tc>
        <w:tc>
          <w:tcPr>
            <w:tcW w:w="1250" w:type="pct"/>
          </w:tcPr>
          <w:p w14:paraId="244A3EAC" w14:textId="73AE0B74" w:rsidR="00E915E8" w:rsidRPr="00C61124" w:rsidRDefault="00A31CB7" w:rsidP="00366A24">
            <w:pPr>
              <w:pStyle w:val="BodyText"/>
              <w:rPr>
                <w:rFonts w:cs="Arial"/>
                <w:sz w:val="20"/>
                <w:szCs w:val="20"/>
              </w:rPr>
            </w:pPr>
            <w:r w:rsidRPr="00C61124">
              <w:rPr>
                <w:rFonts w:cs="Arial"/>
                <w:sz w:val="20"/>
                <w:szCs w:val="20"/>
              </w:rPr>
              <w:t>Age Pension</w:t>
            </w:r>
          </w:p>
        </w:tc>
        <w:tc>
          <w:tcPr>
            <w:tcW w:w="1250" w:type="pct"/>
          </w:tcPr>
          <w:p w14:paraId="4F531FF4" w14:textId="76FA5175" w:rsidR="00E915E8" w:rsidRPr="00C61124" w:rsidRDefault="00A31CB7" w:rsidP="00F52987">
            <w:pPr>
              <w:pStyle w:val="BodyText"/>
              <w:jc w:val="right"/>
              <w:rPr>
                <w:rFonts w:cs="Arial"/>
                <w:sz w:val="20"/>
                <w:szCs w:val="20"/>
              </w:rPr>
            </w:pPr>
            <w:r w:rsidRPr="00C61124">
              <w:rPr>
                <w:rFonts w:cs="Arial"/>
                <w:sz w:val="20"/>
                <w:szCs w:val="20"/>
              </w:rPr>
              <w:t>4</w:t>
            </w:r>
          </w:p>
        </w:tc>
        <w:tc>
          <w:tcPr>
            <w:tcW w:w="1250" w:type="pct"/>
          </w:tcPr>
          <w:p w14:paraId="42FDBAD1" w14:textId="20A42218" w:rsidR="00E915E8" w:rsidRPr="00C61124" w:rsidRDefault="00A31CB7" w:rsidP="00F52987">
            <w:pPr>
              <w:pStyle w:val="BodyText"/>
              <w:jc w:val="right"/>
              <w:rPr>
                <w:rFonts w:cs="Arial"/>
                <w:sz w:val="20"/>
                <w:szCs w:val="20"/>
              </w:rPr>
            </w:pPr>
            <w:r w:rsidRPr="00C61124">
              <w:rPr>
                <w:rFonts w:cs="Arial"/>
                <w:sz w:val="20"/>
                <w:szCs w:val="20"/>
              </w:rPr>
              <w:t>0%</w:t>
            </w:r>
          </w:p>
        </w:tc>
      </w:tr>
      <w:tr w:rsidR="00536313" w14:paraId="0CE184C1" w14:textId="77777777" w:rsidTr="00D823D1">
        <w:tc>
          <w:tcPr>
            <w:tcW w:w="1250" w:type="pct"/>
            <w:shd w:val="clear" w:color="auto" w:fill="D9E2F3" w:themeFill="accent1" w:themeFillTint="33"/>
          </w:tcPr>
          <w:p w14:paraId="3AD031FD" w14:textId="41100C46" w:rsidR="00E915E8" w:rsidRPr="00C61124" w:rsidRDefault="00A31CB7" w:rsidP="00366A24">
            <w:pPr>
              <w:pStyle w:val="BodyText"/>
              <w:rPr>
                <w:rFonts w:cs="Arial"/>
                <w:sz w:val="20"/>
                <w:szCs w:val="20"/>
              </w:rPr>
            </w:pPr>
            <w:r w:rsidRPr="00C61124">
              <w:rPr>
                <w:rFonts w:cs="Arial"/>
                <w:sz w:val="20"/>
                <w:szCs w:val="20"/>
              </w:rPr>
              <w:t>Single aged over 21</w:t>
            </w:r>
          </w:p>
        </w:tc>
        <w:tc>
          <w:tcPr>
            <w:tcW w:w="1250" w:type="pct"/>
            <w:shd w:val="clear" w:color="auto" w:fill="D9E2F3" w:themeFill="accent1" w:themeFillTint="33"/>
          </w:tcPr>
          <w:p w14:paraId="601A7B18" w14:textId="108535DE" w:rsidR="00E915E8" w:rsidRPr="00C61124" w:rsidRDefault="001A48C4" w:rsidP="00C61124">
            <w:pPr>
              <w:pStyle w:val="BodyText"/>
              <w:rPr>
                <w:rFonts w:cs="Arial"/>
                <w:sz w:val="20"/>
                <w:szCs w:val="20"/>
              </w:rPr>
            </w:pPr>
            <w:r w:rsidRPr="00C61124">
              <w:rPr>
                <w:rFonts w:cs="Arial"/>
                <w:sz w:val="20"/>
                <w:szCs w:val="20"/>
              </w:rPr>
              <w:t>Disability Support</w:t>
            </w:r>
            <w:r w:rsidR="00C61124">
              <w:rPr>
                <w:rFonts w:cs="Arial"/>
                <w:sz w:val="20"/>
                <w:szCs w:val="20"/>
              </w:rPr>
              <w:t xml:space="preserve"> </w:t>
            </w:r>
            <w:r w:rsidRPr="00C61124">
              <w:rPr>
                <w:rFonts w:cs="Arial"/>
                <w:sz w:val="20"/>
                <w:szCs w:val="20"/>
              </w:rPr>
              <w:t>Pension</w:t>
            </w:r>
          </w:p>
        </w:tc>
        <w:tc>
          <w:tcPr>
            <w:tcW w:w="1250" w:type="pct"/>
            <w:shd w:val="clear" w:color="auto" w:fill="D9E2F3" w:themeFill="accent1" w:themeFillTint="33"/>
          </w:tcPr>
          <w:p w14:paraId="72F12CCB" w14:textId="1A42A0DF" w:rsidR="00E915E8" w:rsidRPr="00C61124" w:rsidRDefault="001A48C4" w:rsidP="00F52987">
            <w:pPr>
              <w:pStyle w:val="BodyText"/>
              <w:jc w:val="right"/>
              <w:rPr>
                <w:rFonts w:cs="Arial"/>
                <w:sz w:val="20"/>
                <w:szCs w:val="20"/>
              </w:rPr>
            </w:pPr>
            <w:r w:rsidRPr="00C61124">
              <w:rPr>
                <w:rFonts w:cs="Arial"/>
                <w:sz w:val="20"/>
                <w:szCs w:val="20"/>
              </w:rPr>
              <w:t>0</w:t>
            </w:r>
          </w:p>
        </w:tc>
        <w:tc>
          <w:tcPr>
            <w:tcW w:w="1250" w:type="pct"/>
            <w:shd w:val="clear" w:color="auto" w:fill="D9E2F3" w:themeFill="accent1" w:themeFillTint="33"/>
          </w:tcPr>
          <w:p w14:paraId="29506939" w14:textId="04C6706D" w:rsidR="00E915E8" w:rsidRPr="00C61124" w:rsidRDefault="001A48C4" w:rsidP="00F52987">
            <w:pPr>
              <w:pStyle w:val="BodyText"/>
              <w:jc w:val="right"/>
              <w:rPr>
                <w:rFonts w:cs="Arial"/>
                <w:sz w:val="20"/>
                <w:szCs w:val="20"/>
              </w:rPr>
            </w:pPr>
            <w:r w:rsidRPr="00C61124">
              <w:rPr>
                <w:rFonts w:cs="Arial"/>
                <w:sz w:val="20"/>
                <w:szCs w:val="20"/>
              </w:rPr>
              <w:t>0%</w:t>
            </w:r>
          </w:p>
        </w:tc>
      </w:tr>
      <w:tr w:rsidR="00C61124" w14:paraId="5BEEA116" w14:textId="77777777" w:rsidTr="00D823D1">
        <w:tc>
          <w:tcPr>
            <w:tcW w:w="1250" w:type="pct"/>
          </w:tcPr>
          <w:p w14:paraId="45A4F85B" w14:textId="53708903" w:rsidR="00A31CB7" w:rsidRPr="00C61124" w:rsidRDefault="001A48C4" w:rsidP="00366A24">
            <w:pPr>
              <w:pStyle w:val="BodyText"/>
              <w:rPr>
                <w:rFonts w:cs="Arial"/>
                <w:sz w:val="20"/>
                <w:szCs w:val="20"/>
              </w:rPr>
            </w:pPr>
            <w:r w:rsidRPr="00C61124">
              <w:rPr>
                <w:rFonts w:cs="Arial"/>
                <w:sz w:val="20"/>
                <w:szCs w:val="20"/>
              </w:rPr>
              <w:t>Single</w:t>
            </w:r>
          </w:p>
        </w:tc>
        <w:tc>
          <w:tcPr>
            <w:tcW w:w="1250" w:type="pct"/>
          </w:tcPr>
          <w:p w14:paraId="64D89F9C" w14:textId="6E509A55" w:rsidR="00A31CB7" w:rsidRPr="00C61124" w:rsidRDefault="001A48C4" w:rsidP="00366A24">
            <w:pPr>
              <w:pStyle w:val="BodyText"/>
              <w:rPr>
                <w:rFonts w:cs="Arial"/>
                <w:sz w:val="20"/>
                <w:szCs w:val="20"/>
              </w:rPr>
            </w:pPr>
            <w:r w:rsidRPr="00C61124">
              <w:rPr>
                <w:rFonts w:cs="Arial"/>
                <w:sz w:val="20"/>
                <w:szCs w:val="20"/>
              </w:rPr>
              <w:t>Jobseeker</w:t>
            </w:r>
            <w:r w:rsidR="00F52987">
              <w:rPr>
                <w:rFonts w:cs="Arial"/>
                <w:sz w:val="20"/>
                <w:szCs w:val="20"/>
              </w:rPr>
              <w:t xml:space="preserve"> </w:t>
            </w:r>
            <w:r w:rsidRPr="00C61124">
              <w:rPr>
                <w:rFonts w:cs="Arial"/>
                <w:sz w:val="20"/>
                <w:szCs w:val="20"/>
              </w:rPr>
              <w:t>Payment</w:t>
            </w:r>
          </w:p>
        </w:tc>
        <w:tc>
          <w:tcPr>
            <w:tcW w:w="1250" w:type="pct"/>
          </w:tcPr>
          <w:p w14:paraId="65701ABB" w14:textId="6809C3AA" w:rsidR="00A31CB7" w:rsidRPr="00C61124" w:rsidRDefault="001A48C4" w:rsidP="00F52987">
            <w:pPr>
              <w:pStyle w:val="BodyText"/>
              <w:jc w:val="right"/>
              <w:rPr>
                <w:rFonts w:cs="Arial"/>
                <w:sz w:val="20"/>
                <w:szCs w:val="20"/>
              </w:rPr>
            </w:pPr>
            <w:r w:rsidRPr="00C61124">
              <w:rPr>
                <w:rFonts w:cs="Arial"/>
                <w:sz w:val="20"/>
                <w:szCs w:val="20"/>
              </w:rPr>
              <w:t>0</w:t>
            </w:r>
          </w:p>
        </w:tc>
        <w:tc>
          <w:tcPr>
            <w:tcW w:w="1250" w:type="pct"/>
          </w:tcPr>
          <w:p w14:paraId="18BE69D4" w14:textId="0C44C743" w:rsidR="00A31CB7" w:rsidRPr="00C61124" w:rsidRDefault="001A48C4" w:rsidP="00F52987">
            <w:pPr>
              <w:pStyle w:val="BodyText"/>
              <w:jc w:val="right"/>
              <w:rPr>
                <w:rFonts w:cs="Arial"/>
                <w:sz w:val="20"/>
                <w:szCs w:val="20"/>
              </w:rPr>
            </w:pPr>
            <w:r w:rsidRPr="00C61124">
              <w:rPr>
                <w:rFonts w:cs="Arial"/>
                <w:sz w:val="20"/>
                <w:szCs w:val="20"/>
              </w:rPr>
              <w:t>0%</w:t>
            </w:r>
          </w:p>
        </w:tc>
      </w:tr>
      <w:tr w:rsidR="00C61124" w14:paraId="6459222C" w14:textId="77777777" w:rsidTr="00D823D1">
        <w:tc>
          <w:tcPr>
            <w:tcW w:w="1250" w:type="pct"/>
            <w:shd w:val="clear" w:color="auto" w:fill="D9E2F3" w:themeFill="accent1" w:themeFillTint="33"/>
          </w:tcPr>
          <w:p w14:paraId="4003400E" w14:textId="6C78934E" w:rsidR="00A31CB7" w:rsidRPr="00C61124" w:rsidRDefault="001A48C4" w:rsidP="00366A24">
            <w:pPr>
              <w:pStyle w:val="BodyText"/>
              <w:rPr>
                <w:rFonts w:cs="Arial"/>
                <w:sz w:val="20"/>
                <w:szCs w:val="20"/>
              </w:rPr>
            </w:pPr>
            <w:r w:rsidRPr="00C61124">
              <w:rPr>
                <w:rFonts w:cs="Arial"/>
                <w:sz w:val="20"/>
                <w:szCs w:val="20"/>
              </w:rPr>
              <w:lastRenderedPageBreak/>
              <w:t>Single aged over 18</w:t>
            </w:r>
          </w:p>
        </w:tc>
        <w:tc>
          <w:tcPr>
            <w:tcW w:w="1250" w:type="pct"/>
            <w:shd w:val="clear" w:color="auto" w:fill="D9E2F3" w:themeFill="accent1" w:themeFillTint="33"/>
          </w:tcPr>
          <w:p w14:paraId="57BD212A" w14:textId="590A21FC" w:rsidR="00A31CB7" w:rsidRPr="00C61124" w:rsidRDefault="00552BD4" w:rsidP="00366A24">
            <w:pPr>
              <w:pStyle w:val="BodyText"/>
              <w:rPr>
                <w:rFonts w:cs="Arial"/>
                <w:sz w:val="20"/>
                <w:szCs w:val="20"/>
              </w:rPr>
            </w:pPr>
            <w:r w:rsidRPr="00C61124">
              <w:rPr>
                <w:rFonts w:cs="Arial"/>
                <w:sz w:val="20"/>
                <w:szCs w:val="20"/>
              </w:rPr>
              <w:t>Youth Allowance</w:t>
            </w:r>
          </w:p>
        </w:tc>
        <w:tc>
          <w:tcPr>
            <w:tcW w:w="1250" w:type="pct"/>
            <w:shd w:val="clear" w:color="auto" w:fill="D9E2F3" w:themeFill="accent1" w:themeFillTint="33"/>
          </w:tcPr>
          <w:p w14:paraId="0DAE3E6C" w14:textId="74C69C7B" w:rsidR="00A31CB7" w:rsidRPr="00C61124" w:rsidRDefault="00552BD4" w:rsidP="00F52987">
            <w:pPr>
              <w:pStyle w:val="BodyText"/>
              <w:jc w:val="right"/>
              <w:rPr>
                <w:rFonts w:cs="Arial"/>
                <w:sz w:val="20"/>
                <w:szCs w:val="20"/>
              </w:rPr>
            </w:pPr>
            <w:r w:rsidRPr="00C61124">
              <w:rPr>
                <w:rFonts w:cs="Arial"/>
                <w:sz w:val="20"/>
                <w:szCs w:val="20"/>
              </w:rPr>
              <w:t>0</w:t>
            </w:r>
          </w:p>
        </w:tc>
        <w:tc>
          <w:tcPr>
            <w:tcW w:w="1250" w:type="pct"/>
            <w:shd w:val="clear" w:color="auto" w:fill="D9E2F3" w:themeFill="accent1" w:themeFillTint="33"/>
          </w:tcPr>
          <w:p w14:paraId="709D79DE" w14:textId="544F70B1" w:rsidR="00A31CB7" w:rsidRPr="00C61124" w:rsidRDefault="00552BD4" w:rsidP="00F52987">
            <w:pPr>
              <w:pStyle w:val="BodyText"/>
              <w:jc w:val="right"/>
              <w:rPr>
                <w:rFonts w:cs="Arial"/>
                <w:sz w:val="20"/>
                <w:szCs w:val="20"/>
              </w:rPr>
            </w:pPr>
            <w:r w:rsidRPr="00C61124">
              <w:rPr>
                <w:rFonts w:cs="Arial"/>
                <w:sz w:val="20"/>
                <w:szCs w:val="20"/>
              </w:rPr>
              <w:t>0%</w:t>
            </w:r>
          </w:p>
        </w:tc>
      </w:tr>
      <w:tr w:rsidR="00C61124" w14:paraId="66F383B0" w14:textId="77777777" w:rsidTr="00D823D1">
        <w:tc>
          <w:tcPr>
            <w:tcW w:w="1250" w:type="pct"/>
          </w:tcPr>
          <w:p w14:paraId="1F04DCC3" w14:textId="4AA68DA1" w:rsidR="00A31CB7" w:rsidRPr="00C61124" w:rsidRDefault="00552BD4" w:rsidP="00366A24">
            <w:pPr>
              <w:pStyle w:val="BodyText"/>
              <w:rPr>
                <w:rFonts w:cs="Arial"/>
                <w:sz w:val="20"/>
                <w:szCs w:val="20"/>
              </w:rPr>
            </w:pPr>
            <w:r w:rsidRPr="00C61124">
              <w:rPr>
                <w:rFonts w:cs="Arial"/>
                <w:sz w:val="20"/>
                <w:szCs w:val="20"/>
              </w:rPr>
              <w:t>Single in a share house</w:t>
            </w:r>
          </w:p>
        </w:tc>
        <w:tc>
          <w:tcPr>
            <w:tcW w:w="1250" w:type="pct"/>
          </w:tcPr>
          <w:p w14:paraId="1895E0A3" w14:textId="50DBDEDB" w:rsidR="00A31CB7" w:rsidRPr="00C61124" w:rsidRDefault="00552BD4" w:rsidP="00366A24">
            <w:pPr>
              <w:pStyle w:val="BodyText"/>
              <w:rPr>
                <w:rFonts w:cs="Arial"/>
                <w:sz w:val="20"/>
                <w:szCs w:val="20"/>
              </w:rPr>
            </w:pPr>
            <w:r w:rsidRPr="00C61124">
              <w:rPr>
                <w:rFonts w:cs="Arial"/>
                <w:sz w:val="20"/>
                <w:szCs w:val="20"/>
              </w:rPr>
              <w:t>Youth Allowance</w:t>
            </w:r>
          </w:p>
        </w:tc>
        <w:tc>
          <w:tcPr>
            <w:tcW w:w="1250" w:type="pct"/>
          </w:tcPr>
          <w:p w14:paraId="48D77EBE" w14:textId="1E0166E8" w:rsidR="00A31CB7" w:rsidRPr="00C61124" w:rsidRDefault="00552BD4" w:rsidP="00F52987">
            <w:pPr>
              <w:pStyle w:val="BodyText"/>
              <w:jc w:val="right"/>
              <w:rPr>
                <w:rFonts w:cs="Arial"/>
                <w:sz w:val="20"/>
                <w:szCs w:val="20"/>
              </w:rPr>
            </w:pPr>
            <w:r w:rsidRPr="00C61124">
              <w:rPr>
                <w:rFonts w:cs="Arial"/>
                <w:sz w:val="20"/>
                <w:szCs w:val="20"/>
              </w:rPr>
              <w:t>0</w:t>
            </w:r>
          </w:p>
        </w:tc>
        <w:tc>
          <w:tcPr>
            <w:tcW w:w="1250" w:type="pct"/>
          </w:tcPr>
          <w:p w14:paraId="0E261B57" w14:textId="38007A95" w:rsidR="00A31CB7" w:rsidRPr="00C61124" w:rsidRDefault="00552BD4" w:rsidP="00F52987">
            <w:pPr>
              <w:pStyle w:val="BodyText"/>
              <w:jc w:val="right"/>
              <w:rPr>
                <w:rFonts w:cs="Arial"/>
                <w:sz w:val="20"/>
                <w:szCs w:val="20"/>
              </w:rPr>
            </w:pPr>
            <w:r w:rsidRPr="00C61124">
              <w:rPr>
                <w:rFonts w:cs="Arial"/>
                <w:sz w:val="20"/>
                <w:szCs w:val="20"/>
              </w:rPr>
              <w:t>0%</w:t>
            </w:r>
          </w:p>
        </w:tc>
      </w:tr>
      <w:tr w:rsidR="00C61124" w14:paraId="2C2DDA15" w14:textId="77777777" w:rsidTr="00D823D1">
        <w:tc>
          <w:tcPr>
            <w:tcW w:w="1250" w:type="pct"/>
            <w:shd w:val="clear" w:color="auto" w:fill="D9E2F3" w:themeFill="accent1" w:themeFillTint="33"/>
          </w:tcPr>
          <w:p w14:paraId="67BD31B4" w14:textId="2DBB4157" w:rsidR="00552BD4" w:rsidRPr="00C61124" w:rsidRDefault="00F749EC" w:rsidP="00C61124">
            <w:pPr>
              <w:pStyle w:val="BodyText"/>
              <w:rPr>
                <w:rFonts w:cs="Arial"/>
                <w:sz w:val="20"/>
                <w:szCs w:val="20"/>
              </w:rPr>
            </w:pPr>
            <w:r w:rsidRPr="00C61124">
              <w:rPr>
                <w:rFonts w:cs="Arial"/>
                <w:sz w:val="20"/>
                <w:szCs w:val="20"/>
              </w:rPr>
              <w:t>Couple, two children</w:t>
            </w:r>
            <w:r w:rsidR="00C61124">
              <w:rPr>
                <w:rFonts w:cs="Arial"/>
                <w:sz w:val="20"/>
                <w:szCs w:val="20"/>
              </w:rPr>
              <w:t xml:space="preserve"> </w:t>
            </w:r>
            <w:r w:rsidRPr="00C61124">
              <w:rPr>
                <w:rFonts w:cs="Arial"/>
                <w:sz w:val="20"/>
                <w:szCs w:val="20"/>
              </w:rPr>
              <w:t>(one aged less than 5,</w:t>
            </w:r>
            <w:r w:rsidR="00C61124">
              <w:rPr>
                <w:rFonts w:cs="Arial"/>
                <w:sz w:val="20"/>
                <w:szCs w:val="20"/>
              </w:rPr>
              <w:t xml:space="preserve"> </w:t>
            </w:r>
            <w:r w:rsidRPr="00C61124">
              <w:rPr>
                <w:rFonts w:cs="Arial"/>
                <w:sz w:val="20"/>
                <w:szCs w:val="20"/>
              </w:rPr>
              <w:t>one aged less than 10)</w:t>
            </w:r>
          </w:p>
        </w:tc>
        <w:tc>
          <w:tcPr>
            <w:tcW w:w="1250" w:type="pct"/>
            <w:shd w:val="clear" w:color="auto" w:fill="D9E2F3" w:themeFill="accent1" w:themeFillTint="33"/>
          </w:tcPr>
          <w:p w14:paraId="6028B3EF" w14:textId="149798C1" w:rsidR="00552BD4" w:rsidRPr="00C61124" w:rsidRDefault="00F749EC" w:rsidP="00C61124">
            <w:pPr>
              <w:pStyle w:val="BodyText"/>
              <w:rPr>
                <w:rFonts w:cs="Arial"/>
                <w:sz w:val="20"/>
                <w:szCs w:val="20"/>
              </w:rPr>
            </w:pPr>
            <w:r w:rsidRPr="00C61124">
              <w:rPr>
                <w:rFonts w:cs="Arial"/>
                <w:sz w:val="20"/>
                <w:szCs w:val="20"/>
              </w:rPr>
              <w:t>Minimum Wage +</w:t>
            </w:r>
            <w:r w:rsidR="00C61124">
              <w:rPr>
                <w:rFonts w:cs="Arial"/>
                <w:sz w:val="20"/>
                <w:szCs w:val="20"/>
              </w:rPr>
              <w:t xml:space="preserve"> </w:t>
            </w:r>
            <w:proofErr w:type="spellStart"/>
            <w:r w:rsidRPr="00C61124">
              <w:rPr>
                <w:rFonts w:cs="Arial"/>
                <w:sz w:val="20"/>
                <w:szCs w:val="20"/>
              </w:rPr>
              <w:t>FTB</w:t>
            </w:r>
            <w:proofErr w:type="spellEnd"/>
            <w:r w:rsidRPr="00C61124">
              <w:rPr>
                <w:rFonts w:cs="Arial"/>
                <w:sz w:val="20"/>
                <w:szCs w:val="20"/>
              </w:rPr>
              <w:t xml:space="preserve"> A</w:t>
            </w:r>
            <w:r w:rsidR="00C61124">
              <w:rPr>
                <w:rFonts w:cs="Arial"/>
                <w:sz w:val="20"/>
                <w:szCs w:val="20"/>
              </w:rPr>
              <w:t xml:space="preserve"> </w:t>
            </w:r>
            <w:r w:rsidRPr="00C61124">
              <w:rPr>
                <w:rFonts w:cs="Arial"/>
                <w:sz w:val="20"/>
                <w:szCs w:val="20"/>
              </w:rPr>
              <w:t>(both adults)</w:t>
            </w:r>
          </w:p>
        </w:tc>
        <w:tc>
          <w:tcPr>
            <w:tcW w:w="1250" w:type="pct"/>
            <w:shd w:val="clear" w:color="auto" w:fill="D9E2F3" w:themeFill="accent1" w:themeFillTint="33"/>
          </w:tcPr>
          <w:p w14:paraId="148BC719" w14:textId="738F94D1" w:rsidR="00552BD4" w:rsidRPr="00C61124" w:rsidRDefault="00F749EC" w:rsidP="00F52987">
            <w:pPr>
              <w:pStyle w:val="BodyText"/>
              <w:jc w:val="right"/>
              <w:rPr>
                <w:rFonts w:cs="Arial"/>
                <w:sz w:val="20"/>
                <w:szCs w:val="20"/>
              </w:rPr>
            </w:pPr>
            <w:r w:rsidRPr="00C61124">
              <w:rPr>
                <w:rFonts w:cs="Arial"/>
                <w:sz w:val="20"/>
                <w:szCs w:val="20"/>
              </w:rPr>
              <w:t>7</w:t>
            </w:r>
          </w:p>
        </w:tc>
        <w:tc>
          <w:tcPr>
            <w:tcW w:w="1250" w:type="pct"/>
            <w:shd w:val="clear" w:color="auto" w:fill="D9E2F3" w:themeFill="accent1" w:themeFillTint="33"/>
          </w:tcPr>
          <w:p w14:paraId="5161B371" w14:textId="36BE3D15" w:rsidR="00552BD4" w:rsidRPr="00C61124" w:rsidRDefault="00F749EC" w:rsidP="00F52987">
            <w:pPr>
              <w:pStyle w:val="BodyText"/>
              <w:jc w:val="right"/>
              <w:rPr>
                <w:rFonts w:cs="Arial"/>
                <w:sz w:val="20"/>
                <w:szCs w:val="20"/>
              </w:rPr>
            </w:pPr>
            <w:r w:rsidRPr="00C61124">
              <w:rPr>
                <w:rFonts w:cs="Arial"/>
                <w:sz w:val="20"/>
                <w:szCs w:val="20"/>
              </w:rPr>
              <w:t>1%</w:t>
            </w:r>
          </w:p>
        </w:tc>
      </w:tr>
      <w:tr w:rsidR="00C61124" w14:paraId="503E44C3" w14:textId="77777777" w:rsidTr="00D823D1">
        <w:tc>
          <w:tcPr>
            <w:tcW w:w="1250" w:type="pct"/>
          </w:tcPr>
          <w:p w14:paraId="7E05B01E" w14:textId="6D82066A" w:rsidR="00552BD4" w:rsidRPr="00C61124" w:rsidRDefault="00F749EC" w:rsidP="00C61124">
            <w:pPr>
              <w:pStyle w:val="BodyText"/>
              <w:rPr>
                <w:rFonts w:cs="Arial"/>
                <w:sz w:val="20"/>
                <w:szCs w:val="20"/>
              </w:rPr>
            </w:pPr>
            <w:r w:rsidRPr="00C61124">
              <w:rPr>
                <w:rFonts w:cs="Arial"/>
                <w:sz w:val="20"/>
                <w:szCs w:val="20"/>
              </w:rPr>
              <w:t>Single, two children</w:t>
            </w:r>
            <w:r w:rsidR="00C61124">
              <w:rPr>
                <w:rFonts w:cs="Arial"/>
                <w:sz w:val="20"/>
                <w:szCs w:val="20"/>
              </w:rPr>
              <w:t xml:space="preserve"> </w:t>
            </w:r>
            <w:r w:rsidRPr="00C61124">
              <w:rPr>
                <w:rFonts w:cs="Arial"/>
                <w:sz w:val="20"/>
                <w:szCs w:val="20"/>
              </w:rPr>
              <w:t>(one aged less than 5,</w:t>
            </w:r>
            <w:r w:rsidR="00C61124">
              <w:rPr>
                <w:rFonts w:cs="Arial"/>
                <w:sz w:val="20"/>
                <w:szCs w:val="20"/>
              </w:rPr>
              <w:t xml:space="preserve"> </w:t>
            </w:r>
            <w:r w:rsidRPr="00C61124">
              <w:rPr>
                <w:rFonts w:cs="Arial"/>
                <w:sz w:val="20"/>
                <w:szCs w:val="20"/>
              </w:rPr>
              <w:t>one aged less than 10)</w:t>
            </w:r>
          </w:p>
        </w:tc>
        <w:tc>
          <w:tcPr>
            <w:tcW w:w="1250" w:type="pct"/>
          </w:tcPr>
          <w:p w14:paraId="3B42649D" w14:textId="2BDEC448" w:rsidR="00552BD4" w:rsidRPr="00C61124" w:rsidRDefault="005B2B7E" w:rsidP="00C61124">
            <w:pPr>
              <w:pStyle w:val="BodyText"/>
              <w:rPr>
                <w:rFonts w:cs="Arial"/>
                <w:sz w:val="20"/>
                <w:szCs w:val="20"/>
              </w:rPr>
            </w:pPr>
            <w:r w:rsidRPr="00C61124">
              <w:rPr>
                <w:rFonts w:cs="Arial"/>
                <w:sz w:val="20"/>
                <w:szCs w:val="20"/>
              </w:rPr>
              <w:t>Minimum Wage +</w:t>
            </w:r>
            <w:r w:rsidR="00C61124">
              <w:rPr>
                <w:rFonts w:cs="Arial"/>
                <w:sz w:val="20"/>
                <w:szCs w:val="20"/>
              </w:rPr>
              <w:t xml:space="preserve"> </w:t>
            </w:r>
            <w:proofErr w:type="spellStart"/>
            <w:r w:rsidRPr="00C61124">
              <w:rPr>
                <w:rFonts w:cs="Arial"/>
                <w:sz w:val="20"/>
                <w:szCs w:val="20"/>
              </w:rPr>
              <w:t>FTB</w:t>
            </w:r>
            <w:proofErr w:type="spellEnd"/>
            <w:r w:rsidRPr="00C61124">
              <w:rPr>
                <w:rFonts w:cs="Arial"/>
                <w:sz w:val="20"/>
                <w:szCs w:val="20"/>
              </w:rPr>
              <w:t xml:space="preserve"> A &amp; B</w:t>
            </w:r>
          </w:p>
        </w:tc>
        <w:tc>
          <w:tcPr>
            <w:tcW w:w="1250" w:type="pct"/>
          </w:tcPr>
          <w:p w14:paraId="7D1A9C4B" w14:textId="7A1CA7DB" w:rsidR="00552BD4" w:rsidRPr="00C61124" w:rsidRDefault="005B2B7E" w:rsidP="00F52987">
            <w:pPr>
              <w:pStyle w:val="BodyText"/>
              <w:jc w:val="right"/>
              <w:rPr>
                <w:rFonts w:cs="Arial"/>
                <w:sz w:val="20"/>
                <w:szCs w:val="20"/>
              </w:rPr>
            </w:pPr>
            <w:r w:rsidRPr="00C61124">
              <w:rPr>
                <w:rFonts w:cs="Arial"/>
                <w:sz w:val="20"/>
                <w:szCs w:val="20"/>
              </w:rPr>
              <w:t>6</w:t>
            </w:r>
          </w:p>
        </w:tc>
        <w:tc>
          <w:tcPr>
            <w:tcW w:w="1250" w:type="pct"/>
          </w:tcPr>
          <w:p w14:paraId="00EAF178" w14:textId="674EC5CA" w:rsidR="00552BD4" w:rsidRPr="00C61124" w:rsidRDefault="005B2B7E" w:rsidP="00F52987">
            <w:pPr>
              <w:pStyle w:val="BodyText"/>
              <w:jc w:val="right"/>
              <w:rPr>
                <w:rFonts w:cs="Arial"/>
                <w:sz w:val="20"/>
                <w:szCs w:val="20"/>
              </w:rPr>
            </w:pPr>
            <w:r w:rsidRPr="00C61124">
              <w:rPr>
                <w:rFonts w:cs="Arial"/>
                <w:sz w:val="20"/>
                <w:szCs w:val="20"/>
              </w:rPr>
              <w:t>0%</w:t>
            </w:r>
          </w:p>
        </w:tc>
      </w:tr>
      <w:tr w:rsidR="00C61124" w14:paraId="68AB7B0C" w14:textId="77777777" w:rsidTr="00D823D1">
        <w:tc>
          <w:tcPr>
            <w:tcW w:w="1250" w:type="pct"/>
            <w:shd w:val="clear" w:color="auto" w:fill="D9E2F3" w:themeFill="accent1" w:themeFillTint="33"/>
          </w:tcPr>
          <w:p w14:paraId="183D5B08" w14:textId="2496724F" w:rsidR="005B2B7E" w:rsidRPr="00C61124" w:rsidRDefault="005B2B7E" w:rsidP="00F749EC">
            <w:pPr>
              <w:pStyle w:val="BodyText"/>
              <w:rPr>
                <w:rFonts w:cs="Arial"/>
                <w:sz w:val="20"/>
                <w:szCs w:val="20"/>
              </w:rPr>
            </w:pPr>
            <w:r w:rsidRPr="00C61124">
              <w:rPr>
                <w:rFonts w:cs="Arial"/>
                <w:sz w:val="20"/>
                <w:szCs w:val="20"/>
              </w:rPr>
              <w:t>Single</w:t>
            </w:r>
          </w:p>
        </w:tc>
        <w:tc>
          <w:tcPr>
            <w:tcW w:w="1250" w:type="pct"/>
            <w:shd w:val="clear" w:color="auto" w:fill="D9E2F3" w:themeFill="accent1" w:themeFillTint="33"/>
          </w:tcPr>
          <w:p w14:paraId="04DA0EB6" w14:textId="166D2DA4" w:rsidR="005B2B7E" w:rsidRPr="00C61124" w:rsidRDefault="005B2B7E" w:rsidP="005B2B7E">
            <w:pPr>
              <w:pStyle w:val="BodyText"/>
              <w:rPr>
                <w:rFonts w:cs="Arial"/>
                <w:sz w:val="20"/>
                <w:szCs w:val="20"/>
              </w:rPr>
            </w:pPr>
            <w:r w:rsidRPr="00C61124">
              <w:rPr>
                <w:rFonts w:cs="Arial"/>
                <w:sz w:val="20"/>
                <w:szCs w:val="20"/>
              </w:rPr>
              <w:t>Minimum Wage</w:t>
            </w:r>
          </w:p>
        </w:tc>
        <w:tc>
          <w:tcPr>
            <w:tcW w:w="1250" w:type="pct"/>
            <w:shd w:val="clear" w:color="auto" w:fill="D9E2F3" w:themeFill="accent1" w:themeFillTint="33"/>
          </w:tcPr>
          <w:p w14:paraId="3C731690" w14:textId="4C5C64FF" w:rsidR="005B2B7E" w:rsidRPr="00C61124" w:rsidRDefault="005B2B7E" w:rsidP="00F52987">
            <w:pPr>
              <w:pStyle w:val="BodyText"/>
              <w:jc w:val="right"/>
              <w:rPr>
                <w:rFonts w:cs="Arial"/>
                <w:sz w:val="20"/>
                <w:szCs w:val="20"/>
              </w:rPr>
            </w:pPr>
            <w:r w:rsidRPr="00C61124">
              <w:rPr>
                <w:rFonts w:cs="Arial"/>
                <w:sz w:val="20"/>
                <w:szCs w:val="20"/>
              </w:rPr>
              <w:t>23</w:t>
            </w:r>
          </w:p>
        </w:tc>
        <w:tc>
          <w:tcPr>
            <w:tcW w:w="1250" w:type="pct"/>
            <w:shd w:val="clear" w:color="auto" w:fill="D9E2F3" w:themeFill="accent1" w:themeFillTint="33"/>
          </w:tcPr>
          <w:p w14:paraId="26355FDD" w14:textId="554286D2" w:rsidR="005B2B7E" w:rsidRPr="00C61124" w:rsidRDefault="005B2B7E" w:rsidP="00F52987">
            <w:pPr>
              <w:pStyle w:val="BodyText"/>
              <w:jc w:val="right"/>
              <w:rPr>
                <w:rFonts w:cs="Arial"/>
                <w:sz w:val="20"/>
                <w:szCs w:val="20"/>
              </w:rPr>
            </w:pPr>
            <w:r w:rsidRPr="00C61124">
              <w:rPr>
                <w:rFonts w:cs="Arial"/>
                <w:sz w:val="20"/>
                <w:szCs w:val="20"/>
              </w:rPr>
              <w:t>2%</w:t>
            </w:r>
          </w:p>
        </w:tc>
      </w:tr>
      <w:tr w:rsidR="00C61124" w14:paraId="6E4811D5" w14:textId="77777777" w:rsidTr="00D823D1">
        <w:tc>
          <w:tcPr>
            <w:tcW w:w="1250" w:type="pct"/>
            <w:tcBorders>
              <w:bottom w:val="single" w:sz="4" w:space="0" w:color="auto"/>
            </w:tcBorders>
          </w:tcPr>
          <w:p w14:paraId="39E22EB9" w14:textId="0902AAA3" w:rsidR="005B2B7E" w:rsidRPr="00C61124" w:rsidRDefault="00C61124" w:rsidP="00C61124">
            <w:pPr>
              <w:pStyle w:val="BodyText"/>
              <w:rPr>
                <w:rFonts w:cs="Arial"/>
                <w:sz w:val="20"/>
                <w:szCs w:val="20"/>
              </w:rPr>
            </w:pPr>
            <w:r w:rsidRPr="00C61124">
              <w:rPr>
                <w:rFonts w:cs="Arial"/>
                <w:sz w:val="20"/>
                <w:szCs w:val="20"/>
              </w:rPr>
              <w:t>Couple, two children</w:t>
            </w:r>
            <w:r>
              <w:rPr>
                <w:rFonts w:cs="Arial"/>
                <w:sz w:val="20"/>
                <w:szCs w:val="20"/>
              </w:rPr>
              <w:t xml:space="preserve"> </w:t>
            </w:r>
            <w:r w:rsidRPr="00C61124">
              <w:rPr>
                <w:rFonts w:cs="Arial"/>
                <w:sz w:val="20"/>
                <w:szCs w:val="20"/>
              </w:rPr>
              <w:t>(one aged less than 5,</w:t>
            </w:r>
            <w:r>
              <w:rPr>
                <w:rFonts w:cs="Arial"/>
                <w:sz w:val="20"/>
                <w:szCs w:val="20"/>
              </w:rPr>
              <w:t xml:space="preserve"> </w:t>
            </w:r>
            <w:r w:rsidRPr="00C61124">
              <w:rPr>
                <w:rFonts w:cs="Arial"/>
                <w:sz w:val="20"/>
                <w:szCs w:val="20"/>
              </w:rPr>
              <w:t>one aged less than 10)</w:t>
            </w:r>
          </w:p>
        </w:tc>
        <w:tc>
          <w:tcPr>
            <w:tcW w:w="1250" w:type="pct"/>
            <w:tcBorders>
              <w:bottom w:val="single" w:sz="4" w:space="0" w:color="auto"/>
            </w:tcBorders>
          </w:tcPr>
          <w:p w14:paraId="35274E38" w14:textId="7A497DB6" w:rsidR="005B2B7E" w:rsidRPr="00C61124" w:rsidRDefault="00C61124" w:rsidP="00C61124">
            <w:pPr>
              <w:pStyle w:val="BodyText"/>
              <w:rPr>
                <w:rFonts w:cs="Arial"/>
                <w:sz w:val="20"/>
                <w:szCs w:val="20"/>
              </w:rPr>
            </w:pPr>
            <w:r w:rsidRPr="00C61124">
              <w:rPr>
                <w:rFonts w:cs="Arial"/>
                <w:sz w:val="20"/>
                <w:szCs w:val="20"/>
              </w:rPr>
              <w:t>Minimum Wage +</w:t>
            </w:r>
            <w:r>
              <w:rPr>
                <w:rFonts w:cs="Arial"/>
                <w:sz w:val="20"/>
                <w:szCs w:val="20"/>
              </w:rPr>
              <w:t xml:space="preserve"> </w:t>
            </w:r>
            <w:r w:rsidRPr="00C61124">
              <w:rPr>
                <w:rFonts w:cs="Arial"/>
                <w:sz w:val="20"/>
                <w:szCs w:val="20"/>
              </w:rPr>
              <w:t>Parenting payment</w:t>
            </w:r>
            <w:r>
              <w:rPr>
                <w:rFonts w:cs="Arial"/>
                <w:sz w:val="20"/>
                <w:szCs w:val="20"/>
              </w:rPr>
              <w:t xml:space="preserve"> </w:t>
            </w:r>
            <w:r w:rsidRPr="00C61124">
              <w:rPr>
                <w:rFonts w:cs="Arial"/>
                <w:sz w:val="20"/>
                <w:szCs w:val="20"/>
              </w:rPr>
              <w:t xml:space="preserve">(partnered) + </w:t>
            </w:r>
            <w:proofErr w:type="spellStart"/>
            <w:r w:rsidRPr="00C61124">
              <w:rPr>
                <w:rFonts w:cs="Arial"/>
                <w:sz w:val="20"/>
                <w:szCs w:val="20"/>
              </w:rPr>
              <w:t>FTB</w:t>
            </w:r>
            <w:proofErr w:type="spellEnd"/>
            <w:r w:rsidRPr="00C61124">
              <w:rPr>
                <w:rFonts w:cs="Arial"/>
                <w:sz w:val="20"/>
                <w:szCs w:val="20"/>
              </w:rPr>
              <w:t xml:space="preserve"> A &amp;</w:t>
            </w:r>
            <w:r>
              <w:rPr>
                <w:rFonts w:cs="Arial"/>
                <w:sz w:val="20"/>
                <w:szCs w:val="20"/>
              </w:rPr>
              <w:t xml:space="preserve"> </w:t>
            </w:r>
            <w:r w:rsidRPr="00C61124">
              <w:rPr>
                <w:rFonts w:cs="Arial"/>
                <w:sz w:val="20"/>
                <w:szCs w:val="20"/>
              </w:rPr>
              <w:t>B</w:t>
            </w:r>
          </w:p>
        </w:tc>
        <w:tc>
          <w:tcPr>
            <w:tcW w:w="1250" w:type="pct"/>
            <w:tcBorders>
              <w:bottom w:val="single" w:sz="4" w:space="0" w:color="auto"/>
            </w:tcBorders>
          </w:tcPr>
          <w:p w14:paraId="3FF0887F" w14:textId="5357EC42" w:rsidR="005B2B7E" w:rsidRPr="00C61124" w:rsidRDefault="00C61124" w:rsidP="00F52987">
            <w:pPr>
              <w:pStyle w:val="BodyText"/>
              <w:jc w:val="right"/>
              <w:rPr>
                <w:rFonts w:cs="Arial"/>
                <w:sz w:val="20"/>
                <w:szCs w:val="20"/>
              </w:rPr>
            </w:pPr>
            <w:r w:rsidRPr="00C61124">
              <w:rPr>
                <w:rFonts w:cs="Arial"/>
                <w:sz w:val="20"/>
                <w:szCs w:val="20"/>
              </w:rPr>
              <w:t>6</w:t>
            </w:r>
          </w:p>
        </w:tc>
        <w:tc>
          <w:tcPr>
            <w:tcW w:w="1250" w:type="pct"/>
            <w:tcBorders>
              <w:bottom w:val="single" w:sz="4" w:space="0" w:color="auto"/>
            </w:tcBorders>
          </w:tcPr>
          <w:p w14:paraId="09B134ED" w14:textId="435EAEF4" w:rsidR="005B2B7E" w:rsidRPr="00C61124" w:rsidRDefault="00C61124" w:rsidP="00F52987">
            <w:pPr>
              <w:pStyle w:val="BodyText"/>
              <w:jc w:val="right"/>
              <w:rPr>
                <w:rFonts w:cs="Arial"/>
                <w:sz w:val="20"/>
                <w:szCs w:val="20"/>
              </w:rPr>
            </w:pPr>
            <w:r w:rsidRPr="00C61124">
              <w:rPr>
                <w:rFonts w:cs="Arial"/>
                <w:sz w:val="20"/>
                <w:szCs w:val="20"/>
              </w:rPr>
              <w:t>0%</w:t>
            </w:r>
          </w:p>
        </w:tc>
      </w:tr>
      <w:tr w:rsidR="00C61124" w14:paraId="6CB79B2F" w14:textId="77777777" w:rsidTr="00D823D1">
        <w:tc>
          <w:tcPr>
            <w:tcW w:w="1250" w:type="pct"/>
            <w:tcBorders>
              <w:top w:val="single" w:sz="4" w:space="0" w:color="auto"/>
              <w:bottom w:val="single" w:sz="4" w:space="0" w:color="auto"/>
            </w:tcBorders>
            <w:shd w:val="clear" w:color="auto" w:fill="D9E2F3" w:themeFill="accent1" w:themeFillTint="33"/>
          </w:tcPr>
          <w:p w14:paraId="3D014F43" w14:textId="4A1DECA1" w:rsidR="00C61124" w:rsidRPr="00C61124" w:rsidRDefault="00C61124" w:rsidP="00C61124">
            <w:pPr>
              <w:pStyle w:val="BodyText"/>
              <w:rPr>
                <w:rFonts w:cs="Arial"/>
                <w:sz w:val="20"/>
                <w:szCs w:val="20"/>
              </w:rPr>
            </w:pPr>
            <w:r w:rsidRPr="00C61124">
              <w:rPr>
                <w:rFonts w:cs="Arial"/>
                <w:sz w:val="20"/>
                <w:szCs w:val="20"/>
              </w:rPr>
              <w:t>Total no. of properties</w:t>
            </w:r>
          </w:p>
        </w:tc>
        <w:tc>
          <w:tcPr>
            <w:tcW w:w="1250" w:type="pct"/>
            <w:tcBorders>
              <w:top w:val="single" w:sz="4" w:space="0" w:color="auto"/>
              <w:bottom w:val="single" w:sz="4" w:space="0" w:color="auto"/>
            </w:tcBorders>
            <w:shd w:val="clear" w:color="auto" w:fill="D9E2F3" w:themeFill="accent1" w:themeFillTint="33"/>
          </w:tcPr>
          <w:p w14:paraId="764A95AD" w14:textId="40DEECC2" w:rsidR="00C61124" w:rsidRPr="00C61124" w:rsidRDefault="00C61124" w:rsidP="00536313">
            <w:pPr>
              <w:pStyle w:val="BodyText"/>
              <w:rPr>
                <w:rFonts w:cs="Arial"/>
                <w:sz w:val="20"/>
                <w:szCs w:val="20"/>
              </w:rPr>
            </w:pPr>
            <w:r w:rsidRPr="00C61124">
              <w:rPr>
                <w:rFonts w:cs="Arial"/>
                <w:sz w:val="20"/>
                <w:szCs w:val="20"/>
              </w:rPr>
              <w:t>1,354</w:t>
            </w:r>
          </w:p>
        </w:tc>
        <w:tc>
          <w:tcPr>
            <w:tcW w:w="1250" w:type="pct"/>
            <w:tcBorders>
              <w:top w:val="single" w:sz="4" w:space="0" w:color="auto"/>
              <w:bottom w:val="single" w:sz="4" w:space="0" w:color="auto"/>
            </w:tcBorders>
            <w:shd w:val="clear" w:color="auto" w:fill="D9E2F3" w:themeFill="accent1" w:themeFillTint="33"/>
          </w:tcPr>
          <w:p w14:paraId="265D13F9" w14:textId="77777777" w:rsidR="00C61124" w:rsidRPr="00C61124" w:rsidRDefault="00C61124" w:rsidP="00F52987">
            <w:pPr>
              <w:pStyle w:val="BodyText"/>
              <w:jc w:val="right"/>
              <w:rPr>
                <w:rFonts w:cs="Arial"/>
                <w:sz w:val="20"/>
                <w:szCs w:val="20"/>
              </w:rPr>
            </w:pPr>
          </w:p>
        </w:tc>
        <w:tc>
          <w:tcPr>
            <w:tcW w:w="1250" w:type="pct"/>
            <w:tcBorders>
              <w:top w:val="single" w:sz="4" w:space="0" w:color="auto"/>
              <w:bottom w:val="single" w:sz="4" w:space="0" w:color="auto"/>
            </w:tcBorders>
            <w:shd w:val="clear" w:color="auto" w:fill="D9E2F3" w:themeFill="accent1" w:themeFillTint="33"/>
          </w:tcPr>
          <w:p w14:paraId="5BD3F054" w14:textId="77777777" w:rsidR="00C61124" w:rsidRPr="00C61124" w:rsidRDefault="00C61124" w:rsidP="00F52987">
            <w:pPr>
              <w:pStyle w:val="BodyText"/>
              <w:jc w:val="right"/>
              <w:rPr>
                <w:rFonts w:cs="Arial"/>
                <w:sz w:val="20"/>
                <w:szCs w:val="20"/>
              </w:rPr>
            </w:pPr>
          </w:p>
        </w:tc>
      </w:tr>
    </w:tbl>
    <w:p w14:paraId="6273016D" w14:textId="525E53F3" w:rsidR="00C8247C" w:rsidRDefault="001B66E9" w:rsidP="00536313">
      <w:pPr>
        <w:pStyle w:val="Source"/>
      </w:pPr>
      <w:r>
        <w:t xml:space="preserve">Source: </w:t>
      </w:r>
      <w:r w:rsidRPr="001B66E9">
        <w:t xml:space="preserve">Anglicare Australia, </w:t>
      </w:r>
      <w:hyperlink r:id="rId36" w:history="1">
        <w:r w:rsidRPr="00536313">
          <w:rPr>
            <w:rStyle w:val="Hyperlink"/>
            <w:i/>
            <w:iCs/>
          </w:rPr>
          <w:t>Rental Affordability Snapshot: Regional Reports</w:t>
        </w:r>
      </w:hyperlink>
      <w:r w:rsidRPr="001B66E9">
        <w:t>, Anglicare Australia, Canberra, April 2022, ‘ACT and Queanbeyan’, pp. 33-4, accessed 28 April 2022.</w:t>
      </w:r>
    </w:p>
    <w:p w14:paraId="698CC69C" w14:textId="77F851B0" w:rsidR="003001FA" w:rsidRDefault="002157FA" w:rsidP="008B75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pPr>
      <w:r>
        <w:t xml:space="preserve">While </w:t>
      </w:r>
      <w:r w:rsidR="00CB7911" w:rsidRPr="00CB7911">
        <w:t xml:space="preserve">Commonwealth Rent Assistance (CRA) provides </w:t>
      </w:r>
      <w:r w:rsidR="0028312A">
        <w:t>much-needed</w:t>
      </w:r>
      <w:r w:rsidR="00CB7911" w:rsidRPr="00CB7911">
        <w:t xml:space="preserve"> assistance to tenants with low incomes in private housing, it has failed to keep pace with steep increases in rents. </w:t>
      </w:r>
      <w:r w:rsidR="001F1FD3" w:rsidRPr="001F1FD3">
        <w:t xml:space="preserve">Rent payments are impossible to meet on </w:t>
      </w:r>
      <w:proofErr w:type="spellStart"/>
      <w:r w:rsidR="001F1FD3" w:rsidRPr="001F1FD3">
        <w:t>JobSeeker</w:t>
      </w:r>
      <w:proofErr w:type="spellEnd"/>
      <w:r w:rsidR="001F1FD3" w:rsidRPr="001F1FD3">
        <w:t xml:space="preserve"> </w:t>
      </w:r>
      <w:r w:rsidR="005C0B47">
        <w:t xml:space="preserve">even with </w:t>
      </w:r>
      <w:r w:rsidR="00CB7911">
        <w:t>CRA</w:t>
      </w:r>
      <w:r w:rsidR="00A4505E">
        <w:t xml:space="preserve"> – </w:t>
      </w:r>
      <w:r w:rsidR="001F1FD3" w:rsidRPr="001F1FD3">
        <w:t>the maximum of which totals $390 per week for a single person.</w:t>
      </w:r>
      <w:r w:rsidR="002B7D25">
        <w:t xml:space="preserve"> </w:t>
      </w:r>
      <w:r w:rsidR="00735069">
        <w:t>The</w:t>
      </w:r>
      <w:r w:rsidR="002B7D25">
        <w:t xml:space="preserve"> ACT </w:t>
      </w:r>
      <w:r w:rsidR="008B7681">
        <w:t xml:space="preserve">has the highest proportion of households receiving </w:t>
      </w:r>
      <w:r w:rsidR="00CB7911">
        <w:t>CRA</w:t>
      </w:r>
      <w:r w:rsidR="008B7681">
        <w:t xml:space="preserve"> </w:t>
      </w:r>
      <w:r w:rsidR="00195A19">
        <w:t>who are being paid at the</w:t>
      </w:r>
      <w:r w:rsidR="008B7681">
        <w:t xml:space="preserve"> </w:t>
      </w:r>
      <w:r w:rsidR="00BD63B0">
        <w:t>maximum</w:t>
      </w:r>
      <w:r w:rsidR="00802AB3">
        <w:t xml:space="preserve"> payment</w:t>
      </w:r>
      <w:r w:rsidR="0067071A">
        <w:t xml:space="preserve"> rate – 83.1% compared to 79.1% nationally.</w:t>
      </w:r>
      <w:r w:rsidR="0067071A">
        <w:rPr>
          <w:rStyle w:val="FootnoteReference"/>
        </w:rPr>
        <w:footnoteReference w:id="38"/>
      </w:r>
      <w:r w:rsidR="00101D57">
        <w:t xml:space="preserve"> </w:t>
      </w:r>
      <w:r w:rsidR="005850C0">
        <w:t>M</w:t>
      </w:r>
      <w:r w:rsidR="00A12466">
        <w:t xml:space="preserve">ore than half </w:t>
      </w:r>
      <w:r w:rsidR="0042401F">
        <w:t xml:space="preserve">(55.1%) </w:t>
      </w:r>
      <w:r w:rsidR="00A12466">
        <w:t>of</w:t>
      </w:r>
      <w:r w:rsidR="00B719D9">
        <w:t xml:space="preserve"> ACT households </w:t>
      </w:r>
      <w:r w:rsidR="00CC2A8B">
        <w:t>receiving CRA</w:t>
      </w:r>
      <w:r w:rsidR="0042401F">
        <w:t xml:space="preserve"> </w:t>
      </w:r>
      <w:r w:rsidR="00DF4C3C">
        <w:t xml:space="preserve">are experiencing rental stress (i.e., paying more than 30% of </w:t>
      </w:r>
      <w:r w:rsidR="00CA52FF">
        <w:t>income on rent)</w:t>
      </w:r>
      <w:r w:rsidR="00116BAC">
        <w:t xml:space="preserve"> – 29.1% are </w:t>
      </w:r>
      <w:r w:rsidR="0077478C">
        <w:t xml:space="preserve">experiencing severe rental stress, </w:t>
      </w:r>
      <w:r w:rsidR="00116BAC">
        <w:t>paying more than 50% of income on rent.</w:t>
      </w:r>
      <w:r w:rsidR="0077478C">
        <w:rPr>
          <w:rStyle w:val="FootnoteReference"/>
        </w:rPr>
        <w:footnoteReference w:id="39"/>
      </w:r>
      <w:r w:rsidR="00B31A7E">
        <w:t xml:space="preserve"> This highlights the need for </w:t>
      </w:r>
      <w:r w:rsidR="00CB7911">
        <w:t>CRA</w:t>
      </w:r>
      <w:r w:rsidR="00B31A7E" w:rsidRPr="00B31A7E">
        <w:t xml:space="preserve"> for private tenants with low incomes </w:t>
      </w:r>
      <w:r w:rsidR="00B31A7E">
        <w:t xml:space="preserve">to </w:t>
      </w:r>
      <w:r w:rsidR="00B31A7E" w:rsidRPr="00B31A7E">
        <w:t>be substantially increased to ease housing stress.</w:t>
      </w:r>
      <w:r w:rsidR="00536A96">
        <w:t xml:space="preserve"> </w:t>
      </w:r>
      <w:r w:rsidR="00536A96" w:rsidRPr="00536A96">
        <w:t xml:space="preserve">The maximum rate should </w:t>
      </w:r>
      <w:r w:rsidR="00536A96" w:rsidRPr="00536A96">
        <w:lastRenderedPageBreak/>
        <w:t>be increased by 50% to relieve rental stress for people on low incomes in the private rental market.</w:t>
      </w:r>
    </w:p>
    <w:p w14:paraId="132FF1B5" w14:textId="091BA95B" w:rsidR="00615003" w:rsidRDefault="00085A88" w:rsidP="00085A88">
      <w:pPr>
        <w:pStyle w:val="Heading2"/>
      </w:pPr>
      <w:bookmarkStart w:id="22" w:name="_Toc102651023"/>
      <w:r>
        <w:t>The need for more social</w:t>
      </w:r>
      <w:r w:rsidR="00307CE6">
        <w:t xml:space="preserve"> and affordable</w:t>
      </w:r>
      <w:r>
        <w:t xml:space="preserve"> housing</w:t>
      </w:r>
      <w:bookmarkEnd w:id="22"/>
    </w:p>
    <w:p w14:paraId="2E03DBBA" w14:textId="37FB3D9B" w:rsidR="008B7577" w:rsidRDefault="008B7577" w:rsidP="008B75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pPr>
      <w:r w:rsidRPr="008B7577">
        <w:t>In addition to th</w:t>
      </w:r>
      <w:r w:rsidR="003001FA">
        <w:t>e</w:t>
      </w:r>
      <w:r w:rsidRPr="008B7577">
        <w:t xml:space="preserve"> chronic shortage of affordable private rental properties, </w:t>
      </w:r>
      <w:r w:rsidR="008D2D49">
        <w:t xml:space="preserve">there is also a </w:t>
      </w:r>
      <w:r w:rsidR="003C02D3">
        <w:t xml:space="preserve">significant shortage of social and affordable housing in the ACT. ACTCOSS has welcomed the ACT Government’s commitment under the Parliamentary and Governing Agreement to </w:t>
      </w:r>
      <w:r w:rsidR="001C0017">
        <w:t>deliver an additional</w:t>
      </w:r>
      <w:r w:rsidR="003C02D3">
        <w:t xml:space="preserve"> </w:t>
      </w:r>
      <w:r w:rsidR="003C02D3" w:rsidRPr="008B7577">
        <w:t xml:space="preserve">400 </w:t>
      </w:r>
      <w:r w:rsidR="001C0017">
        <w:t xml:space="preserve">public housing dwelling </w:t>
      </w:r>
      <w:r w:rsidR="003C02D3" w:rsidRPr="008B7577">
        <w:t>by 2025</w:t>
      </w:r>
      <w:r w:rsidR="003C02D3">
        <w:t xml:space="preserve"> and 600 additional affordable housing dwellings by 2025-26</w:t>
      </w:r>
      <w:r w:rsidR="003C02D3" w:rsidRPr="008B7577">
        <w:t>.</w:t>
      </w:r>
      <w:r w:rsidR="003C02D3" w:rsidRPr="008B7577">
        <w:rPr>
          <w:vertAlign w:val="superscript"/>
        </w:rPr>
        <w:footnoteReference w:id="40"/>
      </w:r>
      <w:r w:rsidR="003C02D3" w:rsidRPr="008B7577">
        <w:t xml:space="preserve"> </w:t>
      </w:r>
      <w:r w:rsidR="00135EF8">
        <w:t>However, this commitment falls well short of</w:t>
      </w:r>
      <w:r w:rsidR="00511758">
        <w:t xml:space="preserve"> the community need for </w:t>
      </w:r>
      <w:r w:rsidR="008E132F">
        <w:t>social and affordable housing. I</w:t>
      </w:r>
      <w:r w:rsidRPr="008B7577">
        <w:t>t has been estimated that the ACT has a shortfall of 3,100 social housing properties, with 8,500 additional social housing dwellings needed by 2036 to meet the ACT’s current and projected need.</w:t>
      </w:r>
      <w:r w:rsidRPr="008B7577">
        <w:rPr>
          <w:vertAlign w:val="superscript"/>
        </w:rPr>
        <w:footnoteReference w:id="41"/>
      </w:r>
      <w:r w:rsidRPr="008B7577">
        <w:t xml:space="preserve"> </w:t>
      </w:r>
      <w:r w:rsidR="00FA5D9B">
        <w:t>Further</w:t>
      </w:r>
      <w:r w:rsidR="007F4710">
        <w:t xml:space="preserve">, </w:t>
      </w:r>
      <w:r w:rsidR="007E2BB3">
        <w:t xml:space="preserve">it has been estimated that there is a current shortfall of 2,400 affordable housing dwellings in the ACT, with </w:t>
      </w:r>
      <w:r w:rsidR="008276FA">
        <w:t xml:space="preserve">3,400 additional affordable housing dwellings </w:t>
      </w:r>
      <w:r w:rsidR="001479F5">
        <w:t xml:space="preserve">required </w:t>
      </w:r>
      <w:r w:rsidR="008276FA">
        <w:t>by 2036</w:t>
      </w:r>
      <w:r w:rsidR="00ED5304">
        <w:t xml:space="preserve"> to meet </w:t>
      </w:r>
      <w:r w:rsidR="007F5483">
        <w:t>our current and projected need</w:t>
      </w:r>
      <w:r w:rsidR="008276FA">
        <w:t>.</w:t>
      </w:r>
      <w:r w:rsidR="008276FA">
        <w:rPr>
          <w:rStyle w:val="FootnoteReference"/>
        </w:rPr>
        <w:footnoteReference w:id="42"/>
      </w:r>
      <w:r w:rsidR="008276FA">
        <w:t xml:space="preserve"> </w:t>
      </w:r>
    </w:p>
    <w:p w14:paraId="6C27C605" w14:textId="612A11DE" w:rsidR="00BE0C0B" w:rsidRDefault="00415032" w:rsidP="008B75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pPr>
      <w:r w:rsidRPr="00415032">
        <w:t xml:space="preserve">Much more federal and territory government investment will be needed to address our worsening social housing shortage and growing social housing waiting list. As </w:t>
      </w:r>
      <w:proofErr w:type="gramStart"/>
      <w:r w:rsidRPr="00415032">
        <w:t>at</w:t>
      </w:r>
      <w:proofErr w:type="gramEnd"/>
      <w:r w:rsidRPr="00415032">
        <w:t xml:space="preserve"> 30 June 2020, social housing households made up 6.7% of all ACT households. This proportion – or social share – of households has been declining since 2014 when it was 7.6% (see Figure</w:t>
      </w:r>
      <w:r w:rsidR="00A86B03">
        <w:t xml:space="preserve"> 9</w:t>
      </w:r>
      <w:r w:rsidRPr="00415032">
        <w:t xml:space="preserve">). </w:t>
      </w:r>
      <w:r>
        <w:t xml:space="preserve">As </w:t>
      </w:r>
      <w:proofErr w:type="gramStart"/>
      <w:r>
        <w:t>at</w:t>
      </w:r>
      <w:proofErr w:type="gramEnd"/>
      <w:r w:rsidRPr="00415032">
        <w:t xml:space="preserve"> </w:t>
      </w:r>
      <w:r>
        <w:t>7 March 2022</w:t>
      </w:r>
      <w:r w:rsidRPr="00415032">
        <w:t xml:space="preserve">, there were </w:t>
      </w:r>
      <w:r w:rsidR="00EC3959">
        <w:t>3,028</w:t>
      </w:r>
      <w:r w:rsidRPr="00415032">
        <w:t xml:space="preserve"> applications for social housing in the ACT, with the average waiting time for standard housing being </w:t>
      </w:r>
      <w:r w:rsidR="00EC3959">
        <w:t>1,585</w:t>
      </w:r>
      <w:r w:rsidRPr="00415032">
        <w:t xml:space="preserve"> days or </w:t>
      </w:r>
      <w:r w:rsidR="00501F25">
        <w:t>4.3</w:t>
      </w:r>
      <w:r w:rsidRPr="00415032">
        <w:t xml:space="preserve"> years</w:t>
      </w:r>
      <w:r>
        <w:t xml:space="preserve"> (see Table</w:t>
      </w:r>
      <w:r w:rsidR="00A86B03">
        <w:t xml:space="preserve"> 6</w:t>
      </w:r>
      <w:r>
        <w:t>)</w:t>
      </w:r>
      <w:r w:rsidR="0044538E">
        <w:t>.</w:t>
      </w:r>
      <w:r w:rsidR="00215C5F">
        <w:t xml:space="preserve"> </w:t>
      </w:r>
      <w:r w:rsidR="00F24F83">
        <w:t>Since we started reporting on the social housing waiting list in our ACT Cost of Living Report</w:t>
      </w:r>
      <w:r w:rsidR="00215C5F">
        <w:t>s in September 2020</w:t>
      </w:r>
      <w:r w:rsidR="00F24F83">
        <w:t xml:space="preserve">, the number of applications has increased by </w:t>
      </w:r>
      <w:r w:rsidR="00641816">
        <w:t>540 (</w:t>
      </w:r>
      <w:r w:rsidR="00D635A6">
        <w:t>21.7%)</w:t>
      </w:r>
      <w:r w:rsidR="00263ACB">
        <w:t xml:space="preserve"> and the waiting time for standard housing has increased by </w:t>
      </w:r>
      <w:r w:rsidR="002464F9">
        <w:t>317 days</w:t>
      </w:r>
      <w:r w:rsidR="00131F46">
        <w:t xml:space="preserve"> </w:t>
      </w:r>
      <w:r w:rsidR="004747EB">
        <w:t>(25.0%).</w:t>
      </w:r>
      <w:r w:rsidR="002B3F77">
        <w:rPr>
          <w:rStyle w:val="FootnoteReference"/>
        </w:rPr>
        <w:footnoteReference w:id="43"/>
      </w:r>
    </w:p>
    <w:p w14:paraId="05368987" w14:textId="0A464004" w:rsidR="00BA4037" w:rsidRDefault="0044538E" w:rsidP="00E24203">
      <w:pPr>
        <w:pStyle w:val="Figuretabletitle"/>
      </w:pPr>
      <w:r>
        <w:lastRenderedPageBreak/>
        <w:t>Figure</w:t>
      </w:r>
      <w:r w:rsidR="00A86B03">
        <w:t xml:space="preserve"> 9</w:t>
      </w:r>
      <w:r>
        <w:t xml:space="preserve"> Social housing households</w:t>
      </w:r>
      <w:r w:rsidR="00DF5458">
        <w:t xml:space="preserve"> as a proportion of all households, ACT, 30 June 2014 – 30 June 2020</w:t>
      </w:r>
    </w:p>
    <w:p w14:paraId="279065E7" w14:textId="0933F7FE" w:rsidR="00E24203" w:rsidRDefault="00E24203" w:rsidP="00150936">
      <w:r>
        <w:rPr>
          <w:noProof/>
        </w:rPr>
        <w:drawing>
          <wp:inline distT="0" distB="0" distL="0" distR="0" wp14:anchorId="29BD8E43" wp14:editId="06162EE9">
            <wp:extent cx="5400040" cy="2147570"/>
            <wp:effectExtent l="0" t="0" r="0" b="5080"/>
            <wp:docPr id="6" name="Picture 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line chart&#10;&#10;Description automatically generated"/>
                    <pic:cNvPicPr/>
                  </pic:nvPicPr>
                  <pic:blipFill>
                    <a:blip r:embed="rId37" cstate="print">
                      <a:extLst>
                        <a:ext uri="{28A0092B-C50C-407E-A947-70E740481C1C}">
                          <a14:useLocalDpi xmlns:a14="http://schemas.microsoft.com/office/drawing/2010/main" val="0"/>
                        </a:ext>
                      </a:extLst>
                    </a:blip>
                    <a:stretch>
                      <a:fillRect/>
                    </a:stretch>
                  </pic:blipFill>
                  <pic:spPr>
                    <a:xfrm>
                      <a:off x="0" y="0"/>
                      <a:ext cx="5400040" cy="2147570"/>
                    </a:xfrm>
                    <a:prstGeom prst="rect">
                      <a:avLst/>
                    </a:prstGeom>
                  </pic:spPr>
                </pic:pic>
              </a:graphicData>
            </a:graphic>
          </wp:inline>
        </w:drawing>
      </w:r>
    </w:p>
    <w:p w14:paraId="4C2B7DAC" w14:textId="77777777" w:rsidR="00575648" w:rsidRDefault="00575648" w:rsidP="00857FD2">
      <w:pPr>
        <w:pStyle w:val="Source"/>
        <w:ind w:right="-91"/>
      </w:pPr>
      <w:r>
        <w:t xml:space="preserve">Source: </w:t>
      </w:r>
      <w:proofErr w:type="spellStart"/>
      <w:r w:rsidRPr="00327422">
        <w:t>AIHW</w:t>
      </w:r>
      <w:proofErr w:type="spellEnd"/>
      <w:r w:rsidRPr="00327422">
        <w:t xml:space="preserve">, ‘Table SOCIAL SHARE.1: Social housing households and all Australian households, by states and territories, at 30 June 2010 to 2020’ [data tables], </w:t>
      </w:r>
      <w:hyperlink r:id="rId38" w:history="1">
        <w:r w:rsidRPr="00327422">
          <w:rPr>
            <w:rStyle w:val="Hyperlink"/>
            <w:i/>
            <w:iCs/>
          </w:rPr>
          <w:t>Housing Assistance in Australia</w:t>
        </w:r>
      </w:hyperlink>
      <w:r w:rsidRPr="00327422">
        <w:t>, 2021, accessed 8 July 2021.</w:t>
      </w:r>
    </w:p>
    <w:p w14:paraId="156306B5" w14:textId="25293108" w:rsidR="001D78D0" w:rsidRPr="00327422" w:rsidRDefault="001D78D0" w:rsidP="001D78D0">
      <w:pPr>
        <w:pStyle w:val="Figuretabletitle"/>
      </w:pPr>
      <w:r>
        <w:t>Table</w:t>
      </w:r>
      <w:r w:rsidR="00A86B03">
        <w:t xml:space="preserve"> 6</w:t>
      </w:r>
      <w:r>
        <w:t xml:space="preserve"> Housing ACT social housing waiting list and average wait times, 7 March 2022</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835"/>
        <w:gridCol w:w="2834"/>
        <w:gridCol w:w="2835"/>
      </w:tblGrid>
      <w:tr w:rsidR="001D78D0" w:rsidRPr="001D78D0" w14:paraId="26E37D6D" w14:textId="77777777" w:rsidTr="00C70612">
        <w:tc>
          <w:tcPr>
            <w:tcW w:w="2835" w:type="dxa"/>
            <w:tcBorders>
              <w:top w:val="single" w:sz="12" w:space="0" w:color="A6A6A6" w:themeColor="background1" w:themeShade="A6"/>
              <w:bottom w:val="single" w:sz="12" w:space="0" w:color="A6A6A6" w:themeColor="background1" w:themeShade="A6"/>
            </w:tcBorders>
          </w:tcPr>
          <w:p w14:paraId="5CAC5A0E" w14:textId="77777777" w:rsidR="001D78D0" w:rsidRPr="001D78D0" w:rsidRDefault="001D78D0" w:rsidP="001D78D0">
            <w:pPr>
              <w:keepNext/>
              <w:spacing w:before="80" w:after="60"/>
              <w:rPr>
                <w:b/>
                <w:sz w:val="20"/>
              </w:rPr>
            </w:pPr>
            <w:r w:rsidRPr="001D78D0">
              <w:rPr>
                <w:b/>
                <w:sz w:val="20"/>
              </w:rPr>
              <w:t>Application Category</w:t>
            </w:r>
          </w:p>
        </w:tc>
        <w:tc>
          <w:tcPr>
            <w:tcW w:w="2834" w:type="dxa"/>
            <w:tcBorders>
              <w:top w:val="single" w:sz="12" w:space="0" w:color="A6A6A6" w:themeColor="background1" w:themeShade="A6"/>
              <w:bottom w:val="single" w:sz="12" w:space="0" w:color="A6A6A6" w:themeColor="background1" w:themeShade="A6"/>
            </w:tcBorders>
          </w:tcPr>
          <w:p w14:paraId="5B07A2C1" w14:textId="77777777" w:rsidR="001D78D0" w:rsidRPr="001D78D0" w:rsidRDefault="001D78D0" w:rsidP="001D78D0">
            <w:pPr>
              <w:keepNext/>
              <w:spacing w:before="80" w:after="60"/>
              <w:jc w:val="center"/>
              <w:rPr>
                <w:b/>
                <w:sz w:val="20"/>
              </w:rPr>
            </w:pPr>
            <w:r w:rsidRPr="001D78D0">
              <w:rPr>
                <w:b/>
                <w:sz w:val="20"/>
              </w:rPr>
              <w:t>Number of Applications</w:t>
            </w:r>
          </w:p>
        </w:tc>
        <w:tc>
          <w:tcPr>
            <w:tcW w:w="2835" w:type="dxa"/>
            <w:tcBorders>
              <w:top w:val="single" w:sz="12" w:space="0" w:color="A6A6A6" w:themeColor="background1" w:themeShade="A6"/>
              <w:bottom w:val="single" w:sz="12" w:space="0" w:color="A6A6A6" w:themeColor="background1" w:themeShade="A6"/>
            </w:tcBorders>
          </w:tcPr>
          <w:p w14:paraId="4EFBA486" w14:textId="77777777" w:rsidR="001D78D0" w:rsidRPr="001D78D0" w:rsidRDefault="001D78D0" w:rsidP="001D78D0">
            <w:pPr>
              <w:keepNext/>
              <w:spacing w:before="80" w:after="60"/>
              <w:jc w:val="center"/>
              <w:rPr>
                <w:b/>
                <w:sz w:val="20"/>
              </w:rPr>
            </w:pPr>
            <w:r w:rsidRPr="001D78D0">
              <w:rPr>
                <w:b/>
                <w:sz w:val="20"/>
              </w:rPr>
              <w:t>Average Waiting Time (days)</w:t>
            </w:r>
          </w:p>
        </w:tc>
      </w:tr>
      <w:tr w:rsidR="001D78D0" w:rsidRPr="001D78D0" w14:paraId="31FC3990" w14:textId="77777777" w:rsidTr="00C70612">
        <w:tc>
          <w:tcPr>
            <w:tcW w:w="2835" w:type="dxa"/>
            <w:tcBorders>
              <w:top w:val="single" w:sz="12" w:space="0" w:color="A6A6A6" w:themeColor="background1" w:themeShade="A6"/>
            </w:tcBorders>
            <w:shd w:val="clear" w:color="auto" w:fill="D9E2F3" w:themeFill="accent1" w:themeFillTint="33"/>
          </w:tcPr>
          <w:p w14:paraId="004F82C9" w14:textId="77777777" w:rsidR="001D78D0" w:rsidRPr="001D78D0" w:rsidRDefault="001D78D0" w:rsidP="001D78D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rPr>
                <w:sz w:val="20"/>
              </w:rPr>
            </w:pPr>
            <w:r w:rsidRPr="001D78D0">
              <w:rPr>
                <w:sz w:val="20"/>
              </w:rPr>
              <w:t>Priority Housing</w:t>
            </w:r>
          </w:p>
        </w:tc>
        <w:tc>
          <w:tcPr>
            <w:tcW w:w="2834" w:type="dxa"/>
            <w:tcBorders>
              <w:top w:val="single" w:sz="12" w:space="0" w:color="A6A6A6" w:themeColor="background1" w:themeShade="A6"/>
            </w:tcBorders>
            <w:shd w:val="clear" w:color="auto" w:fill="D9E2F3" w:themeFill="accent1" w:themeFillTint="33"/>
          </w:tcPr>
          <w:p w14:paraId="055917BD" w14:textId="3DF64AE3" w:rsidR="001D78D0" w:rsidRPr="001D78D0" w:rsidRDefault="00B468A9" w:rsidP="001D78D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248</w:t>
            </w:r>
          </w:p>
        </w:tc>
        <w:tc>
          <w:tcPr>
            <w:tcW w:w="2835" w:type="dxa"/>
            <w:tcBorders>
              <w:top w:val="single" w:sz="12" w:space="0" w:color="A6A6A6" w:themeColor="background1" w:themeShade="A6"/>
            </w:tcBorders>
            <w:shd w:val="clear" w:color="auto" w:fill="D9E2F3" w:themeFill="accent1" w:themeFillTint="33"/>
          </w:tcPr>
          <w:p w14:paraId="45F06269" w14:textId="73FD43B3" w:rsidR="001D78D0" w:rsidRPr="001D78D0" w:rsidRDefault="00B468A9" w:rsidP="001D78D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338</w:t>
            </w:r>
          </w:p>
        </w:tc>
      </w:tr>
      <w:tr w:rsidR="001D78D0" w:rsidRPr="001D78D0" w14:paraId="1CA4C960" w14:textId="77777777" w:rsidTr="00C70612">
        <w:tc>
          <w:tcPr>
            <w:tcW w:w="2835" w:type="dxa"/>
          </w:tcPr>
          <w:p w14:paraId="34390DB9" w14:textId="77777777" w:rsidR="001D78D0" w:rsidRPr="001D78D0" w:rsidRDefault="001D78D0" w:rsidP="001D78D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rPr>
                <w:sz w:val="20"/>
              </w:rPr>
            </w:pPr>
            <w:r w:rsidRPr="001D78D0">
              <w:rPr>
                <w:sz w:val="20"/>
              </w:rPr>
              <w:t>High Needs Housing</w:t>
            </w:r>
          </w:p>
        </w:tc>
        <w:tc>
          <w:tcPr>
            <w:tcW w:w="2834" w:type="dxa"/>
          </w:tcPr>
          <w:p w14:paraId="0BD045D5" w14:textId="112304ED" w:rsidR="001D78D0" w:rsidRPr="001D78D0" w:rsidRDefault="00B468A9" w:rsidP="001D78D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1,833</w:t>
            </w:r>
          </w:p>
        </w:tc>
        <w:tc>
          <w:tcPr>
            <w:tcW w:w="2835" w:type="dxa"/>
          </w:tcPr>
          <w:p w14:paraId="5013A4C4" w14:textId="0BC9F089" w:rsidR="001D78D0" w:rsidRPr="001D78D0" w:rsidRDefault="00B468A9" w:rsidP="001D78D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1,040</w:t>
            </w:r>
          </w:p>
        </w:tc>
      </w:tr>
      <w:tr w:rsidR="001D78D0" w:rsidRPr="001D78D0" w14:paraId="3B75E899" w14:textId="77777777" w:rsidTr="00C70612">
        <w:tc>
          <w:tcPr>
            <w:tcW w:w="2835" w:type="dxa"/>
            <w:tcBorders>
              <w:bottom w:val="single" w:sz="12" w:space="0" w:color="A6A6A6" w:themeColor="background1" w:themeShade="A6"/>
            </w:tcBorders>
            <w:shd w:val="clear" w:color="auto" w:fill="D9E2F3" w:themeFill="accent1" w:themeFillTint="33"/>
          </w:tcPr>
          <w:p w14:paraId="78CE1700" w14:textId="77777777" w:rsidR="001D78D0" w:rsidRPr="001D78D0" w:rsidRDefault="001D78D0" w:rsidP="001D78D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rPr>
                <w:sz w:val="20"/>
              </w:rPr>
            </w:pPr>
            <w:r w:rsidRPr="001D78D0">
              <w:rPr>
                <w:sz w:val="20"/>
              </w:rPr>
              <w:t>Standard Housing</w:t>
            </w:r>
          </w:p>
        </w:tc>
        <w:tc>
          <w:tcPr>
            <w:tcW w:w="2834" w:type="dxa"/>
            <w:tcBorders>
              <w:bottom w:val="single" w:sz="12" w:space="0" w:color="A6A6A6" w:themeColor="background1" w:themeShade="A6"/>
            </w:tcBorders>
            <w:shd w:val="clear" w:color="auto" w:fill="D9E2F3" w:themeFill="accent1" w:themeFillTint="33"/>
          </w:tcPr>
          <w:p w14:paraId="155564DF" w14:textId="788D6721" w:rsidR="001D78D0" w:rsidRPr="001D78D0" w:rsidRDefault="001D78D0" w:rsidP="001D78D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sidRPr="001D78D0">
              <w:rPr>
                <w:sz w:val="20"/>
              </w:rPr>
              <w:t>9</w:t>
            </w:r>
            <w:r w:rsidR="00B468A9">
              <w:rPr>
                <w:sz w:val="20"/>
              </w:rPr>
              <w:t>47</w:t>
            </w:r>
          </w:p>
        </w:tc>
        <w:tc>
          <w:tcPr>
            <w:tcW w:w="2835" w:type="dxa"/>
            <w:tcBorders>
              <w:bottom w:val="single" w:sz="12" w:space="0" w:color="A6A6A6" w:themeColor="background1" w:themeShade="A6"/>
            </w:tcBorders>
            <w:shd w:val="clear" w:color="auto" w:fill="D9E2F3" w:themeFill="accent1" w:themeFillTint="33"/>
          </w:tcPr>
          <w:p w14:paraId="080B7AE2" w14:textId="5C25B28D" w:rsidR="001D78D0" w:rsidRPr="001D78D0" w:rsidRDefault="00B468A9" w:rsidP="001D78D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1,585</w:t>
            </w:r>
          </w:p>
        </w:tc>
      </w:tr>
      <w:tr w:rsidR="001D78D0" w:rsidRPr="001D78D0" w14:paraId="72BC043F" w14:textId="77777777" w:rsidTr="00C70612">
        <w:tc>
          <w:tcPr>
            <w:tcW w:w="2835" w:type="dxa"/>
            <w:tcBorders>
              <w:top w:val="single" w:sz="12" w:space="0" w:color="A6A6A6" w:themeColor="background1" w:themeShade="A6"/>
              <w:bottom w:val="single" w:sz="12" w:space="0" w:color="A6A6A6" w:themeColor="background1" w:themeShade="A6"/>
            </w:tcBorders>
          </w:tcPr>
          <w:p w14:paraId="35690DC6" w14:textId="77777777" w:rsidR="001D78D0" w:rsidRPr="001D78D0" w:rsidRDefault="001D78D0" w:rsidP="001D78D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rPr>
                <w:sz w:val="20"/>
              </w:rPr>
            </w:pPr>
            <w:r w:rsidRPr="001D78D0">
              <w:rPr>
                <w:sz w:val="20"/>
              </w:rPr>
              <w:t>Total applications</w:t>
            </w:r>
          </w:p>
        </w:tc>
        <w:tc>
          <w:tcPr>
            <w:tcW w:w="2834" w:type="dxa"/>
            <w:tcBorders>
              <w:top w:val="single" w:sz="12" w:space="0" w:color="A6A6A6" w:themeColor="background1" w:themeShade="A6"/>
              <w:bottom w:val="single" w:sz="12" w:space="0" w:color="A6A6A6" w:themeColor="background1" w:themeShade="A6"/>
            </w:tcBorders>
          </w:tcPr>
          <w:p w14:paraId="1A4236C1" w14:textId="185514E7" w:rsidR="001D78D0" w:rsidRPr="001D78D0" w:rsidRDefault="00B468A9" w:rsidP="001D78D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Pr>
                <w:sz w:val="20"/>
              </w:rPr>
              <w:t>3,028</w:t>
            </w:r>
          </w:p>
        </w:tc>
        <w:tc>
          <w:tcPr>
            <w:tcW w:w="2835" w:type="dxa"/>
            <w:tcBorders>
              <w:top w:val="single" w:sz="12" w:space="0" w:color="A6A6A6" w:themeColor="background1" w:themeShade="A6"/>
              <w:bottom w:val="single" w:sz="12" w:space="0" w:color="A6A6A6" w:themeColor="background1" w:themeShade="A6"/>
            </w:tcBorders>
          </w:tcPr>
          <w:p w14:paraId="793B4B13" w14:textId="77777777" w:rsidR="001D78D0" w:rsidRPr="001D78D0" w:rsidRDefault="001D78D0" w:rsidP="001D78D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sz w:val="20"/>
              </w:rPr>
            </w:pPr>
            <w:r w:rsidRPr="001D78D0">
              <w:rPr>
                <w:sz w:val="20"/>
              </w:rPr>
              <w:t>n/a</w:t>
            </w:r>
          </w:p>
        </w:tc>
      </w:tr>
    </w:tbl>
    <w:p w14:paraId="736702EA" w14:textId="6F0CDE52" w:rsidR="00E31137" w:rsidRDefault="00E31137" w:rsidP="00E31137">
      <w:pPr>
        <w:pStyle w:val="Source"/>
      </w:pPr>
      <w:r>
        <w:t xml:space="preserve">Source: </w:t>
      </w:r>
      <w:r w:rsidRPr="00631AD4">
        <w:t xml:space="preserve">ACT Government Community Services Directorate, </w:t>
      </w:r>
      <w:hyperlink r:id="rId39" w:history="1">
        <w:r w:rsidRPr="00631AD4">
          <w:rPr>
            <w:rStyle w:val="Hyperlink"/>
            <w:i/>
            <w:iCs/>
          </w:rPr>
          <w:t>Social Housing Waiting List</w:t>
        </w:r>
      </w:hyperlink>
      <w:r w:rsidRPr="00631AD4">
        <w:t xml:space="preserve">, ACT Government Community Services Directorate, </w:t>
      </w:r>
      <w:r>
        <w:t>7 March 2022</w:t>
      </w:r>
      <w:r w:rsidRPr="00631AD4">
        <w:t xml:space="preserve">, accessed </w:t>
      </w:r>
      <w:r>
        <w:t>21 April 2022</w:t>
      </w:r>
      <w:r w:rsidRPr="00631AD4">
        <w:t>.</w:t>
      </w:r>
    </w:p>
    <w:p w14:paraId="304CC64C" w14:textId="6A31DB47" w:rsidR="00586F1E" w:rsidRDefault="00586F1E" w:rsidP="00586F1E">
      <w:pPr>
        <w:pStyle w:val="BodyText"/>
      </w:pPr>
      <w:r w:rsidRPr="00606904">
        <w:t xml:space="preserve">At the </w:t>
      </w:r>
      <w:r>
        <w:t>2016</w:t>
      </w:r>
      <w:r w:rsidRPr="00606904">
        <w:t xml:space="preserve"> Census, there were almost 1,600 people experiencing homelessness in the ACT.</w:t>
      </w:r>
      <w:r w:rsidRPr="00606904">
        <w:rPr>
          <w:vertAlign w:val="superscript"/>
        </w:rPr>
        <w:footnoteReference w:id="44"/>
      </w:r>
      <w:r>
        <w:t xml:space="preserve"> </w:t>
      </w:r>
      <w:r w:rsidR="00606904" w:rsidRPr="00606904">
        <w:t>More public and community housing is a cost-effective and critical component of addressing chronic homelessness in Canberra and our housing affordability crisis. Direct public investment in social housing is a cost-effective way to boost growth in jobs and incomes while also avoiding significant social costs associated with homelessness and related issues such as domestic and family violence.</w:t>
      </w:r>
      <w:r w:rsidR="00606904" w:rsidRPr="00606904">
        <w:rPr>
          <w:vertAlign w:val="superscript"/>
        </w:rPr>
        <w:footnoteReference w:id="45"/>
      </w:r>
      <w:r w:rsidR="00606904" w:rsidRPr="00606904">
        <w:t xml:space="preserve"> It has been estimated that for every $1 million of public investment in social housing, gross domestic product (GDP) is boosted by $1.3</w:t>
      </w:r>
      <w:r w:rsidR="001D187C">
        <w:t xml:space="preserve"> </w:t>
      </w:r>
      <w:r w:rsidR="00606904" w:rsidRPr="00606904">
        <w:t>m</w:t>
      </w:r>
      <w:r w:rsidR="001D187C">
        <w:t>illion</w:t>
      </w:r>
      <w:r w:rsidR="00606904" w:rsidRPr="00606904">
        <w:t>.</w:t>
      </w:r>
      <w:r w:rsidR="00606904" w:rsidRPr="00606904">
        <w:rPr>
          <w:vertAlign w:val="superscript"/>
        </w:rPr>
        <w:footnoteReference w:id="46"/>
      </w:r>
      <w:r w:rsidR="00606904" w:rsidRPr="00606904">
        <w:t xml:space="preserve"> Affordable rents, security of tenure, and other supports available to financially vulnerable people in social housing reduces their risk of homelessness by more than half.</w:t>
      </w:r>
      <w:r w:rsidR="00606904" w:rsidRPr="00606904">
        <w:rPr>
          <w:vertAlign w:val="superscript"/>
        </w:rPr>
        <w:footnoteReference w:id="47"/>
      </w:r>
    </w:p>
    <w:p w14:paraId="4080BF50" w14:textId="1E6B5AFA" w:rsidR="00AE100C" w:rsidRDefault="00AE100C" w:rsidP="00AE100C">
      <w:pPr>
        <w:pStyle w:val="Heading1"/>
      </w:pPr>
      <w:bookmarkStart w:id="23" w:name="_Toc102651024"/>
      <w:r>
        <w:lastRenderedPageBreak/>
        <w:t>Tracking changes in the cost of living for low-income households: Selected Living Cost Indexes</w:t>
      </w:r>
      <w:bookmarkEnd w:id="23"/>
    </w:p>
    <w:p w14:paraId="76F7EDEC" w14:textId="7C239302" w:rsidR="00E41A14" w:rsidRPr="00E41A14" w:rsidRDefault="00E41A14" w:rsidP="00C37D76">
      <w:pPr>
        <w:pStyle w:val="BodyText"/>
      </w:pPr>
      <w:r w:rsidRPr="00E41A14">
        <w:t>The ABS Selected Living Cost Indexes (</w:t>
      </w:r>
      <w:proofErr w:type="spellStart"/>
      <w:r w:rsidRPr="00E41A14">
        <w:t>SLCI</w:t>
      </w:r>
      <w:proofErr w:type="spellEnd"/>
      <w:r w:rsidRPr="00E41A14">
        <w:t xml:space="preserve">) measure the cost of various baskets of goods that are specific to </w:t>
      </w:r>
      <w:proofErr w:type="gramStart"/>
      <w:r w:rsidRPr="00E41A14">
        <w:t>a number of</w:t>
      </w:r>
      <w:proofErr w:type="gramEnd"/>
      <w:r w:rsidRPr="00E41A14">
        <w:t xml:space="preserve"> different household types – including ‘Age pensioner’ and ‘Other government transfer recipients’ (e.g.</w:t>
      </w:r>
      <w:r>
        <w:t>,</w:t>
      </w:r>
      <w:r w:rsidRPr="00E41A14">
        <w:t xml:space="preserve"> </w:t>
      </w:r>
      <w:proofErr w:type="spellStart"/>
      <w:r w:rsidRPr="00E41A14">
        <w:t>JobSeeker</w:t>
      </w:r>
      <w:proofErr w:type="spellEnd"/>
      <w:r w:rsidRPr="00E41A14">
        <w:t xml:space="preserve"> and Youth Allowance recipients), ‘Employee’, and ‘Self-funded retiree’ households. An examination of changes in </w:t>
      </w:r>
      <w:proofErr w:type="spellStart"/>
      <w:r w:rsidRPr="00E41A14">
        <w:t>SLCI</w:t>
      </w:r>
      <w:proofErr w:type="spellEnd"/>
      <w:r w:rsidRPr="00E41A14">
        <w:t xml:space="preserve"> is important for determining how well Australia’s income support system is doing in terms of helping people to keep up with rising living costs. The </w:t>
      </w:r>
      <w:proofErr w:type="spellStart"/>
      <w:r w:rsidRPr="00E41A14">
        <w:t>SLCI</w:t>
      </w:r>
      <w:proofErr w:type="spellEnd"/>
      <w:r w:rsidRPr="00E41A14">
        <w:t xml:space="preserve"> for age pensioner and other government transfer recipient households is more likely to reflect the changes in cost of living for low-income households in the ACT. </w:t>
      </w:r>
    </w:p>
    <w:p w14:paraId="39997227" w14:textId="1C26EF42" w:rsidR="00AE100C" w:rsidRDefault="00E41A14" w:rsidP="00E41A14">
      <w:pPr>
        <w:pStyle w:val="BodyText"/>
      </w:pPr>
      <w:r w:rsidRPr="00E41A14">
        <w:t>Each Living Cost Index (</w:t>
      </w:r>
      <w:proofErr w:type="spellStart"/>
      <w:r w:rsidRPr="00E41A14">
        <w:t>LCI</w:t>
      </w:r>
      <w:proofErr w:type="spellEnd"/>
      <w:r w:rsidRPr="00E41A14">
        <w:t xml:space="preserve">) is measured at the national level. Unlike the CPI, the </w:t>
      </w:r>
      <w:proofErr w:type="spellStart"/>
      <w:r w:rsidRPr="00E41A14">
        <w:t>SLCI</w:t>
      </w:r>
      <w:proofErr w:type="spellEnd"/>
      <w:r w:rsidRPr="00E41A14">
        <w:t xml:space="preserve"> are not produced for each capital city, so this analysis is not specific to Canberra or the ACT.</w:t>
      </w:r>
      <w:r>
        <w:t xml:space="preserve"> </w:t>
      </w:r>
      <w:r w:rsidR="00B80526">
        <w:t xml:space="preserve">The COVID-19 pandemic has continued to have a significant impact on the CPI and </w:t>
      </w:r>
      <w:proofErr w:type="spellStart"/>
      <w:r w:rsidR="00B80526">
        <w:t>SLC</w:t>
      </w:r>
      <w:r w:rsidR="00EA416B">
        <w:t>I</w:t>
      </w:r>
      <w:proofErr w:type="spellEnd"/>
      <w:r w:rsidR="00EA416B">
        <w:t xml:space="preserve"> </w:t>
      </w:r>
      <w:r w:rsidR="00BB3308">
        <w:t xml:space="preserve">while the </w:t>
      </w:r>
      <w:r w:rsidR="005E0A46">
        <w:t>war in Ukraine has</w:t>
      </w:r>
      <w:r w:rsidR="00BB3308">
        <w:t xml:space="preserve"> </w:t>
      </w:r>
      <w:r w:rsidR="00AC6360">
        <w:t>contributed significantly</w:t>
      </w:r>
      <w:r w:rsidR="00BB3308">
        <w:t xml:space="preserve"> to price increases, especially in relation to fuel</w:t>
      </w:r>
      <w:r w:rsidR="00AC6360">
        <w:t xml:space="preserve"> price increases and their flow-on effects.</w:t>
      </w:r>
      <w:r w:rsidR="005E0A46">
        <w:t xml:space="preserve"> </w:t>
      </w:r>
      <w:r w:rsidR="00CC57B2">
        <w:t xml:space="preserve">The December 2021 </w:t>
      </w:r>
      <w:proofErr w:type="spellStart"/>
      <w:r w:rsidR="00CC57B2">
        <w:t>SLCI</w:t>
      </w:r>
      <w:proofErr w:type="spellEnd"/>
      <w:r w:rsidR="00CC57B2">
        <w:t xml:space="preserve"> shows that </w:t>
      </w:r>
      <w:r w:rsidR="004C05A2">
        <w:t xml:space="preserve">compared to increases in the CPI nationally (3.5%) and for the ACT (4.0%), </w:t>
      </w:r>
      <w:r w:rsidR="00F21A2F">
        <w:t xml:space="preserve">increases in the </w:t>
      </w:r>
      <w:proofErr w:type="spellStart"/>
      <w:r w:rsidR="00F21A2F">
        <w:t>SLCI</w:t>
      </w:r>
      <w:proofErr w:type="spellEnd"/>
      <w:r w:rsidR="00F21A2F">
        <w:t xml:space="preserve"> were lower</w:t>
      </w:r>
      <w:r w:rsidR="00614CC0">
        <w:t xml:space="preserve"> but still significant</w:t>
      </w:r>
      <w:r w:rsidR="003C07AA">
        <w:t xml:space="preserve">, ranging from 2.6% for employee households </w:t>
      </w:r>
      <w:r w:rsidR="002F4E6F">
        <w:t xml:space="preserve">to </w:t>
      </w:r>
      <w:r w:rsidR="003C07AA">
        <w:t xml:space="preserve">3.4% for age pensioner households </w:t>
      </w:r>
      <w:r w:rsidR="00614CC0">
        <w:t>(see Figure</w:t>
      </w:r>
      <w:r w:rsidR="00586F1E">
        <w:t xml:space="preserve"> 10</w:t>
      </w:r>
      <w:r w:rsidR="00614CC0">
        <w:t xml:space="preserve">). </w:t>
      </w:r>
    </w:p>
    <w:p w14:paraId="64745B62" w14:textId="2412A330" w:rsidR="00630A3C" w:rsidRDefault="00630A3C" w:rsidP="002A3728">
      <w:pPr>
        <w:pStyle w:val="Figuretabletitle"/>
      </w:pPr>
      <w:r>
        <w:t>Figure</w:t>
      </w:r>
      <w:r w:rsidR="00586F1E">
        <w:t xml:space="preserve"> 10</w:t>
      </w:r>
      <w:r>
        <w:t xml:space="preserve"> Percentage change in CPI and Selected Living Cost Indexes</w:t>
      </w:r>
      <w:r w:rsidR="002A3728">
        <w:t>, December 2020 – December 2021</w:t>
      </w:r>
    </w:p>
    <w:p w14:paraId="65A42867" w14:textId="42B0C154" w:rsidR="002F1BD5" w:rsidRDefault="00E03905" w:rsidP="00804286">
      <w:r>
        <w:rPr>
          <w:noProof/>
        </w:rPr>
        <w:drawing>
          <wp:inline distT="0" distB="0" distL="0" distR="0" wp14:anchorId="11F59C45" wp14:editId="5CBB6EBA">
            <wp:extent cx="5400040" cy="2882265"/>
            <wp:effectExtent l="0" t="0" r="0" b="0"/>
            <wp:docPr id="29" name="Picture 29"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Chart, bar chart&#10;&#10;Description automatically generated"/>
                    <pic:cNvPicPr/>
                  </pic:nvPicPr>
                  <pic:blipFill>
                    <a:blip r:embed="rId40" cstate="print">
                      <a:extLst>
                        <a:ext uri="{28A0092B-C50C-407E-A947-70E740481C1C}">
                          <a14:useLocalDpi xmlns:a14="http://schemas.microsoft.com/office/drawing/2010/main" val="0"/>
                        </a:ext>
                      </a:extLst>
                    </a:blip>
                    <a:stretch>
                      <a:fillRect/>
                    </a:stretch>
                  </pic:blipFill>
                  <pic:spPr>
                    <a:xfrm>
                      <a:off x="0" y="0"/>
                      <a:ext cx="5400040" cy="2882265"/>
                    </a:xfrm>
                    <a:prstGeom prst="rect">
                      <a:avLst/>
                    </a:prstGeom>
                  </pic:spPr>
                </pic:pic>
              </a:graphicData>
            </a:graphic>
          </wp:inline>
        </w:drawing>
      </w:r>
    </w:p>
    <w:p w14:paraId="7A97D083" w14:textId="755A365E" w:rsidR="000C0114" w:rsidRDefault="000C0114" w:rsidP="000C0114">
      <w:pPr>
        <w:pStyle w:val="Source"/>
      </w:pPr>
      <w:r>
        <w:t xml:space="preserve">Source: </w:t>
      </w:r>
      <w:r w:rsidRPr="00626DCD">
        <w:t xml:space="preserve">ABS, ‘Key statistics’ [percentage change in CPI and </w:t>
      </w:r>
      <w:proofErr w:type="spellStart"/>
      <w:r w:rsidRPr="00626DCD">
        <w:t>SLCI</w:t>
      </w:r>
      <w:proofErr w:type="spellEnd"/>
      <w:r w:rsidRPr="00626DCD">
        <w:t xml:space="preserve">, Dec </w:t>
      </w:r>
      <w:proofErr w:type="spellStart"/>
      <w:r w:rsidRPr="00626DCD">
        <w:t>Qtr</w:t>
      </w:r>
      <w:proofErr w:type="spellEnd"/>
      <w:r w:rsidRPr="00626DCD">
        <w:t xml:space="preserve"> 20</w:t>
      </w:r>
      <w:r>
        <w:t>20</w:t>
      </w:r>
      <w:r w:rsidRPr="00626DCD">
        <w:t xml:space="preserve"> to Dec </w:t>
      </w:r>
      <w:proofErr w:type="spellStart"/>
      <w:r w:rsidRPr="00626DCD">
        <w:t>Qtr</w:t>
      </w:r>
      <w:proofErr w:type="spellEnd"/>
      <w:r w:rsidRPr="00626DCD">
        <w:t xml:space="preserve"> 202</w:t>
      </w:r>
      <w:r>
        <w:t>1</w:t>
      </w:r>
      <w:r w:rsidRPr="00626DCD">
        <w:t xml:space="preserve">], </w:t>
      </w:r>
      <w:hyperlink r:id="rId41" w:history="1">
        <w:r w:rsidRPr="00382530">
          <w:rPr>
            <w:rStyle w:val="Hyperlink"/>
            <w:i/>
            <w:iCs/>
          </w:rPr>
          <w:t>Selected Living Cost Indexes, Australia</w:t>
        </w:r>
      </w:hyperlink>
      <w:r w:rsidRPr="00626DCD">
        <w:t xml:space="preserve">, </w:t>
      </w:r>
      <w:r w:rsidRPr="002772F5">
        <w:t>Reference period December 202</w:t>
      </w:r>
      <w:r>
        <w:t xml:space="preserve">1, ABS, 2022, </w:t>
      </w:r>
      <w:r w:rsidRPr="00626DCD">
        <w:t xml:space="preserve">accessed </w:t>
      </w:r>
      <w:r>
        <w:t>21 April 2022</w:t>
      </w:r>
      <w:r w:rsidRPr="00626DCD">
        <w:t>.</w:t>
      </w:r>
    </w:p>
    <w:p w14:paraId="64D9ED30" w14:textId="447F387D" w:rsidR="004D393A" w:rsidRDefault="00EB6A8C" w:rsidP="00EB6A8C">
      <w:pPr>
        <w:pStyle w:val="Heading2"/>
      </w:pPr>
      <w:bookmarkStart w:id="24" w:name="_Toc102651025"/>
      <w:r>
        <w:lastRenderedPageBreak/>
        <w:t>Changes in income</w:t>
      </w:r>
      <w:r w:rsidR="00333244">
        <w:t>, living costs and the poverty gap</w:t>
      </w:r>
      <w:bookmarkEnd w:id="24"/>
    </w:p>
    <w:p w14:paraId="665C0E22" w14:textId="2A752376" w:rsidR="006B3A03" w:rsidRDefault="006C588B" w:rsidP="004D393A">
      <w:pPr>
        <w:pStyle w:val="BodyText"/>
      </w:pPr>
      <w:r>
        <w:t>In the 12 months between December 2020 and December 2021</w:t>
      </w:r>
      <w:r w:rsidR="00907026">
        <w:t>,</w:t>
      </w:r>
      <w:r w:rsidR="007D789F">
        <w:t xml:space="preserve"> the Australian Government phased out the Coronavirus Supplement for </w:t>
      </w:r>
      <w:proofErr w:type="spellStart"/>
      <w:r w:rsidR="007D789F">
        <w:t>JobSeeker</w:t>
      </w:r>
      <w:proofErr w:type="spellEnd"/>
      <w:r w:rsidR="007D789F">
        <w:t xml:space="preserve"> and other working age social security payments. </w:t>
      </w:r>
      <w:r w:rsidR="00681363">
        <w:t xml:space="preserve">As was noted in our </w:t>
      </w:r>
      <w:r w:rsidR="00681363" w:rsidRPr="00907026">
        <w:rPr>
          <w:i/>
        </w:rPr>
        <w:t>2021 ACT Cost of Living Report</w:t>
      </w:r>
      <w:r w:rsidR="00681363">
        <w:t xml:space="preserve">, </w:t>
      </w:r>
      <w:r w:rsidR="00E41A6E">
        <w:t>the</w:t>
      </w:r>
      <w:r w:rsidR="00E41A6E" w:rsidRPr="00E41A6E">
        <w:t xml:space="preserve"> $550 per fortnight Coronavirus Supplement </w:t>
      </w:r>
      <w:r w:rsidR="0075651B">
        <w:t xml:space="preserve">(from 27 April to 24 September 2020) </w:t>
      </w:r>
      <w:r w:rsidR="00E41A6E" w:rsidRPr="00E41A6E">
        <w:t xml:space="preserve">erased the poverty gap, temporarily lifting incomes to levels above the </w:t>
      </w:r>
      <w:r w:rsidR="00AB48B3">
        <w:t xml:space="preserve">50% median income </w:t>
      </w:r>
      <w:r w:rsidR="00E41A6E" w:rsidRPr="00E41A6E">
        <w:t>poverty line</w:t>
      </w:r>
      <w:r w:rsidR="00AB48B3">
        <w:t xml:space="preserve"> </w:t>
      </w:r>
      <w:r w:rsidR="004F690A">
        <w:t>(before housing costs)</w:t>
      </w:r>
      <w:r w:rsidR="00AB48B3">
        <w:t xml:space="preserve"> of $457 per week for a single adult without children and $731 per week for a single parent</w:t>
      </w:r>
      <w:r w:rsidR="00161CBE">
        <w:t xml:space="preserve"> with two children</w:t>
      </w:r>
      <w:r w:rsidR="00E41A6E" w:rsidRPr="00E41A6E">
        <w:t xml:space="preserve">. Gradual reductions in the Coronavirus Supplement saw the poverty gap return and </w:t>
      </w:r>
      <w:r w:rsidR="00D26BC5">
        <w:t xml:space="preserve">then </w:t>
      </w:r>
      <w:r w:rsidR="00E41A6E" w:rsidRPr="00E41A6E">
        <w:t>grow</w:t>
      </w:r>
      <w:r w:rsidR="00E143CF">
        <w:t xml:space="preserve">. </w:t>
      </w:r>
    </w:p>
    <w:p w14:paraId="6003D490" w14:textId="29BC322B" w:rsidR="00EB6A8C" w:rsidRDefault="00E143CF" w:rsidP="004D393A">
      <w:pPr>
        <w:pStyle w:val="BodyText"/>
      </w:pPr>
      <w:r>
        <w:t>By December 202</w:t>
      </w:r>
      <w:r w:rsidR="0053031C">
        <w:t>0, the Coronavirus Supplement was reduced to $250 per fortnight</w:t>
      </w:r>
      <w:r w:rsidR="006B3A03">
        <w:t xml:space="preserve">. This saw </w:t>
      </w:r>
      <w:r w:rsidR="00590F75">
        <w:t>income support payments fall back below the poverty line</w:t>
      </w:r>
      <w:r w:rsidR="00135DCE">
        <w:t xml:space="preserve"> by </w:t>
      </w:r>
      <w:r w:rsidR="002343A7">
        <w:t xml:space="preserve">$45 per week for a single person on </w:t>
      </w:r>
      <w:proofErr w:type="spellStart"/>
      <w:r w:rsidR="002343A7">
        <w:t>JobSeeker</w:t>
      </w:r>
      <w:proofErr w:type="spellEnd"/>
      <w:r w:rsidR="002343A7">
        <w:t xml:space="preserve"> and $97 per week for a single person on Youth Allowance (other). </w:t>
      </w:r>
      <w:r w:rsidR="00E41A6E" w:rsidRPr="00E41A6E">
        <w:t xml:space="preserve">The removal of the Coronavirus Supplement </w:t>
      </w:r>
      <w:r w:rsidR="0006097C">
        <w:t xml:space="preserve">on 31 March 2021 </w:t>
      </w:r>
      <w:r w:rsidR="00F20B11" w:rsidRPr="00F20B11">
        <w:t>saw these income support payments return to levels between $100 to $200 per week below the poverty line</w:t>
      </w:r>
      <w:r w:rsidR="00F20B11">
        <w:t xml:space="preserve">. This was the case even with </w:t>
      </w:r>
      <w:r w:rsidR="0092233A">
        <w:t xml:space="preserve">a </w:t>
      </w:r>
      <w:r w:rsidR="00E41A6E" w:rsidRPr="00E41A6E">
        <w:t>$50 per fortnight increase to the base rate from 1 April 2021 – the first real increase in these paymen</w:t>
      </w:r>
      <w:r w:rsidR="0092233A">
        <w:t xml:space="preserve">ts </w:t>
      </w:r>
      <w:r w:rsidR="00E41A6E" w:rsidRPr="00E41A6E">
        <w:t>in over 25 years</w:t>
      </w:r>
      <w:r w:rsidR="0092233A">
        <w:t xml:space="preserve">. By December 2021, </w:t>
      </w:r>
      <w:r w:rsidR="00AF21DA">
        <w:t xml:space="preserve">payments for </w:t>
      </w:r>
      <w:r w:rsidR="005E60D2">
        <w:t xml:space="preserve">a single person with no children on </w:t>
      </w:r>
      <w:proofErr w:type="spellStart"/>
      <w:r w:rsidR="005E60D2">
        <w:t>JobSeeker</w:t>
      </w:r>
      <w:proofErr w:type="spellEnd"/>
      <w:r w:rsidR="005E60D2">
        <w:t xml:space="preserve"> or Youth Allowance (other) </w:t>
      </w:r>
      <w:r w:rsidR="00AF21DA">
        <w:t xml:space="preserve">were $138 and $197 </w:t>
      </w:r>
      <w:r w:rsidR="00462124">
        <w:t>below the poverty line per week</w:t>
      </w:r>
      <w:r w:rsidR="00327C77">
        <w:t xml:space="preserve"> (see Fig</w:t>
      </w:r>
      <w:r w:rsidR="00FA7547">
        <w:t>ures 11 &amp; 12)</w:t>
      </w:r>
      <w:r w:rsidR="00327C77">
        <w:t xml:space="preserve">. </w:t>
      </w:r>
      <w:r w:rsidR="00462124">
        <w:t xml:space="preserve">For a single parent on </w:t>
      </w:r>
      <w:proofErr w:type="spellStart"/>
      <w:r w:rsidR="00462124">
        <w:t>JobSeeker</w:t>
      </w:r>
      <w:proofErr w:type="spellEnd"/>
      <w:r w:rsidR="00462124">
        <w:t xml:space="preserve"> </w:t>
      </w:r>
      <w:r w:rsidR="00EB2B2F">
        <w:t>the payment dropped to $108</w:t>
      </w:r>
      <w:r w:rsidR="00443680">
        <w:t xml:space="preserve"> below the poverty line per week</w:t>
      </w:r>
      <w:r w:rsidR="00327C77">
        <w:t>.</w:t>
      </w:r>
    </w:p>
    <w:p w14:paraId="1EA2628A" w14:textId="3F56147D" w:rsidR="0089093F" w:rsidRDefault="0089093F" w:rsidP="004D393A">
      <w:pPr>
        <w:pStyle w:val="BodyText"/>
      </w:pPr>
      <w:r>
        <w:t xml:space="preserve">Over the same period, the </w:t>
      </w:r>
      <w:r w:rsidR="007666B7">
        <w:t xml:space="preserve">single rate of the </w:t>
      </w:r>
      <w:r>
        <w:t xml:space="preserve">age pension </w:t>
      </w:r>
      <w:r w:rsidR="002C6843">
        <w:t xml:space="preserve">remained </w:t>
      </w:r>
      <w:r w:rsidR="0067221F">
        <w:t xml:space="preserve">slightly </w:t>
      </w:r>
      <w:r w:rsidR="002C6843">
        <w:t>above the poverty line</w:t>
      </w:r>
      <w:r w:rsidR="00F82449">
        <w:t>. In December 2020 a single age pensioner</w:t>
      </w:r>
      <w:r w:rsidR="00247268">
        <w:t>’s income was just $15 above the poverty line, and this improved to being $27 a</w:t>
      </w:r>
      <w:r w:rsidR="00514C06">
        <w:t xml:space="preserve">bove the poverty line by December 2021. </w:t>
      </w:r>
      <w:r w:rsidR="009763F9">
        <w:t xml:space="preserve">It is important to note that the pensions are </w:t>
      </w:r>
      <w:r w:rsidR="00AF652C">
        <w:t xml:space="preserve">indexed differently to </w:t>
      </w:r>
      <w:proofErr w:type="spellStart"/>
      <w:r w:rsidR="00AF652C">
        <w:t>JobSeeker</w:t>
      </w:r>
      <w:proofErr w:type="spellEnd"/>
      <w:r w:rsidR="00AF652C">
        <w:t xml:space="preserve"> and Youth Allowance, and in a way that better </w:t>
      </w:r>
      <w:r w:rsidR="00936C42">
        <w:t>aligns with increases in living costs.</w:t>
      </w:r>
    </w:p>
    <w:p w14:paraId="26D0D751" w14:textId="66C7B9CA" w:rsidR="00991890" w:rsidRDefault="00514C06" w:rsidP="000212D1">
      <w:pPr>
        <w:pStyle w:val="BlockText"/>
      </w:pPr>
      <w:r w:rsidRPr="00514C06">
        <w:t xml:space="preserve">Currently, pensions (including the Age Pension, Service Pension, Disability Support Pension and Carer Payment) are adjusted on 20 March and 20 September by the greater of the movements in the CPI or the </w:t>
      </w:r>
      <w:r w:rsidR="005A6F63">
        <w:t xml:space="preserve">[Pensioner and beneficiary Living Cost Index] </w:t>
      </w:r>
      <w:proofErr w:type="spellStart"/>
      <w:r w:rsidRPr="00514C06">
        <w:t>PBLCI</w:t>
      </w:r>
      <w:proofErr w:type="spellEnd"/>
      <w:r w:rsidRPr="00514C06">
        <w:t xml:space="preserve"> over a six-month period. After this indexation occurs, the combined couple rate is benchmarked to 41.76% of </w:t>
      </w:r>
      <w:r w:rsidR="00984F5E">
        <w:t xml:space="preserve">[Male Total Average Weekly Earnings] </w:t>
      </w:r>
      <w:proofErr w:type="spellStart"/>
      <w:r w:rsidRPr="00514C06">
        <w:t>MTAWE</w:t>
      </w:r>
      <w:proofErr w:type="spellEnd"/>
      <w:r w:rsidRPr="00514C06">
        <w:t xml:space="preserve">. The single rate of pension is set at 66.33% of the combined couple rate (which is equal to around 27.7% of </w:t>
      </w:r>
      <w:proofErr w:type="spellStart"/>
      <w:r w:rsidRPr="00514C06">
        <w:t>MTAWE</w:t>
      </w:r>
      <w:proofErr w:type="spellEnd"/>
      <w:r w:rsidRPr="00514C06">
        <w:t xml:space="preserve">). If the combined couple rate is lower than 41.76% of </w:t>
      </w:r>
      <w:proofErr w:type="spellStart"/>
      <w:r w:rsidRPr="00514C06">
        <w:t>MTAWE</w:t>
      </w:r>
      <w:proofErr w:type="spellEnd"/>
      <w:r w:rsidRPr="00514C06">
        <w:t>, the rates are increased to the benchmark lev</w:t>
      </w:r>
      <w:r w:rsidR="00991890">
        <w:t>el.</w:t>
      </w:r>
    </w:p>
    <w:p w14:paraId="3EA455BF" w14:textId="3168846B" w:rsidR="00984F5E" w:rsidRDefault="00550BC9" w:rsidP="000212D1">
      <w:pPr>
        <w:pStyle w:val="BlockText"/>
      </w:pPr>
      <w:r>
        <w:t xml:space="preserve">[In contrast] </w:t>
      </w:r>
      <w:proofErr w:type="spellStart"/>
      <w:r w:rsidR="000212D1" w:rsidRPr="000212D1">
        <w:t>JobSeeker</w:t>
      </w:r>
      <w:proofErr w:type="spellEnd"/>
      <w:r w:rsidR="000212D1" w:rsidRPr="000212D1">
        <w:t xml:space="preserve"> Payment, Parenting Payment Partnered and Special Benefit rates are usually adjusted on 20 March and 20 September each year in line with CPI movements over the preceding </w:t>
      </w:r>
      <w:r w:rsidR="00386E19" w:rsidRPr="000212D1">
        <w:t>six</w:t>
      </w:r>
      <w:r w:rsidR="00386E19" w:rsidRPr="000212D1" w:rsidDel="00AA304D">
        <w:t>-month</w:t>
      </w:r>
      <w:r w:rsidR="000212D1" w:rsidRPr="000212D1">
        <w:t xml:space="preserve"> period.</w:t>
      </w:r>
      <w:r w:rsidR="00472EA4">
        <w:t xml:space="preserve"> </w:t>
      </w:r>
      <w:r w:rsidR="00472EA4" w:rsidRPr="00472EA4">
        <w:t xml:space="preserve">Youth Allowance and </w:t>
      </w:r>
      <w:proofErr w:type="spellStart"/>
      <w:r w:rsidR="00472EA4" w:rsidRPr="00472EA4">
        <w:t>Austudy</w:t>
      </w:r>
      <w:proofErr w:type="spellEnd"/>
      <w:r w:rsidR="00472EA4" w:rsidRPr="00472EA4">
        <w:t xml:space="preserve"> rates are only adjusted once a year, on 1 January, in line with CPI movements over a </w:t>
      </w:r>
      <w:r w:rsidR="00C97EC6" w:rsidRPr="00472EA4">
        <w:t>12</w:t>
      </w:r>
      <w:r w:rsidR="00C97EC6" w:rsidRPr="00472EA4" w:rsidDel="00AA304D">
        <w:t>-month</w:t>
      </w:r>
      <w:r w:rsidR="00472EA4" w:rsidRPr="00472EA4">
        <w:t xml:space="preserve"> period.</w:t>
      </w:r>
      <w:r w:rsidR="007666B7">
        <w:rPr>
          <w:rStyle w:val="FootnoteReference"/>
        </w:rPr>
        <w:footnoteReference w:id="48"/>
      </w:r>
    </w:p>
    <w:p w14:paraId="552A681F" w14:textId="593949D9" w:rsidR="00514C06" w:rsidRDefault="00AD4D1B" w:rsidP="004D393A">
      <w:pPr>
        <w:pStyle w:val="BodyText"/>
      </w:pPr>
      <w:r>
        <w:t xml:space="preserve">For </w:t>
      </w:r>
      <w:proofErr w:type="spellStart"/>
      <w:r>
        <w:t>JobSeeker</w:t>
      </w:r>
      <w:proofErr w:type="spellEnd"/>
      <w:r>
        <w:t xml:space="preserve"> and Youth Allowance (other) recipients the loss of the Coronavirus Supplement </w:t>
      </w:r>
      <w:r w:rsidR="00C42B78">
        <w:t xml:space="preserve">meant that while weekly living costs increased by </w:t>
      </w:r>
      <w:r w:rsidR="00C42B78">
        <w:lastRenderedPageBreak/>
        <w:t xml:space="preserve">around $10-$20 per week, their incomes fell by </w:t>
      </w:r>
      <w:r w:rsidR="00A61C96">
        <w:t>between $90-$100 per week</w:t>
      </w:r>
      <w:r w:rsidR="00B45D50">
        <w:t xml:space="preserve"> – in real terms this meant an even bigger reduction in income of between $</w:t>
      </w:r>
      <w:r w:rsidR="00CD6F27">
        <w:t>104</w:t>
      </w:r>
      <w:r w:rsidR="00B45D50">
        <w:t>-$110 per week</w:t>
      </w:r>
      <w:r w:rsidR="00501A42">
        <w:t xml:space="preserve"> (see Fig</w:t>
      </w:r>
      <w:r w:rsidR="00FA7547">
        <w:t>ures 13 &amp; 14).</w:t>
      </w:r>
      <w:r w:rsidR="002456DE" w:rsidRPr="002456DE">
        <w:t xml:space="preserve"> At the same time, our analysis shows that the increase in the age pension failed to keep up with the $16 per week increase in the cost of living as reflected in the </w:t>
      </w:r>
      <w:proofErr w:type="spellStart"/>
      <w:r w:rsidR="002456DE" w:rsidRPr="002456DE">
        <w:t>PBLCI</w:t>
      </w:r>
      <w:proofErr w:type="spellEnd"/>
      <w:r w:rsidR="002456DE" w:rsidRPr="002456DE">
        <w:t>.</w:t>
      </w:r>
    </w:p>
    <w:p w14:paraId="12BF55C9" w14:textId="31194329" w:rsidR="00706AE9" w:rsidRDefault="00706AE9" w:rsidP="00706AE9">
      <w:pPr>
        <w:pStyle w:val="BodyText"/>
      </w:pPr>
      <w:r>
        <w:t>Everyone should be able to keep a roof over their head and cover their basic expenses. But right now, the punishingly low rate of income support is forcing people to make heartbreaking decisions between paying their rent or buying food and medicine.</w:t>
      </w:r>
      <w:r w:rsidR="00476312">
        <w:t xml:space="preserve"> These decisions are </w:t>
      </w:r>
      <w:r w:rsidR="009B3306">
        <w:t xml:space="preserve">being made even harder as the prices of such essential goods and services </w:t>
      </w:r>
      <w:r w:rsidR="004039E7">
        <w:t>have increased significantly.</w:t>
      </w:r>
    </w:p>
    <w:p w14:paraId="0C4CE9E2" w14:textId="217808BD" w:rsidR="00684C8E" w:rsidRDefault="00706AE9" w:rsidP="004D393A">
      <w:pPr>
        <w:pStyle w:val="BodyText"/>
      </w:pPr>
      <w:r>
        <w:t xml:space="preserve">If we’re going to create a more equal and resilient community, we need to start by ensuring that people unable to get paid work have enough to cover the basics. </w:t>
      </w:r>
      <w:r w:rsidR="0016355A">
        <w:t>In the lead up to the 2022 Federal Election</w:t>
      </w:r>
      <w:r w:rsidR="002C49FB">
        <w:t>,</w:t>
      </w:r>
      <w:r w:rsidR="0016355A">
        <w:t xml:space="preserve"> ACTCOSS is </w:t>
      </w:r>
      <w:r>
        <w:t xml:space="preserve">asking all parties and candidates to commit to lifting income support so everyone can cover the basics, by increasing the rate of </w:t>
      </w:r>
      <w:proofErr w:type="spellStart"/>
      <w:r>
        <w:t>Job</w:t>
      </w:r>
      <w:r w:rsidR="00B91FBC">
        <w:t>S</w:t>
      </w:r>
      <w:r>
        <w:t>eeker</w:t>
      </w:r>
      <w:proofErr w:type="spellEnd"/>
      <w:r>
        <w:t xml:space="preserve"> and other income support payments to at least $70 a day.</w:t>
      </w:r>
    </w:p>
    <w:p w14:paraId="1E014AB4" w14:textId="5C818A1C" w:rsidR="00B666D3" w:rsidRDefault="00FE1610" w:rsidP="00022D96">
      <w:pPr>
        <w:pStyle w:val="Figuretabletitle"/>
      </w:pPr>
      <w:r>
        <w:t xml:space="preserve">Figure </w:t>
      </w:r>
      <w:r w:rsidR="00FA7547">
        <w:t>11</w:t>
      </w:r>
      <w:r>
        <w:t xml:space="preserve"> </w:t>
      </w:r>
      <w:r w:rsidR="004A4711">
        <w:t>Changes in income compared to poverty lines</w:t>
      </w:r>
      <w:r w:rsidR="00D64B6D">
        <w:t xml:space="preserve"> by income type</w:t>
      </w:r>
      <w:r w:rsidR="004A4711">
        <w:t>, December 2020 – December 2021</w:t>
      </w:r>
    </w:p>
    <w:p w14:paraId="48010B51" w14:textId="257178DA" w:rsidR="00667157" w:rsidRDefault="00521EFA" w:rsidP="00667157">
      <w:r>
        <w:rPr>
          <w:noProof/>
          <w:sz w:val="16"/>
          <w:szCs w:val="16"/>
        </w:rPr>
        <w:drawing>
          <wp:inline distT="0" distB="0" distL="0" distR="0" wp14:anchorId="0D361159" wp14:editId="22D0445B">
            <wp:extent cx="5400040" cy="3961130"/>
            <wp:effectExtent l="0" t="0" r="0" b="1270"/>
            <wp:docPr id="31" name="Picture 3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Chart, bar chart&#10;&#10;Description automatically generated"/>
                    <pic:cNvPicPr/>
                  </pic:nvPicPr>
                  <pic:blipFill>
                    <a:blip r:embed="rId42" cstate="print">
                      <a:extLst>
                        <a:ext uri="{28A0092B-C50C-407E-A947-70E740481C1C}">
                          <a14:useLocalDpi xmlns:a14="http://schemas.microsoft.com/office/drawing/2010/main" val="0"/>
                        </a:ext>
                      </a:extLst>
                    </a:blip>
                    <a:stretch>
                      <a:fillRect/>
                    </a:stretch>
                  </pic:blipFill>
                  <pic:spPr>
                    <a:xfrm>
                      <a:off x="0" y="0"/>
                      <a:ext cx="5400040" cy="3961130"/>
                    </a:xfrm>
                    <a:prstGeom prst="rect">
                      <a:avLst/>
                    </a:prstGeom>
                  </pic:spPr>
                </pic:pic>
              </a:graphicData>
            </a:graphic>
          </wp:inline>
        </w:drawing>
      </w:r>
    </w:p>
    <w:p w14:paraId="367FE44A" w14:textId="021FD301" w:rsidR="0024157B" w:rsidRDefault="0024157B" w:rsidP="0024157B">
      <w:pPr>
        <w:pStyle w:val="Source"/>
      </w:pPr>
      <w:r>
        <w:t xml:space="preserve">Source: </w:t>
      </w:r>
      <w:r w:rsidRPr="00511181">
        <w:t xml:space="preserve">Chart derived from Services Australia, </w:t>
      </w:r>
      <w:hyperlink r:id="rId43" w:history="1">
        <w:r w:rsidRPr="00511181">
          <w:rPr>
            <w:rStyle w:val="Hyperlink"/>
            <w:i/>
            <w:iCs/>
          </w:rPr>
          <w:t>A guide to Australian Government payments</w:t>
        </w:r>
      </w:hyperlink>
      <w:r w:rsidRPr="00511181">
        <w:t xml:space="preserve">, </w:t>
      </w:r>
      <w:r>
        <w:t xml:space="preserve">Historical versions from </w:t>
      </w:r>
      <w:r w:rsidRPr="00511181">
        <w:t>20 September – 31 December 20</w:t>
      </w:r>
      <w:r>
        <w:t>20</w:t>
      </w:r>
      <w:r w:rsidRPr="00511181">
        <w:t xml:space="preserve"> to </w:t>
      </w:r>
      <w:r>
        <w:t xml:space="preserve">20 September – 31 December </w:t>
      </w:r>
      <w:r w:rsidRPr="00511181">
        <w:t>202</w:t>
      </w:r>
      <w:r>
        <w:t>1</w:t>
      </w:r>
      <w:r w:rsidRPr="00511181">
        <w:t xml:space="preserve">, Services Australia, Canberra, </w:t>
      </w:r>
      <w:r>
        <w:t>2020-21</w:t>
      </w:r>
      <w:r w:rsidRPr="00511181">
        <w:t xml:space="preserve">, accessed </w:t>
      </w:r>
      <w:r>
        <w:t>21 April 2022</w:t>
      </w:r>
      <w:r w:rsidRPr="00511181">
        <w:t>.</w:t>
      </w:r>
    </w:p>
    <w:p w14:paraId="70745640" w14:textId="5D5C9E56" w:rsidR="00D76FF7" w:rsidRDefault="00583F8A" w:rsidP="00D25B3C">
      <w:pPr>
        <w:pStyle w:val="Figuretabletitle"/>
      </w:pPr>
      <w:r>
        <w:lastRenderedPageBreak/>
        <w:t xml:space="preserve">Figure </w:t>
      </w:r>
      <w:r w:rsidR="00FA7547">
        <w:t>12</w:t>
      </w:r>
      <w:r>
        <w:t xml:space="preserve"> </w:t>
      </w:r>
      <w:r w:rsidR="00D64B6D">
        <w:t>Weekly income p</w:t>
      </w:r>
      <w:r>
        <w:t xml:space="preserve">overty gap by income </w:t>
      </w:r>
      <w:r w:rsidR="00D25B3C">
        <w:t>type, December 2020 – December 2021</w:t>
      </w:r>
      <w:r>
        <w:t xml:space="preserve"> </w:t>
      </w:r>
    </w:p>
    <w:p w14:paraId="429B3FAA" w14:textId="10C9B447" w:rsidR="00D76FF7" w:rsidRDefault="008A5F04" w:rsidP="008A5F04">
      <w:r>
        <w:rPr>
          <w:noProof/>
        </w:rPr>
        <w:drawing>
          <wp:inline distT="0" distB="0" distL="0" distR="0" wp14:anchorId="2515BF77" wp14:editId="395578C7">
            <wp:extent cx="5400040" cy="3244850"/>
            <wp:effectExtent l="0" t="0" r="0" b="0"/>
            <wp:docPr id="32" name="Picture 32"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hart, waterfall chart&#10;&#10;Description automatically generated"/>
                    <pic:cNvPicPr/>
                  </pic:nvPicPr>
                  <pic:blipFill>
                    <a:blip r:embed="rId44" cstate="print">
                      <a:extLst>
                        <a:ext uri="{28A0092B-C50C-407E-A947-70E740481C1C}">
                          <a14:useLocalDpi xmlns:a14="http://schemas.microsoft.com/office/drawing/2010/main" val="0"/>
                        </a:ext>
                      </a:extLst>
                    </a:blip>
                    <a:stretch>
                      <a:fillRect/>
                    </a:stretch>
                  </pic:blipFill>
                  <pic:spPr>
                    <a:xfrm>
                      <a:off x="0" y="0"/>
                      <a:ext cx="5400040" cy="3244850"/>
                    </a:xfrm>
                    <a:prstGeom prst="rect">
                      <a:avLst/>
                    </a:prstGeom>
                  </pic:spPr>
                </pic:pic>
              </a:graphicData>
            </a:graphic>
          </wp:inline>
        </w:drawing>
      </w:r>
    </w:p>
    <w:p w14:paraId="77496D54" w14:textId="77777777" w:rsidR="005C6445" w:rsidRDefault="005C6445" w:rsidP="005C6445">
      <w:pPr>
        <w:pStyle w:val="Source"/>
      </w:pPr>
      <w:r>
        <w:t xml:space="preserve">Source: </w:t>
      </w:r>
      <w:r w:rsidRPr="00511181">
        <w:t xml:space="preserve">Chart derived from Services Australia, </w:t>
      </w:r>
      <w:hyperlink r:id="rId45" w:history="1">
        <w:r w:rsidRPr="00511181">
          <w:rPr>
            <w:rStyle w:val="Hyperlink"/>
            <w:i/>
            <w:iCs/>
          </w:rPr>
          <w:t>A guide to Australian Government payments</w:t>
        </w:r>
      </w:hyperlink>
      <w:r w:rsidRPr="00511181">
        <w:t xml:space="preserve">, </w:t>
      </w:r>
      <w:r>
        <w:t xml:space="preserve">Historical versions from </w:t>
      </w:r>
      <w:r w:rsidRPr="00511181">
        <w:t>20 September – 31 December 20</w:t>
      </w:r>
      <w:r>
        <w:t>20</w:t>
      </w:r>
      <w:r w:rsidRPr="00511181">
        <w:t xml:space="preserve"> to </w:t>
      </w:r>
      <w:r>
        <w:t xml:space="preserve">20 September – 31 December </w:t>
      </w:r>
      <w:r w:rsidRPr="00511181">
        <w:t>202</w:t>
      </w:r>
      <w:r>
        <w:t>1</w:t>
      </w:r>
      <w:r w:rsidRPr="00511181">
        <w:t xml:space="preserve">, Services Australia, Canberra, </w:t>
      </w:r>
      <w:r>
        <w:t>2020-21</w:t>
      </w:r>
      <w:r w:rsidRPr="00511181">
        <w:t xml:space="preserve">, accessed </w:t>
      </w:r>
      <w:r>
        <w:t>21 April 2022</w:t>
      </w:r>
      <w:r w:rsidRPr="00511181">
        <w:t>.</w:t>
      </w:r>
    </w:p>
    <w:p w14:paraId="2DE5528C" w14:textId="5E388A40" w:rsidR="008E039F" w:rsidRDefault="008E039F" w:rsidP="008E039F">
      <w:pPr>
        <w:pStyle w:val="Figuretabletitle"/>
      </w:pPr>
      <w:r>
        <w:t xml:space="preserve">Figure </w:t>
      </w:r>
      <w:r w:rsidR="00FA7547">
        <w:t>13</w:t>
      </w:r>
      <w:r>
        <w:t xml:space="preserve"> Change in weekly income by income type, December 2020 – December 2021</w:t>
      </w:r>
    </w:p>
    <w:p w14:paraId="0B52CB0B" w14:textId="76B10B94" w:rsidR="00577C8A" w:rsidRDefault="00920F77" w:rsidP="00B239CB">
      <w:r>
        <w:rPr>
          <w:noProof/>
        </w:rPr>
        <w:drawing>
          <wp:inline distT="0" distB="0" distL="0" distR="0" wp14:anchorId="0116306B" wp14:editId="218FDCF0">
            <wp:extent cx="5400040" cy="2918460"/>
            <wp:effectExtent l="0" t="0" r="0" b="0"/>
            <wp:docPr id="5" name="Picture 5"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waterfall chart&#10;&#10;Description automatically generated"/>
                    <pic:cNvPicPr/>
                  </pic:nvPicPr>
                  <pic:blipFill>
                    <a:blip r:embed="rId46" cstate="print">
                      <a:extLst>
                        <a:ext uri="{28A0092B-C50C-407E-A947-70E740481C1C}">
                          <a14:useLocalDpi xmlns:a14="http://schemas.microsoft.com/office/drawing/2010/main" val="0"/>
                        </a:ext>
                      </a:extLst>
                    </a:blip>
                    <a:stretch>
                      <a:fillRect/>
                    </a:stretch>
                  </pic:blipFill>
                  <pic:spPr>
                    <a:xfrm>
                      <a:off x="0" y="0"/>
                      <a:ext cx="5400040" cy="2918460"/>
                    </a:xfrm>
                    <a:prstGeom prst="rect">
                      <a:avLst/>
                    </a:prstGeom>
                  </pic:spPr>
                </pic:pic>
              </a:graphicData>
            </a:graphic>
          </wp:inline>
        </w:drawing>
      </w:r>
    </w:p>
    <w:p w14:paraId="676AB0C6" w14:textId="66904347" w:rsidR="00681BDC" w:rsidRDefault="00681BDC" w:rsidP="00681BDC">
      <w:pPr>
        <w:pStyle w:val="Source"/>
      </w:pPr>
      <w:r>
        <w:t xml:space="preserve">Source: </w:t>
      </w:r>
      <w:r w:rsidRPr="001F0D44">
        <w:t xml:space="preserve">Chart derived from Services Australia, </w:t>
      </w:r>
      <w:hyperlink r:id="rId47" w:history="1">
        <w:r w:rsidRPr="001F0D44">
          <w:rPr>
            <w:rStyle w:val="Hyperlink"/>
            <w:i/>
            <w:iCs/>
          </w:rPr>
          <w:t>A guide to Australian Government payments</w:t>
        </w:r>
      </w:hyperlink>
      <w:r w:rsidRPr="001F0D44">
        <w:t xml:space="preserve">, </w:t>
      </w:r>
      <w:r>
        <w:t xml:space="preserve">Historical versions from 20 September </w:t>
      </w:r>
      <w:r w:rsidRPr="001F0D44">
        <w:t xml:space="preserve">2020 </w:t>
      </w:r>
      <w:r w:rsidR="002F1C37">
        <w:t>– 31 December 2020 to 20 September – 31 December 2021</w:t>
      </w:r>
      <w:r w:rsidRPr="001F0D44">
        <w:t xml:space="preserve">, Services Australia, Canberra, 2020-21, accessed 13 July 2021; Fair Work Commission, </w:t>
      </w:r>
      <w:hyperlink r:id="rId48" w:history="1">
        <w:r w:rsidRPr="00CC0D30">
          <w:rPr>
            <w:rStyle w:val="Hyperlink"/>
            <w:i/>
            <w:iCs/>
          </w:rPr>
          <w:t>National Minimum Wage Order 20</w:t>
        </w:r>
        <w:r w:rsidR="00472BC6" w:rsidRPr="00CC0D30">
          <w:rPr>
            <w:rStyle w:val="Hyperlink"/>
            <w:i/>
            <w:iCs/>
          </w:rPr>
          <w:t>20</w:t>
        </w:r>
      </w:hyperlink>
      <w:r w:rsidRPr="001F0D44">
        <w:t xml:space="preserve">, Fair Work Commission, Melbourne, 2019; Fair Work Commission, </w:t>
      </w:r>
      <w:hyperlink r:id="rId49" w:history="1">
        <w:r w:rsidRPr="000300CA">
          <w:rPr>
            <w:rStyle w:val="Hyperlink"/>
            <w:i/>
            <w:iCs/>
          </w:rPr>
          <w:t>National Minimum Wage Order 20</w:t>
        </w:r>
        <w:r w:rsidR="000300CA" w:rsidRPr="000300CA">
          <w:rPr>
            <w:rStyle w:val="Hyperlink"/>
            <w:i/>
            <w:iCs/>
          </w:rPr>
          <w:t>21</w:t>
        </w:r>
      </w:hyperlink>
      <w:r w:rsidRPr="001F0D44">
        <w:t xml:space="preserve">, Fair Work Commission, Melbourne, 2020; ABS, </w:t>
      </w:r>
      <w:hyperlink r:id="rId50" w:history="1">
        <w:r w:rsidRPr="001F0D44">
          <w:rPr>
            <w:rStyle w:val="Hyperlink"/>
            <w:i/>
            <w:iCs/>
          </w:rPr>
          <w:t>Average Weekly Earnings, Australia</w:t>
        </w:r>
      </w:hyperlink>
      <w:r w:rsidRPr="001F0D44">
        <w:t>, Nov 20</w:t>
      </w:r>
      <w:r w:rsidR="00F47CC7">
        <w:t>20</w:t>
      </w:r>
      <w:r w:rsidRPr="001F0D44">
        <w:t xml:space="preserve"> &amp; Nov 202</w:t>
      </w:r>
      <w:r w:rsidR="00F47CC7">
        <w:t>1</w:t>
      </w:r>
      <w:r w:rsidRPr="001F0D44">
        <w:t xml:space="preserve">, ABS, Canberra, </w:t>
      </w:r>
      <w:r w:rsidR="00F47CC7">
        <w:t>2021-22</w:t>
      </w:r>
      <w:r w:rsidRPr="001F0D44">
        <w:t xml:space="preserve">, accessed </w:t>
      </w:r>
      <w:r w:rsidR="00F47CC7">
        <w:t>21 April 2022</w:t>
      </w:r>
      <w:r w:rsidRPr="001F0D44">
        <w:t>.</w:t>
      </w:r>
    </w:p>
    <w:p w14:paraId="145287F6" w14:textId="57926457" w:rsidR="00681BDC" w:rsidRDefault="0029565D" w:rsidP="0029565D">
      <w:pPr>
        <w:pStyle w:val="Figuretabletitle"/>
      </w:pPr>
      <w:r>
        <w:lastRenderedPageBreak/>
        <w:t>Figure</w:t>
      </w:r>
      <w:r w:rsidR="00FA7547">
        <w:t xml:space="preserve"> 14</w:t>
      </w:r>
      <w:r>
        <w:t xml:space="preserve"> Change in weekly income vs change in living costs, December 2020 – December 2021</w:t>
      </w:r>
    </w:p>
    <w:p w14:paraId="6468B225" w14:textId="021AB3C0" w:rsidR="00EA7E52" w:rsidRDefault="00F25113" w:rsidP="00EC04A8">
      <w:r>
        <w:rPr>
          <w:noProof/>
        </w:rPr>
        <w:drawing>
          <wp:inline distT="0" distB="0" distL="0" distR="0" wp14:anchorId="556E6D45" wp14:editId="63B351B1">
            <wp:extent cx="5400040" cy="3494405"/>
            <wp:effectExtent l="0" t="0" r="0" b="0"/>
            <wp:docPr id="4" name="Picture 4"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waterfall chart&#10;&#10;Description automatically generated"/>
                    <pic:cNvPicPr/>
                  </pic:nvPicPr>
                  <pic:blipFill>
                    <a:blip r:embed="rId51" cstate="print">
                      <a:extLst>
                        <a:ext uri="{28A0092B-C50C-407E-A947-70E740481C1C}">
                          <a14:useLocalDpi xmlns:a14="http://schemas.microsoft.com/office/drawing/2010/main" val="0"/>
                        </a:ext>
                      </a:extLst>
                    </a:blip>
                    <a:stretch>
                      <a:fillRect/>
                    </a:stretch>
                  </pic:blipFill>
                  <pic:spPr>
                    <a:xfrm>
                      <a:off x="0" y="0"/>
                      <a:ext cx="5400040" cy="3494405"/>
                    </a:xfrm>
                    <a:prstGeom prst="rect">
                      <a:avLst/>
                    </a:prstGeom>
                  </pic:spPr>
                </pic:pic>
              </a:graphicData>
            </a:graphic>
          </wp:inline>
        </w:drawing>
      </w:r>
    </w:p>
    <w:p w14:paraId="43F54F01" w14:textId="6AFE3400" w:rsidR="00A10B8D" w:rsidRDefault="00A10B8D" w:rsidP="00A10B8D">
      <w:pPr>
        <w:pStyle w:val="Source"/>
      </w:pPr>
      <w:r>
        <w:t xml:space="preserve">Source: </w:t>
      </w:r>
      <w:r w:rsidRPr="00C359A6">
        <w:t xml:space="preserve">Chart derived from ABS, </w:t>
      </w:r>
      <w:hyperlink r:id="rId52" w:history="1">
        <w:r w:rsidRPr="00C359A6">
          <w:rPr>
            <w:rStyle w:val="Hyperlink"/>
            <w:i/>
            <w:iCs/>
          </w:rPr>
          <w:t>Selected Living Cost Indexes, Australia</w:t>
        </w:r>
      </w:hyperlink>
      <w:r w:rsidRPr="00C359A6">
        <w:t>,</w:t>
      </w:r>
      <w:r>
        <w:t xml:space="preserve"> Reference period December 2021,</w:t>
      </w:r>
      <w:r w:rsidRPr="00C359A6">
        <w:t xml:space="preserve"> ABS website, 202</w:t>
      </w:r>
      <w:r>
        <w:t>2</w:t>
      </w:r>
      <w:r w:rsidRPr="00C359A6">
        <w:t xml:space="preserve">; Services Australia, </w:t>
      </w:r>
      <w:hyperlink r:id="rId53" w:history="1">
        <w:r w:rsidRPr="00C359A6">
          <w:rPr>
            <w:rStyle w:val="Hyperlink"/>
            <w:i/>
            <w:iCs/>
          </w:rPr>
          <w:t>A guide to Australian Government payments</w:t>
        </w:r>
      </w:hyperlink>
      <w:r w:rsidRPr="00C359A6">
        <w:t xml:space="preserve">, </w:t>
      </w:r>
      <w:r>
        <w:t xml:space="preserve">Historical versions from </w:t>
      </w:r>
      <w:r w:rsidRPr="00C359A6">
        <w:t xml:space="preserve">20 </w:t>
      </w:r>
      <w:r>
        <w:t>September</w:t>
      </w:r>
      <w:r w:rsidR="00674D88">
        <w:t xml:space="preserve"> – 31 December</w:t>
      </w:r>
      <w:r w:rsidRPr="00C359A6">
        <w:t xml:space="preserve"> 2020 to </w:t>
      </w:r>
      <w:r w:rsidR="00674D88">
        <w:t>20 September – 31 December</w:t>
      </w:r>
      <w:r w:rsidRPr="00C359A6">
        <w:t xml:space="preserve"> 2021, Services Australia, Canberra, </w:t>
      </w:r>
      <w:r w:rsidR="00674D88">
        <w:t>2021-22</w:t>
      </w:r>
      <w:r w:rsidRPr="00C359A6">
        <w:t xml:space="preserve">, accessed </w:t>
      </w:r>
      <w:r w:rsidR="00674D88">
        <w:t>21 April 2022</w:t>
      </w:r>
      <w:r w:rsidRPr="00C359A6">
        <w:t xml:space="preserve">; Fair Work Commission, </w:t>
      </w:r>
      <w:hyperlink r:id="rId54" w:history="1">
        <w:r w:rsidRPr="009123BE">
          <w:rPr>
            <w:rStyle w:val="Hyperlink"/>
            <w:i/>
            <w:iCs/>
          </w:rPr>
          <w:t>National Minimum Wage Order 20</w:t>
        </w:r>
        <w:r w:rsidR="00674D88" w:rsidRPr="009123BE">
          <w:rPr>
            <w:rStyle w:val="Hyperlink"/>
            <w:i/>
            <w:iCs/>
          </w:rPr>
          <w:t>20</w:t>
        </w:r>
      </w:hyperlink>
      <w:r w:rsidRPr="00C359A6">
        <w:t>, Fair Work Commission, Melbourne, 20</w:t>
      </w:r>
      <w:r w:rsidR="009123BE">
        <w:t>20</w:t>
      </w:r>
      <w:r w:rsidRPr="00C359A6">
        <w:t xml:space="preserve">; Fair Work Commission, </w:t>
      </w:r>
      <w:hyperlink r:id="rId55" w:history="1">
        <w:r w:rsidRPr="009123BE">
          <w:rPr>
            <w:rStyle w:val="Hyperlink"/>
            <w:i/>
            <w:iCs/>
          </w:rPr>
          <w:t>National Minimum Wage Order 202</w:t>
        </w:r>
        <w:r w:rsidR="009123BE" w:rsidRPr="009123BE">
          <w:rPr>
            <w:rStyle w:val="Hyperlink"/>
            <w:i/>
            <w:iCs/>
          </w:rPr>
          <w:t>1</w:t>
        </w:r>
      </w:hyperlink>
      <w:r w:rsidRPr="00C359A6">
        <w:t>, Fair Work Commission, Melbourne, 202</w:t>
      </w:r>
      <w:r w:rsidR="009123BE">
        <w:t>1</w:t>
      </w:r>
      <w:r w:rsidRPr="00C359A6">
        <w:t xml:space="preserve">; ABS, </w:t>
      </w:r>
      <w:hyperlink r:id="rId56" w:history="1">
        <w:r w:rsidRPr="00C359A6">
          <w:rPr>
            <w:rStyle w:val="Hyperlink"/>
            <w:i/>
            <w:iCs/>
          </w:rPr>
          <w:t>Average Weekly Earnings, Australia</w:t>
        </w:r>
      </w:hyperlink>
      <w:r w:rsidRPr="00C359A6">
        <w:t>, Nov 20</w:t>
      </w:r>
      <w:r w:rsidR="009123BE">
        <w:t>20</w:t>
      </w:r>
      <w:r w:rsidRPr="00C359A6">
        <w:t xml:space="preserve"> &amp; Nov 202</w:t>
      </w:r>
      <w:r w:rsidR="009123BE">
        <w:t>1</w:t>
      </w:r>
      <w:r w:rsidRPr="00C359A6">
        <w:t>, ABS, Canberra, 20</w:t>
      </w:r>
      <w:r>
        <w:t>2</w:t>
      </w:r>
      <w:r w:rsidR="009123BE">
        <w:t>1</w:t>
      </w:r>
      <w:r>
        <w:t>-2</w:t>
      </w:r>
      <w:r w:rsidR="009123BE">
        <w:t>2</w:t>
      </w:r>
      <w:r w:rsidRPr="00C359A6">
        <w:t xml:space="preserve">, accessed </w:t>
      </w:r>
      <w:r w:rsidR="009123BE">
        <w:t>21 April 2022</w:t>
      </w:r>
      <w:r w:rsidRPr="00C359A6">
        <w:t>.</w:t>
      </w:r>
    </w:p>
    <w:p w14:paraId="449290CF" w14:textId="3BF2C4DA" w:rsidR="00AE100C" w:rsidRDefault="00AE100C" w:rsidP="00920F77">
      <w:pPr>
        <w:pStyle w:val="Heading1-Pagebreakbefore"/>
      </w:pPr>
      <w:bookmarkStart w:id="25" w:name="_Toc102651026"/>
      <w:r>
        <w:lastRenderedPageBreak/>
        <w:t>Conclusion</w:t>
      </w:r>
      <w:bookmarkEnd w:id="25"/>
    </w:p>
    <w:p w14:paraId="08633D55" w14:textId="06AE34E6" w:rsidR="00AE100C" w:rsidRDefault="001876D7" w:rsidP="002C4E3A">
      <w:pPr>
        <w:pStyle w:val="BodyText"/>
      </w:pPr>
      <w:r>
        <w:t xml:space="preserve">Over the past 12 months we have seen </w:t>
      </w:r>
      <w:r w:rsidR="0064054E">
        <w:t xml:space="preserve">the cost of living rise </w:t>
      </w:r>
      <w:r w:rsidR="002A17F4">
        <w:t>fast</w:t>
      </w:r>
      <w:r w:rsidR="00FB69F7">
        <w:t xml:space="preserve">, hitting </w:t>
      </w:r>
      <w:r w:rsidR="00EA74DC">
        <w:t xml:space="preserve">low-income households hardest. This sharp rise in the cost of living has </w:t>
      </w:r>
      <w:r w:rsidR="00F66396">
        <w:t xml:space="preserve">occurred </w:t>
      </w:r>
      <w:r w:rsidR="0058273C">
        <w:t xml:space="preserve">at the same time as </w:t>
      </w:r>
      <w:r w:rsidR="00AC269F">
        <w:t xml:space="preserve">COVID-19 </w:t>
      </w:r>
      <w:r w:rsidR="002A17F4">
        <w:t>income support measures were withdrawn.</w:t>
      </w:r>
      <w:r w:rsidR="00F04D9B">
        <w:t xml:space="preserve"> </w:t>
      </w:r>
      <w:r w:rsidR="006F3A3D">
        <w:t xml:space="preserve">As a </w:t>
      </w:r>
      <w:r w:rsidR="00722510">
        <w:t>result,</w:t>
      </w:r>
      <w:r w:rsidR="006F3A3D">
        <w:t xml:space="preserve"> we </w:t>
      </w:r>
      <w:r w:rsidR="00311E26">
        <w:t>have seen</w:t>
      </w:r>
      <w:r w:rsidR="0039386F">
        <w:t xml:space="preserve"> </w:t>
      </w:r>
      <w:r w:rsidR="00D05309">
        <w:t>an increase in poverty and inequality in our community</w:t>
      </w:r>
      <w:r w:rsidR="00EE2A59">
        <w:t xml:space="preserve"> </w:t>
      </w:r>
      <w:r w:rsidR="001B0760">
        <w:t xml:space="preserve">as </w:t>
      </w:r>
      <w:r w:rsidR="00451C1B">
        <w:t xml:space="preserve">our economy </w:t>
      </w:r>
      <w:r w:rsidR="001B0760">
        <w:t xml:space="preserve">emerged from </w:t>
      </w:r>
      <w:r w:rsidR="007C03A5">
        <w:t>recession</w:t>
      </w:r>
      <w:r w:rsidR="007C4D47">
        <w:t xml:space="preserve">. </w:t>
      </w:r>
      <w:r w:rsidR="005B1C58">
        <w:t xml:space="preserve">This </w:t>
      </w:r>
      <w:r w:rsidR="0009596D">
        <w:t xml:space="preserve">cannot be </w:t>
      </w:r>
      <w:r w:rsidR="00A41E43">
        <w:t>seen as an effective</w:t>
      </w:r>
      <w:r w:rsidR="005B1C58">
        <w:t xml:space="preserve"> economic or community recovery</w:t>
      </w:r>
      <w:r w:rsidR="00FB7D32">
        <w:t xml:space="preserve"> when </w:t>
      </w:r>
      <w:r w:rsidR="00A06A7B">
        <w:t xml:space="preserve">those with the least </w:t>
      </w:r>
      <w:r w:rsidR="0036220A">
        <w:t xml:space="preserve">are </w:t>
      </w:r>
      <w:r w:rsidR="00CD0EF8">
        <w:t xml:space="preserve">being </w:t>
      </w:r>
      <w:r w:rsidR="007E1263">
        <w:t>left even further behind</w:t>
      </w:r>
      <w:r w:rsidR="00F47F89">
        <w:t xml:space="preserve"> and</w:t>
      </w:r>
      <w:r w:rsidR="003B01EA">
        <w:t xml:space="preserve"> when</w:t>
      </w:r>
      <w:r w:rsidR="00F47F89">
        <w:t xml:space="preserve"> more </w:t>
      </w:r>
      <w:r w:rsidR="0004252C">
        <w:t xml:space="preserve">people </w:t>
      </w:r>
      <w:r w:rsidR="000B0D9E">
        <w:t xml:space="preserve">with </w:t>
      </w:r>
      <w:r w:rsidR="00481706">
        <w:t>increasingly</w:t>
      </w:r>
      <w:r w:rsidR="000B0D9E">
        <w:t xml:space="preserve"> complex needs </w:t>
      </w:r>
      <w:r w:rsidR="007F05F5">
        <w:t xml:space="preserve">are </w:t>
      </w:r>
      <w:r w:rsidR="00481706">
        <w:t xml:space="preserve">seeking </w:t>
      </w:r>
      <w:r w:rsidR="007F05F5">
        <w:t xml:space="preserve">the support of </w:t>
      </w:r>
      <w:r w:rsidR="003B01EA">
        <w:t>our</w:t>
      </w:r>
      <w:r w:rsidR="007F05F5">
        <w:t xml:space="preserve"> </w:t>
      </w:r>
      <w:r w:rsidR="00301ED0">
        <w:t>under</w:t>
      </w:r>
      <w:r w:rsidR="00801E9C">
        <w:t xml:space="preserve">funded, </w:t>
      </w:r>
      <w:proofErr w:type="gramStart"/>
      <w:r w:rsidR="00481706">
        <w:t>overworked</w:t>
      </w:r>
      <w:proofErr w:type="gramEnd"/>
      <w:r w:rsidR="00481706">
        <w:t xml:space="preserve"> and </w:t>
      </w:r>
      <w:r w:rsidR="00801E9C">
        <w:t xml:space="preserve">underpaid </w:t>
      </w:r>
      <w:r w:rsidR="007F05F5">
        <w:t>community sector.</w:t>
      </w:r>
    </w:p>
    <w:p w14:paraId="27BF4E2E" w14:textId="49D410D8" w:rsidR="005C00FC" w:rsidRDefault="00DA1012" w:rsidP="002C4E3A">
      <w:pPr>
        <w:pStyle w:val="BodyText"/>
      </w:pPr>
      <w:r>
        <w:t>An effective economic and community recovery will require u</w:t>
      </w:r>
      <w:r w:rsidR="000753E7">
        <w:t>rgent action</w:t>
      </w:r>
      <w:r w:rsidR="00B13B66">
        <w:t xml:space="preserve"> and significant investment</w:t>
      </w:r>
      <w:r w:rsidR="000753E7">
        <w:t xml:space="preserve"> by </w:t>
      </w:r>
      <w:r w:rsidR="00F869AB">
        <w:t xml:space="preserve">both the </w:t>
      </w:r>
      <w:r w:rsidR="000753E7">
        <w:t>ACT</w:t>
      </w:r>
      <w:r w:rsidR="00F869AB">
        <w:t xml:space="preserve"> and </w:t>
      </w:r>
      <w:r w:rsidR="00BF6F49">
        <w:t>f</w:t>
      </w:r>
      <w:r w:rsidR="00F869AB">
        <w:t>ederal</w:t>
      </w:r>
      <w:r w:rsidR="000753E7">
        <w:t xml:space="preserve"> government</w:t>
      </w:r>
      <w:r w:rsidR="00F869AB">
        <w:t>s</w:t>
      </w:r>
      <w:r w:rsidR="000753E7">
        <w:t xml:space="preserve"> to </w:t>
      </w:r>
      <w:r w:rsidR="00BD081D">
        <w:t xml:space="preserve">ensure all members of our community can afford </w:t>
      </w:r>
      <w:r w:rsidR="00B10010">
        <w:t>the essentials of a healthy</w:t>
      </w:r>
      <w:r w:rsidR="00D5352E">
        <w:t xml:space="preserve"> life</w:t>
      </w:r>
      <w:r w:rsidR="00D538AF">
        <w:t>.</w:t>
      </w:r>
    </w:p>
    <w:p w14:paraId="01C2689E" w14:textId="310F744D" w:rsidR="005C00FC" w:rsidRDefault="00EF4FE0" w:rsidP="002C4E3A">
      <w:pPr>
        <w:pStyle w:val="BodyText"/>
      </w:pPr>
      <w:r>
        <w:t>Both levels of government have a critical role to play in addressing our housing affordability crisis</w:t>
      </w:r>
      <w:r w:rsidR="006D6829">
        <w:t xml:space="preserve">. </w:t>
      </w:r>
      <w:r w:rsidR="00E60F44" w:rsidRPr="00E60F44">
        <w:t xml:space="preserve">Building more social and affordable housing is the only way to ensure ongoing stability and prosperity for all </w:t>
      </w:r>
      <w:r w:rsidR="00E60F44">
        <w:t>Canberrans and Australians</w:t>
      </w:r>
      <w:r w:rsidR="00E60F44" w:rsidRPr="00E60F44">
        <w:t xml:space="preserve">. </w:t>
      </w:r>
    </w:p>
    <w:p w14:paraId="5C61BE72" w14:textId="77777777" w:rsidR="005C00FC" w:rsidRDefault="00BC39A7" w:rsidP="002C4E3A">
      <w:pPr>
        <w:pStyle w:val="BodyText"/>
      </w:pPr>
      <w:r>
        <w:t xml:space="preserve">Both levels of government have a role to play to ensure that no one is left behind as we transition to net zero greenhouse gas emissions. </w:t>
      </w:r>
      <w:r w:rsidR="006C1191">
        <w:t>R</w:t>
      </w:r>
      <w:r w:rsidR="006C1191" w:rsidRPr="006C1191">
        <w:t>apidly reducing emissions in a fair and inclusive way can improve lives. The right policies can create opportunities for more affordable and healthier energy, housing, and transport, and create jobs.</w:t>
      </w:r>
      <w:r w:rsidR="00946E89">
        <w:t xml:space="preserve"> </w:t>
      </w:r>
    </w:p>
    <w:p w14:paraId="2C19DA10" w14:textId="3F36A229" w:rsidR="006C1191" w:rsidRDefault="00946E89" w:rsidP="002C4E3A">
      <w:pPr>
        <w:pStyle w:val="BodyText"/>
      </w:pPr>
      <w:r>
        <w:t xml:space="preserve">Both levels of government have a role to play to </w:t>
      </w:r>
      <w:r w:rsidR="00BC76A8">
        <w:t xml:space="preserve">ensure that </w:t>
      </w:r>
      <w:r w:rsidR="00FB439A">
        <w:t xml:space="preserve">everyone in our community </w:t>
      </w:r>
      <w:r w:rsidR="005C00FC">
        <w:t xml:space="preserve">can afford to cover the basics. </w:t>
      </w:r>
      <w:r w:rsidR="0074401F">
        <w:t xml:space="preserve">For the ACT Government this </w:t>
      </w:r>
      <w:r w:rsidR="000469CD">
        <w:t xml:space="preserve">includes </w:t>
      </w:r>
      <w:r w:rsidR="005C490D">
        <w:t xml:space="preserve">providing targeted </w:t>
      </w:r>
      <w:r w:rsidR="00C71127">
        <w:t xml:space="preserve">and adequate </w:t>
      </w:r>
      <w:r w:rsidR="005C490D">
        <w:t>support</w:t>
      </w:r>
      <w:r w:rsidR="00B9036D">
        <w:t xml:space="preserve"> </w:t>
      </w:r>
      <w:r w:rsidR="000F50D8">
        <w:t xml:space="preserve">and concessions to </w:t>
      </w:r>
      <w:r w:rsidR="00C71127">
        <w:t>low-income and other vulnerable households</w:t>
      </w:r>
      <w:r w:rsidR="00F10351">
        <w:t xml:space="preserve">. </w:t>
      </w:r>
      <w:r w:rsidR="000817EA">
        <w:t xml:space="preserve">For the </w:t>
      </w:r>
      <w:r w:rsidR="00267CC8">
        <w:t xml:space="preserve">Australian </w:t>
      </w:r>
      <w:r w:rsidR="000817EA">
        <w:t xml:space="preserve">Government </w:t>
      </w:r>
      <w:r w:rsidR="00DF6A86">
        <w:t>this</w:t>
      </w:r>
      <w:r w:rsidR="000469CD">
        <w:t xml:space="preserve"> includes</w:t>
      </w:r>
      <w:r w:rsidR="00DF6A86">
        <w:t xml:space="preserve"> </w:t>
      </w:r>
      <w:r w:rsidR="005D350B">
        <w:t xml:space="preserve">establishing </w:t>
      </w:r>
      <w:r w:rsidR="005D350B" w:rsidRPr="005D350B">
        <w:t>a minimum income floor in our income support system by lifting all base rates of payment to at least $70 a day (the same level as the pension and pension supplement) and indexing them to wages as well as prices.</w:t>
      </w:r>
    </w:p>
    <w:p w14:paraId="579EAAD3" w14:textId="03973CFB" w:rsidR="00B87F35" w:rsidRDefault="00B87F35" w:rsidP="002C4E3A">
      <w:pPr>
        <w:pStyle w:val="BodyText"/>
      </w:pPr>
      <w:r>
        <w:t xml:space="preserve">As we look towards the 2022 Federal Election and the 2022-23 ACT Budget, </w:t>
      </w:r>
      <w:r w:rsidRPr="00B87F35">
        <w:t xml:space="preserve">we need </w:t>
      </w:r>
      <w:r w:rsidR="00F42CD3">
        <w:t>commitments</w:t>
      </w:r>
      <w:r w:rsidR="003F51F8">
        <w:t xml:space="preserve"> and cooper</w:t>
      </w:r>
      <w:r w:rsidR="00BD1221">
        <w:t>ation from</w:t>
      </w:r>
      <w:r w:rsidR="00F42CD3">
        <w:t xml:space="preserve"> both levels of government</w:t>
      </w:r>
      <w:r w:rsidRPr="00B87F35">
        <w:t xml:space="preserve"> to </w:t>
      </w:r>
      <w:r w:rsidR="00BD1221">
        <w:t xml:space="preserve">a recovery </w:t>
      </w:r>
      <w:r w:rsidR="006D0867">
        <w:t xml:space="preserve">built upon </w:t>
      </w:r>
      <w:r w:rsidR="00F42CD3">
        <w:t>a</w:t>
      </w:r>
      <w:r w:rsidR="006D0867">
        <w:t xml:space="preserve"> vision of a</w:t>
      </w:r>
      <w:r w:rsidRPr="00B87F35">
        <w:t xml:space="preserve"> more equal and resilient community </w:t>
      </w:r>
      <w:r w:rsidR="006D0867">
        <w:t>ready to face</w:t>
      </w:r>
      <w:r w:rsidRPr="00B87F35">
        <w:t xml:space="preserve"> the challenges of</w:t>
      </w:r>
      <w:r w:rsidR="00F42CD3">
        <w:t xml:space="preserve"> poverty,</w:t>
      </w:r>
      <w:r w:rsidRPr="00B87F35">
        <w:t xml:space="preserve"> </w:t>
      </w:r>
      <w:proofErr w:type="gramStart"/>
      <w:r w:rsidRPr="00B87F35">
        <w:t>inequality</w:t>
      </w:r>
      <w:proofErr w:type="gramEnd"/>
      <w:r w:rsidRPr="00B87F35">
        <w:t xml:space="preserve"> and climate change</w:t>
      </w:r>
      <w:r w:rsidR="006D0867">
        <w:t xml:space="preserve"> </w:t>
      </w:r>
      <w:r w:rsidRPr="00B87F35">
        <w:t xml:space="preserve">to forge a </w:t>
      </w:r>
      <w:r w:rsidR="006D0867">
        <w:t xml:space="preserve">more </w:t>
      </w:r>
      <w:r w:rsidR="00AA11B2">
        <w:t>just and sustainable</w:t>
      </w:r>
      <w:r w:rsidR="00F42CD3">
        <w:t xml:space="preserve"> </w:t>
      </w:r>
      <w:r w:rsidRPr="00B87F35">
        <w:t>future</w:t>
      </w:r>
      <w:r w:rsidR="00F42CD3">
        <w:t xml:space="preserve"> for Canberra and the nation</w:t>
      </w:r>
      <w:r w:rsidRPr="00B87F35">
        <w:t>.</w:t>
      </w:r>
    </w:p>
    <w:p w14:paraId="15A4B41B" w14:textId="77777777" w:rsidR="00267CC8" w:rsidRDefault="00267CC8">
      <w:pPr>
        <w:rPr>
          <w:rFonts w:cs="Arial"/>
          <w:b/>
          <w:bCs/>
          <w:color w:val="005984"/>
          <w:kern w:val="32"/>
          <w:sz w:val="37"/>
          <w:szCs w:val="32"/>
        </w:rPr>
      </w:pPr>
      <w:r>
        <w:br w:type="page"/>
      </w:r>
    </w:p>
    <w:p w14:paraId="0C490B15" w14:textId="2DF7C747" w:rsidR="00AE100C" w:rsidRDefault="00AE100C" w:rsidP="00AE100C">
      <w:pPr>
        <w:pStyle w:val="Heading1"/>
      </w:pPr>
      <w:bookmarkStart w:id="26" w:name="_Toc102651027"/>
      <w:r>
        <w:lastRenderedPageBreak/>
        <w:t>Appendix: Explanatory Notes</w:t>
      </w:r>
      <w:bookmarkEnd w:id="26"/>
    </w:p>
    <w:p w14:paraId="4ADEBF91" w14:textId="1480EC6E" w:rsidR="007557AF" w:rsidRPr="009D6250" w:rsidRDefault="007557AF" w:rsidP="007557A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9D6250">
        <w:t xml:space="preserve">ACTCOSS uses the </w:t>
      </w:r>
      <w:proofErr w:type="gramStart"/>
      <w:r w:rsidR="006A4467" w:rsidRPr="009D6250">
        <w:t>cost</w:t>
      </w:r>
      <w:r w:rsidR="002E7EBC">
        <w:t xml:space="preserve"> </w:t>
      </w:r>
      <w:r w:rsidR="006A4467">
        <w:t>of</w:t>
      </w:r>
      <w:r w:rsidR="002E7EBC">
        <w:t xml:space="preserve"> </w:t>
      </w:r>
      <w:r w:rsidR="006A4467">
        <w:t>living</w:t>
      </w:r>
      <w:proofErr w:type="gramEnd"/>
      <w:r w:rsidRPr="009D6250">
        <w:t xml:space="preserve"> methodology developed by </w:t>
      </w:r>
      <w:proofErr w:type="spellStart"/>
      <w:r w:rsidRPr="009D6250">
        <w:t>SACOSS</w:t>
      </w:r>
      <w:proofErr w:type="spellEnd"/>
      <w:r w:rsidRPr="009D6250">
        <w:t xml:space="preserve"> and the following explanatory notes have been adapted from </w:t>
      </w:r>
      <w:proofErr w:type="spellStart"/>
      <w:r w:rsidRPr="009D6250">
        <w:t>SACOSS</w:t>
      </w:r>
      <w:proofErr w:type="spellEnd"/>
      <w:r w:rsidRPr="009D6250">
        <w:t>.</w:t>
      </w:r>
      <w:r w:rsidRPr="009D6250">
        <w:rPr>
          <w:vertAlign w:val="superscript"/>
        </w:rPr>
        <w:footnoteReference w:id="49"/>
      </w:r>
      <w:r w:rsidRPr="009D6250">
        <w:t xml:space="preserve"> </w:t>
      </w:r>
    </w:p>
    <w:p w14:paraId="5E67FB2F" w14:textId="77777777" w:rsidR="007557AF" w:rsidRPr="00B560F2" w:rsidRDefault="007557AF" w:rsidP="007557AF">
      <w:pPr>
        <w:pStyle w:val="Heading2"/>
      </w:pPr>
      <w:bookmarkStart w:id="27" w:name="_Toc7787737"/>
      <w:bookmarkStart w:id="28" w:name="_Toc51050149"/>
      <w:bookmarkStart w:id="29" w:name="_Toc79584861"/>
      <w:bookmarkStart w:id="30" w:name="_Toc102651028"/>
      <w:r w:rsidRPr="00B560F2">
        <w:t>Consumer Price Index and Selected Living Cost Indexes</w:t>
      </w:r>
      <w:bookmarkEnd w:id="27"/>
      <w:bookmarkEnd w:id="28"/>
      <w:bookmarkEnd w:id="29"/>
      <w:bookmarkEnd w:id="30"/>
    </w:p>
    <w:p w14:paraId="561C2E49" w14:textId="77777777" w:rsidR="007557AF" w:rsidRPr="00B560F2" w:rsidRDefault="007557AF" w:rsidP="007557A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B560F2">
        <w:t xml:space="preserve">The ABS Selected Living Cost Indexes </w:t>
      </w:r>
      <w:r>
        <w:t>(</w:t>
      </w:r>
      <w:proofErr w:type="spellStart"/>
      <w:r>
        <w:t>SLCI</w:t>
      </w:r>
      <w:proofErr w:type="spellEnd"/>
      <w:r>
        <w:t xml:space="preserve">) </w:t>
      </w:r>
      <w:r w:rsidRPr="00B560F2">
        <w:t xml:space="preserve">uses a different methodology to the CPI in that the CPI is based on acquisition (i.e., the price at the time of acquisition of a product), while the living cost index is based on actual expenditure. This is particularly relevant in relation to housing costs where CPI traces changes in house prices, while the </w:t>
      </w:r>
      <w:proofErr w:type="spellStart"/>
      <w:r w:rsidRPr="00B560F2">
        <w:t>SLCI</w:t>
      </w:r>
      <w:proofErr w:type="spellEnd"/>
      <w:r w:rsidRPr="00B560F2">
        <w:t xml:space="preserve"> traces changes in the amount expended each week on housing (e.g., mortgage repayments). Further information is available in the Explanatory Notes to the Selected Living Cost Indexes.</w:t>
      </w:r>
      <w:r w:rsidRPr="00B560F2">
        <w:rPr>
          <w:vertAlign w:val="superscript"/>
        </w:rPr>
        <w:footnoteReference w:id="50"/>
      </w:r>
      <w:r w:rsidRPr="00B560F2">
        <w:t xml:space="preserve"> In that sense, the Selected Living Cost Indexes are not a simple disaggregation of CPI and the two are not strictly comparable. However, both indexes are used to measure changes in the cost of living over time (although that is not what CPI was designed for) and given the general usage of the CPI measure and its powerful political and economic status, it is useful to compare the two and highlight the differences for different household types.</w:t>
      </w:r>
    </w:p>
    <w:p w14:paraId="12289C29" w14:textId="77777777" w:rsidR="007557AF" w:rsidRPr="005D43A1" w:rsidRDefault="007557AF" w:rsidP="007557AF">
      <w:pPr>
        <w:pStyle w:val="Heading2"/>
      </w:pPr>
      <w:bookmarkStart w:id="31" w:name="_Toc7787738"/>
      <w:bookmarkStart w:id="32" w:name="_Toc51050150"/>
      <w:bookmarkStart w:id="33" w:name="_Toc79584862"/>
      <w:bookmarkStart w:id="34" w:name="_Toc102651029"/>
      <w:r w:rsidRPr="005D43A1">
        <w:t>Limitations of the Selected Living Cost Indexes</w:t>
      </w:r>
      <w:bookmarkEnd w:id="31"/>
      <w:bookmarkEnd w:id="32"/>
      <w:bookmarkEnd w:id="33"/>
      <w:bookmarkEnd w:id="34"/>
    </w:p>
    <w:p w14:paraId="3AFB8B1D" w14:textId="0042DADA" w:rsidR="007557AF" w:rsidRPr="005D43A1" w:rsidRDefault="007557AF" w:rsidP="007557A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5D43A1">
        <w:t xml:space="preserve">The </w:t>
      </w:r>
      <w:proofErr w:type="spellStart"/>
      <w:r w:rsidRPr="005D43A1">
        <w:t>SLCI</w:t>
      </w:r>
      <w:proofErr w:type="spellEnd"/>
      <w:r w:rsidRPr="005D43A1">
        <w:t xml:space="preserve"> are more nuanced than the generic CPI in that they measure changes for different household types, but there are still several problems with using those indexes to show cost</w:t>
      </w:r>
      <w:r w:rsidR="005C6490">
        <w:t xml:space="preserve"> </w:t>
      </w:r>
      <w:r w:rsidRPr="005D43A1">
        <w:t>of</w:t>
      </w:r>
      <w:r w:rsidR="005C6490">
        <w:t xml:space="preserve"> </w:t>
      </w:r>
      <w:r w:rsidRPr="005D43A1">
        <w:t xml:space="preserve">living changes faced by the most vulnerable and disadvantaged in the ACT. While it is safe to assume that social security recipients are among the most vulnerable and disadvantaged, any household-based data for multi-person households says nothing about distribution of power, money and expenditure within a household and may therefore </w:t>
      </w:r>
      <w:proofErr w:type="gramStart"/>
      <w:r w:rsidRPr="005D43A1">
        <w:t>hide particular</w:t>
      </w:r>
      <w:proofErr w:type="gramEnd"/>
      <w:r w:rsidRPr="005D43A1">
        <w:t xml:space="preserve"> (and often gendered) structures of vulnerability and disadvantage. Further, the living cost indexes are not state based, so ACT trends or circumstances may not show up.</w:t>
      </w:r>
    </w:p>
    <w:p w14:paraId="5F14B68B" w14:textId="38E06009" w:rsidR="007557AF" w:rsidRPr="005D43A1" w:rsidRDefault="007557AF" w:rsidP="007557A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5D43A1">
        <w:t xml:space="preserve">At the more technical level, the </w:t>
      </w:r>
      <w:proofErr w:type="spellStart"/>
      <w:r>
        <w:t>SLCI</w:t>
      </w:r>
      <w:proofErr w:type="spellEnd"/>
      <w:r w:rsidRPr="005D43A1">
        <w:t xml:space="preserve"> are for households whose predominant income is from the described source (</w:t>
      </w:r>
      <w:r w:rsidR="006A4467" w:rsidRPr="005D43A1">
        <w:t>e.g.,</w:t>
      </w:r>
      <w:r w:rsidRPr="005D43A1">
        <w:t xml:space="preserve"> Age Pension or government transfers). However, the expenditures that formed the base data and weighting (from the 2015-16 Household Expenditure Survey) add up to well over the actual social security payments available (even including other government payments like rent assistance, utilities allowance and family tax benefits), or more than one social security recipient in the same household. Like the CPI, the Living Cost Index figures reflect broad averages (even if more nuanced), but do not reflect the experience of the poorest in those categories.</w:t>
      </w:r>
    </w:p>
    <w:p w14:paraId="38ABD8A0" w14:textId="77777777" w:rsidR="007557AF" w:rsidRPr="005D43A1" w:rsidRDefault="007557AF" w:rsidP="007557A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5D43A1">
        <w:lastRenderedPageBreak/>
        <w:t xml:space="preserve">Another example of this ‘averaging problem’ is that expenditures on some items, like housing, are too low to reflect the real expenditures and changes for the most vulnerable in the housing market – again, because the worst-case scenarios are ‘averaged out’ by those in the category with other resources. For instance, if one pensioner owned their own home outright, they would generally be in a better financial position than a pensioner who </w:t>
      </w:r>
      <w:proofErr w:type="gramStart"/>
      <w:r w:rsidRPr="005D43A1">
        <w:t>has to</w:t>
      </w:r>
      <w:proofErr w:type="gramEnd"/>
      <w:r w:rsidRPr="005D43A1">
        <w:t xml:space="preserve"> pay market rents – but if the market rent were $300 per week, the average expenditure on rent between the two would be $150 per week, much less than what the renting pensioner was actually paying.</w:t>
      </w:r>
    </w:p>
    <w:p w14:paraId="33A23BB5" w14:textId="77777777" w:rsidR="007557AF" w:rsidRPr="005D43A1" w:rsidRDefault="007557AF" w:rsidP="007557A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5D43A1">
        <w:t xml:space="preserve">The weightings in the </w:t>
      </w:r>
      <w:proofErr w:type="spellStart"/>
      <w:r>
        <w:t>SLCI</w:t>
      </w:r>
      <w:proofErr w:type="spellEnd"/>
      <w:r w:rsidRPr="005D43A1">
        <w:t xml:space="preserve"> are also based on a set point in time (from the </w:t>
      </w:r>
      <w:r>
        <w:t xml:space="preserve">ABS </w:t>
      </w:r>
      <w:r w:rsidRPr="005D43A1">
        <w:t>Household Expenditure Survey), but over time the price of some necessities may increase rapidly, forcing people to change expenditure patterns to cover the increased cost. There is some adjustment of weightings for this, but these cannot be checked without a new survey. Alternatively, or additionally, expenditure patterns may change for a variety of other reasons. However, the weighting in the indexes does not change and so does not track the expenditure substitutions and the impact that has on cost of living and lifestyle.</w:t>
      </w:r>
    </w:p>
    <w:p w14:paraId="71D95077" w14:textId="77777777" w:rsidR="007557AF" w:rsidRPr="00972BBB" w:rsidRDefault="007557AF" w:rsidP="007557A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972BBB">
        <w:t xml:space="preserve">Finally, the </w:t>
      </w:r>
      <w:proofErr w:type="spellStart"/>
      <w:r w:rsidRPr="00972BBB">
        <w:t>SLCI</w:t>
      </w:r>
      <w:proofErr w:type="spellEnd"/>
      <w:r w:rsidRPr="00972BBB">
        <w:t xml:space="preserve"> household income figures are based on households that are the average size for that household type: 1.51 people for aged pensioners, and 2.46 for other social security recipients.</w:t>
      </w:r>
      <w:r w:rsidRPr="00972BBB">
        <w:rPr>
          <w:vertAlign w:val="superscript"/>
        </w:rPr>
        <w:footnoteReference w:id="51"/>
      </w:r>
      <w:r w:rsidRPr="00972BBB">
        <w:t xml:space="preserve"> This makes comparison with allowances difficult. This report focuses on single person households or a single person with two children (to align to the other social security recipient household average of 2.46 persons). However, this is a proxy rather than statistical correlation.</w:t>
      </w:r>
    </w:p>
    <w:p w14:paraId="38F0CA89" w14:textId="77777777" w:rsidR="007557AF" w:rsidRDefault="007557AF" w:rsidP="007557A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972BBB">
        <w:t>It is inevitable that any summary measure will have limitations, and as noted in the main text, the Selected Living Cost Indexes provide a robust statistical base, a long time series, and quarterly tracking of changes in the cost of living which is somewhat sensitive to low-income earners.</w:t>
      </w:r>
    </w:p>
    <w:p w14:paraId="38CA427A" w14:textId="32D3FBB3" w:rsidR="00F03FC3" w:rsidRDefault="00F03FC3" w:rsidP="00F03FC3">
      <w:pPr>
        <w:pStyle w:val="Heading2"/>
      </w:pPr>
      <w:bookmarkStart w:id="35" w:name="_Toc102651030"/>
      <w:r>
        <w:t>Income support payment calculations – December 2020 to December 2021</w:t>
      </w:r>
      <w:bookmarkEnd w:id="35"/>
    </w:p>
    <w:p w14:paraId="4AAE3271" w14:textId="003AFFB4" w:rsidR="00F03FC3" w:rsidRDefault="00403A7E" w:rsidP="00F03FC3">
      <w:pPr>
        <w:pStyle w:val="BodyText"/>
      </w:pPr>
      <w:r w:rsidRPr="00403A7E">
        <w:t>Even using the base rate of benefits, the calculation of the relevant weekly incomes is difficult because of the complexity of the income support system which means that payment eligibility and rates change depending on the exact circumstances of the household (</w:t>
      </w:r>
      <w:r w:rsidR="006A4467" w:rsidRPr="00403A7E">
        <w:t>e.g.,</w:t>
      </w:r>
      <w:r w:rsidRPr="00403A7E">
        <w:t xml:space="preserve"> age of children, assets). The calculation is also complex because of changes over time in eligibility and available benefits. However, based on an assumption of a single Age Pensioner and a single Newstart/</w:t>
      </w:r>
      <w:proofErr w:type="spellStart"/>
      <w:r w:rsidRPr="00403A7E">
        <w:t>JobSeeker</w:t>
      </w:r>
      <w:proofErr w:type="spellEnd"/>
      <w:r w:rsidRPr="00403A7E">
        <w:t xml:space="preserve"> recipient with two children (aged 10 and 14) – with neither receiving Commonwealth Rent Assistance, the basic income supports payments have been calculated as follows:</w:t>
      </w:r>
    </w:p>
    <w:p w14:paraId="67A6244C" w14:textId="7265E60D" w:rsidR="00B52C90" w:rsidRDefault="00A04371" w:rsidP="00A04371">
      <w:pPr>
        <w:pStyle w:val="Figuretabletitle"/>
      </w:pPr>
      <w:r>
        <w:lastRenderedPageBreak/>
        <w:t xml:space="preserve">Rates </w:t>
      </w:r>
      <w:proofErr w:type="gramStart"/>
      <w:r>
        <w:t>at</w:t>
      </w:r>
      <w:proofErr w:type="gramEnd"/>
      <w:r>
        <w:t xml:space="preserve"> </w:t>
      </w:r>
      <w:r w:rsidR="00D77F1F">
        <w:t>31 December 2020</w:t>
      </w:r>
    </w:p>
    <w:tbl>
      <w:tblPr>
        <w:tblStyle w:val="TableGrid"/>
        <w:tblW w:w="5171" w:type="pct"/>
        <w:tblLayout w:type="fixed"/>
        <w:tblLook w:val="04A0" w:firstRow="1" w:lastRow="0" w:firstColumn="1" w:lastColumn="0" w:noHBand="0" w:noVBand="1"/>
      </w:tblPr>
      <w:tblGrid>
        <w:gridCol w:w="902"/>
        <w:gridCol w:w="800"/>
        <w:gridCol w:w="895"/>
        <w:gridCol w:w="709"/>
        <w:gridCol w:w="647"/>
        <w:gridCol w:w="724"/>
        <w:gridCol w:w="850"/>
        <w:gridCol w:w="849"/>
        <w:gridCol w:w="620"/>
        <w:gridCol w:w="938"/>
        <w:gridCol w:w="850"/>
      </w:tblGrid>
      <w:tr w:rsidR="00A04371" w:rsidRPr="001A367B" w14:paraId="41B96E0E" w14:textId="77777777" w:rsidTr="00A04371">
        <w:trPr>
          <w:tblHeader/>
        </w:trPr>
        <w:tc>
          <w:tcPr>
            <w:tcW w:w="513" w:type="pct"/>
            <w:tcMar>
              <w:left w:w="113" w:type="dxa"/>
              <w:right w:w="113" w:type="dxa"/>
            </w:tcMar>
          </w:tcPr>
          <w:p w14:paraId="31EC5F20" w14:textId="77777777" w:rsidR="00AF0BF7" w:rsidRPr="001A367B" w:rsidRDefault="00AF0BF7"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sz w:val="16"/>
                <w:szCs w:val="16"/>
                <w:highlight w:val="yellow"/>
              </w:rPr>
            </w:pPr>
            <w:bookmarkStart w:id="36" w:name="_Hlk5969855"/>
          </w:p>
        </w:tc>
        <w:tc>
          <w:tcPr>
            <w:tcW w:w="455" w:type="pct"/>
            <w:tcMar>
              <w:left w:w="113" w:type="dxa"/>
              <w:right w:w="113" w:type="dxa"/>
            </w:tcMar>
          </w:tcPr>
          <w:p w14:paraId="540A1941" w14:textId="77777777" w:rsidR="00AF0BF7" w:rsidRPr="006321FE" w:rsidRDefault="00AF0BF7"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center"/>
              <w:rPr>
                <w:sz w:val="16"/>
                <w:szCs w:val="16"/>
              </w:rPr>
            </w:pPr>
            <w:r w:rsidRPr="006321FE">
              <w:rPr>
                <w:sz w:val="16"/>
                <w:szCs w:val="16"/>
              </w:rPr>
              <w:t>Base rate</w:t>
            </w:r>
          </w:p>
        </w:tc>
        <w:tc>
          <w:tcPr>
            <w:tcW w:w="509" w:type="pct"/>
          </w:tcPr>
          <w:p w14:paraId="64E47B18" w14:textId="4418F55D" w:rsidR="00AF0BF7" w:rsidRPr="006321FE" w:rsidRDefault="00AF0BF7"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center"/>
              <w:rPr>
                <w:sz w:val="16"/>
                <w:szCs w:val="16"/>
              </w:rPr>
            </w:pPr>
            <w:r>
              <w:rPr>
                <w:sz w:val="16"/>
                <w:szCs w:val="16"/>
              </w:rPr>
              <w:t>Coronavirus Supp</w:t>
            </w:r>
          </w:p>
        </w:tc>
        <w:tc>
          <w:tcPr>
            <w:tcW w:w="403" w:type="pct"/>
            <w:tcMar>
              <w:left w:w="113" w:type="dxa"/>
              <w:right w:w="113" w:type="dxa"/>
            </w:tcMar>
          </w:tcPr>
          <w:p w14:paraId="2277A928" w14:textId="6900F5D9" w:rsidR="00AF0BF7" w:rsidRPr="006321FE" w:rsidRDefault="00AF0BF7"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center"/>
              <w:rPr>
                <w:sz w:val="16"/>
                <w:szCs w:val="16"/>
              </w:rPr>
            </w:pPr>
            <w:r w:rsidRPr="006321FE">
              <w:rPr>
                <w:sz w:val="16"/>
                <w:szCs w:val="16"/>
              </w:rPr>
              <w:t>Pension supp</w:t>
            </w:r>
          </w:p>
        </w:tc>
        <w:tc>
          <w:tcPr>
            <w:tcW w:w="368" w:type="pct"/>
            <w:tcMar>
              <w:left w:w="113" w:type="dxa"/>
              <w:right w:w="113" w:type="dxa"/>
            </w:tcMar>
          </w:tcPr>
          <w:p w14:paraId="63A13580" w14:textId="77777777" w:rsidR="00AF0BF7" w:rsidRPr="006321FE" w:rsidRDefault="00AF0BF7"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center"/>
              <w:rPr>
                <w:sz w:val="16"/>
                <w:szCs w:val="16"/>
              </w:rPr>
            </w:pPr>
            <w:r w:rsidRPr="006321FE">
              <w:rPr>
                <w:sz w:val="16"/>
                <w:szCs w:val="16"/>
              </w:rPr>
              <w:t>Energy supp</w:t>
            </w:r>
          </w:p>
        </w:tc>
        <w:tc>
          <w:tcPr>
            <w:tcW w:w="412" w:type="pct"/>
            <w:tcMar>
              <w:left w:w="113" w:type="dxa"/>
              <w:right w:w="113" w:type="dxa"/>
            </w:tcMar>
          </w:tcPr>
          <w:p w14:paraId="3A8E64C3" w14:textId="77777777" w:rsidR="00AF0BF7" w:rsidRPr="00A16E43" w:rsidRDefault="00AF0BF7"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center"/>
              <w:rPr>
                <w:sz w:val="16"/>
                <w:szCs w:val="16"/>
              </w:rPr>
            </w:pPr>
            <w:proofErr w:type="spellStart"/>
            <w:r w:rsidRPr="00A16E43">
              <w:rPr>
                <w:sz w:val="16"/>
                <w:szCs w:val="16"/>
              </w:rPr>
              <w:t>FTB</w:t>
            </w:r>
            <w:proofErr w:type="spellEnd"/>
            <w:r w:rsidRPr="00A16E43">
              <w:rPr>
                <w:sz w:val="16"/>
                <w:szCs w:val="16"/>
              </w:rPr>
              <w:t xml:space="preserve"> A Child u13</w:t>
            </w:r>
          </w:p>
        </w:tc>
        <w:tc>
          <w:tcPr>
            <w:tcW w:w="484" w:type="pct"/>
            <w:tcMar>
              <w:left w:w="113" w:type="dxa"/>
              <w:right w:w="113" w:type="dxa"/>
            </w:tcMar>
          </w:tcPr>
          <w:p w14:paraId="03BC70F3" w14:textId="77777777" w:rsidR="00AF0BF7" w:rsidRPr="00435979" w:rsidRDefault="00AF0BF7"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center"/>
              <w:rPr>
                <w:sz w:val="16"/>
                <w:szCs w:val="16"/>
              </w:rPr>
            </w:pPr>
            <w:proofErr w:type="spellStart"/>
            <w:r w:rsidRPr="00435979">
              <w:rPr>
                <w:sz w:val="16"/>
                <w:szCs w:val="16"/>
              </w:rPr>
              <w:t>FTB</w:t>
            </w:r>
            <w:proofErr w:type="spellEnd"/>
            <w:r w:rsidRPr="00435979">
              <w:rPr>
                <w:sz w:val="16"/>
                <w:szCs w:val="16"/>
              </w:rPr>
              <w:t xml:space="preserve"> A Child 13-15</w:t>
            </w:r>
          </w:p>
        </w:tc>
        <w:tc>
          <w:tcPr>
            <w:tcW w:w="483" w:type="pct"/>
            <w:tcMar>
              <w:left w:w="113" w:type="dxa"/>
              <w:right w:w="113" w:type="dxa"/>
            </w:tcMar>
          </w:tcPr>
          <w:p w14:paraId="6F45C12A" w14:textId="77777777" w:rsidR="00AF0BF7" w:rsidRPr="00435979" w:rsidRDefault="00AF0BF7"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center"/>
              <w:rPr>
                <w:sz w:val="16"/>
                <w:szCs w:val="16"/>
              </w:rPr>
            </w:pPr>
            <w:proofErr w:type="spellStart"/>
            <w:r w:rsidRPr="00435979">
              <w:rPr>
                <w:sz w:val="16"/>
                <w:szCs w:val="16"/>
              </w:rPr>
              <w:t>FTB</w:t>
            </w:r>
            <w:proofErr w:type="spellEnd"/>
            <w:r w:rsidRPr="00435979">
              <w:rPr>
                <w:sz w:val="16"/>
                <w:szCs w:val="16"/>
              </w:rPr>
              <w:t xml:space="preserve"> B</w:t>
            </w:r>
          </w:p>
        </w:tc>
        <w:tc>
          <w:tcPr>
            <w:tcW w:w="353" w:type="pct"/>
            <w:tcMar>
              <w:left w:w="113" w:type="dxa"/>
              <w:right w:w="113" w:type="dxa"/>
            </w:tcMar>
          </w:tcPr>
          <w:p w14:paraId="62104C83" w14:textId="77777777" w:rsidR="00AF0BF7" w:rsidRPr="00435979" w:rsidRDefault="00AF0BF7"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center"/>
              <w:rPr>
                <w:sz w:val="16"/>
                <w:szCs w:val="16"/>
              </w:rPr>
            </w:pPr>
            <w:r w:rsidRPr="00435979">
              <w:rPr>
                <w:sz w:val="16"/>
                <w:szCs w:val="16"/>
              </w:rPr>
              <w:t>Pharmaceutical Benefit</w:t>
            </w:r>
          </w:p>
        </w:tc>
        <w:tc>
          <w:tcPr>
            <w:tcW w:w="534" w:type="pct"/>
            <w:tcMar>
              <w:left w:w="113" w:type="dxa"/>
              <w:right w:w="113" w:type="dxa"/>
            </w:tcMar>
          </w:tcPr>
          <w:p w14:paraId="265418EE" w14:textId="77777777" w:rsidR="00AF0BF7" w:rsidRPr="00BA287A" w:rsidRDefault="00AF0BF7"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center"/>
              <w:rPr>
                <w:sz w:val="16"/>
                <w:szCs w:val="16"/>
              </w:rPr>
            </w:pPr>
            <w:r w:rsidRPr="00BA287A">
              <w:rPr>
                <w:sz w:val="16"/>
                <w:szCs w:val="16"/>
              </w:rPr>
              <w:t>Fortnight Total</w:t>
            </w:r>
          </w:p>
        </w:tc>
        <w:tc>
          <w:tcPr>
            <w:tcW w:w="484" w:type="pct"/>
          </w:tcPr>
          <w:p w14:paraId="034D260D" w14:textId="77777777" w:rsidR="00AF0BF7" w:rsidRPr="00BA287A" w:rsidRDefault="00AF0BF7"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center"/>
              <w:rPr>
                <w:sz w:val="16"/>
                <w:szCs w:val="16"/>
              </w:rPr>
            </w:pPr>
            <w:r w:rsidRPr="00BA287A">
              <w:rPr>
                <w:sz w:val="16"/>
                <w:szCs w:val="16"/>
              </w:rPr>
              <w:t>Week Total</w:t>
            </w:r>
          </w:p>
        </w:tc>
      </w:tr>
      <w:tr w:rsidR="00A04371" w:rsidRPr="001A367B" w14:paraId="0D9B10A1" w14:textId="77777777" w:rsidTr="00A04371">
        <w:tc>
          <w:tcPr>
            <w:tcW w:w="513" w:type="pct"/>
            <w:tcMar>
              <w:left w:w="113" w:type="dxa"/>
              <w:right w:w="113" w:type="dxa"/>
            </w:tcMar>
          </w:tcPr>
          <w:p w14:paraId="01BFE4CF" w14:textId="77777777" w:rsidR="00AF0BF7" w:rsidRPr="005C6CE3" w:rsidRDefault="00AF0BF7"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sz w:val="16"/>
                <w:szCs w:val="16"/>
              </w:rPr>
            </w:pPr>
            <w:r w:rsidRPr="005C6CE3">
              <w:rPr>
                <w:sz w:val="16"/>
                <w:szCs w:val="16"/>
              </w:rPr>
              <w:t>Age pension, single</w:t>
            </w:r>
          </w:p>
        </w:tc>
        <w:tc>
          <w:tcPr>
            <w:tcW w:w="455" w:type="pct"/>
            <w:tcMar>
              <w:left w:w="113" w:type="dxa"/>
              <w:right w:w="113" w:type="dxa"/>
            </w:tcMar>
          </w:tcPr>
          <w:p w14:paraId="39B99BE3" w14:textId="01FA5018" w:rsidR="00AF0BF7" w:rsidRPr="006321FE" w:rsidRDefault="00BB515A"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BB515A">
              <w:rPr>
                <w:sz w:val="16"/>
                <w:szCs w:val="16"/>
              </w:rPr>
              <w:t>860.60</w:t>
            </w:r>
          </w:p>
        </w:tc>
        <w:tc>
          <w:tcPr>
            <w:tcW w:w="509" w:type="pct"/>
          </w:tcPr>
          <w:p w14:paraId="46B8872C" w14:textId="77777777" w:rsidR="00AF0BF7" w:rsidRPr="006321FE" w:rsidRDefault="00AF0BF7"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p>
        </w:tc>
        <w:tc>
          <w:tcPr>
            <w:tcW w:w="403" w:type="pct"/>
            <w:tcMar>
              <w:left w:w="113" w:type="dxa"/>
              <w:right w:w="113" w:type="dxa"/>
            </w:tcMar>
          </w:tcPr>
          <w:p w14:paraId="209E2045" w14:textId="1EA05A9A" w:rsidR="00AF0BF7" w:rsidRPr="006321FE" w:rsidRDefault="004C4EA0"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4C4EA0">
              <w:rPr>
                <w:sz w:val="16"/>
                <w:szCs w:val="16"/>
              </w:rPr>
              <w:t>69.60</w:t>
            </w:r>
          </w:p>
        </w:tc>
        <w:tc>
          <w:tcPr>
            <w:tcW w:w="368" w:type="pct"/>
            <w:tcMar>
              <w:left w:w="113" w:type="dxa"/>
              <w:right w:w="113" w:type="dxa"/>
            </w:tcMar>
          </w:tcPr>
          <w:p w14:paraId="6D48C883" w14:textId="77777777" w:rsidR="00AF0BF7" w:rsidRPr="006321FE" w:rsidRDefault="00AF0BF7"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6321FE">
              <w:rPr>
                <w:sz w:val="16"/>
                <w:szCs w:val="16"/>
              </w:rPr>
              <w:t>14.10</w:t>
            </w:r>
          </w:p>
        </w:tc>
        <w:tc>
          <w:tcPr>
            <w:tcW w:w="412" w:type="pct"/>
            <w:tcMar>
              <w:left w:w="113" w:type="dxa"/>
              <w:right w:w="113" w:type="dxa"/>
            </w:tcMar>
          </w:tcPr>
          <w:p w14:paraId="1C413471" w14:textId="77777777" w:rsidR="00AF0BF7" w:rsidRPr="00A16E43" w:rsidRDefault="00AF0BF7"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A16E43">
              <w:rPr>
                <w:sz w:val="16"/>
                <w:szCs w:val="16"/>
              </w:rPr>
              <w:t>-</w:t>
            </w:r>
          </w:p>
        </w:tc>
        <w:tc>
          <w:tcPr>
            <w:tcW w:w="484" w:type="pct"/>
            <w:tcMar>
              <w:left w:w="113" w:type="dxa"/>
              <w:right w:w="113" w:type="dxa"/>
            </w:tcMar>
          </w:tcPr>
          <w:p w14:paraId="0C85876E" w14:textId="77777777" w:rsidR="00AF0BF7" w:rsidRPr="00435979" w:rsidRDefault="00AF0BF7"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435979">
              <w:rPr>
                <w:sz w:val="16"/>
                <w:szCs w:val="16"/>
              </w:rPr>
              <w:t>-</w:t>
            </w:r>
          </w:p>
        </w:tc>
        <w:tc>
          <w:tcPr>
            <w:tcW w:w="483" w:type="pct"/>
            <w:tcMar>
              <w:left w:w="113" w:type="dxa"/>
              <w:right w:w="113" w:type="dxa"/>
            </w:tcMar>
          </w:tcPr>
          <w:p w14:paraId="79A93929" w14:textId="77777777" w:rsidR="00AF0BF7" w:rsidRPr="00435979" w:rsidRDefault="00AF0BF7"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435979">
              <w:rPr>
                <w:sz w:val="16"/>
                <w:szCs w:val="16"/>
              </w:rPr>
              <w:t>-</w:t>
            </w:r>
          </w:p>
        </w:tc>
        <w:tc>
          <w:tcPr>
            <w:tcW w:w="353" w:type="pct"/>
            <w:tcMar>
              <w:left w:w="113" w:type="dxa"/>
              <w:right w:w="113" w:type="dxa"/>
            </w:tcMar>
          </w:tcPr>
          <w:p w14:paraId="6C02CE8E" w14:textId="77777777" w:rsidR="00AF0BF7" w:rsidRPr="00435979" w:rsidRDefault="00AF0BF7"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435979">
              <w:rPr>
                <w:sz w:val="16"/>
                <w:szCs w:val="16"/>
              </w:rPr>
              <w:t>-</w:t>
            </w:r>
          </w:p>
        </w:tc>
        <w:tc>
          <w:tcPr>
            <w:tcW w:w="534" w:type="pct"/>
            <w:tcMar>
              <w:left w:w="113" w:type="dxa"/>
              <w:right w:w="113" w:type="dxa"/>
            </w:tcMar>
          </w:tcPr>
          <w:p w14:paraId="42BB16BF" w14:textId="483BA2E0" w:rsidR="00AF0BF7" w:rsidRPr="00BA287A" w:rsidRDefault="004C4EA0"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4C4EA0">
              <w:rPr>
                <w:sz w:val="16"/>
                <w:szCs w:val="16"/>
              </w:rPr>
              <w:t>944.30</w:t>
            </w:r>
          </w:p>
        </w:tc>
        <w:tc>
          <w:tcPr>
            <w:tcW w:w="484" w:type="pct"/>
          </w:tcPr>
          <w:p w14:paraId="1E646C4A" w14:textId="27A51721" w:rsidR="00AF0BF7" w:rsidRPr="00BA287A" w:rsidRDefault="0061234A"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61234A">
              <w:rPr>
                <w:sz w:val="16"/>
                <w:szCs w:val="16"/>
              </w:rPr>
              <w:t>472.15</w:t>
            </w:r>
          </w:p>
        </w:tc>
      </w:tr>
      <w:tr w:rsidR="00A04371" w:rsidRPr="001A367B" w14:paraId="11CCE752" w14:textId="77777777" w:rsidTr="00A04371">
        <w:tc>
          <w:tcPr>
            <w:tcW w:w="513" w:type="pct"/>
            <w:tcMar>
              <w:left w:w="113" w:type="dxa"/>
              <w:right w:w="113" w:type="dxa"/>
            </w:tcMar>
          </w:tcPr>
          <w:p w14:paraId="10D99761" w14:textId="687FB802" w:rsidR="00AF0BF7" w:rsidRPr="005C6CE3" w:rsidRDefault="0061234A"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sz w:val="16"/>
                <w:szCs w:val="16"/>
              </w:rPr>
            </w:pPr>
            <w:proofErr w:type="spellStart"/>
            <w:r>
              <w:rPr>
                <w:sz w:val="16"/>
                <w:szCs w:val="16"/>
              </w:rPr>
              <w:t>JobSeeker</w:t>
            </w:r>
            <w:proofErr w:type="spellEnd"/>
            <w:r w:rsidR="00AF0BF7" w:rsidRPr="005C6CE3">
              <w:rPr>
                <w:sz w:val="16"/>
                <w:szCs w:val="16"/>
              </w:rPr>
              <w:t>, single, no children</w:t>
            </w:r>
          </w:p>
        </w:tc>
        <w:tc>
          <w:tcPr>
            <w:tcW w:w="455" w:type="pct"/>
            <w:tcMar>
              <w:left w:w="113" w:type="dxa"/>
              <w:right w:w="113" w:type="dxa"/>
            </w:tcMar>
          </w:tcPr>
          <w:p w14:paraId="06912222" w14:textId="3566A898" w:rsidR="00AF0BF7" w:rsidRPr="006321FE" w:rsidRDefault="004733E4"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4733E4">
              <w:rPr>
                <w:sz w:val="16"/>
                <w:szCs w:val="16"/>
              </w:rPr>
              <w:t>565.70</w:t>
            </w:r>
          </w:p>
        </w:tc>
        <w:tc>
          <w:tcPr>
            <w:tcW w:w="509" w:type="pct"/>
          </w:tcPr>
          <w:p w14:paraId="7E009999" w14:textId="0C3713B3" w:rsidR="00AF0BF7" w:rsidRPr="006321FE" w:rsidRDefault="004733E4"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Pr>
                <w:sz w:val="16"/>
                <w:szCs w:val="16"/>
              </w:rPr>
              <w:t>250.00</w:t>
            </w:r>
          </w:p>
        </w:tc>
        <w:tc>
          <w:tcPr>
            <w:tcW w:w="403" w:type="pct"/>
            <w:tcMar>
              <w:left w:w="113" w:type="dxa"/>
              <w:right w:w="113" w:type="dxa"/>
            </w:tcMar>
          </w:tcPr>
          <w:p w14:paraId="08D7272E" w14:textId="4C9B545F" w:rsidR="00AF0BF7" w:rsidRPr="006321FE" w:rsidRDefault="00AF0BF7"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6321FE">
              <w:rPr>
                <w:sz w:val="16"/>
                <w:szCs w:val="16"/>
              </w:rPr>
              <w:t>-</w:t>
            </w:r>
          </w:p>
        </w:tc>
        <w:tc>
          <w:tcPr>
            <w:tcW w:w="368" w:type="pct"/>
            <w:tcMar>
              <w:left w:w="113" w:type="dxa"/>
              <w:right w:w="113" w:type="dxa"/>
            </w:tcMar>
          </w:tcPr>
          <w:p w14:paraId="4106C55C" w14:textId="77777777" w:rsidR="00AF0BF7" w:rsidRPr="006321FE" w:rsidRDefault="00AF0BF7"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6321FE">
              <w:rPr>
                <w:sz w:val="16"/>
                <w:szCs w:val="16"/>
              </w:rPr>
              <w:t>8.80</w:t>
            </w:r>
          </w:p>
        </w:tc>
        <w:tc>
          <w:tcPr>
            <w:tcW w:w="412" w:type="pct"/>
            <w:tcMar>
              <w:left w:w="113" w:type="dxa"/>
              <w:right w:w="113" w:type="dxa"/>
            </w:tcMar>
          </w:tcPr>
          <w:p w14:paraId="3BCE365C" w14:textId="77777777" w:rsidR="00AF0BF7" w:rsidRPr="00A16E43" w:rsidRDefault="00AF0BF7"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A16E43">
              <w:rPr>
                <w:sz w:val="16"/>
                <w:szCs w:val="16"/>
              </w:rPr>
              <w:t>-</w:t>
            </w:r>
          </w:p>
        </w:tc>
        <w:tc>
          <w:tcPr>
            <w:tcW w:w="484" w:type="pct"/>
            <w:tcMar>
              <w:left w:w="113" w:type="dxa"/>
              <w:right w:w="113" w:type="dxa"/>
            </w:tcMar>
          </w:tcPr>
          <w:p w14:paraId="71083C63" w14:textId="77777777" w:rsidR="00AF0BF7" w:rsidRPr="00435979" w:rsidRDefault="00AF0BF7"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435979">
              <w:rPr>
                <w:sz w:val="16"/>
                <w:szCs w:val="16"/>
              </w:rPr>
              <w:t>-</w:t>
            </w:r>
          </w:p>
        </w:tc>
        <w:tc>
          <w:tcPr>
            <w:tcW w:w="483" w:type="pct"/>
            <w:tcMar>
              <w:left w:w="113" w:type="dxa"/>
              <w:right w:w="113" w:type="dxa"/>
            </w:tcMar>
          </w:tcPr>
          <w:p w14:paraId="6401A16A" w14:textId="77777777" w:rsidR="00AF0BF7" w:rsidRPr="00435979" w:rsidRDefault="00AF0BF7"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435979">
              <w:rPr>
                <w:sz w:val="16"/>
                <w:szCs w:val="16"/>
              </w:rPr>
              <w:t>-</w:t>
            </w:r>
          </w:p>
        </w:tc>
        <w:tc>
          <w:tcPr>
            <w:tcW w:w="353" w:type="pct"/>
            <w:tcMar>
              <w:left w:w="113" w:type="dxa"/>
              <w:right w:w="113" w:type="dxa"/>
            </w:tcMar>
          </w:tcPr>
          <w:p w14:paraId="2D9A5EAA" w14:textId="77777777" w:rsidR="00AF0BF7" w:rsidRPr="00435979" w:rsidRDefault="00AF0BF7"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435979">
              <w:rPr>
                <w:sz w:val="16"/>
                <w:szCs w:val="16"/>
              </w:rPr>
              <w:t>-</w:t>
            </w:r>
          </w:p>
        </w:tc>
        <w:tc>
          <w:tcPr>
            <w:tcW w:w="534" w:type="pct"/>
            <w:tcMar>
              <w:left w:w="113" w:type="dxa"/>
              <w:right w:w="113" w:type="dxa"/>
            </w:tcMar>
          </w:tcPr>
          <w:p w14:paraId="162E5C9A" w14:textId="076386D4" w:rsidR="00AF0BF7" w:rsidRPr="00BA287A" w:rsidRDefault="004733E4"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4733E4">
              <w:rPr>
                <w:sz w:val="16"/>
                <w:szCs w:val="16"/>
              </w:rPr>
              <w:t>824.50</w:t>
            </w:r>
          </w:p>
        </w:tc>
        <w:tc>
          <w:tcPr>
            <w:tcW w:w="484" w:type="pct"/>
          </w:tcPr>
          <w:p w14:paraId="0BA3464E" w14:textId="22A3C0D8" w:rsidR="00AF0BF7" w:rsidRPr="00BA287A" w:rsidRDefault="002344C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2344C2">
              <w:rPr>
                <w:sz w:val="16"/>
                <w:szCs w:val="16"/>
              </w:rPr>
              <w:t>412.25</w:t>
            </w:r>
          </w:p>
        </w:tc>
      </w:tr>
      <w:tr w:rsidR="00A04371" w:rsidRPr="001A367B" w14:paraId="57908078" w14:textId="77777777" w:rsidTr="00A04371">
        <w:tc>
          <w:tcPr>
            <w:tcW w:w="513" w:type="pct"/>
            <w:tcMar>
              <w:left w:w="113" w:type="dxa"/>
              <w:right w:w="113" w:type="dxa"/>
            </w:tcMar>
          </w:tcPr>
          <w:p w14:paraId="7CD2E51D" w14:textId="0A94E47B" w:rsidR="00AF0BF7" w:rsidRPr="005C6CE3" w:rsidRDefault="0061234A"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sz w:val="16"/>
                <w:szCs w:val="16"/>
              </w:rPr>
            </w:pPr>
            <w:proofErr w:type="spellStart"/>
            <w:r>
              <w:rPr>
                <w:sz w:val="16"/>
                <w:szCs w:val="16"/>
              </w:rPr>
              <w:t>JobSeeker</w:t>
            </w:r>
            <w:proofErr w:type="spellEnd"/>
            <w:r w:rsidR="00AF0BF7" w:rsidRPr="005C6CE3">
              <w:rPr>
                <w:sz w:val="16"/>
                <w:szCs w:val="16"/>
              </w:rPr>
              <w:t>, single, 2 children</w:t>
            </w:r>
          </w:p>
        </w:tc>
        <w:tc>
          <w:tcPr>
            <w:tcW w:w="455" w:type="pct"/>
            <w:tcMar>
              <w:left w:w="113" w:type="dxa"/>
              <w:right w:w="113" w:type="dxa"/>
            </w:tcMar>
          </w:tcPr>
          <w:p w14:paraId="41AC8FCF" w14:textId="6A709B03" w:rsidR="00AF0BF7" w:rsidRPr="006321FE" w:rsidRDefault="002344C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Pr>
                <w:sz w:val="16"/>
                <w:szCs w:val="16"/>
              </w:rPr>
              <w:t>612.00</w:t>
            </w:r>
          </w:p>
        </w:tc>
        <w:tc>
          <w:tcPr>
            <w:tcW w:w="509" w:type="pct"/>
          </w:tcPr>
          <w:p w14:paraId="62E6FE5A" w14:textId="505DF18D" w:rsidR="00AF0BF7" w:rsidRPr="006321FE" w:rsidRDefault="002344C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Pr>
                <w:sz w:val="16"/>
                <w:szCs w:val="16"/>
              </w:rPr>
              <w:t>250.00</w:t>
            </w:r>
          </w:p>
        </w:tc>
        <w:tc>
          <w:tcPr>
            <w:tcW w:w="403" w:type="pct"/>
            <w:tcMar>
              <w:left w:w="113" w:type="dxa"/>
              <w:right w:w="113" w:type="dxa"/>
            </w:tcMar>
          </w:tcPr>
          <w:p w14:paraId="1415BEDC" w14:textId="13F96D69" w:rsidR="00AF0BF7" w:rsidRPr="006321FE" w:rsidRDefault="00AF0BF7"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6321FE">
              <w:rPr>
                <w:sz w:val="16"/>
                <w:szCs w:val="16"/>
              </w:rPr>
              <w:t>-</w:t>
            </w:r>
          </w:p>
        </w:tc>
        <w:tc>
          <w:tcPr>
            <w:tcW w:w="368" w:type="pct"/>
            <w:tcMar>
              <w:left w:w="113" w:type="dxa"/>
              <w:right w:w="113" w:type="dxa"/>
            </w:tcMar>
          </w:tcPr>
          <w:p w14:paraId="2147BC6A" w14:textId="77777777" w:rsidR="00AF0BF7" w:rsidRPr="006321FE" w:rsidRDefault="00AF0BF7"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6321FE">
              <w:rPr>
                <w:sz w:val="16"/>
                <w:szCs w:val="16"/>
              </w:rPr>
              <w:t>9.50</w:t>
            </w:r>
          </w:p>
        </w:tc>
        <w:tc>
          <w:tcPr>
            <w:tcW w:w="412" w:type="pct"/>
            <w:tcMar>
              <w:left w:w="113" w:type="dxa"/>
              <w:right w:w="113" w:type="dxa"/>
            </w:tcMar>
          </w:tcPr>
          <w:p w14:paraId="5813F4B7" w14:textId="232481C1" w:rsidR="00AF0BF7" w:rsidRPr="00A16E43" w:rsidRDefault="002344C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2344C2">
              <w:rPr>
                <w:sz w:val="16"/>
                <w:szCs w:val="16"/>
              </w:rPr>
              <w:t>189.56</w:t>
            </w:r>
          </w:p>
        </w:tc>
        <w:tc>
          <w:tcPr>
            <w:tcW w:w="484" w:type="pct"/>
            <w:tcMar>
              <w:left w:w="113" w:type="dxa"/>
              <w:right w:w="113" w:type="dxa"/>
            </w:tcMar>
          </w:tcPr>
          <w:p w14:paraId="109FF1E4" w14:textId="499C1761" w:rsidR="00AF0BF7" w:rsidRPr="00435979" w:rsidRDefault="00CB3EC3"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CB3EC3">
              <w:rPr>
                <w:sz w:val="16"/>
                <w:szCs w:val="16"/>
              </w:rPr>
              <w:t>246.54</w:t>
            </w:r>
          </w:p>
        </w:tc>
        <w:tc>
          <w:tcPr>
            <w:tcW w:w="483" w:type="pct"/>
            <w:tcMar>
              <w:left w:w="113" w:type="dxa"/>
              <w:right w:w="113" w:type="dxa"/>
            </w:tcMar>
          </w:tcPr>
          <w:p w14:paraId="630F7066" w14:textId="364DAE08" w:rsidR="00AF0BF7" w:rsidRPr="00435979" w:rsidRDefault="00CB3EC3"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CB3EC3">
              <w:rPr>
                <w:sz w:val="16"/>
                <w:szCs w:val="16"/>
              </w:rPr>
              <w:t>112.56</w:t>
            </w:r>
          </w:p>
        </w:tc>
        <w:tc>
          <w:tcPr>
            <w:tcW w:w="353" w:type="pct"/>
            <w:tcMar>
              <w:left w:w="113" w:type="dxa"/>
              <w:right w:w="113" w:type="dxa"/>
            </w:tcMar>
          </w:tcPr>
          <w:p w14:paraId="6257D836" w14:textId="77777777" w:rsidR="00AF0BF7" w:rsidRPr="00435979" w:rsidRDefault="00AF0BF7"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435979">
              <w:rPr>
                <w:sz w:val="16"/>
                <w:szCs w:val="16"/>
              </w:rPr>
              <w:t>6.20</w:t>
            </w:r>
          </w:p>
        </w:tc>
        <w:tc>
          <w:tcPr>
            <w:tcW w:w="534" w:type="pct"/>
            <w:tcMar>
              <w:left w:w="113" w:type="dxa"/>
              <w:right w:w="113" w:type="dxa"/>
            </w:tcMar>
          </w:tcPr>
          <w:p w14:paraId="5F0E83AE" w14:textId="473CFF0D" w:rsidR="00AF0BF7" w:rsidRPr="00BA287A" w:rsidRDefault="00CB3EC3"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CB3EC3">
              <w:rPr>
                <w:sz w:val="16"/>
                <w:szCs w:val="16"/>
              </w:rPr>
              <w:t>1426.36</w:t>
            </w:r>
          </w:p>
        </w:tc>
        <w:tc>
          <w:tcPr>
            <w:tcW w:w="484" w:type="pct"/>
          </w:tcPr>
          <w:p w14:paraId="4ADE91E9" w14:textId="142C6701" w:rsidR="00AF0BF7" w:rsidRPr="00BA287A" w:rsidRDefault="00DA401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DA4012">
              <w:rPr>
                <w:sz w:val="16"/>
                <w:szCs w:val="16"/>
              </w:rPr>
              <w:t>713.18</w:t>
            </w:r>
          </w:p>
        </w:tc>
      </w:tr>
      <w:tr w:rsidR="00A04371" w:rsidRPr="001A367B" w14:paraId="053EB7FA" w14:textId="77777777" w:rsidTr="00A04371">
        <w:tc>
          <w:tcPr>
            <w:tcW w:w="513" w:type="pct"/>
            <w:tcMar>
              <w:left w:w="113" w:type="dxa"/>
              <w:right w:w="113" w:type="dxa"/>
            </w:tcMar>
          </w:tcPr>
          <w:p w14:paraId="5D9D59DA" w14:textId="77777777" w:rsidR="00AF0BF7" w:rsidRPr="005C6CE3" w:rsidRDefault="00AF0BF7"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sz w:val="16"/>
                <w:szCs w:val="16"/>
              </w:rPr>
            </w:pPr>
            <w:r w:rsidRPr="005C6CE3">
              <w:rPr>
                <w:sz w:val="16"/>
                <w:szCs w:val="16"/>
              </w:rPr>
              <w:t>Youth Allowance, single, no children</w:t>
            </w:r>
          </w:p>
        </w:tc>
        <w:tc>
          <w:tcPr>
            <w:tcW w:w="455" w:type="pct"/>
            <w:tcMar>
              <w:left w:w="113" w:type="dxa"/>
              <w:right w:w="113" w:type="dxa"/>
            </w:tcMar>
          </w:tcPr>
          <w:p w14:paraId="788CED5D" w14:textId="69A6285F" w:rsidR="00AF0BF7" w:rsidRPr="006321FE" w:rsidRDefault="00DA401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DA4012">
              <w:rPr>
                <w:sz w:val="16"/>
                <w:szCs w:val="16"/>
              </w:rPr>
              <w:t>462.50</w:t>
            </w:r>
          </w:p>
        </w:tc>
        <w:tc>
          <w:tcPr>
            <w:tcW w:w="509" w:type="pct"/>
          </w:tcPr>
          <w:p w14:paraId="12B70FF5" w14:textId="7021F87F" w:rsidR="00AF0BF7" w:rsidRPr="006321FE" w:rsidRDefault="00DA401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Pr>
                <w:sz w:val="16"/>
                <w:szCs w:val="16"/>
              </w:rPr>
              <w:t>250.00</w:t>
            </w:r>
          </w:p>
        </w:tc>
        <w:tc>
          <w:tcPr>
            <w:tcW w:w="403" w:type="pct"/>
            <w:tcMar>
              <w:left w:w="113" w:type="dxa"/>
              <w:right w:w="113" w:type="dxa"/>
            </w:tcMar>
          </w:tcPr>
          <w:p w14:paraId="517AFB93" w14:textId="0EA2B2EE" w:rsidR="00AF0BF7" w:rsidRPr="006321FE" w:rsidRDefault="00AF0BF7"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6321FE">
              <w:rPr>
                <w:sz w:val="16"/>
                <w:szCs w:val="16"/>
              </w:rPr>
              <w:t>-</w:t>
            </w:r>
          </w:p>
        </w:tc>
        <w:tc>
          <w:tcPr>
            <w:tcW w:w="368" w:type="pct"/>
            <w:tcMar>
              <w:left w:w="113" w:type="dxa"/>
              <w:right w:w="113" w:type="dxa"/>
            </w:tcMar>
          </w:tcPr>
          <w:p w14:paraId="76121ABA" w14:textId="77777777" w:rsidR="00AF0BF7" w:rsidRPr="006321FE" w:rsidRDefault="00AF0BF7"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6321FE">
              <w:rPr>
                <w:sz w:val="16"/>
                <w:szCs w:val="16"/>
              </w:rPr>
              <w:t>7.00</w:t>
            </w:r>
          </w:p>
        </w:tc>
        <w:tc>
          <w:tcPr>
            <w:tcW w:w="412" w:type="pct"/>
            <w:tcMar>
              <w:left w:w="113" w:type="dxa"/>
              <w:right w:w="113" w:type="dxa"/>
            </w:tcMar>
          </w:tcPr>
          <w:p w14:paraId="2F985A17" w14:textId="77777777" w:rsidR="00AF0BF7" w:rsidRPr="00A16E43" w:rsidRDefault="00AF0BF7"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A16E43">
              <w:rPr>
                <w:sz w:val="16"/>
                <w:szCs w:val="16"/>
              </w:rPr>
              <w:t>-</w:t>
            </w:r>
          </w:p>
        </w:tc>
        <w:tc>
          <w:tcPr>
            <w:tcW w:w="484" w:type="pct"/>
            <w:tcMar>
              <w:left w:w="113" w:type="dxa"/>
              <w:right w:w="113" w:type="dxa"/>
            </w:tcMar>
          </w:tcPr>
          <w:p w14:paraId="02C4FC66" w14:textId="77777777" w:rsidR="00AF0BF7" w:rsidRPr="00435979" w:rsidRDefault="00AF0BF7"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435979">
              <w:rPr>
                <w:sz w:val="16"/>
                <w:szCs w:val="16"/>
              </w:rPr>
              <w:t>-</w:t>
            </w:r>
          </w:p>
        </w:tc>
        <w:tc>
          <w:tcPr>
            <w:tcW w:w="483" w:type="pct"/>
            <w:tcMar>
              <w:left w:w="113" w:type="dxa"/>
              <w:right w:w="113" w:type="dxa"/>
            </w:tcMar>
          </w:tcPr>
          <w:p w14:paraId="5A1398F0" w14:textId="77777777" w:rsidR="00AF0BF7" w:rsidRPr="00435979" w:rsidRDefault="00AF0BF7"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435979">
              <w:rPr>
                <w:sz w:val="16"/>
                <w:szCs w:val="16"/>
              </w:rPr>
              <w:t>-</w:t>
            </w:r>
          </w:p>
        </w:tc>
        <w:tc>
          <w:tcPr>
            <w:tcW w:w="353" w:type="pct"/>
            <w:tcMar>
              <w:left w:w="113" w:type="dxa"/>
              <w:right w:w="113" w:type="dxa"/>
            </w:tcMar>
          </w:tcPr>
          <w:p w14:paraId="3CDF1EC2" w14:textId="77777777" w:rsidR="00AF0BF7" w:rsidRPr="00435979" w:rsidRDefault="00AF0BF7"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435979">
              <w:rPr>
                <w:sz w:val="16"/>
                <w:szCs w:val="16"/>
              </w:rPr>
              <w:t>-</w:t>
            </w:r>
          </w:p>
        </w:tc>
        <w:tc>
          <w:tcPr>
            <w:tcW w:w="534" w:type="pct"/>
            <w:tcMar>
              <w:left w:w="113" w:type="dxa"/>
              <w:right w:w="113" w:type="dxa"/>
            </w:tcMar>
          </w:tcPr>
          <w:p w14:paraId="56ABD4B6" w14:textId="5DF4AA87" w:rsidR="00AF0BF7" w:rsidRPr="00BA287A" w:rsidRDefault="00DA401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DA4012">
              <w:rPr>
                <w:sz w:val="16"/>
                <w:szCs w:val="16"/>
              </w:rPr>
              <w:t>719.50</w:t>
            </w:r>
          </w:p>
        </w:tc>
        <w:tc>
          <w:tcPr>
            <w:tcW w:w="484" w:type="pct"/>
          </w:tcPr>
          <w:p w14:paraId="190C3AF6" w14:textId="0F6FEF62" w:rsidR="00AF0BF7" w:rsidRPr="00BA287A" w:rsidRDefault="00B2287E"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B2287E">
              <w:rPr>
                <w:sz w:val="16"/>
                <w:szCs w:val="16"/>
              </w:rPr>
              <w:t>359.75</w:t>
            </w:r>
          </w:p>
        </w:tc>
      </w:tr>
      <w:bookmarkEnd w:id="36"/>
    </w:tbl>
    <w:p w14:paraId="434A8110" w14:textId="77777777" w:rsidR="00403A7E" w:rsidRDefault="00403A7E" w:rsidP="00F03FC3">
      <w:pPr>
        <w:pStyle w:val="BodyText"/>
      </w:pPr>
    </w:p>
    <w:p w14:paraId="1A9411B6" w14:textId="399ED524" w:rsidR="00B2287E" w:rsidRDefault="00A04371" w:rsidP="00A04371">
      <w:pPr>
        <w:pStyle w:val="Figuretabletitle"/>
      </w:pPr>
      <w:r>
        <w:t xml:space="preserve">Rates </w:t>
      </w:r>
      <w:proofErr w:type="gramStart"/>
      <w:r>
        <w:t>at</w:t>
      </w:r>
      <w:proofErr w:type="gramEnd"/>
      <w:r>
        <w:t xml:space="preserve"> </w:t>
      </w:r>
      <w:r w:rsidR="00B2287E">
        <w:t>31 December 2021</w:t>
      </w:r>
    </w:p>
    <w:tbl>
      <w:tblPr>
        <w:tblStyle w:val="TableGrid"/>
        <w:tblW w:w="5171" w:type="pct"/>
        <w:tblLayout w:type="fixed"/>
        <w:tblLook w:val="04A0" w:firstRow="1" w:lastRow="0" w:firstColumn="1" w:lastColumn="0" w:noHBand="0" w:noVBand="1"/>
      </w:tblPr>
      <w:tblGrid>
        <w:gridCol w:w="902"/>
        <w:gridCol w:w="797"/>
        <w:gridCol w:w="854"/>
        <w:gridCol w:w="708"/>
        <w:gridCol w:w="692"/>
        <w:gridCol w:w="724"/>
        <w:gridCol w:w="850"/>
        <w:gridCol w:w="849"/>
        <w:gridCol w:w="620"/>
        <w:gridCol w:w="938"/>
        <w:gridCol w:w="850"/>
      </w:tblGrid>
      <w:tr w:rsidR="00A04371" w:rsidRPr="001A367B" w14:paraId="31411086" w14:textId="77777777" w:rsidTr="00A04371">
        <w:trPr>
          <w:tblHeader/>
        </w:trPr>
        <w:tc>
          <w:tcPr>
            <w:tcW w:w="513" w:type="pct"/>
            <w:tcMar>
              <w:left w:w="113" w:type="dxa"/>
              <w:right w:w="113" w:type="dxa"/>
            </w:tcMar>
          </w:tcPr>
          <w:p w14:paraId="0BC1A7F6" w14:textId="77777777" w:rsidR="00B2287E" w:rsidRPr="001A367B" w:rsidRDefault="00B2287E"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sz w:val="16"/>
                <w:szCs w:val="16"/>
                <w:highlight w:val="yellow"/>
              </w:rPr>
            </w:pPr>
          </w:p>
        </w:tc>
        <w:tc>
          <w:tcPr>
            <w:tcW w:w="453" w:type="pct"/>
            <w:tcMar>
              <w:left w:w="113" w:type="dxa"/>
              <w:right w:w="113" w:type="dxa"/>
            </w:tcMar>
          </w:tcPr>
          <w:p w14:paraId="1F553879" w14:textId="77777777" w:rsidR="00B2287E" w:rsidRPr="006321FE" w:rsidRDefault="00B2287E"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center"/>
              <w:rPr>
                <w:sz w:val="16"/>
                <w:szCs w:val="16"/>
              </w:rPr>
            </w:pPr>
            <w:r w:rsidRPr="006321FE">
              <w:rPr>
                <w:sz w:val="16"/>
                <w:szCs w:val="16"/>
              </w:rPr>
              <w:t>Base rate</w:t>
            </w:r>
          </w:p>
        </w:tc>
        <w:tc>
          <w:tcPr>
            <w:tcW w:w="486" w:type="pct"/>
          </w:tcPr>
          <w:p w14:paraId="236444F6" w14:textId="77777777" w:rsidR="00B2287E" w:rsidRPr="006321FE" w:rsidRDefault="00B2287E"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center"/>
              <w:rPr>
                <w:sz w:val="16"/>
                <w:szCs w:val="16"/>
              </w:rPr>
            </w:pPr>
            <w:r>
              <w:rPr>
                <w:sz w:val="16"/>
                <w:szCs w:val="16"/>
              </w:rPr>
              <w:t>Coronavirus Supp</w:t>
            </w:r>
          </w:p>
        </w:tc>
        <w:tc>
          <w:tcPr>
            <w:tcW w:w="403" w:type="pct"/>
            <w:tcMar>
              <w:left w:w="113" w:type="dxa"/>
              <w:right w:w="113" w:type="dxa"/>
            </w:tcMar>
          </w:tcPr>
          <w:p w14:paraId="58B66463" w14:textId="77777777" w:rsidR="00B2287E" w:rsidRPr="006321FE" w:rsidRDefault="00B2287E"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center"/>
              <w:rPr>
                <w:sz w:val="16"/>
                <w:szCs w:val="16"/>
              </w:rPr>
            </w:pPr>
            <w:r w:rsidRPr="006321FE">
              <w:rPr>
                <w:sz w:val="16"/>
                <w:szCs w:val="16"/>
              </w:rPr>
              <w:t>Pension supp</w:t>
            </w:r>
          </w:p>
        </w:tc>
        <w:tc>
          <w:tcPr>
            <w:tcW w:w="394" w:type="pct"/>
            <w:tcMar>
              <w:left w:w="113" w:type="dxa"/>
              <w:right w:w="113" w:type="dxa"/>
            </w:tcMar>
          </w:tcPr>
          <w:p w14:paraId="68360DB1" w14:textId="77777777" w:rsidR="00B2287E" w:rsidRPr="006321FE" w:rsidRDefault="00B2287E"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center"/>
              <w:rPr>
                <w:sz w:val="16"/>
                <w:szCs w:val="16"/>
              </w:rPr>
            </w:pPr>
            <w:r w:rsidRPr="006321FE">
              <w:rPr>
                <w:sz w:val="16"/>
                <w:szCs w:val="16"/>
              </w:rPr>
              <w:t>Energy supp</w:t>
            </w:r>
          </w:p>
        </w:tc>
        <w:tc>
          <w:tcPr>
            <w:tcW w:w="412" w:type="pct"/>
            <w:tcMar>
              <w:left w:w="113" w:type="dxa"/>
              <w:right w:w="113" w:type="dxa"/>
            </w:tcMar>
          </w:tcPr>
          <w:p w14:paraId="7CB8366F" w14:textId="77777777" w:rsidR="00B2287E" w:rsidRPr="00A16E43" w:rsidRDefault="00B2287E"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center"/>
              <w:rPr>
                <w:sz w:val="16"/>
                <w:szCs w:val="16"/>
              </w:rPr>
            </w:pPr>
            <w:proofErr w:type="spellStart"/>
            <w:r w:rsidRPr="00A16E43">
              <w:rPr>
                <w:sz w:val="16"/>
                <w:szCs w:val="16"/>
              </w:rPr>
              <w:t>FTB</w:t>
            </w:r>
            <w:proofErr w:type="spellEnd"/>
            <w:r w:rsidRPr="00A16E43">
              <w:rPr>
                <w:sz w:val="16"/>
                <w:szCs w:val="16"/>
              </w:rPr>
              <w:t xml:space="preserve"> A Child u13</w:t>
            </w:r>
          </w:p>
        </w:tc>
        <w:tc>
          <w:tcPr>
            <w:tcW w:w="484" w:type="pct"/>
            <w:tcMar>
              <w:left w:w="113" w:type="dxa"/>
              <w:right w:w="113" w:type="dxa"/>
            </w:tcMar>
          </w:tcPr>
          <w:p w14:paraId="420D392F" w14:textId="77777777" w:rsidR="00B2287E" w:rsidRPr="00435979" w:rsidRDefault="00B2287E"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center"/>
              <w:rPr>
                <w:sz w:val="16"/>
                <w:szCs w:val="16"/>
              </w:rPr>
            </w:pPr>
            <w:proofErr w:type="spellStart"/>
            <w:r w:rsidRPr="00435979">
              <w:rPr>
                <w:sz w:val="16"/>
                <w:szCs w:val="16"/>
              </w:rPr>
              <w:t>FTB</w:t>
            </w:r>
            <w:proofErr w:type="spellEnd"/>
            <w:r w:rsidRPr="00435979">
              <w:rPr>
                <w:sz w:val="16"/>
                <w:szCs w:val="16"/>
              </w:rPr>
              <w:t xml:space="preserve"> A Child 13-15</w:t>
            </w:r>
          </w:p>
        </w:tc>
        <w:tc>
          <w:tcPr>
            <w:tcW w:w="483" w:type="pct"/>
            <w:tcMar>
              <w:left w:w="113" w:type="dxa"/>
              <w:right w:w="113" w:type="dxa"/>
            </w:tcMar>
          </w:tcPr>
          <w:p w14:paraId="10579978" w14:textId="77777777" w:rsidR="00B2287E" w:rsidRPr="00435979" w:rsidRDefault="00B2287E"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center"/>
              <w:rPr>
                <w:sz w:val="16"/>
                <w:szCs w:val="16"/>
              </w:rPr>
            </w:pPr>
            <w:proofErr w:type="spellStart"/>
            <w:r w:rsidRPr="00435979">
              <w:rPr>
                <w:sz w:val="16"/>
                <w:szCs w:val="16"/>
              </w:rPr>
              <w:t>FTB</w:t>
            </w:r>
            <w:proofErr w:type="spellEnd"/>
            <w:r w:rsidRPr="00435979">
              <w:rPr>
                <w:sz w:val="16"/>
                <w:szCs w:val="16"/>
              </w:rPr>
              <w:t xml:space="preserve"> B</w:t>
            </w:r>
          </w:p>
        </w:tc>
        <w:tc>
          <w:tcPr>
            <w:tcW w:w="353" w:type="pct"/>
            <w:tcMar>
              <w:left w:w="113" w:type="dxa"/>
              <w:right w:w="113" w:type="dxa"/>
            </w:tcMar>
          </w:tcPr>
          <w:p w14:paraId="0BA73876" w14:textId="77777777" w:rsidR="00B2287E" w:rsidRPr="00435979" w:rsidRDefault="00B2287E"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center"/>
              <w:rPr>
                <w:sz w:val="16"/>
                <w:szCs w:val="16"/>
              </w:rPr>
            </w:pPr>
            <w:r w:rsidRPr="00435979">
              <w:rPr>
                <w:sz w:val="16"/>
                <w:szCs w:val="16"/>
              </w:rPr>
              <w:t>Pharmaceutical Benefit</w:t>
            </w:r>
          </w:p>
        </w:tc>
        <w:tc>
          <w:tcPr>
            <w:tcW w:w="534" w:type="pct"/>
            <w:tcMar>
              <w:left w:w="113" w:type="dxa"/>
              <w:right w:w="113" w:type="dxa"/>
            </w:tcMar>
          </w:tcPr>
          <w:p w14:paraId="292DAC42" w14:textId="77777777" w:rsidR="00B2287E" w:rsidRPr="00BA287A" w:rsidRDefault="00B2287E"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center"/>
              <w:rPr>
                <w:sz w:val="16"/>
                <w:szCs w:val="16"/>
              </w:rPr>
            </w:pPr>
            <w:r w:rsidRPr="00BA287A">
              <w:rPr>
                <w:sz w:val="16"/>
                <w:szCs w:val="16"/>
              </w:rPr>
              <w:t>Fortnight Total</w:t>
            </w:r>
          </w:p>
        </w:tc>
        <w:tc>
          <w:tcPr>
            <w:tcW w:w="484" w:type="pct"/>
          </w:tcPr>
          <w:p w14:paraId="58362BF4" w14:textId="77777777" w:rsidR="00B2287E" w:rsidRPr="00BA287A" w:rsidRDefault="00B2287E"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center"/>
              <w:rPr>
                <w:sz w:val="16"/>
                <w:szCs w:val="16"/>
              </w:rPr>
            </w:pPr>
            <w:r w:rsidRPr="00BA287A">
              <w:rPr>
                <w:sz w:val="16"/>
                <w:szCs w:val="16"/>
              </w:rPr>
              <w:t>Week Total</w:t>
            </w:r>
          </w:p>
        </w:tc>
      </w:tr>
      <w:tr w:rsidR="00A04371" w:rsidRPr="001A367B" w14:paraId="544E1670" w14:textId="77777777" w:rsidTr="00A04371">
        <w:tc>
          <w:tcPr>
            <w:tcW w:w="513" w:type="pct"/>
            <w:tcMar>
              <w:left w:w="113" w:type="dxa"/>
              <w:right w:w="113" w:type="dxa"/>
            </w:tcMar>
          </w:tcPr>
          <w:p w14:paraId="2823B933" w14:textId="77777777" w:rsidR="00B2287E" w:rsidRPr="005C6CE3" w:rsidRDefault="00B2287E"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sz w:val="16"/>
                <w:szCs w:val="16"/>
              </w:rPr>
            </w:pPr>
            <w:r w:rsidRPr="005C6CE3">
              <w:rPr>
                <w:sz w:val="16"/>
                <w:szCs w:val="16"/>
              </w:rPr>
              <w:t>Age pension, single</w:t>
            </w:r>
          </w:p>
        </w:tc>
        <w:tc>
          <w:tcPr>
            <w:tcW w:w="453" w:type="pct"/>
            <w:tcMar>
              <w:left w:w="113" w:type="dxa"/>
              <w:right w:w="113" w:type="dxa"/>
            </w:tcMar>
          </w:tcPr>
          <w:p w14:paraId="7D84AF2B" w14:textId="73D14C81" w:rsidR="00B2287E" w:rsidRPr="006321FE" w:rsidRDefault="00D8768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D87682">
              <w:rPr>
                <w:sz w:val="16"/>
                <w:szCs w:val="16"/>
              </w:rPr>
              <w:t>882.20</w:t>
            </w:r>
          </w:p>
        </w:tc>
        <w:tc>
          <w:tcPr>
            <w:tcW w:w="486" w:type="pct"/>
          </w:tcPr>
          <w:p w14:paraId="6640F60F" w14:textId="77777777" w:rsidR="00B2287E" w:rsidRPr="006321FE" w:rsidRDefault="00B2287E"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p>
        </w:tc>
        <w:tc>
          <w:tcPr>
            <w:tcW w:w="403" w:type="pct"/>
            <w:tcMar>
              <w:left w:w="113" w:type="dxa"/>
              <w:right w:w="113" w:type="dxa"/>
            </w:tcMar>
          </w:tcPr>
          <w:p w14:paraId="652C9DF3" w14:textId="2B82CDE0" w:rsidR="00B2287E" w:rsidRPr="006321FE" w:rsidRDefault="00D8768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D87682">
              <w:rPr>
                <w:sz w:val="16"/>
                <w:szCs w:val="16"/>
              </w:rPr>
              <w:t>71.20</w:t>
            </w:r>
          </w:p>
        </w:tc>
        <w:tc>
          <w:tcPr>
            <w:tcW w:w="394" w:type="pct"/>
            <w:tcMar>
              <w:left w:w="113" w:type="dxa"/>
              <w:right w:w="113" w:type="dxa"/>
            </w:tcMar>
          </w:tcPr>
          <w:p w14:paraId="7BB460D2" w14:textId="77777777" w:rsidR="00B2287E" w:rsidRPr="006321FE" w:rsidRDefault="00B2287E"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6321FE">
              <w:rPr>
                <w:sz w:val="16"/>
                <w:szCs w:val="16"/>
              </w:rPr>
              <w:t>14.10</w:t>
            </w:r>
          </w:p>
        </w:tc>
        <w:tc>
          <w:tcPr>
            <w:tcW w:w="412" w:type="pct"/>
            <w:tcMar>
              <w:left w:w="113" w:type="dxa"/>
              <w:right w:w="113" w:type="dxa"/>
            </w:tcMar>
          </w:tcPr>
          <w:p w14:paraId="51F3478F" w14:textId="77777777" w:rsidR="00B2287E" w:rsidRPr="00A16E43" w:rsidRDefault="00B2287E"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A16E43">
              <w:rPr>
                <w:sz w:val="16"/>
                <w:szCs w:val="16"/>
              </w:rPr>
              <w:t>-</w:t>
            </w:r>
          </w:p>
        </w:tc>
        <w:tc>
          <w:tcPr>
            <w:tcW w:w="484" w:type="pct"/>
            <w:tcMar>
              <w:left w:w="113" w:type="dxa"/>
              <w:right w:w="113" w:type="dxa"/>
            </w:tcMar>
          </w:tcPr>
          <w:p w14:paraId="7D0D08BF" w14:textId="77777777" w:rsidR="00B2287E" w:rsidRPr="00435979" w:rsidRDefault="00B2287E"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435979">
              <w:rPr>
                <w:sz w:val="16"/>
                <w:szCs w:val="16"/>
              </w:rPr>
              <w:t>-</w:t>
            </w:r>
          </w:p>
        </w:tc>
        <w:tc>
          <w:tcPr>
            <w:tcW w:w="483" w:type="pct"/>
            <w:tcMar>
              <w:left w:w="113" w:type="dxa"/>
              <w:right w:w="113" w:type="dxa"/>
            </w:tcMar>
          </w:tcPr>
          <w:p w14:paraId="78157262" w14:textId="77777777" w:rsidR="00B2287E" w:rsidRPr="00435979" w:rsidRDefault="00B2287E"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435979">
              <w:rPr>
                <w:sz w:val="16"/>
                <w:szCs w:val="16"/>
              </w:rPr>
              <w:t>-</w:t>
            </w:r>
          </w:p>
        </w:tc>
        <w:tc>
          <w:tcPr>
            <w:tcW w:w="353" w:type="pct"/>
            <w:tcMar>
              <w:left w:w="113" w:type="dxa"/>
              <w:right w:w="113" w:type="dxa"/>
            </w:tcMar>
          </w:tcPr>
          <w:p w14:paraId="69D20220" w14:textId="77777777" w:rsidR="00B2287E" w:rsidRPr="00435979" w:rsidRDefault="00B2287E"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435979">
              <w:rPr>
                <w:sz w:val="16"/>
                <w:szCs w:val="16"/>
              </w:rPr>
              <w:t>-</w:t>
            </w:r>
          </w:p>
        </w:tc>
        <w:tc>
          <w:tcPr>
            <w:tcW w:w="534" w:type="pct"/>
            <w:tcMar>
              <w:left w:w="113" w:type="dxa"/>
              <w:right w:w="113" w:type="dxa"/>
            </w:tcMar>
          </w:tcPr>
          <w:p w14:paraId="38A86E73" w14:textId="2F67B2F1" w:rsidR="00B2287E" w:rsidRPr="00BA287A" w:rsidRDefault="00D87682"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D87682">
              <w:rPr>
                <w:sz w:val="16"/>
                <w:szCs w:val="16"/>
              </w:rPr>
              <w:t>967.50</w:t>
            </w:r>
          </w:p>
        </w:tc>
        <w:tc>
          <w:tcPr>
            <w:tcW w:w="484" w:type="pct"/>
          </w:tcPr>
          <w:p w14:paraId="30A2100A" w14:textId="03843498" w:rsidR="00B2287E" w:rsidRPr="00BA287A" w:rsidRDefault="007730AC"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7730AC">
              <w:rPr>
                <w:sz w:val="16"/>
                <w:szCs w:val="16"/>
              </w:rPr>
              <w:t>483.75</w:t>
            </w:r>
          </w:p>
        </w:tc>
      </w:tr>
      <w:tr w:rsidR="00A04371" w:rsidRPr="001A367B" w14:paraId="6822ADFA" w14:textId="77777777" w:rsidTr="00A04371">
        <w:tc>
          <w:tcPr>
            <w:tcW w:w="513" w:type="pct"/>
            <w:tcMar>
              <w:left w:w="113" w:type="dxa"/>
              <w:right w:w="113" w:type="dxa"/>
            </w:tcMar>
          </w:tcPr>
          <w:p w14:paraId="52BFB97A" w14:textId="77777777" w:rsidR="00B2287E" w:rsidRPr="005C6CE3" w:rsidRDefault="00B2287E"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sz w:val="16"/>
                <w:szCs w:val="16"/>
              </w:rPr>
            </w:pPr>
            <w:proofErr w:type="spellStart"/>
            <w:r>
              <w:rPr>
                <w:sz w:val="16"/>
                <w:szCs w:val="16"/>
              </w:rPr>
              <w:t>JobSeeker</w:t>
            </w:r>
            <w:proofErr w:type="spellEnd"/>
            <w:r w:rsidRPr="005C6CE3">
              <w:rPr>
                <w:sz w:val="16"/>
                <w:szCs w:val="16"/>
              </w:rPr>
              <w:t>, single, no children</w:t>
            </w:r>
          </w:p>
        </w:tc>
        <w:tc>
          <w:tcPr>
            <w:tcW w:w="453" w:type="pct"/>
            <w:tcMar>
              <w:left w:w="113" w:type="dxa"/>
              <w:right w:w="113" w:type="dxa"/>
            </w:tcMar>
          </w:tcPr>
          <w:p w14:paraId="203B61A7" w14:textId="36FB1CEC" w:rsidR="00B2287E" w:rsidRPr="006321FE" w:rsidRDefault="007730AC"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7730AC">
              <w:rPr>
                <w:sz w:val="16"/>
                <w:szCs w:val="16"/>
              </w:rPr>
              <w:t>629.50</w:t>
            </w:r>
          </w:p>
        </w:tc>
        <w:tc>
          <w:tcPr>
            <w:tcW w:w="486" w:type="pct"/>
          </w:tcPr>
          <w:p w14:paraId="211DFF77" w14:textId="201DEAB1" w:rsidR="00B2287E" w:rsidRPr="006321FE" w:rsidRDefault="00B2287E"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p>
        </w:tc>
        <w:tc>
          <w:tcPr>
            <w:tcW w:w="403" w:type="pct"/>
            <w:tcMar>
              <w:left w:w="113" w:type="dxa"/>
              <w:right w:w="113" w:type="dxa"/>
            </w:tcMar>
          </w:tcPr>
          <w:p w14:paraId="16DE29C3" w14:textId="77777777" w:rsidR="00B2287E" w:rsidRPr="006321FE" w:rsidRDefault="00B2287E"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6321FE">
              <w:rPr>
                <w:sz w:val="16"/>
                <w:szCs w:val="16"/>
              </w:rPr>
              <w:t>-</w:t>
            </w:r>
          </w:p>
        </w:tc>
        <w:tc>
          <w:tcPr>
            <w:tcW w:w="394" w:type="pct"/>
            <w:tcMar>
              <w:left w:w="113" w:type="dxa"/>
              <w:right w:w="113" w:type="dxa"/>
            </w:tcMar>
          </w:tcPr>
          <w:p w14:paraId="63F4D3C9" w14:textId="77777777" w:rsidR="00B2287E" w:rsidRPr="006321FE" w:rsidRDefault="00B2287E"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6321FE">
              <w:rPr>
                <w:sz w:val="16"/>
                <w:szCs w:val="16"/>
              </w:rPr>
              <w:t>8.80</w:t>
            </w:r>
          </w:p>
        </w:tc>
        <w:tc>
          <w:tcPr>
            <w:tcW w:w="412" w:type="pct"/>
            <w:tcMar>
              <w:left w:w="113" w:type="dxa"/>
              <w:right w:w="113" w:type="dxa"/>
            </w:tcMar>
          </w:tcPr>
          <w:p w14:paraId="426DBDD4" w14:textId="77777777" w:rsidR="00B2287E" w:rsidRPr="00A16E43" w:rsidRDefault="00B2287E"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A16E43">
              <w:rPr>
                <w:sz w:val="16"/>
                <w:szCs w:val="16"/>
              </w:rPr>
              <w:t>-</w:t>
            </w:r>
          </w:p>
        </w:tc>
        <w:tc>
          <w:tcPr>
            <w:tcW w:w="484" w:type="pct"/>
            <w:tcMar>
              <w:left w:w="113" w:type="dxa"/>
              <w:right w:w="113" w:type="dxa"/>
            </w:tcMar>
          </w:tcPr>
          <w:p w14:paraId="071858DE" w14:textId="77777777" w:rsidR="00B2287E" w:rsidRPr="00435979" w:rsidRDefault="00B2287E"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435979">
              <w:rPr>
                <w:sz w:val="16"/>
                <w:szCs w:val="16"/>
              </w:rPr>
              <w:t>-</w:t>
            </w:r>
          </w:p>
        </w:tc>
        <w:tc>
          <w:tcPr>
            <w:tcW w:w="483" w:type="pct"/>
            <w:tcMar>
              <w:left w:w="113" w:type="dxa"/>
              <w:right w:w="113" w:type="dxa"/>
            </w:tcMar>
          </w:tcPr>
          <w:p w14:paraId="4C15F0E0" w14:textId="77777777" w:rsidR="00B2287E" w:rsidRPr="00435979" w:rsidRDefault="00B2287E"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435979">
              <w:rPr>
                <w:sz w:val="16"/>
                <w:szCs w:val="16"/>
              </w:rPr>
              <w:t>-</w:t>
            </w:r>
          </w:p>
        </w:tc>
        <w:tc>
          <w:tcPr>
            <w:tcW w:w="353" w:type="pct"/>
            <w:tcMar>
              <w:left w:w="113" w:type="dxa"/>
              <w:right w:w="113" w:type="dxa"/>
            </w:tcMar>
          </w:tcPr>
          <w:p w14:paraId="00C68C02" w14:textId="77777777" w:rsidR="00B2287E" w:rsidRPr="00435979" w:rsidRDefault="00B2287E"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435979">
              <w:rPr>
                <w:sz w:val="16"/>
                <w:szCs w:val="16"/>
              </w:rPr>
              <w:t>-</w:t>
            </w:r>
          </w:p>
        </w:tc>
        <w:tc>
          <w:tcPr>
            <w:tcW w:w="534" w:type="pct"/>
            <w:tcMar>
              <w:left w:w="113" w:type="dxa"/>
              <w:right w:w="113" w:type="dxa"/>
            </w:tcMar>
          </w:tcPr>
          <w:p w14:paraId="5BF5D8E7" w14:textId="5E7E92AE" w:rsidR="00B2287E" w:rsidRPr="00BA287A" w:rsidRDefault="007730AC"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7730AC">
              <w:rPr>
                <w:sz w:val="16"/>
                <w:szCs w:val="16"/>
              </w:rPr>
              <w:t>638.30</w:t>
            </w:r>
          </w:p>
        </w:tc>
        <w:tc>
          <w:tcPr>
            <w:tcW w:w="484" w:type="pct"/>
          </w:tcPr>
          <w:p w14:paraId="018F0E42" w14:textId="4575EBEB" w:rsidR="00B2287E" w:rsidRPr="00BA287A" w:rsidRDefault="00822956"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822956">
              <w:rPr>
                <w:sz w:val="16"/>
                <w:szCs w:val="16"/>
              </w:rPr>
              <w:t>319.15</w:t>
            </w:r>
          </w:p>
        </w:tc>
      </w:tr>
      <w:tr w:rsidR="00A04371" w:rsidRPr="001A367B" w14:paraId="68C87A4F" w14:textId="77777777" w:rsidTr="00A04371">
        <w:tc>
          <w:tcPr>
            <w:tcW w:w="513" w:type="pct"/>
            <w:tcMar>
              <w:left w:w="113" w:type="dxa"/>
              <w:right w:w="113" w:type="dxa"/>
            </w:tcMar>
          </w:tcPr>
          <w:p w14:paraId="15792BE9" w14:textId="77777777" w:rsidR="00B2287E" w:rsidRPr="005C6CE3" w:rsidRDefault="00B2287E"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sz w:val="16"/>
                <w:szCs w:val="16"/>
              </w:rPr>
            </w:pPr>
            <w:proofErr w:type="spellStart"/>
            <w:r>
              <w:rPr>
                <w:sz w:val="16"/>
                <w:szCs w:val="16"/>
              </w:rPr>
              <w:t>JobSeeker</w:t>
            </w:r>
            <w:proofErr w:type="spellEnd"/>
            <w:r w:rsidRPr="005C6CE3">
              <w:rPr>
                <w:sz w:val="16"/>
                <w:szCs w:val="16"/>
              </w:rPr>
              <w:t>, single, 2 children</w:t>
            </w:r>
          </w:p>
        </w:tc>
        <w:tc>
          <w:tcPr>
            <w:tcW w:w="453" w:type="pct"/>
            <w:tcMar>
              <w:left w:w="113" w:type="dxa"/>
              <w:right w:w="113" w:type="dxa"/>
            </w:tcMar>
          </w:tcPr>
          <w:p w14:paraId="649651A6" w14:textId="64FDD607" w:rsidR="00B2287E" w:rsidRPr="006321FE" w:rsidRDefault="00822956"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822956">
              <w:rPr>
                <w:sz w:val="16"/>
                <w:szCs w:val="16"/>
              </w:rPr>
              <w:t>676.80</w:t>
            </w:r>
          </w:p>
        </w:tc>
        <w:tc>
          <w:tcPr>
            <w:tcW w:w="486" w:type="pct"/>
          </w:tcPr>
          <w:p w14:paraId="75C73C7F" w14:textId="36C15973" w:rsidR="00B2287E" w:rsidRPr="006321FE" w:rsidRDefault="00B2287E"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p>
        </w:tc>
        <w:tc>
          <w:tcPr>
            <w:tcW w:w="403" w:type="pct"/>
            <w:tcMar>
              <w:left w:w="113" w:type="dxa"/>
              <w:right w:w="113" w:type="dxa"/>
            </w:tcMar>
          </w:tcPr>
          <w:p w14:paraId="7768C341" w14:textId="77777777" w:rsidR="00B2287E" w:rsidRPr="006321FE" w:rsidRDefault="00B2287E"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6321FE">
              <w:rPr>
                <w:sz w:val="16"/>
                <w:szCs w:val="16"/>
              </w:rPr>
              <w:t>-</w:t>
            </w:r>
          </w:p>
        </w:tc>
        <w:tc>
          <w:tcPr>
            <w:tcW w:w="394" w:type="pct"/>
            <w:tcMar>
              <w:left w:w="113" w:type="dxa"/>
              <w:right w:w="113" w:type="dxa"/>
            </w:tcMar>
          </w:tcPr>
          <w:p w14:paraId="09177CD8" w14:textId="77777777" w:rsidR="00B2287E" w:rsidRPr="006321FE" w:rsidRDefault="00B2287E"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6321FE">
              <w:rPr>
                <w:sz w:val="16"/>
                <w:szCs w:val="16"/>
              </w:rPr>
              <w:t>9.50</w:t>
            </w:r>
          </w:p>
        </w:tc>
        <w:tc>
          <w:tcPr>
            <w:tcW w:w="412" w:type="pct"/>
            <w:tcMar>
              <w:left w:w="113" w:type="dxa"/>
              <w:right w:w="113" w:type="dxa"/>
            </w:tcMar>
          </w:tcPr>
          <w:p w14:paraId="651D110E" w14:textId="42A517A2" w:rsidR="00B2287E" w:rsidRPr="00A16E43" w:rsidRDefault="00822956"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822956">
              <w:rPr>
                <w:sz w:val="16"/>
                <w:szCs w:val="16"/>
              </w:rPr>
              <w:t>191.24</w:t>
            </w:r>
          </w:p>
        </w:tc>
        <w:tc>
          <w:tcPr>
            <w:tcW w:w="484" w:type="pct"/>
            <w:tcMar>
              <w:left w:w="113" w:type="dxa"/>
              <w:right w:w="113" w:type="dxa"/>
            </w:tcMar>
          </w:tcPr>
          <w:p w14:paraId="272434D5" w14:textId="544CC567" w:rsidR="00B2287E" w:rsidRPr="00435979" w:rsidRDefault="00822956"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822956">
              <w:rPr>
                <w:sz w:val="16"/>
                <w:szCs w:val="16"/>
              </w:rPr>
              <w:t>248.78</w:t>
            </w:r>
          </w:p>
        </w:tc>
        <w:tc>
          <w:tcPr>
            <w:tcW w:w="483" w:type="pct"/>
            <w:tcMar>
              <w:left w:w="113" w:type="dxa"/>
              <w:right w:w="113" w:type="dxa"/>
            </w:tcMar>
          </w:tcPr>
          <w:p w14:paraId="330B94B0" w14:textId="3C340CFA" w:rsidR="00B2287E" w:rsidRPr="00435979" w:rsidRDefault="003D3AA4"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3D3AA4">
              <w:rPr>
                <w:sz w:val="16"/>
                <w:szCs w:val="16"/>
              </w:rPr>
              <w:t>113.54</w:t>
            </w:r>
          </w:p>
        </w:tc>
        <w:tc>
          <w:tcPr>
            <w:tcW w:w="353" w:type="pct"/>
            <w:tcMar>
              <w:left w:w="113" w:type="dxa"/>
              <w:right w:w="113" w:type="dxa"/>
            </w:tcMar>
          </w:tcPr>
          <w:p w14:paraId="5E53FE73" w14:textId="77777777" w:rsidR="00B2287E" w:rsidRPr="00435979" w:rsidRDefault="00B2287E"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435979">
              <w:rPr>
                <w:sz w:val="16"/>
                <w:szCs w:val="16"/>
              </w:rPr>
              <w:t>6.20</w:t>
            </w:r>
          </w:p>
        </w:tc>
        <w:tc>
          <w:tcPr>
            <w:tcW w:w="534" w:type="pct"/>
            <w:tcMar>
              <w:left w:w="113" w:type="dxa"/>
              <w:right w:w="113" w:type="dxa"/>
            </w:tcMar>
          </w:tcPr>
          <w:p w14:paraId="57556BCD" w14:textId="70D5C643" w:rsidR="00B2287E" w:rsidRPr="00BA287A" w:rsidRDefault="003D3AA4"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3D3AA4">
              <w:rPr>
                <w:sz w:val="16"/>
                <w:szCs w:val="16"/>
              </w:rPr>
              <w:t>1246.06</w:t>
            </w:r>
          </w:p>
        </w:tc>
        <w:tc>
          <w:tcPr>
            <w:tcW w:w="484" w:type="pct"/>
          </w:tcPr>
          <w:p w14:paraId="03157224" w14:textId="02212521" w:rsidR="00B2287E" w:rsidRPr="00BA287A" w:rsidRDefault="003D3AA4"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3D3AA4">
              <w:rPr>
                <w:sz w:val="16"/>
                <w:szCs w:val="16"/>
              </w:rPr>
              <w:t>623.03</w:t>
            </w:r>
          </w:p>
        </w:tc>
      </w:tr>
      <w:tr w:rsidR="00A04371" w:rsidRPr="001A367B" w14:paraId="792BCB29" w14:textId="77777777" w:rsidTr="00A04371">
        <w:tc>
          <w:tcPr>
            <w:tcW w:w="513" w:type="pct"/>
            <w:tcMar>
              <w:left w:w="113" w:type="dxa"/>
              <w:right w:w="113" w:type="dxa"/>
            </w:tcMar>
          </w:tcPr>
          <w:p w14:paraId="6E09217C" w14:textId="77777777" w:rsidR="00B2287E" w:rsidRPr="005C6CE3" w:rsidRDefault="00B2287E"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sz w:val="16"/>
                <w:szCs w:val="16"/>
              </w:rPr>
            </w:pPr>
            <w:r w:rsidRPr="005C6CE3">
              <w:rPr>
                <w:sz w:val="16"/>
                <w:szCs w:val="16"/>
              </w:rPr>
              <w:t>Youth Allowance, single, no children</w:t>
            </w:r>
          </w:p>
        </w:tc>
        <w:tc>
          <w:tcPr>
            <w:tcW w:w="453" w:type="pct"/>
            <w:tcMar>
              <w:left w:w="113" w:type="dxa"/>
              <w:right w:w="113" w:type="dxa"/>
            </w:tcMar>
          </w:tcPr>
          <w:p w14:paraId="6F567B65" w14:textId="1769B114" w:rsidR="00B2287E" w:rsidRPr="006321FE" w:rsidRDefault="003D3AA4"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3D3AA4">
              <w:rPr>
                <w:sz w:val="16"/>
                <w:szCs w:val="16"/>
              </w:rPr>
              <w:t>512.50</w:t>
            </w:r>
          </w:p>
        </w:tc>
        <w:tc>
          <w:tcPr>
            <w:tcW w:w="486" w:type="pct"/>
          </w:tcPr>
          <w:p w14:paraId="63C8BA84" w14:textId="32915FC1" w:rsidR="00B2287E" w:rsidRPr="006321FE" w:rsidRDefault="00B2287E"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p>
        </w:tc>
        <w:tc>
          <w:tcPr>
            <w:tcW w:w="403" w:type="pct"/>
            <w:tcMar>
              <w:left w:w="113" w:type="dxa"/>
              <w:right w:w="113" w:type="dxa"/>
            </w:tcMar>
          </w:tcPr>
          <w:p w14:paraId="26A8384A" w14:textId="77777777" w:rsidR="00B2287E" w:rsidRPr="006321FE" w:rsidRDefault="00B2287E"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6321FE">
              <w:rPr>
                <w:sz w:val="16"/>
                <w:szCs w:val="16"/>
              </w:rPr>
              <w:t>-</w:t>
            </w:r>
          </w:p>
        </w:tc>
        <w:tc>
          <w:tcPr>
            <w:tcW w:w="394" w:type="pct"/>
            <w:tcMar>
              <w:left w:w="113" w:type="dxa"/>
              <w:right w:w="113" w:type="dxa"/>
            </w:tcMar>
          </w:tcPr>
          <w:p w14:paraId="1E843CA9" w14:textId="77777777" w:rsidR="00B2287E" w:rsidRPr="006321FE" w:rsidRDefault="00B2287E"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6321FE">
              <w:rPr>
                <w:sz w:val="16"/>
                <w:szCs w:val="16"/>
              </w:rPr>
              <w:t>7.00</w:t>
            </w:r>
          </w:p>
        </w:tc>
        <w:tc>
          <w:tcPr>
            <w:tcW w:w="412" w:type="pct"/>
            <w:tcMar>
              <w:left w:w="113" w:type="dxa"/>
              <w:right w:w="113" w:type="dxa"/>
            </w:tcMar>
          </w:tcPr>
          <w:p w14:paraId="5217E7B3" w14:textId="77777777" w:rsidR="00B2287E" w:rsidRPr="00A16E43" w:rsidRDefault="00B2287E"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A16E43">
              <w:rPr>
                <w:sz w:val="16"/>
                <w:szCs w:val="16"/>
              </w:rPr>
              <w:t>-</w:t>
            </w:r>
          </w:p>
        </w:tc>
        <w:tc>
          <w:tcPr>
            <w:tcW w:w="484" w:type="pct"/>
            <w:tcMar>
              <w:left w:w="113" w:type="dxa"/>
              <w:right w:w="113" w:type="dxa"/>
            </w:tcMar>
          </w:tcPr>
          <w:p w14:paraId="7A20A2BA" w14:textId="77777777" w:rsidR="00B2287E" w:rsidRPr="00435979" w:rsidRDefault="00B2287E"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435979">
              <w:rPr>
                <w:sz w:val="16"/>
                <w:szCs w:val="16"/>
              </w:rPr>
              <w:t>-</w:t>
            </w:r>
          </w:p>
        </w:tc>
        <w:tc>
          <w:tcPr>
            <w:tcW w:w="483" w:type="pct"/>
            <w:tcMar>
              <w:left w:w="113" w:type="dxa"/>
              <w:right w:w="113" w:type="dxa"/>
            </w:tcMar>
          </w:tcPr>
          <w:p w14:paraId="510FBE91" w14:textId="77777777" w:rsidR="00B2287E" w:rsidRPr="00435979" w:rsidRDefault="00B2287E"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435979">
              <w:rPr>
                <w:sz w:val="16"/>
                <w:szCs w:val="16"/>
              </w:rPr>
              <w:t>-</w:t>
            </w:r>
          </w:p>
        </w:tc>
        <w:tc>
          <w:tcPr>
            <w:tcW w:w="353" w:type="pct"/>
            <w:tcMar>
              <w:left w:w="113" w:type="dxa"/>
              <w:right w:w="113" w:type="dxa"/>
            </w:tcMar>
          </w:tcPr>
          <w:p w14:paraId="640EAA66" w14:textId="77777777" w:rsidR="00B2287E" w:rsidRPr="00435979" w:rsidRDefault="00B2287E"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435979">
              <w:rPr>
                <w:sz w:val="16"/>
                <w:szCs w:val="16"/>
              </w:rPr>
              <w:t>-</w:t>
            </w:r>
          </w:p>
        </w:tc>
        <w:tc>
          <w:tcPr>
            <w:tcW w:w="534" w:type="pct"/>
            <w:tcMar>
              <w:left w:w="113" w:type="dxa"/>
              <w:right w:w="113" w:type="dxa"/>
            </w:tcMar>
          </w:tcPr>
          <w:p w14:paraId="21ABF036" w14:textId="0613EE72" w:rsidR="00B2287E" w:rsidRPr="00BA287A" w:rsidRDefault="000415AD"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0415AD">
              <w:rPr>
                <w:sz w:val="16"/>
                <w:szCs w:val="16"/>
              </w:rPr>
              <w:t>519.50</w:t>
            </w:r>
          </w:p>
        </w:tc>
        <w:tc>
          <w:tcPr>
            <w:tcW w:w="484" w:type="pct"/>
          </w:tcPr>
          <w:p w14:paraId="5C2B0355" w14:textId="09AF4F15" w:rsidR="00B2287E" w:rsidRPr="00BA287A" w:rsidRDefault="000415AD" w:rsidP="00B76E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jc w:val="right"/>
              <w:rPr>
                <w:sz w:val="16"/>
                <w:szCs w:val="16"/>
              </w:rPr>
            </w:pPr>
            <w:r w:rsidRPr="000415AD">
              <w:rPr>
                <w:sz w:val="16"/>
                <w:szCs w:val="16"/>
              </w:rPr>
              <w:t>259.75</w:t>
            </w:r>
          </w:p>
        </w:tc>
      </w:tr>
    </w:tbl>
    <w:p w14:paraId="0772CB09" w14:textId="77777777" w:rsidR="00B2287E" w:rsidRPr="00F03FC3" w:rsidRDefault="00B2287E" w:rsidP="00F03FC3">
      <w:pPr>
        <w:pStyle w:val="BodyText"/>
      </w:pPr>
    </w:p>
    <w:p w14:paraId="5296E43E" w14:textId="19888595" w:rsidR="00F03FC3" w:rsidRPr="00F12F30" w:rsidRDefault="00F03FC3" w:rsidP="00F03FC3">
      <w:pPr>
        <w:pStyle w:val="Heading2"/>
      </w:pPr>
      <w:bookmarkStart w:id="37" w:name="_Toc7787740"/>
      <w:bookmarkStart w:id="38" w:name="_Toc51050152"/>
      <w:bookmarkStart w:id="39" w:name="_Toc79584864"/>
      <w:bookmarkStart w:id="40" w:name="_Toc102651031"/>
      <w:r w:rsidRPr="00F12F30">
        <w:t xml:space="preserve">How </w:t>
      </w:r>
      <w:r w:rsidR="005E6B00">
        <w:t>p</w:t>
      </w:r>
      <w:r w:rsidRPr="00F12F30">
        <w:t>ension rates are adjusted</w:t>
      </w:r>
      <w:bookmarkEnd w:id="37"/>
      <w:bookmarkEnd w:id="38"/>
      <w:bookmarkEnd w:id="39"/>
      <w:bookmarkEnd w:id="40"/>
    </w:p>
    <w:p w14:paraId="01BEF61E" w14:textId="77777777" w:rsidR="00F03FC3" w:rsidRPr="00F12F30" w:rsidRDefault="00F03FC3" w:rsidP="00F03F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rsidRPr="00F12F30">
        <w:t>The following explanation of pension indexation has been extracted from a guide produced by the Parliamentary Library:</w:t>
      </w:r>
    </w:p>
    <w:p w14:paraId="15F49D57" w14:textId="77777777" w:rsidR="00F03FC3" w:rsidRPr="00F12F30" w:rsidRDefault="00F03FC3" w:rsidP="00F03F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567" w:right="567"/>
        <w:rPr>
          <w:sz w:val="22"/>
        </w:rPr>
      </w:pPr>
      <w:r w:rsidRPr="00F12F30">
        <w:rPr>
          <w:sz w:val="22"/>
        </w:rPr>
        <w:lastRenderedPageBreak/>
        <w:t xml:space="preserve">Currently, pensions (including the Age Pension, Service Pension, Disability Support Pension and Carer Payment) are </w:t>
      </w:r>
      <w:hyperlink r:id="rId57" w:history="1">
        <w:r w:rsidRPr="00F12F30">
          <w:rPr>
            <w:color w:val="0000FF"/>
            <w:sz w:val="22"/>
            <w:u w:val="single"/>
          </w:rPr>
          <w:t>indexed twice each year</w:t>
        </w:r>
      </w:hyperlink>
      <w:r w:rsidRPr="00F12F30">
        <w:rPr>
          <w:sz w:val="22"/>
        </w:rPr>
        <w:t xml:space="preserve"> by the greater of the movement in the </w:t>
      </w:r>
      <w:hyperlink r:id="rId58" w:history="1">
        <w:r w:rsidRPr="00F12F30">
          <w:rPr>
            <w:color w:val="0000FF"/>
            <w:sz w:val="22"/>
            <w:u w:val="single"/>
          </w:rPr>
          <w:t>Consumer Price Index</w:t>
        </w:r>
      </w:hyperlink>
      <w:r w:rsidRPr="00F12F30">
        <w:rPr>
          <w:sz w:val="22"/>
        </w:rPr>
        <w:t xml:space="preserve"> (CPI) or the </w:t>
      </w:r>
      <w:hyperlink r:id="rId59" w:history="1">
        <w:r w:rsidRPr="00F12F30">
          <w:rPr>
            <w:color w:val="0000FF"/>
            <w:sz w:val="22"/>
            <w:u w:val="single"/>
          </w:rPr>
          <w:t>Pensioner and Beneficiary Living Cost Index</w:t>
        </w:r>
      </w:hyperlink>
      <w:r w:rsidRPr="00F12F30">
        <w:rPr>
          <w:sz w:val="22"/>
        </w:rPr>
        <w:t xml:space="preserve"> (</w:t>
      </w:r>
      <w:proofErr w:type="spellStart"/>
      <w:r w:rsidRPr="00F12F30">
        <w:rPr>
          <w:sz w:val="22"/>
        </w:rPr>
        <w:t>PBLCI</w:t>
      </w:r>
      <w:proofErr w:type="spellEnd"/>
      <w:r w:rsidRPr="00F12F30">
        <w:rPr>
          <w:sz w:val="22"/>
        </w:rPr>
        <w:t xml:space="preserve">). They are then ‘benchmarked’ against a percentage of </w:t>
      </w:r>
      <w:hyperlink r:id="rId60" w:history="1">
        <w:r w:rsidRPr="00F12F30">
          <w:rPr>
            <w:color w:val="0000FF"/>
            <w:sz w:val="22"/>
            <w:u w:val="single"/>
          </w:rPr>
          <w:t>Male Total Average Weekly Earnings</w:t>
        </w:r>
      </w:hyperlink>
      <w:r w:rsidRPr="00F12F30">
        <w:rPr>
          <w:sz w:val="22"/>
        </w:rPr>
        <w:t xml:space="preserve"> (</w:t>
      </w:r>
      <w:proofErr w:type="spellStart"/>
      <w:r w:rsidRPr="00F12F30">
        <w:rPr>
          <w:sz w:val="22"/>
        </w:rPr>
        <w:t>MTAWE</w:t>
      </w:r>
      <w:proofErr w:type="spellEnd"/>
      <w:r w:rsidRPr="00F12F30">
        <w:rPr>
          <w:sz w:val="22"/>
        </w:rPr>
        <w:t xml:space="preserve">). The combined couple rate is benchmarked to 41.76% of </w:t>
      </w:r>
      <w:proofErr w:type="spellStart"/>
      <w:r w:rsidRPr="00F12F30">
        <w:rPr>
          <w:sz w:val="22"/>
        </w:rPr>
        <w:t>MTAWE</w:t>
      </w:r>
      <w:proofErr w:type="spellEnd"/>
      <w:r w:rsidRPr="00F12F30">
        <w:rPr>
          <w:sz w:val="22"/>
        </w:rPr>
        <w:t xml:space="preserve">; the single rate of pension is set at 66.33% of the combined couple rate (which is equal to around 27.7% of </w:t>
      </w:r>
      <w:proofErr w:type="spellStart"/>
      <w:r w:rsidRPr="00F12F30">
        <w:rPr>
          <w:sz w:val="22"/>
        </w:rPr>
        <w:t>MTAWE</w:t>
      </w:r>
      <w:proofErr w:type="spellEnd"/>
      <w:r w:rsidRPr="00F12F30">
        <w:rPr>
          <w:sz w:val="22"/>
        </w:rPr>
        <w:t xml:space="preserve">). ‘Benchmarked’ means that after it has been indexed, the combined couple rate is checked to see whether it is equal to or higher than 41.76% of </w:t>
      </w:r>
      <w:proofErr w:type="spellStart"/>
      <w:r w:rsidRPr="00F12F30">
        <w:rPr>
          <w:sz w:val="22"/>
        </w:rPr>
        <w:t>MTAWE</w:t>
      </w:r>
      <w:proofErr w:type="spellEnd"/>
      <w:r w:rsidRPr="00F12F30">
        <w:rPr>
          <w:sz w:val="22"/>
        </w:rPr>
        <w:t>. If the rate is lower than this percentage, the rates are increased to the appropriate benchmark level.</w:t>
      </w:r>
    </w:p>
    <w:p w14:paraId="6444CE2D" w14:textId="77777777" w:rsidR="00F03FC3" w:rsidRDefault="00F03FC3" w:rsidP="00F03F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567" w:right="567"/>
        <w:rPr>
          <w:sz w:val="22"/>
        </w:rPr>
      </w:pPr>
      <w:r w:rsidRPr="00F12F30">
        <w:rPr>
          <w:sz w:val="22"/>
        </w:rPr>
        <w:t xml:space="preserve">The CPI is a measure of changes in the prices paid by households for a fixed basket of goods and services. Indexing pension rates to CPI maintains the real value of pensions over time. The </w:t>
      </w:r>
      <w:proofErr w:type="spellStart"/>
      <w:r w:rsidRPr="00F12F30">
        <w:rPr>
          <w:sz w:val="22"/>
        </w:rPr>
        <w:t>PBLCI</w:t>
      </w:r>
      <w:proofErr w:type="spellEnd"/>
      <w:r w:rsidRPr="00F12F30">
        <w:rPr>
          <w:sz w:val="22"/>
        </w:rPr>
        <w:t xml:space="preserve"> measures the effect of changes in prices of the out-of-pocket living expenses experienced by age pensioner and other households whose main source of income is a government payment. The </w:t>
      </w:r>
      <w:proofErr w:type="spellStart"/>
      <w:r w:rsidRPr="00F12F30">
        <w:rPr>
          <w:sz w:val="22"/>
        </w:rPr>
        <w:t>PBLCI</w:t>
      </w:r>
      <w:proofErr w:type="spellEnd"/>
      <w:r w:rsidRPr="00F12F30">
        <w:rPr>
          <w:sz w:val="22"/>
        </w:rPr>
        <w:t xml:space="preserve"> is designed to check whether their disposable incomes have kept pace with price changes. The </w:t>
      </w:r>
      <w:proofErr w:type="spellStart"/>
      <w:r w:rsidRPr="00F12F30">
        <w:rPr>
          <w:sz w:val="22"/>
        </w:rPr>
        <w:t>MTAWE</w:t>
      </w:r>
      <w:proofErr w:type="spellEnd"/>
      <w:r w:rsidRPr="00F12F30">
        <w:rPr>
          <w:sz w:val="22"/>
        </w:rPr>
        <w:t xml:space="preserve"> benchmark is not intended to maintain the value of the pension relative to costs; it is seen as ensuring pensioners maintain a certain standard of living, relative to the rest of the population.</w:t>
      </w:r>
      <w:r w:rsidRPr="00F12F30">
        <w:rPr>
          <w:vertAlign w:val="superscript"/>
        </w:rPr>
        <w:footnoteReference w:id="52"/>
      </w:r>
    </w:p>
    <w:p w14:paraId="358F3953" w14:textId="77777777" w:rsidR="00F03FC3" w:rsidRPr="00972BBB" w:rsidRDefault="00F03FC3" w:rsidP="007557A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p>
    <w:p w14:paraId="7C77FFD7" w14:textId="77777777" w:rsidR="00AE100C" w:rsidRPr="00CA7855" w:rsidRDefault="00AE100C" w:rsidP="002C4E3A">
      <w:pPr>
        <w:pStyle w:val="BodyText"/>
      </w:pPr>
    </w:p>
    <w:p w14:paraId="3FCE8FBB" w14:textId="77777777" w:rsidR="003F3AC3" w:rsidRPr="00CA7855" w:rsidRDefault="003F3AC3" w:rsidP="003F3AC3">
      <w:pPr>
        <w:pStyle w:val="BodyText"/>
      </w:pPr>
    </w:p>
    <w:p w14:paraId="58A1DBE4" w14:textId="77777777" w:rsidR="008779E9" w:rsidRPr="00CA7855" w:rsidRDefault="00646435" w:rsidP="00112D70">
      <w:pPr>
        <w:pStyle w:val="BodyText"/>
        <w:rPr>
          <w:lang w:eastAsia="en-AU"/>
        </w:rPr>
      </w:pPr>
      <w:r w:rsidRPr="00CA7855">
        <w:rPr>
          <w:lang w:eastAsia="en-AU"/>
        </w:rPr>
        <w:t xml:space="preserve"> </w:t>
      </w:r>
    </w:p>
    <w:p w14:paraId="7FCD7A77" w14:textId="77777777" w:rsidR="00112D70" w:rsidRPr="00CA7855" w:rsidRDefault="00112D70" w:rsidP="00112D70">
      <w:pPr>
        <w:pStyle w:val="BodyText"/>
        <w:rPr>
          <w:lang w:eastAsia="en-AU"/>
        </w:rPr>
      </w:pPr>
    </w:p>
    <w:sectPr w:rsidR="00112D70" w:rsidRPr="00CA7855" w:rsidSect="002C4E3A">
      <w:footerReference w:type="even" r:id="rId61"/>
      <w:footerReference w:type="default" r:id="rId62"/>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6A2C0" w14:textId="77777777" w:rsidR="00ED2710" w:rsidRDefault="00ED2710">
      <w:r>
        <w:separator/>
      </w:r>
    </w:p>
  </w:endnote>
  <w:endnote w:type="continuationSeparator" w:id="0">
    <w:p w14:paraId="58DF2F9A" w14:textId="77777777" w:rsidR="00ED2710" w:rsidRDefault="00ED2710">
      <w:r>
        <w:continuationSeparator/>
      </w:r>
    </w:p>
  </w:endnote>
  <w:endnote w:type="continuationNotice" w:id="1">
    <w:p w14:paraId="6B0168EE" w14:textId="77777777" w:rsidR="00ED2710" w:rsidRDefault="00ED27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AAB9" w14:textId="77777777" w:rsidR="00F30767" w:rsidRDefault="00F30767"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257F27" w14:textId="77777777" w:rsidR="00F30767" w:rsidRDefault="00F307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85CB" w14:textId="77777777" w:rsidR="00F30767" w:rsidRDefault="00F30767"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2F3E">
      <w:rPr>
        <w:rStyle w:val="PageNumber"/>
        <w:noProof/>
      </w:rPr>
      <w:t>6</w:t>
    </w:r>
    <w:r>
      <w:rPr>
        <w:rStyle w:val="PageNumber"/>
      </w:rPr>
      <w:fldChar w:fldCharType="end"/>
    </w:r>
  </w:p>
  <w:p w14:paraId="4C0EA0A0" w14:textId="77777777" w:rsidR="00F30767" w:rsidRDefault="00F30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A6FDB" w14:textId="77777777" w:rsidR="00ED2710" w:rsidRDefault="00ED2710">
      <w:r>
        <w:separator/>
      </w:r>
    </w:p>
  </w:footnote>
  <w:footnote w:type="continuationSeparator" w:id="0">
    <w:p w14:paraId="7992A839" w14:textId="77777777" w:rsidR="00ED2710" w:rsidRDefault="00ED2710">
      <w:r>
        <w:continuationSeparator/>
      </w:r>
    </w:p>
  </w:footnote>
  <w:footnote w:type="continuationNotice" w:id="1">
    <w:p w14:paraId="37EEB7E8" w14:textId="77777777" w:rsidR="00ED2710" w:rsidRDefault="00ED2710"/>
  </w:footnote>
  <w:footnote w:id="2">
    <w:p w14:paraId="5D848081" w14:textId="0289CA8E" w:rsidR="00633E1B" w:rsidRDefault="00633E1B">
      <w:pPr>
        <w:pStyle w:val="FootnoteText"/>
      </w:pPr>
      <w:r w:rsidRPr="00A514BD">
        <w:footnoteRef/>
      </w:r>
      <w:r>
        <w:t xml:space="preserve"> </w:t>
      </w:r>
      <w:r w:rsidR="00A514BD">
        <w:tab/>
      </w:r>
      <w:r>
        <w:t xml:space="preserve">ABS, </w:t>
      </w:r>
      <w:hyperlink r:id="rId1" w:history="1">
        <w:r w:rsidRPr="008A4CEA">
          <w:rPr>
            <w:rStyle w:val="Hyperlink"/>
            <w:i/>
          </w:rPr>
          <w:t>CPI rose 2.1% in the March 2022 quarter</w:t>
        </w:r>
      </w:hyperlink>
      <w:r w:rsidR="008A4CEA">
        <w:t xml:space="preserve"> [media release],</w:t>
      </w:r>
      <w:r>
        <w:t xml:space="preserve"> ABS, Canberra, </w:t>
      </w:r>
      <w:r w:rsidR="002E5900">
        <w:t>27 April 2022, accessed 28 April 2022.</w:t>
      </w:r>
    </w:p>
  </w:footnote>
  <w:footnote w:id="3">
    <w:p w14:paraId="43334513" w14:textId="11A1A99E" w:rsidR="0040634F" w:rsidRDefault="0040634F">
      <w:pPr>
        <w:pStyle w:val="FootnoteText"/>
      </w:pPr>
      <w:r w:rsidRPr="005C4D80">
        <w:footnoteRef/>
      </w:r>
      <w:r w:rsidRPr="005C4D80">
        <w:t xml:space="preserve"> </w:t>
      </w:r>
      <w:r w:rsidR="005C4D80">
        <w:tab/>
      </w:r>
      <w:r>
        <w:t xml:space="preserve">Reserve Bank of Australia, </w:t>
      </w:r>
      <w:hyperlink r:id="rId2" w:history="1">
        <w:r w:rsidR="00B2681F" w:rsidRPr="008A4CEA">
          <w:rPr>
            <w:rStyle w:val="Hyperlink"/>
            <w:i/>
            <w:iCs/>
          </w:rPr>
          <w:t>Statement by Philip Lowe, Governor: Monetary Policy Decision</w:t>
        </w:r>
      </w:hyperlink>
      <w:r w:rsidR="001362B7">
        <w:t xml:space="preserve"> [media release]</w:t>
      </w:r>
      <w:r w:rsidR="008A4CEA">
        <w:t>,</w:t>
      </w:r>
      <w:r w:rsidR="00B2681F">
        <w:t xml:space="preserve"> RBA, 3 May 2022, accessed 4 May 2022.</w:t>
      </w:r>
    </w:p>
  </w:footnote>
  <w:footnote w:id="4">
    <w:p w14:paraId="35D4AE2C" w14:textId="3D6B2D67" w:rsidR="00540178" w:rsidRDefault="00540178" w:rsidP="00540178">
      <w:pPr>
        <w:pStyle w:val="FootnoteText"/>
      </w:pPr>
      <w:r w:rsidRPr="00A15831">
        <w:footnoteRef/>
      </w:r>
      <w:r>
        <w:t xml:space="preserve"> </w:t>
      </w:r>
      <w:r w:rsidR="00A15831">
        <w:tab/>
      </w:r>
      <w:r>
        <w:t xml:space="preserve">ACOSS/UNSW Poverty and Inequality Partnership, </w:t>
      </w:r>
      <w:hyperlink r:id="rId3" w:history="1">
        <w:r w:rsidRPr="00540178">
          <w:rPr>
            <w:rStyle w:val="Hyperlink"/>
            <w:i/>
            <w:iCs/>
          </w:rPr>
          <w:t>COVID, inequality and poverty in 2020 &amp; 2021: how poverty &amp; inequality were reduced in the COVID recession and increased during the recovery</w:t>
        </w:r>
        <w:r w:rsidR="00060660">
          <w:rPr>
            <w:rStyle w:val="Hyperlink"/>
            <w:i/>
            <w:iCs/>
          </w:rPr>
          <w:t xml:space="preserve"> </w:t>
        </w:r>
        <w:r w:rsidR="00E05458" w:rsidRPr="00E05458">
          <w:rPr>
            <w:rStyle w:val="Hyperlink"/>
          </w:rPr>
          <w:t>[PDF]</w:t>
        </w:r>
      </w:hyperlink>
      <w:r>
        <w:t>, Build back fairer series, report no. 3, ACOSS, Sydney, March 2022, accessed 28 April 2022.</w:t>
      </w:r>
    </w:p>
  </w:footnote>
  <w:footnote w:id="5">
    <w:p w14:paraId="6BB12A9B" w14:textId="23DC8489" w:rsidR="005017D9" w:rsidRDefault="005017D9">
      <w:pPr>
        <w:pStyle w:val="FootnoteText"/>
      </w:pPr>
      <w:r w:rsidRPr="002F78C6">
        <w:footnoteRef/>
      </w:r>
      <w:r>
        <w:t xml:space="preserve"> </w:t>
      </w:r>
      <w:r w:rsidR="002F78C6">
        <w:tab/>
      </w:r>
      <w:r>
        <w:t xml:space="preserve">ACTCOSS, </w:t>
      </w:r>
      <w:hyperlink r:id="rId4" w:history="1">
        <w:r w:rsidRPr="00E974AC">
          <w:rPr>
            <w:rStyle w:val="Hyperlink"/>
            <w:i/>
            <w:iCs/>
          </w:rPr>
          <w:t>2021 ACT Cost of Living Report</w:t>
        </w:r>
      </w:hyperlink>
      <w:r>
        <w:t xml:space="preserve">, ACTCOSS, Canberra, </w:t>
      </w:r>
      <w:r w:rsidR="00C87657">
        <w:t>August 2021, accessed 28 April 2022.</w:t>
      </w:r>
    </w:p>
  </w:footnote>
  <w:footnote w:id="6">
    <w:p w14:paraId="6E3936CB" w14:textId="54340EE3" w:rsidR="00412978" w:rsidRDefault="00412978">
      <w:pPr>
        <w:pStyle w:val="FootnoteText"/>
      </w:pPr>
      <w:r w:rsidRPr="003D0A6E">
        <w:footnoteRef/>
      </w:r>
      <w:r>
        <w:t xml:space="preserve"> </w:t>
      </w:r>
      <w:r w:rsidR="003D0A6E">
        <w:tab/>
      </w:r>
      <w:r>
        <w:t xml:space="preserve">ACTCOSS, </w:t>
      </w:r>
      <w:hyperlink r:id="rId5" w:history="1">
        <w:r w:rsidR="0034310D" w:rsidRPr="00746B6C">
          <w:rPr>
            <w:rStyle w:val="Hyperlink"/>
            <w:i/>
            <w:iCs/>
          </w:rPr>
          <w:t>Factsheet: Poverty and COVID-19 in the ACT</w:t>
        </w:r>
      </w:hyperlink>
      <w:r w:rsidR="0034310D">
        <w:t xml:space="preserve">, ACTCOSS, Canberra, October 2021, accessed </w:t>
      </w:r>
      <w:r w:rsidR="00AD3516">
        <w:t>2 May 2022.</w:t>
      </w:r>
    </w:p>
  </w:footnote>
  <w:footnote w:id="7">
    <w:p w14:paraId="55C64541" w14:textId="077F6920" w:rsidR="00F1311F" w:rsidRDefault="00F1311F" w:rsidP="00C825CE">
      <w:pPr>
        <w:pStyle w:val="FootnoteText"/>
      </w:pPr>
      <w:r w:rsidRPr="003D0A6E">
        <w:footnoteRef/>
      </w:r>
      <w:r>
        <w:t xml:space="preserve"> </w:t>
      </w:r>
      <w:r w:rsidR="003D0A6E">
        <w:tab/>
      </w:r>
      <w:r w:rsidR="007E2667">
        <w:t>Th</w:t>
      </w:r>
      <w:r w:rsidR="003D0A6E">
        <w:t>e</w:t>
      </w:r>
      <w:r w:rsidR="007E2667">
        <w:t xml:space="preserve"> </w:t>
      </w:r>
      <w:r w:rsidR="00135F97">
        <w:t>poverty line</w:t>
      </w:r>
      <w:r w:rsidR="009D55B7">
        <w:t>s</w:t>
      </w:r>
      <w:r w:rsidR="00135F97">
        <w:t xml:space="preserve"> used in this report </w:t>
      </w:r>
      <w:r w:rsidR="009D55B7">
        <w:t xml:space="preserve">follow the 50% of </w:t>
      </w:r>
      <w:r w:rsidR="009D55B7" w:rsidRPr="006222CE">
        <w:t>media</w:t>
      </w:r>
      <w:r w:rsidR="006222CE" w:rsidRPr="006222CE">
        <w:t>n</w:t>
      </w:r>
      <w:r w:rsidR="009D55B7">
        <w:t xml:space="preserve"> income</w:t>
      </w:r>
      <w:r w:rsidR="006222CE">
        <w:t xml:space="preserve"> </w:t>
      </w:r>
      <w:r w:rsidR="006222CE" w:rsidRPr="003C737E">
        <w:t>(</w:t>
      </w:r>
      <w:r w:rsidR="009D55B7">
        <w:t>before housing costs</w:t>
      </w:r>
      <w:r w:rsidR="003C737E" w:rsidRPr="003C737E">
        <w:t>)</w:t>
      </w:r>
      <w:r w:rsidR="009D55B7">
        <w:t xml:space="preserve"> poverty lines by family type </w:t>
      </w:r>
      <w:r w:rsidR="00E905A7">
        <w:t>from</w:t>
      </w:r>
      <w:r w:rsidR="003C737E">
        <w:t>:</w:t>
      </w:r>
      <w:r w:rsidR="00E905A7">
        <w:t xml:space="preserve"> </w:t>
      </w:r>
      <w:r w:rsidR="00C825CE">
        <w:t xml:space="preserve">P Davidson, B Bradbury, T Hill &amp; M Wong, </w:t>
      </w:r>
      <w:hyperlink r:id="rId6" w:history="1">
        <w:r w:rsidR="00C825CE" w:rsidRPr="00746B6C">
          <w:rPr>
            <w:rStyle w:val="Hyperlink"/>
            <w:i/>
            <w:iCs/>
          </w:rPr>
          <w:t>Poverty in Australia 2020: Part 1, Overview</w:t>
        </w:r>
        <w:r w:rsidR="00E05458">
          <w:rPr>
            <w:rStyle w:val="Hyperlink"/>
            <w:i/>
            <w:iCs/>
          </w:rPr>
          <w:t xml:space="preserve"> </w:t>
        </w:r>
        <w:r w:rsidR="00E05458">
          <w:rPr>
            <w:rStyle w:val="Hyperlink"/>
          </w:rPr>
          <w:t>[PDF]</w:t>
        </w:r>
      </w:hyperlink>
      <w:r w:rsidR="00804CF1">
        <w:t xml:space="preserve">, </w:t>
      </w:r>
      <w:r w:rsidR="00C825CE">
        <w:t xml:space="preserve">ACOSS/UNSW Poverty and Inequality Partnership Report No. 3, </w:t>
      </w:r>
      <w:r w:rsidR="00804CF1">
        <w:t>ACOSS, Sydney, 2020, accessed 2 May 2022.</w:t>
      </w:r>
    </w:p>
  </w:footnote>
  <w:footnote w:id="8">
    <w:p w14:paraId="49156C7C" w14:textId="6082E13B" w:rsidR="00273BEC" w:rsidRDefault="00273BEC">
      <w:pPr>
        <w:pStyle w:val="FootnoteText"/>
      </w:pPr>
      <w:r w:rsidRPr="009E2303">
        <w:footnoteRef/>
      </w:r>
      <w:r w:rsidRPr="009E2303">
        <w:t xml:space="preserve"> </w:t>
      </w:r>
      <w:r w:rsidR="009E2303">
        <w:tab/>
      </w:r>
      <w:r>
        <w:t xml:space="preserve">ACTCOSS, </w:t>
      </w:r>
      <w:hyperlink r:id="rId7" w:history="1">
        <w:r w:rsidR="00CA24BC" w:rsidRPr="00403F9D">
          <w:rPr>
            <w:rStyle w:val="Hyperlink"/>
            <w:i/>
            <w:iCs/>
          </w:rPr>
          <w:t>2021 ACT community sector demand snapshot</w:t>
        </w:r>
      </w:hyperlink>
      <w:r w:rsidR="00CA24BC">
        <w:t>, ACTCOSS, 2021, accessed 2 May 2022.</w:t>
      </w:r>
    </w:p>
  </w:footnote>
  <w:footnote w:id="9">
    <w:p w14:paraId="0B9249AF" w14:textId="047FE517" w:rsidR="00085C8B" w:rsidRDefault="00085C8B">
      <w:pPr>
        <w:pStyle w:val="FootnoteText"/>
      </w:pPr>
      <w:r w:rsidRPr="00821AA3">
        <w:footnoteRef/>
      </w:r>
      <w:r w:rsidRPr="00821AA3">
        <w:t xml:space="preserve"> </w:t>
      </w:r>
      <w:r w:rsidR="00821AA3">
        <w:tab/>
      </w:r>
      <w:r>
        <w:t xml:space="preserve">ACTCOSS, </w:t>
      </w:r>
      <w:r w:rsidR="006F6A49" w:rsidRPr="006F6A49">
        <w:rPr>
          <w:i/>
          <w:iCs/>
        </w:rPr>
        <w:t>ACTCOSS ACT Budget Priorities 2022-23</w:t>
      </w:r>
      <w:r w:rsidR="006F6A49">
        <w:t>, ACTCOSS, Canberra, forthcoming.</w:t>
      </w:r>
    </w:p>
  </w:footnote>
  <w:footnote w:id="10">
    <w:p w14:paraId="2934062B" w14:textId="1942A9AC" w:rsidR="00464BD6" w:rsidRDefault="00464BD6">
      <w:pPr>
        <w:pStyle w:val="FootnoteText"/>
      </w:pPr>
      <w:r w:rsidRPr="00821AA3">
        <w:footnoteRef/>
      </w:r>
      <w:r w:rsidRPr="00821AA3">
        <w:t xml:space="preserve"> </w:t>
      </w:r>
      <w:r w:rsidR="00821AA3">
        <w:tab/>
      </w:r>
      <w:r w:rsidR="008341E9">
        <w:t xml:space="preserve">ACTCOSS, </w:t>
      </w:r>
      <w:hyperlink r:id="rId8" w:history="1">
        <w:r w:rsidR="00E15170" w:rsidRPr="00406193">
          <w:rPr>
            <w:rStyle w:val="Hyperlink"/>
            <w:i/>
            <w:iCs/>
          </w:rPr>
          <w:t>ACTCOSS Federal Election Priorities 2022</w:t>
        </w:r>
      </w:hyperlink>
      <w:r w:rsidR="00E15170">
        <w:t>, ACTCOSS, Canberra, 2022, accessed 2 May 2022</w:t>
      </w:r>
      <w:r w:rsidR="00406193">
        <w:t xml:space="preserve">; ACOSS, </w:t>
      </w:r>
      <w:hyperlink r:id="rId9" w:history="1">
        <w:r w:rsidR="0071313E" w:rsidRPr="00831AB9">
          <w:rPr>
            <w:rStyle w:val="Hyperlink"/>
            <w:i/>
            <w:iCs/>
          </w:rPr>
          <w:t>Federal Election 2022 – Forging a resilient and brighter future</w:t>
        </w:r>
      </w:hyperlink>
      <w:r w:rsidR="0071313E">
        <w:t>, ACOSS website,</w:t>
      </w:r>
      <w:r w:rsidR="0041528E">
        <w:t xml:space="preserve"> n.d.,</w:t>
      </w:r>
      <w:r w:rsidR="0071313E">
        <w:t xml:space="preserve"> a</w:t>
      </w:r>
      <w:r w:rsidR="00C40FBA">
        <w:t>ccessed 2 May 2022.</w:t>
      </w:r>
    </w:p>
  </w:footnote>
  <w:footnote w:id="11">
    <w:p w14:paraId="26C4D658" w14:textId="664E289F" w:rsidR="00642E8B" w:rsidRDefault="00642E8B">
      <w:pPr>
        <w:pStyle w:val="FootnoteText"/>
      </w:pPr>
      <w:r w:rsidRPr="00A637C0">
        <w:footnoteRef/>
      </w:r>
      <w:r w:rsidRPr="00A637C0">
        <w:t xml:space="preserve"> </w:t>
      </w:r>
      <w:r w:rsidR="006B432D">
        <w:tab/>
      </w:r>
      <w:r>
        <w:t xml:space="preserve">Low-income households are </w:t>
      </w:r>
      <w:r w:rsidRPr="00642E8B">
        <w:t xml:space="preserve">generally defined as those in the </w:t>
      </w:r>
      <w:r w:rsidR="006A4467" w:rsidRPr="00642E8B">
        <w:t>first- and second-income</w:t>
      </w:r>
      <w:r w:rsidRPr="00642E8B">
        <w:t xml:space="preserve"> quintiles, or the bottom 40% of the income distribution</w:t>
      </w:r>
      <w:r>
        <w:t>.</w:t>
      </w:r>
    </w:p>
  </w:footnote>
  <w:footnote w:id="12">
    <w:p w14:paraId="61E02697" w14:textId="0DD842AA" w:rsidR="006C5954" w:rsidRDefault="006C5954">
      <w:pPr>
        <w:pStyle w:val="FootnoteText"/>
      </w:pPr>
      <w:r w:rsidRPr="008338CF">
        <w:footnoteRef/>
      </w:r>
      <w:r>
        <w:t xml:space="preserve"> </w:t>
      </w:r>
      <w:r w:rsidR="008338CF">
        <w:tab/>
      </w:r>
      <w:r w:rsidR="00E94C76">
        <w:t xml:space="preserve">ABS, </w:t>
      </w:r>
      <w:hyperlink r:id="rId10" w:anchor="capital-cities-comparison" w:history="1">
        <w:r w:rsidR="00E94C76" w:rsidRPr="001F59CD">
          <w:rPr>
            <w:rStyle w:val="Hyperlink"/>
            <w:i/>
            <w:iCs/>
          </w:rPr>
          <w:t>Consumer Price Index, Australia</w:t>
        </w:r>
      </w:hyperlink>
      <w:r w:rsidR="00C91E21">
        <w:t xml:space="preserve">, March 2022, Capital cities comparison, Canberra, ABS website, </w:t>
      </w:r>
      <w:r w:rsidR="00956E42">
        <w:t xml:space="preserve">27 April 2022, </w:t>
      </w:r>
      <w:r w:rsidR="00C91E21">
        <w:t>accessed</w:t>
      </w:r>
      <w:r w:rsidR="00956E42">
        <w:t xml:space="preserve"> 2 May 2022.</w:t>
      </w:r>
    </w:p>
  </w:footnote>
  <w:footnote w:id="13">
    <w:p w14:paraId="62615A1A" w14:textId="3FB5FC7E" w:rsidR="007469BD" w:rsidRDefault="007469BD">
      <w:pPr>
        <w:pStyle w:val="FootnoteText"/>
      </w:pPr>
      <w:r w:rsidRPr="007626D9">
        <w:footnoteRef/>
      </w:r>
      <w:r>
        <w:t xml:space="preserve"> </w:t>
      </w:r>
      <w:r w:rsidR="007626D9">
        <w:tab/>
      </w:r>
      <w:r w:rsidR="004006BE">
        <w:t xml:space="preserve">ACT Government, </w:t>
      </w:r>
      <w:hyperlink r:id="rId11" w:history="1">
        <w:r w:rsidR="0070101E" w:rsidRPr="00CE5BFB">
          <w:rPr>
            <w:rStyle w:val="Hyperlink"/>
            <w:i/>
            <w:iCs/>
          </w:rPr>
          <w:t>ACT Sustainable Energy Policy 2020-25 Discussion Paper</w:t>
        </w:r>
      </w:hyperlink>
      <w:r w:rsidR="005B28AA">
        <w:t>, Environment, Planning and Susta</w:t>
      </w:r>
      <w:r w:rsidR="007472D0">
        <w:t xml:space="preserve">inable Development Directorate, </w:t>
      </w:r>
      <w:r w:rsidR="001E0AE9">
        <w:t>Canberra, 2019, accessed 2 May 2022.</w:t>
      </w:r>
    </w:p>
  </w:footnote>
  <w:footnote w:id="14">
    <w:p w14:paraId="1A1BDF25" w14:textId="07CD0342" w:rsidR="00523BF2" w:rsidRPr="006320B6" w:rsidRDefault="00523BF2" w:rsidP="00523BF2">
      <w:pPr>
        <w:pStyle w:val="FootnoteText"/>
        <w:rPr>
          <w:lang w:val="en-US"/>
        </w:rPr>
      </w:pPr>
      <w:r w:rsidRPr="00F37994">
        <w:footnoteRef/>
      </w:r>
      <w:r w:rsidRPr="00F37994">
        <w:t xml:space="preserve"> </w:t>
      </w:r>
      <w:r>
        <w:tab/>
      </w:r>
      <w:r w:rsidRPr="00371927">
        <w:rPr>
          <w:lang w:val="en-US"/>
        </w:rPr>
        <w:t xml:space="preserve">ACTCOSS, </w:t>
      </w:r>
      <w:hyperlink r:id="rId12" w:history="1">
        <w:r w:rsidRPr="00F56493">
          <w:rPr>
            <w:rStyle w:val="Hyperlink"/>
            <w:i/>
            <w:lang w:val="en-US"/>
          </w:rPr>
          <w:t>Full data report: ACT cost of living report: transport</w:t>
        </w:r>
      </w:hyperlink>
      <w:r w:rsidRPr="00371927">
        <w:rPr>
          <w:lang w:val="en-US"/>
        </w:rPr>
        <w:t xml:space="preserve">, ACTCOSS, Canberra, April 2016, </w:t>
      </w:r>
      <w:r w:rsidR="00F56493">
        <w:rPr>
          <w:lang w:val="en-US"/>
        </w:rPr>
        <w:t>p. 48, accessed 28 April 2022</w:t>
      </w:r>
      <w:r w:rsidRPr="00371927">
        <w:rPr>
          <w:lang w:val="en-US"/>
        </w:rPr>
        <w:t xml:space="preserve">.  </w:t>
      </w:r>
    </w:p>
  </w:footnote>
  <w:footnote w:id="15">
    <w:p w14:paraId="1CF31B88" w14:textId="0CDFB298" w:rsidR="00745012" w:rsidRDefault="00745012">
      <w:pPr>
        <w:pStyle w:val="FootnoteText"/>
      </w:pPr>
      <w:r w:rsidRPr="00565A57">
        <w:footnoteRef/>
      </w:r>
      <w:r>
        <w:t xml:space="preserve"> </w:t>
      </w:r>
      <w:r w:rsidR="00565A57">
        <w:tab/>
      </w:r>
      <w:r w:rsidR="00BF3847" w:rsidRPr="00BF3847">
        <w:t xml:space="preserve">ACTCOSS, </w:t>
      </w:r>
      <w:hyperlink r:id="rId13" w:history="1">
        <w:r w:rsidR="00BF3847" w:rsidRPr="00AD27D1">
          <w:rPr>
            <w:rStyle w:val="Hyperlink"/>
            <w:i/>
            <w:iCs/>
          </w:rPr>
          <w:t>Snapshot: ACT cost of living report: transport</w:t>
        </w:r>
      </w:hyperlink>
      <w:r w:rsidR="00BF3847" w:rsidRPr="00BF3847">
        <w:t>, ACTCOSS, Canberra, April 2016, pp. 4-5</w:t>
      </w:r>
      <w:r w:rsidR="00BF3847">
        <w:t>, accessed 28 April 2022.</w:t>
      </w:r>
    </w:p>
  </w:footnote>
  <w:footnote w:id="16">
    <w:p w14:paraId="3EFE07BB" w14:textId="052BB7FD" w:rsidR="007A49C9" w:rsidRDefault="007A49C9">
      <w:pPr>
        <w:pStyle w:val="FootnoteText"/>
      </w:pPr>
      <w:r w:rsidRPr="001E7B53">
        <w:footnoteRef/>
      </w:r>
      <w:r>
        <w:t xml:space="preserve"> </w:t>
      </w:r>
      <w:r w:rsidR="001E7B53">
        <w:tab/>
      </w:r>
      <w:r w:rsidR="00651E3F">
        <w:t xml:space="preserve">ACTCOSS, </w:t>
      </w:r>
      <w:hyperlink r:id="rId14" w:history="1">
        <w:r w:rsidR="00651E3F" w:rsidRPr="00AB215F">
          <w:rPr>
            <w:rStyle w:val="Hyperlink"/>
            <w:i/>
            <w:iCs/>
          </w:rPr>
          <w:t>ACTCOSS ACT Budget Priorities 2021-22</w:t>
        </w:r>
      </w:hyperlink>
      <w:r w:rsidR="006F0E82">
        <w:t>, ACTCOSS, Canberra, June 2021, p</w:t>
      </w:r>
      <w:r w:rsidR="00AB215F">
        <w:t>. 35, accessed 28 April 2022.</w:t>
      </w:r>
    </w:p>
  </w:footnote>
  <w:footnote w:id="17">
    <w:p w14:paraId="3164C819" w14:textId="011BF4BE" w:rsidR="00EA2AC5" w:rsidRDefault="00EA2AC5" w:rsidP="00EA2AC5">
      <w:pPr>
        <w:pStyle w:val="FootnoteText"/>
      </w:pPr>
      <w:r w:rsidRPr="00854B2A">
        <w:footnoteRef/>
      </w:r>
      <w:r>
        <w:t xml:space="preserve"> </w:t>
      </w:r>
      <w:r w:rsidR="00854B2A">
        <w:tab/>
      </w:r>
      <w:r>
        <w:t xml:space="preserve">Y Vidyattama, D Sinclair, J Schirmer &amp; R Tanton, </w:t>
      </w:r>
      <w:hyperlink r:id="rId15" w:history="1">
        <w:r w:rsidRPr="002A7073">
          <w:rPr>
            <w:rStyle w:val="Hyperlink"/>
          </w:rPr>
          <w:t>‘What would it take to get Australians to buy electric cars? Canberra provides a guide’</w:t>
        </w:r>
      </w:hyperlink>
      <w:r>
        <w:t xml:space="preserve">, </w:t>
      </w:r>
      <w:r w:rsidRPr="00940311">
        <w:rPr>
          <w:i/>
          <w:iCs/>
        </w:rPr>
        <w:t>The Conversation</w:t>
      </w:r>
      <w:r>
        <w:t>, 8 April 2022, accessed 28 April 2022.</w:t>
      </w:r>
    </w:p>
  </w:footnote>
  <w:footnote w:id="18">
    <w:p w14:paraId="7472708D" w14:textId="2888BB12" w:rsidR="001E0249" w:rsidRDefault="001E0249">
      <w:pPr>
        <w:pStyle w:val="FootnoteText"/>
      </w:pPr>
      <w:r w:rsidRPr="00854B2A">
        <w:footnoteRef/>
      </w:r>
      <w:r>
        <w:t xml:space="preserve"> </w:t>
      </w:r>
      <w:r w:rsidR="00854B2A">
        <w:tab/>
      </w:r>
      <w:r w:rsidR="00B43C31" w:rsidRPr="00B43C31">
        <w:t xml:space="preserve">Independent Competition and Regulatory Commission (ICRC), </w:t>
      </w:r>
      <w:hyperlink r:id="rId16" w:history="1">
        <w:r w:rsidR="00B43C31" w:rsidRPr="00475AC3">
          <w:rPr>
            <w:rStyle w:val="Hyperlink"/>
            <w:i/>
            <w:iCs/>
          </w:rPr>
          <w:t>Retail electricity price recalibration 2021–22: standing offer prices for the supply of electricity to small customers</w:t>
        </w:r>
      </w:hyperlink>
      <w:r w:rsidR="00B43C31" w:rsidRPr="00B43C31">
        <w:t>, Report 11 of 2021, ICRC, 2021, accessed 12 July 2021.</w:t>
      </w:r>
    </w:p>
  </w:footnote>
  <w:footnote w:id="19">
    <w:p w14:paraId="60098FD7" w14:textId="0B0E3B99" w:rsidR="00452856" w:rsidRDefault="00452856">
      <w:pPr>
        <w:pStyle w:val="FootnoteText"/>
      </w:pPr>
      <w:r w:rsidRPr="00854B2A">
        <w:footnoteRef/>
      </w:r>
      <w:r>
        <w:t xml:space="preserve"> </w:t>
      </w:r>
      <w:r w:rsidR="00854B2A">
        <w:tab/>
      </w:r>
      <w:r w:rsidR="00107639" w:rsidRPr="00107639">
        <w:t xml:space="preserve">AER, </w:t>
      </w:r>
      <w:hyperlink r:id="rId17" w:history="1">
        <w:r w:rsidR="00107639" w:rsidRPr="00FB2AC0">
          <w:rPr>
            <w:rStyle w:val="Hyperlink"/>
            <w:i/>
            <w:iCs/>
          </w:rPr>
          <w:t>State of the Energy Market 2021</w:t>
        </w:r>
      </w:hyperlink>
      <w:r w:rsidR="00107639" w:rsidRPr="00107639">
        <w:t>, AER, Canberra, 2021, p</w:t>
      </w:r>
      <w:r w:rsidR="00F50637">
        <w:t>.</w:t>
      </w:r>
      <w:r w:rsidR="00107639" w:rsidRPr="00107639">
        <w:t xml:space="preserve"> 270, accessed 12 July 2021.</w:t>
      </w:r>
    </w:p>
  </w:footnote>
  <w:footnote w:id="20">
    <w:p w14:paraId="0C9BBFC2" w14:textId="28038604" w:rsidR="00CF7E32" w:rsidRDefault="00CF7E32">
      <w:pPr>
        <w:pStyle w:val="FootnoteText"/>
      </w:pPr>
      <w:r w:rsidRPr="00F50637">
        <w:footnoteRef/>
      </w:r>
      <w:r>
        <w:t xml:space="preserve"> </w:t>
      </w:r>
      <w:r w:rsidR="00F50637">
        <w:tab/>
      </w:r>
      <w:r>
        <w:t>AEM</w:t>
      </w:r>
      <w:r w:rsidR="00904820">
        <w:t>O</w:t>
      </w:r>
      <w:r>
        <w:t xml:space="preserve">, </w:t>
      </w:r>
      <w:hyperlink r:id="rId18" w:history="1">
        <w:r w:rsidR="00904820" w:rsidRPr="00F50637">
          <w:rPr>
            <w:rStyle w:val="Hyperlink"/>
            <w:i/>
          </w:rPr>
          <w:t>Electricity prices driven by outages and higher generation costs in volatile March quarter</w:t>
        </w:r>
      </w:hyperlink>
      <w:r w:rsidR="00F50637">
        <w:t xml:space="preserve"> [media release],</w:t>
      </w:r>
      <w:r w:rsidR="00904820">
        <w:t xml:space="preserve"> AEMO website, 29 April 2022, accessed 2 May 2022.</w:t>
      </w:r>
    </w:p>
  </w:footnote>
  <w:footnote w:id="21">
    <w:p w14:paraId="61F234FB" w14:textId="0446ECB0" w:rsidR="006C2E01" w:rsidRDefault="006C2E01">
      <w:pPr>
        <w:pStyle w:val="FootnoteText"/>
      </w:pPr>
      <w:r w:rsidRPr="00E548E4">
        <w:footnoteRef/>
      </w:r>
      <w:r>
        <w:t xml:space="preserve"> </w:t>
      </w:r>
      <w:r w:rsidR="00E548E4">
        <w:tab/>
      </w:r>
      <w:r w:rsidR="00E36242">
        <w:t xml:space="preserve">ACT Government, </w:t>
      </w:r>
      <w:hyperlink r:id="rId19" w:history="1">
        <w:r w:rsidR="00E36242" w:rsidRPr="009275E8">
          <w:rPr>
            <w:rStyle w:val="Hyperlink"/>
            <w:i/>
            <w:iCs/>
          </w:rPr>
          <w:t>Parliamentary and Governing Agreement</w:t>
        </w:r>
        <w:r w:rsidR="00BB0CF5" w:rsidRPr="009275E8">
          <w:rPr>
            <w:rStyle w:val="Hyperlink"/>
            <w:i/>
            <w:iCs/>
          </w:rPr>
          <w:t xml:space="preserve"> – 10</w:t>
        </w:r>
        <w:r w:rsidR="00BB0CF5" w:rsidRPr="009275E8">
          <w:rPr>
            <w:rStyle w:val="Hyperlink"/>
            <w:i/>
            <w:iCs/>
            <w:vertAlign w:val="superscript"/>
          </w:rPr>
          <w:t>th</w:t>
        </w:r>
        <w:r w:rsidR="00BB0CF5" w:rsidRPr="009275E8">
          <w:rPr>
            <w:rStyle w:val="Hyperlink"/>
            <w:i/>
            <w:iCs/>
          </w:rPr>
          <w:t xml:space="preserve"> Legislative Assembly for the Australian Capital Territory</w:t>
        </w:r>
        <w:r w:rsidR="00E05458">
          <w:rPr>
            <w:rStyle w:val="Hyperlink"/>
            <w:i/>
            <w:iCs/>
          </w:rPr>
          <w:t xml:space="preserve"> </w:t>
        </w:r>
        <w:r w:rsidR="00E05458">
          <w:rPr>
            <w:rStyle w:val="Hyperlink"/>
          </w:rPr>
          <w:t>[PDF]</w:t>
        </w:r>
      </w:hyperlink>
      <w:r w:rsidR="00BB0CF5">
        <w:t xml:space="preserve">, ACT Government, </w:t>
      </w:r>
      <w:r w:rsidR="009275E8">
        <w:t>2020, accessed 2 May 2022.</w:t>
      </w:r>
    </w:p>
  </w:footnote>
  <w:footnote w:id="22">
    <w:p w14:paraId="3AA1A8F4" w14:textId="2B30D2E5" w:rsidR="00F06904" w:rsidRDefault="00F06904">
      <w:pPr>
        <w:pStyle w:val="FootnoteText"/>
      </w:pPr>
      <w:r w:rsidRPr="00E548E4">
        <w:footnoteRef/>
      </w:r>
      <w:r>
        <w:t xml:space="preserve"> </w:t>
      </w:r>
      <w:r w:rsidR="00E548E4">
        <w:tab/>
      </w:r>
      <w:r>
        <w:t>ACT Government</w:t>
      </w:r>
      <w:r w:rsidRPr="00747736">
        <w:rPr>
          <w:i/>
          <w:iCs/>
        </w:rPr>
        <w:t xml:space="preserve">, </w:t>
      </w:r>
      <w:hyperlink r:id="rId20" w:history="1">
        <w:r w:rsidR="00747736" w:rsidRPr="0007460E">
          <w:rPr>
            <w:rStyle w:val="Hyperlink"/>
            <w:i/>
            <w:iCs/>
          </w:rPr>
          <w:t>Minimum energy efficiency standards for rental homes in the ACT consultation paper</w:t>
        </w:r>
      </w:hyperlink>
      <w:r w:rsidR="00747736">
        <w:t>, Environment, Planning and Sustainable Development Directorate, Canberra, 2021, accessed 2 May 2022.</w:t>
      </w:r>
    </w:p>
  </w:footnote>
  <w:footnote w:id="23">
    <w:p w14:paraId="0B453139" w14:textId="0B175D22" w:rsidR="00EA3C63" w:rsidRDefault="00EA3C63">
      <w:pPr>
        <w:pStyle w:val="FootnoteText"/>
      </w:pPr>
      <w:r w:rsidRPr="00E548E4">
        <w:footnoteRef/>
      </w:r>
      <w:r>
        <w:t xml:space="preserve"> </w:t>
      </w:r>
      <w:r w:rsidR="00E548E4">
        <w:tab/>
      </w:r>
      <w:r>
        <w:t xml:space="preserve">ACTCOSS, </w:t>
      </w:r>
      <w:hyperlink r:id="rId21" w:history="1">
        <w:r w:rsidR="005C20D3" w:rsidRPr="007A0CA8">
          <w:rPr>
            <w:rStyle w:val="Hyperlink"/>
            <w:i/>
            <w:iCs/>
          </w:rPr>
          <w:t>Submission: Minimum energy efficiency standards for rental homes in the ACT consultation paper</w:t>
        </w:r>
      </w:hyperlink>
      <w:r w:rsidR="005C20D3">
        <w:t>, ACTCOSS, Canberra, 2021, accessed 2 May 2022.</w:t>
      </w:r>
    </w:p>
  </w:footnote>
  <w:footnote w:id="24">
    <w:p w14:paraId="0445299A" w14:textId="16D7A1AD" w:rsidR="00AB358C" w:rsidRDefault="00AB358C">
      <w:pPr>
        <w:pStyle w:val="FootnoteText"/>
      </w:pPr>
      <w:r w:rsidRPr="00E548E4">
        <w:footnoteRef/>
      </w:r>
      <w:r>
        <w:t xml:space="preserve"> </w:t>
      </w:r>
      <w:r w:rsidR="00E548E4">
        <w:tab/>
      </w:r>
      <w:r w:rsidR="00433FA4">
        <w:t xml:space="preserve">ACT Government, </w:t>
      </w:r>
      <w:r w:rsidR="00433FA4" w:rsidRPr="00C06AE6">
        <w:rPr>
          <w:i/>
          <w:iCs/>
        </w:rPr>
        <w:t>Parliamentary and Governing Agreement</w:t>
      </w:r>
      <w:r w:rsidR="00433FA4">
        <w:t xml:space="preserve">, 2020, p. </w:t>
      </w:r>
      <w:r w:rsidR="00C06AE6">
        <w:t>7</w:t>
      </w:r>
      <w:r w:rsidR="001166F9">
        <w:t xml:space="preserve"> of 25</w:t>
      </w:r>
      <w:r w:rsidR="00C06AE6">
        <w:t>.</w:t>
      </w:r>
    </w:p>
  </w:footnote>
  <w:footnote w:id="25">
    <w:p w14:paraId="7AF8ED8C" w14:textId="72D1F1DD" w:rsidR="006F0A28" w:rsidRDefault="006F0A28">
      <w:pPr>
        <w:pStyle w:val="FootnoteText"/>
      </w:pPr>
      <w:r w:rsidRPr="00635F90">
        <w:footnoteRef/>
      </w:r>
      <w:r w:rsidRPr="00635F90">
        <w:t xml:space="preserve"> </w:t>
      </w:r>
      <w:r w:rsidR="00635F90">
        <w:tab/>
      </w:r>
      <w:r w:rsidR="00471B6A">
        <w:t xml:space="preserve">Domain, </w:t>
      </w:r>
      <w:hyperlink r:id="rId22" w:anchor="canberra" w:history="1">
        <w:r w:rsidR="00C56146" w:rsidRPr="002E2F9D">
          <w:rPr>
            <w:rStyle w:val="Hyperlink"/>
            <w:i/>
            <w:iCs/>
          </w:rPr>
          <w:t>March 2022 House price report</w:t>
        </w:r>
      </w:hyperlink>
      <w:r w:rsidR="00C56146">
        <w:t>, Domain website,</w:t>
      </w:r>
      <w:r w:rsidR="0068249D">
        <w:t xml:space="preserve"> n.d., accessed 2 May 2022.</w:t>
      </w:r>
    </w:p>
  </w:footnote>
  <w:footnote w:id="26">
    <w:p w14:paraId="15CC4A5E" w14:textId="77777777" w:rsidR="006A08B1" w:rsidRDefault="006A08B1" w:rsidP="006A08B1">
      <w:pPr>
        <w:pStyle w:val="FootnoteText"/>
      </w:pPr>
      <w:r w:rsidRPr="001022F1">
        <w:footnoteRef/>
      </w:r>
      <w:r w:rsidRPr="001022F1">
        <w:t xml:space="preserve"> </w:t>
      </w:r>
      <w:r>
        <w:tab/>
      </w:r>
      <w:r w:rsidRPr="00A77A97">
        <w:t xml:space="preserve">Productivity Commission, </w:t>
      </w:r>
      <w:r>
        <w:t>‘</w:t>
      </w:r>
      <w:r w:rsidRPr="00A77A97">
        <w:t>Table GA.3 Proportion of lower income private rental households paying more than 30 per cent of income on housing costs, by State and Territory</w:t>
      </w:r>
      <w:r>
        <w:t>’ [data tables],</w:t>
      </w:r>
      <w:r w:rsidRPr="00A77A97">
        <w:t xml:space="preserve"> </w:t>
      </w:r>
      <w:hyperlink r:id="rId23" w:history="1">
        <w:r w:rsidRPr="0065675D">
          <w:rPr>
            <w:rStyle w:val="Hyperlink"/>
            <w:i/>
            <w:iCs/>
          </w:rPr>
          <w:t>Report on Government Service</w:t>
        </w:r>
        <w:r>
          <w:rPr>
            <w:rStyle w:val="Hyperlink"/>
            <w:i/>
            <w:iCs/>
          </w:rPr>
          <w:t>s 2021: G Housing and homelessness</w:t>
        </w:r>
      </w:hyperlink>
      <w:r w:rsidRPr="00A77A97">
        <w:t xml:space="preserve">, </w:t>
      </w:r>
      <w:r>
        <w:t xml:space="preserve">Productivity Commission, 2021, </w:t>
      </w:r>
      <w:r w:rsidRPr="00A77A97">
        <w:t>accessed 22 June 2021.</w:t>
      </w:r>
    </w:p>
  </w:footnote>
  <w:footnote w:id="27">
    <w:p w14:paraId="7AAE6AD6" w14:textId="191DF552" w:rsidR="00634698" w:rsidRDefault="00634698">
      <w:pPr>
        <w:pStyle w:val="FootnoteText"/>
      </w:pPr>
      <w:r w:rsidRPr="00900557">
        <w:footnoteRef/>
      </w:r>
      <w:r>
        <w:t xml:space="preserve"> </w:t>
      </w:r>
      <w:bookmarkStart w:id="18" w:name="_Hlk79497927"/>
      <w:r w:rsidR="00900557">
        <w:tab/>
      </w:r>
      <w:r w:rsidR="002630C6">
        <w:t xml:space="preserve">Domain, </w:t>
      </w:r>
      <w:hyperlink r:id="rId24" w:anchor="canberra" w:history="1">
        <w:r w:rsidR="002630C6" w:rsidRPr="00DD0AE4">
          <w:rPr>
            <w:rStyle w:val="Hyperlink"/>
            <w:i/>
            <w:iCs/>
          </w:rPr>
          <w:t>March 2022 Rental Report</w:t>
        </w:r>
      </w:hyperlink>
      <w:r w:rsidR="002630C6">
        <w:t xml:space="preserve">, Domain website, n.d., accessed </w:t>
      </w:r>
      <w:r w:rsidR="00DD0AE4">
        <w:t>21 April 2022</w:t>
      </w:r>
      <w:r w:rsidR="002630C6">
        <w:t>.</w:t>
      </w:r>
      <w:bookmarkEnd w:id="18"/>
    </w:p>
  </w:footnote>
  <w:footnote w:id="28">
    <w:p w14:paraId="598A5B08" w14:textId="2D5909F5" w:rsidR="00634698" w:rsidRDefault="00634698">
      <w:pPr>
        <w:pStyle w:val="FootnoteText"/>
      </w:pPr>
      <w:r w:rsidRPr="00900557">
        <w:footnoteRef/>
      </w:r>
      <w:r>
        <w:t xml:space="preserve"> </w:t>
      </w:r>
      <w:r w:rsidR="00900557">
        <w:tab/>
      </w:r>
      <w:r w:rsidR="00B31020">
        <w:t xml:space="preserve">Domain, </w:t>
      </w:r>
      <w:hyperlink r:id="rId25" w:history="1">
        <w:r w:rsidR="00F17B49" w:rsidRPr="001B3953">
          <w:rPr>
            <w:rStyle w:val="Hyperlink"/>
            <w:i/>
            <w:iCs/>
          </w:rPr>
          <w:t xml:space="preserve">Vacancy rates: </w:t>
        </w:r>
        <w:r w:rsidR="00C337E6" w:rsidRPr="001B3953">
          <w:rPr>
            <w:rStyle w:val="Hyperlink"/>
            <w:i/>
            <w:iCs/>
          </w:rPr>
          <w:t>March</w:t>
        </w:r>
        <w:r w:rsidR="00F17B49" w:rsidRPr="001B3953">
          <w:rPr>
            <w:rStyle w:val="Hyperlink"/>
            <w:i/>
            <w:iCs/>
          </w:rPr>
          <w:t xml:space="preserve"> 2022</w:t>
        </w:r>
      </w:hyperlink>
      <w:r w:rsidR="00B31020">
        <w:t xml:space="preserve">, Domain website, n.d., accessed </w:t>
      </w:r>
      <w:r w:rsidR="001B3953">
        <w:t xml:space="preserve">2 May </w:t>
      </w:r>
      <w:r w:rsidR="00B31020">
        <w:t>2022.</w:t>
      </w:r>
    </w:p>
  </w:footnote>
  <w:footnote w:id="29">
    <w:p w14:paraId="5F5C6595" w14:textId="4BDFB433" w:rsidR="00F65830" w:rsidRDefault="00F65830">
      <w:pPr>
        <w:pStyle w:val="FootnoteText"/>
      </w:pPr>
      <w:r w:rsidRPr="00900557">
        <w:footnoteRef/>
      </w:r>
      <w:r>
        <w:t xml:space="preserve"> </w:t>
      </w:r>
      <w:r w:rsidR="00900557">
        <w:tab/>
      </w:r>
      <w:r>
        <w:t xml:space="preserve">ACT Government, </w:t>
      </w:r>
      <w:r w:rsidRPr="00125239">
        <w:rPr>
          <w:i/>
          <w:iCs/>
        </w:rPr>
        <w:t>Parliamentary and Governing Agreement</w:t>
      </w:r>
      <w:r>
        <w:t>, p.</w:t>
      </w:r>
      <w:r w:rsidR="00125239">
        <w:t xml:space="preserve"> 13 of 25.</w:t>
      </w:r>
    </w:p>
  </w:footnote>
  <w:footnote w:id="30">
    <w:p w14:paraId="150329B5" w14:textId="6010EB35" w:rsidR="001D2B5A" w:rsidRDefault="001D2B5A">
      <w:pPr>
        <w:pStyle w:val="FootnoteText"/>
      </w:pPr>
      <w:r w:rsidRPr="00900557">
        <w:footnoteRef/>
      </w:r>
      <w:r>
        <w:t xml:space="preserve"> </w:t>
      </w:r>
      <w:r w:rsidR="00900557">
        <w:tab/>
      </w:r>
      <w:r>
        <w:t xml:space="preserve">ACTCOSS, </w:t>
      </w:r>
      <w:hyperlink r:id="rId26" w:history="1">
        <w:r w:rsidR="00F429F4" w:rsidRPr="0029212A">
          <w:rPr>
            <w:rStyle w:val="Hyperlink"/>
            <w:i/>
            <w:iCs/>
          </w:rPr>
          <w:t>Submission: Ending no cause evictions and other measures – Proposed reforms to the Residential Tenancies Act 1997</w:t>
        </w:r>
      </w:hyperlink>
      <w:r w:rsidR="00F429F4">
        <w:t>, ACTCOSS, Canberra, 2021</w:t>
      </w:r>
      <w:r w:rsidR="004F4636">
        <w:t>, accessed 2 May 2022.</w:t>
      </w:r>
    </w:p>
  </w:footnote>
  <w:footnote w:id="31">
    <w:p w14:paraId="0DA790F9" w14:textId="041C3290" w:rsidR="00CC4E55" w:rsidRDefault="00CC4E55">
      <w:pPr>
        <w:pStyle w:val="FootnoteText"/>
      </w:pPr>
      <w:r w:rsidRPr="00900557">
        <w:footnoteRef/>
      </w:r>
      <w:r>
        <w:t xml:space="preserve"> </w:t>
      </w:r>
      <w:r w:rsidR="00900557">
        <w:tab/>
      </w:r>
      <w:r w:rsidR="004667B4">
        <w:t xml:space="preserve">ACT Government, </w:t>
      </w:r>
      <w:hyperlink r:id="rId27" w:history="1">
        <w:r w:rsidR="007F5833" w:rsidRPr="00517B3F">
          <w:rPr>
            <w:rStyle w:val="Hyperlink"/>
            <w:i/>
            <w:iCs/>
          </w:rPr>
          <w:t>Listening repor</w:t>
        </w:r>
        <w:r w:rsidR="007B49FC" w:rsidRPr="00517B3F">
          <w:rPr>
            <w:rStyle w:val="Hyperlink"/>
            <w:i/>
            <w:iCs/>
          </w:rPr>
          <w:t>t – ending no cause evictions</w:t>
        </w:r>
      </w:hyperlink>
      <w:r w:rsidR="00CB56DE">
        <w:t>,</w:t>
      </w:r>
      <w:r w:rsidR="007F5833">
        <w:t xml:space="preserve"> </w:t>
      </w:r>
      <w:r w:rsidR="00D613BD">
        <w:t>YourSay website</w:t>
      </w:r>
      <w:r w:rsidR="00753F47">
        <w:t>,</w:t>
      </w:r>
      <w:r w:rsidR="00517B3F">
        <w:t xml:space="preserve"> ACT Government, Canberra,</w:t>
      </w:r>
      <w:r w:rsidR="00753F47">
        <w:t xml:space="preserve"> </w:t>
      </w:r>
      <w:r w:rsidR="00CB56DE">
        <w:t>2022, accessed 2 May 2022.</w:t>
      </w:r>
    </w:p>
  </w:footnote>
  <w:footnote w:id="32">
    <w:p w14:paraId="15F34853" w14:textId="64A58107" w:rsidR="00F935FF" w:rsidRDefault="00F935FF">
      <w:pPr>
        <w:pStyle w:val="FootnoteText"/>
      </w:pPr>
      <w:r w:rsidRPr="00E610E4">
        <w:footnoteRef/>
      </w:r>
      <w:r w:rsidRPr="00E610E4">
        <w:t xml:space="preserve"> </w:t>
      </w:r>
      <w:r w:rsidR="00E610E4">
        <w:tab/>
      </w:r>
      <w:r w:rsidRPr="00F935FF">
        <w:t xml:space="preserve">SGS Economics &amp; Planning, </w:t>
      </w:r>
      <w:hyperlink r:id="rId28" w:history="1">
        <w:r w:rsidRPr="00F935FF">
          <w:rPr>
            <w:rStyle w:val="Hyperlink"/>
            <w:i/>
            <w:iCs/>
          </w:rPr>
          <w:t>Rental Affordability Index: November 2021 Key Finding</w:t>
        </w:r>
        <w:r w:rsidR="00E05458">
          <w:rPr>
            <w:rStyle w:val="Hyperlink"/>
            <w:i/>
            <w:iCs/>
          </w:rPr>
          <w:t xml:space="preserve">s </w:t>
        </w:r>
        <w:r w:rsidR="00E05458" w:rsidRPr="00B8506D">
          <w:rPr>
            <w:rStyle w:val="Hyperlink"/>
          </w:rPr>
          <w:t>[PDF]</w:t>
        </w:r>
      </w:hyperlink>
      <w:r w:rsidRPr="00F935FF">
        <w:t>, SGS Economics &amp; Planning, Canberra, 2021, accessed 2 May 2022.</w:t>
      </w:r>
    </w:p>
  </w:footnote>
  <w:footnote w:id="33">
    <w:p w14:paraId="609D6846" w14:textId="6D57F625" w:rsidR="00C5166F" w:rsidRDefault="00C5166F">
      <w:pPr>
        <w:pStyle w:val="FootnoteText"/>
      </w:pPr>
      <w:r w:rsidRPr="00D20550">
        <w:footnoteRef/>
      </w:r>
      <w:r>
        <w:t xml:space="preserve"> </w:t>
      </w:r>
      <w:r w:rsidR="00D20550">
        <w:tab/>
      </w:r>
      <w:r w:rsidRPr="00C5166F">
        <w:t xml:space="preserve">Everybody’s Home, </w:t>
      </w:r>
      <w:hyperlink r:id="rId29" w:history="1">
        <w:r w:rsidRPr="00C5166F">
          <w:rPr>
            <w:rStyle w:val="Hyperlink"/>
            <w:i/>
            <w:iCs/>
          </w:rPr>
          <w:t>Young Australians crunched by housing crisis</w:t>
        </w:r>
      </w:hyperlink>
      <w:r w:rsidRPr="00C5166F">
        <w:t>, Everybody’s Home website, 20 April 2022, accessed 21 April 2022.</w:t>
      </w:r>
    </w:p>
  </w:footnote>
  <w:footnote w:id="34">
    <w:p w14:paraId="644F3349" w14:textId="628AED2A" w:rsidR="006A484D" w:rsidRDefault="006A484D">
      <w:pPr>
        <w:pStyle w:val="FootnoteText"/>
      </w:pPr>
      <w:r w:rsidRPr="00D20550">
        <w:footnoteRef/>
      </w:r>
      <w:r>
        <w:t xml:space="preserve"> </w:t>
      </w:r>
      <w:bookmarkStart w:id="20" w:name="_Hlk101793554"/>
      <w:r w:rsidR="00D20550">
        <w:tab/>
      </w:r>
      <w:r>
        <w:t xml:space="preserve">Everybody’s Home, </w:t>
      </w:r>
      <w:hyperlink r:id="rId30" w:history="1">
        <w:r w:rsidR="00881D0B" w:rsidRPr="00A97986">
          <w:rPr>
            <w:rStyle w:val="Hyperlink"/>
            <w:i/>
            <w:iCs/>
          </w:rPr>
          <w:t>Rental crisis hits COVID-essential workforce</w:t>
        </w:r>
      </w:hyperlink>
      <w:bookmarkEnd w:id="20"/>
      <w:r w:rsidR="00881D0B">
        <w:t xml:space="preserve">, Everybody’s Home website, </w:t>
      </w:r>
      <w:r w:rsidR="004900CE">
        <w:t xml:space="preserve">2 August 2021, accessed </w:t>
      </w:r>
      <w:r w:rsidR="00A97986">
        <w:t>25 April 2022</w:t>
      </w:r>
      <w:r w:rsidR="004900CE">
        <w:t>.</w:t>
      </w:r>
    </w:p>
  </w:footnote>
  <w:footnote w:id="35">
    <w:p w14:paraId="4AE9B51B" w14:textId="06B94AB0" w:rsidR="00681C2B" w:rsidRDefault="00681C2B">
      <w:pPr>
        <w:pStyle w:val="FootnoteText"/>
      </w:pPr>
      <w:r w:rsidRPr="00D20550">
        <w:footnoteRef/>
      </w:r>
      <w:r>
        <w:t xml:space="preserve"> </w:t>
      </w:r>
      <w:r w:rsidR="00D20550">
        <w:tab/>
      </w:r>
      <w:r w:rsidRPr="00681C2B">
        <w:t xml:space="preserve">Everybody’s Home, </w:t>
      </w:r>
      <w:r w:rsidRPr="00681C2B">
        <w:rPr>
          <w:i/>
          <w:iCs/>
        </w:rPr>
        <w:t>Rental crisis hits COVID-essential workforce</w:t>
      </w:r>
      <w:r>
        <w:t>, 2021.</w:t>
      </w:r>
    </w:p>
  </w:footnote>
  <w:footnote w:id="36">
    <w:p w14:paraId="337E0B10" w14:textId="0D730108" w:rsidR="009B6002" w:rsidRDefault="009B6002">
      <w:pPr>
        <w:pStyle w:val="FootnoteText"/>
      </w:pPr>
      <w:r w:rsidRPr="00D20550">
        <w:footnoteRef/>
      </w:r>
      <w:r>
        <w:t xml:space="preserve"> </w:t>
      </w:r>
      <w:r w:rsidR="00D20550">
        <w:tab/>
      </w:r>
      <w:r w:rsidRPr="00681C2B">
        <w:t xml:space="preserve">Everybody’s Home, </w:t>
      </w:r>
      <w:r w:rsidRPr="00681C2B">
        <w:rPr>
          <w:i/>
          <w:iCs/>
        </w:rPr>
        <w:t>Rental crisis hits COVID-essential workforce</w:t>
      </w:r>
      <w:r>
        <w:t>, 2021.</w:t>
      </w:r>
    </w:p>
  </w:footnote>
  <w:footnote w:id="37">
    <w:p w14:paraId="552B1FCA" w14:textId="47A8A381" w:rsidR="0038582A" w:rsidRDefault="0038582A">
      <w:pPr>
        <w:pStyle w:val="FootnoteText"/>
      </w:pPr>
      <w:r w:rsidRPr="00D823D1">
        <w:footnoteRef/>
      </w:r>
      <w:r>
        <w:t xml:space="preserve"> </w:t>
      </w:r>
      <w:bookmarkStart w:id="21" w:name="_Hlk102031554"/>
      <w:r w:rsidR="00D823D1">
        <w:tab/>
      </w:r>
      <w:r w:rsidR="00EB3F92">
        <w:t xml:space="preserve">Anglicare Australia, </w:t>
      </w:r>
      <w:hyperlink r:id="rId31" w:history="1">
        <w:r w:rsidR="00EB3F92" w:rsidRPr="0034604F">
          <w:rPr>
            <w:rStyle w:val="Hyperlink"/>
            <w:i/>
            <w:iCs/>
          </w:rPr>
          <w:t>Rental Affordability Snapshot</w:t>
        </w:r>
        <w:r w:rsidR="00B84253" w:rsidRPr="0034604F">
          <w:rPr>
            <w:rStyle w:val="Hyperlink"/>
            <w:i/>
            <w:iCs/>
          </w:rPr>
          <w:t>: Regional Reports</w:t>
        </w:r>
      </w:hyperlink>
      <w:r w:rsidR="00B84253">
        <w:t>, Anglicare Australia, Canberra, April 2022,</w:t>
      </w:r>
      <w:r w:rsidR="008233F1">
        <w:t xml:space="preserve"> ‘ACT and Queanbeyan’, </w:t>
      </w:r>
      <w:r w:rsidR="00B84253">
        <w:t xml:space="preserve">pp. </w:t>
      </w:r>
      <w:r w:rsidR="00E0460A">
        <w:t>33-4, accessed 28 April 2022.</w:t>
      </w:r>
      <w:bookmarkEnd w:id="21"/>
    </w:p>
  </w:footnote>
  <w:footnote w:id="38">
    <w:p w14:paraId="1CE90A9E" w14:textId="748F44F8" w:rsidR="0067071A" w:rsidRDefault="0067071A">
      <w:pPr>
        <w:pStyle w:val="FootnoteText"/>
      </w:pPr>
      <w:r w:rsidRPr="005067B9">
        <w:footnoteRef/>
      </w:r>
      <w:r>
        <w:t xml:space="preserve"> </w:t>
      </w:r>
      <w:r w:rsidR="005067B9">
        <w:tab/>
      </w:r>
      <w:r>
        <w:t xml:space="preserve">Productivity Commission, </w:t>
      </w:r>
      <w:r w:rsidR="007251C4">
        <w:t>‘Table G</w:t>
      </w:r>
      <w:r w:rsidR="008C7215">
        <w:t xml:space="preserve">A.12 </w:t>
      </w:r>
      <w:r w:rsidR="007251C4">
        <w:t xml:space="preserve"> </w:t>
      </w:r>
      <w:r w:rsidR="008C7215" w:rsidRPr="008C7215">
        <w:t>Income units receiving CRA and paying enough rent to be eligible for maximum assistance, by jurisdiction</w:t>
      </w:r>
      <w:r w:rsidR="008C7215">
        <w:t>’</w:t>
      </w:r>
      <w:r w:rsidR="004259E4">
        <w:t xml:space="preserve"> [Data Tables]</w:t>
      </w:r>
      <w:r w:rsidR="008C7215">
        <w:t xml:space="preserve">, </w:t>
      </w:r>
      <w:hyperlink r:id="rId32" w:history="1">
        <w:r w:rsidR="008C7215" w:rsidRPr="00101D57">
          <w:rPr>
            <w:rStyle w:val="Hyperlink"/>
            <w:i/>
            <w:iCs/>
          </w:rPr>
          <w:t>Report on Government Services</w:t>
        </w:r>
        <w:r w:rsidR="00156228" w:rsidRPr="00101D57">
          <w:rPr>
            <w:rStyle w:val="Hyperlink"/>
            <w:i/>
            <w:iCs/>
          </w:rPr>
          <w:t xml:space="preserve"> 2022: G Housing and Homelessness</w:t>
        </w:r>
      </w:hyperlink>
      <w:r w:rsidR="004259E4">
        <w:t>, Productivity Commission, 2022, accessed 25 April 2022.</w:t>
      </w:r>
    </w:p>
  </w:footnote>
  <w:footnote w:id="39">
    <w:p w14:paraId="0592B393" w14:textId="3755C126" w:rsidR="009F57F7" w:rsidRDefault="0077478C" w:rsidP="009F57F7">
      <w:pPr>
        <w:pStyle w:val="FootnoteText"/>
      </w:pPr>
      <w:r w:rsidRPr="005067B9">
        <w:footnoteRef/>
      </w:r>
      <w:r>
        <w:t xml:space="preserve"> </w:t>
      </w:r>
      <w:r w:rsidR="005067B9">
        <w:tab/>
      </w:r>
      <w:r>
        <w:t>Productivity Commission, ‘Table GA</w:t>
      </w:r>
      <w:r w:rsidR="009F57F7">
        <w:t>.</w:t>
      </w:r>
      <w:r w:rsidR="00FB1E67">
        <w:t xml:space="preserve">13 </w:t>
      </w:r>
      <w:r w:rsidR="009F57F7" w:rsidRPr="009F57F7">
        <w:t>CRA Income units paying more than 30 per cent of income on rent, with and without CRA, by selected equity group</w:t>
      </w:r>
      <w:r w:rsidR="009F57F7">
        <w:t>’ &amp; ‘Table GA.14</w:t>
      </w:r>
      <w:r w:rsidR="00E236EC" w:rsidRPr="00E236EC">
        <w:t>CRA Income units paying more than 50 per cent of income on rent, with and without CRA, by selected equity grou</w:t>
      </w:r>
      <w:r w:rsidR="00E236EC">
        <w:t>p’</w:t>
      </w:r>
      <w:r w:rsidR="009F57F7">
        <w:t xml:space="preserve"> [Data Tables], </w:t>
      </w:r>
      <w:hyperlink r:id="rId33" w:history="1">
        <w:r w:rsidR="009F57F7" w:rsidRPr="00101D57">
          <w:rPr>
            <w:rStyle w:val="Hyperlink"/>
            <w:i/>
            <w:iCs/>
          </w:rPr>
          <w:t>Report on Government Services 2022: G Housing and Homelessness</w:t>
        </w:r>
      </w:hyperlink>
      <w:r w:rsidR="009F57F7">
        <w:t>, Productivity Commission, 2022, accessed 25 April 2022.</w:t>
      </w:r>
    </w:p>
    <w:p w14:paraId="2F62B296" w14:textId="67FFC360" w:rsidR="0077478C" w:rsidRDefault="0077478C">
      <w:pPr>
        <w:pStyle w:val="FootnoteText"/>
      </w:pPr>
    </w:p>
  </w:footnote>
  <w:footnote w:id="40">
    <w:p w14:paraId="37985591" w14:textId="50DD0C09" w:rsidR="003C02D3" w:rsidRDefault="003C02D3" w:rsidP="003C02D3">
      <w:pPr>
        <w:pStyle w:val="FootnoteText"/>
      </w:pPr>
      <w:r w:rsidRPr="00CD77F5">
        <w:footnoteRef/>
      </w:r>
      <w:r w:rsidRPr="00CD77F5">
        <w:t xml:space="preserve"> </w:t>
      </w:r>
      <w:r>
        <w:tab/>
        <w:t xml:space="preserve">ACT Government Community Services Directorate, </w:t>
      </w:r>
      <w:hyperlink r:id="rId34" w:history="1">
        <w:r w:rsidRPr="00025280">
          <w:rPr>
            <w:rStyle w:val="Hyperlink"/>
            <w:i/>
            <w:iCs/>
          </w:rPr>
          <w:t>ACT Housing Strategy Growing and Renewing Public Housing</w:t>
        </w:r>
      </w:hyperlink>
      <w:r>
        <w:t xml:space="preserve">, Community Services Directorate website, 25 May 2021, accessed </w:t>
      </w:r>
      <w:r w:rsidR="00A21094">
        <w:t>5 May 2022</w:t>
      </w:r>
      <w:r>
        <w:t>.</w:t>
      </w:r>
    </w:p>
  </w:footnote>
  <w:footnote w:id="41">
    <w:p w14:paraId="651128A3" w14:textId="77777777" w:rsidR="008B7577" w:rsidRDefault="008B7577" w:rsidP="008B7577">
      <w:pPr>
        <w:pStyle w:val="FootnoteText"/>
      </w:pPr>
      <w:r w:rsidRPr="00A764C8">
        <w:footnoteRef/>
      </w:r>
      <w:r w:rsidRPr="00A764C8">
        <w:t xml:space="preserve"> </w:t>
      </w:r>
      <w:r>
        <w:tab/>
      </w:r>
      <w:r w:rsidRPr="00A764C8">
        <w:t>J</w:t>
      </w:r>
      <w:r w:rsidRPr="003632ED">
        <w:t xml:space="preserve"> Lawson, H Pawson, L Troy, R van den Nouwelant and C Hamilton, </w:t>
      </w:r>
      <w:hyperlink r:id="rId35" w:history="1">
        <w:r w:rsidRPr="00797B55">
          <w:rPr>
            <w:rStyle w:val="Hyperlink"/>
            <w:i/>
            <w:iCs/>
          </w:rPr>
          <w:t>Social housing as infrastructure: an investment pathway</w:t>
        </w:r>
      </w:hyperlink>
      <w:r w:rsidRPr="003632ED">
        <w:t>, AHURI Final Report 306, Australian Housing and Urban Research Institute Limited, 2018, p 63, accessed 22 June 2021.</w:t>
      </w:r>
    </w:p>
  </w:footnote>
  <w:footnote w:id="42">
    <w:p w14:paraId="26698C7B" w14:textId="1C8B6207" w:rsidR="008276FA" w:rsidRDefault="008276FA">
      <w:pPr>
        <w:pStyle w:val="FootnoteText"/>
      </w:pPr>
      <w:r w:rsidRPr="00FA6C19">
        <w:footnoteRef/>
      </w:r>
      <w:r>
        <w:t xml:space="preserve"> </w:t>
      </w:r>
      <w:r w:rsidR="00FA6C19">
        <w:tab/>
      </w:r>
      <w:r w:rsidR="00E4016D" w:rsidRPr="00E4016D">
        <w:t xml:space="preserve">L Troy, R van den Nouwelant &amp; B Randolph, </w:t>
      </w:r>
      <w:hyperlink r:id="rId36" w:history="1">
        <w:r w:rsidR="00E4016D" w:rsidRPr="00BA6412">
          <w:rPr>
            <w:rStyle w:val="Hyperlink"/>
            <w:i/>
            <w:iCs/>
          </w:rPr>
          <w:t>Estimating need and costs of social and affordable housing delivery</w:t>
        </w:r>
        <w:r w:rsidR="00B8506D">
          <w:rPr>
            <w:rStyle w:val="Hyperlink"/>
            <w:i/>
            <w:iCs/>
          </w:rPr>
          <w:t xml:space="preserve"> </w:t>
        </w:r>
        <w:r w:rsidR="00B8506D" w:rsidRPr="00B8506D">
          <w:rPr>
            <w:rStyle w:val="Hyperlink"/>
          </w:rPr>
          <w:t>[PDF]</w:t>
        </w:r>
      </w:hyperlink>
      <w:r w:rsidR="00E4016D" w:rsidRPr="00E4016D">
        <w:t>, UNSW City Futures Research Centre, Sydney, 2019, p. 3, accessed 29 March 2022.</w:t>
      </w:r>
    </w:p>
  </w:footnote>
  <w:footnote w:id="43">
    <w:p w14:paraId="7F540AC3" w14:textId="68A1CD13" w:rsidR="002B3F77" w:rsidRDefault="002B3F77">
      <w:pPr>
        <w:pStyle w:val="FootnoteText"/>
      </w:pPr>
      <w:r w:rsidRPr="00763CE4">
        <w:footnoteRef/>
      </w:r>
      <w:r w:rsidRPr="00763CE4">
        <w:t xml:space="preserve"> </w:t>
      </w:r>
      <w:r w:rsidR="00763CE4">
        <w:tab/>
      </w:r>
      <w:r w:rsidRPr="00763CE4">
        <w:t>ACTCOSS</w:t>
      </w:r>
      <w:r>
        <w:t xml:space="preserve">, </w:t>
      </w:r>
      <w:hyperlink r:id="rId37" w:history="1">
        <w:r w:rsidRPr="00D32FD3">
          <w:rPr>
            <w:rStyle w:val="Hyperlink"/>
            <w:i/>
            <w:iCs/>
          </w:rPr>
          <w:t>2020 ACT Cost of Living Report</w:t>
        </w:r>
      </w:hyperlink>
      <w:r>
        <w:t xml:space="preserve">, ACTCOSS, Canberra, </w:t>
      </w:r>
      <w:r w:rsidR="00B93A37">
        <w:t>September 2020</w:t>
      </w:r>
      <w:r w:rsidR="00E232B1">
        <w:t xml:space="preserve">, </w:t>
      </w:r>
      <w:r w:rsidR="00215C5F">
        <w:t>‘</w:t>
      </w:r>
      <w:r w:rsidR="00215C5F" w:rsidRPr="00215C5F">
        <w:t>Table 7 Housing ACT social housing waiting list and times, 3 August 2020</w:t>
      </w:r>
      <w:r w:rsidR="00215C5F">
        <w:t xml:space="preserve">’, </w:t>
      </w:r>
      <w:r w:rsidR="00E232B1">
        <w:t>p.</w:t>
      </w:r>
      <w:r w:rsidR="00E5641B">
        <w:t>26, accessed 2 May 2022.</w:t>
      </w:r>
    </w:p>
  </w:footnote>
  <w:footnote w:id="44">
    <w:p w14:paraId="6C7AF9A1" w14:textId="30A7CAFF" w:rsidR="00586F1E" w:rsidRDefault="00586F1E" w:rsidP="00586F1E">
      <w:pPr>
        <w:pStyle w:val="FootnoteText"/>
      </w:pPr>
      <w:r w:rsidRPr="005D71EF">
        <w:footnoteRef/>
      </w:r>
      <w:r w:rsidRPr="005D71EF">
        <w:t xml:space="preserve"> </w:t>
      </w:r>
      <w:r>
        <w:tab/>
      </w:r>
      <w:r w:rsidR="006B142A">
        <w:t xml:space="preserve">ABS, </w:t>
      </w:r>
      <w:hyperlink r:id="rId38" w:history="1">
        <w:r w:rsidR="0048435C" w:rsidRPr="006B713C">
          <w:rPr>
            <w:rStyle w:val="Hyperlink"/>
            <w:i/>
            <w:iCs/>
          </w:rPr>
          <w:t>Census of Population and Housing: Estimating Homelessness</w:t>
        </w:r>
      </w:hyperlink>
      <w:r w:rsidR="0048435C">
        <w:t>, ABS, Canberra, 2018,</w:t>
      </w:r>
      <w:r w:rsidR="00AD2027">
        <w:t xml:space="preserve"> ‘Table </w:t>
      </w:r>
      <w:r w:rsidR="00AD2027" w:rsidRPr="00AD2027">
        <w:t>2.9 - Homeless operational groups and other marginal housing, Australian Capital Territory, by selected characteristics, 2016</w:t>
      </w:r>
      <w:r w:rsidR="00AD2027">
        <w:t xml:space="preserve">’, </w:t>
      </w:r>
      <w:r w:rsidR="0048435C">
        <w:t>accessed 5 May 2022.</w:t>
      </w:r>
    </w:p>
  </w:footnote>
  <w:footnote w:id="45">
    <w:p w14:paraId="405616F1" w14:textId="77777777" w:rsidR="00606904" w:rsidRDefault="00606904" w:rsidP="00606904">
      <w:pPr>
        <w:pStyle w:val="FootnoteText"/>
      </w:pPr>
      <w:r w:rsidRPr="00353728">
        <w:footnoteRef/>
      </w:r>
      <w:r w:rsidRPr="00353728">
        <w:t xml:space="preserve"> </w:t>
      </w:r>
      <w:r>
        <w:tab/>
        <w:t xml:space="preserve">Equity Economics, </w:t>
      </w:r>
      <w:hyperlink r:id="rId39" w:history="1">
        <w:r w:rsidRPr="00743D59">
          <w:rPr>
            <w:rStyle w:val="Hyperlink"/>
            <w:i/>
            <w:iCs/>
          </w:rPr>
          <w:t>Nowhere to go: the benefits of providing long-term social housing to women that have experienced domestic and family violence</w:t>
        </w:r>
      </w:hyperlink>
      <w:r>
        <w:t xml:space="preserve">, Equity Economics, </w:t>
      </w:r>
      <w:r w:rsidR="00E832B5">
        <w:t>15 July 2021</w:t>
      </w:r>
      <w:r>
        <w:t xml:space="preserve">., accessed </w:t>
      </w:r>
      <w:r w:rsidR="00743D59">
        <w:t>5 May 2022</w:t>
      </w:r>
      <w:r>
        <w:t>.</w:t>
      </w:r>
    </w:p>
  </w:footnote>
  <w:footnote w:id="46">
    <w:p w14:paraId="41BAF564" w14:textId="77777777" w:rsidR="00606904" w:rsidRDefault="00606904" w:rsidP="00606904">
      <w:pPr>
        <w:pStyle w:val="FootnoteText"/>
      </w:pPr>
      <w:r w:rsidRPr="00715252">
        <w:footnoteRef/>
      </w:r>
      <w:r w:rsidRPr="00715252">
        <w:t xml:space="preserve"> </w:t>
      </w:r>
      <w:r>
        <w:tab/>
      </w:r>
      <w:r w:rsidRPr="003D6A91">
        <w:t xml:space="preserve">KPMG, </w:t>
      </w:r>
      <w:hyperlink r:id="rId40" w:history="1">
        <w:r w:rsidRPr="002C3AAF">
          <w:rPr>
            <w:rStyle w:val="Hyperlink"/>
            <w:i/>
            <w:iCs/>
          </w:rPr>
          <w:t>Housing Ministers’ Advisory Committee</w:t>
        </w:r>
        <w:r>
          <w:rPr>
            <w:rStyle w:val="Hyperlink"/>
            <w:i/>
            <w:iCs/>
          </w:rPr>
          <w:t>:</w:t>
        </w:r>
        <w:r w:rsidRPr="002C3AAF">
          <w:rPr>
            <w:rStyle w:val="Hyperlink"/>
            <w:i/>
            <w:iCs/>
          </w:rPr>
          <w:t xml:space="preserve"> Social Housing Initiative Review </w:t>
        </w:r>
        <w:r w:rsidRPr="002C3AAF">
          <w:rPr>
            <w:rStyle w:val="Hyperlink"/>
          </w:rPr>
          <w:t>[PDF]</w:t>
        </w:r>
      </w:hyperlink>
      <w:r w:rsidRPr="003D6A91">
        <w:t>, prepared by KPMG for the Department of Housing, September 2012, p 2, accessed 22 June 2021.</w:t>
      </w:r>
    </w:p>
  </w:footnote>
  <w:footnote w:id="47">
    <w:p w14:paraId="3C64CF00" w14:textId="77777777" w:rsidR="00606904" w:rsidRDefault="00606904" w:rsidP="00606904">
      <w:pPr>
        <w:pStyle w:val="FootnoteText"/>
      </w:pPr>
      <w:r w:rsidRPr="005B2144">
        <w:footnoteRef/>
      </w:r>
      <w:r w:rsidRPr="005B2144">
        <w:t xml:space="preserve"> </w:t>
      </w:r>
      <w:r>
        <w:tab/>
      </w:r>
      <w:r w:rsidRPr="00277827">
        <w:t xml:space="preserve">D Prentice and R Scutella, </w:t>
      </w:r>
      <w:hyperlink r:id="rId41" w:history="1">
        <w:r w:rsidRPr="00DC6AE7">
          <w:rPr>
            <w:rStyle w:val="Hyperlink"/>
            <w:i/>
            <w:iCs/>
          </w:rPr>
          <w:t>What are the impacts of living in social housing?</w:t>
        </w:r>
        <w:r>
          <w:rPr>
            <w:rStyle w:val="Hyperlink"/>
            <w:i/>
            <w:iCs/>
          </w:rPr>
          <w:t xml:space="preserve"> </w:t>
        </w:r>
        <w:r w:rsidRPr="00734CCA">
          <w:rPr>
            <w:rStyle w:val="Hyperlink"/>
          </w:rPr>
          <w:t>[PDF]</w:t>
        </w:r>
      </w:hyperlink>
      <w:r w:rsidRPr="00277827">
        <w:t xml:space="preserve">, Technical Paper No. 1/18, Infrastructure Victoria, Melbourne, 2018, </w:t>
      </w:r>
      <w:r>
        <w:t>accessed</w:t>
      </w:r>
      <w:r w:rsidRPr="00277827">
        <w:t xml:space="preserve"> 5 September 2020</w:t>
      </w:r>
      <w:r>
        <w:t>.</w:t>
      </w:r>
    </w:p>
  </w:footnote>
  <w:footnote w:id="48">
    <w:p w14:paraId="0C971FDF" w14:textId="69EFEDAA" w:rsidR="007666B7" w:rsidRDefault="007666B7" w:rsidP="007666B7">
      <w:pPr>
        <w:pStyle w:val="FootnoteText"/>
      </w:pPr>
      <w:r w:rsidRPr="002C49FB">
        <w:footnoteRef/>
      </w:r>
      <w:r>
        <w:t xml:space="preserve"> </w:t>
      </w:r>
      <w:r w:rsidR="002C49FB">
        <w:tab/>
      </w:r>
      <w:r>
        <w:t xml:space="preserve">M Klapdor, </w:t>
      </w:r>
      <w:hyperlink r:id="rId42" w:history="1">
        <w:r w:rsidRPr="0020324D">
          <w:rPr>
            <w:rStyle w:val="Hyperlink"/>
            <w:i/>
            <w:iCs/>
          </w:rPr>
          <w:t>Why most pension and benefit rates will not be increased in September 2020</w:t>
        </w:r>
      </w:hyperlink>
      <w:r>
        <w:t>, FlagPost blog, Parliamentary Library website, 24 August 2020, accessed 22 April 2022.</w:t>
      </w:r>
    </w:p>
  </w:footnote>
  <w:footnote w:id="49">
    <w:p w14:paraId="0896B36E" w14:textId="77777777" w:rsidR="007557AF" w:rsidRPr="001C7F0D" w:rsidRDefault="007557AF" w:rsidP="007557AF">
      <w:pPr>
        <w:pStyle w:val="FootnoteText"/>
        <w:rPr>
          <w:lang w:val="en-US"/>
        </w:rPr>
      </w:pPr>
      <w:r w:rsidRPr="004C594C">
        <w:footnoteRef/>
      </w:r>
      <w:r w:rsidRPr="004C594C">
        <w:t xml:space="preserve"> </w:t>
      </w:r>
      <w:r>
        <w:tab/>
      </w:r>
      <w:r>
        <w:rPr>
          <w:lang w:val="en-US"/>
        </w:rPr>
        <w:t xml:space="preserve">SACOSS, </w:t>
      </w:r>
      <w:hyperlink r:id="rId43" w:history="1">
        <w:r w:rsidRPr="00B560F2">
          <w:rPr>
            <w:rStyle w:val="Hyperlink"/>
            <w:i/>
            <w:lang w:val="en-US"/>
          </w:rPr>
          <w:t>SACOSS Cost of Living Update No. 37, December Qtr 201</w:t>
        </w:r>
        <w:r>
          <w:rPr>
            <w:rStyle w:val="Hyperlink"/>
            <w:i/>
            <w:lang w:val="en-US"/>
          </w:rPr>
          <w:t xml:space="preserve">8 </w:t>
        </w:r>
        <w:r w:rsidRPr="00884E88">
          <w:rPr>
            <w:rStyle w:val="Hyperlink"/>
            <w:iCs/>
            <w:lang w:val="en-US"/>
          </w:rPr>
          <w:t>[PDF]</w:t>
        </w:r>
      </w:hyperlink>
      <w:r>
        <w:rPr>
          <w:lang w:val="en-US"/>
        </w:rPr>
        <w:t xml:space="preserve">, SACOSS, Adelaide, 2019, viewed 12 April 2019. </w:t>
      </w:r>
    </w:p>
  </w:footnote>
  <w:footnote w:id="50">
    <w:p w14:paraId="186E2548" w14:textId="77777777" w:rsidR="007557AF" w:rsidRPr="00623297" w:rsidRDefault="007557AF" w:rsidP="007557AF">
      <w:pPr>
        <w:pStyle w:val="FootnoteText"/>
      </w:pPr>
      <w:r w:rsidRPr="00623297">
        <w:footnoteRef/>
      </w:r>
      <w:r w:rsidRPr="00623297">
        <w:t xml:space="preserve"> </w:t>
      </w:r>
      <w:r>
        <w:tab/>
      </w:r>
      <w:r w:rsidRPr="00623297">
        <w:t>ABS</w:t>
      </w:r>
      <w:r>
        <w:t xml:space="preserve">, </w:t>
      </w:r>
      <w:hyperlink r:id="rId44" w:history="1">
        <w:r w:rsidRPr="005D43A1">
          <w:rPr>
            <w:rStyle w:val="Hyperlink"/>
            <w:i/>
          </w:rPr>
          <w:t>Selected Living Cost Indexes, Australia methodology</w:t>
        </w:r>
      </w:hyperlink>
      <w:r>
        <w:t xml:space="preserve">, ABS, Canberra, 2021, viewed 13 July 2021. </w:t>
      </w:r>
    </w:p>
  </w:footnote>
  <w:footnote w:id="51">
    <w:p w14:paraId="5498F5F9" w14:textId="77777777" w:rsidR="007557AF" w:rsidRPr="00CE74F5" w:rsidRDefault="007557AF" w:rsidP="007557AF">
      <w:pPr>
        <w:pStyle w:val="FootnoteText"/>
        <w:rPr>
          <w:lang w:val="en-US"/>
        </w:rPr>
      </w:pPr>
      <w:r w:rsidRPr="00871686">
        <w:footnoteRef/>
      </w:r>
      <w:r>
        <w:t xml:space="preserve"> </w:t>
      </w:r>
      <w:r>
        <w:tab/>
      </w:r>
      <w:r w:rsidRPr="00972BBB">
        <w:rPr>
          <w:lang w:val="en-US"/>
        </w:rPr>
        <w:t xml:space="preserve">ABS, </w:t>
      </w:r>
      <w:r w:rsidRPr="00972BBB">
        <w:rPr>
          <w:i/>
          <w:iCs/>
          <w:lang w:val="en-US"/>
        </w:rPr>
        <w:t>Selected Living Cost Indexes, Australia methodology</w:t>
      </w:r>
      <w:r>
        <w:rPr>
          <w:lang w:val="en-US"/>
        </w:rPr>
        <w:t>.</w:t>
      </w:r>
    </w:p>
  </w:footnote>
  <w:footnote w:id="52">
    <w:p w14:paraId="3EA66E56" w14:textId="77777777" w:rsidR="00F03FC3" w:rsidRPr="00241E58" w:rsidRDefault="00F03FC3" w:rsidP="00F03FC3">
      <w:pPr>
        <w:pStyle w:val="FootnoteText"/>
        <w:rPr>
          <w:lang w:val="en-US"/>
        </w:rPr>
      </w:pPr>
      <w:r w:rsidRPr="00FB1DF2">
        <w:footnoteRef/>
      </w:r>
      <w:r w:rsidRPr="00FB1DF2">
        <w:t xml:space="preserve"> </w:t>
      </w:r>
      <w:r>
        <w:tab/>
      </w:r>
      <w:r w:rsidRPr="00241E58">
        <w:t xml:space="preserve">M Klapdor, </w:t>
      </w:r>
      <w:hyperlink r:id="rId45" w:history="1">
        <w:r w:rsidRPr="006B0E95">
          <w:rPr>
            <w:rStyle w:val="Hyperlink"/>
            <w:i/>
          </w:rPr>
          <w:t>Pension indexation: a brief history</w:t>
        </w:r>
      </w:hyperlink>
      <w:r w:rsidRPr="00241E58">
        <w:t>, Flag</w:t>
      </w:r>
      <w:r>
        <w:t>P</w:t>
      </w:r>
      <w:r w:rsidRPr="00241E58">
        <w:t xml:space="preserve">ost blog, Parliamentary Library, Canberra, 16 April 2014, </w:t>
      </w:r>
      <w:r>
        <w:t>accessed 13 July 2021.</w:t>
      </w:r>
      <w:r w:rsidRPr="00241E58">
        <w:t xml:space="preserve"> NOTE: Allowance payments, such as </w:t>
      </w:r>
      <w:r>
        <w:t>JobSeeker</w:t>
      </w:r>
      <w:r w:rsidRPr="00241E58">
        <w:t xml:space="preserve"> and Youth Allowance</w:t>
      </w:r>
      <w:r>
        <w:t>,</w:t>
      </w:r>
      <w:r w:rsidRPr="00241E58">
        <w:t xml:space="preserve"> are indexed to the CPI only and are adjusted </w:t>
      </w:r>
      <w:r>
        <w:t xml:space="preserve">six </w:t>
      </w:r>
      <w:r w:rsidRPr="00241E58">
        <w:t xml:space="preserve">monthly </w:t>
      </w:r>
      <w:r>
        <w:t>–</w:t>
      </w:r>
      <w:r w:rsidRPr="00241E58">
        <w:t xml:space="preserve"> every</w:t>
      </w:r>
      <w:r>
        <w:t xml:space="preserve"> </w:t>
      </w:r>
      <w:r w:rsidRPr="00241E58">
        <w:t>March and September.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62664D86"/>
    <w:lvl w:ilvl="0">
      <w:start w:val="1"/>
      <w:numFmt w:val="bullet"/>
      <w:pStyle w:val="ListBullet"/>
      <w:lvlText w:val=""/>
      <w:lvlJc w:val="left"/>
      <w:pPr>
        <w:ind w:left="360" w:hanging="360"/>
      </w:pPr>
      <w:rPr>
        <w:rFonts w:ascii="Symbol" w:hAnsi="Symbol" w:hint="default"/>
        <w:color w:val="006699"/>
      </w:rPr>
    </w:lvl>
  </w:abstractNum>
  <w:abstractNum w:abstractNumId="6"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9176078"/>
    <w:multiLevelType w:val="multilevel"/>
    <w:tmpl w:val="C00C042A"/>
    <w:lvl w:ilvl="0">
      <w:start w:val="1"/>
      <w:numFmt w:val="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3"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7"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2"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5"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6"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94366740">
    <w:abstractNumId w:val="8"/>
  </w:num>
  <w:num w:numId="2" w16cid:durableId="1581913193">
    <w:abstractNumId w:val="10"/>
  </w:num>
  <w:num w:numId="3" w16cid:durableId="1126388629">
    <w:abstractNumId w:val="21"/>
  </w:num>
  <w:num w:numId="4" w16cid:durableId="133067503">
    <w:abstractNumId w:val="19"/>
  </w:num>
  <w:num w:numId="5" w16cid:durableId="983504674">
    <w:abstractNumId w:val="18"/>
  </w:num>
  <w:num w:numId="6" w16cid:durableId="2005812794">
    <w:abstractNumId w:val="20"/>
  </w:num>
  <w:num w:numId="7" w16cid:durableId="445275189">
    <w:abstractNumId w:val="12"/>
  </w:num>
  <w:num w:numId="8" w16cid:durableId="1353649745">
    <w:abstractNumId w:val="24"/>
  </w:num>
  <w:num w:numId="9" w16cid:durableId="1924727737">
    <w:abstractNumId w:val="9"/>
  </w:num>
  <w:num w:numId="10" w16cid:durableId="851379397">
    <w:abstractNumId w:val="23"/>
  </w:num>
  <w:num w:numId="11" w16cid:durableId="103775011">
    <w:abstractNumId w:val="11"/>
  </w:num>
  <w:num w:numId="12" w16cid:durableId="1909686257">
    <w:abstractNumId w:val="6"/>
  </w:num>
  <w:num w:numId="13" w16cid:durableId="471599578">
    <w:abstractNumId w:val="22"/>
  </w:num>
  <w:num w:numId="14" w16cid:durableId="1505363649">
    <w:abstractNumId w:val="13"/>
  </w:num>
  <w:num w:numId="15" w16cid:durableId="1873956140">
    <w:abstractNumId w:val="14"/>
  </w:num>
  <w:num w:numId="16" w16cid:durableId="1837067248">
    <w:abstractNumId w:val="7"/>
  </w:num>
  <w:num w:numId="17" w16cid:durableId="1794983583">
    <w:abstractNumId w:val="17"/>
  </w:num>
  <w:num w:numId="18" w16cid:durableId="2132245098">
    <w:abstractNumId w:val="4"/>
  </w:num>
  <w:num w:numId="19" w16cid:durableId="899706462">
    <w:abstractNumId w:val="2"/>
  </w:num>
  <w:num w:numId="20" w16cid:durableId="1552880619">
    <w:abstractNumId w:val="1"/>
  </w:num>
  <w:num w:numId="21" w16cid:durableId="1415591972">
    <w:abstractNumId w:val="3"/>
  </w:num>
  <w:num w:numId="22" w16cid:durableId="1024134040">
    <w:abstractNumId w:val="0"/>
  </w:num>
  <w:num w:numId="23" w16cid:durableId="1365716362">
    <w:abstractNumId w:val="16"/>
  </w:num>
  <w:num w:numId="24" w16cid:durableId="548612791">
    <w:abstractNumId w:val="26"/>
  </w:num>
  <w:num w:numId="25" w16cid:durableId="2093045063">
    <w:abstractNumId w:val="25"/>
  </w:num>
  <w:num w:numId="26" w16cid:durableId="964042554">
    <w:abstractNumId w:val="15"/>
  </w:num>
  <w:num w:numId="27" w16cid:durableId="4731836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A8"/>
    <w:rsid w:val="0000015B"/>
    <w:rsid w:val="00000585"/>
    <w:rsid w:val="00001157"/>
    <w:rsid w:val="00001CC1"/>
    <w:rsid w:val="0000255E"/>
    <w:rsid w:val="000027A8"/>
    <w:rsid w:val="00002C41"/>
    <w:rsid w:val="000040BA"/>
    <w:rsid w:val="00004697"/>
    <w:rsid w:val="00004C9A"/>
    <w:rsid w:val="00004C9B"/>
    <w:rsid w:val="0000517C"/>
    <w:rsid w:val="0000588C"/>
    <w:rsid w:val="00005A28"/>
    <w:rsid w:val="00005AF7"/>
    <w:rsid w:val="00005B30"/>
    <w:rsid w:val="00005FF4"/>
    <w:rsid w:val="00006B64"/>
    <w:rsid w:val="00007467"/>
    <w:rsid w:val="00007AF0"/>
    <w:rsid w:val="00010F14"/>
    <w:rsid w:val="000116AF"/>
    <w:rsid w:val="00011872"/>
    <w:rsid w:val="00011B78"/>
    <w:rsid w:val="000120D3"/>
    <w:rsid w:val="00012365"/>
    <w:rsid w:val="00012633"/>
    <w:rsid w:val="00012D83"/>
    <w:rsid w:val="00012E73"/>
    <w:rsid w:val="000132C9"/>
    <w:rsid w:val="000133B9"/>
    <w:rsid w:val="00013ED8"/>
    <w:rsid w:val="00014172"/>
    <w:rsid w:val="00014206"/>
    <w:rsid w:val="00014249"/>
    <w:rsid w:val="000143A5"/>
    <w:rsid w:val="00014A41"/>
    <w:rsid w:val="00014B3B"/>
    <w:rsid w:val="0001514A"/>
    <w:rsid w:val="000152FD"/>
    <w:rsid w:val="0001553C"/>
    <w:rsid w:val="00015A49"/>
    <w:rsid w:val="00015F7A"/>
    <w:rsid w:val="000162D8"/>
    <w:rsid w:val="000164F8"/>
    <w:rsid w:val="000166C8"/>
    <w:rsid w:val="00016946"/>
    <w:rsid w:val="00017087"/>
    <w:rsid w:val="00017887"/>
    <w:rsid w:val="000178BD"/>
    <w:rsid w:val="000212D1"/>
    <w:rsid w:val="000213D0"/>
    <w:rsid w:val="000215B8"/>
    <w:rsid w:val="00021975"/>
    <w:rsid w:val="00021D73"/>
    <w:rsid w:val="00022381"/>
    <w:rsid w:val="0002251B"/>
    <w:rsid w:val="00022CA9"/>
    <w:rsid w:val="00022D96"/>
    <w:rsid w:val="000233EA"/>
    <w:rsid w:val="000238CB"/>
    <w:rsid w:val="000239A2"/>
    <w:rsid w:val="00023C3F"/>
    <w:rsid w:val="000242C2"/>
    <w:rsid w:val="0002453D"/>
    <w:rsid w:val="000246AF"/>
    <w:rsid w:val="000247E6"/>
    <w:rsid w:val="00024A48"/>
    <w:rsid w:val="00024DDE"/>
    <w:rsid w:val="00025280"/>
    <w:rsid w:val="000252FB"/>
    <w:rsid w:val="000253A9"/>
    <w:rsid w:val="00025A2F"/>
    <w:rsid w:val="00025F23"/>
    <w:rsid w:val="00026723"/>
    <w:rsid w:val="00026A30"/>
    <w:rsid w:val="00026FF5"/>
    <w:rsid w:val="00027187"/>
    <w:rsid w:val="0002726C"/>
    <w:rsid w:val="0002768E"/>
    <w:rsid w:val="000300CA"/>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C7A"/>
    <w:rsid w:val="00034E48"/>
    <w:rsid w:val="0003516D"/>
    <w:rsid w:val="000355EE"/>
    <w:rsid w:val="00035679"/>
    <w:rsid w:val="000358E8"/>
    <w:rsid w:val="00035A9D"/>
    <w:rsid w:val="00036236"/>
    <w:rsid w:val="00036701"/>
    <w:rsid w:val="00036EFE"/>
    <w:rsid w:val="000372C0"/>
    <w:rsid w:val="00037427"/>
    <w:rsid w:val="00037BE6"/>
    <w:rsid w:val="00037DE8"/>
    <w:rsid w:val="00040A4C"/>
    <w:rsid w:val="00040CFB"/>
    <w:rsid w:val="00040DD7"/>
    <w:rsid w:val="00040F25"/>
    <w:rsid w:val="000415AD"/>
    <w:rsid w:val="000418AF"/>
    <w:rsid w:val="00041995"/>
    <w:rsid w:val="00041BF1"/>
    <w:rsid w:val="00041F28"/>
    <w:rsid w:val="00042382"/>
    <w:rsid w:val="0004252C"/>
    <w:rsid w:val="00042E96"/>
    <w:rsid w:val="00043919"/>
    <w:rsid w:val="00043CF4"/>
    <w:rsid w:val="00043D22"/>
    <w:rsid w:val="00043F97"/>
    <w:rsid w:val="00044716"/>
    <w:rsid w:val="000447F4"/>
    <w:rsid w:val="00044A07"/>
    <w:rsid w:val="00044D90"/>
    <w:rsid w:val="0004507D"/>
    <w:rsid w:val="000454CC"/>
    <w:rsid w:val="000469CD"/>
    <w:rsid w:val="00046C0E"/>
    <w:rsid w:val="00046F42"/>
    <w:rsid w:val="000471FF"/>
    <w:rsid w:val="00047B01"/>
    <w:rsid w:val="000503BF"/>
    <w:rsid w:val="00050620"/>
    <w:rsid w:val="000506CD"/>
    <w:rsid w:val="00050C3C"/>
    <w:rsid w:val="00050D10"/>
    <w:rsid w:val="00050E6A"/>
    <w:rsid w:val="00051D4D"/>
    <w:rsid w:val="0005220F"/>
    <w:rsid w:val="000523F0"/>
    <w:rsid w:val="00053BED"/>
    <w:rsid w:val="00054130"/>
    <w:rsid w:val="00054338"/>
    <w:rsid w:val="000546C5"/>
    <w:rsid w:val="00054AD4"/>
    <w:rsid w:val="00054AFA"/>
    <w:rsid w:val="000550EC"/>
    <w:rsid w:val="0005513A"/>
    <w:rsid w:val="000553B2"/>
    <w:rsid w:val="00055A5F"/>
    <w:rsid w:val="00055D5E"/>
    <w:rsid w:val="00056271"/>
    <w:rsid w:val="0005637E"/>
    <w:rsid w:val="0005647A"/>
    <w:rsid w:val="00056819"/>
    <w:rsid w:val="00056969"/>
    <w:rsid w:val="000574A2"/>
    <w:rsid w:val="000576F3"/>
    <w:rsid w:val="00057763"/>
    <w:rsid w:val="00057BF2"/>
    <w:rsid w:val="00057C3D"/>
    <w:rsid w:val="00060660"/>
    <w:rsid w:val="0006090D"/>
    <w:rsid w:val="00060934"/>
    <w:rsid w:val="0006097C"/>
    <w:rsid w:val="00060E6E"/>
    <w:rsid w:val="00060F36"/>
    <w:rsid w:val="00060F8B"/>
    <w:rsid w:val="00060FF2"/>
    <w:rsid w:val="0006141A"/>
    <w:rsid w:val="0006183F"/>
    <w:rsid w:val="00061BD0"/>
    <w:rsid w:val="00061DBB"/>
    <w:rsid w:val="00061F5A"/>
    <w:rsid w:val="000622B1"/>
    <w:rsid w:val="00063064"/>
    <w:rsid w:val="000631D9"/>
    <w:rsid w:val="00063428"/>
    <w:rsid w:val="0006342A"/>
    <w:rsid w:val="0006399D"/>
    <w:rsid w:val="00063DF4"/>
    <w:rsid w:val="00063EE6"/>
    <w:rsid w:val="0006459D"/>
    <w:rsid w:val="000646B1"/>
    <w:rsid w:val="0006512C"/>
    <w:rsid w:val="000659DC"/>
    <w:rsid w:val="00065AF2"/>
    <w:rsid w:val="00066893"/>
    <w:rsid w:val="00066F37"/>
    <w:rsid w:val="00067018"/>
    <w:rsid w:val="00067248"/>
    <w:rsid w:val="00067529"/>
    <w:rsid w:val="000677B2"/>
    <w:rsid w:val="00067900"/>
    <w:rsid w:val="000679F4"/>
    <w:rsid w:val="00067A96"/>
    <w:rsid w:val="00070148"/>
    <w:rsid w:val="0007044D"/>
    <w:rsid w:val="00070586"/>
    <w:rsid w:val="0007074A"/>
    <w:rsid w:val="000717FA"/>
    <w:rsid w:val="0007181D"/>
    <w:rsid w:val="00071BF7"/>
    <w:rsid w:val="00072957"/>
    <w:rsid w:val="0007344A"/>
    <w:rsid w:val="00073589"/>
    <w:rsid w:val="000739EE"/>
    <w:rsid w:val="00073A77"/>
    <w:rsid w:val="00073DC3"/>
    <w:rsid w:val="00073E5F"/>
    <w:rsid w:val="00073F40"/>
    <w:rsid w:val="00073F60"/>
    <w:rsid w:val="0007435C"/>
    <w:rsid w:val="0007460E"/>
    <w:rsid w:val="0007474E"/>
    <w:rsid w:val="00074829"/>
    <w:rsid w:val="0007534D"/>
    <w:rsid w:val="000753E7"/>
    <w:rsid w:val="00075471"/>
    <w:rsid w:val="000755E9"/>
    <w:rsid w:val="000762BD"/>
    <w:rsid w:val="00076888"/>
    <w:rsid w:val="00076AAA"/>
    <w:rsid w:val="00076CEF"/>
    <w:rsid w:val="00076D5C"/>
    <w:rsid w:val="00076F20"/>
    <w:rsid w:val="000771DF"/>
    <w:rsid w:val="000773D8"/>
    <w:rsid w:val="00077528"/>
    <w:rsid w:val="00077575"/>
    <w:rsid w:val="00077ACE"/>
    <w:rsid w:val="00077C59"/>
    <w:rsid w:val="00077FF6"/>
    <w:rsid w:val="00080AFB"/>
    <w:rsid w:val="00080F27"/>
    <w:rsid w:val="000812BB"/>
    <w:rsid w:val="000817EA"/>
    <w:rsid w:val="00081DF2"/>
    <w:rsid w:val="00081EC0"/>
    <w:rsid w:val="00082109"/>
    <w:rsid w:val="00082527"/>
    <w:rsid w:val="000825FA"/>
    <w:rsid w:val="00082CD6"/>
    <w:rsid w:val="00082E7C"/>
    <w:rsid w:val="000837F9"/>
    <w:rsid w:val="00084C86"/>
    <w:rsid w:val="00085752"/>
    <w:rsid w:val="0008599F"/>
    <w:rsid w:val="00085A88"/>
    <w:rsid w:val="00085C8B"/>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461"/>
    <w:rsid w:val="000915C3"/>
    <w:rsid w:val="00091E3A"/>
    <w:rsid w:val="00091F32"/>
    <w:rsid w:val="000923E3"/>
    <w:rsid w:val="000923E8"/>
    <w:rsid w:val="000924F7"/>
    <w:rsid w:val="00092606"/>
    <w:rsid w:val="00092A6C"/>
    <w:rsid w:val="00092D66"/>
    <w:rsid w:val="00093117"/>
    <w:rsid w:val="000932CC"/>
    <w:rsid w:val="000938E3"/>
    <w:rsid w:val="00093D8B"/>
    <w:rsid w:val="00093E89"/>
    <w:rsid w:val="00094301"/>
    <w:rsid w:val="00094398"/>
    <w:rsid w:val="000943A8"/>
    <w:rsid w:val="00095480"/>
    <w:rsid w:val="000954D4"/>
    <w:rsid w:val="0009596D"/>
    <w:rsid w:val="00095E56"/>
    <w:rsid w:val="00096103"/>
    <w:rsid w:val="0009615B"/>
    <w:rsid w:val="00096247"/>
    <w:rsid w:val="0009660D"/>
    <w:rsid w:val="00096802"/>
    <w:rsid w:val="00096939"/>
    <w:rsid w:val="00096D8F"/>
    <w:rsid w:val="00096DAB"/>
    <w:rsid w:val="000971C8"/>
    <w:rsid w:val="00097786"/>
    <w:rsid w:val="00097C0F"/>
    <w:rsid w:val="000A056E"/>
    <w:rsid w:val="000A1539"/>
    <w:rsid w:val="000A161D"/>
    <w:rsid w:val="000A1786"/>
    <w:rsid w:val="000A21CD"/>
    <w:rsid w:val="000A2225"/>
    <w:rsid w:val="000A2253"/>
    <w:rsid w:val="000A3386"/>
    <w:rsid w:val="000A34B6"/>
    <w:rsid w:val="000A3862"/>
    <w:rsid w:val="000A3ABE"/>
    <w:rsid w:val="000A3BFE"/>
    <w:rsid w:val="000A3DD1"/>
    <w:rsid w:val="000A435D"/>
    <w:rsid w:val="000A4B05"/>
    <w:rsid w:val="000A501C"/>
    <w:rsid w:val="000A5475"/>
    <w:rsid w:val="000A59FF"/>
    <w:rsid w:val="000A5C70"/>
    <w:rsid w:val="000A609D"/>
    <w:rsid w:val="000A61ED"/>
    <w:rsid w:val="000A65BC"/>
    <w:rsid w:val="000A6756"/>
    <w:rsid w:val="000A73A5"/>
    <w:rsid w:val="000A762F"/>
    <w:rsid w:val="000A7647"/>
    <w:rsid w:val="000A76C9"/>
    <w:rsid w:val="000A7934"/>
    <w:rsid w:val="000A7A09"/>
    <w:rsid w:val="000A7F11"/>
    <w:rsid w:val="000B0144"/>
    <w:rsid w:val="000B029D"/>
    <w:rsid w:val="000B0386"/>
    <w:rsid w:val="000B039C"/>
    <w:rsid w:val="000B07D4"/>
    <w:rsid w:val="000B0D9E"/>
    <w:rsid w:val="000B0FF7"/>
    <w:rsid w:val="000B1357"/>
    <w:rsid w:val="000B16EF"/>
    <w:rsid w:val="000B1876"/>
    <w:rsid w:val="000B1AFD"/>
    <w:rsid w:val="000B1E5F"/>
    <w:rsid w:val="000B2114"/>
    <w:rsid w:val="000B2A20"/>
    <w:rsid w:val="000B2AF8"/>
    <w:rsid w:val="000B35E3"/>
    <w:rsid w:val="000B4051"/>
    <w:rsid w:val="000B4866"/>
    <w:rsid w:val="000B4A23"/>
    <w:rsid w:val="000B54FC"/>
    <w:rsid w:val="000B58B6"/>
    <w:rsid w:val="000B5CDA"/>
    <w:rsid w:val="000B69F9"/>
    <w:rsid w:val="000B6F08"/>
    <w:rsid w:val="000B705F"/>
    <w:rsid w:val="000B7938"/>
    <w:rsid w:val="000B7BA2"/>
    <w:rsid w:val="000C0114"/>
    <w:rsid w:val="000C03B8"/>
    <w:rsid w:val="000C06D1"/>
    <w:rsid w:val="000C0C16"/>
    <w:rsid w:val="000C0D40"/>
    <w:rsid w:val="000C114C"/>
    <w:rsid w:val="000C1308"/>
    <w:rsid w:val="000C1329"/>
    <w:rsid w:val="000C1B6B"/>
    <w:rsid w:val="000C22A7"/>
    <w:rsid w:val="000C3100"/>
    <w:rsid w:val="000C363D"/>
    <w:rsid w:val="000C37C8"/>
    <w:rsid w:val="000C52BB"/>
    <w:rsid w:val="000C5437"/>
    <w:rsid w:val="000C57A3"/>
    <w:rsid w:val="000C5BD7"/>
    <w:rsid w:val="000C5D11"/>
    <w:rsid w:val="000C60EE"/>
    <w:rsid w:val="000C639A"/>
    <w:rsid w:val="000C662B"/>
    <w:rsid w:val="000C7B0F"/>
    <w:rsid w:val="000C7C48"/>
    <w:rsid w:val="000D0B03"/>
    <w:rsid w:val="000D0F69"/>
    <w:rsid w:val="000D108B"/>
    <w:rsid w:val="000D1282"/>
    <w:rsid w:val="000D1B74"/>
    <w:rsid w:val="000D1EE1"/>
    <w:rsid w:val="000D1F22"/>
    <w:rsid w:val="000D23BE"/>
    <w:rsid w:val="000D23EA"/>
    <w:rsid w:val="000D2402"/>
    <w:rsid w:val="000D27EB"/>
    <w:rsid w:val="000D3102"/>
    <w:rsid w:val="000D32E6"/>
    <w:rsid w:val="000D3721"/>
    <w:rsid w:val="000D3F21"/>
    <w:rsid w:val="000D4915"/>
    <w:rsid w:val="000D4CA8"/>
    <w:rsid w:val="000D51EE"/>
    <w:rsid w:val="000D52C3"/>
    <w:rsid w:val="000D5432"/>
    <w:rsid w:val="000D5DE6"/>
    <w:rsid w:val="000D615C"/>
    <w:rsid w:val="000D6460"/>
    <w:rsid w:val="000D6BB1"/>
    <w:rsid w:val="000D6BF7"/>
    <w:rsid w:val="000D71DB"/>
    <w:rsid w:val="000D7415"/>
    <w:rsid w:val="000D7800"/>
    <w:rsid w:val="000E098B"/>
    <w:rsid w:val="000E0D39"/>
    <w:rsid w:val="000E0D95"/>
    <w:rsid w:val="000E1A65"/>
    <w:rsid w:val="000E1A74"/>
    <w:rsid w:val="000E1C2E"/>
    <w:rsid w:val="000E203E"/>
    <w:rsid w:val="000E208D"/>
    <w:rsid w:val="000E20E8"/>
    <w:rsid w:val="000E2584"/>
    <w:rsid w:val="000E2C55"/>
    <w:rsid w:val="000E31E8"/>
    <w:rsid w:val="000E3698"/>
    <w:rsid w:val="000E36BA"/>
    <w:rsid w:val="000E3D46"/>
    <w:rsid w:val="000E3E97"/>
    <w:rsid w:val="000E4AAD"/>
    <w:rsid w:val="000E4F34"/>
    <w:rsid w:val="000E5AC7"/>
    <w:rsid w:val="000E5F84"/>
    <w:rsid w:val="000E610D"/>
    <w:rsid w:val="000E6774"/>
    <w:rsid w:val="000E78F7"/>
    <w:rsid w:val="000F098E"/>
    <w:rsid w:val="000F0AA6"/>
    <w:rsid w:val="000F14F7"/>
    <w:rsid w:val="000F15B2"/>
    <w:rsid w:val="000F1A19"/>
    <w:rsid w:val="000F1CDC"/>
    <w:rsid w:val="000F262E"/>
    <w:rsid w:val="000F27FF"/>
    <w:rsid w:val="000F2A0D"/>
    <w:rsid w:val="000F30C5"/>
    <w:rsid w:val="000F34D7"/>
    <w:rsid w:val="000F3967"/>
    <w:rsid w:val="000F39F4"/>
    <w:rsid w:val="000F4692"/>
    <w:rsid w:val="000F4976"/>
    <w:rsid w:val="000F4F71"/>
    <w:rsid w:val="000F5085"/>
    <w:rsid w:val="000F50D8"/>
    <w:rsid w:val="000F56AC"/>
    <w:rsid w:val="000F5B27"/>
    <w:rsid w:val="000F5E6A"/>
    <w:rsid w:val="000F5FDF"/>
    <w:rsid w:val="000F6B94"/>
    <w:rsid w:val="000F6BDC"/>
    <w:rsid w:val="000F6DC9"/>
    <w:rsid w:val="000F71B8"/>
    <w:rsid w:val="000F73C5"/>
    <w:rsid w:val="0010063A"/>
    <w:rsid w:val="00100B87"/>
    <w:rsid w:val="00100C37"/>
    <w:rsid w:val="00100C86"/>
    <w:rsid w:val="00100D08"/>
    <w:rsid w:val="00101373"/>
    <w:rsid w:val="00101589"/>
    <w:rsid w:val="001017B4"/>
    <w:rsid w:val="00101D57"/>
    <w:rsid w:val="001027CF"/>
    <w:rsid w:val="00102A07"/>
    <w:rsid w:val="00102D95"/>
    <w:rsid w:val="00102D9C"/>
    <w:rsid w:val="00102F58"/>
    <w:rsid w:val="0010314C"/>
    <w:rsid w:val="001037DA"/>
    <w:rsid w:val="00103BE9"/>
    <w:rsid w:val="00103FC7"/>
    <w:rsid w:val="001040E9"/>
    <w:rsid w:val="001040EC"/>
    <w:rsid w:val="00104C21"/>
    <w:rsid w:val="00104E04"/>
    <w:rsid w:val="00104FBE"/>
    <w:rsid w:val="001052A2"/>
    <w:rsid w:val="001054E1"/>
    <w:rsid w:val="001056BD"/>
    <w:rsid w:val="0010628C"/>
    <w:rsid w:val="00106F30"/>
    <w:rsid w:val="00107469"/>
    <w:rsid w:val="00107639"/>
    <w:rsid w:val="00107A8C"/>
    <w:rsid w:val="00110451"/>
    <w:rsid w:val="00111019"/>
    <w:rsid w:val="00111297"/>
    <w:rsid w:val="001112E3"/>
    <w:rsid w:val="00111553"/>
    <w:rsid w:val="0011178F"/>
    <w:rsid w:val="00111DEF"/>
    <w:rsid w:val="00112027"/>
    <w:rsid w:val="001120E4"/>
    <w:rsid w:val="00112901"/>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7D9"/>
    <w:rsid w:val="00115C21"/>
    <w:rsid w:val="00115C22"/>
    <w:rsid w:val="00116097"/>
    <w:rsid w:val="0011629A"/>
    <w:rsid w:val="0011641A"/>
    <w:rsid w:val="001166F9"/>
    <w:rsid w:val="00116AB3"/>
    <w:rsid w:val="00116BAC"/>
    <w:rsid w:val="00116D55"/>
    <w:rsid w:val="00116F58"/>
    <w:rsid w:val="00117F25"/>
    <w:rsid w:val="001204E3"/>
    <w:rsid w:val="001205A1"/>
    <w:rsid w:val="001205A4"/>
    <w:rsid w:val="00120DE1"/>
    <w:rsid w:val="00120DE9"/>
    <w:rsid w:val="001213A3"/>
    <w:rsid w:val="0012177B"/>
    <w:rsid w:val="00121AE3"/>
    <w:rsid w:val="00121D44"/>
    <w:rsid w:val="00122740"/>
    <w:rsid w:val="00122DF0"/>
    <w:rsid w:val="001232C5"/>
    <w:rsid w:val="00123936"/>
    <w:rsid w:val="00123B15"/>
    <w:rsid w:val="001244FA"/>
    <w:rsid w:val="001246FF"/>
    <w:rsid w:val="001249D7"/>
    <w:rsid w:val="0012505F"/>
    <w:rsid w:val="001250CD"/>
    <w:rsid w:val="00125239"/>
    <w:rsid w:val="001254E9"/>
    <w:rsid w:val="00125B92"/>
    <w:rsid w:val="00125C11"/>
    <w:rsid w:val="00126713"/>
    <w:rsid w:val="00126D22"/>
    <w:rsid w:val="001270EE"/>
    <w:rsid w:val="0012720B"/>
    <w:rsid w:val="0012762E"/>
    <w:rsid w:val="00127746"/>
    <w:rsid w:val="00127933"/>
    <w:rsid w:val="00127B24"/>
    <w:rsid w:val="0013022B"/>
    <w:rsid w:val="00130346"/>
    <w:rsid w:val="001303D4"/>
    <w:rsid w:val="00130751"/>
    <w:rsid w:val="001307D6"/>
    <w:rsid w:val="0013085C"/>
    <w:rsid w:val="001310EB"/>
    <w:rsid w:val="00131322"/>
    <w:rsid w:val="00131965"/>
    <w:rsid w:val="00131AFB"/>
    <w:rsid w:val="00131D3F"/>
    <w:rsid w:val="00131D95"/>
    <w:rsid w:val="00131F46"/>
    <w:rsid w:val="001320F0"/>
    <w:rsid w:val="00132190"/>
    <w:rsid w:val="00132552"/>
    <w:rsid w:val="00132F5E"/>
    <w:rsid w:val="0013344D"/>
    <w:rsid w:val="00133C57"/>
    <w:rsid w:val="0013451F"/>
    <w:rsid w:val="001347CA"/>
    <w:rsid w:val="00134B44"/>
    <w:rsid w:val="00134D46"/>
    <w:rsid w:val="00135A61"/>
    <w:rsid w:val="00135DCE"/>
    <w:rsid w:val="00135E66"/>
    <w:rsid w:val="00135EF8"/>
    <w:rsid w:val="00135F97"/>
    <w:rsid w:val="001362B7"/>
    <w:rsid w:val="00136411"/>
    <w:rsid w:val="0013698C"/>
    <w:rsid w:val="001377DE"/>
    <w:rsid w:val="0013785B"/>
    <w:rsid w:val="00137AF8"/>
    <w:rsid w:val="001405FD"/>
    <w:rsid w:val="001406ED"/>
    <w:rsid w:val="00140A42"/>
    <w:rsid w:val="00140A6B"/>
    <w:rsid w:val="00140DEA"/>
    <w:rsid w:val="00141410"/>
    <w:rsid w:val="0014153A"/>
    <w:rsid w:val="0014161E"/>
    <w:rsid w:val="00141D80"/>
    <w:rsid w:val="00142525"/>
    <w:rsid w:val="001428F3"/>
    <w:rsid w:val="00142B78"/>
    <w:rsid w:val="00143411"/>
    <w:rsid w:val="001434FA"/>
    <w:rsid w:val="001442B1"/>
    <w:rsid w:val="0014484F"/>
    <w:rsid w:val="0014496B"/>
    <w:rsid w:val="00144FA2"/>
    <w:rsid w:val="001452BE"/>
    <w:rsid w:val="0014538A"/>
    <w:rsid w:val="001454B7"/>
    <w:rsid w:val="00145717"/>
    <w:rsid w:val="00146E81"/>
    <w:rsid w:val="001473CD"/>
    <w:rsid w:val="001476DB"/>
    <w:rsid w:val="00147756"/>
    <w:rsid w:val="001479F5"/>
    <w:rsid w:val="00147AB7"/>
    <w:rsid w:val="0015006B"/>
    <w:rsid w:val="001501E6"/>
    <w:rsid w:val="001503A1"/>
    <w:rsid w:val="00150904"/>
    <w:rsid w:val="00150936"/>
    <w:rsid w:val="001517BD"/>
    <w:rsid w:val="00151BC0"/>
    <w:rsid w:val="00151BFA"/>
    <w:rsid w:val="00152293"/>
    <w:rsid w:val="0015251F"/>
    <w:rsid w:val="00152945"/>
    <w:rsid w:val="00152A93"/>
    <w:rsid w:val="00152D3F"/>
    <w:rsid w:val="00153BAA"/>
    <w:rsid w:val="001542FF"/>
    <w:rsid w:val="0015462C"/>
    <w:rsid w:val="00154F7D"/>
    <w:rsid w:val="00154F9C"/>
    <w:rsid w:val="00155024"/>
    <w:rsid w:val="0015585B"/>
    <w:rsid w:val="00155B55"/>
    <w:rsid w:val="00155E68"/>
    <w:rsid w:val="00156228"/>
    <w:rsid w:val="00156923"/>
    <w:rsid w:val="00156A23"/>
    <w:rsid w:val="00156BB1"/>
    <w:rsid w:val="00156BED"/>
    <w:rsid w:val="00156DB0"/>
    <w:rsid w:val="001577F6"/>
    <w:rsid w:val="00157936"/>
    <w:rsid w:val="00157B88"/>
    <w:rsid w:val="00160692"/>
    <w:rsid w:val="00160900"/>
    <w:rsid w:val="00160947"/>
    <w:rsid w:val="00160AD9"/>
    <w:rsid w:val="001610FE"/>
    <w:rsid w:val="0016115D"/>
    <w:rsid w:val="0016197C"/>
    <w:rsid w:val="00161ABA"/>
    <w:rsid w:val="00161CBE"/>
    <w:rsid w:val="00161F07"/>
    <w:rsid w:val="0016245C"/>
    <w:rsid w:val="0016318D"/>
    <w:rsid w:val="00163482"/>
    <w:rsid w:val="0016355A"/>
    <w:rsid w:val="0016363B"/>
    <w:rsid w:val="00164895"/>
    <w:rsid w:val="001648A4"/>
    <w:rsid w:val="00165605"/>
    <w:rsid w:val="00165792"/>
    <w:rsid w:val="001659AB"/>
    <w:rsid w:val="00165ABE"/>
    <w:rsid w:val="00165F8F"/>
    <w:rsid w:val="0016628A"/>
    <w:rsid w:val="00166C57"/>
    <w:rsid w:val="00166D83"/>
    <w:rsid w:val="00166E74"/>
    <w:rsid w:val="00167200"/>
    <w:rsid w:val="001675E4"/>
    <w:rsid w:val="001700DD"/>
    <w:rsid w:val="001704BE"/>
    <w:rsid w:val="00170817"/>
    <w:rsid w:val="00170CE5"/>
    <w:rsid w:val="00172183"/>
    <w:rsid w:val="001728CB"/>
    <w:rsid w:val="00172970"/>
    <w:rsid w:val="001734E5"/>
    <w:rsid w:val="00173CE1"/>
    <w:rsid w:val="00173D10"/>
    <w:rsid w:val="001740E6"/>
    <w:rsid w:val="001746EA"/>
    <w:rsid w:val="00174751"/>
    <w:rsid w:val="001747DD"/>
    <w:rsid w:val="00174D79"/>
    <w:rsid w:val="00174DF6"/>
    <w:rsid w:val="001751C7"/>
    <w:rsid w:val="001761B3"/>
    <w:rsid w:val="00176412"/>
    <w:rsid w:val="00176562"/>
    <w:rsid w:val="001774D8"/>
    <w:rsid w:val="00177588"/>
    <w:rsid w:val="0017776A"/>
    <w:rsid w:val="001779C5"/>
    <w:rsid w:val="00177FC3"/>
    <w:rsid w:val="001800E6"/>
    <w:rsid w:val="001800FA"/>
    <w:rsid w:val="00180A90"/>
    <w:rsid w:val="001814C4"/>
    <w:rsid w:val="00181C54"/>
    <w:rsid w:val="001822D7"/>
    <w:rsid w:val="0018260E"/>
    <w:rsid w:val="00182C11"/>
    <w:rsid w:val="00182F1F"/>
    <w:rsid w:val="00182FA7"/>
    <w:rsid w:val="00182FE7"/>
    <w:rsid w:val="00183229"/>
    <w:rsid w:val="001832F6"/>
    <w:rsid w:val="00183456"/>
    <w:rsid w:val="00183779"/>
    <w:rsid w:val="00183F6B"/>
    <w:rsid w:val="001845B2"/>
    <w:rsid w:val="00185011"/>
    <w:rsid w:val="001852B7"/>
    <w:rsid w:val="00185509"/>
    <w:rsid w:val="0018574B"/>
    <w:rsid w:val="00186CFD"/>
    <w:rsid w:val="001870E5"/>
    <w:rsid w:val="0018739F"/>
    <w:rsid w:val="001875F8"/>
    <w:rsid w:val="001876D7"/>
    <w:rsid w:val="00187A6C"/>
    <w:rsid w:val="00187CBC"/>
    <w:rsid w:val="0019036A"/>
    <w:rsid w:val="00190446"/>
    <w:rsid w:val="00190D7B"/>
    <w:rsid w:val="0019104D"/>
    <w:rsid w:val="00191AFB"/>
    <w:rsid w:val="00191DCE"/>
    <w:rsid w:val="00192451"/>
    <w:rsid w:val="0019257F"/>
    <w:rsid w:val="00192C79"/>
    <w:rsid w:val="00192F1D"/>
    <w:rsid w:val="00193573"/>
    <w:rsid w:val="00193B91"/>
    <w:rsid w:val="00193ED3"/>
    <w:rsid w:val="00194214"/>
    <w:rsid w:val="001949F5"/>
    <w:rsid w:val="00194AD4"/>
    <w:rsid w:val="00194B72"/>
    <w:rsid w:val="00194C6D"/>
    <w:rsid w:val="00194D37"/>
    <w:rsid w:val="00194DDD"/>
    <w:rsid w:val="00195619"/>
    <w:rsid w:val="00195A19"/>
    <w:rsid w:val="00195B32"/>
    <w:rsid w:val="00195E3B"/>
    <w:rsid w:val="00195E7B"/>
    <w:rsid w:val="00196235"/>
    <w:rsid w:val="00196D40"/>
    <w:rsid w:val="00196F97"/>
    <w:rsid w:val="00197372"/>
    <w:rsid w:val="00197582"/>
    <w:rsid w:val="001A0305"/>
    <w:rsid w:val="001A0F4E"/>
    <w:rsid w:val="001A0FB8"/>
    <w:rsid w:val="001A0FF4"/>
    <w:rsid w:val="001A120B"/>
    <w:rsid w:val="001A14C2"/>
    <w:rsid w:val="001A1730"/>
    <w:rsid w:val="001A177A"/>
    <w:rsid w:val="001A177B"/>
    <w:rsid w:val="001A17EB"/>
    <w:rsid w:val="001A19AC"/>
    <w:rsid w:val="001A1A7D"/>
    <w:rsid w:val="001A1CA6"/>
    <w:rsid w:val="001A1E23"/>
    <w:rsid w:val="001A29C8"/>
    <w:rsid w:val="001A2E42"/>
    <w:rsid w:val="001A2E55"/>
    <w:rsid w:val="001A2FCA"/>
    <w:rsid w:val="001A3255"/>
    <w:rsid w:val="001A32E2"/>
    <w:rsid w:val="001A37B1"/>
    <w:rsid w:val="001A3C0F"/>
    <w:rsid w:val="001A3C8C"/>
    <w:rsid w:val="001A40F4"/>
    <w:rsid w:val="001A47BC"/>
    <w:rsid w:val="001A48C4"/>
    <w:rsid w:val="001A4A67"/>
    <w:rsid w:val="001A4EF6"/>
    <w:rsid w:val="001A52A3"/>
    <w:rsid w:val="001A5BC7"/>
    <w:rsid w:val="001A6448"/>
    <w:rsid w:val="001A68BD"/>
    <w:rsid w:val="001A6928"/>
    <w:rsid w:val="001A6C17"/>
    <w:rsid w:val="001A7D8C"/>
    <w:rsid w:val="001A7E66"/>
    <w:rsid w:val="001A7EEC"/>
    <w:rsid w:val="001B05E9"/>
    <w:rsid w:val="001B0760"/>
    <w:rsid w:val="001B0776"/>
    <w:rsid w:val="001B07B5"/>
    <w:rsid w:val="001B111D"/>
    <w:rsid w:val="001B162F"/>
    <w:rsid w:val="001B1863"/>
    <w:rsid w:val="001B1A7A"/>
    <w:rsid w:val="001B1EE2"/>
    <w:rsid w:val="001B2112"/>
    <w:rsid w:val="001B211B"/>
    <w:rsid w:val="001B2807"/>
    <w:rsid w:val="001B28B6"/>
    <w:rsid w:val="001B29BA"/>
    <w:rsid w:val="001B2C67"/>
    <w:rsid w:val="001B2F70"/>
    <w:rsid w:val="001B2FCD"/>
    <w:rsid w:val="001B332D"/>
    <w:rsid w:val="001B3723"/>
    <w:rsid w:val="001B3953"/>
    <w:rsid w:val="001B3BDD"/>
    <w:rsid w:val="001B3D3F"/>
    <w:rsid w:val="001B3DA9"/>
    <w:rsid w:val="001B4A5C"/>
    <w:rsid w:val="001B5035"/>
    <w:rsid w:val="001B5137"/>
    <w:rsid w:val="001B5490"/>
    <w:rsid w:val="001B55E6"/>
    <w:rsid w:val="001B66E9"/>
    <w:rsid w:val="001B707A"/>
    <w:rsid w:val="001B7334"/>
    <w:rsid w:val="001B74C0"/>
    <w:rsid w:val="001B76ED"/>
    <w:rsid w:val="001B7AC6"/>
    <w:rsid w:val="001C0017"/>
    <w:rsid w:val="001C017E"/>
    <w:rsid w:val="001C01A5"/>
    <w:rsid w:val="001C061C"/>
    <w:rsid w:val="001C0D1F"/>
    <w:rsid w:val="001C0DCF"/>
    <w:rsid w:val="001C13A1"/>
    <w:rsid w:val="001C177B"/>
    <w:rsid w:val="001C1A79"/>
    <w:rsid w:val="001C1DFC"/>
    <w:rsid w:val="001C255D"/>
    <w:rsid w:val="001C2858"/>
    <w:rsid w:val="001C285C"/>
    <w:rsid w:val="001C2B7D"/>
    <w:rsid w:val="001C2E76"/>
    <w:rsid w:val="001C3001"/>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3C8"/>
    <w:rsid w:val="001C549D"/>
    <w:rsid w:val="001C54B3"/>
    <w:rsid w:val="001C562C"/>
    <w:rsid w:val="001C6361"/>
    <w:rsid w:val="001C69F0"/>
    <w:rsid w:val="001C6AF4"/>
    <w:rsid w:val="001C75E9"/>
    <w:rsid w:val="001C7C79"/>
    <w:rsid w:val="001C7CBE"/>
    <w:rsid w:val="001C7D84"/>
    <w:rsid w:val="001D01D4"/>
    <w:rsid w:val="001D08F7"/>
    <w:rsid w:val="001D0975"/>
    <w:rsid w:val="001D0ADC"/>
    <w:rsid w:val="001D0FDD"/>
    <w:rsid w:val="001D111F"/>
    <w:rsid w:val="001D17FD"/>
    <w:rsid w:val="001D1843"/>
    <w:rsid w:val="001D187C"/>
    <w:rsid w:val="001D1E2C"/>
    <w:rsid w:val="001D2019"/>
    <w:rsid w:val="001D2123"/>
    <w:rsid w:val="001D247B"/>
    <w:rsid w:val="001D27AA"/>
    <w:rsid w:val="001D2B5A"/>
    <w:rsid w:val="001D31C1"/>
    <w:rsid w:val="001D35F6"/>
    <w:rsid w:val="001D3902"/>
    <w:rsid w:val="001D3EEA"/>
    <w:rsid w:val="001D4161"/>
    <w:rsid w:val="001D4272"/>
    <w:rsid w:val="001D50B3"/>
    <w:rsid w:val="001D52A0"/>
    <w:rsid w:val="001D5767"/>
    <w:rsid w:val="001D57D0"/>
    <w:rsid w:val="001D5CCF"/>
    <w:rsid w:val="001D6D28"/>
    <w:rsid w:val="001D6EEF"/>
    <w:rsid w:val="001D78D0"/>
    <w:rsid w:val="001E0249"/>
    <w:rsid w:val="001E05EA"/>
    <w:rsid w:val="001E0AE9"/>
    <w:rsid w:val="001E1035"/>
    <w:rsid w:val="001E1990"/>
    <w:rsid w:val="001E1A2C"/>
    <w:rsid w:val="001E1ECE"/>
    <w:rsid w:val="001E1F60"/>
    <w:rsid w:val="001E20E6"/>
    <w:rsid w:val="001E25D4"/>
    <w:rsid w:val="001E2886"/>
    <w:rsid w:val="001E4636"/>
    <w:rsid w:val="001E468C"/>
    <w:rsid w:val="001E4979"/>
    <w:rsid w:val="001E49B5"/>
    <w:rsid w:val="001E4A2B"/>
    <w:rsid w:val="001E4B25"/>
    <w:rsid w:val="001E5335"/>
    <w:rsid w:val="001E553F"/>
    <w:rsid w:val="001E5641"/>
    <w:rsid w:val="001E623A"/>
    <w:rsid w:val="001E6272"/>
    <w:rsid w:val="001E627D"/>
    <w:rsid w:val="001E6369"/>
    <w:rsid w:val="001E63AC"/>
    <w:rsid w:val="001E7515"/>
    <w:rsid w:val="001E7934"/>
    <w:rsid w:val="001E7B53"/>
    <w:rsid w:val="001E7E3C"/>
    <w:rsid w:val="001F0485"/>
    <w:rsid w:val="001F0CD7"/>
    <w:rsid w:val="001F0CE3"/>
    <w:rsid w:val="001F0DBC"/>
    <w:rsid w:val="001F100D"/>
    <w:rsid w:val="001F1049"/>
    <w:rsid w:val="001F1192"/>
    <w:rsid w:val="001F15DF"/>
    <w:rsid w:val="001F16F2"/>
    <w:rsid w:val="001F1A50"/>
    <w:rsid w:val="001F1F59"/>
    <w:rsid w:val="001F1FD3"/>
    <w:rsid w:val="001F250B"/>
    <w:rsid w:val="001F2C64"/>
    <w:rsid w:val="001F2CDD"/>
    <w:rsid w:val="001F374E"/>
    <w:rsid w:val="001F3948"/>
    <w:rsid w:val="001F3F33"/>
    <w:rsid w:val="001F463F"/>
    <w:rsid w:val="001F495E"/>
    <w:rsid w:val="001F49A7"/>
    <w:rsid w:val="001F4E75"/>
    <w:rsid w:val="001F4EDD"/>
    <w:rsid w:val="001F5229"/>
    <w:rsid w:val="001F55B9"/>
    <w:rsid w:val="001F5781"/>
    <w:rsid w:val="001F59CD"/>
    <w:rsid w:val="001F5B8D"/>
    <w:rsid w:val="001F5E3C"/>
    <w:rsid w:val="001F6B00"/>
    <w:rsid w:val="001F6B7E"/>
    <w:rsid w:val="001F6BC4"/>
    <w:rsid w:val="001F6BFB"/>
    <w:rsid w:val="001F71B1"/>
    <w:rsid w:val="001F7329"/>
    <w:rsid w:val="001F74B3"/>
    <w:rsid w:val="001F799C"/>
    <w:rsid w:val="001F7B0D"/>
    <w:rsid w:val="001F7FF3"/>
    <w:rsid w:val="0020038B"/>
    <w:rsid w:val="0020072D"/>
    <w:rsid w:val="0020082D"/>
    <w:rsid w:val="002008BD"/>
    <w:rsid w:val="00200D28"/>
    <w:rsid w:val="00200EAA"/>
    <w:rsid w:val="00201216"/>
    <w:rsid w:val="002013C2"/>
    <w:rsid w:val="0020160B"/>
    <w:rsid w:val="00201783"/>
    <w:rsid w:val="00201D57"/>
    <w:rsid w:val="00202337"/>
    <w:rsid w:val="002025DA"/>
    <w:rsid w:val="002029B6"/>
    <w:rsid w:val="00203060"/>
    <w:rsid w:val="0020314B"/>
    <w:rsid w:val="0020324D"/>
    <w:rsid w:val="002035EC"/>
    <w:rsid w:val="002037E3"/>
    <w:rsid w:val="00203A60"/>
    <w:rsid w:val="00203D00"/>
    <w:rsid w:val="00203FCC"/>
    <w:rsid w:val="00204192"/>
    <w:rsid w:val="00205671"/>
    <w:rsid w:val="00206353"/>
    <w:rsid w:val="0020643D"/>
    <w:rsid w:val="00206802"/>
    <w:rsid w:val="00206878"/>
    <w:rsid w:val="00206882"/>
    <w:rsid w:val="0020746A"/>
    <w:rsid w:val="00210128"/>
    <w:rsid w:val="002103D9"/>
    <w:rsid w:val="002107DC"/>
    <w:rsid w:val="00210BB4"/>
    <w:rsid w:val="00211195"/>
    <w:rsid w:val="0021175D"/>
    <w:rsid w:val="00211866"/>
    <w:rsid w:val="0021190B"/>
    <w:rsid w:val="00211BFA"/>
    <w:rsid w:val="00211E14"/>
    <w:rsid w:val="00212058"/>
    <w:rsid w:val="0021218B"/>
    <w:rsid w:val="00212593"/>
    <w:rsid w:val="00212CC0"/>
    <w:rsid w:val="0021378D"/>
    <w:rsid w:val="00213D6A"/>
    <w:rsid w:val="00213EE7"/>
    <w:rsid w:val="00214B9A"/>
    <w:rsid w:val="00214DAC"/>
    <w:rsid w:val="00214ED9"/>
    <w:rsid w:val="00215031"/>
    <w:rsid w:val="00215534"/>
    <w:rsid w:val="002156C9"/>
    <w:rsid w:val="00215774"/>
    <w:rsid w:val="002157FA"/>
    <w:rsid w:val="00215AE8"/>
    <w:rsid w:val="00215C5F"/>
    <w:rsid w:val="002179F6"/>
    <w:rsid w:val="00217A62"/>
    <w:rsid w:val="00217B6D"/>
    <w:rsid w:val="00220240"/>
    <w:rsid w:val="002202B9"/>
    <w:rsid w:val="002208BA"/>
    <w:rsid w:val="00220F80"/>
    <w:rsid w:val="002212FD"/>
    <w:rsid w:val="00221DC9"/>
    <w:rsid w:val="00222321"/>
    <w:rsid w:val="00222565"/>
    <w:rsid w:val="00222CE1"/>
    <w:rsid w:val="00222D30"/>
    <w:rsid w:val="00222E88"/>
    <w:rsid w:val="00223CC2"/>
    <w:rsid w:val="00223E2B"/>
    <w:rsid w:val="002243E1"/>
    <w:rsid w:val="002244B7"/>
    <w:rsid w:val="00224FB2"/>
    <w:rsid w:val="0022506C"/>
    <w:rsid w:val="00225085"/>
    <w:rsid w:val="002252EC"/>
    <w:rsid w:val="002254F6"/>
    <w:rsid w:val="002261C9"/>
    <w:rsid w:val="00226AD0"/>
    <w:rsid w:val="00226FEF"/>
    <w:rsid w:val="00227061"/>
    <w:rsid w:val="002272FA"/>
    <w:rsid w:val="002274DA"/>
    <w:rsid w:val="00227630"/>
    <w:rsid w:val="00227A23"/>
    <w:rsid w:val="00231640"/>
    <w:rsid w:val="00231AF3"/>
    <w:rsid w:val="00231BCE"/>
    <w:rsid w:val="002321A7"/>
    <w:rsid w:val="002323B5"/>
    <w:rsid w:val="002329E2"/>
    <w:rsid w:val="00232AE3"/>
    <w:rsid w:val="00232B10"/>
    <w:rsid w:val="00232FF4"/>
    <w:rsid w:val="002330E4"/>
    <w:rsid w:val="00233783"/>
    <w:rsid w:val="00233FF7"/>
    <w:rsid w:val="0023406A"/>
    <w:rsid w:val="002340FA"/>
    <w:rsid w:val="002343A7"/>
    <w:rsid w:val="002344C2"/>
    <w:rsid w:val="0023457A"/>
    <w:rsid w:val="00234A2A"/>
    <w:rsid w:val="00234A85"/>
    <w:rsid w:val="00234C94"/>
    <w:rsid w:val="0023500A"/>
    <w:rsid w:val="002353E5"/>
    <w:rsid w:val="00235AAD"/>
    <w:rsid w:val="00235F09"/>
    <w:rsid w:val="00235FD5"/>
    <w:rsid w:val="002360CA"/>
    <w:rsid w:val="002366F5"/>
    <w:rsid w:val="00236863"/>
    <w:rsid w:val="00236FE7"/>
    <w:rsid w:val="00237044"/>
    <w:rsid w:val="00240658"/>
    <w:rsid w:val="0024066C"/>
    <w:rsid w:val="00240EA7"/>
    <w:rsid w:val="00241283"/>
    <w:rsid w:val="002413BF"/>
    <w:rsid w:val="0024157B"/>
    <w:rsid w:val="00241D76"/>
    <w:rsid w:val="002427A4"/>
    <w:rsid w:val="00242F1F"/>
    <w:rsid w:val="002431A5"/>
    <w:rsid w:val="0024387E"/>
    <w:rsid w:val="0024420E"/>
    <w:rsid w:val="00245019"/>
    <w:rsid w:val="00245475"/>
    <w:rsid w:val="002456DE"/>
    <w:rsid w:val="00245A7F"/>
    <w:rsid w:val="00245ADA"/>
    <w:rsid w:val="002464F9"/>
    <w:rsid w:val="00246869"/>
    <w:rsid w:val="00246C9A"/>
    <w:rsid w:val="00247268"/>
    <w:rsid w:val="002473FC"/>
    <w:rsid w:val="002478AE"/>
    <w:rsid w:val="002478E4"/>
    <w:rsid w:val="002479B4"/>
    <w:rsid w:val="00250702"/>
    <w:rsid w:val="002507B5"/>
    <w:rsid w:val="00250844"/>
    <w:rsid w:val="00250F34"/>
    <w:rsid w:val="002512E1"/>
    <w:rsid w:val="0025148C"/>
    <w:rsid w:val="002527E2"/>
    <w:rsid w:val="002528E6"/>
    <w:rsid w:val="0025296A"/>
    <w:rsid w:val="00252ABF"/>
    <w:rsid w:val="00252AE6"/>
    <w:rsid w:val="0025367C"/>
    <w:rsid w:val="0025393B"/>
    <w:rsid w:val="002539DE"/>
    <w:rsid w:val="00253EF6"/>
    <w:rsid w:val="002544EA"/>
    <w:rsid w:val="00254592"/>
    <w:rsid w:val="00254DE9"/>
    <w:rsid w:val="00255650"/>
    <w:rsid w:val="00255695"/>
    <w:rsid w:val="00255959"/>
    <w:rsid w:val="00255977"/>
    <w:rsid w:val="00255AD3"/>
    <w:rsid w:val="00255C8A"/>
    <w:rsid w:val="002568F8"/>
    <w:rsid w:val="00256E20"/>
    <w:rsid w:val="00257376"/>
    <w:rsid w:val="00257752"/>
    <w:rsid w:val="002578C4"/>
    <w:rsid w:val="00260322"/>
    <w:rsid w:val="00261092"/>
    <w:rsid w:val="00261161"/>
    <w:rsid w:val="00261B5A"/>
    <w:rsid w:val="00261CB9"/>
    <w:rsid w:val="0026237A"/>
    <w:rsid w:val="002623A2"/>
    <w:rsid w:val="002629FD"/>
    <w:rsid w:val="00262C13"/>
    <w:rsid w:val="00262C33"/>
    <w:rsid w:val="00262D87"/>
    <w:rsid w:val="002630C6"/>
    <w:rsid w:val="00263252"/>
    <w:rsid w:val="002638C7"/>
    <w:rsid w:val="00263929"/>
    <w:rsid w:val="0026396B"/>
    <w:rsid w:val="00263A0C"/>
    <w:rsid w:val="00263ACB"/>
    <w:rsid w:val="0026498C"/>
    <w:rsid w:val="00264A36"/>
    <w:rsid w:val="002651E6"/>
    <w:rsid w:val="002660F6"/>
    <w:rsid w:val="00266CE7"/>
    <w:rsid w:val="002670F7"/>
    <w:rsid w:val="002670F9"/>
    <w:rsid w:val="00267612"/>
    <w:rsid w:val="00267900"/>
    <w:rsid w:val="00267CC8"/>
    <w:rsid w:val="00267E82"/>
    <w:rsid w:val="00270AFC"/>
    <w:rsid w:val="00270DFE"/>
    <w:rsid w:val="002714EE"/>
    <w:rsid w:val="002715E4"/>
    <w:rsid w:val="00271AE4"/>
    <w:rsid w:val="00271BDE"/>
    <w:rsid w:val="00271C59"/>
    <w:rsid w:val="002723FE"/>
    <w:rsid w:val="0027242A"/>
    <w:rsid w:val="00272678"/>
    <w:rsid w:val="002726DA"/>
    <w:rsid w:val="00272D0D"/>
    <w:rsid w:val="00272E49"/>
    <w:rsid w:val="0027301B"/>
    <w:rsid w:val="00273BEC"/>
    <w:rsid w:val="00274836"/>
    <w:rsid w:val="00274B0D"/>
    <w:rsid w:val="00274BA8"/>
    <w:rsid w:val="00274FE0"/>
    <w:rsid w:val="00275E45"/>
    <w:rsid w:val="002769F1"/>
    <w:rsid w:val="00276C2C"/>
    <w:rsid w:val="00276C4D"/>
    <w:rsid w:val="00276CBF"/>
    <w:rsid w:val="00277039"/>
    <w:rsid w:val="00277480"/>
    <w:rsid w:val="00277936"/>
    <w:rsid w:val="0027793C"/>
    <w:rsid w:val="002806A9"/>
    <w:rsid w:val="00280A4A"/>
    <w:rsid w:val="00281791"/>
    <w:rsid w:val="0028190D"/>
    <w:rsid w:val="0028195E"/>
    <w:rsid w:val="00281EA2"/>
    <w:rsid w:val="00281F49"/>
    <w:rsid w:val="00282041"/>
    <w:rsid w:val="002824AE"/>
    <w:rsid w:val="00282838"/>
    <w:rsid w:val="00282854"/>
    <w:rsid w:val="00282A20"/>
    <w:rsid w:val="00282AF1"/>
    <w:rsid w:val="0028312A"/>
    <w:rsid w:val="0028317F"/>
    <w:rsid w:val="002833BC"/>
    <w:rsid w:val="00283514"/>
    <w:rsid w:val="002839B5"/>
    <w:rsid w:val="00283D06"/>
    <w:rsid w:val="00283E74"/>
    <w:rsid w:val="00284C0A"/>
    <w:rsid w:val="00285514"/>
    <w:rsid w:val="002859DA"/>
    <w:rsid w:val="00286057"/>
    <w:rsid w:val="00286203"/>
    <w:rsid w:val="002868A7"/>
    <w:rsid w:val="00287082"/>
    <w:rsid w:val="00287A2D"/>
    <w:rsid w:val="00287EE3"/>
    <w:rsid w:val="002900F3"/>
    <w:rsid w:val="00290414"/>
    <w:rsid w:val="00290564"/>
    <w:rsid w:val="00290911"/>
    <w:rsid w:val="002909C2"/>
    <w:rsid w:val="00290D0B"/>
    <w:rsid w:val="00291CEE"/>
    <w:rsid w:val="00291E9B"/>
    <w:rsid w:val="00291F74"/>
    <w:rsid w:val="0029212A"/>
    <w:rsid w:val="0029213F"/>
    <w:rsid w:val="0029219A"/>
    <w:rsid w:val="002927EE"/>
    <w:rsid w:val="00292F53"/>
    <w:rsid w:val="00292FD6"/>
    <w:rsid w:val="002933B3"/>
    <w:rsid w:val="0029460B"/>
    <w:rsid w:val="00294DD4"/>
    <w:rsid w:val="0029564D"/>
    <w:rsid w:val="0029565D"/>
    <w:rsid w:val="00295F5E"/>
    <w:rsid w:val="00295F60"/>
    <w:rsid w:val="00295F71"/>
    <w:rsid w:val="0029615B"/>
    <w:rsid w:val="00296F85"/>
    <w:rsid w:val="002972FF"/>
    <w:rsid w:val="002973AB"/>
    <w:rsid w:val="002977B2"/>
    <w:rsid w:val="0029781B"/>
    <w:rsid w:val="00297C7F"/>
    <w:rsid w:val="00297C86"/>
    <w:rsid w:val="00297EBA"/>
    <w:rsid w:val="00297F31"/>
    <w:rsid w:val="002A045E"/>
    <w:rsid w:val="002A0F34"/>
    <w:rsid w:val="002A17D5"/>
    <w:rsid w:val="002A17F4"/>
    <w:rsid w:val="002A1B1B"/>
    <w:rsid w:val="002A202F"/>
    <w:rsid w:val="002A2264"/>
    <w:rsid w:val="002A2339"/>
    <w:rsid w:val="002A2535"/>
    <w:rsid w:val="002A277B"/>
    <w:rsid w:val="002A2F3E"/>
    <w:rsid w:val="002A2FA7"/>
    <w:rsid w:val="002A3342"/>
    <w:rsid w:val="002A36BF"/>
    <w:rsid w:val="002A3728"/>
    <w:rsid w:val="002A3803"/>
    <w:rsid w:val="002A384A"/>
    <w:rsid w:val="002A4333"/>
    <w:rsid w:val="002A43BB"/>
    <w:rsid w:val="002A4618"/>
    <w:rsid w:val="002A4A4F"/>
    <w:rsid w:val="002A503D"/>
    <w:rsid w:val="002A50C4"/>
    <w:rsid w:val="002A52C4"/>
    <w:rsid w:val="002A5554"/>
    <w:rsid w:val="002A5E5A"/>
    <w:rsid w:val="002A5EC3"/>
    <w:rsid w:val="002A6076"/>
    <w:rsid w:val="002A660D"/>
    <w:rsid w:val="002A66E2"/>
    <w:rsid w:val="002A7073"/>
    <w:rsid w:val="002A74CB"/>
    <w:rsid w:val="002A7776"/>
    <w:rsid w:val="002B0A88"/>
    <w:rsid w:val="002B0B42"/>
    <w:rsid w:val="002B0C9D"/>
    <w:rsid w:val="002B0F81"/>
    <w:rsid w:val="002B176B"/>
    <w:rsid w:val="002B184E"/>
    <w:rsid w:val="002B1EC9"/>
    <w:rsid w:val="002B219B"/>
    <w:rsid w:val="002B2464"/>
    <w:rsid w:val="002B258B"/>
    <w:rsid w:val="002B27AB"/>
    <w:rsid w:val="002B2BF7"/>
    <w:rsid w:val="002B2C02"/>
    <w:rsid w:val="002B2ED0"/>
    <w:rsid w:val="002B3829"/>
    <w:rsid w:val="002B3DBF"/>
    <w:rsid w:val="002B3F77"/>
    <w:rsid w:val="002B4102"/>
    <w:rsid w:val="002B411A"/>
    <w:rsid w:val="002B43BC"/>
    <w:rsid w:val="002B490E"/>
    <w:rsid w:val="002B4A8C"/>
    <w:rsid w:val="002B5E59"/>
    <w:rsid w:val="002B5F9F"/>
    <w:rsid w:val="002B607A"/>
    <w:rsid w:val="002B615C"/>
    <w:rsid w:val="002B61B8"/>
    <w:rsid w:val="002B642E"/>
    <w:rsid w:val="002B7B1B"/>
    <w:rsid w:val="002B7D25"/>
    <w:rsid w:val="002C0CC8"/>
    <w:rsid w:val="002C10D5"/>
    <w:rsid w:val="002C11C4"/>
    <w:rsid w:val="002C16DF"/>
    <w:rsid w:val="002C1933"/>
    <w:rsid w:val="002C2BFC"/>
    <w:rsid w:val="002C34EA"/>
    <w:rsid w:val="002C3943"/>
    <w:rsid w:val="002C41F2"/>
    <w:rsid w:val="002C46D4"/>
    <w:rsid w:val="002C49FB"/>
    <w:rsid w:val="002C4E3A"/>
    <w:rsid w:val="002C4E96"/>
    <w:rsid w:val="002C59C5"/>
    <w:rsid w:val="002C6425"/>
    <w:rsid w:val="002C6843"/>
    <w:rsid w:val="002C6990"/>
    <w:rsid w:val="002C6DB1"/>
    <w:rsid w:val="002C72EF"/>
    <w:rsid w:val="002C750C"/>
    <w:rsid w:val="002C7811"/>
    <w:rsid w:val="002C79F6"/>
    <w:rsid w:val="002C7F58"/>
    <w:rsid w:val="002D00FA"/>
    <w:rsid w:val="002D02C0"/>
    <w:rsid w:val="002D0595"/>
    <w:rsid w:val="002D078E"/>
    <w:rsid w:val="002D0B60"/>
    <w:rsid w:val="002D0B65"/>
    <w:rsid w:val="002D0E8C"/>
    <w:rsid w:val="002D1338"/>
    <w:rsid w:val="002D2363"/>
    <w:rsid w:val="002D3697"/>
    <w:rsid w:val="002D387F"/>
    <w:rsid w:val="002D3F34"/>
    <w:rsid w:val="002D3FEF"/>
    <w:rsid w:val="002D4114"/>
    <w:rsid w:val="002D4412"/>
    <w:rsid w:val="002D4421"/>
    <w:rsid w:val="002D4759"/>
    <w:rsid w:val="002D47AF"/>
    <w:rsid w:val="002D4CC6"/>
    <w:rsid w:val="002D532B"/>
    <w:rsid w:val="002D5843"/>
    <w:rsid w:val="002D5A24"/>
    <w:rsid w:val="002D5AA3"/>
    <w:rsid w:val="002D6FFF"/>
    <w:rsid w:val="002D73AC"/>
    <w:rsid w:val="002D761B"/>
    <w:rsid w:val="002D7706"/>
    <w:rsid w:val="002D79D5"/>
    <w:rsid w:val="002E0255"/>
    <w:rsid w:val="002E08DF"/>
    <w:rsid w:val="002E0CC1"/>
    <w:rsid w:val="002E0EBA"/>
    <w:rsid w:val="002E1390"/>
    <w:rsid w:val="002E1BD6"/>
    <w:rsid w:val="002E2751"/>
    <w:rsid w:val="002E2779"/>
    <w:rsid w:val="002E27A1"/>
    <w:rsid w:val="002E2F9D"/>
    <w:rsid w:val="002E38EA"/>
    <w:rsid w:val="002E3997"/>
    <w:rsid w:val="002E3B2B"/>
    <w:rsid w:val="002E3CC9"/>
    <w:rsid w:val="002E3D95"/>
    <w:rsid w:val="002E40DF"/>
    <w:rsid w:val="002E4902"/>
    <w:rsid w:val="002E4B5B"/>
    <w:rsid w:val="002E4C5F"/>
    <w:rsid w:val="002E4D57"/>
    <w:rsid w:val="002E4FC9"/>
    <w:rsid w:val="002E55AA"/>
    <w:rsid w:val="002E55AE"/>
    <w:rsid w:val="002E5801"/>
    <w:rsid w:val="002E5900"/>
    <w:rsid w:val="002E5EE4"/>
    <w:rsid w:val="002E6A58"/>
    <w:rsid w:val="002E7015"/>
    <w:rsid w:val="002E70B3"/>
    <w:rsid w:val="002E76D5"/>
    <w:rsid w:val="002E7862"/>
    <w:rsid w:val="002E78DB"/>
    <w:rsid w:val="002E7C6E"/>
    <w:rsid w:val="002E7EBC"/>
    <w:rsid w:val="002F034A"/>
    <w:rsid w:val="002F075D"/>
    <w:rsid w:val="002F089B"/>
    <w:rsid w:val="002F0B7D"/>
    <w:rsid w:val="002F0C87"/>
    <w:rsid w:val="002F0EC7"/>
    <w:rsid w:val="002F1736"/>
    <w:rsid w:val="002F1993"/>
    <w:rsid w:val="002F1BD5"/>
    <w:rsid w:val="002F1C37"/>
    <w:rsid w:val="002F1D8D"/>
    <w:rsid w:val="002F230D"/>
    <w:rsid w:val="002F297F"/>
    <w:rsid w:val="002F2A3D"/>
    <w:rsid w:val="002F2CDD"/>
    <w:rsid w:val="002F3814"/>
    <w:rsid w:val="002F3A98"/>
    <w:rsid w:val="002F3D9D"/>
    <w:rsid w:val="002F3E06"/>
    <w:rsid w:val="002F3FB6"/>
    <w:rsid w:val="002F4325"/>
    <w:rsid w:val="002F4E6F"/>
    <w:rsid w:val="002F4ECA"/>
    <w:rsid w:val="002F4FBF"/>
    <w:rsid w:val="002F516E"/>
    <w:rsid w:val="002F5B91"/>
    <w:rsid w:val="002F5E04"/>
    <w:rsid w:val="002F63AC"/>
    <w:rsid w:val="002F67D0"/>
    <w:rsid w:val="002F78C6"/>
    <w:rsid w:val="002F7947"/>
    <w:rsid w:val="00300045"/>
    <w:rsid w:val="003001FA"/>
    <w:rsid w:val="003006E1"/>
    <w:rsid w:val="00300B93"/>
    <w:rsid w:val="00300F23"/>
    <w:rsid w:val="00301102"/>
    <w:rsid w:val="00301763"/>
    <w:rsid w:val="003019F2"/>
    <w:rsid w:val="00301B48"/>
    <w:rsid w:val="00301C6C"/>
    <w:rsid w:val="00301E3C"/>
    <w:rsid w:val="00301ED0"/>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07CE6"/>
    <w:rsid w:val="0031038D"/>
    <w:rsid w:val="00310543"/>
    <w:rsid w:val="0031060B"/>
    <w:rsid w:val="003107A9"/>
    <w:rsid w:val="00310D58"/>
    <w:rsid w:val="0031175C"/>
    <w:rsid w:val="00311D17"/>
    <w:rsid w:val="00311E26"/>
    <w:rsid w:val="0031221C"/>
    <w:rsid w:val="003122AA"/>
    <w:rsid w:val="00312D6B"/>
    <w:rsid w:val="00312DD3"/>
    <w:rsid w:val="00312FD5"/>
    <w:rsid w:val="00313593"/>
    <w:rsid w:val="003139E1"/>
    <w:rsid w:val="00314FEE"/>
    <w:rsid w:val="00315030"/>
    <w:rsid w:val="00315043"/>
    <w:rsid w:val="003151CA"/>
    <w:rsid w:val="003151D0"/>
    <w:rsid w:val="0031549A"/>
    <w:rsid w:val="00315C2C"/>
    <w:rsid w:val="00315E49"/>
    <w:rsid w:val="0031600C"/>
    <w:rsid w:val="0031605A"/>
    <w:rsid w:val="003161D0"/>
    <w:rsid w:val="0031629A"/>
    <w:rsid w:val="0031676C"/>
    <w:rsid w:val="00316B24"/>
    <w:rsid w:val="0031737A"/>
    <w:rsid w:val="00317B31"/>
    <w:rsid w:val="00320722"/>
    <w:rsid w:val="00320C74"/>
    <w:rsid w:val="00321264"/>
    <w:rsid w:val="003212E7"/>
    <w:rsid w:val="003214B7"/>
    <w:rsid w:val="003215F3"/>
    <w:rsid w:val="00321F49"/>
    <w:rsid w:val="00322055"/>
    <w:rsid w:val="00322058"/>
    <w:rsid w:val="00322350"/>
    <w:rsid w:val="00322ACA"/>
    <w:rsid w:val="00322E6D"/>
    <w:rsid w:val="00322F70"/>
    <w:rsid w:val="003236E0"/>
    <w:rsid w:val="003236F2"/>
    <w:rsid w:val="0032393B"/>
    <w:rsid w:val="00323E0A"/>
    <w:rsid w:val="0032408B"/>
    <w:rsid w:val="0032414E"/>
    <w:rsid w:val="00324177"/>
    <w:rsid w:val="00324516"/>
    <w:rsid w:val="003248FE"/>
    <w:rsid w:val="00324B57"/>
    <w:rsid w:val="00324BBE"/>
    <w:rsid w:val="00324C46"/>
    <w:rsid w:val="00325596"/>
    <w:rsid w:val="00325C26"/>
    <w:rsid w:val="00326E21"/>
    <w:rsid w:val="00326FCE"/>
    <w:rsid w:val="003271A7"/>
    <w:rsid w:val="00327244"/>
    <w:rsid w:val="00327A3B"/>
    <w:rsid w:val="00327A96"/>
    <w:rsid w:val="00327C3F"/>
    <w:rsid w:val="00327C77"/>
    <w:rsid w:val="00330021"/>
    <w:rsid w:val="00330266"/>
    <w:rsid w:val="00330300"/>
    <w:rsid w:val="003308F2"/>
    <w:rsid w:val="00330F22"/>
    <w:rsid w:val="00332647"/>
    <w:rsid w:val="0033271E"/>
    <w:rsid w:val="0033277D"/>
    <w:rsid w:val="00332781"/>
    <w:rsid w:val="00332BBB"/>
    <w:rsid w:val="00333131"/>
    <w:rsid w:val="00333145"/>
    <w:rsid w:val="00333244"/>
    <w:rsid w:val="0033392C"/>
    <w:rsid w:val="00334558"/>
    <w:rsid w:val="003348F4"/>
    <w:rsid w:val="003353E7"/>
    <w:rsid w:val="003355C3"/>
    <w:rsid w:val="00335703"/>
    <w:rsid w:val="00335DBA"/>
    <w:rsid w:val="00335E48"/>
    <w:rsid w:val="00336038"/>
    <w:rsid w:val="003363E5"/>
    <w:rsid w:val="00336934"/>
    <w:rsid w:val="00336974"/>
    <w:rsid w:val="00336AFC"/>
    <w:rsid w:val="003373E5"/>
    <w:rsid w:val="003402F1"/>
    <w:rsid w:val="003402FF"/>
    <w:rsid w:val="003405E1"/>
    <w:rsid w:val="0034088E"/>
    <w:rsid w:val="00340990"/>
    <w:rsid w:val="00340B17"/>
    <w:rsid w:val="00340C76"/>
    <w:rsid w:val="00341B81"/>
    <w:rsid w:val="00341CD2"/>
    <w:rsid w:val="00341E8C"/>
    <w:rsid w:val="003421CE"/>
    <w:rsid w:val="00342588"/>
    <w:rsid w:val="003425FE"/>
    <w:rsid w:val="003428BC"/>
    <w:rsid w:val="00342EB3"/>
    <w:rsid w:val="0034310D"/>
    <w:rsid w:val="00343227"/>
    <w:rsid w:val="003433C6"/>
    <w:rsid w:val="0034359D"/>
    <w:rsid w:val="003436DD"/>
    <w:rsid w:val="00343AA7"/>
    <w:rsid w:val="00343E41"/>
    <w:rsid w:val="003440E1"/>
    <w:rsid w:val="00344C5D"/>
    <w:rsid w:val="00344FBD"/>
    <w:rsid w:val="003459BF"/>
    <w:rsid w:val="0034604F"/>
    <w:rsid w:val="00346190"/>
    <w:rsid w:val="003461A1"/>
    <w:rsid w:val="003468B6"/>
    <w:rsid w:val="00347105"/>
    <w:rsid w:val="00347401"/>
    <w:rsid w:val="0034772C"/>
    <w:rsid w:val="00347BBC"/>
    <w:rsid w:val="00347BE5"/>
    <w:rsid w:val="00347F01"/>
    <w:rsid w:val="0035051B"/>
    <w:rsid w:val="0035067B"/>
    <w:rsid w:val="00350F59"/>
    <w:rsid w:val="00351307"/>
    <w:rsid w:val="003519F2"/>
    <w:rsid w:val="00351AF8"/>
    <w:rsid w:val="00352287"/>
    <w:rsid w:val="00352393"/>
    <w:rsid w:val="00352539"/>
    <w:rsid w:val="00352900"/>
    <w:rsid w:val="00352994"/>
    <w:rsid w:val="00352CA9"/>
    <w:rsid w:val="00353455"/>
    <w:rsid w:val="003537B8"/>
    <w:rsid w:val="00353906"/>
    <w:rsid w:val="0035476E"/>
    <w:rsid w:val="0035497B"/>
    <w:rsid w:val="00354A18"/>
    <w:rsid w:val="00354B4F"/>
    <w:rsid w:val="00354F32"/>
    <w:rsid w:val="00355582"/>
    <w:rsid w:val="0035565A"/>
    <w:rsid w:val="00355727"/>
    <w:rsid w:val="00355FA3"/>
    <w:rsid w:val="00355FB0"/>
    <w:rsid w:val="003563E1"/>
    <w:rsid w:val="003577AB"/>
    <w:rsid w:val="0035782E"/>
    <w:rsid w:val="00357D2F"/>
    <w:rsid w:val="00360728"/>
    <w:rsid w:val="00360752"/>
    <w:rsid w:val="00360A0C"/>
    <w:rsid w:val="00360D82"/>
    <w:rsid w:val="0036104C"/>
    <w:rsid w:val="0036175D"/>
    <w:rsid w:val="003617F5"/>
    <w:rsid w:val="0036220A"/>
    <w:rsid w:val="003625FE"/>
    <w:rsid w:val="003628F9"/>
    <w:rsid w:val="00363F8E"/>
    <w:rsid w:val="00364470"/>
    <w:rsid w:val="00364548"/>
    <w:rsid w:val="003648DB"/>
    <w:rsid w:val="003649C7"/>
    <w:rsid w:val="00365899"/>
    <w:rsid w:val="00365BB7"/>
    <w:rsid w:val="00365BDE"/>
    <w:rsid w:val="00365D44"/>
    <w:rsid w:val="00366020"/>
    <w:rsid w:val="00366217"/>
    <w:rsid w:val="00366618"/>
    <w:rsid w:val="00366A24"/>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9F6"/>
    <w:rsid w:val="00372CEB"/>
    <w:rsid w:val="00372F8A"/>
    <w:rsid w:val="00373754"/>
    <w:rsid w:val="0037387B"/>
    <w:rsid w:val="003738C5"/>
    <w:rsid w:val="00374349"/>
    <w:rsid w:val="00374A72"/>
    <w:rsid w:val="00374E63"/>
    <w:rsid w:val="003763BA"/>
    <w:rsid w:val="0037678B"/>
    <w:rsid w:val="00376C3B"/>
    <w:rsid w:val="00376E2D"/>
    <w:rsid w:val="00377701"/>
    <w:rsid w:val="00377AEA"/>
    <w:rsid w:val="003809CA"/>
    <w:rsid w:val="00380D94"/>
    <w:rsid w:val="003811E5"/>
    <w:rsid w:val="003812E6"/>
    <w:rsid w:val="00381763"/>
    <w:rsid w:val="00381EDF"/>
    <w:rsid w:val="00381F19"/>
    <w:rsid w:val="00382568"/>
    <w:rsid w:val="0038323C"/>
    <w:rsid w:val="00383981"/>
    <w:rsid w:val="003839DF"/>
    <w:rsid w:val="00383F23"/>
    <w:rsid w:val="003846CE"/>
    <w:rsid w:val="00384E66"/>
    <w:rsid w:val="00385819"/>
    <w:rsid w:val="0038582A"/>
    <w:rsid w:val="003859D4"/>
    <w:rsid w:val="00385A9F"/>
    <w:rsid w:val="00386482"/>
    <w:rsid w:val="0038671A"/>
    <w:rsid w:val="00386BA9"/>
    <w:rsid w:val="00386E19"/>
    <w:rsid w:val="00387462"/>
    <w:rsid w:val="00387698"/>
    <w:rsid w:val="0038793B"/>
    <w:rsid w:val="00387AEF"/>
    <w:rsid w:val="00387B48"/>
    <w:rsid w:val="00387E8D"/>
    <w:rsid w:val="0039018A"/>
    <w:rsid w:val="003905A8"/>
    <w:rsid w:val="003908AA"/>
    <w:rsid w:val="00391629"/>
    <w:rsid w:val="003919B2"/>
    <w:rsid w:val="00391A05"/>
    <w:rsid w:val="003925D4"/>
    <w:rsid w:val="00392EDF"/>
    <w:rsid w:val="003930F2"/>
    <w:rsid w:val="00393213"/>
    <w:rsid w:val="0039368C"/>
    <w:rsid w:val="0039386F"/>
    <w:rsid w:val="003938A9"/>
    <w:rsid w:val="00393A4C"/>
    <w:rsid w:val="00393A60"/>
    <w:rsid w:val="00394089"/>
    <w:rsid w:val="003943DF"/>
    <w:rsid w:val="003947AF"/>
    <w:rsid w:val="003947CF"/>
    <w:rsid w:val="00394858"/>
    <w:rsid w:val="00394B21"/>
    <w:rsid w:val="00395364"/>
    <w:rsid w:val="00395915"/>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BF3"/>
    <w:rsid w:val="003A34C5"/>
    <w:rsid w:val="003A3897"/>
    <w:rsid w:val="003A3985"/>
    <w:rsid w:val="003A3A6D"/>
    <w:rsid w:val="003A3E0E"/>
    <w:rsid w:val="003A3F59"/>
    <w:rsid w:val="003A436A"/>
    <w:rsid w:val="003A4AD5"/>
    <w:rsid w:val="003A4BEF"/>
    <w:rsid w:val="003A4D71"/>
    <w:rsid w:val="003A521B"/>
    <w:rsid w:val="003A528A"/>
    <w:rsid w:val="003A53B0"/>
    <w:rsid w:val="003A5556"/>
    <w:rsid w:val="003A5998"/>
    <w:rsid w:val="003A62B0"/>
    <w:rsid w:val="003A6566"/>
    <w:rsid w:val="003A7014"/>
    <w:rsid w:val="003A79AA"/>
    <w:rsid w:val="003A7C0A"/>
    <w:rsid w:val="003B01EA"/>
    <w:rsid w:val="003B02E6"/>
    <w:rsid w:val="003B044C"/>
    <w:rsid w:val="003B0651"/>
    <w:rsid w:val="003B0972"/>
    <w:rsid w:val="003B0C6A"/>
    <w:rsid w:val="003B0EC3"/>
    <w:rsid w:val="003B0EF9"/>
    <w:rsid w:val="003B12E6"/>
    <w:rsid w:val="003B1BDE"/>
    <w:rsid w:val="003B1DA8"/>
    <w:rsid w:val="003B1DEF"/>
    <w:rsid w:val="003B1E25"/>
    <w:rsid w:val="003B1F0B"/>
    <w:rsid w:val="003B251C"/>
    <w:rsid w:val="003B265D"/>
    <w:rsid w:val="003B2EF6"/>
    <w:rsid w:val="003B34D9"/>
    <w:rsid w:val="003B3622"/>
    <w:rsid w:val="003B3992"/>
    <w:rsid w:val="003B3FCC"/>
    <w:rsid w:val="003B4118"/>
    <w:rsid w:val="003B45BF"/>
    <w:rsid w:val="003B4629"/>
    <w:rsid w:val="003B4D7F"/>
    <w:rsid w:val="003B534D"/>
    <w:rsid w:val="003B5F20"/>
    <w:rsid w:val="003B60A7"/>
    <w:rsid w:val="003B6185"/>
    <w:rsid w:val="003B6261"/>
    <w:rsid w:val="003B6799"/>
    <w:rsid w:val="003B6A83"/>
    <w:rsid w:val="003B6F1F"/>
    <w:rsid w:val="003B73D3"/>
    <w:rsid w:val="003B76F5"/>
    <w:rsid w:val="003B7927"/>
    <w:rsid w:val="003B7A61"/>
    <w:rsid w:val="003B7A9F"/>
    <w:rsid w:val="003C02D3"/>
    <w:rsid w:val="003C07AA"/>
    <w:rsid w:val="003C14D2"/>
    <w:rsid w:val="003C1576"/>
    <w:rsid w:val="003C1793"/>
    <w:rsid w:val="003C2013"/>
    <w:rsid w:val="003C2158"/>
    <w:rsid w:val="003C26DE"/>
    <w:rsid w:val="003C27CE"/>
    <w:rsid w:val="003C296F"/>
    <w:rsid w:val="003C2EF0"/>
    <w:rsid w:val="003C3155"/>
    <w:rsid w:val="003C3468"/>
    <w:rsid w:val="003C375F"/>
    <w:rsid w:val="003C3BDC"/>
    <w:rsid w:val="003C3C21"/>
    <w:rsid w:val="003C3C83"/>
    <w:rsid w:val="003C3E24"/>
    <w:rsid w:val="003C427E"/>
    <w:rsid w:val="003C5AFB"/>
    <w:rsid w:val="003C60EC"/>
    <w:rsid w:val="003C67E9"/>
    <w:rsid w:val="003C6FCD"/>
    <w:rsid w:val="003C737E"/>
    <w:rsid w:val="003C79DA"/>
    <w:rsid w:val="003D0071"/>
    <w:rsid w:val="003D0130"/>
    <w:rsid w:val="003D0558"/>
    <w:rsid w:val="003D077E"/>
    <w:rsid w:val="003D0921"/>
    <w:rsid w:val="003D0A6E"/>
    <w:rsid w:val="003D1453"/>
    <w:rsid w:val="003D158F"/>
    <w:rsid w:val="003D1B7F"/>
    <w:rsid w:val="003D1EF8"/>
    <w:rsid w:val="003D200E"/>
    <w:rsid w:val="003D21FE"/>
    <w:rsid w:val="003D304D"/>
    <w:rsid w:val="003D320D"/>
    <w:rsid w:val="003D3636"/>
    <w:rsid w:val="003D3638"/>
    <w:rsid w:val="003D3772"/>
    <w:rsid w:val="003D3AA4"/>
    <w:rsid w:val="003D47D8"/>
    <w:rsid w:val="003D47DA"/>
    <w:rsid w:val="003D55F8"/>
    <w:rsid w:val="003D5BFB"/>
    <w:rsid w:val="003D5E16"/>
    <w:rsid w:val="003D62C3"/>
    <w:rsid w:val="003D6C69"/>
    <w:rsid w:val="003D6F08"/>
    <w:rsid w:val="003D7038"/>
    <w:rsid w:val="003D74DF"/>
    <w:rsid w:val="003D75D4"/>
    <w:rsid w:val="003D7AFC"/>
    <w:rsid w:val="003D7DFA"/>
    <w:rsid w:val="003E0953"/>
    <w:rsid w:val="003E095C"/>
    <w:rsid w:val="003E0A7A"/>
    <w:rsid w:val="003E1493"/>
    <w:rsid w:val="003E173D"/>
    <w:rsid w:val="003E178C"/>
    <w:rsid w:val="003E188B"/>
    <w:rsid w:val="003E1EE7"/>
    <w:rsid w:val="003E1F57"/>
    <w:rsid w:val="003E2363"/>
    <w:rsid w:val="003E2618"/>
    <w:rsid w:val="003E2694"/>
    <w:rsid w:val="003E288C"/>
    <w:rsid w:val="003E309D"/>
    <w:rsid w:val="003E3926"/>
    <w:rsid w:val="003E438A"/>
    <w:rsid w:val="003E47A9"/>
    <w:rsid w:val="003E4BE5"/>
    <w:rsid w:val="003E50EC"/>
    <w:rsid w:val="003E58AF"/>
    <w:rsid w:val="003E595A"/>
    <w:rsid w:val="003E5E45"/>
    <w:rsid w:val="003E5FED"/>
    <w:rsid w:val="003E62AF"/>
    <w:rsid w:val="003E6820"/>
    <w:rsid w:val="003E6EF5"/>
    <w:rsid w:val="003E7332"/>
    <w:rsid w:val="003E7F63"/>
    <w:rsid w:val="003F12D4"/>
    <w:rsid w:val="003F1990"/>
    <w:rsid w:val="003F2D20"/>
    <w:rsid w:val="003F301A"/>
    <w:rsid w:val="003F32F7"/>
    <w:rsid w:val="003F3564"/>
    <w:rsid w:val="003F393B"/>
    <w:rsid w:val="003F3AC3"/>
    <w:rsid w:val="003F489E"/>
    <w:rsid w:val="003F4B3E"/>
    <w:rsid w:val="003F4CB4"/>
    <w:rsid w:val="003F4D45"/>
    <w:rsid w:val="003F4DBF"/>
    <w:rsid w:val="003F5173"/>
    <w:rsid w:val="003F51F8"/>
    <w:rsid w:val="003F5F43"/>
    <w:rsid w:val="003F6031"/>
    <w:rsid w:val="003F6410"/>
    <w:rsid w:val="003F657F"/>
    <w:rsid w:val="003F68E6"/>
    <w:rsid w:val="003F6C45"/>
    <w:rsid w:val="003F6DE4"/>
    <w:rsid w:val="0040019B"/>
    <w:rsid w:val="00400377"/>
    <w:rsid w:val="00400491"/>
    <w:rsid w:val="004006BE"/>
    <w:rsid w:val="004007BB"/>
    <w:rsid w:val="00400CFD"/>
    <w:rsid w:val="00400F72"/>
    <w:rsid w:val="00401347"/>
    <w:rsid w:val="004013BC"/>
    <w:rsid w:val="004028D5"/>
    <w:rsid w:val="00402B62"/>
    <w:rsid w:val="00402C4B"/>
    <w:rsid w:val="00402D20"/>
    <w:rsid w:val="00402FDA"/>
    <w:rsid w:val="0040311E"/>
    <w:rsid w:val="0040357D"/>
    <w:rsid w:val="004039E7"/>
    <w:rsid w:val="00403A7E"/>
    <w:rsid w:val="00403B06"/>
    <w:rsid w:val="00403B58"/>
    <w:rsid w:val="00403F9D"/>
    <w:rsid w:val="00404BBB"/>
    <w:rsid w:val="00405862"/>
    <w:rsid w:val="00405982"/>
    <w:rsid w:val="00405DE5"/>
    <w:rsid w:val="00405F16"/>
    <w:rsid w:val="004060E2"/>
    <w:rsid w:val="00406193"/>
    <w:rsid w:val="004061CE"/>
    <w:rsid w:val="0040634F"/>
    <w:rsid w:val="00406872"/>
    <w:rsid w:val="004072EF"/>
    <w:rsid w:val="004075DA"/>
    <w:rsid w:val="004077E3"/>
    <w:rsid w:val="0040792B"/>
    <w:rsid w:val="00407D9B"/>
    <w:rsid w:val="00407DF6"/>
    <w:rsid w:val="00410671"/>
    <w:rsid w:val="00410B8E"/>
    <w:rsid w:val="00411A8C"/>
    <w:rsid w:val="00411E86"/>
    <w:rsid w:val="00411EBD"/>
    <w:rsid w:val="00412522"/>
    <w:rsid w:val="004125A1"/>
    <w:rsid w:val="00412978"/>
    <w:rsid w:val="00412A9B"/>
    <w:rsid w:val="00413062"/>
    <w:rsid w:val="0041312C"/>
    <w:rsid w:val="0041338B"/>
    <w:rsid w:val="00413A3A"/>
    <w:rsid w:val="0041464D"/>
    <w:rsid w:val="00414C53"/>
    <w:rsid w:val="00415032"/>
    <w:rsid w:val="00415236"/>
    <w:rsid w:val="00415279"/>
    <w:rsid w:val="0041528E"/>
    <w:rsid w:val="0041530D"/>
    <w:rsid w:val="004154CD"/>
    <w:rsid w:val="00415769"/>
    <w:rsid w:val="00415E4B"/>
    <w:rsid w:val="00416059"/>
    <w:rsid w:val="004164A1"/>
    <w:rsid w:val="004179CF"/>
    <w:rsid w:val="00420DBD"/>
    <w:rsid w:val="00421119"/>
    <w:rsid w:val="0042120F"/>
    <w:rsid w:val="004219A0"/>
    <w:rsid w:val="00421AE6"/>
    <w:rsid w:val="00422328"/>
    <w:rsid w:val="00422678"/>
    <w:rsid w:val="004228EE"/>
    <w:rsid w:val="00422942"/>
    <w:rsid w:val="00422B55"/>
    <w:rsid w:val="004230BD"/>
    <w:rsid w:val="00423548"/>
    <w:rsid w:val="0042393D"/>
    <w:rsid w:val="00423C00"/>
    <w:rsid w:val="00423C98"/>
    <w:rsid w:val="00423EB4"/>
    <w:rsid w:val="00423F9E"/>
    <w:rsid w:val="0042401F"/>
    <w:rsid w:val="0042409B"/>
    <w:rsid w:val="00424EE1"/>
    <w:rsid w:val="004259E4"/>
    <w:rsid w:val="00425AE2"/>
    <w:rsid w:val="004260BB"/>
    <w:rsid w:val="004268CB"/>
    <w:rsid w:val="004269BA"/>
    <w:rsid w:val="00427376"/>
    <w:rsid w:val="004274EE"/>
    <w:rsid w:val="00427638"/>
    <w:rsid w:val="00427C27"/>
    <w:rsid w:val="00427C70"/>
    <w:rsid w:val="00427CCC"/>
    <w:rsid w:val="004300CB"/>
    <w:rsid w:val="004303B1"/>
    <w:rsid w:val="00430453"/>
    <w:rsid w:val="00430BCC"/>
    <w:rsid w:val="00431DB2"/>
    <w:rsid w:val="0043295B"/>
    <w:rsid w:val="0043367B"/>
    <w:rsid w:val="004336E9"/>
    <w:rsid w:val="00433981"/>
    <w:rsid w:val="00433AAE"/>
    <w:rsid w:val="00433FA4"/>
    <w:rsid w:val="00434A46"/>
    <w:rsid w:val="00434C95"/>
    <w:rsid w:val="0043510A"/>
    <w:rsid w:val="0043628A"/>
    <w:rsid w:val="0043646E"/>
    <w:rsid w:val="004371D7"/>
    <w:rsid w:val="00437437"/>
    <w:rsid w:val="0043750A"/>
    <w:rsid w:val="004378BC"/>
    <w:rsid w:val="00437DAA"/>
    <w:rsid w:val="0044013B"/>
    <w:rsid w:val="00440C17"/>
    <w:rsid w:val="00440E91"/>
    <w:rsid w:val="00441A68"/>
    <w:rsid w:val="00441E0E"/>
    <w:rsid w:val="00441F5A"/>
    <w:rsid w:val="00442EFE"/>
    <w:rsid w:val="004430CF"/>
    <w:rsid w:val="004433C6"/>
    <w:rsid w:val="0044349D"/>
    <w:rsid w:val="00443680"/>
    <w:rsid w:val="00443D48"/>
    <w:rsid w:val="00444056"/>
    <w:rsid w:val="004440B5"/>
    <w:rsid w:val="00444C2D"/>
    <w:rsid w:val="00444E4F"/>
    <w:rsid w:val="00444F5C"/>
    <w:rsid w:val="0044538E"/>
    <w:rsid w:val="0044610F"/>
    <w:rsid w:val="00446316"/>
    <w:rsid w:val="00446589"/>
    <w:rsid w:val="00446760"/>
    <w:rsid w:val="00446833"/>
    <w:rsid w:val="00446B9D"/>
    <w:rsid w:val="004472F6"/>
    <w:rsid w:val="00447774"/>
    <w:rsid w:val="00450CA7"/>
    <w:rsid w:val="00450E29"/>
    <w:rsid w:val="00451082"/>
    <w:rsid w:val="00451C1B"/>
    <w:rsid w:val="00451C48"/>
    <w:rsid w:val="00452856"/>
    <w:rsid w:val="00452C76"/>
    <w:rsid w:val="0045351A"/>
    <w:rsid w:val="004537B4"/>
    <w:rsid w:val="004539A1"/>
    <w:rsid w:val="004544BC"/>
    <w:rsid w:val="0045462B"/>
    <w:rsid w:val="004546C3"/>
    <w:rsid w:val="00454A40"/>
    <w:rsid w:val="004551D5"/>
    <w:rsid w:val="004564BE"/>
    <w:rsid w:val="00456D24"/>
    <w:rsid w:val="0045729F"/>
    <w:rsid w:val="004573F7"/>
    <w:rsid w:val="004574E2"/>
    <w:rsid w:val="00457A81"/>
    <w:rsid w:val="00457AAB"/>
    <w:rsid w:val="00457ADE"/>
    <w:rsid w:val="004601B2"/>
    <w:rsid w:val="0046032F"/>
    <w:rsid w:val="004604C4"/>
    <w:rsid w:val="00460519"/>
    <w:rsid w:val="0046065B"/>
    <w:rsid w:val="00460FD9"/>
    <w:rsid w:val="004610EC"/>
    <w:rsid w:val="00461268"/>
    <w:rsid w:val="00461327"/>
    <w:rsid w:val="004614CA"/>
    <w:rsid w:val="00461D94"/>
    <w:rsid w:val="00462124"/>
    <w:rsid w:val="004621F8"/>
    <w:rsid w:val="004622A5"/>
    <w:rsid w:val="00462646"/>
    <w:rsid w:val="004626EB"/>
    <w:rsid w:val="00462C08"/>
    <w:rsid w:val="00462C40"/>
    <w:rsid w:val="0046350F"/>
    <w:rsid w:val="00463ECF"/>
    <w:rsid w:val="004640A5"/>
    <w:rsid w:val="0046428D"/>
    <w:rsid w:val="0046450E"/>
    <w:rsid w:val="00464B63"/>
    <w:rsid w:val="00464BD6"/>
    <w:rsid w:val="00464E17"/>
    <w:rsid w:val="00464E39"/>
    <w:rsid w:val="00465D3D"/>
    <w:rsid w:val="00466050"/>
    <w:rsid w:val="00466078"/>
    <w:rsid w:val="0046613A"/>
    <w:rsid w:val="004666EB"/>
    <w:rsid w:val="004667B4"/>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42D"/>
    <w:rsid w:val="0047195B"/>
    <w:rsid w:val="00471B6A"/>
    <w:rsid w:val="00471E03"/>
    <w:rsid w:val="004722CE"/>
    <w:rsid w:val="004723E6"/>
    <w:rsid w:val="00472BC6"/>
    <w:rsid w:val="00472D1F"/>
    <w:rsid w:val="00472EA4"/>
    <w:rsid w:val="004731B6"/>
    <w:rsid w:val="00473274"/>
    <w:rsid w:val="004733E4"/>
    <w:rsid w:val="00473A5B"/>
    <w:rsid w:val="004741C3"/>
    <w:rsid w:val="004747EB"/>
    <w:rsid w:val="00475940"/>
    <w:rsid w:val="00475AC3"/>
    <w:rsid w:val="004761A7"/>
    <w:rsid w:val="00476312"/>
    <w:rsid w:val="00476C2A"/>
    <w:rsid w:val="00476CCF"/>
    <w:rsid w:val="00476D01"/>
    <w:rsid w:val="00476F39"/>
    <w:rsid w:val="00477089"/>
    <w:rsid w:val="00477321"/>
    <w:rsid w:val="00477499"/>
    <w:rsid w:val="00477781"/>
    <w:rsid w:val="00477962"/>
    <w:rsid w:val="00477A08"/>
    <w:rsid w:val="00477FA4"/>
    <w:rsid w:val="00480192"/>
    <w:rsid w:val="0048043A"/>
    <w:rsid w:val="00480B52"/>
    <w:rsid w:val="00481706"/>
    <w:rsid w:val="00481918"/>
    <w:rsid w:val="0048202B"/>
    <w:rsid w:val="0048212A"/>
    <w:rsid w:val="00482349"/>
    <w:rsid w:val="0048290A"/>
    <w:rsid w:val="00482D1C"/>
    <w:rsid w:val="00482EC7"/>
    <w:rsid w:val="0048302C"/>
    <w:rsid w:val="0048306C"/>
    <w:rsid w:val="00483383"/>
    <w:rsid w:val="00483441"/>
    <w:rsid w:val="00483EA9"/>
    <w:rsid w:val="0048435C"/>
    <w:rsid w:val="004845B8"/>
    <w:rsid w:val="00484659"/>
    <w:rsid w:val="0048474B"/>
    <w:rsid w:val="004847D9"/>
    <w:rsid w:val="00484F1C"/>
    <w:rsid w:val="004853FA"/>
    <w:rsid w:val="00485A2F"/>
    <w:rsid w:val="00485B68"/>
    <w:rsid w:val="00485C5C"/>
    <w:rsid w:val="00485D1E"/>
    <w:rsid w:val="00486159"/>
    <w:rsid w:val="0048640C"/>
    <w:rsid w:val="004867EE"/>
    <w:rsid w:val="00486BF7"/>
    <w:rsid w:val="00486DB4"/>
    <w:rsid w:val="00487036"/>
    <w:rsid w:val="00487243"/>
    <w:rsid w:val="004873A7"/>
    <w:rsid w:val="004873AC"/>
    <w:rsid w:val="0048780F"/>
    <w:rsid w:val="0048797C"/>
    <w:rsid w:val="00487A3D"/>
    <w:rsid w:val="00487EE1"/>
    <w:rsid w:val="004900CE"/>
    <w:rsid w:val="00490467"/>
    <w:rsid w:val="0049184C"/>
    <w:rsid w:val="00491A12"/>
    <w:rsid w:val="0049217C"/>
    <w:rsid w:val="004924E6"/>
    <w:rsid w:val="004925DF"/>
    <w:rsid w:val="004927E4"/>
    <w:rsid w:val="00492C38"/>
    <w:rsid w:val="0049308C"/>
    <w:rsid w:val="004930B3"/>
    <w:rsid w:val="00493223"/>
    <w:rsid w:val="00493224"/>
    <w:rsid w:val="0049327D"/>
    <w:rsid w:val="00493346"/>
    <w:rsid w:val="004935F7"/>
    <w:rsid w:val="00493D53"/>
    <w:rsid w:val="00494B73"/>
    <w:rsid w:val="00494D03"/>
    <w:rsid w:val="00495005"/>
    <w:rsid w:val="00496102"/>
    <w:rsid w:val="004969C7"/>
    <w:rsid w:val="00496D13"/>
    <w:rsid w:val="00497CE6"/>
    <w:rsid w:val="00497F1E"/>
    <w:rsid w:val="004A1161"/>
    <w:rsid w:val="004A1197"/>
    <w:rsid w:val="004A1855"/>
    <w:rsid w:val="004A1A16"/>
    <w:rsid w:val="004A2197"/>
    <w:rsid w:val="004A235C"/>
    <w:rsid w:val="004A2804"/>
    <w:rsid w:val="004A29B2"/>
    <w:rsid w:val="004A29B3"/>
    <w:rsid w:val="004A2F68"/>
    <w:rsid w:val="004A365A"/>
    <w:rsid w:val="004A36C6"/>
    <w:rsid w:val="004A3D9E"/>
    <w:rsid w:val="004A4711"/>
    <w:rsid w:val="004A4E31"/>
    <w:rsid w:val="004A5E2D"/>
    <w:rsid w:val="004A5E42"/>
    <w:rsid w:val="004A628A"/>
    <w:rsid w:val="004A6976"/>
    <w:rsid w:val="004A73A7"/>
    <w:rsid w:val="004A7D72"/>
    <w:rsid w:val="004B0151"/>
    <w:rsid w:val="004B056E"/>
    <w:rsid w:val="004B0B81"/>
    <w:rsid w:val="004B1538"/>
    <w:rsid w:val="004B1670"/>
    <w:rsid w:val="004B16A3"/>
    <w:rsid w:val="004B2234"/>
    <w:rsid w:val="004B265B"/>
    <w:rsid w:val="004B2A86"/>
    <w:rsid w:val="004B2CEA"/>
    <w:rsid w:val="004B317F"/>
    <w:rsid w:val="004B3509"/>
    <w:rsid w:val="004B3C3E"/>
    <w:rsid w:val="004B3E37"/>
    <w:rsid w:val="004B4166"/>
    <w:rsid w:val="004B430E"/>
    <w:rsid w:val="004B4D11"/>
    <w:rsid w:val="004B4E7C"/>
    <w:rsid w:val="004B4ECD"/>
    <w:rsid w:val="004B548C"/>
    <w:rsid w:val="004B54EA"/>
    <w:rsid w:val="004B5787"/>
    <w:rsid w:val="004B5854"/>
    <w:rsid w:val="004B6062"/>
    <w:rsid w:val="004B6238"/>
    <w:rsid w:val="004B6510"/>
    <w:rsid w:val="004B6A79"/>
    <w:rsid w:val="004B6D08"/>
    <w:rsid w:val="004B6DD2"/>
    <w:rsid w:val="004B7126"/>
    <w:rsid w:val="004B74ED"/>
    <w:rsid w:val="004B76A9"/>
    <w:rsid w:val="004C01BF"/>
    <w:rsid w:val="004C03D1"/>
    <w:rsid w:val="004C05A2"/>
    <w:rsid w:val="004C06EF"/>
    <w:rsid w:val="004C0C65"/>
    <w:rsid w:val="004C0E18"/>
    <w:rsid w:val="004C14C0"/>
    <w:rsid w:val="004C1D53"/>
    <w:rsid w:val="004C20B8"/>
    <w:rsid w:val="004C2935"/>
    <w:rsid w:val="004C2B94"/>
    <w:rsid w:val="004C2BCE"/>
    <w:rsid w:val="004C33E8"/>
    <w:rsid w:val="004C3E56"/>
    <w:rsid w:val="004C42B9"/>
    <w:rsid w:val="004C44B7"/>
    <w:rsid w:val="004C46C5"/>
    <w:rsid w:val="004C4911"/>
    <w:rsid w:val="004C4B9F"/>
    <w:rsid w:val="004C4EA0"/>
    <w:rsid w:val="004C588A"/>
    <w:rsid w:val="004C5DEB"/>
    <w:rsid w:val="004C5F06"/>
    <w:rsid w:val="004C61E4"/>
    <w:rsid w:val="004C64AB"/>
    <w:rsid w:val="004C64F9"/>
    <w:rsid w:val="004C660B"/>
    <w:rsid w:val="004C6666"/>
    <w:rsid w:val="004C70BD"/>
    <w:rsid w:val="004C7A14"/>
    <w:rsid w:val="004C7B9E"/>
    <w:rsid w:val="004C7E97"/>
    <w:rsid w:val="004D0675"/>
    <w:rsid w:val="004D0BB3"/>
    <w:rsid w:val="004D0CE2"/>
    <w:rsid w:val="004D1330"/>
    <w:rsid w:val="004D14BA"/>
    <w:rsid w:val="004D1B0D"/>
    <w:rsid w:val="004D29F0"/>
    <w:rsid w:val="004D2A84"/>
    <w:rsid w:val="004D3172"/>
    <w:rsid w:val="004D32F6"/>
    <w:rsid w:val="004D33E4"/>
    <w:rsid w:val="004D3911"/>
    <w:rsid w:val="004D393A"/>
    <w:rsid w:val="004D3F44"/>
    <w:rsid w:val="004D3FC2"/>
    <w:rsid w:val="004D456C"/>
    <w:rsid w:val="004D485F"/>
    <w:rsid w:val="004D4FC2"/>
    <w:rsid w:val="004D55D2"/>
    <w:rsid w:val="004D59A0"/>
    <w:rsid w:val="004D656E"/>
    <w:rsid w:val="004D6C99"/>
    <w:rsid w:val="004D6D29"/>
    <w:rsid w:val="004D734E"/>
    <w:rsid w:val="004D741D"/>
    <w:rsid w:val="004D783B"/>
    <w:rsid w:val="004E0223"/>
    <w:rsid w:val="004E0242"/>
    <w:rsid w:val="004E0A75"/>
    <w:rsid w:val="004E0B3F"/>
    <w:rsid w:val="004E0C8C"/>
    <w:rsid w:val="004E0D1D"/>
    <w:rsid w:val="004E14B8"/>
    <w:rsid w:val="004E1C36"/>
    <w:rsid w:val="004E1DB4"/>
    <w:rsid w:val="004E1E35"/>
    <w:rsid w:val="004E2110"/>
    <w:rsid w:val="004E254A"/>
    <w:rsid w:val="004E2CF9"/>
    <w:rsid w:val="004E2ED0"/>
    <w:rsid w:val="004E3213"/>
    <w:rsid w:val="004E3255"/>
    <w:rsid w:val="004E3338"/>
    <w:rsid w:val="004E388D"/>
    <w:rsid w:val="004E3A53"/>
    <w:rsid w:val="004E3B7A"/>
    <w:rsid w:val="004E3CEB"/>
    <w:rsid w:val="004E407A"/>
    <w:rsid w:val="004E4659"/>
    <w:rsid w:val="004E4B03"/>
    <w:rsid w:val="004E4E17"/>
    <w:rsid w:val="004E4EE0"/>
    <w:rsid w:val="004E5872"/>
    <w:rsid w:val="004E5D63"/>
    <w:rsid w:val="004E60E4"/>
    <w:rsid w:val="004E6617"/>
    <w:rsid w:val="004E693B"/>
    <w:rsid w:val="004E6ED3"/>
    <w:rsid w:val="004E7459"/>
    <w:rsid w:val="004E7478"/>
    <w:rsid w:val="004E7D14"/>
    <w:rsid w:val="004F0192"/>
    <w:rsid w:val="004F01A7"/>
    <w:rsid w:val="004F0383"/>
    <w:rsid w:val="004F03E9"/>
    <w:rsid w:val="004F06EB"/>
    <w:rsid w:val="004F1C2F"/>
    <w:rsid w:val="004F1E8F"/>
    <w:rsid w:val="004F1EC7"/>
    <w:rsid w:val="004F2066"/>
    <w:rsid w:val="004F242D"/>
    <w:rsid w:val="004F2855"/>
    <w:rsid w:val="004F32EA"/>
    <w:rsid w:val="004F429F"/>
    <w:rsid w:val="004F42D6"/>
    <w:rsid w:val="004F4466"/>
    <w:rsid w:val="004F4562"/>
    <w:rsid w:val="004F45C6"/>
    <w:rsid w:val="004F4636"/>
    <w:rsid w:val="004F4C9C"/>
    <w:rsid w:val="004F5EC1"/>
    <w:rsid w:val="004F6015"/>
    <w:rsid w:val="004F62FD"/>
    <w:rsid w:val="004F6332"/>
    <w:rsid w:val="004F679A"/>
    <w:rsid w:val="004F67A2"/>
    <w:rsid w:val="004F68B0"/>
    <w:rsid w:val="004F690A"/>
    <w:rsid w:val="004F7194"/>
    <w:rsid w:val="004F7BDE"/>
    <w:rsid w:val="004F7DF7"/>
    <w:rsid w:val="0050034B"/>
    <w:rsid w:val="00500379"/>
    <w:rsid w:val="005017D9"/>
    <w:rsid w:val="00501A42"/>
    <w:rsid w:val="00501F25"/>
    <w:rsid w:val="0050286C"/>
    <w:rsid w:val="00503191"/>
    <w:rsid w:val="0050326D"/>
    <w:rsid w:val="005035DD"/>
    <w:rsid w:val="00503E32"/>
    <w:rsid w:val="005047CB"/>
    <w:rsid w:val="005047F1"/>
    <w:rsid w:val="00504B40"/>
    <w:rsid w:val="00504DF9"/>
    <w:rsid w:val="00505225"/>
    <w:rsid w:val="00505D84"/>
    <w:rsid w:val="0050601B"/>
    <w:rsid w:val="00506108"/>
    <w:rsid w:val="0050667D"/>
    <w:rsid w:val="005067B9"/>
    <w:rsid w:val="005068F5"/>
    <w:rsid w:val="00506A44"/>
    <w:rsid w:val="00506BB4"/>
    <w:rsid w:val="00506C38"/>
    <w:rsid w:val="00506C3E"/>
    <w:rsid w:val="00506E46"/>
    <w:rsid w:val="0050702C"/>
    <w:rsid w:val="00507F2B"/>
    <w:rsid w:val="005101F9"/>
    <w:rsid w:val="005105DB"/>
    <w:rsid w:val="00510683"/>
    <w:rsid w:val="00510876"/>
    <w:rsid w:val="00510AAD"/>
    <w:rsid w:val="0051130C"/>
    <w:rsid w:val="00511429"/>
    <w:rsid w:val="00511758"/>
    <w:rsid w:val="00512111"/>
    <w:rsid w:val="005124E1"/>
    <w:rsid w:val="005129C7"/>
    <w:rsid w:val="005132AC"/>
    <w:rsid w:val="005139AB"/>
    <w:rsid w:val="005139B9"/>
    <w:rsid w:val="005143FD"/>
    <w:rsid w:val="00514C06"/>
    <w:rsid w:val="00514F81"/>
    <w:rsid w:val="00515684"/>
    <w:rsid w:val="0051582F"/>
    <w:rsid w:val="00515CFA"/>
    <w:rsid w:val="00516133"/>
    <w:rsid w:val="0051655C"/>
    <w:rsid w:val="005165EE"/>
    <w:rsid w:val="005166BA"/>
    <w:rsid w:val="00516D97"/>
    <w:rsid w:val="00517731"/>
    <w:rsid w:val="00517788"/>
    <w:rsid w:val="005179F5"/>
    <w:rsid w:val="00517AFB"/>
    <w:rsid w:val="00517B3F"/>
    <w:rsid w:val="005207FB"/>
    <w:rsid w:val="00521139"/>
    <w:rsid w:val="00521725"/>
    <w:rsid w:val="0052175E"/>
    <w:rsid w:val="00521EFA"/>
    <w:rsid w:val="00522790"/>
    <w:rsid w:val="00522AD0"/>
    <w:rsid w:val="00522B23"/>
    <w:rsid w:val="00522BFC"/>
    <w:rsid w:val="00522CA9"/>
    <w:rsid w:val="00522E09"/>
    <w:rsid w:val="00522EFA"/>
    <w:rsid w:val="005233E4"/>
    <w:rsid w:val="00523BF2"/>
    <w:rsid w:val="00523E8E"/>
    <w:rsid w:val="00524908"/>
    <w:rsid w:val="00524C72"/>
    <w:rsid w:val="00525088"/>
    <w:rsid w:val="005250E1"/>
    <w:rsid w:val="005258A2"/>
    <w:rsid w:val="00525972"/>
    <w:rsid w:val="00525D2D"/>
    <w:rsid w:val="00526672"/>
    <w:rsid w:val="00526991"/>
    <w:rsid w:val="00526C6D"/>
    <w:rsid w:val="00526FBE"/>
    <w:rsid w:val="00527322"/>
    <w:rsid w:val="00527605"/>
    <w:rsid w:val="00527DD2"/>
    <w:rsid w:val="0053031C"/>
    <w:rsid w:val="005304A4"/>
    <w:rsid w:val="00530B7B"/>
    <w:rsid w:val="00530C74"/>
    <w:rsid w:val="0053128D"/>
    <w:rsid w:val="005313FE"/>
    <w:rsid w:val="00531429"/>
    <w:rsid w:val="0053157E"/>
    <w:rsid w:val="00531671"/>
    <w:rsid w:val="00531BC8"/>
    <w:rsid w:val="00531D3A"/>
    <w:rsid w:val="00531E7F"/>
    <w:rsid w:val="005320F9"/>
    <w:rsid w:val="0053263B"/>
    <w:rsid w:val="0053263D"/>
    <w:rsid w:val="00532725"/>
    <w:rsid w:val="00532BA0"/>
    <w:rsid w:val="00533102"/>
    <w:rsid w:val="005336FA"/>
    <w:rsid w:val="005337F3"/>
    <w:rsid w:val="00533C10"/>
    <w:rsid w:val="00534056"/>
    <w:rsid w:val="0053447F"/>
    <w:rsid w:val="00534946"/>
    <w:rsid w:val="00534C4A"/>
    <w:rsid w:val="00535625"/>
    <w:rsid w:val="00535754"/>
    <w:rsid w:val="00535D54"/>
    <w:rsid w:val="00535F5D"/>
    <w:rsid w:val="00536313"/>
    <w:rsid w:val="00536582"/>
    <w:rsid w:val="005365A8"/>
    <w:rsid w:val="00536855"/>
    <w:rsid w:val="005369AF"/>
    <w:rsid w:val="00536A50"/>
    <w:rsid w:val="00536A96"/>
    <w:rsid w:val="00536D53"/>
    <w:rsid w:val="00536EB7"/>
    <w:rsid w:val="005370DC"/>
    <w:rsid w:val="005374E4"/>
    <w:rsid w:val="005376E4"/>
    <w:rsid w:val="00537CE9"/>
    <w:rsid w:val="00540178"/>
    <w:rsid w:val="0054035C"/>
    <w:rsid w:val="00540720"/>
    <w:rsid w:val="0054094E"/>
    <w:rsid w:val="00540AD1"/>
    <w:rsid w:val="005412DF"/>
    <w:rsid w:val="005426C3"/>
    <w:rsid w:val="00542C0F"/>
    <w:rsid w:val="00542D06"/>
    <w:rsid w:val="00542E4E"/>
    <w:rsid w:val="005432B7"/>
    <w:rsid w:val="00543A31"/>
    <w:rsid w:val="00543AE9"/>
    <w:rsid w:val="00543E2F"/>
    <w:rsid w:val="0054404A"/>
    <w:rsid w:val="005442DF"/>
    <w:rsid w:val="00544747"/>
    <w:rsid w:val="00545029"/>
    <w:rsid w:val="00545620"/>
    <w:rsid w:val="00545AD8"/>
    <w:rsid w:val="00545D8E"/>
    <w:rsid w:val="0054612E"/>
    <w:rsid w:val="00546465"/>
    <w:rsid w:val="00546855"/>
    <w:rsid w:val="005469E6"/>
    <w:rsid w:val="00546B22"/>
    <w:rsid w:val="00546E3A"/>
    <w:rsid w:val="005474B0"/>
    <w:rsid w:val="005478D2"/>
    <w:rsid w:val="00547A54"/>
    <w:rsid w:val="00547EEA"/>
    <w:rsid w:val="00547F54"/>
    <w:rsid w:val="00547F6E"/>
    <w:rsid w:val="005506A3"/>
    <w:rsid w:val="00550737"/>
    <w:rsid w:val="005508AA"/>
    <w:rsid w:val="005509AE"/>
    <w:rsid w:val="00550BC9"/>
    <w:rsid w:val="00550C30"/>
    <w:rsid w:val="00550C74"/>
    <w:rsid w:val="00551575"/>
    <w:rsid w:val="00551A99"/>
    <w:rsid w:val="00551B34"/>
    <w:rsid w:val="00551C21"/>
    <w:rsid w:val="00551D50"/>
    <w:rsid w:val="00551F88"/>
    <w:rsid w:val="005525C4"/>
    <w:rsid w:val="00552759"/>
    <w:rsid w:val="0055280A"/>
    <w:rsid w:val="00552915"/>
    <w:rsid w:val="0055299B"/>
    <w:rsid w:val="00552BD4"/>
    <w:rsid w:val="0055321E"/>
    <w:rsid w:val="005536C2"/>
    <w:rsid w:val="0055384F"/>
    <w:rsid w:val="00553B4C"/>
    <w:rsid w:val="00553C0D"/>
    <w:rsid w:val="00553E04"/>
    <w:rsid w:val="00554195"/>
    <w:rsid w:val="00554BEF"/>
    <w:rsid w:val="00555085"/>
    <w:rsid w:val="00555428"/>
    <w:rsid w:val="005554E9"/>
    <w:rsid w:val="00555E4B"/>
    <w:rsid w:val="0055654B"/>
    <w:rsid w:val="005566D6"/>
    <w:rsid w:val="00556839"/>
    <w:rsid w:val="00556ECF"/>
    <w:rsid w:val="005572EF"/>
    <w:rsid w:val="0055771E"/>
    <w:rsid w:val="00557F04"/>
    <w:rsid w:val="00560986"/>
    <w:rsid w:val="00560DE1"/>
    <w:rsid w:val="00560EB2"/>
    <w:rsid w:val="00561996"/>
    <w:rsid w:val="00561A9B"/>
    <w:rsid w:val="00562138"/>
    <w:rsid w:val="005622AF"/>
    <w:rsid w:val="00562571"/>
    <w:rsid w:val="00562BF6"/>
    <w:rsid w:val="00562E87"/>
    <w:rsid w:val="00562F6F"/>
    <w:rsid w:val="005630AA"/>
    <w:rsid w:val="00563779"/>
    <w:rsid w:val="005638C1"/>
    <w:rsid w:val="00563A1C"/>
    <w:rsid w:val="005648FF"/>
    <w:rsid w:val="005651F6"/>
    <w:rsid w:val="0056540C"/>
    <w:rsid w:val="00565A57"/>
    <w:rsid w:val="00565AA1"/>
    <w:rsid w:val="00565B24"/>
    <w:rsid w:val="00565DFB"/>
    <w:rsid w:val="00566A41"/>
    <w:rsid w:val="00566DB5"/>
    <w:rsid w:val="0056719A"/>
    <w:rsid w:val="0056720E"/>
    <w:rsid w:val="005673CA"/>
    <w:rsid w:val="00567BA4"/>
    <w:rsid w:val="00567ED0"/>
    <w:rsid w:val="00567F82"/>
    <w:rsid w:val="005701D9"/>
    <w:rsid w:val="00570538"/>
    <w:rsid w:val="00570A2C"/>
    <w:rsid w:val="00570AD7"/>
    <w:rsid w:val="00571012"/>
    <w:rsid w:val="00571319"/>
    <w:rsid w:val="005719E7"/>
    <w:rsid w:val="0057206E"/>
    <w:rsid w:val="00572B7E"/>
    <w:rsid w:val="00572BFE"/>
    <w:rsid w:val="00572D65"/>
    <w:rsid w:val="005734F0"/>
    <w:rsid w:val="00573567"/>
    <w:rsid w:val="0057369A"/>
    <w:rsid w:val="005737DB"/>
    <w:rsid w:val="00573985"/>
    <w:rsid w:val="00573D75"/>
    <w:rsid w:val="00573E5C"/>
    <w:rsid w:val="00574050"/>
    <w:rsid w:val="0057449D"/>
    <w:rsid w:val="005749A3"/>
    <w:rsid w:val="00575514"/>
    <w:rsid w:val="005755AD"/>
    <w:rsid w:val="00575648"/>
    <w:rsid w:val="00575D8C"/>
    <w:rsid w:val="00576318"/>
    <w:rsid w:val="005765A5"/>
    <w:rsid w:val="00576830"/>
    <w:rsid w:val="00577101"/>
    <w:rsid w:val="00577123"/>
    <w:rsid w:val="00577189"/>
    <w:rsid w:val="0057761F"/>
    <w:rsid w:val="0057787F"/>
    <w:rsid w:val="005778F3"/>
    <w:rsid w:val="005779E6"/>
    <w:rsid w:val="00577C5B"/>
    <w:rsid w:val="00577C8A"/>
    <w:rsid w:val="0058030C"/>
    <w:rsid w:val="005807D8"/>
    <w:rsid w:val="005808E8"/>
    <w:rsid w:val="00580B26"/>
    <w:rsid w:val="00581542"/>
    <w:rsid w:val="00581671"/>
    <w:rsid w:val="005821A3"/>
    <w:rsid w:val="0058273C"/>
    <w:rsid w:val="0058288A"/>
    <w:rsid w:val="00582BF1"/>
    <w:rsid w:val="00582D17"/>
    <w:rsid w:val="00582EB0"/>
    <w:rsid w:val="00582F6E"/>
    <w:rsid w:val="005833C2"/>
    <w:rsid w:val="00583B0A"/>
    <w:rsid w:val="00583F8A"/>
    <w:rsid w:val="005850C0"/>
    <w:rsid w:val="005859A4"/>
    <w:rsid w:val="00585A18"/>
    <w:rsid w:val="00585D00"/>
    <w:rsid w:val="00585E90"/>
    <w:rsid w:val="00586039"/>
    <w:rsid w:val="00586E5E"/>
    <w:rsid w:val="00586F1E"/>
    <w:rsid w:val="0058714C"/>
    <w:rsid w:val="00587550"/>
    <w:rsid w:val="005876FA"/>
    <w:rsid w:val="005904B6"/>
    <w:rsid w:val="00590F75"/>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4E42"/>
    <w:rsid w:val="00595057"/>
    <w:rsid w:val="005952EA"/>
    <w:rsid w:val="00595513"/>
    <w:rsid w:val="00595852"/>
    <w:rsid w:val="00595A38"/>
    <w:rsid w:val="00595D50"/>
    <w:rsid w:val="00595DC7"/>
    <w:rsid w:val="00595F6D"/>
    <w:rsid w:val="00596235"/>
    <w:rsid w:val="005964B7"/>
    <w:rsid w:val="00596FD4"/>
    <w:rsid w:val="00597137"/>
    <w:rsid w:val="00597271"/>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8A1"/>
    <w:rsid w:val="005A44C3"/>
    <w:rsid w:val="005A4503"/>
    <w:rsid w:val="005A5211"/>
    <w:rsid w:val="005A5555"/>
    <w:rsid w:val="005A55C0"/>
    <w:rsid w:val="005A5959"/>
    <w:rsid w:val="005A6096"/>
    <w:rsid w:val="005A6AC5"/>
    <w:rsid w:val="005A6C10"/>
    <w:rsid w:val="005A6D7A"/>
    <w:rsid w:val="005A6F15"/>
    <w:rsid w:val="005A6F63"/>
    <w:rsid w:val="005A737B"/>
    <w:rsid w:val="005A74ED"/>
    <w:rsid w:val="005A7C48"/>
    <w:rsid w:val="005B0296"/>
    <w:rsid w:val="005B0E69"/>
    <w:rsid w:val="005B12CD"/>
    <w:rsid w:val="005B1A92"/>
    <w:rsid w:val="005B1B30"/>
    <w:rsid w:val="005B1C58"/>
    <w:rsid w:val="005B2805"/>
    <w:rsid w:val="005B2859"/>
    <w:rsid w:val="005B28AA"/>
    <w:rsid w:val="005B2B7E"/>
    <w:rsid w:val="005B2EA2"/>
    <w:rsid w:val="005B3282"/>
    <w:rsid w:val="005B3546"/>
    <w:rsid w:val="005B35AA"/>
    <w:rsid w:val="005B3619"/>
    <w:rsid w:val="005B3675"/>
    <w:rsid w:val="005B36AC"/>
    <w:rsid w:val="005B3E02"/>
    <w:rsid w:val="005B3E29"/>
    <w:rsid w:val="005B44EA"/>
    <w:rsid w:val="005B48CC"/>
    <w:rsid w:val="005B4B27"/>
    <w:rsid w:val="005B4BE9"/>
    <w:rsid w:val="005B5036"/>
    <w:rsid w:val="005B52D5"/>
    <w:rsid w:val="005B5486"/>
    <w:rsid w:val="005B57B6"/>
    <w:rsid w:val="005B591D"/>
    <w:rsid w:val="005B5ADE"/>
    <w:rsid w:val="005B5C55"/>
    <w:rsid w:val="005B5DC4"/>
    <w:rsid w:val="005B682C"/>
    <w:rsid w:val="005B6A11"/>
    <w:rsid w:val="005B7163"/>
    <w:rsid w:val="005B7306"/>
    <w:rsid w:val="005B7602"/>
    <w:rsid w:val="005B79E9"/>
    <w:rsid w:val="005B7DDB"/>
    <w:rsid w:val="005B7F53"/>
    <w:rsid w:val="005C00DE"/>
    <w:rsid w:val="005C00FC"/>
    <w:rsid w:val="005C0B47"/>
    <w:rsid w:val="005C0CF3"/>
    <w:rsid w:val="005C147E"/>
    <w:rsid w:val="005C1810"/>
    <w:rsid w:val="005C1C3F"/>
    <w:rsid w:val="005C1E9F"/>
    <w:rsid w:val="005C20D3"/>
    <w:rsid w:val="005C23A4"/>
    <w:rsid w:val="005C2C71"/>
    <w:rsid w:val="005C2D75"/>
    <w:rsid w:val="005C2DB6"/>
    <w:rsid w:val="005C2F2F"/>
    <w:rsid w:val="005C2F40"/>
    <w:rsid w:val="005C3009"/>
    <w:rsid w:val="005C33FE"/>
    <w:rsid w:val="005C3A01"/>
    <w:rsid w:val="005C3AD0"/>
    <w:rsid w:val="005C3D13"/>
    <w:rsid w:val="005C3DE2"/>
    <w:rsid w:val="005C477A"/>
    <w:rsid w:val="005C47DE"/>
    <w:rsid w:val="005C48F5"/>
    <w:rsid w:val="005C490D"/>
    <w:rsid w:val="005C4933"/>
    <w:rsid w:val="005C4B8B"/>
    <w:rsid w:val="005C4CFA"/>
    <w:rsid w:val="005C4D80"/>
    <w:rsid w:val="005C4DE5"/>
    <w:rsid w:val="005C50A6"/>
    <w:rsid w:val="005C50FE"/>
    <w:rsid w:val="005C52AC"/>
    <w:rsid w:val="005C532D"/>
    <w:rsid w:val="005C6445"/>
    <w:rsid w:val="005C6490"/>
    <w:rsid w:val="005C7131"/>
    <w:rsid w:val="005C7726"/>
    <w:rsid w:val="005C7E2F"/>
    <w:rsid w:val="005C7F16"/>
    <w:rsid w:val="005D00E9"/>
    <w:rsid w:val="005D0275"/>
    <w:rsid w:val="005D0D2D"/>
    <w:rsid w:val="005D117B"/>
    <w:rsid w:val="005D1596"/>
    <w:rsid w:val="005D1782"/>
    <w:rsid w:val="005D17B9"/>
    <w:rsid w:val="005D194F"/>
    <w:rsid w:val="005D1E03"/>
    <w:rsid w:val="005D20D0"/>
    <w:rsid w:val="005D27C0"/>
    <w:rsid w:val="005D2BE4"/>
    <w:rsid w:val="005D306F"/>
    <w:rsid w:val="005D350B"/>
    <w:rsid w:val="005D3801"/>
    <w:rsid w:val="005D3984"/>
    <w:rsid w:val="005D502C"/>
    <w:rsid w:val="005D5636"/>
    <w:rsid w:val="005D5BB7"/>
    <w:rsid w:val="005D5CC3"/>
    <w:rsid w:val="005D5D49"/>
    <w:rsid w:val="005D6019"/>
    <w:rsid w:val="005D651A"/>
    <w:rsid w:val="005D6F67"/>
    <w:rsid w:val="005D6FE9"/>
    <w:rsid w:val="005D7896"/>
    <w:rsid w:val="005D7902"/>
    <w:rsid w:val="005E06BD"/>
    <w:rsid w:val="005E0A46"/>
    <w:rsid w:val="005E0CCE"/>
    <w:rsid w:val="005E0D7D"/>
    <w:rsid w:val="005E1841"/>
    <w:rsid w:val="005E1FF7"/>
    <w:rsid w:val="005E2653"/>
    <w:rsid w:val="005E2A08"/>
    <w:rsid w:val="005E2F1A"/>
    <w:rsid w:val="005E304B"/>
    <w:rsid w:val="005E34B0"/>
    <w:rsid w:val="005E35FB"/>
    <w:rsid w:val="005E365E"/>
    <w:rsid w:val="005E3909"/>
    <w:rsid w:val="005E42E3"/>
    <w:rsid w:val="005E449E"/>
    <w:rsid w:val="005E4528"/>
    <w:rsid w:val="005E49E4"/>
    <w:rsid w:val="005E4A52"/>
    <w:rsid w:val="005E4B45"/>
    <w:rsid w:val="005E4E72"/>
    <w:rsid w:val="005E60D2"/>
    <w:rsid w:val="005E6B00"/>
    <w:rsid w:val="005E70A5"/>
    <w:rsid w:val="005E7B4E"/>
    <w:rsid w:val="005F00DE"/>
    <w:rsid w:val="005F066A"/>
    <w:rsid w:val="005F082D"/>
    <w:rsid w:val="005F2236"/>
    <w:rsid w:val="005F24E0"/>
    <w:rsid w:val="005F2671"/>
    <w:rsid w:val="005F29C5"/>
    <w:rsid w:val="005F2A4E"/>
    <w:rsid w:val="005F2E76"/>
    <w:rsid w:val="005F3220"/>
    <w:rsid w:val="005F3443"/>
    <w:rsid w:val="005F45AF"/>
    <w:rsid w:val="005F45B8"/>
    <w:rsid w:val="005F4C69"/>
    <w:rsid w:val="005F4F3C"/>
    <w:rsid w:val="005F504C"/>
    <w:rsid w:val="005F51D3"/>
    <w:rsid w:val="005F5693"/>
    <w:rsid w:val="005F5AAD"/>
    <w:rsid w:val="005F5C09"/>
    <w:rsid w:val="005F5E92"/>
    <w:rsid w:val="005F615D"/>
    <w:rsid w:val="005F63F8"/>
    <w:rsid w:val="005F644A"/>
    <w:rsid w:val="005F6728"/>
    <w:rsid w:val="005F6B3F"/>
    <w:rsid w:val="005F6B88"/>
    <w:rsid w:val="005F6BF9"/>
    <w:rsid w:val="005F6E1B"/>
    <w:rsid w:val="005F76C0"/>
    <w:rsid w:val="00600213"/>
    <w:rsid w:val="00600BDB"/>
    <w:rsid w:val="006018AA"/>
    <w:rsid w:val="00601BF3"/>
    <w:rsid w:val="00601C3A"/>
    <w:rsid w:val="00602059"/>
    <w:rsid w:val="00602283"/>
    <w:rsid w:val="00603AA1"/>
    <w:rsid w:val="00603E9C"/>
    <w:rsid w:val="00603F4E"/>
    <w:rsid w:val="00603FD2"/>
    <w:rsid w:val="006040A7"/>
    <w:rsid w:val="00604687"/>
    <w:rsid w:val="0060484A"/>
    <w:rsid w:val="00605A01"/>
    <w:rsid w:val="00606904"/>
    <w:rsid w:val="00606C10"/>
    <w:rsid w:val="0060745B"/>
    <w:rsid w:val="00607593"/>
    <w:rsid w:val="00607F26"/>
    <w:rsid w:val="0061012C"/>
    <w:rsid w:val="00610C46"/>
    <w:rsid w:val="00610F08"/>
    <w:rsid w:val="006115A3"/>
    <w:rsid w:val="00611729"/>
    <w:rsid w:val="00611AD5"/>
    <w:rsid w:val="00611B39"/>
    <w:rsid w:val="0061234A"/>
    <w:rsid w:val="00612404"/>
    <w:rsid w:val="00612C40"/>
    <w:rsid w:val="00612FBE"/>
    <w:rsid w:val="006139D4"/>
    <w:rsid w:val="00614446"/>
    <w:rsid w:val="0061465F"/>
    <w:rsid w:val="00614CC0"/>
    <w:rsid w:val="00614D59"/>
    <w:rsid w:val="00614FE8"/>
    <w:rsid w:val="00615003"/>
    <w:rsid w:val="00615094"/>
    <w:rsid w:val="0061580D"/>
    <w:rsid w:val="00615A74"/>
    <w:rsid w:val="00615EFD"/>
    <w:rsid w:val="00616D1F"/>
    <w:rsid w:val="00616D71"/>
    <w:rsid w:val="00617041"/>
    <w:rsid w:val="00617644"/>
    <w:rsid w:val="00617769"/>
    <w:rsid w:val="006177A2"/>
    <w:rsid w:val="0062026C"/>
    <w:rsid w:val="006202C4"/>
    <w:rsid w:val="00620364"/>
    <w:rsid w:val="0062059D"/>
    <w:rsid w:val="00620994"/>
    <w:rsid w:val="00620E01"/>
    <w:rsid w:val="006222CE"/>
    <w:rsid w:val="00622604"/>
    <w:rsid w:val="006227DD"/>
    <w:rsid w:val="00622F82"/>
    <w:rsid w:val="0062336D"/>
    <w:rsid w:val="00623A70"/>
    <w:rsid w:val="00623DA3"/>
    <w:rsid w:val="00623E5C"/>
    <w:rsid w:val="00623EEE"/>
    <w:rsid w:val="00623F4C"/>
    <w:rsid w:val="006245DC"/>
    <w:rsid w:val="006246AF"/>
    <w:rsid w:val="0062536F"/>
    <w:rsid w:val="00625492"/>
    <w:rsid w:val="00625A21"/>
    <w:rsid w:val="0062605B"/>
    <w:rsid w:val="0062623D"/>
    <w:rsid w:val="00626355"/>
    <w:rsid w:val="006270C7"/>
    <w:rsid w:val="00627494"/>
    <w:rsid w:val="006275F5"/>
    <w:rsid w:val="0062793F"/>
    <w:rsid w:val="006279E3"/>
    <w:rsid w:val="00630012"/>
    <w:rsid w:val="00630289"/>
    <w:rsid w:val="00630379"/>
    <w:rsid w:val="006306F2"/>
    <w:rsid w:val="00630A3C"/>
    <w:rsid w:val="00630E5A"/>
    <w:rsid w:val="00630F45"/>
    <w:rsid w:val="0063109E"/>
    <w:rsid w:val="0063286A"/>
    <w:rsid w:val="00632E65"/>
    <w:rsid w:val="00632EFF"/>
    <w:rsid w:val="006330CE"/>
    <w:rsid w:val="0063331F"/>
    <w:rsid w:val="006338CA"/>
    <w:rsid w:val="00633E1B"/>
    <w:rsid w:val="006342FF"/>
    <w:rsid w:val="006344E8"/>
    <w:rsid w:val="0063456E"/>
    <w:rsid w:val="00634698"/>
    <w:rsid w:val="006348E3"/>
    <w:rsid w:val="00634D3E"/>
    <w:rsid w:val="00634E51"/>
    <w:rsid w:val="0063539D"/>
    <w:rsid w:val="00635F90"/>
    <w:rsid w:val="006368BF"/>
    <w:rsid w:val="00636AAA"/>
    <w:rsid w:val="00636B6B"/>
    <w:rsid w:val="00636CB0"/>
    <w:rsid w:val="00637310"/>
    <w:rsid w:val="00637572"/>
    <w:rsid w:val="0063766D"/>
    <w:rsid w:val="00637673"/>
    <w:rsid w:val="00637DDD"/>
    <w:rsid w:val="00637F03"/>
    <w:rsid w:val="0064054E"/>
    <w:rsid w:val="006408E8"/>
    <w:rsid w:val="006409BD"/>
    <w:rsid w:val="00640FF1"/>
    <w:rsid w:val="00641156"/>
    <w:rsid w:val="00641816"/>
    <w:rsid w:val="00641B60"/>
    <w:rsid w:val="0064216A"/>
    <w:rsid w:val="006423DD"/>
    <w:rsid w:val="0064266E"/>
    <w:rsid w:val="006428AB"/>
    <w:rsid w:val="00642E8B"/>
    <w:rsid w:val="00643008"/>
    <w:rsid w:val="00643809"/>
    <w:rsid w:val="00643C58"/>
    <w:rsid w:val="006441F6"/>
    <w:rsid w:val="00644558"/>
    <w:rsid w:val="00644768"/>
    <w:rsid w:val="00644847"/>
    <w:rsid w:val="00644BF3"/>
    <w:rsid w:val="006454A0"/>
    <w:rsid w:val="006461AC"/>
    <w:rsid w:val="006462B7"/>
    <w:rsid w:val="00646435"/>
    <w:rsid w:val="00646966"/>
    <w:rsid w:val="00646B49"/>
    <w:rsid w:val="006470CB"/>
    <w:rsid w:val="00647756"/>
    <w:rsid w:val="00647CA5"/>
    <w:rsid w:val="00647F02"/>
    <w:rsid w:val="00647F0A"/>
    <w:rsid w:val="00650286"/>
    <w:rsid w:val="0065038E"/>
    <w:rsid w:val="006507D6"/>
    <w:rsid w:val="0065103A"/>
    <w:rsid w:val="006511F1"/>
    <w:rsid w:val="00651487"/>
    <w:rsid w:val="00651E3F"/>
    <w:rsid w:val="0065282D"/>
    <w:rsid w:val="00652C4A"/>
    <w:rsid w:val="00652E8D"/>
    <w:rsid w:val="006535BE"/>
    <w:rsid w:val="00653B20"/>
    <w:rsid w:val="006544F9"/>
    <w:rsid w:val="00654944"/>
    <w:rsid w:val="00654964"/>
    <w:rsid w:val="00654D06"/>
    <w:rsid w:val="0065506E"/>
    <w:rsid w:val="00655168"/>
    <w:rsid w:val="006552D8"/>
    <w:rsid w:val="0065572F"/>
    <w:rsid w:val="00655928"/>
    <w:rsid w:val="006566E1"/>
    <w:rsid w:val="00657055"/>
    <w:rsid w:val="006572E7"/>
    <w:rsid w:val="00657663"/>
    <w:rsid w:val="00657B4E"/>
    <w:rsid w:val="006603A2"/>
    <w:rsid w:val="0066143C"/>
    <w:rsid w:val="00661900"/>
    <w:rsid w:val="0066191E"/>
    <w:rsid w:val="00661AAF"/>
    <w:rsid w:val="0066204C"/>
    <w:rsid w:val="00662BEB"/>
    <w:rsid w:val="006631BD"/>
    <w:rsid w:val="00663955"/>
    <w:rsid w:val="00663F92"/>
    <w:rsid w:val="006641B3"/>
    <w:rsid w:val="006641DC"/>
    <w:rsid w:val="006645ED"/>
    <w:rsid w:val="0066492A"/>
    <w:rsid w:val="00665105"/>
    <w:rsid w:val="00665197"/>
    <w:rsid w:val="006654B0"/>
    <w:rsid w:val="0066568F"/>
    <w:rsid w:val="00665D3E"/>
    <w:rsid w:val="0066618F"/>
    <w:rsid w:val="006667BB"/>
    <w:rsid w:val="006668DE"/>
    <w:rsid w:val="00666996"/>
    <w:rsid w:val="006669ED"/>
    <w:rsid w:val="00666A07"/>
    <w:rsid w:val="00667060"/>
    <w:rsid w:val="00667157"/>
    <w:rsid w:val="0066755E"/>
    <w:rsid w:val="00667672"/>
    <w:rsid w:val="006676BF"/>
    <w:rsid w:val="00670205"/>
    <w:rsid w:val="0067040A"/>
    <w:rsid w:val="0067071A"/>
    <w:rsid w:val="00670795"/>
    <w:rsid w:val="006707FA"/>
    <w:rsid w:val="00670F1F"/>
    <w:rsid w:val="00671170"/>
    <w:rsid w:val="00671A1F"/>
    <w:rsid w:val="00671B53"/>
    <w:rsid w:val="00671D24"/>
    <w:rsid w:val="0067221F"/>
    <w:rsid w:val="00672293"/>
    <w:rsid w:val="00672346"/>
    <w:rsid w:val="00672368"/>
    <w:rsid w:val="00673714"/>
    <w:rsid w:val="00673D54"/>
    <w:rsid w:val="00673EB3"/>
    <w:rsid w:val="006743A3"/>
    <w:rsid w:val="00674D88"/>
    <w:rsid w:val="00675105"/>
    <w:rsid w:val="0067525D"/>
    <w:rsid w:val="00675C04"/>
    <w:rsid w:val="00675C6E"/>
    <w:rsid w:val="006766BA"/>
    <w:rsid w:val="00676AE5"/>
    <w:rsid w:val="00676EDF"/>
    <w:rsid w:val="00677B69"/>
    <w:rsid w:val="00677BA6"/>
    <w:rsid w:val="00677E60"/>
    <w:rsid w:val="0068001E"/>
    <w:rsid w:val="0068091D"/>
    <w:rsid w:val="00680DBD"/>
    <w:rsid w:val="006810AB"/>
    <w:rsid w:val="00681363"/>
    <w:rsid w:val="00681808"/>
    <w:rsid w:val="00681BDC"/>
    <w:rsid w:val="00681C2B"/>
    <w:rsid w:val="00681CD1"/>
    <w:rsid w:val="00681E07"/>
    <w:rsid w:val="00681E39"/>
    <w:rsid w:val="0068249D"/>
    <w:rsid w:val="00682864"/>
    <w:rsid w:val="006828FA"/>
    <w:rsid w:val="006831FB"/>
    <w:rsid w:val="0068333E"/>
    <w:rsid w:val="0068377F"/>
    <w:rsid w:val="00683A43"/>
    <w:rsid w:val="00683A74"/>
    <w:rsid w:val="00683AEB"/>
    <w:rsid w:val="00683CD7"/>
    <w:rsid w:val="00683E93"/>
    <w:rsid w:val="00683FA7"/>
    <w:rsid w:val="00684281"/>
    <w:rsid w:val="0068432B"/>
    <w:rsid w:val="006844F6"/>
    <w:rsid w:val="006845B4"/>
    <w:rsid w:val="00684C8E"/>
    <w:rsid w:val="00684E25"/>
    <w:rsid w:val="00685DDA"/>
    <w:rsid w:val="00686418"/>
    <w:rsid w:val="006865D3"/>
    <w:rsid w:val="0068693F"/>
    <w:rsid w:val="00686C68"/>
    <w:rsid w:val="006870A3"/>
    <w:rsid w:val="006875BD"/>
    <w:rsid w:val="00687852"/>
    <w:rsid w:val="00687CD8"/>
    <w:rsid w:val="00690440"/>
    <w:rsid w:val="00690508"/>
    <w:rsid w:val="0069088E"/>
    <w:rsid w:val="00690D0F"/>
    <w:rsid w:val="00690F90"/>
    <w:rsid w:val="006911C0"/>
    <w:rsid w:val="00691402"/>
    <w:rsid w:val="00691861"/>
    <w:rsid w:val="00691AAC"/>
    <w:rsid w:val="00691B7F"/>
    <w:rsid w:val="00691FEB"/>
    <w:rsid w:val="00692849"/>
    <w:rsid w:val="00692DC8"/>
    <w:rsid w:val="0069324B"/>
    <w:rsid w:val="006934DC"/>
    <w:rsid w:val="006936A6"/>
    <w:rsid w:val="0069418D"/>
    <w:rsid w:val="00694492"/>
    <w:rsid w:val="006950D2"/>
    <w:rsid w:val="006958A4"/>
    <w:rsid w:val="00695920"/>
    <w:rsid w:val="006959FD"/>
    <w:rsid w:val="006967C8"/>
    <w:rsid w:val="006968D1"/>
    <w:rsid w:val="006970A0"/>
    <w:rsid w:val="006973BD"/>
    <w:rsid w:val="00697628"/>
    <w:rsid w:val="00697BEF"/>
    <w:rsid w:val="00697CB2"/>
    <w:rsid w:val="006A0020"/>
    <w:rsid w:val="006A03B8"/>
    <w:rsid w:val="006A0727"/>
    <w:rsid w:val="006A08B1"/>
    <w:rsid w:val="006A093E"/>
    <w:rsid w:val="006A0D25"/>
    <w:rsid w:val="006A0D68"/>
    <w:rsid w:val="006A0EDA"/>
    <w:rsid w:val="006A1C3F"/>
    <w:rsid w:val="006A2469"/>
    <w:rsid w:val="006A24A0"/>
    <w:rsid w:val="006A26C9"/>
    <w:rsid w:val="006A2827"/>
    <w:rsid w:val="006A2C2E"/>
    <w:rsid w:val="006A33AA"/>
    <w:rsid w:val="006A40E4"/>
    <w:rsid w:val="006A4167"/>
    <w:rsid w:val="006A4467"/>
    <w:rsid w:val="006A4531"/>
    <w:rsid w:val="006A484D"/>
    <w:rsid w:val="006A4D4D"/>
    <w:rsid w:val="006A4F9C"/>
    <w:rsid w:val="006A542E"/>
    <w:rsid w:val="006A5806"/>
    <w:rsid w:val="006A67BD"/>
    <w:rsid w:val="006A68CB"/>
    <w:rsid w:val="006A6A49"/>
    <w:rsid w:val="006A6FE5"/>
    <w:rsid w:val="006A74BD"/>
    <w:rsid w:val="006A7588"/>
    <w:rsid w:val="006B0991"/>
    <w:rsid w:val="006B0EFA"/>
    <w:rsid w:val="006B0F0D"/>
    <w:rsid w:val="006B142A"/>
    <w:rsid w:val="006B1587"/>
    <w:rsid w:val="006B1CEB"/>
    <w:rsid w:val="006B1D20"/>
    <w:rsid w:val="006B2AB8"/>
    <w:rsid w:val="006B2AC2"/>
    <w:rsid w:val="006B2C89"/>
    <w:rsid w:val="006B2D23"/>
    <w:rsid w:val="006B2E2F"/>
    <w:rsid w:val="006B311C"/>
    <w:rsid w:val="006B333E"/>
    <w:rsid w:val="006B37B8"/>
    <w:rsid w:val="006B38A8"/>
    <w:rsid w:val="006B39FB"/>
    <w:rsid w:val="006B3A03"/>
    <w:rsid w:val="006B3E41"/>
    <w:rsid w:val="006B432D"/>
    <w:rsid w:val="006B46B5"/>
    <w:rsid w:val="006B48D3"/>
    <w:rsid w:val="006B4F91"/>
    <w:rsid w:val="006B51C1"/>
    <w:rsid w:val="006B533D"/>
    <w:rsid w:val="006B5598"/>
    <w:rsid w:val="006B713C"/>
    <w:rsid w:val="006B7472"/>
    <w:rsid w:val="006B74A7"/>
    <w:rsid w:val="006B74DC"/>
    <w:rsid w:val="006B7619"/>
    <w:rsid w:val="006B7943"/>
    <w:rsid w:val="006C06FC"/>
    <w:rsid w:val="006C0AEF"/>
    <w:rsid w:val="006C0D30"/>
    <w:rsid w:val="006C0F17"/>
    <w:rsid w:val="006C1086"/>
    <w:rsid w:val="006C1191"/>
    <w:rsid w:val="006C1447"/>
    <w:rsid w:val="006C1542"/>
    <w:rsid w:val="006C24B0"/>
    <w:rsid w:val="006C277D"/>
    <w:rsid w:val="006C27C6"/>
    <w:rsid w:val="006C28B6"/>
    <w:rsid w:val="006C28FB"/>
    <w:rsid w:val="006C2ACF"/>
    <w:rsid w:val="006C2E01"/>
    <w:rsid w:val="006C324E"/>
    <w:rsid w:val="006C3496"/>
    <w:rsid w:val="006C3584"/>
    <w:rsid w:val="006C4249"/>
    <w:rsid w:val="006C4592"/>
    <w:rsid w:val="006C490B"/>
    <w:rsid w:val="006C4C9A"/>
    <w:rsid w:val="006C4FE4"/>
    <w:rsid w:val="006C5846"/>
    <w:rsid w:val="006C588B"/>
    <w:rsid w:val="006C5954"/>
    <w:rsid w:val="006C5A35"/>
    <w:rsid w:val="006C5C1B"/>
    <w:rsid w:val="006C60E5"/>
    <w:rsid w:val="006C6B4A"/>
    <w:rsid w:val="006C6F0E"/>
    <w:rsid w:val="006C70F8"/>
    <w:rsid w:val="006C7489"/>
    <w:rsid w:val="006C75C0"/>
    <w:rsid w:val="006C75FF"/>
    <w:rsid w:val="006C7834"/>
    <w:rsid w:val="006C7873"/>
    <w:rsid w:val="006C7FC3"/>
    <w:rsid w:val="006D0867"/>
    <w:rsid w:val="006D0BF9"/>
    <w:rsid w:val="006D0CDD"/>
    <w:rsid w:val="006D10F4"/>
    <w:rsid w:val="006D1DB6"/>
    <w:rsid w:val="006D1E75"/>
    <w:rsid w:val="006D1EA6"/>
    <w:rsid w:val="006D1FDA"/>
    <w:rsid w:val="006D2177"/>
    <w:rsid w:val="006D2290"/>
    <w:rsid w:val="006D2BA7"/>
    <w:rsid w:val="006D33EB"/>
    <w:rsid w:val="006D349E"/>
    <w:rsid w:val="006D38FA"/>
    <w:rsid w:val="006D3A28"/>
    <w:rsid w:val="006D466B"/>
    <w:rsid w:val="006D5700"/>
    <w:rsid w:val="006D58A0"/>
    <w:rsid w:val="006D5AF3"/>
    <w:rsid w:val="006D5D14"/>
    <w:rsid w:val="006D6742"/>
    <w:rsid w:val="006D67A8"/>
    <w:rsid w:val="006D6829"/>
    <w:rsid w:val="006D6A56"/>
    <w:rsid w:val="006D6E79"/>
    <w:rsid w:val="006D702C"/>
    <w:rsid w:val="006D7526"/>
    <w:rsid w:val="006D7575"/>
    <w:rsid w:val="006D7C2A"/>
    <w:rsid w:val="006E0884"/>
    <w:rsid w:val="006E0F37"/>
    <w:rsid w:val="006E125C"/>
    <w:rsid w:val="006E1825"/>
    <w:rsid w:val="006E1F54"/>
    <w:rsid w:val="006E3531"/>
    <w:rsid w:val="006E3A95"/>
    <w:rsid w:val="006E3CF2"/>
    <w:rsid w:val="006E3D94"/>
    <w:rsid w:val="006E4094"/>
    <w:rsid w:val="006E4360"/>
    <w:rsid w:val="006E47D5"/>
    <w:rsid w:val="006E4FAE"/>
    <w:rsid w:val="006E519B"/>
    <w:rsid w:val="006E577F"/>
    <w:rsid w:val="006E59C4"/>
    <w:rsid w:val="006E5A7C"/>
    <w:rsid w:val="006E75EF"/>
    <w:rsid w:val="006E79D5"/>
    <w:rsid w:val="006F00AF"/>
    <w:rsid w:val="006F00F4"/>
    <w:rsid w:val="006F0739"/>
    <w:rsid w:val="006F08DA"/>
    <w:rsid w:val="006F0A28"/>
    <w:rsid w:val="006F0E82"/>
    <w:rsid w:val="006F0F6E"/>
    <w:rsid w:val="006F1050"/>
    <w:rsid w:val="006F1743"/>
    <w:rsid w:val="006F188F"/>
    <w:rsid w:val="006F1E87"/>
    <w:rsid w:val="006F1FC6"/>
    <w:rsid w:val="006F2204"/>
    <w:rsid w:val="006F2339"/>
    <w:rsid w:val="006F24CA"/>
    <w:rsid w:val="006F2669"/>
    <w:rsid w:val="006F2CBE"/>
    <w:rsid w:val="006F362E"/>
    <w:rsid w:val="006F3A3D"/>
    <w:rsid w:val="006F3B13"/>
    <w:rsid w:val="006F3D09"/>
    <w:rsid w:val="006F3E14"/>
    <w:rsid w:val="006F4D0A"/>
    <w:rsid w:val="006F4D0D"/>
    <w:rsid w:val="006F5443"/>
    <w:rsid w:val="006F55BD"/>
    <w:rsid w:val="006F5926"/>
    <w:rsid w:val="006F5DF7"/>
    <w:rsid w:val="006F61C3"/>
    <w:rsid w:val="006F6489"/>
    <w:rsid w:val="006F690B"/>
    <w:rsid w:val="006F6A49"/>
    <w:rsid w:val="006F6C23"/>
    <w:rsid w:val="006F7845"/>
    <w:rsid w:val="006F7B86"/>
    <w:rsid w:val="006F7BC7"/>
    <w:rsid w:val="006F7F84"/>
    <w:rsid w:val="007001D5"/>
    <w:rsid w:val="00700C49"/>
    <w:rsid w:val="0070101E"/>
    <w:rsid w:val="007013C3"/>
    <w:rsid w:val="00701783"/>
    <w:rsid w:val="00701DD2"/>
    <w:rsid w:val="0070284D"/>
    <w:rsid w:val="00702925"/>
    <w:rsid w:val="00702938"/>
    <w:rsid w:val="00703089"/>
    <w:rsid w:val="007035F3"/>
    <w:rsid w:val="00703974"/>
    <w:rsid w:val="00703B06"/>
    <w:rsid w:val="00703E35"/>
    <w:rsid w:val="007048B5"/>
    <w:rsid w:val="00704C54"/>
    <w:rsid w:val="00704DBE"/>
    <w:rsid w:val="0070512A"/>
    <w:rsid w:val="007054B3"/>
    <w:rsid w:val="00705B4B"/>
    <w:rsid w:val="007060D6"/>
    <w:rsid w:val="007068B2"/>
    <w:rsid w:val="00706AE9"/>
    <w:rsid w:val="00706C8F"/>
    <w:rsid w:val="00706EE5"/>
    <w:rsid w:val="007070B2"/>
    <w:rsid w:val="00707781"/>
    <w:rsid w:val="007077C5"/>
    <w:rsid w:val="00707CC2"/>
    <w:rsid w:val="00707F84"/>
    <w:rsid w:val="00710C17"/>
    <w:rsid w:val="00710E3E"/>
    <w:rsid w:val="0071177A"/>
    <w:rsid w:val="00711B92"/>
    <w:rsid w:val="00711F91"/>
    <w:rsid w:val="00712967"/>
    <w:rsid w:val="00712EA0"/>
    <w:rsid w:val="0071313E"/>
    <w:rsid w:val="0071329B"/>
    <w:rsid w:val="007132D3"/>
    <w:rsid w:val="00713377"/>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84C"/>
    <w:rsid w:val="00720F26"/>
    <w:rsid w:val="00720F95"/>
    <w:rsid w:val="007211DA"/>
    <w:rsid w:val="007211E8"/>
    <w:rsid w:val="00721758"/>
    <w:rsid w:val="00721ACE"/>
    <w:rsid w:val="00721DE8"/>
    <w:rsid w:val="007223C2"/>
    <w:rsid w:val="00722510"/>
    <w:rsid w:val="0072272C"/>
    <w:rsid w:val="00722998"/>
    <w:rsid w:val="00723592"/>
    <w:rsid w:val="007239E0"/>
    <w:rsid w:val="00723F50"/>
    <w:rsid w:val="00724559"/>
    <w:rsid w:val="0072479C"/>
    <w:rsid w:val="007249B4"/>
    <w:rsid w:val="00724FA7"/>
    <w:rsid w:val="0072513C"/>
    <w:rsid w:val="007251C4"/>
    <w:rsid w:val="007254C6"/>
    <w:rsid w:val="00725707"/>
    <w:rsid w:val="00725783"/>
    <w:rsid w:val="00725E2E"/>
    <w:rsid w:val="007262F0"/>
    <w:rsid w:val="0072645E"/>
    <w:rsid w:val="007266A0"/>
    <w:rsid w:val="007269B3"/>
    <w:rsid w:val="007277F8"/>
    <w:rsid w:val="00727866"/>
    <w:rsid w:val="00727ECC"/>
    <w:rsid w:val="00727FD8"/>
    <w:rsid w:val="0073003E"/>
    <w:rsid w:val="00730601"/>
    <w:rsid w:val="00730D41"/>
    <w:rsid w:val="00730FA1"/>
    <w:rsid w:val="00731E6C"/>
    <w:rsid w:val="00732072"/>
    <w:rsid w:val="00732181"/>
    <w:rsid w:val="007323A6"/>
    <w:rsid w:val="00732A07"/>
    <w:rsid w:val="007337EA"/>
    <w:rsid w:val="007337F9"/>
    <w:rsid w:val="00733931"/>
    <w:rsid w:val="00733D16"/>
    <w:rsid w:val="00733D34"/>
    <w:rsid w:val="00733DBB"/>
    <w:rsid w:val="00733EE2"/>
    <w:rsid w:val="00734073"/>
    <w:rsid w:val="007340FF"/>
    <w:rsid w:val="00734361"/>
    <w:rsid w:val="00734388"/>
    <w:rsid w:val="007345F4"/>
    <w:rsid w:val="00735069"/>
    <w:rsid w:val="0073517E"/>
    <w:rsid w:val="00735488"/>
    <w:rsid w:val="00735DB3"/>
    <w:rsid w:val="007362E3"/>
    <w:rsid w:val="007365D6"/>
    <w:rsid w:val="00736CDF"/>
    <w:rsid w:val="00736EDD"/>
    <w:rsid w:val="007372C2"/>
    <w:rsid w:val="00737B55"/>
    <w:rsid w:val="0074001E"/>
    <w:rsid w:val="007400ED"/>
    <w:rsid w:val="0074112C"/>
    <w:rsid w:val="00741866"/>
    <w:rsid w:val="00741D26"/>
    <w:rsid w:val="00741D40"/>
    <w:rsid w:val="0074208D"/>
    <w:rsid w:val="00742895"/>
    <w:rsid w:val="007431BF"/>
    <w:rsid w:val="007435F0"/>
    <w:rsid w:val="00743D59"/>
    <w:rsid w:val="00743E96"/>
    <w:rsid w:val="0074401F"/>
    <w:rsid w:val="00744029"/>
    <w:rsid w:val="007440DF"/>
    <w:rsid w:val="00744329"/>
    <w:rsid w:val="007443B4"/>
    <w:rsid w:val="0074477B"/>
    <w:rsid w:val="00744F72"/>
    <w:rsid w:val="00745012"/>
    <w:rsid w:val="007458DC"/>
    <w:rsid w:val="00745A27"/>
    <w:rsid w:val="0074650A"/>
    <w:rsid w:val="00746785"/>
    <w:rsid w:val="00746958"/>
    <w:rsid w:val="007469BD"/>
    <w:rsid w:val="00746B6C"/>
    <w:rsid w:val="007472D0"/>
    <w:rsid w:val="00747417"/>
    <w:rsid w:val="0074748F"/>
    <w:rsid w:val="00747736"/>
    <w:rsid w:val="00747A66"/>
    <w:rsid w:val="00747CD7"/>
    <w:rsid w:val="00750154"/>
    <w:rsid w:val="00750D84"/>
    <w:rsid w:val="00750FE0"/>
    <w:rsid w:val="00751868"/>
    <w:rsid w:val="00751B16"/>
    <w:rsid w:val="0075278F"/>
    <w:rsid w:val="00753890"/>
    <w:rsid w:val="00753A8E"/>
    <w:rsid w:val="00753B90"/>
    <w:rsid w:val="00753F47"/>
    <w:rsid w:val="00754142"/>
    <w:rsid w:val="00754335"/>
    <w:rsid w:val="00754671"/>
    <w:rsid w:val="0075484F"/>
    <w:rsid w:val="007552E6"/>
    <w:rsid w:val="007557AF"/>
    <w:rsid w:val="007557FC"/>
    <w:rsid w:val="0075590B"/>
    <w:rsid w:val="00755C38"/>
    <w:rsid w:val="00755DE8"/>
    <w:rsid w:val="0075606C"/>
    <w:rsid w:val="0075651B"/>
    <w:rsid w:val="007566BB"/>
    <w:rsid w:val="0075674F"/>
    <w:rsid w:val="00756E93"/>
    <w:rsid w:val="00756EE9"/>
    <w:rsid w:val="00756F1C"/>
    <w:rsid w:val="0075795C"/>
    <w:rsid w:val="00757A80"/>
    <w:rsid w:val="007600B1"/>
    <w:rsid w:val="007604BC"/>
    <w:rsid w:val="00760895"/>
    <w:rsid w:val="00760AFB"/>
    <w:rsid w:val="00760EE2"/>
    <w:rsid w:val="0076178E"/>
    <w:rsid w:val="00761A45"/>
    <w:rsid w:val="00762335"/>
    <w:rsid w:val="007626D9"/>
    <w:rsid w:val="0076283A"/>
    <w:rsid w:val="00762CCA"/>
    <w:rsid w:val="00762E8E"/>
    <w:rsid w:val="00763B3D"/>
    <w:rsid w:val="00763BFD"/>
    <w:rsid w:val="00763CE4"/>
    <w:rsid w:val="00763DF7"/>
    <w:rsid w:val="00764A66"/>
    <w:rsid w:val="00765092"/>
    <w:rsid w:val="00765238"/>
    <w:rsid w:val="00765D40"/>
    <w:rsid w:val="007666B7"/>
    <w:rsid w:val="007667C7"/>
    <w:rsid w:val="00766BA7"/>
    <w:rsid w:val="00766CCF"/>
    <w:rsid w:val="00766F41"/>
    <w:rsid w:val="007671EE"/>
    <w:rsid w:val="007677DA"/>
    <w:rsid w:val="00770486"/>
    <w:rsid w:val="0077106A"/>
    <w:rsid w:val="007715B7"/>
    <w:rsid w:val="00771699"/>
    <w:rsid w:val="00772161"/>
    <w:rsid w:val="007724E6"/>
    <w:rsid w:val="0077286D"/>
    <w:rsid w:val="007730AC"/>
    <w:rsid w:val="007730E5"/>
    <w:rsid w:val="00773538"/>
    <w:rsid w:val="007736D7"/>
    <w:rsid w:val="00774281"/>
    <w:rsid w:val="007743B0"/>
    <w:rsid w:val="0077478C"/>
    <w:rsid w:val="007755F8"/>
    <w:rsid w:val="00775C01"/>
    <w:rsid w:val="00775C1B"/>
    <w:rsid w:val="00775DD7"/>
    <w:rsid w:val="007762F6"/>
    <w:rsid w:val="00776737"/>
    <w:rsid w:val="00776BAC"/>
    <w:rsid w:val="00776BE8"/>
    <w:rsid w:val="00777690"/>
    <w:rsid w:val="00780760"/>
    <w:rsid w:val="00780A48"/>
    <w:rsid w:val="00781112"/>
    <w:rsid w:val="00781277"/>
    <w:rsid w:val="00781B22"/>
    <w:rsid w:val="00781DC1"/>
    <w:rsid w:val="00781F4B"/>
    <w:rsid w:val="007823A8"/>
    <w:rsid w:val="00782818"/>
    <w:rsid w:val="007829C5"/>
    <w:rsid w:val="00782B4F"/>
    <w:rsid w:val="007833E9"/>
    <w:rsid w:val="00783EFD"/>
    <w:rsid w:val="00784625"/>
    <w:rsid w:val="00784724"/>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6F6F"/>
    <w:rsid w:val="007873A4"/>
    <w:rsid w:val="007873DF"/>
    <w:rsid w:val="00787772"/>
    <w:rsid w:val="00787971"/>
    <w:rsid w:val="00787C53"/>
    <w:rsid w:val="00787FC0"/>
    <w:rsid w:val="0079037D"/>
    <w:rsid w:val="0079043D"/>
    <w:rsid w:val="00790719"/>
    <w:rsid w:val="00790CBF"/>
    <w:rsid w:val="0079153B"/>
    <w:rsid w:val="0079165C"/>
    <w:rsid w:val="00791AA4"/>
    <w:rsid w:val="00792108"/>
    <w:rsid w:val="00792176"/>
    <w:rsid w:val="007921EC"/>
    <w:rsid w:val="00792625"/>
    <w:rsid w:val="00792959"/>
    <w:rsid w:val="00792DFE"/>
    <w:rsid w:val="00793831"/>
    <w:rsid w:val="00793B73"/>
    <w:rsid w:val="00793D5B"/>
    <w:rsid w:val="007943BF"/>
    <w:rsid w:val="007944CC"/>
    <w:rsid w:val="00794A4C"/>
    <w:rsid w:val="00794F7B"/>
    <w:rsid w:val="00795136"/>
    <w:rsid w:val="00795838"/>
    <w:rsid w:val="007959ED"/>
    <w:rsid w:val="00795AE7"/>
    <w:rsid w:val="007969AA"/>
    <w:rsid w:val="00796D3D"/>
    <w:rsid w:val="00797054"/>
    <w:rsid w:val="00797169"/>
    <w:rsid w:val="00797380"/>
    <w:rsid w:val="0079764A"/>
    <w:rsid w:val="0079791B"/>
    <w:rsid w:val="00797A73"/>
    <w:rsid w:val="00797BC9"/>
    <w:rsid w:val="00797C1E"/>
    <w:rsid w:val="00797D7F"/>
    <w:rsid w:val="007A093C"/>
    <w:rsid w:val="007A0CA8"/>
    <w:rsid w:val="007A0E6C"/>
    <w:rsid w:val="007A0EA2"/>
    <w:rsid w:val="007A115F"/>
    <w:rsid w:val="007A1371"/>
    <w:rsid w:val="007A21AD"/>
    <w:rsid w:val="007A2247"/>
    <w:rsid w:val="007A23C9"/>
    <w:rsid w:val="007A2479"/>
    <w:rsid w:val="007A2551"/>
    <w:rsid w:val="007A49C9"/>
    <w:rsid w:val="007A4A59"/>
    <w:rsid w:val="007A53F3"/>
    <w:rsid w:val="007A6823"/>
    <w:rsid w:val="007A6989"/>
    <w:rsid w:val="007A6BD6"/>
    <w:rsid w:val="007A73D1"/>
    <w:rsid w:val="007A75F8"/>
    <w:rsid w:val="007B027E"/>
    <w:rsid w:val="007B02F5"/>
    <w:rsid w:val="007B03F7"/>
    <w:rsid w:val="007B0A90"/>
    <w:rsid w:val="007B106B"/>
    <w:rsid w:val="007B111A"/>
    <w:rsid w:val="007B1133"/>
    <w:rsid w:val="007B1493"/>
    <w:rsid w:val="007B1F0B"/>
    <w:rsid w:val="007B21DD"/>
    <w:rsid w:val="007B25B4"/>
    <w:rsid w:val="007B2C6A"/>
    <w:rsid w:val="007B317A"/>
    <w:rsid w:val="007B3695"/>
    <w:rsid w:val="007B3A87"/>
    <w:rsid w:val="007B3E2A"/>
    <w:rsid w:val="007B3E9F"/>
    <w:rsid w:val="007B3F96"/>
    <w:rsid w:val="007B4042"/>
    <w:rsid w:val="007B433F"/>
    <w:rsid w:val="007B4484"/>
    <w:rsid w:val="007B49FC"/>
    <w:rsid w:val="007B4AF3"/>
    <w:rsid w:val="007B4D44"/>
    <w:rsid w:val="007B4DF3"/>
    <w:rsid w:val="007B4E55"/>
    <w:rsid w:val="007B4EC4"/>
    <w:rsid w:val="007B4FB5"/>
    <w:rsid w:val="007B50D5"/>
    <w:rsid w:val="007B5512"/>
    <w:rsid w:val="007B556E"/>
    <w:rsid w:val="007B573D"/>
    <w:rsid w:val="007B5C60"/>
    <w:rsid w:val="007B5C7E"/>
    <w:rsid w:val="007B5D63"/>
    <w:rsid w:val="007B6523"/>
    <w:rsid w:val="007B6551"/>
    <w:rsid w:val="007B6CC1"/>
    <w:rsid w:val="007B6F75"/>
    <w:rsid w:val="007B6FED"/>
    <w:rsid w:val="007B6FFF"/>
    <w:rsid w:val="007B7543"/>
    <w:rsid w:val="007B79E2"/>
    <w:rsid w:val="007C03A5"/>
    <w:rsid w:val="007C0B63"/>
    <w:rsid w:val="007C11F7"/>
    <w:rsid w:val="007C1C54"/>
    <w:rsid w:val="007C1E7F"/>
    <w:rsid w:val="007C2290"/>
    <w:rsid w:val="007C2447"/>
    <w:rsid w:val="007C2A95"/>
    <w:rsid w:val="007C2D2F"/>
    <w:rsid w:val="007C2F1E"/>
    <w:rsid w:val="007C340C"/>
    <w:rsid w:val="007C4D47"/>
    <w:rsid w:val="007C5A00"/>
    <w:rsid w:val="007C5E18"/>
    <w:rsid w:val="007C5EE8"/>
    <w:rsid w:val="007C6241"/>
    <w:rsid w:val="007C68BD"/>
    <w:rsid w:val="007C6983"/>
    <w:rsid w:val="007C6B95"/>
    <w:rsid w:val="007C6C85"/>
    <w:rsid w:val="007C76B6"/>
    <w:rsid w:val="007C76EB"/>
    <w:rsid w:val="007C7733"/>
    <w:rsid w:val="007D0307"/>
    <w:rsid w:val="007D08EF"/>
    <w:rsid w:val="007D0900"/>
    <w:rsid w:val="007D0C05"/>
    <w:rsid w:val="007D0F06"/>
    <w:rsid w:val="007D1EDE"/>
    <w:rsid w:val="007D219A"/>
    <w:rsid w:val="007D229C"/>
    <w:rsid w:val="007D2591"/>
    <w:rsid w:val="007D2702"/>
    <w:rsid w:val="007D274F"/>
    <w:rsid w:val="007D27B0"/>
    <w:rsid w:val="007D3010"/>
    <w:rsid w:val="007D3188"/>
    <w:rsid w:val="007D33A3"/>
    <w:rsid w:val="007D34D9"/>
    <w:rsid w:val="007D373B"/>
    <w:rsid w:val="007D3A2C"/>
    <w:rsid w:val="007D3D83"/>
    <w:rsid w:val="007D3FEF"/>
    <w:rsid w:val="007D4691"/>
    <w:rsid w:val="007D4CCD"/>
    <w:rsid w:val="007D5762"/>
    <w:rsid w:val="007D5A35"/>
    <w:rsid w:val="007D5F9C"/>
    <w:rsid w:val="007D789F"/>
    <w:rsid w:val="007E02E8"/>
    <w:rsid w:val="007E0618"/>
    <w:rsid w:val="007E0689"/>
    <w:rsid w:val="007E0BF8"/>
    <w:rsid w:val="007E1263"/>
    <w:rsid w:val="007E12E8"/>
    <w:rsid w:val="007E1382"/>
    <w:rsid w:val="007E1650"/>
    <w:rsid w:val="007E1B64"/>
    <w:rsid w:val="007E1BBB"/>
    <w:rsid w:val="007E21CB"/>
    <w:rsid w:val="007E262C"/>
    <w:rsid w:val="007E265A"/>
    <w:rsid w:val="007E2667"/>
    <w:rsid w:val="007E2BB3"/>
    <w:rsid w:val="007E353D"/>
    <w:rsid w:val="007E4679"/>
    <w:rsid w:val="007E486A"/>
    <w:rsid w:val="007E4F58"/>
    <w:rsid w:val="007E5101"/>
    <w:rsid w:val="007E62B1"/>
    <w:rsid w:val="007E62ED"/>
    <w:rsid w:val="007E680E"/>
    <w:rsid w:val="007E6CF7"/>
    <w:rsid w:val="007E71CE"/>
    <w:rsid w:val="007E7993"/>
    <w:rsid w:val="007E7C66"/>
    <w:rsid w:val="007E7F21"/>
    <w:rsid w:val="007F04DD"/>
    <w:rsid w:val="007F05F5"/>
    <w:rsid w:val="007F06B8"/>
    <w:rsid w:val="007F0B73"/>
    <w:rsid w:val="007F0CDB"/>
    <w:rsid w:val="007F0E87"/>
    <w:rsid w:val="007F1074"/>
    <w:rsid w:val="007F13D0"/>
    <w:rsid w:val="007F14A5"/>
    <w:rsid w:val="007F1553"/>
    <w:rsid w:val="007F1B5B"/>
    <w:rsid w:val="007F2141"/>
    <w:rsid w:val="007F2984"/>
    <w:rsid w:val="007F2A49"/>
    <w:rsid w:val="007F2B1C"/>
    <w:rsid w:val="007F2EB1"/>
    <w:rsid w:val="007F2FBE"/>
    <w:rsid w:val="007F3851"/>
    <w:rsid w:val="007F3ACD"/>
    <w:rsid w:val="007F3EE2"/>
    <w:rsid w:val="007F45C5"/>
    <w:rsid w:val="007F4710"/>
    <w:rsid w:val="007F5483"/>
    <w:rsid w:val="007F5833"/>
    <w:rsid w:val="007F5A51"/>
    <w:rsid w:val="007F5E02"/>
    <w:rsid w:val="007F62AE"/>
    <w:rsid w:val="007F6922"/>
    <w:rsid w:val="007F70FA"/>
    <w:rsid w:val="007F71C9"/>
    <w:rsid w:val="007F7634"/>
    <w:rsid w:val="007F7CAC"/>
    <w:rsid w:val="007F7E8D"/>
    <w:rsid w:val="007F7EAB"/>
    <w:rsid w:val="008000DF"/>
    <w:rsid w:val="008010C5"/>
    <w:rsid w:val="008015A8"/>
    <w:rsid w:val="00801603"/>
    <w:rsid w:val="008017E9"/>
    <w:rsid w:val="00801AC0"/>
    <w:rsid w:val="00801CF0"/>
    <w:rsid w:val="00801D13"/>
    <w:rsid w:val="00801E9C"/>
    <w:rsid w:val="008021F1"/>
    <w:rsid w:val="00802266"/>
    <w:rsid w:val="00802327"/>
    <w:rsid w:val="00802774"/>
    <w:rsid w:val="0080278D"/>
    <w:rsid w:val="00802AAF"/>
    <w:rsid w:val="00802AB3"/>
    <w:rsid w:val="00802DCD"/>
    <w:rsid w:val="0080301A"/>
    <w:rsid w:val="008032D7"/>
    <w:rsid w:val="00803961"/>
    <w:rsid w:val="00803C9F"/>
    <w:rsid w:val="00803CD8"/>
    <w:rsid w:val="00804286"/>
    <w:rsid w:val="00804333"/>
    <w:rsid w:val="00804343"/>
    <w:rsid w:val="008047E8"/>
    <w:rsid w:val="00804CF1"/>
    <w:rsid w:val="0080513B"/>
    <w:rsid w:val="0080586A"/>
    <w:rsid w:val="008067C1"/>
    <w:rsid w:val="00806860"/>
    <w:rsid w:val="00806C7B"/>
    <w:rsid w:val="00807627"/>
    <w:rsid w:val="008103D4"/>
    <w:rsid w:val="008104FB"/>
    <w:rsid w:val="00810C07"/>
    <w:rsid w:val="00811217"/>
    <w:rsid w:val="0081167C"/>
    <w:rsid w:val="00811CCA"/>
    <w:rsid w:val="00811F71"/>
    <w:rsid w:val="00811FEE"/>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117"/>
    <w:rsid w:val="00817744"/>
    <w:rsid w:val="00817F92"/>
    <w:rsid w:val="00820524"/>
    <w:rsid w:val="00820762"/>
    <w:rsid w:val="00820D7A"/>
    <w:rsid w:val="00820E2F"/>
    <w:rsid w:val="00820F7E"/>
    <w:rsid w:val="0082177C"/>
    <w:rsid w:val="008218A2"/>
    <w:rsid w:val="0082194B"/>
    <w:rsid w:val="0082195A"/>
    <w:rsid w:val="00821AA3"/>
    <w:rsid w:val="00821B7B"/>
    <w:rsid w:val="008226B0"/>
    <w:rsid w:val="00822956"/>
    <w:rsid w:val="00822A82"/>
    <w:rsid w:val="0082315F"/>
    <w:rsid w:val="008233F1"/>
    <w:rsid w:val="00823568"/>
    <w:rsid w:val="0082397E"/>
    <w:rsid w:val="00824DD9"/>
    <w:rsid w:val="0082547D"/>
    <w:rsid w:val="00825AC1"/>
    <w:rsid w:val="00825C2B"/>
    <w:rsid w:val="00825F2B"/>
    <w:rsid w:val="00826174"/>
    <w:rsid w:val="0082654E"/>
    <w:rsid w:val="008265FA"/>
    <w:rsid w:val="008268F0"/>
    <w:rsid w:val="008269CC"/>
    <w:rsid w:val="008269F8"/>
    <w:rsid w:val="00826A21"/>
    <w:rsid w:val="00826C06"/>
    <w:rsid w:val="00827270"/>
    <w:rsid w:val="00827322"/>
    <w:rsid w:val="008276FA"/>
    <w:rsid w:val="00827BC9"/>
    <w:rsid w:val="00827D5A"/>
    <w:rsid w:val="008301E5"/>
    <w:rsid w:val="00830299"/>
    <w:rsid w:val="00831028"/>
    <w:rsid w:val="00831594"/>
    <w:rsid w:val="008318AC"/>
    <w:rsid w:val="00831AB9"/>
    <w:rsid w:val="00831B2B"/>
    <w:rsid w:val="00831C0C"/>
    <w:rsid w:val="008325EF"/>
    <w:rsid w:val="008327BF"/>
    <w:rsid w:val="00832B66"/>
    <w:rsid w:val="008332DA"/>
    <w:rsid w:val="008332EE"/>
    <w:rsid w:val="008334F3"/>
    <w:rsid w:val="008338CF"/>
    <w:rsid w:val="00833D88"/>
    <w:rsid w:val="00833E66"/>
    <w:rsid w:val="00834152"/>
    <w:rsid w:val="00834174"/>
    <w:rsid w:val="008341E9"/>
    <w:rsid w:val="008342D1"/>
    <w:rsid w:val="008342FD"/>
    <w:rsid w:val="00834AF0"/>
    <w:rsid w:val="00834EC7"/>
    <w:rsid w:val="00835022"/>
    <w:rsid w:val="00835BBB"/>
    <w:rsid w:val="00836301"/>
    <w:rsid w:val="008370A6"/>
    <w:rsid w:val="008375FB"/>
    <w:rsid w:val="00837BB4"/>
    <w:rsid w:val="00837C40"/>
    <w:rsid w:val="0084065A"/>
    <w:rsid w:val="008413C4"/>
    <w:rsid w:val="00841451"/>
    <w:rsid w:val="008416CA"/>
    <w:rsid w:val="008418E2"/>
    <w:rsid w:val="00841F59"/>
    <w:rsid w:val="00842018"/>
    <w:rsid w:val="0084215E"/>
    <w:rsid w:val="0084289B"/>
    <w:rsid w:val="00842BDF"/>
    <w:rsid w:val="00842FDA"/>
    <w:rsid w:val="008432B9"/>
    <w:rsid w:val="00843406"/>
    <w:rsid w:val="008435EC"/>
    <w:rsid w:val="00843789"/>
    <w:rsid w:val="008438B6"/>
    <w:rsid w:val="00843BBB"/>
    <w:rsid w:val="00843DA6"/>
    <w:rsid w:val="00844365"/>
    <w:rsid w:val="00844B6B"/>
    <w:rsid w:val="00844DBD"/>
    <w:rsid w:val="00844F03"/>
    <w:rsid w:val="0084533F"/>
    <w:rsid w:val="00845784"/>
    <w:rsid w:val="008457EB"/>
    <w:rsid w:val="00845F98"/>
    <w:rsid w:val="00845FEE"/>
    <w:rsid w:val="00846616"/>
    <w:rsid w:val="0084675D"/>
    <w:rsid w:val="008468F7"/>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094"/>
    <w:rsid w:val="00852280"/>
    <w:rsid w:val="0085229B"/>
    <w:rsid w:val="008525B5"/>
    <w:rsid w:val="00852680"/>
    <w:rsid w:val="00852B62"/>
    <w:rsid w:val="00852D16"/>
    <w:rsid w:val="00852F1E"/>
    <w:rsid w:val="0085342F"/>
    <w:rsid w:val="008535E9"/>
    <w:rsid w:val="00853CF1"/>
    <w:rsid w:val="00854303"/>
    <w:rsid w:val="00854318"/>
    <w:rsid w:val="0085442C"/>
    <w:rsid w:val="00854640"/>
    <w:rsid w:val="00854B2A"/>
    <w:rsid w:val="00854B33"/>
    <w:rsid w:val="00854C6B"/>
    <w:rsid w:val="00854C96"/>
    <w:rsid w:val="0085526D"/>
    <w:rsid w:val="00855706"/>
    <w:rsid w:val="008568CC"/>
    <w:rsid w:val="008568D3"/>
    <w:rsid w:val="00856D09"/>
    <w:rsid w:val="00856D33"/>
    <w:rsid w:val="00857845"/>
    <w:rsid w:val="00857FD2"/>
    <w:rsid w:val="00860016"/>
    <w:rsid w:val="00860398"/>
    <w:rsid w:val="008603DF"/>
    <w:rsid w:val="008606B3"/>
    <w:rsid w:val="00860756"/>
    <w:rsid w:val="00860B82"/>
    <w:rsid w:val="00860D96"/>
    <w:rsid w:val="00860F24"/>
    <w:rsid w:val="00860FD6"/>
    <w:rsid w:val="008612A3"/>
    <w:rsid w:val="00861A61"/>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1DCC"/>
    <w:rsid w:val="00872234"/>
    <w:rsid w:val="00872C36"/>
    <w:rsid w:val="00872F2D"/>
    <w:rsid w:val="00873431"/>
    <w:rsid w:val="0087350B"/>
    <w:rsid w:val="00873E0E"/>
    <w:rsid w:val="008746D0"/>
    <w:rsid w:val="00874A48"/>
    <w:rsid w:val="008753FF"/>
    <w:rsid w:val="008761B1"/>
    <w:rsid w:val="00876243"/>
    <w:rsid w:val="0087624D"/>
    <w:rsid w:val="00876527"/>
    <w:rsid w:val="00876A0E"/>
    <w:rsid w:val="00876DD9"/>
    <w:rsid w:val="00876EA8"/>
    <w:rsid w:val="00876F00"/>
    <w:rsid w:val="0087755A"/>
    <w:rsid w:val="0087768C"/>
    <w:rsid w:val="008779E9"/>
    <w:rsid w:val="00877B84"/>
    <w:rsid w:val="00877DE9"/>
    <w:rsid w:val="00880111"/>
    <w:rsid w:val="0088027C"/>
    <w:rsid w:val="008808BB"/>
    <w:rsid w:val="00880D36"/>
    <w:rsid w:val="008810B3"/>
    <w:rsid w:val="008815E0"/>
    <w:rsid w:val="00881D0B"/>
    <w:rsid w:val="00881E7D"/>
    <w:rsid w:val="0088248D"/>
    <w:rsid w:val="008829C3"/>
    <w:rsid w:val="00882B64"/>
    <w:rsid w:val="00882F95"/>
    <w:rsid w:val="008838D6"/>
    <w:rsid w:val="0088405E"/>
    <w:rsid w:val="00884B81"/>
    <w:rsid w:val="00884D3F"/>
    <w:rsid w:val="00885E97"/>
    <w:rsid w:val="00885F5D"/>
    <w:rsid w:val="008861E2"/>
    <w:rsid w:val="00886399"/>
    <w:rsid w:val="00886888"/>
    <w:rsid w:val="00886E83"/>
    <w:rsid w:val="00886F42"/>
    <w:rsid w:val="008906E8"/>
    <w:rsid w:val="00890702"/>
    <w:rsid w:val="0089093F"/>
    <w:rsid w:val="00890AEE"/>
    <w:rsid w:val="00890C5C"/>
    <w:rsid w:val="00890D5E"/>
    <w:rsid w:val="00891061"/>
    <w:rsid w:val="0089115A"/>
    <w:rsid w:val="008912D5"/>
    <w:rsid w:val="008913BB"/>
    <w:rsid w:val="008917F7"/>
    <w:rsid w:val="008917FC"/>
    <w:rsid w:val="0089222F"/>
    <w:rsid w:val="00892FA1"/>
    <w:rsid w:val="00892FF0"/>
    <w:rsid w:val="00893511"/>
    <w:rsid w:val="00893623"/>
    <w:rsid w:val="00893806"/>
    <w:rsid w:val="00893AD1"/>
    <w:rsid w:val="00893D4A"/>
    <w:rsid w:val="008946A3"/>
    <w:rsid w:val="0089489B"/>
    <w:rsid w:val="00894E36"/>
    <w:rsid w:val="00894EEC"/>
    <w:rsid w:val="00894FAF"/>
    <w:rsid w:val="0089597A"/>
    <w:rsid w:val="008959C9"/>
    <w:rsid w:val="00895A50"/>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18F"/>
    <w:rsid w:val="008A3238"/>
    <w:rsid w:val="008A32FF"/>
    <w:rsid w:val="008A3484"/>
    <w:rsid w:val="008A3996"/>
    <w:rsid w:val="008A3E59"/>
    <w:rsid w:val="008A4A7D"/>
    <w:rsid w:val="008A4CDA"/>
    <w:rsid w:val="008A4CEA"/>
    <w:rsid w:val="008A58B9"/>
    <w:rsid w:val="008A59AD"/>
    <w:rsid w:val="008A5F04"/>
    <w:rsid w:val="008A6033"/>
    <w:rsid w:val="008A64BF"/>
    <w:rsid w:val="008A6CB4"/>
    <w:rsid w:val="008A6D74"/>
    <w:rsid w:val="008A7905"/>
    <w:rsid w:val="008A7BCE"/>
    <w:rsid w:val="008B006F"/>
    <w:rsid w:val="008B0293"/>
    <w:rsid w:val="008B085F"/>
    <w:rsid w:val="008B0A06"/>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248"/>
    <w:rsid w:val="008B4F14"/>
    <w:rsid w:val="008B5903"/>
    <w:rsid w:val="008B5AA6"/>
    <w:rsid w:val="008B5AE0"/>
    <w:rsid w:val="008B5BC2"/>
    <w:rsid w:val="008B5DD4"/>
    <w:rsid w:val="008B6739"/>
    <w:rsid w:val="008B6844"/>
    <w:rsid w:val="008B6CEF"/>
    <w:rsid w:val="008B6DC7"/>
    <w:rsid w:val="008B74BF"/>
    <w:rsid w:val="008B7577"/>
    <w:rsid w:val="008B7681"/>
    <w:rsid w:val="008B7971"/>
    <w:rsid w:val="008B7C5C"/>
    <w:rsid w:val="008B7FCD"/>
    <w:rsid w:val="008C0092"/>
    <w:rsid w:val="008C0549"/>
    <w:rsid w:val="008C1C73"/>
    <w:rsid w:val="008C1FAE"/>
    <w:rsid w:val="008C295E"/>
    <w:rsid w:val="008C3084"/>
    <w:rsid w:val="008C3299"/>
    <w:rsid w:val="008C34A4"/>
    <w:rsid w:val="008C3517"/>
    <w:rsid w:val="008C38DD"/>
    <w:rsid w:val="008C3A1C"/>
    <w:rsid w:val="008C3AA8"/>
    <w:rsid w:val="008C4399"/>
    <w:rsid w:val="008C4417"/>
    <w:rsid w:val="008C4B52"/>
    <w:rsid w:val="008C4CCF"/>
    <w:rsid w:val="008C5453"/>
    <w:rsid w:val="008C5EAD"/>
    <w:rsid w:val="008C5F4C"/>
    <w:rsid w:val="008C6C1C"/>
    <w:rsid w:val="008C6DEF"/>
    <w:rsid w:val="008C7124"/>
    <w:rsid w:val="008C7215"/>
    <w:rsid w:val="008C727B"/>
    <w:rsid w:val="008C75CD"/>
    <w:rsid w:val="008C7CB3"/>
    <w:rsid w:val="008D0084"/>
    <w:rsid w:val="008D04E5"/>
    <w:rsid w:val="008D05B4"/>
    <w:rsid w:val="008D05D4"/>
    <w:rsid w:val="008D0796"/>
    <w:rsid w:val="008D10D4"/>
    <w:rsid w:val="008D223D"/>
    <w:rsid w:val="008D2358"/>
    <w:rsid w:val="008D244A"/>
    <w:rsid w:val="008D27A4"/>
    <w:rsid w:val="008D29BD"/>
    <w:rsid w:val="008D2D49"/>
    <w:rsid w:val="008D314E"/>
    <w:rsid w:val="008D336B"/>
    <w:rsid w:val="008D34C4"/>
    <w:rsid w:val="008D350D"/>
    <w:rsid w:val="008D3666"/>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C27"/>
    <w:rsid w:val="008D7FCB"/>
    <w:rsid w:val="008E01F4"/>
    <w:rsid w:val="008E039F"/>
    <w:rsid w:val="008E0615"/>
    <w:rsid w:val="008E0694"/>
    <w:rsid w:val="008E0AD8"/>
    <w:rsid w:val="008E0D17"/>
    <w:rsid w:val="008E132F"/>
    <w:rsid w:val="008E1E55"/>
    <w:rsid w:val="008E20E0"/>
    <w:rsid w:val="008E2660"/>
    <w:rsid w:val="008E2685"/>
    <w:rsid w:val="008E2868"/>
    <w:rsid w:val="008E323E"/>
    <w:rsid w:val="008E34AA"/>
    <w:rsid w:val="008E38D9"/>
    <w:rsid w:val="008E3AB4"/>
    <w:rsid w:val="008E3F4F"/>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1A1E"/>
    <w:rsid w:val="008F2328"/>
    <w:rsid w:val="008F28A9"/>
    <w:rsid w:val="008F28B8"/>
    <w:rsid w:val="008F2CA6"/>
    <w:rsid w:val="008F2E52"/>
    <w:rsid w:val="008F2F1D"/>
    <w:rsid w:val="008F34FC"/>
    <w:rsid w:val="008F3897"/>
    <w:rsid w:val="008F3A21"/>
    <w:rsid w:val="008F3D04"/>
    <w:rsid w:val="008F3E22"/>
    <w:rsid w:val="008F467D"/>
    <w:rsid w:val="008F4744"/>
    <w:rsid w:val="008F4C99"/>
    <w:rsid w:val="008F5229"/>
    <w:rsid w:val="008F54CA"/>
    <w:rsid w:val="008F5BEF"/>
    <w:rsid w:val="008F5CD6"/>
    <w:rsid w:val="008F5FDA"/>
    <w:rsid w:val="008F6843"/>
    <w:rsid w:val="008F68CF"/>
    <w:rsid w:val="008F6EEB"/>
    <w:rsid w:val="00900414"/>
    <w:rsid w:val="00900557"/>
    <w:rsid w:val="00900756"/>
    <w:rsid w:val="0090101F"/>
    <w:rsid w:val="00901440"/>
    <w:rsid w:val="009017A9"/>
    <w:rsid w:val="009019D8"/>
    <w:rsid w:val="00902656"/>
    <w:rsid w:val="00902915"/>
    <w:rsid w:val="00902FDE"/>
    <w:rsid w:val="009031AF"/>
    <w:rsid w:val="009031DC"/>
    <w:rsid w:val="009032CD"/>
    <w:rsid w:val="009032E9"/>
    <w:rsid w:val="00903396"/>
    <w:rsid w:val="00903EA1"/>
    <w:rsid w:val="009042EC"/>
    <w:rsid w:val="00904612"/>
    <w:rsid w:val="00904820"/>
    <w:rsid w:val="0090496B"/>
    <w:rsid w:val="009049F7"/>
    <w:rsid w:val="00904EE2"/>
    <w:rsid w:val="009050B0"/>
    <w:rsid w:val="00905469"/>
    <w:rsid w:val="00906506"/>
    <w:rsid w:val="0090669D"/>
    <w:rsid w:val="00906C46"/>
    <w:rsid w:val="00907026"/>
    <w:rsid w:val="0090742B"/>
    <w:rsid w:val="00907A2C"/>
    <w:rsid w:val="00907B81"/>
    <w:rsid w:val="00907D7D"/>
    <w:rsid w:val="00907F45"/>
    <w:rsid w:val="0091015D"/>
    <w:rsid w:val="0091065F"/>
    <w:rsid w:val="009106B4"/>
    <w:rsid w:val="00910A3D"/>
    <w:rsid w:val="00910B54"/>
    <w:rsid w:val="00910B73"/>
    <w:rsid w:val="00910BD5"/>
    <w:rsid w:val="00911097"/>
    <w:rsid w:val="0091113B"/>
    <w:rsid w:val="00911D87"/>
    <w:rsid w:val="0091212A"/>
    <w:rsid w:val="00912148"/>
    <w:rsid w:val="009123BE"/>
    <w:rsid w:val="00912415"/>
    <w:rsid w:val="00912774"/>
    <w:rsid w:val="009129E8"/>
    <w:rsid w:val="00912FE0"/>
    <w:rsid w:val="0091314D"/>
    <w:rsid w:val="009135ED"/>
    <w:rsid w:val="00913748"/>
    <w:rsid w:val="009139A0"/>
    <w:rsid w:val="009139BB"/>
    <w:rsid w:val="00913CDA"/>
    <w:rsid w:val="00913E3C"/>
    <w:rsid w:val="00914013"/>
    <w:rsid w:val="009149A3"/>
    <w:rsid w:val="00915698"/>
    <w:rsid w:val="00915B11"/>
    <w:rsid w:val="00916372"/>
    <w:rsid w:val="0091687A"/>
    <w:rsid w:val="00916A48"/>
    <w:rsid w:val="0091729A"/>
    <w:rsid w:val="00917826"/>
    <w:rsid w:val="00917913"/>
    <w:rsid w:val="00917A26"/>
    <w:rsid w:val="00917A7D"/>
    <w:rsid w:val="00917C4A"/>
    <w:rsid w:val="00917E93"/>
    <w:rsid w:val="00920477"/>
    <w:rsid w:val="0092053F"/>
    <w:rsid w:val="00920F06"/>
    <w:rsid w:val="00920F77"/>
    <w:rsid w:val="0092112C"/>
    <w:rsid w:val="0092188C"/>
    <w:rsid w:val="00922136"/>
    <w:rsid w:val="0092233A"/>
    <w:rsid w:val="0092248E"/>
    <w:rsid w:val="00922B2C"/>
    <w:rsid w:val="00922BB0"/>
    <w:rsid w:val="00922C38"/>
    <w:rsid w:val="00922E91"/>
    <w:rsid w:val="00923653"/>
    <w:rsid w:val="00923891"/>
    <w:rsid w:val="00923BCC"/>
    <w:rsid w:val="0092412C"/>
    <w:rsid w:val="00924588"/>
    <w:rsid w:val="009249F9"/>
    <w:rsid w:val="00924CF7"/>
    <w:rsid w:val="00924E41"/>
    <w:rsid w:val="009250FD"/>
    <w:rsid w:val="009253FB"/>
    <w:rsid w:val="0092547A"/>
    <w:rsid w:val="00925F78"/>
    <w:rsid w:val="00926518"/>
    <w:rsid w:val="00926820"/>
    <w:rsid w:val="00926A54"/>
    <w:rsid w:val="00926C5F"/>
    <w:rsid w:val="00926F44"/>
    <w:rsid w:val="009275E8"/>
    <w:rsid w:val="009275EC"/>
    <w:rsid w:val="00927DCD"/>
    <w:rsid w:val="0093044F"/>
    <w:rsid w:val="0093080E"/>
    <w:rsid w:val="00930A85"/>
    <w:rsid w:val="00930ABD"/>
    <w:rsid w:val="00930CE4"/>
    <w:rsid w:val="00930DC1"/>
    <w:rsid w:val="0093160C"/>
    <w:rsid w:val="009316C0"/>
    <w:rsid w:val="009317AC"/>
    <w:rsid w:val="00931DCD"/>
    <w:rsid w:val="00931E44"/>
    <w:rsid w:val="00932947"/>
    <w:rsid w:val="009329A1"/>
    <w:rsid w:val="00932D18"/>
    <w:rsid w:val="00932DD8"/>
    <w:rsid w:val="00932EB2"/>
    <w:rsid w:val="0093355E"/>
    <w:rsid w:val="00934462"/>
    <w:rsid w:val="009347B0"/>
    <w:rsid w:val="00934860"/>
    <w:rsid w:val="00934ADF"/>
    <w:rsid w:val="00934B10"/>
    <w:rsid w:val="00935218"/>
    <w:rsid w:val="009354E8"/>
    <w:rsid w:val="00935E59"/>
    <w:rsid w:val="00935FCD"/>
    <w:rsid w:val="0093638E"/>
    <w:rsid w:val="0093664F"/>
    <w:rsid w:val="009368C8"/>
    <w:rsid w:val="009369CB"/>
    <w:rsid w:val="00936A66"/>
    <w:rsid w:val="00936C42"/>
    <w:rsid w:val="00936ECE"/>
    <w:rsid w:val="0093729E"/>
    <w:rsid w:val="009376B2"/>
    <w:rsid w:val="00937880"/>
    <w:rsid w:val="00937A62"/>
    <w:rsid w:val="00937BEB"/>
    <w:rsid w:val="00937C5B"/>
    <w:rsid w:val="00937E2C"/>
    <w:rsid w:val="00940111"/>
    <w:rsid w:val="009401A9"/>
    <w:rsid w:val="00940311"/>
    <w:rsid w:val="00940AAA"/>
    <w:rsid w:val="00940C01"/>
    <w:rsid w:val="00940CD5"/>
    <w:rsid w:val="0094114A"/>
    <w:rsid w:val="00941B66"/>
    <w:rsid w:val="00941F5A"/>
    <w:rsid w:val="00942392"/>
    <w:rsid w:val="00942524"/>
    <w:rsid w:val="00942AA6"/>
    <w:rsid w:val="00942DFE"/>
    <w:rsid w:val="0094304F"/>
    <w:rsid w:val="00943466"/>
    <w:rsid w:val="00943C77"/>
    <w:rsid w:val="00943E1D"/>
    <w:rsid w:val="00943FA3"/>
    <w:rsid w:val="0094400A"/>
    <w:rsid w:val="00944465"/>
    <w:rsid w:val="00944479"/>
    <w:rsid w:val="009447C3"/>
    <w:rsid w:val="00945059"/>
    <w:rsid w:val="009450E8"/>
    <w:rsid w:val="0094606D"/>
    <w:rsid w:val="0094611E"/>
    <w:rsid w:val="00946E89"/>
    <w:rsid w:val="00947B8C"/>
    <w:rsid w:val="009501AE"/>
    <w:rsid w:val="009501BB"/>
    <w:rsid w:val="009505BA"/>
    <w:rsid w:val="0095074E"/>
    <w:rsid w:val="00950A9F"/>
    <w:rsid w:val="009511A1"/>
    <w:rsid w:val="00951A04"/>
    <w:rsid w:val="00951C06"/>
    <w:rsid w:val="00951C3E"/>
    <w:rsid w:val="00951EA3"/>
    <w:rsid w:val="009522F6"/>
    <w:rsid w:val="00953040"/>
    <w:rsid w:val="00953864"/>
    <w:rsid w:val="00953BF0"/>
    <w:rsid w:val="00953E2B"/>
    <w:rsid w:val="009540DD"/>
    <w:rsid w:val="0095418E"/>
    <w:rsid w:val="009543E8"/>
    <w:rsid w:val="0095519B"/>
    <w:rsid w:val="00955B2B"/>
    <w:rsid w:val="0095602C"/>
    <w:rsid w:val="009561C0"/>
    <w:rsid w:val="009569E7"/>
    <w:rsid w:val="00956BDA"/>
    <w:rsid w:val="00956E0A"/>
    <w:rsid w:val="00956E42"/>
    <w:rsid w:val="00957317"/>
    <w:rsid w:val="009576AF"/>
    <w:rsid w:val="009578A6"/>
    <w:rsid w:val="00957C7F"/>
    <w:rsid w:val="00957CF9"/>
    <w:rsid w:val="00957D83"/>
    <w:rsid w:val="009602CB"/>
    <w:rsid w:val="00960992"/>
    <w:rsid w:val="00960BAD"/>
    <w:rsid w:val="00960E07"/>
    <w:rsid w:val="009611B8"/>
    <w:rsid w:val="00961248"/>
    <w:rsid w:val="00961D8A"/>
    <w:rsid w:val="00961E9B"/>
    <w:rsid w:val="00961FF6"/>
    <w:rsid w:val="009624D2"/>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19C0"/>
    <w:rsid w:val="0097239D"/>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3F9"/>
    <w:rsid w:val="0097652C"/>
    <w:rsid w:val="00976A7E"/>
    <w:rsid w:val="00976B65"/>
    <w:rsid w:val="00976D86"/>
    <w:rsid w:val="0097757E"/>
    <w:rsid w:val="00977614"/>
    <w:rsid w:val="009777C4"/>
    <w:rsid w:val="0098004F"/>
    <w:rsid w:val="00980307"/>
    <w:rsid w:val="00981325"/>
    <w:rsid w:val="00981748"/>
    <w:rsid w:val="009819D2"/>
    <w:rsid w:val="00981AE9"/>
    <w:rsid w:val="00981E4C"/>
    <w:rsid w:val="0098216F"/>
    <w:rsid w:val="009821D3"/>
    <w:rsid w:val="00982331"/>
    <w:rsid w:val="00982AFD"/>
    <w:rsid w:val="00982C36"/>
    <w:rsid w:val="00982E27"/>
    <w:rsid w:val="0098358D"/>
    <w:rsid w:val="00983824"/>
    <w:rsid w:val="009841E3"/>
    <w:rsid w:val="00984437"/>
    <w:rsid w:val="0098454B"/>
    <w:rsid w:val="009846C3"/>
    <w:rsid w:val="009847AE"/>
    <w:rsid w:val="00984EC1"/>
    <w:rsid w:val="00984F54"/>
    <w:rsid w:val="00984F5E"/>
    <w:rsid w:val="009851E4"/>
    <w:rsid w:val="00985469"/>
    <w:rsid w:val="00985479"/>
    <w:rsid w:val="00985668"/>
    <w:rsid w:val="009859E7"/>
    <w:rsid w:val="00985A98"/>
    <w:rsid w:val="00985FBB"/>
    <w:rsid w:val="009863B8"/>
    <w:rsid w:val="00986435"/>
    <w:rsid w:val="009866FB"/>
    <w:rsid w:val="00986730"/>
    <w:rsid w:val="0098674E"/>
    <w:rsid w:val="00986CF8"/>
    <w:rsid w:val="00986EDD"/>
    <w:rsid w:val="00987081"/>
    <w:rsid w:val="00987365"/>
    <w:rsid w:val="009873EA"/>
    <w:rsid w:val="009879F4"/>
    <w:rsid w:val="00987D5A"/>
    <w:rsid w:val="00987D9E"/>
    <w:rsid w:val="009900F0"/>
    <w:rsid w:val="00990165"/>
    <w:rsid w:val="009901F8"/>
    <w:rsid w:val="009905E6"/>
    <w:rsid w:val="00990609"/>
    <w:rsid w:val="00990841"/>
    <w:rsid w:val="00990ADB"/>
    <w:rsid w:val="00990ECE"/>
    <w:rsid w:val="0099113D"/>
    <w:rsid w:val="00991890"/>
    <w:rsid w:val="00991A10"/>
    <w:rsid w:val="00991B1D"/>
    <w:rsid w:val="00991C7F"/>
    <w:rsid w:val="00992489"/>
    <w:rsid w:val="00992575"/>
    <w:rsid w:val="00992BC4"/>
    <w:rsid w:val="00993002"/>
    <w:rsid w:val="00993A62"/>
    <w:rsid w:val="0099440A"/>
    <w:rsid w:val="00994719"/>
    <w:rsid w:val="00995B53"/>
    <w:rsid w:val="00995BEB"/>
    <w:rsid w:val="00995C86"/>
    <w:rsid w:val="00995C92"/>
    <w:rsid w:val="00996C82"/>
    <w:rsid w:val="00997646"/>
    <w:rsid w:val="00997728"/>
    <w:rsid w:val="00997922"/>
    <w:rsid w:val="00997CE6"/>
    <w:rsid w:val="00997CFA"/>
    <w:rsid w:val="009A01C8"/>
    <w:rsid w:val="009A021B"/>
    <w:rsid w:val="009A0771"/>
    <w:rsid w:val="009A0AB5"/>
    <w:rsid w:val="009A0C5C"/>
    <w:rsid w:val="009A0E6F"/>
    <w:rsid w:val="009A1A97"/>
    <w:rsid w:val="009A1F50"/>
    <w:rsid w:val="009A22E4"/>
    <w:rsid w:val="009A2662"/>
    <w:rsid w:val="009A2922"/>
    <w:rsid w:val="009A3056"/>
    <w:rsid w:val="009A3985"/>
    <w:rsid w:val="009A48B8"/>
    <w:rsid w:val="009A4AB7"/>
    <w:rsid w:val="009A5AE8"/>
    <w:rsid w:val="009A5B44"/>
    <w:rsid w:val="009A5C09"/>
    <w:rsid w:val="009A5C2F"/>
    <w:rsid w:val="009A606F"/>
    <w:rsid w:val="009A6B1B"/>
    <w:rsid w:val="009A6FAF"/>
    <w:rsid w:val="009A7148"/>
    <w:rsid w:val="009A7172"/>
    <w:rsid w:val="009A76C5"/>
    <w:rsid w:val="009A7D13"/>
    <w:rsid w:val="009A7E16"/>
    <w:rsid w:val="009B00CD"/>
    <w:rsid w:val="009B11AC"/>
    <w:rsid w:val="009B147B"/>
    <w:rsid w:val="009B18C3"/>
    <w:rsid w:val="009B27C0"/>
    <w:rsid w:val="009B2D01"/>
    <w:rsid w:val="009B3306"/>
    <w:rsid w:val="009B33C3"/>
    <w:rsid w:val="009B3DD5"/>
    <w:rsid w:val="009B42E8"/>
    <w:rsid w:val="009B43BA"/>
    <w:rsid w:val="009B4401"/>
    <w:rsid w:val="009B4649"/>
    <w:rsid w:val="009B4FC2"/>
    <w:rsid w:val="009B5339"/>
    <w:rsid w:val="009B54AB"/>
    <w:rsid w:val="009B5ECA"/>
    <w:rsid w:val="009B6002"/>
    <w:rsid w:val="009B66C4"/>
    <w:rsid w:val="009B6709"/>
    <w:rsid w:val="009B673C"/>
    <w:rsid w:val="009B69DB"/>
    <w:rsid w:val="009B6BB1"/>
    <w:rsid w:val="009B6E6E"/>
    <w:rsid w:val="009B7C76"/>
    <w:rsid w:val="009C04A7"/>
    <w:rsid w:val="009C0845"/>
    <w:rsid w:val="009C087B"/>
    <w:rsid w:val="009C133A"/>
    <w:rsid w:val="009C13A2"/>
    <w:rsid w:val="009C141D"/>
    <w:rsid w:val="009C2448"/>
    <w:rsid w:val="009C297B"/>
    <w:rsid w:val="009C2CF6"/>
    <w:rsid w:val="009C30D3"/>
    <w:rsid w:val="009C368C"/>
    <w:rsid w:val="009C3824"/>
    <w:rsid w:val="009C409F"/>
    <w:rsid w:val="009C49D8"/>
    <w:rsid w:val="009C505F"/>
    <w:rsid w:val="009C543E"/>
    <w:rsid w:val="009C57A6"/>
    <w:rsid w:val="009C59DA"/>
    <w:rsid w:val="009C5EA3"/>
    <w:rsid w:val="009C6520"/>
    <w:rsid w:val="009C6692"/>
    <w:rsid w:val="009C6CD9"/>
    <w:rsid w:val="009C6E3D"/>
    <w:rsid w:val="009C713C"/>
    <w:rsid w:val="009C7C11"/>
    <w:rsid w:val="009C7CB6"/>
    <w:rsid w:val="009C7F51"/>
    <w:rsid w:val="009D0208"/>
    <w:rsid w:val="009D0666"/>
    <w:rsid w:val="009D0774"/>
    <w:rsid w:val="009D0B90"/>
    <w:rsid w:val="009D16E9"/>
    <w:rsid w:val="009D1896"/>
    <w:rsid w:val="009D1CD7"/>
    <w:rsid w:val="009D23F4"/>
    <w:rsid w:val="009D2820"/>
    <w:rsid w:val="009D2862"/>
    <w:rsid w:val="009D2BE0"/>
    <w:rsid w:val="009D3401"/>
    <w:rsid w:val="009D3FEA"/>
    <w:rsid w:val="009D41F4"/>
    <w:rsid w:val="009D423C"/>
    <w:rsid w:val="009D42EB"/>
    <w:rsid w:val="009D484B"/>
    <w:rsid w:val="009D4C13"/>
    <w:rsid w:val="009D51DC"/>
    <w:rsid w:val="009D534F"/>
    <w:rsid w:val="009D55B7"/>
    <w:rsid w:val="009D55F9"/>
    <w:rsid w:val="009D57E5"/>
    <w:rsid w:val="009D5FFA"/>
    <w:rsid w:val="009D7411"/>
    <w:rsid w:val="009D7469"/>
    <w:rsid w:val="009D7489"/>
    <w:rsid w:val="009D74CE"/>
    <w:rsid w:val="009D77CF"/>
    <w:rsid w:val="009E03EF"/>
    <w:rsid w:val="009E0506"/>
    <w:rsid w:val="009E1FD4"/>
    <w:rsid w:val="009E2303"/>
    <w:rsid w:val="009E2A7B"/>
    <w:rsid w:val="009E309C"/>
    <w:rsid w:val="009E36AA"/>
    <w:rsid w:val="009E38C0"/>
    <w:rsid w:val="009E4115"/>
    <w:rsid w:val="009E4374"/>
    <w:rsid w:val="009E449B"/>
    <w:rsid w:val="009E44BA"/>
    <w:rsid w:val="009E47BE"/>
    <w:rsid w:val="009E4F1B"/>
    <w:rsid w:val="009E510E"/>
    <w:rsid w:val="009E6485"/>
    <w:rsid w:val="009E747F"/>
    <w:rsid w:val="009E74A3"/>
    <w:rsid w:val="009E7C13"/>
    <w:rsid w:val="009E7E77"/>
    <w:rsid w:val="009F0607"/>
    <w:rsid w:val="009F09A0"/>
    <w:rsid w:val="009F0E7E"/>
    <w:rsid w:val="009F11D7"/>
    <w:rsid w:val="009F1427"/>
    <w:rsid w:val="009F2037"/>
    <w:rsid w:val="009F22FF"/>
    <w:rsid w:val="009F241C"/>
    <w:rsid w:val="009F275E"/>
    <w:rsid w:val="009F2A16"/>
    <w:rsid w:val="009F3288"/>
    <w:rsid w:val="009F3783"/>
    <w:rsid w:val="009F39F1"/>
    <w:rsid w:val="009F3FC5"/>
    <w:rsid w:val="009F40CE"/>
    <w:rsid w:val="009F4A67"/>
    <w:rsid w:val="009F57F7"/>
    <w:rsid w:val="009F5F47"/>
    <w:rsid w:val="009F6377"/>
    <w:rsid w:val="009F6D30"/>
    <w:rsid w:val="009F7044"/>
    <w:rsid w:val="009F7167"/>
    <w:rsid w:val="009F7184"/>
    <w:rsid w:val="009F720D"/>
    <w:rsid w:val="009F7B90"/>
    <w:rsid w:val="00A000BD"/>
    <w:rsid w:val="00A00731"/>
    <w:rsid w:val="00A00800"/>
    <w:rsid w:val="00A00A1B"/>
    <w:rsid w:val="00A00ACD"/>
    <w:rsid w:val="00A011A4"/>
    <w:rsid w:val="00A01587"/>
    <w:rsid w:val="00A018E2"/>
    <w:rsid w:val="00A01BF5"/>
    <w:rsid w:val="00A020EB"/>
    <w:rsid w:val="00A0261B"/>
    <w:rsid w:val="00A02982"/>
    <w:rsid w:val="00A02B9C"/>
    <w:rsid w:val="00A02BFD"/>
    <w:rsid w:val="00A04371"/>
    <w:rsid w:val="00A043A8"/>
    <w:rsid w:val="00A04607"/>
    <w:rsid w:val="00A049EF"/>
    <w:rsid w:val="00A05327"/>
    <w:rsid w:val="00A058D9"/>
    <w:rsid w:val="00A05B14"/>
    <w:rsid w:val="00A05B4F"/>
    <w:rsid w:val="00A06050"/>
    <w:rsid w:val="00A06A7B"/>
    <w:rsid w:val="00A070AB"/>
    <w:rsid w:val="00A0714D"/>
    <w:rsid w:val="00A07C30"/>
    <w:rsid w:val="00A101BC"/>
    <w:rsid w:val="00A101F3"/>
    <w:rsid w:val="00A10268"/>
    <w:rsid w:val="00A10529"/>
    <w:rsid w:val="00A10639"/>
    <w:rsid w:val="00A10674"/>
    <w:rsid w:val="00A107B2"/>
    <w:rsid w:val="00A10907"/>
    <w:rsid w:val="00A10A1C"/>
    <w:rsid w:val="00A10B8D"/>
    <w:rsid w:val="00A11695"/>
    <w:rsid w:val="00A11BB9"/>
    <w:rsid w:val="00A12466"/>
    <w:rsid w:val="00A12920"/>
    <w:rsid w:val="00A12A6A"/>
    <w:rsid w:val="00A12E29"/>
    <w:rsid w:val="00A134CC"/>
    <w:rsid w:val="00A138B2"/>
    <w:rsid w:val="00A13B86"/>
    <w:rsid w:val="00A13D57"/>
    <w:rsid w:val="00A1449B"/>
    <w:rsid w:val="00A14F81"/>
    <w:rsid w:val="00A15213"/>
    <w:rsid w:val="00A156B6"/>
    <w:rsid w:val="00A15831"/>
    <w:rsid w:val="00A15A12"/>
    <w:rsid w:val="00A15BF3"/>
    <w:rsid w:val="00A1623F"/>
    <w:rsid w:val="00A163B6"/>
    <w:rsid w:val="00A16B49"/>
    <w:rsid w:val="00A174BB"/>
    <w:rsid w:val="00A175C0"/>
    <w:rsid w:val="00A17DE4"/>
    <w:rsid w:val="00A20056"/>
    <w:rsid w:val="00A204A1"/>
    <w:rsid w:val="00A2053E"/>
    <w:rsid w:val="00A20869"/>
    <w:rsid w:val="00A20A16"/>
    <w:rsid w:val="00A21094"/>
    <w:rsid w:val="00A21367"/>
    <w:rsid w:val="00A214D3"/>
    <w:rsid w:val="00A21606"/>
    <w:rsid w:val="00A21819"/>
    <w:rsid w:val="00A21B7A"/>
    <w:rsid w:val="00A22686"/>
    <w:rsid w:val="00A22A9C"/>
    <w:rsid w:val="00A22C0F"/>
    <w:rsid w:val="00A23691"/>
    <w:rsid w:val="00A23B79"/>
    <w:rsid w:val="00A23CB6"/>
    <w:rsid w:val="00A24418"/>
    <w:rsid w:val="00A24766"/>
    <w:rsid w:val="00A24ABC"/>
    <w:rsid w:val="00A24DDC"/>
    <w:rsid w:val="00A24E04"/>
    <w:rsid w:val="00A25713"/>
    <w:rsid w:val="00A25825"/>
    <w:rsid w:val="00A259A7"/>
    <w:rsid w:val="00A25ACD"/>
    <w:rsid w:val="00A25D85"/>
    <w:rsid w:val="00A266A6"/>
    <w:rsid w:val="00A26CDB"/>
    <w:rsid w:val="00A26FED"/>
    <w:rsid w:val="00A2779D"/>
    <w:rsid w:val="00A27B6D"/>
    <w:rsid w:val="00A304B8"/>
    <w:rsid w:val="00A30D0F"/>
    <w:rsid w:val="00A30D59"/>
    <w:rsid w:val="00A30E23"/>
    <w:rsid w:val="00A310E7"/>
    <w:rsid w:val="00A3110A"/>
    <w:rsid w:val="00A311F9"/>
    <w:rsid w:val="00A31B59"/>
    <w:rsid w:val="00A31CB7"/>
    <w:rsid w:val="00A32253"/>
    <w:rsid w:val="00A32657"/>
    <w:rsid w:val="00A32C21"/>
    <w:rsid w:val="00A32FF7"/>
    <w:rsid w:val="00A33540"/>
    <w:rsid w:val="00A335BF"/>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37D37"/>
    <w:rsid w:val="00A400FA"/>
    <w:rsid w:val="00A40523"/>
    <w:rsid w:val="00A4054C"/>
    <w:rsid w:val="00A40569"/>
    <w:rsid w:val="00A407F5"/>
    <w:rsid w:val="00A40B5F"/>
    <w:rsid w:val="00A40CF3"/>
    <w:rsid w:val="00A4171C"/>
    <w:rsid w:val="00A41904"/>
    <w:rsid w:val="00A41A67"/>
    <w:rsid w:val="00A41B8C"/>
    <w:rsid w:val="00A41E41"/>
    <w:rsid w:val="00A41E43"/>
    <w:rsid w:val="00A42328"/>
    <w:rsid w:val="00A42EA8"/>
    <w:rsid w:val="00A4396D"/>
    <w:rsid w:val="00A43F53"/>
    <w:rsid w:val="00A4434C"/>
    <w:rsid w:val="00A4454B"/>
    <w:rsid w:val="00A44AC1"/>
    <w:rsid w:val="00A44FA8"/>
    <w:rsid w:val="00A4505E"/>
    <w:rsid w:val="00A457DD"/>
    <w:rsid w:val="00A45BEF"/>
    <w:rsid w:val="00A46350"/>
    <w:rsid w:val="00A463A4"/>
    <w:rsid w:val="00A46577"/>
    <w:rsid w:val="00A46629"/>
    <w:rsid w:val="00A468BE"/>
    <w:rsid w:val="00A46B49"/>
    <w:rsid w:val="00A473F2"/>
    <w:rsid w:val="00A47415"/>
    <w:rsid w:val="00A47B9B"/>
    <w:rsid w:val="00A500FE"/>
    <w:rsid w:val="00A505A9"/>
    <w:rsid w:val="00A50895"/>
    <w:rsid w:val="00A50EF7"/>
    <w:rsid w:val="00A51219"/>
    <w:rsid w:val="00A514BD"/>
    <w:rsid w:val="00A5159C"/>
    <w:rsid w:val="00A52342"/>
    <w:rsid w:val="00A525B4"/>
    <w:rsid w:val="00A52DDB"/>
    <w:rsid w:val="00A52E32"/>
    <w:rsid w:val="00A537C1"/>
    <w:rsid w:val="00A53A07"/>
    <w:rsid w:val="00A53AD4"/>
    <w:rsid w:val="00A54666"/>
    <w:rsid w:val="00A54670"/>
    <w:rsid w:val="00A548AD"/>
    <w:rsid w:val="00A54F7A"/>
    <w:rsid w:val="00A55557"/>
    <w:rsid w:val="00A55ED6"/>
    <w:rsid w:val="00A55F0F"/>
    <w:rsid w:val="00A562A2"/>
    <w:rsid w:val="00A564D6"/>
    <w:rsid w:val="00A56A11"/>
    <w:rsid w:val="00A56B9F"/>
    <w:rsid w:val="00A56F6D"/>
    <w:rsid w:val="00A56F80"/>
    <w:rsid w:val="00A575AE"/>
    <w:rsid w:val="00A57676"/>
    <w:rsid w:val="00A57677"/>
    <w:rsid w:val="00A57702"/>
    <w:rsid w:val="00A57A78"/>
    <w:rsid w:val="00A57D4E"/>
    <w:rsid w:val="00A57F34"/>
    <w:rsid w:val="00A603C5"/>
    <w:rsid w:val="00A60442"/>
    <w:rsid w:val="00A60F6F"/>
    <w:rsid w:val="00A60F78"/>
    <w:rsid w:val="00A615DA"/>
    <w:rsid w:val="00A61C96"/>
    <w:rsid w:val="00A61D71"/>
    <w:rsid w:val="00A61EB4"/>
    <w:rsid w:val="00A62036"/>
    <w:rsid w:val="00A62A21"/>
    <w:rsid w:val="00A62FA1"/>
    <w:rsid w:val="00A63372"/>
    <w:rsid w:val="00A63685"/>
    <w:rsid w:val="00A637C0"/>
    <w:rsid w:val="00A6391F"/>
    <w:rsid w:val="00A63AD5"/>
    <w:rsid w:val="00A64CC8"/>
    <w:rsid w:val="00A65045"/>
    <w:rsid w:val="00A65274"/>
    <w:rsid w:val="00A654BD"/>
    <w:rsid w:val="00A654D2"/>
    <w:rsid w:val="00A65CE8"/>
    <w:rsid w:val="00A66068"/>
    <w:rsid w:val="00A66E1A"/>
    <w:rsid w:val="00A66EEA"/>
    <w:rsid w:val="00A67198"/>
    <w:rsid w:val="00A672A0"/>
    <w:rsid w:val="00A6774E"/>
    <w:rsid w:val="00A67868"/>
    <w:rsid w:val="00A701D8"/>
    <w:rsid w:val="00A702DD"/>
    <w:rsid w:val="00A7053C"/>
    <w:rsid w:val="00A71829"/>
    <w:rsid w:val="00A71F28"/>
    <w:rsid w:val="00A72579"/>
    <w:rsid w:val="00A728FC"/>
    <w:rsid w:val="00A72A31"/>
    <w:rsid w:val="00A72E60"/>
    <w:rsid w:val="00A72E7F"/>
    <w:rsid w:val="00A7350B"/>
    <w:rsid w:val="00A73704"/>
    <w:rsid w:val="00A73A0E"/>
    <w:rsid w:val="00A73E04"/>
    <w:rsid w:val="00A73E82"/>
    <w:rsid w:val="00A7431A"/>
    <w:rsid w:val="00A74467"/>
    <w:rsid w:val="00A7489D"/>
    <w:rsid w:val="00A74F3B"/>
    <w:rsid w:val="00A75020"/>
    <w:rsid w:val="00A75321"/>
    <w:rsid w:val="00A76960"/>
    <w:rsid w:val="00A77896"/>
    <w:rsid w:val="00A77953"/>
    <w:rsid w:val="00A77EA6"/>
    <w:rsid w:val="00A804BB"/>
    <w:rsid w:val="00A807CC"/>
    <w:rsid w:val="00A80EE5"/>
    <w:rsid w:val="00A81CE8"/>
    <w:rsid w:val="00A81FC6"/>
    <w:rsid w:val="00A831B0"/>
    <w:rsid w:val="00A83233"/>
    <w:rsid w:val="00A835BC"/>
    <w:rsid w:val="00A838D7"/>
    <w:rsid w:val="00A83A12"/>
    <w:rsid w:val="00A83AB7"/>
    <w:rsid w:val="00A83B4D"/>
    <w:rsid w:val="00A84943"/>
    <w:rsid w:val="00A84BDD"/>
    <w:rsid w:val="00A84F3F"/>
    <w:rsid w:val="00A850BE"/>
    <w:rsid w:val="00A85209"/>
    <w:rsid w:val="00A86B03"/>
    <w:rsid w:val="00A86CBB"/>
    <w:rsid w:val="00A8700E"/>
    <w:rsid w:val="00A8786A"/>
    <w:rsid w:val="00A87886"/>
    <w:rsid w:val="00A87CA3"/>
    <w:rsid w:val="00A87D49"/>
    <w:rsid w:val="00A87ECB"/>
    <w:rsid w:val="00A9022D"/>
    <w:rsid w:val="00A902DF"/>
    <w:rsid w:val="00A90499"/>
    <w:rsid w:val="00A90F3A"/>
    <w:rsid w:val="00A9146A"/>
    <w:rsid w:val="00A91958"/>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2F"/>
    <w:rsid w:val="00A94D7F"/>
    <w:rsid w:val="00A94EA6"/>
    <w:rsid w:val="00A95029"/>
    <w:rsid w:val="00A95832"/>
    <w:rsid w:val="00A95EFD"/>
    <w:rsid w:val="00A96435"/>
    <w:rsid w:val="00A967F3"/>
    <w:rsid w:val="00A969BA"/>
    <w:rsid w:val="00A96F85"/>
    <w:rsid w:val="00A97986"/>
    <w:rsid w:val="00A9799E"/>
    <w:rsid w:val="00A97B4C"/>
    <w:rsid w:val="00A97FDE"/>
    <w:rsid w:val="00AA0689"/>
    <w:rsid w:val="00AA07FA"/>
    <w:rsid w:val="00AA08D3"/>
    <w:rsid w:val="00AA0F31"/>
    <w:rsid w:val="00AA11B2"/>
    <w:rsid w:val="00AA13FE"/>
    <w:rsid w:val="00AA18E4"/>
    <w:rsid w:val="00AA1B7B"/>
    <w:rsid w:val="00AA1B8D"/>
    <w:rsid w:val="00AA1C84"/>
    <w:rsid w:val="00AA29C6"/>
    <w:rsid w:val="00AA2FF2"/>
    <w:rsid w:val="00AA304D"/>
    <w:rsid w:val="00AA3B6C"/>
    <w:rsid w:val="00AA3E9A"/>
    <w:rsid w:val="00AA41E1"/>
    <w:rsid w:val="00AA444C"/>
    <w:rsid w:val="00AA46AF"/>
    <w:rsid w:val="00AA4AA7"/>
    <w:rsid w:val="00AA4B5D"/>
    <w:rsid w:val="00AA5729"/>
    <w:rsid w:val="00AA5827"/>
    <w:rsid w:val="00AA5CBF"/>
    <w:rsid w:val="00AA61EE"/>
    <w:rsid w:val="00AA6CA0"/>
    <w:rsid w:val="00AA6DCE"/>
    <w:rsid w:val="00AA737C"/>
    <w:rsid w:val="00AA746A"/>
    <w:rsid w:val="00AA791B"/>
    <w:rsid w:val="00AA7CB8"/>
    <w:rsid w:val="00AA7E88"/>
    <w:rsid w:val="00AB151E"/>
    <w:rsid w:val="00AB1A4A"/>
    <w:rsid w:val="00AB215F"/>
    <w:rsid w:val="00AB255D"/>
    <w:rsid w:val="00AB25A1"/>
    <w:rsid w:val="00AB26E0"/>
    <w:rsid w:val="00AB285F"/>
    <w:rsid w:val="00AB2DA8"/>
    <w:rsid w:val="00AB30AB"/>
    <w:rsid w:val="00AB330D"/>
    <w:rsid w:val="00AB358C"/>
    <w:rsid w:val="00AB3B09"/>
    <w:rsid w:val="00AB3B58"/>
    <w:rsid w:val="00AB3C14"/>
    <w:rsid w:val="00AB3F7E"/>
    <w:rsid w:val="00AB487F"/>
    <w:rsid w:val="00AB48B3"/>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7A0"/>
    <w:rsid w:val="00AC1A41"/>
    <w:rsid w:val="00AC1E6F"/>
    <w:rsid w:val="00AC1EAB"/>
    <w:rsid w:val="00AC1FF7"/>
    <w:rsid w:val="00AC256D"/>
    <w:rsid w:val="00AC269F"/>
    <w:rsid w:val="00AC26E2"/>
    <w:rsid w:val="00AC2B3E"/>
    <w:rsid w:val="00AC2CC0"/>
    <w:rsid w:val="00AC35BC"/>
    <w:rsid w:val="00AC3C76"/>
    <w:rsid w:val="00AC484A"/>
    <w:rsid w:val="00AC49C1"/>
    <w:rsid w:val="00AC4C87"/>
    <w:rsid w:val="00AC4F45"/>
    <w:rsid w:val="00AC51AC"/>
    <w:rsid w:val="00AC5246"/>
    <w:rsid w:val="00AC5298"/>
    <w:rsid w:val="00AC550C"/>
    <w:rsid w:val="00AC60D4"/>
    <w:rsid w:val="00AC620A"/>
    <w:rsid w:val="00AC6360"/>
    <w:rsid w:val="00AC6817"/>
    <w:rsid w:val="00AC76D1"/>
    <w:rsid w:val="00AC7ABF"/>
    <w:rsid w:val="00AD03F0"/>
    <w:rsid w:val="00AD0D35"/>
    <w:rsid w:val="00AD0F37"/>
    <w:rsid w:val="00AD1986"/>
    <w:rsid w:val="00AD1D39"/>
    <w:rsid w:val="00AD1E31"/>
    <w:rsid w:val="00AD1EA4"/>
    <w:rsid w:val="00AD2027"/>
    <w:rsid w:val="00AD20A6"/>
    <w:rsid w:val="00AD27D1"/>
    <w:rsid w:val="00AD2B5B"/>
    <w:rsid w:val="00AD2D8E"/>
    <w:rsid w:val="00AD2E0E"/>
    <w:rsid w:val="00AD3516"/>
    <w:rsid w:val="00AD3DC4"/>
    <w:rsid w:val="00AD4025"/>
    <w:rsid w:val="00AD40D6"/>
    <w:rsid w:val="00AD4216"/>
    <w:rsid w:val="00AD4D1B"/>
    <w:rsid w:val="00AD4F66"/>
    <w:rsid w:val="00AD55B9"/>
    <w:rsid w:val="00AD577F"/>
    <w:rsid w:val="00AD5A65"/>
    <w:rsid w:val="00AD5D61"/>
    <w:rsid w:val="00AD5EA7"/>
    <w:rsid w:val="00AD626B"/>
    <w:rsid w:val="00AD6DDD"/>
    <w:rsid w:val="00AD6E89"/>
    <w:rsid w:val="00AD703F"/>
    <w:rsid w:val="00AD7377"/>
    <w:rsid w:val="00AE0205"/>
    <w:rsid w:val="00AE0DB6"/>
    <w:rsid w:val="00AE0F21"/>
    <w:rsid w:val="00AE0F65"/>
    <w:rsid w:val="00AE100C"/>
    <w:rsid w:val="00AE1EED"/>
    <w:rsid w:val="00AE22A4"/>
    <w:rsid w:val="00AE28C2"/>
    <w:rsid w:val="00AE2A92"/>
    <w:rsid w:val="00AE2AEB"/>
    <w:rsid w:val="00AE3A79"/>
    <w:rsid w:val="00AE3DA6"/>
    <w:rsid w:val="00AE3DCE"/>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8FB"/>
    <w:rsid w:val="00AE6B3C"/>
    <w:rsid w:val="00AE6C2A"/>
    <w:rsid w:val="00AE742E"/>
    <w:rsid w:val="00AE7542"/>
    <w:rsid w:val="00AE7AD2"/>
    <w:rsid w:val="00AE7D04"/>
    <w:rsid w:val="00AE7E51"/>
    <w:rsid w:val="00AF0350"/>
    <w:rsid w:val="00AF0BF7"/>
    <w:rsid w:val="00AF0EBD"/>
    <w:rsid w:val="00AF0F1D"/>
    <w:rsid w:val="00AF18FE"/>
    <w:rsid w:val="00AF1D67"/>
    <w:rsid w:val="00AF21DA"/>
    <w:rsid w:val="00AF2AC5"/>
    <w:rsid w:val="00AF3238"/>
    <w:rsid w:val="00AF393D"/>
    <w:rsid w:val="00AF3AE1"/>
    <w:rsid w:val="00AF4021"/>
    <w:rsid w:val="00AF4033"/>
    <w:rsid w:val="00AF4399"/>
    <w:rsid w:val="00AF469C"/>
    <w:rsid w:val="00AF4AC9"/>
    <w:rsid w:val="00AF4C00"/>
    <w:rsid w:val="00AF4F29"/>
    <w:rsid w:val="00AF5625"/>
    <w:rsid w:val="00AF5D5B"/>
    <w:rsid w:val="00AF5DFE"/>
    <w:rsid w:val="00AF6046"/>
    <w:rsid w:val="00AF630E"/>
    <w:rsid w:val="00AF652C"/>
    <w:rsid w:val="00AF6612"/>
    <w:rsid w:val="00AF6701"/>
    <w:rsid w:val="00AF6783"/>
    <w:rsid w:val="00AF6A00"/>
    <w:rsid w:val="00AF7651"/>
    <w:rsid w:val="00AF78EB"/>
    <w:rsid w:val="00B00054"/>
    <w:rsid w:val="00B007C3"/>
    <w:rsid w:val="00B00C28"/>
    <w:rsid w:val="00B01253"/>
    <w:rsid w:val="00B014FF"/>
    <w:rsid w:val="00B015AC"/>
    <w:rsid w:val="00B01BF4"/>
    <w:rsid w:val="00B01D33"/>
    <w:rsid w:val="00B01D74"/>
    <w:rsid w:val="00B01D9F"/>
    <w:rsid w:val="00B0219F"/>
    <w:rsid w:val="00B02501"/>
    <w:rsid w:val="00B02F69"/>
    <w:rsid w:val="00B03A44"/>
    <w:rsid w:val="00B041EC"/>
    <w:rsid w:val="00B042A5"/>
    <w:rsid w:val="00B04384"/>
    <w:rsid w:val="00B046E2"/>
    <w:rsid w:val="00B04C17"/>
    <w:rsid w:val="00B051C4"/>
    <w:rsid w:val="00B051DD"/>
    <w:rsid w:val="00B05705"/>
    <w:rsid w:val="00B058C0"/>
    <w:rsid w:val="00B06E43"/>
    <w:rsid w:val="00B078E8"/>
    <w:rsid w:val="00B07C69"/>
    <w:rsid w:val="00B07D99"/>
    <w:rsid w:val="00B10010"/>
    <w:rsid w:val="00B106A4"/>
    <w:rsid w:val="00B10F5A"/>
    <w:rsid w:val="00B11175"/>
    <w:rsid w:val="00B1140B"/>
    <w:rsid w:val="00B11AB1"/>
    <w:rsid w:val="00B11B64"/>
    <w:rsid w:val="00B11BF8"/>
    <w:rsid w:val="00B11C3F"/>
    <w:rsid w:val="00B11C97"/>
    <w:rsid w:val="00B11E93"/>
    <w:rsid w:val="00B11FA5"/>
    <w:rsid w:val="00B124BF"/>
    <w:rsid w:val="00B13393"/>
    <w:rsid w:val="00B133ED"/>
    <w:rsid w:val="00B13469"/>
    <w:rsid w:val="00B13A39"/>
    <w:rsid w:val="00B13AED"/>
    <w:rsid w:val="00B13B66"/>
    <w:rsid w:val="00B13B86"/>
    <w:rsid w:val="00B13D73"/>
    <w:rsid w:val="00B13F83"/>
    <w:rsid w:val="00B143D6"/>
    <w:rsid w:val="00B14B56"/>
    <w:rsid w:val="00B14C39"/>
    <w:rsid w:val="00B1524D"/>
    <w:rsid w:val="00B1589A"/>
    <w:rsid w:val="00B15956"/>
    <w:rsid w:val="00B15E83"/>
    <w:rsid w:val="00B165E2"/>
    <w:rsid w:val="00B16800"/>
    <w:rsid w:val="00B16CB0"/>
    <w:rsid w:val="00B16EB5"/>
    <w:rsid w:val="00B17148"/>
    <w:rsid w:val="00B17626"/>
    <w:rsid w:val="00B17BE5"/>
    <w:rsid w:val="00B203A9"/>
    <w:rsid w:val="00B20C31"/>
    <w:rsid w:val="00B20D50"/>
    <w:rsid w:val="00B2129C"/>
    <w:rsid w:val="00B212E5"/>
    <w:rsid w:val="00B21620"/>
    <w:rsid w:val="00B218E5"/>
    <w:rsid w:val="00B21AA4"/>
    <w:rsid w:val="00B227F3"/>
    <w:rsid w:val="00B2287E"/>
    <w:rsid w:val="00B2295A"/>
    <w:rsid w:val="00B22D5A"/>
    <w:rsid w:val="00B22E40"/>
    <w:rsid w:val="00B22FB0"/>
    <w:rsid w:val="00B23156"/>
    <w:rsid w:val="00B2316F"/>
    <w:rsid w:val="00B23632"/>
    <w:rsid w:val="00B2370E"/>
    <w:rsid w:val="00B239CB"/>
    <w:rsid w:val="00B23ABD"/>
    <w:rsid w:val="00B23B3E"/>
    <w:rsid w:val="00B23B68"/>
    <w:rsid w:val="00B23FF9"/>
    <w:rsid w:val="00B2405C"/>
    <w:rsid w:val="00B248FB"/>
    <w:rsid w:val="00B24B8B"/>
    <w:rsid w:val="00B25192"/>
    <w:rsid w:val="00B25589"/>
    <w:rsid w:val="00B2572C"/>
    <w:rsid w:val="00B25AD2"/>
    <w:rsid w:val="00B2681F"/>
    <w:rsid w:val="00B268A2"/>
    <w:rsid w:val="00B269B3"/>
    <w:rsid w:val="00B26EFF"/>
    <w:rsid w:val="00B271B4"/>
    <w:rsid w:val="00B2789A"/>
    <w:rsid w:val="00B27F73"/>
    <w:rsid w:val="00B30384"/>
    <w:rsid w:val="00B30963"/>
    <w:rsid w:val="00B30A99"/>
    <w:rsid w:val="00B30AE1"/>
    <w:rsid w:val="00B30C4C"/>
    <w:rsid w:val="00B31020"/>
    <w:rsid w:val="00B31032"/>
    <w:rsid w:val="00B31621"/>
    <w:rsid w:val="00B316A1"/>
    <w:rsid w:val="00B31805"/>
    <w:rsid w:val="00B31A62"/>
    <w:rsid w:val="00B31A7E"/>
    <w:rsid w:val="00B31B87"/>
    <w:rsid w:val="00B31F11"/>
    <w:rsid w:val="00B32197"/>
    <w:rsid w:val="00B321FA"/>
    <w:rsid w:val="00B32746"/>
    <w:rsid w:val="00B33B04"/>
    <w:rsid w:val="00B33B7C"/>
    <w:rsid w:val="00B33C07"/>
    <w:rsid w:val="00B33E4D"/>
    <w:rsid w:val="00B33EF1"/>
    <w:rsid w:val="00B34020"/>
    <w:rsid w:val="00B340CF"/>
    <w:rsid w:val="00B345EA"/>
    <w:rsid w:val="00B34939"/>
    <w:rsid w:val="00B35A65"/>
    <w:rsid w:val="00B35BAE"/>
    <w:rsid w:val="00B35F39"/>
    <w:rsid w:val="00B36122"/>
    <w:rsid w:val="00B36358"/>
    <w:rsid w:val="00B367B2"/>
    <w:rsid w:val="00B368CF"/>
    <w:rsid w:val="00B36F83"/>
    <w:rsid w:val="00B36FC8"/>
    <w:rsid w:val="00B3739F"/>
    <w:rsid w:val="00B373BF"/>
    <w:rsid w:val="00B37494"/>
    <w:rsid w:val="00B37539"/>
    <w:rsid w:val="00B37E31"/>
    <w:rsid w:val="00B37EA7"/>
    <w:rsid w:val="00B40302"/>
    <w:rsid w:val="00B40307"/>
    <w:rsid w:val="00B4065E"/>
    <w:rsid w:val="00B40981"/>
    <w:rsid w:val="00B409C7"/>
    <w:rsid w:val="00B414C2"/>
    <w:rsid w:val="00B41663"/>
    <w:rsid w:val="00B4174D"/>
    <w:rsid w:val="00B41A43"/>
    <w:rsid w:val="00B42D76"/>
    <w:rsid w:val="00B431EB"/>
    <w:rsid w:val="00B432C9"/>
    <w:rsid w:val="00B433DD"/>
    <w:rsid w:val="00B43AF3"/>
    <w:rsid w:val="00B43BDF"/>
    <w:rsid w:val="00B43C31"/>
    <w:rsid w:val="00B44C63"/>
    <w:rsid w:val="00B4516C"/>
    <w:rsid w:val="00B45A3C"/>
    <w:rsid w:val="00B45D50"/>
    <w:rsid w:val="00B4601E"/>
    <w:rsid w:val="00B468A9"/>
    <w:rsid w:val="00B46B56"/>
    <w:rsid w:val="00B46BBD"/>
    <w:rsid w:val="00B471F9"/>
    <w:rsid w:val="00B476E0"/>
    <w:rsid w:val="00B50992"/>
    <w:rsid w:val="00B50DD7"/>
    <w:rsid w:val="00B51142"/>
    <w:rsid w:val="00B51173"/>
    <w:rsid w:val="00B514A1"/>
    <w:rsid w:val="00B51849"/>
    <w:rsid w:val="00B51E2D"/>
    <w:rsid w:val="00B526E6"/>
    <w:rsid w:val="00B52958"/>
    <w:rsid w:val="00B52993"/>
    <w:rsid w:val="00B52B86"/>
    <w:rsid w:val="00B52C90"/>
    <w:rsid w:val="00B52D18"/>
    <w:rsid w:val="00B53204"/>
    <w:rsid w:val="00B53649"/>
    <w:rsid w:val="00B53680"/>
    <w:rsid w:val="00B53BB5"/>
    <w:rsid w:val="00B53CAD"/>
    <w:rsid w:val="00B53D90"/>
    <w:rsid w:val="00B543BF"/>
    <w:rsid w:val="00B545DD"/>
    <w:rsid w:val="00B54727"/>
    <w:rsid w:val="00B55050"/>
    <w:rsid w:val="00B55176"/>
    <w:rsid w:val="00B557AA"/>
    <w:rsid w:val="00B5649B"/>
    <w:rsid w:val="00B56B58"/>
    <w:rsid w:val="00B56BC3"/>
    <w:rsid w:val="00B56E2C"/>
    <w:rsid w:val="00B56EEF"/>
    <w:rsid w:val="00B571BD"/>
    <w:rsid w:val="00B572E8"/>
    <w:rsid w:val="00B575EA"/>
    <w:rsid w:val="00B577FC"/>
    <w:rsid w:val="00B57EDB"/>
    <w:rsid w:val="00B60770"/>
    <w:rsid w:val="00B6079E"/>
    <w:rsid w:val="00B60A46"/>
    <w:rsid w:val="00B614D7"/>
    <w:rsid w:val="00B61C26"/>
    <w:rsid w:val="00B61C8B"/>
    <w:rsid w:val="00B61E59"/>
    <w:rsid w:val="00B628F3"/>
    <w:rsid w:val="00B63E81"/>
    <w:rsid w:val="00B6414F"/>
    <w:rsid w:val="00B643E6"/>
    <w:rsid w:val="00B6443F"/>
    <w:rsid w:val="00B6469C"/>
    <w:rsid w:val="00B6486C"/>
    <w:rsid w:val="00B648B7"/>
    <w:rsid w:val="00B65324"/>
    <w:rsid w:val="00B6596F"/>
    <w:rsid w:val="00B65C17"/>
    <w:rsid w:val="00B65FC5"/>
    <w:rsid w:val="00B66202"/>
    <w:rsid w:val="00B663C8"/>
    <w:rsid w:val="00B666D3"/>
    <w:rsid w:val="00B66F90"/>
    <w:rsid w:val="00B6736F"/>
    <w:rsid w:val="00B6737E"/>
    <w:rsid w:val="00B674D9"/>
    <w:rsid w:val="00B6751B"/>
    <w:rsid w:val="00B67963"/>
    <w:rsid w:val="00B67E6E"/>
    <w:rsid w:val="00B703C5"/>
    <w:rsid w:val="00B7189C"/>
    <w:rsid w:val="00B7196C"/>
    <w:rsid w:val="00B719D9"/>
    <w:rsid w:val="00B71BBB"/>
    <w:rsid w:val="00B72033"/>
    <w:rsid w:val="00B722F8"/>
    <w:rsid w:val="00B724DA"/>
    <w:rsid w:val="00B72CAD"/>
    <w:rsid w:val="00B72DF7"/>
    <w:rsid w:val="00B731E0"/>
    <w:rsid w:val="00B73772"/>
    <w:rsid w:val="00B73838"/>
    <w:rsid w:val="00B73A44"/>
    <w:rsid w:val="00B74123"/>
    <w:rsid w:val="00B744F5"/>
    <w:rsid w:val="00B747A7"/>
    <w:rsid w:val="00B747F4"/>
    <w:rsid w:val="00B74D1A"/>
    <w:rsid w:val="00B756E7"/>
    <w:rsid w:val="00B75C96"/>
    <w:rsid w:val="00B76640"/>
    <w:rsid w:val="00B76E00"/>
    <w:rsid w:val="00B772A1"/>
    <w:rsid w:val="00B7797F"/>
    <w:rsid w:val="00B77B72"/>
    <w:rsid w:val="00B80526"/>
    <w:rsid w:val="00B80BB7"/>
    <w:rsid w:val="00B80D75"/>
    <w:rsid w:val="00B80E8D"/>
    <w:rsid w:val="00B80ECE"/>
    <w:rsid w:val="00B80F06"/>
    <w:rsid w:val="00B8118D"/>
    <w:rsid w:val="00B816FC"/>
    <w:rsid w:val="00B8191F"/>
    <w:rsid w:val="00B82071"/>
    <w:rsid w:val="00B84253"/>
    <w:rsid w:val="00B84A18"/>
    <w:rsid w:val="00B8506D"/>
    <w:rsid w:val="00B85977"/>
    <w:rsid w:val="00B85EC8"/>
    <w:rsid w:val="00B86DFA"/>
    <w:rsid w:val="00B87267"/>
    <w:rsid w:val="00B873E4"/>
    <w:rsid w:val="00B87DD0"/>
    <w:rsid w:val="00B87F35"/>
    <w:rsid w:val="00B9033C"/>
    <w:rsid w:val="00B9036D"/>
    <w:rsid w:val="00B91324"/>
    <w:rsid w:val="00B91957"/>
    <w:rsid w:val="00B91BF3"/>
    <w:rsid w:val="00B91F11"/>
    <w:rsid w:val="00B91FBC"/>
    <w:rsid w:val="00B92236"/>
    <w:rsid w:val="00B92996"/>
    <w:rsid w:val="00B930E3"/>
    <w:rsid w:val="00B93409"/>
    <w:rsid w:val="00B934F0"/>
    <w:rsid w:val="00B936B3"/>
    <w:rsid w:val="00B9396E"/>
    <w:rsid w:val="00B93A37"/>
    <w:rsid w:val="00B93C51"/>
    <w:rsid w:val="00B93D5A"/>
    <w:rsid w:val="00B93E3E"/>
    <w:rsid w:val="00B951CA"/>
    <w:rsid w:val="00B95C69"/>
    <w:rsid w:val="00B962D7"/>
    <w:rsid w:val="00B96C6A"/>
    <w:rsid w:val="00B96DFC"/>
    <w:rsid w:val="00B9738E"/>
    <w:rsid w:val="00B97C4A"/>
    <w:rsid w:val="00BA01EC"/>
    <w:rsid w:val="00BA0DE8"/>
    <w:rsid w:val="00BA13CA"/>
    <w:rsid w:val="00BA173D"/>
    <w:rsid w:val="00BA1D60"/>
    <w:rsid w:val="00BA1F09"/>
    <w:rsid w:val="00BA1F3C"/>
    <w:rsid w:val="00BA2650"/>
    <w:rsid w:val="00BA26D3"/>
    <w:rsid w:val="00BA287F"/>
    <w:rsid w:val="00BA2975"/>
    <w:rsid w:val="00BA2F53"/>
    <w:rsid w:val="00BA332E"/>
    <w:rsid w:val="00BA3496"/>
    <w:rsid w:val="00BA4037"/>
    <w:rsid w:val="00BA4390"/>
    <w:rsid w:val="00BA4619"/>
    <w:rsid w:val="00BA486D"/>
    <w:rsid w:val="00BA5763"/>
    <w:rsid w:val="00BA5B17"/>
    <w:rsid w:val="00BA5DD9"/>
    <w:rsid w:val="00BA6412"/>
    <w:rsid w:val="00BA6C87"/>
    <w:rsid w:val="00BA710A"/>
    <w:rsid w:val="00BA7538"/>
    <w:rsid w:val="00BA7556"/>
    <w:rsid w:val="00BA766E"/>
    <w:rsid w:val="00BA7CBE"/>
    <w:rsid w:val="00BA7EEB"/>
    <w:rsid w:val="00BA7F8F"/>
    <w:rsid w:val="00BB05CA"/>
    <w:rsid w:val="00BB0798"/>
    <w:rsid w:val="00BB0930"/>
    <w:rsid w:val="00BB0CF5"/>
    <w:rsid w:val="00BB10E1"/>
    <w:rsid w:val="00BB1349"/>
    <w:rsid w:val="00BB135B"/>
    <w:rsid w:val="00BB140D"/>
    <w:rsid w:val="00BB1425"/>
    <w:rsid w:val="00BB1675"/>
    <w:rsid w:val="00BB1A9B"/>
    <w:rsid w:val="00BB2208"/>
    <w:rsid w:val="00BB264D"/>
    <w:rsid w:val="00BB2EE5"/>
    <w:rsid w:val="00BB2F5D"/>
    <w:rsid w:val="00BB3173"/>
    <w:rsid w:val="00BB31E0"/>
    <w:rsid w:val="00BB3308"/>
    <w:rsid w:val="00BB3CDA"/>
    <w:rsid w:val="00BB41E1"/>
    <w:rsid w:val="00BB510A"/>
    <w:rsid w:val="00BB515A"/>
    <w:rsid w:val="00BB5243"/>
    <w:rsid w:val="00BB5540"/>
    <w:rsid w:val="00BB5890"/>
    <w:rsid w:val="00BB5D24"/>
    <w:rsid w:val="00BB6424"/>
    <w:rsid w:val="00BB64B7"/>
    <w:rsid w:val="00BB65D9"/>
    <w:rsid w:val="00BB6D92"/>
    <w:rsid w:val="00BB6EB4"/>
    <w:rsid w:val="00BB6ED6"/>
    <w:rsid w:val="00BB70B9"/>
    <w:rsid w:val="00BB7D87"/>
    <w:rsid w:val="00BC06B9"/>
    <w:rsid w:val="00BC0AD0"/>
    <w:rsid w:val="00BC0E35"/>
    <w:rsid w:val="00BC0F0D"/>
    <w:rsid w:val="00BC1BB0"/>
    <w:rsid w:val="00BC2409"/>
    <w:rsid w:val="00BC24C9"/>
    <w:rsid w:val="00BC380B"/>
    <w:rsid w:val="00BC39A7"/>
    <w:rsid w:val="00BC39F4"/>
    <w:rsid w:val="00BC3D45"/>
    <w:rsid w:val="00BC3E66"/>
    <w:rsid w:val="00BC3E92"/>
    <w:rsid w:val="00BC4021"/>
    <w:rsid w:val="00BC4066"/>
    <w:rsid w:val="00BC450E"/>
    <w:rsid w:val="00BC4D85"/>
    <w:rsid w:val="00BC531B"/>
    <w:rsid w:val="00BC548B"/>
    <w:rsid w:val="00BC604C"/>
    <w:rsid w:val="00BC6C96"/>
    <w:rsid w:val="00BC71C9"/>
    <w:rsid w:val="00BC76A8"/>
    <w:rsid w:val="00BC7A4E"/>
    <w:rsid w:val="00BD0769"/>
    <w:rsid w:val="00BD081D"/>
    <w:rsid w:val="00BD0887"/>
    <w:rsid w:val="00BD0AB1"/>
    <w:rsid w:val="00BD10EC"/>
    <w:rsid w:val="00BD1221"/>
    <w:rsid w:val="00BD1299"/>
    <w:rsid w:val="00BD214B"/>
    <w:rsid w:val="00BD21AB"/>
    <w:rsid w:val="00BD378A"/>
    <w:rsid w:val="00BD43D6"/>
    <w:rsid w:val="00BD4538"/>
    <w:rsid w:val="00BD4965"/>
    <w:rsid w:val="00BD4B75"/>
    <w:rsid w:val="00BD5521"/>
    <w:rsid w:val="00BD5A84"/>
    <w:rsid w:val="00BD63B0"/>
    <w:rsid w:val="00BD68FF"/>
    <w:rsid w:val="00BD7056"/>
    <w:rsid w:val="00BD71D7"/>
    <w:rsid w:val="00BD7214"/>
    <w:rsid w:val="00BD7B25"/>
    <w:rsid w:val="00BD7DCB"/>
    <w:rsid w:val="00BD7E54"/>
    <w:rsid w:val="00BE0354"/>
    <w:rsid w:val="00BE052B"/>
    <w:rsid w:val="00BE0A0D"/>
    <w:rsid w:val="00BE0C0B"/>
    <w:rsid w:val="00BE112F"/>
    <w:rsid w:val="00BE122E"/>
    <w:rsid w:val="00BE186B"/>
    <w:rsid w:val="00BE1890"/>
    <w:rsid w:val="00BE18DF"/>
    <w:rsid w:val="00BE1AD8"/>
    <w:rsid w:val="00BE1AFA"/>
    <w:rsid w:val="00BE1E44"/>
    <w:rsid w:val="00BE269A"/>
    <w:rsid w:val="00BE27ED"/>
    <w:rsid w:val="00BE2DEA"/>
    <w:rsid w:val="00BE2F1B"/>
    <w:rsid w:val="00BE37DD"/>
    <w:rsid w:val="00BE3FDB"/>
    <w:rsid w:val="00BE47E1"/>
    <w:rsid w:val="00BE4FAB"/>
    <w:rsid w:val="00BE54EE"/>
    <w:rsid w:val="00BE55B0"/>
    <w:rsid w:val="00BE5604"/>
    <w:rsid w:val="00BE5633"/>
    <w:rsid w:val="00BE65CE"/>
    <w:rsid w:val="00BE690B"/>
    <w:rsid w:val="00BE6922"/>
    <w:rsid w:val="00BE6BDF"/>
    <w:rsid w:val="00BE7226"/>
    <w:rsid w:val="00BE7304"/>
    <w:rsid w:val="00BE737B"/>
    <w:rsid w:val="00BE739E"/>
    <w:rsid w:val="00BE743B"/>
    <w:rsid w:val="00BE76E4"/>
    <w:rsid w:val="00BE7BF0"/>
    <w:rsid w:val="00BE7D09"/>
    <w:rsid w:val="00BE7D4F"/>
    <w:rsid w:val="00BF0899"/>
    <w:rsid w:val="00BF0E47"/>
    <w:rsid w:val="00BF146E"/>
    <w:rsid w:val="00BF1962"/>
    <w:rsid w:val="00BF1B58"/>
    <w:rsid w:val="00BF2143"/>
    <w:rsid w:val="00BF2496"/>
    <w:rsid w:val="00BF3311"/>
    <w:rsid w:val="00BF3739"/>
    <w:rsid w:val="00BF3847"/>
    <w:rsid w:val="00BF42AF"/>
    <w:rsid w:val="00BF44B0"/>
    <w:rsid w:val="00BF45A5"/>
    <w:rsid w:val="00BF4DDC"/>
    <w:rsid w:val="00BF4ED6"/>
    <w:rsid w:val="00BF4F01"/>
    <w:rsid w:val="00BF527A"/>
    <w:rsid w:val="00BF5578"/>
    <w:rsid w:val="00BF568A"/>
    <w:rsid w:val="00BF5B5A"/>
    <w:rsid w:val="00BF5D96"/>
    <w:rsid w:val="00BF6988"/>
    <w:rsid w:val="00BF6A3C"/>
    <w:rsid w:val="00BF6F49"/>
    <w:rsid w:val="00BF6FCD"/>
    <w:rsid w:val="00BF70BC"/>
    <w:rsid w:val="00BF7587"/>
    <w:rsid w:val="00BF7800"/>
    <w:rsid w:val="00BF78AE"/>
    <w:rsid w:val="00BF7D15"/>
    <w:rsid w:val="00C00002"/>
    <w:rsid w:val="00C002CE"/>
    <w:rsid w:val="00C0049C"/>
    <w:rsid w:val="00C00771"/>
    <w:rsid w:val="00C00972"/>
    <w:rsid w:val="00C00CC1"/>
    <w:rsid w:val="00C01545"/>
    <w:rsid w:val="00C01DFC"/>
    <w:rsid w:val="00C01F56"/>
    <w:rsid w:val="00C01F5A"/>
    <w:rsid w:val="00C023E3"/>
    <w:rsid w:val="00C02ADC"/>
    <w:rsid w:val="00C02EA8"/>
    <w:rsid w:val="00C02F48"/>
    <w:rsid w:val="00C02FBA"/>
    <w:rsid w:val="00C034FA"/>
    <w:rsid w:val="00C035CC"/>
    <w:rsid w:val="00C03877"/>
    <w:rsid w:val="00C038A1"/>
    <w:rsid w:val="00C03A74"/>
    <w:rsid w:val="00C03B25"/>
    <w:rsid w:val="00C03DFD"/>
    <w:rsid w:val="00C04493"/>
    <w:rsid w:val="00C048AD"/>
    <w:rsid w:val="00C04D3F"/>
    <w:rsid w:val="00C04E3E"/>
    <w:rsid w:val="00C0501C"/>
    <w:rsid w:val="00C055FB"/>
    <w:rsid w:val="00C057CC"/>
    <w:rsid w:val="00C0584B"/>
    <w:rsid w:val="00C0597C"/>
    <w:rsid w:val="00C059EE"/>
    <w:rsid w:val="00C05A3B"/>
    <w:rsid w:val="00C05DEC"/>
    <w:rsid w:val="00C05EB7"/>
    <w:rsid w:val="00C06025"/>
    <w:rsid w:val="00C0608C"/>
    <w:rsid w:val="00C06333"/>
    <w:rsid w:val="00C0687D"/>
    <w:rsid w:val="00C06A1A"/>
    <w:rsid w:val="00C06AE6"/>
    <w:rsid w:val="00C06FDD"/>
    <w:rsid w:val="00C07DF9"/>
    <w:rsid w:val="00C103CB"/>
    <w:rsid w:val="00C10621"/>
    <w:rsid w:val="00C1091A"/>
    <w:rsid w:val="00C10C3D"/>
    <w:rsid w:val="00C11047"/>
    <w:rsid w:val="00C11815"/>
    <w:rsid w:val="00C11A34"/>
    <w:rsid w:val="00C11E53"/>
    <w:rsid w:val="00C11F12"/>
    <w:rsid w:val="00C1213F"/>
    <w:rsid w:val="00C125EC"/>
    <w:rsid w:val="00C12765"/>
    <w:rsid w:val="00C12872"/>
    <w:rsid w:val="00C12951"/>
    <w:rsid w:val="00C136F1"/>
    <w:rsid w:val="00C13F79"/>
    <w:rsid w:val="00C14129"/>
    <w:rsid w:val="00C146F2"/>
    <w:rsid w:val="00C14A38"/>
    <w:rsid w:val="00C14DFB"/>
    <w:rsid w:val="00C14FBF"/>
    <w:rsid w:val="00C152D0"/>
    <w:rsid w:val="00C15838"/>
    <w:rsid w:val="00C15C5A"/>
    <w:rsid w:val="00C15F6A"/>
    <w:rsid w:val="00C1640F"/>
    <w:rsid w:val="00C16CC2"/>
    <w:rsid w:val="00C16D04"/>
    <w:rsid w:val="00C16E75"/>
    <w:rsid w:val="00C17185"/>
    <w:rsid w:val="00C1767E"/>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96E"/>
    <w:rsid w:val="00C22DA9"/>
    <w:rsid w:val="00C2360A"/>
    <w:rsid w:val="00C236C0"/>
    <w:rsid w:val="00C23822"/>
    <w:rsid w:val="00C23D34"/>
    <w:rsid w:val="00C23E0D"/>
    <w:rsid w:val="00C24B00"/>
    <w:rsid w:val="00C24CD0"/>
    <w:rsid w:val="00C2538E"/>
    <w:rsid w:val="00C2552C"/>
    <w:rsid w:val="00C2555B"/>
    <w:rsid w:val="00C256A9"/>
    <w:rsid w:val="00C256E6"/>
    <w:rsid w:val="00C25E21"/>
    <w:rsid w:val="00C25FE7"/>
    <w:rsid w:val="00C2681F"/>
    <w:rsid w:val="00C2687C"/>
    <w:rsid w:val="00C2695A"/>
    <w:rsid w:val="00C269CE"/>
    <w:rsid w:val="00C26CFB"/>
    <w:rsid w:val="00C26FBD"/>
    <w:rsid w:val="00C2736D"/>
    <w:rsid w:val="00C27772"/>
    <w:rsid w:val="00C277BD"/>
    <w:rsid w:val="00C30745"/>
    <w:rsid w:val="00C30E76"/>
    <w:rsid w:val="00C30FA6"/>
    <w:rsid w:val="00C315F7"/>
    <w:rsid w:val="00C31987"/>
    <w:rsid w:val="00C31FC0"/>
    <w:rsid w:val="00C32220"/>
    <w:rsid w:val="00C3242B"/>
    <w:rsid w:val="00C328A1"/>
    <w:rsid w:val="00C32A65"/>
    <w:rsid w:val="00C32E05"/>
    <w:rsid w:val="00C33159"/>
    <w:rsid w:val="00C3317C"/>
    <w:rsid w:val="00C33512"/>
    <w:rsid w:val="00C337E6"/>
    <w:rsid w:val="00C33F05"/>
    <w:rsid w:val="00C34489"/>
    <w:rsid w:val="00C34F34"/>
    <w:rsid w:val="00C350D7"/>
    <w:rsid w:val="00C35C92"/>
    <w:rsid w:val="00C35D8F"/>
    <w:rsid w:val="00C35E79"/>
    <w:rsid w:val="00C35EDE"/>
    <w:rsid w:val="00C36845"/>
    <w:rsid w:val="00C36CD2"/>
    <w:rsid w:val="00C371C4"/>
    <w:rsid w:val="00C37691"/>
    <w:rsid w:val="00C37768"/>
    <w:rsid w:val="00C37777"/>
    <w:rsid w:val="00C37A00"/>
    <w:rsid w:val="00C37CE8"/>
    <w:rsid w:val="00C37D76"/>
    <w:rsid w:val="00C400F1"/>
    <w:rsid w:val="00C403BB"/>
    <w:rsid w:val="00C408F3"/>
    <w:rsid w:val="00C40C18"/>
    <w:rsid w:val="00C40C23"/>
    <w:rsid w:val="00C40C30"/>
    <w:rsid w:val="00C40FBA"/>
    <w:rsid w:val="00C411BE"/>
    <w:rsid w:val="00C41A4B"/>
    <w:rsid w:val="00C42669"/>
    <w:rsid w:val="00C426F8"/>
    <w:rsid w:val="00C4286C"/>
    <w:rsid w:val="00C429D9"/>
    <w:rsid w:val="00C42B78"/>
    <w:rsid w:val="00C42D69"/>
    <w:rsid w:val="00C4304F"/>
    <w:rsid w:val="00C4375F"/>
    <w:rsid w:val="00C43969"/>
    <w:rsid w:val="00C439A8"/>
    <w:rsid w:val="00C43AC0"/>
    <w:rsid w:val="00C43FA6"/>
    <w:rsid w:val="00C443B7"/>
    <w:rsid w:val="00C44C83"/>
    <w:rsid w:val="00C44D8F"/>
    <w:rsid w:val="00C4556A"/>
    <w:rsid w:val="00C45CEA"/>
    <w:rsid w:val="00C46320"/>
    <w:rsid w:val="00C463D0"/>
    <w:rsid w:val="00C465B7"/>
    <w:rsid w:val="00C467E5"/>
    <w:rsid w:val="00C4775A"/>
    <w:rsid w:val="00C4781E"/>
    <w:rsid w:val="00C47C4F"/>
    <w:rsid w:val="00C50752"/>
    <w:rsid w:val="00C50958"/>
    <w:rsid w:val="00C51068"/>
    <w:rsid w:val="00C511B3"/>
    <w:rsid w:val="00C51637"/>
    <w:rsid w:val="00C5166F"/>
    <w:rsid w:val="00C51861"/>
    <w:rsid w:val="00C51939"/>
    <w:rsid w:val="00C51A88"/>
    <w:rsid w:val="00C51AD6"/>
    <w:rsid w:val="00C51C0D"/>
    <w:rsid w:val="00C51EFE"/>
    <w:rsid w:val="00C52381"/>
    <w:rsid w:val="00C5259E"/>
    <w:rsid w:val="00C525D8"/>
    <w:rsid w:val="00C52DD6"/>
    <w:rsid w:val="00C53302"/>
    <w:rsid w:val="00C53628"/>
    <w:rsid w:val="00C53FBA"/>
    <w:rsid w:val="00C53FD0"/>
    <w:rsid w:val="00C5515B"/>
    <w:rsid w:val="00C55559"/>
    <w:rsid w:val="00C558C1"/>
    <w:rsid w:val="00C55AA6"/>
    <w:rsid w:val="00C55B3C"/>
    <w:rsid w:val="00C55C8F"/>
    <w:rsid w:val="00C55DC3"/>
    <w:rsid w:val="00C56146"/>
    <w:rsid w:val="00C5684D"/>
    <w:rsid w:val="00C57011"/>
    <w:rsid w:val="00C57943"/>
    <w:rsid w:val="00C57A20"/>
    <w:rsid w:val="00C57BE4"/>
    <w:rsid w:val="00C57D2B"/>
    <w:rsid w:val="00C60BD4"/>
    <w:rsid w:val="00C60D9B"/>
    <w:rsid w:val="00C61014"/>
    <w:rsid w:val="00C61124"/>
    <w:rsid w:val="00C6170C"/>
    <w:rsid w:val="00C6179B"/>
    <w:rsid w:val="00C61B25"/>
    <w:rsid w:val="00C61E66"/>
    <w:rsid w:val="00C61E71"/>
    <w:rsid w:val="00C61FE6"/>
    <w:rsid w:val="00C62269"/>
    <w:rsid w:val="00C624F7"/>
    <w:rsid w:val="00C62909"/>
    <w:rsid w:val="00C6296C"/>
    <w:rsid w:val="00C6338D"/>
    <w:rsid w:val="00C635BB"/>
    <w:rsid w:val="00C6368F"/>
    <w:rsid w:val="00C63882"/>
    <w:rsid w:val="00C649EE"/>
    <w:rsid w:val="00C64D86"/>
    <w:rsid w:val="00C65700"/>
    <w:rsid w:val="00C65A9B"/>
    <w:rsid w:val="00C663C1"/>
    <w:rsid w:val="00C667DE"/>
    <w:rsid w:val="00C66859"/>
    <w:rsid w:val="00C66B4C"/>
    <w:rsid w:val="00C66C76"/>
    <w:rsid w:val="00C66DD3"/>
    <w:rsid w:val="00C6734F"/>
    <w:rsid w:val="00C67390"/>
    <w:rsid w:val="00C67D9E"/>
    <w:rsid w:val="00C67EC3"/>
    <w:rsid w:val="00C70311"/>
    <w:rsid w:val="00C70460"/>
    <w:rsid w:val="00C7053D"/>
    <w:rsid w:val="00C70612"/>
    <w:rsid w:val="00C71127"/>
    <w:rsid w:val="00C71146"/>
    <w:rsid w:val="00C71376"/>
    <w:rsid w:val="00C71475"/>
    <w:rsid w:val="00C71C6B"/>
    <w:rsid w:val="00C72801"/>
    <w:rsid w:val="00C72D44"/>
    <w:rsid w:val="00C72DA4"/>
    <w:rsid w:val="00C730F9"/>
    <w:rsid w:val="00C732E5"/>
    <w:rsid w:val="00C73809"/>
    <w:rsid w:val="00C738ED"/>
    <w:rsid w:val="00C74177"/>
    <w:rsid w:val="00C744D8"/>
    <w:rsid w:val="00C74761"/>
    <w:rsid w:val="00C747C1"/>
    <w:rsid w:val="00C749AE"/>
    <w:rsid w:val="00C7506D"/>
    <w:rsid w:val="00C750C7"/>
    <w:rsid w:val="00C7569C"/>
    <w:rsid w:val="00C75AE6"/>
    <w:rsid w:val="00C75BF7"/>
    <w:rsid w:val="00C7641B"/>
    <w:rsid w:val="00C7762C"/>
    <w:rsid w:val="00C77660"/>
    <w:rsid w:val="00C80000"/>
    <w:rsid w:val="00C8018E"/>
    <w:rsid w:val="00C8019E"/>
    <w:rsid w:val="00C802A4"/>
    <w:rsid w:val="00C8038E"/>
    <w:rsid w:val="00C80862"/>
    <w:rsid w:val="00C80C99"/>
    <w:rsid w:val="00C81091"/>
    <w:rsid w:val="00C81BE9"/>
    <w:rsid w:val="00C82184"/>
    <w:rsid w:val="00C82287"/>
    <w:rsid w:val="00C82365"/>
    <w:rsid w:val="00C8247C"/>
    <w:rsid w:val="00C82489"/>
    <w:rsid w:val="00C825CE"/>
    <w:rsid w:val="00C82C69"/>
    <w:rsid w:val="00C82F1C"/>
    <w:rsid w:val="00C83853"/>
    <w:rsid w:val="00C83B52"/>
    <w:rsid w:val="00C83FCB"/>
    <w:rsid w:val="00C840A1"/>
    <w:rsid w:val="00C844EA"/>
    <w:rsid w:val="00C85061"/>
    <w:rsid w:val="00C854C3"/>
    <w:rsid w:val="00C8568D"/>
    <w:rsid w:val="00C859F1"/>
    <w:rsid w:val="00C85C3A"/>
    <w:rsid w:val="00C863F7"/>
    <w:rsid w:val="00C866EA"/>
    <w:rsid w:val="00C86C5F"/>
    <w:rsid w:val="00C87657"/>
    <w:rsid w:val="00C879B3"/>
    <w:rsid w:val="00C87D9A"/>
    <w:rsid w:val="00C902E0"/>
    <w:rsid w:val="00C909E8"/>
    <w:rsid w:val="00C90A12"/>
    <w:rsid w:val="00C914C8"/>
    <w:rsid w:val="00C9150F"/>
    <w:rsid w:val="00C91E21"/>
    <w:rsid w:val="00C9216D"/>
    <w:rsid w:val="00C921A0"/>
    <w:rsid w:val="00C926DF"/>
    <w:rsid w:val="00C92F0E"/>
    <w:rsid w:val="00C9311A"/>
    <w:rsid w:val="00C935AA"/>
    <w:rsid w:val="00C935AB"/>
    <w:rsid w:val="00C93A70"/>
    <w:rsid w:val="00C93AE4"/>
    <w:rsid w:val="00C941EE"/>
    <w:rsid w:val="00C94892"/>
    <w:rsid w:val="00C94A7C"/>
    <w:rsid w:val="00C952D1"/>
    <w:rsid w:val="00C95595"/>
    <w:rsid w:val="00C959FF"/>
    <w:rsid w:val="00C95A36"/>
    <w:rsid w:val="00C95AC1"/>
    <w:rsid w:val="00C95B2A"/>
    <w:rsid w:val="00C97036"/>
    <w:rsid w:val="00C973BA"/>
    <w:rsid w:val="00C97B38"/>
    <w:rsid w:val="00C97EC6"/>
    <w:rsid w:val="00C97ED5"/>
    <w:rsid w:val="00CA0056"/>
    <w:rsid w:val="00CA01AD"/>
    <w:rsid w:val="00CA04CC"/>
    <w:rsid w:val="00CA0599"/>
    <w:rsid w:val="00CA0A47"/>
    <w:rsid w:val="00CA1333"/>
    <w:rsid w:val="00CA1DCB"/>
    <w:rsid w:val="00CA1E51"/>
    <w:rsid w:val="00CA24BC"/>
    <w:rsid w:val="00CA25E2"/>
    <w:rsid w:val="00CA2B19"/>
    <w:rsid w:val="00CA33DC"/>
    <w:rsid w:val="00CA3F5F"/>
    <w:rsid w:val="00CA49B2"/>
    <w:rsid w:val="00CA528B"/>
    <w:rsid w:val="00CA52FF"/>
    <w:rsid w:val="00CA5E2B"/>
    <w:rsid w:val="00CA6460"/>
    <w:rsid w:val="00CA65BF"/>
    <w:rsid w:val="00CA69BF"/>
    <w:rsid w:val="00CA6AA2"/>
    <w:rsid w:val="00CA6E93"/>
    <w:rsid w:val="00CA7855"/>
    <w:rsid w:val="00CA7A07"/>
    <w:rsid w:val="00CA7DF5"/>
    <w:rsid w:val="00CA7E6C"/>
    <w:rsid w:val="00CB0109"/>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3EC3"/>
    <w:rsid w:val="00CB40B2"/>
    <w:rsid w:val="00CB40BB"/>
    <w:rsid w:val="00CB4192"/>
    <w:rsid w:val="00CB41A9"/>
    <w:rsid w:val="00CB453C"/>
    <w:rsid w:val="00CB54DB"/>
    <w:rsid w:val="00CB56DE"/>
    <w:rsid w:val="00CB582D"/>
    <w:rsid w:val="00CB5DC0"/>
    <w:rsid w:val="00CB6027"/>
    <w:rsid w:val="00CB6A63"/>
    <w:rsid w:val="00CB6E42"/>
    <w:rsid w:val="00CB6E49"/>
    <w:rsid w:val="00CB7911"/>
    <w:rsid w:val="00CC025C"/>
    <w:rsid w:val="00CC0A26"/>
    <w:rsid w:val="00CC0D30"/>
    <w:rsid w:val="00CC135F"/>
    <w:rsid w:val="00CC1E0F"/>
    <w:rsid w:val="00CC24FA"/>
    <w:rsid w:val="00CC26E8"/>
    <w:rsid w:val="00CC2A8B"/>
    <w:rsid w:val="00CC33E1"/>
    <w:rsid w:val="00CC3713"/>
    <w:rsid w:val="00CC3D03"/>
    <w:rsid w:val="00CC41FD"/>
    <w:rsid w:val="00CC4E55"/>
    <w:rsid w:val="00CC51CA"/>
    <w:rsid w:val="00CC565C"/>
    <w:rsid w:val="00CC5770"/>
    <w:rsid w:val="00CC57B2"/>
    <w:rsid w:val="00CC5A2A"/>
    <w:rsid w:val="00CC5A80"/>
    <w:rsid w:val="00CC6374"/>
    <w:rsid w:val="00CC6697"/>
    <w:rsid w:val="00CC6AF4"/>
    <w:rsid w:val="00CC6C60"/>
    <w:rsid w:val="00CC754C"/>
    <w:rsid w:val="00CC7BD1"/>
    <w:rsid w:val="00CC7C53"/>
    <w:rsid w:val="00CD02B7"/>
    <w:rsid w:val="00CD07EA"/>
    <w:rsid w:val="00CD0EF8"/>
    <w:rsid w:val="00CD1020"/>
    <w:rsid w:val="00CD1C47"/>
    <w:rsid w:val="00CD2274"/>
    <w:rsid w:val="00CD227E"/>
    <w:rsid w:val="00CD2283"/>
    <w:rsid w:val="00CD28FF"/>
    <w:rsid w:val="00CD301A"/>
    <w:rsid w:val="00CD3244"/>
    <w:rsid w:val="00CD34D3"/>
    <w:rsid w:val="00CD3869"/>
    <w:rsid w:val="00CD3B7F"/>
    <w:rsid w:val="00CD3CDC"/>
    <w:rsid w:val="00CD3DCB"/>
    <w:rsid w:val="00CD49B9"/>
    <w:rsid w:val="00CD4DEC"/>
    <w:rsid w:val="00CD4F24"/>
    <w:rsid w:val="00CD4F7C"/>
    <w:rsid w:val="00CD6330"/>
    <w:rsid w:val="00CD6760"/>
    <w:rsid w:val="00CD6F27"/>
    <w:rsid w:val="00CD6F32"/>
    <w:rsid w:val="00CD725E"/>
    <w:rsid w:val="00CD7A03"/>
    <w:rsid w:val="00CE1B7F"/>
    <w:rsid w:val="00CE1D33"/>
    <w:rsid w:val="00CE22EF"/>
    <w:rsid w:val="00CE24A4"/>
    <w:rsid w:val="00CE2BC0"/>
    <w:rsid w:val="00CE31D2"/>
    <w:rsid w:val="00CE33DC"/>
    <w:rsid w:val="00CE39DE"/>
    <w:rsid w:val="00CE42D1"/>
    <w:rsid w:val="00CE4428"/>
    <w:rsid w:val="00CE4833"/>
    <w:rsid w:val="00CE5044"/>
    <w:rsid w:val="00CE51C0"/>
    <w:rsid w:val="00CE576E"/>
    <w:rsid w:val="00CE58A6"/>
    <w:rsid w:val="00CE592D"/>
    <w:rsid w:val="00CE5BFB"/>
    <w:rsid w:val="00CE5C93"/>
    <w:rsid w:val="00CE5D3D"/>
    <w:rsid w:val="00CE67B6"/>
    <w:rsid w:val="00CE6D68"/>
    <w:rsid w:val="00CE733B"/>
    <w:rsid w:val="00CE7CCF"/>
    <w:rsid w:val="00CE7EBD"/>
    <w:rsid w:val="00CF00A2"/>
    <w:rsid w:val="00CF0463"/>
    <w:rsid w:val="00CF08A8"/>
    <w:rsid w:val="00CF0F66"/>
    <w:rsid w:val="00CF1097"/>
    <w:rsid w:val="00CF157D"/>
    <w:rsid w:val="00CF2660"/>
    <w:rsid w:val="00CF31E1"/>
    <w:rsid w:val="00CF366C"/>
    <w:rsid w:val="00CF3879"/>
    <w:rsid w:val="00CF3A42"/>
    <w:rsid w:val="00CF3F4A"/>
    <w:rsid w:val="00CF43A4"/>
    <w:rsid w:val="00CF4AF8"/>
    <w:rsid w:val="00CF4E9C"/>
    <w:rsid w:val="00CF4FF3"/>
    <w:rsid w:val="00CF5218"/>
    <w:rsid w:val="00CF55F7"/>
    <w:rsid w:val="00CF5911"/>
    <w:rsid w:val="00CF5B1B"/>
    <w:rsid w:val="00CF601A"/>
    <w:rsid w:val="00CF61ED"/>
    <w:rsid w:val="00CF6263"/>
    <w:rsid w:val="00CF6608"/>
    <w:rsid w:val="00CF6A89"/>
    <w:rsid w:val="00CF70F3"/>
    <w:rsid w:val="00CF72C8"/>
    <w:rsid w:val="00CF7716"/>
    <w:rsid w:val="00CF7815"/>
    <w:rsid w:val="00CF7AB8"/>
    <w:rsid w:val="00CF7D51"/>
    <w:rsid w:val="00CF7E32"/>
    <w:rsid w:val="00D0000D"/>
    <w:rsid w:val="00D018AA"/>
    <w:rsid w:val="00D01B14"/>
    <w:rsid w:val="00D01F21"/>
    <w:rsid w:val="00D02299"/>
    <w:rsid w:val="00D02370"/>
    <w:rsid w:val="00D02462"/>
    <w:rsid w:val="00D02E7E"/>
    <w:rsid w:val="00D0318C"/>
    <w:rsid w:val="00D03B26"/>
    <w:rsid w:val="00D03B9F"/>
    <w:rsid w:val="00D03EF4"/>
    <w:rsid w:val="00D04354"/>
    <w:rsid w:val="00D04594"/>
    <w:rsid w:val="00D0474D"/>
    <w:rsid w:val="00D04EAC"/>
    <w:rsid w:val="00D05309"/>
    <w:rsid w:val="00D05608"/>
    <w:rsid w:val="00D05E7C"/>
    <w:rsid w:val="00D05EDA"/>
    <w:rsid w:val="00D05F65"/>
    <w:rsid w:val="00D0609F"/>
    <w:rsid w:val="00D06A47"/>
    <w:rsid w:val="00D06B6C"/>
    <w:rsid w:val="00D0703D"/>
    <w:rsid w:val="00D07794"/>
    <w:rsid w:val="00D07B04"/>
    <w:rsid w:val="00D07B5E"/>
    <w:rsid w:val="00D07EF6"/>
    <w:rsid w:val="00D102D1"/>
    <w:rsid w:val="00D10312"/>
    <w:rsid w:val="00D107D3"/>
    <w:rsid w:val="00D10AFB"/>
    <w:rsid w:val="00D10B6F"/>
    <w:rsid w:val="00D1169A"/>
    <w:rsid w:val="00D12A85"/>
    <w:rsid w:val="00D12C19"/>
    <w:rsid w:val="00D12F06"/>
    <w:rsid w:val="00D130E3"/>
    <w:rsid w:val="00D134A4"/>
    <w:rsid w:val="00D13588"/>
    <w:rsid w:val="00D13C85"/>
    <w:rsid w:val="00D13F3D"/>
    <w:rsid w:val="00D14968"/>
    <w:rsid w:val="00D14FEE"/>
    <w:rsid w:val="00D15B43"/>
    <w:rsid w:val="00D164B2"/>
    <w:rsid w:val="00D168F4"/>
    <w:rsid w:val="00D16934"/>
    <w:rsid w:val="00D16D35"/>
    <w:rsid w:val="00D170E0"/>
    <w:rsid w:val="00D172BA"/>
    <w:rsid w:val="00D17475"/>
    <w:rsid w:val="00D179CB"/>
    <w:rsid w:val="00D17B7D"/>
    <w:rsid w:val="00D17DFF"/>
    <w:rsid w:val="00D20550"/>
    <w:rsid w:val="00D20AA3"/>
    <w:rsid w:val="00D20C8A"/>
    <w:rsid w:val="00D214BA"/>
    <w:rsid w:val="00D216BE"/>
    <w:rsid w:val="00D21E02"/>
    <w:rsid w:val="00D226BB"/>
    <w:rsid w:val="00D227ED"/>
    <w:rsid w:val="00D22A26"/>
    <w:rsid w:val="00D22EFE"/>
    <w:rsid w:val="00D24427"/>
    <w:rsid w:val="00D24C72"/>
    <w:rsid w:val="00D25B3C"/>
    <w:rsid w:val="00D25B8A"/>
    <w:rsid w:val="00D26235"/>
    <w:rsid w:val="00D26BC5"/>
    <w:rsid w:val="00D26C68"/>
    <w:rsid w:val="00D26D82"/>
    <w:rsid w:val="00D27058"/>
    <w:rsid w:val="00D27C49"/>
    <w:rsid w:val="00D27C95"/>
    <w:rsid w:val="00D3092A"/>
    <w:rsid w:val="00D316DF"/>
    <w:rsid w:val="00D31B32"/>
    <w:rsid w:val="00D32286"/>
    <w:rsid w:val="00D324CB"/>
    <w:rsid w:val="00D325CF"/>
    <w:rsid w:val="00D327C2"/>
    <w:rsid w:val="00D328F1"/>
    <w:rsid w:val="00D32B4A"/>
    <w:rsid w:val="00D32FD3"/>
    <w:rsid w:val="00D33234"/>
    <w:rsid w:val="00D33ECF"/>
    <w:rsid w:val="00D33FA4"/>
    <w:rsid w:val="00D33FD9"/>
    <w:rsid w:val="00D34413"/>
    <w:rsid w:val="00D34552"/>
    <w:rsid w:val="00D34946"/>
    <w:rsid w:val="00D34969"/>
    <w:rsid w:val="00D34E1B"/>
    <w:rsid w:val="00D34E57"/>
    <w:rsid w:val="00D356EE"/>
    <w:rsid w:val="00D35752"/>
    <w:rsid w:val="00D35980"/>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C7B"/>
    <w:rsid w:val="00D43F20"/>
    <w:rsid w:val="00D43F30"/>
    <w:rsid w:val="00D446FF"/>
    <w:rsid w:val="00D449D0"/>
    <w:rsid w:val="00D4503C"/>
    <w:rsid w:val="00D454F9"/>
    <w:rsid w:val="00D45870"/>
    <w:rsid w:val="00D45898"/>
    <w:rsid w:val="00D45CC4"/>
    <w:rsid w:val="00D45FA1"/>
    <w:rsid w:val="00D46BD4"/>
    <w:rsid w:val="00D46DB3"/>
    <w:rsid w:val="00D46E2B"/>
    <w:rsid w:val="00D470DD"/>
    <w:rsid w:val="00D47944"/>
    <w:rsid w:val="00D50580"/>
    <w:rsid w:val="00D50827"/>
    <w:rsid w:val="00D509D9"/>
    <w:rsid w:val="00D5127E"/>
    <w:rsid w:val="00D516A0"/>
    <w:rsid w:val="00D5186D"/>
    <w:rsid w:val="00D51F2B"/>
    <w:rsid w:val="00D522A0"/>
    <w:rsid w:val="00D5243F"/>
    <w:rsid w:val="00D525B8"/>
    <w:rsid w:val="00D52823"/>
    <w:rsid w:val="00D5340C"/>
    <w:rsid w:val="00D5352E"/>
    <w:rsid w:val="00D538AF"/>
    <w:rsid w:val="00D53AB2"/>
    <w:rsid w:val="00D53D7E"/>
    <w:rsid w:val="00D54091"/>
    <w:rsid w:val="00D544C1"/>
    <w:rsid w:val="00D54841"/>
    <w:rsid w:val="00D54C0B"/>
    <w:rsid w:val="00D54F43"/>
    <w:rsid w:val="00D5523A"/>
    <w:rsid w:val="00D555DB"/>
    <w:rsid w:val="00D5570A"/>
    <w:rsid w:val="00D55FF9"/>
    <w:rsid w:val="00D560F1"/>
    <w:rsid w:val="00D568D6"/>
    <w:rsid w:val="00D56A6A"/>
    <w:rsid w:val="00D5749B"/>
    <w:rsid w:val="00D574AF"/>
    <w:rsid w:val="00D6008F"/>
    <w:rsid w:val="00D604E1"/>
    <w:rsid w:val="00D60BCE"/>
    <w:rsid w:val="00D613BD"/>
    <w:rsid w:val="00D614A0"/>
    <w:rsid w:val="00D61B08"/>
    <w:rsid w:val="00D62B27"/>
    <w:rsid w:val="00D62B70"/>
    <w:rsid w:val="00D62CE1"/>
    <w:rsid w:val="00D62F29"/>
    <w:rsid w:val="00D63412"/>
    <w:rsid w:val="00D635A6"/>
    <w:rsid w:val="00D6389C"/>
    <w:rsid w:val="00D63B33"/>
    <w:rsid w:val="00D63CDD"/>
    <w:rsid w:val="00D6439C"/>
    <w:rsid w:val="00D648B4"/>
    <w:rsid w:val="00D64AAF"/>
    <w:rsid w:val="00D64B6D"/>
    <w:rsid w:val="00D66177"/>
    <w:rsid w:val="00D661FD"/>
    <w:rsid w:val="00D665D3"/>
    <w:rsid w:val="00D66CBB"/>
    <w:rsid w:val="00D67266"/>
    <w:rsid w:val="00D67550"/>
    <w:rsid w:val="00D7139E"/>
    <w:rsid w:val="00D71CCA"/>
    <w:rsid w:val="00D71DC6"/>
    <w:rsid w:val="00D71F43"/>
    <w:rsid w:val="00D7232B"/>
    <w:rsid w:val="00D724D3"/>
    <w:rsid w:val="00D731E5"/>
    <w:rsid w:val="00D73B5B"/>
    <w:rsid w:val="00D73E68"/>
    <w:rsid w:val="00D749A3"/>
    <w:rsid w:val="00D74EA5"/>
    <w:rsid w:val="00D74F17"/>
    <w:rsid w:val="00D75333"/>
    <w:rsid w:val="00D755C2"/>
    <w:rsid w:val="00D757AC"/>
    <w:rsid w:val="00D759D5"/>
    <w:rsid w:val="00D764D4"/>
    <w:rsid w:val="00D76532"/>
    <w:rsid w:val="00D765D5"/>
    <w:rsid w:val="00D76791"/>
    <w:rsid w:val="00D76B50"/>
    <w:rsid w:val="00D76D46"/>
    <w:rsid w:val="00D76FF7"/>
    <w:rsid w:val="00D77071"/>
    <w:rsid w:val="00D7731F"/>
    <w:rsid w:val="00D77771"/>
    <w:rsid w:val="00D77A8B"/>
    <w:rsid w:val="00D77BA1"/>
    <w:rsid w:val="00D77F1F"/>
    <w:rsid w:val="00D77F89"/>
    <w:rsid w:val="00D8051A"/>
    <w:rsid w:val="00D80BCD"/>
    <w:rsid w:val="00D80DC5"/>
    <w:rsid w:val="00D80EDD"/>
    <w:rsid w:val="00D80FF8"/>
    <w:rsid w:val="00D81708"/>
    <w:rsid w:val="00D81C01"/>
    <w:rsid w:val="00D81D48"/>
    <w:rsid w:val="00D81E13"/>
    <w:rsid w:val="00D82064"/>
    <w:rsid w:val="00D823D1"/>
    <w:rsid w:val="00D82E16"/>
    <w:rsid w:val="00D8343F"/>
    <w:rsid w:val="00D844B7"/>
    <w:rsid w:val="00D845E7"/>
    <w:rsid w:val="00D849B9"/>
    <w:rsid w:val="00D84A1B"/>
    <w:rsid w:val="00D84B95"/>
    <w:rsid w:val="00D84CF4"/>
    <w:rsid w:val="00D84DDC"/>
    <w:rsid w:val="00D8566E"/>
    <w:rsid w:val="00D860B8"/>
    <w:rsid w:val="00D864F0"/>
    <w:rsid w:val="00D867AB"/>
    <w:rsid w:val="00D86B96"/>
    <w:rsid w:val="00D86F5F"/>
    <w:rsid w:val="00D8731E"/>
    <w:rsid w:val="00D87682"/>
    <w:rsid w:val="00D878B3"/>
    <w:rsid w:val="00D900E5"/>
    <w:rsid w:val="00D909B2"/>
    <w:rsid w:val="00D90C29"/>
    <w:rsid w:val="00D90DB1"/>
    <w:rsid w:val="00D914E7"/>
    <w:rsid w:val="00D92340"/>
    <w:rsid w:val="00D924AD"/>
    <w:rsid w:val="00D9257D"/>
    <w:rsid w:val="00D93626"/>
    <w:rsid w:val="00D93A24"/>
    <w:rsid w:val="00D94574"/>
    <w:rsid w:val="00D946DB"/>
    <w:rsid w:val="00D94805"/>
    <w:rsid w:val="00D94C4D"/>
    <w:rsid w:val="00D95160"/>
    <w:rsid w:val="00D95240"/>
    <w:rsid w:val="00D956BC"/>
    <w:rsid w:val="00D96282"/>
    <w:rsid w:val="00D96781"/>
    <w:rsid w:val="00D97874"/>
    <w:rsid w:val="00D979AE"/>
    <w:rsid w:val="00DA05D7"/>
    <w:rsid w:val="00DA0B11"/>
    <w:rsid w:val="00DA0B72"/>
    <w:rsid w:val="00DA1012"/>
    <w:rsid w:val="00DA1229"/>
    <w:rsid w:val="00DA1B84"/>
    <w:rsid w:val="00DA2445"/>
    <w:rsid w:val="00DA254C"/>
    <w:rsid w:val="00DA2E7A"/>
    <w:rsid w:val="00DA3127"/>
    <w:rsid w:val="00DA3589"/>
    <w:rsid w:val="00DA3860"/>
    <w:rsid w:val="00DA393F"/>
    <w:rsid w:val="00DA3DE7"/>
    <w:rsid w:val="00DA4012"/>
    <w:rsid w:val="00DA41BE"/>
    <w:rsid w:val="00DA42B9"/>
    <w:rsid w:val="00DA52EE"/>
    <w:rsid w:val="00DA5E70"/>
    <w:rsid w:val="00DA6240"/>
    <w:rsid w:val="00DA6252"/>
    <w:rsid w:val="00DA6599"/>
    <w:rsid w:val="00DA6F41"/>
    <w:rsid w:val="00DA72A8"/>
    <w:rsid w:val="00DA7763"/>
    <w:rsid w:val="00DA7F7C"/>
    <w:rsid w:val="00DB0065"/>
    <w:rsid w:val="00DB04D7"/>
    <w:rsid w:val="00DB09D3"/>
    <w:rsid w:val="00DB158F"/>
    <w:rsid w:val="00DB17BF"/>
    <w:rsid w:val="00DB1858"/>
    <w:rsid w:val="00DB1A2F"/>
    <w:rsid w:val="00DB1E85"/>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6067"/>
    <w:rsid w:val="00DB6213"/>
    <w:rsid w:val="00DB63DB"/>
    <w:rsid w:val="00DB6CFD"/>
    <w:rsid w:val="00DB6D3C"/>
    <w:rsid w:val="00DB75D7"/>
    <w:rsid w:val="00DB75EB"/>
    <w:rsid w:val="00DB7784"/>
    <w:rsid w:val="00DC06C1"/>
    <w:rsid w:val="00DC08EF"/>
    <w:rsid w:val="00DC095E"/>
    <w:rsid w:val="00DC0F6B"/>
    <w:rsid w:val="00DC0FD3"/>
    <w:rsid w:val="00DC1238"/>
    <w:rsid w:val="00DC1307"/>
    <w:rsid w:val="00DC190C"/>
    <w:rsid w:val="00DC1912"/>
    <w:rsid w:val="00DC1ADD"/>
    <w:rsid w:val="00DC20A5"/>
    <w:rsid w:val="00DC21CA"/>
    <w:rsid w:val="00DC3C20"/>
    <w:rsid w:val="00DC3FE4"/>
    <w:rsid w:val="00DC4138"/>
    <w:rsid w:val="00DC43BD"/>
    <w:rsid w:val="00DC4AC6"/>
    <w:rsid w:val="00DC4BC5"/>
    <w:rsid w:val="00DC4D53"/>
    <w:rsid w:val="00DC4E77"/>
    <w:rsid w:val="00DC5153"/>
    <w:rsid w:val="00DC5289"/>
    <w:rsid w:val="00DC52E1"/>
    <w:rsid w:val="00DC56BF"/>
    <w:rsid w:val="00DC5D15"/>
    <w:rsid w:val="00DC61FF"/>
    <w:rsid w:val="00DC6213"/>
    <w:rsid w:val="00DC6233"/>
    <w:rsid w:val="00DC636A"/>
    <w:rsid w:val="00DC66BB"/>
    <w:rsid w:val="00DC672B"/>
    <w:rsid w:val="00DC6963"/>
    <w:rsid w:val="00DC7CE8"/>
    <w:rsid w:val="00DC7F6B"/>
    <w:rsid w:val="00DD0748"/>
    <w:rsid w:val="00DD0AE4"/>
    <w:rsid w:val="00DD0DCD"/>
    <w:rsid w:val="00DD1545"/>
    <w:rsid w:val="00DD1848"/>
    <w:rsid w:val="00DD1AFE"/>
    <w:rsid w:val="00DD2727"/>
    <w:rsid w:val="00DD27BB"/>
    <w:rsid w:val="00DD2BE3"/>
    <w:rsid w:val="00DD2FCF"/>
    <w:rsid w:val="00DD326E"/>
    <w:rsid w:val="00DD3314"/>
    <w:rsid w:val="00DD34E2"/>
    <w:rsid w:val="00DD388D"/>
    <w:rsid w:val="00DD3BAE"/>
    <w:rsid w:val="00DD3F2C"/>
    <w:rsid w:val="00DD4085"/>
    <w:rsid w:val="00DD45DE"/>
    <w:rsid w:val="00DD4881"/>
    <w:rsid w:val="00DD5099"/>
    <w:rsid w:val="00DD52E0"/>
    <w:rsid w:val="00DD53EA"/>
    <w:rsid w:val="00DD5E3C"/>
    <w:rsid w:val="00DD61C2"/>
    <w:rsid w:val="00DD66A7"/>
    <w:rsid w:val="00DD66B9"/>
    <w:rsid w:val="00DD66E7"/>
    <w:rsid w:val="00DD6987"/>
    <w:rsid w:val="00DD6C14"/>
    <w:rsid w:val="00DD7025"/>
    <w:rsid w:val="00DD7316"/>
    <w:rsid w:val="00DD7912"/>
    <w:rsid w:val="00DE0B77"/>
    <w:rsid w:val="00DE101E"/>
    <w:rsid w:val="00DE2319"/>
    <w:rsid w:val="00DE24FC"/>
    <w:rsid w:val="00DE2596"/>
    <w:rsid w:val="00DE2DA9"/>
    <w:rsid w:val="00DE3432"/>
    <w:rsid w:val="00DE35EC"/>
    <w:rsid w:val="00DE410E"/>
    <w:rsid w:val="00DE4AA5"/>
    <w:rsid w:val="00DE4AAF"/>
    <w:rsid w:val="00DE4E1F"/>
    <w:rsid w:val="00DE5124"/>
    <w:rsid w:val="00DE57B0"/>
    <w:rsid w:val="00DE6DD3"/>
    <w:rsid w:val="00DE7A3E"/>
    <w:rsid w:val="00DE7E3E"/>
    <w:rsid w:val="00DF0A04"/>
    <w:rsid w:val="00DF1446"/>
    <w:rsid w:val="00DF1452"/>
    <w:rsid w:val="00DF1F5F"/>
    <w:rsid w:val="00DF2235"/>
    <w:rsid w:val="00DF2701"/>
    <w:rsid w:val="00DF36CC"/>
    <w:rsid w:val="00DF3ABE"/>
    <w:rsid w:val="00DF404D"/>
    <w:rsid w:val="00DF40AC"/>
    <w:rsid w:val="00DF41E3"/>
    <w:rsid w:val="00DF49FB"/>
    <w:rsid w:val="00DF4BD3"/>
    <w:rsid w:val="00DF4C3C"/>
    <w:rsid w:val="00DF5263"/>
    <w:rsid w:val="00DF5458"/>
    <w:rsid w:val="00DF5E9F"/>
    <w:rsid w:val="00DF5FB5"/>
    <w:rsid w:val="00DF6535"/>
    <w:rsid w:val="00DF6786"/>
    <w:rsid w:val="00DF67F6"/>
    <w:rsid w:val="00DF6878"/>
    <w:rsid w:val="00DF68B8"/>
    <w:rsid w:val="00DF6A1D"/>
    <w:rsid w:val="00DF6A86"/>
    <w:rsid w:val="00DF6AC7"/>
    <w:rsid w:val="00DF6B2F"/>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905"/>
    <w:rsid w:val="00E039DD"/>
    <w:rsid w:val="00E03BCB"/>
    <w:rsid w:val="00E03F86"/>
    <w:rsid w:val="00E0460A"/>
    <w:rsid w:val="00E0471A"/>
    <w:rsid w:val="00E04A18"/>
    <w:rsid w:val="00E04BF8"/>
    <w:rsid w:val="00E04E81"/>
    <w:rsid w:val="00E04F2B"/>
    <w:rsid w:val="00E05300"/>
    <w:rsid w:val="00E05458"/>
    <w:rsid w:val="00E05C66"/>
    <w:rsid w:val="00E05D7E"/>
    <w:rsid w:val="00E05E8F"/>
    <w:rsid w:val="00E05F82"/>
    <w:rsid w:val="00E05FA2"/>
    <w:rsid w:val="00E06677"/>
    <w:rsid w:val="00E066FE"/>
    <w:rsid w:val="00E0682D"/>
    <w:rsid w:val="00E06B9E"/>
    <w:rsid w:val="00E07412"/>
    <w:rsid w:val="00E0756F"/>
    <w:rsid w:val="00E0762A"/>
    <w:rsid w:val="00E07760"/>
    <w:rsid w:val="00E0793A"/>
    <w:rsid w:val="00E07F21"/>
    <w:rsid w:val="00E10502"/>
    <w:rsid w:val="00E1059F"/>
    <w:rsid w:val="00E10A23"/>
    <w:rsid w:val="00E10D0B"/>
    <w:rsid w:val="00E11420"/>
    <w:rsid w:val="00E1183B"/>
    <w:rsid w:val="00E11AC0"/>
    <w:rsid w:val="00E11D2B"/>
    <w:rsid w:val="00E1235F"/>
    <w:rsid w:val="00E12AB2"/>
    <w:rsid w:val="00E130C3"/>
    <w:rsid w:val="00E133A0"/>
    <w:rsid w:val="00E1344D"/>
    <w:rsid w:val="00E136D2"/>
    <w:rsid w:val="00E13776"/>
    <w:rsid w:val="00E143CF"/>
    <w:rsid w:val="00E14713"/>
    <w:rsid w:val="00E15170"/>
    <w:rsid w:val="00E15AF4"/>
    <w:rsid w:val="00E169D3"/>
    <w:rsid w:val="00E17F4D"/>
    <w:rsid w:val="00E2019A"/>
    <w:rsid w:val="00E20679"/>
    <w:rsid w:val="00E208B5"/>
    <w:rsid w:val="00E217D3"/>
    <w:rsid w:val="00E21BD9"/>
    <w:rsid w:val="00E22162"/>
    <w:rsid w:val="00E22365"/>
    <w:rsid w:val="00E22428"/>
    <w:rsid w:val="00E225A5"/>
    <w:rsid w:val="00E22612"/>
    <w:rsid w:val="00E22A2C"/>
    <w:rsid w:val="00E22E7B"/>
    <w:rsid w:val="00E232B1"/>
    <w:rsid w:val="00E236EC"/>
    <w:rsid w:val="00E2392B"/>
    <w:rsid w:val="00E23A56"/>
    <w:rsid w:val="00E23DE6"/>
    <w:rsid w:val="00E23E9D"/>
    <w:rsid w:val="00E23FCA"/>
    <w:rsid w:val="00E24203"/>
    <w:rsid w:val="00E2429C"/>
    <w:rsid w:val="00E24537"/>
    <w:rsid w:val="00E24FDE"/>
    <w:rsid w:val="00E2504E"/>
    <w:rsid w:val="00E250B4"/>
    <w:rsid w:val="00E25326"/>
    <w:rsid w:val="00E254D8"/>
    <w:rsid w:val="00E25749"/>
    <w:rsid w:val="00E25963"/>
    <w:rsid w:val="00E25E39"/>
    <w:rsid w:val="00E25EC8"/>
    <w:rsid w:val="00E269AA"/>
    <w:rsid w:val="00E26C16"/>
    <w:rsid w:val="00E2724B"/>
    <w:rsid w:val="00E300CA"/>
    <w:rsid w:val="00E30607"/>
    <w:rsid w:val="00E30851"/>
    <w:rsid w:val="00E30BF0"/>
    <w:rsid w:val="00E31137"/>
    <w:rsid w:val="00E311B9"/>
    <w:rsid w:val="00E31BCD"/>
    <w:rsid w:val="00E31C73"/>
    <w:rsid w:val="00E31ED6"/>
    <w:rsid w:val="00E327DD"/>
    <w:rsid w:val="00E3375B"/>
    <w:rsid w:val="00E33CCB"/>
    <w:rsid w:val="00E34669"/>
    <w:rsid w:val="00E3524F"/>
    <w:rsid w:val="00E35C45"/>
    <w:rsid w:val="00E35C9D"/>
    <w:rsid w:val="00E35DF7"/>
    <w:rsid w:val="00E35EBB"/>
    <w:rsid w:val="00E36193"/>
    <w:rsid w:val="00E36242"/>
    <w:rsid w:val="00E36690"/>
    <w:rsid w:val="00E36A24"/>
    <w:rsid w:val="00E36C52"/>
    <w:rsid w:val="00E36E75"/>
    <w:rsid w:val="00E3720A"/>
    <w:rsid w:val="00E3739B"/>
    <w:rsid w:val="00E376BD"/>
    <w:rsid w:val="00E37C2D"/>
    <w:rsid w:val="00E37DD8"/>
    <w:rsid w:val="00E37E68"/>
    <w:rsid w:val="00E400BA"/>
    <w:rsid w:val="00E4016D"/>
    <w:rsid w:val="00E407F2"/>
    <w:rsid w:val="00E40B77"/>
    <w:rsid w:val="00E40D1A"/>
    <w:rsid w:val="00E40F6A"/>
    <w:rsid w:val="00E41709"/>
    <w:rsid w:val="00E4181B"/>
    <w:rsid w:val="00E4197F"/>
    <w:rsid w:val="00E41A14"/>
    <w:rsid w:val="00E41A6E"/>
    <w:rsid w:val="00E42121"/>
    <w:rsid w:val="00E42513"/>
    <w:rsid w:val="00E426E9"/>
    <w:rsid w:val="00E42E06"/>
    <w:rsid w:val="00E43012"/>
    <w:rsid w:val="00E436F1"/>
    <w:rsid w:val="00E43AAF"/>
    <w:rsid w:val="00E43F4D"/>
    <w:rsid w:val="00E44110"/>
    <w:rsid w:val="00E44623"/>
    <w:rsid w:val="00E44B22"/>
    <w:rsid w:val="00E44CA0"/>
    <w:rsid w:val="00E44EFD"/>
    <w:rsid w:val="00E44FEB"/>
    <w:rsid w:val="00E452B0"/>
    <w:rsid w:val="00E4586E"/>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4"/>
    <w:rsid w:val="00E53136"/>
    <w:rsid w:val="00E5364D"/>
    <w:rsid w:val="00E5379B"/>
    <w:rsid w:val="00E54128"/>
    <w:rsid w:val="00E541C7"/>
    <w:rsid w:val="00E54217"/>
    <w:rsid w:val="00E5433A"/>
    <w:rsid w:val="00E544FE"/>
    <w:rsid w:val="00E54680"/>
    <w:rsid w:val="00E54892"/>
    <w:rsid w:val="00E548E4"/>
    <w:rsid w:val="00E549B3"/>
    <w:rsid w:val="00E549B4"/>
    <w:rsid w:val="00E549F0"/>
    <w:rsid w:val="00E54AD9"/>
    <w:rsid w:val="00E54E00"/>
    <w:rsid w:val="00E55606"/>
    <w:rsid w:val="00E5564C"/>
    <w:rsid w:val="00E55910"/>
    <w:rsid w:val="00E55E4F"/>
    <w:rsid w:val="00E5641B"/>
    <w:rsid w:val="00E567AE"/>
    <w:rsid w:val="00E56C23"/>
    <w:rsid w:val="00E56DD3"/>
    <w:rsid w:val="00E57656"/>
    <w:rsid w:val="00E5782D"/>
    <w:rsid w:val="00E60679"/>
    <w:rsid w:val="00E60A38"/>
    <w:rsid w:val="00E60F44"/>
    <w:rsid w:val="00E60FDD"/>
    <w:rsid w:val="00E610A6"/>
    <w:rsid w:val="00E610E4"/>
    <w:rsid w:val="00E61E00"/>
    <w:rsid w:val="00E61F9B"/>
    <w:rsid w:val="00E625BC"/>
    <w:rsid w:val="00E628A5"/>
    <w:rsid w:val="00E63D36"/>
    <w:rsid w:val="00E640C9"/>
    <w:rsid w:val="00E642FC"/>
    <w:rsid w:val="00E64671"/>
    <w:rsid w:val="00E64F16"/>
    <w:rsid w:val="00E6553D"/>
    <w:rsid w:val="00E65F97"/>
    <w:rsid w:val="00E65FBB"/>
    <w:rsid w:val="00E6606F"/>
    <w:rsid w:val="00E666EC"/>
    <w:rsid w:val="00E6677D"/>
    <w:rsid w:val="00E66A48"/>
    <w:rsid w:val="00E671BD"/>
    <w:rsid w:val="00E67811"/>
    <w:rsid w:val="00E6798D"/>
    <w:rsid w:val="00E67D4D"/>
    <w:rsid w:val="00E70345"/>
    <w:rsid w:val="00E70754"/>
    <w:rsid w:val="00E7191F"/>
    <w:rsid w:val="00E71DAD"/>
    <w:rsid w:val="00E71E15"/>
    <w:rsid w:val="00E72050"/>
    <w:rsid w:val="00E7216F"/>
    <w:rsid w:val="00E72287"/>
    <w:rsid w:val="00E723C3"/>
    <w:rsid w:val="00E7352A"/>
    <w:rsid w:val="00E739FC"/>
    <w:rsid w:val="00E73CC9"/>
    <w:rsid w:val="00E73E86"/>
    <w:rsid w:val="00E74A69"/>
    <w:rsid w:val="00E74F6F"/>
    <w:rsid w:val="00E751ED"/>
    <w:rsid w:val="00E75A35"/>
    <w:rsid w:val="00E75AEE"/>
    <w:rsid w:val="00E761BF"/>
    <w:rsid w:val="00E76296"/>
    <w:rsid w:val="00E774F2"/>
    <w:rsid w:val="00E77ACD"/>
    <w:rsid w:val="00E77F21"/>
    <w:rsid w:val="00E80952"/>
    <w:rsid w:val="00E80A6F"/>
    <w:rsid w:val="00E81227"/>
    <w:rsid w:val="00E8185C"/>
    <w:rsid w:val="00E82328"/>
    <w:rsid w:val="00E8265A"/>
    <w:rsid w:val="00E826BE"/>
    <w:rsid w:val="00E828E2"/>
    <w:rsid w:val="00E8305A"/>
    <w:rsid w:val="00E83118"/>
    <w:rsid w:val="00E8313E"/>
    <w:rsid w:val="00E832B5"/>
    <w:rsid w:val="00E833DE"/>
    <w:rsid w:val="00E8386A"/>
    <w:rsid w:val="00E838B3"/>
    <w:rsid w:val="00E83A40"/>
    <w:rsid w:val="00E83A9E"/>
    <w:rsid w:val="00E8423B"/>
    <w:rsid w:val="00E845C0"/>
    <w:rsid w:val="00E853BD"/>
    <w:rsid w:val="00E85976"/>
    <w:rsid w:val="00E85C09"/>
    <w:rsid w:val="00E85D6F"/>
    <w:rsid w:val="00E85F69"/>
    <w:rsid w:val="00E861EB"/>
    <w:rsid w:val="00E86448"/>
    <w:rsid w:val="00E86673"/>
    <w:rsid w:val="00E86818"/>
    <w:rsid w:val="00E86B8B"/>
    <w:rsid w:val="00E87A0A"/>
    <w:rsid w:val="00E87D33"/>
    <w:rsid w:val="00E90205"/>
    <w:rsid w:val="00E904C0"/>
    <w:rsid w:val="00E905A7"/>
    <w:rsid w:val="00E906AF"/>
    <w:rsid w:val="00E915E8"/>
    <w:rsid w:val="00E918E7"/>
    <w:rsid w:val="00E91B49"/>
    <w:rsid w:val="00E91EC4"/>
    <w:rsid w:val="00E9231A"/>
    <w:rsid w:val="00E92419"/>
    <w:rsid w:val="00E924C2"/>
    <w:rsid w:val="00E9272D"/>
    <w:rsid w:val="00E92D95"/>
    <w:rsid w:val="00E935F1"/>
    <w:rsid w:val="00E93902"/>
    <w:rsid w:val="00E93F0E"/>
    <w:rsid w:val="00E94A58"/>
    <w:rsid w:val="00E94C76"/>
    <w:rsid w:val="00E94CA6"/>
    <w:rsid w:val="00E94FE2"/>
    <w:rsid w:val="00E95174"/>
    <w:rsid w:val="00E9527A"/>
    <w:rsid w:val="00E95697"/>
    <w:rsid w:val="00E95A2A"/>
    <w:rsid w:val="00E95E91"/>
    <w:rsid w:val="00E95EA1"/>
    <w:rsid w:val="00E9649C"/>
    <w:rsid w:val="00E96B2F"/>
    <w:rsid w:val="00E97397"/>
    <w:rsid w:val="00E974AC"/>
    <w:rsid w:val="00E9796A"/>
    <w:rsid w:val="00E97CC6"/>
    <w:rsid w:val="00E97FAB"/>
    <w:rsid w:val="00EA044A"/>
    <w:rsid w:val="00EA05E9"/>
    <w:rsid w:val="00EA0A0B"/>
    <w:rsid w:val="00EA0B43"/>
    <w:rsid w:val="00EA0E33"/>
    <w:rsid w:val="00EA1CB4"/>
    <w:rsid w:val="00EA1DC0"/>
    <w:rsid w:val="00EA1E4C"/>
    <w:rsid w:val="00EA25B5"/>
    <w:rsid w:val="00EA263E"/>
    <w:rsid w:val="00EA2AC5"/>
    <w:rsid w:val="00EA2F2D"/>
    <w:rsid w:val="00EA33B5"/>
    <w:rsid w:val="00EA3C63"/>
    <w:rsid w:val="00EA3E47"/>
    <w:rsid w:val="00EA3E86"/>
    <w:rsid w:val="00EA416B"/>
    <w:rsid w:val="00EA4263"/>
    <w:rsid w:val="00EA44EA"/>
    <w:rsid w:val="00EA490D"/>
    <w:rsid w:val="00EA5266"/>
    <w:rsid w:val="00EA52BE"/>
    <w:rsid w:val="00EA5598"/>
    <w:rsid w:val="00EA5B8F"/>
    <w:rsid w:val="00EA6977"/>
    <w:rsid w:val="00EA6FA8"/>
    <w:rsid w:val="00EA7037"/>
    <w:rsid w:val="00EA7094"/>
    <w:rsid w:val="00EA74DC"/>
    <w:rsid w:val="00EA7AA4"/>
    <w:rsid w:val="00EA7BF2"/>
    <w:rsid w:val="00EA7E52"/>
    <w:rsid w:val="00EA7FD3"/>
    <w:rsid w:val="00EB02A5"/>
    <w:rsid w:val="00EB03B4"/>
    <w:rsid w:val="00EB0D14"/>
    <w:rsid w:val="00EB140F"/>
    <w:rsid w:val="00EB1948"/>
    <w:rsid w:val="00EB1A7F"/>
    <w:rsid w:val="00EB1BD7"/>
    <w:rsid w:val="00EB1D69"/>
    <w:rsid w:val="00EB1D6C"/>
    <w:rsid w:val="00EB1DE4"/>
    <w:rsid w:val="00EB20EB"/>
    <w:rsid w:val="00EB2488"/>
    <w:rsid w:val="00EB2566"/>
    <w:rsid w:val="00EB2B2F"/>
    <w:rsid w:val="00EB2BF4"/>
    <w:rsid w:val="00EB3453"/>
    <w:rsid w:val="00EB37BB"/>
    <w:rsid w:val="00EB38B9"/>
    <w:rsid w:val="00EB3B68"/>
    <w:rsid w:val="00EB3F92"/>
    <w:rsid w:val="00EB436C"/>
    <w:rsid w:val="00EB4630"/>
    <w:rsid w:val="00EB4FB7"/>
    <w:rsid w:val="00EB5010"/>
    <w:rsid w:val="00EB5287"/>
    <w:rsid w:val="00EB592F"/>
    <w:rsid w:val="00EB5998"/>
    <w:rsid w:val="00EB5A3F"/>
    <w:rsid w:val="00EB6043"/>
    <w:rsid w:val="00EB6076"/>
    <w:rsid w:val="00EB6423"/>
    <w:rsid w:val="00EB6685"/>
    <w:rsid w:val="00EB6A8C"/>
    <w:rsid w:val="00EB73D2"/>
    <w:rsid w:val="00EB765C"/>
    <w:rsid w:val="00EB773B"/>
    <w:rsid w:val="00EB7CDD"/>
    <w:rsid w:val="00EC04A8"/>
    <w:rsid w:val="00EC12DC"/>
    <w:rsid w:val="00EC186C"/>
    <w:rsid w:val="00EC1905"/>
    <w:rsid w:val="00EC2878"/>
    <w:rsid w:val="00EC306F"/>
    <w:rsid w:val="00EC3088"/>
    <w:rsid w:val="00EC34BD"/>
    <w:rsid w:val="00EC354D"/>
    <w:rsid w:val="00EC37CE"/>
    <w:rsid w:val="00EC3959"/>
    <w:rsid w:val="00EC3BA1"/>
    <w:rsid w:val="00EC445F"/>
    <w:rsid w:val="00EC466B"/>
    <w:rsid w:val="00EC4A82"/>
    <w:rsid w:val="00EC4C18"/>
    <w:rsid w:val="00EC5523"/>
    <w:rsid w:val="00EC5862"/>
    <w:rsid w:val="00EC60CC"/>
    <w:rsid w:val="00EC60D3"/>
    <w:rsid w:val="00EC61E4"/>
    <w:rsid w:val="00EC77F9"/>
    <w:rsid w:val="00ED0217"/>
    <w:rsid w:val="00ED0673"/>
    <w:rsid w:val="00ED0A76"/>
    <w:rsid w:val="00ED0EDB"/>
    <w:rsid w:val="00ED10B6"/>
    <w:rsid w:val="00ED12ED"/>
    <w:rsid w:val="00ED1346"/>
    <w:rsid w:val="00ED1460"/>
    <w:rsid w:val="00ED2312"/>
    <w:rsid w:val="00ED2710"/>
    <w:rsid w:val="00ED2EB5"/>
    <w:rsid w:val="00ED3396"/>
    <w:rsid w:val="00ED3449"/>
    <w:rsid w:val="00ED34B4"/>
    <w:rsid w:val="00ED3C4A"/>
    <w:rsid w:val="00ED42AB"/>
    <w:rsid w:val="00ED4797"/>
    <w:rsid w:val="00ED5304"/>
    <w:rsid w:val="00ED5658"/>
    <w:rsid w:val="00ED5FE9"/>
    <w:rsid w:val="00ED60BB"/>
    <w:rsid w:val="00ED6145"/>
    <w:rsid w:val="00ED62B3"/>
    <w:rsid w:val="00ED6514"/>
    <w:rsid w:val="00ED6E1E"/>
    <w:rsid w:val="00ED6E77"/>
    <w:rsid w:val="00ED7316"/>
    <w:rsid w:val="00EE0BD4"/>
    <w:rsid w:val="00EE0D05"/>
    <w:rsid w:val="00EE12B8"/>
    <w:rsid w:val="00EE1AE2"/>
    <w:rsid w:val="00EE21B4"/>
    <w:rsid w:val="00EE2A59"/>
    <w:rsid w:val="00EE323B"/>
    <w:rsid w:val="00EE363C"/>
    <w:rsid w:val="00EE414A"/>
    <w:rsid w:val="00EE41FF"/>
    <w:rsid w:val="00EE4896"/>
    <w:rsid w:val="00EE5096"/>
    <w:rsid w:val="00EE53A0"/>
    <w:rsid w:val="00EE5BBE"/>
    <w:rsid w:val="00EE61C4"/>
    <w:rsid w:val="00EE64EA"/>
    <w:rsid w:val="00EE69A6"/>
    <w:rsid w:val="00EE7265"/>
    <w:rsid w:val="00EE7A3D"/>
    <w:rsid w:val="00EE7C6E"/>
    <w:rsid w:val="00EE7E25"/>
    <w:rsid w:val="00EF0211"/>
    <w:rsid w:val="00EF02B4"/>
    <w:rsid w:val="00EF0D9F"/>
    <w:rsid w:val="00EF0ECA"/>
    <w:rsid w:val="00EF127E"/>
    <w:rsid w:val="00EF16CE"/>
    <w:rsid w:val="00EF1BF0"/>
    <w:rsid w:val="00EF1C2F"/>
    <w:rsid w:val="00EF1D15"/>
    <w:rsid w:val="00EF1DF4"/>
    <w:rsid w:val="00EF1E32"/>
    <w:rsid w:val="00EF2049"/>
    <w:rsid w:val="00EF2299"/>
    <w:rsid w:val="00EF2A43"/>
    <w:rsid w:val="00EF2D04"/>
    <w:rsid w:val="00EF2E86"/>
    <w:rsid w:val="00EF34F5"/>
    <w:rsid w:val="00EF3549"/>
    <w:rsid w:val="00EF38BF"/>
    <w:rsid w:val="00EF39AA"/>
    <w:rsid w:val="00EF3A0C"/>
    <w:rsid w:val="00EF3C5C"/>
    <w:rsid w:val="00EF40DE"/>
    <w:rsid w:val="00EF41C5"/>
    <w:rsid w:val="00EF4314"/>
    <w:rsid w:val="00EF43B2"/>
    <w:rsid w:val="00EF46CE"/>
    <w:rsid w:val="00EF4B16"/>
    <w:rsid w:val="00EF4B1B"/>
    <w:rsid w:val="00EF4D6F"/>
    <w:rsid w:val="00EF4FE0"/>
    <w:rsid w:val="00EF51BB"/>
    <w:rsid w:val="00EF5315"/>
    <w:rsid w:val="00EF5441"/>
    <w:rsid w:val="00EF589C"/>
    <w:rsid w:val="00EF5E38"/>
    <w:rsid w:val="00EF5FEC"/>
    <w:rsid w:val="00EF603D"/>
    <w:rsid w:val="00EF60D3"/>
    <w:rsid w:val="00EF6202"/>
    <w:rsid w:val="00EF6555"/>
    <w:rsid w:val="00EF66AB"/>
    <w:rsid w:val="00EF6E8A"/>
    <w:rsid w:val="00EF7096"/>
    <w:rsid w:val="00EF73E0"/>
    <w:rsid w:val="00EF7C02"/>
    <w:rsid w:val="00F00387"/>
    <w:rsid w:val="00F00A3A"/>
    <w:rsid w:val="00F0123A"/>
    <w:rsid w:val="00F0199C"/>
    <w:rsid w:val="00F01B29"/>
    <w:rsid w:val="00F01F8D"/>
    <w:rsid w:val="00F01FA3"/>
    <w:rsid w:val="00F02146"/>
    <w:rsid w:val="00F0247B"/>
    <w:rsid w:val="00F02566"/>
    <w:rsid w:val="00F026F2"/>
    <w:rsid w:val="00F039EA"/>
    <w:rsid w:val="00F03A89"/>
    <w:rsid w:val="00F03ADE"/>
    <w:rsid w:val="00F03F19"/>
    <w:rsid w:val="00F03FC3"/>
    <w:rsid w:val="00F041B1"/>
    <w:rsid w:val="00F04279"/>
    <w:rsid w:val="00F048DA"/>
    <w:rsid w:val="00F04B11"/>
    <w:rsid w:val="00F04D9B"/>
    <w:rsid w:val="00F04F6E"/>
    <w:rsid w:val="00F052F9"/>
    <w:rsid w:val="00F0534B"/>
    <w:rsid w:val="00F053F6"/>
    <w:rsid w:val="00F0574E"/>
    <w:rsid w:val="00F064D2"/>
    <w:rsid w:val="00F067A0"/>
    <w:rsid w:val="00F06904"/>
    <w:rsid w:val="00F06C39"/>
    <w:rsid w:val="00F07521"/>
    <w:rsid w:val="00F076B1"/>
    <w:rsid w:val="00F07A5F"/>
    <w:rsid w:val="00F07AFB"/>
    <w:rsid w:val="00F07CAF"/>
    <w:rsid w:val="00F10351"/>
    <w:rsid w:val="00F10894"/>
    <w:rsid w:val="00F10D2B"/>
    <w:rsid w:val="00F10D8C"/>
    <w:rsid w:val="00F11224"/>
    <w:rsid w:val="00F116CE"/>
    <w:rsid w:val="00F11DAA"/>
    <w:rsid w:val="00F11F56"/>
    <w:rsid w:val="00F124F3"/>
    <w:rsid w:val="00F128E5"/>
    <w:rsid w:val="00F1311F"/>
    <w:rsid w:val="00F131D5"/>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0E8"/>
    <w:rsid w:val="00F17636"/>
    <w:rsid w:val="00F1764F"/>
    <w:rsid w:val="00F17B49"/>
    <w:rsid w:val="00F2037F"/>
    <w:rsid w:val="00F20B11"/>
    <w:rsid w:val="00F20DF1"/>
    <w:rsid w:val="00F213AB"/>
    <w:rsid w:val="00F21593"/>
    <w:rsid w:val="00F21A2F"/>
    <w:rsid w:val="00F223CF"/>
    <w:rsid w:val="00F2265A"/>
    <w:rsid w:val="00F22978"/>
    <w:rsid w:val="00F22B94"/>
    <w:rsid w:val="00F22E58"/>
    <w:rsid w:val="00F230C3"/>
    <w:rsid w:val="00F231D7"/>
    <w:rsid w:val="00F2327F"/>
    <w:rsid w:val="00F240ED"/>
    <w:rsid w:val="00F246F0"/>
    <w:rsid w:val="00F2496D"/>
    <w:rsid w:val="00F24B6A"/>
    <w:rsid w:val="00F24F83"/>
    <w:rsid w:val="00F25113"/>
    <w:rsid w:val="00F25192"/>
    <w:rsid w:val="00F25359"/>
    <w:rsid w:val="00F259A5"/>
    <w:rsid w:val="00F25DFB"/>
    <w:rsid w:val="00F260BD"/>
    <w:rsid w:val="00F263EF"/>
    <w:rsid w:val="00F26498"/>
    <w:rsid w:val="00F265C7"/>
    <w:rsid w:val="00F267D7"/>
    <w:rsid w:val="00F26B3C"/>
    <w:rsid w:val="00F26C43"/>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4BE"/>
    <w:rsid w:val="00F33D04"/>
    <w:rsid w:val="00F34282"/>
    <w:rsid w:val="00F34537"/>
    <w:rsid w:val="00F34EEC"/>
    <w:rsid w:val="00F35185"/>
    <w:rsid w:val="00F361C3"/>
    <w:rsid w:val="00F36396"/>
    <w:rsid w:val="00F366E9"/>
    <w:rsid w:val="00F36A43"/>
    <w:rsid w:val="00F36E24"/>
    <w:rsid w:val="00F371E0"/>
    <w:rsid w:val="00F3784A"/>
    <w:rsid w:val="00F402EC"/>
    <w:rsid w:val="00F403CE"/>
    <w:rsid w:val="00F4078F"/>
    <w:rsid w:val="00F4097A"/>
    <w:rsid w:val="00F40E9D"/>
    <w:rsid w:val="00F41370"/>
    <w:rsid w:val="00F415BC"/>
    <w:rsid w:val="00F41707"/>
    <w:rsid w:val="00F41E93"/>
    <w:rsid w:val="00F42484"/>
    <w:rsid w:val="00F4276F"/>
    <w:rsid w:val="00F429F4"/>
    <w:rsid w:val="00F42AFB"/>
    <w:rsid w:val="00F42CD3"/>
    <w:rsid w:val="00F42D44"/>
    <w:rsid w:val="00F43A7E"/>
    <w:rsid w:val="00F43D4E"/>
    <w:rsid w:val="00F43D7C"/>
    <w:rsid w:val="00F43E01"/>
    <w:rsid w:val="00F43F42"/>
    <w:rsid w:val="00F44A88"/>
    <w:rsid w:val="00F4520B"/>
    <w:rsid w:val="00F455E3"/>
    <w:rsid w:val="00F45775"/>
    <w:rsid w:val="00F45838"/>
    <w:rsid w:val="00F461B4"/>
    <w:rsid w:val="00F4625A"/>
    <w:rsid w:val="00F4631B"/>
    <w:rsid w:val="00F469C5"/>
    <w:rsid w:val="00F4701D"/>
    <w:rsid w:val="00F471E0"/>
    <w:rsid w:val="00F4737A"/>
    <w:rsid w:val="00F476E0"/>
    <w:rsid w:val="00F47780"/>
    <w:rsid w:val="00F47A33"/>
    <w:rsid w:val="00F47CC7"/>
    <w:rsid w:val="00F47F89"/>
    <w:rsid w:val="00F47F93"/>
    <w:rsid w:val="00F47FFE"/>
    <w:rsid w:val="00F50592"/>
    <w:rsid w:val="00F50637"/>
    <w:rsid w:val="00F5071A"/>
    <w:rsid w:val="00F507D4"/>
    <w:rsid w:val="00F50C29"/>
    <w:rsid w:val="00F50E35"/>
    <w:rsid w:val="00F513AD"/>
    <w:rsid w:val="00F514D2"/>
    <w:rsid w:val="00F519CB"/>
    <w:rsid w:val="00F5203A"/>
    <w:rsid w:val="00F52438"/>
    <w:rsid w:val="00F524A6"/>
    <w:rsid w:val="00F524C7"/>
    <w:rsid w:val="00F52943"/>
    <w:rsid w:val="00F52987"/>
    <w:rsid w:val="00F52CF7"/>
    <w:rsid w:val="00F52E86"/>
    <w:rsid w:val="00F53825"/>
    <w:rsid w:val="00F53CE9"/>
    <w:rsid w:val="00F541E9"/>
    <w:rsid w:val="00F545DB"/>
    <w:rsid w:val="00F547AA"/>
    <w:rsid w:val="00F5486B"/>
    <w:rsid w:val="00F549E1"/>
    <w:rsid w:val="00F54A65"/>
    <w:rsid w:val="00F54AF5"/>
    <w:rsid w:val="00F54F7E"/>
    <w:rsid w:val="00F54FAF"/>
    <w:rsid w:val="00F55424"/>
    <w:rsid w:val="00F55477"/>
    <w:rsid w:val="00F55D02"/>
    <w:rsid w:val="00F55F2E"/>
    <w:rsid w:val="00F56493"/>
    <w:rsid w:val="00F5728F"/>
    <w:rsid w:val="00F57424"/>
    <w:rsid w:val="00F57801"/>
    <w:rsid w:val="00F579C6"/>
    <w:rsid w:val="00F579D3"/>
    <w:rsid w:val="00F57C28"/>
    <w:rsid w:val="00F60A75"/>
    <w:rsid w:val="00F60D72"/>
    <w:rsid w:val="00F61054"/>
    <w:rsid w:val="00F61996"/>
    <w:rsid w:val="00F61A20"/>
    <w:rsid w:val="00F62208"/>
    <w:rsid w:val="00F62238"/>
    <w:rsid w:val="00F6224C"/>
    <w:rsid w:val="00F62A1F"/>
    <w:rsid w:val="00F62AB6"/>
    <w:rsid w:val="00F62BE1"/>
    <w:rsid w:val="00F62C68"/>
    <w:rsid w:val="00F63119"/>
    <w:rsid w:val="00F63720"/>
    <w:rsid w:val="00F63F0A"/>
    <w:rsid w:val="00F6471D"/>
    <w:rsid w:val="00F647D1"/>
    <w:rsid w:val="00F64943"/>
    <w:rsid w:val="00F64E49"/>
    <w:rsid w:val="00F65693"/>
    <w:rsid w:val="00F657B2"/>
    <w:rsid w:val="00F65830"/>
    <w:rsid w:val="00F65B35"/>
    <w:rsid w:val="00F662FF"/>
    <w:rsid w:val="00F66396"/>
    <w:rsid w:val="00F668DE"/>
    <w:rsid w:val="00F66C7C"/>
    <w:rsid w:val="00F66C9E"/>
    <w:rsid w:val="00F66F10"/>
    <w:rsid w:val="00F66FC1"/>
    <w:rsid w:val="00F67189"/>
    <w:rsid w:val="00F6740A"/>
    <w:rsid w:val="00F67656"/>
    <w:rsid w:val="00F67731"/>
    <w:rsid w:val="00F67C20"/>
    <w:rsid w:val="00F700F1"/>
    <w:rsid w:val="00F707EF"/>
    <w:rsid w:val="00F70B92"/>
    <w:rsid w:val="00F70CD2"/>
    <w:rsid w:val="00F70DA4"/>
    <w:rsid w:val="00F7139F"/>
    <w:rsid w:val="00F7140B"/>
    <w:rsid w:val="00F71D3F"/>
    <w:rsid w:val="00F71EB8"/>
    <w:rsid w:val="00F72A4E"/>
    <w:rsid w:val="00F73185"/>
    <w:rsid w:val="00F731DD"/>
    <w:rsid w:val="00F73258"/>
    <w:rsid w:val="00F73369"/>
    <w:rsid w:val="00F73A85"/>
    <w:rsid w:val="00F73AA5"/>
    <w:rsid w:val="00F73B11"/>
    <w:rsid w:val="00F73B82"/>
    <w:rsid w:val="00F73D20"/>
    <w:rsid w:val="00F73F23"/>
    <w:rsid w:val="00F74830"/>
    <w:rsid w:val="00F749EC"/>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449"/>
    <w:rsid w:val="00F82735"/>
    <w:rsid w:val="00F82A08"/>
    <w:rsid w:val="00F82C2F"/>
    <w:rsid w:val="00F82D7F"/>
    <w:rsid w:val="00F82FEA"/>
    <w:rsid w:val="00F82FFC"/>
    <w:rsid w:val="00F83AB6"/>
    <w:rsid w:val="00F83D77"/>
    <w:rsid w:val="00F83E42"/>
    <w:rsid w:val="00F84219"/>
    <w:rsid w:val="00F8498B"/>
    <w:rsid w:val="00F851CA"/>
    <w:rsid w:val="00F85816"/>
    <w:rsid w:val="00F85B1F"/>
    <w:rsid w:val="00F85B79"/>
    <w:rsid w:val="00F85C90"/>
    <w:rsid w:val="00F86137"/>
    <w:rsid w:val="00F86295"/>
    <w:rsid w:val="00F862D5"/>
    <w:rsid w:val="00F863E0"/>
    <w:rsid w:val="00F869AB"/>
    <w:rsid w:val="00F869B6"/>
    <w:rsid w:val="00F873A5"/>
    <w:rsid w:val="00F87A2E"/>
    <w:rsid w:val="00F87A50"/>
    <w:rsid w:val="00F87B40"/>
    <w:rsid w:val="00F87B8C"/>
    <w:rsid w:val="00F87C60"/>
    <w:rsid w:val="00F87DF7"/>
    <w:rsid w:val="00F90501"/>
    <w:rsid w:val="00F909F4"/>
    <w:rsid w:val="00F90B72"/>
    <w:rsid w:val="00F918F7"/>
    <w:rsid w:val="00F91B1B"/>
    <w:rsid w:val="00F91B43"/>
    <w:rsid w:val="00F91BB5"/>
    <w:rsid w:val="00F91D51"/>
    <w:rsid w:val="00F91E4F"/>
    <w:rsid w:val="00F91FE9"/>
    <w:rsid w:val="00F92159"/>
    <w:rsid w:val="00F923EC"/>
    <w:rsid w:val="00F92476"/>
    <w:rsid w:val="00F92801"/>
    <w:rsid w:val="00F93325"/>
    <w:rsid w:val="00F935FF"/>
    <w:rsid w:val="00F93EAD"/>
    <w:rsid w:val="00F93FAE"/>
    <w:rsid w:val="00F941CC"/>
    <w:rsid w:val="00F957DA"/>
    <w:rsid w:val="00F95EF8"/>
    <w:rsid w:val="00F960A1"/>
    <w:rsid w:val="00F96A8B"/>
    <w:rsid w:val="00F96F59"/>
    <w:rsid w:val="00F970BF"/>
    <w:rsid w:val="00F9746A"/>
    <w:rsid w:val="00FA0114"/>
    <w:rsid w:val="00FA0688"/>
    <w:rsid w:val="00FA070E"/>
    <w:rsid w:val="00FA09AC"/>
    <w:rsid w:val="00FA09AD"/>
    <w:rsid w:val="00FA166C"/>
    <w:rsid w:val="00FA208E"/>
    <w:rsid w:val="00FA20A2"/>
    <w:rsid w:val="00FA2305"/>
    <w:rsid w:val="00FA23AA"/>
    <w:rsid w:val="00FA303A"/>
    <w:rsid w:val="00FA3493"/>
    <w:rsid w:val="00FA364C"/>
    <w:rsid w:val="00FA37C3"/>
    <w:rsid w:val="00FA3FBE"/>
    <w:rsid w:val="00FA3FCB"/>
    <w:rsid w:val="00FA425D"/>
    <w:rsid w:val="00FA43B8"/>
    <w:rsid w:val="00FA4B06"/>
    <w:rsid w:val="00FA4B17"/>
    <w:rsid w:val="00FA58C5"/>
    <w:rsid w:val="00FA596C"/>
    <w:rsid w:val="00FA5D9B"/>
    <w:rsid w:val="00FA5F3F"/>
    <w:rsid w:val="00FA611B"/>
    <w:rsid w:val="00FA6320"/>
    <w:rsid w:val="00FA637A"/>
    <w:rsid w:val="00FA6721"/>
    <w:rsid w:val="00FA6C19"/>
    <w:rsid w:val="00FA6CA3"/>
    <w:rsid w:val="00FA7113"/>
    <w:rsid w:val="00FA7326"/>
    <w:rsid w:val="00FA7547"/>
    <w:rsid w:val="00FA7DB6"/>
    <w:rsid w:val="00FA7F2C"/>
    <w:rsid w:val="00FA7FE0"/>
    <w:rsid w:val="00FB02B8"/>
    <w:rsid w:val="00FB035D"/>
    <w:rsid w:val="00FB05EA"/>
    <w:rsid w:val="00FB0701"/>
    <w:rsid w:val="00FB0740"/>
    <w:rsid w:val="00FB092C"/>
    <w:rsid w:val="00FB0B69"/>
    <w:rsid w:val="00FB1532"/>
    <w:rsid w:val="00FB1E67"/>
    <w:rsid w:val="00FB222F"/>
    <w:rsid w:val="00FB22C6"/>
    <w:rsid w:val="00FB2564"/>
    <w:rsid w:val="00FB2918"/>
    <w:rsid w:val="00FB2A98"/>
    <w:rsid w:val="00FB2AC0"/>
    <w:rsid w:val="00FB2C82"/>
    <w:rsid w:val="00FB3D8A"/>
    <w:rsid w:val="00FB439A"/>
    <w:rsid w:val="00FB43F9"/>
    <w:rsid w:val="00FB46D3"/>
    <w:rsid w:val="00FB48C8"/>
    <w:rsid w:val="00FB4911"/>
    <w:rsid w:val="00FB496C"/>
    <w:rsid w:val="00FB5190"/>
    <w:rsid w:val="00FB5A89"/>
    <w:rsid w:val="00FB5F7C"/>
    <w:rsid w:val="00FB60CB"/>
    <w:rsid w:val="00FB6671"/>
    <w:rsid w:val="00FB69F7"/>
    <w:rsid w:val="00FB6EF6"/>
    <w:rsid w:val="00FB712E"/>
    <w:rsid w:val="00FB7888"/>
    <w:rsid w:val="00FB7C18"/>
    <w:rsid w:val="00FB7D32"/>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384"/>
    <w:rsid w:val="00FC4405"/>
    <w:rsid w:val="00FC445B"/>
    <w:rsid w:val="00FC4604"/>
    <w:rsid w:val="00FC46B8"/>
    <w:rsid w:val="00FC48F6"/>
    <w:rsid w:val="00FC4DBC"/>
    <w:rsid w:val="00FC5189"/>
    <w:rsid w:val="00FC51AB"/>
    <w:rsid w:val="00FC5212"/>
    <w:rsid w:val="00FC57D0"/>
    <w:rsid w:val="00FC718E"/>
    <w:rsid w:val="00FD04F3"/>
    <w:rsid w:val="00FD09F8"/>
    <w:rsid w:val="00FD0D5D"/>
    <w:rsid w:val="00FD0DDC"/>
    <w:rsid w:val="00FD0F79"/>
    <w:rsid w:val="00FD1261"/>
    <w:rsid w:val="00FD1915"/>
    <w:rsid w:val="00FD24FC"/>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D6C19"/>
    <w:rsid w:val="00FD79AB"/>
    <w:rsid w:val="00FD79B8"/>
    <w:rsid w:val="00FD7FB8"/>
    <w:rsid w:val="00FE1610"/>
    <w:rsid w:val="00FE16B2"/>
    <w:rsid w:val="00FE1B44"/>
    <w:rsid w:val="00FE1FDC"/>
    <w:rsid w:val="00FE213F"/>
    <w:rsid w:val="00FE23CB"/>
    <w:rsid w:val="00FE2D92"/>
    <w:rsid w:val="00FE3551"/>
    <w:rsid w:val="00FE364B"/>
    <w:rsid w:val="00FE367F"/>
    <w:rsid w:val="00FE50AF"/>
    <w:rsid w:val="00FE5AC5"/>
    <w:rsid w:val="00FE5B28"/>
    <w:rsid w:val="00FE60FA"/>
    <w:rsid w:val="00FE6D0B"/>
    <w:rsid w:val="00FE6E0C"/>
    <w:rsid w:val="00FE6E93"/>
    <w:rsid w:val="00FE7100"/>
    <w:rsid w:val="00FE743F"/>
    <w:rsid w:val="00FE7A11"/>
    <w:rsid w:val="00FE7D28"/>
    <w:rsid w:val="00FF072D"/>
    <w:rsid w:val="00FF0888"/>
    <w:rsid w:val="00FF185C"/>
    <w:rsid w:val="00FF2056"/>
    <w:rsid w:val="00FF20F9"/>
    <w:rsid w:val="00FF2831"/>
    <w:rsid w:val="00FF29A6"/>
    <w:rsid w:val="00FF2C52"/>
    <w:rsid w:val="00FF3533"/>
    <w:rsid w:val="00FF3A35"/>
    <w:rsid w:val="00FF3DF1"/>
    <w:rsid w:val="00FF443B"/>
    <w:rsid w:val="00FF4FEA"/>
    <w:rsid w:val="00FF5159"/>
    <w:rsid w:val="00FF5470"/>
    <w:rsid w:val="00FF5AD8"/>
    <w:rsid w:val="00FF628C"/>
    <w:rsid w:val="00FF660B"/>
    <w:rsid w:val="00FF69FD"/>
    <w:rsid w:val="00FF6A0A"/>
    <w:rsid w:val="00FF6D42"/>
    <w:rsid w:val="00FF70DA"/>
    <w:rsid w:val="00FF7BC6"/>
    <w:rsid w:val="2EB27888"/>
    <w:rsid w:val="2ED27C08"/>
    <w:rsid w:val="3435E49F"/>
    <w:rsid w:val="6CE23D86"/>
    <w:rsid w:val="7B4C54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43198"/>
  <w15:chartTrackingRefBased/>
  <w15:docId w15:val="{DB500713-C026-43FE-883F-8A310F83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caption" w:qFormat="1"/>
    <w:lsdException w:name="List Bullet" w:qFormat="1"/>
    <w:lsdException w:name="List Number" w:qFormat="1"/>
    <w:lsdException w:name="Title" w:qFormat="1"/>
    <w:lsdException w:name="Body Text" w:qFormat="1"/>
    <w:lsdException w:name="List Continue" w:qFormat="1"/>
    <w:lsdException w:name="Subtitle" w:qFormat="1"/>
    <w:lsdException w:name="Block Text"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428AB"/>
    <w:rPr>
      <w:rFonts w:ascii="Arial" w:hAnsi="Arial"/>
      <w:sz w:val="24"/>
      <w:szCs w:val="22"/>
      <w:lang w:eastAsia="en-GB"/>
    </w:rPr>
  </w:style>
  <w:style w:type="paragraph" w:styleId="Heading1">
    <w:name w:val="heading 1"/>
    <w:next w:val="BodyText"/>
    <w:qFormat/>
    <w:rsid w:val="00094301"/>
    <w:pPr>
      <w:keepNext/>
      <w:keepLines/>
      <w:spacing w:before="720" w:after="200"/>
      <w:outlineLvl w:val="0"/>
    </w:pPr>
    <w:rPr>
      <w:rFonts w:ascii="Arial" w:hAnsi="Arial" w:cs="Arial"/>
      <w:b/>
      <w:bCs/>
      <w:color w:val="005984"/>
      <w:kern w:val="32"/>
      <w:sz w:val="37"/>
      <w:szCs w:val="32"/>
      <w:lang w:eastAsia="en-GB"/>
    </w:rPr>
  </w:style>
  <w:style w:type="paragraph" w:styleId="Heading2">
    <w:name w:val="heading 2"/>
    <w:basedOn w:val="Heading1"/>
    <w:next w:val="BodyText"/>
    <w:link w:val="Heading2Char"/>
    <w:qFormat/>
    <w:rsid w:val="00094301"/>
    <w:pPr>
      <w:spacing w:before="640"/>
      <w:outlineLvl w:val="1"/>
    </w:pPr>
    <w:rPr>
      <w:bCs w:val="0"/>
      <w:iCs/>
      <w:sz w:val="31"/>
      <w:szCs w:val="28"/>
    </w:rPr>
  </w:style>
  <w:style w:type="paragraph" w:styleId="Heading3">
    <w:name w:val="heading 3"/>
    <w:basedOn w:val="Heading2"/>
    <w:next w:val="BodyText"/>
    <w:qFormat/>
    <w:rsid w:val="008438B6"/>
    <w:pPr>
      <w:spacing w:before="520"/>
      <w:outlineLvl w:val="2"/>
    </w:pPr>
    <w:rPr>
      <w:bCs/>
      <w:sz w:val="26"/>
      <w:szCs w:val="26"/>
    </w:rPr>
  </w:style>
  <w:style w:type="paragraph" w:styleId="Heading4">
    <w:name w:val="heading 4"/>
    <w:basedOn w:val="Heading3"/>
    <w:next w:val="BodyText"/>
    <w:qFormat/>
    <w:rsid w:val="006845B4"/>
    <w:pPr>
      <w:spacing w:before="240" w:after="180"/>
      <w:outlineLvl w:val="3"/>
    </w:pPr>
    <w:rPr>
      <w:bCs w:val="0"/>
      <w:i/>
      <w:sz w:val="23"/>
      <w:szCs w:val="28"/>
    </w:rPr>
  </w:style>
  <w:style w:type="paragraph" w:styleId="Heading5">
    <w:name w:val="heading 5"/>
    <w:basedOn w:val="Heading4"/>
    <w:next w:val="BodyText"/>
    <w:rsid w:val="00335E48"/>
    <w:pPr>
      <w:spacing w:before="0"/>
      <w:outlineLvl w:val="4"/>
    </w:pPr>
    <w:rPr>
      <w:rFonts w:cs="Times New Roman"/>
      <w:b w:val="0"/>
      <w:kern w:val="0"/>
      <w:sz w:val="22"/>
      <w:szCs w:val="26"/>
    </w:rPr>
  </w:style>
  <w:style w:type="paragraph" w:styleId="Heading6">
    <w:name w:val="heading 6"/>
    <w:basedOn w:val="Heading5"/>
    <w:next w:val="BodyText"/>
    <w:rsid w:val="00FC0C63"/>
    <w:pPr>
      <w:spacing w:before="240" w:after="60"/>
      <w:outlineLvl w:val="5"/>
    </w:pPr>
    <w:rPr>
      <w:bCs/>
      <w:sz w:val="18"/>
    </w:rPr>
  </w:style>
  <w:style w:type="paragraph" w:styleId="Heading7">
    <w:name w:val="heading 7"/>
    <w:basedOn w:val="Heading6"/>
    <w:next w:val="BodyText"/>
    <w:rsid w:val="00FC0C63"/>
    <w:pPr>
      <w:outlineLvl w:val="6"/>
    </w:pPr>
    <w:rPr>
      <w:sz w:val="16"/>
      <w:szCs w:val="24"/>
    </w:rPr>
  </w:style>
  <w:style w:type="paragraph" w:styleId="Heading8">
    <w:name w:val="heading 8"/>
    <w:basedOn w:val="Heading7"/>
    <w:next w:val="BodyText"/>
    <w:rsid w:val="00FC0C63"/>
    <w:pPr>
      <w:outlineLvl w:val="7"/>
    </w:pPr>
    <w:rPr>
      <w:iCs w:val="0"/>
      <w:sz w:val="14"/>
    </w:rPr>
  </w:style>
  <w:style w:type="paragraph" w:styleId="Heading9">
    <w:name w:val="heading 9"/>
    <w:basedOn w:val="Normal"/>
    <w:next w:val="Normal"/>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Pr>
      <w:rFonts w:ascii="Arial" w:hAnsi="Arial"/>
      <w:sz w:val="24"/>
      <w:szCs w:val="22"/>
      <w:lang w:eastAsia="en-GB"/>
    </w:rPr>
  </w:style>
  <w:style w:type="paragraph" w:styleId="ListBullet">
    <w:name w:val="List Bullet"/>
    <w:basedOn w:val="BodyText"/>
    <w:qFormat/>
    <w:rsid w:val="007D2702"/>
    <w:pPr>
      <w:numPr>
        <w:numId w:val="27"/>
      </w:numPr>
    </w:pPr>
  </w:style>
  <w:style w:type="paragraph" w:styleId="ListBullet2">
    <w:name w:val="List Bullet 2"/>
    <w:basedOn w:val="ListBullet"/>
    <w:rsid w:val="00CB582D"/>
    <w:pPr>
      <w:numPr>
        <w:ilvl w:val="1"/>
        <w:numId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qForma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qForma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qForma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semiHidden/>
    <w:rsid w:val="00B82071"/>
    <w:pPr>
      <w:tabs>
        <w:tab w:val="center" w:pos="4153"/>
        <w:tab w:val="right" w:pos="8306"/>
      </w:tabs>
    </w:p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link w:val="FootnoteTextChar"/>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character" w:customStyle="1" w:styleId="Italic">
    <w:name w:val="Italic"/>
    <w:rsid w:val="00990ECE"/>
    <w:rPr>
      <w:i/>
      <w:iCs/>
    </w:rPr>
  </w:style>
  <w:style w:type="character" w:customStyle="1" w:styleId="Bold">
    <w:name w:val="Bold"/>
    <w:rsid w:val="006428AB"/>
    <w:rPr>
      <w:b/>
      <w:iCs/>
      <w:lang w:val="en-AU"/>
    </w:rPr>
  </w:style>
  <w:style w:type="character" w:styleId="FollowedHyperlink">
    <w:name w:val="FollowedHyperlink"/>
    <w:semiHidden/>
    <w:rsid w:val="00990ECE"/>
    <w:rPr>
      <w:color w:val="800080"/>
      <w:u w:val="single"/>
    </w:rPr>
  </w:style>
  <w:style w:type="character" w:styleId="Hyperlink">
    <w:name w:val="Hyperlink"/>
    <w:uiPriority w:val="99"/>
    <w:rsid w:val="00990ECE"/>
    <w:rPr>
      <w:color w:val="0000FF"/>
      <w:u w:val="single"/>
    </w:rPr>
  </w:style>
  <w:style w:type="paragraph" w:styleId="Title">
    <w:name w:val="Title"/>
    <w:qFormat/>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qFormat/>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6428AB"/>
    <w:rPr>
      <w:sz w:val="24"/>
      <w:lang w:val="en-AU"/>
    </w:rPr>
  </w:style>
  <w:style w:type="character" w:customStyle="1" w:styleId="BodyTextChar">
    <w:name w:val="Body Text Char"/>
    <w:link w:val="BodyText"/>
    <w:rsid w:val="00506C38"/>
    <w:rPr>
      <w:rFonts w:ascii="Arial" w:hAnsi="Arial"/>
      <w:sz w:val="24"/>
      <w:szCs w:val="22"/>
      <w:lang w:val="en-AU" w:eastAsia="en-GB" w:bidi="ar-SA"/>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uiPriority w:val="39"/>
    <w:rsid w:val="00703089"/>
    <w:pPr>
      <w:tabs>
        <w:tab w:val="right" w:leader="dot" w:pos="8494"/>
      </w:tabs>
      <w:spacing w:before="180"/>
    </w:pPr>
    <w:rPr>
      <w:rFonts w:ascii="Arial" w:hAnsi="Arial"/>
      <w:b/>
      <w:sz w:val="24"/>
      <w:szCs w:val="22"/>
      <w:lang w:eastAsia="en-GB"/>
    </w:rPr>
  </w:style>
  <w:style w:type="paragraph" w:styleId="TOC2">
    <w:name w:val="toc 2"/>
    <w:basedOn w:val="TOC1"/>
    <w:next w:val="BodyText"/>
    <w:autoRedefine/>
    <w:uiPriority w:val="39"/>
    <w:rsid w:val="00422B55"/>
    <w:pPr>
      <w:spacing w:before="100"/>
      <w:ind w:left="567"/>
    </w:pPr>
    <w:rPr>
      <w:b w:val="0"/>
    </w:rPr>
  </w:style>
  <w:style w:type="paragraph" w:styleId="TOC3">
    <w:name w:val="toc 3"/>
    <w:basedOn w:val="TOC2"/>
    <w:next w:val="BodyText"/>
    <w:autoRedefine/>
    <w:uiPriority w:val="39"/>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qForma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3"/>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character" w:customStyle="1" w:styleId="Bolditalic">
    <w:name w:val="Bold italic"/>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qForma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PseudoHeading1">
    <w:name w:val="Pseudo Heading 1"/>
    <w:rsid w:val="002A2F3E"/>
    <w:pPr>
      <w:pageBreakBefore/>
      <w:spacing w:after="360"/>
    </w:pPr>
    <w:rPr>
      <w:rFonts w:ascii="Arial" w:hAnsi="Arial" w:cs="Arial"/>
      <w:b/>
      <w:bCs/>
      <w:color w:val="005984"/>
      <w:kern w:val="32"/>
      <w:sz w:val="37"/>
      <w:szCs w:val="32"/>
      <w:lang w:eastAsia="en-GB"/>
    </w:rPr>
  </w:style>
  <w:style w:type="paragraph" w:customStyle="1" w:styleId="Figuretabletitle">
    <w:name w:val="Figure/table title"/>
    <w:basedOn w:val="Normal"/>
    <w:qFormat/>
    <w:rsid w:val="002568F8"/>
    <w:pPr>
      <w:keepNext/>
      <w:spacing w:before="240" w:after="120"/>
    </w:pPr>
    <w:rPr>
      <w:b/>
      <w:sz w:val="20"/>
    </w:rPr>
  </w:style>
  <w:style w:type="paragraph" w:customStyle="1" w:styleId="Source">
    <w:name w:val="Source"/>
    <w:basedOn w:val="BodyText"/>
    <w:qFormat/>
    <w:rsid w:val="00AD6DDD"/>
    <w:pPr>
      <w:spacing w:before="60" w:after="240"/>
    </w:pPr>
    <w:rPr>
      <w:color w:val="808080" w:themeColor="background1" w:themeShade="80"/>
      <w:sz w:val="17"/>
    </w:rPr>
  </w:style>
  <w:style w:type="character" w:customStyle="1" w:styleId="FootnoteTextChar">
    <w:name w:val="Footnote Text Char"/>
    <w:basedOn w:val="DefaultParagraphFont"/>
    <w:link w:val="FootnoteText"/>
    <w:rsid w:val="006A08B1"/>
    <w:rPr>
      <w:rFonts w:ascii="Arial" w:hAnsi="Arial"/>
      <w:sz w:val="18"/>
      <w:lang w:eastAsia="en-GB"/>
    </w:rPr>
  </w:style>
  <w:style w:type="character" w:styleId="UnresolvedMention">
    <w:name w:val="Unresolved Mention"/>
    <w:basedOn w:val="DefaultParagraphFont"/>
    <w:uiPriority w:val="99"/>
    <w:unhideWhenUsed/>
    <w:rsid w:val="00634698"/>
    <w:rPr>
      <w:color w:val="605E5C"/>
      <w:shd w:val="clear" w:color="auto" w:fill="E1DFDD"/>
    </w:rPr>
  </w:style>
  <w:style w:type="character" w:customStyle="1" w:styleId="Heading2Char">
    <w:name w:val="Heading 2 Char"/>
    <w:basedOn w:val="DefaultParagraphFont"/>
    <w:link w:val="Heading2"/>
    <w:rsid w:val="007557AF"/>
    <w:rPr>
      <w:rFonts w:ascii="Arial" w:hAnsi="Arial" w:cs="Arial"/>
      <w:b/>
      <w:iCs/>
      <w:color w:val="005984"/>
      <w:kern w:val="32"/>
      <w:sz w:val="31"/>
      <w:szCs w:val="28"/>
      <w:lang w:eastAsia="en-GB"/>
    </w:rPr>
  </w:style>
  <w:style w:type="paragraph" w:styleId="Revision">
    <w:name w:val="Revision"/>
    <w:hidden/>
    <w:uiPriority w:val="99"/>
    <w:semiHidden/>
    <w:rsid w:val="00911D87"/>
    <w:rPr>
      <w:rFonts w:ascii="Arial" w:hAnsi="Arial"/>
      <w:sz w:val="24"/>
      <w:szCs w:val="22"/>
      <w:lang w:eastAsia="en-GB"/>
    </w:rPr>
  </w:style>
  <w:style w:type="character" w:styleId="Mention">
    <w:name w:val="Mention"/>
    <w:basedOn w:val="DefaultParagraphFont"/>
    <w:uiPriority w:val="99"/>
    <w:unhideWhenUsed/>
    <w:rsid w:val="00BB1A9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17246">
      <w:bodyDiv w:val="1"/>
      <w:marLeft w:val="0"/>
      <w:marRight w:val="0"/>
      <w:marTop w:val="0"/>
      <w:marBottom w:val="0"/>
      <w:divBdr>
        <w:top w:val="none" w:sz="0" w:space="0" w:color="auto"/>
        <w:left w:val="none" w:sz="0" w:space="0" w:color="auto"/>
        <w:bottom w:val="none" w:sz="0" w:space="0" w:color="auto"/>
        <w:right w:val="none" w:sz="0" w:space="0" w:color="auto"/>
      </w:divBdr>
    </w:div>
    <w:div w:id="189608963">
      <w:bodyDiv w:val="1"/>
      <w:marLeft w:val="0"/>
      <w:marRight w:val="0"/>
      <w:marTop w:val="0"/>
      <w:marBottom w:val="0"/>
      <w:divBdr>
        <w:top w:val="none" w:sz="0" w:space="0" w:color="auto"/>
        <w:left w:val="none" w:sz="0" w:space="0" w:color="auto"/>
        <w:bottom w:val="none" w:sz="0" w:space="0" w:color="auto"/>
        <w:right w:val="none" w:sz="0" w:space="0" w:color="auto"/>
      </w:divBdr>
    </w:div>
    <w:div w:id="764688465">
      <w:bodyDiv w:val="1"/>
      <w:marLeft w:val="0"/>
      <w:marRight w:val="0"/>
      <w:marTop w:val="0"/>
      <w:marBottom w:val="0"/>
      <w:divBdr>
        <w:top w:val="none" w:sz="0" w:space="0" w:color="auto"/>
        <w:left w:val="none" w:sz="0" w:space="0" w:color="auto"/>
        <w:bottom w:val="none" w:sz="0" w:space="0" w:color="auto"/>
        <w:right w:val="none" w:sz="0" w:space="0" w:color="auto"/>
      </w:divBdr>
    </w:div>
    <w:div w:id="968046641">
      <w:bodyDiv w:val="1"/>
      <w:marLeft w:val="0"/>
      <w:marRight w:val="0"/>
      <w:marTop w:val="0"/>
      <w:marBottom w:val="0"/>
      <w:divBdr>
        <w:top w:val="none" w:sz="0" w:space="0" w:color="auto"/>
        <w:left w:val="none" w:sz="0" w:space="0" w:color="auto"/>
        <w:bottom w:val="none" w:sz="0" w:space="0" w:color="auto"/>
        <w:right w:val="none" w:sz="0" w:space="0" w:color="auto"/>
      </w:divBdr>
    </w:div>
    <w:div w:id="986126938">
      <w:bodyDiv w:val="1"/>
      <w:marLeft w:val="0"/>
      <w:marRight w:val="0"/>
      <w:marTop w:val="0"/>
      <w:marBottom w:val="0"/>
      <w:divBdr>
        <w:top w:val="none" w:sz="0" w:space="0" w:color="auto"/>
        <w:left w:val="none" w:sz="0" w:space="0" w:color="auto"/>
        <w:bottom w:val="none" w:sz="0" w:space="0" w:color="auto"/>
        <w:right w:val="none" w:sz="0" w:space="0" w:color="auto"/>
      </w:divBdr>
    </w:div>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ctcoss@actcoss.org.au" TargetMode="External"/><Relationship Id="rId18" Type="http://schemas.openxmlformats.org/officeDocument/2006/relationships/image" Target="media/image4.png"/><Relationship Id="rId26" Type="http://schemas.openxmlformats.org/officeDocument/2006/relationships/image" Target="media/image8.png"/><Relationship Id="rId39" Type="http://schemas.openxmlformats.org/officeDocument/2006/relationships/hyperlink" Target="https://www.communityservices.act.gov.au/hcs/services/social_housing/waiting_lists" TargetMode="External"/><Relationship Id="rId21" Type="http://schemas.openxmlformats.org/officeDocument/2006/relationships/hyperlink" Target="https://www.abs.gov.au/statistics/economy/price-indexes-and-inflation/consumer-price-index-australia/dec-2021" TargetMode="External"/><Relationship Id="rId34" Type="http://schemas.openxmlformats.org/officeDocument/2006/relationships/hyperlink" Target="https://www.sgsep.com.au/assets/main/SGS-Economics-and-Planning_Rental-Affordability-Index-2021.pdf" TargetMode="External"/><Relationship Id="rId42" Type="http://schemas.openxmlformats.org/officeDocument/2006/relationships/image" Target="media/image14.png"/><Relationship Id="rId47" Type="http://schemas.openxmlformats.org/officeDocument/2006/relationships/hyperlink" Target="https://www.servicesaustralia.gov.au/organisations/about-us/reports-and-statistics/guide-australian-government-payments" TargetMode="External"/><Relationship Id="rId50" Type="http://schemas.openxmlformats.org/officeDocument/2006/relationships/hyperlink" Target="https://www.abs.gov.au/statistics/labour/earnings-and-work-hours/average-weekly-earnings-australia" TargetMode="External"/><Relationship Id="rId55" Type="http://schemas.openxmlformats.org/officeDocument/2006/relationships/hyperlink" Target="https://www.fwc.gov.au/agreements-awards/minimum-wages-and-conditions/national-minimum-wage/national-minimum-wage-orders"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bs.gov.au/statistics/economy/finance/household-expenditure-survey-australia-summary-results" TargetMode="External"/><Relationship Id="rId20" Type="http://schemas.openxmlformats.org/officeDocument/2006/relationships/image" Target="media/image5.png"/><Relationship Id="rId29" Type="http://schemas.openxmlformats.org/officeDocument/2006/relationships/hyperlink" Target="https://www.aer.gov.au/publications/state-of-the-energy-market-reports" TargetMode="External"/><Relationship Id="rId41" Type="http://schemas.openxmlformats.org/officeDocument/2006/relationships/hyperlink" Target="https://www.abs.gov.au/statistics/economy/price-indexes-and-inflation/selected-living-cost-indexes-australia" TargetMode="External"/><Relationship Id="rId54" Type="http://schemas.openxmlformats.org/officeDocument/2006/relationships/hyperlink" Target="https://www.fwc.gov.au/agreements-awards/minimum-wages-and-conditions/national-minimum-wage/national-minimum-wage-orders"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7.png"/><Relationship Id="rId32" Type="http://schemas.openxmlformats.org/officeDocument/2006/relationships/image" Target="media/image11.png"/><Relationship Id="rId37" Type="http://schemas.openxmlformats.org/officeDocument/2006/relationships/image" Target="media/image12.png"/><Relationship Id="rId40" Type="http://schemas.openxmlformats.org/officeDocument/2006/relationships/image" Target="media/image13.png"/><Relationship Id="rId45" Type="http://schemas.openxmlformats.org/officeDocument/2006/relationships/hyperlink" Target="https://www.servicesaustralia.gov.au/organisations/about-us/reports-and-statistics/guide-australian-government-payments" TargetMode="External"/><Relationship Id="rId53" Type="http://schemas.openxmlformats.org/officeDocument/2006/relationships/hyperlink" Target="https://www.servicesaustralia.gov.au/organisations/about-us/reports-and-statistics/guide-australian-government-payments" TargetMode="External"/><Relationship Id="rId58" Type="http://schemas.openxmlformats.org/officeDocument/2006/relationships/hyperlink" Target="http://www.abs.gov.au/ausstats/abs@.nsf/mf/6401.0?opendocument"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abs.gov.au/statistics/economy/price-indexes-and-inflation/consumer-price-index-australia/dec-2021" TargetMode="External"/><Relationship Id="rId28" Type="http://schemas.openxmlformats.org/officeDocument/2006/relationships/image" Target="media/image9.png"/><Relationship Id="rId36" Type="http://schemas.openxmlformats.org/officeDocument/2006/relationships/hyperlink" Target="https://www.anglicare.asn.au/publications/rental-affordability-snapshot-2022/" TargetMode="External"/><Relationship Id="rId49" Type="http://schemas.openxmlformats.org/officeDocument/2006/relationships/hyperlink" Target="https://www.fwc.gov.au/agreements-awards/minimum-wages-and-conditions/national-minimum-wage/national-minimum-wage-orders" TargetMode="External"/><Relationship Id="rId57" Type="http://schemas.openxmlformats.org/officeDocument/2006/relationships/hyperlink" Target="http://guides.dss.gov.au/guide-social-security-law/5/1/8/50" TargetMode="External"/><Relationship Id="rId61"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abs.gov.au/statistics/economy/price-indexes-and-inflation/consumer-price-index-australia/dec-2021" TargetMode="External"/><Relationship Id="rId31" Type="http://schemas.openxmlformats.org/officeDocument/2006/relationships/hyperlink" Target="https://www.abs.gov.au/statistics/people/housing/housing-occupancy-and-costs" TargetMode="External"/><Relationship Id="rId44" Type="http://schemas.openxmlformats.org/officeDocument/2006/relationships/image" Target="media/image15.png"/><Relationship Id="rId52" Type="http://schemas.openxmlformats.org/officeDocument/2006/relationships/hyperlink" Target="https://www.abs.gov.au/statistics/economy/price-indexes-and-inflation/selected-living-cost-indexes-australia/mar-2021" TargetMode="External"/><Relationship Id="rId60" Type="http://schemas.openxmlformats.org/officeDocument/2006/relationships/hyperlink" Target="http://www.abs.gov.au/ausstats/abs@.nsf/mf/630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tcoss.org.au" TargetMode="External"/><Relationship Id="rId22" Type="http://schemas.openxmlformats.org/officeDocument/2006/relationships/image" Target="media/image6.png"/><Relationship Id="rId27" Type="http://schemas.openxmlformats.org/officeDocument/2006/relationships/hyperlink" Target="https://www.abs.gov.au/statistics/economy/finance/household-expenditure-survey-australia-summary-results/2015-16" TargetMode="External"/><Relationship Id="rId30" Type="http://schemas.openxmlformats.org/officeDocument/2006/relationships/image" Target="media/image10.png"/><Relationship Id="rId35" Type="http://schemas.openxmlformats.org/officeDocument/2006/relationships/hyperlink" Target="https://everybodyshome.com.au/young-australians-crunched-by-housing-crisis/" TargetMode="External"/><Relationship Id="rId43" Type="http://schemas.openxmlformats.org/officeDocument/2006/relationships/hyperlink" Target="https://www.servicesaustralia.gov.au/organisations/about-us/reports-and-statistics/guide-australian-government-payments" TargetMode="External"/><Relationship Id="rId48" Type="http://schemas.openxmlformats.org/officeDocument/2006/relationships/hyperlink" Target="https://www.fwc.gov.au/agreements-awards/minimum-wages-and-conditions/national-minimum-wage/national-minimum-wage-orders" TargetMode="External"/><Relationship Id="rId56" Type="http://schemas.openxmlformats.org/officeDocument/2006/relationships/hyperlink" Target="https://www.abs.gov.au/statistics/labour/earnings-and-work-hours/average-weekly-earnings-australia"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17.png"/><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https://www.abs.gov.au/statistics/economy/price-indexes-and-inflation/consumer-price-index-australia/dec-2021" TargetMode="External"/><Relationship Id="rId25" Type="http://schemas.openxmlformats.org/officeDocument/2006/relationships/hyperlink" Target="https://www.abs.gov.au/statistics/economy/finance/household-expenditure-survey-australia-summary-results/2015-16" TargetMode="External"/><Relationship Id="rId33" Type="http://schemas.openxmlformats.org/officeDocument/2006/relationships/hyperlink" Target="https://www.domain.com.au/research/rental-report/march-2022/" TargetMode="External"/><Relationship Id="rId38" Type="http://schemas.openxmlformats.org/officeDocument/2006/relationships/hyperlink" Target="https://www.aihw.gov.au/reports/housing-assistance/housing-assistance-in-australia/contents/summary" TargetMode="External"/><Relationship Id="rId46" Type="http://schemas.openxmlformats.org/officeDocument/2006/relationships/image" Target="media/image16.png"/><Relationship Id="rId59" Type="http://schemas.openxmlformats.org/officeDocument/2006/relationships/hyperlink" Target="http://www.abs.gov.au/AUSSTATS/abs@.nsf/allprimarymainfeatures/E592A3A56EBC2B31CA257C130017D2FA?opendocumen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actcoss.org.au/publications/advocacy-publications/actcoss-federal-election-priorities-2022" TargetMode="External"/><Relationship Id="rId13" Type="http://schemas.openxmlformats.org/officeDocument/2006/relationships/hyperlink" Target="https://www.actcoss.org.au/publications/advocacy-publications/act-cost-living-report-transport-2016" TargetMode="External"/><Relationship Id="rId18" Type="http://schemas.openxmlformats.org/officeDocument/2006/relationships/hyperlink" Target="https://aemo.com.au/newsroom/media-release/electricity-prices-driven-by-outages-and-higher-generation-costs-in-volatile-march-quarter" TargetMode="External"/><Relationship Id="rId26" Type="http://schemas.openxmlformats.org/officeDocument/2006/relationships/hyperlink" Target="https://www.actcoss.org.au/publications/advocacy-publications/submission-ending-no-cause-evictions-and-other-measures-proposed" TargetMode="External"/><Relationship Id="rId39" Type="http://schemas.openxmlformats.org/officeDocument/2006/relationships/hyperlink" Target="https://www.equityeconomics.com.au/report-archive/nowhere-to-go-the-benefits-of-providing-long-term-social-housing-to-women-that-have-experienced-domestic-and-family-violence" TargetMode="External"/><Relationship Id="rId3" Type="http://schemas.openxmlformats.org/officeDocument/2006/relationships/hyperlink" Target="https://povertyandinequality.acoss.org.au/wp-content/uploads/2022/03/Build-back-fairer-report-3_FINAL.pdf" TargetMode="External"/><Relationship Id="rId21" Type="http://schemas.openxmlformats.org/officeDocument/2006/relationships/hyperlink" Target="https://www.actcoss.org.au/publications/advocacy-publications/submission-minimum-energy-efficiency-standards-rental-homes-act" TargetMode="External"/><Relationship Id="rId34" Type="http://schemas.openxmlformats.org/officeDocument/2006/relationships/hyperlink" Target="https://www.communityservices.act.gov.au/hcs/act-housing-strategy-growing-and-renewing-public-housing?SQ_VARIATION_1546595=0" TargetMode="External"/><Relationship Id="rId42" Type="http://schemas.openxmlformats.org/officeDocument/2006/relationships/hyperlink" Target="https://www.aph.gov.au/About_Parliament/Parliamentary_Departments/Parliamentary_Library/FlagPost/2020/August/Pension_and_JobSeeker_indexation" TargetMode="External"/><Relationship Id="rId7" Type="http://schemas.openxmlformats.org/officeDocument/2006/relationships/hyperlink" Target="https://www.actcoss.org.au/publications/advocacy-publications/factsheet-2021-act-community-sector-demand-snapshot" TargetMode="External"/><Relationship Id="rId12" Type="http://schemas.openxmlformats.org/officeDocument/2006/relationships/hyperlink" Target="https://www.actcoss.org.au/publications/advocacy-publications/act-cost-living-report-transport-2016" TargetMode="External"/><Relationship Id="rId17" Type="http://schemas.openxmlformats.org/officeDocument/2006/relationships/hyperlink" Target="https://www.aer.gov.au/publications/state-of-the-energy-market-reports/state-of-the-energy-market-2021" TargetMode="External"/><Relationship Id="rId25" Type="http://schemas.openxmlformats.org/officeDocument/2006/relationships/hyperlink" Target="https://www.domain.com.au/research/vacancy-rates-march-2022-1128965/" TargetMode="External"/><Relationship Id="rId33" Type="http://schemas.openxmlformats.org/officeDocument/2006/relationships/hyperlink" Target="https://www.pc.gov.au/research/ongoing/report-on-government-services/2022/housing-and-homelessness" TargetMode="External"/><Relationship Id="rId38" Type="http://schemas.openxmlformats.org/officeDocument/2006/relationships/hyperlink" Target="https://www.abs.gov.au/statistics/people/housing/census-population-and-housing-estimating-homelessness/2016" TargetMode="External"/><Relationship Id="rId2" Type="http://schemas.openxmlformats.org/officeDocument/2006/relationships/hyperlink" Target="https://www.rba.gov.au/media-releases/2022/mr-22-12.html" TargetMode="External"/><Relationship Id="rId16" Type="http://schemas.openxmlformats.org/officeDocument/2006/relationships/hyperlink" Target="https://www.icrc.act.gov.au/energy/electricity/retail-electricity-prices-2020-24" TargetMode="External"/><Relationship Id="rId20" Type="http://schemas.openxmlformats.org/officeDocument/2006/relationships/hyperlink" Target="https://yoursayconversations.act.gov.au/minimum-energy-standards" TargetMode="External"/><Relationship Id="rId29" Type="http://schemas.openxmlformats.org/officeDocument/2006/relationships/hyperlink" Target="https://everybodyshome.com.au/young-australians-crunched-by-housing-crisis/" TargetMode="External"/><Relationship Id="rId41" Type="http://schemas.openxmlformats.org/officeDocument/2006/relationships/hyperlink" Target="https://www.infrastructurevictoria.com.au/wp-content/uploads/2019/04/Infrastructure-Victoria-Technical-Paper-%E2%80%93-What-are-the-impacts-of-living-in-social-housing-May-2018.pdf" TargetMode="External"/><Relationship Id="rId1" Type="http://schemas.openxmlformats.org/officeDocument/2006/relationships/hyperlink" Target="https://www.abs.gov.au/media-centre/media-releases/cpi-rose-21-march-2022-quarter" TargetMode="External"/><Relationship Id="rId6" Type="http://schemas.openxmlformats.org/officeDocument/2006/relationships/hyperlink" Target="https://povertyandinequality.acoss.org.au/wp-content/uploads/2020/02/Poverty-in-Australia-2020_Part-1_Overview-1.pdf" TargetMode="External"/><Relationship Id="rId11" Type="http://schemas.openxmlformats.org/officeDocument/2006/relationships/hyperlink" Target="https://www.environment.act.gov.au/energy/act-sustainable-energy-policy-2020-25" TargetMode="External"/><Relationship Id="rId24" Type="http://schemas.openxmlformats.org/officeDocument/2006/relationships/hyperlink" Target="https://www.domain.com.au/research/rental-report/march-2022/" TargetMode="External"/><Relationship Id="rId32" Type="http://schemas.openxmlformats.org/officeDocument/2006/relationships/hyperlink" Target="https://www.pc.gov.au/research/ongoing/report-on-government-services/2022/housing-and-homelessness" TargetMode="External"/><Relationship Id="rId37" Type="http://schemas.openxmlformats.org/officeDocument/2006/relationships/hyperlink" Target="https://www.actcoss.org.au/publications/advocacy-publications/act-cost-living-report-2020" TargetMode="External"/><Relationship Id="rId40" Type="http://schemas.openxmlformats.org/officeDocument/2006/relationships/hyperlink" Target="http://www.nwhn.net.au/admin/file/content101/c6/social_housing_initiative_review.pdf" TargetMode="External"/><Relationship Id="rId45" Type="http://schemas.openxmlformats.org/officeDocument/2006/relationships/hyperlink" Target="https://www.aph.gov.au/About_Parliament/Parliamentary_Departments/Parliamentary_Library/FlagPost/2014/April/Pension-indexation" TargetMode="External"/><Relationship Id="rId5" Type="http://schemas.openxmlformats.org/officeDocument/2006/relationships/hyperlink" Target="https://www.actcoss.org.au/publications/advocacy-publications/factsheet-poverty-and-covid-19-act" TargetMode="External"/><Relationship Id="rId15" Type="http://schemas.openxmlformats.org/officeDocument/2006/relationships/hyperlink" Target="https://theconversation.com/what-would-it-take-to-get-australians-to-buy-electric-cars-canberra-provides-a-guide-178778" TargetMode="External"/><Relationship Id="rId23" Type="http://schemas.openxmlformats.org/officeDocument/2006/relationships/hyperlink" Target="https://www.pc.gov.au/research/ongoing/report-on-government-services" TargetMode="External"/><Relationship Id="rId28" Type="http://schemas.openxmlformats.org/officeDocument/2006/relationships/hyperlink" Target="https://www.sgsep.com.au/assets/main/SGS-Economics-and-Planning_Rental-Affordability-Index-2021.pdf" TargetMode="External"/><Relationship Id="rId36" Type="http://schemas.openxmlformats.org/officeDocument/2006/relationships/hyperlink" Target="https://cityfutures.be.unsw.edu.au/documents/522/Modelling_costs_of_housing_provision_FINAL.pdf" TargetMode="External"/><Relationship Id="rId10" Type="http://schemas.openxmlformats.org/officeDocument/2006/relationships/hyperlink" Target="https://www.abs.gov.au/statistics/economy/price-indexes-and-inflation/consumer-price-index-australia/latest-release" TargetMode="External"/><Relationship Id="rId19" Type="http://schemas.openxmlformats.org/officeDocument/2006/relationships/hyperlink" Target="https://www.cmtedd.act.gov.au/__data/assets/pdf_file/0003/1654077/Parliamentary-Agreement-for-the-10th-Legislative-Assembly.pdf" TargetMode="External"/><Relationship Id="rId31" Type="http://schemas.openxmlformats.org/officeDocument/2006/relationships/hyperlink" Target="https://www.anglicare.asn.au/publications/rental-affordability-snapshot-2022/" TargetMode="External"/><Relationship Id="rId44" Type="http://schemas.openxmlformats.org/officeDocument/2006/relationships/hyperlink" Target="https://www.abs.gov.au/methodologies/selected-living-cost-indexes-australia-methodology/mar-2021" TargetMode="External"/><Relationship Id="rId4" Type="http://schemas.openxmlformats.org/officeDocument/2006/relationships/hyperlink" Target="https://www.actcoss.org.au/publications/advocacy-publications/2021-act-cost-living-report" TargetMode="External"/><Relationship Id="rId9" Type="http://schemas.openxmlformats.org/officeDocument/2006/relationships/hyperlink" Target="https://www.acoss.org.au/election-2022/" TargetMode="External"/><Relationship Id="rId14" Type="http://schemas.openxmlformats.org/officeDocument/2006/relationships/hyperlink" Target="https://www.actcoss.org.au/publications/advocacy-publications/submission-actcoss-act-budget-priorities-2021-22" TargetMode="External"/><Relationship Id="rId22" Type="http://schemas.openxmlformats.org/officeDocument/2006/relationships/hyperlink" Target="https://www.domain.com.au/research/house-price-report/march-2022/" TargetMode="External"/><Relationship Id="rId27" Type="http://schemas.openxmlformats.org/officeDocument/2006/relationships/hyperlink" Target="https://yoursayconversations.act.gov.au/expanding-rights-renters" TargetMode="External"/><Relationship Id="rId30" Type="http://schemas.openxmlformats.org/officeDocument/2006/relationships/hyperlink" Target="https://everybodyshome.com.au/national-homelessness-week-rental-crisis-hits-covid-essential-workforce/" TargetMode="External"/><Relationship Id="rId35" Type="http://schemas.openxmlformats.org/officeDocument/2006/relationships/hyperlink" Target="https://www.ahuri.edu.au/research/final-reports/306" TargetMode="External"/><Relationship Id="rId43" Type="http://schemas.openxmlformats.org/officeDocument/2006/relationships/hyperlink" Target="https://www.sacoss.org.au/sites/default/files/public/documents/Reports/Cost%20of%20Living%20Reports/190130%20Cost%20of%20Living%20Update3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20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3" ma:contentTypeDescription="Create a new document." ma:contentTypeScope="" ma:versionID="5d6394ce4c6bffbcc4f52b034a3c72c8">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36bb2ce0b774c68ce95e0a4a60e0c01f"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70D4C-0008-4801-9C41-F1671969B90F}">
  <ds:schemaRefs>
    <ds:schemaRef ds:uri="http://schemas.openxmlformats.org/officeDocument/2006/bibliography"/>
  </ds:schemaRefs>
</ds:datastoreItem>
</file>

<file path=customXml/itemProps2.xml><?xml version="1.0" encoding="utf-8"?>
<ds:datastoreItem xmlns:ds="http://schemas.openxmlformats.org/officeDocument/2006/customXml" ds:itemID="{4FC06235-2002-4A40-86E9-C8AE67EEB127}">
  <ds:schemaRefs>
    <ds:schemaRef ds:uri="http://schemas.microsoft.com/sharepoint/v3/contenttype/forms"/>
  </ds:schemaRefs>
</ds:datastoreItem>
</file>

<file path=customXml/itemProps3.xml><?xml version="1.0" encoding="utf-8"?>
<ds:datastoreItem xmlns:ds="http://schemas.openxmlformats.org/officeDocument/2006/customXml" ds:itemID="{6CBC14D4-2B6B-47E3-A281-5F7A1A934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FC22B7-250C-44DE-AF10-0ADFC904FF8B}">
  <ds:schemaRefs>
    <ds:schemaRef ds:uri="http://schemas.microsoft.com/office/infopath/2007/PartnerControls"/>
    <ds:schemaRef ds:uri="ef2741e4-cc31-428c-aca2-d2da616e4ed0"/>
    <ds:schemaRef ds:uri="http://purl.org/dc/elements/1.1/"/>
    <ds:schemaRef ds:uri="http://schemas.microsoft.com/office/2006/metadata/properties"/>
    <ds:schemaRef ds:uri="32918964-d11d-4bda-ba04-9b8184f6a173"/>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TPL Submission.dot</Template>
  <TotalTime>2</TotalTime>
  <Pages>39</Pages>
  <Words>9639</Words>
  <Characters>56752</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2022 ACT Cost of Living Report</vt:lpstr>
    </vt:vector>
  </TitlesOfParts>
  <Company>ACT Council of Social Service</Company>
  <LinksUpToDate>false</LinksUpToDate>
  <CharactersWithSpaces>66259</CharactersWithSpaces>
  <SharedDoc>false</SharedDoc>
  <HLinks>
    <vt:vector size="510" baseType="variant">
      <vt:variant>
        <vt:i4>6029436</vt:i4>
      </vt:variant>
      <vt:variant>
        <vt:i4>189</vt:i4>
      </vt:variant>
      <vt:variant>
        <vt:i4>0</vt:i4>
      </vt:variant>
      <vt:variant>
        <vt:i4>5</vt:i4>
      </vt:variant>
      <vt:variant>
        <vt:lpwstr>http://www.abs.gov.au/ausstats/abs@.nsf/mf/6302.0</vt:lpwstr>
      </vt:variant>
      <vt:variant>
        <vt:lpwstr/>
      </vt:variant>
      <vt:variant>
        <vt:i4>1507433</vt:i4>
      </vt:variant>
      <vt:variant>
        <vt:i4>186</vt:i4>
      </vt:variant>
      <vt:variant>
        <vt:i4>0</vt:i4>
      </vt:variant>
      <vt:variant>
        <vt:i4>5</vt:i4>
      </vt:variant>
      <vt:variant>
        <vt:lpwstr>http://www.abs.gov.au/AUSSTATS/abs@.nsf/allprimarymainfeatures/E592A3A56EBC2B31CA257C130017D2FA?opendocument</vt:lpwstr>
      </vt:variant>
      <vt:variant>
        <vt:lpwstr/>
      </vt:variant>
      <vt:variant>
        <vt:i4>7733318</vt:i4>
      </vt:variant>
      <vt:variant>
        <vt:i4>183</vt:i4>
      </vt:variant>
      <vt:variant>
        <vt:i4>0</vt:i4>
      </vt:variant>
      <vt:variant>
        <vt:i4>5</vt:i4>
      </vt:variant>
      <vt:variant>
        <vt:lpwstr>http://www.abs.gov.au/ausstats/abs@.nsf/mf/6401.0?opendocument</vt:lpwstr>
      </vt:variant>
      <vt:variant>
        <vt:lpwstr/>
      </vt:variant>
      <vt:variant>
        <vt:i4>2228271</vt:i4>
      </vt:variant>
      <vt:variant>
        <vt:i4>180</vt:i4>
      </vt:variant>
      <vt:variant>
        <vt:i4>0</vt:i4>
      </vt:variant>
      <vt:variant>
        <vt:i4>5</vt:i4>
      </vt:variant>
      <vt:variant>
        <vt:lpwstr>http://guides.dss.gov.au/guide-social-security-law/5/1/8/50</vt:lpwstr>
      </vt:variant>
      <vt:variant>
        <vt:lpwstr/>
      </vt:variant>
      <vt:variant>
        <vt:i4>4063289</vt:i4>
      </vt:variant>
      <vt:variant>
        <vt:i4>177</vt:i4>
      </vt:variant>
      <vt:variant>
        <vt:i4>0</vt:i4>
      </vt:variant>
      <vt:variant>
        <vt:i4>5</vt:i4>
      </vt:variant>
      <vt:variant>
        <vt:lpwstr>https://www.abs.gov.au/statistics/labour/earnings-and-work-hours/average-weekly-earnings-australia</vt:lpwstr>
      </vt:variant>
      <vt:variant>
        <vt:lpwstr/>
      </vt:variant>
      <vt:variant>
        <vt:i4>5636107</vt:i4>
      </vt:variant>
      <vt:variant>
        <vt:i4>174</vt:i4>
      </vt:variant>
      <vt:variant>
        <vt:i4>0</vt:i4>
      </vt:variant>
      <vt:variant>
        <vt:i4>5</vt:i4>
      </vt:variant>
      <vt:variant>
        <vt:lpwstr>https://www.fwc.gov.au/agreements-awards/minimum-wages-and-conditions/national-minimum-wage/national-minimum-wage-orders</vt:lpwstr>
      </vt:variant>
      <vt:variant>
        <vt:lpwstr/>
      </vt:variant>
      <vt:variant>
        <vt:i4>5636107</vt:i4>
      </vt:variant>
      <vt:variant>
        <vt:i4>171</vt:i4>
      </vt:variant>
      <vt:variant>
        <vt:i4>0</vt:i4>
      </vt:variant>
      <vt:variant>
        <vt:i4>5</vt:i4>
      </vt:variant>
      <vt:variant>
        <vt:lpwstr>https://www.fwc.gov.au/agreements-awards/minimum-wages-and-conditions/national-minimum-wage/national-minimum-wage-orders</vt:lpwstr>
      </vt:variant>
      <vt:variant>
        <vt:lpwstr/>
      </vt:variant>
      <vt:variant>
        <vt:i4>3801140</vt:i4>
      </vt:variant>
      <vt:variant>
        <vt:i4>168</vt:i4>
      </vt:variant>
      <vt:variant>
        <vt:i4>0</vt:i4>
      </vt:variant>
      <vt:variant>
        <vt:i4>5</vt:i4>
      </vt:variant>
      <vt:variant>
        <vt:lpwstr>https://www.servicesaustralia.gov.au/organisations/about-us/reports-and-statistics/guide-australian-government-payments</vt:lpwstr>
      </vt:variant>
      <vt:variant>
        <vt:lpwstr/>
      </vt:variant>
      <vt:variant>
        <vt:i4>1048601</vt:i4>
      </vt:variant>
      <vt:variant>
        <vt:i4>165</vt:i4>
      </vt:variant>
      <vt:variant>
        <vt:i4>0</vt:i4>
      </vt:variant>
      <vt:variant>
        <vt:i4>5</vt:i4>
      </vt:variant>
      <vt:variant>
        <vt:lpwstr>https://www.abs.gov.au/statistics/economy/price-indexes-and-inflation/selected-living-cost-indexes-australia/mar-2021</vt:lpwstr>
      </vt:variant>
      <vt:variant>
        <vt:lpwstr/>
      </vt:variant>
      <vt:variant>
        <vt:i4>4063289</vt:i4>
      </vt:variant>
      <vt:variant>
        <vt:i4>162</vt:i4>
      </vt:variant>
      <vt:variant>
        <vt:i4>0</vt:i4>
      </vt:variant>
      <vt:variant>
        <vt:i4>5</vt:i4>
      </vt:variant>
      <vt:variant>
        <vt:lpwstr>https://www.abs.gov.au/statistics/labour/earnings-and-work-hours/average-weekly-earnings-australia</vt:lpwstr>
      </vt:variant>
      <vt:variant>
        <vt:lpwstr/>
      </vt:variant>
      <vt:variant>
        <vt:i4>5636107</vt:i4>
      </vt:variant>
      <vt:variant>
        <vt:i4>159</vt:i4>
      </vt:variant>
      <vt:variant>
        <vt:i4>0</vt:i4>
      </vt:variant>
      <vt:variant>
        <vt:i4>5</vt:i4>
      </vt:variant>
      <vt:variant>
        <vt:lpwstr>https://www.fwc.gov.au/agreements-awards/minimum-wages-and-conditions/national-minimum-wage/national-minimum-wage-orders</vt:lpwstr>
      </vt:variant>
      <vt:variant>
        <vt:lpwstr/>
      </vt:variant>
      <vt:variant>
        <vt:i4>5636107</vt:i4>
      </vt:variant>
      <vt:variant>
        <vt:i4>156</vt:i4>
      </vt:variant>
      <vt:variant>
        <vt:i4>0</vt:i4>
      </vt:variant>
      <vt:variant>
        <vt:i4>5</vt:i4>
      </vt:variant>
      <vt:variant>
        <vt:lpwstr>https://www.fwc.gov.au/agreements-awards/minimum-wages-and-conditions/national-minimum-wage/national-minimum-wage-orders</vt:lpwstr>
      </vt:variant>
      <vt:variant>
        <vt:lpwstr/>
      </vt:variant>
      <vt:variant>
        <vt:i4>3801140</vt:i4>
      </vt:variant>
      <vt:variant>
        <vt:i4>153</vt:i4>
      </vt:variant>
      <vt:variant>
        <vt:i4>0</vt:i4>
      </vt:variant>
      <vt:variant>
        <vt:i4>5</vt:i4>
      </vt:variant>
      <vt:variant>
        <vt:lpwstr>https://www.servicesaustralia.gov.au/organisations/about-us/reports-and-statistics/guide-australian-government-payments</vt:lpwstr>
      </vt:variant>
      <vt:variant>
        <vt:lpwstr/>
      </vt:variant>
      <vt:variant>
        <vt:i4>3801140</vt:i4>
      </vt:variant>
      <vt:variant>
        <vt:i4>150</vt:i4>
      </vt:variant>
      <vt:variant>
        <vt:i4>0</vt:i4>
      </vt:variant>
      <vt:variant>
        <vt:i4>5</vt:i4>
      </vt:variant>
      <vt:variant>
        <vt:lpwstr>https://www.servicesaustralia.gov.au/organisations/about-us/reports-and-statistics/guide-australian-government-payments</vt:lpwstr>
      </vt:variant>
      <vt:variant>
        <vt:lpwstr/>
      </vt:variant>
      <vt:variant>
        <vt:i4>3801140</vt:i4>
      </vt:variant>
      <vt:variant>
        <vt:i4>147</vt:i4>
      </vt:variant>
      <vt:variant>
        <vt:i4>0</vt:i4>
      </vt:variant>
      <vt:variant>
        <vt:i4>5</vt:i4>
      </vt:variant>
      <vt:variant>
        <vt:lpwstr>https://www.servicesaustralia.gov.au/organisations/about-us/reports-and-statistics/guide-australian-government-payments</vt:lpwstr>
      </vt:variant>
      <vt:variant>
        <vt:lpwstr/>
      </vt:variant>
      <vt:variant>
        <vt:i4>983114</vt:i4>
      </vt:variant>
      <vt:variant>
        <vt:i4>144</vt:i4>
      </vt:variant>
      <vt:variant>
        <vt:i4>0</vt:i4>
      </vt:variant>
      <vt:variant>
        <vt:i4>5</vt:i4>
      </vt:variant>
      <vt:variant>
        <vt:lpwstr>https://www.abs.gov.au/statistics/economy/price-indexes-and-inflation/selected-living-cost-indexes-australia</vt:lpwstr>
      </vt:variant>
      <vt:variant>
        <vt:lpwstr/>
      </vt:variant>
      <vt:variant>
        <vt:i4>3539047</vt:i4>
      </vt:variant>
      <vt:variant>
        <vt:i4>141</vt:i4>
      </vt:variant>
      <vt:variant>
        <vt:i4>0</vt:i4>
      </vt:variant>
      <vt:variant>
        <vt:i4>5</vt:i4>
      </vt:variant>
      <vt:variant>
        <vt:lpwstr>https://www.communityservices.act.gov.au/hcs/services/social_housing/waiting_lists</vt:lpwstr>
      </vt:variant>
      <vt:variant>
        <vt:lpwstr/>
      </vt:variant>
      <vt:variant>
        <vt:i4>6619182</vt:i4>
      </vt:variant>
      <vt:variant>
        <vt:i4>138</vt:i4>
      </vt:variant>
      <vt:variant>
        <vt:i4>0</vt:i4>
      </vt:variant>
      <vt:variant>
        <vt:i4>5</vt:i4>
      </vt:variant>
      <vt:variant>
        <vt:lpwstr>https://www.aihw.gov.au/reports/housing-assistance/housing-assistance-in-australia/contents/summary</vt:lpwstr>
      </vt:variant>
      <vt:variant>
        <vt:lpwstr/>
      </vt:variant>
      <vt:variant>
        <vt:i4>6160400</vt:i4>
      </vt:variant>
      <vt:variant>
        <vt:i4>135</vt:i4>
      </vt:variant>
      <vt:variant>
        <vt:i4>0</vt:i4>
      </vt:variant>
      <vt:variant>
        <vt:i4>5</vt:i4>
      </vt:variant>
      <vt:variant>
        <vt:lpwstr>https://www.anglicare.asn.au/publications/rental-affordability-snapshot-2022/</vt:lpwstr>
      </vt:variant>
      <vt:variant>
        <vt:lpwstr/>
      </vt:variant>
      <vt:variant>
        <vt:i4>4063345</vt:i4>
      </vt:variant>
      <vt:variant>
        <vt:i4>132</vt:i4>
      </vt:variant>
      <vt:variant>
        <vt:i4>0</vt:i4>
      </vt:variant>
      <vt:variant>
        <vt:i4>5</vt:i4>
      </vt:variant>
      <vt:variant>
        <vt:lpwstr>https://everybodyshome.com.au/young-australians-crunched-by-housing-crisis/</vt:lpwstr>
      </vt:variant>
      <vt:variant>
        <vt:lpwstr/>
      </vt:variant>
      <vt:variant>
        <vt:i4>1310723</vt:i4>
      </vt:variant>
      <vt:variant>
        <vt:i4>129</vt:i4>
      </vt:variant>
      <vt:variant>
        <vt:i4>0</vt:i4>
      </vt:variant>
      <vt:variant>
        <vt:i4>5</vt:i4>
      </vt:variant>
      <vt:variant>
        <vt:lpwstr>https://www.domain.com.au/research/rental-report/march-2022/</vt:lpwstr>
      </vt:variant>
      <vt:variant>
        <vt:lpwstr>canberra</vt:lpwstr>
      </vt:variant>
      <vt:variant>
        <vt:i4>917595</vt:i4>
      </vt:variant>
      <vt:variant>
        <vt:i4>126</vt:i4>
      </vt:variant>
      <vt:variant>
        <vt:i4>0</vt:i4>
      </vt:variant>
      <vt:variant>
        <vt:i4>5</vt:i4>
      </vt:variant>
      <vt:variant>
        <vt:lpwstr>https://www.abs.gov.au/statistics/people/housing/housing-occupancy-and-costs</vt:lpwstr>
      </vt:variant>
      <vt:variant>
        <vt:lpwstr/>
      </vt:variant>
      <vt:variant>
        <vt:i4>6815778</vt:i4>
      </vt:variant>
      <vt:variant>
        <vt:i4>123</vt:i4>
      </vt:variant>
      <vt:variant>
        <vt:i4>0</vt:i4>
      </vt:variant>
      <vt:variant>
        <vt:i4>5</vt:i4>
      </vt:variant>
      <vt:variant>
        <vt:lpwstr>https://www.aer.gov.au/publications/state-of-the-energy-market-reports</vt:lpwstr>
      </vt:variant>
      <vt:variant>
        <vt:lpwstr/>
      </vt:variant>
      <vt:variant>
        <vt:i4>524383</vt:i4>
      </vt:variant>
      <vt:variant>
        <vt:i4>120</vt:i4>
      </vt:variant>
      <vt:variant>
        <vt:i4>0</vt:i4>
      </vt:variant>
      <vt:variant>
        <vt:i4>5</vt:i4>
      </vt:variant>
      <vt:variant>
        <vt:lpwstr>https://www.abs.gov.au/statistics/economy/finance/household-expenditure-survey-australia-summary-results/2015-16</vt:lpwstr>
      </vt:variant>
      <vt:variant>
        <vt:lpwstr/>
      </vt:variant>
      <vt:variant>
        <vt:i4>5636122</vt:i4>
      </vt:variant>
      <vt:variant>
        <vt:i4>117</vt:i4>
      </vt:variant>
      <vt:variant>
        <vt:i4>0</vt:i4>
      </vt:variant>
      <vt:variant>
        <vt:i4>5</vt:i4>
      </vt:variant>
      <vt:variant>
        <vt:lpwstr>https://www.abs.gov.au/statistics/economy/price-indexes-and-inflation/consumer-price-index-australia/dec-2021</vt:lpwstr>
      </vt:variant>
      <vt:variant>
        <vt:lpwstr/>
      </vt:variant>
      <vt:variant>
        <vt:i4>5636122</vt:i4>
      </vt:variant>
      <vt:variant>
        <vt:i4>114</vt:i4>
      </vt:variant>
      <vt:variant>
        <vt:i4>0</vt:i4>
      </vt:variant>
      <vt:variant>
        <vt:i4>5</vt:i4>
      </vt:variant>
      <vt:variant>
        <vt:lpwstr>https://www.abs.gov.au/statistics/economy/price-indexes-and-inflation/consumer-price-index-australia/dec-2021</vt:lpwstr>
      </vt:variant>
      <vt:variant>
        <vt:lpwstr/>
      </vt:variant>
      <vt:variant>
        <vt:i4>5636122</vt:i4>
      </vt:variant>
      <vt:variant>
        <vt:i4>111</vt:i4>
      </vt:variant>
      <vt:variant>
        <vt:i4>0</vt:i4>
      </vt:variant>
      <vt:variant>
        <vt:i4>5</vt:i4>
      </vt:variant>
      <vt:variant>
        <vt:lpwstr>https://www.abs.gov.au/statistics/economy/price-indexes-and-inflation/consumer-price-index-australia/dec-2021</vt:lpwstr>
      </vt:variant>
      <vt:variant>
        <vt:lpwstr/>
      </vt:variant>
      <vt:variant>
        <vt:i4>5636122</vt:i4>
      </vt:variant>
      <vt:variant>
        <vt:i4>108</vt:i4>
      </vt:variant>
      <vt:variant>
        <vt:i4>0</vt:i4>
      </vt:variant>
      <vt:variant>
        <vt:i4>5</vt:i4>
      </vt:variant>
      <vt:variant>
        <vt:lpwstr>https://www.abs.gov.au/statistics/economy/price-indexes-and-inflation/consumer-price-index-australia/dec-2021</vt:lpwstr>
      </vt:variant>
      <vt:variant>
        <vt:lpwstr/>
      </vt:variant>
      <vt:variant>
        <vt:i4>1048644</vt:i4>
      </vt:variant>
      <vt:variant>
        <vt:i4>105</vt:i4>
      </vt:variant>
      <vt:variant>
        <vt:i4>0</vt:i4>
      </vt:variant>
      <vt:variant>
        <vt:i4>5</vt:i4>
      </vt:variant>
      <vt:variant>
        <vt:lpwstr>https://www.abs.gov.au/statistics/economy/finance/household-expenditure-survey-australia-summary-results</vt:lpwstr>
      </vt:variant>
      <vt:variant>
        <vt:lpwstr/>
      </vt:variant>
      <vt:variant>
        <vt:i4>1507380</vt:i4>
      </vt:variant>
      <vt:variant>
        <vt:i4>95</vt:i4>
      </vt:variant>
      <vt:variant>
        <vt:i4>0</vt:i4>
      </vt:variant>
      <vt:variant>
        <vt:i4>5</vt:i4>
      </vt:variant>
      <vt:variant>
        <vt:lpwstr/>
      </vt:variant>
      <vt:variant>
        <vt:lpwstr>_Toc102038488</vt:lpwstr>
      </vt:variant>
      <vt:variant>
        <vt:i4>1507380</vt:i4>
      </vt:variant>
      <vt:variant>
        <vt:i4>89</vt:i4>
      </vt:variant>
      <vt:variant>
        <vt:i4>0</vt:i4>
      </vt:variant>
      <vt:variant>
        <vt:i4>5</vt:i4>
      </vt:variant>
      <vt:variant>
        <vt:lpwstr/>
      </vt:variant>
      <vt:variant>
        <vt:lpwstr>_Toc102038487</vt:lpwstr>
      </vt:variant>
      <vt:variant>
        <vt:i4>1507380</vt:i4>
      </vt:variant>
      <vt:variant>
        <vt:i4>83</vt:i4>
      </vt:variant>
      <vt:variant>
        <vt:i4>0</vt:i4>
      </vt:variant>
      <vt:variant>
        <vt:i4>5</vt:i4>
      </vt:variant>
      <vt:variant>
        <vt:lpwstr/>
      </vt:variant>
      <vt:variant>
        <vt:lpwstr>_Toc102038486</vt:lpwstr>
      </vt:variant>
      <vt:variant>
        <vt:i4>1507380</vt:i4>
      </vt:variant>
      <vt:variant>
        <vt:i4>77</vt:i4>
      </vt:variant>
      <vt:variant>
        <vt:i4>0</vt:i4>
      </vt:variant>
      <vt:variant>
        <vt:i4>5</vt:i4>
      </vt:variant>
      <vt:variant>
        <vt:lpwstr/>
      </vt:variant>
      <vt:variant>
        <vt:lpwstr>_Toc102038485</vt:lpwstr>
      </vt:variant>
      <vt:variant>
        <vt:i4>1507380</vt:i4>
      </vt:variant>
      <vt:variant>
        <vt:i4>71</vt:i4>
      </vt:variant>
      <vt:variant>
        <vt:i4>0</vt:i4>
      </vt:variant>
      <vt:variant>
        <vt:i4>5</vt:i4>
      </vt:variant>
      <vt:variant>
        <vt:lpwstr/>
      </vt:variant>
      <vt:variant>
        <vt:lpwstr>_Toc102038484</vt:lpwstr>
      </vt:variant>
      <vt:variant>
        <vt:i4>1507380</vt:i4>
      </vt:variant>
      <vt:variant>
        <vt:i4>65</vt:i4>
      </vt:variant>
      <vt:variant>
        <vt:i4>0</vt:i4>
      </vt:variant>
      <vt:variant>
        <vt:i4>5</vt:i4>
      </vt:variant>
      <vt:variant>
        <vt:lpwstr/>
      </vt:variant>
      <vt:variant>
        <vt:lpwstr>_Toc102038483</vt:lpwstr>
      </vt:variant>
      <vt:variant>
        <vt:i4>1507380</vt:i4>
      </vt:variant>
      <vt:variant>
        <vt:i4>59</vt:i4>
      </vt:variant>
      <vt:variant>
        <vt:i4>0</vt:i4>
      </vt:variant>
      <vt:variant>
        <vt:i4>5</vt:i4>
      </vt:variant>
      <vt:variant>
        <vt:lpwstr/>
      </vt:variant>
      <vt:variant>
        <vt:lpwstr>_Toc102038482</vt:lpwstr>
      </vt:variant>
      <vt:variant>
        <vt:i4>1507380</vt:i4>
      </vt:variant>
      <vt:variant>
        <vt:i4>53</vt:i4>
      </vt:variant>
      <vt:variant>
        <vt:i4>0</vt:i4>
      </vt:variant>
      <vt:variant>
        <vt:i4>5</vt:i4>
      </vt:variant>
      <vt:variant>
        <vt:lpwstr/>
      </vt:variant>
      <vt:variant>
        <vt:lpwstr>_Toc102038481</vt:lpwstr>
      </vt:variant>
      <vt:variant>
        <vt:i4>1507380</vt:i4>
      </vt:variant>
      <vt:variant>
        <vt:i4>47</vt:i4>
      </vt:variant>
      <vt:variant>
        <vt:i4>0</vt:i4>
      </vt:variant>
      <vt:variant>
        <vt:i4>5</vt:i4>
      </vt:variant>
      <vt:variant>
        <vt:lpwstr/>
      </vt:variant>
      <vt:variant>
        <vt:lpwstr>_Toc102038480</vt:lpwstr>
      </vt:variant>
      <vt:variant>
        <vt:i4>1572916</vt:i4>
      </vt:variant>
      <vt:variant>
        <vt:i4>41</vt:i4>
      </vt:variant>
      <vt:variant>
        <vt:i4>0</vt:i4>
      </vt:variant>
      <vt:variant>
        <vt:i4>5</vt:i4>
      </vt:variant>
      <vt:variant>
        <vt:lpwstr/>
      </vt:variant>
      <vt:variant>
        <vt:lpwstr>_Toc102038479</vt:lpwstr>
      </vt:variant>
      <vt:variant>
        <vt:i4>1572916</vt:i4>
      </vt:variant>
      <vt:variant>
        <vt:i4>35</vt:i4>
      </vt:variant>
      <vt:variant>
        <vt:i4>0</vt:i4>
      </vt:variant>
      <vt:variant>
        <vt:i4>5</vt:i4>
      </vt:variant>
      <vt:variant>
        <vt:lpwstr/>
      </vt:variant>
      <vt:variant>
        <vt:lpwstr>_Toc102038478</vt:lpwstr>
      </vt:variant>
      <vt:variant>
        <vt:i4>1572916</vt:i4>
      </vt:variant>
      <vt:variant>
        <vt:i4>29</vt:i4>
      </vt:variant>
      <vt:variant>
        <vt:i4>0</vt:i4>
      </vt:variant>
      <vt:variant>
        <vt:i4>5</vt:i4>
      </vt:variant>
      <vt:variant>
        <vt:lpwstr/>
      </vt:variant>
      <vt:variant>
        <vt:lpwstr>_Toc102038477</vt:lpwstr>
      </vt:variant>
      <vt:variant>
        <vt:i4>1572916</vt:i4>
      </vt:variant>
      <vt:variant>
        <vt:i4>23</vt:i4>
      </vt:variant>
      <vt:variant>
        <vt:i4>0</vt:i4>
      </vt:variant>
      <vt:variant>
        <vt:i4>5</vt:i4>
      </vt:variant>
      <vt:variant>
        <vt:lpwstr/>
      </vt:variant>
      <vt:variant>
        <vt:lpwstr>_Toc102038476</vt:lpwstr>
      </vt:variant>
      <vt:variant>
        <vt:i4>1572916</vt:i4>
      </vt:variant>
      <vt:variant>
        <vt:i4>17</vt:i4>
      </vt:variant>
      <vt:variant>
        <vt:i4>0</vt:i4>
      </vt:variant>
      <vt:variant>
        <vt:i4>5</vt:i4>
      </vt:variant>
      <vt:variant>
        <vt:lpwstr/>
      </vt:variant>
      <vt:variant>
        <vt:lpwstr>_Toc102038475</vt:lpwstr>
      </vt:variant>
      <vt:variant>
        <vt:i4>1572916</vt:i4>
      </vt:variant>
      <vt:variant>
        <vt:i4>11</vt:i4>
      </vt:variant>
      <vt:variant>
        <vt:i4>0</vt:i4>
      </vt:variant>
      <vt:variant>
        <vt:i4>5</vt:i4>
      </vt:variant>
      <vt:variant>
        <vt:lpwstr/>
      </vt:variant>
      <vt:variant>
        <vt:lpwstr>_Toc102038474</vt:lpwstr>
      </vt:variant>
      <vt:variant>
        <vt:i4>3932192</vt:i4>
      </vt:variant>
      <vt:variant>
        <vt:i4>3</vt:i4>
      </vt:variant>
      <vt:variant>
        <vt:i4>0</vt:i4>
      </vt:variant>
      <vt:variant>
        <vt:i4>5</vt:i4>
      </vt:variant>
      <vt:variant>
        <vt:lpwstr>https://www.actcoss.org.au/</vt:lpwstr>
      </vt:variant>
      <vt:variant>
        <vt:lpwstr/>
      </vt:variant>
      <vt:variant>
        <vt:i4>721016</vt:i4>
      </vt:variant>
      <vt:variant>
        <vt:i4>0</vt:i4>
      </vt:variant>
      <vt:variant>
        <vt:i4>0</vt:i4>
      </vt:variant>
      <vt:variant>
        <vt:i4>5</vt:i4>
      </vt:variant>
      <vt:variant>
        <vt:lpwstr>mailto:actcoss@actcoss.org.au</vt:lpwstr>
      </vt:variant>
      <vt:variant>
        <vt:lpwstr/>
      </vt:variant>
      <vt:variant>
        <vt:i4>2359300</vt:i4>
      </vt:variant>
      <vt:variant>
        <vt:i4>111</vt:i4>
      </vt:variant>
      <vt:variant>
        <vt:i4>0</vt:i4>
      </vt:variant>
      <vt:variant>
        <vt:i4>5</vt:i4>
      </vt:variant>
      <vt:variant>
        <vt:lpwstr>https://www.aph.gov.au/About_Parliament/Parliamentary_Departments/Parliamentary_Library/FlagPost/2014/April/Pension-indexation</vt:lpwstr>
      </vt:variant>
      <vt:variant>
        <vt:lpwstr/>
      </vt:variant>
      <vt:variant>
        <vt:i4>5570572</vt:i4>
      </vt:variant>
      <vt:variant>
        <vt:i4>108</vt:i4>
      </vt:variant>
      <vt:variant>
        <vt:i4>0</vt:i4>
      </vt:variant>
      <vt:variant>
        <vt:i4>5</vt:i4>
      </vt:variant>
      <vt:variant>
        <vt:lpwstr>https://www.abs.gov.au/methodologies/selected-living-cost-indexes-australia-methodology/mar-2021</vt:lpwstr>
      </vt:variant>
      <vt:variant>
        <vt:lpwstr/>
      </vt:variant>
      <vt:variant>
        <vt:i4>393222</vt:i4>
      </vt:variant>
      <vt:variant>
        <vt:i4>105</vt:i4>
      </vt:variant>
      <vt:variant>
        <vt:i4>0</vt:i4>
      </vt:variant>
      <vt:variant>
        <vt:i4>5</vt:i4>
      </vt:variant>
      <vt:variant>
        <vt:lpwstr>https://www.sacoss.org.au/sites/default/files/public/documents/Reports/Cost of Living Reports/190130 Cost of Living Update37.pdf</vt:lpwstr>
      </vt:variant>
      <vt:variant>
        <vt:lpwstr/>
      </vt:variant>
      <vt:variant>
        <vt:i4>5898245</vt:i4>
      </vt:variant>
      <vt:variant>
        <vt:i4>102</vt:i4>
      </vt:variant>
      <vt:variant>
        <vt:i4>0</vt:i4>
      </vt:variant>
      <vt:variant>
        <vt:i4>5</vt:i4>
      </vt:variant>
      <vt:variant>
        <vt:lpwstr>https://www.aph.gov.au/About_Parliament/Parliamentary_Departments/Parliamentary_Library/FlagPost/2020/August/Pension_and_JobSeeker_indexation</vt:lpwstr>
      </vt:variant>
      <vt:variant>
        <vt:lpwstr/>
      </vt:variant>
      <vt:variant>
        <vt:i4>589830</vt:i4>
      </vt:variant>
      <vt:variant>
        <vt:i4>99</vt:i4>
      </vt:variant>
      <vt:variant>
        <vt:i4>0</vt:i4>
      </vt:variant>
      <vt:variant>
        <vt:i4>5</vt:i4>
      </vt:variant>
      <vt:variant>
        <vt:lpwstr>https://everybodyshome.com.au/heat-maps/</vt:lpwstr>
      </vt:variant>
      <vt:variant>
        <vt:lpwstr/>
      </vt:variant>
      <vt:variant>
        <vt:i4>1310738</vt:i4>
      </vt:variant>
      <vt:variant>
        <vt:i4>96</vt:i4>
      </vt:variant>
      <vt:variant>
        <vt:i4>0</vt:i4>
      </vt:variant>
      <vt:variant>
        <vt:i4>5</vt:i4>
      </vt:variant>
      <vt:variant>
        <vt:lpwstr>https://www.infrastructurevictoria.com.au/wp-content/uploads/2019/04/Infrastructure-Victoria-Technical-Paper-%E2%80%93-What-are-the-impacts-of-living-in-social-housing-May-2018.pdf</vt:lpwstr>
      </vt:variant>
      <vt:variant>
        <vt:lpwstr/>
      </vt:variant>
      <vt:variant>
        <vt:i4>6488153</vt:i4>
      </vt:variant>
      <vt:variant>
        <vt:i4>93</vt:i4>
      </vt:variant>
      <vt:variant>
        <vt:i4>0</vt:i4>
      </vt:variant>
      <vt:variant>
        <vt:i4>5</vt:i4>
      </vt:variant>
      <vt:variant>
        <vt:lpwstr>http://www.nwhn.net.au/admin/file/content101/c6/social_housing_initiative_review.pdf</vt:lpwstr>
      </vt:variant>
      <vt:variant>
        <vt:lpwstr/>
      </vt:variant>
      <vt:variant>
        <vt:i4>2097256</vt:i4>
      </vt:variant>
      <vt:variant>
        <vt:i4>90</vt:i4>
      </vt:variant>
      <vt:variant>
        <vt:i4>0</vt:i4>
      </vt:variant>
      <vt:variant>
        <vt:i4>5</vt:i4>
      </vt:variant>
      <vt:variant>
        <vt:lpwstr>http://www.equityeconomics.com.au/nowhere-to-go</vt:lpwstr>
      </vt:variant>
      <vt:variant>
        <vt:lpwstr/>
      </vt:variant>
      <vt:variant>
        <vt:i4>2293866</vt:i4>
      </vt:variant>
      <vt:variant>
        <vt:i4>87</vt:i4>
      </vt:variant>
      <vt:variant>
        <vt:i4>0</vt:i4>
      </vt:variant>
      <vt:variant>
        <vt:i4>5</vt:i4>
      </vt:variant>
      <vt:variant>
        <vt:lpwstr>https://www.communityservices.act.gov.au/hcs/act-housing-strategy-growing-and-renewing-public-housing-2019-2024</vt:lpwstr>
      </vt:variant>
      <vt:variant>
        <vt:lpwstr/>
      </vt:variant>
      <vt:variant>
        <vt:i4>5767285</vt:i4>
      </vt:variant>
      <vt:variant>
        <vt:i4>84</vt:i4>
      </vt:variant>
      <vt:variant>
        <vt:i4>0</vt:i4>
      </vt:variant>
      <vt:variant>
        <vt:i4>5</vt:i4>
      </vt:variant>
      <vt:variant>
        <vt:lpwstr>https://cityfutures.be.unsw.edu.au/documents/522/Modelling_costs_of_housing_provision_FINAL.pdf</vt:lpwstr>
      </vt:variant>
      <vt:variant>
        <vt:lpwstr/>
      </vt:variant>
      <vt:variant>
        <vt:i4>2818093</vt:i4>
      </vt:variant>
      <vt:variant>
        <vt:i4>81</vt:i4>
      </vt:variant>
      <vt:variant>
        <vt:i4>0</vt:i4>
      </vt:variant>
      <vt:variant>
        <vt:i4>5</vt:i4>
      </vt:variant>
      <vt:variant>
        <vt:lpwstr>https://www.ahuri.edu.au/research/final-reports/306</vt:lpwstr>
      </vt:variant>
      <vt:variant>
        <vt:lpwstr/>
      </vt:variant>
      <vt:variant>
        <vt:i4>2883646</vt:i4>
      </vt:variant>
      <vt:variant>
        <vt:i4>78</vt:i4>
      </vt:variant>
      <vt:variant>
        <vt:i4>0</vt:i4>
      </vt:variant>
      <vt:variant>
        <vt:i4>5</vt:i4>
      </vt:variant>
      <vt:variant>
        <vt:lpwstr>https://www.pc.gov.au/research/ongoing/report-on-government-services/2022/housing-and-homelessness</vt:lpwstr>
      </vt:variant>
      <vt:variant>
        <vt:lpwstr/>
      </vt:variant>
      <vt:variant>
        <vt:i4>2883646</vt:i4>
      </vt:variant>
      <vt:variant>
        <vt:i4>75</vt:i4>
      </vt:variant>
      <vt:variant>
        <vt:i4>0</vt:i4>
      </vt:variant>
      <vt:variant>
        <vt:i4>5</vt:i4>
      </vt:variant>
      <vt:variant>
        <vt:lpwstr>https://www.pc.gov.au/research/ongoing/report-on-government-services/2022/housing-and-homelessness</vt:lpwstr>
      </vt:variant>
      <vt:variant>
        <vt:lpwstr/>
      </vt:variant>
      <vt:variant>
        <vt:i4>6160400</vt:i4>
      </vt:variant>
      <vt:variant>
        <vt:i4>72</vt:i4>
      </vt:variant>
      <vt:variant>
        <vt:i4>0</vt:i4>
      </vt:variant>
      <vt:variant>
        <vt:i4>5</vt:i4>
      </vt:variant>
      <vt:variant>
        <vt:lpwstr>https://www.anglicare.asn.au/publications/rental-affordability-snapshot-2022/</vt:lpwstr>
      </vt:variant>
      <vt:variant>
        <vt:lpwstr/>
      </vt:variant>
      <vt:variant>
        <vt:i4>3473517</vt:i4>
      </vt:variant>
      <vt:variant>
        <vt:i4>69</vt:i4>
      </vt:variant>
      <vt:variant>
        <vt:i4>0</vt:i4>
      </vt:variant>
      <vt:variant>
        <vt:i4>5</vt:i4>
      </vt:variant>
      <vt:variant>
        <vt:lpwstr>https://everybodyshome.com.au/national-homelessness-week-rental-crisis-hits-covid-essential-workforce/</vt:lpwstr>
      </vt:variant>
      <vt:variant>
        <vt:lpwstr/>
      </vt:variant>
      <vt:variant>
        <vt:i4>4063345</vt:i4>
      </vt:variant>
      <vt:variant>
        <vt:i4>66</vt:i4>
      </vt:variant>
      <vt:variant>
        <vt:i4>0</vt:i4>
      </vt:variant>
      <vt:variant>
        <vt:i4>5</vt:i4>
      </vt:variant>
      <vt:variant>
        <vt:lpwstr>https://everybodyshome.com.au/young-australians-crunched-by-housing-crisis/</vt:lpwstr>
      </vt:variant>
      <vt:variant>
        <vt:lpwstr/>
      </vt:variant>
      <vt:variant>
        <vt:i4>1179718</vt:i4>
      </vt:variant>
      <vt:variant>
        <vt:i4>63</vt:i4>
      </vt:variant>
      <vt:variant>
        <vt:i4>0</vt:i4>
      </vt:variant>
      <vt:variant>
        <vt:i4>5</vt:i4>
      </vt:variant>
      <vt:variant>
        <vt:lpwstr>https://yoursayconversations.act.gov.au/expanding-rights-renters</vt:lpwstr>
      </vt:variant>
      <vt:variant>
        <vt:lpwstr/>
      </vt:variant>
      <vt:variant>
        <vt:i4>2949154</vt:i4>
      </vt:variant>
      <vt:variant>
        <vt:i4>60</vt:i4>
      </vt:variant>
      <vt:variant>
        <vt:i4>0</vt:i4>
      </vt:variant>
      <vt:variant>
        <vt:i4>5</vt:i4>
      </vt:variant>
      <vt:variant>
        <vt:lpwstr>https://www.actcoss.org.au/publications/advocacy-publications/submission-ending-no-cause-evictions-and-other-measures-proposed</vt:lpwstr>
      </vt:variant>
      <vt:variant>
        <vt:lpwstr/>
      </vt:variant>
      <vt:variant>
        <vt:i4>5177427</vt:i4>
      </vt:variant>
      <vt:variant>
        <vt:i4>57</vt:i4>
      </vt:variant>
      <vt:variant>
        <vt:i4>0</vt:i4>
      </vt:variant>
      <vt:variant>
        <vt:i4>5</vt:i4>
      </vt:variant>
      <vt:variant>
        <vt:lpwstr>https://www.domain.com.au/research/vacancy-rates-march-2022-1128965/</vt:lpwstr>
      </vt:variant>
      <vt:variant>
        <vt:lpwstr/>
      </vt:variant>
      <vt:variant>
        <vt:i4>1310723</vt:i4>
      </vt:variant>
      <vt:variant>
        <vt:i4>54</vt:i4>
      </vt:variant>
      <vt:variant>
        <vt:i4>0</vt:i4>
      </vt:variant>
      <vt:variant>
        <vt:i4>5</vt:i4>
      </vt:variant>
      <vt:variant>
        <vt:lpwstr>https://www.domain.com.au/research/rental-report/march-2022/</vt:lpwstr>
      </vt:variant>
      <vt:variant>
        <vt:lpwstr>canberra</vt:lpwstr>
      </vt:variant>
      <vt:variant>
        <vt:i4>1376258</vt:i4>
      </vt:variant>
      <vt:variant>
        <vt:i4>51</vt:i4>
      </vt:variant>
      <vt:variant>
        <vt:i4>0</vt:i4>
      </vt:variant>
      <vt:variant>
        <vt:i4>5</vt:i4>
      </vt:variant>
      <vt:variant>
        <vt:lpwstr>https://www.pc.gov.au/research/ongoing/report-on-government-services</vt:lpwstr>
      </vt:variant>
      <vt:variant>
        <vt:lpwstr/>
      </vt:variant>
      <vt:variant>
        <vt:i4>1572946</vt:i4>
      </vt:variant>
      <vt:variant>
        <vt:i4>48</vt:i4>
      </vt:variant>
      <vt:variant>
        <vt:i4>0</vt:i4>
      </vt:variant>
      <vt:variant>
        <vt:i4>5</vt:i4>
      </vt:variant>
      <vt:variant>
        <vt:lpwstr>https://www.actcoss.org.au/publications/advocacy-publications/submission-minimum-energy-efficiency-standards-rental-homes-act</vt:lpwstr>
      </vt:variant>
      <vt:variant>
        <vt:lpwstr/>
      </vt:variant>
      <vt:variant>
        <vt:i4>1966154</vt:i4>
      </vt:variant>
      <vt:variant>
        <vt:i4>45</vt:i4>
      </vt:variant>
      <vt:variant>
        <vt:i4>0</vt:i4>
      </vt:variant>
      <vt:variant>
        <vt:i4>5</vt:i4>
      </vt:variant>
      <vt:variant>
        <vt:lpwstr>https://yoursayconversations.act.gov.au/minimum-energy-standards</vt:lpwstr>
      </vt:variant>
      <vt:variant>
        <vt:lpwstr/>
      </vt:variant>
      <vt:variant>
        <vt:i4>6750234</vt:i4>
      </vt:variant>
      <vt:variant>
        <vt:i4>42</vt:i4>
      </vt:variant>
      <vt:variant>
        <vt:i4>0</vt:i4>
      </vt:variant>
      <vt:variant>
        <vt:i4>5</vt:i4>
      </vt:variant>
      <vt:variant>
        <vt:lpwstr>https://www.cmtedd.act.gov.au/__data/assets/pdf_file/0003/1654077/Parliamentary-Agreement-for-the-10th-Legislative-Assembly.pdf</vt:lpwstr>
      </vt:variant>
      <vt:variant>
        <vt:lpwstr/>
      </vt:variant>
      <vt:variant>
        <vt:i4>6225924</vt:i4>
      </vt:variant>
      <vt:variant>
        <vt:i4>39</vt:i4>
      </vt:variant>
      <vt:variant>
        <vt:i4>0</vt:i4>
      </vt:variant>
      <vt:variant>
        <vt:i4>5</vt:i4>
      </vt:variant>
      <vt:variant>
        <vt:lpwstr>https://aemo.com.au/newsroom/media-release/electricity-prices-driven-by-outages-and-higher-generation-costs-in-volatile-march-quarter</vt:lpwstr>
      </vt:variant>
      <vt:variant>
        <vt:lpwstr/>
      </vt:variant>
      <vt:variant>
        <vt:i4>2818147</vt:i4>
      </vt:variant>
      <vt:variant>
        <vt:i4>36</vt:i4>
      </vt:variant>
      <vt:variant>
        <vt:i4>0</vt:i4>
      </vt:variant>
      <vt:variant>
        <vt:i4>5</vt:i4>
      </vt:variant>
      <vt:variant>
        <vt:lpwstr>https://www.aer.gov.au/publications/state-of-the-energy-market-reports/state-of-the-energy-market-2021</vt:lpwstr>
      </vt:variant>
      <vt:variant>
        <vt:lpwstr/>
      </vt:variant>
      <vt:variant>
        <vt:i4>1310727</vt:i4>
      </vt:variant>
      <vt:variant>
        <vt:i4>33</vt:i4>
      </vt:variant>
      <vt:variant>
        <vt:i4>0</vt:i4>
      </vt:variant>
      <vt:variant>
        <vt:i4>5</vt:i4>
      </vt:variant>
      <vt:variant>
        <vt:lpwstr>https://www.icrc.act.gov.au/energy/electricity/retail-electricity-prices-2020-24</vt:lpwstr>
      </vt:variant>
      <vt:variant>
        <vt:lpwstr/>
      </vt:variant>
      <vt:variant>
        <vt:i4>3145855</vt:i4>
      </vt:variant>
      <vt:variant>
        <vt:i4>30</vt:i4>
      </vt:variant>
      <vt:variant>
        <vt:i4>0</vt:i4>
      </vt:variant>
      <vt:variant>
        <vt:i4>5</vt:i4>
      </vt:variant>
      <vt:variant>
        <vt:lpwstr>https://theconversation.com/what-would-it-take-to-get-australians-to-buy-electric-cars-canberra-provides-a-guide-178778</vt:lpwstr>
      </vt:variant>
      <vt:variant>
        <vt:lpwstr/>
      </vt:variant>
      <vt:variant>
        <vt:i4>6291566</vt:i4>
      </vt:variant>
      <vt:variant>
        <vt:i4>27</vt:i4>
      </vt:variant>
      <vt:variant>
        <vt:i4>0</vt:i4>
      </vt:variant>
      <vt:variant>
        <vt:i4>5</vt:i4>
      </vt:variant>
      <vt:variant>
        <vt:lpwstr>https://www.actcoss.org.au/publications/advocacy-publications/submission-actcoss-act-budget-priorities-2021-22</vt:lpwstr>
      </vt:variant>
      <vt:variant>
        <vt:lpwstr/>
      </vt:variant>
      <vt:variant>
        <vt:i4>2293796</vt:i4>
      </vt:variant>
      <vt:variant>
        <vt:i4>24</vt:i4>
      </vt:variant>
      <vt:variant>
        <vt:i4>0</vt:i4>
      </vt:variant>
      <vt:variant>
        <vt:i4>5</vt:i4>
      </vt:variant>
      <vt:variant>
        <vt:lpwstr>https://www.actcoss.org.au/publications/advocacy-publications/act-cost-living-report-transport-2016</vt:lpwstr>
      </vt:variant>
      <vt:variant>
        <vt:lpwstr/>
      </vt:variant>
      <vt:variant>
        <vt:i4>2293796</vt:i4>
      </vt:variant>
      <vt:variant>
        <vt:i4>21</vt:i4>
      </vt:variant>
      <vt:variant>
        <vt:i4>0</vt:i4>
      </vt:variant>
      <vt:variant>
        <vt:i4>5</vt:i4>
      </vt:variant>
      <vt:variant>
        <vt:lpwstr>https://www.actcoss.org.au/publications/advocacy-publications/act-cost-living-report-transport-2016</vt:lpwstr>
      </vt:variant>
      <vt:variant>
        <vt:lpwstr/>
      </vt:variant>
      <vt:variant>
        <vt:i4>4128884</vt:i4>
      </vt:variant>
      <vt:variant>
        <vt:i4>18</vt:i4>
      </vt:variant>
      <vt:variant>
        <vt:i4>0</vt:i4>
      </vt:variant>
      <vt:variant>
        <vt:i4>5</vt:i4>
      </vt:variant>
      <vt:variant>
        <vt:lpwstr>https://www.environment.act.gov.au/energy/act-sustainable-energy-policy-2020-25</vt:lpwstr>
      </vt:variant>
      <vt:variant>
        <vt:lpwstr/>
      </vt:variant>
      <vt:variant>
        <vt:i4>3801127</vt:i4>
      </vt:variant>
      <vt:variant>
        <vt:i4>15</vt:i4>
      </vt:variant>
      <vt:variant>
        <vt:i4>0</vt:i4>
      </vt:variant>
      <vt:variant>
        <vt:i4>5</vt:i4>
      </vt:variant>
      <vt:variant>
        <vt:lpwstr>https://www.abs.gov.au/statistics/economy/price-indexes-and-inflation/consumer-price-index-australia/latest-release</vt:lpwstr>
      </vt:variant>
      <vt:variant>
        <vt:lpwstr>capital-cities-comparison</vt:lpwstr>
      </vt:variant>
      <vt:variant>
        <vt:i4>6619237</vt:i4>
      </vt:variant>
      <vt:variant>
        <vt:i4>12</vt:i4>
      </vt:variant>
      <vt:variant>
        <vt:i4>0</vt:i4>
      </vt:variant>
      <vt:variant>
        <vt:i4>5</vt:i4>
      </vt:variant>
      <vt:variant>
        <vt:lpwstr>https://povertyandinequality.acoss.org.au/wp-content/uploads/2020/02/Poverty-in-Australia-2020_Part-1_Overview-1.pdf</vt:lpwstr>
      </vt:variant>
      <vt:variant>
        <vt:lpwstr/>
      </vt:variant>
      <vt:variant>
        <vt:i4>852052</vt:i4>
      </vt:variant>
      <vt:variant>
        <vt:i4>9</vt:i4>
      </vt:variant>
      <vt:variant>
        <vt:i4>0</vt:i4>
      </vt:variant>
      <vt:variant>
        <vt:i4>5</vt:i4>
      </vt:variant>
      <vt:variant>
        <vt:lpwstr>https://www.actcoss.org.au/publications/advocacy-publications/factsheet-poverty-and-covid-19-act</vt:lpwstr>
      </vt:variant>
      <vt:variant>
        <vt:lpwstr/>
      </vt:variant>
      <vt:variant>
        <vt:i4>1114142</vt:i4>
      </vt:variant>
      <vt:variant>
        <vt:i4>6</vt:i4>
      </vt:variant>
      <vt:variant>
        <vt:i4>0</vt:i4>
      </vt:variant>
      <vt:variant>
        <vt:i4>5</vt:i4>
      </vt:variant>
      <vt:variant>
        <vt:lpwstr>https://www.actcoss.org.au/publications/advocacy-publications/2021-act-cost-living-report</vt:lpwstr>
      </vt:variant>
      <vt:variant>
        <vt:lpwstr/>
      </vt:variant>
      <vt:variant>
        <vt:i4>2490386</vt:i4>
      </vt:variant>
      <vt:variant>
        <vt:i4>3</vt:i4>
      </vt:variant>
      <vt:variant>
        <vt:i4>0</vt:i4>
      </vt:variant>
      <vt:variant>
        <vt:i4>5</vt:i4>
      </vt:variant>
      <vt:variant>
        <vt:lpwstr>https://povertyandinequality.acoss.org.au/wp-content/uploads/2022/03/Build-back-fairer-report-3_FINAL.pdf</vt:lpwstr>
      </vt:variant>
      <vt:variant>
        <vt:lpwstr/>
      </vt:variant>
      <vt:variant>
        <vt:i4>393220</vt:i4>
      </vt:variant>
      <vt:variant>
        <vt:i4>0</vt:i4>
      </vt:variant>
      <vt:variant>
        <vt:i4>0</vt:i4>
      </vt:variant>
      <vt:variant>
        <vt:i4>5</vt:i4>
      </vt:variant>
      <vt:variant>
        <vt:lpwstr>https://www.abs.gov.au/media-centre/media-releases/cpi-rose-21-march-2022-quarter</vt:lpwstr>
      </vt:variant>
      <vt:variant>
        <vt:lpwstr/>
      </vt:variant>
      <vt:variant>
        <vt:i4>3735578</vt:i4>
      </vt:variant>
      <vt:variant>
        <vt:i4>0</vt:i4>
      </vt:variant>
      <vt:variant>
        <vt:i4>0</vt:i4>
      </vt:variant>
      <vt:variant>
        <vt:i4>5</vt:i4>
      </vt:variant>
      <vt:variant>
        <vt:lpwstr>mailto:geoff.buchanan@actcoss.org.au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ACT Cost of Living Report</dc:title>
  <dc:subject/>
  <dc:creator>Geoff Buchanan</dc:creator>
  <cp:keywords/>
  <dc:description/>
  <cp:lastModifiedBy>Suzanne Richardson</cp:lastModifiedBy>
  <cp:revision>7</cp:revision>
  <cp:lastPrinted>2011-07-22T03:29:00Z</cp:lastPrinted>
  <dcterms:created xsi:type="dcterms:W3CDTF">2022-05-05T05:08:00Z</dcterms:created>
  <dcterms:modified xsi:type="dcterms:W3CDTF">2022-05-05T05:11:00Z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AuthorIds_UIVersion_512">
    <vt:lpwstr>6</vt:lpwstr>
  </property>
  <property fmtid="{D5CDD505-2E9C-101B-9397-08002B2CF9AE}" pid="5" name="AuthorIds_UIVersion_2560">
    <vt:lpwstr>6</vt:lpwstr>
  </property>
  <property fmtid="{D5CDD505-2E9C-101B-9397-08002B2CF9AE}" pid="6" name="_MarkAsFinal">
    <vt:bool>true</vt:bool>
  </property>
</Properties>
</file>