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BCC49" w14:textId="5990A31B" w:rsidR="00F62238" w:rsidRPr="00A6087F" w:rsidRDefault="00551B34" w:rsidP="009401A9">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7275"/>
        </w:tabs>
      </w:pPr>
      <w:r w:rsidRPr="00A6087F">
        <w:rPr>
          <w:noProof/>
          <w:lang w:eastAsia="en-AU"/>
        </w:rPr>
        <w:drawing>
          <wp:anchor distT="0" distB="0" distL="114300" distR="114300" simplePos="0" relativeHeight="251658240" behindDoc="1" locked="0" layoutInCell="1" allowOverlap="1" wp14:anchorId="66308F6E" wp14:editId="1CCE2292">
            <wp:simplePos x="0" y="0"/>
            <wp:positionH relativeFrom="column">
              <wp:posOffset>-1192530</wp:posOffset>
            </wp:positionH>
            <wp:positionV relativeFrom="page">
              <wp:posOffset>-242570</wp:posOffset>
            </wp:positionV>
            <wp:extent cx="9237345" cy="3506470"/>
            <wp:effectExtent l="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7345" cy="3506470"/>
                    </a:xfrm>
                    <a:prstGeom prst="rect">
                      <a:avLst/>
                    </a:prstGeom>
                    <a:noFill/>
                  </pic:spPr>
                </pic:pic>
              </a:graphicData>
            </a:graphic>
            <wp14:sizeRelH relativeFrom="page">
              <wp14:pctWidth>0</wp14:pctWidth>
            </wp14:sizeRelH>
            <wp14:sizeRelV relativeFrom="page">
              <wp14:pctHeight>0</wp14:pctHeight>
            </wp14:sizeRelV>
          </wp:anchor>
        </w:drawing>
      </w:r>
      <w:r w:rsidR="009401A9" w:rsidRPr="00A6087F">
        <w:tab/>
      </w:r>
    </w:p>
    <w:p w14:paraId="6AD8D74C" w14:textId="77777777" w:rsidR="00F62238" w:rsidRPr="00A6087F" w:rsidRDefault="00F62238" w:rsidP="00E225A5">
      <w:pPr>
        <w:pStyle w:val="Logo-Centred"/>
        <w:jc w:val="right"/>
      </w:pPr>
    </w:p>
    <w:p w14:paraId="1BC86317" w14:textId="77777777" w:rsidR="00F62238" w:rsidRPr="00A6087F" w:rsidRDefault="00F62238" w:rsidP="00F62238">
      <w:pPr>
        <w:pStyle w:val="Logo-Centred"/>
      </w:pPr>
    </w:p>
    <w:p w14:paraId="718E3328" w14:textId="77777777" w:rsidR="00F62238" w:rsidRPr="00A6087F" w:rsidRDefault="00F62238" w:rsidP="00F62238">
      <w:pPr>
        <w:pStyle w:val="Logo-Centred"/>
      </w:pPr>
    </w:p>
    <w:p w14:paraId="774D8282" w14:textId="77777777" w:rsidR="00F62238" w:rsidRPr="00A6087F" w:rsidRDefault="00F62238" w:rsidP="00F62238">
      <w:pPr>
        <w:pStyle w:val="Logo-Centred"/>
      </w:pPr>
    </w:p>
    <w:p w14:paraId="7394B487" w14:textId="77777777" w:rsidR="00F62238" w:rsidRPr="00A6087F" w:rsidRDefault="00F62238" w:rsidP="00F62238">
      <w:pPr>
        <w:pStyle w:val="Logo-Centred"/>
      </w:pPr>
    </w:p>
    <w:p w14:paraId="2ADE9043" w14:textId="77777777" w:rsidR="00F62238" w:rsidRPr="00A6087F" w:rsidRDefault="00F62238" w:rsidP="00F62238">
      <w:pPr>
        <w:pStyle w:val="Logo-Centred"/>
      </w:pPr>
    </w:p>
    <w:p w14:paraId="37511F80" w14:textId="77777777" w:rsidR="00F62238" w:rsidRPr="00A6087F" w:rsidRDefault="00F62238" w:rsidP="00F62238">
      <w:pPr>
        <w:pStyle w:val="Logo-Centred"/>
      </w:pPr>
    </w:p>
    <w:p w14:paraId="3E323E14" w14:textId="6DD2F675" w:rsidR="00F62238" w:rsidRPr="00A6087F" w:rsidRDefault="00551B34" w:rsidP="00F62238">
      <w:pPr>
        <w:pStyle w:val="Logo-Centred"/>
      </w:pPr>
      <w:r w:rsidRPr="00A6087F">
        <w:rPr>
          <w:noProof/>
        </w:rPr>
        <w:drawing>
          <wp:inline distT="0" distB="0" distL="0" distR="0" wp14:anchorId="6FFB493F" wp14:editId="14EA075E">
            <wp:extent cx="2886075" cy="1085850"/>
            <wp:effectExtent l="0" t="0" r="0" b="0"/>
            <wp:docPr id="1" name="Picture 1" descr="Logo: ACT Council of Social Service Inc. (ACTC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6075" cy="1085850"/>
                    </a:xfrm>
                    <a:prstGeom prst="rect">
                      <a:avLst/>
                    </a:prstGeom>
                    <a:noFill/>
                    <a:ln>
                      <a:noFill/>
                    </a:ln>
                  </pic:spPr>
                </pic:pic>
              </a:graphicData>
            </a:graphic>
          </wp:inline>
        </w:drawing>
      </w:r>
    </w:p>
    <w:p w14:paraId="2884512B" w14:textId="77777777" w:rsidR="00F62238" w:rsidRPr="00A6087F" w:rsidRDefault="00F62238" w:rsidP="003F3AC3">
      <w:pPr>
        <w:pStyle w:val="BodyText"/>
      </w:pPr>
    </w:p>
    <w:p w14:paraId="772AB888" w14:textId="77777777" w:rsidR="00F62238" w:rsidRPr="00A6087F" w:rsidRDefault="00F62238" w:rsidP="003F3AC3">
      <w:pPr>
        <w:pStyle w:val="BodyText"/>
      </w:pPr>
    </w:p>
    <w:p w14:paraId="3CF63869" w14:textId="77777777" w:rsidR="00F62238" w:rsidRPr="00A6087F" w:rsidRDefault="00F62238" w:rsidP="00F62238">
      <w:pPr>
        <w:pStyle w:val="Titlepagesubtitle"/>
      </w:pPr>
      <w:r w:rsidRPr="00A6087F">
        <w:t>Submission</w:t>
      </w:r>
      <w:r w:rsidR="00AB2DA8" w:rsidRPr="00A6087F">
        <w:t>:</w:t>
      </w:r>
    </w:p>
    <w:p w14:paraId="4CDEE97D" w14:textId="05CC4BDF" w:rsidR="00F62238" w:rsidRPr="00A6087F" w:rsidRDefault="00E42CEA" w:rsidP="00F62238">
      <w:pPr>
        <w:pStyle w:val="Titlepagetitle"/>
      </w:pPr>
      <w:r w:rsidRPr="00A6087F">
        <w:t xml:space="preserve">ACTCOSS </w:t>
      </w:r>
      <w:r w:rsidR="00606C89" w:rsidRPr="00A6087F">
        <w:t xml:space="preserve">ACT </w:t>
      </w:r>
      <w:r w:rsidR="0088565B" w:rsidRPr="00A6087F">
        <w:t xml:space="preserve">Budget Priorities </w:t>
      </w:r>
      <w:r w:rsidR="00AD3B9A" w:rsidRPr="00A6087F">
        <w:t>2022-23</w:t>
      </w:r>
    </w:p>
    <w:p w14:paraId="2389096B" w14:textId="0042E405" w:rsidR="0088565B" w:rsidRPr="00A6087F" w:rsidRDefault="00445072" w:rsidP="00F62238">
      <w:pPr>
        <w:pStyle w:val="Titlepagetitle"/>
        <w:rPr>
          <w:sz w:val="36"/>
          <w:szCs w:val="36"/>
        </w:rPr>
      </w:pPr>
      <w:r w:rsidRPr="00A6087F">
        <w:rPr>
          <w:sz w:val="36"/>
          <w:szCs w:val="36"/>
        </w:rPr>
        <w:t>Investing in housing, community services</w:t>
      </w:r>
      <w:r w:rsidR="00BE1234" w:rsidRPr="00A6087F">
        <w:rPr>
          <w:sz w:val="36"/>
          <w:szCs w:val="36"/>
        </w:rPr>
        <w:t xml:space="preserve">, </w:t>
      </w:r>
      <w:r w:rsidR="00872D54" w:rsidRPr="00A6087F">
        <w:rPr>
          <w:sz w:val="36"/>
          <w:szCs w:val="36"/>
        </w:rPr>
        <w:t xml:space="preserve">Aboriginal and/or Torres Strait Islander </w:t>
      </w:r>
      <w:r w:rsidR="000A4171" w:rsidRPr="00A6087F">
        <w:rPr>
          <w:sz w:val="36"/>
          <w:szCs w:val="36"/>
        </w:rPr>
        <w:br/>
      </w:r>
      <w:r w:rsidR="00872D54" w:rsidRPr="00A6087F">
        <w:rPr>
          <w:sz w:val="36"/>
          <w:szCs w:val="36"/>
        </w:rPr>
        <w:t>self-determination</w:t>
      </w:r>
      <w:r w:rsidR="00BE1234" w:rsidRPr="00A6087F">
        <w:rPr>
          <w:sz w:val="36"/>
          <w:szCs w:val="36"/>
        </w:rPr>
        <w:t xml:space="preserve"> and cost of living</w:t>
      </w:r>
      <w:r w:rsidR="00872D54" w:rsidRPr="00A6087F">
        <w:rPr>
          <w:sz w:val="36"/>
          <w:szCs w:val="36"/>
        </w:rPr>
        <w:t xml:space="preserve"> </w:t>
      </w:r>
      <w:r w:rsidR="00BE1234" w:rsidRPr="00A6087F">
        <w:rPr>
          <w:sz w:val="36"/>
          <w:szCs w:val="36"/>
        </w:rPr>
        <w:t xml:space="preserve">to ensure wellbeing for all </w:t>
      </w:r>
    </w:p>
    <w:p w14:paraId="1EB035FB" w14:textId="77777777" w:rsidR="00F62238" w:rsidRPr="00A6087F" w:rsidRDefault="00F62238" w:rsidP="00F62238">
      <w:pPr>
        <w:pStyle w:val="BodyText"/>
      </w:pPr>
    </w:p>
    <w:p w14:paraId="6913A24B" w14:textId="04516F2B" w:rsidR="00F62238" w:rsidRPr="00A6087F" w:rsidRDefault="002901C2" w:rsidP="00F62238">
      <w:pPr>
        <w:pStyle w:val="Titlepagesubtitle"/>
      </w:pPr>
      <w:r w:rsidRPr="00A6087F">
        <w:t>May 2022</w:t>
      </w:r>
    </w:p>
    <w:p w14:paraId="3145F55B" w14:textId="77777777" w:rsidR="00F62238" w:rsidRPr="00A6087F" w:rsidRDefault="00F62238" w:rsidP="00F62238">
      <w:pPr>
        <w:pStyle w:val="BodyText"/>
      </w:pPr>
    </w:p>
    <w:p w14:paraId="63E2834A" w14:textId="77777777" w:rsidR="005913F7" w:rsidRPr="00A6087F" w:rsidRDefault="005913F7" w:rsidP="00703089">
      <w:pPr>
        <w:pStyle w:val="PseudoHeading1"/>
      </w:pPr>
      <w:r w:rsidRPr="00A6087F">
        <w:lastRenderedPageBreak/>
        <w:t>About ACTCOSS</w:t>
      </w:r>
    </w:p>
    <w:p w14:paraId="0A1201F9" w14:textId="0514C0C4" w:rsidR="00DD3314" w:rsidRPr="00A6087F" w:rsidRDefault="00DD3314" w:rsidP="00DD3314">
      <w:pPr>
        <w:pStyle w:val="Frontmatter"/>
      </w:pPr>
      <w:r w:rsidRPr="00A6087F">
        <w:t>ACTCOSS acknowledges Canberra has been built on the land of the Ngunnawal people. We pay respects to their Elders and recognise the strength and resilience of Aboriginal and</w:t>
      </w:r>
      <w:r w:rsidR="00E97CC6" w:rsidRPr="00A6087F">
        <w:t>/or</w:t>
      </w:r>
      <w:r w:rsidRPr="00A6087F">
        <w:t xml:space="preserve"> Torres Strait Islander peoples. We celebrate Aboriginal and</w:t>
      </w:r>
      <w:r w:rsidR="00E97CC6" w:rsidRPr="00A6087F">
        <w:t>/or</w:t>
      </w:r>
      <w:r w:rsidRPr="00A6087F">
        <w:t xml:space="preserve"> Torres Strait Islander cultures and ongoing contribution</w:t>
      </w:r>
      <w:r w:rsidR="00E97CC6" w:rsidRPr="00A6087F">
        <w:t>s</w:t>
      </w:r>
      <w:r w:rsidRPr="00A6087F">
        <w:t xml:space="preserve"> to the ACT community.</w:t>
      </w:r>
    </w:p>
    <w:p w14:paraId="6FE26414" w14:textId="28A9014B" w:rsidR="00DD3314" w:rsidRPr="00A6087F" w:rsidRDefault="00DD3314" w:rsidP="00DD3314">
      <w:pPr>
        <w:pStyle w:val="Frontmatter"/>
      </w:pPr>
      <w:r w:rsidRPr="00A6087F">
        <w:t xml:space="preserve">The ACT Council of Social Service Inc. (ACTCOSS) </w:t>
      </w:r>
      <w:r w:rsidR="008D350D" w:rsidRPr="00A6087F">
        <w:t xml:space="preserve">advocates for social justice in the ACT and </w:t>
      </w:r>
      <w:r w:rsidRPr="00A6087F">
        <w:t>represents not-for-profit community organisations.</w:t>
      </w:r>
    </w:p>
    <w:p w14:paraId="5B263D10" w14:textId="77777777" w:rsidR="00DD3314" w:rsidRPr="00A6087F" w:rsidRDefault="00DD3314" w:rsidP="00DD3314">
      <w:pPr>
        <w:pStyle w:val="Frontmatter"/>
      </w:pPr>
      <w:r w:rsidRPr="00A6087F">
        <w:t>ACTCOSS is a member of the nationwide COSS Network, made up of each of the state and territory Councils and the national body, the Australian Council of Social Service (ACOSS).</w:t>
      </w:r>
    </w:p>
    <w:p w14:paraId="65017AEF" w14:textId="27409E91" w:rsidR="00DD3314" w:rsidRPr="00A6087F" w:rsidRDefault="00DD3314" w:rsidP="00DD3314">
      <w:pPr>
        <w:pStyle w:val="Frontmatter"/>
      </w:pPr>
      <w:proofErr w:type="spellStart"/>
      <w:r w:rsidRPr="00A6087F">
        <w:t>ACTCOSS’</w:t>
      </w:r>
      <w:r w:rsidR="00ED6E1E" w:rsidRPr="00A6087F">
        <w:t>s</w:t>
      </w:r>
      <w:proofErr w:type="spellEnd"/>
      <w:r w:rsidRPr="00A6087F">
        <w:t xml:space="preserve"> vision is for Canberra to be a just, </w:t>
      </w:r>
      <w:proofErr w:type="gramStart"/>
      <w:r w:rsidRPr="00A6087F">
        <w:t>safe</w:t>
      </w:r>
      <w:proofErr w:type="gramEnd"/>
      <w:r w:rsidRPr="00A6087F">
        <w:t xml:space="preserve"> and sustainable community in which everyone has the opportunity for self-determination and a fair share of resources and services.</w:t>
      </w:r>
    </w:p>
    <w:p w14:paraId="04D600CA" w14:textId="77777777" w:rsidR="00DD3314" w:rsidRPr="00A6087F" w:rsidRDefault="00DD3314" w:rsidP="00DD3314">
      <w:pPr>
        <w:pStyle w:val="Frontmatter"/>
      </w:pPr>
      <w:r w:rsidRPr="00A6087F">
        <w:t xml:space="preserve">The membership of the Council includes </w:t>
      </w:r>
      <w:proofErr w:type="gramStart"/>
      <w:r w:rsidRPr="00A6087F">
        <w:t>the majority of</w:t>
      </w:r>
      <w:proofErr w:type="gramEnd"/>
      <w:r w:rsidRPr="00A6087F">
        <w:t xml:space="preserve"> community-based service providers in the social welfare area, a range of community associations and networks, self-help and consumer groups and interested individuals.</w:t>
      </w:r>
    </w:p>
    <w:p w14:paraId="41903ED4" w14:textId="20E8F052" w:rsidR="005913F7" w:rsidRPr="00A6087F" w:rsidRDefault="00DD3314" w:rsidP="00DD3314">
      <w:pPr>
        <w:pStyle w:val="Frontmatter"/>
      </w:pPr>
      <w:r w:rsidRPr="00A6087F">
        <w:t>ACTCOSS advises that this document may be publicly distributed, including by placing a copy on our website.</w:t>
      </w:r>
    </w:p>
    <w:p w14:paraId="55C71DCF" w14:textId="77777777" w:rsidR="005913F7" w:rsidRPr="00A6087F" w:rsidRDefault="005913F7" w:rsidP="005913F7">
      <w:pPr>
        <w:pStyle w:val="Frontmatter"/>
        <w:rPr>
          <w:rStyle w:val="Bold"/>
        </w:rPr>
      </w:pPr>
      <w:r w:rsidRPr="00A6087F">
        <w:rPr>
          <w:rStyle w:val="Bold"/>
        </w:rPr>
        <w:t>Contact Details</w:t>
      </w:r>
    </w:p>
    <w:p w14:paraId="52CF8363" w14:textId="6133A8CB" w:rsidR="004F6015" w:rsidRPr="00A6087F" w:rsidRDefault="004F6015" w:rsidP="004F6015">
      <w:pPr>
        <w:pStyle w:val="Frontmatter"/>
      </w:pPr>
      <w:r w:rsidRPr="00A6087F">
        <w:t>Phone:</w:t>
      </w:r>
      <w:r w:rsidRPr="00A6087F">
        <w:tab/>
      </w:r>
      <w:r w:rsidRPr="00A6087F">
        <w:tab/>
        <w:t>02 6202 7200</w:t>
      </w:r>
      <w:r w:rsidRPr="00A6087F">
        <w:br/>
      </w:r>
      <w:r w:rsidR="00D5570A" w:rsidRPr="00A6087F">
        <w:t>Address</w:t>
      </w:r>
      <w:r w:rsidRPr="00A6087F">
        <w:t>:</w:t>
      </w:r>
      <w:r w:rsidRPr="00A6087F">
        <w:tab/>
      </w:r>
      <w:r w:rsidRPr="00A6087F">
        <w:tab/>
      </w:r>
      <w:r w:rsidR="00D5570A" w:rsidRPr="00A6087F">
        <w:t xml:space="preserve">Weston Community Hub, 1/6 </w:t>
      </w:r>
      <w:proofErr w:type="spellStart"/>
      <w:r w:rsidR="00D5570A" w:rsidRPr="00A6087F">
        <w:t>Gritten</w:t>
      </w:r>
      <w:proofErr w:type="spellEnd"/>
      <w:r w:rsidR="00D5570A" w:rsidRPr="00A6087F">
        <w:t xml:space="preserve"> St, Weston ACT 2611</w:t>
      </w:r>
      <w:r w:rsidRPr="00A6087F">
        <w:br/>
        <w:t>Email:</w:t>
      </w:r>
      <w:r w:rsidRPr="00A6087F">
        <w:tab/>
      </w:r>
      <w:r w:rsidRPr="00A6087F">
        <w:tab/>
      </w:r>
      <w:r w:rsidRPr="00A6087F">
        <w:tab/>
      </w:r>
      <w:hyperlink r:id="rId13" w:history="1">
        <w:r w:rsidRPr="00A6087F">
          <w:rPr>
            <w:rStyle w:val="Hyperlink"/>
          </w:rPr>
          <w:t>actcoss@actcoss.org.au</w:t>
        </w:r>
      </w:hyperlink>
      <w:r w:rsidRPr="00A6087F">
        <w:t xml:space="preserve">  </w:t>
      </w:r>
      <w:r w:rsidRPr="00A6087F">
        <w:br/>
        <w:t xml:space="preserve">Web:  </w:t>
      </w:r>
      <w:r w:rsidRPr="00A6087F">
        <w:tab/>
      </w:r>
      <w:r w:rsidRPr="00A6087F">
        <w:tab/>
      </w:r>
      <w:hyperlink r:id="rId14" w:history="1">
        <w:r w:rsidR="00DD3314" w:rsidRPr="00A6087F">
          <w:rPr>
            <w:rStyle w:val="Hyperlink"/>
          </w:rPr>
          <w:t>actcoss.org.au</w:t>
        </w:r>
      </w:hyperlink>
      <w:r w:rsidRPr="00A6087F">
        <w:tab/>
      </w:r>
      <w:r w:rsidRPr="00A6087F">
        <w:tab/>
      </w:r>
    </w:p>
    <w:p w14:paraId="7DF04A19" w14:textId="42C80922" w:rsidR="004F6015" w:rsidRPr="00A6087F" w:rsidRDefault="00ED6E1E" w:rsidP="004F6015">
      <w:pPr>
        <w:pStyle w:val="Frontmatter"/>
      </w:pPr>
      <w:r w:rsidRPr="00A6087F">
        <w:t>CEO</w:t>
      </w:r>
      <w:r w:rsidR="004F6015" w:rsidRPr="00A6087F">
        <w:t>:</w:t>
      </w:r>
      <w:r w:rsidR="004F6015" w:rsidRPr="00A6087F">
        <w:tab/>
      </w:r>
      <w:r w:rsidR="004F6015" w:rsidRPr="00A6087F">
        <w:tab/>
      </w:r>
      <w:r w:rsidRPr="00A6087F">
        <w:tab/>
      </w:r>
      <w:r w:rsidR="00324177" w:rsidRPr="00A6087F">
        <w:t xml:space="preserve">Dr </w:t>
      </w:r>
      <w:r w:rsidR="007833E9" w:rsidRPr="00A6087F">
        <w:t>Emma Campbell</w:t>
      </w:r>
      <w:r w:rsidR="004F6015" w:rsidRPr="00A6087F">
        <w:tab/>
      </w:r>
      <w:r w:rsidR="004F6015" w:rsidRPr="00A6087F">
        <w:tab/>
      </w:r>
      <w:r w:rsidR="004F6015" w:rsidRPr="00A6087F">
        <w:tab/>
      </w:r>
    </w:p>
    <w:p w14:paraId="065798D2" w14:textId="77777777" w:rsidR="005913F7" w:rsidRPr="00A6087F" w:rsidRDefault="005913F7" w:rsidP="005913F7">
      <w:pPr>
        <w:pStyle w:val="Frontmatter"/>
      </w:pPr>
    </w:p>
    <w:p w14:paraId="698E6DF4" w14:textId="2C51D102" w:rsidR="005913F7" w:rsidRPr="00A6087F" w:rsidRDefault="009941C1" w:rsidP="005913F7">
      <w:pPr>
        <w:pStyle w:val="Frontmatter"/>
      </w:pPr>
      <w:r w:rsidRPr="00A6087F">
        <w:t>May 2022</w:t>
      </w:r>
    </w:p>
    <w:p w14:paraId="181D164A" w14:textId="59CBF897" w:rsidR="005913F7" w:rsidRPr="00A6087F" w:rsidRDefault="005913F7" w:rsidP="005913F7">
      <w:pPr>
        <w:pStyle w:val="Frontmatter"/>
      </w:pPr>
      <w:r w:rsidRPr="00A6087F">
        <w:t xml:space="preserve">ISBN </w:t>
      </w:r>
      <w:r w:rsidR="001C28ED" w:rsidRPr="00A6087F">
        <w:t>978-1-921651-79-3</w:t>
      </w:r>
      <w:r w:rsidRPr="00A6087F">
        <w:t xml:space="preserve"> (</w:t>
      </w:r>
      <w:r w:rsidR="006F12DD" w:rsidRPr="00A6087F">
        <w:t>Word docx and PDF</w:t>
      </w:r>
      <w:r w:rsidRPr="00A6087F">
        <w:t>)</w:t>
      </w:r>
      <w:r w:rsidRPr="00A6087F">
        <w:br/>
        <w:t>© Copyright ACT Council of Social Service Incorporated</w:t>
      </w:r>
    </w:p>
    <w:p w14:paraId="2EECD6E5" w14:textId="6B8CDB22" w:rsidR="001B2FCD" w:rsidRPr="00A6087F" w:rsidRDefault="005913F7" w:rsidP="005913F7">
      <w:pPr>
        <w:pStyle w:val="Frontmatter"/>
      </w:pPr>
      <w:r w:rsidRPr="00A6087F">
        <w:t xml:space="preserve">This publication is copyright, apart from use by those agencies for which it has been produced. Non-profit associations and groups have permission to reproduce parts of this publication as long as the original meaning is </w:t>
      </w:r>
      <w:proofErr w:type="gramStart"/>
      <w:r w:rsidRPr="00A6087F">
        <w:t>retained</w:t>
      </w:r>
      <w:proofErr w:type="gramEnd"/>
      <w:r w:rsidRPr="00A6087F">
        <w:t xml:space="preserve"> and proper credit is given to the ACT Council of Social Service Inc (ACTCOSS). All other individuals and Agencies seeking to reproduce material from this publication should obtain the permission of the </w:t>
      </w:r>
      <w:r w:rsidR="000B7938" w:rsidRPr="00A6087F">
        <w:t>CEO</w:t>
      </w:r>
      <w:r w:rsidRPr="00A6087F">
        <w:t xml:space="preserve"> of ACTCOSS.</w:t>
      </w:r>
    </w:p>
    <w:p w14:paraId="4EFCEA01" w14:textId="77777777" w:rsidR="000622B1" w:rsidRPr="00A6087F" w:rsidRDefault="000622B1" w:rsidP="005913F7">
      <w:pPr>
        <w:pStyle w:val="Frontmatter"/>
      </w:pPr>
    </w:p>
    <w:p w14:paraId="57AA07E5" w14:textId="77777777" w:rsidR="000622B1" w:rsidRPr="00A6087F" w:rsidRDefault="000622B1" w:rsidP="000622B1">
      <w:pPr>
        <w:pStyle w:val="Frontmatter"/>
      </w:pPr>
      <w:r w:rsidRPr="00A6087F">
        <w:t>An ACT Government funded initiative.</w:t>
      </w:r>
    </w:p>
    <w:p w14:paraId="30FDCCBC" w14:textId="1DA887E2" w:rsidR="000622B1" w:rsidRPr="00A6087F" w:rsidRDefault="00551B34" w:rsidP="005913F7">
      <w:pPr>
        <w:pStyle w:val="Frontmatter"/>
      </w:pPr>
      <w:r w:rsidRPr="00A6087F">
        <w:rPr>
          <w:noProof/>
        </w:rPr>
        <w:drawing>
          <wp:inline distT="0" distB="0" distL="0" distR="0" wp14:anchorId="1635F15F" wp14:editId="62684174">
            <wp:extent cx="1466850" cy="1009650"/>
            <wp:effectExtent l="0" t="0" r="0" b="0"/>
            <wp:docPr id="2" name="Picture 2" descr="Logo: Initiative of ACT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1466850" cy="1009650"/>
                    </a:xfrm>
                    <a:prstGeom prst="rect">
                      <a:avLst/>
                    </a:prstGeom>
                  </pic:spPr>
                </pic:pic>
              </a:graphicData>
            </a:graphic>
          </wp:inline>
        </w:drawing>
      </w:r>
    </w:p>
    <w:p w14:paraId="13A41B65" w14:textId="77777777" w:rsidR="005913F7" w:rsidRPr="00A6087F" w:rsidRDefault="00AB255D" w:rsidP="00703089">
      <w:pPr>
        <w:pStyle w:val="PseudoHeading1"/>
      </w:pPr>
      <w:r w:rsidRPr="00A6087F">
        <w:lastRenderedPageBreak/>
        <w:t>Table of contents</w:t>
      </w:r>
    </w:p>
    <w:p w14:paraId="385E93B8" w14:textId="06B32D64" w:rsidR="005B4124" w:rsidRDefault="00AB255D">
      <w:pPr>
        <w:pStyle w:val="TOC1"/>
        <w:rPr>
          <w:rFonts w:asciiTheme="minorHAnsi" w:eastAsiaTheme="minorEastAsia" w:hAnsiTheme="minorHAnsi" w:cstheme="minorBidi"/>
          <w:b w:val="0"/>
          <w:noProof/>
          <w:sz w:val="22"/>
          <w:lang w:eastAsia="en-AU"/>
        </w:rPr>
      </w:pPr>
      <w:r w:rsidRPr="00A6087F">
        <w:fldChar w:fldCharType="begin"/>
      </w:r>
      <w:r w:rsidRPr="00A6087F">
        <w:instrText xml:space="preserve"> TOC \o "1-3" \h \z \u </w:instrText>
      </w:r>
      <w:r w:rsidRPr="00A6087F">
        <w:fldChar w:fldCharType="separate"/>
      </w:r>
      <w:hyperlink w:anchor="_Toc103872176" w:history="1">
        <w:r w:rsidR="005B4124" w:rsidRPr="00664035">
          <w:rPr>
            <w:rStyle w:val="Hyperlink"/>
            <w:noProof/>
          </w:rPr>
          <w:t>Acronyms</w:t>
        </w:r>
        <w:r w:rsidR="005B4124">
          <w:rPr>
            <w:noProof/>
            <w:webHidden/>
          </w:rPr>
          <w:tab/>
        </w:r>
        <w:r w:rsidR="005B4124">
          <w:rPr>
            <w:noProof/>
            <w:webHidden/>
          </w:rPr>
          <w:fldChar w:fldCharType="begin"/>
        </w:r>
        <w:r w:rsidR="005B4124">
          <w:rPr>
            <w:noProof/>
            <w:webHidden/>
          </w:rPr>
          <w:instrText xml:space="preserve"> PAGEREF _Toc103872176 \h </w:instrText>
        </w:r>
        <w:r w:rsidR="005B4124">
          <w:rPr>
            <w:noProof/>
            <w:webHidden/>
          </w:rPr>
        </w:r>
        <w:r w:rsidR="005B4124">
          <w:rPr>
            <w:noProof/>
            <w:webHidden/>
          </w:rPr>
          <w:fldChar w:fldCharType="separate"/>
        </w:r>
        <w:r w:rsidR="005B4124">
          <w:rPr>
            <w:noProof/>
            <w:webHidden/>
          </w:rPr>
          <w:t>4</w:t>
        </w:r>
        <w:r w:rsidR="005B4124">
          <w:rPr>
            <w:noProof/>
            <w:webHidden/>
          </w:rPr>
          <w:fldChar w:fldCharType="end"/>
        </w:r>
      </w:hyperlink>
    </w:p>
    <w:p w14:paraId="1F55CB5E" w14:textId="410E47B6" w:rsidR="005B4124" w:rsidRDefault="005B4124">
      <w:pPr>
        <w:pStyle w:val="TOC1"/>
        <w:rPr>
          <w:rFonts w:asciiTheme="minorHAnsi" w:eastAsiaTheme="minorEastAsia" w:hAnsiTheme="minorHAnsi" w:cstheme="minorBidi"/>
          <w:b w:val="0"/>
          <w:noProof/>
          <w:sz w:val="22"/>
          <w:lang w:eastAsia="en-AU"/>
        </w:rPr>
      </w:pPr>
      <w:hyperlink w:anchor="_Toc103872177" w:history="1">
        <w:r w:rsidRPr="00664035">
          <w:rPr>
            <w:rStyle w:val="Hyperlink"/>
            <w:noProof/>
          </w:rPr>
          <w:t>Executive Summary</w:t>
        </w:r>
        <w:r>
          <w:rPr>
            <w:noProof/>
            <w:webHidden/>
          </w:rPr>
          <w:tab/>
        </w:r>
        <w:r>
          <w:rPr>
            <w:noProof/>
            <w:webHidden/>
          </w:rPr>
          <w:fldChar w:fldCharType="begin"/>
        </w:r>
        <w:r>
          <w:rPr>
            <w:noProof/>
            <w:webHidden/>
          </w:rPr>
          <w:instrText xml:space="preserve"> PAGEREF _Toc103872177 \h </w:instrText>
        </w:r>
        <w:r>
          <w:rPr>
            <w:noProof/>
            <w:webHidden/>
          </w:rPr>
        </w:r>
        <w:r>
          <w:rPr>
            <w:noProof/>
            <w:webHidden/>
          </w:rPr>
          <w:fldChar w:fldCharType="separate"/>
        </w:r>
        <w:r>
          <w:rPr>
            <w:noProof/>
            <w:webHidden/>
          </w:rPr>
          <w:t>5</w:t>
        </w:r>
        <w:r>
          <w:rPr>
            <w:noProof/>
            <w:webHidden/>
          </w:rPr>
          <w:fldChar w:fldCharType="end"/>
        </w:r>
      </w:hyperlink>
    </w:p>
    <w:p w14:paraId="3967A09A" w14:textId="05007CB6" w:rsidR="005B4124" w:rsidRDefault="005B4124">
      <w:pPr>
        <w:pStyle w:val="TOC1"/>
        <w:rPr>
          <w:rFonts w:asciiTheme="minorHAnsi" w:eastAsiaTheme="minorEastAsia" w:hAnsiTheme="minorHAnsi" w:cstheme="minorBidi"/>
          <w:b w:val="0"/>
          <w:noProof/>
          <w:sz w:val="22"/>
          <w:lang w:eastAsia="en-AU"/>
        </w:rPr>
      </w:pPr>
      <w:hyperlink w:anchor="_Toc103872178" w:history="1">
        <w:r w:rsidRPr="00664035">
          <w:rPr>
            <w:rStyle w:val="Hyperlink"/>
            <w:noProof/>
          </w:rPr>
          <w:t>Summary of Recommendations</w:t>
        </w:r>
        <w:r>
          <w:rPr>
            <w:noProof/>
            <w:webHidden/>
          </w:rPr>
          <w:tab/>
        </w:r>
        <w:r>
          <w:rPr>
            <w:noProof/>
            <w:webHidden/>
          </w:rPr>
          <w:fldChar w:fldCharType="begin"/>
        </w:r>
        <w:r>
          <w:rPr>
            <w:noProof/>
            <w:webHidden/>
          </w:rPr>
          <w:instrText xml:space="preserve"> PAGEREF _Toc103872178 \h </w:instrText>
        </w:r>
        <w:r>
          <w:rPr>
            <w:noProof/>
            <w:webHidden/>
          </w:rPr>
        </w:r>
        <w:r>
          <w:rPr>
            <w:noProof/>
            <w:webHidden/>
          </w:rPr>
          <w:fldChar w:fldCharType="separate"/>
        </w:r>
        <w:r>
          <w:rPr>
            <w:noProof/>
            <w:webHidden/>
          </w:rPr>
          <w:t>12</w:t>
        </w:r>
        <w:r>
          <w:rPr>
            <w:noProof/>
            <w:webHidden/>
          </w:rPr>
          <w:fldChar w:fldCharType="end"/>
        </w:r>
      </w:hyperlink>
    </w:p>
    <w:p w14:paraId="57890A69" w14:textId="60870C6D" w:rsidR="005B4124" w:rsidRDefault="005B4124">
      <w:pPr>
        <w:pStyle w:val="TOC1"/>
        <w:rPr>
          <w:rFonts w:asciiTheme="minorHAnsi" w:eastAsiaTheme="minorEastAsia" w:hAnsiTheme="minorHAnsi" w:cstheme="minorBidi"/>
          <w:b w:val="0"/>
          <w:noProof/>
          <w:sz w:val="22"/>
          <w:lang w:eastAsia="en-AU"/>
        </w:rPr>
      </w:pPr>
      <w:hyperlink w:anchor="_Toc103872179" w:history="1">
        <w:r w:rsidRPr="00664035">
          <w:rPr>
            <w:rStyle w:val="Hyperlink"/>
            <w:noProof/>
          </w:rPr>
          <w:t>Background on Priorities</w:t>
        </w:r>
        <w:r>
          <w:rPr>
            <w:noProof/>
            <w:webHidden/>
          </w:rPr>
          <w:tab/>
        </w:r>
        <w:r>
          <w:rPr>
            <w:noProof/>
            <w:webHidden/>
          </w:rPr>
          <w:fldChar w:fldCharType="begin"/>
        </w:r>
        <w:r>
          <w:rPr>
            <w:noProof/>
            <w:webHidden/>
          </w:rPr>
          <w:instrText xml:space="preserve"> PAGEREF _Toc103872179 \h </w:instrText>
        </w:r>
        <w:r>
          <w:rPr>
            <w:noProof/>
            <w:webHidden/>
          </w:rPr>
        </w:r>
        <w:r>
          <w:rPr>
            <w:noProof/>
            <w:webHidden/>
          </w:rPr>
          <w:fldChar w:fldCharType="separate"/>
        </w:r>
        <w:r>
          <w:rPr>
            <w:noProof/>
            <w:webHidden/>
          </w:rPr>
          <w:t>18</w:t>
        </w:r>
        <w:r>
          <w:rPr>
            <w:noProof/>
            <w:webHidden/>
          </w:rPr>
          <w:fldChar w:fldCharType="end"/>
        </w:r>
      </w:hyperlink>
    </w:p>
    <w:p w14:paraId="3F614F83" w14:textId="05FED528" w:rsidR="005B4124" w:rsidRDefault="005B4124">
      <w:pPr>
        <w:pStyle w:val="TOC2"/>
        <w:rPr>
          <w:rFonts w:asciiTheme="minorHAnsi" w:eastAsiaTheme="minorEastAsia" w:hAnsiTheme="minorHAnsi" w:cstheme="minorBidi"/>
          <w:noProof/>
          <w:sz w:val="22"/>
          <w:lang w:eastAsia="en-AU"/>
        </w:rPr>
      </w:pPr>
      <w:hyperlink w:anchor="_Toc103872180" w:history="1">
        <w:r w:rsidRPr="00664035">
          <w:rPr>
            <w:rStyle w:val="Hyperlink"/>
            <w:noProof/>
          </w:rPr>
          <w:t>Housing Crisis</w:t>
        </w:r>
        <w:r>
          <w:rPr>
            <w:noProof/>
            <w:webHidden/>
          </w:rPr>
          <w:tab/>
        </w:r>
        <w:r>
          <w:rPr>
            <w:noProof/>
            <w:webHidden/>
          </w:rPr>
          <w:fldChar w:fldCharType="begin"/>
        </w:r>
        <w:r>
          <w:rPr>
            <w:noProof/>
            <w:webHidden/>
          </w:rPr>
          <w:instrText xml:space="preserve"> PAGEREF _Toc103872180 \h </w:instrText>
        </w:r>
        <w:r>
          <w:rPr>
            <w:noProof/>
            <w:webHidden/>
          </w:rPr>
        </w:r>
        <w:r>
          <w:rPr>
            <w:noProof/>
            <w:webHidden/>
          </w:rPr>
          <w:fldChar w:fldCharType="separate"/>
        </w:r>
        <w:r>
          <w:rPr>
            <w:noProof/>
            <w:webHidden/>
          </w:rPr>
          <w:t>18</w:t>
        </w:r>
        <w:r>
          <w:rPr>
            <w:noProof/>
            <w:webHidden/>
          </w:rPr>
          <w:fldChar w:fldCharType="end"/>
        </w:r>
      </w:hyperlink>
    </w:p>
    <w:p w14:paraId="1334279D" w14:textId="4190B112" w:rsidR="005B4124" w:rsidRDefault="005B4124">
      <w:pPr>
        <w:pStyle w:val="TOC2"/>
        <w:rPr>
          <w:rFonts w:asciiTheme="minorHAnsi" w:eastAsiaTheme="minorEastAsia" w:hAnsiTheme="minorHAnsi" w:cstheme="minorBidi"/>
          <w:noProof/>
          <w:sz w:val="22"/>
          <w:lang w:eastAsia="en-AU"/>
        </w:rPr>
      </w:pPr>
      <w:hyperlink w:anchor="_Toc103872181" w:history="1">
        <w:r w:rsidRPr="00664035">
          <w:rPr>
            <w:rStyle w:val="Hyperlink"/>
            <w:noProof/>
          </w:rPr>
          <w:t>Valuing the Community Sector</w:t>
        </w:r>
        <w:r>
          <w:rPr>
            <w:noProof/>
            <w:webHidden/>
          </w:rPr>
          <w:tab/>
        </w:r>
        <w:r>
          <w:rPr>
            <w:noProof/>
            <w:webHidden/>
          </w:rPr>
          <w:fldChar w:fldCharType="begin"/>
        </w:r>
        <w:r>
          <w:rPr>
            <w:noProof/>
            <w:webHidden/>
          </w:rPr>
          <w:instrText xml:space="preserve"> PAGEREF _Toc103872181 \h </w:instrText>
        </w:r>
        <w:r>
          <w:rPr>
            <w:noProof/>
            <w:webHidden/>
          </w:rPr>
        </w:r>
        <w:r>
          <w:rPr>
            <w:noProof/>
            <w:webHidden/>
          </w:rPr>
          <w:fldChar w:fldCharType="separate"/>
        </w:r>
        <w:r>
          <w:rPr>
            <w:noProof/>
            <w:webHidden/>
          </w:rPr>
          <w:t>26</w:t>
        </w:r>
        <w:r>
          <w:rPr>
            <w:noProof/>
            <w:webHidden/>
          </w:rPr>
          <w:fldChar w:fldCharType="end"/>
        </w:r>
      </w:hyperlink>
    </w:p>
    <w:p w14:paraId="52E06F67" w14:textId="768D7069" w:rsidR="005B4124" w:rsidRDefault="005B4124">
      <w:pPr>
        <w:pStyle w:val="TOC2"/>
        <w:rPr>
          <w:rFonts w:asciiTheme="minorHAnsi" w:eastAsiaTheme="minorEastAsia" w:hAnsiTheme="minorHAnsi" w:cstheme="minorBidi"/>
          <w:noProof/>
          <w:sz w:val="22"/>
          <w:lang w:eastAsia="en-AU"/>
        </w:rPr>
      </w:pPr>
      <w:hyperlink w:anchor="_Toc103872182" w:history="1">
        <w:r w:rsidRPr="00664035">
          <w:rPr>
            <w:rStyle w:val="Hyperlink"/>
            <w:noProof/>
          </w:rPr>
          <w:t>Aboriginal and/or Torres Strait Islander Self-Determination</w:t>
        </w:r>
        <w:r>
          <w:rPr>
            <w:noProof/>
            <w:webHidden/>
          </w:rPr>
          <w:tab/>
        </w:r>
        <w:r>
          <w:rPr>
            <w:noProof/>
            <w:webHidden/>
          </w:rPr>
          <w:fldChar w:fldCharType="begin"/>
        </w:r>
        <w:r>
          <w:rPr>
            <w:noProof/>
            <w:webHidden/>
          </w:rPr>
          <w:instrText xml:space="preserve"> PAGEREF _Toc103872182 \h </w:instrText>
        </w:r>
        <w:r>
          <w:rPr>
            <w:noProof/>
            <w:webHidden/>
          </w:rPr>
        </w:r>
        <w:r>
          <w:rPr>
            <w:noProof/>
            <w:webHidden/>
          </w:rPr>
          <w:fldChar w:fldCharType="separate"/>
        </w:r>
        <w:r>
          <w:rPr>
            <w:noProof/>
            <w:webHidden/>
          </w:rPr>
          <w:t>29</w:t>
        </w:r>
        <w:r>
          <w:rPr>
            <w:noProof/>
            <w:webHidden/>
          </w:rPr>
          <w:fldChar w:fldCharType="end"/>
        </w:r>
      </w:hyperlink>
    </w:p>
    <w:p w14:paraId="071E9332" w14:textId="557F7F8B" w:rsidR="005B4124" w:rsidRDefault="005B4124">
      <w:pPr>
        <w:pStyle w:val="TOC2"/>
        <w:rPr>
          <w:rFonts w:asciiTheme="minorHAnsi" w:eastAsiaTheme="minorEastAsia" w:hAnsiTheme="minorHAnsi" w:cstheme="minorBidi"/>
          <w:noProof/>
          <w:sz w:val="22"/>
          <w:lang w:eastAsia="en-AU"/>
        </w:rPr>
      </w:pPr>
      <w:hyperlink w:anchor="_Toc103872183" w:history="1">
        <w:r w:rsidRPr="00664035">
          <w:rPr>
            <w:rStyle w:val="Hyperlink"/>
            <w:noProof/>
          </w:rPr>
          <w:t>Cost of Living</w:t>
        </w:r>
        <w:r>
          <w:rPr>
            <w:noProof/>
            <w:webHidden/>
          </w:rPr>
          <w:tab/>
        </w:r>
        <w:r>
          <w:rPr>
            <w:noProof/>
            <w:webHidden/>
          </w:rPr>
          <w:fldChar w:fldCharType="begin"/>
        </w:r>
        <w:r>
          <w:rPr>
            <w:noProof/>
            <w:webHidden/>
          </w:rPr>
          <w:instrText xml:space="preserve"> PAGEREF _Toc103872183 \h </w:instrText>
        </w:r>
        <w:r>
          <w:rPr>
            <w:noProof/>
            <w:webHidden/>
          </w:rPr>
        </w:r>
        <w:r>
          <w:rPr>
            <w:noProof/>
            <w:webHidden/>
          </w:rPr>
          <w:fldChar w:fldCharType="separate"/>
        </w:r>
        <w:r>
          <w:rPr>
            <w:noProof/>
            <w:webHidden/>
          </w:rPr>
          <w:t>33</w:t>
        </w:r>
        <w:r>
          <w:rPr>
            <w:noProof/>
            <w:webHidden/>
          </w:rPr>
          <w:fldChar w:fldCharType="end"/>
        </w:r>
      </w:hyperlink>
    </w:p>
    <w:p w14:paraId="3B01914C" w14:textId="7407AFC7" w:rsidR="005B4124" w:rsidRDefault="005B4124">
      <w:pPr>
        <w:pStyle w:val="TOC1"/>
        <w:rPr>
          <w:rFonts w:asciiTheme="minorHAnsi" w:eastAsiaTheme="minorEastAsia" w:hAnsiTheme="minorHAnsi" w:cstheme="minorBidi"/>
          <w:b w:val="0"/>
          <w:noProof/>
          <w:sz w:val="22"/>
          <w:lang w:eastAsia="en-AU"/>
        </w:rPr>
      </w:pPr>
      <w:hyperlink w:anchor="_Toc103872184" w:history="1">
        <w:r w:rsidRPr="00664035">
          <w:rPr>
            <w:rStyle w:val="Hyperlink"/>
            <w:noProof/>
          </w:rPr>
          <w:t>Further priority areas</w:t>
        </w:r>
        <w:r>
          <w:rPr>
            <w:noProof/>
            <w:webHidden/>
          </w:rPr>
          <w:tab/>
        </w:r>
        <w:r>
          <w:rPr>
            <w:noProof/>
            <w:webHidden/>
          </w:rPr>
          <w:fldChar w:fldCharType="begin"/>
        </w:r>
        <w:r>
          <w:rPr>
            <w:noProof/>
            <w:webHidden/>
          </w:rPr>
          <w:instrText xml:space="preserve"> PAGEREF _Toc103872184 \h </w:instrText>
        </w:r>
        <w:r>
          <w:rPr>
            <w:noProof/>
            <w:webHidden/>
          </w:rPr>
        </w:r>
        <w:r>
          <w:rPr>
            <w:noProof/>
            <w:webHidden/>
          </w:rPr>
          <w:fldChar w:fldCharType="separate"/>
        </w:r>
        <w:r>
          <w:rPr>
            <w:noProof/>
            <w:webHidden/>
          </w:rPr>
          <w:t>36</w:t>
        </w:r>
        <w:r>
          <w:rPr>
            <w:noProof/>
            <w:webHidden/>
          </w:rPr>
          <w:fldChar w:fldCharType="end"/>
        </w:r>
      </w:hyperlink>
    </w:p>
    <w:p w14:paraId="462FE9ED" w14:textId="4E7EAC19" w:rsidR="005B4124" w:rsidRDefault="005B4124">
      <w:pPr>
        <w:pStyle w:val="TOC2"/>
        <w:rPr>
          <w:rFonts w:asciiTheme="minorHAnsi" w:eastAsiaTheme="minorEastAsia" w:hAnsiTheme="minorHAnsi" w:cstheme="minorBidi"/>
          <w:noProof/>
          <w:sz w:val="22"/>
          <w:lang w:eastAsia="en-AU"/>
        </w:rPr>
      </w:pPr>
      <w:hyperlink w:anchor="_Toc103872185" w:history="1">
        <w:r w:rsidRPr="00664035">
          <w:rPr>
            <w:rStyle w:val="Hyperlink"/>
            <w:noProof/>
          </w:rPr>
          <w:t>Health</w:t>
        </w:r>
        <w:r>
          <w:rPr>
            <w:noProof/>
            <w:webHidden/>
          </w:rPr>
          <w:tab/>
        </w:r>
        <w:r>
          <w:rPr>
            <w:noProof/>
            <w:webHidden/>
          </w:rPr>
          <w:fldChar w:fldCharType="begin"/>
        </w:r>
        <w:r>
          <w:rPr>
            <w:noProof/>
            <w:webHidden/>
          </w:rPr>
          <w:instrText xml:space="preserve"> PAGEREF _Toc103872185 \h </w:instrText>
        </w:r>
        <w:r>
          <w:rPr>
            <w:noProof/>
            <w:webHidden/>
          </w:rPr>
        </w:r>
        <w:r>
          <w:rPr>
            <w:noProof/>
            <w:webHidden/>
          </w:rPr>
          <w:fldChar w:fldCharType="separate"/>
        </w:r>
        <w:r>
          <w:rPr>
            <w:noProof/>
            <w:webHidden/>
          </w:rPr>
          <w:t>36</w:t>
        </w:r>
        <w:r>
          <w:rPr>
            <w:noProof/>
            <w:webHidden/>
          </w:rPr>
          <w:fldChar w:fldCharType="end"/>
        </w:r>
      </w:hyperlink>
    </w:p>
    <w:p w14:paraId="372DF05B" w14:textId="0BF52C30" w:rsidR="005B4124" w:rsidRDefault="005B4124">
      <w:pPr>
        <w:pStyle w:val="TOC2"/>
        <w:rPr>
          <w:rFonts w:asciiTheme="minorHAnsi" w:eastAsiaTheme="minorEastAsia" w:hAnsiTheme="minorHAnsi" w:cstheme="minorBidi"/>
          <w:noProof/>
          <w:sz w:val="22"/>
          <w:lang w:eastAsia="en-AU"/>
        </w:rPr>
      </w:pPr>
      <w:hyperlink w:anchor="_Toc103872186" w:history="1">
        <w:r w:rsidRPr="00664035">
          <w:rPr>
            <w:rStyle w:val="Hyperlink"/>
            <w:noProof/>
          </w:rPr>
          <w:t>Mental Health</w:t>
        </w:r>
        <w:r>
          <w:rPr>
            <w:noProof/>
            <w:webHidden/>
          </w:rPr>
          <w:tab/>
        </w:r>
        <w:r>
          <w:rPr>
            <w:noProof/>
            <w:webHidden/>
          </w:rPr>
          <w:fldChar w:fldCharType="begin"/>
        </w:r>
        <w:r>
          <w:rPr>
            <w:noProof/>
            <w:webHidden/>
          </w:rPr>
          <w:instrText xml:space="preserve"> PAGEREF _Toc103872186 \h </w:instrText>
        </w:r>
        <w:r>
          <w:rPr>
            <w:noProof/>
            <w:webHidden/>
          </w:rPr>
        </w:r>
        <w:r>
          <w:rPr>
            <w:noProof/>
            <w:webHidden/>
          </w:rPr>
          <w:fldChar w:fldCharType="separate"/>
        </w:r>
        <w:r>
          <w:rPr>
            <w:noProof/>
            <w:webHidden/>
          </w:rPr>
          <w:t>37</w:t>
        </w:r>
        <w:r>
          <w:rPr>
            <w:noProof/>
            <w:webHidden/>
          </w:rPr>
          <w:fldChar w:fldCharType="end"/>
        </w:r>
      </w:hyperlink>
    </w:p>
    <w:p w14:paraId="786AA2EE" w14:textId="6F7BEF57" w:rsidR="005B4124" w:rsidRDefault="005B4124">
      <w:pPr>
        <w:pStyle w:val="TOC2"/>
        <w:rPr>
          <w:rFonts w:asciiTheme="minorHAnsi" w:eastAsiaTheme="minorEastAsia" w:hAnsiTheme="minorHAnsi" w:cstheme="minorBidi"/>
          <w:noProof/>
          <w:sz w:val="22"/>
          <w:lang w:eastAsia="en-AU"/>
        </w:rPr>
      </w:pPr>
      <w:hyperlink w:anchor="_Toc103872187" w:history="1">
        <w:r w:rsidRPr="00664035">
          <w:rPr>
            <w:rStyle w:val="Hyperlink"/>
            <w:noProof/>
          </w:rPr>
          <w:t>Disability</w:t>
        </w:r>
        <w:r>
          <w:rPr>
            <w:noProof/>
            <w:webHidden/>
          </w:rPr>
          <w:tab/>
        </w:r>
        <w:r>
          <w:rPr>
            <w:noProof/>
            <w:webHidden/>
          </w:rPr>
          <w:fldChar w:fldCharType="begin"/>
        </w:r>
        <w:r>
          <w:rPr>
            <w:noProof/>
            <w:webHidden/>
          </w:rPr>
          <w:instrText xml:space="preserve"> PAGEREF _Toc103872187 \h </w:instrText>
        </w:r>
        <w:r>
          <w:rPr>
            <w:noProof/>
            <w:webHidden/>
          </w:rPr>
        </w:r>
        <w:r>
          <w:rPr>
            <w:noProof/>
            <w:webHidden/>
          </w:rPr>
          <w:fldChar w:fldCharType="separate"/>
        </w:r>
        <w:r>
          <w:rPr>
            <w:noProof/>
            <w:webHidden/>
          </w:rPr>
          <w:t>38</w:t>
        </w:r>
        <w:r>
          <w:rPr>
            <w:noProof/>
            <w:webHidden/>
          </w:rPr>
          <w:fldChar w:fldCharType="end"/>
        </w:r>
      </w:hyperlink>
    </w:p>
    <w:p w14:paraId="2DF9766E" w14:textId="694994AD" w:rsidR="005B4124" w:rsidRDefault="005B4124">
      <w:pPr>
        <w:pStyle w:val="TOC2"/>
        <w:rPr>
          <w:rFonts w:asciiTheme="minorHAnsi" w:eastAsiaTheme="minorEastAsia" w:hAnsiTheme="minorHAnsi" w:cstheme="minorBidi"/>
          <w:noProof/>
          <w:sz w:val="22"/>
          <w:lang w:eastAsia="en-AU"/>
        </w:rPr>
      </w:pPr>
      <w:hyperlink w:anchor="_Toc103872188" w:history="1">
        <w:r w:rsidRPr="00664035">
          <w:rPr>
            <w:rStyle w:val="Hyperlink"/>
            <w:noProof/>
          </w:rPr>
          <w:t>Climate and energy</w:t>
        </w:r>
        <w:r>
          <w:rPr>
            <w:noProof/>
            <w:webHidden/>
          </w:rPr>
          <w:tab/>
        </w:r>
        <w:r>
          <w:rPr>
            <w:noProof/>
            <w:webHidden/>
          </w:rPr>
          <w:fldChar w:fldCharType="begin"/>
        </w:r>
        <w:r>
          <w:rPr>
            <w:noProof/>
            <w:webHidden/>
          </w:rPr>
          <w:instrText xml:space="preserve"> PAGEREF _Toc103872188 \h </w:instrText>
        </w:r>
        <w:r>
          <w:rPr>
            <w:noProof/>
            <w:webHidden/>
          </w:rPr>
        </w:r>
        <w:r>
          <w:rPr>
            <w:noProof/>
            <w:webHidden/>
          </w:rPr>
          <w:fldChar w:fldCharType="separate"/>
        </w:r>
        <w:r>
          <w:rPr>
            <w:noProof/>
            <w:webHidden/>
          </w:rPr>
          <w:t>39</w:t>
        </w:r>
        <w:r>
          <w:rPr>
            <w:noProof/>
            <w:webHidden/>
          </w:rPr>
          <w:fldChar w:fldCharType="end"/>
        </w:r>
      </w:hyperlink>
    </w:p>
    <w:p w14:paraId="56411813" w14:textId="10EA120D" w:rsidR="005B4124" w:rsidRDefault="005B4124">
      <w:pPr>
        <w:pStyle w:val="TOC2"/>
        <w:rPr>
          <w:rFonts w:asciiTheme="minorHAnsi" w:eastAsiaTheme="minorEastAsia" w:hAnsiTheme="minorHAnsi" w:cstheme="minorBidi"/>
          <w:noProof/>
          <w:sz w:val="22"/>
          <w:lang w:eastAsia="en-AU"/>
        </w:rPr>
      </w:pPr>
      <w:hyperlink w:anchor="_Toc103872189" w:history="1">
        <w:r w:rsidRPr="00664035">
          <w:rPr>
            <w:rStyle w:val="Hyperlink"/>
            <w:noProof/>
          </w:rPr>
          <w:t>Justice</w:t>
        </w:r>
        <w:r>
          <w:rPr>
            <w:noProof/>
            <w:webHidden/>
          </w:rPr>
          <w:tab/>
        </w:r>
        <w:r>
          <w:rPr>
            <w:noProof/>
            <w:webHidden/>
          </w:rPr>
          <w:fldChar w:fldCharType="begin"/>
        </w:r>
        <w:r>
          <w:rPr>
            <w:noProof/>
            <w:webHidden/>
          </w:rPr>
          <w:instrText xml:space="preserve"> PAGEREF _Toc103872189 \h </w:instrText>
        </w:r>
        <w:r>
          <w:rPr>
            <w:noProof/>
            <w:webHidden/>
          </w:rPr>
        </w:r>
        <w:r>
          <w:rPr>
            <w:noProof/>
            <w:webHidden/>
          </w:rPr>
          <w:fldChar w:fldCharType="separate"/>
        </w:r>
        <w:r>
          <w:rPr>
            <w:noProof/>
            <w:webHidden/>
          </w:rPr>
          <w:t>40</w:t>
        </w:r>
        <w:r>
          <w:rPr>
            <w:noProof/>
            <w:webHidden/>
          </w:rPr>
          <w:fldChar w:fldCharType="end"/>
        </w:r>
      </w:hyperlink>
    </w:p>
    <w:p w14:paraId="1A4580FF" w14:textId="00728B37" w:rsidR="005B4124" w:rsidRDefault="005B4124">
      <w:pPr>
        <w:pStyle w:val="TOC2"/>
        <w:rPr>
          <w:rFonts w:asciiTheme="minorHAnsi" w:eastAsiaTheme="minorEastAsia" w:hAnsiTheme="minorHAnsi" w:cstheme="minorBidi"/>
          <w:noProof/>
          <w:sz w:val="22"/>
          <w:lang w:eastAsia="en-AU"/>
        </w:rPr>
      </w:pPr>
      <w:hyperlink w:anchor="_Toc103872190" w:history="1">
        <w:r w:rsidRPr="00664035">
          <w:rPr>
            <w:rStyle w:val="Hyperlink"/>
            <w:noProof/>
          </w:rPr>
          <w:t>Children, young people and families</w:t>
        </w:r>
        <w:r>
          <w:rPr>
            <w:noProof/>
            <w:webHidden/>
          </w:rPr>
          <w:tab/>
        </w:r>
        <w:r>
          <w:rPr>
            <w:noProof/>
            <w:webHidden/>
          </w:rPr>
          <w:fldChar w:fldCharType="begin"/>
        </w:r>
        <w:r>
          <w:rPr>
            <w:noProof/>
            <w:webHidden/>
          </w:rPr>
          <w:instrText xml:space="preserve"> PAGEREF _Toc103872190 \h </w:instrText>
        </w:r>
        <w:r>
          <w:rPr>
            <w:noProof/>
            <w:webHidden/>
          </w:rPr>
        </w:r>
        <w:r>
          <w:rPr>
            <w:noProof/>
            <w:webHidden/>
          </w:rPr>
          <w:fldChar w:fldCharType="separate"/>
        </w:r>
        <w:r>
          <w:rPr>
            <w:noProof/>
            <w:webHidden/>
          </w:rPr>
          <w:t>41</w:t>
        </w:r>
        <w:r>
          <w:rPr>
            <w:noProof/>
            <w:webHidden/>
          </w:rPr>
          <w:fldChar w:fldCharType="end"/>
        </w:r>
      </w:hyperlink>
    </w:p>
    <w:p w14:paraId="77728648" w14:textId="4BF40117" w:rsidR="005B4124" w:rsidRDefault="005B4124">
      <w:pPr>
        <w:pStyle w:val="TOC2"/>
        <w:rPr>
          <w:rFonts w:asciiTheme="minorHAnsi" w:eastAsiaTheme="minorEastAsia" w:hAnsiTheme="minorHAnsi" w:cstheme="minorBidi"/>
          <w:noProof/>
          <w:sz w:val="22"/>
          <w:lang w:eastAsia="en-AU"/>
        </w:rPr>
      </w:pPr>
      <w:hyperlink w:anchor="_Toc103872191" w:history="1">
        <w:r w:rsidRPr="00664035">
          <w:rPr>
            <w:rStyle w:val="Hyperlink"/>
            <w:noProof/>
          </w:rPr>
          <w:t>Human Rights</w:t>
        </w:r>
        <w:r>
          <w:rPr>
            <w:noProof/>
            <w:webHidden/>
          </w:rPr>
          <w:tab/>
        </w:r>
        <w:r>
          <w:rPr>
            <w:noProof/>
            <w:webHidden/>
          </w:rPr>
          <w:fldChar w:fldCharType="begin"/>
        </w:r>
        <w:r>
          <w:rPr>
            <w:noProof/>
            <w:webHidden/>
          </w:rPr>
          <w:instrText xml:space="preserve"> PAGEREF _Toc103872191 \h </w:instrText>
        </w:r>
        <w:r>
          <w:rPr>
            <w:noProof/>
            <w:webHidden/>
          </w:rPr>
        </w:r>
        <w:r>
          <w:rPr>
            <w:noProof/>
            <w:webHidden/>
          </w:rPr>
          <w:fldChar w:fldCharType="separate"/>
        </w:r>
        <w:r>
          <w:rPr>
            <w:noProof/>
            <w:webHidden/>
          </w:rPr>
          <w:t>42</w:t>
        </w:r>
        <w:r>
          <w:rPr>
            <w:noProof/>
            <w:webHidden/>
          </w:rPr>
          <w:fldChar w:fldCharType="end"/>
        </w:r>
      </w:hyperlink>
    </w:p>
    <w:p w14:paraId="7F967B94" w14:textId="28CF8243" w:rsidR="005B4124" w:rsidRDefault="005B4124">
      <w:pPr>
        <w:pStyle w:val="TOC2"/>
        <w:rPr>
          <w:rFonts w:asciiTheme="minorHAnsi" w:eastAsiaTheme="minorEastAsia" w:hAnsiTheme="minorHAnsi" w:cstheme="minorBidi"/>
          <w:noProof/>
          <w:sz w:val="22"/>
          <w:lang w:eastAsia="en-AU"/>
        </w:rPr>
      </w:pPr>
      <w:hyperlink w:anchor="_Toc103872192" w:history="1">
        <w:r w:rsidRPr="00664035">
          <w:rPr>
            <w:rStyle w:val="Hyperlink"/>
            <w:noProof/>
          </w:rPr>
          <w:t>Planning and transport</w:t>
        </w:r>
        <w:r>
          <w:rPr>
            <w:noProof/>
            <w:webHidden/>
          </w:rPr>
          <w:tab/>
        </w:r>
        <w:r>
          <w:rPr>
            <w:noProof/>
            <w:webHidden/>
          </w:rPr>
          <w:fldChar w:fldCharType="begin"/>
        </w:r>
        <w:r>
          <w:rPr>
            <w:noProof/>
            <w:webHidden/>
          </w:rPr>
          <w:instrText xml:space="preserve"> PAGEREF _Toc103872192 \h </w:instrText>
        </w:r>
        <w:r>
          <w:rPr>
            <w:noProof/>
            <w:webHidden/>
          </w:rPr>
        </w:r>
        <w:r>
          <w:rPr>
            <w:noProof/>
            <w:webHidden/>
          </w:rPr>
          <w:fldChar w:fldCharType="separate"/>
        </w:r>
        <w:r>
          <w:rPr>
            <w:noProof/>
            <w:webHidden/>
          </w:rPr>
          <w:t>43</w:t>
        </w:r>
        <w:r>
          <w:rPr>
            <w:noProof/>
            <w:webHidden/>
          </w:rPr>
          <w:fldChar w:fldCharType="end"/>
        </w:r>
      </w:hyperlink>
    </w:p>
    <w:p w14:paraId="2B10AE40" w14:textId="4B0FCDAF" w:rsidR="00025C3D" w:rsidRPr="00A6087F" w:rsidRDefault="00AB255D" w:rsidP="00EA29E1">
      <w:pPr>
        <w:pStyle w:val="BodyText"/>
      </w:pPr>
      <w:r w:rsidRPr="00A6087F">
        <w:fldChar w:fldCharType="end"/>
      </w:r>
    </w:p>
    <w:p w14:paraId="35A39C09" w14:textId="7B1B3510" w:rsidR="00025C3D" w:rsidRPr="00A6087F" w:rsidRDefault="00025C3D" w:rsidP="00025C3D">
      <w:pPr>
        <w:tabs>
          <w:tab w:val="left" w:pos="7470"/>
        </w:tabs>
      </w:pPr>
      <w:r w:rsidRPr="00A6087F">
        <w:tab/>
      </w:r>
    </w:p>
    <w:p w14:paraId="7B02E4FA" w14:textId="6BD6DF09" w:rsidR="00AB255D" w:rsidRPr="00A6087F" w:rsidRDefault="00AB255D" w:rsidP="00AB255D">
      <w:pPr>
        <w:pStyle w:val="Heading1-Pagebreakbefore"/>
      </w:pPr>
      <w:bookmarkStart w:id="0" w:name="_Toc103872176"/>
      <w:r w:rsidRPr="00A6087F">
        <w:lastRenderedPageBreak/>
        <w:t>Acronyms</w:t>
      </w:r>
      <w:bookmarkEnd w:id="0"/>
    </w:p>
    <w:p w14:paraId="492B752E" w14:textId="77777777" w:rsidR="009859B7" w:rsidRPr="00A6087F" w:rsidRDefault="009859B7" w:rsidP="00597AEB">
      <w:pPr>
        <w:pStyle w:val="AcronymsList"/>
        <w:spacing w:after="140"/>
      </w:pPr>
      <w:r w:rsidRPr="00A6087F">
        <w:t xml:space="preserve">ABS </w:t>
      </w:r>
      <w:r w:rsidRPr="00A6087F">
        <w:tab/>
        <w:t>Australian Bureau of Statistics</w:t>
      </w:r>
    </w:p>
    <w:p w14:paraId="233B380F" w14:textId="77777777" w:rsidR="009859B7" w:rsidRPr="00A6087F" w:rsidRDefault="009859B7" w:rsidP="00597AEB">
      <w:pPr>
        <w:pStyle w:val="AcronymsList"/>
        <w:spacing w:after="140"/>
      </w:pPr>
      <w:proofErr w:type="spellStart"/>
      <w:r w:rsidRPr="00A6087F">
        <w:t>ACAT</w:t>
      </w:r>
      <w:proofErr w:type="spellEnd"/>
      <w:r w:rsidRPr="00A6087F">
        <w:t xml:space="preserve"> </w:t>
      </w:r>
      <w:r w:rsidRPr="00A6087F">
        <w:tab/>
        <w:t>ACT Civil and Administrative Tribunal</w:t>
      </w:r>
    </w:p>
    <w:p w14:paraId="31E262D4" w14:textId="77777777" w:rsidR="009859B7" w:rsidRPr="00A6087F" w:rsidRDefault="009859B7" w:rsidP="00597AEB">
      <w:pPr>
        <w:pStyle w:val="AcronymsList"/>
        <w:spacing w:after="140"/>
      </w:pPr>
      <w:r w:rsidRPr="00A6087F">
        <w:t>ACTCOSS</w:t>
      </w:r>
      <w:r w:rsidRPr="00A6087F">
        <w:tab/>
        <w:t>ACT Council of Social Service Inc.</w:t>
      </w:r>
    </w:p>
    <w:p w14:paraId="54F62E83" w14:textId="77777777" w:rsidR="009859B7" w:rsidRPr="00A6087F" w:rsidRDefault="009859B7" w:rsidP="00597AEB">
      <w:pPr>
        <w:pStyle w:val="AcronymsList"/>
        <w:spacing w:after="140"/>
      </w:pPr>
      <w:proofErr w:type="spellStart"/>
      <w:r w:rsidRPr="00A6087F">
        <w:t>AHURI</w:t>
      </w:r>
      <w:proofErr w:type="spellEnd"/>
      <w:r w:rsidRPr="00A6087F">
        <w:t xml:space="preserve"> </w:t>
      </w:r>
      <w:r w:rsidRPr="00A6087F">
        <w:tab/>
        <w:t>Australian Housing and Urban Research Institute</w:t>
      </w:r>
    </w:p>
    <w:p w14:paraId="61EEDBA4" w14:textId="56C052AF" w:rsidR="00067556" w:rsidRPr="00A6087F" w:rsidRDefault="00067556" w:rsidP="00597AEB">
      <w:pPr>
        <w:pStyle w:val="AcronymsList"/>
        <w:spacing w:after="140"/>
      </w:pPr>
      <w:proofErr w:type="spellStart"/>
      <w:r w:rsidRPr="00A6087F">
        <w:t>AIHW</w:t>
      </w:r>
      <w:proofErr w:type="spellEnd"/>
      <w:r w:rsidRPr="00A6087F">
        <w:tab/>
        <w:t>Australian Ins</w:t>
      </w:r>
      <w:r w:rsidR="008D4A86" w:rsidRPr="00A6087F">
        <w:t>titute of Health and Welfare</w:t>
      </w:r>
    </w:p>
    <w:p w14:paraId="03634D15" w14:textId="77777777" w:rsidR="009859B7" w:rsidRPr="00A6087F" w:rsidRDefault="009859B7" w:rsidP="00597AEB">
      <w:pPr>
        <w:pStyle w:val="AcronymsList"/>
        <w:spacing w:after="140"/>
      </w:pPr>
      <w:r w:rsidRPr="00A6087F">
        <w:t>AMC</w:t>
      </w:r>
      <w:r w:rsidRPr="00A6087F">
        <w:tab/>
        <w:t>Alexander Maconochie Centre</w:t>
      </w:r>
    </w:p>
    <w:p w14:paraId="4DBF4013" w14:textId="2E3AD6F7" w:rsidR="00187E19" w:rsidRPr="00A6087F" w:rsidRDefault="00187E19" w:rsidP="00597AEB">
      <w:pPr>
        <w:pStyle w:val="AcronymsList"/>
        <w:spacing w:after="140"/>
      </w:pPr>
      <w:proofErr w:type="spellStart"/>
      <w:r w:rsidRPr="00A6087F">
        <w:t>ATOD</w:t>
      </w:r>
      <w:proofErr w:type="spellEnd"/>
      <w:r w:rsidRPr="00A6087F">
        <w:tab/>
      </w:r>
      <w:r w:rsidRPr="00A6087F">
        <w:t xml:space="preserve">alcohol, </w:t>
      </w:r>
      <w:proofErr w:type="gramStart"/>
      <w:r w:rsidRPr="00A6087F">
        <w:t>tobacco</w:t>
      </w:r>
      <w:proofErr w:type="gramEnd"/>
      <w:r w:rsidRPr="00A6087F">
        <w:t xml:space="preserve"> and other drug </w:t>
      </w:r>
    </w:p>
    <w:p w14:paraId="1390CAEA" w14:textId="3033B8A9" w:rsidR="009859B7" w:rsidRPr="00A6087F" w:rsidRDefault="009859B7" w:rsidP="00597AEB">
      <w:pPr>
        <w:pStyle w:val="AcronymsList"/>
        <w:spacing w:after="140"/>
      </w:pPr>
      <w:proofErr w:type="spellStart"/>
      <w:r w:rsidRPr="00A6087F">
        <w:t>ATOD</w:t>
      </w:r>
      <w:r w:rsidRPr="00A6087F" w:rsidDel="002F4566">
        <w:t>A</w:t>
      </w:r>
      <w:proofErr w:type="spellEnd"/>
      <w:r w:rsidRPr="00A6087F">
        <w:t xml:space="preserve"> </w:t>
      </w:r>
      <w:r w:rsidRPr="00A6087F">
        <w:tab/>
      </w:r>
      <w:r w:rsidRPr="00A6087F" w:rsidDel="001372F2">
        <w:t>A</w:t>
      </w:r>
      <w:r w:rsidRPr="00A6087F">
        <w:t xml:space="preserve">lcohol, </w:t>
      </w:r>
      <w:proofErr w:type="gramStart"/>
      <w:r w:rsidRPr="00A6087F" w:rsidDel="001372F2">
        <w:t>T</w:t>
      </w:r>
      <w:r w:rsidRPr="00A6087F">
        <w:t>obacco</w:t>
      </w:r>
      <w:proofErr w:type="gramEnd"/>
      <w:r w:rsidRPr="00A6087F">
        <w:t xml:space="preserve"> and </w:t>
      </w:r>
      <w:r w:rsidRPr="00A6087F" w:rsidDel="001372F2">
        <w:t>O</w:t>
      </w:r>
      <w:r w:rsidRPr="00A6087F">
        <w:t xml:space="preserve">ther </w:t>
      </w:r>
      <w:r w:rsidRPr="00A6087F" w:rsidDel="001372F2">
        <w:t>D</w:t>
      </w:r>
      <w:r w:rsidRPr="00A6087F">
        <w:t xml:space="preserve">rug </w:t>
      </w:r>
      <w:r w:rsidRPr="00A6087F" w:rsidDel="002F4566">
        <w:t>Association ACT</w:t>
      </w:r>
    </w:p>
    <w:p w14:paraId="34C533E6" w14:textId="77777777" w:rsidR="009859B7" w:rsidRPr="00A6087F" w:rsidRDefault="009859B7" w:rsidP="00597AEB">
      <w:pPr>
        <w:pStyle w:val="AcronymsList"/>
        <w:spacing w:after="140"/>
      </w:pPr>
      <w:proofErr w:type="spellStart"/>
      <w:r w:rsidRPr="00A6087F" w:rsidDel="00820FB5">
        <w:rPr>
          <w:rFonts w:eastAsia="MS Mincho"/>
        </w:rPr>
        <w:t>ATSIEB</w:t>
      </w:r>
      <w:proofErr w:type="spellEnd"/>
      <w:r w:rsidRPr="00A6087F" w:rsidDel="00820FB5">
        <w:rPr>
          <w:rFonts w:eastAsia="MS Mincho"/>
        </w:rPr>
        <w:t xml:space="preserve"> </w:t>
      </w:r>
      <w:r w:rsidRPr="00A6087F" w:rsidDel="00820FB5">
        <w:rPr>
          <w:rFonts w:eastAsia="MS Mincho"/>
        </w:rPr>
        <w:tab/>
        <w:t xml:space="preserve">Aboriginal and Torres Strait Islander Elected Body </w:t>
      </w:r>
    </w:p>
    <w:p w14:paraId="0C64BD93" w14:textId="77777777" w:rsidR="009859B7" w:rsidRPr="00A6087F" w:rsidRDefault="009859B7" w:rsidP="00597AEB">
      <w:pPr>
        <w:pStyle w:val="AcronymsList"/>
        <w:spacing w:after="140"/>
      </w:pPr>
      <w:r w:rsidRPr="00A6087F">
        <w:t>CASP</w:t>
      </w:r>
      <w:r w:rsidRPr="00A6087F">
        <w:tab/>
        <w:t xml:space="preserve">Community Assistance and Support Program </w:t>
      </w:r>
    </w:p>
    <w:p w14:paraId="0FC95AAA" w14:textId="77777777" w:rsidR="009859B7" w:rsidRPr="00A6087F" w:rsidRDefault="009859B7" w:rsidP="00597AEB">
      <w:pPr>
        <w:pStyle w:val="AcronymsList"/>
        <w:spacing w:after="140"/>
      </w:pPr>
      <w:r w:rsidRPr="00A6087F">
        <w:t>CDNet</w:t>
      </w:r>
      <w:r w:rsidRPr="00A6087F">
        <w:tab/>
        <w:t>Community Development Network for the ACT and Region</w:t>
      </w:r>
    </w:p>
    <w:p w14:paraId="57D649CA" w14:textId="3C82C602" w:rsidR="00BF6A4B" w:rsidRPr="00A6087F" w:rsidRDefault="00BF6A4B" w:rsidP="00597AEB">
      <w:pPr>
        <w:pStyle w:val="AcronymsList"/>
        <w:spacing w:after="140"/>
      </w:pPr>
      <w:r w:rsidRPr="00A6087F">
        <w:t xml:space="preserve">CHIA </w:t>
      </w:r>
      <w:r w:rsidRPr="00A6087F">
        <w:tab/>
      </w:r>
      <w:r w:rsidRPr="00A6087F">
        <w:t xml:space="preserve">Community Housing Industry Association </w:t>
      </w:r>
    </w:p>
    <w:p w14:paraId="3AA7F051" w14:textId="77777777" w:rsidR="009859B7" w:rsidRPr="00A6087F" w:rsidRDefault="009859B7" w:rsidP="00597AEB">
      <w:pPr>
        <w:pStyle w:val="AcronymsList"/>
        <w:spacing w:after="140"/>
      </w:pPr>
      <w:r w:rsidRPr="00A6087F">
        <w:t xml:space="preserve">CHPs </w:t>
      </w:r>
      <w:r w:rsidRPr="00A6087F">
        <w:tab/>
        <w:t>community housing providers</w:t>
      </w:r>
    </w:p>
    <w:p w14:paraId="57BB34FB" w14:textId="77777777" w:rsidR="009859B7" w:rsidRPr="00A6087F" w:rsidRDefault="009859B7" w:rsidP="00597AEB">
      <w:pPr>
        <w:pStyle w:val="AcronymsList"/>
        <w:spacing w:after="140"/>
      </w:pPr>
      <w:r w:rsidRPr="00A6087F">
        <w:t>CPI</w:t>
      </w:r>
      <w:r w:rsidRPr="00A6087F">
        <w:tab/>
        <w:t>Consumer Price Index</w:t>
      </w:r>
    </w:p>
    <w:p w14:paraId="2D1A8264" w14:textId="3014F79A" w:rsidR="00597AEB" w:rsidRPr="00A6087F" w:rsidRDefault="00597AEB" w:rsidP="00597AEB">
      <w:pPr>
        <w:pStyle w:val="AcronymsList"/>
        <w:spacing w:after="140"/>
      </w:pPr>
      <w:r w:rsidRPr="00A6087F">
        <w:t xml:space="preserve">CRA </w:t>
      </w:r>
      <w:r w:rsidRPr="00A6087F">
        <w:tab/>
      </w:r>
      <w:r w:rsidRPr="00A6087F">
        <w:t>Commonwealth Rent Assistance</w:t>
      </w:r>
    </w:p>
    <w:p w14:paraId="43EC6E0E" w14:textId="77777777" w:rsidR="009859B7" w:rsidRPr="00A6087F" w:rsidRDefault="009859B7" w:rsidP="00597AEB">
      <w:pPr>
        <w:pStyle w:val="AcronymsList"/>
        <w:spacing w:after="140"/>
      </w:pPr>
      <w:proofErr w:type="spellStart"/>
      <w:r w:rsidRPr="00A6087F">
        <w:t>CYPS</w:t>
      </w:r>
      <w:proofErr w:type="spellEnd"/>
      <w:r w:rsidRPr="00A6087F">
        <w:tab/>
        <w:t>Child and Youth Protection Services</w:t>
      </w:r>
    </w:p>
    <w:p w14:paraId="6046E600" w14:textId="77777777" w:rsidR="009859B7" w:rsidRPr="00A6087F" w:rsidRDefault="009859B7" w:rsidP="00597AEB">
      <w:pPr>
        <w:pStyle w:val="AcronymsList"/>
        <w:spacing w:after="140"/>
      </w:pPr>
      <w:r w:rsidRPr="00A6087F">
        <w:t>DFV</w:t>
      </w:r>
      <w:r w:rsidRPr="00A6087F">
        <w:tab/>
        <w:t>domestic and family violence</w:t>
      </w:r>
    </w:p>
    <w:p w14:paraId="1AF282D1" w14:textId="77777777" w:rsidR="009859B7" w:rsidRPr="00A6087F" w:rsidDel="00820FB5" w:rsidRDefault="009859B7" w:rsidP="00597AEB">
      <w:pPr>
        <w:pStyle w:val="AcronymsList"/>
        <w:spacing w:after="140"/>
      </w:pPr>
      <w:r w:rsidRPr="00A6087F" w:rsidDel="00820FB5">
        <w:t xml:space="preserve">DSP </w:t>
      </w:r>
      <w:r w:rsidRPr="00A6087F" w:rsidDel="00820FB5">
        <w:tab/>
        <w:t xml:space="preserve">Disability Support Pension </w:t>
      </w:r>
    </w:p>
    <w:p w14:paraId="64914638" w14:textId="77777777" w:rsidR="009859B7" w:rsidRPr="00A6087F" w:rsidDel="00820FB5" w:rsidRDefault="009859B7" w:rsidP="00597AEB">
      <w:pPr>
        <w:pStyle w:val="AcronymsList"/>
        <w:spacing w:after="140"/>
      </w:pPr>
      <w:r w:rsidRPr="00A6087F" w:rsidDel="00820FB5">
        <w:t xml:space="preserve">DSS </w:t>
      </w:r>
      <w:r w:rsidRPr="00A6087F" w:rsidDel="00820FB5">
        <w:tab/>
        <w:t>Department of Social Services</w:t>
      </w:r>
    </w:p>
    <w:p w14:paraId="0B8F03CC" w14:textId="77777777" w:rsidR="009859B7" w:rsidRPr="00A6087F" w:rsidRDefault="009859B7" w:rsidP="00597AEB">
      <w:pPr>
        <w:pStyle w:val="AcronymsList"/>
        <w:spacing w:after="140"/>
      </w:pPr>
      <w:r w:rsidRPr="00A6087F">
        <w:t xml:space="preserve">GDP </w:t>
      </w:r>
      <w:r w:rsidRPr="00A6087F">
        <w:tab/>
        <w:t>gross domestic product</w:t>
      </w:r>
    </w:p>
    <w:p w14:paraId="08917311" w14:textId="77777777" w:rsidR="009859B7" w:rsidRPr="00A6087F" w:rsidDel="00820FB5" w:rsidRDefault="009859B7" w:rsidP="00597AEB">
      <w:pPr>
        <w:pStyle w:val="AcronymsList"/>
        <w:spacing w:after="140"/>
      </w:pPr>
      <w:r w:rsidRPr="00A6087F" w:rsidDel="00820FB5">
        <w:t xml:space="preserve">ICT </w:t>
      </w:r>
      <w:r w:rsidRPr="00A6087F" w:rsidDel="00820FB5">
        <w:tab/>
        <w:t>information and communication technology</w:t>
      </w:r>
    </w:p>
    <w:p w14:paraId="4EF8115E" w14:textId="77777777" w:rsidR="009859B7" w:rsidRPr="00A6087F" w:rsidRDefault="009859B7" w:rsidP="00597AEB">
      <w:pPr>
        <w:pStyle w:val="AcronymsList"/>
        <w:spacing w:after="140"/>
      </w:pPr>
      <w:proofErr w:type="spellStart"/>
      <w:r w:rsidRPr="00A6087F">
        <w:t>LFiT</w:t>
      </w:r>
      <w:proofErr w:type="spellEnd"/>
      <w:r w:rsidRPr="00A6087F">
        <w:tab/>
        <w:t>Large-scale Feed-in Tariff</w:t>
      </w:r>
    </w:p>
    <w:p w14:paraId="1DBF13D9" w14:textId="77777777" w:rsidR="009859B7" w:rsidRPr="00A6087F" w:rsidRDefault="009859B7" w:rsidP="00597AEB">
      <w:pPr>
        <w:pStyle w:val="AcronymsList"/>
        <w:spacing w:after="140"/>
      </w:pPr>
      <w:proofErr w:type="spellStart"/>
      <w:r w:rsidRPr="00A6087F">
        <w:t>LGBTIQA</w:t>
      </w:r>
      <w:proofErr w:type="spellEnd"/>
      <w:r w:rsidRPr="00A6087F">
        <w:t xml:space="preserve">+ </w:t>
      </w:r>
      <w:r w:rsidRPr="00A6087F">
        <w:tab/>
        <w:t>lesbian, gay, bisexual, transgender, gender diverse, intersex, queer, asexual and questioning</w:t>
      </w:r>
    </w:p>
    <w:p w14:paraId="4669375C" w14:textId="77777777" w:rsidR="009859B7" w:rsidRPr="00A6087F" w:rsidRDefault="009859B7" w:rsidP="00597AEB">
      <w:pPr>
        <w:pStyle w:val="AcronymsList"/>
        <w:spacing w:after="140"/>
      </w:pPr>
      <w:r w:rsidRPr="00A6087F">
        <w:t xml:space="preserve">NDIS </w:t>
      </w:r>
      <w:r w:rsidRPr="00A6087F">
        <w:tab/>
        <w:t>National Disability Insurance Scheme</w:t>
      </w:r>
    </w:p>
    <w:p w14:paraId="4D7DA1DB" w14:textId="322EEA88" w:rsidR="009859B7" w:rsidRPr="00A6087F" w:rsidRDefault="009859B7" w:rsidP="00597AEB">
      <w:pPr>
        <w:pStyle w:val="AcronymsList"/>
        <w:spacing w:after="140"/>
      </w:pPr>
      <w:proofErr w:type="spellStart"/>
      <w:r w:rsidRPr="00A6087F">
        <w:t>NPM</w:t>
      </w:r>
      <w:r w:rsidR="009F4EED" w:rsidRPr="00A6087F">
        <w:t>s</w:t>
      </w:r>
      <w:proofErr w:type="spellEnd"/>
      <w:r w:rsidRPr="00A6087F">
        <w:tab/>
        <w:t>National Preventative Mechanism</w:t>
      </w:r>
      <w:r w:rsidR="009F4EED" w:rsidRPr="00A6087F">
        <w:t>s</w:t>
      </w:r>
      <w:r w:rsidRPr="00A6087F">
        <w:t xml:space="preserve"> </w:t>
      </w:r>
      <w:r w:rsidR="00CF41AF" w:rsidRPr="00A6087F">
        <w:t xml:space="preserve">(bodies </w:t>
      </w:r>
      <w:r w:rsidR="00855078" w:rsidRPr="00A6087F">
        <w:t>established to ensure</w:t>
      </w:r>
      <w:r w:rsidRPr="00A6087F">
        <w:t xml:space="preserve"> ACT </w:t>
      </w:r>
      <w:r w:rsidR="00855078" w:rsidRPr="00A6087F">
        <w:t>compliance</w:t>
      </w:r>
      <w:r w:rsidRPr="00A6087F">
        <w:t xml:space="preserve"> with the </w:t>
      </w:r>
      <w:proofErr w:type="spellStart"/>
      <w:r w:rsidRPr="00A6087F">
        <w:t>OPCAT</w:t>
      </w:r>
      <w:proofErr w:type="spellEnd"/>
      <w:r w:rsidR="000C38B8" w:rsidRPr="00A6087F">
        <w:t>)</w:t>
      </w:r>
    </w:p>
    <w:p w14:paraId="67B73BCD" w14:textId="77777777" w:rsidR="009859B7" w:rsidRPr="00A6087F" w:rsidDel="005F269F" w:rsidRDefault="009859B7" w:rsidP="00597AEB">
      <w:pPr>
        <w:pStyle w:val="AcronymsList"/>
        <w:spacing w:after="140"/>
      </w:pPr>
      <w:proofErr w:type="spellStart"/>
      <w:r w:rsidRPr="00A6087F" w:rsidDel="005F269F">
        <w:t>OOHC</w:t>
      </w:r>
      <w:proofErr w:type="spellEnd"/>
      <w:r w:rsidRPr="00A6087F" w:rsidDel="005F269F">
        <w:tab/>
        <w:t>out-of-home care</w:t>
      </w:r>
    </w:p>
    <w:p w14:paraId="7B7E213A" w14:textId="70B8F6DB" w:rsidR="009859B7" w:rsidRPr="00A6087F" w:rsidRDefault="009859B7" w:rsidP="00597AEB">
      <w:pPr>
        <w:pStyle w:val="AcronymsList"/>
        <w:spacing w:after="140"/>
      </w:pPr>
      <w:proofErr w:type="spellStart"/>
      <w:r w:rsidRPr="00A6087F">
        <w:t>OPCAT</w:t>
      </w:r>
      <w:proofErr w:type="spellEnd"/>
      <w:r w:rsidRPr="00A6087F">
        <w:t xml:space="preserve"> </w:t>
      </w:r>
      <w:r w:rsidRPr="00A6087F">
        <w:tab/>
        <w:t xml:space="preserve">Optional Protocol to the Convention </w:t>
      </w:r>
      <w:r w:rsidR="009F4EED" w:rsidRPr="00A6087F">
        <w:t>A</w:t>
      </w:r>
      <w:r w:rsidRPr="00A6087F">
        <w:t>gainst Torture</w:t>
      </w:r>
    </w:p>
    <w:p w14:paraId="30CDB4A5" w14:textId="77777777" w:rsidR="009859B7" w:rsidRPr="00A6087F" w:rsidRDefault="009859B7" w:rsidP="00597AEB">
      <w:pPr>
        <w:pStyle w:val="AcronymsList"/>
        <w:spacing w:after="140"/>
      </w:pPr>
      <w:proofErr w:type="spellStart"/>
      <w:r w:rsidRPr="00A6087F">
        <w:t>PAGA</w:t>
      </w:r>
      <w:proofErr w:type="spellEnd"/>
      <w:r w:rsidRPr="00A6087F">
        <w:tab/>
        <w:t>Parliamentary and Governing Agreement for 10th Legislative Assembly</w:t>
      </w:r>
    </w:p>
    <w:p w14:paraId="59C2CC24" w14:textId="108E9007" w:rsidR="00EC604D" w:rsidRPr="00A6087F" w:rsidRDefault="009859B7" w:rsidP="00597AEB">
      <w:pPr>
        <w:pStyle w:val="AcronymsList"/>
        <w:spacing w:after="140"/>
      </w:pPr>
      <w:r w:rsidRPr="00A6087F">
        <w:t>SLA</w:t>
      </w:r>
      <w:r w:rsidRPr="00A6087F">
        <w:tab/>
        <w:t>Suburban Land Agency</w:t>
      </w:r>
    </w:p>
    <w:p w14:paraId="032ECBD3" w14:textId="475644CE" w:rsidR="00AB255D" w:rsidRPr="00A6087F" w:rsidRDefault="00D24C8C" w:rsidP="00F54FAF">
      <w:pPr>
        <w:pStyle w:val="Heading1-Pagebreakbefore"/>
      </w:pPr>
      <w:bookmarkStart w:id="1" w:name="_Toc103872177"/>
      <w:r w:rsidRPr="00A6087F">
        <w:lastRenderedPageBreak/>
        <w:t>Executive Summary</w:t>
      </w:r>
      <w:bookmarkEnd w:id="1"/>
    </w:p>
    <w:p w14:paraId="3EA47548" w14:textId="7B7A32EA" w:rsidR="009E6509" w:rsidRPr="00A6087F" w:rsidRDefault="009E6509" w:rsidP="00D61967">
      <w:pPr>
        <w:pStyle w:val="BodyText"/>
      </w:pPr>
      <w:r w:rsidRPr="00A6087F">
        <w:t xml:space="preserve">The ACT Council of Social Service </w:t>
      </w:r>
      <w:r w:rsidR="001A3F3A" w:rsidRPr="00A6087F">
        <w:t>(ACTCOSS)</w:t>
      </w:r>
      <w:r w:rsidRPr="00A6087F">
        <w:t xml:space="preserve"> welcomes this opportunity to present community sector priorities for the 2022-23 ACT Budget. This submission has been developed through consultation with ACTCOSS members.</w:t>
      </w:r>
    </w:p>
    <w:p w14:paraId="419ED0AE" w14:textId="6A773B97" w:rsidR="009E47CF" w:rsidRPr="00A6087F" w:rsidRDefault="009E47CF" w:rsidP="006627F9">
      <w:pPr>
        <w:pStyle w:val="BodyText"/>
      </w:pPr>
      <w:r w:rsidRPr="00A6087F">
        <w:t xml:space="preserve">The mid-year </w:t>
      </w:r>
      <w:r w:rsidR="00900660" w:rsidRPr="00A6087F">
        <w:t xml:space="preserve">Budget </w:t>
      </w:r>
      <w:r w:rsidRPr="00A6087F">
        <w:t>update showed significant economic recovery and outlined the prospect of sustained low unemployment and recovery as COVID-19</w:t>
      </w:r>
      <w:r w:rsidR="00516865" w:rsidRPr="00A6087F">
        <w:t xml:space="preserve"> related</w:t>
      </w:r>
      <w:r w:rsidRPr="00A6087F">
        <w:t xml:space="preserve"> </w:t>
      </w:r>
      <w:r w:rsidR="00EA546F" w:rsidRPr="00A6087F">
        <w:t>restrictions start to lift</w:t>
      </w:r>
      <w:r w:rsidRPr="00A6087F">
        <w:t>. Th</w:t>
      </w:r>
      <w:r w:rsidR="00427804" w:rsidRPr="00A6087F">
        <w:t xml:space="preserve">e fiscal outlook was cautiously optimistic, with projections of revenue providing the basis for </w:t>
      </w:r>
      <w:r w:rsidR="00D9594D" w:rsidRPr="00A6087F">
        <w:t>ongoing</w:t>
      </w:r>
      <w:r w:rsidR="00427804" w:rsidRPr="00A6087F">
        <w:t xml:space="preserve"> government expenditure in key areas, and maintenance of the government’s ability to borrow money at low rates leveraging the</w:t>
      </w:r>
      <w:r w:rsidR="00BD42CF" w:rsidRPr="00A6087F">
        <w:t xml:space="preserve"> ACT’s</w:t>
      </w:r>
      <w:r w:rsidR="00427804" w:rsidRPr="00A6087F">
        <w:t xml:space="preserve"> AAA credit rating. The sustained</w:t>
      </w:r>
      <w:r w:rsidRPr="00A6087F">
        <w:t xml:space="preserve"> lack of federal investment in income support and social housing</w:t>
      </w:r>
      <w:r w:rsidR="00427804" w:rsidRPr="00A6087F">
        <w:t xml:space="preserve"> was noted as a key constraint</w:t>
      </w:r>
      <w:r w:rsidR="0070719C" w:rsidRPr="00A6087F">
        <w:t>, although the situation may improve after the</w:t>
      </w:r>
      <w:r w:rsidR="000F44FB" w:rsidRPr="00A6087F">
        <w:t xml:space="preserve"> 2022</w:t>
      </w:r>
      <w:r w:rsidR="0070719C" w:rsidRPr="00A6087F">
        <w:t xml:space="preserve"> Federal Election</w:t>
      </w:r>
      <w:r w:rsidRPr="00A6087F">
        <w:t>.</w:t>
      </w:r>
    </w:p>
    <w:p w14:paraId="22CB1F90" w14:textId="1528AAFA" w:rsidR="009E6509" w:rsidRPr="00A6087F" w:rsidRDefault="00277AFA" w:rsidP="002F4154">
      <w:pPr>
        <w:pStyle w:val="BodyText"/>
      </w:pPr>
      <w:r w:rsidRPr="00A6087F">
        <w:t>A</w:t>
      </w:r>
      <w:r w:rsidR="00E9149B" w:rsidRPr="00A6087F">
        <w:t>lthough the</w:t>
      </w:r>
      <w:r w:rsidR="009E6509" w:rsidRPr="00A6087F">
        <w:t xml:space="preserve"> ACT has the highest median income of any jurisdiction in Australia, there is significant disadvantage</w:t>
      </w:r>
      <w:r w:rsidR="00166017" w:rsidRPr="00A6087F">
        <w:t xml:space="preserve">. </w:t>
      </w:r>
      <w:proofErr w:type="spellStart"/>
      <w:r w:rsidR="00166017" w:rsidRPr="00A6087F">
        <w:t>ACTCOSS’s</w:t>
      </w:r>
      <w:proofErr w:type="spellEnd"/>
      <w:r w:rsidR="00166017" w:rsidRPr="00A6087F">
        <w:t xml:space="preserve"> latest </w:t>
      </w:r>
      <w:hyperlink r:id="rId16" w:history="1">
        <w:r w:rsidR="00806E50" w:rsidRPr="00A6087F">
          <w:rPr>
            <w:rStyle w:val="Hyperlink"/>
          </w:rPr>
          <w:t xml:space="preserve">ACT </w:t>
        </w:r>
        <w:r w:rsidR="00343E63" w:rsidRPr="00A6087F">
          <w:rPr>
            <w:rStyle w:val="Hyperlink"/>
          </w:rPr>
          <w:t>C</w:t>
        </w:r>
        <w:r w:rsidR="00166017" w:rsidRPr="00A6087F">
          <w:rPr>
            <w:rStyle w:val="Hyperlink"/>
          </w:rPr>
          <w:t xml:space="preserve">ost </w:t>
        </w:r>
        <w:bookmarkStart w:id="2" w:name="_Hlt103675732"/>
        <w:bookmarkStart w:id="3" w:name="_Hlt103675733"/>
        <w:bookmarkEnd w:id="2"/>
        <w:bookmarkEnd w:id="3"/>
        <w:r w:rsidR="00166017" w:rsidRPr="00A6087F">
          <w:rPr>
            <w:rStyle w:val="Hyperlink"/>
          </w:rPr>
          <w:t xml:space="preserve">of </w:t>
        </w:r>
        <w:r w:rsidR="00343E63" w:rsidRPr="00A6087F">
          <w:rPr>
            <w:rStyle w:val="Hyperlink"/>
          </w:rPr>
          <w:t>L</w:t>
        </w:r>
        <w:r w:rsidR="00166017" w:rsidRPr="00A6087F">
          <w:rPr>
            <w:rStyle w:val="Hyperlink"/>
          </w:rPr>
          <w:t xml:space="preserve">iving </w:t>
        </w:r>
        <w:r w:rsidR="00806E50" w:rsidRPr="00A6087F">
          <w:rPr>
            <w:rStyle w:val="Hyperlink"/>
          </w:rPr>
          <w:t>R</w:t>
        </w:r>
        <w:r w:rsidR="00166017" w:rsidRPr="00A6087F">
          <w:rPr>
            <w:rStyle w:val="Hyperlink"/>
          </w:rPr>
          <w:t>eport</w:t>
        </w:r>
      </w:hyperlink>
      <w:r w:rsidR="00166017" w:rsidRPr="00A6087F">
        <w:t xml:space="preserve"> documents the widening gap </w:t>
      </w:r>
      <w:r w:rsidR="00FA6438" w:rsidRPr="00A6087F">
        <w:t>between the well-off and those on low incomes and/or facing systemic disadvantage</w:t>
      </w:r>
      <w:r w:rsidR="009E6509" w:rsidRPr="00A6087F">
        <w:t>. In the ACT:</w:t>
      </w:r>
    </w:p>
    <w:p w14:paraId="65869C65" w14:textId="2BB49B5F" w:rsidR="008A1D57" w:rsidRPr="00A6087F" w:rsidRDefault="00867B30" w:rsidP="002F4154">
      <w:pPr>
        <w:pStyle w:val="ListBullet"/>
      </w:pPr>
      <w:r w:rsidRPr="00A6087F">
        <w:t>Over 38,000 Canberrans are living below the poverty line, including 9,000 children</w:t>
      </w:r>
      <w:r w:rsidR="008E7230" w:rsidRPr="00A6087F">
        <w:rPr>
          <w:rStyle w:val="FootnoteReference"/>
        </w:rPr>
        <w:footnoteReference w:id="2"/>
      </w:r>
    </w:p>
    <w:p w14:paraId="0EE0B4E9" w14:textId="32490CB7" w:rsidR="008A1D57" w:rsidRPr="00A6087F" w:rsidRDefault="008A1D57" w:rsidP="002F4154">
      <w:pPr>
        <w:pStyle w:val="ListBullet"/>
      </w:pPr>
      <w:r w:rsidRPr="00A6087F">
        <w:t>The ACT has the highest rate of rental stress (73%) among lower income private rental households</w:t>
      </w:r>
      <w:r w:rsidR="004666D9" w:rsidRPr="00A6087F">
        <w:rPr>
          <w:rStyle w:val="FootnoteReference"/>
        </w:rPr>
        <w:footnoteReference w:id="3"/>
      </w:r>
    </w:p>
    <w:p w14:paraId="1A47DBC9" w14:textId="441BEEC2" w:rsidR="008A1D57" w:rsidRPr="00A6087F" w:rsidRDefault="008A1D57" w:rsidP="002F4154">
      <w:pPr>
        <w:pStyle w:val="ListBullet"/>
      </w:pPr>
      <w:r w:rsidRPr="00A6087F">
        <w:t>Over 25,000 people who live in low-income households are experiencing food stress</w:t>
      </w:r>
      <w:r w:rsidR="008E7230" w:rsidRPr="00A6087F">
        <w:rPr>
          <w:rStyle w:val="FootnoteReference"/>
        </w:rPr>
        <w:footnoteReference w:id="4"/>
      </w:r>
    </w:p>
    <w:p w14:paraId="4880CE3C" w14:textId="7EA3598C" w:rsidR="008A1D57" w:rsidRPr="00A6087F" w:rsidRDefault="008A1D57" w:rsidP="002F4154">
      <w:pPr>
        <w:pStyle w:val="ListBullet"/>
      </w:pPr>
      <w:r w:rsidRPr="00A6087F">
        <w:t>Households in the lowest income quintile spend over 55% of their income on housing, food and transport and have been hit hardest by significant increases in prices</w:t>
      </w:r>
      <w:r w:rsidR="00E13467" w:rsidRPr="00A6087F">
        <w:rPr>
          <w:rStyle w:val="FootnoteReference"/>
        </w:rPr>
        <w:footnoteReference w:id="5"/>
      </w:r>
      <w:r w:rsidRPr="00A6087F">
        <w:t xml:space="preserve"> </w:t>
      </w:r>
    </w:p>
    <w:p w14:paraId="278DD00C" w14:textId="053E73B3" w:rsidR="008A1D57" w:rsidRPr="00A6087F" w:rsidRDefault="008A1D57" w:rsidP="002F4154">
      <w:pPr>
        <w:pStyle w:val="ListBullet"/>
      </w:pPr>
      <w:r w:rsidRPr="00A6087F">
        <w:lastRenderedPageBreak/>
        <w:t>Over two thirds (67%) of ACT community sector staff reported that levels of poverty and disadvantage have increased among the groups they support in the past year.</w:t>
      </w:r>
      <w:r w:rsidRPr="00A6087F">
        <w:rPr>
          <w:rStyle w:val="FootnoteReference"/>
        </w:rPr>
        <w:footnoteReference w:id="6"/>
      </w:r>
    </w:p>
    <w:p w14:paraId="06415D31" w14:textId="6A3884C9" w:rsidR="00893F7F" w:rsidRPr="00A6087F" w:rsidRDefault="008A1D57" w:rsidP="00555F50">
      <w:pPr>
        <w:pStyle w:val="BodyText"/>
      </w:pPr>
      <w:r w:rsidRPr="00A6087F">
        <w:t xml:space="preserve">Overall, the economy is strong and there is sufficient revenue to assist those who need additional social support and are being left behind. </w:t>
      </w:r>
      <w:r w:rsidR="005C20F8" w:rsidRPr="00A6087F">
        <w:t>Investing in social support</w:t>
      </w:r>
      <w:r w:rsidR="005F248D" w:rsidRPr="00A6087F">
        <w:t xml:space="preserve"> will </w:t>
      </w:r>
      <w:r w:rsidR="005C20F8" w:rsidRPr="00A6087F">
        <w:t xml:space="preserve">also </w:t>
      </w:r>
      <w:r w:rsidR="005F248D" w:rsidRPr="00A6087F">
        <w:t xml:space="preserve">boost the economy as people </w:t>
      </w:r>
      <w:r w:rsidR="005C20F8" w:rsidRPr="00A6087F">
        <w:t xml:space="preserve">on low incomes </w:t>
      </w:r>
      <w:r w:rsidR="005F248D" w:rsidRPr="00A6087F">
        <w:t>spend a high proportion of their income in local businesses</w:t>
      </w:r>
      <w:r w:rsidR="00555F50" w:rsidRPr="00A6087F">
        <w:t xml:space="preserve"> and will </w:t>
      </w:r>
      <w:r w:rsidRPr="00A6087F">
        <w:t>encourage fuller economic participation and social connection. During the COVID-</w:t>
      </w:r>
      <w:r w:rsidR="00017BB3" w:rsidRPr="00A6087F">
        <w:t xml:space="preserve">19 </w:t>
      </w:r>
      <w:r w:rsidRPr="00A6087F">
        <w:t>pandemic we saw poverty rates in Canberra plummet when income support</w:t>
      </w:r>
      <w:r w:rsidR="00893F7F" w:rsidRPr="00A6087F">
        <w:t xml:space="preserve"> rates</w:t>
      </w:r>
      <w:r w:rsidRPr="00A6087F">
        <w:t xml:space="preserve"> were lifted, demonstrating that </w:t>
      </w:r>
      <w:r w:rsidR="00017BB3" w:rsidRPr="00A6087F">
        <w:t>g</w:t>
      </w:r>
      <w:r w:rsidRPr="00A6087F">
        <w:t xml:space="preserve">overnment action can address long-term poverty in our community. </w:t>
      </w:r>
    </w:p>
    <w:p w14:paraId="50798D76" w14:textId="202403C3" w:rsidR="008A1D57" w:rsidRPr="00A6087F" w:rsidRDefault="008A1D57" w:rsidP="00555F50">
      <w:pPr>
        <w:pStyle w:val="BodyText"/>
      </w:pPr>
      <w:r w:rsidRPr="00A6087F">
        <w:t xml:space="preserve">The ACT Government must urgently address the growing housing crisis, </w:t>
      </w:r>
      <w:proofErr w:type="gramStart"/>
      <w:r w:rsidRPr="00A6087F">
        <w:t>support</w:t>
      </w:r>
      <w:proofErr w:type="gramEnd"/>
      <w:r w:rsidRPr="00A6087F">
        <w:t xml:space="preserve"> and enable the community sector to respond to increasing disadvantage caused by rising costs of living</w:t>
      </w:r>
      <w:r w:rsidR="00C77551" w:rsidRPr="00A6087F">
        <w:t>,</w:t>
      </w:r>
      <w:r w:rsidRPr="00A6087F">
        <w:t xml:space="preserve"> and we must prioritise self-determination and community control for Aboriginal and/or Torres Strait Islander communities. As we approach the mid-point of the tenth Legislative Assembly</w:t>
      </w:r>
      <w:r w:rsidR="00C77551" w:rsidRPr="00A6087F">
        <w:t>,</w:t>
      </w:r>
      <w:r w:rsidRPr="00A6087F">
        <w:t xml:space="preserve"> in October 2022, failure to address these issues will leave the </w:t>
      </w:r>
      <w:r w:rsidR="00C77551" w:rsidRPr="00A6087F">
        <w:t>g</w:t>
      </w:r>
      <w:r w:rsidRPr="00A6087F">
        <w:t>overnment vulnerable to enhanced public scrutiny of its delivery against the commitments in the Parliamentary and Governing Agreement (</w:t>
      </w:r>
      <w:proofErr w:type="spellStart"/>
      <w:r w:rsidRPr="00A6087F">
        <w:t>PAGA</w:t>
      </w:r>
      <w:proofErr w:type="spellEnd"/>
      <w:r w:rsidRPr="00A6087F">
        <w:t>).</w:t>
      </w:r>
    </w:p>
    <w:p w14:paraId="6F96FE72" w14:textId="076451C8" w:rsidR="008A1D57" w:rsidRPr="00A6087F" w:rsidRDefault="008A1D57" w:rsidP="002E4188">
      <w:pPr>
        <w:pStyle w:val="BodyText"/>
      </w:pPr>
      <w:r w:rsidRPr="00A6087F">
        <w:t>This submission focuses on four key priorities:</w:t>
      </w:r>
    </w:p>
    <w:p w14:paraId="2225FEF1" w14:textId="05ADAE18" w:rsidR="008A1D57" w:rsidRPr="00A6087F" w:rsidRDefault="008A1D57" w:rsidP="00F66067">
      <w:pPr>
        <w:pStyle w:val="Priorities"/>
      </w:pPr>
      <w:r w:rsidRPr="00A6087F">
        <w:t xml:space="preserve"> Housing </w:t>
      </w:r>
      <w:r w:rsidR="00A53CEE" w:rsidRPr="00A6087F">
        <w:t>C</w:t>
      </w:r>
      <w:r w:rsidRPr="00A6087F">
        <w:t xml:space="preserve">risis </w:t>
      </w:r>
    </w:p>
    <w:p w14:paraId="43B29FE0" w14:textId="30B2B3FF" w:rsidR="008A1D57" w:rsidRPr="00A6087F" w:rsidRDefault="008A1D57" w:rsidP="000D3DA8">
      <w:pPr>
        <w:pStyle w:val="BodyText"/>
      </w:pPr>
      <w:r w:rsidRPr="00A6087F">
        <w:t>Housing is the biggest cost of living pressure for low-income households. For most low-income households, the cost of purchasing a home is severely unaffordable, and the ACT has the highest rate of rental stress among lower income private rental households at 73%.</w:t>
      </w:r>
      <w:r w:rsidRPr="00A6087F">
        <w:rPr>
          <w:rStyle w:val="FootnoteReference"/>
        </w:rPr>
        <w:footnoteReference w:id="7"/>
      </w:r>
      <w:r w:rsidR="003D3AE0">
        <w:t xml:space="preserve"> </w:t>
      </w:r>
    </w:p>
    <w:p w14:paraId="05627AD0" w14:textId="0D6DF30C" w:rsidR="008A1D57" w:rsidRPr="00A6087F" w:rsidRDefault="008A1D57" w:rsidP="00932F06">
      <w:pPr>
        <w:pStyle w:val="BodyText"/>
      </w:pPr>
      <w:r w:rsidRPr="00A6087F">
        <w:t>Canberra is the least affordable city to rent in for young people working in retail and hospitality and/or receiving Youth Allowance</w:t>
      </w:r>
      <w:r w:rsidRPr="00A6087F">
        <w:rPr>
          <w:rStyle w:val="FootnoteReference"/>
        </w:rPr>
        <w:footnoteReference w:id="8"/>
      </w:r>
      <w:r w:rsidRPr="00A6087F">
        <w:t xml:space="preserve">, and the least affordable capital city for key COVID-essential workers. Business, </w:t>
      </w:r>
      <w:proofErr w:type="gramStart"/>
      <w:r w:rsidRPr="00A6087F">
        <w:t>community</w:t>
      </w:r>
      <w:proofErr w:type="gramEnd"/>
      <w:r w:rsidRPr="00A6087F">
        <w:t xml:space="preserve"> and public sector leaders all report a growing inability to attract and retain staff to work in low and mid-level jobs due to cost-of-living pressures and mainly their inability to afford housing.</w:t>
      </w:r>
    </w:p>
    <w:p w14:paraId="4F79B6D9" w14:textId="43DE4A67" w:rsidR="00297347" w:rsidRPr="00A6087F" w:rsidRDefault="008A1D57" w:rsidP="005823BC">
      <w:pPr>
        <w:pStyle w:val="BodyText"/>
      </w:pPr>
      <w:r w:rsidRPr="00A6087F">
        <w:t xml:space="preserve">A key area where the </w:t>
      </w:r>
      <w:r w:rsidR="00BB5075" w:rsidRPr="00A6087F">
        <w:t>g</w:t>
      </w:r>
      <w:r w:rsidRPr="00A6087F">
        <w:t xml:space="preserve">overnment can make greater progress is to address the lack of affordable rental dwellings. The </w:t>
      </w:r>
      <w:proofErr w:type="spellStart"/>
      <w:r w:rsidRPr="00A6087F">
        <w:t>PAGA</w:t>
      </w:r>
      <w:proofErr w:type="spellEnd"/>
      <w:r w:rsidRPr="00A6087F">
        <w:t xml:space="preserve"> contains a commitment to provide </w:t>
      </w:r>
      <w:r w:rsidRPr="00A6087F">
        <w:lastRenderedPageBreak/>
        <w:t>600 new affordable rentals, against a modelled need of 2,400</w:t>
      </w:r>
      <w:r w:rsidR="007B3DD0" w:rsidRPr="00A6087F">
        <w:t>.</w:t>
      </w:r>
      <w:r w:rsidR="004727B3" w:rsidRPr="00A6087F">
        <w:rPr>
          <w:rStyle w:val="FootnoteReference"/>
        </w:rPr>
        <w:footnoteReference w:id="9"/>
      </w:r>
      <w:r w:rsidR="008245F6" w:rsidRPr="00A6087F">
        <w:t xml:space="preserve"> </w:t>
      </w:r>
      <w:r w:rsidR="00A01445" w:rsidRPr="00A6087F">
        <w:t>Community housing providers</w:t>
      </w:r>
      <w:r w:rsidR="00672C17" w:rsidRPr="00A6087F">
        <w:t xml:space="preserve"> (CHPs)</w:t>
      </w:r>
      <w:r w:rsidR="00A01445" w:rsidRPr="00A6087F">
        <w:t xml:space="preserve"> are experts in providing affordable rentals</w:t>
      </w:r>
      <w:r w:rsidR="00431A0F" w:rsidRPr="00A6087F">
        <w:t xml:space="preserve">. </w:t>
      </w:r>
      <w:r w:rsidR="008A37B3" w:rsidRPr="00A6087F">
        <w:t>M</w:t>
      </w:r>
      <w:r w:rsidR="00FC21E6" w:rsidRPr="00A6087F">
        <w:t xml:space="preserve">odelling undertaken by some </w:t>
      </w:r>
      <w:r w:rsidR="008A37B3" w:rsidRPr="00A6087F">
        <w:t>Community Housing Industry Association (</w:t>
      </w:r>
      <w:r w:rsidR="00FC21E6" w:rsidRPr="00A6087F">
        <w:t>CHIA</w:t>
      </w:r>
      <w:r w:rsidR="008A37B3" w:rsidRPr="00A6087F">
        <w:t>)</w:t>
      </w:r>
      <w:r w:rsidR="00FC21E6" w:rsidRPr="00A6087F">
        <w:t xml:space="preserve"> ACT members</w:t>
      </w:r>
      <w:r w:rsidR="000E2599" w:rsidRPr="00A6087F">
        <w:t xml:space="preserve"> found that</w:t>
      </w:r>
      <w:r w:rsidR="00FC21E6" w:rsidRPr="00A6087F">
        <w:t xml:space="preserve"> the total </w:t>
      </w:r>
      <w:r w:rsidR="00C84ECE" w:rsidRPr="00A6087F">
        <w:t>‘</w:t>
      </w:r>
      <w:r w:rsidR="00FC21E6" w:rsidRPr="00A6087F">
        <w:t xml:space="preserve">cost to </w:t>
      </w:r>
      <w:r w:rsidR="00877F4E" w:rsidRPr="00A6087F">
        <w:t>g</w:t>
      </w:r>
      <w:r w:rsidR="00FC21E6" w:rsidRPr="00A6087F">
        <w:t>overnment</w:t>
      </w:r>
      <w:r w:rsidR="00C84ECE" w:rsidRPr="00A6087F">
        <w:t>’</w:t>
      </w:r>
      <w:r w:rsidR="00FC21E6" w:rsidRPr="00A6087F">
        <w:t xml:space="preserve"> </w:t>
      </w:r>
      <w:r w:rsidR="000E2599" w:rsidRPr="00A6087F">
        <w:t>would be</w:t>
      </w:r>
      <w:r w:rsidR="00FC21E6" w:rsidRPr="00A6087F">
        <w:t xml:space="preserve"> approximately $100,000 to $150,000 per affordable rental dwelling developed by a </w:t>
      </w:r>
      <w:r w:rsidR="00877F4E" w:rsidRPr="00A6087F">
        <w:t>c</w:t>
      </w:r>
      <w:r w:rsidR="00FC21E6" w:rsidRPr="00A6087F">
        <w:t xml:space="preserve">ommunity </w:t>
      </w:r>
      <w:r w:rsidR="00877F4E" w:rsidRPr="00A6087F">
        <w:t>h</w:t>
      </w:r>
      <w:r w:rsidR="00FC21E6" w:rsidRPr="00A6087F">
        <w:t xml:space="preserve">ousing </w:t>
      </w:r>
      <w:r w:rsidR="00877F4E" w:rsidRPr="00A6087F">
        <w:t>p</w:t>
      </w:r>
      <w:r w:rsidR="00FC21E6" w:rsidRPr="00A6087F">
        <w:t>rovider.</w:t>
      </w:r>
      <w:r w:rsidR="003852EE" w:rsidRPr="00A6087F">
        <w:rPr>
          <w:rStyle w:val="FootnoteReference"/>
        </w:rPr>
        <w:footnoteReference w:id="10"/>
      </w:r>
      <w:r w:rsidR="003D3AE0">
        <w:t xml:space="preserve"> </w:t>
      </w:r>
      <w:r w:rsidR="007C19E5" w:rsidRPr="00A6087F">
        <w:t>The CHPs</w:t>
      </w:r>
      <w:r w:rsidR="00CF079C" w:rsidRPr="00A6087F">
        <w:t xml:space="preserve"> would</w:t>
      </w:r>
      <w:r w:rsidR="00297347" w:rsidRPr="00A6087F">
        <w:t xml:space="preserve"> provide rentals at 74.9% of market value over at least </w:t>
      </w:r>
      <w:r w:rsidR="000E7553" w:rsidRPr="00A6087F">
        <w:t>twenty-year</w:t>
      </w:r>
      <w:r w:rsidR="00297347" w:rsidRPr="00A6087F">
        <w:t xml:space="preserve"> periods </w:t>
      </w:r>
      <w:r w:rsidR="000E7553" w:rsidRPr="00A6087F">
        <w:t>for the second</w:t>
      </w:r>
      <w:r w:rsidR="007D346F" w:rsidRPr="00A6087F">
        <w:t xml:space="preserve"> income</w:t>
      </w:r>
      <w:r w:rsidR="000E7553" w:rsidRPr="00A6087F">
        <w:t xml:space="preserve"> quintile</w:t>
      </w:r>
      <w:r w:rsidR="00297347" w:rsidRPr="00A6087F">
        <w:t xml:space="preserve">. </w:t>
      </w:r>
      <w:r w:rsidR="00927EEA" w:rsidRPr="00A6087F">
        <w:t xml:space="preserve">They can also contribute to the stock of social housing with additional subsidy. </w:t>
      </w:r>
      <w:r w:rsidR="00D237A5" w:rsidRPr="00A6087F">
        <w:t>Clear</w:t>
      </w:r>
      <w:r w:rsidR="00297347" w:rsidRPr="00A6087F">
        <w:t xml:space="preserve"> direction is </w:t>
      </w:r>
      <w:r w:rsidR="0049258C" w:rsidRPr="00A6087F">
        <w:t xml:space="preserve">required </w:t>
      </w:r>
      <w:r w:rsidR="00297347" w:rsidRPr="00A6087F">
        <w:t xml:space="preserve">to ensure restrictions on assigned </w:t>
      </w:r>
      <w:r w:rsidR="00FE22DA" w:rsidRPr="00A6087F">
        <w:t>plots are sufficient to produce valuations that allow purchase by CHP</w:t>
      </w:r>
      <w:r w:rsidR="008C2B68" w:rsidRPr="00A6087F">
        <w:t xml:space="preserve">, or other measures are taken </w:t>
      </w:r>
      <w:r w:rsidR="004A4814" w:rsidRPr="00A6087F">
        <w:t xml:space="preserve">that </w:t>
      </w:r>
      <w:r w:rsidR="002D660C" w:rsidRPr="00A6087F">
        <w:t xml:space="preserve">enable CHPs to acquire ACT Government sites at price points </w:t>
      </w:r>
      <w:r w:rsidR="0047618D" w:rsidRPr="00A6087F">
        <w:t>that make</w:t>
      </w:r>
      <w:r w:rsidR="00AB300B" w:rsidRPr="00A6087F">
        <w:t xml:space="preserve"> new </w:t>
      </w:r>
      <w:r w:rsidR="00757748" w:rsidRPr="00A6087F">
        <w:t>community housing develop</w:t>
      </w:r>
      <w:r w:rsidR="0047618D" w:rsidRPr="00A6087F">
        <w:t>ments viable</w:t>
      </w:r>
      <w:r w:rsidR="00FE22DA" w:rsidRPr="00A6087F">
        <w:t xml:space="preserve">. The </w:t>
      </w:r>
      <w:r w:rsidR="001D0F24" w:rsidRPr="00A6087F">
        <w:t>g</w:t>
      </w:r>
      <w:r w:rsidR="00FE22DA" w:rsidRPr="00A6087F">
        <w:t xml:space="preserve">overnment should also consider variation to the </w:t>
      </w:r>
      <w:r w:rsidR="006D324E" w:rsidRPr="00A6087F">
        <w:rPr>
          <w:i/>
          <w:iCs/>
        </w:rPr>
        <w:t xml:space="preserve">Planning </w:t>
      </w:r>
      <w:r w:rsidR="00AA5F32" w:rsidRPr="00A6087F">
        <w:rPr>
          <w:i/>
          <w:iCs/>
        </w:rPr>
        <w:t>a</w:t>
      </w:r>
      <w:r w:rsidR="006D324E" w:rsidRPr="00A6087F">
        <w:rPr>
          <w:i/>
          <w:iCs/>
        </w:rPr>
        <w:t>nd Development Act 2007</w:t>
      </w:r>
      <w:r w:rsidR="006D324E" w:rsidRPr="00A6087F">
        <w:t xml:space="preserve"> (ACT)</w:t>
      </w:r>
      <w:r w:rsidR="00FE22DA" w:rsidRPr="00A6087F">
        <w:t xml:space="preserve"> </w:t>
      </w:r>
      <w:r w:rsidR="007E630B" w:rsidRPr="00A6087F">
        <w:t xml:space="preserve">(the Planning Act) </w:t>
      </w:r>
      <w:r w:rsidR="00FE22DA" w:rsidRPr="00A6087F">
        <w:t>and shared equity schemes. Economic modelling is provided</w:t>
      </w:r>
      <w:r w:rsidR="00A03676" w:rsidRPr="00A6087F">
        <w:t xml:space="preserve"> in more detail</w:t>
      </w:r>
      <w:r w:rsidR="00FE22DA" w:rsidRPr="00A6087F">
        <w:t xml:space="preserve"> </w:t>
      </w:r>
      <w:r w:rsidR="00E7323A" w:rsidRPr="00A6087F">
        <w:t>below</w:t>
      </w:r>
      <w:r w:rsidR="00FE22DA" w:rsidRPr="00A6087F">
        <w:t>.</w:t>
      </w:r>
    </w:p>
    <w:p w14:paraId="6FC876C5" w14:textId="69C57D16" w:rsidR="009002F1" w:rsidRPr="00A6087F" w:rsidRDefault="000D04AC" w:rsidP="00F66067">
      <w:pPr>
        <w:pStyle w:val="Priorities"/>
      </w:pPr>
      <w:r w:rsidRPr="00A6087F">
        <w:t xml:space="preserve">Valuing the </w:t>
      </w:r>
      <w:r w:rsidR="00A53CEE" w:rsidRPr="00A6087F">
        <w:t>C</w:t>
      </w:r>
      <w:r w:rsidRPr="00A6087F">
        <w:t xml:space="preserve">ommunity </w:t>
      </w:r>
      <w:r w:rsidR="00A53CEE" w:rsidRPr="00A6087F">
        <w:t>S</w:t>
      </w:r>
      <w:r w:rsidRPr="00A6087F">
        <w:t>ector</w:t>
      </w:r>
      <w:r w:rsidR="00B73C9B" w:rsidRPr="00A6087F">
        <w:t xml:space="preserve"> </w:t>
      </w:r>
    </w:p>
    <w:p w14:paraId="218D72C7" w14:textId="38E6F7BF" w:rsidR="00EF7070" w:rsidRPr="00A6087F" w:rsidRDefault="00EF7070" w:rsidP="00DD698D">
      <w:pPr>
        <w:pStyle w:val="BodyText"/>
      </w:pPr>
      <w:r w:rsidRPr="00A6087F">
        <w:t xml:space="preserve">Community sector organisations are key partners in addressing and recovering from the COVID-19 pandemic. They complement government systems to provide health care and support services to disadvantaged groups based on established relationships of trust and flexible operational delivery systems. </w:t>
      </w:r>
      <w:r w:rsidR="00941F2C" w:rsidRPr="00A6087F">
        <w:t>Community-controlled</w:t>
      </w:r>
      <w:r w:rsidRPr="00A6087F">
        <w:t xml:space="preserve"> Aboriginal and</w:t>
      </w:r>
      <w:r w:rsidR="00DD698D" w:rsidRPr="00A6087F">
        <w:t>/or</w:t>
      </w:r>
      <w:r w:rsidRPr="00A6087F">
        <w:t xml:space="preserve"> Torres Strait Islander organisations bring </w:t>
      </w:r>
      <w:proofErr w:type="gramStart"/>
      <w:r w:rsidRPr="00A6087F">
        <w:t>particular expertise</w:t>
      </w:r>
      <w:proofErr w:type="gramEnd"/>
      <w:r w:rsidRPr="00A6087F">
        <w:t xml:space="preserve"> and community input. However, most community sector organisations have been significantly underfunded for several years</w:t>
      </w:r>
      <w:r w:rsidR="00F522F1" w:rsidRPr="00A6087F">
        <w:t xml:space="preserve"> and face significant workforce challenges</w:t>
      </w:r>
      <w:r w:rsidR="00BA2C56" w:rsidRPr="00A6087F">
        <w:t>.</w:t>
      </w:r>
    </w:p>
    <w:p w14:paraId="5C8201D9" w14:textId="7C75B66F" w:rsidR="00A21E68" w:rsidRPr="00A6087F" w:rsidRDefault="00A21E68" w:rsidP="00DD698D">
      <w:pPr>
        <w:pStyle w:val="BodyText"/>
      </w:pPr>
      <w:r w:rsidRPr="00A6087F">
        <w:t xml:space="preserve">The community sector provides a safety net for the most disadvantaged Canberrans, leveraging </w:t>
      </w:r>
      <w:r w:rsidR="00DD698D" w:rsidRPr="00A6087F">
        <w:t>g</w:t>
      </w:r>
      <w:r w:rsidRPr="00A6087F">
        <w:t>overnment funding to secure private sector and philanthropic funding and donations of volunteer time.</w:t>
      </w:r>
      <w:r w:rsidR="001A44D2" w:rsidRPr="00A6087F">
        <w:t xml:space="preserve"> </w:t>
      </w:r>
      <w:r w:rsidR="00EA5E3B" w:rsidRPr="00A6087F">
        <w:t xml:space="preserve">The sector </w:t>
      </w:r>
      <w:r w:rsidR="001A44D2" w:rsidRPr="00A6087F">
        <w:t xml:space="preserve">is highly cost effective, delivering services of professional quality at lower rates than is feasible via the public service. It also provides paid employment to </w:t>
      </w:r>
      <w:r w:rsidR="0025526F" w:rsidRPr="00A6087F">
        <w:t>at least 14,000 Canberrans</w:t>
      </w:r>
      <w:r w:rsidR="004E44AD" w:rsidRPr="00A6087F">
        <w:rPr>
          <w:rStyle w:val="FootnoteReference"/>
        </w:rPr>
        <w:footnoteReference w:id="11"/>
      </w:r>
      <w:r w:rsidR="00D61F90" w:rsidRPr="00A6087F">
        <w:t xml:space="preserve">, </w:t>
      </w:r>
      <w:r w:rsidR="00227857" w:rsidRPr="00A6087F">
        <w:t xml:space="preserve">and is thus one of the five largest employment sectors, </w:t>
      </w:r>
      <w:r w:rsidR="005B57E2" w:rsidRPr="00A6087F">
        <w:t xml:space="preserve">employing </w:t>
      </w:r>
      <w:r w:rsidR="00227857" w:rsidRPr="00A6087F">
        <w:t xml:space="preserve">about 50% </w:t>
      </w:r>
      <w:r w:rsidR="005B57E2" w:rsidRPr="00A6087F">
        <w:t xml:space="preserve">more people than </w:t>
      </w:r>
      <w:r w:rsidR="00DD2D48">
        <w:t xml:space="preserve">for example </w:t>
      </w:r>
      <w:r w:rsidR="005B57E2" w:rsidRPr="00A6087F">
        <w:t>the</w:t>
      </w:r>
      <w:r w:rsidR="00DD698D" w:rsidRPr="00A6087F">
        <w:t xml:space="preserve"> </w:t>
      </w:r>
      <w:r w:rsidR="001A44D2" w:rsidRPr="00A6087F">
        <w:t>tourism</w:t>
      </w:r>
      <w:r w:rsidR="005B57E2" w:rsidRPr="00A6087F">
        <w:t xml:space="preserve"> sector</w:t>
      </w:r>
      <w:r w:rsidR="001A44D2" w:rsidRPr="00A6087F">
        <w:t>.</w:t>
      </w:r>
      <w:r w:rsidR="004B0B1B" w:rsidRPr="00A6087F">
        <w:rPr>
          <w:rStyle w:val="FootnoteReference"/>
        </w:rPr>
        <w:footnoteReference w:id="12"/>
      </w:r>
      <w:r w:rsidRPr="00A6087F">
        <w:t xml:space="preserve"> </w:t>
      </w:r>
    </w:p>
    <w:p w14:paraId="7AE6653F" w14:textId="6621694A" w:rsidR="009C4C4B" w:rsidRPr="00A6087F" w:rsidRDefault="009C4C4B" w:rsidP="009C4C4B">
      <w:pPr>
        <w:pStyle w:val="ListBullet"/>
        <w:numPr>
          <w:ilvl w:val="0"/>
          <w:numId w:val="0"/>
        </w:numPr>
        <w:tabs>
          <w:tab w:val="num" w:pos="567"/>
        </w:tabs>
      </w:pPr>
      <w:r w:rsidRPr="00A6087F">
        <w:lastRenderedPageBreak/>
        <w:t xml:space="preserve">However, the workforce is overworked, </w:t>
      </w:r>
      <w:proofErr w:type="gramStart"/>
      <w:r w:rsidRPr="00A6087F">
        <w:t>underpaid</w:t>
      </w:r>
      <w:proofErr w:type="gramEnd"/>
      <w:r w:rsidRPr="00A6087F">
        <w:t xml:space="preserve"> and burned out, and the COVID</w:t>
      </w:r>
      <w:r w:rsidR="00A859D1" w:rsidRPr="00A6087F">
        <w:t>-19</w:t>
      </w:r>
      <w:r w:rsidRPr="00A6087F">
        <w:t xml:space="preserve"> pandemic has only worsened the situation. </w:t>
      </w:r>
      <w:r w:rsidR="007D2C4C" w:rsidRPr="00A6087F">
        <w:t xml:space="preserve">Many </w:t>
      </w:r>
      <w:r w:rsidR="00655E7A" w:rsidRPr="00A6087F">
        <w:t>organisations are struggling to recruit and retain staff in the sector</w:t>
      </w:r>
      <w:r w:rsidR="0082459C" w:rsidRPr="00A6087F">
        <w:t>.</w:t>
      </w:r>
      <w:r w:rsidR="007D2C4C" w:rsidRPr="00A6087F">
        <w:t xml:space="preserve"> </w:t>
      </w:r>
      <w:r w:rsidRPr="00A6087F">
        <w:t>Community sector organisations are struggling to maintain services with current funding levels.</w:t>
      </w:r>
      <w:r w:rsidR="003D3AE0">
        <w:t xml:space="preserve"> </w:t>
      </w:r>
      <w:r w:rsidR="00AD2BF0" w:rsidRPr="00A6087F">
        <w:t xml:space="preserve">The </w:t>
      </w:r>
      <w:r w:rsidR="00A472A5" w:rsidRPr="00A6087F">
        <w:t>g</w:t>
      </w:r>
      <w:r w:rsidR="00AD2BF0" w:rsidRPr="00A6087F">
        <w:t>overnment</w:t>
      </w:r>
      <w:r w:rsidR="00AD2BF0" w:rsidRPr="00A6087F">
        <w:t xml:space="preserve"> </w:t>
      </w:r>
      <w:r w:rsidR="00A21E68" w:rsidRPr="00A6087F">
        <w:t>must</w:t>
      </w:r>
      <w:r w:rsidR="00AD2BF0" w:rsidRPr="00A6087F">
        <w:t xml:space="preserve"> invest more </w:t>
      </w:r>
      <w:r w:rsidR="008C3939" w:rsidRPr="00A6087F">
        <w:t>to ensure critical services are sustained</w:t>
      </w:r>
      <w:r w:rsidRPr="00A6087F">
        <w:t>, and staff retained</w:t>
      </w:r>
      <w:r w:rsidR="008C3939" w:rsidRPr="00A6087F">
        <w:t xml:space="preserve">. There </w:t>
      </w:r>
      <w:r w:rsidR="000C0433" w:rsidRPr="00A6087F">
        <w:t xml:space="preserve">needs to be an </w:t>
      </w:r>
      <w:r w:rsidR="00AD2BF0" w:rsidRPr="00A6087F">
        <w:t xml:space="preserve">immediate rise in indexation </w:t>
      </w:r>
      <w:r w:rsidR="00A21E68" w:rsidRPr="00A6087F">
        <w:t xml:space="preserve">of all community sector contracts </w:t>
      </w:r>
      <w:r w:rsidR="00AD2BF0" w:rsidRPr="00A6087F">
        <w:t>in line with the</w:t>
      </w:r>
      <w:r w:rsidR="00A21E68" w:rsidRPr="00A6087F">
        <w:t xml:space="preserve"> revised methodology in the joint </w:t>
      </w:r>
      <w:r w:rsidR="001775E6" w:rsidRPr="00A6087F">
        <w:t>g</w:t>
      </w:r>
      <w:r w:rsidR="00A21E68" w:rsidRPr="00A6087F">
        <w:t>overnment-</w:t>
      </w:r>
      <w:r w:rsidR="001775E6" w:rsidRPr="00A6087F">
        <w:t>c</w:t>
      </w:r>
      <w:r w:rsidR="00A21E68" w:rsidRPr="00A6087F">
        <w:t xml:space="preserve">ommunity </w:t>
      </w:r>
      <w:r w:rsidR="001775E6" w:rsidRPr="00A6087F">
        <w:t>s</w:t>
      </w:r>
      <w:r w:rsidR="00A21E68" w:rsidRPr="00A6087F">
        <w:t>ector</w:t>
      </w:r>
      <w:r w:rsidR="00AD2BF0" w:rsidRPr="00A6087F">
        <w:t xml:space="preserve"> </w:t>
      </w:r>
      <w:hyperlink r:id="rId17" w:history="1">
        <w:r w:rsidR="00A21E68" w:rsidRPr="00A6087F">
          <w:rPr>
            <w:rStyle w:val="Hyperlink"/>
            <w:i/>
            <w:iCs/>
          </w:rPr>
          <w:t>Counting the Costs</w:t>
        </w:r>
      </w:hyperlink>
      <w:r w:rsidR="00A21E68" w:rsidRPr="00A6087F">
        <w:rPr>
          <w:i/>
          <w:iCs/>
        </w:rPr>
        <w:t xml:space="preserve"> </w:t>
      </w:r>
      <w:r w:rsidR="00A21E68" w:rsidRPr="00A6087F">
        <w:t>report.</w:t>
      </w:r>
      <w:r w:rsidR="001775E6" w:rsidRPr="00A6087F">
        <w:rPr>
          <w:rStyle w:val="FootnoteReference"/>
        </w:rPr>
        <w:footnoteReference w:id="13"/>
      </w:r>
      <w:r w:rsidR="00A21E68" w:rsidRPr="00A6087F">
        <w:t xml:space="preserve"> </w:t>
      </w:r>
    </w:p>
    <w:p w14:paraId="35416257" w14:textId="6BF171A9" w:rsidR="00724F29" w:rsidRPr="00A6087F" w:rsidRDefault="00724F29" w:rsidP="00432F2E">
      <w:pPr>
        <w:pStyle w:val="Image"/>
      </w:pPr>
      <w:r w:rsidRPr="00A6087F">
        <w:drawing>
          <wp:inline distT="0" distB="0" distL="0" distR="0" wp14:anchorId="28A259A1" wp14:editId="77554B6E">
            <wp:extent cx="5400000" cy="3798000"/>
            <wp:effectExtent l="0" t="0" r="0" b="0"/>
            <wp:docPr id="12" name="Picture 12" descr="Graph: Number of clients our service cannot support, ACT, 2021.  Increased significantly: 13%. Increased: 38%. Stayed the same: 28%. Decreased: 3%. Decreased significantly: 4%. Not s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 Number of clients our service cannot support, ACT, 2021.  Increased significantly: 13%. Increased: 38%. Stayed the same: 28%. Decreased: 3%. Decreased significantly: 4%. Not s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000" cy="3798000"/>
                    </a:xfrm>
                    <a:prstGeom prst="rect">
                      <a:avLst/>
                    </a:prstGeom>
                    <a:noFill/>
                  </pic:spPr>
                </pic:pic>
              </a:graphicData>
            </a:graphic>
          </wp:inline>
        </w:drawing>
      </w:r>
    </w:p>
    <w:p w14:paraId="1D64390D" w14:textId="1AA4020D" w:rsidR="00724F29" w:rsidRPr="00A6087F" w:rsidRDefault="00724F29" w:rsidP="00AA0AC3">
      <w:pPr>
        <w:pStyle w:val="Source"/>
      </w:pPr>
      <w:r w:rsidRPr="00A6087F">
        <w:t xml:space="preserve">Source: ACTCOSS, </w:t>
      </w:r>
      <w:hyperlink r:id="rId19" w:history="1">
        <w:r w:rsidR="006E601C" w:rsidRPr="00A6087F">
          <w:rPr>
            <w:rStyle w:val="Hyperlink"/>
            <w:i/>
            <w:iCs/>
          </w:rPr>
          <w:t>2021 ACT Community Sector Demand Snapshot</w:t>
        </w:r>
      </w:hyperlink>
      <w:r w:rsidR="006E601C" w:rsidRPr="00A6087F">
        <w:t xml:space="preserve">, ACTCOSS, December 2021, </w:t>
      </w:r>
      <w:r w:rsidR="0045087A" w:rsidRPr="00A6087F">
        <w:t>p</w:t>
      </w:r>
      <w:r w:rsidR="003835F0" w:rsidRPr="00A6087F">
        <w:t xml:space="preserve"> 5,</w:t>
      </w:r>
      <w:r w:rsidR="0045087A" w:rsidRPr="00A6087F">
        <w:t xml:space="preserve"> </w:t>
      </w:r>
      <w:r w:rsidR="006E601C" w:rsidRPr="00A6087F">
        <w:t>accessed 19 May 2022.</w:t>
      </w:r>
    </w:p>
    <w:p w14:paraId="55E7861D" w14:textId="3E9FC246" w:rsidR="004E0D8F" w:rsidRPr="00A6087F" w:rsidRDefault="000310D2" w:rsidP="00F66067">
      <w:pPr>
        <w:pStyle w:val="Priorities"/>
      </w:pPr>
      <w:r w:rsidRPr="00A6087F">
        <w:t xml:space="preserve"> </w:t>
      </w:r>
      <w:r w:rsidR="004E0D8F" w:rsidRPr="00A6087F">
        <w:t>Aboriginal and</w:t>
      </w:r>
      <w:r w:rsidR="000D04AC" w:rsidRPr="00A6087F">
        <w:t>/or</w:t>
      </w:r>
      <w:r w:rsidR="004E0D8F" w:rsidRPr="00A6087F">
        <w:t xml:space="preserve"> Torres Strait Islander Self-Determination</w:t>
      </w:r>
      <w:r w:rsidR="00B73C9B" w:rsidRPr="00A6087F">
        <w:t xml:space="preserve"> </w:t>
      </w:r>
    </w:p>
    <w:p w14:paraId="2312F6A2" w14:textId="59AD24EE" w:rsidR="00C51C04" w:rsidRPr="00A6087F" w:rsidRDefault="00A35BCF" w:rsidP="6FBA0841">
      <w:pPr>
        <w:pStyle w:val="BodyText"/>
      </w:pPr>
      <w:r w:rsidRPr="00A6087F">
        <w:t xml:space="preserve">Systemic racism means that Aboriginal and/or Torres Strait Islander people face </w:t>
      </w:r>
      <w:r w:rsidR="00D15657" w:rsidRPr="00A6087F">
        <w:t>profound disadvantage across most areas of life in the ACT. Indigenous people</w:t>
      </w:r>
      <w:r w:rsidR="00661DC3" w:rsidRPr="00A6087F">
        <w:t xml:space="preserve"> are overrepresented in the justice system and the child and youth protection system</w:t>
      </w:r>
      <w:r w:rsidR="00E36D2F" w:rsidRPr="00A6087F">
        <w:rPr>
          <w:rStyle w:val="FootnoteReference"/>
        </w:rPr>
        <w:footnoteReference w:id="14"/>
      </w:r>
      <w:r w:rsidR="005250D4" w:rsidRPr="00A6087F">
        <w:t>, experience worse health</w:t>
      </w:r>
      <w:r w:rsidR="00FE5DA8" w:rsidRPr="00A6087F">
        <w:t xml:space="preserve"> and education</w:t>
      </w:r>
      <w:r w:rsidR="005250D4" w:rsidRPr="00A6087F">
        <w:t xml:space="preserve"> outcomes</w:t>
      </w:r>
      <w:r w:rsidR="00D209E6" w:rsidRPr="00A6087F">
        <w:rPr>
          <w:rStyle w:val="FootnoteReference"/>
        </w:rPr>
        <w:footnoteReference w:id="15"/>
      </w:r>
      <w:r w:rsidR="00CA6857" w:rsidRPr="00A6087F">
        <w:t xml:space="preserve"> and are more likely to experience homelessness, housing stress and overcrowding.</w:t>
      </w:r>
      <w:r w:rsidR="00D47C24" w:rsidRPr="00A6087F">
        <w:t xml:space="preserve"> Despite making up less than 2% of the population, Aboriginal and/or Torres Strait </w:t>
      </w:r>
      <w:r w:rsidR="00D47C24" w:rsidRPr="00A6087F">
        <w:lastRenderedPageBreak/>
        <w:t xml:space="preserve">Islander people make up nearly a quarter </w:t>
      </w:r>
      <w:r w:rsidR="00586A80" w:rsidRPr="00A6087F">
        <w:t>of the population in the Alexander Maconochie Centre</w:t>
      </w:r>
      <w:r w:rsidR="004E7CF8" w:rsidRPr="00A6087F">
        <w:t xml:space="preserve"> (AMC)</w:t>
      </w:r>
      <w:r w:rsidR="00B35DD3" w:rsidRPr="00A6087F">
        <w:rPr>
          <w:rStyle w:val="FootnoteReference"/>
        </w:rPr>
        <w:footnoteReference w:id="16"/>
      </w:r>
      <w:r w:rsidR="00B35DD3" w:rsidRPr="00A6087F">
        <w:t>, and 17% of specialist homelessness service clients.</w:t>
      </w:r>
      <w:r w:rsidR="00B35DD3" w:rsidRPr="00A6087F">
        <w:rPr>
          <w:rStyle w:val="FootnoteReference"/>
        </w:rPr>
        <w:footnoteReference w:id="17"/>
      </w:r>
      <w:r w:rsidR="00B35DD3" w:rsidRPr="00A6087F">
        <w:t xml:space="preserve"> Aboriginal and/or Torres Strait Islander children are </w:t>
      </w:r>
      <w:r w:rsidR="005F1A35" w:rsidRPr="00A6087F">
        <w:t xml:space="preserve">almost 13 times </w:t>
      </w:r>
      <w:r w:rsidR="00AD51EF" w:rsidRPr="00A6087F">
        <w:t>more likely t</w:t>
      </w:r>
      <w:r w:rsidR="00423B3F" w:rsidRPr="00A6087F">
        <w:t>han non-Indigenous children to be in out-of-home care</w:t>
      </w:r>
      <w:r w:rsidR="00B81FB3" w:rsidRPr="00A6087F">
        <w:t xml:space="preserve"> (</w:t>
      </w:r>
      <w:proofErr w:type="spellStart"/>
      <w:r w:rsidR="00B81FB3" w:rsidRPr="00A6087F">
        <w:t>OOHC</w:t>
      </w:r>
      <w:proofErr w:type="spellEnd"/>
      <w:r w:rsidR="00B81FB3" w:rsidRPr="00A6087F">
        <w:t>)</w:t>
      </w:r>
      <w:r w:rsidR="00FB573E" w:rsidRPr="00A6087F">
        <w:t>, and 16 times more likely to be in detention</w:t>
      </w:r>
      <w:r w:rsidR="00041C95" w:rsidRPr="00A6087F">
        <w:t>.</w:t>
      </w:r>
      <w:r w:rsidR="00041C95" w:rsidRPr="00A6087F">
        <w:rPr>
          <w:rStyle w:val="FootnoteReference"/>
        </w:rPr>
        <w:footnoteReference w:id="18"/>
      </w:r>
      <w:r w:rsidR="00041C95" w:rsidRPr="00A6087F">
        <w:t xml:space="preserve"> </w:t>
      </w:r>
      <w:r w:rsidR="00193EEB" w:rsidRPr="00A6087F">
        <w:t>42% of First Nations people identify as having a disability</w:t>
      </w:r>
      <w:r w:rsidR="00B4189C" w:rsidRPr="00A6087F">
        <w:t>, well above the national average of 19.4%</w:t>
      </w:r>
      <w:r w:rsidR="00E003EC" w:rsidRPr="00A6087F">
        <w:t>.</w:t>
      </w:r>
      <w:r w:rsidR="00FC065B" w:rsidRPr="00A6087F">
        <w:rPr>
          <w:rStyle w:val="FootnoteReference"/>
        </w:rPr>
        <w:footnoteReference w:id="19"/>
      </w:r>
    </w:p>
    <w:p w14:paraId="42338D56" w14:textId="0DA57499" w:rsidR="009F68EB" w:rsidRPr="00A6087F" w:rsidRDefault="009F68EB" w:rsidP="6FBA0841">
      <w:pPr>
        <w:pStyle w:val="BodyText"/>
      </w:pPr>
      <w:r w:rsidRPr="00A6087F">
        <w:t xml:space="preserve">Aboriginal communities have </w:t>
      </w:r>
      <w:r w:rsidR="0041536B" w:rsidRPr="00A6087F">
        <w:t xml:space="preserve">provided guidance and recommendations on </w:t>
      </w:r>
      <w:r w:rsidR="00854A8A" w:rsidRPr="00A6087F">
        <w:t>how to address these</w:t>
      </w:r>
      <w:r w:rsidR="00B4453D" w:rsidRPr="00A6087F">
        <w:t xml:space="preserve"> systemic problems</w:t>
      </w:r>
      <w:r w:rsidR="009E4D82" w:rsidRPr="00A6087F">
        <w:t xml:space="preserve"> through countless inquiries and reports, including </w:t>
      </w:r>
      <w:r w:rsidR="002B0FAD" w:rsidRPr="00A6087F">
        <w:t xml:space="preserve">the </w:t>
      </w:r>
      <w:hyperlink r:id="rId20" w:history="1">
        <w:r w:rsidR="002B0FAD" w:rsidRPr="00A6087F">
          <w:rPr>
            <w:rStyle w:val="Hyperlink"/>
            <w:i/>
            <w:iCs/>
          </w:rPr>
          <w:t xml:space="preserve">Our </w:t>
        </w:r>
        <w:proofErr w:type="spellStart"/>
        <w:r w:rsidR="002B0FAD" w:rsidRPr="00A6087F">
          <w:rPr>
            <w:rStyle w:val="Hyperlink"/>
            <w:i/>
            <w:iCs/>
          </w:rPr>
          <w:t>Booris</w:t>
        </w:r>
        <w:proofErr w:type="spellEnd"/>
        <w:r w:rsidR="002B0FAD" w:rsidRPr="00A6087F">
          <w:rPr>
            <w:rStyle w:val="Hyperlink"/>
            <w:i/>
            <w:iCs/>
          </w:rPr>
          <w:t>, Our Way</w:t>
        </w:r>
      </w:hyperlink>
      <w:r w:rsidR="002B0FAD" w:rsidRPr="00A6087F">
        <w:t xml:space="preserve"> report</w:t>
      </w:r>
      <w:r w:rsidR="002B0FAD" w:rsidRPr="00A6087F">
        <w:rPr>
          <w:i/>
          <w:iCs/>
        </w:rPr>
        <w:t xml:space="preserve">, </w:t>
      </w:r>
      <w:r w:rsidR="00D16106" w:rsidRPr="00A6087F">
        <w:t xml:space="preserve">the </w:t>
      </w:r>
      <w:hyperlink r:id="rId21" w:history="1">
        <w:r w:rsidR="00D16106" w:rsidRPr="00A6087F">
          <w:rPr>
            <w:rStyle w:val="Hyperlink"/>
          </w:rPr>
          <w:t xml:space="preserve">Royal Commission into </w:t>
        </w:r>
        <w:r w:rsidR="00161FA0" w:rsidRPr="00A6087F">
          <w:rPr>
            <w:rStyle w:val="Hyperlink"/>
          </w:rPr>
          <w:t xml:space="preserve">Aboriginal </w:t>
        </w:r>
        <w:r w:rsidR="00D16106" w:rsidRPr="00A6087F">
          <w:rPr>
            <w:rStyle w:val="Hyperlink"/>
          </w:rPr>
          <w:t>Deaths in Custody</w:t>
        </w:r>
      </w:hyperlink>
      <w:r w:rsidR="00F07228" w:rsidRPr="00A6087F">
        <w:t>,</w:t>
      </w:r>
      <w:r w:rsidR="00A41B6F" w:rsidRPr="00A6087F">
        <w:t xml:space="preserve"> and </w:t>
      </w:r>
      <w:r w:rsidR="00E57DBA" w:rsidRPr="00A6087F">
        <w:t>the ACT Ombudsman</w:t>
      </w:r>
      <w:r w:rsidR="005A09E4" w:rsidRPr="00A6087F">
        <w:t xml:space="preserve">’s report into </w:t>
      </w:r>
      <w:hyperlink r:id="rId22" w:history="1">
        <w:r w:rsidR="009E1E49" w:rsidRPr="00A6087F">
          <w:rPr>
            <w:rStyle w:val="Hyperlink"/>
          </w:rPr>
          <w:t xml:space="preserve">ACT Policing’s administrative framework for engagement with the ACT Aboriginal and Torres Strait Islander </w:t>
        </w:r>
        <w:r w:rsidR="008160DA" w:rsidRPr="00A6087F">
          <w:rPr>
            <w:rStyle w:val="Hyperlink"/>
          </w:rPr>
          <w:t>community</w:t>
        </w:r>
      </w:hyperlink>
      <w:r w:rsidR="008160DA" w:rsidRPr="00A6087F">
        <w:t>.</w:t>
      </w:r>
      <w:r w:rsidR="00D36966" w:rsidRPr="00A6087F">
        <w:t xml:space="preserve"> </w:t>
      </w:r>
      <w:r w:rsidR="00B56A30" w:rsidRPr="00A6087F">
        <w:t>The ACT Government must collate the recommendations from these and other reports and then empower</w:t>
      </w:r>
      <w:r w:rsidR="000C3FA1" w:rsidRPr="00A6087F">
        <w:t xml:space="preserve"> and resource</w:t>
      </w:r>
      <w:r w:rsidR="00B56A30" w:rsidRPr="00A6087F">
        <w:t xml:space="preserve"> Aboriginal community-controlled organisations to </w:t>
      </w:r>
      <w:r w:rsidR="00AB1098" w:rsidRPr="00A6087F">
        <w:t xml:space="preserve">care for their communities. </w:t>
      </w:r>
    </w:p>
    <w:p w14:paraId="60E018B9" w14:textId="0E46C5B7" w:rsidR="00DC1581" w:rsidRPr="00A6087F" w:rsidRDefault="00DC1581" w:rsidP="00F66067">
      <w:pPr>
        <w:pStyle w:val="Priorities"/>
      </w:pPr>
      <w:r w:rsidRPr="00A6087F">
        <w:t xml:space="preserve">Cost of </w:t>
      </w:r>
      <w:r w:rsidR="008D21B6" w:rsidRPr="00A6087F">
        <w:t>L</w:t>
      </w:r>
      <w:r w:rsidRPr="00A6087F">
        <w:t>iving</w:t>
      </w:r>
      <w:r w:rsidR="00B73C9B" w:rsidRPr="00A6087F">
        <w:t xml:space="preserve"> </w:t>
      </w:r>
    </w:p>
    <w:p w14:paraId="67033887" w14:textId="656AC401" w:rsidR="00E20C82" w:rsidRPr="00A6087F" w:rsidRDefault="007E218E" w:rsidP="00E20C82">
      <w:pPr>
        <w:pStyle w:val="BodyText"/>
      </w:pPr>
      <w:proofErr w:type="spellStart"/>
      <w:r w:rsidRPr="00A6087F">
        <w:t>ACTCOSS’s</w:t>
      </w:r>
      <w:proofErr w:type="spellEnd"/>
      <w:r w:rsidR="00E20C82" w:rsidRPr="00A6087F">
        <w:t xml:space="preserve"> </w:t>
      </w:r>
      <w:hyperlink r:id="rId23" w:history="1">
        <w:r w:rsidR="00E20C82" w:rsidRPr="00A6087F">
          <w:rPr>
            <w:rStyle w:val="Hyperlink"/>
            <w:i/>
            <w:iCs/>
          </w:rPr>
          <w:t>2022 ACT Cost of Living Report</w:t>
        </w:r>
      </w:hyperlink>
      <w:r w:rsidR="00E20C82" w:rsidRPr="00A6087F">
        <w:t xml:space="preserve"> shows that Canberrans living on low incomes have been hit hardest by the biggest increase in cost of living in over 20 years</w:t>
      </w:r>
      <w:r w:rsidR="00DF5258" w:rsidRPr="00A6087F">
        <w:t xml:space="preserve">, with the </w:t>
      </w:r>
      <w:r w:rsidR="009F2319" w:rsidRPr="00A6087F">
        <w:t>Consumer Price Index (</w:t>
      </w:r>
      <w:r w:rsidR="00DF5258" w:rsidRPr="00A6087F">
        <w:t>CPI</w:t>
      </w:r>
      <w:r w:rsidR="009F2319" w:rsidRPr="00A6087F">
        <w:t>)</w:t>
      </w:r>
      <w:r w:rsidR="00DF5258" w:rsidRPr="00A6087F">
        <w:t xml:space="preserve"> rising by 5.4% in the twelve months to March 2022</w:t>
      </w:r>
      <w:r w:rsidR="00E20C82" w:rsidRPr="00A6087F">
        <w:t xml:space="preserve">. </w:t>
      </w:r>
      <w:r w:rsidR="00DF5258" w:rsidRPr="00A6087F">
        <w:t xml:space="preserve">This is on the back of significant increases in prices for essential goods and services during the past five years. </w:t>
      </w:r>
      <w:r w:rsidR="00E20C82" w:rsidRPr="00A6087F">
        <w:t>Inflation is expected to rise this year</w:t>
      </w:r>
      <w:r w:rsidR="00EA70A5" w:rsidRPr="00A6087F">
        <w:t xml:space="preserve"> further </w:t>
      </w:r>
      <w:r w:rsidR="00143139" w:rsidRPr="00A6087F">
        <w:t>exacerbating</w:t>
      </w:r>
      <w:r w:rsidR="00EA70A5" w:rsidRPr="00A6087F">
        <w:t xml:space="preserve"> costs for those on low</w:t>
      </w:r>
      <w:r w:rsidR="00143139" w:rsidRPr="00A6087F">
        <w:t xml:space="preserve"> </w:t>
      </w:r>
      <w:r w:rsidR="00EA70A5" w:rsidRPr="00A6087F">
        <w:t>incomes</w:t>
      </w:r>
      <w:r w:rsidR="00E20C82" w:rsidRPr="00A6087F">
        <w:t xml:space="preserve">. </w:t>
      </w:r>
      <w:proofErr w:type="spellStart"/>
      <w:r w:rsidR="00E20C82" w:rsidRPr="00A6087F">
        <w:t>JobSeeker</w:t>
      </w:r>
      <w:proofErr w:type="spellEnd"/>
      <w:r w:rsidR="00E20C82" w:rsidRPr="00A6087F">
        <w:t xml:space="preserve"> and Youth Allowance payments have returned to well below the poverty</w:t>
      </w:r>
      <w:r w:rsidRPr="00A6087F">
        <w:t xml:space="preserve"> line, </w:t>
      </w:r>
      <w:r w:rsidR="000B457F" w:rsidRPr="00A6087F">
        <w:t xml:space="preserve">with </w:t>
      </w:r>
      <w:r w:rsidRPr="00A6087F">
        <w:t>an estimated</w:t>
      </w:r>
      <w:r w:rsidR="00E20C82" w:rsidRPr="00A6087F">
        <w:t xml:space="preserve"> 38,</w:t>
      </w:r>
      <w:r w:rsidR="000B457F" w:rsidRPr="00A6087F">
        <w:t>3</w:t>
      </w:r>
      <w:r w:rsidR="00E20C82" w:rsidRPr="00A6087F">
        <w:t>00 Canberrans living below the poverty line, including 9,000 children.</w:t>
      </w:r>
      <w:r w:rsidR="000B457F" w:rsidRPr="00A6087F">
        <w:rPr>
          <w:rStyle w:val="FootnoteReference"/>
        </w:rPr>
        <w:footnoteReference w:id="20"/>
      </w:r>
    </w:p>
    <w:p w14:paraId="5BF49A81" w14:textId="56DD601C" w:rsidR="00B4741E" w:rsidRPr="00A6087F" w:rsidRDefault="00B4741E" w:rsidP="00432F2E">
      <w:pPr>
        <w:pStyle w:val="Image"/>
      </w:pPr>
      <w:r w:rsidRPr="00A6087F">
        <w:lastRenderedPageBreak/>
        <w:drawing>
          <wp:inline distT="0" distB="0" distL="0" distR="0" wp14:anchorId="05BD07D0" wp14:editId="3FE170C8">
            <wp:extent cx="5400000" cy="3567600"/>
            <wp:effectExtent l="0" t="0" r="0" b="0"/>
            <wp:docPr id="5" name="Picture 5" descr="Graph: Levels of poverty and disadvantage among service users, ACT 2021. Increased significantly: 20%. Increased: 47%. Stayed the same: 23%. Decreased: 3%. Decreased significantly: 2%. Not s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 Levels of poverty and disadvantage among service users, ACT 2021. Increased significantly: 20%. Increased: 47%. Stayed the same: 23%. Decreased: 3%. Decreased significantly: 2%. Not sure: 5%."/>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400000" cy="3567600"/>
                    </a:xfrm>
                    <a:prstGeom prst="rect">
                      <a:avLst/>
                    </a:prstGeom>
                  </pic:spPr>
                </pic:pic>
              </a:graphicData>
            </a:graphic>
          </wp:inline>
        </w:drawing>
      </w:r>
    </w:p>
    <w:p w14:paraId="14272606" w14:textId="2B22FD5B" w:rsidR="00B4741E" w:rsidRPr="00A6087F" w:rsidRDefault="00B4741E" w:rsidP="00B4741E">
      <w:pPr>
        <w:pStyle w:val="Source"/>
      </w:pPr>
      <w:r w:rsidRPr="00A6087F">
        <w:t xml:space="preserve">Source: ACTCOSS, </w:t>
      </w:r>
      <w:hyperlink r:id="rId25" w:history="1">
        <w:r w:rsidRPr="00A6087F">
          <w:rPr>
            <w:rStyle w:val="Hyperlink"/>
            <w:i/>
            <w:iCs/>
          </w:rPr>
          <w:t>2021 ACT Community Sector Demand Snapshot</w:t>
        </w:r>
      </w:hyperlink>
      <w:r w:rsidRPr="00A6087F">
        <w:t>, ACTCOSS, December 2021, p 1, accessed 19 May 2022.</w:t>
      </w:r>
    </w:p>
    <w:p w14:paraId="019C7ABF" w14:textId="135F1D68" w:rsidR="00E20C82" w:rsidRPr="00A6087F" w:rsidRDefault="00E20C82" w:rsidP="00E20C82">
      <w:pPr>
        <w:pStyle w:val="BodyText"/>
      </w:pPr>
      <w:r w:rsidRPr="00A6087F">
        <w:t xml:space="preserve">Over the past 12 months the ACT community sector has seen an increase in demand for social services alongside an increase in poverty, </w:t>
      </w:r>
      <w:proofErr w:type="gramStart"/>
      <w:r w:rsidRPr="00A6087F">
        <w:t>disadvantage</w:t>
      </w:r>
      <w:proofErr w:type="gramEnd"/>
      <w:r w:rsidRPr="00A6087F">
        <w:t xml:space="preserve"> and complexity of need among the people and communities they support. </w:t>
      </w:r>
      <w:r w:rsidR="000830E9" w:rsidRPr="00A6087F">
        <w:t>Almost four in five</w:t>
      </w:r>
      <w:r w:rsidR="00D76D8A" w:rsidRPr="00A6087F">
        <w:t xml:space="preserve"> (78%) </w:t>
      </w:r>
      <w:r w:rsidR="000830E9" w:rsidRPr="00A6087F">
        <w:t xml:space="preserve">ACT respondents </w:t>
      </w:r>
      <w:r w:rsidR="00B8734A" w:rsidRPr="00A6087F">
        <w:t xml:space="preserve">to the 2021 Australian Community Sector Survey </w:t>
      </w:r>
      <w:r w:rsidR="000830E9" w:rsidRPr="00A6087F">
        <w:t>reported that levels of demand for their main service increased.</w:t>
      </w:r>
      <w:r w:rsidR="00CF084B" w:rsidRPr="00A6087F">
        <w:rPr>
          <w:rStyle w:val="FootnoteReference"/>
        </w:rPr>
        <w:footnoteReference w:id="21"/>
      </w:r>
      <w:r w:rsidR="000830E9" w:rsidRPr="00A6087F">
        <w:t xml:space="preserve"> </w:t>
      </w:r>
      <w:r w:rsidR="00CF084B" w:rsidRPr="00A6087F">
        <w:t xml:space="preserve">Over two thirds (67%) reported that levels of poverty and disadvantage have increased among the groups they support. </w:t>
      </w:r>
      <w:r w:rsidR="00DF5258" w:rsidRPr="00A6087F">
        <w:t xml:space="preserve">Services </w:t>
      </w:r>
      <w:r w:rsidR="005F67CC" w:rsidRPr="00A6087F">
        <w:t xml:space="preserve">are </w:t>
      </w:r>
      <w:r w:rsidR="00DF5258" w:rsidRPr="00A6087F">
        <w:t>report</w:t>
      </w:r>
      <w:r w:rsidR="005F67CC" w:rsidRPr="00A6087F">
        <w:t>ing</w:t>
      </w:r>
      <w:r w:rsidR="00DF5258" w:rsidRPr="00A6087F">
        <w:t xml:space="preserve"> new cohorts presenting for support including those on near or even median incomes who are struggling to pay their rents and bills. Anglicare ACT reported in early May</w:t>
      </w:r>
      <w:r w:rsidR="004E32CC" w:rsidRPr="00A6087F">
        <w:t xml:space="preserve"> 2022</w:t>
      </w:r>
      <w:r w:rsidR="00DF5258" w:rsidRPr="00A6087F">
        <w:t xml:space="preserve"> that food stocks in their five relief distribution centres were only sufficient for four weeks at the start of the peak winter season.</w:t>
      </w:r>
      <w:r w:rsidR="006F2CE2" w:rsidRPr="00A6087F">
        <w:rPr>
          <w:rStyle w:val="FootnoteReference"/>
        </w:rPr>
        <w:footnoteReference w:id="22"/>
      </w:r>
    </w:p>
    <w:tbl>
      <w:tblPr>
        <w:tblStyle w:val="Quoteusbox"/>
        <w:tblpPr w:leftFromText="181" w:rightFromText="181" w:topFromText="142" w:bottomFromText="142" w:vertAnchor="text" w:tblpY="1"/>
        <w:tblOverlap w:val="never"/>
        <w:tblW w:w="0" w:type="auto"/>
        <w:tblLook w:val="04A0" w:firstRow="1" w:lastRow="0" w:firstColumn="1" w:lastColumn="0" w:noHBand="0" w:noVBand="1"/>
      </w:tblPr>
      <w:tblGrid>
        <w:gridCol w:w="8504"/>
      </w:tblGrid>
      <w:tr w:rsidR="00356B25" w:rsidRPr="00A6087F" w14:paraId="4456A89A" w14:textId="77777777" w:rsidTr="00437D08">
        <w:trPr>
          <w:trHeight w:val="675"/>
        </w:trPr>
        <w:tc>
          <w:tcPr>
            <w:tcW w:w="8720" w:type="dxa"/>
            <w:tcMar>
              <w:top w:w="170" w:type="dxa"/>
            </w:tcMar>
          </w:tcPr>
          <w:p w14:paraId="5D3328CE" w14:textId="77777777" w:rsidR="00356B25" w:rsidRPr="00A6087F" w:rsidRDefault="00356B25" w:rsidP="00437D08">
            <w:pPr>
              <w:pStyle w:val="BodyText"/>
              <w:rPr>
                <w:rStyle w:val="Emphasis"/>
              </w:rPr>
            </w:pPr>
            <w:r w:rsidRPr="00A6087F">
              <w:rPr>
                <w:rStyle w:val="Emphasis"/>
              </w:rPr>
              <w:t xml:space="preserve">We have seen a dramatic increase in homelessness and housing instability… Housing/rental prices have increased </w:t>
            </w:r>
            <w:proofErr w:type="gramStart"/>
            <w:r w:rsidRPr="00A6087F">
              <w:rPr>
                <w:rStyle w:val="Emphasis"/>
              </w:rPr>
              <w:t>significantly</w:t>
            </w:r>
            <w:proofErr w:type="gramEnd"/>
            <w:r w:rsidRPr="00A6087F">
              <w:rPr>
                <w:rStyle w:val="Emphasis"/>
              </w:rPr>
              <w:t xml:space="preserve"> and we have also seen an increasing number of people moving into the area from the larger cities without realising that the housing situation here is much worse.</w:t>
            </w:r>
          </w:p>
          <w:p w14:paraId="0EB156AB" w14:textId="77777777" w:rsidR="00356B25" w:rsidRPr="00A6087F" w:rsidRDefault="00356B25" w:rsidP="00437D08">
            <w:pPr>
              <w:pStyle w:val="BodyText"/>
              <w:spacing w:after="0"/>
              <w:jc w:val="right"/>
            </w:pPr>
            <w:r w:rsidRPr="00A6087F">
              <w:t xml:space="preserve">- </w:t>
            </w:r>
            <w:r w:rsidRPr="00A6087F">
              <w:rPr>
                <w:rStyle w:val="Emphasis"/>
                <w:i w:val="0"/>
                <w:iCs w:val="0"/>
              </w:rPr>
              <w:t>Frontline worker, financial support service, ACT</w:t>
            </w:r>
          </w:p>
        </w:tc>
      </w:tr>
    </w:tbl>
    <w:p w14:paraId="6BCCD5B7" w14:textId="6E902163" w:rsidR="008B090A" w:rsidRPr="00A6087F" w:rsidRDefault="00E20C82" w:rsidP="000C0433">
      <w:pPr>
        <w:pStyle w:val="BodyText"/>
      </w:pPr>
      <w:r w:rsidRPr="00A6087F">
        <w:lastRenderedPageBreak/>
        <w:t>Low-income households spend a greater proportion of their income on essential goods and services</w:t>
      </w:r>
      <w:r w:rsidR="00DF5258" w:rsidRPr="00A6087F">
        <w:t xml:space="preserve"> and are</w:t>
      </w:r>
      <w:r w:rsidRPr="00A6087F">
        <w:t xml:space="preserve"> hit hardest</w:t>
      </w:r>
      <w:r w:rsidR="00DF5258" w:rsidRPr="00A6087F">
        <w:t xml:space="preserve"> by price rises. </w:t>
      </w:r>
      <w:r w:rsidRPr="00A6087F">
        <w:t xml:space="preserve">To assist low-income and other vulnerable households to cover the costs of the basics, </w:t>
      </w:r>
      <w:r w:rsidR="00DF5258" w:rsidRPr="00A6087F">
        <w:t xml:space="preserve">the </w:t>
      </w:r>
      <w:r w:rsidR="0048657B" w:rsidRPr="00A6087F">
        <w:t>g</w:t>
      </w:r>
      <w:r w:rsidR="00DF5258" w:rsidRPr="00A6087F">
        <w:t xml:space="preserve">overnment must </w:t>
      </w:r>
      <w:r w:rsidR="007E218E" w:rsidRPr="00A6087F">
        <w:t>e</w:t>
      </w:r>
      <w:r w:rsidRPr="00A6087F">
        <w:t>nsure concessions are adequate and targeted to need based on review and update of the Targeted Assistance Strategy</w:t>
      </w:r>
      <w:r w:rsidR="007E218E" w:rsidRPr="00A6087F">
        <w:t>.</w:t>
      </w:r>
    </w:p>
    <w:p w14:paraId="7715CEB3" w14:textId="599FC9F1" w:rsidR="006075C9" w:rsidRPr="00A6087F" w:rsidRDefault="000C0433" w:rsidP="006075C9">
      <w:pPr>
        <w:pStyle w:val="BodyText"/>
      </w:pPr>
      <w:r w:rsidRPr="00A6087F">
        <w:t>To</w:t>
      </w:r>
      <w:r w:rsidR="006075C9" w:rsidRPr="00A6087F">
        <w:t xml:space="preserve"> achieve a just and fair Canberra, the 202</w:t>
      </w:r>
      <w:r w:rsidRPr="00A6087F">
        <w:t>2</w:t>
      </w:r>
      <w:r w:rsidR="006075C9" w:rsidRPr="00A6087F">
        <w:t>-2</w:t>
      </w:r>
      <w:r w:rsidRPr="00A6087F">
        <w:t>3</w:t>
      </w:r>
      <w:r w:rsidR="006075C9" w:rsidRPr="00A6087F">
        <w:t xml:space="preserve"> ACT Budget must work towards:</w:t>
      </w:r>
    </w:p>
    <w:p w14:paraId="1AA79527" w14:textId="2A9A30CA" w:rsidR="006075C9" w:rsidRPr="00A6087F" w:rsidRDefault="006075C9" w:rsidP="006075C9">
      <w:pPr>
        <w:numPr>
          <w:ilvl w:val="0"/>
          <w:numId w:val="26"/>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ind w:left="567" w:hanging="567"/>
      </w:pPr>
      <w:r w:rsidRPr="00A6087F">
        <w:t>A sustainable recovery from the social, health and economic shock of COVID-19</w:t>
      </w:r>
    </w:p>
    <w:p w14:paraId="2CCB1678" w14:textId="77777777" w:rsidR="00961847" w:rsidRPr="00A6087F" w:rsidRDefault="00961847" w:rsidP="006075C9">
      <w:pPr>
        <w:numPr>
          <w:ilvl w:val="0"/>
          <w:numId w:val="26"/>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ind w:left="567" w:hanging="567"/>
      </w:pPr>
      <w:r w:rsidRPr="00A6087F">
        <w:t xml:space="preserve">Addressing the ACT’s ongoing housing crisis </w:t>
      </w:r>
    </w:p>
    <w:p w14:paraId="2A11B0D7" w14:textId="558587BE" w:rsidR="006075C9" w:rsidRPr="00A6087F" w:rsidRDefault="006075C9" w:rsidP="006075C9">
      <w:pPr>
        <w:numPr>
          <w:ilvl w:val="0"/>
          <w:numId w:val="26"/>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ind w:left="567" w:hanging="567"/>
      </w:pPr>
      <w:r w:rsidRPr="00A6087F">
        <w:t>Adequate funding for community sector organisations</w:t>
      </w:r>
    </w:p>
    <w:p w14:paraId="544B9C9E" w14:textId="72C6D8C7" w:rsidR="00961847" w:rsidRPr="00A6087F" w:rsidRDefault="00961847" w:rsidP="00961847">
      <w:pPr>
        <w:numPr>
          <w:ilvl w:val="0"/>
          <w:numId w:val="26"/>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ind w:left="567" w:right="-143" w:hanging="567"/>
      </w:pPr>
      <w:r w:rsidRPr="00A6087F">
        <w:t xml:space="preserve">Improving outcomes for Aboriginal and/or Torres Strait Islander peoples by </w:t>
      </w:r>
      <w:r w:rsidR="005A3C07" w:rsidRPr="00A6087F">
        <w:t>resourcing</w:t>
      </w:r>
      <w:r w:rsidR="005262C2" w:rsidRPr="00A6087F">
        <w:t xml:space="preserve"> and funding</w:t>
      </w:r>
      <w:r w:rsidRPr="00A6087F">
        <w:t xml:space="preserve"> of Aboriginal</w:t>
      </w:r>
      <w:r w:rsidR="00B8208C" w:rsidRPr="00A6087F">
        <w:t xml:space="preserve"> </w:t>
      </w:r>
      <w:r w:rsidR="0048657B" w:rsidRPr="00A6087F">
        <w:t>c</w:t>
      </w:r>
      <w:r w:rsidR="00B8208C" w:rsidRPr="00A6087F">
        <w:t>ommunity</w:t>
      </w:r>
      <w:r w:rsidR="005A3C07" w:rsidRPr="00A6087F">
        <w:t>-</w:t>
      </w:r>
      <w:r w:rsidR="0048657B" w:rsidRPr="00A6087F">
        <w:t>c</w:t>
      </w:r>
      <w:r w:rsidRPr="00A6087F">
        <w:t xml:space="preserve">ontrolled organisations </w:t>
      </w:r>
    </w:p>
    <w:p w14:paraId="2D4EEA76" w14:textId="2FA0F5DB" w:rsidR="004D2D7E" w:rsidRPr="00A6087F" w:rsidRDefault="00961847" w:rsidP="004D2D7E">
      <w:pPr>
        <w:numPr>
          <w:ilvl w:val="0"/>
          <w:numId w:val="26"/>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ind w:left="567" w:hanging="567"/>
      </w:pPr>
      <w:r w:rsidRPr="00A6087F">
        <w:t xml:space="preserve">Updating concessions and support schemes for </w:t>
      </w:r>
      <w:r w:rsidR="008364CF" w:rsidRPr="00A6087F">
        <w:t>people experiencing disadvantage.</w:t>
      </w:r>
    </w:p>
    <w:p w14:paraId="085AFDA2" w14:textId="24834EA8" w:rsidR="002D782C" w:rsidRPr="00A6087F" w:rsidRDefault="004D2D7E" w:rsidP="0048657B">
      <w:pPr>
        <w:pStyle w:val="BodyText"/>
      </w:pPr>
      <w:r w:rsidRPr="00A6087F">
        <w:t>The ACT Government must also commit to further and targeted funding across health, mental health, disability, climate and energy, justice, children, young people and families, human rights and planning and transport</w:t>
      </w:r>
      <w:r w:rsidR="002E3867" w:rsidRPr="00A6087F">
        <w:t>, as detailed below</w:t>
      </w:r>
      <w:r w:rsidRPr="00A6087F">
        <w:t xml:space="preserve">. </w:t>
      </w:r>
      <w:r w:rsidR="00BB62BC" w:rsidRPr="00A6087F">
        <w:t xml:space="preserve">Disadvantage manifests in </w:t>
      </w:r>
      <w:r w:rsidR="00913AD6" w:rsidRPr="00A6087F">
        <w:t xml:space="preserve">myriad ways and must be addressed via a whole-of-government approach. </w:t>
      </w:r>
    </w:p>
    <w:p w14:paraId="5661708E" w14:textId="6787C111" w:rsidR="004B5917" w:rsidRPr="00A6087F" w:rsidRDefault="004B5917" w:rsidP="00961847">
      <w:pPr>
        <w:pStyle w:val="BodyText"/>
      </w:pPr>
    </w:p>
    <w:p w14:paraId="2F030095" w14:textId="77777777" w:rsidR="00072DA7" w:rsidRPr="00A6087F" w:rsidRDefault="00072DA7">
      <w:r w:rsidRPr="00A6087F">
        <w:br w:type="page"/>
      </w:r>
    </w:p>
    <w:p w14:paraId="213A2714" w14:textId="0CAB6186" w:rsidR="00072DA7" w:rsidRPr="00A6087F" w:rsidRDefault="00732A02" w:rsidP="00F66067">
      <w:pPr>
        <w:pStyle w:val="Heading1-Pagebreakbefore"/>
      </w:pPr>
      <w:bookmarkStart w:id="5" w:name="_Toc103872178"/>
      <w:r w:rsidRPr="00A6087F">
        <w:lastRenderedPageBreak/>
        <w:t xml:space="preserve">Summary of </w:t>
      </w:r>
      <w:r w:rsidR="00072DA7" w:rsidRPr="00A6087F">
        <w:t>Recommendations</w:t>
      </w:r>
      <w:bookmarkEnd w:id="5"/>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6A7FE7" w:rsidRPr="00A6087F" w14:paraId="5F2C11CC" w14:textId="77777777" w:rsidTr="008D23A5">
        <w:trPr>
          <w:trHeight w:val="636"/>
        </w:trPr>
        <w:tc>
          <w:tcPr>
            <w:tcW w:w="8494" w:type="dxa"/>
            <w:shd w:val="clear" w:color="auto" w:fill="auto"/>
            <w:tcMar>
              <w:left w:w="170" w:type="dxa"/>
              <w:right w:w="170" w:type="dxa"/>
            </w:tcMar>
          </w:tcPr>
          <w:p w14:paraId="28758DDC" w14:textId="446E23B8" w:rsidR="006A7FE7" w:rsidRPr="00A6087F" w:rsidRDefault="006A7FE7" w:rsidP="00F803DA">
            <w:pPr>
              <w:pStyle w:val="Recommendationsheading"/>
            </w:pPr>
            <w:r w:rsidRPr="00A6087F">
              <w:t>Priority Recommendations</w:t>
            </w:r>
          </w:p>
          <w:p w14:paraId="750B0C20" w14:textId="65DDBD76" w:rsidR="00263717" w:rsidRPr="00A6087F" w:rsidRDefault="00263717" w:rsidP="00F803DA">
            <w:pPr>
              <w:pStyle w:val="Recommendationsheading"/>
              <w:rPr>
                <w:i/>
                <w:iCs/>
              </w:rPr>
            </w:pPr>
            <w:r w:rsidRPr="00A6087F">
              <w:rPr>
                <w:i/>
                <w:iCs/>
              </w:rPr>
              <w:t>Housing</w:t>
            </w:r>
          </w:p>
          <w:p w14:paraId="2C741C7A" w14:textId="019861BD" w:rsidR="00491E9B" w:rsidRPr="00A6087F" w:rsidRDefault="00232094" w:rsidP="00491E9B">
            <w:pPr>
              <w:pStyle w:val="ListBullet"/>
            </w:pPr>
            <w:r w:rsidRPr="00A6087F">
              <w:t xml:space="preserve">Fund a fully independent outcome and impact evaluation of the ACT Housing Strategy to ensure baseline figures, clear targets, achievements and overall housing stock levels </w:t>
            </w:r>
            <w:r w:rsidR="003279B3" w:rsidRPr="00A6087F">
              <w:t>for social housing and affordable rentals</w:t>
            </w:r>
            <w:r w:rsidRPr="00A6087F">
              <w:t xml:space="preserve"> are clearly reported on a regular basis, and identify opportunities to increase housing supply</w:t>
            </w:r>
          </w:p>
          <w:p w14:paraId="7C965996" w14:textId="1510364F" w:rsidR="0044104E" w:rsidRPr="00A6087F" w:rsidRDefault="0044104E" w:rsidP="0044104E">
            <w:pPr>
              <w:pStyle w:val="ListBullet"/>
            </w:pPr>
            <w:r w:rsidRPr="00A6087F">
              <w:t xml:space="preserve">Set a zero target for homelessness as </w:t>
            </w:r>
            <w:r w:rsidR="008C6F6A" w:rsidRPr="008C6F6A">
              <w:t>everyone</w:t>
            </w:r>
            <w:r w:rsidR="008C6F6A">
              <w:t xml:space="preserve"> has the right to a home</w:t>
            </w:r>
          </w:p>
          <w:p w14:paraId="41FCADFA" w14:textId="0B049C69" w:rsidR="00491E9B" w:rsidRPr="00A6087F" w:rsidRDefault="00AF7887" w:rsidP="00491E9B">
            <w:pPr>
              <w:pStyle w:val="ListBullet"/>
            </w:pPr>
            <w:r w:rsidRPr="00A6087F">
              <w:t xml:space="preserve">Continue </w:t>
            </w:r>
            <w:r w:rsidR="00491E9B" w:rsidRPr="00A6087F">
              <w:t xml:space="preserve">negotiation with the </w:t>
            </w:r>
            <w:r w:rsidRPr="00A6087F">
              <w:t xml:space="preserve">next </w:t>
            </w:r>
            <w:r w:rsidR="00F76779" w:rsidRPr="00A6087F">
              <w:t>f</w:t>
            </w:r>
            <w:r w:rsidRPr="00A6087F">
              <w:t xml:space="preserve">ederal </w:t>
            </w:r>
            <w:r w:rsidR="00F76779" w:rsidRPr="00A6087F">
              <w:t>g</w:t>
            </w:r>
            <w:r w:rsidRPr="00A6087F">
              <w:t xml:space="preserve">overnment </w:t>
            </w:r>
            <w:r w:rsidR="0004041D" w:rsidRPr="00A6087F">
              <w:t xml:space="preserve">to waive the ACT’s historical housing debt and </w:t>
            </w:r>
            <w:proofErr w:type="spellStart"/>
            <w:r w:rsidR="00C3469F" w:rsidRPr="00A6087F">
              <w:t>utilitise</w:t>
            </w:r>
            <w:proofErr w:type="spellEnd"/>
            <w:r w:rsidR="00C3469F" w:rsidRPr="00A6087F">
              <w:t xml:space="preserve"> this to finance new investment in the social and affordable housing stock</w:t>
            </w:r>
          </w:p>
          <w:p w14:paraId="4FA3ED8D" w14:textId="019861BD" w:rsidR="003279B3" w:rsidRPr="00A6087F" w:rsidRDefault="003279B3" w:rsidP="003279B3">
            <w:pPr>
              <w:pStyle w:val="ListBullet"/>
            </w:pPr>
            <w:r w:rsidRPr="00A6087F">
              <w:t>Meet land release targets and reassess share released for social housing, especially community housing, versus affordable housing</w:t>
            </w:r>
          </w:p>
          <w:p w14:paraId="0CC38EE5" w14:textId="6CDC6B1C" w:rsidR="00D23474" w:rsidRPr="00A6087F" w:rsidRDefault="00D23474" w:rsidP="00D23474">
            <w:pPr>
              <w:pStyle w:val="ListBullet"/>
            </w:pPr>
            <w:r w:rsidRPr="00A6087F">
              <w:t xml:space="preserve">Enable and empower community housing providers through access to and release of affordable land, </w:t>
            </w:r>
            <w:proofErr w:type="gramStart"/>
            <w:r w:rsidRPr="00A6087F">
              <w:t>rezoning</w:t>
            </w:r>
            <w:proofErr w:type="gramEnd"/>
            <w:r w:rsidRPr="00A6087F">
              <w:t xml:space="preserve"> and rates exemptions </w:t>
            </w:r>
          </w:p>
          <w:p w14:paraId="454D9AAB" w14:textId="0B36B490" w:rsidR="00432915" w:rsidRPr="00A6087F" w:rsidRDefault="00432915" w:rsidP="00432915">
            <w:pPr>
              <w:pStyle w:val="ListBullet"/>
            </w:pPr>
            <w:r w:rsidRPr="00A6087F">
              <w:t xml:space="preserve">Provide direction to the </w:t>
            </w:r>
            <w:r w:rsidR="00E13361" w:rsidRPr="00A6087F">
              <w:t>Suburban Land Agency (</w:t>
            </w:r>
            <w:r w:rsidRPr="00A6087F">
              <w:t>SLA</w:t>
            </w:r>
            <w:r w:rsidR="00E13361" w:rsidRPr="00A6087F">
              <w:t>)</w:t>
            </w:r>
            <w:r w:rsidRPr="00A6087F">
              <w:t xml:space="preserve"> to specify restrictions for land allocated to community housing providers that result in sufficiently discounted valuations to allow construction</w:t>
            </w:r>
          </w:p>
          <w:p w14:paraId="4D3363CB" w14:textId="2A0A861F" w:rsidR="00242BBD" w:rsidRPr="00A6087F" w:rsidRDefault="00242BBD" w:rsidP="00242BBD">
            <w:pPr>
              <w:pStyle w:val="ListBullet"/>
            </w:pPr>
            <w:r w:rsidRPr="00A6087F">
              <w:t xml:space="preserve">Consider variation to the Planning Act to facilitate discount of land valuations for social purposes, and consider </w:t>
            </w:r>
            <w:r w:rsidR="00AD3E45" w:rsidRPr="00A6087F">
              <w:t>g</w:t>
            </w:r>
            <w:r w:rsidRPr="00A6087F">
              <w:t>overnment retention of a portion of equity of dwellings constructed to be reimbursed at time of future sale</w:t>
            </w:r>
          </w:p>
          <w:p w14:paraId="7A3BF984" w14:textId="61C6FEF0" w:rsidR="00432915" w:rsidRPr="00A6087F" w:rsidRDefault="00432915" w:rsidP="00432915">
            <w:pPr>
              <w:pStyle w:val="ListBullet"/>
            </w:pPr>
            <w:r w:rsidRPr="00A6087F">
              <w:t>Resource and support an Aboriginal and/or Torres Strait Islander community-controlled housing provider</w:t>
            </w:r>
          </w:p>
          <w:p w14:paraId="0E323039" w14:textId="3EBB3AC2" w:rsidR="00432915" w:rsidRPr="00A6087F" w:rsidRDefault="00432915" w:rsidP="00432915">
            <w:pPr>
              <w:pStyle w:val="ListBullet"/>
            </w:pPr>
            <w:r w:rsidRPr="00A6087F">
              <w:t xml:space="preserve">Improve housing responses for </w:t>
            </w:r>
            <w:proofErr w:type="spellStart"/>
            <w:r w:rsidRPr="00A6087F">
              <w:t>LGBTIQA</w:t>
            </w:r>
            <w:proofErr w:type="spellEnd"/>
            <w:r w:rsidRPr="00A6087F">
              <w:t xml:space="preserve">+ Canberrans including: a </w:t>
            </w:r>
            <w:proofErr w:type="spellStart"/>
            <w:r w:rsidRPr="00A6087F">
              <w:t>LGBTIQA</w:t>
            </w:r>
            <w:proofErr w:type="spellEnd"/>
            <w:r w:rsidRPr="00A6087F">
              <w:t>+ housing strategy, a trauma</w:t>
            </w:r>
            <w:r w:rsidR="009508DC" w:rsidRPr="00A6087F">
              <w:t>-</w:t>
            </w:r>
            <w:r w:rsidRPr="00A6087F">
              <w:t xml:space="preserve">informed homelessness and housing support service and funding for ongoing </w:t>
            </w:r>
            <w:proofErr w:type="spellStart"/>
            <w:r w:rsidRPr="00A6087F">
              <w:t>LGBTIQA</w:t>
            </w:r>
            <w:proofErr w:type="spellEnd"/>
            <w:r w:rsidRPr="00A6087F">
              <w:t>+ awareness training for housing and homelessness services.</w:t>
            </w:r>
          </w:p>
          <w:p w14:paraId="1656CBD5" w14:textId="0F7C903D" w:rsidR="000D647A" w:rsidRPr="00A6087F" w:rsidRDefault="000D647A" w:rsidP="000D647A">
            <w:pPr>
              <w:pStyle w:val="Recommendationsheading"/>
              <w:rPr>
                <w:i/>
                <w:iCs/>
              </w:rPr>
            </w:pPr>
            <w:r w:rsidRPr="00A6087F">
              <w:rPr>
                <w:i/>
                <w:iCs/>
              </w:rPr>
              <w:t>Valuing the Community Sector</w:t>
            </w:r>
          </w:p>
          <w:p w14:paraId="46A7C2AC" w14:textId="0D0EBFF1" w:rsidR="000D647A" w:rsidRPr="00A6087F" w:rsidRDefault="000D647A" w:rsidP="000D647A">
            <w:pPr>
              <w:pStyle w:val="ListBullet"/>
            </w:pPr>
            <w:r w:rsidRPr="00A6087F">
              <w:t xml:space="preserve">Use the </w:t>
            </w:r>
            <w:hyperlink r:id="rId26" w:history="1">
              <w:r w:rsidRPr="00A6087F">
                <w:rPr>
                  <w:rStyle w:val="Hyperlink"/>
                  <w:i/>
                  <w:iCs/>
                </w:rPr>
                <w:t>Counting the Costs</w:t>
              </w:r>
            </w:hyperlink>
            <w:r w:rsidRPr="00A6087F">
              <w:rPr>
                <w:i/>
                <w:iCs/>
              </w:rPr>
              <w:t xml:space="preserve"> </w:t>
            </w:r>
            <w:r w:rsidRPr="00A6087F">
              <w:t>report’s revised methodology for the community sector’s indexation rate</w:t>
            </w:r>
          </w:p>
          <w:p w14:paraId="2CE41143" w14:textId="77777777" w:rsidR="000D647A" w:rsidRPr="00A6087F" w:rsidRDefault="000D647A" w:rsidP="000D647A">
            <w:pPr>
              <w:pStyle w:val="ListBullet"/>
            </w:pPr>
            <w:r w:rsidRPr="00A6087F">
              <w:t xml:space="preserve">Ensure annually renewed contracts are also indexed adequately </w:t>
            </w:r>
          </w:p>
          <w:p w14:paraId="03677542" w14:textId="77777777" w:rsidR="006A7FE7" w:rsidRDefault="000D647A" w:rsidP="002F4154">
            <w:pPr>
              <w:pStyle w:val="ListBullet"/>
            </w:pPr>
            <w:r w:rsidRPr="00A6087F">
              <w:lastRenderedPageBreak/>
              <w:t>Increase community sector funding to cover all costs including staffing, service delivery, engagement in commissioning and policy processes and monitoring and evaluation</w:t>
            </w:r>
          </w:p>
          <w:p w14:paraId="76AE5135" w14:textId="2DE11736" w:rsidR="00FD72E2" w:rsidRPr="00A6087F" w:rsidRDefault="00FD72E2" w:rsidP="00FD72E2">
            <w:pPr>
              <w:pStyle w:val="ListBullet"/>
              <w:rPr>
                <w:i/>
              </w:rPr>
            </w:pPr>
            <w:r w:rsidRPr="00A6087F">
              <w:t xml:space="preserve">Work with the community sector through the Industry Strategy Steering Group to develop a workforce strategy and career pathways to recruit and retain staff, as outlined in the April 2019 </w:t>
            </w:r>
            <w:hyperlink r:id="rId27" w:history="1">
              <w:r w:rsidRPr="00A6087F">
                <w:rPr>
                  <w:rStyle w:val="Hyperlink"/>
                  <w:i/>
                </w:rPr>
                <w:t xml:space="preserve">Workforce Data and Community Needs Analysis </w:t>
              </w:r>
            </w:hyperlink>
            <w:r w:rsidRPr="00A6087F">
              <w:rPr>
                <w:i/>
              </w:rPr>
              <w:t xml:space="preserve"> </w:t>
            </w:r>
          </w:p>
          <w:p w14:paraId="13D892DC" w14:textId="77777777" w:rsidR="008D23A5" w:rsidRPr="00A6087F" w:rsidRDefault="008D23A5" w:rsidP="008D23A5">
            <w:pPr>
              <w:pStyle w:val="ListBullet"/>
              <w:tabs>
                <w:tab w:val="num" w:pos="567"/>
              </w:tabs>
            </w:pPr>
            <w:r w:rsidRPr="00A6087F">
              <w:t>Ensure commissioning process responds to increased demand and complexity of need across all directorates, with particular attention to the needs of Aboriginal and/or Torres Strait Islander peoples</w:t>
            </w:r>
          </w:p>
          <w:p w14:paraId="7686D11E" w14:textId="77777777" w:rsidR="008D23A5" w:rsidRPr="00A6087F" w:rsidRDefault="008D23A5" w:rsidP="008D23A5">
            <w:pPr>
              <w:pStyle w:val="ListBullet"/>
              <w:tabs>
                <w:tab w:val="num" w:pos="567"/>
              </w:tabs>
            </w:pPr>
            <w:r w:rsidRPr="00A6087F">
              <w:t>Properly fund ACT Government strategies and ensure fair division of investment between public service and community sector, and Aboriginal and/or Torres Strait Islander controlled organisations</w:t>
            </w:r>
          </w:p>
          <w:p w14:paraId="2D116BE1" w14:textId="77777777" w:rsidR="008D23A5" w:rsidRPr="00A6087F" w:rsidRDefault="008D23A5" w:rsidP="008D23A5">
            <w:pPr>
              <w:pStyle w:val="ListBullet"/>
              <w:tabs>
                <w:tab w:val="num" w:pos="567"/>
              </w:tabs>
            </w:pPr>
            <w:r w:rsidRPr="00A6087F">
              <w:t>Review and address ageing community facilities to allow delivery and continuity of services with dignity for clients</w:t>
            </w:r>
          </w:p>
          <w:p w14:paraId="10645382" w14:textId="4A4A2A97" w:rsidR="008D23A5" w:rsidRPr="00A6087F" w:rsidRDefault="008D23A5" w:rsidP="008D23A5">
            <w:pPr>
              <w:pStyle w:val="ListBullet"/>
              <w:tabs>
                <w:tab w:val="num" w:pos="567"/>
              </w:tabs>
            </w:pPr>
            <w:r w:rsidRPr="00A6087F">
              <w:t xml:space="preserve">Increase funding to facilitate community connection initiatives and employ dedicated </w:t>
            </w:r>
            <w:r w:rsidR="006F62CB" w:rsidRPr="00A6087F">
              <w:t>c</w:t>
            </w:r>
            <w:r w:rsidRPr="00A6087F">
              <w:t xml:space="preserve">ommunity </w:t>
            </w:r>
            <w:r w:rsidR="006F62CB" w:rsidRPr="00A6087F">
              <w:t>d</w:t>
            </w:r>
            <w:r w:rsidRPr="00A6087F">
              <w:t>evelopment staffing across all regions</w:t>
            </w:r>
          </w:p>
          <w:p w14:paraId="73E4619D" w14:textId="77777777" w:rsidR="008D23A5" w:rsidRPr="00A6087F" w:rsidRDefault="008D23A5" w:rsidP="008D23A5">
            <w:pPr>
              <w:pStyle w:val="ListBullet"/>
              <w:tabs>
                <w:tab w:val="num" w:pos="567"/>
              </w:tabs>
            </w:pPr>
            <w:r w:rsidRPr="00A6087F">
              <w:t xml:space="preserve">Adequately fund the Community Development Network for the ACT and Region (CDNet) and ensure contract is indexed </w:t>
            </w:r>
          </w:p>
          <w:p w14:paraId="1B81B781" w14:textId="77777777" w:rsidR="008D23A5" w:rsidRPr="00A6087F" w:rsidRDefault="008D23A5" w:rsidP="008D23A5">
            <w:pPr>
              <w:pStyle w:val="ListBullet"/>
              <w:tabs>
                <w:tab w:val="num" w:pos="567"/>
              </w:tabs>
            </w:pPr>
            <w:r w:rsidRPr="00A6087F">
              <w:t>Renew the ACT Volunteering Strategy.</w:t>
            </w:r>
          </w:p>
          <w:p w14:paraId="5A697FE4" w14:textId="77777777" w:rsidR="008D23A5" w:rsidRPr="00A6087F" w:rsidRDefault="008D23A5" w:rsidP="008D23A5">
            <w:pPr>
              <w:pStyle w:val="Recommendationsheading"/>
              <w:rPr>
                <w:i/>
                <w:iCs/>
              </w:rPr>
            </w:pPr>
            <w:r w:rsidRPr="00A6087F">
              <w:rPr>
                <w:i/>
                <w:iCs/>
              </w:rPr>
              <w:t>Aboriginal and/or Torres Strait Islander Self-Determination</w:t>
            </w:r>
          </w:p>
          <w:p w14:paraId="1C5C383B" w14:textId="77777777" w:rsidR="008D23A5" w:rsidRPr="00A6087F" w:rsidRDefault="008D23A5" w:rsidP="008D23A5">
            <w:pPr>
              <w:pStyle w:val="ListBullet"/>
              <w:tabs>
                <w:tab w:val="num" w:pos="567"/>
              </w:tabs>
            </w:pPr>
            <w:r w:rsidRPr="00A6087F">
              <w:t>Commit to a Commission of Inquiry or Royal Commission into the overrepresentation of Aboriginal and/or Torres Strait Islander people in the justice system</w:t>
            </w:r>
          </w:p>
          <w:p w14:paraId="18E5E037" w14:textId="105A490B" w:rsidR="008D23A5" w:rsidRPr="00A6087F" w:rsidRDefault="008D23A5" w:rsidP="008D23A5">
            <w:pPr>
              <w:pStyle w:val="ListBullet"/>
              <w:tabs>
                <w:tab w:val="num" w:pos="567"/>
              </w:tabs>
            </w:pPr>
            <w:r w:rsidRPr="00A6087F">
              <w:t xml:space="preserve">Implement and resource all recommendations from the </w:t>
            </w:r>
            <w:hyperlink r:id="rId28" w:history="1">
              <w:r w:rsidRPr="00A6087F">
                <w:rPr>
                  <w:rStyle w:val="Hyperlink"/>
                  <w:i/>
                  <w:iCs/>
                </w:rPr>
                <w:t xml:space="preserve">Our </w:t>
              </w:r>
              <w:proofErr w:type="spellStart"/>
              <w:r w:rsidRPr="00A6087F">
                <w:rPr>
                  <w:rStyle w:val="Hyperlink"/>
                  <w:i/>
                  <w:iCs/>
                </w:rPr>
                <w:t>Booris</w:t>
              </w:r>
              <w:proofErr w:type="spellEnd"/>
              <w:r w:rsidRPr="00A6087F">
                <w:rPr>
                  <w:rStyle w:val="Hyperlink"/>
                  <w:i/>
                  <w:iCs/>
                </w:rPr>
                <w:t>, Our Way</w:t>
              </w:r>
            </w:hyperlink>
            <w:r w:rsidRPr="00A6087F">
              <w:t xml:space="preserve"> report</w:t>
            </w:r>
          </w:p>
          <w:p w14:paraId="45D75AF9" w14:textId="77777777" w:rsidR="008D23A5" w:rsidRPr="00A6087F" w:rsidRDefault="008D23A5" w:rsidP="008D23A5">
            <w:pPr>
              <w:pStyle w:val="ListBullet"/>
              <w:tabs>
                <w:tab w:val="num" w:pos="567"/>
              </w:tabs>
            </w:pPr>
            <w:r w:rsidRPr="00A6087F">
              <w:t>Implementation of adequate internal and external review mechanisms in the ACT child protection systems</w:t>
            </w:r>
          </w:p>
          <w:p w14:paraId="71C9D6C0" w14:textId="72B0DADF" w:rsidR="008D23A5" w:rsidRPr="00A6087F" w:rsidRDefault="008D23A5" w:rsidP="008D23A5">
            <w:pPr>
              <w:pStyle w:val="ListBullet"/>
              <w:tabs>
                <w:tab w:val="num" w:pos="567"/>
              </w:tabs>
            </w:pPr>
            <w:r w:rsidRPr="00A6087F">
              <w:t xml:space="preserve">Fund and implement all recommendations from the </w:t>
            </w:r>
            <w:hyperlink r:id="rId29" w:history="1">
              <w:r w:rsidRPr="00A6087F">
                <w:rPr>
                  <w:rStyle w:val="Hyperlink"/>
                </w:rPr>
                <w:t>independent review of the service system requirements for raising the minimum age of criminal responsibility in the ACT</w:t>
              </w:r>
            </w:hyperlink>
          </w:p>
          <w:p w14:paraId="67406AD9" w14:textId="77777777" w:rsidR="008D23A5" w:rsidRPr="00A6087F" w:rsidRDefault="008D23A5" w:rsidP="008D23A5">
            <w:pPr>
              <w:pStyle w:val="ListBullet"/>
              <w:tabs>
                <w:tab w:val="num" w:pos="567"/>
              </w:tabs>
            </w:pPr>
            <w:r w:rsidRPr="00A6087F">
              <w:t>Appoint an Aboriginal and/or Torres Strait Islander Children’s Commissioner</w:t>
            </w:r>
          </w:p>
          <w:p w14:paraId="2D5004A3" w14:textId="050DB5F4" w:rsidR="008D23A5" w:rsidRPr="00A6087F" w:rsidRDefault="008D23A5" w:rsidP="008D23A5">
            <w:pPr>
              <w:pStyle w:val="ListBullet"/>
              <w:tabs>
                <w:tab w:val="num" w:pos="567"/>
              </w:tabs>
            </w:pPr>
            <w:r w:rsidRPr="00A6087F">
              <w:t xml:space="preserve">Ensure adequate resourcing for the continued implementation of the ACT Aboriginal and Torres Strait Islander </w:t>
            </w:r>
            <w:r w:rsidR="00AC7B5D" w:rsidRPr="00A6087F">
              <w:t>A</w:t>
            </w:r>
            <w:r w:rsidRPr="00A6087F">
              <w:t>greement</w:t>
            </w:r>
          </w:p>
          <w:p w14:paraId="71CEBA14" w14:textId="77777777" w:rsidR="008D23A5" w:rsidRPr="00A6087F" w:rsidRDefault="008D23A5" w:rsidP="008D23A5">
            <w:pPr>
              <w:pStyle w:val="ListBullet"/>
              <w:tabs>
                <w:tab w:val="num" w:pos="567"/>
              </w:tabs>
            </w:pPr>
            <w:r w:rsidRPr="00A6087F">
              <w:lastRenderedPageBreak/>
              <w:t>Ensure Aboriginal and/or Torres Strait Islander communities are sufficiently supported to participate in and benefit from commissioning process</w:t>
            </w:r>
          </w:p>
          <w:p w14:paraId="22C57B71" w14:textId="2C2D981C" w:rsidR="008D23A5" w:rsidRPr="00A6087F" w:rsidRDefault="008D23A5" w:rsidP="008D23A5">
            <w:pPr>
              <w:pStyle w:val="ListBullet"/>
              <w:tabs>
                <w:tab w:val="num" w:pos="567"/>
              </w:tabs>
            </w:pPr>
            <w:r w:rsidRPr="00A6087F">
              <w:t xml:space="preserve">Increase investment in Aboriginal </w:t>
            </w:r>
            <w:r w:rsidR="00AC7B5D" w:rsidRPr="00A6087F">
              <w:t>c</w:t>
            </w:r>
            <w:r w:rsidRPr="00A6087F">
              <w:t>ommunity-controlled organisations.</w:t>
            </w:r>
          </w:p>
          <w:p w14:paraId="0D1D605E" w14:textId="77777777" w:rsidR="008D23A5" w:rsidRPr="00A6087F" w:rsidRDefault="008D23A5" w:rsidP="008D23A5">
            <w:pPr>
              <w:pStyle w:val="Recommendationsheading"/>
              <w:rPr>
                <w:i/>
                <w:iCs/>
              </w:rPr>
            </w:pPr>
            <w:r w:rsidRPr="00A6087F">
              <w:rPr>
                <w:i/>
                <w:iCs/>
              </w:rPr>
              <w:t>Cost of Living</w:t>
            </w:r>
          </w:p>
          <w:p w14:paraId="3B06A01C" w14:textId="77777777" w:rsidR="008D23A5" w:rsidRPr="00A6087F" w:rsidRDefault="008D23A5" w:rsidP="008D23A5">
            <w:pPr>
              <w:pStyle w:val="ListBullet"/>
              <w:tabs>
                <w:tab w:val="num" w:pos="567"/>
              </w:tabs>
            </w:pPr>
            <w:r w:rsidRPr="00A6087F">
              <w:t>Ensure concessions are adequate and targeted to need based on review and update of the Targeted Assistance Strategy</w:t>
            </w:r>
          </w:p>
          <w:p w14:paraId="0839213A" w14:textId="77777777" w:rsidR="008D23A5" w:rsidRPr="00A6087F" w:rsidRDefault="008D23A5" w:rsidP="008D23A5">
            <w:pPr>
              <w:pStyle w:val="ListBullet"/>
              <w:tabs>
                <w:tab w:val="num" w:pos="567"/>
              </w:tabs>
            </w:pPr>
            <w:r w:rsidRPr="00A6087F">
              <w:t xml:space="preserve">Ensure the Utilities Concession is adjusted in line with increases in costs of electricity, gas, </w:t>
            </w:r>
            <w:proofErr w:type="gramStart"/>
            <w:r w:rsidRPr="00A6087F">
              <w:t>water</w:t>
            </w:r>
            <w:proofErr w:type="gramEnd"/>
            <w:r w:rsidRPr="00A6087F">
              <w:t xml:space="preserve"> and sewerage services for low-income households</w:t>
            </w:r>
          </w:p>
          <w:p w14:paraId="12BC5363" w14:textId="77777777" w:rsidR="008D23A5" w:rsidRPr="00A6087F" w:rsidRDefault="008D23A5" w:rsidP="008D23A5">
            <w:pPr>
              <w:pStyle w:val="ListBullet"/>
              <w:tabs>
                <w:tab w:val="num" w:pos="567"/>
              </w:tabs>
            </w:pPr>
            <w:r w:rsidRPr="00A6087F">
              <w:t>Expand the Utilities Hardship Fund to Icon Water so it can be accessed by customers experiencing hardship for water and sewerage services</w:t>
            </w:r>
          </w:p>
          <w:p w14:paraId="5DD7C1F9" w14:textId="77777777" w:rsidR="008D23A5" w:rsidRPr="00A6087F" w:rsidRDefault="008D23A5" w:rsidP="008D23A5">
            <w:pPr>
              <w:pStyle w:val="ListBullet"/>
              <w:tabs>
                <w:tab w:val="num" w:pos="567"/>
              </w:tabs>
            </w:pPr>
            <w:r w:rsidRPr="00A6087F">
              <w:t xml:space="preserve">Introduce an income-based approach to ACT Government fines, </w:t>
            </w:r>
            <w:proofErr w:type="gramStart"/>
            <w:r w:rsidRPr="00A6087F">
              <w:t>fees</w:t>
            </w:r>
            <w:proofErr w:type="gramEnd"/>
            <w:r w:rsidRPr="00A6087F">
              <w:t xml:space="preserve"> and other charges</w:t>
            </w:r>
          </w:p>
          <w:p w14:paraId="39395276" w14:textId="77777777" w:rsidR="008D23A5" w:rsidRPr="00A6087F" w:rsidRDefault="008D23A5" w:rsidP="008D23A5">
            <w:pPr>
              <w:pStyle w:val="ListBullet"/>
              <w:tabs>
                <w:tab w:val="num" w:pos="567"/>
              </w:tabs>
            </w:pPr>
            <w:r w:rsidRPr="00A6087F">
              <w:t xml:space="preserve">Trial free public transport and analyse its costs, </w:t>
            </w:r>
            <w:proofErr w:type="gramStart"/>
            <w:r w:rsidRPr="00A6087F">
              <w:t>benefits</w:t>
            </w:r>
            <w:proofErr w:type="gramEnd"/>
            <w:r w:rsidRPr="00A6087F">
              <w:t xml:space="preserve"> and distributional impact.</w:t>
            </w:r>
            <w:r w:rsidRPr="00A6087F">
              <w:br/>
            </w:r>
          </w:p>
          <w:p w14:paraId="671D4D02" w14:textId="77777777" w:rsidR="008D23A5" w:rsidRPr="00A6087F" w:rsidRDefault="008D23A5" w:rsidP="008D23A5">
            <w:pPr>
              <w:pStyle w:val="Recommendationsheading"/>
            </w:pPr>
            <w:r w:rsidRPr="00A6087F">
              <w:t>Further Recommendations</w:t>
            </w:r>
          </w:p>
          <w:p w14:paraId="6A204541" w14:textId="77777777" w:rsidR="008D23A5" w:rsidRPr="00A6087F" w:rsidRDefault="008D23A5" w:rsidP="008D23A5">
            <w:pPr>
              <w:pStyle w:val="Recommendationsheading"/>
              <w:rPr>
                <w:i/>
                <w:iCs/>
              </w:rPr>
            </w:pPr>
            <w:r w:rsidRPr="00A6087F">
              <w:rPr>
                <w:i/>
                <w:iCs/>
              </w:rPr>
              <w:t>Health (including alcohol and other drug treatment)</w:t>
            </w:r>
          </w:p>
          <w:p w14:paraId="730DAE4B" w14:textId="77777777" w:rsidR="008D23A5" w:rsidRPr="00A6087F" w:rsidRDefault="008D23A5" w:rsidP="008D23A5">
            <w:pPr>
              <w:pStyle w:val="ListBullet"/>
              <w:tabs>
                <w:tab w:val="num" w:pos="567"/>
              </w:tabs>
            </w:pPr>
            <w:r w:rsidRPr="00A6087F">
              <w:t>Invest in integrative health services that prioritise access for people on low incomes, including early intervention and mental health and support for carers</w:t>
            </w:r>
          </w:p>
          <w:p w14:paraId="6EE471B9" w14:textId="77777777" w:rsidR="008D23A5" w:rsidRPr="00A6087F" w:rsidRDefault="008D23A5" w:rsidP="008D23A5">
            <w:pPr>
              <w:pStyle w:val="ListBullet"/>
              <w:tabs>
                <w:tab w:val="num" w:pos="567"/>
              </w:tabs>
            </w:pPr>
            <w:r w:rsidRPr="00A6087F">
              <w:t>Greater investment in the Community Assistance and Support Program (CASP) and chronic illness commissioning processes</w:t>
            </w:r>
          </w:p>
          <w:p w14:paraId="4CEBB76C" w14:textId="77777777" w:rsidR="008D23A5" w:rsidRPr="00A6087F" w:rsidRDefault="008D23A5" w:rsidP="008D23A5">
            <w:pPr>
              <w:pStyle w:val="ListBullet"/>
              <w:tabs>
                <w:tab w:val="num" w:pos="567"/>
              </w:tabs>
            </w:pPr>
            <w:r w:rsidRPr="00A6087F">
              <w:t>Implement geriatric streaming through Canberra hospitals</w:t>
            </w:r>
          </w:p>
          <w:p w14:paraId="09E895C3" w14:textId="77777777" w:rsidR="008D23A5" w:rsidRPr="00A6087F" w:rsidRDefault="008D23A5" w:rsidP="008D23A5">
            <w:pPr>
              <w:pStyle w:val="ListBullet"/>
              <w:tabs>
                <w:tab w:val="num" w:pos="567"/>
              </w:tabs>
            </w:pPr>
            <w:r w:rsidRPr="00A6087F">
              <w:t>Fund a dedicated palliative care unit, with associated around-the-clock telehealth service</w:t>
            </w:r>
          </w:p>
          <w:p w14:paraId="3AC6000E" w14:textId="77777777" w:rsidR="008D23A5" w:rsidRPr="00A6087F" w:rsidRDefault="008D23A5" w:rsidP="008D23A5">
            <w:pPr>
              <w:pStyle w:val="ListBullet"/>
              <w:tabs>
                <w:tab w:val="num" w:pos="567"/>
              </w:tabs>
            </w:pPr>
            <w:r w:rsidRPr="00A6087F">
              <w:t>Develop an Integrated Care Strategy with a focus on chronic health and wrap-around service provision</w:t>
            </w:r>
          </w:p>
          <w:p w14:paraId="58FCE4FD" w14:textId="77777777" w:rsidR="008D23A5" w:rsidRPr="00A6087F" w:rsidRDefault="008D23A5" w:rsidP="008D23A5">
            <w:pPr>
              <w:pStyle w:val="ListBullet"/>
              <w:tabs>
                <w:tab w:val="num" w:pos="567"/>
              </w:tabs>
            </w:pPr>
            <w:r w:rsidRPr="00A6087F">
              <w:t xml:space="preserve">Further funding for alcohol, </w:t>
            </w:r>
            <w:proofErr w:type="gramStart"/>
            <w:r w:rsidRPr="00A6087F">
              <w:t>tobacco</w:t>
            </w:r>
            <w:proofErr w:type="gramEnd"/>
            <w:r w:rsidRPr="00A6087F">
              <w:t xml:space="preserve"> and other drug (</w:t>
            </w:r>
            <w:proofErr w:type="spellStart"/>
            <w:r w:rsidRPr="00A6087F">
              <w:t>ATOD</w:t>
            </w:r>
            <w:proofErr w:type="spellEnd"/>
            <w:r w:rsidRPr="00A6087F">
              <w:t>) treatment and harm reduction specialist services</w:t>
            </w:r>
          </w:p>
          <w:p w14:paraId="78E997D2" w14:textId="77777777" w:rsidR="008D23A5" w:rsidRPr="00A6087F" w:rsidRDefault="008D23A5" w:rsidP="008D23A5">
            <w:pPr>
              <w:pStyle w:val="ListBullet"/>
              <w:tabs>
                <w:tab w:val="num" w:pos="567"/>
              </w:tabs>
            </w:pPr>
            <w:r w:rsidRPr="00A6087F">
              <w:t xml:space="preserve">Conduct an </w:t>
            </w:r>
            <w:proofErr w:type="spellStart"/>
            <w:r w:rsidRPr="00A6087F">
              <w:t>ATOD</w:t>
            </w:r>
            <w:proofErr w:type="spellEnd"/>
            <w:r w:rsidRPr="00A6087F">
              <w:t xml:space="preserve"> sector infrastructure audit</w:t>
            </w:r>
          </w:p>
          <w:p w14:paraId="3472524B" w14:textId="77777777" w:rsidR="008D23A5" w:rsidRPr="00A6087F" w:rsidRDefault="008D23A5" w:rsidP="008D23A5">
            <w:pPr>
              <w:pStyle w:val="ListBullet"/>
              <w:tabs>
                <w:tab w:val="num" w:pos="567"/>
              </w:tabs>
            </w:pPr>
            <w:r w:rsidRPr="00A6087F">
              <w:t xml:space="preserve">Invest in expanding, </w:t>
            </w:r>
            <w:proofErr w:type="gramStart"/>
            <w:r w:rsidRPr="00A6087F">
              <w:t>resourcing</w:t>
            </w:r>
            <w:proofErr w:type="gramEnd"/>
            <w:r w:rsidRPr="00A6087F">
              <w:t xml:space="preserve"> and training the </w:t>
            </w:r>
            <w:proofErr w:type="spellStart"/>
            <w:r w:rsidRPr="00A6087F">
              <w:t>ATOD</w:t>
            </w:r>
            <w:proofErr w:type="spellEnd"/>
            <w:r w:rsidRPr="00A6087F">
              <w:t xml:space="preserve"> peer workforce.</w:t>
            </w:r>
          </w:p>
          <w:p w14:paraId="20CBDC97" w14:textId="77777777" w:rsidR="008D23A5" w:rsidRPr="00A6087F" w:rsidRDefault="008D23A5" w:rsidP="008D23A5">
            <w:pPr>
              <w:pStyle w:val="Recommendationsheading"/>
              <w:rPr>
                <w:i/>
                <w:iCs/>
              </w:rPr>
            </w:pPr>
            <w:r w:rsidRPr="00A6087F">
              <w:rPr>
                <w:i/>
                <w:iCs/>
              </w:rPr>
              <w:lastRenderedPageBreak/>
              <w:t>Mental Health</w:t>
            </w:r>
          </w:p>
          <w:p w14:paraId="47DA626C" w14:textId="77777777" w:rsidR="008D23A5" w:rsidRPr="00A6087F" w:rsidRDefault="008D23A5" w:rsidP="008D23A5">
            <w:pPr>
              <w:pStyle w:val="ListBullet"/>
              <w:tabs>
                <w:tab w:val="num" w:pos="567"/>
              </w:tabs>
            </w:pPr>
            <w:r w:rsidRPr="00A6087F">
              <w:t>Invest in and train peer workers in mental health</w:t>
            </w:r>
          </w:p>
          <w:p w14:paraId="1FFEB3B6" w14:textId="77777777" w:rsidR="008D23A5" w:rsidRPr="00A6087F" w:rsidRDefault="008D23A5" w:rsidP="008D23A5">
            <w:pPr>
              <w:pStyle w:val="ListBullet"/>
              <w:tabs>
                <w:tab w:val="num" w:pos="567"/>
              </w:tabs>
            </w:pPr>
            <w:r w:rsidRPr="00A6087F">
              <w:t>Fund a respite facility for mental health carers</w:t>
            </w:r>
          </w:p>
          <w:p w14:paraId="094104DE" w14:textId="77777777" w:rsidR="008D23A5" w:rsidRPr="00A6087F" w:rsidRDefault="008D23A5" w:rsidP="008D23A5">
            <w:pPr>
              <w:pStyle w:val="ListBullet"/>
              <w:tabs>
                <w:tab w:val="num" w:pos="567"/>
              </w:tabs>
            </w:pPr>
            <w:r w:rsidRPr="00A6087F">
              <w:t>Respond to the review for older persons’ mental health and invest in targeted mental health supports for older Canberrans</w:t>
            </w:r>
          </w:p>
          <w:p w14:paraId="1E647185" w14:textId="77777777" w:rsidR="008D23A5" w:rsidRPr="00A6087F" w:rsidRDefault="008D23A5" w:rsidP="008D23A5">
            <w:pPr>
              <w:pStyle w:val="ListBullet"/>
              <w:tabs>
                <w:tab w:val="num" w:pos="567"/>
              </w:tabs>
            </w:pPr>
            <w:r w:rsidRPr="00A6087F">
              <w:t xml:space="preserve">Invest in targeted mental health supports for specialist services, such as for </w:t>
            </w:r>
            <w:proofErr w:type="spellStart"/>
            <w:r w:rsidRPr="00A6087F">
              <w:t>LGBTIQA</w:t>
            </w:r>
            <w:proofErr w:type="spellEnd"/>
            <w:r w:rsidRPr="00A6087F">
              <w:t>+ people</w:t>
            </w:r>
          </w:p>
          <w:p w14:paraId="0E63CFFD" w14:textId="77777777" w:rsidR="008D23A5" w:rsidRPr="00A6087F" w:rsidRDefault="008D23A5" w:rsidP="008D23A5">
            <w:pPr>
              <w:pStyle w:val="ListBullet"/>
              <w:tabs>
                <w:tab w:val="num" w:pos="567"/>
              </w:tabs>
            </w:pPr>
            <w:r w:rsidRPr="00A6087F">
              <w:t xml:space="preserve">Invest in </w:t>
            </w:r>
            <w:proofErr w:type="spellStart"/>
            <w:r w:rsidRPr="00A6087F">
              <w:t>ATOD</w:t>
            </w:r>
            <w:proofErr w:type="spellEnd"/>
            <w:r w:rsidRPr="00A6087F">
              <w:t xml:space="preserve"> and mental health integrated service provision</w:t>
            </w:r>
          </w:p>
          <w:p w14:paraId="262EDA21" w14:textId="01E50C54" w:rsidR="008D23A5" w:rsidRPr="00A6087F" w:rsidRDefault="008D23A5" w:rsidP="008D23A5">
            <w:pPr>
              <w:pStyle w:val="ListBullet"/>
              <w:tabs>
                <w:tab w:val="num" w:pos="567"/>
              </w:tabs>
            </w:pPr>
            <w:r w:rsidRPr="00A6087F">
              <w:t xml:space="preserve">Address significant gap for people with complex mental health issues who are not eligible for the </w:t>
            </w:r>
            <w:r w:rsidR="00B50083" w:rsidRPr="00A6087F">
              <w:t>National Disability Insurance Scheme (</w:t>
            </w:r>
            <w:r w:rsidRPr="00A6087F">
              <w:t>NDIS</w:t>
            </w:r>
            <w:r w:rsidR="00B50083" w:rsidRPr="00A6087F">
              <w:t>)</w:t>
            </w:r>
          </w:p>
          <w:p w14:paraId="6E72E6D2" w14:textId="77777777" w:rsidR="008D23A5" w:rsidRPr="00A6087F" w:rsidRDefault="008D23A5" w:rsidP="008D23A5">
            <w:pPr>
              <w:pStyle w:val="ListBullet"/>
              <w:tabs>
                <w:tab w:val="num" w:pos="567"/>
              </w:tabs>
            </w:pPr>
            <w:r w:rsidRPr="00A6087F">
              <w:t>Adequately fund the implementation of the Mental Health Workforce Strategy</w:t>
            </w:r>
          </w:p>
          <w:p w14:paraId="490E0764" w14:textId="77777777" w:rsidR="008D23A5" w:rsidRPr="00A6087F" w:rsidRDefault="008D23A5" w:rsidP="008D23A5">
            <w:pPr>
              <w:pStyle w:val="ListBullet"/>
              <w:tabs>
                <w:tab w:val="num" w:pos="567"/>
              </w:tabs>
            </w:pPr>
            <w:r w:rsidRPr="00A6087F">
              <w:t>Invest in integrated housing and mental health support.</w:t>
            </w:r>
          </w:p>
          <w:p w14:paraId="3A3E5FF8" w14:textId="77777777" w:rsidR="008D23A5" w:rsidRPr="00A6087F" w:rsidRDefault="008D23A5" w:rsidP="008D23A5">
            <w:pPr>
              <w:pStyle w:val="Recommendationsheading"/>
              <w:rPr>
                <w:i/>
                <w:iCs/>
              </w:rPr>
            </w:pPr>
            <w:r w:rsidRPr="00A6087F">
              <w:rPr>
                <w:i/>
                <w:iCs/>
              </w:rPr>
              <w:t>Disability</w:t>
            </w:r>
          </w:p>
          <w:p w14:paraId="05F4825E" w14:textId="77777777" w:rsidR="008D23A5" w:rsidRPr="00A6087F" w:rsidRDefault="008D23A5" w:rsidP="008D23A5">
            <w:pPr>
              <w:pStyle w:val="ListBullet"/>
              <w:tabs>
                <w:tab w:val="num" w:pos="567"/>
              </w:tabs>
            </w:pPr>
            <w:r w:rsidRPr="00A6087F">
              <w:t>Ensure adequate funding for the implementation of the Disability Health Strategy</w:t>
            </w:r>
          </w:p>
          <w:p w14:paraId="1039F863" w14:textId="77777777" w:rsidR="008D23A5" w:rsidRPr="00A6087F" w:rsidRDefault="008D23A5" w:rsidP="008D23A5">
            <w:pPr>
              <w:pStyle w:val="ListBullet"/>
              <w:tabs>
                <w:tab w:val="num" w:pos="567"/>
              </w:tabs>
            </w:pPr>
            <w:r w:rsidRPr="00A6087F">
              <w:t>Focus education funding on transitioning to a fully inclusive education model with the long-term goal of making all schools accessible and inclusive for all students</w:t>
            </w:r>
          </w:p>
          <w:p w14:paraId="1AFAB633" w14:textId="77777777" w:rsidR="008D23A5" w:rsidRPr="00A6087F" w:rsidRDefault="008D23A5" w:rsidP="008D23A5">
            <w:pPr>
              <w:pStyle w:val="ListBullet"/>
              <w:tabs>
                <w:tab w:val="num" w:pos="567"/>
              </w:tabs>
            </w:pPr>
            <w:r w:rsidRPr="00A6087F">
              <w:t>Fund systemic disability advocacy, as well as individual advocacy</w:t>
            </w:r>
          </w:p>
          <w:p w14:paraId="1F2C79E7" w14:textId="795F17BB" w:rsidR="008D23A5" w:rsidRPr="00A6087F" w:rsidRDefault="008D23A5" w:rsidP="008D23A5">
            <w:pPr>
              <w:pStyle w:val="ListBullet"/>
              <w:tabs>
                <w:tab w:val="num" w:pos="567"/>
              </w:tabs>
            </w:pPr>
            <w:r w:rsidRPr="00A6087F">
              <w:t xml:space="preserve">Fund and resource a specialty </w:t>
            </w:r>
            <w:r w:rsidR="00B31098" w:rsidRPr="00A6087F">
              <w:t>d</w:t>
            </w:r>
            <w:r w:rsidRPr="00A6087F">
              <w:t>isability</w:t>
            </w:r>
            <w:r w:rsidR="00B31098" w:rsidRPr="00A6087F">
              <w:t xml:space="preserve"> l</w:t>
            </w:r>
            <w:r w:rsidRPr="00A6087F">
              <w:t xml:space="preserve">egal </w:t>
            </w:r>
            <w:r w:rsidR="00B31098" w:rsidRPr="00A6087F">
              <w:t>s</w:t>
            </w:r>
            <w:r w:rsidRPr="00A6087F">
              <w:t>ervice within the community legal sector</w:t>
            </w:r>
          </w:p>
          <w:p w14:paraId="084D4F50" w14:textId="77777777" w:rsidR="008D23A5" w:rsidRPr="00A6087F" w:rsidRDefault="008D23A5" w:rsidP="008D23A5">
            <w:pPr>
              <w:pStyle w:val="ListBullet"/>
              <w:tabs>
                <w:tab w:val="num" w:pos="567"/>
              </w:tabs>
            </w:pPr>
            <w:r w:rsidRPr="00A6087F">
              <w:t>Address lack of accessible and affordable housing for people with disabilities.</w:t>
            </w:r>
          </w:p>
          <w:p w14:paraId="18E872FA" w14:textId="77777777" w:rsidR="008D23A5" w:rsidRPr="00A6087F" w:rsidRDefault="008D23A5" w:rsidP="008D23A5">
            <w:pPr>
              <w:pStyle w:val="Recommendationsheading"/>
              <w:rPr>
                <w:i/>
                <w:iCs/>
              </w:rPr>
            </w:pPr>
            <w:r w:rsidRPr="00A6087F">
              <w:rPr>
                <w:i/>
                <w:iCs/>
              </w:rPr>
              <w:t>Climate and Energy</w:t>
            </w:r>
          </w:p>
          <w:p w14:paraId="288F9C2A" w14:textId="77777777" w:rsidR="008D23A5" w:rsidRPr="00A6087F" w:rsidRDefault="008D23A5" w:rsidP="008D23A5">
            <w:pPr>
              <w:pStyle w:val="ListBullet"/>
            </w:pPr>
            <w:r w:rsidRPr="00A6087F">
              <w:t xml:space="preserve">Provide additional funding under the Home Energy Support Program to enable low-income (including private rental and social housing) households to access rooftop solar and energy efficient heating, cooling, </w:t>
            </w:r>
            <w:proofErr w:type="gramStart"/>
            <w:r w:rsidRPr="00A6087F">
              <w:t>cooking</w:t>
            </w:r>
            <w:proofErr w:type="gramEnd"/>
            <w:r w:rsidRPr="00A6087F">
              <w:t xml:space="preserve"> and hot water</w:t>
            </w:r>
          </w:p>
          <w:p w14:paraId="2866CBB4" w14:textId="77777777" w:rsidR="008D23A5" w:rsidRPr="00A6087F" w:rsidRDefault="008D23A5" w:rsidP="008D23A5">
            <w:pPr>
              <w:pStyle w:val="ListBullet"/>
            </w:pPr>
            <w:r w:rsidRPr="00A6087F">
              <w:t>Provide support to low-income households to purchase a zero emissions vehicle and/or access charging infrastructure (privately or publicly)</w:t>
            </w:r>
          </w:p>
          <w:p w14:paraId="0AA18712" w14:textId="77777777" w:rsidR="008D23A5" w:rsidRPr="00A6087F" w:rsidRDefault="008D23A5" w:rsidP="008D23A5">
            <w:pPr>
              <w:pStyle w:val="ListBullet"/>
            </w:pPr>
            <w:r w:rsidRPr="00A6087F">
              <w:t>Provide adequate, long-term funding for advocacy for small energy consumers and a just transition in the ACT</w:t>
            </w:r>
          </w:p>
          <w:p w14:paraId="71C7665F" w14:textId="77777777" w:rsidR="008D23A5" w:rsidRPr="00A6087F" w:rsidRDefault="008D23A5" w:rsidP="008D23A5">
            <w:pPr>
              <w:pStyle w:val="ListBullet"/>
              <w:tabs>
                <w:tab w:val="num" w:pos="567"/>
              </w:tabs>
            </w:pPr>
            <w:r w:rsidRPr="00A6087F">
              <w:lastRenderedPageBreak/>
              <w:t>Monitor the distributional impact of the Large-scale Feed-in Tariff (</w:t>
            </w:r>
            <w:proofErr w:type="spellStart"/>
            <w:r w:rsidRPr="00A6087F">
              <w:t>LFiT</w:t>
            </w:r>
            <w:proofErr w:type="spellEnd"/>
            <w:r w:rsidRPr="00A6087F">
              <w:t>) Scheme on ACT energy consumers.</w:t>
            </w:r>
          </w:p>
          <w:p w14:paraId="09AF4A7E" w14:textId="77777777" w:rsidR="008D23A5" w:rsidRPr="00A6087F" w:rsidRDefault="008D23A5" w:rsidP="003B514F">
            <w:pPr>
              <w:pStyle w:val="Recommendationsheading"/>
              <w:keepNext/>
              <w:rPr>
                <w:i/>
                <w:iCs/>
              </w:rPr>
            </w:pPr>
            <w:r w:rsidRPr="00A6087F">
              <w:rPr>
                <w:i/>
                <w:iCs/>
              </w:rPr>
              <w:t>Justice</w:t>
            </w:r>
          </w:p>
          <w:p w14:paraId="24C9808B" w14:textId="3D15F849" w:rsidR="008D23A5" w:rsidRPr="00A6087F" w:rsidRDefault="008D23A5" w:rsidP="008D23A5">
            <w:pPr>
              <w:pStyle w:val="ListBullet"/>
              <w:tabs>
                <w:tab w:val="num" w:pos="567"/>
              </w:tabs>
            </w:pPr>
            <w:r w:rsidRPr="00A6087F">
              <w:t xml:space="preserve">Implement all recommendations from the Healthy Prison Review of the Alexander Maconochie Centre </w:t>
            </w:r>
          </w:p>
          <w:p w14:paraId="615513E2" w14:textId="05C99FD7" w:rsidR="008D23A5" w:rsidRPr="00A6087F" w:rsidRDefault="008D23A5" w:rsidP="008D23A5">
            <w:pPr>
              <w:pStyle w:val="ListBullet"/>
              <w:tabs>
                <w:tab w:val="num" w:pos="567"/>
              </w:tabs>
            </w:pPr>
            <w:r w:rsidRPr="00A6087F">
              <w:t xml:space="preserve">Fund and implement all recommendations from the </w:t>
            </w:r>
            <w:hyperlink r:id="rId30" w:history="1">
              <w:r w:rsidRPr="00A6087F">
                <w:rPr>
                  <w:rStyle w:val="Hyperlink"/>
                </w:rPr>
                <w:t>independent review of the service system requirements for raising the minimum age of criminal responsibility in the ACT</w:t>
              </w:r>
            </w:hyperlink>
          </w:p>
          <w:p w14:paraId="17E8B892" w14:textId="77777777" w:rsidR="008D23A5" w:rsidRPr="00A6087F" w:rsidRDefault="008D23A5" w:rsidP="008D23A5">
            <w:pPr>
              <w:pStyle w:val="ListBullet"/>
              <w:tabs>
                <w:tab w:val="num" w:pos="567"/>
              </w:tabs>
            </w:pPr>
            <w:r w:rsidRPr="00A6087F">
              <w:t>Resource the Disability Justice and Justice Reinvestment Strategies</w:t>
            </w:r>
          </w:p>
          <w:p w14:paraId="55FD68FE" w14:textId="03BBF4A8" w:rsidR="008D23A5" w:rsidRPr="00A6087F" w:rsidRDefault="008D23A5" w:rsidP="008D23A5">
            <w:pPr>
              <w:pStyle w:val="ListBullet"/>
              <w:tabs>
                <w:tab w:val="num" w:pos="567"/>
              </w:tabs>
            </w:pPr>
            <w:r w:rsidRPr="00A6087F">
              <w:t>Adequately fund and resource the ACT National Preventative Mechanisms (</w:t>
            </w:r>
            <w:proofErr w:type="spellStart"/>
            <w:r w:rsidRPr="00A6087F">
              <w:t>NPMs</w:t>
            </w:r>
            <w:proofErr w:type="spellEnd"/>
            <w:r w:rsidRPr="00A6087F">
              <w:t xml:space="preserve">) to carry out </w:t>
            </w:r>
            <w:r w:rsidR="009F4EED" w:rsidRPr="00A6087F">
              <w:t>Optional Protocol to the Convention Against Torture</w:t>
            </w:r>
            <w:r w:rsidR="009F4EED" w:rsidRPr="00A6087F">
              <w:t xml:space="preserve"> (</w:t>
            </w:r>
            <w:proofErr w:type="spellStart"/>
            <w:r w:rsidRPr="00A6087F">
              <w:t>OPCAT</w:t>
            </w:r>
            <w:proofErr w:type="spellEnd"/>
            <w:r w:rsidR="009F4EED" w:rsidRPr="00A6087F">
              <w:t>)</w:t>
            </w:r>
            <w:r w:rsidRPr="00A6087F">
              <w:t xml:space="preserve"> monitoring and engage with civil society</w:t>
            </w:r>
          </w:p>
          <w:p w14:paraId="75B1BBB3" w14:textId="77777777" w:rsidR="008D23A5" w:rsidRPr="00A6087F" w:rsidRDefault="008D23A5" w:rsidP="008D23A5">
            <w:pPr>
              <w:pStyle w:val="ListBullet"/>
              <w:tabs>
                <w:tab w:val="num" w:pos="567"/>
              </w:tabs>
            </w:pPr>
            <w:r w:rsidRPr="00A6087F">
              <w:t>Fund a health promotion program for women in the AMC</w:t>
            </w:r>
          </w:p>
          <w:p w14:paraId="3E7AC3A7" w14:textId="77777777" w:rsidR="008D23A5" w:rsidRPr="00A6087F" w:rsidRDefault="008D23A5" w:rsidP="008D23A5">
            <w:pPr>
              <w:pStyle w:val="ListBullet"/>
              <w:tabs>
                <w:tab w:val="num" w:pos="567"/>
              </w:tabs>
            </w:pPr>
            <w:r w:rsidRPr="00A6087F">
              <w:t>Resource a financial literacy and education program at the AMC</w:t>
            </w:r>
          </w:p>
          <w:p w14:paraId="06B0C0CD" w14:textId="77777777" w:rsidR="008D23A5" w:rsidRPr="00A6087F" w:rsidRDefault="008D23A5" w:rsidP="008D23A5">
            <w:pPr>
              <w:pStyle w:val="ListBullet"/>
              <w:tabs>
                <w:tab w:val="num" w:pos="567"/>
              </w:tabs>
            </w:pPr>
            <w:r w:rsidRPr="00A6087F">
              <w:t>Ensure the community sector is adequately funded and supported to provide services and programs within the AMC</w:t>
            </w:r>
          </w:p>
          <w:p w14:paraId="45E137DD" w14:textId="77777777" w:rsidR="008D23A5" w:rsidRPr="00A6087F" w:rsidRDefault="008D23A5" w:rsidP="008D23A5">
            <w:pPr>
              <w:pStyle w:val="ListBullet"/>
              <w:tabs>
                <w:tab w:val="num" w:pos="567"/>
              </w:tabs>
            </w:pPr>
            <w:r w:rsidRPr="00A6087F">
              <w:t>Implement a needle and syringe program for the AMC</w:t>
            </w:r>
          </w:p>
          <w:p w14:paraId="6C28E662" w14:textId="4BB70538" w:rsidR="008D23A5" w:rsidRPr="00A6087F" w:rsidRDefault="008D23A5" w:rsidP="008D23A5">
            <w:pPr>
              <w:pStyle w:val="ListBullet"/>
              <w:tabs>
                <w:tab w:val="num" w:pos="567"/>
              </w:tabs>
            </w:pPr>
            <w:r w:rsidRPr="00A6087F">
              <w:t>Greater investment in integrated and accessible frontline service provision for domestic and family violence and sexual assault response</w:t>
            </w:r>
          </w:p>
          <w:p w14:paraId="781B3A47" w14:textId="3E3B6754" w:rsidR="008D23A5" w:rsidRPr="00A6087F" w:rsidRDefault="008D23A5" w:rsidP="008D23A5">
            <w:pPr>
              <w:pStyle w:val="ListBullet"/>
              <w:tabs>
                <w:tab w:val="num" w:pos="567"/>
              </w:tabs>
            </w:pPr>
            <w:r w:rsidRPr="00A6087F">
              <w:t xml:space="preserve">Ensure ongoing funding for </w:t>
            </w:r>
            <w:r w:rsidR="00096F76" w:rsidRPr="00A6087F">
              <w:t>domestic and family violence</w:t>
            </w:r>
            <w:r w:rsidR="00096F76" w:rsidRPr="00A6087F">
              <w:t xml:space="preserve"> (</w:t>
            </w:r>
            <w:r w:rsidRPr="00A6087F">
              <w:t>DFV</w:t>
            </w:r>
            <w:r w:rsidR="00096F76" w:rsidRPr="00A6087F">
              <w:t>)</w:t>
            </w:r>
            <w:r w:rsidRPr="00A6087F">
              <w:t xml:space="preserve"> and sexual assault response beyond COVID-19 funding for 2021-22.</w:t>
            </w:r>
          </w:p>
          <w:p w14:paraId="4797BF96" w14:textId="77777777" w:rsidR="008D23A5" w:rsidRPr="00A6087F" w:rsidRDefault="008D23A5" w:rsidP="008D23A5">
            <w:pPr>
              <w:pStyle w:val="Recommendationsheading"/>
              <w:rPr>
                <w:i/>
                <w:iCs/>
              </w:rPr>
            </w:pPr>
            <w:r w:rsidRPr="00A6087F">
              <w:rPr>
                <w:i/>
                <w:iCs/>
              </w:rPr>
              <w:t>Children, Young People and Families</w:t>
            </w:r>
          </w:p>
          <w:p w14:paraId="239DB8D5" w14:textId="77777777" w:rsidR="008D23A5" w:rsidRPr="00A6087F" w:rsidRDefault="008D23A5" w:rsidP="008D23A5">
            <w:pPr>
              <w:pStyle w:val="ListBullet"/>
              <w:tabs>
                <w:tab w:val="num" w:pos="567"/>
              </w:tabs>
            </w:pPr>
            <w:r w:rsidRPr="00A6087F">
              <w:t xml:space="preserve">Ensure sufficient legal, </w:t>
            </w:r>
            <w:proofErr w:type="gramStart"/>
            <w:r w:rsidRPr="00A6087F">
              <w:t>social</w:t>
            </w:r>
            <w:proofErr w:type="gramEnd"/>
            <w:r w:rsidRPr="00A6087F">
              <w:t xml:space="preserve"> and housing support for people experiencing domestic and family violence </w:t>
            </w:r>
          </w:p>
          <w:p w14:paraId="74C886F6" w14:textId="7B29E01E" w:rsidR="008D23A5" w:rsidRPr="00A6087F" w:rsidRDefault="008D23A5" w:rsidP="008D23A5">
            <w:pPr>
              <w:pStyle w:val="ListBullet"/>
              <w:tabs>
                <w:tab w:val="num" w:pos="567"/>
              </w:tabs>
            </w:pPr>
            <w:r w:rsidRPr="00A6087F">
              <w:t>Invest in perinatal wellbeing including through in-patient care</w:t>
            </w:r>
          </w:p>
          <w:p w14:paraId="4BEE856D" w14:textId="77777777" w:rsidR="008D23A5" w:rsidRPr="00A6087F" w:rsidRDefault="008D23A5" w:rsidP="008D23A5">
            <w:pPr>
              <w:pStyle w:val="ListBullet"/>
              <w:tabs>
                <w:tab w:val="num" w:pos="567"/>
              </w:tabs>
            </w:pPr>
            <w:r w:rsidRPr="00A6087F">
              <w:t>Invest in early childhood education and preschools with early intervention strategies for children with developmental delays</w:t>
            </w:r>
          </w:p>
          <w:p w14:paraId="18817C65" w14:textId="77777777" w:rsidR="008D23A5" w:rsidRPr="00A6087F" w:rsidRDefault="008D23A5" w:rsidP="008D23A5">
            <w:pPr>
              <w:pStyle w:val="ListBullet"/>
              <w:tabs>
                <w:tab w:val="num" w:pos="567"/>
              </w:tabs>
            </w:pPr>
            <w:r w:rsidRPr="00A6087F">
              <w:t>Fund early intervention and supports for families at risk of engagement with child and youth protection services, particularly for families with disability and Aboriginal and/or Torres Strait Islander families</w:t>
            </w:r>
          </w:p>
          <w:p w14:paraId="4324BA43" w14:textId="716AC2A6" w:rsidR="00087151" w:rsidRPr="00A6087F" w:rsidRDefault="008D23A5" w:rsidP="00741078">
            <w:pPr>
              <w:pStyle w:val="ListBullet"/>
              <w:tabs>
                <w:tab w:val="num" w:pos="567"/>
              </w:tabs>
            </w:pPr>
            <w:r w:rsidRPr="00A6087F">
              <w:t xml:space="preserve">Fund and implement all recommendations from the Inspector of Correctional Services Healthy Centre Review of </w:t>
            </w:r>
            <w:proofErr w:type="spellStart"/>
            <w:r w:rsidRPr="00A6087F">
              <w:t>Bimberi</w:t>
            </w:r>
            <w:proofErr w:type="spellEnd"/>
            <w:r w:rsidRPr="00A6087F">
              <w:t xml:space="preserve"> Youth Justice Centre.</w:t>
            </w:r>
          </w:p>
          <w:p w14:paraId="700ABEB7" w14:textId="3FDE02F8" w:rsidR="008D23A5" w:rsidRPr="00A6087F" w:rsidRDefault="008D23A5" w:rsidP="00741078">
            <w:pPr>
              <w:pStyle w:val="Recommendations2"/>
            </w:pPr>
            <w:r w:rsidRPr="00A6087F">
              <w:lastRenderedPageBreak/>
              <w:t>Human Rights</w:t>
            </w:r>
          </w:p>
          <w:p w14:paraId="674352D6" w14:textId="46632052" w:rsidR="008D23A5" w:rsidRPr="00A6087F" w:rsidRDefault="008D23A5" w:rsidP="008D23A5">
            <w:pPr>
              <w:pStyle w:val="ListBullet"/>
              <w:tabs>
                <w:tab w:val="num" w:pos="567"/>
              </w:tabs>
            </w:pPr>
            <w:r w:rsidRPr="00A6087F">
              <w:t xml:space="preserve">Resource the ACT Human Rights Commission to respond to complaints about breaches of the </w:t>
            </w:r>
            <w:r w:rsidRPr="00A6087F">
              <w:rPr>
                <w:i/>
                <w:iCs/>
              </w:rPr>
              <w:t>Human Rights Act</w:t>
            </w:r>
            <w:r w:rsidR="00B846C0" w:rsidRPr="00A6087F">
              <w:rPr>
                <w:i/>
                <w:iCs/>
              </w:rPr>
              <w:t xml:space="preserve"> 2004</w:t>
            </w:r>
            <w:r w:rsidR="00B846C0" w:rsidRPr="00A6087F">
              <w:t xml:space="preserve"> (ACT)</w:t>
            </w:r>
            <w:r w:rsidR="003B5DB3" w:rsidRPr="00A6087F">
              <w:t xml:space="preserve"> (the Human Rights Act)</w:t>
            </w:r>
            <w:r w:rsidRPr="00A6087F">
              <w:t xml:space="preserve"> including the implementation of a human rights complaints process</w:t>
            </w:r>
          </w:p>
          <w:p w14:paraId="1CCDCC5D" w14:textId="77777777" w:rsidR="008D23A5" w:rsidRPr="00A6087F" w:rsidRDefault="008D23A5" w:rsidP="008D23A5">
            <w:pPr>
              <w:pStyle w:val="ListBullet"/>
              <w:tabs>
                <w:tab w:val="num" w:pos="567"/>
              </w:tabs>
            </w:pPr>
            <w:r w:rsidRPr="00A6087F">
              <w:t>Resource and support an independent advocacy voice for culturally and linguistically diverse Canberrans in the ACT</w:t>
            </w:r>
          </w:p>
          <w:p w14:paraId="1E25BF7D" w14:textId="77777777" w:rsidR="008D23A5" w:rsidRPr="00A6087F" w:rsidRDefault="008D23A5" w:rsidP="008D23A5">
            <w:pPr>
              <w:pStyle w:val="ListBullet"/>
              <w:tabs>
                <w:tab w:val="num" w:pos="567"/>
              </w:tabs>
            </w:pPr>
            <w:r w:rsidRPr="00A6087F">
              <w:t xml:space="preserve">Commit to review police complaints handling mechanisms to ensure greater practical independence, </w:t>
            </w:r>
            <w:proofErr w:type="gramStart"/>
            <w:r w:rsidRPr="00A6087F">
              <w:t>accountability</w:t>
            </w:r>
            <w:proofErr w:type="gramEnd"/>
            <w:r w:rsidRPr="00A6087F">
              <w:t xml:space="preserve"> and transparency of investigations</w:t>
            </w:r>
          </w:p>
          <w:p w14:paraId="292FDEA0" w14:textId="77777777" w:rsidR="008D23A5" w:rsidRPr="00A6087F" w:rsidRDefault="008D23A5" w:rsidP="008D23A5">
            <w:pPr>
              <w:pStyle w:val="ListBullet"/>
              <w:tabs>
                <w:tab w:val="num" w:pos="567"/>
              </w:tabs>
            </w:pPr>
            <w:r w:rsidRPr="00A6087F">
              <w:t>Through improved access to legal support and better funding for the ACT’s community legal services, ensure equality before the law for all ACT residents, including women and children, Aboriginal and/or Torres Strait Islander people, people with disabilities and other Canberrans facing legal disadvantage.</w:t>
            </w:r>
          </w:p>
          <w:p w14:paraId="2C7C6D27" w14:textId="77777777" w:rsidR="008D23A5" w:rsidRPr="00A6087F" w:rsidRDefault="008D23A5" w:rsidP="008D23A5">
            <w:pPr>
              <w:pStyle w:val="Recommendations2"/>
            </w:pPr>
            <w:r w:rsidRPr="00A6087F">
              <w:t>Planning and Transport</w:t>
            </w:r>
          </w:p>
          <w:p w14:paraId="3C744084" w14:textId="77777777" w:rsidR="008D23A5" w:rsidRPr="00A6087F" w:rsidRDefault="008D23A5" w:rsidP="008D23A5">
            <w:pPr>
              <w:pStyle w:val="ListBullet"/>
              <w:tabs>
                <w:tab w:val="num" w:pos="567"/>
              </w:tabs>
            </w:pPr>
            <w:r w:rsidRPr="00A6087F">
              <w:t>Develop a policy framework and investment model for the long-term provision of community facilities across the ACT</w:t>
            </w:r>
          </w:p>
          <w:p w14:paraId="52DBEF81" w14:textId="77777777" w:rsidR="008D23A5" w:rsidRPr="00A6087F" w:rsidRDefault="008D23A5" w:rsidP="008D23A5">
            <w:pPr>
              <w:pStyle w:val="ListBullet"/>
              <w:tabs>
                <w:tab w:val="num" w:pos="567"/>
              </w:tabs>
            </w:pPr>
            <w:r w:rsidRPr="00A6087F">
              <w:t>Require developers to build community infrastructure into new developments</w:t>
            </w:r>
          </w:p>
          <w:p w14:paraId="5A8002C0" w14:textId="77777777" w:rsidR="008D23A5" w:rsidRPr="00A6087F" w:rsidRDefault="008D23A5" w:rsidP="008D23A5">
            <w:pPr>
              <w:pStyle w:val="ListBullet"/>
              <w:tabs>
                <w:tab w:val="num" w:pos="567"/>
              </w:tabs>
            </w:pPr>
            <w:r w:rsidRPr="00A6087F">
              <w:t>Fund a transport needs analysis</w:t>
            </w:r>
          </w:p>
          <w:p w14:paraId="7BF66640" w14:textId="77777777" w:rsidR="008D23A5" w:rsidRPr="00A6087F" w:rsidRDefault="008D23A5" w:rsidP="008D23A5">
            <w:pPr>
              <w:pStyle w:val="ListBullet"/>
              <w:tabs>
                <w:tab w:val="num" w:pos="567"/>
              </w:tabs>
            </w:pPr>
            <w:r w:rsidRPr="00A6087F">
              <w:t>Guarantee and adequately fund on-demand transport (like community transport) as well as mass transit (like public transport)</w:t>
            </w:r>
          </w:p>
          <w:p w14:paraId="36BD91AC" w14:textId="77777777" w:rsidR="008D23A5" w:rsidRPr="00A6087F" w:rsidRDefault="008D23A5" w:rsidP="008D23A5">
            <w:pPr>
              <w:pStyle w:val="ListBullet"/>
              <w:tabs>
                <w:tab w:val="num" w:pos="567"/>
              </w:tabs>
            </w:pPr>
            <w:r w:rsidRPr="00A6087F">
              <w:t>Extend transport concessions and lift the cap on the Taxi Subsidy Scheme</w:t>
            </w:r>
          </w:p>
          <w:p w14:paraId="05AD29DF" w14:textId="218A4708" w:rsidR="008D23A5" w:rsidRPr="00A6087F" w:rsidRDefault="008D23A5" w:rsidP="008D23A5">
            <w:pPr>
              <w:pStyle w:val="ListBullet"/>
            </w:pPr>
            <w:r w:rsidRPr="00A6087F">
              <w:t xml:space="preserve">Trial free public transport and analyse its costs, </w:t>
            </w:r>
            <w:proofErr w:type="gramStart"/>
            <w:r w:rsidRPr="00A6087F">
              <w:t>benefits</w:t>
            </w:r>
            <w:proofErr w:type="gramEnd"/>
            <w:r w:rsidRPr="00A6087F">
              <w:t xml:space="preserve"> and distribution impact.</w:t>
            </w:r>
          </w:p>
        </w:tc>
      </w:tr>
    </w:tbl>
    <w:p w14:paraId="4D7D1A22" w14:textId="17B72382" w:rsidR="00BB345B" w:rsidRPr="00A6087F" w:rsidRDefault="00BB345B" w:rsidP="00BB345B">
      <w:pPr>
        <w:pStyle w:val="Heading1-Pagebreakbefore"/>
      </w:pPr>
      <w:bookmarkStart w:id="6" w:name="_Toc103872179"/>
      <w:r w:rsidRPr="00A6087F">
        <w:lastRenderedPageBreak/>
        <w:t>Background on Priorities</w:t>
      </w:r>
      <w:bookmarkEnd w:id="6"/>
    </w:p>
    <w:p w14:paraId="088DC3E8" w14:textId="2C2D6933" w:rsidR="00B63966" w:rsidRPr="00A6087F" w:rsidRDefault="00B63966" w:rsidP="002F4154">
      <w:pPr>
        <w:pStyle w:val="Heading2"/>
      </w:pPr>
      <w:bookmarkStart w:id="7" w:name="_Toc103872180"/>
      <w:r w:rsidRPr="00A6087F">
        <w:t>Housing Crisis</w:t>
      </w:r>
      <w:bookmarkEnd w:id="7"/>
    </w:p>
    <w:tbl>
      <w:tblPr>
        <w:tblW w:w="8647" w:type="dxa"/>
        <w:tblInd w:w="-5" w:type="dxa"/>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647"/>
      </w:tblGrid>
      <w:tr w:rsidR="00BA4412" w:rsidRPr="00A6087F" w14:paraId="5B7A4A51" w14:textId="77777777" w:rsidTr="00167F99">
        <w:trPr>
          <w:cantSplit/>
        </w:trPr>
        <w:tc>
          <w:tcPr>
            <w:tcW w:w="8647" w:type="dxa"/>
            <w:shd w:val="clear" w:color="auto" w:fill="auto"/>
            <w:tcMar>
              <w:left w:w="170" w:type="dxa"/>
              <w:right w:w="170" w:type="dxa"/>
            </w:tcMar>
          </w:tcPr>
          <w:p w14:paraId="3C97086F" w14:textId="373384EA" w:rsidR="00167F99" w:rsidRPr="00A6087F" w:rsidRDefault="00167F99" w:rsidP="00F803DA">
            <w:pPr>
              <w:pStyle w:val="Recommendationsheading"/>
            </w:pPr>
            <w:r w:rsidRPr="00A6087F">
              <w:t>Recommendations</w:t>
            </w:r>
          </w:p>
          <w:p w14:paraId="65F7FD81" w14:textId="77777777" w:rsidR="006079F5" w:rsidRPr="00A6087F" w:rsidRDefault="006079F5" w:rsidP="006079F5">
            <w:pPr>
              <w:pStyle w:val="ListBullet"/>
            </w:pPr>
            <w:r w:rsidRPr="00A6087F">
              <w:t>Fund a fully independent outcome and impact evaluation of the ACT Housing Strategy to ensure baseline figures, clear targets, achievements and overall housing stock levels for social housing and affordable rentals are clearly reported on a regular basis, and identify opportunities to increase housing supply</w:t>
            </w:r>
          </w:p>
          <w:p w14:paraId="0F493057" w14:textId="77777777" w:rsidR="008C6F6A" w:rsidRDefault="008C6F6A" w:rsidP="008C6F6A">
            <w:pPr>
              <w:pStyle w:val="ListBullet"/>
            </w:pPr>
            <w:r w:rsidRPr="00432915">
              <w:t xml:space="preserve">Set a zero target for homelessness as </w:t>
            </w:r>
            <w:r>
              <w:t>everyone has the right to a home</w:t>
            </w:r>
          </w:p>
          <w:p w14:paraId="26E01DDF" w14:textId="358FE210" w:rsidR="006079F5" w:rsidRPr="00A6087F" w:rsidRDefault="006079F5" w:rsidP="006079F5">
            <w:pPr>
              <w:pStyle w:val="ListBullet"/>
            </w:pPr>
            <w:r w:rsidRPr="00A6087F">
              <w:t xml:space="preserve">Continue negotiation with the next </w:t>
            </w:r>
            <w:r w:rsidR="00E930BA" w:rsidRPr="00A6087F">
              <w:t>f</w:t>
            </w:r>
            <w:r w:rsidRPr="00A6087F">
              <w:t xml:space="preserve">ederal </w:t>
            </w:r>
            <w:r w:rsidR="00E930BA" w:rsidRPr="00A6087F">
              <w:t>g</w:t>
            </w:r>
            <w:r w:rsidRPr="00A6087F">
              <w:t xml:space="preserve">overnment to waive the ACT’s historical housing debt and </w:t>
            </w:r>
            <w:proofErr w:type="spellStart"/>
            <w:r w:rsidRPr="00A6087F">
              <w:t>utilitise</w:t>
            </w:r>
            <w:proofErr w:type="spellEnd"/>
            <w:r w:rsidRPr="00A6087F">
              <w:t xml:space="preserve"> this to finance new investment </w:t>
            </w:r>
            <w:r w:rsidR="00F15413" w:rsidRPr="00A6087F">
              <w:t>to uplift</w:t>
            </w:r>
            <w:r w:rsidRPr="00A6087F">
              <w:t xml:space="preserve"> social and affordable housing stock</w:t>
            </w:r>
          </w:p>
          <w:p w14:paraId="7EE6B8DE" w14:textId="77777777" w:rsidR="006079F5" w:rsidRPr="00A6087F" w:rsidRDefault="006079F5" w:rsidP="006079F5">
            <w:pPr>
              <w:pStyle w:val="ListBullet"/>
            </w:pPr>
            <w:r w:rsidRPr="00A6087F">
              <w:t>Meet land release targets and reassess share released for social housing, especially community housing, versus affordable housing</w:t>
            </w:r>
          </w:p>
          <w:p w14:paraId="744F1A13" w14:textId="3EA03653" w:rsidR="00167F99" w:rsidRPr="00A6087F" w:rsidRDefault="00167F99" w:rsidP="00F803DA">
            <w:pPr>
              <w:pStyle w:val="ListBullet"/>
            </w:pPr>
            <w:r w:rsidRPr="00A6087F">
              <w:t xml:space="preserve">Enable and empower community housing providers through access to and release of affordable land, </w:t>
            </w:r>
            <w:proofErr w:type="gramStart"/>
            <w:r w:rsidRPr="00A6087F">
              <w:t>rezoning</w:t>
            </w:r>
            <w:proofErr w:type="gramEnd"/>
            <w:r w:rsidRPr="00A6087F">
              <w:t xml:space="preserve"> and rates exemptions </w:t>
            </w:r>
          </w:p>
          <w:p w14:paraId="19A84DCE" w14:textId="77777777" w:rsidR="00167F99" w:rsidRPr="00A6087F" w:rsidRDefault="00167F99" w:rsidP="00F803DA">
            <w:pPr>
              <w:pStyle w:val="ListBullet"/>
            </w:pPr>
            <w:r w:rsidRPr="00A6087F">
              <w:t>Provide direction to the SLA to specify restrictions for land allocated to community housing providers that result in sufficiently discounted valuations to allow construction</w:t>
            </w:r>
          </w:p>
          <w:p w14:paraId="68BD97E6" w14:textId="5DDF003F" w:rsidR="006079F5" w:rsidRPr="00A6087F" w:rsidRDefault="006079F5" w:rsidP="006079F5">
            <w:pPr>
              <w:pStyle w:val="ListBullet"/>
            </w:pPr>
            <w:r w:rsidRPr="00A6087F">
              <w:t xml:space="preserve">Consider variation to the Planning Act to facilitate discount of land valuations for social purposes, and consider </w:t>
            </w:r>
            <w:r w:rsidR="00E930BA" w:rsidRPr="00A6087F">
              <w:t>g</w:t>
            </w:r>
            <w:r w:rsidRPr="00A6087F">
              <w:t>overnment retention of a portion of equity of dwellings constructed to be reimbursed at time of future sale</w:t>
            </w:r>
          </w:p>
          <w:p w14:paraId="4C793802" w14:textId="77777777" w:rsidR="00167F99" w:rsidRPr="00A6087F" w:rsidRDefault="00167F99" w:rsidP="00F803DA">
            <w:pPr>
              <w:pStyle w:val="ListBullet"/>
            </w:pPr>
            <w:r w:rsidRPr="00A6087F">
              <w:t>Resource and support an Aboriginal and/or Torres Strait Islander community-controlled housing provider</w:t>
            </w:r>
          </w:p>
          <w:p w14:paraId="44325F2E" w14:textId="62F925FA" w:rsidR="00167F99" w:rsidRPr="00A6087F" w:rsidRDefault="00167F99" w:rsidP="00F803DA">
            <w:pPr>
              <w:pStyle w:val="ListBullet"/>
            </w:pPr>
            <w:r w:rsidRPr="00A6087F">
              <w:t xml:space="preserve">Improve housing responses for </w:t>
            </w:r>
            <w:proofErr w:type="spellStart"/>
            <w:r w:rsidRPr="00A6087F">
              <w:t>LGBTIQA</w:t>
            </w:r>
            <w:proofErr w:type="spellEnd"/>
            <w:r w:rsidRPr="00A6087F">
              <w:t xml:space="preserve">+ Canberrans including: a </w:t>
            </w:r>
            <w:proofErr w:type="spellStart"/>
            <w:r w:rsidRPr="00A6087F">
              <w:t>LGBTIQA</w:t>
            </w:r>
            <w:proofErr w:type="spellEnd"/>
            <w:r w:rsidRPr="00A6087F">
              <w:t xml:space="preserve">+ housing strategy, a trauma informed homelessness and housing support service and funding for ongoing </w:t>
            </w:r>
            <w:proofErr w:type="spellStart"/>
            <w:r w:rsidRPr="00A6087F">
              <w:t>LGBTIQA</w:t>
            </w:r>
            <w:proofErr w:type="spellEnd"/>
            <w:r w:rsidRPr="00A6087F">
              <w:t>+ awareness training for housing and homelessness services.</w:t>
            </w:r>
          </w:p>
        </w:tc>
      </w:tr>
    </w:tbl>
    <w:p w14:paraId="04A6BE12" w14:textId="77777777" w:rsidR="00167F99" w:rsidRPr="00A6087F" w:rsidRDefault="00167F99" w:rsidP="0003549D">
      <w:pPr>
        <w:pStyle w:val="BodyText"/>
        <w:rPr>
          <w:i/>
        </w:rPr>
      </w:pPr>
    </w:p>
    <w:p w14:paraId="6A530C45" w14:textId="77777777" w:rsidR="009F2319" w:rsidRPr="00A6087F" w:rsidRDefault="009F2319">
      <w:pPr>
        <w:rPr>
          <w:smallCaps/>
          <w:color w:val="3B3838" w:themeColor="background2" w:themeShade="40"/>
        </w:rPr>
      </w:pPr>
      <w:r w:rsidRPr="00A6087F">
        <w:br w:type="page"/>
      </w:r>
    </w:p>
    <w:p w14:paraId="403C1CD7" w14:textId="520A25A5" w:rsidR="00902BA2" w:rsidRPr="00A6087F" w:rsidRDefault="00902BA2" w:rsidP="003D3AE0">
      <w:pPr>
        <w:pStyle w:val="Wellbeingdomains"/>
        <w:spacing w:after="240"/>
      </w:pPr>
      <w:r w:rsidRPr="00A6087F">
        <w:lastRenderedPageBreak/>
        <w:t>Wellbeing domain 7: Housing and Home</w:t>
      </w:r>
    </w:p>
    <w:p w14:paraId="1A845129" w14:textId="009332BC" w:rsidR="00356F38" w:rsidRPr="00A6087F" w:rsidRDefault="00356F38" w:rsidP="00902BA2">
      <w:pPr>
        <w:pStyle w:val="BodyText"/>
        <w:rPr>
          <w:b/>
          <w:bCs/>
          <w:i/>
          <w:iCs/>
        </w:rPr>
      </w:pPr>
      <w:r w:rsidRPr="00A6087F">
        <w:rPr>
          <w:b/>
          <w:bCs/>
          <w:i/>
          <w:iCs/>
        </w:rPr>
        <w:t xml:space="preserve">Addressing housing is core to the fulfillment of all other wellbeing </w:t>
      </w:r>
      <w:r w:rsidR="00722C5D" w:rsidRPr="00A6087F">
        <w:rPr>
          <w:b/>
          <w:bCs/>
          <w:i/>
          <w:iCs/>
        </w:rPr>
        <w:t>outcomes, especially to the social determinants of health and to justice</w:t>
      </w:r>
      <w:r w:rsidRPr="00A6087F">
        <w:rPr>
          <w:b/>
          <w:bCs/>
          <w:i/>
          <w:iCs/>
        </w:rPr>
        <w:t xml:space="preserve">. </w:t>
      </w:r>
    </w:p>
    <w:p w14:paraId="08120AF5" w14:textId="5D915897" w:rsidR="002E6636" w:rsidRPr="00A6087F" w:rsidRDefault="00671D90" w:rsidP="002E6636">
      <w:pPr>
        <w:pStyle w:val="BodyText"/>
      </w:pPr>
      <w:r w:rsidRPr="00A6087F">
        <w:t>H</w:t>
      </w:r>
      <w:r w:rsidR="007B1382" w:rsidRPr="00A6087F">
        <w:t xml:space="preserve">ousing </w:t>
      </w:r>
      <w:r w:rsidR="001C0BA3" w:rsidRPr="00A6087F">
        <w:t>is</w:t>
      </w:r>
      <w:r w:rsidR="007B1382" w:rsidRPr="00A6087F">
        <w:t xml:space="preserve"> the biggest cost of living pressure for low-income households in the ACT. </w:t>
      </w:r>
      <w:r w:rsidR="00FF6CA5" w:rsidRPr="00A6087F">
        <w:t xml:space="preserve">Our </w:t>
      </w:r>
      <w:r w:rsidR="00FF6CA5" w:rsidRPr="00A6087F">
        <w:rPr>
          <w:i/>
          <w:iCs/>
        </w:rPr>
        <w:t xml:space="preserve">2022 ACT Cost of Living Report </w:t>
      </w:r>
      <w:r w:rsidR="00FF6CA5" w:rsidRPr="00A6087F">
        <w:t>found that o</w:t>
      </w:r>
      <w:r w:rsidR="007B1382" w:rsidRPr="00A6087F">
        <w:t>ver the past five years housing prices have increased by 19.0% in Canberra compared to 8.2% nationally.</w:t>
      </w:r>
      <w:r w:rsidR="0051526D" w:rsidRPr="00A6087F">
        <w:rPr>
          <w:rStyle w:val="FootnoteReference"/>
        </w:rPr>
        <w:footnoteReference w:id="23"/>
      </w:r>
      <w:r w:rsidR="007B1382" w:rsidRPr="00A6087F">
        <w:t xml:space="preserve"> The price to purchase a new dwelling increased by 18.0% in Canberra over this period, compared to a 14.7% increase nationally. Canberra is now the second most expensive capital city to purchase a house, behind Sydney.</w:t>
      </w:r>
      <w:r w:rsidR="00E3113B" w:rsidRPr="00A6087F">
        <w:rPr>
          <w:rStyle w:val="FootnoteReference"/>
        </w:rPr>
        <w:footnoteReference w:id="24"/>
      </w:r>
      <w:r w:rsidR="003D3AE0">
        <w:t xml:space="preserve"> </w:t>
      </w:r>
      <w:r w:rsidR="007B1382" w:rsidRPr="00A6087F">
        <w:t>For most low-income households, the cost of purchasing a home in Canberra is severely unaffordable. At the same time, Canberra’s private rental market is also becoming less and less affordable.</w:t>
      </w:r>
    </w:p>
    <w:p w14:paraId="615E8466" w14:textId="698281B6" w:rsidR="00D5711D" w:rsidRPr="00A6087F" w:rsidRDefault="00124223" w:rsidP="00703B78">
      <w:pPr>
        <w:pStyle w:val="BodyText"/>
      </w:pPr>
      <w:r w:rsidRPr="00A6087F">
        <w:t>Over the past five years the CPI for rents in Canberra has risen by 13.1% compared to an increase of just 0.7% nationally.</w:t>
      </w:r>
      <w:r w:rsidR="00B45E43" w:rsidRPr="00A6087F">
        <w:rPr>
          <w:rStyle w:val="FootnoteReference"/>
        </w:rPr>
        <w:footnoteReference w:id="25"/>
      </w:r>
      <w:r w:rsidRPr="00A6087F">
        <w:t xml:space="preserve"> Canberra has been Australia’s most expensive capital city to rent a house since late 2018 and to rent a unit since late 2020. The Domain Rental Report for March 2022 found that the median weekly rent in Canberra was $700 for houses (up by $100 since March 2021) and $540 for units (up by $40 since March 2021).</w:t>
      </w:r>
      <w:r w:rsidR="002B35CA" w:rsidRPr="00A6087F">
        <w:rPr>
          <w:rStyle w:val="FootnoteReference"/>
        </w:rPr>
        <w:footnoteReference w:id="26"/>
      </w:r>
      <w:r w:rsidRPr="00A6087F">
        <w:t xml:space="preserve"> At the same time, Domain found that in March 2022 Canberra had reached an all-time low vacancy rate of just 0.5%, leaving prospective tenants with extremely limited choice and market power.</w:t>
      </w:r>
      <w:r w:rsidR="00181344" w:rsidRPr="00A6087F">
        <w:rPr>
          <w:rStyle w:val="FootnoteReference"/>
        </w:rPr>
        <w:footnoteReference w:id="27"/>
      </w:r>
      <w:r w:rsidRPr="00A6087F">
        <w:t xml:space="preserve"> </w:t>
      </w:r>
    </w:p>
    <w:p w14:paraId="2BDEC712" w14:textId="7879AB4C" w:rsidR="00A67529" w:rsidRPr="00A6087F" w:rsidRDefault="00DD1CEE" w:rsidP="00DA7785">
      <w:pPr>
        <w:pStyle w:val="Image"/>
      </w:pPr>
      <w:r w:rsidRPr="00A6087F">
        <w:rPr>
          <w:noProof/>
        </w:rPr>
        <w:drawing>
          <wp:inline distT="0" distB="0" distL="0" distR="0" wp14:anchorId="6EAD7193" wp14:editId="0AAF05BD">
            <wp:extent cx="5400040" cy="2526030"/>
            <wp:effectExtent l="0" t="0" r="0" b="7620"/>
            <wp:docPr id="13" name="Picture 1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 bar chart&#10;&#10;Description automatically generated"/>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400040" cy="2526030"/>
                    </a:xfrm>
                    <a:prstGeom prst="rect">
                      <a:avLst/>
                    </a:prstGeom>
                  </pic:spPr>
                </pic:pic>
              </a:graphicData>
            </a:graphic>
          </wp:inline>
        </w:drawing>
      </w:r>
    </w:p>
    <w:p w14:paraId="797FA994" w14:textId="3612383C" w:rsidR="00DA7785" w:rsidRPr="00A6087F" w:rsidRDefault="00DA7785" w:rsidP="00DA7785">
      <w:pPr>
        <w:pStyle w:val="Source"/>
      </w:pPr>
      <w:r w:rsidRPr="00A6087F">
        <w:t xml:space="preserve">Source: </w:t>
      </w:r>
      <w:r w:rsidR="00AC4F81" w:rsidRPr="00A6087F">
        <w:t xml:space="preserve">Domain, </w:t>
      </w:r>
      <w:hyperlink r:id="rId32" w:anchor="canberra" w:history="1">
        <w:r w:rsidR="00AC4F81" w:rsidRPr="00A6087F">
          <w:rPr>
            <w:rStyle w:val="Hyperlink"/>
            <w:i/>
            <w:iCs/>
          </w:rPr>
          <w:t>March 2022 Rental Report</w:t>
        </w:r>
      </w:hyperlink>
      <w:r w:rsidR="00AC4F81" w:rsidRPr="00A6087F">
        <w:t>, Domain website, n.d., accessed 21 April 2022</w:t>
      </w:r>
      <w:r w:rsidR="00AC4F81" w:rsidRPr="00A6087F">
        <w:t xml:space="preserve">; </w:t>
      </w:r>
      <w:r w:rsidRPr="00A6087F">
        <w:t xml:space="preserve">ACTCOSS, </w:t>
      </w:r>
      <w:hyperlink r:id="rId33" w:history="1">
        <w:r w:rsidRPr="00A6087F">
          <w:rPr>
            <w:rStyle w:val="Hyperlink"/>
            <w:i/>
            <w:iCs/>
          </w:rPr>
          <w:t>2022 ACT Cost of Living Report</w:t>
        </w:r>
      </w:hyperlink>
      <w:r w:rsidRPr="00A6087F">
        <w:t xml:space="preserve">, ACTCOSS, Canberra, May 2022, Figure 8. </w:t>
      </w:r>
    </w:p>
    <w:p w14:paraId="5F06140B" w14:textId="0A2F5AE8" w:rsidR="006240F5" w:rsidRPr="00A6087F" w:rsidRDefault="00703B78" w:rsidP="00703B78">
      <w:pPr>
        <w:pStyle w:val="BodyText"/>
      </w:pPr>
      <w:r w:rsidRPr="00A6087F">
        <w:lastRenderedPageBreak/>
        <w:t>The ACT has the highest rate of rental stress among lower income private rental households at 73%.</w:t>
      </w:r>
      <w:r w:rsidR="0075791A" w:rsidRPr="00A6087F">
        <w:rPr>
          <w:rStyle w:val="FootnoteReference"/>
        </w:rPr>
        <w:footnoteReference w:id="28"/>
      </w:r>
      <w:r w:rsidRPr="00A6087F">
        <w:t xml:space="preserve"> Housing stress is defined as a household in the two lowest income quintiles spending more than 30% of gross household income on housing. </w:t>
      </w:r>
      <w:r w:rsidR="006240F5" w:rsidRPr="00A6087F">
        <w:t xml:space="preserve">While Commonwealth Rent Assistance (CRA) provides much-needed assistance to tenants with low incomes in private housing, it has failed to keep pace with steep increases in rents. Rent payments are impossible to meet on </w:t>
      </w:r>
      <w:proofErr w:type="spellStart"/>
      <w:r w:rsidR="006240F5" w:rsidRPr="00A6087F">
        <w:t>JobSeeker</w:t>
      </w:r>
      <w:proofErr w:type="spellEnd"/>
      <w:r w:rsidR="006240F5" w:rsidRPr="00A6087F">
        <w:t xml:space="preserve"> even with CRA – the maximum of which totals $390 per week for a single person. The ACT has the highest proportion of households receiving CRA who are being paid at the maximum payment rate – 83.1% compared to 79.1% nationally.</w:t>
      </w:r>
      <w:r w:rsidR="00BD4DC1" w:rsidRPr="00A6087F">
        <w:rPr>
          <w:rStyle w:val="FootnoteReference"/>
        </w:rPr>
        <w:footnoteReference w:id="29"/>
      </w:r>
      <w:r w:rsidR="003D3AE0">
        <w:t xml:space="preserve"> </w:t>
      </w:r>
      <w:r w:rsidR="006240F5" w:rsidRPr="00A6087F">
        <w:t>More than half (55.1%) of ACT households receiving CRA are experiencing rental stress (i.e., paying more than 30% of income on rent) – 29.1% are experiencing severe rental stress, paying more than 50% of income on rent.</w:t>
      </w:r>
      <w:r w:rsidR="005565C0" w:rsidRPr="00A6087F">
        <w:rPr>
          <w:rStyle w:val="FootnoteReference"/>
        </w:rPr>
        <w:footnoteReference w:id="30"/>
      </w:r>
      <w:r w:rsidR="003D3AE0">
        <w:t xml:space="preserve"> </w:t>
      </w:r>
    </w:p>
    <w:p w14:paraId="23586DA8" w14:textId="22323AD3" w:rsidR="00DE75C1" w:rsidRPr="00A6087F" w:rsidRDefault="00C82D1D" w:rsidP="00703B78">
      <w:pPr>
        <w:pStyle w:val="BodyText"/>
      </w:pPr>
      <w:r w:rsidRPr="00A6087F">
        <w:t>The latest Rental Affordability Index found that Canberra is the least affordable Australian city for low-to-moderate income households to rent in.</w:t>
      </w:r>
      <w:r w:rsidR="00B233C9" w:rsidRPr="00A6087F">
        <w:rPr>
          <w:rStyle w:val="FootnoteReference"/>
        </w:rPr>
        <w:footnoteReference w:id="31"/>
      </w:r>
      <w:r w:rsidRPr="00A6087F">
        <w:t xml:space="preserve"> It shows that ACT rents are extremely unaffordable for a single person on </w:t>
      </w:r>
      <w:proofErr w:type="spellStart"/>
      <w:r w:rsidRPr="00A6087F">
        <w:t>JobSeeker</w:t>
      </w:r>
      <w:proofErr w:type="spellEnd"/>
      <w:r w:rsidRPr="00A6087F">
        <w:t xml:space="preserve"> Payment, a single pensioner, and a single part-time worker parent on benefits. ACT rents are severely unaffordable for a pensioner couple and a hospitality worker, and unaffordable for a minimum wage couple and a student </w:t>
      </w:r>
      <w:r w:rsidR="00913AD6" w:rsidRPr="00A6087F">
        <w:t>share-house</w:t>
      </w:r>
      <w:r w:rsidRPr="00A6087F">
        <w:t xml:space="preserve"> occupant.</w:t>
      </w:r>
      <w:r w:rsidR="00DE74E5" w:rsidRPr="00A6087F">
        <w:t xml:space="preserve"> </w:t>
      </w:r>
    </w:p>
    <w:p w14:paraId="396B3051" w14:textId="77777777" w:rsidR="00597AEB" w:rsidRPr="00A6087F" w:rsidRDefault="00597AEB">
      <w:pPr>
        <w:rPr>
          <w:b/>
          <w:sz w:val="20"/>
        </w:rPr>
      </w:pPr>
      <w:r w:rsidRPr="00A6087F">
        <w:br w:type="page"/>
      </w:r>
    </w:p>
    <w:p w14:paraId="07298043" w14:textId="597A06FE" w:rsidR="005E3D82" w:rsidRPr="00A6087F" w:rsidRDefault="005E3D82" w:rsidP="005E3D82">
      <w:pPr>
        <w:pStyle w:val="Figuretabletitle"/>
      </w:pPr>
      <w:r w:rsidRPr="00A6087F">
        <w:lastRenderedPageBreak/>
        <w:t>Rental Affordability Index, November 2021</w:t>
      </w:r>
    </w:p>
    <w:tbl>
      <w:tblPr>
        <w:tblStyle w:val="TableGrid"/>
        <w:tblW w:w="5000" w:type="pct"/>
        <w:tblBorders>
          <w:left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3075"/>
        <w:gridCol w:w="1320"/>
        <w:gridCol w:w="1861"/>
        <w:gridCol w:w="2248"/>
      </w:tblGrid>
      <w:tr w:rsidR="005E3D82" w:rsidRPr="00A6087F" w14:paraId="1DBC7BDD" w14:textId="77777777" w:rsidTr="00951DD7">
        <w:trPr>
          <w:trHeight w:val="13"/>
        </w:trPr>
        <w:tc>
          <w:tcPr>
            <w:tcW w:w="1808" w:type="pct"/>
            <w:hideMark/>
          </w:tcPr>
          <w:p w14:paraId="5E2A3EF0" w14:textId="77777777" w:rsidR="005E3D82" w:rsidRPr="00A6087F" w:rsidRDefault="005E3D82" w:rsidP="00467727">
            <w:pPr>
              <w:rPr>
                <w:rFonts w:cs="Arial"/>
                <w:b/>
                <w:bCs/>
                <w:color w:val="000000"/>
                <w:sz w:val="20"/>
                <w:szCs w:val="20"/>
                <w:lang w:eastAsia="en-AU"/>
              </w:rPr>
            </w:pPr>
            <w:r w:rsidRPr="00A6087F">
              <w:rPr>
                <w:rFonts w:cs="Arial"/>
                <w:b/>
                <w:bCs/>
                <w:color w:val="000000"/>
                <w:sz w:val="20"/>
                <w:szCs w:val="20"/>
                <w:lang w:eastAsia="en-AU"/>
              </w:rPr>
              <w:t xml:space="preserve">Household </w:t>
            </w:r>
          </w:p>
        </w:tc>
        <w:tc>
          <w:tcPr>
            <w:tcW w:w="776" w:type="pct"/>
            <w:hideMark/>
          </w:tcPr>
          <w:p w14:paraId="15BD6AA9" w14:textId="77777777" w:rsidR="005E3D82" w:rsidRPr="00A6087F" w:rsidRDefault="005E3D82" w:rsidP="00467727">
            <w:pPr>
              <w:rPr>
                <w:rFonts w:cs="Arial"/>
                <w:b/>
                <w:bCs/>
                <w:color w:val="000000"/>
                <w:sz w:val="20"/>
                <w:szCs w:val="20"/>
                <w:lang w:eastAsia="en-AU"/>
              </w:rPr>
            </w:pPr>
            <w:r w:rsidRPr="00A6087F">
              <w:rPr>
                <w:rFonts w:cs="Arial"/>
                <w:b/>
                <w:bCs/>
                <w:color w:val="000000"/>
                <w:sz w:val="20"/>
                <w:szCs w:val="20"/>
                <w:lang w:eastAsia="en-AU"/>
              </w:rPr>
              <w:t xml:space="preserve">RAI score </w:t>
            </w:r>
          </w:p>
        </w:tc>
        <w:tc>
          <w:tcPr>
            <w:tcW w:w="1094" w:type="pct"/>
            <w:hideMark/>
          </w:tcPr>
          <w:p w14:paraId="1EB19755" w14:textId="77777777" w:rsidR="005E3D82" w:rsidRPr="00A6087F" w:rsidRDefault="005E3D82" w:rsidP="00467727">
            <w:pPr>
              <w:rPr>
                <w:rFonts w:cs="Arial"/>
                <w:b/>
                <w:bCs/>
                <w:color w:val="000000"/>
                <w:sz w:val="20"/>
                <w:szCs w:val="20"/>
                <w:lang w:eastAsia="en-AU"/>
              </w:rPr>
            </w:pPr>
            <w:r w:rsidRPr="00A6087F">
              <w:rPr>
                <w:rFonts w:cs="Arial"/>
                <w:b/>
                <w:bCs/>
                <w:color w:val="000000"/>
                <w:sz w:val="20"/>
                <w:szCs w:val="20"/>
                <w:lang w:eastAsia="en-AU"/>
              </w:rPr>
              <w:t>Rent as share of income</w:t>
            </w:r>
          </w:p>
        </w:tc>
        <w:tc>
          <w:tcPr>
            <w:tcW w:w="1322" w:type="pct"/>
            <w:hideMark/>
          </w:tcPr>
          <w:p w14:paraId="1E076BBA" w14:textId="77777777" w:rsidR="005E3D82" w:rsidRPr="00A6087F" w:rsidRDefault="005E3D82" w:rsidP="00467727">
            <w:pPr>
              <w:rPr>
                <w:rFonts w:cs="Arial"/>
                <w:b/>
                <w:bCs/>
                <w:color w:val="000000"/>
                <w:sz w:val="20"/>
                <w:szCs w:val="20"/>
                <w:lang w:eastAsia="en-AU"/>
              </w:rPr>
            </w:pPr>
            <w:r w:rsidRPr="00A6087F">
              <w:rPr>
                <w:rFonts w:cs="Arial"/>
                <w:b/>
                <w:bCs/>
                <w:color w:val="000000"/>
                <w:sz w:val="20"/>
                <w:szCs w:val="20"/>
                <w:lang w:eastAsia="en-AU"/>
              </w:rPr>
              <w:t>Relative unaffordability</w:t>
            </w:r>
          </w:p>
        </w:tc>
      </w:tr>
      <w:tr w:rsidR="005E3D82" w:rsidRPr="00A6087F" w14:paraId="650E96DB" w14:textId="77777777" w:rsidTr="00951DD7">
        <w:trPr>
          <w:trHeight w:val="13"/>
        </w:trPr>
        <w:tc>
          <w:tcPr>
            <w:tcW w:w="1808" w:type="pct"/>
            <w:shd w:val="clear" w:color="auto" w:fill="8EAADB" w:themeFill="accent1" w:themeFillTint="99"/>
            <w:hideMark/>
          </w:tcPr>
          <w:p w14:paraId="62E89716" w14:textId="77777777" w:rsidR="005E3D82" w:rsidRPr="00A6087F" w:rsidRDefault="005E3D82" w:rsidP="00467727">
            <w:pPr>
              <w:rPr>
                <w:rFonts w:cs="Arial"/>
                <w:color w:val="000000"/>
                <w:sz w:val="20"/>
                <w:szCs w:val="20"/>
                <w:lang w:eastAsia="en-AU"/>
              </w:rPr>
            </w:pPr>
            <w:r w:rsidRPr="00A6087F">
              <w:rPr>
                <w:rFonts w:cs="Arial"/>
                <w:color w:val="000000"/>
                <w:sz w:val="20"/>
                <w:szCs w:val="20"/>
                <w:lang w:eastAsia="en-AU"/>
              </w:rPr>
              <w:t xml:space="preserve">Single person on </w:t>
            </w:r>
            <w:proofErr w:type="spellStart"/>
            <w:r w:rsidRPr="00A6087F">
              <w:rPr>
                <w:rFonts w:cs="Arial"/>
                <w:color w:val="000000"/>
                <w:sz w:val="20"/>
                <w:szCs w:val="20"/>
                <w:lang w:eastAsia="en-AU"/>
              </w:rPr>
              <w:t>JobSeeker</w:t>
            </w:r>
            <w:proofErr w:type="spellEnd"/>
            <w:r w:rsidRPr="00A6087F">
              <w:rPr>
                <w:rFonts w:cs="Arial"/>
                <w:color w:val="000000"/>
                <w:sz w:val="20"/>
                <w:szCs w:val="20"/>
                <w:lang w:eastAsia="en-AU"/>
              </w:rPr>
              <w:t xml:space="preserve"> payment</w:t>
            </w:r>
          </w:p>
        </w:tc>
        <w:tc>
          <w:tcPr>
            <w:tcW w:w="776" w:type="pct"/>
            <w:shd w:val="clear" w:color="auto" w:fill="8EAADB" w:themeFill="accent1" w:themeFillTint="99"/>
            <w:hideMark/>
          </w:tcPr>
          <w:p w14:paraId="0FF923FA" w14:textId="77777777" w:rsidR="005E3D82" w:rsidRPr="00A6087F" w:rsidRDefault="005E3D82" w:rsidP="00467727">
            <w:pPr>
              <w:jc w:val="right"/>
              <w:rPr>
                <w:rFonts w:cs="Arial"/>
                <w:color w:val="000000"/>
                <w:sz w:val="20"/>
                <w:szCs w:val="20"/>
                <w:lang w:eastAsia="en-AU"/>
              </w:rPr>
            </w:pPr>
            <w:r w:rsidRPr="00A6087F">
              <w:rPr>
                <w:rFonts w:cs="Arial"/>
                <w:color w:val="000000"/>
                <w:sz w:val="20"/>
                <w:szCs w:val="20"/>
                <w:lang w:eastAsia="en-AU"/>
              </w:rPr>
              <w:t>27</w:t>
            </w:r>
          </w:p>
        </w:tc>
        <w:tc>
          <w:tcPr>
            <w:tcW w:w="1094" w:type="pct"/>
            <w:shd w:val="clear" w:color="auto" w:fill="8EAADB" w:themeFill="accent1" w:themeFillTint="99"/>
            <w:hideMark/>
          </w:tcPr>
          <w:p w14:paraId="63E5E065" w14:textId="77777777" w:rsidR="005E3D82" w:rsidRPr="00A6087F" w:rsidRDefault="005E3D82" w:rsidP="00467727">
            <w:pPr>
              <w:jc w:val="right"/>
              <w:rPr>
                <w:rFonts w:cs="Arial"/>
                <w:color w:val="000000"/>
                <w:sz w:val="20"/>
                <w:szCs w:val="20"/>
                <w:lang w:eastAsia="en-AU"/>
              </w:rPr>
            </w:pPr>
            <w:r w:rsidRPr="00A6087F">
              <w:rPr>
                <w:rFonts w:cs="Arial"/>
                <w:color w:val="000000"/>
                <w:sz w:val="20"/>
                <w:szCs w:val="20"/>
                <w:lang w:eastAsia="en-AU"/>
              </w:rPr>
              <w:t>113%</w:t>
            </w:r>
          </w:p>
        </w:tc>
        <w:tc>
          <w:tcPr>
            <w:tcW w:w="1322" w:type="pct"/>
            <w:shd w:val="clear" w:color="auto" w:fill="8EAADB" w:themeFill="accent1" w:themeFillTint="99"/>
            <w:hideMark/>
          </w:tcPr>
          <w:p w14:paraId="04DE73D6" w14:textId="77777777" w:rsidR="005E3D82" w:rsidRPr="00A6087F" w:rsidRDefault="005E3D82" w:rsidP="00467727">
            <w:pPr>
              <w:rPr>
                <w:rFonts w:cs="Arial"/>
                <w:color w:val="000000"/>
                <w:sz w:val="20"/>
                <w:szCs w:val="20"/>
                <w:lang w:eastAsia="en-AU"/>
              </w:rPr>
            </w:pPr>
            <w:r w:rsidRPr="00A6087F">
              <w:rPr>
                <w:rFonts w:cs="Arial"/>
                <w:color w:val="000000"/>
                <w:sz w:val="20"/>
                <w:szCs w:val="20"/>
                <w:lang w:eastAsia="en-AU"/>
              </w:rPr>
              <w:t>Extremely unaffordable</w:t>
            </w:r>
          </w:p>
        </w:tc>
      </w:tr>
      <w:tr w:rsidR="005E3D82" w:rsidRPr="00A6087F" w14:paraId="37DC6B74" w14:textId="77777777" w:rsidTr="00951DD7">
        <w:trPr>
          <w:trHeight w:val="23"/>
        </w:trPr>
        <w:tc>
          <w:tcPr>
            <w:tcW w:w="1808" w:type="pct"/>
            <w:shd w:val="clear" w:color="auto" w:fill="8EAADB" w:themeFill="accent1" w:themeFillTint="99"/>
            <w:hideMark/>
          </w:tcPr>
          <w:p w14:paraId="7BBE3FA6" w14:textId="77777777" w:rsidR="005E3D82" w:rsidRPr="00A6087F" w:rsidRDefault="005E3D82" w:rsidP="00467727">
            <w:pPr>
              <w:rPr>
                <w:rFonts w:cs="Arial"/>
                <w:color w:val="000000"/>
                <w:sz w:val="20"/>
                <w:szCs w:val="20"/>
                <w:lang w:eastAsia="en-AU"/>
              </w:rPr>
            </w:pPr>
            <w:r w:rsidRPr="00A6087F">
              <w:rPr>
                <w:rFonts w:cs="Arial"/>
                <w:color w:val="000000"/>
                <w:sz w:val="20"/>
                <w:szCs w:val="20"/>
                <w:lang w:eastAsia="en-AU"/>
              </w:rPr>
              <w:t>Single pensioner</w:t>
            </w:r>
          </w:p>
        </w:tc>
        <w:tc>
          <w:tcPr>
            <w:tcW w:w="776" w:type="pct"/>
            <w:shd w:val="clear" w:color="auto" w:fill="8EAADB" w:themeFill="accent1" w:themeFillTint="99"/>
            <w:hideMark/>
          </w:tcPr>
          <w:p w14:paraId="4C9CB951" w14:textId="77777777" w:rsidR="005E3D82" w:rsidRPr="00A6087F" w:rsidRDefault="005E3D82" w:rsidP="00467727">
            <w:pPr>
              <w:jc w:val="right"/>
              <w:rPr>
                <w:rFonts w:cs="Arial"/>
                <w:color w:val="000000"/>
                <w:sz w:val="20"/>
                <w:szCs w:val="20"/>
                <w:lang w:eastAsia="en-AU"/>
              </w:rPr>
            </w:pPr>
            <w:r w:rsidRPr="00A6087F">
              <w:rPr>
                <w:rFonts w:cs="Arial"/>
                <w:color w:val="000000"/>
                <w:sz w:val="20"/>
                <w:szCs w:val="20"/>
                <w:lang w:eastAsia="en-AU"/>
              </w:rPr>
              <w:t>44</w:t>
            </w:r>
          </w:p>
        </w:tc>
        <w:tc>
          <w:tcPr>
            <w:tcW w:w="1094" w:type="pct"/>
            <w:shd w:val="clear" w:color="auto" w:fill="8EAADB" w:themeFill="accent1" w:themeFillTint="99"/>
            <w:hideMark/>
          </w:tcPr>
          <w:p w14:paraId="337E3590" w14:textId="77777777" w:rsidR="005E3D82" w:rsidRPr="00A6087F" w:rsidRDefault="005E3D82" w:rsidP="00467727">
            <w:pPr>
              <w:jc w:val="right"/>
              <w:rPr>
                <w:rFonts w:cs="Arial"/>
                <w:color w:val="000000"/>
                <w:sz w:val="20"/>
                <w:szCs w:val="20"/>
                <w:lang w:eastAsia="en-AU"/>
              </w:rPr>
            </w:pPr>
            <w:r w:rsidRPr="00A6087F">
              <w:rPr>
                <w:rFonts w:cs="Arial"/>
                <w:color w:val="000000"/>
                <w:sz w:val="20"/>
                <w:szCs w:val="20"/>
                <w:lang w:eastAsia="en-AU"/>
              </w:rPr>
              <w:t>68%</w:t>
            </w:r>
          </w:p>
        </w:tc>
        <w:tc>
          <w:tcPr>
            <w:tcW w:w="1322" w:type="pct"/>
            <w:shd w:val="clear" w:color="auto" w:fill="8EAADB" w:themeFill="accent1" w:themeFillTint="99"/>
            <w:hideMark/>
          </w:tcPr>
          <w:p w14:paraId="0BD9A6B0" w14:textId="77777777" w:rsidR="005E3D82" w:rsidRPr="00A6087F" w:rsidRDefault="005E3D82" w:rsidP="00467727">
            <w:pPr>
              <w:rPr>
                <w:rFonts w:cs="Arial"/>
                <w:color w:val="000000"/>
                <w:sz w:val="20"/>
                <w:szCs w:val="20"/>
                <w:lang w:eastAsia="en-AU"/>
              </w:rPr>
            </w:pPr>
            <w:r w:rsidRPr="00A6087F">
              <w:rPr>
                <w:rFonts w:cs="Arial"/>
                <w:color w:val="000000"/>
                <w:sz w:val="20"/>
                <w:szCs w:val="20"/>
                <w:lang w:eastAsia="en-AU"/>
              </w:rPr>
              <w:t>Extremely unaffordable</w:t>
            </w:r>
          </w:p>
        </w:tc>
      </w:tr>
      <w:tr w:rsidR="005E3D82" w:rsidRPr="00A6087F" w14:paraId="717F0199" w14:textId="77777777" w:rsidTr="00951DD7">
        <w:trPr>
          <w:trHeight w:val="23"/>
        </w:trPr>
        <w:tc>
          <w:tcPr>
            <w:tcW w:w="1808" w:type="pct"/>
            <w:shd w:val="clear" w:color="auto" w:fill="8EAADB" w:themeFill="accent1" w:themeFillTint="99"/>
            <w:hideMark/>
          </w:tcPr>
          <w:p w14:paraId="1E131FDA" w14:textId="77777777" w:rsidR="005E3D82" w:rsidRPr="00A6087F" w:rsidRDefault="005E3D82" w:rsidP="00467727">
            <w:pPr>
              <w:rPr>
                <w:rFonts w:cs="Arial"/>
                <w:color w:val="000000"/>
                <w:sz w:val="20"/>
                <w:szCs w:val="20"/>
                <w:lang w:eastAsia="en-AU"/>
              </w:rPr>
            </w:pPr>
            <w:r w:rsidRPr="00A6087F">
              <w:rPr>
                <w:rFonts w:cs="Arial"/>
                <w:color w:val="000000"/>
                <w:sz w:val="20"/>
                <w:szCs w:val="20"/>
                <w:lang w:eastAsia="en-AU"/>
              </w:rPr>
              <w:t>Single part-time worker parent on benefits</w:t>
            </w:r>
          </w:p>
        </w:tc>
        <w:tc>
          <w:tcPr>
            <w:tcW w:w="776" w:type="pct"/>
            <w:shd w:val="clear" w:color="auto" w:fill="8EAADB" w:themeFill="accent1" w:themeFillTint="99"/>
            <w:hideMark/>
          </w:tcPr>
          <w:p w14:paraId="5EB9B873" w14:textId="77777777" w:rsidR="005E3D82" w:rsidRPr="00A6087F" w:rsidRDefault="005E3D82" w:rsidP="00467727">
            <w:pPr>
              <w:jc w:val="right"/>
              <w:rPr>
                <w:rFonts w:cs="Arial"/>
                <w:color w:val="000000"/>
                <w:sz w:val="20"/>
                <w:szCs w:val="20"/>
                <w:lang w:eastAsia="en-AU"/>
              </w:rPr>
            </w:pPr>
            <w:r w:rsidRPr="00A6087F">
              <w:rPr>
                <w:rFonts w:cs="Arial"/>
                <w:color w:val="000000"/>
                <w:sz w:val="20"/>
                <w:szCs w:val="20"/>
                <w:lang w:eastAsia="en-AU"/>
              </w:rPr>
              <w:t>48</w:t>
            </w:r>
          </w:p>
        </w:tc>
        <w:tc>
          <w:tcPr>
            <w:tcW w:w="1094" w:type="pct"/>
            <w:shd w:val="clear" w:color="auto" w:fill="8EAADB" w:themeFill="accent1" w:themeFillTint="99"/>
            <w:hideMark/>
          </w:tcPr>
          <w:p w14:paraId="15E5EDD8" w14:textId="77777777" w:rsidR="005E3D82" w:rsidRPr="00A6087F" w:rsidRDefault="005E3D82" w:rsidP="00467727">
            <w:pPr>
              <w:jc w:val="right"/>
              <w:rPr>
                <w:rFonts w:cs="Arial"/>
                <w:color w:val="000000"/>
                <w:sz w:val="20"/>
                <w:szCs w:val="20"/>
                <w:lang w:eastAsia="en-AU"/>
              </w:rPr>
            </w:pPr>
            <w:r w:rsidRPr="00A6087F">
              <w:rPr>
                <w:rFonts w:cs="Arial"/>
                <w:color w:val="000000"/>
                <w:sz w:val="20"/>
                <w:szCs w:val="20"/>
                <w:lang w:eastAsia="en-AU"/>
              </w:rPr>
              <w:t>63%</w:t>
            </w:r>
          </w:p>
        </w:tc>
        <w:tc>
          <w:tcPr>
            <w:tcW w:w="1322" w:type="pct"/>
            <w:shd w:val="clear" w:color="auto" w:fill="8EAADB" w:themeFill="accent1" w:themeFillTint="99"/>
            <w:hideMark/>
          </w:tcPr>
          <w:p w14:paraId="30E237AF" w14:textId="77777777" w:rsidR="005E3D82" w:rsidRPr="00A6087F" w:rsidRDefault="005E3D82" w:rsidP="00467727">
            <w:pPr>
              <w:rPr>
                <w:rFonts w:cs="Arial"/>
                <w:color w:val="000000"/>
                <w:sz w:val="20"/>
                <w:szCs w:val="20"/>
                <w:lang w:eastAsia="en-AU"/>
              </w:rPr>
            </w:pPr>
            <w:r w:rsidRPr="00A6087F">
              <w:rPr>
                <w:rFonts w:cs="Arial"/>
                <w:color w:val="000000"/>
                <w:sz w:val="20"/>
                <w:szCs w:val="20"/>
                <w:lang w:eastAsia="en-AU"/>
              </w:rPr>
              <w:t>Extremely unaffordable</w:t>
            </w:r>
          </w:p>
        </w:tc>
      </w:tr>
      <w:tr w:rsidR="005E3D82" w:rsidRPr="00A6087F" w14:paraId="1B9BC46B" w14:textId="77777777" w:rsidTr="00951DD7">
        <w:trPr>
          <w:trHeight w:val="23"/>
        </w:trPr>
        <w:tc>
          <w:tcPr>
            <w:tcW w:w="1808" w:type="pct"/>
            <w:shd w:val="clear" w:color="auto" w:fill="B4C6E7" w:themeFill="accent1" w:themeFillTint="66"/>
            <w:hideMark/>
          </w:tcPr>
          <w:p w14:paraId="306D404C" w14:textId="77777777" w:rsidR="005E3D82" w:rsidRPr="00A6087F" w:rsidRDefault="005E3D82" w:rsidP="00467727">
            <w:pPr>
              <w:rPr>
                <w:rFonts w:cs="Arial"/>
                <w:color w:val="000000"/>
                <w:sz w:val="20"/>
                <w:szCs w:val="20"/>
                <w:lang w:eastAsia="en-AU"/>
              </w:rPr>
            </w:pPr>
            <w:r w:rsidRPr="00A6087F">
              <w:rPr>
                <w:rFonts w:cs="Arial"/>
                <w:color w:val="000000"/>
                <w:sz w:val="20"/>
                <w:szCs w:val="20"/>
                <w:lang w:eastAsia="en-AU"/>
              </w:rPr>
              <w:t>Pensioner couple</w:t>
            </w:r>
          </w:p>
        </w:tc>
        <w:tc>
          <w:tcPr>
            <w:tcW w:w="776" w:type="pct"/>
            <w:shd w:val="clear" w:color="auto" w:fill="B4C6E7" w:themeFill="accent1" w:themeFillTint="66"/>
            <w:hideMark/>
          </w:tcPr>
          <w:p w14:paraId="6A4864DF" w14:textId="77777777" w:rsidR="005E3D82" w:rsidRPr="00A6087F" w:rsidRDefault="005E3D82" w:rsidP="00467727">
            <w:pPr>
              <w:jc w:val="right"/>
              <w:rPr>
                <w:rFonts w:cs="Arial"/>
                <w:color w:val="000000"/>
                <w:sz w:val="20"/>
                <w:szCs w:val="20"/>
                <w:lang w:eastAsia="en-AU"/>
              </w:rPr>
            </w:pPr>
            <w:r w:rsidRPr="00A6087F">
              <w:rPr>
                <w:rFonts w:cs="Arial"/>
                <w:color w:val="000000"/>
                <w:sz w:val="20"/>
                <w:szCs w:val="20"/>
                <w:lang w:eastAsia="en-AU"/>
              </w:rPr>
              <w:t>59</w:t>
            </w:r>
          </w:p>
        </w:tc>
        <w:tc>
          <w:tcPr>
            <w:tcW w:w="1094" w:type="pct"/>
            <w:shd w:val="clear" w:color="auto" w:fill="B4C6E7" w:themeFill="accent1" w:themeFillTint="66"/>
            <w:hideMark/>
          </w:tcPr>
          <w:p w14:paraId="7652A0DD" w14:textId="77777777" w:rsidR="005E3D82" w:rsidRPr="00A6087F" w:rsidRDefault="005E3D82" w:rsidP="00467727">
            <w:pPr>
              <w:jc w:val="right"/>
              <w:rPr>
                <w:rFonts w:cs="Arial"/>
                <w:color w:val="000000"/>
                <w:sz w:val="20"/>
                <w:szCs w:val="20"/>
                <w:lang w:eastAsia="en-AU"/>
              </w:rPr>
            </w:pPr>
            <w:r w:rsidRPr="00A6087F">
              <w:rPr>
                <w:rFonts w:cs="Arial"/>
                <w:color w:val="000000"/>
                <w:sz w:val="20"/>
                <w:szCs w:val="20"/>
                <w:lang w:eastAsia="en-AU"/>
              </w:rPr>
              <w:t>51%</w:t>
            </w:r>
          </w:p>
        </w:tc>
        <w:tc>
          <w:tcPr>
            <w:tcW w:w="1322" w:type="pct"/>
            <w:shd w:val="clear" w:color="auto" w:fill="B4C6E7" w:themeFill="accent1" w:themeFillTint="66"/>
            <w:hideMark/>
          </w:tcPr>
          <w:p w14:paraId="5AF24707" w14:textId="77777777" w:rsidR="005E3D82" w:rsidRPr="00A6087F" w:rsidRDefault="005E3D82" w:rsidP="00467727">
            <w:pPr>
              <w:rPr>
                <w:rFonts w:cs="Arial"/>
                <w:color w:val="000000"/>
                <w:sz w:val="20"/>
                <w:szCs w:val="20"/>
                <w:lang w:eastAsia="en-AU"/>
              </w:rPr>
            </w:pPr>
            <w:r w:rsidRPr="00A6087F">
              <w:rPr>
                <w:rFonts w:cs="Arial"/>
                <w:color w:val="000000"/>
                <w:sz w:val="20"/>
                <w:szCs w:val="20"/>
                <w:lang w:eastAsia="en-AU"/>
              </w:rPr>
              <w:t>Severely unaffordable</w:t>
            </w:r>
          </w:p>
        </w:tc>
      </w:tr>
      <w:tr w:rsidR="005E3D82" w:rsidRPr="00A6087F" w14:paraId="0AD586F9" w14:textId="77777777" w:rsidTr="00951DD7">
        <w:trPr>
          <w:trHeight w:val="23"/>
        </w:trPr>
        <w:tc>
          <w:tcPr>
            <w:tcW w:w="1808" w:type="pct"/>
            <w:shd w:val="clear" w:color="auto" w:fill="B4C6E7" w:themeFill="accent1" w:themeFillTint="66"/>
            <w:hideMark/>
          </w:tcPr>
          <w:p w14:paraId="41CAED6D" w14:textId="77777777" w:rsidR="005E3D82" w:rsidRPr="00A6087F" w:rsidRDefault="005E3D82" w:rsidP="00467727">
            <w:pPr>
              <w:rPr>
                <w:rFonts w:cs="Arial"/>
                <w:color w:val="000000"/>
                <w:sz w:val="20"/>
                <w:szCs w:val="20"/>
                <w:lang w:eastAsia="en-AU"/>
              </w:rPr>
            </w:pPr>
            <w:r w:rsidRPr="00A6087F">
              <w:rPr>
                <w:rFonts w:cs="Arial"/>
                <w:color w:val="000000"/>
                <w:sz w:val="20"/>
                <w:szCs w:val="20"/>
                <w:lang w:eastAsia="en-AU"/>
              </w:rPr>
              <w:t>Hospitality worker</w:t>
            </w:r>
          </w:p>
        </w:tc>
        <w:tc>
          <w:tcPr>
            <w:tcW w:w="776" w:type="pct"/>
            <w:shd w:val="clear" w:color="auto" w:fill="B4C6E7" w:themeFill="accent1" w:themeFillTint="66"/>
            <w:hideMark/>
          </w:tcPr>
          <w:p w14:paraId="21033D0D" w14:textId="77777777" w:rsidR="005E3D82" w:rsidRPr="00A6087F" w:rsidRDefault="005E3D82" w:rsidP="00467727">
            <w:pPr>
              <w:jc w:val="right"/>
              <w:rPr>
                <w:rFonts w:cs="Arial"/>
                <w:color w:val="000000"/>
                <w:sz w:val="20"/>
                <w:szCs w:val="20"/>
                <w:lang w:eastAsia="en-AU"/>
              </w:rPr>
            </w:pPr>
            <w:r w:rsidRPr="00A6087F">
              <w:rPr>
                <w:rFonts w:cs="Arial"/>
                <w:color w:val="000000"/>
                <w:sz w:val="20"/>
                <w:szCs w:val="20"/>
                <w:lang w:eastAsia="en-AU"/>
              </w:rPr>
              <w:t>75</w:t>
            </w:r>
          </w:p>
        </w:tc>
        <w:tc>
          <w:tcPr>
            <w:tcW w:w="1094" w:type="pct"/>
            <w:shd w:val="clear" w:color="auto" w:fill="B4C6E7" w:themeFill="accent1" w:themeFillTint="66"/>
            <w:hideMark/>
          </w:tcPr>
          <w:p w14:paraId="1449D605" w14:textId="77777777" w:rsidR="005E3D82" w:rsidRPr="00A6087F" w:rsidRDefault="005E3D82" w:rsidP="00467727">
            <w:pPr>
              <w:jc w:val="right"/>
              <w:rPr>
                <w:rFonts w:cs="Arial"/>
                <w:color w:val="000000"/>
                <w:sz w:val="20"/>
                <w:szCs w:val="20"/>
                <w:lang w:eastAsia="en-AU"/>
              </w:rPr>
            </w:pPr>
            <w:r w:rsidRPr="00A6087F">
              <w:rPr>
                <w:rFonts w:cs="Arial"/>
                <w:color w:val="000000"/>
                <w:sz w:val="20"/>
                <w:szCs w:val="20"/>
                <w:lang w:eastAsia="en-AU"/>
              </w:rPr>
              <w:t>40%</w:t>
            </w:r>
          </w:p>
        </w:tc>
        <w:tc>
          <w:tcPr>
            <w:tcW w:w="1322" w:type="pct"/>
            <w:shd w:val="clear" w:color="auto" w:fill="B4C6E7" w:themeFill="accent1" w:themeFillTint="66"/>
            <w:hideMark/>
          </w:tcPr>
          <w:p w14:paraId="6FA43D6E" w14:textId="77777777" w:rsidR="005E3D82" w:rsidRPr="00A6087F" w:rsidRDefault="005E3D82" w:rsidP="00467727">
            <w:pPr>
              <w:rPr>
                <w:rFonts w:cs="Arial"/>
                <w:color w:val="000000"/>
                <w:sz w:val="20"/>
                <w:szCs w:val="20"/>
                <w:lang w:eastAsia="en-AU"/>
              </w:rPr>
            </w:pPr>
            <w:r w:rsidRPr="00A6087F">
              <w:rPr>
                <w:rFonts w:cs="Arial"/>
                <w:color w:val="000000"/>
                <w:sz w:val="20"/>
                <w:szCs w:val="20"/>
                <w:lang w:eastAsia="en-AU"/>
              </w:rPr>
              <w:t>Severely unaffordable</w:t>
            </w:r>
          </w:p>
        </w:tc>
      </w:tr>
      <w:tr w:rsidR="005E3D82" w:rsidRPr="00A6087F" w14:paraId="3E016198" w14:textId="77777777" w:rsidTr="00951DD7">
        <w:trPr>
          <w:trHeight w:val="23"/>
        </w:trPr>
        <w:tc>
          <w:tcPr>
            <w:tcW w:w="1808" w:type="pct"/>
            <w:shd w:val="clear" w:color="auto" w:fill="D9E2F3" w:themeFill="accent1" w:themeFillTint="33"/>
            <w:hideMark/>
          </w:tcPr>
          <w:p w14:paraId="3CA7A20C" w14:textId="77777777" w:rsidR="005E3D82" w:rsidRPr="00A6087F" w:rsidRDefault="005E3D82" w:rsidP="00467727">
            <w:pPr>
              <w:rPr>
                <w:rFonts w:cs="Arial"/>
                <w:color w:val="000000"/>
                <w:sz w:val="20"/>
                <w:szCs w:val="20"/>
                <w:lang w:eastAsia="en-AU"/>
              </w:rPr>
            </w:pPr>
            <w:r w:rsidRPr="00A6087F">
              <w:rPr>
                <w:rFonts w:cs="Arial"/>
                <w:color w:val="000000"/>
                <w:sz w:val="20"/>
                <w:szCs w:val="20"/>
                <w:lang w:eastAsia="en-AU"/>
              </w:rPr>
              <w:t xml:space="preserve">Student </w:t>
            </w:r>
            <w:proofErr w:type="spellStart"/>
            <w:r w:rsidRPr="00A6087F">
              <w:rPr>
                <w:rFonts w:cs="Arial"/>
                <w:color w:val="000000"/>
                <w:sz w:val="20"/>
                <w:szCs w:val="20"/>
                <w:lang w:eastAsia="en-AU"/>
              </w:rPr>
              <w:t>sharehouse</w:t>
            </w:r>
            <w:proofErr w:type="spellEnd"/>
          </w:p>
        </w:tc>
        <w:tc>
          <w:tcPr>
            <w:tcW w:w="776" w:type="pct"/>
            <w:shd w:val="clear" w:color="auto" w:fill="D9E2F3" w:themeFill="accent1" w:themeFillTint="33"/>
            <w:hideMark/>
          </w:tcPr>
          <w:p w14:paraId="06008AEB" w14:textId="77777777" w:rsidR="005E3D82" w:rsidRPr="00A6087F" w:rsidRDefault="005E3D82" w:rsidP="00467727">
            <w:pPr>
              <w:jc w:val="right"/>
              <w:rPr>
                <w:rFonts w:cs="Arial"/>
                <w:color w:val="000000"/>
                <w:sz w:val="20"/>
                <w:szCs w:val="20"/>
                <w:lang w:eastAsia="en-AU"/>
              </w:rPr>
            </w:pPr>
            <w:r w:rsidRPr="00A6087F">
              <w:rPr>
                <w:rFonts w:cs="Arial"/>
                <w:color w:val="000000"/>
                <w:sz w:val="20"/>
                <w:szCs w:val="20"/>
                <w:lang w:eastAsia="en-AU"/>
              </w:rPr>
              <w:t>81</w:t>
            </w:r>
          </w:p>
        </w:tc>
        <w:tc>
          <w:tcPr>
            <w:tcW w:w="1094" w:type="pct"/>
            <w:shd w:val="clear" w:color="auto" w:fill="D9E2F3" w:themeFill="accent1" w:themeFillTint="33"/>
            <w:hideMark/>
          </w:tcPr>
          <w:p w14:paraId="5DDE03B4" w14:textId="77777777" w:rsidR="005E3D82" w:rsidRPr="00A6087F" w:rsidRDefault="005E3D82" w:rsidP="00467727">
            <w:pPr>
              <w:jc w:val="right"/>
              <w:rPr>
                <w:rFonts w:cs="Arial"/>
                <w:color w:val="000000"/>
                <w:sz w:val="20"/>
                <w:szCs w:val="20"/>
                <w:lang w:eastAsia="en-AU"/>
              </w:rPr>
            </w:pPr>
            <w:r w:rsidRPr="00A6087F">
              <w:rPr>
                <w:rFonts w:cs="Arial"/>
                <w:color w:val="000000"/>
                <w:sz w:val="20"/>
                <w:szCs w:val="20"/>
                <w:lang w:eastAsia="en-AU"/>
              </w:rPr>
              <w:t>37%</w:t>
            </w:r>
          </w:p>
        </w:tc>
        <w:tc>
          <w:tcPr>
            <w:tcW w:w="1322" w:type="pct"/>
            <w:shd w:val="clear" w:color="auto" w:fill="D9E2F3" w:themeFill="accent1" w:themeFillTint="33"/>
            <w:hideMark/>
          </w:tcPr>
          <w:p w14:paraId="29410249" w14:textId="77777777" w:rsidR="005E3D82" w:rsidRPr="00A6087F" w:rsidRDefault="005E3D82" w:rsidP="00467727">
            <w:pPr>
              <w:rPr>
                <w:rFonts w:cs="Arial"/>
                <w:color w:val="000000"/>
                <w:sz w:val="20"/>
                <w:szCs w:val="20"/>
                <w:lang w:eastAsia="en-AU"/>
              </w:rPr>
            </w:pPr>
            <w:r w:rsidRPr="00A6087F">
              <w:rPr>
                <w:rFonts w:cs="Arial"/>
                <w:color w:val="000000"/>
                <w:sz w:val="20"/>
                <w:szCs w:val="20"/>
                <w:lang w:eastAsia="en-AU"/>
              </w:rPr>
              <w:t>Unaffordable</w:t>
            </w:r>
          </w:p>
        </w:tc>
      </w:tr>
      <w:tr w:rsidR="005E3D82" w:rsidRPr="00A6087F" w14:paraId="7B25C996" w14:textId="77777777" w:rsidTr="00951DD7">
        <w:trPr>
          <w:trHeight w:val="71"/>
        </w:trPr>
        <w:tc>
          <w:tcPr>
            <w:tcW w:w="1808" w:type="pct"/>
            <w:shd w:val="clear" w:color="auto" w:fill="D9E2F3" w:themeFill="accent1" w:themeFillTint="33"/>
            <w:hideMark/>
          </w:tcPr>
          <w:p w14:paraId="5609CB1A" w14:textId="77777777" w:rsidR="005E3D82" w:rsidRPr="00A6087F" w:rsidRDefault="005E3D82" w:rsidP="00467727">
            <w:pPr>
              <w:rPr>
                <w:rFonts w:cs="Arial"/>
                <w:color w:val="000000"/>
                <w:sz w:val="20"/>
                <w:szCs w:val="20"/>
                <w:lang w:eastAsia="en-AU"/>
              </w:rPr>
            </w:pPr>
            <w:r w:rsidRPr="00A6087F">
              <w:rPr>
                <w:rFonts w:cs="Arial"/>
                <w:color w:val="000000"/>
                <w:sz w:val="20"/>
                <w:szCs w:val="20"/>
                <w:lang w:eastAsia="en-AU"/>
              </w:rPr>
              <w:t>Minimum wage couple</w:t>
            </w:r>
          </w:p>
        </w:tc>
        <w:tc>
          <w:tcPr>
            <w:tcW w:w="776" w:type="pct"/>
            <w:shd w:val="clear" w:color="auto" w:fill="D9E2F3" w:themeFill="accent1" w:themeFillTint="33"/>
            <w:hideMark/>
          </w:tcPr>
          <w:p w14:paraId="50C177D7" w14:textId="77777777" w:rsidR="005E3D82" w:rsidRPr="00A6087F" w:rsidRDefault="005E3D82" w:rsidP="00467727">
            <w:pPr>
              <w:jc w:val="right"/>
              <w:rPr>
                <w:rFonts w:cs="Arial"/>
                <w:color w:val="000000"/>
                <w:sz w:val="20"/>
                <w:szCs w:val="20"/>
                <w:lang w:eastAsia="en-AU"/>
              </w:rPr>
            </w:pPr>
            <w:r w:rsidRPr="00A6087F">
              <w:rPr>
                <w:rFonts w:cs="Arial"/>
                <w:color w:val="000000"/>
                <w:sz w:val="20"/>
                <w:szCs w:val="20"/>
                <w:lang w:eastAsia="en-AU"/>
              </w:rPr>
              <w:t>91</w:t>
            </w:r>
          </w:p>
        </w:tc>
        <w:tc>
          <w:tcPr>
            <w:tcW w:w="1094" w:type="pct"/>
            <w:shd w:val="clear" w:color="auto" w:fill="D9E2F3" w:themeFill="accent1" w:themeFillTint="33"/>
            <w:hideMark/>
          </w:tcPr>
          <w:p w14:paraId="291F5351" w14:textId="77777777" w:rsidR="005E3D82" w:rsidRPr="00A6087F" w:rsidRDefault="005E3D82" w:rsidP="00467727">
            <w:pPr>
              <w:jc w:val="right"/>
              <w:rPr>
                <w:rFonts w:cs="Arial"/>
                <w:color w:val="000000"/>
                <w:sz w:val="20"/>
                <w:szCs w:val="20"/>
                <w:lang w:eastAsia="en-AU"/>
              </w:rPr>
            </w:pPr>
            <w:r w:rsidRPr="00A6087F">
              <w:rPr>
                <w:rFonts w:cs="Arial"/>
                <w:color w:val="000000"/>
                <w:sz w:val="20"/>
                <w:szCs w:val="20"/>
                <w:lang w:eastAsia="en-AU"/>
              </w:rPr>
              <w:t>33%</w:t>
            </w:r>
          </w:p>
        </w:tc>
        <w:tc>
          <w:tcPr>
            <w:tcW w:w="1322" w:type="pct"/>
            <w:shd w:val="clear" w:color="auto" w:fill="D9E2F3" w:themeFill="accent1" w:themeFillTint="33"/>
            <w:hideMark/>
          </w:tcPr>
          <w:p w14:paraId="31CC0698" w14:textId="77777777" w:rsidR="005E3D82" w:rsidRPr="00A6087F" w:rsidRDefault="005E3D82" w:rsidP="00467727">
            <w:pPr>
              <w:rPr>
                <w:rFonts w:cs="Arial"/>
                <w:color w:val="000000"/>
                <w:sz w:val="20"/>
                <w:szCs w:val="20"/>
                <w:lang w:eastAsia="en-AU"/>
              </w:rPr>
            </w:pPr>
            <w:r w:rsidRPr="00A6087F">
              <w:rPr>
                <w:rFonts w:cs="Arial"/>
                <w:color w:val="000000"/>
                <w:sz w:val="20"/>
                <w:szCs w:val="20"/>
                <w:lang w:eastAsia="en-AU"/>
              </w:rPr>
              <w:t>Unaffordable</w:t>
            </w:r>
          </w:p>
        </w:tc>
      </w:tr>
      <w:tr w:rsidR="005E3D82" w:rsidRPr="00A6087F" w14:paraId="7B074FD0" w14:textId="77777777" w:rsidTr="00951DD7">
        <w:trPr>
          <w:trHeight w:val="23"/>
        </w:trPr>
        <w:tc>
          <w:tcPr>
            <w:tcW w:w="1808" w:type="pct"/>
            <w:shd w:val="clear" w:color="auto" w:fill="E7E6E6" w:themeFill="background2"/>
            <w:hideMark/>
          </w:tcPr>
          <w:p w14:paraId="73B36D8F" w14:textId="77777777" w:rsidR="005E3D82" w:rsidRPr="00A6087F" w:rsidRDefault="005E3D82" w:rsidP="00467727">
            <w:pPr>
              <w:rPr>
                <w:rFonts w:cs="Arial"/>
                <w:color w:val="000000"/>
                <w:sz w:val="20"/>
                <w:szCs w:val="20"/>
                <w:lang w:eastAsia="en-AU"/>
              </w:rPr>
            </w:pPr>
            <w:r w:rsidRPr="00A6087F">
              <w:rPr>
                <w:rFonts w:cs="Arial"/>
                <w:color w:val="000000"/>
                <w:sz w:val="20"/>
                <w:szCs w:val="20"/>
                <w:lang w:eastAsia="en-AU"/>
              </w:rPr>
              <w:t>Single income couple with children</w:t>
            </w:r>
          </w:p>
        </w:tc>
        <w:tc>
          <w:tcPr>
            <w:tcW w:w="776" w:type="pct"/>
            <w:shd w:val="clear" w:color="auto" w:fill="E7E6E6" w:themeFill="background2"/>
            <w:hideMark/>
          </w:tcPr>
          <w:p w14:paraId="457F00B5" w14:textId="77777777" w:rsidR="005E3D82" w:rsidRPr="00A6087F" w:rsidRDefault="005E3D82" w:rsidP="00467727">
            <w:pPr>
              <w:jc w:val="right"/>
              <w:rPr>
                <w:rFonts w:cs="Arial"/>
                <w:color w:val="000000"/>
                <w:sz w:val="20"/>
                <w:szCs w:val="20"/>
                <w:lang w:eastAsia="en-AU"/>
              </w:rPr>
            </w:pPr>
            <w:r w:rsidRPr="00A6087F">
              <w:rPr>
                <w:rFonts w:cs="Arial"/>
                <w:color w:val="000000"/>
                <w:sz w:val="20"/>
                <w:szCs w:val="20"/>
                <w:lang w:eastAsia="en-AU"/>
              </w:rPr>
              <w:t>109</w:t>
            </w:r>
          </w:p>
        </w:tc>
        <w:tc>
          <w:tcPr>
            <w:tcW w:w="1094" w:type="pct"/>
            <w:shd w:val="clear" w:color="auto" w:fill="E7E6E6" w:themeFill="background2"/>
            <w:hideMark/>
          </w:tcPr>
          <w:p w14:paraId="344B000A" w14:textId="77777777" w:rsidR="005E3D82" w:rsidRPr="00A6087F" w:rsidRDefault="005E3D82" w:rsidP="00467727">
            <w:pPr>
              <w:jc w:val="right"/>
              <w:rPr>
                <w:rFonts w:cs="Arial"/>
                <w:color w:val="000000"/>
                <w:sz w:val="20"/>
                <w:szCs w:val="20"/>
                <w:lang w:eastAsia="en-AU"/>
              </w:rPr>
            </w:pPr>
            <w:r w:rsidRPr="00A6087F">
              <w:rPr>
                <w:rFonts w:cs="Arial"/>
                <w:color w:val="000000"/>
                <w:sz w:val="20"/>
                <w:szCs w:val="20"/>
                <w:lang w:eastAsia="en-AU"/>
              </w:rPr>
              <w:t>28%</w:t>
            </w:r>
          </w:p>
        </w:tc>
        <w:tc>
          <w:tcPr>
            <w:tcW w:w="1322" w:type="pct"/>
            <w:shd w:val="clear" w:color="auto" w:fill="E7E6E6" w:themeFill="background2"/>
            <w:hideMark/>
          </w:tcPr>
          <w:p w14:paraId="3C4D42C5" w14:textId="77777777" w:rsidR="005E3D82" w:rsidRPr="00A6087F" w:rsidRDefault="005E3D82" w:rsidP="00467727">
            <w:pPr>
              <w:rPr>
                <w:rFonts w:cs="Arial"/>
                <w:color w:val="000000"/>
                <w:sz w:val="20"/>
                <w:szCs w:val="20"/>
                <w:lang w:eastAsia="en-AU"/>
              </w:rPr>
            </w:pPr>
            <w:r w:rsidRPr="00A6087F">
              <w:rPr>
                <w:rFonts w:cs="Arial"/>
                <w:color w:val="000000"/>
                <w:sz w:val="20"/>
                <w:szCs w:val="20"/>
                <w:lang w:eastAsia="en-AU"/>
              </w:rPr>
              <w:t>Moderately unaffordable</w:t>
            </w:r>
          </w:p>
        </w:tc>
      </w:tr>
      <w:tr w:rsidR="005E3D82" w:rsidRPr="00A6087F" w14:paraId="28FF0669" w14:textId="77777777" w:rsidTr="00951DD7">
        <w:trPr>
          <w:trHeight w:val="154"/>
        </w:trPr>
        <w:tc>
          <w:tcPr>
            <w:tcW w:w="1808" w:type="pct"/>
            <w:shd w:val="clear" w:color="auto" w:fill="E7E6E6" w:themeFill="background2"/>
            <w:hideMark/>
          </w:tcPr>
          <w:p w14:paraId="628DCD01" w14:textId="77777777" w:rsidR="005E3D82" w:rsidRPr="00A6087F" w:rsidRDefault="005E3D82" w:rsidP="00467727">
            <w:pPr>
              <w:rPr>
                <w:rFonts w:cs="Arial"/>
                <w:color w:val="000000"/>
                <w:sz w:val="20"/>
                <w:szCs w:val="20"/>
                <w:lang w:eastAsia="en-AU"/>
              </w:rPr>
            </w:pPr>
            <w:r w:rsidRPr="00A6087F">
              <w:rPr>
                <w:rFonts w:cs="Arial"/>
                <w:color w:val="000000"/>
                <w:sz w:val="20"/>
                <w:szCs w:val="20"/>
                <w:lang w:eastAsia="en-AU"/>
              </w:rPr>
              <w:t>ACT - Overall</w:t>
            </w:r>
          </w:p>
        </w:tc>
        <w:tc>
          <w:tcPr>
            <w:tcW w:w="776" w:type="pct"/>
            <w:shd w:val="clear" w:color="auto" w:fill="E7E6E6" w:themeFill="background2"/>
            <w:hideMark/>
          </w:tcPr>
          <w:p w14:paraId="74FE95AC" w14:textId="77777777" w:rsidR="005E3D82" w:rsidRPr="00A6087F" w:rsidRDefault="005E3D82" w:rsidP="00467727">
            <w:pPr>
              <w:jc w:val="right"/>
              <w:rPr>
                <w:rFonts w:cs="Arial"/>
                <w:color w:val="000000"/>
                <w:sz w:val="20"/>
                <w:szCs w:val="20"/>
                <w:lang w:eastAsia="en-AU"/>
              </w:rPr>
            </w:pPr>
            <w:r w:rsidRPr="00A6087F">
              <w:rPr>
                <w:rFonts w:cs="Arial"/>
                <w:color w:val="000000"/>
                <w:sz w:val="20"/>
                <w:szCs w:val="20"/>
                <w:lang w:eastAsia="en-AU"/>
              </w:rPr>
              <w:t>119</w:t>
            </w:r>
          </w:p>
        </w:tc>
        <w:tc>
          <w:tcPr>
            <w:tcW w:w="1094" w:type="pct"/>
            <w:shd w:val="clear" w:color="auto" w:fill="E7E6E6" w:themeFill="background2"/>
            <w:hideMark/>
          </w:tcPr>
          <w:p w14:paraId="65C0E06B" w14:textId="77777777" w:rsidR="005E3D82" w:rsidRPr="00A6087F" w:rsidRDefault="005E3D82" w:rsidP="00467727">
            <w:pPr>
              <w:jc w:val="right"/>
              <w:rPr>
                <w:rFonts w:cs="Arial"/>
                <w:color w:val="000000"/>
                <w:sz w:val="20"/>
                <w:szCs w:val="20"/>
                <w:lang w:eastAsia="en-AU"/>
              </w:rPr>
            </w:pPr>
            <w:r w:rsidRPr="00A6087F">
              <w:rPr>
                <w:rFonts w:cs="Arial"/>
                <w:color w:val="000000"/>
                <w:sz w:val="20"/>
                <w:szCs w:val="20"/>
                <w:lang w:eastAsia="en-AU"/>
              </w:rPr>
              <w:t>25%</w:t>
            </w:r>
          </w:p>
        </w:tc>
        <w:tc>
          <w:tcPr>
            <w:tcW w:w="1322" w:type="pct"/>
            <w:shd w:val="clear" w:color="auto" w:fill="E7E6E6" w:themeFill="background2"/>
            <w:hideMark/>
          </w:tcPr>
          <w:p w14:paraId="336E494E" w14:textId="77777777" w:rsidR="005E3D82" w:rsidRPr="00A6087F" w:rsidRDefault="005E3D82" w:rsidP="00467727">
            <w:pPr>
              <w:rPr>
                <w:rFonts w:cs="Arial"/>
                <w:color w:val="000000"/>
                <w:sz w:val="20"/>
                <w:szCs w:val="20"/>
                <w:lang w:eastAsia="en-AU"/>
              </w:rPr>
            </w:pPr>
            <w:r w:rsidRPr="00A6087F">
              <w:rPr>
                <w:rFonts w:cs="Arial"/>
                <w:color w:val="000000"/>
                <w:sz w:val="20"/>
                <w:szCs w:val="20"/>
                <w:lang w:eastAsia="en-AU"/>
              </w:rPr>
              <w:t>Moderately unaffordable</w:t>
            </w:r>
          </w:p>
        </w:tc>
      </w:tr>
      <w:tr w:rsidR="005E3D82" w:rsidRPr="00A6087F" w14:paraId="477B799D" w14:textId="77777777" w:rsidTr="00951DD7">
        <w:trPr>
          <w:trHeight w:val="23"/>
        </w:trPr>
        <w:tc>
          <w:tcPr>
            <w:tcW w:w="1808" w:type="pct"/>
            <w:shd w:val="clear" w:color="auto" w:fill="F2F2F2" w:themeFill="background1" w:themeFillShade="F2"/>
            <w:hideMark/>
          </w:tcPr>
          <w:p w14:paraId="5AA5B226" w14:textId="77777777" w:rsidR="005E3D82" w:rsidRPr="00A6087F" w:rsidRDefault="005E3D82" w:rsidP="00467727">
            <w:pPr>
              <w:rPr>
                <w:rFonts w:cs="Arial"/>
                <w:color w:val="000000"/>
                <w:sz w:val="20"/>
                <w:szCs w:val="20"/>
                <w:lang w:eastAsia="en-AU"/>
              </w:rPr>
            </w:pPr>
            <w:r w:rsidRPr="00A6087F">
              <w:rPr>
                <w:rFonts w:cs="Arial"/>
                <w:color w:val="000000"/>
                <w:sz w:val="20"/>
                <w:szCs w:val="20"/>
                <w:lang w:eastAsia="en-AU"/>
              </w:rPr>
              <w:t>Single full-time working parent</w:t>
            </w:r>
          </w:p>
        </w:tc>
        <w:tc>
          <w:tcPr>
            <w:tcW w:w="776" w:type="pct"/>
            <w:shd w:val="clear" w:color="auto" w:fill="F2F2F2" w:themeFill="background1" w:themeFillShade="F2"/>
            <w:hideMark/>
          </w:tcPr>
          <w:p w14:paraId="21B04B00" w14:textId="77777777" w:rsidR="005E3D82" w:rsidRPr="00A6087F" w:rsidRDefault="005E3D82" w:rsidP="00467727">
            <w:pPr>
              <w:jc w:val="right"/>
              <w:rPr>
                <w:rFonts w:cs="Arial"/>
                <w:color w:val="000000"/>
                <w:sz w:val="20"/>
                <w:szCs w:val="20"/>
                <w:lang w:eastAsia="en-AU"/>
              </w:rPr>
            </w:pPr>
            <w:r w:rsidRPr="00A6087F">
              <w:rPr>
                <w:rFonts w:cs="Arial"/>
                <w:color w:val="000000"/>
                <w:sz w:val="20"/>
                <w:szCs w:val="20"/>
                <w:lang w:eastAsia="en-AU"/>
              </w:rPr>
              <w:t>124</w:t>
            </w:r>
          </w:p>
        </w:tc>
        <w:tc>
          <w:tcPr>
            <w:tcW w:w="1094" w:type="pct"/>
            <w:shd w:val="clear" w:color="auto" w:fill="F2F2F2" w:themeFill="background1" w:themeFillShade="F2"/>
            <w:hideMark/>
          </w:tcPr>
          <w:p w14:paraId="033A07C2" w14:textId="77777777" w:rsidR="005E3D82" w:rsidRPr="00A6087F" w:rsidRDefault="005E3D82" w:rsidP="00467727">
            <w:pPr>
              <w:jc w:val="right"/>
              <w:rPr>
                <w:rFonts w:cs="Arial"/>
                <w:color w:val="000000"/>
                <w:sz w:val="20"/>
                <w:szCs w:val="20"/>
                <w:lang w:eastAsia="en-AU"/>
              </w:rPr>
            </w:pPr>
            <w:r w:rsidRPr="00A6087F">
              <w:rPr>
                <w:rFonts w:cs="Arial"/>
                <w:color w:val="000000"/>
                <w:sz w:val="20"/>
                <w:szCs w:val="20"/>
                <w:lang w:eastAsia="en-AU"/>
              </w:rPr>
              <w:t>24%</w:t>
            </w:r>
          </w:p>
        </w:tc>
        <w:tc>
          <w:tcPr>
            <w:tcW w:w="1322" w:type="pct"/>
            <w:shd w:val="clear" w:color="auto" w:fill="F2F2F2" w:themeFill="background1" w:themeFillShade="F2"/>
            <w:hideMark/>
          </w:tcPr>
          <w:p w14:paraId="64485F43" w14:textId="77777777" w:rsidR="005E3D82" w:rsidRPr="00A6087F" w:rsidRDefault="005E3D82" w:rsidP="00467727">
            <w:pPr>
              <w:rPr>
                <w:rFonts w:cs="Arial"/>
                <w:color w:val="000000"/>
                <w:sz w:val="20"/>
                <w:szCs w:val="20"/>
                <w:lang w:eastAsia="en-AU"/>
              </w:rPr>
            </w:pPr>
            <w:r w:rsidRPr="00A6087F">
              <w:rPr>
                <w:rFonts w:cs="Arial"/>
                <w:color w:val="000000"/>
                <w:sz w:val="20"/>
                <w:szCs w:val="20"/>
                <w:lang w:eastAsia="en-AU"/>
              </w:rPr>
              <w:t>Acceptable</w:t>
            </w:r>
          </w:p>
        </w:tc>
      </w:tr>
      <w:tr w:rsidR="005E3D82" w:rsidRPr="00A6087F" w14:paraId="7ECDB3B9" w14:textId="77777777" w:rsidTr="00951DD7">
        <w:trPr>
          <w:trHeight w:val="23"/>
        </w:trPr>
        <w:tc>
          <w:tcPr>
            <w:tcW w:w="1808" w:type="pct"/>
            <w:hideMark/>
          </w:tcPr>
          <w:p w14:paraId="66F55892" w14:textId="77777777" w:rsidR="005E3D82" w:rsidRPr="00A6087F" w:rsidRDefault="005E3D82" w:rsidP="00467727">
            <w:pPr>
              <w:rPr>
                <w:rFonts w:cs="Arial"/>
                <w:color w:val="000000"/>
                <w:sz w:val="20"/>
                <w:szCs w:val="20"/>
                <w:lang w:eastAsia="en-AU"/>
              </w:rPr>
            </w:pPr>
            <w:r w:rsidRPr="00A6087F">
              <w:rPr>
                <w:rFonts w:cs="Arial"/>
                <w:color w:val="000000"/>
                <w:sz w:val="20"/>
                <w:szCs w:val="20"/>
                <w:lang w:eastAsia="en-AU"/>
              </w:rPr>
              <w:t>Dual income couple with children</w:t>
            </w:r>
          </w:p>
        </w:tc>
        <w:tc>
          <w:tcPr>
            <w:tcW w:w="776" w:type="pct"/>
            <w:hideMark/>
          </w:tcPr>
          <w:p w14:paraId="6D53BF63" w14:textId="77777777" w:rsidR="005E3D82" w:rsidRPr="00A6087F" w:rsidRDefault="005E3D82" w:rsidP="00467727">
            <w:pPr>
              <w:jc w:val="right"/>
              <w:rPr>
                <w:rFonts w:cs="Arial"/>
                <w:color w:val="000000"/>
                <w:sz w:val="20"/>
                <w:szCs w:val="20"/>
                <w:lang w:eastAsia="en-AU"/>
              </w:rPr>
            </w:pPr>
            <w:r w:rsidRPr="00A6087F">
              <w:rPr>
                <w:rFonts w:cs="Arial"/>
                <w:color w:val="000000"/>
                <w:sz w:val="20"/>
                <w:szCs w:val="20"/>
                <w:lang w:eastAsia="en-AU"/>
              </w:rPr>
              <w:t>218</w:t>
            </w:r>
          </w:p>
        </w:tc>
        <w:tc>
          <w:tcPr>
            <w:tcW w:w="1094" w:type="pct"/>
            <w:hideMark/>
          </w:tcPr>
          <w:p w14:paraId="40E23DD0" w14:textId="77777777" w:rsidR="005E3D82" w:rsidRPr="00A6087F" w:rsidRDefault="005E3D82" w:rsidP="00467727">
            <w:pPr>
              <w:jc w:val="right"/>
              <w:rPr>
                <w:rFonts w:cs="Arial"/>
                <w:color w:val="000000"/>
                <w:sz w:val="20"/>
                <w:szCs w:val="20"/>
                <w:lang w:eastAsia="en-AU"/>
              </w:rPr>
            </w:pPr>
            <w:r w:rsidRPr="00A6087F">
              <w:rPr>
                <w:rFonts w:cs="Arial"/>
                <w:color w:val="000000"/>
                <w:sz w:val="20"/>
                <w:szCs w:val="20"/>
                <w:lang w:eastAsia="en-AU"/>
              </w:rPr>
              <w:t>14%</w:t>
            </w:r>
          </w:p>
        </w:tc>
        <w:tc>
          <w:tcPr>
            <w:tcW w:w="1322" w:type="pct"/>
            <w:hideMark/>
          </w:tcPr>
          <w:p w14:paraId="426A305A" w14:textId="77777777" w:rsidR="005E3D82" w:rsidRPr="00A6087F" w:rsidRDefault="005E3D82" w:rsidP="00467727">
            <w:pPr>
              <w:rPr>
                <w:rFonts w:cs="Arial"/>
                <w:color w:val="000000"/>
                <w:sz w:val="20"/>
                <w:szCs w:val="20"/>
                <w:lang w:eastAsia="en-AU"/>
              </w:rPr>
            </w:pPr>
            <w:r w:rsidRPr="00A6087F">
              <w:rPr>
                <w:rFonts w:cs="Arial"/>
                <w:color w:val="000000"/>
                <w:sz w:val="20"/>
                <w:szCs w:val="20"/>
                <w:lang w:eastAsia="en-AU"/>
              </w:rPr>
              <w:t>Affordable</w:t>
            </w:r>
          </w:p>
        </w:tc>
      </w:tr>
    </w:tbl>
    <w:p w14:paraId="7A60F4D2" w14:textId="4536F123" w:rsidR="0084362D" w:rsidRPr="00A6087F" w:rsidRDefault="005E3D82" w:rsidP="005E3D82">
      <w:pPr>
        <w:pStyle w:val="Source"/>
      </w:pPr>
      <w:r w:rsidRPr="00A6087F">
        <w:t xml:space="preserve">Source: </w:t>
      </w:r>
      <w:proofErr w:type="spellStart"/>
      <w:r w:rsidRPr="00A6087F">
        <w:t>SGS</w:t>
      </w:r>
      <w:proofErr w:type="spellEnd"/>
      <w:r w:rsidRPr="00A6087F">
        <w:t xml:space="preserve"> Economics &amp; Planning, </w:t>
      </w:r>
      <w:hyperlink r:id="rId34" w:history="1">
        <w:r w:rsidRPr="00A6087F">
          <w:rPr>
            <w:rStyle w:val="Hyperlink"/>
            <w:i/>
            <w:iCs/>
          </w:rPr>
          <w:t>Rental Affordability Index: November 2021 Key Findings</w:t>
        </w:r>
      </w:hyperlink>
      <w:r w:rsidRPr="00A6087F">
        <w:t xml:space="preserve"> [PDF], </w:t>
      </w:r>
      <w:proofErr w:type="spellStart"/>
      <w:r w:rsidRPr="00A6087F">
        <w:t>SGS</w:t>
      </w:r>
      <w:proofErr w:type="spellEnd"/>
      <w:r w:rsidRPr="00A6087F">
        <w:t xml:space="preserve"> Economics &amp; Planning, Canberra, 2021, accessed 2 May 2022</w:t>
      </w:r>
      <w:r w:rsidR="008E3CAA" w:rsidRPr="00A6087F">
        <w:t xml:space="preserve">; </w:t>
      </w:r>
      <w:r w:rsidR="001E09F8" w:rsidRPr="00A6087F">
        <w:t xml:space="preserve">ACTCOSS, </w:t>
      </w:r>
      <w:hyperlink r:id="rId35" w:history="1">
        <w:r w:rsidR="001E09F8" w:rsidRPr="00A6087F">
          <w:rPr>
            <w:rStyle w:val="Hyperlink"/>
            <w:i/>
            <w:iCs/>
          </w:rPr>
          <w:t>2022 ACT Cost of Living Report</w:t>
        </w:r>
      </w:hyperlink>
      <w:r w:rsidR="001E09F8" w:rsidRPr="00A6087F">
        <w:t xml:space="preserve">, ACTCOSS, Canberra, May 2022, </w:t>
      </w:r>
      <w:r w:rsidR="008A5BDF" w:rsidRPr="00A6087F">
        <w:t>Table 3</w:t>
      </w:r>
      <w:r w:rsidR="001E09F8" w:rsidRPr="00A6087F">
        <w:t>.</w:t>
      </w:r>
    </w:p>
    <w:p w14:paraId="490D55BD" w14:textId="209535F4" w:rsidR="00CC5500" w:rsidRPr="00A6087F" w:rsidRDefault="00DE75C1" w:rsidP="00703B78">
      <w:pPr>
        <w:pStyle w:val="BodyText"/>
      </w:pPr>
      <w:r w:rsidRPr="00A6087F">
        <w:t>A recent analysis</w:t>
      </w:r>
      <w:r w:rsidR="00DE74E5" w:rsidRPr="00A6087F">
        <w:t xml:space="preserve"> by Everybody’s Home found that Canberra is the least affordable city to rent in for young people working in retail and hospitality and/or receiving Youth Allowance.</w:t>
      </w:r>
      <w:r w:rsidRPr="00A6087F">
        <w:rPr>
          <w:rStyle w:val="FootnoteReference"/>
        </w:rPr>
        <w:footnoteReference w:id="32"/>
      </w:r>
      <w:r w:rsidRPr="00A6087F">
        <w:t xml:space="preserve"> </w:t>
      </w:r>
      <w:r w:rsidR="00CC5500" w:rsidRPr="00A6087F">
        <w:t xml:space="preserve">Previous analysis by Everybody’s Home undertaken in 2021 found that Canberra was the least affordable capital city for key COVID-essential workers – i.e., disability support, aged care, childcare, hospitality, and supermarket workers – in terms of hours worked to pay rent. </w:t>
      </w:r>
      <w:r w:rsidR="009966FC" w:rsidRPr="00A6087F">
        <w:rPr>
          <w:rStyle w:val="FootnoteReference"/>
        </w:rPr>
        <w:footnoteReference w:id="33"/>
      </w:r>
      <w:r w:rsidR="00CC5500" w:rsidRPr="00A6087F">
        <w:t xml:space="preserve"> Across the inner south, south, inner north, and north of Canberra it found that ‘an essential worker would need to sacrifice more than two thirds of a full working week’s income to rent an apartment’.</w:t>
      </w:r>
      <w:r w:rsidR="00D84888" w:rsidRPr="00A6087F">
        <w:rPr>
          <w:rStyle w:val="FootnoteReference"/>
        </w:rPr>
        <w:footnoteReference w:id="34"/>
      </w:r>
      <w:r w:rsidR="00CC5500" w:rsidRPr="00A6087F">
        <w:t xml:space="preserve"> In Weston Creek, Belconnen, Tuggeranong, Gungahlin, Woden Valley ‘an essential care or service worker </w:t>
      </w:r>
      <w:r w:rsidR="00CC5500" w:rsidRPr="00A6087F">
        <w:lastRenderedPageBreak/>
        <w:t>would need to spend between one third and two-thirds of normal working week’s wages, to rent an apartment’.</w:t>
      </w:r>
      <w:r w:rsidR="00D84888" w:rsidRPr="00A6087F">
        <w:rPr>
          <w:rStyle w:val="FootnoteReference"/>
        </w:rPr>
        <w:footnoteReference w:id="35"/>
      </w:r>
      <w:r w:rsidR="003D3AE0">
        <w:t xml:space="preserve"> </w:t>
      </w:r>
    </w:p>
    <w:p w14:paraId="6CC06D48" w14:textId="75DE75FE" w:rsidR="009666A4" w:rsidRPr="00A6087F" w:rsidRDefault="009666A4" w:rsidP="009666A4">
      <w:pPr>
        <w:pStyle w:val="BodyText"/>
      </w:pPr>
      <w:r w:rsidRPr="00A6087F">
        <w:t>Anglicare Australia’s 2022 Rental Affordability Snapshot found 1,354 private rentals advertised for rent in the ACT and Queanbeyan on 18 March 2022.</w:t>
      </w:r>
      <w:r w:rsidR="00F05F0A" w:rsidRPr="00A6087F">
        <w:rPr>
          <w:rStyle w:val="FootnoteReference"/>
        </w:rPr>
        <w:footnoteReference w:id="36"/>
      </w:r>
      <w:r w:rsidRPr="00A6087F">
        <w:t xml:space="preserve"> Of these it found that:</w:t>
      </w:r>
    </w:p>
    <w:p w14:paraId="2D2D5D11" w14:textId="023C75FB" w:rsidR="009666A4" w:rsidRPr="00A6087F" w:rsidRDefault="009666A4" w:rsidP="00571D84">
      <w:pPr>
        <w:pStyle w:val="ListBullet"/>
      </w:pPr>
      <w:r w:rsidRPr="00A6087F">
        <w:t>Five (0.3%) individual properties were suitable for at least one household type living on income support payments without placing them in housing stress</w:t>
      </w:r>
    </w:p>
    <w:p w14:paraId="40581D08" w14:textId="16C00FF0" w:rsidR="009666A4" w:rsidRPr="00A6087F" w:rsidRDefault="009666A4" w:rsidP="00571D84">
      <w:pPr>
        <w:pStyle w:val="ListBullet"/>
      </w:pPr>
      <w:r w:rsidRPr="00A6087F">
        <w:t>36 (2.6%) individual properties were suitable for at least one household type living on minimum wage without placing them in housing stress</w:t>
      </w:r>
    </w:p>
    <w:p w14:paraId="0F5E9D2B" w14:textId="0207AF3E" w:rsidR="009666A4" w:rsidRPr="00A6087F" w:rsidRDefault="009666A4" w:rsidP="00571D84">
      <w:pPr>
        <w:pStyle w:val="ListBullet"/>
      </w:pPr>
      <w:r w:rsidRPr="00A6087F">
        <w:t xml:space="preserve">None were affordable and appropriate for a single person or single parent on </w:t>
      </w:r>
      <w:proofErr w:type="spellStart"/>
      <w:r w:rsidRPr="00A6087F">
        <w:t>JobSeeker</w:t>
      </w:r>
      <w:proofErr w:type="spellEnd"/>
      <w:r w:rsidRPr="00A6087F">
        <w:t xml:space="preserve"> or a single person on Disability Support Pension or Youth Allowance</w:t>
      </w:r>
    </w:p>
    <w:p w14:paraId="561935DA" w14:textId="620CEAEF" w:rsidR="00C82D1D" w:rsidRPr="00A6087F" w:rsidRDefault="009666A4" w:rsidP="00571D84">
      <w:pPr>
        <w:pStyle w:val="ListBullet"/>
      </w:pPr>
      <w:r w:rsidRPr="00A6087F">
        <w:t xml:space="preserve">Less than 1% were affordable for a single person or couple on the age pension, a couple with children on </w:t>
      </w:r>
      <w:proofErr w:type="spellStart"/>
      <w:r w:rsidRPr="00A6087F">
        <w:t>JobSeeker</w:t>
      </w:r>
      <w:proofErr w:type="spellEnd"/>
      <w:r w:rsidRPr="00A6087F">
        <w:t xml:space="preserve">, a single parent on Parenting Payment Single, or a single parent or couple with children on the minimum wage plus </w:t>
      </w:r>
      <w:r w:rsidR="00D84888" w:rsidRPr="00A6087F">
        <w:t>Family Tax Benefit</w:t>
      </w:r>
      <w:r w:rsidRPr="00A6087F">
        <w:t xml:space="preserve"> A and/or B.</w:t>
      </w:r>
    </w:p>
    <w:p w14:paraId="0CB2E660" w14:textId="0A477948" w:rsidR="00612EDD" w:rsidRPr="00A6087F" w:rsidRDefault="001C0BA3" w:rsidP="001C0BA3">
      <w:pPr>
        <w:pStyle w:val="BodyText"/>
      </w:pPr>
      <w:r w:rsidRPr="00A6087F">
        <w:t xml:space="preserve">In addition to the chronic shortage of affordable private rental properties, there is also a significant shortage of social and affordable housing in the ACT. </w:t>
      </w:r>
      <w:r w:rsidR="00571D84" w:rsidRPr="00A6087F">
        <w:t>Much more federal and territory government investment will be needed to address our worsening social housing shortage and growing social housing waiting list. As at 30 June 2020, social housing households made up 6.7% of all ACT households.</w:t>
      </w:r>
      <w:r w:rsidR="00031EB8">
        <w:rPr>
          <w:rStyle w:val="FootnoteReference"/>
        </w:rPr>
        <w:footnoteReference w:id="37"/>
      </w:r>
      <w:r w:rsidR="00571D84" w:rsidRPr="00A6087F">
        <w:t xml:space="preserve"> This proportion – or social share – of households has been declining since 2014 when it was 7.6%.</w:t>
      </w:r>
      <w:r w:rsidR="005431FF" w:rsidRPr="00A6087F">
        <w:rPr>
          <w:rStyle w:val="FootnoteReference"/>
        </w:rPr>
        <w:footnoteReference w:id="38"/>
      </w:r>
      <w:r w:rsidR="00571D84" w:rsidRPr="00A6087F">
        <w:t xml:space="preserve"> As at 7 March 2022, there were 3,028 applications for social housing in the ACT, with the average waiting time for standard housing being 1,585 days or 4.3 years.</w:t>
      </w:r>
      <w:r w:rsidR="00193D10" w:rsidRPr="00A6087F">
        <w:rPr>
          <w:rStyle w:val="FootnoteReference"/>
        </w:rPr>
        <w:footnoteReference w:id="39"/>
      </w:r>
      <w:r w:rsidR="00571D84" w:rsidRPr="00A6087F">
        <w:t xml:space="preserve"> </w:t>
      </w:r>
      <w:r w:rsidR="00592440" w:rsidRPr="00A6087F">
        <w:t>Since 5 July 2021</w:t>
      </w:r>
      <w:r w:rsidR="00571D84" w:rsidRPr="00A6087F">
        <w:t>, the number of applications ha</w:t>
      </w:r>
      <w:r w:rsidR="00D61328" w:rsidRPr="00A6087F">
        <w:t>d</w:t>
      </w:r>
      <w:r w:rsidR="00571D84" w:rsidRPr="00A6087F">
        <w:t xml:space="preserve"> increased by 540 (21.7%) and the waiting time for standard housing has increased by 317 days (25.0%).</w:t>
      </w:r>
      <w:r w:rsidR="00043438" w:rsidRPr="00A6087F">
        <w:rPr>
          <w:rStyle w:val="FootnoteReference"/>
        </w:rPr>
        <w:footnoteReference w:id="40"/>
      </w:r>
      <w:r w:rsidR="00612EDD" w:rsidRPr="00A6087F">
        <w:t xml:space="preserve"> </w:t>
      </w:r>
    </w:p>
    <w:p w14:paraId="56FA2343" w14:textId="576BBB5B" w:rsidR="009E5D48" w:rsidRPr="00A6087F" w:rsidRDefault="00E91D26" w:rsidP="00E91D26">
      <w:pPr>
        <w:pStyle w:val="Image"/>
      </w:pPr>
      <w:r w:rsidRPr="00A6087F">
        <w:rPr>
          <w:noProof/>
        </w:rPr>
        <w:lastRenderedPageBreak/>
        <w:drawing>
          <wp:inline distT="0" distB="0" distL="0" distR="0" wp14:anchorId="5AFF6E25" wp14:editId="5370AFF5">
            <wp:extent cx="5400040" cy="2407920"/>
            <wp:effectExtent l="0" t="0" r="0" b="0"/>
            <wp:docPr id="8" name="Picture 8"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line chart&#10;&#10;Description automatically generated"/>
                    <pic:cNvPicPr/>
                  </pic:nvPicPr>
                  <pic:blipFill>
                    <a:blip r:embed="rId36" cstate="print">
                      <a:extLst>
                        <a:ext uri="{28A0092B-C50C-407E-A947-70E740481C1C}">
                          <a14:useLocalDpi xmlns:a14="http://schemas.microsoft.com/office/drawing/2010/main" val="0"/>
                        </a:ext>
                      </a:extLst>
                    </a:blip>
                    <a:stretch>
                      <a:fillRect/>
                    </a:stretch>
                  </pic:blipFill>
                  <pic:spPr>
                    <a:xfrm>
                      <a:off x="0" y="0"/>
                      <a:ext cx="5400040" cy="2407920"/>
                    </a:xfrm>
                    <a:prstGeom prst="rect">
                      <a:avLst/>
                    </a:prstGeom>
                  </pic:spPr>
                </pic:pic>
              </a:graphicData>
            </a:graphic>
          </wp:inline>
        </w:drawing>
      </w:r>
    </w:p>
    <w:p w14:paraId="49686CE0" w14:textId="0E189DD4" w:rsidR="00E91D26" w:rsidRPr="00A6087F" w:rsidRDefault="009C2234" w:rsidP="00E91D26">
      <w:pPr>
        <w:pStyle w:val="Source"/>
      </w:pPr>
      <w:r w:rsidRPr="00A6087F">
        <w:t xml:space="preserve">Source: </w:t>
      </w:r>
      <w:r w:rsidR="007734C8" w:rsidRPr="00A6087F">
        <w:t>Australian Institute of Health and Welfare</w:t>
      </w:r>
      <w:r w:rsidR="007734C8" w:rsidRPr="00A6087F">
        <w:t xml:space="preserve"> (</w:t>
      </w:r>
      <w:proofErr w:type="spellStart"/>
      <w:r w:rsidRPr="00A6087F">
        <w:t>AIHW</w:t>
      </w:r>
      <w:proofErr w:type="spellEnd"/>
      <w:r w:rsidR="007734C8" w:rsidRPr="00A6087F">
        <w:t>)</w:t>
      </w:r>
      <w:r w:rsidRPr="00A6087F">
        <w:t xml:space="preserve">, ‘Table SOCIAL SHARE.1: Social housing households and all Australian households, by states and territories, at 30 June 2010 to 2020’ [data tables], </w:t>
      </w:r>
      <w:hyperlink r:id="rId37" w:history="1">
        <w:r w:rsidRPr="00A6087F">
          <w:rPr>
            <w:rStyle w:val="Hyperlink"/>
            <w:i/>
            <w:iCs/>
          </w:rPr>
          <w:t>Housing Assistance in Australia</w:t>
        </w:r>
      </w:hyperlink>
      <w:r w:rsidRPr="00A6087F">
        <w:t>, 2021, accessed 8 July 2021</w:t>
      </w:r>
      <w:r w:rsidRPr="00A6087F">
        <w:t xml:space="preserve">; </w:t>
      </w:r>
      <w:r w:rsidRPr="00A6087F">
        <w:t xml:space="preserve">ACTCOSS, </w:t>
      </w:r>
      <w:hyperlink r:id="rId38" w:history="1">
        <w:r w:rsidRPr="00A6087F">
          <w:rPr>
            <w:rStyle w:val="Hyperlink"/>
            <w:i/>
            <w:iCs/>
          </w:rPr>
          <w:t>2022 ACT Cost of Living Report</w:t>
        </w:r>
      </w:hyperlink>
      <w:r w:rsidRPr="00A6087F">
        <w:t xml:space="preserve">, ACTCOSS, Canberra, May 2022, </w:t>
      </w:r>
      <w:r w:rsidRPr="00A6087F">
        <w:t>Figure 9</w:t>
      </w:r>
      <w:r w:rsidRPr="00A6087F">
        <w:t>.</w:t>
      </w:r>
    </w:p>
    <w:p w14:paraId="3EE809B7" w14:textId="616243D6" w:rsidR="00571D84" w:rsidRPr="00A6087F" w:rsidRDefault="00612EDD" w:rsidP="001C0BA3">
      <w:pPr>
        <w:pStyle w:val="BodyText"/>
      </w:pPr>
      <w:r w:rsidRPr="00A6087F">
        <w:t xml:space="preserve">There is an opportunity to advocate to the next </w:t>
      </w:r>
      <w:r w:rsidR="007734C8" w:rsidRPr="00A6087F">
        <w:t>f</w:t>
      </w:r>
      <w:r w:rsidRPr="00A6087F">
        <w:t xml:space="preserve">ederal </w:t>
      </w:r>
      <w:r w:rsidR="007734C8" w:rsidRPr="00A6087F">
        <w:t>g</w:t>
      </w:r>
      <w:r w:rsidRPr="00A6087F">
        <w:t xml:space="preserve">overnment to waive the historical ACT Government debt </w:t>
      </w:r>
      <w:r w:rsidR="00090E3A" w:rsidRPr="00A6087F">
        <w:t xml:space="preserve">– currently valued at </w:t>
      </w:r>
      <w:r w:rsidR="006B106D" w:rsidRPr="00A6087F">
        <w:t>$98.</w:t>
      </w:r>
      <w:r w:rsidR="00DD02DC" w:rsidRPr="00A6087F">
        <w:t>3 million</w:t>
      </w:r>
      <w:r w:rsidR="00C80241" w:rsidRPr="00A6087F">
        <w:rPr>
          <w:rStyle w:val="FootnoteReference"/>
        </w:rPr>
        <w:footnoteReference w:id="41"/>
      </w:r>
      <w:r w:rsidR="00C80241" w:rsidRPr="00A6087F">
        <w:t xml:space="preserve"> </w:t>
      </w:r>
      <w:r w:rsidR="007734C8" w:rsidRPr="00A6087F">
        <w:t>–</w:t>
      </w:r>
      <w:r w:rsidR="00090E3A" w:rsidRPr="00A6087F">
        <w:t xml:space="preserve"> </w:t>
      </w:r>
      <w:r w:rsidRPr="00A6087F">
        <w:t xml:space="preserve">to the Commonwealth for previous federal investment in social housing in exchange for reinvestment of this sum in new social housing. It is </w:t>
      </w:r>
      <w:proofErr w:type="spellStart"/>
      <w:r w:rsidRPr="00A6087F">
        <w:t>ACTCOSS’s</w:t>
      </w:r>
      <w:proofErr w:type="spellEnd"/>
      <w:r w:rsidRPr="00A6087F">
        <w:t xml:space="preserve"> understanding that this would not entail a negative impact on the overall fiscal position of the ACT Government. At an estimated cost of $500,000 per public housing dwelling, this </w:t>
      </w:r>
      <w:r w:rsidR="003642C1" w:rsidRPr="00A6087F">
        <w:t>could support</w:t>
      </w:r>
      <w:r w:rsidRPr="00A6087F">
        <w:t xml:space="preserve"> an increase of </w:t>
      </w:r>
      <w:r w:rsidR="00166C3D" w:rsidRPr="00A6087F">
        <w:t>almo</w:t>
      </w:r>
      <w:r w:rsidR="003D30E3" w:rsidRPr="00A6087F">
        <w:t>s</w:t>
      </w:r>
      <w:r w:rsidR="00166C3D" w:rsidRPr="00A6087F">
        <w:t>t 200</w:t>
      </w:r>
      <w:r w:rsidRPr="00A6087F">
        <w:t xml:space="preserve"> public housing dwellings</w:t>
      </w:r>
      <w:r w:rsidR="002D2277" w:rsidRPr="00A6087F">
        <w:t>, providing rentals to people on the lowest incomes</w:t>
      </w:r>
      <w:r w:rsidR="00E41860" w:rsidRPr="00A6087F">
        <w:t>.</w:t>
      </w:r>
      <w:r w:rsidR="003D30E3" w:rsidRPr="00A6087F">
        <w:rPr>
          <w:rStyle w:val="FootnoteReference"/>
        </w:rPr>
        <w:footnoteReference w:id="42"/>
      </w:r>
      <w:r w:rsidR="00E41860" w:rsidRPr="00A6087F">
        <w:t xml:space="preserve"> At an estimated </w:t>
      </w:r>
      <w:r w:rsidR="003642C1" w:rsidRPr="00A6087F">
        <w:t xml:space="preserve">total ‘cost to </w:t>
      </w:r>
      <w:r w:rsidR="008727DA" w:rsidRPr="00A6087F">
        <w:t>g</w:t>
      </w:r>
      <w:r w:rsidR="003642C1" w:rsidRPr="00A6087F">
        <w:t xml:space="preserve">overnment’ </w:t>
      </w:r>
      <w:r w:rsidR="002A21E3" w:rsidRPr="00A6087F">
        <w:t>conservatively estimated at</w:t>
      </w:r>
      <w:r w:rsidR="00E41860" w:rsidRPr="00A6087F">
        <w:t xml:space="preserve"> $150,000 per affordable rental dwelling managed by a CHP, this would result in an increase of </w:t>
      </w:r>
      <w:r w:rsidR="008E17BA" w:rsidRPr="00A6087F">
        <w:t xml:space="preserve">over 650 </w:t>
      </w:r>
      <w:r w:rsidR="00E41860" w:rsidRPr="00A6087F">
        <w:t>affordable rentals</w:t>
      </w:r>
      <w:r w:rsidR="00991A28" w:rsidRPr="00A6087F">
        <w:t xml:space="preserve"> for people on low to moderate incomes (second quintile)</w:t>
      </w:r>
      <w:r w:rsidR="00E41860" w:rsidRPr="00A6087F">
        <w:t>.</w:t>
      </w:r>
      <w:r w:rsidR="0067153F" w:rsidRPr="00A6087F">
        <w:rPr>
          <w:rStyle w:val="FootnoteReference"/>
        </w:rPr>
        <w:footnoteReference w:id="43"/>
      </w:r>
      <w:r w:rsidRPr="00A6087F">
        <w:t xml:space="preserve"> </w:t>
      </w:r>
      <w:r w:rsidR="00995455" w:rsidRPr="00A6087F">
        <w:t>While these are large sums, it is important to note that for every $1 million of public investment in social housing, gross domestic product (GDP) is boosted by $1.3m.</w:t>
      </w:r>
      <w:r w:rsidR="00995455" w:rsidRPr="00A6087F">
        <w:rPr>
          <w:rStyle w:val="FootnoteReference"/>
        </w:rPr>
        <w:footnoteReference w:id="44"/>
      </w:r>
    </w:p>
    <w:p w14:paraId="098AB055" w14:textId="465035DE" w:rsidR="0095021F" w:rsidRPr="00A6087F" w:rsidRDefault="001C0BA3" w:rsidP="0095021F">
      <w:pPr>
        <w:pStyle w:val="BodyText"/>
      </w:pPr>
      <w:r w:rsidRPr="00A6087F">
        <w:t>ACTCOSS has welcomed the ACT Government’s commitment under the Parliamentary and Governing Agreement to deliver an additional 400 public housing dwelling</w:t>
      </w:r>
      <w:r w:rsidR="002A21E3" w:rsidRPr="00A6087F">
        <w:t>s</w:t>
      </w:r>
      <w:r w:rsidRPr="00A6087F">
        <w:t xml:space="preserve"> by 2025 and 600 additional affordable housing dwellings by </w:t>
      </w:r>
      <w:r w:rsidRPr="00A6087F">
        <w:lastRenderedPageBreak/>
        <w:t>2025-26.</w:t>
      </w:r>
      <w:r w:rsidR="0005343E" w:rsidRPr="00A6087F">
        <w:rPr>
          <w:rStyle w:val="FootnoteReference"/>
        </w:rPr>
        <w:footnoteReference w:id="45"/>
      </w:r>
      <w:r w:rsidR="003D3AE0">
        <w:t xml:space="preserve"> </w:t>
      </w:r>
      <w:r w:rsidRPr="00A6087F">
        <w:t xml:space="preserve">However, this commitment falls well short of </w:t>
      </w:r>
      <w:r w:rsidR="00CE48B2" w:rsidRPr="00A6087F">
        <w:t>our community’s</w:t>
      </w:r>
      <w:r w:rsidRPr="00A6087F">
        <w:t xml:space="preserve"> need for social and affordable housing. It has been estimated that the ACT has a </w:t>
      </w:r>
      <w:r w:rsidR="001C464C" w:rsidRPr="00A6087F">
        <w:t xml:space="preserve">current </w:t>
      </w:r>
      <w:r w:rsidRPr="00A6087F">
        <w:t>shortfall of 3,100 social housing properties, with 8,500 additional social housing dwellings needed by 2036 to meet the ACT’s current and projected need</w:t>
      </w:r>
      <w:r w:rsidR="00CE4A5E" w:rsidRPr="00A6087F">
        <w:t xml:space="preserve"> for rentals (</w:t>
      </w:r>
      <w:r w:rsidR="008F4D9B" w:rsidRPr="00A6087F">
        <w:t>usually</w:t>
      </w:r>
      <w:r w:rsidR="00CE4A5E" w:rsidRPr="00A6087F">
        <w:t xml:space="preserve"> pegged at 25% of incom</w:t>
      </w:r>
      <w:r w:rsidR="008F4D9B" w:rsidRPr="00A6087F">
        <w:t xml:space="preserve">e) </w:t>
      </w:r>
      <w:r w:rsidR="00CE4A5E" w:rsidRPr="00A6087F">
        <w:t>that are affordable for those on the lowest incomes</w:t>
      </w:r>
      <w:r w:rsidRPr="00A6087F">
        <w:t>.</w:t>
      </w:r>
      <w:r w:rsidR="005146AB" w:rsidRPr="00A6087F">
        <w:rPr>
          <w:rStyle w:val="FootnoteReference"/>
        </w:rPr>
        <w:footnoteReference w:id="46"/>
      </w:r>
      <w:r w:rsidR="003D3AE0">
        <w:t xml:space="preserve"> </w:t>
      </w:r>
      <w:r w:rsidR="00F72EB0" w:rsidRPr="00A6087F">
        <w:t>Further, it has been estimated that there is a current shortfall of 2,400 affordable housing dwellings in the ACT, with 3,400 additional affordable housing dwellings required by 2036 to meet our current and projected need.</w:t>
      </w:r>
      <w:r w:rsidR="006E357E" w:rsidRPr="00A6087F">
        <w:rPr>
          <w:rStyle w:val="FootnoteReference"/>
        </w:rPr>
        <w:footnoteReference w:id="47"/>
      </w:r>
      <w:r w:rsidR="00F72EB0" w:rsidRPr="00A6087F">
        <w:t xml:space="preserve"> </w:t>
      </w:r>
      <w:r w:rsidR="00E41860" w:rsidRPr="00A6087F">
        <w:t xml:space="preserve">This underscores the need for the </w:t>
      </w:r>
      <w:r w:rsidR="00F278EF" w:rsidRPr="00A6087F">
        <w:t>g</w:t>
      </w:r>
      <w:r w:rsidR="00E41860" w:rsidRPr="00A6087F">
        <w:t>overnment to increase investment in this area.</w:t>
      </w:r>
    </w:p>
    <w:p w14:paraId="2399AAAD" w14:textId="4C7198EF" w:rsidR="00241325" w:rsidRPr="00A6087F" w:rsidRDefault="00241325" w:rsidP="00F278EF">
      <w:pPr>
        <w:pStyle w:val="BodyText"/>
      </w:pPr>
      <w:r w:rsidRPr="00A6087F">
        <w:t xml:space="preserve">There is a significant opportunity to meet the </w:t>
      </w:r>
      <w:proofErr w:type="spellStart"/>
      <w:r w:rsidRPr="00A6087F">
        <w:t>PAGA</w:t>
      </w:r>
      <w:proofErr w:type="spellEnd"/>
      <w:r w:rsidRPr="00A6087F">
        <w:t xml:space="preserve"> target (600) for </w:t>
      </w:r>
      <w:r w:rsidR="00D73EAF" w:rsidRPr="00A6087F">
        <w:t xml:space="preserve">affordable rentals, </w:t>
      </w:r>
      <w:r w:rsidRPr="00A6087F">
        <w:t xml:space="preserve">and to exceed it to approach the </w:t>
      </w:r>
      <w:r w:rsidR="00D73EAF" w:rsidRPr="00A6087F">
        <w:t>modelled need of 2,400 properties.</w:t>
      </w:r>
      <w:r w:rsidR="00D73EAF" w:rsidRPr="00A6087F">
        <w:rPr>
          <w:vertAlign w:val="superscript"/>
        </w:rPr>
        <w:footnoteReference w:id="48"/>
      </w:r>
      <w:r w:rsidR="003D3AE0">
        <w:rPr>
          <w:vertAlign w:val="superscript"/>
        </w:rPr>
        <w:t xml:space="preserve"> </w:t>
      </w:r>
      <w:r w:rsidR="00D73EAF" w:rsidRPr="00A6087F">
        <w:t xml:space="preserve">Community housing providers are experts in providing affordable rentals but are currently often unable to take up restricted land release offers – see </w:t>
      </w:r>
      <w:proofErr w:type="spellStart"/>
      <w:r w:rsidR="00D73EAF" w:rsidRPr="00A6087F">
        <w:t>ACTCOSS’s</w:t>
      </w:r>
      <w:proofErr w:type="spellEnd"/>
      <w:r w:rsidR="00D73EAF" w:rsidRPr="00A6087F">
        <w:t xml:space="preserve"> submission to the </w:t>
      </w:r>
      <w:r w:rsidR="00E661EC" w:rsidRPr="00A6087F">
        <w:t xml:space="preserve">Inquiry into </w:t>
      </w:r>
      <w:r w:rsidR="00D22800">
        <w:t xml:space="preserve">the </w:t>
      </w:r>
      <w:hyperlink r:id="rId39" w:history="1">
        <w:r w:rsidR="00C66E0E" w:rsidRPr="007168D9">
          <w:rPr>
            <w:rStyle w:val="Hyperlink"/>
          </w:rPr>
          <w:t>Auditor General’s report on the Residential Land Supply and Release Scheme</w:t>
        </w:r>
      </w:hyperlink>
      <w:r w:rsidR="0084255F" w:rsidRPr="0084255F">
        <w:t>. CHIA has estimated a total ‘co</w:t>
      </w:r>
      <w:r w:rsidR="00E42F32" w:rsidRPr="00A6087F">
        <w:t xml:space="preserve">st to </w:t>
      </w:r>
      <w:r w:rsidR="00BF6A4B" w:rsidRPr="00A6087F">
        <w:t>g</w:t>
      </w:r>
      <w:r w:rsidR="00E42F32" w:rsidRPr="00A6087F">
        <w:t>overnment’</w:t>
      </w:r>
      <w:r w:rsidR="00D73EAF" w:rsidRPr="00A6087F">
        <w:t xml:space="preserve"> of </w:t>
      </w:r>
      <w:r w:rsidR="00CB5CAF" w:rsidRPr="00A6087F">
        <w:t xml:space="preserve">$100,000 to $150,000 </w:t>
      </w:r>
      <w:r w:rsidR="00D73EAF" w:rsidRPr="00A6087F">
        <w:t>per dwelling would allow construction of suitable dwellings.</w:t>
      </w:r>
      <w:r w:rsidR="00E42F32" w:rsidRPr="00A6087F">
        <w:rPr>
          <w:rStyle w:val="FootnoteReference"/>
        </w:rPr>
        <w:footnoteReference w:id="49"/>
      </w:r>
      <w:r w:rsidR="00E42F32" w:rsidRPr="00A6087F">
        <w:t xml:space="preserve"> </w:t>
      </w:r>
      <w:r w:rsidR="00D73EAF" w:rsidRPr="00A6087F">
        <w:t>CHPs are able to provide rentals at 74.9% of market value over at least twenty</w:t>
      </w:r>
      <w:r w:rsidRPr="00A6087F">
        <w:t>-</w:t>
      </w:r>
      <w:r w:rsidR="00D73EAF" w:rsidRPr="00A6087F">
        <w:t xml:space="preserve">year periods which would be affordable to people on low to moderate incomes (second quintile). </w:t>
      </w:r>
    </w:p>
    <w:p w14:paraId="4A02A261" w14:textId="2CF22B20" w:rsidR="00D73EAF" w:rsidRPr="00A6087F" w:rsidRDefault="00241325" w:rsidP="00F278EF">
      <w:pPr>
        <w:pStyle w:val="BodyText"/>
      </w:pPr>
      <w:r w:rsidRPr="00A6087F">
        <w:t>ACTCOSS recommends that clear direction is provided to</w:t>
      </w:r>
      <w:r w:rsidR="00D73EAF" w:rsidRPr="00A6087F">
        <w:t xml:space="preserve"> the SLA to ensure restrictions placed on assigned plots for release are sufficient to produce valuations significantly below market and/or a revision to the Planning Act must be made to allow discounted land sales for defined social outcomes. </w:t>
      </w:r>
      <w:r w:rsidRPr="00A6087F">
        <w:t xml:space="preserve">The </w:t>
      </w:r>
      <w:r w:rsidR="00BF6A4B" w:rsidRPr="00A6087F">
        <w:t>g</w:t>
      </w:r>
      <w:r w:rsidRPr="00A6087F">
        <w:t>overnment could also consider holding</w:t>
      </w:r>
      <w:r w:rsidR="00D73EAF" w:rsidRPr="00A6087F">
        <w:t xml:space="preserve"> a stake in the equity of these properties to be realised if the properties are sold</w:t>
      </w:r>
      <w:r w:rsidR="00E41860" w:rsidRPr="00A6087F">
        <w:t xml:space="preserve"> at a future date</w:t>
      </w:r>
      <w:r w:rsidR="00D73EAF" w:rsidRPr="00A6087F">
        <w:t xml:space="preserve"> on the market.</w:t>
      </w:r>
      <w:r w:rsidRPr="00A6087F">
        <w:t xml:space="preserve"> </w:t>
      </w:r>
      <w:r w:rsidR="00E41860" w:rsidRPr="00A6087F">
        <w:t xml:space="preserve">This would reduce the impact on the </w:t>
      </w:r>
      <w:r w:rsidR="00BF6A4B" w:rsidRPr="00A6087F">
        <w:t>g</w:t>
      </w:r>
      <w:r w:rsidR="00E41860" w:rsidRPr="00A6087F">
        <w:t>overnment’s balance sheet from this type of investment.</w:t>
      </w:r>
    </w:p>
    <w:p w14:paraId="41908CB8" w14:textId="763DD5DF" w:rsidR="00B94440" w:rsidRPr="00A6087F" w:rsidRDefault="00B94440" w:rsidP="00F278EF">
      <w:pPr>
        <w:pStyle w:val="BodyText"/>
      </w:pPr>
      <w:r w:rsidRPr="00A6087F">
        <w:t xml:space="preserve">The housing crisis needs to be tackled urgently. Private rental affordability is likely to get much worse. An expert panel at the recent national </w:t>
      </w:r>
      <w:proofErr w:type="spellStart"/>
      <w:r w:rsidRPr="00A6087F">
        <w:t>AHURI</w:t>
      </w:r>
      <w:proofErr w:type="spellEnd"/>
      <w:r w:rsidRPr="00A6087F">
        <w:t xml:space="preserve"> Shelter Conference was unanimous in projecting that private rents in all major cities will likely rise by over 10% in the coming year. </w:t>
      </w:r>
      <w:r w:rsidR="00507A40" w:rsidRPr="00A6087F">
        <w:t xml:space="preserve">With vacancy rates </w:t>
      </w:r>
      <w:r w:rsidR="00E21C80" w:rsidRPr="00A6087F">
        <w:t xml:space="preserve">currently at </w:t>
      </w:r>
      <w:r w:rsidR="003473A2" w:rsidRPr="00A6087F">
        <w:t xml:space="preserve">a </w:t>
      </w:r>
      <w:r w:rsidR="00E21C80" w:rsidRPr="00A6087F">
        <w:lastRenderedPageBreak/>
        <w:t>record low level</w:t>
      </w:r>
      <w:r w:rsidR="003473A2" w:rsidRPr="00A6087F">
        <w:t>, t</w:t>
      </w:r>
      <w:r w:rsidRPr="00A6087F">
        <w:t xml:space="preserve">here is every indication that the Canberra rental market will remain the </w:t>
      </w:r>
      <w:r w:rsidR="00507A40" w:rsidRPr="00A6087F">
        <w:t>least affordable</w:t>
      </w:r>
      <w:r w:rsidRPr="00A6087F">
        <w:t xml:space="preserve"> in the country, squeezing many out of the market. This will put further pressure on </w:t>
      </w:r>
      <w:r w:rsidR="00FA1CFF" w:rsidRPr="00A6087F">
        <w:t xml:space="preserve">the limited supply of social housing, and sadly </w:t>
      </w:r>
      <w:r w:rsidR="0079230D" w:rsidRPr="00A6087F">
        <w:t>som</w:t>
      </w:r>
      <w:r w:rsidR="00F36C99" w:rsidRPr="00A6087F">
        <w:t xml:space="preserve">e people will </w:t>
      </w:r>
      <w:r w:rsidR="00356E92" w:rsidRPr="00A6087F">
        <w:t>be left in unsafe and insecure housing</w:t>
      </w:r>
      <w:r w:rsidR="008B365A" w:rsidRPr="00A6087F">
        <w:t xml:space="preserve">, </w:t>
      </w:r>
      <w:r w:rsidR="00B31E1B" w:rsidRPr="00A6087F">
        <w:t xml:space="preserve">couch surfing, </w:t>
      </w:r>
      <w:r w:rsidR="008B365A" w:rsidRPr="00A6087F">
        <w:t>sleeping rough</w:t>
      </w:r>
      <w:r w:rsidR="00B31E1B" w:rsidRPr="00A6087F">
        <w:t>,</w:t>
      </w:r>
      <w:r w:rsidR="008B365A" w:rsidRPr="00A6087F">
        <w:t xml:space="preserve"> or in their cars</w:t>
      </w:r>
      <w:r w:rsidR="005530C0" w:rsidRPr="00A6087F">
        <w:t>.</w:t>
      </w:r>
    </w:p>
    <w:p w14:paraId="5D109FE3" w14:textId="03E9B10B" w:rsidR="00052416" w:rsidRPr="00A6087F" w:rsidRDefault="008D1329" w:rsidP="00B94440">
      <w:pPr>
        <w:pStyle w:val="BodyText"/>
      </w:pPr>
      <w:r w:rsidRPr="00A6087F">
        <w:t xml:space="preserve">The </w:t>
      </w:r>
      <w:r w:rsidR="00567068" w:rsidRPr="00A6087F">
        <w:t xml:space="preserve">last </w:t>
      </w:r>
      <w:r w:rsidR="00C25DFA" w:rsidRPr="00A6087F">
        <w:t>g</w:t>
      </w:r>
      <w:r w:rsidR="00680059" w:rsidRPr="00A6087F">
        <w:t xml:space="preserve">overnment </w:t>
      </w:r>
      <w:r w:rsidR="00561158" w:rsidRPr="00A6087F">
        <w:t xml:space="preserve">estimate available </w:t>
      </w:r>
      <w:r w:rsidR="00680059" w:rsidRPr="00A6087F">
        <w:t xml:space="preserve">put the number of </w:t>
      </w:r>
      <w:r w:rsidR="0069543A" w:rsidRPr="00A6087F">
        <w:t xml:space="preserve">people experiencing </w:t>
      </w:r>
      <w:r w:rsidR="00680059" w:rsidRPr="00A6087F">
        <w:t>homeless</w:t>
      </w:r>
      <w:r w:rsidR="0069543A" w:rsidRPr="00A6087F">
        <w:t>ness</w:t>
      </w:r>
      <w:r w:rsidR="00680059" w:rsidRPr="00A6087F">
        <w:t xml:space="preserve"> in Canberra at 1,600.</w:t>
      </w:r>
      <w:r w:rsidR="00A872DE" w:rsidRPr="00A6087F">
        <w:rPr>
          <w:rStyle w:val="FootnoteReference"/>
        </w:rPr>
        <w:footnoteReference w:id="50"/>
      </w:r>
      <w:r w:rsidR="00680059" w:rsidRPr="00A6087F">
        <w:t xml:space="preserve"> </w:t>
      </w:r>
      <w:r w:rsidR="00B50B57" w:rsidRPr="00A6087F">
        <w:t xml:space="preserve">Community sector organisations working with </w:t>
      </w:r>
      <w:r w:rsidR="00C3426A" w:rsidRPr="00A6087F">
        <w:t>people experiencing</w:t>
      </w:r>
      <w:r w:rsidR="008175FB" w:rsidRPr="00A6087F">
        <w:t xml:space="preserve"> or at risk of</w:t>
      </w:r>
      <w:r w:rsidR="00C3426A" w:rsidRPr="00A6087F">
        <w:t xml:space="preserve"> homelessness</w:t>
      </w:r>
      <w:r w:rsidR="00B50B57" w:rsidRPr="00A6087F">
        <w:t xml:space="preserve"> report that </w:t>
      </w:r>
      <w:r w:rsidR="000B6F9C" w:rsidRPr="00A6087F">
        <w:t xml:space="preserve">numbers are increasing as we enter the winter season. </w:t>
      </w:r>
      <w:r w:rsidR="00A330AE" w:rsidRPr="00A6087F">
        <w:t>During the pandemic</w:t>
      </w:r>
      <w:r w:rsidR="00C25DFA" w:rsidRPr="00A6087F">
        <w:t>,</w:t>
      </w:r>
      <w:r w:rsidR="00A330AE" w:rsidRPr="00A6087F">
        <w:t xml:space="preserve"> </w:t>
      </w:r>
      <w:r w:rsidR="00C25DFA" w:rsidRPr="00A6087F">
        <w:t>g</w:t>
      </w:r>
      <w:r w:rsidR="00A330AE" w:rsidRPr="00A6087F">
        <w:t xml:space="preserve">overnment </w:t>
      </w:r>
      <w:r w:rsidR="0010600D" w:rsidRPr="00A6087F">
        <w:t>supported more people</w:t>
      </w:r>
      <w:r w:rsidR="00A330AE" w:rsidRPr="00A6087F">
        <w:t xml:space="preserve"> into temporary accommodation</w:t>
      </w:r>
      <w:r w:rsidR="00C6563A" w:rsidRPr="00A6087F">
        <w:t xml:space="preserve">, demonstrating that </w:t>
      </w:r>
      <w:r w:rsidR="00BD08C4" w:rsidRPr="00A6087F">
        <w:t>we can achieve zero homelessness</w:t>
      </w:r>
      <w:r w:rsidR="00963909" w:rsidRPr="00A6087F">
        <w:t xml:space="preserve">. </w:t>
      </w:r>
      <w:r w:rsidR="00507A40" w:rsidRPr="00A6087F">
        <w:t>A</w:t>
      </w:r>
      <w:r w:rsidR="00963909" w:rsidRPr="00A6087F">
        <w:t>chieving this target in the long</w:t>
      </w:r>
      <w:r w:rsidR="00052EFA" w:rsidRPr="00A6087F">
        <w:t xml:space="preserve"> </w:t>
      </w:r>
      <w:r w:rsidR="00963909" w:rsidRPr="00A6087F">
        <w:t xml:space="preserve">term will require additional investment in the supply of temporary and long-term accommodation, and wrap-around support services by </w:t>
      </w:r>
      <w:r w:rsidR="00C52F68" w:rsidRPr="00A6087F">
        <w:t>g</w:t>
      </w:r>
      <w:r w:rsidR="00963909" w:rsidRPr="00A6087F">
        <w:t xml:space="preserve">overnment and community sector providers to help people </w:t>
      </w:r>
      <w:r w:rsidR="000654D1" w:rsidRPr="00A6087F">
        <w:t>with high and complex needs.</w:t>
      </w:r>
    </w:p>
    <w:p w14:paraId="23D56DC8" w14:textId="2D632F7D" w:rsidR="005530C0" w:rsidRPr="00A6087F" w:rsidRDefault="00052416" w:rsidP="00B94440">
      <w:pPr>
        <w:pStyle w:val="BodyText"/>
      </w:pPr>
      <w:r w:rsidRPr="00A6087F">
        <w:t xml:space="preserve">ACTCOSS recommends that the ongoing homeless commissioning process </w:t>
      </w:r>
      <w:r w:rsidR="00D76418" w:rsidRPr="00A6087F">
        <w:t>leads to a clear strategy and an implementation plan to tackle homelessness and sets an overall target of zero homelessness in the community.</w:t>
      </w:r>
    </w:p>
    <w:p w14:paraId="3B167B69" w14:textId="77777777" w:rsidR="00B94440" w:rsidRPr="00A6087F" w:rsidRDefault="00B94440" w:rsidP="00D73EA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p>
    <w:p w14:paraId="37BF9130" w14:textId="05DE80ED" w:rsidR="00E44370" w:rsidRPr="00A6087F" w:rsidRDefault="00E44370" w:rsidP="002F4154">
      <w:pPr>
        <w:pStyle w:val="Heading2"/>
      </w:pPr>
      <w:bookmarkStart w:id="8" w:name="_Hlk103333873"/>
      <w:bookmarkStart w:id="9" w:name="_Toc103872181"/>
      <w:r w:rsidRPr="00A6087F">
        <w:lastRenderedPageBreak/>
        <w:t>Valuing the Community Sector</w:t>
      </w:r>
      <w:bookmarkEnd w:id="9"/>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887A53" w:rsidRPr="00A6087F" w14:paraId="66261A43" w14:textId="77777777" w:rsidTr="00F803DA">
        <w:trPr>
          <w:cantSplit/>
        </w:trPr>
        <w:tc>
          <w:tcPr>
            <w:tcW w:w="8720" w:type="dxa"/>
            <w:shd w:val="clear" w:color="auto" w:fill="auto"/>
            <w:tcMar>
              <w:left w:w="170" w:type="dxa"/>
              <w:right w:w="170" w:type="dxa"/>
            </w:tcMar>
          </w:tcPr>
          <w:bookmarkEnd w:id="8"/>
          <w:p w14:paraId="58F9792A" w14:textId="57577D93" w:rsidR="00887A53" w:rsidRPr="00A6087F" w:rsidRDefault="00887A53" w:rsidP="00F803DA">
            <w:pPr>
              <w:pStyle w:val="Recommendationsheading"/>
            </w:pPr>
            <w:r w:rsidRPr="00A6087F">
              <w:t xml:space="preserve">Recommendations </w:t>
            </w:r>
          </w:p>
          <w:p w14:paraId="2CA7C60B" w14:textId="2CE1D1F9" w:rsidR="00C21F51" w:rsidRPr="00A6087F" w:rsidRDefault="00C21F51" w:rsidP="00C21F51">
            <w:pPr>
              <w:pStyle w:val="ListBullet"/>
            </w:pPr>
            <w:r w:rsidRPr="00A6087F">
              <w:t xml:space="preserve">Use the </w:t>
            </w:r>
            <w:hyperlink r:id="rId40" w:history="1">
              <w:r w:rsidRPr="00A6087F">
                <w:rPr>
                  <w:rStyle w:val="Hyperlink"/>
                  <w:i/>
                  <w:iCs/>
                </w:rPr>
                <w:t>Counting the Costs</w:t>
              </w:r>
            </w:hyperlink>
            <w:r w:rsidRPr="00A6087F">
              <w:rPr>
                <w:i/>
                <w:iCs/>
              </w:rPr>
              <w:t xml:space="preserve"> </w:t>
            </w:r>
            <w:r w:rsidRPr="00A6087F">
              <w:t>report’s revised methodology for the community sector’s indexation rate</w:t>
            </w:r>
          </w:p>
          <w:p w14:paraId="3B655629" w14:textId="77777777" w:rsidR="00C21F51" w:rsidRPr="00A6087F" w:rsidRDefault="00C21F51" w:rsidP="00C21F51">
            <w:pPr>
              <w:pStyle w:val="ListBullet"/>
            </w:pPr>
            <w:r w:rsidRPr="00A6087F">
              <w:t xml:space="preserve">Ensure annually renewed contracts are also indexed adequately </w:t>
            </w:r>
          </w:p>
          <w:p w14:paraId="39A72548" w14:textId="77777777" w:rsidR="00C21F51" w:rsidRPr="00A6087F" w:rsidRDefault="00C21F51" w:rsidP="00C21F51">
            <w:pPr>
              <w:pStyle w:val="ListBullet"/>
            </w:pPr>
            <w:r w:rsidRPr="00A6087F">
              <w:t>Increase community sector funding to cover all costs including staffing, service delivery, engagement in commissioning and policy processes and monitoring and evaluation</w:t>
            </w:r>
          </w:p>
          <w:p w14:paraId="27CEBAAA" w14:textId="0BC20AF6" w:rsidR="00751996" w:rsidRPr="00A6087F" w:rsidRDefault="00751996" w:rsidP="00C21F51">
            <w:pPr>
              <w:pStyle w:val="ListBullet"/>
              <w:rPr>
                <w:i/>
              </w:rPr>
            </w:pPr>
            <w:r w:rsidRPr="00A6087F">
              <w:t xml:space="preserve">Work with the community sector through the Industry Strategy Steering Group to develop a workforce strategy </w:t>
            </w:r>
            <w:r w:rsidR="00F82031" w:rsidRPr="00A6087F">
              <w:t xml:space="preserve">and career pathways to recruit and retain </w:t>
            </w:r>
            <w:r w:rsidR="008C53A1" w:rsidRPr="00A6087F">
              <w:t xml:space="preserve">staff, as outlined in the </w:t>
            </w:r>
            <w:r w:rsidR="003E37B3" w:rsidRPr="00A6087F">
              <w:t xml:space="preserve">April 2019 </w:t>
            </w:r>
            <w:hyperlink r:id="rId41" w:history="1">
              <w:r w:rsidR="005B2548" w:rsidRPr="00A6087F">
                <w:rPr>
                  <w:rStyle w:val="Hyperlink"/>
                  <w:i/>
                </w:rPr>
                <w:t xml:space="preserve">Workforce Data and Community Needs Analysis </w:t>
              </w:r>
            </w:hyperlink>
            <w:r w:rsidR="003E37B3" w:rsidRPr="00A6087F">
              <w:rPr>
                <w:i/>
              </w:rPr>
              <w:t xml:space="preserve"> </w:t>
            </w:r>
          </w:p>
          <w:p w14:paraId="5C4E1272" w14:textId="77777777" w:rsidR="00C21F51" w:rsidRPr="00A6087F" w:rsidRDefault="00C21F51" w:rsidP="00C21F51">
            <w:pPr>
              <w:pStyle w:val="ListBullet"/>
              <w:tabs>
                <w:tab w:val="num" w:pos="567"/>
              </w:tabs>
            </w:pPr>
            <w:r w:rsidRPr="00A6087F">
              <w:t>Ensure commissioning process responds to increased demand and complexity of need across all directorates, with particular attention to the needs of Aboriginal and/or Torres Strait Islander peoples</w:t>
            </w:r>
          </w:p>
          <w:p w14:paraId="3A2690B5" w14:textId="77777777" w:rsidR="00C21F51" w:rsidRPr="00A6087F" w:rsidRDefault="00C21F51" w:rsidP="00C21F51">
            <w:pPr>
              <w:pStyle w:val="ListBullet"/>
              <w:tabs>
                <w:tab w:val="num" w:pos="567"/>
              </w:tabs>
            </w:pPr>
            <w:r w:rsidRPr="00A6087F">
              <w:t>Properly fund ACT Government strategies and ensure fair division of investment between public service and community sector, and Aboriginal and/or Torres Strait Islander controlled organisations</w:t>
            </w:r>
          </w:p>
          <w:p w14:paraId="748A3BCE" w14:textId="77777777" w:rsidR="00C21F51" w:rsidRPr="00A6087F" w:rsidRDefault="00C21F51" w:rsidP="00C21F51">
            <w:pPr>
              <w:pStyle w:val="ListBullet"/>
              <w:tabs>
                <w:tab w:val="num" w:pos="567"/>
              </w:tabs>
            </w:pPr>
            <w:r w:rsidRPr="00A6087F">
              <w:t>Review and address ageing community facilities to allow delivery and continuity of services with dignity for clients</w:t>
            </w:r>
          </w:p>
          <w:p w14:paraId="762535AF" w14:textId="1B475C37" w:rsidR="00C21F51" w:rsidRPr="00A6087F" w:rsidRDefault="00C21F51" w:rsidP="00C21F51">
            <w:pPr>
              <w:pStyle w:val="ListBullet"/>
              <w:tabs>
                <w:tab w:val="num" w:pos="567"/>
              </w:tabs>
            </w:pPr>
            <w:r w:rsidRPr="00A6087F">
              <w:t xml:space="preserve">Increase funding to facilitate community connection initiatives and employ dedicated </w:t>
            </w:r>
            <w:r w:rsidR="0098134F" w:rsidRPr="00A6087F">
              <w:t>c</w:t>
            </w:r>
            <w:r w:rsidRPr="00A6087F">
              <w:t xml:space="preserve">ommunity </w:t>
            </w:r>
            <w:r w:rsidR="0098134F" w:rsidRPr="00A6087F">
              <w:t>d</w:t>
            </w:r>
            <w:r w:rsidRPr="00A6087F">
              <w:t>evelopment staffing across all regions</w:t>
            </w:r>
          </w:p>
          <w:p w14:paraId="0C89717D" w14:textId="77777777" w:rsidR="00C21F51" w:rsidRPr="00A6087F" w:rsidRDefault="00C21F51" w:rsidP="00C21F51">
            <w:pPr>
              <w:pStyle w:val="ListBullet"/>
              <w:tabs>
                <w:tab w:val="num" w:pos="567"/>
              </w:tabs>
            </w:pPr>
            <w:r w:rsidRPr="00A6087F">
              <w:t xml:space="preserve">Adequately fund the Community Development Network for the ACT and Region (CDNet) and ensure contract is indexed </w:t>
            </w:r>
          </w:p>
          <w:p w14:paraId="1D5878FC" w14:textId="70DA1142" w:rsidR="00887A53" w:rsidRPr="00A6087F" w:rsidRDefault="00C21F51" w:rsidP="002F4154">
            <w:pPr>
              <w:pStyle w:val="ListBullet"/>
              <w:tabs>
                <w:tab w:val="num" w:pos="567"/>
              </w:tabs>
            </w:pPr>
            <w:r w:rsidRPr="00A6087F">
              <w:t>Renew the ACT Volunteering Strategy.</w:t>
            </w:r>
          </w:p>
        </w:tc>
      </w:tr>
    </w:tbl>
    <w:p w14:paraId="20EE414C" w14:textId="77777777" w:rsidR="00887A53" w:rsidRPr="00A6087F" w:rsidRDefault="00887A53" w:rsidP="00BC46CC">
      <w:pPr>
        <w:pStyle w:val="BodyText"/>
        <w:rPr>
          <w:i/>
        </w:rPr>
      </w:pPr>
    </w:p>
    <w:p w14:paraId="647AE448" w14:textId="77777777" w:rsidR="0098134F" w:rsidRPr="00A6087F" w:rsidRDefault="00C329B2" w:rsidP="0098134F">
      <w:pPr>
        <w:pStyle w:val="Wellbeingdomains"/>
      </w:pPr>
      <w:r w:rsidRPr="00A6087F">
        <w:t>Wellbeing domain 1:</w:t>
      </w:r>
      <w:r w:rsidR="00D655A5" w:rsidRPr="00A6087F">
        <w:t xml:space="preserve"> Access </w:t>
      </w:r>
      <w:r w:rsidR="00701B8A" w:rsidRPr="00A6087F">
        <w:t>&amp;</w:t>
      </w:r>
      <w:r w:rsidR="00D655A5" w:rsidRPr="00A6087F">
        <w:t xml:space="preserve"> </w:t>
      </w:r>
      <w:r w:rsidR="00701B8A" w:rsidRPr="00A6087F">
        <w:t>C</w:t>
      </w:r>
      <w:r w:rsidR="00D655A5" w:rsidRPr="00A6087F">
        <w:t>onnectivity (servi</w:t>
      </w:r>
      <w:r w:rsidR="009058C5" w:rsidRPr="00A6087F">
        <w:t>ce accessibility, liveable city)</w:t>
      </w:r>
    </w:p>
    <w:p w14:paraId="18C0EFC9" w14:textId="77777777" w:rsidR="0098134F" w:rsidRPr="00A6087F" w:rsidRDefault="003E6384" w:rsidP="0098134F">
      <w:pPr>
        <w:pStyle w:val="Wellbeingdomains"/>
      </w:pPr>
      <w:r w:rsidRPr="00A6087F">
        <w:t>Wellbeing domain 2: Economy (</w:t>
      </w:r>
      <w:r w:rsidR="006E0A4C" w:rsidRPr="00A6087F">
        <w:t>employment</w:t>
      </w:r>
      <w:r w:rsidR="00465EE8" w:rsidRPr="00A6087F">
        <w:t>, income inequality)</w:t>
      </w:r>
    </w:p>
    <w:p w14:paraId="3A2CE6FB" w14:textId="77777777" w:rsidR="0098134F" w:rsidRPr="00A6087F" w:rsidRDefault="00465EE8" w:rsidP="0098134F">
      <w:pPr>
        <w:pStyle w:val="Wellbeingdomains"/>
      </w:pPr>
      <w:r w:rsidRPr="00A6087F">
        <w:t>Wellbeing domain 8: Identity and belonging (</w:t>
      </w:r>
      <w:r w:rsidR="004D6855" w:rsidRPr="00A6087F">
        <w:t>valuing Aboriginal and Torres Strait Islander cultures and recognising our Traditional Custodians)</w:t>
      </w:r>
    </w:p>
    <w:p w14:paraId="61D3A0AB" w14:textId="0627A68B" w:rsidR="002413A4" w:rsidRPr="00A6087F" w:rsidRDefault="002413A4" w:rsidP="0098134F">
      <w:pPr>
        <w:pStyle w:val="Wellbeingdomains"/>
        <w:spacing w:after="240"/>
      </w:pPr>
      <w:r w:rsidRPr="00A6087F">
        <w:t>Wellbeing domain 12: Time (unpaid work, including caring)</w:t>
      </w:r>
    </w:p>
    <w:p w14:paraId="28E8A887" w14:textId="704CCB80" w:rsidR="00910629" w:rsidRPr="00A6087F" w:rsidRDefault="00910629" w:rsidP="00AF78E9">
      <w:pPr>
        <w:pStyle w:val="BodyText"/>
      </w:pPr>
      <w:r w:rsidRPr="00A6087F">
        <w:t xml:space="preserve">The community sector is a key part of the ACT economy and </w:t>
      </w:r>
      <w:r w:rsidR="00101E73" w:rsidRPr="00A6087F">
        <w:t xml:space="preserve">an essential avenue through which to address disadvantage and poverty in the territory. However, the community sector is historically underfunded </w:t>
      </w:r>
      <w:r w:rsidR="00FC78B8" w:rsidRPr="00A6087F">
        <w:t xml:space="preserve">due to gender-based </w:t>
      </w:r>
      <w:r w:rsidR="00FC78B8" w:rsidRPr="00A6087F">
        <w:lastRenderedPageBreak/>
        <w:t>undervaluation, competitive funding models and misunderstandings about the importance of overheads.</w:t>
      </w:r>
    </w:p>
    <w:p w14:paraId="49E719A1" w14:textId="37103A6E" w:rsidR="00C175F4" w:rsidRPr="00A6087F" w:rsidRDefault="00C175F4" w:rsidP="00C175F4">
      <w:pPr>
        <w:pStyle w:val="Image"/>
      </w:pPr>
      <w:r w:rsidRPr="00A6087F">
        <w:rPr>
          <w:noProof/>
        </w:rPr>
        <w:drawing>
          <wp:inline distT="0" distB="0" distL="0" distR="0" wp14:anchorId="049E6E2C" wp14:editId="4CF54A27">
            <wp:extent cx="5400000" cy="3398400"/>
            <wp:effectExtent l="0" t="0" r="0" b="0"/>
            <wp:docPr id="4" name="Picture 4" descr="Graph: Main challenges affecting clients and communities, ACT,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 Main challenges affecting clients and communities, ACT, 202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00000" cy="3398400"/>
                    </a:xfrm>
                    <a:prstGeom prst="rect">
                      <a:avLst/>
                    </a:prstGeom>
                    <a:noFill/>
                  </pic:spPr>
                </pic:pic>
              </a:graphicData>
            </a:graphic>
          </wp:inline>
        </w:drawing>
      </w:r>
    </w:p>
    <w:p w14:paraId="32DBEEFC" w14:textId="161EECE6" w:rsidR="00C175F4" w:rsidRPr="00A6087F" w:rsidRDefault="00C175F4" w:rsidP="00C175F4">
      <w:pPr>
        <w:pStyle w:val="Source"/>
      </w:pPr>
      <w:r w:rsidRPr="00A6087F">
        <w:t xml:space="preserve">Source: ACTCOSS, </w:t>
      </w:r>
      <w:hyperlink r:id="rId43" w:history="1">
        <w:r w:rsidRPr="00A6087F">
          <w:rPr>
            <w:rStyle w:val="Hyperlink"/>
            <w:i/>
            <w:iCs/>
          </w:rPr>
          <w:t>2021 ACT Community Sector Demand Snapshot</w:t>
        </w:r>
      </w:hyperlink>
      <w:r w:rsidRPr="00A6087F">
        <w:t>, ACTCOSS, December 2021, p 2, accessed 19 May 2022.</w:t>
      </w:r>
    </w:p>
    <w:p w14:paraId="4D8B40E6" w14:textId="0D1983B2" w:rsidR="001D37A2" w:rsidRPr="00A6087F" w:rsidRDefault="001D37A2" w:rsidP="001D37A2">
      <w:pPr>
        <w:pStyle w:val="BodyText"/>
      </w:pPr>
      <w:r w:rsidRPr="00A6087F">
        <w:t xml:space="preserve">Most community sector organisations have been significantly underfunded for several years with funding shortfalls for: the full cost of service delivery; appropriate staffing levels, </w:t>
      </w:r>
      <w:proofErr w:type="gramStart"/>
      <w:r w:rsidRPr="00A6087F">
        <w:t>training</w:t>
      </w:r>
      <w:proofErr w:type="gramEnd"/>
      <w:r w:rsidRPr="00A6087F">
        <w:t xml:space="preserve"> and back-filling; policy and commissioning engagement; and monitoring and evaluation to ensure flexible, adaptive program management.</w:t>
      </w:r>
    </w:p>
    <w:p w14:paraId="59C3622D" w14:textId="4298165A" w:rsidR="0080033A" w:rsidRPr="00A6087F" w:rsidRDefault="008211F2" w:rsidP="00AF78E9">
      <w:pPr>
        <w:pStyle w:val="BodyText"/>
      </w:pPr>
      <w:r w:rsidRPr="00A6087F">
        <w:t>In 2021, compared with 2016, smaller proportions of organisations report that funding from the ACT Government covers the true cost of delivering ACT programs</w:t>
      </w:r>
      <w:r w:rsidR="00CC1434" w:rsidRPr="00A6087F">
        <w:t>, that funding levels enable organisations to meet demand and that funding enables staff to be appropriately paid for their skills.</w:t>
      </w:r>
      <w:r w:rsidR="00CC1434" w:rsidRPr="00A6087F">
        <w:rPr>
          <w:rStyle w:val="FootnoteReference"/>
        </w:rPr>
        <w:footnoteReference w:id="51"/>
      </w:r>
      <w:r w:rsidR="00B16C8B" w:rsidRPr="00A6087F">
        <w:t xml:space="preserve"> For example, </w:t>
      </w:r>
      <w:r w:rsidR="00B5679E" w:rsidRPr="00A6087F">
        <w:t xml:space="preserve">less than </w:t>
      </w:r>
      <w:r w:rsidR="00B16C8B" w:rsidRPr="00A6087F">
        <w:t xml:space="preserve">a quarter of organisations surveyed </w:t>
      </w:r>
      <w:r w:rsidR="00340E7D" w:rsidRPr="00A6087F">
        <w:t>for</w:t>
      </w:r>
      <w:r w:rsidR="00B16C8B" w:rsidRPr="00A6087F">
        <w:t xml:space="preserve"> the recent </w:t>
      </w:r>
      <w:hyperlink r:id="rId44" w:history="1">
        <w:r w:rsidR="00B16C8B" w:rsidRPr="00A6087F">
          <w:rPr>
            <w:rStyle w:val="Hyperlink"/>
            <w:i/>
            <w:iCs/>
          </w:rPr>
          <w:t>Counting the Costs</w:t>
        </w:r>
      </w:hyperlink>
      <w:r w:rsidR="00340E7D" w:rsidRPr="00A6087F">
        <w:rPr>
          <w:rStyle w:val="Hyperlink"/>
        </w:rPr>
        <w:t xml:space="preserve"> report</w:t>
      </w:r>
      <w:r w:rsidR="00B16C8B" w:rsidRPr="00A6087F">
        <w:t xml:space="preserve"> report</w:t>
      </w:r>
      <w:r w:rsidR="00B5679E" w:rsidRPr="00A6087F">
        <w:t xml:space="preserve">ed being adequately funded to employ enough staff. </w:t>
      </w:r>
      <w:r w:rsidR="0080033A" w:rsidRPr="00A6087F">
        <w:t>Inadequate resources to employ and support staff</w:t>
      </w:r>
      <w:r w:rsidR="00A54B5E" w:rsidRPr="00A6087F">
        <w:t xml:space="preserve"> significantly reduces sector capacity to respond to need </w:t>
      </w:r>
      <w:r w:rsidR="002F658C" w:rsidRPr="00A6087F">
        <w:t>and affects quality and outcomes for clients and communities.</w:t>
      </w:r>
    </w:p>
    <w:p w14:paraId="6E303168" w14:textId="15A0E1CB" w:rsidR="001D37A2" w:rsidRPr="00A6087F" w:rsidRDefault="001D37A2" w:rsidP="00AF78E9">
      <w:pPr>
        <w:pStyle w:val="BodyText"/>
      </w:pPr>
      <w:r w:rsidRPr="00A6087F">
        <w:t>Further,</w:t>
      </w:r>
      <w:r w:rsidR="00077CDF" w:rsidRPr="00A6087F">
        <w:t xml:space="preserve"> only 13% of organisations reported adequate funding from the ACT Government to carry out monitoring and evaluation of programs.</w:t>
      </w:r>
      <w:r w:rsidR="00F45402" w:rsidRPr="00A6087F">
        <w:rPr>
          <w:rStyle w:val="FootnoteReference"/>
        </w:rPr>
        <w:footnoteReference w:id="52"/>
      </w:r>
      <w:r w:rsidR="00F45402" w:rsidRPr="00A6087F">
        <w:t xml:space="preserve"> </w:t>
      </w:r>
      <w:r w:rsidR="00BD19B5" w:rsidRPr="00A6087F">
        <w:t xml:space="preserve">Without this </w:t>
      </w:r>
      <w:r w:rsidR="00BD19B5" w:rsidRPr="00A6087F">
        <w:lastRenderedPageBreak/>
        <w:t>critical work</w:t>
      </w:r>
      <w:r w:rsidR="00F11C74" w:rsidRPr="00A6087F">
        <w:t xml:space="preserve">, we cannot understand how and whether interventions are working and our capacity for service improvement is limited. </w:t>
      </w:r>
    </w:p>
    <w:p w14:paraId="31D83A93" w14:textId="78FD2C3C" w:rsidR="007515AF" w:rsidRPr="00A6087F" w:rsidRDefault="00BC1A59" w:rsidP="005A37CB">
      <w:pPr>
        <w:pStyle w:val="BodyText"/>
      </w:pPr>
      <w:r w:rsidRPr="00A6087F">
        <w:t xml:space="preserve">The importance of the community sector was </w:t>
      </w:r>
      <w:r w:rsidR="007562DF" w:rsidRPr="00A6087F">
        <w:t>made abundantly clear during the height of the COVID-19 pandemic</w:t>
      </w:r>
      <w:r w:rsidR="005A37CB" w:rsidRPr="00A6087F">
        <w:t>.</w:t>
      </w:r>
      <w:r w:rsidR="007562DF" w:rsidRPr="00A6087F">
        <w:t xml:space="preserve"> </w:t>
      </w:r>
      <w:r w:rsidR="005A37CB" w:rsidRPr="00A6087F">
        <w:t>Organisations</w:t>
      </w:r>
      <w:r w:rsidR="007562DF" w:rsidRPr="00A6087F">
        <w:t xml:space="preserve"> partnered with government to address </w:t>
      </w:r>
      <w:r w:rsidR="005A37CB" w:rsidRPr="00A6087F">
        <w:t>health and service system gaps and provide health care</w:t>
      </w:r>
      <w:r w:rsidR="005C2F66" w:rsidRPr="00A6087F">
        <w:t xml:space="preserve"> and support services to disadvantaged groups based on established relationships of trust and flexible operational delivery systems. </w:t>
      </w:r>
      <w:r w:rsidR="006A059F" w:rsidRPr="00A6087F">
        <w:t>Community services</w:t>
      </w:r>
      <w:r w:rsidR="00A70F36" w:rsidRPr="00A6087F">
        <w:t xml:space="preserve"> deliver</w:t>
      </w:r>
      <w:r w:rsidR="006A059F" w:rsidRPr="00A6087F">
        <w:t xml:space="preserve"> critical services and </w:t>
      </w:r>
      <w:r w:rsidR="0020687D" w:rsidRPr="00A6087F">
        <w:t>bring deep knowledge and lived experience</w:t>
      </w:r>
      <w:r w:rsidR="005F0449" w:rsidRPr="00A6087F">
        <w:t xml:space="preserve"> to both the commissioning processes and policy development. </w:t>
      </w:r>
      <w:r w:rsidR="00941F2C" w:rsidRPr="00A6087F">
        <w:t>Community-controlled</w:t>
      </w:r>
      <w:r w:rsidR="004A0017" w:rsidRPr="00A6087F">
        <w:t xml:space="preserve"> </w:t>
      </w:r>
      <w:r w:rsidR="00CD0670" w:rsidRPr="00A6087F">
        <w:t>Aboriginal and</w:t>
      </w:r>
      <w:r w:rsidR="00F9734C" w:rsidRPr="00A6087F">
        <w:t>/or</w:t>
      </w:r>
      <w:r w:rsidR="00CD0670" w:rsidRPr="00A6087F">
        <w:t xml:space="preserve"> T</w:t>
      </w:r>
      <w:r w:rsidR="004A0017" w:rsidRPr="00A6087F">
        <w:t xml:space="preserve">orres </w:t>
      </w:r>
      <w:r w:rsidR="00B52790" w:rsidRPr="00A6087F">
        <w:t xml:space="preserve">Strait </w:t>
      </w:r>
      <w:r w:rsidR="004A0017" w:rsidRPr="00A6087F">
        <w:t xml:space="preserve">Islander organisations bring </w:t>
      </w:r>
      <w:r w:rsidR="007515AF" w:rsidRPr="00A6087F">
        <w:t>significant cultural awareness</w:t>
      </w:r>
      <w:r w:rsidR="00D55A09" w:rsidRPr="00A6087F">
        <w:t xml:space="preserve"> and community</w:t>
      </w:r>
      <w:r w:rsidR="001604B0" w:rsidRPr="00A6087F">
        <w:t xml:space="preserve"> input</w:t>
      </w:r>
      <w:r w:rsidR="00B52790" w:rsidRPr="00A6087F">
        <w:t>.</w:t>
      </w:r>
      <w:r w:rsidR="00D55A09" w:rsidRPr="00A6087F">
        <w:t xml:space="preserve"> </w:t>
      </w:r>
    </w:p>
    <w:p w14:paraId="11D1BC29" w14:textId="67466EFC" w:rsidR="00B16974" w:rsidRPr="00A6087F" w:rsidRDefault="00B16974" w:rsidP="005A37CB">
      <w:pPr>
        <w:pStyle w:val="BodyText"/>
      </w:pPr>
      <w:r w:rsidRPr="00A6087F">
        <w:t xml:space="preserve">The lack of funding for the community </w:t>
      </w:r>
      <w:r w:rsidR="00E50B0B" w:rsidRPr="00A6087F">
        <w:t>sector also influences the gender pay gap in the ACT</w:t>
      </w:r>
      <w:r w:rsidR="00643FA5" w:rsidRPr="00A6087F">
        <w:t>, given that 80% of the sector are women</w:t>
      </w:r>
      <w:r w:rsidR="000E5A74" w:rsidRPr="00A6087F">
        <w:t>.</w:t>
      </w:r>
      <w:r w:rsidR="00643FA5" w:rsidRPr="00A6087F">
        <w:rPr>
          <w:rStyle w:val="FootnoteReference"/>
        </w:rPr>
        <w:footnoteReference w:id="53"/>
      </w:r>
      <w:r w:rsidR="000E5A74" w:rsidRPr="00A6087F">
        <w:t xml:space="preserve"> </w:t>
      </w:r>
      <w:r w:rsidR="00704A5E" w:rsidRPr="00A6087F">
        <w:t>In 2021, the gender pay gap in the ACT was 7.9%, up 1.6 percentage points from the year before.</w:t>
      </w:r>
      <w:r w:rsidR="00704A5E" w:rsidRPr="00A6087F">
        <w:rPr>
          <w:rStyle w:val="FootnoteReference"/>
        </w:rPr>
        <w:footnoteReference w:id="54"/>
      </w:r>
      <w:r w:rsidR="00C914E4" w:rsidRPr="00A6087F">
        <w:t xml:space="preserve"> </w:t>
      </w:r>
      <w:r w:rsidR="00947D6F" w:rsidRPr="00A6087F">
        <w:t>Nationally, the Health Care and Social Assistance industry has the second highest gender pay gap at 21.4%</w:t>
      </w:r>
      <w:r w:rsidR="00A43505" w:rsidRPr="00A6087F">
        <w:rPr>
          <w:rStyle w:val="FootnoteReference"/>
        </w:rPr>
        <w:footnoteReference w:id="55"/>
      </w:r>
      <w:r w:rsidR="00367699" w:rsidRPr="00A6087F">
        <w:t>.</w:t>
      </w:r>
      <w:r w:rsidR="005113EC" w:rsidRPr="00A6087F">
        <w:t xml:space="preserve"> The underfunding of the sector has a serious impact</w:t>
      </w:r>
      <w:r w:rsidR="00C5272A" w:rsidRPr="00A6087F">
        <w:t>, not just on community sector workers, but the whole economy.</w:t>
      </w:r>
      <w:r w:rsidR="00BC5E47" w:rsidRPr="00A6087F">
        <w:t xml:space="preserve"> The Grattan Institute estimates that </w:t>
      </w:r>
      <w:r w:rsidR="00F93D24" w:rsidRPr="00A6087F">
        <w:t xml:space="preserve">every </w:t>
      </w:r>
      <w:r w:rsidR="00204A4A" w:rsidRPr="00A6087F">
        <w:t xml:space="preserve">1% of GDP invested in care work increases direct, </w:t>
      </w:r>
      <w:proofErr w:type="gramStart"/>
      <w:r w:rsidR="00204A4A" w:rsidRPr="00A6087F">
        <w:t>indirect</w:t>
      </w:r>
      <w:proofErr w:type="gramEnd"/>
      <w:r w:rsidR="00204A4A" w:rsidRPr="00A6087F">
        <w:t xml:space="preserve"> and induced employment by 1.7% (vs 0.9% for con</w:t>
      </w:r>
      <w:r w:rsidR="00DC4EB2" w:rsidRPr="00A6087F">
        <w:t>s</w:t>
      </w:r>
      <w:r w:rsidR="00204A4A" w:rsidRPr="00A6087F">
        <w:t>truction)</w:t>
      </w:r>
      <w:r w:rsidR="00044E33" w:rsidRPr="00A6087F">
        <w:t>.</w:t>
      </w:r>
      <w:r w:rsidR="00044E33" w:rsidRPr="00A6087F">
        <w:rPr>
          <w:rStyle w:val="FootnoteReference"/>
        </w:rPr>
        <w:footnoteReference w:id="56"/>
      </w:r>
    </w:p>
    <w:p w14:paraId="6C65DBF2" w14:textId="3C62DDD7" w:rsidR="008417BA" w:rsidRPr="00A6087F" w:rsidRDefault="00CB69E2" w:rsidP="00A70F36">
      <w:pPr>
        <w:pStyle w:val="BodyText"/>
      </w:pPr>
      <w:r w:rsidRPr="00A6087F">
        <w:t xml:space="preserve">In </w:t>
      </w:r>
      <w:r w:rsidR="000978E9" w:rsidRPr="00A6087F">
        <w:t>addition,</w:t>
      </w:r>
      <w:r w:rsidRPr="00A6087F">
        <w:t xml:space="preserve"> </w:t>
      </w:r>
      <w:r w:rsidR="004172E6" w:rsidRPr="00A6087F">
        <w:t xml:space="preserve">many services </w:t>
      </w:r>
      <w:r w:rsidR="00A60253" w:rsidRPr="00A6087F">
        <w:t xml:space="preserve">operate from ageing community </w:t>
      </w:r>
      <w:r w:rsidRPr="00A6087F">
        <w:t>facilities</w:t>
      </w:r>
      <w:r w:rsidR="00A60253" w:rsidRPr="00A6087F">
        <w:t xml:space="preserve">. </w:t>
      </w:r>
      <w:r w:rsidR="00616864" w:rsidRPr="00A6087F">
        <w:t xml:space="preserve">With a </w:t>
      </w:r>
      <w:r w:rsidR="00A141A4" w:rsidRPr="00A6087F">
        <w:t>substantial</w:t>
      </w:r>
      <w:r w:rsidR="00616864" w:rsidRPr="00A6087F">
        <w:t xml:space="preserve"> increase in demand for many services over the last two years, organisations are struggling with </w:t>
      </w:r>
      <w:r w:rsidR="00FA3DC3" w:rsidRPr="00A6087F">
        <w:t>both office space and service delivery</w:t>
      </w:r>
      <w:r w:rsidR="00E01C02" w:rsidRPr="00A6087F">
        <w:t xml:space="preserve"> space</w:t>
      </w:r>
      <w:r w:rsidR="00FA3DC3" w:rsidRPr="00A6087F">
        <w:t>. Many</w:t>
      </w:r>
      <w:r w:rsidR="0098335E" w:rsidRPr="00A6087F">
        <w:t> </w:t>
      </w:r>
      <w:r w:rsidR="00FA3DC3" w:rsidRPr="00A6087F">
        <w:t xml:space="preserve">organisations operate from ACT Property Group </w:t>
      </w:r>
      <w:r w:rsidR="00A60253" w:rsidRPr="00A6087F">
        <w:t xml:space="preserve">facilities </w:t>
      </w:r>
      <w:r w:rsidR="00FA3DC3" w:rsidRPr="00A6087F">
        <w:t>which have significant</w:t>
      </w:r>
      <w:r w:rsidR="000978E9" w:rsidRPr="00A6087F">
        <w:t>, ongoing</w:t>
      </w:r>
      <w:r w:rsidR="00FA3DC3" w:rsidRPr="00A6087F">
        <w:t xml:space="preserve"> </w:t>
      </w:r>
      <w:r w:rsidR="000978E9" w:rsidRPr="00A6087F">
        <w:t xml:space="preserve">maintenance issues, </w:t>
      </w:r>
      <w:r w:rsidR="000B3BA2" w:rsidRPr="00A6087F">
        <w:t xml:space="preserve">and </w:t>
      </w:r>
      <w:r w:rsidR="000978E9" w:rsidRPr="00A6087F">
        <w:t xml:space="preserve">are neither accessible nor suitable for a </w:t>
      </w:r>
      <w:r w:rsidR="00331A2A" w:rsidRPr="00A6087F">
        <w:t>changing climate.</w:t>
      </w:r>
      <w:r w:rsidR="00323E55" w:rsidRPr="00A6087F">
        <w:t xml:space="preserve"> There is also a shortage in property to enable a growth in Aboriginal and</w:t>
      </w:r>
      <w:r w:rsidR="004F4300" w:rsidRPr="00A6087F">
        <w:t>/or</w:t>
      </w:r>
      <w:r w:rsidR="00323E55" w:rsidRPr="00A6087F">
        <w:t xml:space="preserve"> Torres Strait Islander </w:t>
      </w:r>
      <w:r w:rsidR="00452F21" w:rsidRPr="00A6087F">
        <w:t>community</w:t>
      </w:r>
      <w:r w:rsidR="00B52790" w:rsidRPr="00A6087F">
        <w:t>-</w:t>
      </w:r>
      <w:r w:rsidR="00452F21" w:rsidRPr="00A6087F">
        <w:t>controlled organisations in the ACT.</w:t>
      </w:r>
    </w:p>
    <w:p w14:paraId="4623641A" w14:textId="66B18147" w:rsidR="00E44370" w:rsidRPr="00A6087F" w:rsidRDefault="00E44370" w:rsidP="002F4154">
      <w:pPr>
        <w:pStyle w:val="Heading2"/>
      </w:pPr>
      <w:bookmarkStart w:id="10" w:name="_Toc103872182"/>
      <w:r w:rsidRPr="00A6087F">
        <w:lastRenderedPageBreak/>
        <w:t>Aboriginal and/or Torres Strait Islander Self-Determination</w:t>
      </w:r>
      <w:bookmarkEnd w:id="10"/>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887A53" w:rsidRPr="00A6087F" w14:paraId="55C14965" w14:textId="77777777" w:rsidTr="00F803DA">
        <w:trPr>
          <w:cantSplit/>
        </w:trPr>
        <w:tc>
          <w:tcPr>
            <w:tcW w:w="8720" w:type="dxa"/>
            <w:shd w:val="clear" w:color="auto" w:fill="auto"/>
            <w:tcMar>
              <w:left w:w="170" w:type="dxa"/>
              <w:right w:w="170" w:type="dxa"/>
            </w:tcMar>
          </w:tcPr>
          <w:p w14:paraId="6871E440" w14:textId="6E6F2C4D" w:rsidR="00887A53" w:rsidRPr="00A6087F" w:rsidRDefault="00887A53" w:rsidP="00F803DA">
            <w:pPr>
              <w:pStyle w:val="Recommendationsheading"/>
            </w:pPr>
            <w:r w:rsidRPr="00A6087F">
              <w:t xml:space="preserve">Recommendations </w:t>
            </w:r>
          </w:p>
          <w:p w14:paraId="0D66545C" w14:textId="77777777" w:rsidR="004A2A2D" w:rsidRPr="00A6087F" w:rsidRDefault="004A2A2D" w:rsidP="004A2A2D">
            <w:pPr>
              <w:pStyle w:val="ListBullet"/>
              <w:tabs>
                <w:tab w:val="num" w:pos="567"/>
              </w:tabs>
            </w:pPr>
            <w:r w:rsidRPr="00A6087F">
              <w:t>Commit to a Commission of Inquiry or Royal Commission into the overrepresentation of Aboriginal and/or Torres Strait Islander people in the justice system</w:t>
            </w:r>
          </w:p>
          <w:p w14:paraId="29BEFF40" w14:textId="6E41108D" w:rsidR="004A2A2D" w:rsidRPr="00A6087F" w:rsidRDefault="004A2A2D" w:rsidP="004A2A2D">
            <w:pPr>
              <w:pStyle w:val="ListBullet"/>
              <w:tabs>
                <w:tab w:val="num" w:pos="567"/>
              </w:tabs>
            </w:pPr>
            <w:r w:rsidRPr="00A6087F">
              <w:t xml:space="preserve">Implement and resource all recommendations from the </w:t>
            </w:r>
            <w:hyperlink r:id="rId45" w:history="1">
              <w:r w:rsidRPr="00A6087F">
                <w:rPr>
                  <w:rStyle w:val="Hyperlink"/>
                  <w:i/>
                  <w:iCs/>
                </w:rPr>
                <w:t xml:space="preserve">Our </w:t>
              </w:r>
              <w:proofErr w:type="spellStart"/>
              <w:r w:rsidRPr="00A6087F">
                <w:rPr>
                  <w:rStyle w:val="Hyperlink"/>
                  <w:i/>
                  <w:iCs/>
                </w:rPr>
                <w:t>Booris</w:t>
              </w:r>
              <w:proofErr w:type="spellEnd"/>
              <w:r w:rsidRPr="00A6087F">
                <w:rPr>
                  <w:rStyle w:val="Hyperlink"/>
                  <w:i/>
                  <w:iCs/>
                </w:rPr>
                <w:t>, Our Way</w:t>
              </w:r>
            </w:hyperlink>
            <w:r w:rsidRPr="00A6087F">
              <w:t xml:space="preserve"> report</w:t>
            </w:r>
          </w:p>
          <w:p w14:paraId="76418158" w14:textId="1851B273" w:rsidR="00AC6ED3" w:rsidRPr="00A6087F" w:rsidRDefault="00AC6ED3" w:rsidP="004A2A2D">
            <w:pPr>
              <w:pStyle w:val="ListBullet"/>
              <w:tabs>
                <w:tab w:val="num" w:pos="567"/>
              </w:tabs>
            </w:pPr>
            <w:r w:rsidRPr="00A6087F">
              <w:t>Implementation of adequate internal and external review mechanisms in the ACT Child Protection system</w:t>
            </w:r>
          </w:p>
          <w:p w14:paraId="1F530C13" w14:textId="5124DBEB" w:rsidR="004A2A2D" w:rsidRPr="00A6087F" w:rsidRDefault="004A2A2D" w:rsidP="004A2A2D">
            <w:pPr>
              <w:pStyle w:val="ListBullet"/>
              <w:tabs>
                <w:tab w:val="num" w:pos="567"/>
              </w:tabs>
            </w:pPr>
            <w:r w:rsidRPr="00A6087F">
              <w:t xml:space="preserve">Fund and implement all recommendations from the </w:t>
            </w:r>
            <w:hyperlink r:id="rId46" w:history="1">
              <w:r w:rsidRPr="00A6087F">
                <w:rPr>
                  <w:rStyle w:val="Hyperlink"/>
                </w:rPr>
                <w:t>independent review of the service system requirements for raising the minimum age of criminal responsibility in the ACT</w:t>
              </w:r>
            </w:hyperlink>
          </w:p>
          <w:p w14:paraId="5002F5DD" w14:textId="77777777" w:rsidR="004A2A2D" w:rsidRPr="00A6087F" w:rsidRDefault="004A2A2D" w:rsidP="004A2A2D">
            <w:pPr>
              <w:pStyle w:val="ListBullet"/>
              <w:tabs>
                <w:tab w:val="num" w:pos="567"/>
              </w:tabs>
            </w:pPr>
            <w:r w:rsidRPr="00A6087F">
              <w:t>Appoint an Aboriginal and/or Torres Strait Islander Children’s Commissioner</w:t>
            </w:r>
          </w:p>
          <w:p w14:paraId="1C9F0BA2" w14:textId="72079FED" w:rsidR="004A2A2D" w:rsidRPr="00A6087F" w:rsidRDefault="004A2A2D" w:rsidP="004A2A2D">
            <w:pPr>
              <w:pStyle w:val="ListBullet"/>
              <w:tabs>
                <w:tab w:val="num" w:pos="567"/>
              </w:tabs>
            </w:pPr>
            <w:r w:rsidRPr="00A6087F">
              <w:t xml:space="preserve">Ensure adequate resourcing for the continued implementation of the ACT Aboriginal and Torres Strait Islander </w:t>
            </w:r>
            <w:r w:rsidR="009174FA" w:rsidRPr="00A6087F">
              <w:t>A</w:t>
            </w:r>
            <w:r w:rsidRPr="00A6087F">
              <w:t>greement</w:t>
            </w:r>
          </w:p>
          <w:p w14:paraId="1C8E125B" w14:textId="77777777" w:rsidR="004A2A2D" w:rsidRPr="00A6087F" w:rsidRDefault="004A2A2D" w:rsidP="004A2A2D">
            <w:pPr>
              <w:pStyle w:val="ListBullet"/>
              <w:tabs>
                <w:tab w:val="num" w:pos="567"/>
              </w:tabs>
            </w:pPr>
            <w:r w:rsidRPr="00A6087F">
              <w:t>Ensure Aboriginal and/or Torres Strait Islander communities are sufficiently supported to participate in and benefit from commissioning process</w:t>
            </w:r>
          </w:p>
          <w:p w14:paraId="7A52CE4D" w14:textId="12C5A934" w:rsidR="00887A53" w:rsidRPr="00A6087F" w:rsidRDefault="004A2A2D" w:rsidP="002F4154">
            <w:pPr>
              <w:pStyle w:val="ListBullet"/>
              <w:tabs>
                <w:tab w:val="num" w:pos="567"/>
              </w:tabs>
            </w:pPr>
            <w:r w:rsidRPr="00A6087F">
              <w:t xml:space="preserve">Increase investment in </w:t>
            </w:r>
            <w:r w:rsidR="00941F2C" w:rsidRPr="00A6087F">
              <w:t>Aboriginal community-controlled</w:t>
            </w:r>
            <w:r w:rsidRPr="00A6087F">
              <w:t xml:space="preserve"> organisations.</w:t>
            </w:r>
          </w:p>
        </w:tc>
      </w:tr>
    </w:tbl>
    <w:p w14:paraId="35026A03" w14:textId="77777777" w:rsidR="00887A53" w:rsidRPr="00A6087F" w:rsidRDefault="00887A53" w:rsidP="00BC46CC">
      <w:pPr>
        <w:pStyle w:val="BodyText"/>
        <w:rPr>
          <w:i/>
        </w:rPr>
      </w:pPr>
    </w:p>
    <w:p w14:paraId="305339FE" w14:textId="56578C07" w:rsidR="0030367E" w:rsidRPr="00A6087F" w:rsidRDefault="00CA3724" w:rsidP="00BC46CC">
      <w:pPr>
        <w:pStyle w:val="BodyText"/>
        <w:rPr>
          <w:iCs/>
        </w:rPr>
      </w:pPr>
      <w:r w:rsidRPr="00A6087F">
        <w:rPr>
          <w:iCs/>
        </w:rPr>
        <w:t xml:space="preserve">For Aboriginal and/or Torres Strait Islander people, these issues </w:t>
      </w:r>
      <w:r w:rsidR="001E1A9C" w:rsidRPr="00A6087F">
        <w:rPr>
          <w:iCs/>
        </w:rPr>
        <w:t>cut across all wellbeing domains</w:t>
      </w:r>
      <w:r w:rsidR="003F4512" w:rsidRPr="00A6087F">
        <w:rPr>
          <w:iCs/>
        </w:rPr>
        <w:t xml:space="preserve">, but especially </w:t>
      </w:r>
      <w:r w:rsidR="00022EC5" w:rsidRPr="00A6087F">
        <w:rPr>
          <w:iCs/>
        </w:rPr>
        <w:t xml:space="preserve">Domain </w:t>
      </w:r>
      <w:r w:rsidR="009F4A20" w:rsidRPr="00A6087F">
        <w:rPr>
          <w:iCs/>
        </w:rPr>
        <w:t>8</w:t>
      </w:r>
      <w:r w:rsidR="00022EC5" w:rsidRPr="00A6087F">
        <w:rPr>
          <w:iCs/>
        </w:rPr>
        <w:t xml:space="preserve">: Identity and Belonging. </w:t>
      </w:r>
    </w:p>
    <w:p w14:paraId="5C625E76" w14:textId="7508F0D3" w:rsidR="00CC5697" w:rsidRPr="00A6087F" w:rsidRDefault="00F3626B" w:rsidP="00BC46CC">
      <w:pPr>
        <w:pStyle w:val="BodyText"/>
        <w:rPr>
          <w:iCs/>
        </w:rPr>
      </w:pPr>
      <w:r w:rsidRPr="00A6087F">
        <w:rPr>
          <w:iCs/>
        </w:rPr>
        <w:t xml:space="preserve">ACTCOSS appreciates significant funds announced in the 2021-22 </w:t>
      </w:r>
      <w:r w:rsidR="009174FA" w:rsidRPr="00A6087F">
        <w:rPr>
          <w:iCs/>
        </w:rPr>
        <w:t>B</w:t>
      </w:r>
      <w:r w:rsidRPr="00A6087F">
        <w:rPr>
          <w:iCs/>
        </w:rPr>
        <w:t xml:space="preserve">udget for </w:t>
      </w:r>
      <w:r w:rsidR="0077506B" w:rsidRPr="00A6087F">
        <w:rPr>
          <w:iCs/>
        </w:rPr>
        <w:t xml:space="preserve">supporting Aboriginal community-controlled organisations, including </w:t>
      </w:r>
      <w:r w:rsidR="00CD45C0" w:rsidRPr="00A6087F">
        <w:rPr>
          <w:iCs/>
        </w:rPr>
        <w:t xml:space="preserve">for a purpose-build facility for </w:t>
      </w:r>
      <w:proofErr w:type="spellStart"/>
      <w:r w:rsidR="00CD45C0" w:rsidRPr="00A6087F">
        <w:rPr>
          <w:iCs/>
        </w:rPr>
        <w:t>Gugan</w:t>
      </w:r>
      <w:proofErr w:type="spellEnd"/>
      <w:r w:rsidR="00CD45C0" w:rsidRPr="00A6087F">
        <w:rPr>
          <w:iCs/>
        </w:rPr>
        <w:t xml:space="preserve"> </w:t>
      </w:r>
      <w:proofErr w:type="spellStart"/>
      <w:r w:rsidR="00CD45C0" w:rsidRPr="00A6087F">
        <w:rPr>
          <w:iCs/>
        </w:rPr>
        <w:t>Gulwan</w:t>
      </w:r>
      <w:proofErr w:type="spellEnd"/>
      <w:r w:rsidR="00CD45C0" w:rsidRPr="00A6087F">
        <w:rPr>
          <w:iCs/>
        </w:rPr>
        <w:t xml:space="preserve"> Youth Aboriginal Corporation</w:t>
      </w:r>
      <w:r w:rsidR="007A5A4A" w:rsidRPr="00A6087F">
        <w:rPr>
          <w:iCs/>
        </w:rPr>
        <w:t xml:space="preserve">, </w:t>
      </w:r>
      <w:r w:rsidR="004A0D1B" w:rsidRPr="00A6087F">
        <w:rPr>
          <w:iCs/>
        </w:rPr>
        <w:t>a re</w:t>
      </w:r>
      <w:r w:rsidR="00B70029" w:rsidRPr="00A6087F">
        <w:rPr>
          <w:iCs/>
        </w:rPr>
        <w:t xml:space="preserve">sidential rehabilitation facility and an upgrade for the </w:t>
      </w:r>
      <w:proofErr w:type="spellStart"/>
      <w:r w:rsidR="00B70029" w:rsidRPr="00A6087F">
        <w:rPr>
          <w:iCs/>
        </w:rPr>
        <w:t>Galambany</w:t>
      </w:r>
      <w:proofErr w:type="spellEnd"/>
      <w:r w:rsidR="00B70029" w:rsidRPr="00A6087F">
        <w:rPr>
          <w:iCs/>
        </w:rPr>
        <w:t xml:space="preserve"> Circle Sentencing court room.</w:t>
      </w:r>
      <w:r w:rsidR="00F13BC0" w:rsidRPr="00A6087F">
        <w:rPr>
          <w:iCs/>
        </w:rPr>
        <w:t xml:space="preserve"> However, we believe </w:t>
      </w:r>
      <w:r w:rsidR="002C67E7" w:rsidRPr="00A6087F">
        <w:rPr>
          <w:iCs/>
        </w:rPr>
        <w:t xml:space="preserve">that </w:t>
      </w:r>
      <w:r w:rsidR="00F85849" w:rsidRPr="00A6087F">
        <w:rPr>
          <w:iCs/>
        </w:rPr>
        <w:t>the needs of</w:t>
      </w:r>
      <w:r w:rsidR="002C67E7" w:rsidRPr="00A6087F">
        <w:rPr>
          <w:iCs/>
        </w:rPr>
        <w:t xml:space="preserve"> Aboriginal and/or Torres Strait Islander people should be prioritised </w:t>
      </w:r>
      <w:r w:rsidR="00F0666E" w:rsidRPr="00A6087F">
        <w:rPr>
          <w:iCs/>
        </w:rPr>
        <w:t xml:space="preserve">across all areas of </w:t>
      </w:r>
      <w:r w:rsidR="004D56BC" w:rsidRPr="00A6087F">
        <w:rPr>
          <w:iCs/>
        </w:rPr>
        <w:t>government to ensure equitable</w:t>
      </w:r>
      <w:r w:rsidR="00F0666E" w:rsidRPr="00A6087F">
        <w:rPr>
          <w:iCs/>
        </w:rPr>
        <w:t xml:space="preserve"> </w:t>
      </w:r>
      <w:r w:rsidR="00F85849" w:rsidRPr="00A6087F">
        <w:rPr>
          <w:iCs/>
        </w:rPr>
        <w:t>outcomes for all</w:t>
      </w:r>
      <w:r w:rsidR="00C356A6" w:rsidRPr="00A6087F">
        <w:rPr>
          <w:iCs/>
        </w:rPr>
        <w:t>.</w:t>
      </w:r>
    </w:p>
    <w:p w14:paraId="541035F7" w14:textId="404AA629" w:rsidR="00F056DA" w:rsidRPr="00A6087F" w:rsidRDefault="00F056DA" w:rsidP="00BC46CC">
      <w:pPr>
        <w:pStyle w:val="BodyText"/>
        <w:rPr>
          <w:iCs/>
        </w:rPr>
      </w:pPr>
      <w:r w:rsidRPr="00A6087F">
        <w:rPr>
          <w:iCs/>
        </w:rPr>
        <w:t>The ACT Government continues to fail Aboriginal and/or Torres Strait Islander communities acr</w:t>
      </w:r>
      <w:r w:rsidR="00610684" w:rsidRPr="00A6087F">
        <w:rPr>
          <w:iCs/>
        </w:rPr>
        <w:t xml:space="preserve">oss </w:t>
      </w:r>
      <w:proofErr w:type="gramStart"/>
      <w:r w:rsidR="00610684" w:rsidRPr="00A6087F">
        <w:rPr>
          <w:iCs/>
        </w:rPr>
        <w:t>a number of</w:t>
      </w:r>
      <w:proofErr w:type="gramEnd"/>
      <w:r w:rsidR="00610684" w:rsidRPr="00A6087F">
        <w:rPr>
          <w:iCs/>
        </w:rPr>
        <w:t xml:space="preserve"> areas, including health, justice and housing</w:t>
      </w:r>
      <w:r w:rsidR="00823A81" w:rsidRPr="00A6087F">
        <w:rPr>
          <w:iCs/>
        </w:rPr>
        <w:t xml:space="preserve"> and the child and youth protection system</w:t>
      </w:r>
      <w:r w:rsidR="00610684" w:rsidRPr="00A6087F">
        <w:rPr>
          <w:iCs/>
        </w:rPr>
        <w:t>.</w:t>
      </w:r>
    </w:p>
    <w:p w14:paraId="487B7197" w14:textId="266197D2" w:rsidR="00CC5697" w:rsidRPr="00A6087F" w:rsidRDefault="00CC5697" w:rsidP="00CC5697">
      <w:pPr>
        <w:pStyle w:val="BodyText"/>
      </w:pPr>
      <w:r w:rsidRPr="00A6087F">
        <w:lastRenderedPageBreak/>
        <w:t>Aboriginal and/or Torres Strait Islander people experience worse health outcomes in the ACT; 42% identify as having a disability, and 80% say they have one or more current long-term health conditions.</w:t>
      </w:r>
      <w:r w:rsidRPr="00A6087F">
        <w:rPr>
          <w:rStyle w:val="FootnoteReference"/>
        </w:rPr>
        <w:footnoteReference w:id="57"/>
      </w:r>
      <w:r w:rsidRPr="00A6087F">
        <w:t xml:space="preserve"> Across the general population in the ACT, only 19.4% identify as having a disability.</w:t>
      </w:r>
      <w:r w:rsidRPr="00A6087F">
        <w:rPr>
          <w:rStyle w:val="FootnoteReference"/>
        </w:rPr>
        <w:footnoteReference w:id="58"/>
      </w:r>
      <w:r w:rsidRPr="00A6087F">
        <w:t xml:space="preserve"> This large disparity points to systemic problems in healthcare, but it also means that experiences of racism </w:t>
      </w:r>
      <w:r w:rsidR="00216CFC" w:rsidRPr="00A6087F">
        <w:t xml:space="preserve">intersected with discrimination experienced by people with disability </w:t>
      </w:r>
      <w:r w:rsidRPr="00A6087F">
        <w:t>in the healthcare system have a significant impact on Aboriginal and/or Torres Strait Islander people and families. A lack of access to culturally safe and affordable health care is devastating and can have generational impacts.</w:t>
      </w:r>
    </w:p>
    <w:p w14:paraId="63CA3802" w14:textId="24AF36C5" w:rsidR="00E464D2" w:rsidRPr="00A6087F" w:rsidRDefault="00171AC5" w:rsidP="00E464D2">
      <w:pPr>
        <w:pStyle w:val="BodyText"/>
      </w:pPr>
      <w:r w:rsidRPr="00A6087F">
        <w:t>Aboriginal and/or Torres Strait Islander people are also at higher risk of experiencing homelessness, housing stress and overcrowding.</w:t>
      </w:r>
      <w:r w:rsidR="00E464D2" w:rsidRPr="00A6087F">
        <w:t xml:space="preserve"> Despite making up less than 2% of the population in the ACT, Aboriginal and/or Torres Strait Islander people represented 17% of specialist homelessness service clients in 2020-21.</w:t>
      </w:r>
      <w:r w:rsidR="00E464D2" w:rsidRPr="00A6087F">
        <w:rPr>
          <w:rStyle w:val="FootnoteReference"/>
        </w:rPr>
        <w:footnoteReference w:id="59"/>
      </w:r>
      <w:r w:rsidR="00E464D2" w:rsidRPr="00A6087F">
        <w:t xml:space="preserve"> Indigenous people in Canberra are more than twice as likely to live in overcrowded conditions, with 8% of Aboriginal and/or Torres Strait Islander people in overcrowded households, compared with 3% for non-Indigenous people.</w:t>
      </w:r>
      <w:r w:rsidR="00E464D2" w:rsidRPr="00A6087F">
        <w:rPr>
          <w:rStyle w:val="FootnoteReference"/>
        </w:rPr>
        <w:footnoteReference w:id="60"/>
      </w:r>
      <w:r w:rsidR="002C6F07" w:rsidRPr="00A6087F">
        <w:t xml:space="preserve"> Aboriginal and/or Torres Strait Islander people in the ACT are less likely to own their own homes than non-Indigenous people, more likely to be renting, and more likely to be renting from a state or territory housing authority.</w:t>
      </w:r>
      <w:r w:rsidR="002C6F07" w:rsidRPr="00A6087F">
        <w:rPr>
          <w:rStyle w:val="FootnoteReference"/>
        </w:rPr>
        <w:footnoteReference w:id="61"/>
      </w:r>
    </w:p>
    <w:p w14:paraId="44880745" w14:textId="77777777" w:rsidR="00F77455" w:rsidRPr="00A6087F" w:rsidRDefault="00F77455" w:rsidP="00F77455">
      <w:pPr>
        <w:pStyle w:val="BodyText"/>
      </w:pPr>
      <w:r w:rsidRPr="00A6087F">
        <w:t>Aboriginal and/or Torres Strait Islander people in the ACT are over-policed and over-incarcerated. Although Indigenous people make up less than 2% of the Territory’s population, they make up a quarter of the population in the Alexander Maconochie Centre (AMC).</w:t>
      </w:r>
      <w:r w:rsidRPr="00A6087F">
        <w:rPr>
          <w:rStyle w:val="FootnoteReference"/>
        </w:rPr>
        <w:footnoteReference w:id="62"/>
      </w:r>
      <w:r w:rsidRPr="00A6087F">
        <w:t xml:space="preserve"> Aboriginal and/or Torres Strait Islander people in the ACT are imprisoned at 19 times the rate of non-Indigenous people and are subject to community corrections orders at 12 times the rate of non-Indigenous people.</w:t>
      </w:r>
      <w:r w:rsidRPr="00A6087F">
        <w:rPr>
          <w:rStyle w:val="FootnoteReference"/>
        </w:rPr>
        <w:footnoteReference w:id="63"/>
      </w:r>
      <w:r w:rsidRPr="00A6087F">
        <w:t xml:space="preserve"> </w:t>
      </w:r>
    </w:p>
    <w:p w14:paraId="5E966CCF" w14:textId="702FA8CB" w:rsidR="00E13321" w:rsidRPr="00A6087F" w:rsidRDefault="00E13321" w:rsidP="00E13321">
      <w:pPr>
        <w:pStyle w:val="Image"/>
      </w:pPr>
      <w:r w:rsidRPr="00A6087F">
        <w:rPr>
          <w:noProof/>
        </w:rPr>
        <w:lastRenderedPageBreak/>
        <w:drawing>
          <wp:inline distT="0" distB="0" distL="0" distR="0" wp14:anchorId="6F6B71FF" wp14:editId="09ECC812">
            <wp:extent cx="5400040" cy="2747010"/>
            <wp:effectExtent l="0" t="0" r="0" b="0"/>
            <wp:docPr id="6" name="Picture 6"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line chart&#10;&#10;Description automatically generated"/>
                    <pic:cNvPicPr/>
                  </pic:nvPicPr>
                  <pic:blipFill>
                    <a:blip r:embed="rId47" cstate="print">
                      <a:extLst>
                        <a:ext uri="{28A0092B-C50C-407E-A947-70E740481C1C}">
                          <a14:useLocalDpi xmlns:a14="http://schemas.microsoft.com/office/drawing/2010/main" val="0"/>
                        </a:ext>
                      </a:extLst>
                    </a:blip>
                    <a:stretch>
                      <a:fillRect/>
                    </a:stretch>
                  </pic:blipFill>
                  <pic:spPr>
                    <a:xfrm>
                      <a:off x="0" y="0"/>
                      <a:ext cx="5400040" cy="2747010"/>
                    </a:xfrm>
                    <a:prstGeom prst="rect">
                      <a:avLst/>
                    </a:prstGeom>
                  </pic:spPr>
                </pic:pic>
              </a:graphicData>
            </a:graphic>
          </wp:inline>
        </w:drawing>
      </w:r>
    </w:p>
    <w:p w14:paraId="3AC7C47E" w14:textId="30B382AE" w:rsidR="000A0C1B" w:rsidRPr="00A6087F" w:rsidRDefault="000A0C1B" w:rsidP="000A0C1B">
      <w:pPr>
        <w:pStyle w:val="Source"/>
      </w:pPr>
      <w:r w:rsidRPr="00A6087F">
        <w:t xml:space="preserve">Source: </w:t>
      </w:r>
      <w:r w:rsidR="00F46CB4" w:rsidRPr="00A6087F">
        <w:t xml:space="preserve">Data from </w:t>
      </w:r>
      <w:r w:rsidRPr="00A6087F">
        <w:t>ABS,</w:t>
      </w:r>
      <w:r w:rsidR="003F113A">
        <w:t xml:space="preserve"> </w:t>
      </w:r>
      <w:hyperlink r:id="rId48" w:anchor="data-download" w:history="1">
        <w:r w:rsidRPr="003F113A">
          <w:rPr>
            <w:rStyle w:val="Hyperlink"/>
            <w:i/>
          </w:rPr>
          <w:t>Prisoners in Australia</w:t>
        </w:r>
      </w:hyperlink>
      <w:r w:rsidR="000B1D58" w:rsidRPr="00A6087F">
        <w:t>,</w:t>
      </w:r>
      <w:r w:rsidRPr="00A6087F">
        <w:t xml:space="preserve"> 2021, Table 15.</w:t>
      </w:r>
    </w:p>
    <w:p w14:paraId="318BBAC8" w14:textId="0374A38E" w:rsidR="00F77455" w:rsidRPr="00A6087F" w:rsidRDefault="00F77455" w:rsidP="00F77455">
      <w:pPr>
        <w:pStyle w:val="BodyText"/>
      </w:pPr>
      <w:r w:rsidRPr="00A6087F">
        <w:t>The proportion of prisoners who are Aboriginal and/or Torres Strait Islander in the ACT has doubled over the last ten years, from 13% in 2011 to almost 26% in 2021.</w:t>
      </w:r>
      <w:r w:rsidRPr="00A6087F">
        <w:rPr>
          <w:rStyle w:val="FootnoteReference"/>
        </w:rPr>
        <w:footnoteReference w:id="64"/>
      </w:r>
      <w:r w:rsidRPr="00A6087F">
        <w:t xml:space="preserve"> The ACT also has Australia’s highest rate of recidivism for Aboriginal and/or Torres Strait Islander people, with 91% of Indigenous detainees in the AMC having experienced prior imprisonment.</w:t>
      </w:r>
      <w:r w:rsidR="003F113A">
        <w:rPr>
          <w:rStyle w:val="FootnoteReference"/>
        </w:rPr>
        <w:footnoteReference w:id="65"/>
      </w:r>
    </w:p>
    <w:p w14:paraId="588966E4" w14:textId="77777777" w:rsidR="00F77455" w:rsidRPr="00A6087F" w:rsidRDefault="00F77455" w:rsidP="00F77455">
      <w:pPr>
        <w:pStyle w:val="BodyText"/>
      </w:pPr>
      <w:r w:rsidRPr="00A6087F">
        <w:t xml:space="preserve">Rather than an indictment of Aboriginal and/or Torres Strait Islander people, these figures demonstrate the entrenched and systemic racism at the heart of our justice system. To address this problem, we need to ensure mandatory, adequate, and continuous cultural awareness and safety training for all ACT Policing and Corrective Services staff, as well as investing in a high-level inquiry into the over-representation of Aboriginal people in the justice system. </w:t>
      </w:r>
    </w:p>
    <w:p w14:paraId="41429705" w14:textId="77777777" w:rsidR="00B23AEB" w:rsidRPr="00A6087F" w:rsidRDefault="00B23AEB" w:rsidP="00B23AEB">
      <w:pPr>
        <w:pStyle w:val="BodyText"/>
      </w:pPr>
      <w:r w:rsidRPr="00A6087F">
        <w:t>Aboriginal and/or Torres Strait Islander children are vastly overrepresented in the child protection system in the ACT. Indigenous children are 13 times more likely to be in out-of-home care than non-Indigenous children, and a third of those children are still being placed with non-Indigenous carers who are not relatives or kin.</w:t>
      </w:r>
      <w:r w:rsidRPr="00A6087F">
        <w:rPr>
          <w:rStyle w:val="FootnoteReference"/>
        </w:rPr>
        <w:footnoteReference w:id="66"/>
      </w:r>
    </w:p>
    <w:p w14:paraId="32A87ACD" w14:textId="398AF084" w:rsidR="00B23AEB" w:rsidRPr="00A6087F" w:rsidRDefault="00B23AEB" w:rsidP="00B23AEB">
      <w:pPr>
        <w:pStyle w:val="BodyText"/>
      </w:pPr>
      <w:r w:rsidRPr="00A6087F">
        <w:t xml:space="preserve">We know that there is a strong relationship between experiences of out-of-home care and the youth justice system, with young Aboriginal and/or Torres Strait Islander people 16 times more likely than non-Indigenous children to be in </w:t>
      </w:r>
      <w:r w:rsidRPr="00A6087F">
        <w:lastRenderedPageBreak/>
        <w:t>detention in the ACT.</w:t>
      </w:r>
      <w:r w:rsidRPr="00A6087F">
        <w:rPr>
          <w:rStyle w:val="FootnoteReference"/>
        </w:rPr>
        <w:footnoteReference w:id="67"/>
      </w:r>
      <w:r w:rsidRPr="00A6087F">
        <w:t xml:space="preserve"> This entanglement in the </w:t>
      </w:r>
      <w:r w:rsidR="00DC7DE1" w:rsidRPr="00A6087F">
        <w:t>Child and Youth Protection Services</w:t>
      </w:r>
      <w:r w:rsidR="00DC7DE1" w:rsidRPr="00A6087F">
        <w:t xml:space="preserve"> </w:t>
      </w:r>
      <w:r w:rsidR="004874E2" w:rsidRPr="00A6087F">
        <w:t>(</w:t>
      </w:r>
      <w:proofErr w:type="spellStart"/>
      <w:r w:rsidRPr="00A6087F">
        <w:t>CYPS</w:t>
      </w:r>
      <w:proofErr w:type="spellEnd"/>
      <w:r w:rsidR="004874E2" w:rsidRPr="00A6087F">
        <w:t>)</w:t>
      </w:r>
      <w:r w:rsidRPr="00A6087F">
        <w:t xml:space="preserve"> and justice systems produces life-long harm for young people, their </w:t>
      </w:r>
      <w:proofErr w:type="gramStart"/>
      <w:r w:rsidRPr="00A6087F">
        <w:t>families</w:t>
      </w:r>
      <w:proofErr w:type="gramEnd"/>
      <w:r w:rsidRPr="00A6087F">
        <w:t xml:space="preserve"> and communities. </w:t>
      </w:r>
    </w:p>
    <w:p w14:paraId="047BD81A" w14:textId="38A8A898" w:rsidR="00B23AEB" w:rsidRPr="00A6087F" w:rsidRDefault="00B23AEB" w:rsidP="00B23AEB">
      <w:pPr>
        <w:pStyle w:val="BodyText"/>
      </w:pPr>
      <w:r w:rsidRPr="00A6087F">
        <w:t xml:space="preserve">Removal of children from their families should be an absolute last resort, undertaken only when all other support mechanisms have been exhausted. Removals must be subject to thorough oversight that </w:t>
      </w:r>
      <w:proofErr w:type="gramStart"/>
      <w:r w:rsidRPr="00A6087F">
        <w:t>takes into account</w:t>
      </w:r>
      <w:proofErr w:type="gramEnd"/>
      <w:r w:rsidRPr="00A6087F">
        <w:t xml:space="preserve"> the role of systemic racism in child protection assessments and decision making. Where children are removed, restoration must be the goal, and cultural safety plans must be enacted.</w:t>
      </w:r>
      <w:r w:rsidR="002F3715" w:rsidRPr="00A6087F">
        <w:t xml:space="preserve"> The implementation of adequate </w:t>
      </w:r>
      <w:r w:rsidR="00A619B3" w:rsidRPr="00A6087F">
        <w:t xml:space="preserve">internal and external review mechanisms in our child protection system will not only protect families but also provide opportunities for continual improvement within </w:t>
      </w:r>
      <w:proofErr w:type="spellStart"/>
      <w:r w:rsidR="00A619B3" w:rsidRPr="00A6087F">
        <w:t>CYPS</w:t>
      </w:r>
      <w:proofErr w:type="spellEnd"/>
      <w:r w:rsidR="00A619B3" w:rsidRPr="00A6087F">
        <w:t>.</w:t>
      </w:r>
    </w:p>
    <w:p w14:paraId="34D9360E" w14:textId="183B430C" w:rsidR="001D64E3" w:rsidRPr="00A6087F" w:rsidRDefault="00B23AEB" w:rsidP="00E464D2">
      <w:pPr>
        <w:pStyle w:val="BodyText"/>
      </w:pPr>
      <w:r w:rsidRPr="00A6087F">
        <w:t xml:space="preserve">ACTCOSS appreciates that the ACT Government has introduced some measures to address the overrepresentation of Aboriginal and/or Torres Strait Islander children in our child protection system, including beginning the process to appoint an Aboriginal and Torres Strait Islander Children’s Commissioner in the ACT. However, the ACT continues to </w:t>
      </w:r>
      <w:r w:rsidR="000258E9" w:rsidRPr="00A6087F">
        <w:t>underperform,</w:t>
      </w:r>
      <w:r w:rsidRPr="00A6087F">
        <w:t xml:space="preserve"> and underspend compared with other jurisdictions, and it is Aboriginal and/or Torres Strait Islander children who suffer </w:t>
      </w:r>
      <w:proofErr w:type="gramStart"/>
      <w:r w:rsidRPr="00A6087F">
        <w:t>as a consequence</w:t>
      </w:r>
      <w:proofErr w:type="gramEnd"/>
      <w:r w:rsidRPr="00A6087F">
        <w:t>.</w:t>
      </w:r>
      <w:r w:rsidR="00280B7C" w:rsidRPr="00A6087F">
        <w:t xml:space="preserve"> </w:t>
      </w:r>
    </w:p>
    <w:p w14:paraId="78EA9704" w14:textId="65D99C58" w:rsidR="00193E6E" w:rsidRPr="00A6087F" w:rsidRDefault="00193E6E" w:rsidP="00E464D2">
      <w:pPr>
        <w:pStyle w:val="BodyText"/>
      </w:pPr>
      <w:r w:rsidRPr="00A6087F">
        <w:t xml:space="preserve">We must take a whole-of-government approach to each of these areas of concern </w:t>
      </w:r>
      <w:r w:rsidR="0055331D" w:rsidRPr="00A6087F">
        <w:t xml:space="preserve">by listening to what Aboriginal and/or Torres Strait Islander communities are saying, and resourcing </w:t>
      </w:r>
      <w:r w:rsidR="00873DC0" w:rsidRPr="00A6087F">
        <w:t>community-controlled</w:t>
      </w:r>
      <w:r w:rsidR="0055331D" w:rsidRPr="00A6087F">
        <w:t xml:space="preserve"> organisations.</w:t>
      </w:r>
    </w:p>
    <w:p w14:paraId="69716E34" w14:textId="57E8CA77" w:rsidR="00E44370" w:rsidRPr="00A6087F" w:rsidRDefault="00E44370" w:rsidP="002F4154">
      <w:pPr>
        <w:pStyle w:val="Heading2"/>
      </w:pPr>
      <w:bookmarkStart w:id="11" w:name="_Toc103872183"/>
      <w:r w:rsidRPr="00A6087F">
        <w:lastRenderedPageBreak/>
        <w:t>Cost of Living</w:t>
      </w:r>
      <w:bookmarkEnd w:id="11"/>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887A53" w:rsidRPr="00A6087F" w14:paraId="0DFF1FA7" w14:textId="77777777" w:rsidTr="00F803DA">
        <w:trPr>
          <w:cantSplit/>
        </w:trPr>
        <w:tc>
          <w:tcPr>
            <w:tcW w:w="8720" w:type="dxa"/>
            <w:shd w:val="clear" w:color="auto" w:fill="auto"/>
            <w:tcMar>
              <w:left w:w="170" w:type="dxa"/>
              <w:right w:w="170" w:type="dxa"/>
            </w:tcMar>
          </w:tcPr>
          <w:p w14:paraId="756B1E71" w14:textId="77777777" w:rsidR="00887A53" w:rsidRPr="00A6087F" w:rsidRDefault="00887A53" w:rsidP="00F803DA">
            <w:pPr>
              <w:pStyle w:val="Recommendationsheading"/>
            </w:pPr>
            <w:r w:rsidRPr="00A6087F">
              <w:t>Recommendations heading</w:t>
            </w:r>
          </w:p>
          <w:p w14:paraId="6FC98E0C" w14:textId="77777777" w:rsidR="001A4AE1" w:rsidRPr="00A6087F" w:rsidRDefault="001A4AE1" w:rsidP="001A4AE1">
            <w:pPr>
              <w:pStyle w:val="ListBullet"/>
            </w:pPr>
            <w:r w:rsidRPr="00A6087F">
              <w:t>Ensure concessions are adequate and targeted to need based on the review and update of the Targeted Assistance Strategy</w:t>
            </w:r>
          </w:p>
          <w:p w14:paraId="225B5F31" w14:textId="77777777" w:rsidR="001A4AE1" w:rsidRPr="00A6087F" w:rsidRDefault="001A4AE1" w:rsidP="001A4AE1">
            <w:pPr>
              <w:pStyle w:val="ListBullet"/>
            </w:pPr>
            <w:r w:rsidRPr="00A6087F">
              <w:t xml:space="preserve">Introduce an income-based approach to ACT Government fines, </w:t>
            </w:r>
            <w:proofErr w:type="gramStart"/>
            <w:r w:rsidRPr="00A6087F">
              <w:t>fees</w:t>
            </w:r>
            <w:proofErr w:type="gramEnd"/>
            <w:r w:rsidRPr="00A6087F">
              <w:t xml:space="preserve"> and other charges</w:t>
            </w:r>
          </w:p>
          <w:p w14:paraId="265FA5F5" w14:textId="77777777" w:rsidR="001A4AE1" w:rsidRPr="00A6087F" w:rsidRDefault="001A4AE1" w:rsidP="001A4AE1">
            <w:pPr>
              <w:pStyle w:val="ListBullet"/>
            </w:pPr>
            <w:r w:rsidRPr="00A6087F">
              <w:t>Align the discount on license fees for Health Care Card holders (currently 50% of costs) with Pension Card Holders (100%)</w:t>
            </w:r>
          </w:p>
          <w:p w14:paraId="3E6E6299" w14:textId="77777777" w:rsidR="001A4AE1" w:rsidRPr="00A6087F" w:rsidRDefault="001A4AE1" w:rsidP="001A4AE1">
            <w:pPr>
              <w:pStyle w:val="ListBullet"/>
            </w:pPr>
            <w:r w:rsidRPr="00A6087F">
              <w:t xml:space="preserve">Trial free public transport and analyse its costs, </w:t>
            </w:r>
            <w:proofErr w:type="gramStart"/>
            <w:r w:rsidRPr="00A6087F">
              <w:t>benefits</w:t>
            </w:r>
            <w:proofErr w:type="gramEnd"/>
            <w:r w:rsidRPr="00A6087F">
              <w:t xml:space="preserve"> and distributional impact</w:t>
            </w:r>
          </w:p>
          <w:p w14:paraId="2BC96312" w14:textId="52E626FA" w:rsidR="001A4AE1" w:rsidRPr="00A6087F" w:rsidRDefault="001A4AE1" w:rsidP="001A4AE1">
            <w:pPr>
              <w:pStyle w:val="ListBullet"/>
            </w:pPr>
            <w:r w:rsidRPr="00A6087F">
              <w:t>Invest in integrative health services that prioritise access for people on low incomes, including early intervention and mental health and support for carers</w:t>
            </w:r>
          </w:p>
          <w:p w14:paraId="67EA7B0F" w14:textId="77777777" w:rsidR="001A4AE1" w:rsidRPr="00A6087F" w:rsidRDefault="001A4AE1" w:rsidP="001A4AE1">
            <w:pPr>
              <w:pStyle w:val="ListBullet"/>
            </w:pPr>
            <w:r w:rsidRPr="00A6087F">
              <w:t>Ensure the Utilities Concession is adjusted in line with increases in costs of electricity, gas, and water and sewerage services for low-income households</w:t>
            </w:r>
          </w:p>
          <w:p w14:paraId="0C720A3B" w14:textId="166D8FE7" w:rsidR="00887A53" w:rsidRPr="00A6087F" w:rsidRDefault="001A4AE1" w:rsidP="00F803DA">
            <w:pPr>
              <w:pStyle w:val="ListBullet"/>
            </w:pPr>
            <w:r w:rsidRPr="00A6087F">
              <w:t>Consider expanding the Utilities Hardship Fund to Icon Water so it can be accessed by customers experiencing hardship for water and sewerage services.</w:t>
            </w:r>
          </w:p>
        </w:tc>
      </w:tr>
    </w:tbl>
    <w:p w14:paraId="69D0238B" w14:textId="77777777" w:rsidR="00887A53" w:rsidRPr="00A6087F" w:rsidRDefault="00887A53" w:rsidP="00BC46CC">
      <w:pPr>
        <w:pStyle w:val="BodyText"/>
        <w:rPr>
          <w:i/>
        </w:rPr>
      </w:pPr>
    </w:p>
    <w:p w14:paraId="45EE028B" w14:textId="77777777" w:rsidR="00603AE8" w:rsidRPr="00A6087F" w:rsidRDefault="00543891" w:rsidP="00603AE8">
      <w:pPr>
        <w:pStyle w:val="Wellbeingdomains"/>
      </w:pPr>
      <w:r w:rsidRPr="00A6087F">
        <w:t xml:space="preserve">Wellbeing domain </w:t>
      </w:r>
      <w:r w:rsidR="00661888" w:rsidRPr="00A6087F">
        <w:t>9: Living standards</w:t>
      </w:r>
    </w:p>
    <w:p w14:paraId="69C731C6" w14:textId="159666AF" w:rsidR="00543891" w:rsidRPr="00A6087F" w:rsidRDefault="00400A2E" w:rsidP="00603AE8">
      <w:pPr>
        <w:pStyle w:val="Wellbeingdomains"/>
        <w:spacing w:after="240"/>
      </w:pPr>
      <w:r w:rsidRPr="00A6087F">
        <w:t>Wellbeing d</w:t>
      </w:r>
      <w:r w:rsidR="006A59F1" w:rsidRPr="00A6087F">
        <w:t xml:space="preserve">omain 2: Economy </w:t>
      </w:r>
    </w:p>
    <w:p w14:paraId="045F316B" w14:textId="78B42E5F" w:rsidR="008269BC" w:rsidRPr="00A6087F" w:rsidRDefault="007D28E6" w:rsidP="00DC0093">
      <w:pPr>
        <w:pStyle w:val="BodyText"/>
      </w:pPr>
      <w:r w:rsidRPr="00A6087F">
        <w:t xml:space="preserve">Our </w:t>
      </w:r>
      <w:r w:rsidRPr="00A6087F">
        <w:rPr>
          <w:i/>
          <w:iCs/>
        </w:rPr>
        <w:t>2022 ACT Cost of Living Report</w:t>
      </w:r>
      <w:r w:rsidRPr="00A6087F">
        <w:t xml:space="preserve"> </w:t>
      </w:r>
      <w:r w:rsidR="003F77C9" w:rsidRPr="00A6087F">
        <w:t>shows that Canberrans living on low incomes have been hit hardest by the biggest increase in cost of living in over 20 years.</w:t>
      </w:r>
      <w:r w:rsidR="00603AE8" w:rsidRPr="00A6087F">
        <w:rPr>
          <w:rStyle w:val="FootnoteReference"/>
        </w:rPr>
        <w:footnoteReference w:id="68"/>
      </w:r>
      <w:r w:rsidR="003F77C9" w:rsidRPr="00A6087F">
        <w:t xml:space="preserve"> </w:t>
      </w:r>
      <w:r w:rsidR="00B076C8" w:rsidRPr="00A6087F">
        <w:t xml:space="preserve">Inflation is expected to rise even further this year. </w:t>
      </w:r>
      <w:r w:rsidR="00904EF1" w:rsidRPr="00A6087F">
        <w:t>At the same time</w:t>
      </w:r>
      <w:r w:rsidR="00937AC5" w:rsidRPr="00A6087F">
        <w:t>, temporary income support</w:t>
      </w:r>
      <w:r w:rsidR="003D74D4" w:rsidRPr="00A6087F">
        <w:t>s</w:t>
      </w:r>
      <w:r w:rsidR="00937AC5" w:rsidRPr="00A6087F">
        <w:t xml:space="preserve"> in the form of the Coronavirus Supplement and COVID-19 Disaster Payment were phased out. </w:t>
      </w:r>
      <w:r w:rsidR="008269BC" w:rsidRPr="00A6087F">
        <w:t>As a result</w:t>
      </w:r>
      <w:r w:rsidR="00B57D26" w:rsidRPr="00A6087F">
        <w:t>,</w:t>
      </w:r>
      <w:r w:rsidR="008269BC" w:rsidRPr="00A6087F">
        <w:t xml:space="preserve"> </w:t>
      </w:r>
      <w:proofErr w:type="spellStart"/>
      <w:r w:rsidR="008269BC" w:rsidRPr="00A6087F">
        <w:t>JobSeeker</w:t>
      </w:r>
      <w:proofErr w:type="spellEnd"/>
      <w:r w:rsidR="008269BC" w:rsidRPr="00A6087F">
        <w:t xml:space="preserve"> and Youth Allowance payments have returned to well below the poverty line</w:t>
      </w:r>
      <w:r w:rsidR="00FF69A0" w:rsidRPr="00A6087F">
        <w:t>. It is estimate</w:t>
      </w:r>
      <w:r w:rsidR="00603AE8" w:rsidRPr="00A6087F">
        <w:t>d</w:t>
      </w:r>
      <w:r w:rsidR="00FF69A0" w:rsidRPr="00A6087F">
        <w:t xml:space="preserve"> that there are now over 38,000 Canberrans living below the poverty line, including 9,000 children.</w:t>
      </w:r>
    </w:p>
    <w:p w14:paraId="30F7B495" w14:textId="3A98DA5B" w:rsidR="00840303" w:rsidRPr="00A6087F" w:rsidRDefault="00840303" w:rsidP="00840303">
      <w:pPr>
        <w:pStyle w:val="Image"/>
      </w:pPr>
      <w:r w:rsidRPr="00A6087F">
        <w:rPr>
          <w:noProof/>
        </w:rPr>
        <w:lastRenderedPageBreak/>
        <w:drawing>
          <wp:inline distT="0" distB="0" distL="0" distR="0" wp14:anchorId="14FDA935" wp14:editId="2F56A87B">
            <wp:extent cx="5400040" cy="4180205"/>
            <wp:effectExtent l="0" t="0" r="0" b="0"/>
            <wp:docPr id="9" name="Picture 9"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waterfall chart&#10;&#10;Description automatically generated"/>
                    <pic:cNvPicPr/>
                  </pic:nvPicPr>
                  <pic:blipFill>
                    <a:blip r:embed="rId49" cstate="print">
                      <a:extLst>
                        <a:ext uri="{28A0092B-C50C-407E-A947-70E740481C1C}">
                          <a14:useLocalDpi xmlns:a14="http://schemas.microsoft.com/office/drawing/2010/main" val="0"/>
                        </a:ext>
                      </a:extLst>
                    </a:blip>
                    <a:stretch>
                      <a:fillRect/>
                    </a:stretch>
                  </pic:blipFill>
                  <pic:spPr>
                    <a:xfrm>
                      <a:off x="0" y="0"/>
                      <a:ext cx="5400040" cy="4180205"/>
                    </a:xfrm>
                    <a:prstGeom prst="rect">
                      <a:avLst/>
                    </a:prstGeom>
                  </pic:spPr>
                </pic:pic>
              </a:graphicData>
            </a:graphic>
          </wp:inline>
        </w:drawing>
      </w:r>
    </w:p>
    <w:p w14:paraId="57B5B37E" w14:textId="7E99FECA" w:rsidR="00A76B54" w:rsidRPr="00A6087F" w:rsidRDefault="00DB63FA" w:rsidP="007148C8">
      <w:pPr>
        <w:pStyle w:val="Source"/>
        <w:spacing w:after="240"/>
      </w:pPr>
      <w:r w:rsidRPr="00A6087F">
        <w:t xml:space="preserve">Source: Chart derived from Services Australia, </w:t>
      </w:r>
      <w:hyperlink r:id="rId50" w:history="1">
        <w:r w:rsidRPr="00A6087F">
          <w:rPr>
            <w:rStyle w:val="Hyperlink"/>
            <w:i/>
            <w:iCs/>
          </w:rPr>
          <w:t>A guide to Australian Government payments</w:t>
        </w:r>
      </w:hyperlink>
      <w:r w:rsidRPr="00A6087F">
        <w:t>, Historical versions from 20 September – 31 December 2020 to 20 September – 31 December 2021, Services Australia, Canberra, 2020-21, accessed 21 April 2022</w:t>
      </w:r>
      <w:r w:rsidRPr="00A6087F">
        <w:t xml:space="preserve">; </w:t>
      </w:r>
      <w:r w:rsidRPr="00A6087F">
        <w:t xml:space="preserve">ACTCOSS, </w:t>
      </w:r>
      <w:hyperlink r:id="rId51" w:history="1">
        <w:r w:rsidRPr="00A6087F">
          <w:rPr>
            <w:rStyle w:val="Hyperlink"/>
            <w:i/>
            <w:iCs/>
          </w:rPr>
          <w:t>2022 ACT Cost of Living Report</w:t>
        </w:r>
      </w:hyperlink>
      <w:r w:rsidRPr="00A6087F">
        <w:t>, ACTCOSS, Canberra, May 2022, Figure</w:t>
      </w:r>
      <w:r w:rsidRPr="00A6087F">
        <w:t xml:space="preserve"> 11</w:t>
      </w:r>
      <w:r w:rsidRPr="00A6087F">
        <w:t>.</w:t>
      </w:r>
    </w:p>
    <w:p w14:paraId="53E6DEAB" w14:textId="0921DA6F" w:rsidR="00AB1D3B" w:rsidRPr="00A6087F" w:rsidRDefault="00660535" w:rsidP="007148C8">
      <w:pPr>
        <w:pStyle w:val="Image"/>
        <w:spacing w:before="120"/>
      </w:pPr>
      <w:r w:rsidRPr="00A6087F">
        <w:rPr>
          <w:noProof/>
        </w:rPr>
        <w:drawing>
          <wp:inline distT="0" distB="0" distL="0" distR="0" wp14:anchorId="72C59D27" wp14:editId="34B1D61E">
            <wp:extent cx="5400040" cy="3386455"/>
            <wp:effectExtent l="0" t="0" r="0" b="4445"/>
            <wp:docPr id="10" name="Picture 10"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waterfall chart&#10;&#10;Description automatically generated"/>
                    <pic:cNvPicPr/>
                  </pic:nvPicPr>
                  <pic:blipFill>
                    <a:blip r:embed="rId52" cstate="print">
                      <a:extLst>
                        <a:ext uri="{28A0092B-C50C-407E-A947-70E740481C1C}">
                          <a14:useLocalDpi xmlns:a14="http://schemas.microsoft.com/office/drawing/2010/main" val="0"/>
                        </a:ext>
                      </a:extLst>
                    </a:blip>
                    <a:stretch>
                      <a:fillRect/>
                    </a:stretch>
                  </pic:blipFill>
                  <pic:spPr>
                    <a:xfrm>
                      <a:off x="0" y="0"/>
                      <a:ext cx="5400040" cy="3386455"/>
                    </a:xfrm>
                    <a:prstGeom prst="rect">
                      <a:avLst/>
                    </a:prstGeom>
                  </pic:spPr>
                </pic:pic>
              </a:graphicData>
            </a:graphic>
          </wp:inline>
        </w:drawing>
      </w:r>
    </w:p>
    <w:p w14:paraId="1B02A35D" w14:textId="70957092" w:rsidR="00893E6F" w:rsidRPr="00A6087F" w:rsidRDefault="00893E6F" w:rsidP="00893E6F">
      <w:pPr>
        <w:pStyle w:val="Source"/>
      </w:pPr>
      <w:r w:rsidRPr="00A6087F">
        <w:t xml:space="preserve">Source: Chart derived from Services Australia, </w:t>
      </w:r>
      <w:hyperlink r:id="rId53" w:history="1">
        <w:r w:rsidRPr="00A6087F">
          <w:rPr>
            <w:rStyle w:val="Hyperlink"/>
            <w:i/>
            <w:iCs/>
          </w:rPr>
          <w:t>A guide to Australian Government payments</w:t>
        </w:r>
      </w:hyperlink>
      <w:r w:rsidRPr="00A6087F">
        <w:t>, Historical versions from 20 September – 31 December 2020 to 20 September – 31 December 2021, Services Australia, Canberra, 2020-21, accessed 21 April 2022</w:t>
      </w:r>
      <w:r w:rsidRPr="00A6087F">
        <w:t xml:space="preserve">; </w:t>
      </w:r>
      <w:r w:rsidRPr="00A6087F">
        <w:t xml:space="preserve">ACTCOSS, </w:t>
      </w:r>
      <w:hyperlink r:id="rId54" w:history="1">
        <w:r w:rsidRPr="00A6087F">
          <w:rPr>
            <w:rStyle w:val="Hyperlink"/>
            <w:i/>
            <w:iCs/>
          </w:rPr>
          <w:t>2022 ACT Cost of Living Report</w:t>
        </w:r>
      </w:hyperlink>
      <w:r w:rsidRPr="00A6087F">
        <w:t>, ACTCOSS, Canberra, May 2022, Figure 1</w:t>
      </w:r>
      <w:r w:rsidRPr="00A6087F">
        <w:t>2</w:t>
      </w:r>
      <w:r w:rsidRPr="00A6087F">
        <w:t>.</w:t>
      </w:r>
    </w:p>
    <w:p w14:paraId="77570129" w14:textId="444807F5" w:rsidR="00937AC5" w:rsidRPr="00A6087F" w:rsidRDefault="003F77C9" w:rsidP="00BA4412">
      <w:pPr>
        <w:pStyle w:val="BodyText"/>
        <w:spacing w:after="120"/>
      </w:pPr>
      <w:r w:rsidRPr="00A6087F">
        <w:lastRenderedPageBreak/>
        <w:t>Far from sharing in an economic and community recovery, more people are seeking support from ACT community sector organisations due to the rising cost of living and declining income support.</w:t>
      </w:r>
      <w:r w:rsidR="008269BC" w:rsidRPr="00A6087F">
        <w:t xml:space="preserve"> </w:t>
      </w:r>
      <w:r w:rsidR="00450C4F" w:rsidRPr="00A6087F">
        <w:t xml:space="preserve">Over the past 12 months the ACT community sector has seen an increase in demand for social services alongside an increase in poverty, </w:t>
      </w:r>
      <w:proofErr w:type="gramStart"/>
      <w:r w:rsidR="00450C4F" w:rsidRPr="00A6087F">
        <w:t>disadvantage</w:t>
      </w:r>
      <w:proofErr w:type="gramEnd"/>
      <w:r w:rsidR="00450C4F" w:rsidRPr="00A6087F">
        <w:t xml:space="preserve"> and complexity of need among the people and communities they support.</w:t>
      </w:r>
      <w:r w:rsidR="00A93F48" w:rsidRPr="00A6087F">
        <w:t xml:space="preserve"> </w:t>
      </w:r>
    </w:p>
    <w:p w14:paraId="7D1163CA" w14:textId="77777777" w:rsidR="00E24DA3" w:rsidRPr="00A6087F" w:rsidRDefault="00E24DA3" w:rsidP="00BA4412">
      <w:pPr>
        <w:pStyle w:val="BodyText"/>
        <w:spacing w:after="120"/>
      </w:pPr>
      <w:r w:rsidRPr="00A6087F">
        <w:t>Over the last five years, Canberra has experienced significant increases in prices for the following essential goods and services:</w:t>
      </w:r>
    </w:p>
    <w:p w14:paraId="1F2E323F" w14:textId="62541281" w:rsidR="00E24DA3" w:rsidRPr="00A6087F" w:rsidRDefault="00544DB1" w:rsidP="00BA4412">
      <w:pPr>
        <w:pStyle w:val="ListBullet"/>
        <w:spacing w:after="40"/>
        <w:ind w:left="357" w:hanging="357"/>
      </w:pPr>
      <w:r w:rsidRPr="00A6087F">
        <w:t>A</w:t>
      </w:r>
      <w:r w:rsidR="00E24DA3" w:rsidRPr="00A6087F">
        <w:t>utomotive fuel (34.9%) and transport (19.2%)</w:t>
      </w:r>
    </w:p>
    <w:p w14:paraId="4A4A6A16" w14:textId="749BCDA6" w:rsidR="00E24DA3" w:rsidRPr="00A6087F" w:rsidRDefault="00544DB1" w:rsidP="00BA4412">
      <w:pPr>
        <w:pStyle w:val="ListBullet"/>
        <w:spacing w:after="40"/>
        <w:ind w:left="357" w:hanging="357"/>
      </w:pPr>
      <w:r w:rsidRPr="00A6087F">
        <w:t>E</w:t>
      </w:r>
      <w:r w:rsidR="00E24DA3" w:rsidRPr="00A6087F">
        <w:t>lectricity (28.1%) and gas (24.0%)</w:t>
      </w:r>
    </w:p>
    <w:p w14:paraId="23D4A79C" w14:textId="1CA4DB03" w:rsidR="00E24DA3" w:rsidRPr="00A6087F" w:rsidRDefault="00544DB1" w:rsidP="00BA4412">
      <w:pPr>
        <w:pStyle w:val="ListBullet"/>
        <w:spacing w:after="40"/>
        <w:ind w:left="357" w:hanging="357"/>
      </w:pPr>
      <w:r w:rsidRPr="00A6087F">
        <w:t>M</w:t>
      </w:r>
      <w:r w:rsidR="00E24DA3" w:rsidRPr="00A6087F">
        <w:t>edical and hospital services (21.4%)</w:t>
      </w:r>
    </w:p>
    <w:p w14:paraId="302EC871" w14:textId="7B27E7C9" w:rsidR="00E24DA3" w:rsidRPr="00A6087F" w:rsidRDefault="00544DB1" w:rsidP="00BA4412">
      <w:pPr>
        <w:pStyle w:val="ListBullet"/>
        <w:spacing w:after="40"/>
        <w:ind w:left="357" w:hanging="357"/>
      </w:pPr>
      <w:r w:rsidRPr="00A6087F">
        <w:t>H</w:t>
      </w:r>
      <w:r w:rsidR="00E24DA3" w:rsidRPr="00A6087F">
        <w:t>ousing (19.0%) and rents (13.1%)</w:t>
      </w:r>
    </w:p>
    <w:p w14:paraId="0DCC5672" w14:textId="5D9B6818" w:rsidR="00E24DA3" w:rsidRPr="00A6087F" w:rsidRDefault="00544DB1" w:rsidP="00BA4412">
      <w:pPr>
        <w:pStyle w:val="ListBullet"/>
        <w:spacing w:after="40"/>
        <w:ind w:left="357" w:hanging="357"/>
      </w:pPr>
      <w:r w:rsidRPr="00A6087F">
        <w:t>E</w:t>
      </w:r>
      <w:r w:rsidR="00E24DA3" w:rsidRPr="00A6087F">
        <w:t xml:space="preserve">ducation (17.0%) </w:t>
      </w:r>
    </w:p>
    <w:p w14:paraId="731CFA26" w14:textId="5B743CDA" w:rsidR="00E24DA3" w:rsidRPr="00A6087F" w:rsidRDefault="00544DB1" w:rsidP="00BA4412">
      <w:pPr>
        <w:pStyle w:val="ListBullet"/>
        <w:spacing w:after="120"/>
        <w:ind w:left="357" w:hanging="357"/>
      </w:pPr>
      <w:r w:rsidRPr="00A6087F">
        <w:t>M</w:t>
      </w:r>
      <w:r w:rsidR="00E24DA3" w:rsidRPr="00A6087F">
        <w:t>eat and seafoods (15.8%).</w:t>
      </w:r>
      <w:r w:rsidR="00001FA2">
        <w:rPr>
          <w:rStyle w:val="FootnoteReference"/>
        </w:rPr>
        <w:footnoteReference w:id="69"/>
      </w:r>
    </w:p>
    <w:p w14:paraId="3019067D" w14:textId="368723F7" w:rsidR="002B6A7A" w:rsidRPr="00A6087F" w:rsidRDefault="000512DA" w:rsidP="00BA4412">
      <w:pPr>
        <w:pStyle w:val="BodyText"/>
        <w:spacing w:after="140"/>
      </w:pPr>
      <w:r w:rsidRPr="00A6087F">
        <w:t>Low-income households spend a greater proportion of their income on essential goods and services</w:t>
      </w:r>
      <w:r w:rsidR="00FE24B5" w:rsidRPr="00A6087F">
        <w:t>. T</w:t>
      </w:r>
      <w:r w:rsidR="003E5EDC" w:rsidRPr="00A6087F">
        <w:t xml:space="preserve">hese households have been hit hardest by significant increases in </w:t>
      </w:r>
      <w:r w:rsidR="00FE24B5" w:rsidRPr="00A6087F">
        <w:t>the prices of the fundamentals of a healthy life such as housing, food, transport, health services, and energy.</w:t>
      </w:r>
    </w:p>
    <w:p w14:paraId="58EFAE39" w14:textId="3AF8DE47" w:rsidR="00E76634" w:rsidRPr="00A6087F" w:rsidRDefault="0037351A" w:rsidP="00BA4412">
      <w:pPr>
        <w:pStyle w:val="Image"/>
        <w:spacing w:before="80"/>
      </w:pPr>
      <w:r w:rsidRPr="00A6087F">
        <w:rPr>
          <w:noProof/>
        </w:rPr>
        <w:drawing>
          <wp:inline distT="0" distB="0" distL="0" distR="0" wp14:anchorId="78740B47" wp14:editId="4BE1F1B8">
            <wp:extent cx="5400040" cy="3448050"/>
            <wp:effectExtent l="0" t="0" r="0" b="0"/>
            <wp:docPr id="14" name="Picture 1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art, line chart&#10;&#10;Description automatically generated"/>
                    <pic:cNvPicPr/>
                  </pic:nvPicPr>
                  <pic:blipFill>
                    <a:blip r:embed="rId55" cstate="print">
                      <a:extLst>
                        <a:ext uri="{28A0092B-C50C-407E-A947-70E740481C1C}">
                          <a14:useLocalDpi xmlns:a14="http://schemas.microsoft.com/office/drawing/2010/main" val="0"/>
                        </a:ext>
                      </a:extLst>
                    </a:blip>
                    <a:stretch>
                      <a:fillRect/>
                    </a:stretch>
                  </pic:blipFill>
                  <pic:spPr>
                    <a:xfrm>
                      <a:off x="0" y="0"/>
                      <a:ext cx="5400040" cy="3448050"/>
                    </a:xfrm>
                    <a:prstGeom prst="rect">
                      <a:avLst/>
                    </a:prstGeom>
                  </pic:spPr>
                </pic:pic>
              </a:graphicData>
            </a:graphic>
          </wp:inline>
        </w:drawing>
      </w:r>
    </w:p>
    <w:p w14:paraId="62A45FC2" w14:textId="1AAF8049" w:rsidR="00E51AED" w:rsidRPr="00A6087F" w:rsidRDefault="0057401A" w:rsidP="00BA4412">
      <w:pPr>
        <w:pStyle w:val="Source"/>
        <w:spacing w:line="240" w:lineRule="auto"/>
      </w:pPr>
      <w:r w:rsidRPr="00A6087F">
        <w:t xml:space="preserve">Source: ABS, ‘Table 10. CPI: Group, Sub-group and Expenditure Class, Percentage change from corresponding quarter of previous year by Capital City’ and ‘Table 11. CPI: Group, Sub-group and Expenditure Class, Percentage change from previous quarter by Capital City’ [time series spreadsheets], </w:t>
      </w:r>
      <w:hyperlink r:id="rId56" w:history="1">
        <w:r w:rsidRPr="00A6087F">
          <w:rPr>
            <w:rStyle w:val="Hyperlink"/>
            <w:i/>
            <w:iCs/>
          </w:rPr>
          <w:t>Consumer Price Index, Australia</w:t>
        </w:r>
      </w:hyperlink>
      <w:r w:rsidRPr="00A6087F">
        <w:rPr>
          <w:i/>
          <w:iCs/>
        </w:rPr>
        <w:t xml:space="preserve">, </w:t>
      </w:r>
      <w:r w:rsidRPr="00A6087F">
        <w:t>Reference period December 2021, ABS, 2021, accessed 21 April 2022</w:t>
      </w:r>
      <w:r w:rsidRPr="00A6087F">
        <w:t xml:space="preserve">; </w:t>
      </w:r>
      <w:r w:rsidRPr="00A6087F">
        <w:t xml:space="preserve">ACTCOSS, </w:t>
      </w:r>
      <w:hyperlink r:id="rId57" w:history="1">
        <w:r w:rsidRPr="00A6087F">
          <w:rPr>
            <w:rStyle w:val="Hyperlink"/>
            <w:i/>
            <w:iCs/>
          </w:rPr>
          <w:t>2022 ACT Cost of Living Report</w:t>
        </w:r>
      </w:hyperlink>
      <w:r w:rsidRPr="00A6087F">
        <w:t xml:space="preserve">, ACTCOSS, Canberra, May 2022, Figure </w:t>
      </w:r>
      <w:r w:rsidRPr="00A6087F">
        <w:t>3</w:t>
      </w:r>
      <w:r w:rsidRPr="00A6087F">
        <w:t>.</w:t>
      </w:r>
    </w:p>
    <w:p w14:paraId="386989A0" w14:textId="0E875C20" w:rsidR="00D30867" w:rsidRPr="00A6087F" w:rsidRDefault="002F4154" w:rsidP="00D30867">
      <w:pPr>
        <w:pStyle w:val="Heading1-Pagebreakbefore"/>
      </w:pPr>
      <w:bookmarkStart w:id="12" w:name="_Toc103872184"/>
      <w:r w:rsidRPr="00A6087F">
        <w:lastRenderedPageBreak/>
        <w:t xml:space="preserve">Further priority </w:t>
      </w:r>
      <w:r w:rsidR="00D30867" w:rsidRPr="00A6087F">
        <w:t>areas</w:t>
      </w:r>
      <w:bookmarkEnd w:id="12"/>
    </w:p>
    <w:p w14:paraId="07154D7B" w14:textId="1AF9DBFF" w:rsidR="00CF57C1" w:rsidRPr="00A6087F" w:rsidRDefault="00CF57C1" w:rsidP="00CF57C1">
      <w:pPr>
        <w:pStyle w:val="Heading2"/>
      </w:pPr>
      <w:bookmarkStart w:id="13" w:name="_Toc103872185"/>
      <w:r w:rsidRPr="00A6087F">
        <w:t>Health</w:t>
      </w:r>
      <w:bookmarkEnd w:id="13"/>
    </w:p>
    <w:p w14:paraId="65D7BD5F" w14:textId="189ACD70" w:rsidR="00104463" w:rsidRPr="00A6087F" w:rsidRDefault="00CC2BDE" w:rsidP="00150731">
      <w:pPr>
        <w:pStyle w:val="Wellbeingdomains"/>
        <w:spacing w:after="240"/>
      </w:pPr>
      <w:r w:rsidRPr="00A6087F">
        <w:t>Wellbeing Domain 6: Health</w:t>
      </w:r>
    </w:p>
    <w:p w14:paraId="430D7FD7" w14:textId="2B7B5D14" w:rsidR="00D341CE" w:rsidRPr="00A6087F" w:rsidRDefault="00086501" w:rsidP="00BA1460">
      <w:pPr>
        <w:pStyle w:val="BodyText"/>
      </w:pPr>
      <w:r w:rsidRPr="00A6087F">
        <w:t>Primary healthcare in the ACT is expensive and inaccessible</w:t>
      </w:r>
      <w:r w:rsidR="00CF17AE" w:rsidRPr="00A6087F">
        <w:t>. We have the second lowest number of GPs per 100,000 people at 93.6, below a national average of 114 and only 40% of non-referred patients were bulk-billed, compared with a national average of 68%</w:t>
      </w:r>
      <w:r w:rsidR="000D3364" w:rsidRPr="00A6087F">
        <w:t>.</w:t>
      </w:r>
      <w:r w:rsidR="000D3364" w:rsidRPr="00A6087F">
        <w:rPr>
          <w:rStyle w:val="FootnoteReference"/>
        </w:rPr>
        <w:footnoteReference w:id="70"/>
      </w:r>
      <w:r w:rsidR="002A28DC" w:rsidRPr="00A6087F">
        <w:t xml:space="preserve"> </w:t>
      </w:r>
      <w:r w:rsidR="009811CA" w:rsidRPr="00A6087F">
        <w:t xml:space="preserve">In 2020-21, </w:t>
      </w:r>
      <w:r w:rsidR="002A28DC" w:rsidRPr="00A6087F">
        <w:t xml:space="preserve">4.7% of people </w:t>
      </w:r>
      <w:r w:rsidR="004D7F68" w:rsidRPr="00A6087F">
        <w:t>in Canberra delayed or avoided seeing a GP due to cost, almost double the national average of 2.4</w:t>
      </w:r>
      <w:r w:rsidR="00185B42" w:rsidRPr="00A6087F">
        <w:t>%</w:t>
      </w:r>
      <w:r w:rsidR="009811CA" w:rsidRPr="00A6087F">
        <w:t>.</w:t>
      </w:r>
      <w:r w:rsidR="009811CA" w:rsidRPr="00A6087F">
        <w:rPr>
          <w:rStyle w:val="FootnoteReference"/>
        </w:rPr>
        <w:footnoteReference w:id="71"/>
      </w:r>
      <w:r w:rsidR="008B3E88" w:rsidRPr="00A6087F">
        <w:t xml:space="preserve"> The strain on the ACT’s healthcare system extends beyond primary care with </w:t>
      </w:r>
      <w:r w:rsidR="002D33B5" w:rsidRPr="00A6087F">
        <w:t>8.9% of ACT patients wait</w:t>
      </w:r>
      <w:r w:rsidR="008B3E88" w:rsidRPr="00A6087F">
        <w:t xml:space="preserve">ing </w:t>
      </w:r>
      <w:r w:rsidR="002D33B5" w:rsidRPr="00A6087F">
        <w:t>more than 365</w:t>
      </w:r>
      <w:r w:rsidR="008B3E88" w:rsidRPr="00A6087F">
        <w:t xml:space="preserve"> days</w:t>
      </w:r>
      <w:r w:rsidR="002D33B5" w:rsidRPr="00A6087F">
        <w:t xml:space="preserve"> for elective surgery</w:t>
      </w:r>
      <w:r w:rsidR="0053734E" w:rsidRPr="00A6087F">
        <w:t xml:space="preserve">, up from </w:t>
      </w:r>
      <w:r w:rsidR="00C25158" w:rsidRPr="00A6087F">
        <w:t xml:space="preserve">6.9% the year before and </w:t>
      </w:r>
      <w:r w:rsidR="00D25BCD" w:rsidRPr="00A6087F">
        <w:t>above the national average of 7.6%</w:t>
      </w:r>
      <w:r w:rsidR="008B3E88" w:rsidRPr="00A6087F">
        <w:t xml:space="preserve"> in 2020-21.</w:t>
      </w:r>
      <w:r w:rsidR="00D61942">
        <w:rPr>
          <w:rStyle w:val="FootnoteReference"/>
        </w:rPr>
        <w:footnoteReference w:id="72"/>
      </w:r>
    </w:p>
    <w:p w14:paraId="3BCBD747" w14:textId="66BE846B" w:rsidR="00C077DF" w:rsidRPr="00A6087F" w:rsidRDefault="009C659B" w:rsidP="002F4154">
      <w:pPr>
        <w:pStyle w:val="ListBullet"/>
        <w:numPr>
          <w:ilvl w:val="0"/>
          <w:numId w:val="0"/>
        </w:numPr>
        <w:tabs>
          <w:tab w:val="num" w:pos="0"/>
        </w:tabs>
      </w:pPr>
      <w:r w:rsidRPr="00A6087F">
        <w:t>To ensure a healthy</w:t>
      </w:r>
      <w:r w:rsidR="00DB1003" w:rsidRPr="00A6087F">
        <w:t xml:space="preserve"> and well-cared for population in Canberra, the ACT Government must</w:t>
      </w:r>
      <w:r w:rsidR="002B449D" w:rsidRPr="00A6087F">
        <w:t xml:space="preserve"> commit to:</w:t>
      </w:r>
    </w:p>
    <w:p w14:paraId="5D7F649C" w14:textId="194E7A15" w:rsidR="008C00E2" w:rsidRPr="00A6087F" w:rsidRDefault="008C00E2" w:rsidP="3107ABEB">
      <w:pPr>
        <w:pStyle w:val="ListBullet"/>
        <w:tabs>
          <w:tab w:val="num" w:pos="567"/>
        </w:tabs>
      </w:pPr>
      <w:r w:rsidRPr="00A6087F">
        <w:t>Fully fund the ACT health system so that public patients have equitable a</w:t>
      </w:r>
      <w:r w:rsidR="005E51C2" w:rsidRPr="00A6087F">
        <w:t>c</w:t>
      </w:r>
      <w:r w:rsidRPr="00A6087F">
        <w:t>ces</w:t>
      </w:r>
      <w:r w:rsidR="005E51C2" w:rsidRPr="00A6087F">
        <w:t>s</w:t>
      </w:r>
      <w:r w:rsidRPr="00A6087F">
        <w:t xml:space="preserve"> to primary and tertiary healthcare</w:t>
      </w:r>
    </w:p>
    <w:p w14:paraId="7F107A6F" w14:textId="0754DBC2" w:rsidR="6A11CC75" w:rsidRPr="00A6087F" w:rsidRDefault="6A11CC75" w:rsidP="3107ABEB">
      <w:pPr>
        <w:pStyle w:val="ListBullet"/>
        <w:tabs>
          <w:tab w:val="num" w:pos="567"/>
        </w:tabs>
      </w:pPr>
      <w:r w:rsidRPr="00A6087F">
        <w:t>Greater investment in the Community Assistance and Support Program (CASP) and chronic illness commissioning process</w:t>
      </w:r>
      <w:r w:rsidR="269F53BE" w:rsidRPr="00A6087F">
        <w:t>es</w:t>
      </w:r>
    </w:p>
    <w:p w14:paraId="432450AC" w14:textId="1F2D14E0" w:rsidR="4B4AC2D1" w:rsidRPr="00A6087F" w:rsidRDefault="4B4AC2D1" w:rsidP="3107ABEB">
      <w:pPr>
        <w:pStyle w:val="ListBullet"/>
        <w:tabs>
          <w:tab w:val="num" w:pos="567"/>
        </w:tabs>
      </w:pPr>
      <w:r w:rsidRPr="00A6087F">
        <w:t>Implement geriatric streaming through Canberra hospitals</w:t>
      </w:r>
    </w:p>
    <w:p w14:paraId="30B4DACB" w14:textId="4DC43649" w:rsidR="21829338" w:rsidRPr="00A6087F" w:rsidRDefault="21829338" w:rsidP="3107ABEB">
      <w:pPr>
        <w:pStyle w:val="ListBullet"/>
        <w:tabs>
          <w:tab w:val="num" w:pos="567"/>
        </w:tabs>
      </w:pPr>
      <w:r w:rsidRPr="00A6087F">
        <w:t>Fund a dedicated palliative care unit</w:t>
      </w:r>
      <w:r w:rsidR="238D4088" w:rsidRPr="00A6087F">
        <w:t>, with associated around-the-clock telehealth service</w:t>
      </w:r>
    </w:p>
    <w:p w14:paraId="27AF25F7" w14:textId="0BCA13F0" w:rsidR="6F65D22A" w:rsidRPr="00A6087F" w:rsidRDefault="6F65D22A" w:rsidP="3107ABEB">
      <w:pPr>
        <w:pStyle w:val="ListBullet"/>
        <w:tabs>
          <w:tab w:val="num" w:pos="567"/>
        </w:tabs>
      </w:pPr>
      <w:r w:rsidRPr="00A6087F">
        <w:t xml:space="preserve">Develop an </w:t>
      </w:r>
      <w:r w:rsidR="4AEDDC2B" w:rsidRPr="00A6087F">
        <w:t>Integrated Care Strategy</w:t>
      </w:r>
      <w:r w:rsidRPr="00A6087F">
        <w:t xml:space="preserve"> with a focus on chronic health</w:t>
      </w:r>
      <w:r w:rsidR="150E7453" w:rsidRPr="00A6087F">
        <w:t xml:space="preserve"> and wrap-around service provision</w:t>
      </w:r>
    </w:p>
    <w:p w14:paraId="185B600A" w14:textId="7F5681DE" w:rsidR="2C3C912F" w:rsidRPr="00A6087F" w:rsidRDefault="00742402" w:rsidP="3107ABEB">
      <w:pPr>
        <w:pStyle w:val="ListBullet"/>
        <w:tabs>
          <w:tab w:val="num" w:pos="567"/>
        </w:tabs>
      </w:pPr>
      <w:r w:rsidRPr="00A6087F">
        <w:t xml:space="preserve">Double </w:t>
      </w:r>
      <w:r w:rsidR="2C3C912F" w:rsidRPr="00A6087F">
        <w:t xml:space="preserve">funding for </w:t>
      </w:r>
      <w:r w:rsidR="6A3D2FDA" w:rsidRPr="00A6087F">
        <w:t>alcohol</w:t>
      </w:r>
      <w:r w:rsidR="7CECBC6F" w:rsidRPr="00A6087F">
        <w:t xml:space="preserve">, </w:t>
      </w:r>
      <w:proofErr w:type="gramStart"/>
      <w:r w:rsidR="7CECBC6F" w:rsidRPr="00A6087F">
        <w:t>tobacco</w:t>
      </w:r>
      <w:proofErr w:type="gramEnd"/>
      <w:r w:rsidR="6A3D2FDA" w:rsidRPr="00A6087F">
        <w:t xml:space="preserve"> and other drug</w:t>
      </w:r>
      <w:r w:rsidR="7ADA5BB8" w:rsidRPr="00A6087F">
        <w:t xml:space="preserve"> (</w:t>
      </w:r>
      <w:proofErr w:type="spellStart"/>
      <w:r w:rsidR="7ADA5BB8" w:rsidRPr="00A6087F">
        <w:t>ATOD</w:t>
      </w:r>
      <w:proofErr w:type="spellEnd"/>
      <w:r w:rsidR="7ADA5BB8" w:rsidRPr="00A6087F">
        <w:t>)</w:t>
      </w:r>
      <w:r w:rsidR="6A3D2FDA" w:rsidRPr="00A6087F">
        <w:t xml:space="preserve"> treatment and harm reduction specialist services</w:t>
      </w:r>
    </w:p>
    <w:p w14:paraId="2EBC9E2D" w14:textId="4878BE69" w:rsidR="666B83E8" w:rsidRPr="00A6087F" w:rsidRDefault="666B83E8" w:rsidP="3107ABEB">
      <w:pPr>
        <w:pStyle w:val="ListBullet"/>
        <w:tabs>
          <w:tab w:val="num" w:pos="567"/>
        </w:tabs>
      </w:pPr>
      <w:r w:rsidRPr="00A6087F">
        <w:t>Conduct</w:t>
      </w:r>
      <w:r w:rsidR="039C5CA3" w:rsidRPr="00A6087F">
        <w:t xml:space="preserve"> an </w:t>
      </w:r>
      <w:proofErr w:type="spellStart"/>
      <w:r w:rsidR="7ADA5BB8" w:rsidRPr="00A6087F">
        <w:t>ATOD</w:t>
      </w:r>
      <w:proofErr w:type="spellEnd"/>
      <w:r w:rsidR="039C5CA3" w:rsidRPr="00A6087F">
        <w:t xml:space="preserve"> sector infrastructure audit</w:t>
      </w:r>
    </w:p>
    <w:p w14:paraId="1104F4B5" w14:textId="09841E2E" w:rsidR="7CECBC6F" w:rsidRPr="00A6087F" w:rsidRDefault="7CECBC6F" w:rsidP="3107ABEB">
      <w:pPr>
        <w:pStyle w:val="ListBullet"/>
        <w:tabs>
          <w:tab w:val="num" w:pos="567"/>
        </w:tabs>
      </w:pPr>
      <w:r w:rsidRPr="00A6087F">
        <w:lastRenderedPageBreak/>
        <w:t>Invest in expanding</w:t>
      </w:r>
      <w:r w:rsidR="7ADA5BB8" w:rsidRPr="00A6087F">
        <w:t xml:space="preserve">, </w:t>
      </w:r>
      <w:proofErr w:type="gramStart"/>
      <w:r w:rsidR="7ADA5BB8" w:rsidRPr="00A6087F">
        <w:t>resourcing</w:t>
      </w:r>
      <w:proofErr w:type="gramEnd"/>
      <w:r w:rsidR="7ADA5BB8" w:rsidRPr="00A6087F">
        <w:t xml:space="preserve"> and training</w:t>
      </w:r>
      <w:r w:rsidRPr="00A6087F">
        <w:t xml:space="preserve"> the </w:t>
      </w:r>
      <w:proofErr w:type="spellStart"/>
      <w:r w:rsidR="7ADA5BB8" w:rsidRPr="00A6087F">
        <w:t>ATOD</w:t>
      </w:r>
      <w:proofErr w:type="spellEnd"/>
      <w:r w:rsidR="7ADA5BB8" w:rsidRPr="00A6087F">
        <w:t xml:space="preserve"> peer workforce</w:t>
      </w:r>
      <w:r w:rsidR="00BA1460" w:rsidRPr="00A6087F">
        <w:t>.</w:t>
      </w:r>
    </w:p>
    <w:p w14:paraId="29272169" w14:textId="77777777" w:rsidR="00C66732" w:rsidRPr="00A6087F" w:rsidRDefault="7949F54A" w:rsidP="00D46A4E">
      <w:pPr>
        <w:pStyle w:val="Heading2"/>
      </w:pPr>
      <w:bookmarkStart w:id="14" w:name="_Toc103872186"/>
      <w:r w:rsidRPr="00A6087F">
        <w:t>Mental Health</w:t>
      </w:r>
      <w:bookmarkEnd w:id="14"/>
    </w:p>
    <w:p w14:paraId="5D398C17" w14:textId="0D48A142" w:rsidR="00C66732" w:rsidRPr="00A6087F" w:rsidRDefault="00786222" w:rsidP="00A87471">
      <w:pPr>
        <w:pStyle w:val="Wellbeingdomains"/>
        <w:spacing w:after="240"/>
      </w:pPr>
      <w:r w:rsidRPr="00A6087F">
        <w:t>Wellbeing Domain 6: Health</w:t>
      </w:r>
    </w:p>
    <w:p w14:paraId="4067A749" w14:textId="66F7BC75" w:rsidR="00F07D0A" w:rsidRPr="00A6087F" w:rsidRDefault="001228E1" w:rsidP="00C66732">
      <w:pPr>
        <w:pStyle w:val="BodyText"/>
      </w:pPr>
      <w:r w:rsidRPr="00A6087F">
        <w:t>The COVID-19 pandemic has had a significant effect on our mental health and wellbeing. In January 2022, Lifeline received 16% more calls than the same time in 2020, and Beyond Blue received 27% more calls, indicating a significant increase in mental distress in the Australian population.</w:t>
      </w:r>
      <w:r w:rsidRPr="00A6087F">
        <w:rPr>
          <w:rStyle w:val="FootnoteReference"/>
        </w:rPr>
        <w:footnoteReference w:id="73"/>
      </w:r>
      <w:r w:rsidR="007939C3" w:rsidRPr="00A6087F">
        <w:t xml:space="preserve"> The ACT </w:t>
      </w:r>
      <w:r w:rsidR="006603D9" w:rsidRPr="00A6087F">
        <w:t xml:space="preserve">is currently </w:t>
      </w:r>
      <w:r w:rsidR="00847C00" w:rsidRPr="00A6087F">
        <w:t>ill-equipped</w:t>
      </w:r>
      <w:r w:rsidR="006603D9" w:rsidRPr="00A6087F">
        <w:t xml:space="preserve"> to deal with an expansion of mental distress, with many specialist community sector organisations unable to recruit </w:t>
      </w:r>
      <w:r w:rsidR="00A41294" w:rsidRPr="00A6087F">
        <w:t>psychology of counselling staff.</w:t>
      </w:r>
      <w:r w:rsidR="00526431" w:rsidRPr="00A6087F">
        <w:t xml:space="preserve"> This has meant that it</w:t>
      </w:r>
      <w:r w:rsidR="00847C00" w:rsidRPr="00A6087F">
        <w:t xml:space="preserve"> can be profoundly expensive to address mental ill-health in Canberra. In 2020-21, more than a quarter (25.2%) of people with a mental health condition, and 30% of people without a mental health condition in the ACT delayed or avoided seeing a psychologist for their mental health due to cost, well above the national averages of 17.7% and 13.3% respectively.</w:t>
      </w:r>
      <w:r w:rsidR="00847C00" w:rsidRPr="00A6087F">
        <w:rPr>
          <w:rStyle w:val="FootnoteReference"/>
        </w:rPr>
        <w:footnoteReference w:id="74"/>
      </w:r>
      <w:r w:rsidR="00847C00" w:rsidRPr="00A6087F">
        <w:t xml:space="preserve"> Further,</w:t>
      </w:r>
      <w:r w:rsidR="00B164E1" w:rsidRPr="00A6087F">
        <w:t xml:space="preserve"> </w:t>
      </w:r>
      <w:r w:rsidR="00F07D0A" w:rsidRPr="00A6087F">
        <w:t>1 in 5 mothers and 1 in 10 fathers experience perinatal anxieties.</w:t>
      </w:r>
      <w:r w:rsidR="00D61942">
        <w:rPr>
          <w:rStyle w:val="FootnoteReference"/>
        </w:rPr>
        <w:footnoteReference w:id="75"/>
      </w:r>
      <w:r w:rsidR="00F07D0A" w:rsidRPr="00A6087F">
        <w:t xml:space="preserve"> This costs $7.3 billion over a child’s lifetime.</w:t>
      </w:r>
      <w:r w:rsidR="00F07D0A" w:rsidRPr="00A6087F">
        <w:rPr>
          <w:rStyle w:val="FootnoteReference"/>
        </w:rPr>
        <w:footnoteReference w:id="76"/>
      </w:r>
      <w:r w:rsidR="00B164E1" w:rsidRPr="00A6087F">
        <w:t xml:space="preserve"> </w:t>
      </w:r>
      <w:r w:rsidR="00604D22" w:rsidRPr="00A6087F">
        <w:t xml:space="preserve">Yet, funding for perinatal wellbeing remains extremely low. </w:t>
      </w:r>
    </w:p>
    <w:p w14:paraId="12175C26" w14:textId="3D5B2FC7" w:rsidR="0077121D" w:rsidRPr="00A6087F" w:rsidRDefault="0077121D" w:rsidP="00C66732">
      <w:pPr>
        <w:pStyle w:val="BodyText"/>
      </w:pPr>
      <w:r w:rsidRPr="00A6087F">
        <w:t>To deliver robust and sustainable mental health treatment and services the ACT Government must:</w:t>
      </w:r>
    </w:p>
    <w:p w14:paraId="7333C77C" w14:textId="14BC6FE9" w:rsidR="4C536D3D" w:rsidRPr="00A6087F" w:rsidRDefault="4C536D3D" w:rsidP="3107ABEB">
      <w:pPr>
        <w:pStyle w:val="ListBullet"/>
        <w:tabs>
          <w:tab w:val="num" w:pos="567"/>
        </w:tabs>
      </w:pPr>
      <w:r w:rsidRPr="00A6087F">
        <w:t>Invest in and train</w:t>
      </w:r>
      <w:r w:rsidR="77F50326" w:rsidRPr="00A6087F">
        <w:t xml:space="preserve"> peer workers in mental health</w:t>
      </w:r>
    </w:p>
    <w:p w14:paraId="0AC8B136" w14:textId="44088050" w:rsidR="76EEBD3B" w:rsidRPr="00A6087F" w:rsidRDefault="76EEBD3B" w:rsidP="3107ABEB">
      <w:pPr>
        <w:pStyle w:val="ListBullet"/>
        <w:tabs>
          <w:tab w:val="num" w:pos="567"/>
        </w:tabs>
      </w:pPr>
      <w:r w:rsidRPr="00A6087F">
        <w:t>Fund a respite facility for mental health carers</w:t>
      </w:r>
    </w:p>
    <w:p w14:paraId="0D012E8C" w14:textId="4B8EFF58" w:rsidR="5E1D537E" w:rsidRPr="00A6087F" w:rsidRDefault="5E1D537E" w:rsidP="3107ABEB">
      <w:pPr>
        <w:pStyle w:val="ListBullet"/>
        <w:tabs>
          <w:tab w:val="num" w:pos="567"/>
        </w:tabs>
      </w:pPr>
      <w:r w:rsidRPr="00A6087F">
        <w:t>Respond</w:t>
      </w:r>
      <w:r w:rsidR="76EEBD3B" w:rsidRPr="00A6087F">
        <w:t xml:space="preserve"> to the review for older persons’ mental health</w:t>
      </w:r>
      <w:r w:rsidR="346F8D83" w:rsidRPr="00A6087F">
        <w:t xml:space="preserve"> and invest in targeted mental health supports for older Canberrans</w:t>
      </w:r>
    </w:p>
    <w:p w14:paraId="40650825" w14:textId="136CCBD6" w:rsidR="51E9A90B" w:rsidRPr="00A6087F" w:rsidRDefault="51E9A90B" w:rsidP="3107ABEB">
      <w:pPr>
        <w:pStyle w:val="ListBullet"/>
        <w:tabs>
          <w:tab w:val="num" w:pos="567"/>
        </w:tabs>
      </w:pPr>
      <w:r w:rsidRPr="00A6087F">
        <w:t>Invest in targeted mental health supports for specialist services</w:t>
      </w:r>
      <w:r w:rsidR="0D02AE07" w:rsidRPr="00A6087F">
        <w:t xml:space="preserve">, such as for </w:t>
      </w:r>
      <w:proofErr w:type="spellStart"/>
      <w:r w:rsidR="0D02AE07" w:rsidRPr="00A6087F">
        <w:t>LGBTIQA</w:t>
      </w:r>
      <w:proofErr w:type="spellEnd"/>
      <w:r w:rsidR="0D02AE07" w:rsidRPr="00A6087F">
        <w:t>+ people</w:t>
      </w:r>
    </w:p>
    <w:p w14:paraId="1D43FEB1" w14:textId="383E7DB1" w:rsidR="59FEF942" w:rsidRPr="00A6087F" w:rsidRDefault="59FEF942" w:rsidP="3107ABEB">
      <w:pPr>
        <w:pStyle w:val="ListBullet"/>
        <w:tabs>
          <w:tab w:val="num" w:pos="567"/>
        </w:tabs>
      </w:pPr>
      <w:r w:rsidRPr="00A6087F">
        <w:t xml:space="preserve">Invest in </w:t>
      </w:r>
      <w:proofErr w:type="spellStart"/>
      <w:r w:rsidR="19583F26" w:rsidRPr="00A6087F">
        <w:t>ATOD</w:t>
      </w:r>
      <w:proofErr w:type="spellEnd"/>
      <w:r w:rsidR="19583F26" w:rsidRPr="00A6087F">
        <w:t xml:space="preserve"> and mental health integrated service provision</w:t>
      </w:r>
    </w:p>
    <w:p w14:paraId="2510923A" w14:textId="09D61A4C" w:rsidR="46034612" w:rsidRPr="00A6087F" w:rsidRDefault="46034612" w:rsidP="3107ABEB">
      <w:pPr>
        <w:pStyle w:val="ListBullet"/>
        <w:tabs>
          <w:tab w:val="num" w:pos="567"/>
        </w:tabs>
      </w:pPr>
      <w:r w:rsidRPr="00A6087F">
        <w:t>Address significant gap for people with complex mental health issues who are not eligible for the NDIS</w:t>
      </w:r>
    </w:p>
    <w:p w14:paraId="29D69D2A" w14:textId="77777777" w:rsidR="0064296B" w:rsidRPr="00A6087F" w:rsidRDefault="5C522C83" w:rsidP="0064296B">
      <w:pPr>
        <w:pStyle w:val="ListBullet"/>
        <w:tabs>
          <w:tab w:val="num" w:pos="567"/>
        </w:tabs>
      </w:pPr>
      <w:r w:rsidRPr="00A6087F">
        <w:lastRenderedPageBreak/>
        <w:t xml:space="preserve">Adequately fund the </w:t>
      </w:r>
      <w:r w:rsidR="47DAC302" w:rsidRPr="00A6087F">
        <w:t xml:space="preserve">implementation of </w:t>
      </w:r>
      <w:r w:rsidR="0787CB8D" w:rsidRPr="00A6087F">
        <w:t>the Mental Health Workforce Strategy</w:t>
      </w:r>
    </w:p>
    <w:p w14:paraId="7245D268" w14:textId="188EC905" w:rsidR="11512D79" w:rsidRPr="00A6087F" w:rsidRDefault="11512D79" w:rsidP="0064296B">
      <w:pPr>
        <w:pStyle w:val="ListBullet"/>
        <w:tabs>
          <w:tab w:val="num" w:pos="567"/>
        </w:tabs>
      </w:pPr>
      <w:r w:rsidRPr="00A6087F">
        <w:t>Invest in integrated housing and mental health support</w:t>
      </w:r>
      <w:r w:rsidR="000378CA" w:rsidRPr="00A6087F">
        <w:t>.</w:t>
      </w:r>
    </w:p>
    <w:p w14:paraId="4F143F45" w14:textId="6157114D" w:rsidR="00D46A4E" w:rsidRPr="00A6087F" w:rsidRDefault="00D46A4E" w:rsidP="00D46A4E">
      <w:pPr>
        <w:pStyle w:val="Heading2"/>
      </w:pPr>
      <w:bookmarkStart w:id="15" w:name="_Toc103872187"/>
      <w:r w:rsidRPr="00A6087F">
        <w:t>Disability</w:t>
      </w:r>
      <w:bookmarkEnd w:id="15"/>
    </w:p>
    <w:p w14:paraId="042D3639" w14:textId="77777777" w:rsidR="00815FDB" w:rsidRPr="00A6087F" w:rsidRDefault="006172F8" w:rsidP="00815FDB">
      <w:pPr>
        <w:pStyle w:val="Wellbeingdomains"/>
      </w:pPr>
      <w:r w:rsidRPr="00A6087F">
        <w:t>Wellbeing Domain</w:t>
      </w:r>
      <w:r w:rsidR="00F8316D" w:rsidRPr="00A6087F">
        <w:t xml:space="preserve"> 1: Access &amp; Connectivity</w:t>
      </w:r>
    </w:p>
    <w:p w14:paraId="48747937" w14:textId="77777777" w:rsidR="00815FDB" w:rsidRPr="00A6087F" w:rsidRDefault="00212027" w:rsidP="00815FDB">
      <w:pPr>
        <w:pStyle w:val="Wellbeingdomains"/>
      </w:pPr>
      <w:r w:rsidRPr="00A6087F">
        <w:t>Wellbeing Domain 7: Housing &amp; Home</w:t>
      </w:r>
    </w:p>
    <w:p w14:paraId="4D5444E4" w14:textId="77777777" w:rsidR="00815FDB" w:rsidRPr="00A6087F" w:rsidRDefault="00212027" w:rsidP="00815FDB">
      <w:pPr>
        <w:pStyle w:val="Wellbeingdomains"/>
      </w:pPr>
      <w:r w:rsidRPr="00A6087F">
        <w:t>Wellbeing Domain</w:t>
      </w:r>
      <w:r w:rsidR="002B4877" w:rsidRPr="00A6087F">
        <w:t xml:space="preserve"> 11: Social Connection</w:t>
      </w:r>
    </w:p>
    <w:p w14:paraId="102296CC" w14:textId="39109C98" w:rsidR="00212027" w:rsidRPr="00A6087F" w:rsidRDefault="00083BD2" w:rsidP="00933D8B">
      <w:pPr>
        <w:pStyle w:val="Wellbeingdomains"/>
        <w:spacing w:after="240"/>
      </w:pPr>
      <w:r w:rsidRPr="00A6087F">
        <w:t>Wellbeing Domain 3: Education &amp; Lifelong Learning</w:t>
      </w:r>
    </w:p>
    <w:p w14:paraId="6CBA2E73" w14:textId="624F8C31" w:rsidR="00A84893" w:rsidRPr="00A6087F" w:rsidRDefault="00443B83" w:rsidP="00C66732">
      <w:pPr>
        <w:pStyle w:val="BodyText"/>
      </w:pPr>
      <w:r w:rsidRPr="00A6087F">
        <w:t xml:space="preserve">The ACT Government must ensure that people with disabilities are supported to </w:t>
      </w:r>
      <w:r w:rsidR="00813B2B" w:rsidRPr="00A6087F">
        <w:t>live full</w:t>
      </w:r>
      <w:r w:rsidR="00EF5236" w:rsidRPr="00A6087F">
        <w:t xml:space="preserve">, </w:t>
      </w:r>
      <w:proofErr w:type="gramStart"/>
      <w:r w:rsidR="00EF5236" w:rsidRPr="00A6087F">
        <w:t>healthy</w:t>
      </w:r>
      <w:proofErr w:type="gramEnd"/>
      <w:r w:rsidR="007863DD" w:rsidRPr="00A6087F">
        <w:t xml:space="preserve"> and meaningful lives</w:t>
      </w:r>
      <w:r w:rsidR="00EF5236" w:rsidRPr="00A6087F">
        <w:t xml:space="preserve">, free from segregation and discrimination. </w:t>
      </w:r>
      <w:r w:rsidR="00DB4A85" w:rsidRPr="00A6087F">
        <w:t>In 2018, 19.4% of people who usually reside in the ACT had a disability,</w:t>
      </w:r>
      <w:r w:rsidR="00A1651F" w:rsidRPr="00A6087F">
        <w:t xml:space="preserve"> an increase from 16.2% in 2015.</w:t>
      </w:r>
      <w:r w:rsidR="00661032" w:rsidRPr="00A6087F">
        <w:rPr>
          <w:rStyle w:val="FootnoteReference"/>
        </w:rPr>
        <w:footnoteReference w:id="77"/>
      </w:r>
      <w:r w:rsidR="0060149C" w:rsidRPr="00A6087F">
        <w:t xml:space="preserve"> The rate of disability increases with </w:t>
      </w:r>
      <w:r w:rsidR="00860B44" w:rsidRPr="00A6087F">
        <w:t>age and</w:t>
      </w:r>
      <w:r w:rsidR="001357DC" w:rsidRPr="00A6087F">
        <w:t xml:space="preserve"> will likely also increase </w:t>
      </w:r>
      <w:r w:rsidR="001D32E7" w:rsidRPr="00A6087F">
        <w:t xml:space="preserve">as </w:t>
      </w:r>
      <w:r w:rsidR="0090760D" w:rsidRPr="00A6087F">
        <w:t xml:space="preserve">the COVID-19 pandemic continues. </w:t>
      </w:r>
      <w:r w:rsidR="007227CA" w:rsidRPr="00A6087F">
        <w:t xml:space="preserve">People with disability face discrimination in all areas of life but especially education, </w:t>
      </w:r>
      <w:r w:rsidR="008E40CF" w:rsidRPr="00A6087F">
        <w:t>the child protection and justice systems and in health care settings.</w:t>
      </w:r>
      <w:r w:rsidR="006A33CD" w:rsidRPr="00A6087F">
        <w:t xml:space="preserve"> </w:t>
      </w:r>
      <w:r w:rsidR="001E795F" w:rsidRPr="00A6087F">
        <w:t xml:space="preserve">A third </w:t>
      </w:r>
      <w:r w:rsidR="00C76655" w:rsidRPr="00A6087F">
        <w:t xml:space="preserve">of people with disability </w:t>
      </w:r>
      <w:r w:rsidR="00B44CC3" w:rsidRPr="00A6087F">
        <w:t xml:space="preserve">aged over 20 have completed </w:t>
      </w:r>
      <w:r w:rsidR="005F35E3" w:rsidRPr="00A6087F">
        <w:t>year 12, compared with 62% of people without a disability</w:t>
      </w:r>
      <w:r w:rsidR="00C952FC" w:rsidRPr="00A6087F">
        <w:t>.</w:t>
      </w:r>
      <w:r w:rsidR="00C952FC" w:rsidRPr="00A6087F">
        <w:rPr>
          <w:rStyle w:val="FootnoteReference"/>
        </w:rPr>
        <w:footnoteReference w:id="78"/>
      </w:r>
      <w:r w:rsidR="009E1313" w:rsidRPr="00A6087F">
        <w:t xml:space="preserve"> Young people with disabilities are also overrepresented in the youth justice system in the ACT</w:t>
      </w:r>
      <w:r w:rsidR="00DE2887" w:rsidRPr="00A6087F">
        <w:t>.</w:t>
      </w:r>
      <w:r w:rsidR="00DE2887" w:rsidRPr="00A6087F">
        <w:rPr>
          <w:rStyle w:val="FootnoteReference"/>
        </w:rPr>
        <w:footnoteReference w:id="79"/>
      </w:r>
      <w:r w:rsidR="00BD5338" w:rsidRPr="00A6087F">
        <w:t xml:space="preserve"> Only 24% of adults with disability experience very good or excellent health compared with 65% of those without disability.</w:t>
      </w:r>
      <w:r w:rsidR="001A15AA" w:rsidRPr="00A6087F">
        <w:rPr>
          <w:rStyle w:val="FootnoteReference"/>
        </w:rPr>
        <w:footnoteReference w:id="80"/>
      </w:r>
    </w:p>
    <w:p w14:paraId="194926F3" w14:textId="12B8A531" w:rsidR="00AF4386" w:rsidRPr="00A6087F" w:rsidRDefault="005F3487" w:rsidP="00C66732">
      <w:pPr>
        <w:pStyle w:val="BodyText"/>
      </w:pPr>
      <w:r w:rsidRPr="00A6087F">
        <w:t>To address</w:t>
      </w:r>
      <w:r w:rsidR="00414077" w:rsidRPr="00A6087F">
        <w:t xml:space="preserve"> outcome disparities and quality of life for people with disabilities, the ACT Government must:</w:t>
      </w:r>
    </w:p>
    <w:p w14:paraId="324C1873" w14:textId="75421A8D" w:rsidR="37EEDA7C" w:rsidRPr="00A6087F" w:rsidRDefault="37EEDA7C" w:rsidP="3107ABEB">
      <w:pPr>
        <w:pStyle w:val="ListBullet"/>
        <w:tabs>
          <w:tab w:val="num" w:pos="567"/>
        </w:tabs>
      </w:pPr>
      <w:r w:rsidRPr="00A6087F">
        <w:t>Ensure adequate funding for the implementation of the Disability Health Strategy</w:t>
      </w:r>
    </w:p>
    <w:p w14:paraId="3A858B6F" w14:textId="10C4162C" w:rsidR="100D7BDB" w:rsidRPr="00A6087F" w:rsidRDefault="100D7BDB" w:rsidP="3107ABEB">
      <w:pPr>
        <w:pStyle w:val="ListBullet"/>
        <w:tabs>
          <w:tab w:val="num" w:pos="567"/>
        </w:tabs>
      </w:pPr>
      <w:r w:rsidRPr="00A6087F">
        <w:t xml:space="preserve">Focus education funding on transitioning to a fully inclusive education model with the </w:t>
      </w:r>
      <w:r w:rsidR="21ADC0A9" w:rsidRPr="00A6087F">
        <w:t>long-term</w:t>
      </w:r>
      <w:r w:rsidRPr="00A6087F">
        <w:t xml:space="preserve"> goal of making all schools accessible and inclusive for all students</w:t>
      </w:r>
    </w:p>
    <w:p w14:paraId="6AE234B8" w14:textId="34B3D3EE" w:rsidR="1498FA55" w:rsidRPr="00A6087F" w:rsidRDefault="1498FA55" w:rsidP="3107ABEB">
      <w:pPr>
        <w:pStyle w:val="ListBullet"/>
        <w:tabs>
          <w:tab w:val="num" w:pos="567"/>
        </w:tabs>
      </w:pPr>
      <w:r w:rsidRPr="00A6087F">
        <w:t>Fund systemic disability advocacy, as well as individual advocacy</w:t>
      </w:r>
    </w:p>
    <w:p w14:paraId="0DCDC128" w14:textId="5B865C7B" w:rsidR="34D51C69" w:rsidRPr="00A6087F" w:rsidRDefault="34D51C69" w:rsidP="3107ABEB">
      <w:pPr>
        <w:pStyle w:val="ListBullet"/>
        <w:tabs>
          <w:tab w:val="num" w:pos="567"/>
        </w:tabs>
      </w:pPr>
      <w:r w:rsidRPr="00A6087F">
        <w:lastRenderedPageBreak/>
        <w:t xml:space="preserve">Fund and resource a specialty Disability Legal Service within </w:t>
      </w:r>
      <w:r w:rsidR="6617E6BC" w:rsidRPr="00A6087F">
        <w:t>the community legal sector</w:t>
      </w:r>
    </w:p>
    <w:p w14:paraId="071B62B9" w14:textId="5959CC55" w:rsidR="03D62ACF" w:rsidRPr="00A6087F" w:rsidRDefault="03D62ACF" w:rsidP="3107ABEB">
      <w:pPr>
        <w:pStyle w:val="ListBullet"/>
        <w:tabs>
          <w:tab w:val="num" w:pos="567"/>
        </w:tabs>
      </w:pPr>
      <w:r w:rsidRPr="00A6087F">
        <w:t>Address lack of accessible and affordable housing for people with disabilities</w:t>
      </w:r>
      <w:r w:rsidR="009469E2" w:rsidRPr="00A6087F">
        <w:t>.</w:t>
      </w:r>
    </w:p>
    <w:p w14:paraId="7B23C487" w14:textId="4F568C9F" w:rsidR="00EC3CFA" w:rsidRPr="00A6087F" w:rsidRDefault="00EC3CFA" w:rsidP="00EC3CFA">
      <w:pPr>
        <w:pStyle w:val="Heading2"/>
      </w:pPr>
      <w:bookmarkStart w:id="16" w:name="_Toc103872188"/>
      <w:r w:rsidRPr="00A6087F">
        <w:t>Climate and energy</w:t>
      </w:r>
      <w:bookmarkEnd w:id="16"/>
    </w:p>
    <w:p w14:paraId="35777441" w14:textId="1059BD13" w:rsidR="00083BD2" w:rsidRPr="00A6087F" w:rsidRDefault="00083BD2" w:rsidP="00F00431">
      <w:pPr>
        <w:pStyle w:val="Wellbeingdomains"/>
      </w:pPr>
      <w:r w:rsidRPr="00A6087F">
        <w:t>Wellbeing Domain</w:t>
      </w:r>
      <w:r w:rsidR="00F91272" w:rsidRPr="00A6087F">
        <w:t xml:space="preserve"> 4: Environment &amp; Climate</w:t>
      </w:r>
    </w:p>
    <w:p w14:paraId="7919F372" w14:textId="078DC375" w:rsidR="005C5F5B" w:rsidRPr="00A6087F" w:rsidRDefault="005C5F5B" w:rsidP="00F00431">
      <w:pPr>
        <w:pStyle w:val="Wellbeingdomains"/>
      </w:pPr>
      <w:r w:rsidRPr="00A6087F">
        <w:t>Wellbeing Domain</w:t>
      </w:r>
      <w:r w:rsidR="00F93CB1" w:rsidRPr="00A6087F">
        <w:t xml:space="preserve"> 9: Living Standards</w:t>
      </w:r>
    </w:p>
    <w:p w14:paraId="483429B9" w14:textId="4C9DED1B" w:rsidR="00F93CB1" w:rsidRPr="00A6087F" w:rsidRDefault="00F93CB1" w:rsidP="00F00431">
      <w:pPr>
        <w:pStyle w:val="Wellbeingdomains"/>
        <w:spacing w:after="240"/>
      </w:pPr>
      <w:r w:rsidRPr="00A6087F">
        <w:t>Wellbeing Domain</w:t>
      </w:r>
      <w:r w:rsidR="005314AB" w:rsidRPr="00A6087F">
        <w:t xml:space="preserve"> 6: Health</w:t>
      </w:r>
    </w:p>
    <w:p w14:paraId="7813BDB7" w14:textId="7E16D555" w:rsidR="001E1C96" w:rsidRPr="00A6087F" w:rsidRDefault="001E1C96" w:rsidP="00815FDB">
      <w:pPr>
        <w:pStyle w:val="BodyText"/>
      </w:pPr>
      <w:r w:rsidRPr="00A6087F">
        <w:t xml:space="preserve">We need a fast, </w:t>
      </w:r>
      <w:proofErr w:type="gramStart"/>
      <w:r w:rsidRPr="00A6087F">
        <w:t>fair</w:t>
      </w:r>
      <w:proofErr w:type="gramEnd"/>
      <w:r w:rsidRPr="00A6087F">
        <w:t xml:space="preserve"> and inclusive transition to net zero greenhouse gas emissions in the ACT. Transport and energy are the two most significant contributors to ACT emissions.</w:t>
      </w:r>
      <w:r w:rsidR="00C3257C" w:rsidRPr="00A6087F">
        <w:rPr>
          <w:rStyle w:val="FootnoteReference"/>
        </w:rPr>
        <w:footnoteReference w:id="81"/>
      </w:r>
      <w:r w:rsidR="003D3AE0">
        <w:t xml:space="preserve"> </w:t>
      </w:r>
      <w:r w:rsidRPr="00A6087F">
        <w:t>Transport and energy are also among the main contributors to increasing cost of living pressures for low-income households in the ACT.</w:t>
      </w:r>
      <w:r w:rsidR="0035467D" w:rsidRPr="00A6087F">
        <w:rPr>
          <w:rStyle w:val="FootnoteReference"/>
        </w:rPr>
        <w:footnoteReference w:id="82"/>
      </w:r>
      <w:r w:rsidRPr="00A6087F">
        <w:t xml:space="preserve"> To achieve a just transition in the ACT it will be critical to prioritise supports and safeguards for low-income and other vulnerable households (e.g., rental households) most at risk of being left behind as our transport and household energy shift to renewable sources. These supports and safeguards need to ensure that all ACT households can access affordable, </w:t>
      </w:r>
      <w:proofErr w:type="gramStart"/>
      <w:r w:rsidRPr="00A6087F">
        <w:t>clean</w:t>
      </w:r>
      <w:proofErr w:type="gramEnd"/>
      <w:r w:rsidRPr="00A6087F">
        <w:t xml:space="preserve"> and reliable transport and energy.</w:t>
      </w:r>
    </w:p>
    <w:p w14:paraId="43DC9D14" w14:textId="1E1EE2F5" w:rsidR="00D54649" w:rsidRPr="00A6087F" w:rsidRDefault="00D54649" w:rsidP="00815FDB">
      <w:pPr>
        <w:pStyle w:val="BodyText"/>
      </w:pPr>
      <w:r w:rsidRPr="00A6087F">
        <w:t>To implement a just transition, the ACT Government must:</w:t>
      </w:r>
    </w:p>
    <w:p w14:paraId="10B73B7B" w14:textId="27F3A6F0" w:rsidR="00BC47CB" w:rsidRPr="00A6087F" w:rsidRDefault="00A24373" w:rsidP="3107ABEB">
      <w:pPr>
        <w:pStyle w:val="ListBullet"/>
      </w:pPr>
      <w:r>
        <w:t>Implement a</w:t>
      </w:r>
      <w:r w:rsidR="00BC47CB" w:rsidRPr="00A6087F">
        <w:t xml:space="preserve"> fast, </w:t>
      </w:r>
      <w:proofErr w:type="gramStart"/>
      <w:r w:rsidR="00BC47CB" w:rsidRPr="00A6087F">
        <w:t>fair</w:t>
      </w:r>
      <w:proofErr w:type="gramEnd"/>
      <w:r w:rsidR="00BC47CB" w:rsidRPr="00A6087F">
        <w:t xml:space="preserve"> and inclusive </w:t>
      </w:r>
      <w:r w:rsidR="00735D33" w:rsidRPr="00A6087F">
        <w:t>transition to net zero greenhouse gas emissions in the ACT by 2035</w:t>
      </w:r>
    </w:p>
    <w:p w14:paraId="6C96B1B3" w14:textId="1E8E4B75" w:rsidR="4C6CC416" w:rsidRPr="00A6087F" w:rsidRDefault="4C6CC416" w:rsidP="3107ABEB">
      <w:pPr>
        <w:pStyle w:val="ListBullet"/>
      </w:pPr>
      <w:r w:rsidRPr="00A6087F">
        <w:t xml:space="preserve">Provide additional funding under the Home Energy Support Program to enable low-income (including private rental and social housing) households to access </w:t>
      </w:r>
      <w:r w:rsidR="00243C28" w:rsidRPr="00A6087F">
        <w:t>consumer energy resources</w:t>
      </w:r>
      <w:r w:rsidRPr="00A6087F">
        <w:t xml:space="preserve"> and energy efficient heating, cooling, </w:t>
      </w:r>
      <w:proofErr w:type="gramStart"/>
      <w:r w:rsidRPr="00A6087F">
        <w:t>cooking</w:t>
      </w:r>
      <w:proofErr w:type="gramEnd"/>
      <w:r w:rsidRPr="00A6087F">
        <w:t xml:space="preserve"> and hot water</w:t>
      </w:r>
    </w:p>
    <w:p w14:paraId="7C7A955A" w14:textId="28D25DE0" w:rsidR="4B14A12B" w:rsidRPr="00A6087F" w:rsidRDefault="4B14A12B" w:rsidP="3107ABEB">
      <w:pPr>
        <w:pStyle w:val="ListBullet"/>
      </w:pPr>
      <w:r w:rsidRPr="00A6087F">
        <w:t xml:space="preserve">Provide support to low-income households to purchase a </w:t>
      </w:r>
      <w:r w:rsidR="00D917CF" w:rsidRPr="00A6087F">
        <w:t>zero emissions vehicle</w:t>
      </w:r>
      <w:r w:rsidRPr="00A6087F">
        <w:t xml:space="preserve"> and/or access charging infrastructure (privately or publicly)</w:t>
      </w:r>
    </w:p>
    <w:p w14:paraId="1A141B21" w14:textId="0A5274B4" w:rsidR="12FE47A9" w:rsidRPr="00A6087F" w:rsidRDefault="00E55420" w:rsidP="3107ABEB">
      <w:pPr>
        <w:pStyle w:val="ListBullet"/>
        <w:tabs>
          <w:tab w:val="num" w:pos="567"/>
        </w:tabs>
      </w:pPr>
      <w:r w:rsidRPr="00A6087F">
        <w:t>Monitor the distributional impact of</w:t>
      </w:r>
      <w:r w:rsidR="12FE47A9" w:rsidRPr="00A6087F">
        <w:t xml:space="preserve"> the Large-scale Feed-in Tarif (</w:t>
      </w:r>
      <w:proofErr w:type="spellStart"/>
      <w:r w:rsidR="12FE47A9" w:rsidRPr="00A6087F">
        <w:t>LF</w:t>
      </w:r>
      <w:r w:rsidR="006F536D" w:rsidRPr="00A6087F">
        <w:t>i</w:t>
      </w:r>
      <w:r w:rsidR="12FE47A9" w:rsidRPr="00A6087F">
        <w:t>T</w:t>
      </w:r>
      <w:proofErr w:type="spellEnd"/>
      <w:r w:rsidR="12FE47A9" w:rsidRPr="00A6087F">
        <w:t>) Scheme</w:t>
      </w:r>
      <w:r w:rsidR="554FF808" w:rsidRPr="00A6087F">
        <w:t xml:space="preserve"> </w:t>
      </w:r>
      <w:r w:rsidRPr="00A6087F">
        <w:t xml:space="preserve">on </w:t>
      </w:r>
      <w:r w:rsidR="00CB03BB" w:rsidRPr="00A6087F">
        <w:t>ACT energy consumers</w:t>
      </w:r>
    </w:p>
    <w:p w14:paraId="4A3DFC17" w14:textId="274B4507" w:rsidR="00E46A7C" w:rsidRPr="00CD44DF" w:rsidRDefault="006879C2" w:rsidP="00CD44DF">
      <w:pPr>
        <w:pStyle w:val="ListBullet"/>
        <w:tabs>
          <w:tab w:val="num" w:pos="567"/>
        </w:tabs>
        <w:rPr>
          <w:rFonts w:cs="Arial"/>
          <w:b/>
          <w:iCs/>
          <w:color w:val="005984"/>
          <w:kern w:val="32"/>
          <w:sz w:val="31"/>
          <w:szCs w:val="28"/>
        </w:rPr>
      </w:pPr>
      <w:r w:rsidRPr="00A6087F">
        <w:t>Provide adequate, long-term funding for advocacy for small energy consumers and a just transition in the ACT</w:t>
      </w:r>
      <w:r w:rsidR="0068357C" w:rsidRPr="00A6087F">
        <w:t>.</w:t>
      </w:r>
    </w:p>
    <w:p w14:paraId="51A92CDA" w14:textId="67B29D00" w:rsidR="00EC3CFA" w:rsidRPr="00A6087F" w:rsidRDefault="00EC3CFA" w:rsidP="00EC3CFA">
      <w:pPr>
        <w:pStyle w:val="Heading2"/>
      </w:pPr>
      <w:bookmarkStart w:id="17" w:name="_Toc103872189"/>
      <w:r w:rsidRPr="00A6087F">
        <w:lastRenderedPageBreak/>
        <w:t>Justice</w:t>
      </w:r>
      <w:bookmarkEnd w:id="17"/>
    </w:p>
    <w:p w14:paraId="63BDBD8E" w14:textId="1853CB79" w:rsidR="00104463" w:rsidRPr="00A6087F" w:rsidRDefault="00A159BB" w:rsidP="0068357C">
      <w:pPr>
        <w:pStyle w:val="Wellbeingdomains"/>
      </w:pPr>
      <w:r w:rsidRPr="00A6087F">
        <w:t>Wellbeing Domain</w:t>
      </w:r>
      <w:r w:rsidR="008C0D83" w:rsidRPr="00A6087F">
        <w:t xml:space="preserve"> 5: Governance &amp; Institutions</w:t>
      </w:r>
    </w:p>
    <w:p w14:paraId="2DAEE0E0" w14:textId="3B29A48E" w:rsidR="008C0D83" w:rsidRPr="00A6087F" w:rsidRDefault="008C0D83" w:rsidP="0068357C">
      <w:pPr>
        <w:pStyle w:val="Wellbeingdomains"/>
      </w:pPr>
      <w:r w:rsidRPr="00A6087F">
        <w:t>Wellbeing Domain 7: Housing &amp; Home</w:t>
      </w:r>
    </w:p>
    <w:p w14:paraId="7A163F47" w14:textId="22B84FA8" w:rsidR="008C0D83" w:rsidRPr="00A6087F" w:rsidRDefault="008C0D83" w:rsidP="00E46A7C">
      <w:pPr>
        <w:pStyle w:val="Wellbeingdomains"/>
        <w:spacing w:after="240"/>
      </w:pPr>
      <w:r w:rsidRPr="00A6087F">
        <w:t>Wellbeing Domain</w:t>
      </w:r>
      <w:r w:rsidR="00FC196D" w:rsidRPr="00A6087F">
        <w:t xml:space="preserve"> 10: Safety</w:t>
      </w:r>
    </w:p>
    <w:p w14:paraId="7C840E2C" w14:textId="429C0CB5" w:rsidR="00D14AB4" w:rsidRPr="00A6087F" w:rsidRDefault="009863FF" w:rsidP="00815FDB">
      <w:pPr>
        <w:pStyle w:val="BodyText"/>
      </w:pPr>
      <w:r w:rsidRPr="00A6087F">
        <w:t xml:space="preserve">We need to fix the prison. </w:t>
      </w:r>
      <w:r w:rsidR="00EF64FA" w:rsidRPr="00A6087F">
        <w:t xml:space="preserve">The ACT has </w:t>
      </w:r>
      <w:r w:rsidR="00FD1E71" w:rsidRPr="00A6087F">
        <w:t>the</w:t>
      </w:r>
      <w:r w:rsidR="00EF64FA" w:rsidRPr="00A6087F">
        <w:t xml:space="preserve"> high</w:t>
      </w:r>
      <w:r w:rsidR="00FD1E71" w:rsidRPr="00A6087F">
        <w:t>est</w:t>
      </w:r>
      <w:r w:rsidR="00EF64FA" w:rsidRPr="00A6087F">
        <w:t xml:space="preserve"> rate of re-imprisonment</w:t>
      </w:r>
      <w:r w:rsidR="00FD1E71" w:rsidRPr="00A6087F">
        <w:t xml:space="preserve"> in the country</w:t>
      </w:r>
      <w:r w:rsidR="00EF64FA" w:rsidRPr="00A6087F">
        <w:t>. 2021</w:t>
      </w:r>
      <w:r w:rsidR="004D1426" w:rsidRPr="00A6087F">
        <w:t xml:space="preserve"> ABS data</w:t>
      </w:r>
      <w:r w:rsidR="00F33B13" w:rsidRPr="00A6087F">
        <w:t xml:space="preserve"> shows that 77% of all detainees had prior imprisonment</w:t>
      </w:r>
      <w:r w:rsidR="00A21445" w:rsidRPr="00A6087F">
        <w:t>, well above the national average of 60</w:t>
      </w:r>
      <w:r w:rsidR="006B0A02" w:rsidRPr="00A6087F">
        <w:t>%</w:t>
      </w:r>
      <w:r w:rsidR="00FD1E71" w:rsidRPr="00A6087F">
        <w:t>.</w:t>
      </w:r>
      <w:r w:rsidR="00FD1E71" w:rsidRPr="00A6087F">
        <w:rPr>
          <w:rStyle w:val="FootnoteReference"/>
        </w:rPr>
        <w:footnoteReference w:id="83"/>
      </w:r>
      <w:r w:rsidR="00F6655D" w:rsidRPr="00A6087F">
        <w:t xml:space="preserve"> For Aboriginal and/or Torres Strait Islander detainees, it is 94%</w:t>
      </w:r>
      <w:r w:rsidR="00AD54F2" w:rsidRPr="00A6087F">
        <w:t>.</w:t>
      </w:r>
      <w:r w:rsidR="000E5401" w:rsidRPr="00A6087F">
        <w:rPr>
          <w:rStyle w:val="FootnoteReference"/>
        </w:rPr>
        <w:footnoteReference w:id="84"/>
      </w:r>
      <w:r w:rsidR="008714EC" w:rsidRPr="00A6087F">
        <w:t xml:space="preserve"> While in prison</w:t>
      </w:r>
      <w:r w:rsidR="00E125EC" w:rsidRPr="00A6087F">
        <w:t xml:space="preserve">, </w:t>
      </w:r>
      <w:r w:rsidR="007E688D" w:rsidRPr="00A6087F">
        <w:t>82% of detainees reported that it was difficult to get general medical services when needed and 86% said it was difficult to get specialist medical services</w:t>
      </w:r>
      <w:r w:rsidR="009C6BB8" w:rsidRPr="00A6087F">
        <w:t>.</w:t>
      </w:r>
      <w:r w:rsidR="009C6BB8" w:rsidRPr="00A6087F">
        <w:rPr>
          <w:rStyle w:val="FootnoteReference"/>
        </w:rPr>
        <w:footnoteReference w:id="85"/>
      </w:r>
      <w:r w:rsidR="000E5401" w:rsidRPr="00A6087F">
        <w:t xml:space="preserve"> </w:t>
      </w:r>
      <w:r w:rsidR="00085D94" w:rsidRPr="00A6087F">
        <w:t xml:space="preserve">Throughout the COVID-19 pandemic, detainees have been regularly locked in their cells for </w:t>
      </w:r>
      <w:r w:rsidRPr="00A6087F">
        <w:t>more than 23 hours a day</w:t>
      </w:r>
      <w:r w:rsidR="003A7688" w:rsidRPr="00A6087F">
        <w:t xml:space="preserve"> and have missed out on vital community connection, as well as rehabilitative and education programs. </w:t>
      </w:r>
    </w:p>
    <w:p w14:paraId="4B455B91" w14:textId="5E947DF1" w:rsidR="00D54649" w:rsidRPr="00A6087F" w:rsidRDefault="008C6D62" w:rsidP="00815FDB">
      <w:pPr>
        <w:pStyle w:val="BodyText"/>
      </w:pPr>
      <w:r w:rsidRPr="00A6087F">
        <w:t xml:space="preserve">We also </w:t>
      </w:r>
      <w:r w:rsidR="00A123B8" w:rsidRPr="00A6087F">
        <w:t xml:space="preserve">need to raise the minimum age of criminal responsibility to </w:t>
      </w:r>
      <w:r w:rsidR="005E4C5A" w:rsidRPr="00A6087F">
        <w:t xml:space="preserve">keep children out of </w:t>
      </w:r>
      <w:r w:rsidR="00937D7F" w:rsidRPr="00A6087F">
        <w:t>prisons</w:t>
      </w:r>
      <w:r w:rsidR="009039DE" w:rsidRPr="00A6087F">
        <w:t xml:space="preserve"> and away from traumatising and lifelong engagements with the justice system. </w:t>
      </w:r>
      <w:r w:rsidR="00351AEB" w:rsidRPr="00A6087F">
        <w:t>Aboriginal and/or Torres Strait Islander</w:t>
      </w:r>
      <w:r w:rsidR="00970FF3" w:rsidRPr="00A6087F">
        <w:t xml:space="preserve"> </w:t>
      </w:r>
      <w:r w:rsidR="00E36761" w:rsidRPr="00A6087F">
        <w:t>children</w:t>
      </w:r>
      <w:r w:rsidR="00B82628" w:rsidRPr="00A6087F">
        <w:t xml:space="preserve"> aged 10-13 are </w:t>
      </w:r>
      <w:r w:rsidR="009C3214" w:rsidRPr="00A6087F">
        <w:t>almost 20 times more likely to be in detention than non-Indigenous children in the ACT.</w:t>
      </w:r>
      <w:r w:rsidR="009C3214" w:rsidRPr="00A6087F">
        <w:rPr>
          <w:rStyle w:val="FootnoteReference"/>
        </w:rPr>
        <w:footnoteReference w:id="86"/>
      </w:r>
      <w:r w:rsidR="00A67BC9" w:rsidRPr="00A6087F">
        <w:t xml:space="preserve"> Keeping children in detention is unacceptable and </w:t>
      </w:r>
      <w:r w:rsidR="003B5A39" w:rsidRPr="00A6087F">
        <w:t>more than half of Australians agree</w:t>
      </w:r>
      <w:r w:rsidR="004B5C12" w:rsidRPr="00A6087F">
        <w:t>.</w:t>
      </w:r>
      <w:r w:rsidR="004B5C12" w:rsidRPr="00A6087F">
        <w:rPr>
          <w:rStyle w:val="FootnoteReference"/>
        </w:rPr>
        <w:footnoteReference w:id="87"/>
      </w:r>
      <w:r w:rsidR="00520A12" w:rsidRPr="00A6087F">
        <w:t xml:space="preserve"> The ACT Government has committed to raising the age</w:t>
      </w:r>
      <w:r w:rsidR="00940792" w:rsidRPr="00A6087F">
        <w:t xml:space="preserve"> and must now </w:t>
      </w:r>
      <w:r w:rsidR="00D54649" w:rsidRPr="00A6087F">
        <w:t>fully fund and resources the service changes required to do so.</w:t>
      </w:r>
    </w:p>
    <w:p w14:paraId="0752E338" w14:textId="29A570E9" w:rsidR="00D54649" w:rsidRPr="00A6087F" w:rsidRDefault="00D54649" w:rsidP="00815FDB">
      <w:pPr>
        <w:pStyle w:val="BodyText"/>
      </w:pPr>
      <w:r w:rsidRPr="00A6087F">
        <w:t>To address the serious problems in the justice system, the ACT Government must:</w:t>
      </w:r>
    </w:p>
    <w:p w14:paraId="66EE9375" w14:textId="46FCD832" w:rsidR="4F7F9BE2" w:rsidRPr="00A6087F" w:rsidRDefault="4F7F9BE2" w:rsidP="3107ABEB">
      <w:pPr>
        <w:pStyle w:val="ListBullet"/>
        <w:tabs>
          <w:tab w:val="num" w:pos="567"/>
        </w:tabs>
      </w:pPr>
      <w:r w:rsidRPr="00A6087F">
        <w:t>Implement all recommendations from the Healthy Prison Review</w:t>
      </w:r>
      <w:r w:rsidR="2C9A41BF" w:rsidRPr="00A6087F">
        <w:t xml:space="preserve"> of the Alexander Maconochie Centre</w:t>
      </w:r>
    </w:p>
    <w:p w14:paraId="044798BE" w14:textId="0E15B964" w:rsidR="002F720A" w:rsidRPr="00A6087F" w:rsidRDefault="002F720A" w:rsidP="002F720A">
      <w:pPr>
        <w:pStyle w:val="ListBullet"/>
        <w:tabs>
          <w:tab w:val="num" w:pos="567"/>
        </w:tabs>
      </w:pPr>
      <w:r w:rsidRPr="00A6087F">
        <w:t xml:space="preserve">Fund and implement all recommendations from the </w:t>
      </w:r>
      <w:hyperlink r:id="rId58" w:history="1">
        <w:r w:rsidRPr="00A6087F">
          <w:rPr>
            <w:rStyle w:val="Hyperlink"/>
          </w:rPr>
          <w:t>independent review of the service system requirements for raising the minimum age of criminal responsibility in the ACT</w:t>
        </w:r>
      </w:hyperlink>
    </w:p>
    <w:p w14:paraId="4E6284F2" w14:textId="6FACEEAA" w:rsidR="0E6B4610" w:rsidRPr="00A6087F" w:rsidRDefault="0E6B4610" w:rsidP="3107ABEB">
      <w:pPr>
        <w:pStyle w:val="ListBullet"/>
        <w:tabs>
          <w:tab w:val="num" w:pos="567"/>
        </w:tabs>
      </w:pPr>
      <w:r w:rsidRPr="00A6087F">
        <w:t>Resource the Disability Justice and Justice Reinvestment Strategies</w:t>
      </w:r>
    </w:p>
    <w:p w14:paraId="3B5C8B2D" w14:textId="1E5C3475" w:rsidR="1F372F23" w:rsidRPr="00A6087F" w:rsidRDefault="1F372F23" w:rsidP="3107ABEB">
      <w:pPr>
        <w:pStyle w:val="ListBullet"/>
        <w:tabs>
          <w:tab w:val="num" w:pos="567"/>
        </w:tabs>
      </w:pPr>
      <w:r w:rsidRPr="00A6087F">
        <w:lastRenderedPageBreak/>
        <w:t>Adequately f</w:t>
      </w:r>
      <w:r w:rsidR="1C1D981F" w:rsidRPr="00A6087F">
        <w:t xml:space="preserve">und and resource the ACT National Preventative Mechanisms to carry out </w:t>
      </w:r>
      <w:proofErr w:type="spellStart"/>
      <w:r w:rsidR="1C1D981F" w:rsidRPr="00A6087F">
        <w:t>OPCAT</w:t>
      </w:r>
      <w:proofErr w:type="spellEnd"/>
      <w:r w:rsidR="1C1D981F" w:rsidRPr="00A6087F">
        <w:t xml:space="preserve"> monitoring and engage with civil society</w:t>
      </w:r>
    </w:p>
    <w:p w14:paraId="60DBD466" w14:textId="18FC6C83" w:rsidR="404BFA38" w:rsidRPr="00A6087F" w:rsidRDefault="404BFA38" w:rsidP="3107ABEB">
      <w:pPr>
        <w:pStyle w:val="ListBullet"/>
        <w:tabs>
          <w:tab w:val="num" w:pos="567"/>
        </w:tabs>
      </w:pPr>
      <w:r w:rsidRPr="00A6087F">
        <w:t>Fund a health promotion program for women in the AMC</w:t>
      </w:r>
    </w:p>
    <w:p w14:paraId="327ADCB0" w14:textId="47D09DA3" w:rsidR="679231CD" w:rsidRPr="00A6087F" w:rsidRDefault="679231CD" w:rsidP="3107ABEB">
      <w:pPr>
        <w:pStyle w:val="ListBullet"/>
        <w:tabs>
          <w:tab w:val="num" w:pos="567"/>
        </w:tabs>
      </w:pPr>
      <w:r w:rsidRPr="00A6087F">
        <w:t>Resource a financial literacy and education program at the AMC</w:t>
      </w:r>
    </w:p>
    <w:p w14:paraId="68067B00" w14:textId="5BF7A251" w:rsidR="404BFA38" w:rsidRPr="00A6087F" w:rsidRDefault="404BFA38" w:rsidP="3107ABEB">
      <w:pPr>
        <w:pStyle w:val="ListBullet"/>
        <w:tabs>
          <w:tab w:val="num" w:pos="567"/>
        </w:tabs>
      </w:pPr>
      <w:r w:rsidRPr="00A6087F">
        <w:t xml:space="preserve">Ensure </w:t>
      </w:r>
      <w:r w:rsidR="42CB44EF" w:rsidRPr="00A6087F">
        <w:t>the community sector is adequately funded</w:t>
      </w:r>
      <w:r w:rsidR="549C7129" w:rsidRPr="00A6087F">
        <w:t xml:space="preserve"> and supported</w:t>
      </w:r>
      <w:r w:rsidR="42CB44EF" w:rsidRPr="00A6087F">
        <w:t xml:space="preserve"> to provide services and programs within the AMC</w:t>
      </w:r>
    </w:p>
    <w:p w14:paraId="4D8927F4" w14:textId="7C62EFD0" w:rsidR="6B17C363" w:rsidRPr="00A6087F" w:rsidRDefault="6B17C363" w:rsidP="3107ABEB">
      <w:pPr>
        <w:pStyle w:val="ListBullet"/>
        <w:tabs>
          <w:tab w:val="num" w:pos="567"/>
        </w:tabs>
      </w:pPr>
      <w:r w:rsidRPr="00A6087F">
        <w:t>Implement a needle and syringe program for the AMC</w:t>
      </w:r>
    </w:p>
    <w:p w14:paraId="698CF2D1" w14:textId="0D43CF9C" w:rsidR="12FA202E" w:rsidRPr="00A6087F" w:rsidRDefault="12FA202E" w:rsidP="3107ABEB">
      <w:pPr>
        <w:pStyle w:val="ListBullet"/>
        <w:tabs>
          <w:tab w:val="num" w:pos="567"/>
        </w:tabs>
      </w:pPr>
      <w:r w:rsidRPr="00A6087F">
        <w:t>Greater investment in integrated and accessible front-line service provision for domestic and family violence and sexual assault response</w:t>
      </w:r>
    </w:p>
    <w:p w14:paraId="6D0D2B03" w14:textId="2A07295B" w:rsidR="7FD2F7BD" w:rsidRPr="00A6087F" w:rsidRDefault="7FD2F7BD" w:rsidP="3107ABEB">
      <w:pPr>
        <w:pStyle w:val="ListBullet"/>
        <w:tabs>
          <w:tab w:val="num" w:pos="567"/>
        </w:tabs>
      </w:pPr>
      <w:r w:rsidRPr="00A6087F">
        <w:t>Ensure ongoing</w:t>
      </w:r>
      <w:r w:rsidR="12526CD1" w:rsidRPr="00A6087F">
        <w:t xml:space="preserve"> funding for DFV and sexual assault response beyond </w:t>
      </w:r>
      <w:r w:rsidR="00A859D1" w:rsidRPr="00A6087F">
        <w:t xml:space="preserve">COVID-19 </w:t>
      </w:r>
      <w:r w:rsidR="12526CD1" w:rsidRPr="00A6087F">
        <w:t>funding for</w:t>
      </w:r>
      <w:r w:rsidR="543491AF" w:rsidRPr="00A6087F">
        <w:t xml:space="preserve"> 2021-22</w:t>
      </w:r>
      <w:r w:rsidR="00815FDB" w:rsidRPr="00A6087F">
        <w:t>.</w:t>
      </w:r>
    </w:p>
    <w:p w14:paraId="48C12D99" w14:textId="594BD944" w:rsidR="00EC3CFA" w:rsidRPr="00A6087F" w:rsidRDefault="00EC3CFA" w:rsidP="00EC3CFA">
      <w:pPr>
        <w:pStyle w:val="Heading2"/>
      </w:pPr>
      <w:bookmarkStart w:id="18" w:name="_Toc103872190"/>
      <w:r w:rsidRPr="00A6087F">
        <w:t xml:space="preserve">Children, young </w:t>
      </w:r>
      <w:proofErr w:type="gramStart"/>
      <w:r w:rsidRPr="00A6087F">
        <w:t>people</w:t>
      </w:r>
      <w:proofErr w:type="gramEnd"/>
      <w:r w:rsidRPr="00A6087F">
        <w:t xml:space="preserve"> and families</w:t>
      </w:r>
      <w:bookmarkEnd w:id="18"/>
    </w:p>
    <w:p w14:paraId="705B78B7" w14:textId="5C3A0FB9" w:rsidR="00104463" w:rsidRPr="00A6087F" w:rsidRDefault="00735105" w:rsidP="00815FDB">
      <w:pPr>
        <w:pStyle w:val="Wellbeingdomains"/>
      </w:pPr>
      <w:r w:rsidRPr="00A6087F">
        <w:t xml:space="preserve">Wellbeing Domain </w:t>
      </w:r>
      <w:r w:rsidR="001B17B1" w:rsidRPr="00A6087F">
        <w:t>2: Education &amp; Lifelong Learning</w:t>
      </w:r>
    </w:p>
    <w:p w14:paraId="031CB806" w14:textId="3AC716FA" w:rsidR="001B17B1" w:rsidRPr="00A6087F" w:rsidRDefault="001B17B1" w:rsidP="00815FDB">
      <w:pPr>
        <w:pStyle w:val="Wellbeingdomains"/>
      </w:pPr>
      <w:r w:rsidRPr="00A6087F">
        <w:t>Wellbeing Domain</w:t>
      </w:r>
      <w:r w:rsidR="001537BF" w:rsidRPr="00A6087F">
        <w:t xml:space="preserve"> 6: Health</w:t>
      </w:r>
    </w:p>
    <w:p w14:paraId="0D3115F8" w14:textId="18A7A7FE" w:rsidR="001537BF" w:rsidRPr="00A6087F" w:rsidRDefault="001537BF" w:rsidP="00815FDB">
      <w:pPr>
        <w:pStyle w:val="Wellbeingdomains"/>
        <w:spacing w:after="240"/>
      </w:pPr>
      <w:r w:rsidRPr="00A6087F">
        <w:t xml:space="preserve">Wellbeing Domain </w:t>
      </w:r>
      <w:r w:rsidR="00C659E8" w:rsidRPr="00A6087F">
        <w:t>10: Safety</w:t>
      </w:r>
    </w:p>
    <w:p w14:paraId="0C032146" w14:textId="2D3D937D" w:rsidR="00B93BED" w:rsidRPr="00A6087F" w:rsidRDefault="00EB426D" w:rsidP="00815FDB">
      <w:pPr>
        <w:pStyle w:val="BodyText"/>
      </w:pPr>
      <w:r w:rsidRPr="00A6087F">
        <w:t xml:space="preserve">Canberran families must be supported to </w:t>
      </w:r>
      <w:r w:rsidR="00852472" w:rsidRPr="00A6087F">
        <w:t>healthy and safe</w:t>
      </w:r>
      <w:r w:rsidR="004408AA" w:rsidRPr="00A6087F">
        <w:t xml:space="preserve">, and children must be supported </w:t>
      </w:r>
      <w:r w:rsidR="009D7AC6" w:rsidRPr="00A6087F">
        <w:t>to remain with their families wherever possible.</w:t>
      </w:r>
      <w:r w:rsidR="00F25413" w:rsidRPr="00A6087F">
        <w:t xml:space="preserve"> According to data </w:t>
      </w:r>
      <w:r w:rsidR="00A722BE" w:rsidRPr="00A6087F">
        <w:t xml:space="preserve">compiled by the </w:t>
      </w:r>
      <w:r w:rsidR="00700CC9" w:rsidRPr="00A6087F">
        <w:t>Australian Institute of Health and Welfare</w:t>
      </w:r>
      <w:r w:rsidR="00AE4150" w:rsidRPr="00A6087F">
        <w:t>, many women experienced family violence for the first time during the pandemic</w:t>
      </w:r>
      <w:r w:rsidR="00926A37" w:rsidRPr="00A6087F">
        <w:t xml:space="preserve">, and </w:t>
      </w:r>
      <w:r w:rsidR="00A6734F" w:rsidRPr="00A6087F">
        <w:t xml:space="preserve">42% of women reported that physical violence had increased since </w:t>
      </w:r>
      <w:r w:rsidR="00CD7CD9" w:rsidRPr="00A6087F">
        <w:t>the onset of COVID-19.</w:t>
      </w:r>
      <w:r w:rsidR="00CD7CD9" w:rsidRPr="00A6087F">
        <w:rPr>
          <w:rStyle w:val="FootnoteReference"/>
        </w:rPr>
        <w:footnoteReference w:id="88"/>
      </w:r>
      <w:r w:rsidR="007A6A71" w:rsidRPr="00A6087F">
        <w:t xml:space="preserve"> The ACT Government must ensure that funding for family violence service providers is sustainable and ongoing.</w:t>
      </w:r>
    </w:p>
    <w:p w14:paraId="187C1AE0" w14:textId="226C96BC" w:rsidR="000B2266" w:rsidRPr="00A6087F" w:rsidRDefault="007A6A71" w:rsidP="00815FDB">
      <w:pPr>
        <w:pStyle w:val="BodyText"/>
      </w:pPr>
      <w:r w:rsidRPr="00A6087F">
        <w:t xml:space="preserve">We must also ensure that children are only removed from their families as an absolute last resort and that the child protection system is truly restorative in </w:t>
      </w:r>
      <w:r w:rsidR="00B84B0C" w:rsidRPr="00A6087F">
        <w:t>focus. The</w:t>
      </w:r>
      <w:r w:rsidR="000B2266" w:rsidRPr="00A6087F">
        <w:t xml:space="preserve"> ACT Government spends the least per child on intensive support and protective intervention services at just $880 per child, compared with the national average of $1327.</w:t>
      </w:r>
      <w:r w:rsidR="000B2266" w:rsidRPr="00A6087F">
        <w:rPr>
          <w:rStyle w:val="FootnoteReference"/>
        </w:rPr>
        <w:footnoteReference w:id="89"/>
      </w:r>
      <w:r w:rsidR="000B2266" w:rsidRPr="00A6087F">
        <w:t xml:space="preserve"> While the ACT Government has committed to implementing an internal and an external review mechanism for child protection decisions, we need to ensure that those mechanisms are both rigorous and fully resourced. We also need to ensure that Aboriginal and/or Torres Strait Island community members are involved in this process, every step of the way.</w:t>
      </w:r>
    </w:p>
    <w:p w14:paraId="4BA25524" w14:textId="1DDCE977" w:rsidR="007A6A71" w:rsidRPr="00A6087F" w:rsidRDefault="007A6A71" w:rsidP="0010446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proofErr w:type="gramStart"/>
      <w:r w:rsidRPr="00A6087F">
        <w:lastRenderedPageBreak/>
        <w:t>In order to</w:t>
      </w:r>
      <w:proofErr w:type="gramEnd"/>
      <w:r w:rsidRPr="00A6087F">
        <w:t xml:space="preserve"> </w:t>
      </w:r>
      <w:r w:rsidR="00466B14" w:rsidRPr="00A6087F">
        <w:t>ensure adequate support for children, young people and families in Canberra, the ACT Government must:</w:t>
      </w:r>
    </w:p>
    <w:p w14:paraId="64FC3F6A" w14:textId="710D87E5" w:rsidR="00C957EB" w:rsidRPr="00A6087F" w:rsidRDefault="00043C65" w:rsidP="3107ABEB">
      <w:pPr>
        <w:pStyle w:val="ListBullet"/>
        <w:tabs>
          <w:tab w:val="num" w:pos="567"/>
        </w:tabs>
      </w:pPr>
      <w:r w:rsidRPr="00A6087F">
        <w:t xml:space="preserve">Ensure sufficient </w:t>
      </w:r>
      <w:r w:rsidR="0025177E" w:rsidRPr="00A6087F">
        <w:t xml:space="preserve">legal, </w:t>
      </w:r>
      <w:proofErr w:type="gramStart"/>
      <w:r w:rsidR="0025177E" w:rsidRPr="00A6087F">
        <w:t>social</w:t>
      </w:r>
      <w:proofErr w:type="gramEnd"/>
      <w:r w:rsidR="0025177E" w:rsidRPr="00A6087F">
        <w:t xml:space="preserve"> and housing support for people </w:t>
      </w:r>
      <w:r w:rsidR="004F603A" w:rsidRPr="00A6087F">
        <w:t>experiencing</w:t>
      </w:r>
      <w:r w:rsidR="0025177E" w:rsidRPr="00A6087F">
        <w:t xml:space="preserve"> </w:t>
      </w:r>
      <w:r w:rsidR="004F603A" w:rsidRPr="00A6087F">
        <w:t>domestic and family violence</w:t>
      </w:r>
      <w:r w:rsidRPr="00A6087F">
        <w:t xml:space="preserve"> </w:t>
      </w:r>
    </w:p>
    <w:p w14:paraId="7C32A9F3" w14:textId="797A236C" w:rsidR="55E63246" w:rsidRPr="00A6087F" w:rsidRDefault="55E63246" w:rsidP="3107ABEB">
      <w:pPr>
        <w:pStyle w:val="ListBullet"/>
        <w:tabs>
          <w:tab w:val="num" w:pos="567"/>
        </w:tabs>
      </w:pPr>
      <w:r w:rsidRPr="00A6087F">
        <w:t>Invest in perinatal wellbeing</w:t>
      </w:r>
      <w:r w:rsidR="57961EBB" w:rsidRPr="00A6087F">
        <w:t xml:space="preserve"> including through in-patient </w:t>
      </w:r>
      <w:r w:rsidR="3517AEF6" w:rsidRPr="00A6087F">
        <w:t>parent and baby care</w:t>
      </w:r>
    </w:p>
    <w:p w14:paraId="2769BE2A" w14:textId="4AF9E198" w:rsidR="398F7437" w:rsidRPr="00A6087F" w:rsidRDefault="398F7437" w:rsidP="3107ABEB">
      <w:pPr>
        <w:pStyle w:val="ListBullet"/>
        <w:tabs>
          <w:tab w:val="num" w:pos="567"/>
        </w:tabs>
      </w:pPr>
      <w:r w:rsidRPr="00A6087F">
        <w:t>Invest in early childhood education and preschools with early intervention strategies for children with developmental delays</w:t>
      </w:r>
    </w:p>
    <w:p w14:paraId="251EC3E6" w14:textId="26233443" w:rsidR="1324A2CD" w:rsidRPr="00A6087F" w:rsidRDefault="1324A2CD" w:rsidP="3107ABEB">
      <w:pPr>
        <w:pStyle w:val="ListBullet"/>
        <w:tabs>
          <w:tab w:val="num" w:pos="567"/>
        </w:tabs>
      </w:pPr>
      <w:r w:rsidRPr="00A6087F">
        <w:t xml:space="preserve">Fund early intervention and supports for families at risk of engagement with </w:t>
      </w:r>
      <w:r w:rsidR="4CF7E403" w:rsidRPr="00A6087F">
        <w:t>child and youth protection services</w:t>
      </w:r>
      <w:r w:rsidR="14438A39" w:rsidRPr="00A6087F">
        <w:t>, particularly for families with disability and Aboriginal and/or Torres Strait Islander families</w:t>
      </w:r>
    </w:p>
    <w:p w14:paraId="6A3B64C0" w14:textId="2A347D03" w:rsidR="00B12759" w:rsidRPr="00A6087F" w:rsidRDefault="00B12759" w:rsidP="00B12759">
      <w:pPr>
        <w:pStyle w:val="ListBullet"/>
        <w:tabs>
          <w:tab w:val="num" w:pos="567"/>
        </w:tabs>
      </w:pPr>
      <w:r w:rsidRPr="00A6087F">
        <w:t>Implementation of adequate internal and external review mechanisms in the ACT child protection systems</w:t>
      </w:r>
    </w:p>
    <w:p w14:paraId="1D35855C" w14:textId="192ADE1E" w:rsidR="00C508D6" w:rsidRPr="00A6087F" w:rsidRDefault="1AEDA792" w:rsidP="00C508D6">
      <w:pPr>
        <w:pStyle w:val="ListBullet"/>
        <w:tabs>
          <w:tab w:val="num" w:pos="567"/>
        </w:tabs>
      </w:pPr>
      <w:r w:rsidRPr="00A6087F">
        <w:t xml:space="preserve">Fund and implement all recommendations from the Inspector of Correctional Services Healthy Centre Review of </w:t>
      </w:r>
      <w:proofErr w:type="spellStart"/>
      <w:r w:rsidRPr="00A6087F">
        <w:t>Bimberi</w:t>
      </w:r>
      <w:proofErr w:type="spellEnd"/>
      <w:r w:rsidRPr="00A6087F">
        <w:t xml:space="preserve"> Youth Justice Centre</w:t>
      </w:r>
      <w:r w:rsidR="004F603A" w:rsidRPr="00A6087F">
        <w:t>.</w:t>
      </w:r>
    </w:p>
    <w:p w14:paraId="53DB80EE" w14:textId="1A5A81E2" w:rsidR="00EC3CFA" w:rsidRPr="00A6087F" w:rsidRDefault="00EC3CFA" w:rsidP="00EC3CFA">
      <w:pPr>
        <w:pStyle w:val="Heading2"/>
      </w:pPr>
      <w:bookmarkStart w:id="19" w:name="_Toc103872191"/>
      <w:r w:rsidRPr="00A6087F">
        <w:t>Human Rights</w:t>
      </w:r>
      <w:bookmarkEnd w:id="19"/>
    </w:p>
    <w:p w14:paraId="02FECF96" w14:textId="4C24E460" w:rsidR="00104463" w:rsidRPr="00A6087F" w:rsidRDefault="00C659E8" w:rsidP="003B5DB3">
      <w:pPr>
        <w:pStyle w:val="Wellbeingdomains"/>
        <w:spacing w:after="240"/>
      </w:pPr>
      <w:r w:rsidRPr="00A6087F">
        <w:t xml:space="preserve">Wellbeing Domain </w:t>
      </w:r>
      <w:r w:rsidR="00512121" w:rsidRPr="00A6087F">
        <w:t>5: Governance &amp; Institutions</w:t>
      </w:r>
    </w:p>
    <w:p w14:paraId="6433F7A8" w14:textId="77777777" w:rsidR="00413368" w:rsidRPr="00A6087F" w:rsidRDefault="00696BCF" w:rsidP="00696BCF">
      <w:pPr>
        <w:pStyle w:val="BodyText"/>
      </w:pPr>
      <w:r w:rsidRPr="00A6087F">
        <w:t>The ACT is committed to being a human rights jurisdiction. However, it is currently very difficult</w:t>
      </w:r>
      <w:r w:rsidR="00AD6C44" w:rsidRPr="00A6087F">
        <w:t xml:space="preserve"> and very costly</w:t>
      </w:r>
      <w:r w:rsidRPr="00A6087F">
        <w:t xml:space="preserve"> to make complaints about human rights breaches and to seek conciliation or accountability. </w:t>
      </w:r>
      <w:r w:rsidR="00AD6C44" w:rsidRPr="00A6087F">
        <w:t>This means that people experiencing the most disadvantage, including those experiencing homelessness, those on low incomes or those from</w:t>
      </w:r>
      <w:r w:rsidR="00B61A8A" w:rsidRPr="00A6087F">
        <w:t xml:space="preserve"> migrant and refugee backgrounds, as well as</w:t>
      </w:r>
      <w:r w:rsidR="00AD6C44" w:rsidRPr="00A6087F">
        <w:t xml:space="preserve"> Aboriginal and/or Torres Strait Islander</w:t>
      </w:r>
      <w:r w:rsidR="00B61A8A" w:rsidRPr="00A6087F">
        <w:t xml:space="preserve"> people</w:t>
      </w:r>
      <w:r w:rsidR="00413368" w:rsidRPr="00A6087F">
        <w:t xml:space="preserve"> often have no way of ensuring that they are treated with respect or dignity. </w:t>
      </w:r>
    </w:p>
    <w:p w14:paraId="70EFA370" w14:textId="3768E4AD" w:rsidR="00696BCF" w:rsidRPr="00A6087F" w:rsidRDefault="00991DFF" w:rsidP="00696BCF">
      <w:pPr>
        <w:pStyle w:val="BodyText"/>
      </w:pPr>
      <w:r w:rsidRPr="00A6087F">
        <w:t>To</w:t>
      </w:r>
      <w:r w:rsidR="00413368" w:rsidRPr="00A6087F">
        <w:t xml:space="preserve"> </w:t>
      </w:r>
      <w:r w:rsidRPr="00A6087F">
        <w:t>ensure that the ACT is truly human rights compliant, the ACT Government must:</w:t>
      </w:r>
      <w:r w:rsidR="00AD6C44" w:rsidRPr="00A6087F">
        <w:t xml:space="preserve"> </w:t>
      </w:r>
    </w:p>
    <w:p w14:paraId="34B6AD2C" w14:textId="75812F43" w:rsidR="67075E41" w:rsidRPr="00A6087F" w:rsidRDefault="67075E41" w:rsidP="3107ABEB">
      <w:pPr>
        <w:pStyle w:val="ListBullet"/>
        <w:tabs>
          <w:tab w:val="num" w:pos="567"/>
        </w:tabs>
      </w:pPr>
      <w:r w:rsidRPr="00A6087F">
        <w:t>Resource the ACT Human Rights</w:t>
      </w:r>
      <w:r w:rsidR="22925F25" w:rsidRPr="00A6087F">
        <w:t xml:space="preserve"> Commission </w:t>
      </w:r>
      <w:r w:rsidR="1E087F1E" w:rsidRPr="00A6087F">
        <w:t xml:space="preserve">to </w:t>
      </w:r>
      <w:r w:rsidR="05587CAD" w:rsidRPr="00A6087F">
        <w:t>respond to complaints about breaches of the Human Rights Act</w:t>
      </w:r>
      <w:r w:rsidR="002E3EE6" w:rsidRPr="00A6087F">
        <w:t>, and establish an</w:t>
      </w:r>
      <w:r w:rsidR="008E4B4B" w:rsidRPr="00A6087F">
        <w:t xml:space="preserve"> accessible mechanism for human rights complaints</w:t>
      </w:r>
    </w:p>
    <w:p w14:paraId="7A103945" w14:textId="3F801CE5" w:rsidR="03D15AA3" w:rsidRPr="00A6087F" w:rsidRDefault="03D15AA3" w:rsidP="3107ABEB">
      <w:pPr>
        <w:pStyle w:val="ListBullet"/>
        <w:tabs>
          <w:tab w:val="num" w:pos="567"/>
        </w:tabs>
      </w:pPr>
      <w:r w:rsidRPr="00A6087F">
        <w:t xml:space="preserve">Resource and support an independent advocacy voice for culturally and linguistically diverse Canberrans in the </w:t>
      </w:r>
      <w:r w:rsidR="2A9D8F53" w:rsidRPr="00A6087F">
        <w:t>ACT</w:t>
      </w:r>
    </w:p>
    <w:p w14:paraId="2FDFFCFC" w14:textId="77777777" w:rsidR="00892EE4" w:rsidRPr="00A6087F" w:rsidRDefault="2A9D8F53" w:rsidP="00EC3CFA">
      <w:pPr>
        <w:pStyle w:val="ListBullet"/>
        <w:tabs>
          <w:tab w:val="num" w:pos="567"/>
        </w:tabs>
      </w:pPr>
      <w:r w:rsidRPr="00A6087F">
        <w:t xml:space="preserve">Commit to review police complaints handling mechanisms to ensure greater practical independence, </w:t>
      </w:r>
      <w:proofErr w:type="gramStart"/>
      <w:r w:rsidRPr="00A6087F">
        <w:t>accountability</w:t>
      </w:r>
      <w:proofErr w:type="gramEnd"/>
      <w:r w:rsidRPr="00A6087F">
        <w:t xml:space="preserve"> and transparency of investigations</w:t>
      </w:r>
    </w:p>
    <w:p w14:paraId="222758FA" w14:textId="63DBC9C5" w:rsidR="00AE4BFB" w:rsidRPr="00A6087F" w:rsidRDefault="7D5D76D0" w:rsidP="00EC3CFA">
      <w:pPr>
        <w:pStyle w:val="ListBullet"/>
        <w:tabs>
          <w:tab w:val="num" w:pos="567"/>
        </w:tabs>
      </w:pPr>
      <w:r w:rsidRPr="00A6087F">
        <w:t xml:space="preserve">Through improved access to legal support and better funding for </w:t>
      </w:r>
      <w:r w:rsidR="6BCE734A" w:rsidRPr="00A6087F">
        <w:t xml:space="preserve">the ACT’s community legal services, ensure equality before the law for all ACT </w:t>
      </w:r>
      <w:r w:rsidR="6BCE734A" w:rsidRPr="00A6087F">
        <w:lastRenderedPageBreak/>
        <w:t>residents, including women and children, Aboriginal and/or Torres Strait Islander people, people with disabilities and other Canberrans facing legal disadvantage</w:t>
      </w:r>
      <w:r w:rsidR="003B5DB3" w:rsidRPr="00A6087F">
        <w:t>.</w:t>
      </w:r>
    </w:p>
    <w:p w14:paraId="46DB5BD6" w14:textId="336AC57F" w:rsidR="00EC3CFA" w:rsidRPr="00A6087F" w:rsidRDefault="00EC3CFA" w:rsidP="00EC3CFA">
      <w:pPr>
        <w:pStyle w:val="Heading2"/>
      </w:pPr>
      <w:bookmarkStart w:id="20" w:name="_Toc103872192"/>
      <w:r w:rsidRPr="00A6087F">
        <w:t>Planning and transport</w:t>
      </w:r>
      <w:bookmarkEnd w:id="20"/>
    </w:p>
    <w:p w14:paraId="4F2858F9" w14:textId="77777777" w:rsidR="003B5DB3" w:rsidRPr="00A6087F" w:rsidRDefault="00512121" w:rsidP="003B5DB3">
      <w:pPr>
        <w:pStyle w:val="Wellbeingdomains"/>
      </w:pPr>
      <w:r w:rsidRPr="00A6087F">
        <w:t xml:space="preserve">Wellbeing Domain </w:t>
      </w:r>
      <w:r w:rsidR="004236E7" w:rsidRPr="00A6087F">
        <w:t>1: Access &amp; Connectivity</w:t>
      </w:r>
    </w:p>
    <w:p w14:paraId="354F8518" w14:textId="77777777" w:rsidR="003B5DB3" w:rsidRPr="00A6087F" w:rsidRDefault="000E04ED" w:rsidP="003B5DB3">
      <w:pPr>
        <w:pStyle w:val="Wellbeingdomains"/>
      </w:pPr>
      <w:r w:rsidRPr="00A6087F">
        <w:t>Wellbeing Domain 11: Social Connection</w:t>
      </w:r>
    </w:p>
    <w:p w14:paraId="0ECE5698" w14:textId="06242FEF" w:rsidR="008B2B1F" w:rsidRPr="00A6087F" w:rsidRDefault="000E04ED" w:rsidP="003B5DB3">
      <w:pPr>
        <w:pStyle w:val="Wellbeingdomains"/>
        <w:spacing w:after="240"/>
      </w:pPr>
      <w:r w:rsidRPr="00A6087F">
        <w:t>Wellbeing Domain 12: Time</w:t>
      </w:r>
    </w:p>
    <w:p w14:paraId="26C519AE" w14:textId="57D1F52E" w:rsidR="00640441" w:rsidRPr="00A6087F" w:rsidRDefault="008B2B1F" w:rsidP="003B5DB3">
      <w:pPr>
        <w:pStyle w:val="BodyText"/>
      </w:pPr>
      <w:r w:rsidRPr="00A6087F">
        <w:t>Population projections indicate our city will need to support over 600,000 people by 2050</w:t>
      </w:r>
      <w:r w:rsidR="00B61BF6" w:rsidRPr="00A6087F">
        <w:t>.</w:t>
      </w:r>
      <w:r w:rsidR="00B61BF6" w:rsidRPr="00A6087F">
        <w:rPr>
          <w:rStyle w:val="FootnoteReference"/>
        </w:rPr>
        <w:footnoteReference w:id="90"/>
      </w:r>
      <w:r w:rsidR="004D0A3E" w:rsidRPr="00A6087F">
        <w:t xml:space="preserve"> There is a growing body of evidence that links well-planned cities to good health, wellbeing, human </w:t>
      </w:r>
      <w:r w:rsidR="00125730" w:rsidRPr="00A6087F">
        <w:t>rights,</w:t>
      </w:r>
      <w:r w:rsidR="004D0A3E" w:rsidRPr="00A6087F">
        <w:t xml:space="preserve"> and social justice outcomes.</w:t>
      </w:r>
      <w:r w:rsidR="004D0A3E" w:rsidRPr="00A6087F">
        <w:rPr>
          <w:rStyle w:val="FootnoteReference"/>
        </w:rPr>
        <w:footnoteReference w:id="91"/>
      </w:r>
      <w:r w:rsidR="00E6469B" w:rsidRPr="00A6087F">
        <w:t xml:space="preserve"> Similarly, there is a well-established relationship between </w:t>
      </w:r>
      <w:r w:rsidR="00C44202" w:rsidRPr="00A6087F">
        <w:t>transport disadvantage, social exclusion and poor health and wellbeing outcomes.</w:t>
      </w:r>
      <w:r w:rsidR="00C44202" w:rsidRPr="00A6087F">
        <w:rPr>
          <w:rStyle w:val="FootnoteReference"/>
        </w:rPr>
        <w:footnoteReference w:id="92"/>
      </w:r>
      <w:r w:rsidR="000239CC" w:rsidRPr="00A6087F">
        <w:t xml:space="preserve"> </w:t>
      </w:r>
      <w:r w:rsidR="007002AD" w:rsidRPr="00A6087F">
        <w:t>In Canberra, t</w:t>
      </w:r>
      <w:r w:rsidR="00640441" w:rsidRPr="00A6087F">
        <w:t xml:space="preserve">ransport and </w:t>
      </w:r>
      <w:r w:rsidR="00563F90" w:rsidRPr="00A6087F">
        <w:t>automotive fuel have seen th</w:t>
      </w:r>
      <w:r w:rsidR="007002AD" w:rsidRPr="00A6087F">
        <w:t>e biggest increases in cost over the last five years</w:t>
      </w:r>
      <w:r w:rsidR="003C3338" w:rsidRPr="00A6087F">
        <w:t>, and transport remains the third highest category</w:t>
      </w:r>
      <w:r w:rsidR="00B44DBF" w:rsidRPr="00A6087F">
        <w:t xml:space="preserve"> of expenditure for low</w:t>
      </w:r>
      <w:r w:rsidR="00152D20" w:rsidRPr="00A6087F">
        <w:t>-</w:t>
      </w:r>
      <w:r w:rsidR="00B44DBF" w:rsidRPr="00A6087F">
        <w:t>income households</w:t>
      </w:r>
      <w:r w:rsidR="00DD26CB" w:rsidRPr="00A6087F">
        <w:t xml:space="preserve"> after housing and food.</w:t>
      </w:r>
      <w:r w:rsidR="00DD26CB" w:rsidRPr="00A6087F">
        <w:rPr>
          <w:rStyle w:val="FootnoteReference"/>
        </w:rPr>
        <w:footnoteReference w:id="93"/>
      </w:r>
    </w:p>
    <w:p w14:paraId="5CEE8524" w14:textId="56AF82EF" w:rsidR="00104463" w:rsidRPr="00A6087F" w:rsidRDefault="00345717" w:rsidP="003B5DB3">
      <w:pPr>
        <w:pStyle w:val="BodyText"/>
      </w:pPr>
      <w:r w:rsidRPr="00A6087F">
        <w:t>To ensure fairness and equity in all planning and transport policy and processes, the ACT Government must:</w:t>
      </w:r>
    </w:p>
    <w:p w14:paraId="6C7837E3" w14:textId="17D27DAA" w:rsidR="00EC3CFA" w:rsidRPr="00A6087F" w:rsidRDefault="07359B65" w:rsidP="3107ABEB">
      <w:pPr>
        <w:pStyle w:val="ListBullet"/>
        <w:tabs>
          <w:tab w:val="num" w:pos="567"/>
        </w:tabs>
      </w:pPr>
      <w:r w:rsidRPr="00A6087F">
        <w:t>Develop a policy framework and investment model for the long-term provision of community facilities across the ACT</w:t>
      </w:r>
    </w:p>
    <w:p w14:paraId="45B06FF3" w14:textId="6FC3D225" w:rsidR="00EC3CFA" w:rsidRPr="00A6087F" w:rsidRDefault="14F84397" w:rsidP="3107ABEB">
      <w:pPr>
        <w:pStyle w:val="ListBullet"/>
        <w:tabs>
          <w:tab w:val="num" w:pos="567"/>
        </w:tabs>
      </w:pPr>
      <w:r w:rsidRPr="00A6087F">
        <w:t>Require developers to build community infrastructure into new developments</w:t>
      </w:r>
    </w:p>
    <w:p w14:paraId="4AE5EFC7" w14:textId="12501D60" w:rsidR="00EC3CFA" w:rsidRPr="00A6087F" w:rsidRDefault="14F84397" w:rsidP="3107ABEB">
      <w:pPr>
        <w:pStyle w:val="ListBullet"/>
        <w:tabs>
          <w:tab w:val="num" w:pos="567"/>
        </w:tabs>
      </w:pPr>
      <w:r w:rsidRPr="00A6087F">
        <w:t>Fund a transport needs analysis</w:t>
      </w:r>
    </w:p>
    <w:p w14:paraId="300A1AC9" w14:textId="5C8EAFE6" w:rsidR="00991DFF" w:rsidRPr="00A6087F" w:rsidRDefault="0CAFA945" w:rsidP="3107ABEB">
      <w:pPr>
        <w:pStyle w:val="ListBullet"/>
        <w:tabs>
          <w:tab w:val="num" w:pos="567"/>
        </w:tabs>
      </w:pPr>
      <w:r w:rsidRPr="00A6087F">
        <w:t>Guarantee and adequately fund on-demand transport (like community transport) as well as mass transit (like public transport)</w:t>
      </w:r>
    </w:p>
    <w:p w14:paraId="3DC8D2B3" w14:textId="5C4AF30A" w:rsidR="00D46A4E" w:rsidRPr="00A6087F" w:rsidRDefault="114853D1" w:rsidP="002F4154">
      <w:pPr>
        <w:pStyle w:val="ListBullet"/>
        <w:tabs>
          <w:tab w:val="num" w:pos="567"/>
        </w:tabs>
      </w:pPr>
      <w:r w:rsidRPr="00A6087F">
        <w:t>Extend transport concessions and lift the cap on the Tax</w:t>
      </w:r>
      <w:r w:rsidR="76C4E1AB" w:rsidRPr="00A6087F">
        <w:t>i</w:t>
      </w:r>
      <w:r w:rsidRPr="00A6087F">
        <w:t xml:space="preserve"> Subsidy Scheme</w:t>
      </w:r>
    </w:p>
    <w:p w14:paraId="316147C0" w14:textId="45C4B5A1" w:rsidR="008E4B4B" w:rsidRPr="00A6087F" w:rsidRDefault="008E4B4B" w:rsidP="002F4154">
      <w:pPr>
        <w:pStyle w:val="ListBullet"/>
        <w:tabs>
          <w:tab w:val="num" w:pos="567"/>
        </w:tabs>
      </w:pPr>
      <w:r w:rsidRPr="00A6087F">
        <w:t xml:space="preserve">Review provision </w:t>
      </w:r>
      <w:r w:rsidR="007900F5" w:rsidRPr="00A6087F">
        <w:t>of public transport, including the option of trialling free public transport and evaluating its distributional impact</w:t>
      </w:r>
      <w:r w:rsidR="0012739B" w:rsidRPr="00A6087F">
        <w:t>.</w:t>
      </w:r>
    </w:p>
    <w:sectPr w:rsidR="008E4B4B" w:rsidRPr="00A6087F" w:rsidSect="007D3104">
      <w:footerReference w:type="even" r:id="rId59"/>
      <w:footerReference w:type="default" r:id="rId60"/>
      <w:endnotePr>
        <w:numFmt w:val="decimal"/>
      </w:endnotePr>
      <w:type w:val="continuous"/>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A3BCB" w14:textId="77777777" w:rsidR="0020685F" w:rsidRDefault="0020685F">
      <w:r>
        <w:separator/>
      </w:r>
    </w:p>
  </w:endnote>
  <w:endnote w:type="continuationSeparator" w:id="0">
    <w:p w14:paraId="534E88BC" w14:textId="77777777" w:rsidR="0020685F" w:rsidRDefault="0020685F">
      <w:r>
        <w:continuationSeparator/>
      </w:r>
    </w:p>
  </w:endnote>
  <w:endnote w:type="continuationNotice" w:id="1">
    <w:p w14:paraId="6D386C00" w14:textId="77777777" w:rsidR="0020685F" w:rsidRDefault="002068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FUI-Regular">
    <w:altName w:val="Cambria"/>
    <w:charset w:val="00"/>
    <w:family w:val="roman"/>
    <w:pitch w:val="default"/>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FAAB9" w14:textId="77777777" w:rsidR="00F30767" w:rsidRDefault="00F30767"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257F27" w14:textId="77777777" w:rsidR="00F30767" w:rsidRDefault="00F307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985CB" w14:textId="77777777" w:rsidR="00F30767" w:rsidRDefault="00F30767"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2F3E">
      <w:rPr>
        <w:rStyle w:val="PageNumber"/>
        <w:noProof/>
      </w:rPr>
      <w:t>6</w:t>
    </w:r>
    <w:r>
      <w:rPr>
        <w:rStyle w:val="PageNumber"/>
      </w:rPr>
      <w:fldChar w:fldCharType="end"/>
    </w:r>
  </w:p>
  <w:p w14:paraId="4C0EA0A0" w14:textId="77777777" w:rsidR="00F30767" w:rsidRDefault="00F30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BF2D8" w14:textId="77777777" w:rsidR="0020685F" w:rsidRDefault="0020685F">
      <w:r>
        <w:separator/>
      </w:r>
    </w:p>
  </w:footnote>
  <w:footnote w:type="continuationSeparator" w:id="0">
    <w:p w14:paraId="355C714D" w14:textId="77777777" w:rsidR="0020685F" w:rsidRDefault="0020685F">
      <w:r>
        <w:continuationSeparator/>
      </w:r>
    </w:p>
  </w:footnote>
  <w:footnote w:type="continuationNotice" w:id="1">
    <w:p w14:paraId="04A1F9EA" w14:textId="77777777" w:rsidR="0020685F" w:rsidRDefault="0020685F"/>
  </w:footnote>
  <w:footnote w:id="2">
    <w:p w14:paraId="4EAEDB16" w14:textId="0B38A7CD" w:rsidR="008E7230" w:rsidRDefault="008E7230">
      <w:pPr>
        <w:pStyle w:val="FootnoteText"/>
      </w:pPr>
      <w:r w:rsidRPr="00780B0C">
        <w:footnoteRef/>
      </w:r>
      <w:r w:rsidRPr="00780B0C">
        <w:t xml:space="preserve"> </w:t>
      </w:r>
      <w:r w:rsidR="00780B0C">
        <w:tab/>
      </w:r>
      <w:r>
        <w:t xml:space="preserve">ACTCOSS, </w:t>
      </w:r>
      <w:hyperlink r:id="rId1" w:history="1">
        <w:r w:rsidRPr="001903B5">
          <w:rPr>
            <w:rStyle w:val="Hyperlink"/>
            <w:i/>
            <w:iCs/>
          </w:rPr>
          <w:t>2022 ACT Cost of Living Report</w:t>
        </w:r>
      </w:hyperlink>
      <w:r>
        <w:t>, ACTCOSS, Canberra, May 2022, accessed 13 May 2022</w:t>
      </w:r>
      <w:r w:rsidR="00411D17">
        <w:t>.</w:t>
      </w:r>
    </w:p>
  </w:footnote>
  <w:footnote w:id="3">
    <w:p w14:paraId="377995CF" w14:textId="7FB92D57" w:rsidR="004666D9" w:rsidRDefault="004666D9">
      <w:pPr>
        <w:pStyle w:val="FootnoteText"/>
      </w:pPr>
      <w:r w:rsidRPr="00780B0C">
        <w:footnoteRef/>
      </w:r>
      <w:r w:rsidRPr="00780B0C">
        <w:t xml:space="preserve"> </w:t>
      </w:r>
      <w:r w:rsidR="00780B0C">
        <w:tab/>
      </w:r>
      <w:r w:rsidRPr="00780B0C">
        <w:t>P</w:t>
      </w:r>
      <w:r w:rsidRPr="004666D9">
        <w:t xml:space="preserve">roductivity Commission, ‘Table GA.3 Proportion of lower income private rental households paying more than 30 per cent of income on housing costs, by State and Territory’ [data tables], </w:t>
      </w:r>
      <w:hyperlink r:id="rId2" w:history="1">
        <w:r w:rsidRPr="00782AE1">
          <w:rPr>
            <w:rStyle w:val="Hyperlink"/>
            <w:i/>
          </w:rPr>
          <w:t>Report on Government Services 2021: G Housing and homelessness</w:t>
        </w:r>
      </w:hyperlink>
      <w:r w:rsidRPr="004666D9">
        <w:t>, Productivity Commission, 2021, accessed 22 June 2021.</w:t>
      </w:r>
    </w:p>
  </w:footnote>
  <w:footnote w:id="4">
    <w:p w14:paraId="68DB682D" w14:textId="6F2BE6E4" w:rsidR="008E7230" w:rsidRDefault="008E7230">
      <w:pPr>
        <w:pStyle w:val="FootnoteText"/>
      </w:pPr>
      <w:r w:rsidRPr="00017BB3">
        <w:footnoteRef/>
      </w:r>
      <w:r w:rsidRPr="00017BB3">
        <w:t xml:space="preserve"> </w:t>
      </w:r>
      <w:r w:rsidR="00017BB3">
        <w:tab/>
      </w:r>
      <w:r>
        <w:t xml:space="preserve">ACTCOSS, </w:t>
      </w:r>
      <w:hyperlink r:id="rId3" w:history="1">
        <w:r w:rsidRPr="00FC72B2">
          <w:rPr>
            <w:rStyle w:val="Hyperlink"/>
            <w:i/>
            <w:iCs/>
          </w:rPr>
          <w:t>Food security, food assistance and the affordability of healthy food in Canberra</w:t>
        </w:r>
      </w:hyperlink>
      <w:r>
        <w:t>, ACTCOSS, Canberra, May 2019, accessed 13 May 2022</w:t>
      </w:r>
      <w:r w:rsidR="00411D17">
        <w:t>.</w:t>
      </w:r>
    </w:p>
  </w:footnote>
  <w:footnote w:id="5">
    <w:p w14:paraId="7D9A7694" w14:textId="5C7AECAF" w:rsidR="00E13467" w:rsidRDefault="00E13467">
      <w:pPr>
        <w:pStyle w:val="FootnoteText"/>
      </w:pPr>
      <w:r w:rsidRPr="00017BB3">
        <w:footnoteRef/>
      </w:r>
      <w:r w:rsidRPr="00017BB3">
        <w:t xml:space="preserve"> </w:t>
      </w:r>
      <w:r w:rsidR="00017BB3">
        <w:tab/>
      </w:r>
      <w:r w:rsidR="00241700" w:rsidRPr="00241700">
        <w:t xml:space="preserve">ABS, ‘Table 12.3 Housing Costs as a Proportion of Gross Household Income, Selected household characteristics, States, and territories, 2017–18’, </w:t>
      </w:r>
      <w:hyperlink r:id="rId4" w:history="1">
        <w:r w:rsidR="00241700" w:rsidRPr="00782AE1">
          <w:rPr>
            <w:rStyle w:val="Hyperlink"/>
            <w:i/>
          </w:rPr>
          <w:t>Housing Occupancy and Costs, 2017-18 financial year</w:t>
        </w:r>
      </w:hyperlink>
      <w:r w:rsidR="00241700" w:rsidRPr="00241700">
        <w:t>, ABS, 2019, accessed 8 July 2021.</w:t>
      </w:r>
    </w:p>
  </w:footnote>
  <w:footnote w:id="6">
    <w:p w14:paraId="47E949C2" w14:textId="48F446BD" w:rsidR="008A1D57" w:rsidRDefault="008A1D57">
      <w:pPr>
        <w:pStyle w:val="FootnoteText"/>
      </w:pPr>
      <w:r w:rsidRPr="00BB5075">
        <w:footnoteRef/>
      </w:r>
      <w:r w:rsidR="00BB5075">
        <w:t xml:space="preserve"> </w:t>
      </w:r>
      <w:r w:rsidR="00BB5075">
        <w:tab/>
      </w:r>
      <w:r w:rsidRPr="00535406">
        <w:t xml:space="preserve">ACTCOSS, </w:t>
      </w:r>
      <w:hyperlink r:id="rId5" w:history="1">
        <w:r w:rsidRPr="00381CFC">
          <w:rPr>
            <w:rStyle w:val="Hyperlink"/>
            <w:i/>
            <w:iCs/>
          </w:rPr>
          <w:t xml:space="preserve">2021 ACT </w:t>
        </w:r>
        <w:r w:rsidR="00437D08">
          <w:rPr>
            <w:rStyle w:val="Hyperlink"/>
            <w:i/>
            <w:iCs/>
          </w:rPr>
          <w:t>C</w:t>
        </w:r>
        <w:r w:rsidRPr="00381CFC">
          <w:rPr>
            <w:rStyle w:val="Hyperlink"/>
            <w:i/>
            <w:iCs/>
          </w:rPr>
          <w:t xml:space="preserve">ommunity </w:t>
        </w:r>
        <w:r w:rsidR="00437D08">
          <w:rPr>
            <w:rStyle w:val="Hyperlink"/>
            <w:i/>
            <w:iCs/>
          </w:rPr>
          <w:t>S</w:t>
        </w:r>
        <w:r w:rsidRPr="00381CFC">
          <w:rPr>
            <w:rStyle w:val="Hyperlink"/>
            <w:i/>
            <w:iCs/>
          </w:rPr>
          <w:t xml:space="preserve">ector </w:t>
        </w:r>
        <w:r w:rsidR="00437D08">
          <w:rPr>
            <w:rStyle w:val="Hyperlink"/>
            <w:i/>
            <w:iCs/>
          </w:rPr>
          <w:t>D</w:t>
        </w:r>
        <w:r w:rsidRPr="00381CFC">
          <w:rPr>
            <w:rStyle w:val="Hyperlink"/>
            <w:i/>
            <w:iCs/>
          </w:rPr>
          <w:t xml:space="preserve">emand </w:t>
        </w:r>
        <w:r w:rsidR="00437D08">
          <w:rPr>
            <w:rStyle w:val="Hyperlink"/>
            <w:i/>
            <w:iCs/>
          </w:rPr>
          <w:t>S</w:t>
        </w:r>
        <w:r w:rsidRPr="00381CFC">
          <w:rPr>
            <w:rStyle w:val="Hyperlink"/>
            <w:i/>
            <w:iCs/>
          </w:rPr>
          <w:t>napshot</w:t>
        </w:r>
      </w:hyperlink>
      <w:r w:rsidRPr="00535406">
        <w:t>, ACTCOSS, 2021, accessed 2 May 2022.</w:t>
      </w:r>
    </w:p>
  </w:footnote>
  <w:footnote w:id="7">
    <w:p w14:paraId="6E1D569B" w14:textId="7338E237" w:rsidR="008A1D57" w:rsidRDefault="008A1D57" w:rsidP="00932F06">
      <w:pPr>
        <w:pStyle w:val="FootnoteText"/>
      </w:pPr>
      <w:r w:rsidRPr="00BB5075">
        <w:footnoteRef/>
      </w:r>
      <w:r w:rsidRPr="00BB5075">
        <w:t xml:space="preserve"> </w:t>
      </w:r>
      <w:r w:rsidR="00BB5075">
        <w:tab/>
      </w:r>
      <w:r w:rsidRPr="00141DB1">
        <w:t xml:space="preserve">Productivity Commission, ‘Table GA.3 Proportion of lower income private rental households paying more than 30 per cent of income on housing costs, by State and Territory’ [data tables], </w:t>
      </w:r>
      <w:hyperlink r:id="rId6" w:history="1">
        <w:r w:rsidRPr="008278E0">
          <w:rPr>
            <w:rStyle w:val="Hyperlink"/>
            <w:i/>
            <w:iCs/>
          </w:rPr>
          <w:t>Report on Government Services 2021: G Housing and homelessness</w:t>
        </w:r>
      </w:hyperlink>
      <w:r w:rsidRPr="00141DB1">
        <w:t>, Productivity Commission, 2021, accessed 22 June 2021.</w:t>
      </w:r>
    </w:p>
  </w:footnote>
  <w:footnote w:id="8">
    <w:p w14:paraId="666678A8" w14:textId="1BB1E254" w:rsidR="008A1D57" w:rsidRDefault="008A1D57" w:rsidP="00932F06">
      <w:pPr>
        <w:pStyle w:val="FootnoteText"/>
      </w:pPr>
      <w:r w:rsidRPr="004F51E1">
        <w:footnoteRef/>
      </w:r>
      <w:r w:rsidRPr="004F51E1">
        <w:t xml:space="preserve"> </w:t>
      </w:r>
      <w:r w:rsidR="004F51E1">
        <w:tab/>
      </w:r>
      <w:r w:rsidRPr="0095776A">
        <w:t xml:space="preserve">Everybody’s Home, </w:t>
      </w:r>
      <w:hyperlink r:id="rId7" w:history="1">
        <w:r w:rsidRPr="00C6702B">
          <w:rPr>
            <w:rStyle w:val="Hyperlink"/>
            <w:i/>
            <w:iCs/>
          </w:rPr>
          <w:t>Young Australians crunched by housing crisis</w:t>
        </w:r>
      </w:hyperlink>
      <w:r w:rsidRPr="0095776A">
        <w:t>, Everybody’s Home website, 20 April 2022, accessed 21 April 2022.</w:t>
      </w:r>
    </w:p>
  </w:footnote>
  <w:footnote w:id="9">
    <w:p w14:paraId="533B8B78" w14:textId="0AA5E5FE" w:rsidR="004727B3" w:rsidRDefault="004727B3">
      <w:pPr>
        <w:pStyle w:val="FootnoteText"/>
      </w:pPr>
      <w:r w:rsidRPr="00DD698D">
        <w:footnoteRef/>
      </w:r>
      <w:r w:rsidRPr="00DD698D">
        <w:t xml:space="preserve"> </w:t>
      </w:r>
      <w:r w:rsidR="00DD698D">
        <w:tab/>
      </w:r>
      <w:r w:rsidRPr="00DA70B2">
        <w:rPr>
          <w:szCs w:val="18"/>
        </w:rPr>
        <w:t xml:space="preserve">L Troy, R van den </w:t>
      </w:r>
      <w:proofErr w:type="spellStart"/>
      <w:r w:rsidRPr="00DA70B2">
        <w:rPr>
          <w:szCs w:val="18"/>
        </w:rPr>
        <w:t>Nouwelant</w:t>
      </w:r>
      <w:proofErr w:type="spellEnd"/>
      <w:r w:rsidRPr="00DA70B2">
        <w:rPr>
          <w:szCs w:val="18"/>
        </w:rPr>
        <w:t xml:space="preserve"> &amp; B Randolph, </w:t>
      </w:r>
      <w:hyperlink r:id="rId8" w:history="1">
        <w:r w:rsidRPr="002E74AF">
          <w:rPr>
            <w:rStyle w:val="Hyperlink"/>
            <w:i/>
            <w:iCs/>
          </w:rPr>
          <w:t>Estimating need and costs of social and affordable housing deliver</w:t>
        </w:r>
        <w:r w:rsidR="00EF1275">
          <w:rPr>
            <w:rStyle w:val="Hyperlink"/>
            <w:i/>
            <w:iCs/>
          </w:rPr>
          <w:t xml:space="preserve">y </w:t>
        </w:r>
        <w:r w:rsidR="00EF1275" w:rsidRPr="00EF1275">
          <w:rPr>
            <w:rStyle w:val="Hyperlink"/>
            <w:iCs/>
          </w:rPr>
          <w:t>[PDF]</w:t>
        </w:r>
      </w:hyperlink>
      <w:r w:rsidRPr="00DA70B2">
        <w:rPr>
          <w:szCs w:val="18"/>
        </w:rPr>
        <w:t>, UNSW City Futures Research Centre, Sydney, 2019, p 3, accessed 29 March 2022.</w:t>
      </w:r>
    </w:p>
  </w:footnote>
  <w:footnote w:id="10">
    <w:p w14:paraId="142798E7" w14:textId="6D70DCD5" w:rsidR="003852EE" w:rsidRDefault="003852EE">
      <w:pPr>
        <w:pStyle w:val="FootnoteText"/>
      </w:pPr>
      <w:r w:rsidRPr="002E74AF">
        <w:footnoteRef/>
      </w:r>
      <w:r w:rsidRPr="002E74AF">
        <w:t xml:space="preserve"> </w:t>
      </w:r>
      <w:bookmarkStart w:id="4" w:name="_Hlk103699203"/>
      <w:r w:rsidR="002E74AF">
        <w:tab/>
      </w:r>
      <w:r w:rsidR="00CA66FF">
        <w:t>Community Housing Industry Association ACT</w:t>
      </w:r>
      <w:r w:rsidR="00B50DCB">
        <w:t xml:space="preserve"> (CHIA ACT)</w:t>
      </w:r>
      <w:r w:rsidR="00CA66FF">
        <w:t xml:space="preserve">, </w:t>
      </w:r>
      <w:r w:rsidR="00CA66FF" w:rsidRPr="007F55A4">
        <w:rPr>
          <w:i/>
          <w:iCs/>
        </w:rPr>
        <w:t>Community Housing Industry Association (ACT Region) Policy Statement 2022</w:t>
      </w:r>
      <w:r w:rsidR="00CA66FF">
        <w:t>, CHIA ACT, Canberra, 2022</w:t>
      </w:r>
      <w:bookmarkEnd w:id="4"/>
      <w:r w:rsidR="00CA66FF">
        <w:t>. Note: t</w:t>
      </w:r>
      <w:r w:rsidR="003D150E">
        <w:t xml:space="preserve">he total </w:t>
      </w:r>
      <w:r w:rsidR="00741CF5">
        <w:t>‘</w:t>
      </w:r>
      <w:r w:rsidR="003D150E">
        <w:t xml:space="preserve">cost </w:t>
      </w:r>
      <w:r w:rsidR="00741CF5">
        <w:t xml:space="preserve">to </w:t>
      </w:r>
      <w:r w:rsidR="00A16CDC">
        <w:t>g</w:t>
      </w:r>
      <w:r w:rsidR="003D150E">
        <w:t>overnment’</w:t>
      </w:r>
      <w:r w:rsidR="00EA1371">
        <w:t xml:space="preserve"> is </w:t>
      </w:r>
      <w:r w:rsidR="00C84ECE">
        <w:t xml:space="preserve">calculated </w:t>
      </w:r>
      <w:r w:rsidR="00EA1371">
        <w:t xml:space="preserve">based </w:t>
      </w:r>
      <w:proofErr w:type="gramStart"/>
      <w:r w:rsidR="00EA1371">
        <w:t>on:</w:t>
      </w:r>
      <w:proofErr w:type="gramEnd"/>
      <w:r w:rsidR="00EA1371">
        <w:t xml:space="preserve"> </w:t>
      </w:r>
      <w:r w:rsidR="00672CA2">
        <w:t>land transfers, reduced land cost</w:t>
      </w:r>
      <w:r w:rsidR="003C2D1B">
        <w:t xml:space="preserve"> or a co-investment mechanism; </w:t>
      </w:r>
      <w:r w:rsidR="00AB122A">
        <w:t xml:space="preserve">full Lease Variation Charge exemption; </w:t>
      </w:r>
      <w:r w:rsidR="009213C8">
        <w:t xml:space="preserve">rates exemption; </w:t>
      </w:r>
      <w:r w:rsidR="00954ACC">
        <w:t xml:space="preserve">an uncapped land tax exemption program; </w:t>
      </w:r>
      <w:r w:rsidR="006150B0">
        <w:t xml:space="preserve">and top-up funding to </w:t>
      </w:r>
      <w:r w:rsidR="00811970">
        <w:t>c</w:t>
      </w:r>
      <w:r w:rsidR="006150B0">
        <w:t xml:space="preserve">ommunity </w:t>
      </w:r>
      <w:r w:rsidR="00811970">
        <w:t>h</w:t>
      </w:r>
      <w:r w:rsidR="006150B0">
        <w:t xml:space="preserve">ousing </w:t>
      </w:r>
      <w:r w:rsidR="00811970">
        <w:t>p</w:t>
      </w:r>
      <w:r w:rsidR="006150B0">
        <w:t>roviders to subsidise landlords of privately owned properties whom rent properties below market rates for people on lower incomes.</w:t>
      </w:r>
      <w:r w:rsidR="0071514C">
        <w:t xml:space="preserve"> </w:t>
      </w:r>
    </w:p>
  </w:footnote>
  <w:footnote w:id="11">
    <w:p w14:paraId="64BFE611" w14:textId="0AAF4D7D" w:rsidR="004E44AD" w:rsidRPr="00822B41" w:rsidRDefault="004E44AD">
      <w:pPr>
        <w:pStyle w:val="FootnoteText"/>
      </w:pPr>
      <w:r w:rsidRPr="00811970">
        <w:footnoteRef/>
      </w:r>
      <w:r w:rsidRPr="00811970">
        <w:t xml:space="preserve"> </w:t>
      </w:r>
      <w:r w:rsidR="00811970">
        <w:tab/>
      </w:r>
      <w:r w:rsidR="00822B41">
        <w:t xml:space="preserve">ACT Long Service Leave Authority, </w:t>
      </w:r>
      <w:hyperlink r:id="rId9" w:history="1">
        <w:r w:rsidR="00822B41" w:rsidRPr="00822B41">
          <w:rPr>
            <w:rStyle w:val="Hyperlink"/>
            <w:i/>
            <w:iCs/>
          </w:rPr>
          <w:t>Industry Workforce Analysis: Community Secto</w:t>
        </w:r>
        <w:r w:rsidR="00EF1275">
          <w:rPr>
            <w:rStyle w:val="Hyperlink"/>
            <w:i/>
            <w:iCs/>
          </w:rPr>
          <w:t xml:space="preserve">r </w:t>
        </w:r>
        <w:r w:rsidR="00EF1275" w:rsidRPr="00EF1275">
          <w:rPr>
            <w:rStyle w:val="Hyperlink"/>
          </w:rPr>
          <w:t>[PDF]</w:t>
        </w:r>
      </w:hyperlink>
      <w:r w:rsidR="00822B41">
        <w:t xml:space="preserve">, Insight Consulting, </w:t>
      </w:r>
      <w:r w:rsidR="00811970">
        <w:t xml:space="preserve">2019, </w:t>
      </w:r>
      <w:r w:rsidR="00822B41">
        <w:t>accessed 13 May 2022.</w:t>
      </w:r>
    </w:p>
  </w:footnote>
  <w:footnote w:id="12">
    <w:p w14:paraId="5EA4AC0F" w14:textId="768F810A" w:rsidR="004B0B1B" w:rsidRPr="000310D2" w:rsidRDefault="004B0B1B">
      <w:pPr>
        <w:pStyle w:val="FootnoteText"/>
      </w:pPr>
      <w:r w:rsidRPr="00EF1275">
        <w:footnoteRef/>
      </w:r>
      <w:r w:rsidRPr="00EF1275">
        <w:t xml:space="preserve"> </w:t>
      </w:r>
      <w:r w:rsidR="00EF1275">
        <w:tab/>
      </w:r>
      <w:r w:rsidR="00180461">
        <w:t>Tourism Research Australia</w:t>
      </w:r>
      <w:r w:rsidR="000310D2">
        <w:t xml:space="preserve">, </w:t>
      </w:r>
      <w:hyperlink r:id="rId10" w:anchor=":~:text=Tourism%20directly%20employed%20621%2C100%20people%20in%202019%E2%80%9320.%20This,Indirect%20employment%20declined%20more%20sharply%20than%20direct%20employment." w:history="1">
        <w:r w:rsidR="000310D2" w:rsidRPr="004E44AD">
          <w:rPr>
            <w:rStyle w:val="Hyperlink"/>
            <w:i/>
            <w:iCs/>
          </w:rPr>
          <w:t>State Tourism Satellite Account 2019-20</w:t>
        </w:r>
      </w:hyperlink>
      <w:r w:rsidR="000310D2">
        <w:t xml:space="preserve">, Australian Trade and Investment Commission, </w:t>
      </w:r>
      <w:r w:rsidR="00EF1275">
        <w:t xml:space="preserve">2022, </w:t>
      </w:r>
      <w:r w:rsidR="000310D2">
        <w:t>accessed 13 May 2022.</w:t>
      </w:r>
    </w:p>
  </w:footnote>
  <w:footnote w:id="13">
    <w:p w14:paraId="2DE169A5" w14:textId="37FB215D" w:rsidR="001775E6" w:rsidRDefault="001775E6">
      <w:pPr>
        <w:pStyle w:val="FootnoteText"/>
      </w:pPr>
      <w:r w:rsidRPr="00FB1E97">
        <w:footnoteRef/>
      </w:r>
      <w:r w:rsidRPr="00FB1E97">
        <w:t xml:space="preserve"> </w:t>
      </w:r>
      <w:r w:rsidR="00FB1E97">
        <w:tab/>
        <w:t xml:space="preserve">N </w:t>
      </w:r>
      <w:proofErr w:type="spellStart"/>
      <w:r w:rsidR="00FB1E97" w:rsidRPr="00FB1E97">
        <w:t>Cortis</w:t>
      </w:r>
      <w:proofErr w:type="spellEnd"/>
      <w:r w:rsidR="00FB1E97" w:rsidRPr="00FB1E97">
        <w:t xml:space="preserve">, </w:t>
      </w:r>
      <w:r w:rsidR="006646CE">
        <w:t xml:space="preserve">M </w:t>
      </w:r>
      <w:r w:rsidR="00FB1E97" w:rsidRPr="00FB1E97">
        <w:t>Blaxland</w:t>
      </w:r>
      <w:r w:rsidR="006646CE">
        <w:t xml:space="preserve"> &amp; E</w:t>
      </w:r>
      <w:r w:rsidR="00FB1E97" w:rsidRPr="00FB1E97">
        <w:t xml:space="preserve"> Adamson, </w:t>
      </w:r>
      <w:hyperlink r:id="rId11" w:history="1">
        <w:r w:rsidR="00FB1E97" w:rsidRPr="00ED258F">
          <w:rPr>
            <w:rStyle w:val="Hyperlink"/>
            <w:i/>
            <w:iCs/>
          </w:rPr>
          <w:t>Counting the Costs: Sustainable funding for the ACT community services sector</w:t>
        </w:r>
      </w:hyperlink>
      <w:r w:rsidR="00FB1E97" w:rsidRPr="00FB1E97">
        <w:t xml:space="preserve">, commissioned by </w:t>
      </w:r>
      <w:r w:rsidR="00891FB6">
        <w:t>ACTCOSS</w:t>
      </w:r>
      <w:r w:rsidR="00FB1E97" w:rsidRPr="00FB1E97">
        <w:t xml:space="preserve"> and ACT Government, </w:t>
      </w:r>
      <w:r w:rsidR="006646CE">
        <w:t xml:space="preserve">2021, </w:t>
      </w:r>
      <w:r w:rsidR="00FB1E97" w:rsidRPr="00FB1E97">
        <w:t>accessed 12 May 2022.</w:t>
      </w:r>
    </w:p>
  </w:footnote>
  <w:footnote w:id="14">
    <w:p w14:paraId="4F243C17" w14:textId="20933AC4" w:rsidR="00E36D2F" w:rsidRDefault="00E36D2F">
      <w:pPr>
        <w:pStyle w:val="FootnoteText"/>
      </w:pPr>
      <w:r w:rsidRPr="00ED258F">
        <w:footnoteRef/>
      </w:r>
      <w:r w:rsidRPr="00ED258F">
        <w:t xml:space="preserve"> </w:t>
      </w:r>
      <w:r w:rsidR="00ED258F">
        <w:tab/>
      </w:r>
      <w:r w:rsidRPr="00ED258F">
        <w:t>A</w:t>
      </w:r>
      <w:r>
        <w:t xml:space="preserve">ustralian Government Productivity Commission, </w:t>
      </w:r>
      <w:hyperlink r:id="rId12" w:history="1">
        <w:r w:rsidRPr="00891FB6">
          <w:rPr>
            <w:rStyle w:val="Hyperlink"/>
            <w:i/>
            <w:iCs/>
          </w:rPr>
          <w:t>Report on Government Services: Community Services</w:t>
        </w:r>
      </w:hyperlink>
      <w:r>
        <w:t xml:space="preserve">, </w:t>
      </w:r>
      <w:r w:rsidR="00891FB6" w:rsidRPr="00ED258F">
        <w:t>A</w:t>
      </w:r>
      <w:r w:rsidR="00891FB6">
        <w:t>ustralian Government Productivity Commission</w:t>
      </w:r>
      <w:r w:rsidR="00891FB6">
        <w:t xml:space="preserve">, </w:t>
      </w:r>
      <w:r w:rsidR="00ED258F">
        <w:t xml:space="preserve">2022, </w:t>
      </w:r>
      <w:r>
        <w:t>accessed 25 January 2022.</w:t>
      </w:r>
    </w:p>
  </w:footnote>
  <w:footnote w:id="15">
    <w:p w14:paraId="24D06A85" w14:textId="33716126" w:rsidR="00D209E6" w:rsidRDefault="00D209E6">
      <w:pPr>
        <w:pStyle w:val="FootnoteText"/>
      </w:pPr>
      <w:r w:rsidRPr="00891FB6">
        <w:footnoteRef/>
      </w:r>
      <w:r w:rsidRPr="00891FB6">
        <w:t xml:space="preserve"> </w:t>
      </w:r>
      <w:r w:rsidR="00891FB6">
        <w:tab/>
      </w:r>
      <w:r>
        <w:rPr>
          <w:lang w:val="en-US"/>
        </w:rPr>
        <w:t>Australian Bureau of Statistics</w:t>
      </w:r>
      <w:r w:rsidR="005708E6">
        <w:rPr>
          <w:lang w:val="en-US"/>
        </w:rPr>
        <w:t xml:space="preserve"> (ABS)</w:t>
      </w:r>
      <w:r>
        <w:rPr>
          <w:lang w:val="en-US"/>
        </w:rPr>
        <w:t xml:space="preserve">, </w:t>
      </w:r>
      <w:hyperlink r:id="rId13" w:history="1">
        <w:r w:rsidRPr="00526013">
          <w:rPr>
            <w:rStyle w:val="Hyperlink"/>
            <w:lang w:val="en-US"/>
          </w:rPr>
          <w:t>Data by region: Aboriginal and Torres Strait Islander Peoples</w:t>
        </w:r>
      </w:hyperlink>
      <w:r>
        <w:rPr>
          <w:lang w:val="en-US"/>
        </w:rPr>
        <w:t xml:space="preserve">, </w:t>
      </w:r>
      <w:r w:rsidR="005708E6">
        <w:rPr>
          <w:lang w:val="en-US"/>
        </w:rPr>
        <w:t xml:space="preserve">ABS, 2019, </w:t>
      </w:r>
      <w:r>
        <w:rPr>
          <w:lang w:val="en-US"/>
        </w:rPr>
        <w:t>accessed 17 March 2022.</w:t>
      </w:r>
    </w:p>
  </w:footnote>
  <w:footnote w:id="16">
    <w:p w14:paraId="7469C615" w14:textId="127DB33F" w:rsidR="00B35DD3" w:rsidRDefault="00B35DD3" w:rsidP="00B35DD3">
      <w:pPr>
        <w:pStyle w:val="FootnoteText"/>
      </w:pPr>
      <w:r w:rsidRPr="00143139">
        <w:footnoteRef/>
      </w:r>
      <w:r w:rsidRPr="00143139">
        <w:t xml:space="preserve"> </w:t>
      </w:r>
      <w:r w:rsidR="00143139">
        <w:tab/>
      </w:r>
      <w:r w:rsidR="00143139">
        <w:rPr>
          <w:lang w:val="en-US"/>
        </w:rPr>
        <w:t>ABS</w:t>
      </w:r>
      <w:r>
        <w:rPr>
          <w:lang w:val="en-US"/>
        </w:rPr>
        <w:t xml:space="preserve">, </w:t>
      </w:r>
      <w:hyperlink r:id="rId14" w:history="1">
        <w:r w:rsidRPr="00821783">
          <w:rPr>
            <w:rStyle w:val="Hyperlink"/>
            <w:i/>
            <w:iCs/>
            <w:lang w:val="en-US"/>
          </w:rPr>
          <w:t>Prisoners in Australia</w:t>
        </w:r>
      </w:hyperlink>
      <w:r>
        <w:rPr>
          <w:lang w:val="en-US"/>
        </w:rPr>
        <w:t xml:space="preserve">, </w:t>
      </w:r>
      <w:r w:rsidR="00143139">
        <w:rPr>
          <w:lang w:val="en-US"/>
        </w:rPr>
        <w:t>ABS</w:t>
      </w:r>
      <w:r>
        <w:rPr>
          <w:lang w:val="en-US"/>
        </w:rPr>
        <w:t>, 2020</w:t>
      </w:r>
      <w:r w:rsidR="00EC1A03">
        <w:rPr>
          <w:lang w:val="en-US"/>
        </w:rPr>
        <w:t>,</w:t>
      </w:r>
      <w:r>
        <w:rPr>
          <w:lang w:val="en-US"/>
        </w:rPr>
        <w:t xml:space="preserve"> accessed 25 May 2021.</w:t>
      </w:r>
    </w:p>
  </w:footnote>
  <w:footnote w:id="17">
    <w:p w14:paraId="26E94C9C" w14:textId="231178F2" w:rsidR="00B35DD3" w:rsidRDefault="00B35DD3" w:rsidP="00B35DD3">
      <w:pPr>
        <w:pStyle w:val="FootnoteText"/>
      </w:pPr>
      <w:r w:rsidRPr="00CC4C33">
        <w:footnoteRef/>
      </w:r>
      <w:r w:rsidRPr="00CC4C33">
        <w:t xml:space="preserve"> </w:t>
      </w:r>
      <w:r w:rsidR="00CC4C33">
        <w:tab/>
      </w:r>
      <w:r>
        <w:rPr>
          <w:lang w:val="en-US"/>
        </w:rPr>
        <w:t xml:space="preserve">Australian Government, Australian Institute of Health and Welfare, </w:t>
      </w:r>
      <w:hyperlink r:id="rId15" w:history="1">
        <w:r w:rsidRPr="0060750D">
          <w:rPr>
            <w:rStyle w:val="Hyperlink"/>
            <w:i/>
            <w:iCs/>
            <w:lang w:val="en-US"/>
          </w:rPr>
          <w:t>Specialist Homelessness Services 2020-21: Australian Capital Territor</w:t>
        </w:r>
        <w:r w:rsidR="0060750D" w:rsidRPr="0060750D">
          <w:rPr>
            <w:rStyle w:val="Hyperlink"/>
            <w:i/>
            <w:iCs/>
            <w:lang w:val="en-US"/>
          </w:rPr>
          <w:t>y</w:t>
        </w:r>
        <w:r w:rsidR="0060750D" w:rsidRPr="0060750D">
          <w:rPr>
            <w:rStyle w:val="Hyperlink"/>
            <w:lang w:val="en-US"/>
          </w:rPr>
          <w:t xml:space="preserve"> [PDF]</w:t>
        </w:r>
      </w:hyperlink>
      <w:r>
        <w:rPr>
          <w:lang w:val="en-US"/>
        </w:rPr>
        <w:t xml:space="preserve">, </w:t>
      </w:r>
      <w:r w:rsidR="0060750D">
        <w:rPr>
          <w:lang w:val="en-US"/>
        </w:rPr>
        <w:t>Australian Government</w:t>
      </w:r>
      <w:r w:rsidR="0060750D">
        <w:rPr>
          <w:lang w:val="en-US"/>
        </w:rPr>
        <w:t xml:space="preserve">, 2021, </w:t>
      </w:r>
      <w:r>
        <w:rPr>
          <w:lang w:val="en-US"/>
        </w:rPr>
        <w:t>accessed 16 March 2022.</w:t>
      </w:r>
    </w:p>
  </w:footnote>
  <w:footnote w:id="18">
    <w:p w14:paraId="232F6609" w14:textId="388EA5EF" w:rsidR="00041C95" w:rsidRDefault="00041C95">
      <w:pPr>
        <w:pStyle w:val="FootnoteText"/>
      </w:pPr>
      <w:r w:rsidRPr="0060750D">
        <w:footnoteRef/>
      </w:r>
      <w:r w:rsidRPr="0060750D">
        <w:t xml:space="preserve"> </w:t>
      </w:r>
      <w:r w:rsidR="0060750D">
        <w:tab/>
      </w:r>
      <w:r>
        <w:t xml:space="preserve">Australian Government Productivity Commission, </w:t>
      </w:r>
      <w:hyperlink r:id="rId16" w:history="1">
        <w:r w:rsidRPr="006544E0">
          <w:rPr>
            <w:rStyle w:val="Hyperlink"/>
            <w:i/>
            <w:iCs/>
          </w:rPr>
          <w:t>Report on Government Services: Community Services</w:t>
        </w:r>
      </w:hyperlink>
      <w:r>
        <w:t xml:space="preserve">, </w:t>
      </w:r>
      <w:r w:rsidR="006544E0">
        <w:rPr>
          <w:lang w:val="en-US"/>
        </w:rPr>
        <w:t>Australian Institute of Health and Welfare</w:t>
      </w:r>
      <w:r w:rsidR="006544E0">
        <w:t xml:space="preserve">, </w:t>
      </w:r>
      <w:r w:rsidR="0060750D">
        <w:t xml:space="preserve">2022, </w:t>
      </w:r>
      <w:r>
        <w:t>accessed 25 January 2022.</w:t>
      </w:r>
    </w:p>
  </w:footnote>
  <w:footnote w:id="19">
    <w:p w14:paraId="04C8DC8D" w14:textId="381BB358" w:rsidR="00FC065B" w:rsidRDefault="00FC065B">
      <w:pPr>
        <w:pStyle w:val="FootnoteText"/>
      </w:pPr>
      <w:r w:rsidRPr="006544E0">
        <w:footnoteRef/>
      </w:r>
      <w:r w:rsidRPr="006544E0">
        <w:t xml:space="preserve"> </w:t>
      </w:r>
      <w:r w:rsidR="006544E0">
        <w:tab/>
      </w:r>
      <w:r w:rsidR="006544E0">
        <w:rPr>
          <w:lang w:val="en-US"/>
        </w:rPr>
        <w:t>ABS</w:t>
      </w:r>
      <w:r>
        <w:rPr>
          <w:lang w:val="en-US"/>
        </w:rPr>
        <w:t xml:space="preserve">, </w:t>
      </w:r>
      <w:hyperlink r:id="rId17" w:history="1">
        <w:r w:rsidRPr="006544E0">
          <w:rPr>
            <w:rStyle w:val="Hyperlink"/>
            <w:i/>
            <w:iCs/>
            <w:lang w:val="en-US"/>
          </w:rPr>
          <w:t>Data by region: Aboriginal and Torres Strait Islander Peoples</w:t>
        </w:r>
      </w:hyperlink>
      <w:r>
        <w:rPr>
          <w:lang w:val="en-US"/>
        </w:rPr>
        <w:t xml:space="preserve">, </w:t>
      </w:r>
      <w:r w:rsidR="006544E0">
        <w:rPr>
          <w:lang w:val="en-US"/>
        </w:rPr>
        <w:t xml:space="preserve">ABS, 2019, </w:t>
      </w:r>
      <w:r>
        <w:rPr>
          <w:lang w:val="en-US"/>
        </w:rPr>
        <w:t>accessed 17 March 2022.</w:t>
      </w:r>
    </w:p>
  </w:footnote>
  <w:footnote w:id="20">
    <w:p w14:paraId="6DFE3AC6" w14:textId="68ECA743" w:rsidR="000B457F" w:rsidRDefault="000B457F">
      <w:pPr>
        <w:pStyle w:val="FootnoteText"/>
      </w:pPr>
      <w:r w:rsidRPr="006544E0">
        <w:footnoteRef/>
      </w:r>
      <w:r w:rsidRPr="006544E0">
        <w:t xml:space="preserve"> </w:t>
      </w:r>
      <w:r w:rsidR="006544E0">
        <w:tab/>
      </w:r>
      <w:r w:rsidRPr="00D34855">
        <w:t xml:space="preserve">ACOSS and UNSW, </w:t>
      </w:r>
      <w:hyperlink r:id="rId18" w:history="1">
        <w:r w:rsidRPr="006508E5">
          <w:rPr>
            <w:rStyle w:val="Hyperlink"/>
            <w:i/>
            <w:iCs/>
          </w:rPr>
          <w:t xml:space="preserve">Data and Figures: Rate of poverty by state/territory of </w:t>
        </w:r>
        <w:r w:rsidRPr="006508E5">
          <w:rPr>
            <w:rStyle w:val="Hyperlink"/>
            <w:i/>
          </w:rPr>
          <w:t>residence</w:t>
        </w:r>
      </w:hyperlink>
      <w:r>
        <w:t>,</w:t>
      </w:r>
      <w:r w:rsidRPr="00FA265D">
        <w:t xml:space="preserve"> </w:t>
      </w:r>
      <w:r w:rsidRPr="006508E5">
        <w:t>Research insights into poverty and inequality in Australia website</w:t>
      </w:r>
      <w:r w:rsidRPr="00D34855">
        <w:t>,</w:t>
      </w:r>
      <w:r w:rsidR="00A665E7">
        <w:t xml:space="preserve"> </w:t>
      </w:r>
      <w:r w:rsidR="00A665E7" w:rsidRPr="00D34855">
        <w:t>ACOSS and UNSW</w:t>
      </w:r>
      <w:r w:rsidR="00A665E7">
        <w:t>,</w:t>
      </w:r>
      <w:r w:rsidRPr="00D34855">
        <w:t xml:space="preserve"> 2020</w:t>
      </w:r>
      <w:r>
        <w:t>.</w:t>
      </w:r>
    </w:p>
  </w:footnote>
  <w:footnote w:id="21">
    <w:p w14:paraId="3673637D" w14:textId="4A153AB2" w:rsidR="00CF084B" w:rsidRDefault="00CF084B">
      <w:pPr>
        <w:pStyle w:val="FootnoteText"/>
      </w:pPr>
      <w:r w:rsidRPr="00437D08">
        <w:footnoteRef/>
      </w:r>
      <w:r w:rsidRPr="00437D08">
        <w:t xml:space="preserve"> </w:t>
      </w:r>
      <w:r w:rsidR="00437D08">
        <w:tab/>
      </w:r>
      <w:r w:rsidR="00A700FF" w:rsidRPr="00437D08">
        <w:t>A</w:t>
      </w:r>
      <w:r w:rsidR="00A700FF" w:rsidRPr="00A700FF">
        <w:t xml:space="preserve">CTCOSS, </w:t>
      </w:r>
      <w:hyperlink r:id="rId19" w:history="1">
        <w:r w:rsidR="00A700FF" w:rsidRPr="001F37BC">
          <w:rPr>
            <w:rStyle w:val="Hyperlink"/>
            <w:i/>
            <w:iCs/>
          </w:rPr>
          <w:t xml:space="preserve">2021 ACT </w:t>
        </w:r>
        <w:r w:rsidR="00437D08">
          <w:rPr>
            <w:rStyle w:val="Hyperlink"/>
            <w:i/>
            <w:iCs/>
          </w:rPr>
          <w:t>C</w:t>
        </w:r>
        <w:r w:rsidR="00A700FF" w:rsidRPr="001F37BC">
          <w:rPr>
            <w:rStyle w:val="Hyperlink"/>
            <w:i/>
            <w:iCs/>
          </w:rPr>
          <w:t xml:space="preserve">ommunity </w:t>
        </w:r>
        <w:r w:rsidR="00437D08">
          <w:rPr>
            <w:rStyle w:val="Hyperlink"/>
            <w:i/>
            <w:iCs/>
          </w:rPr>
          <w:t>S</w:t>
        </w:r>
        <w:r w:rsidR="00A700FF" w:rsidRPr="001F37BC">
          <w:rPr>
            <w:rStyle w:val="Hyperlink"/>
            <w:i/>
            <w:iCs/>
          </w:rPr>
          <w:t xml:space="preserve">ector </w:t>
        </w:r>
        <w:r w:rsidR="00437D08">
          <w:rPr>
            <w:rStyle w:val="Hyperlink"/>
            <w:i/>
            <w:iCs/>
          </w:rPr>
          <w:t>D</w:t>
        </w:r>
        <w:r w:rsidR="00A700FF" w:rsidRPr="001F37BC">
          <w:rPr>
            <w:rStyle w:val="Hyperlink"/>
            <w:i/>
            <w:iCs/>
          </w:rPr>
          <w:t xml:space="preserve">emand </w:t>
        </w:r>
        <w:r w:rsidR="00437D08">
          <w:rPr>
            <w:rStyle w:val="Hyperlink"/>
            <w:i/>
            <w:iCs/>
          </w:rPr>
          <w:t>S</w:t>
        </w:r>
        <w:r w:rsidR="00A700FF" w:rsidRPr="001F37BC">
          <w:rPr>
            <w:rStyle w:val="Hyperlink"/>
            <w:i/>
            <w:iCs/>
          </w:rPr>
          <w:t>napshot</w:t>
        </w:r>
      </w:hyperlink>
      <w:r w:rsidR="00A700FF" w:rsidRPr="00A700FF">
        <w:t>, ACTCOSS, 2021, accessed 2 May 2022.</w:t>
      </w:r>
    </w:p>
  </w:footnote>
  <w:footnote w:id="22">
    <w:p w14:paraId="612851C4" w14:textId="0D45687C" w:rsidR="006F2CE2" w:rsidRDefault="006F2CE2">
      <w:pPr>
        <w:pStyle w:val="FootnoteText"/>
      </w:pPr>
      <w:r w:rsidRPr="00437D08">
        <w:footnoteRef/>
      </w:r>
      <w:r w:rsidRPr="00437D08">
        <w:t xml:space="preserve"> </w:t>
      </w:r>
      <w:r w:rsidR="00437D08">
        <w:tab/>
      </w:r>
      <w:r w:rsidR="00E723A8" w:rsidRPr="00E723A8">
        <w:t>J Halcrow, CEO of Anglicare NSW South/ACT</w:t>
      </w:r>
      <w:r w:rsidR="00E723A8">
        <w:t xml:space="preserve">, quoted in </w:t>
      </w:r>
      <w:r w:rsidR="00C47764">
        <w:t xml:space="preserve">ACTCOSS, </w:t>
      </w:r>
      <w:hyperlink r:id="rId20" w:history="1">
        <w:r w:rsidR="000A7187" w:rsidRPr="00035C3F">
          <w:rPr>
            <w:rStyle w:val="Hyperlink"/>
            <w:i/>
            <w:iCs/>
          </w:rPr>
          <w:t>Canberrans on low incomes hit hardest by cost of living rises as income supports removed</w:t>
        </w:r>
      </w:hyperlink>
      <w:r w:rsidR="00F67873">
        <w:t xml:space="preserve"> [media release]</w:t>
      </w:r>
      <w:r w:rsidR="00834F44">
        <w:t>,</w:t>
      </w:r>
      <w:r w:rsidR="001863F6">
        <w:t xml:space="preserve"> ACTCOSS,</w:t>
      </w:r>
      <w:r w:rsidR="00834F44">
        <w:t xml:space="preserve"> </w:t>
      </w:r>
      <w:r w:rsidR="000926BA">
        <w:t>6 May 2022</w:t>
      </w:r>
      <w:r w:rsidR="00C05C19">
        <w:t>, accessed 13 May 2022.</w:t>
      </w:r>
    </w:p>
  </w:footnote>
  <w:footnote w:id="23">
    <w:p w14:paraId="55FD9B21" w14:textId="649263D6" w:rsidR="0051526D" w:rsidRDefault="0051526D" w:rsidP="00FE1717">
      <w:pPr>
        <w:pStyle w:val="FootnoteText"/>
        <w:ind w:right="-143"/>
      </w:pPr>
      <w:r w:rsidRPr="00FE1717">
        <w:footnoteRef/>
      </w:r>
      <w:r w:rsidRPr="00FE1717">
        <w:t xml:space="preserve"> </w:t>
      </w:r>
      <w:r w:rsidR="00FE1717">
        <w:tab/>
      </w:r>
      <w:r>
        <w:t xml:space="preserve">ACTCOSS, </w:t>
      </w:r>
      <w:hyperlink r:id="rId21" w:history="1">
        <w:r w:rsidRPr="00B45E43">
          <w:rPr>
            <w:rStyle w:val="Hyperlink"/>
            <w:i/>
            <w:iCs/>
          </w:rPr>
          <w:t>2022 ACT Cost of Living Report</w:t>
        </w:r>
      </w:hyperlink>
      <w:r>
        <w:t xml:space="preserve">, ACTCOSS, Canberra, </w:t>
      </w:r>
      <w:r w:rsidR="00DE1D2C">
        <w:t>May 2022, accessed 12 May 2022.</w:t>
      </w:r>
    </w:p>
  </w:footnote>
  <w:footnote w:id="24">
    <w:p w14:paraId="49520272" w14:textId="7C372E5F" w:rsidR="00E3113B" w:rsidRDefault="00E3113B">
      <w:pPr>
        <w:pStyle w:val="FootnoteText"/>
      </w:pPr>
      <w:r w:rsidRPr="00FE1717">
        <w:footnoteRef/>
      </w:r>
      <w:r w:rsidRPr="00FE1717">
        <w:t xml:space="preserve"> </w:t>
      </w:r>
      <w:r w:rsidR="00FE1717">
        <w:tab/>
      </w:r>
      <w:r w:rsidR="00AC4DE8" w:rsidRPr="00AC4DE8">
        <w:t xml:space="preserve">Domain, </w:t>
      </w:r>
      <w:hyperlink r:id="rId22" w:anchor="canberra" w:history="1">
        <w:r w:rsidR="00AC4DE8" w:rsidRPr="007C1712">
          <w:rPr>
            <w:rStyle w:val="Hyperlink"/>
            <w:i/>
            <w:iCs/>
          </w:rPr>
          <w:t>March 2022 House price report</w:t>
        </w:r>
      </w:hyperlink>
      <w:r w:rsidR="00AC4DE8" w:rsidRPr="00AC4DE8">
        <w:t>, Domain website, n.d., accessed 2 May 2022.</w:t>
      </w:r>
    </w:p>
  </w:footnote>
  <w:footnote w:id="25">
    <w:p w14:paraId="6C7C72F5" w14:textId="5B998F17" w:rsidR="00B45E43" w:rsidRDefault="00B45E43" w:rsidP="005428C6">
      <w:pPr>
        <w:pStyle w:val="FootnoteText"/>
        <w:ind w:right="-143"/>
      </w:pPr>
      <w:r w:rsidRPr="00FE1717">
        <w:footnoteRef/>
      </w:r>
      <w:r w:rsidRPr="00FE1717">
        <w:t xml:space="preserve"> </w:t>
      </w:r>
      <w:r w:rsidR="00FE1717">
        <w:tab/>
      </w:r>
      <w:r w:rsidR="005428C6">
        <w:t xml:space="preserve">ACTCOSS, </w:t>
      </w:r>
      <w:hyperlink r:id="rId23" w:history="1">
        <w:r w:rsidR="005428C6" w:rsidRPr="00B45E43">
          <w:rPr>
            <w:rStyle w:val="Hyperlink"/>
            <w:i/>
            <w:iCs/>
          </w:rPr>
          <w:t>2022 ACT Cost of Living Report</w:t>
        </w:r>
      </w:hyperlink>
      <w:r w:rsidR="005428C6">
        <w:t>, ACTCOSS, Canberra, May 2022, accessed 12 May 2022.</w:t>
      </w:r>
    </w:p>
  </w:footnote>
  <w:footnote w:id="26">
    <w:p w14:paraId="05D35EAC" w14:textId="76FE9838" w:rsidR="002B35CA" w:rsidRDefault="002B35CA">
      <w:pPr>
        <w:pStyle w:val="FootnoteText"/>
      </w:pPr>
      <w:r w:rsidRPr="00FE1717">
        <w:footnoteRef/>
      </w:r>
      <w:r w:rsidRPr="00FE1717">
        <w:t xml:space="preserve"> </w:t>
      </w:r>
      <w:r w:rsidR="00FE1717">
        <w:tab/>
      </w:r>
      <w:r w:rsidR="0010027D" w:rsidRPr="0010027D">
        <w:t xml:space="preserve">Domain, </w:t>
      </w:r>
      <w:hyperlink r:id="rId24" w:anchor="canberra" w:history="1">
        <w:r w:rsidR="0010027D" w:rsidRPr="00AB43E1">
          <w:rPr>
            <w:rStyle w:val="Hyperlink"/>
            <w:i/>
            <w:iCs/>
          </w:rPr>
          <w:t>March 2022 Rental Report</w:t>
        </w:r>
      </w:hyperlink>
      <w:r w:rsidR="0010027D" w:rsidRPr="0010027D">
        <w:t>, Domain website, n.d., accessed 21 April 2022.</w:t>
      </w:r>
    </w:p>
  </w:footnote>
  <w:footnote w:id="27">
    <w:p w14:paraId="663485AC" w14:textId="5DA5D275" w:rsidR="00181344" w:rsidRDefault="00181344">
      <w:pPr>
        <w:pStyle w:val="FootnoteText"/>
      </w:pPr>
      <w:r w:rsidRPr="00FE1717">
        <w:footnoteRef/>
      </w:r>
      <w:r w:rsidRPr="00FE1717">
        <w:t xml:space="preserve"> </w:t>
      </w:r>
      <w:r w:rsidR="00FE1717">
        <w:tab/>
      </w:r>
      <w:r w:rsidR="00F561FB" w:rsidRPr="00F561FB">
        <w:t xml:space="preserve">Domain, </w:t>
      </w:r>
      <w:hyperlink r:id="rId25" w:history="1">
        <w:r w:rsidR="00F561FB" w:rsidRPr="006A1B01">
          <w:rPr>
            <w:rStyle w:val="Hyperlink"/>
            <w:i/>
            <w:iCs/>
          </w:rPr>
          <w:t>Vacancy rates: March 2022</w:t>
        </w:r>
      </w:hyperlink>
      <w:r w:rsidR="00F561FB" w:rsidRPr="00F561FB">
        <w:t>, Domain website, n.d., accessed 2 May 2022.</w:t>
      </w:r>
    </w:p>
  </w:footnote>
  <w:footnote w:id="28">
    <w:p w14:paraId="7B07284C" w14:textId="200C5065" w:rsidR="0075791A" w:rsidRDefault="0075791A">
      <w:pPr>
        <w:pStyle w:val="FootnoteText"/>
      </w:pPr>
      <w:r w:rsidRPr="00597AEB">
        <w:footnoteRef/>
      </w:r>
      <w:r w:rsidRPr="00597AEB">
        <w:t xml:space="preserve"> </w:t>
      </w:r>
      <w:r w:rsidR="00597AEB">
        <w:tab/>
      </w:r>
      <w:r w:rsidR="00141DB1" w:rsidRPr="00141DB1">
        <w:t xml:space="preserve">Productivity Commission, ‘Table GA.3 Proportion of lower income private rental households paying more than 30 per cent of income on housing costs, by State and Territory’ [data tables], </w:t>
      </w:r>
      <w:hyperlink r:id="rId26" w:history="1">
        <w:r w:rsidR="00141DB1" w:rsidRPr="008278E0">
          <w:rPr>
            <w:rStyle w:val="Hyperlink"/>
            <w:i/>
            <w:iCs/>
          </w:rPr>
          <w:t>Report on Government Services 2021: G Housing and homelessness</w:t>
        </w:r>
      </w:hyperlink>
      <w:r w:rsidR="00141DB1" w:rsidRPr="00141DB1">
        <w:t>, Productivity Commission, 2021, accessed 22 June 2021.</w:t>
      </w:r>
    </w:p>
  </w:footnote>
  <w:footnote w:id="29">
    <w:p w14:paraId="16542BCA" w14:textId="17ED1F00" w:rsidR="00BD4DC1" w:rsidRDefault="001F1C83">
      <w:pPr>
        <w:pStyle w:val="FootnoteText"/>
      </w:pPr>
      <w:r w:rsidRPr="00597AEB">
        <w:footnoteRef/>
      </w:r>
      <w:r w:rsidRPr="00597AEB">
        <w:t xml:space="preserve"> </w:t>
      </w:r>
      <w:r>
        <w:tab/>
      </w:r>
      <w:r w:rsidRPr="0070754C">
        <w:t>Productivity Commission, ‘Table GA.12</w:t>
      </w:r>
      <w:r>
        <w:t xml:space="preserve"> </w:t>
      </w:r>
      <w:r w:rsidRPr="0070754C">
        <w:t xml:space="preserve">Income units receiving CRA and paying enough rent to be eligible for maximum assistance, by jurisdiction’ [Data Tables], </w:t>
      </w:r>
      <w:hyperlink r:id="rId27" w:history="1">
        <w:r w:rsidRPr="005565C0">
          <w:rPr>
            <w:rStyle w:val="Hyperlink"/>
            <w:i/>
            <w:iCs/>
          </w:rPr>
          <w:t>Report on Government Services 2022: G Housing and Homelessness</w:t>
        </w:r>
      </w:hyperlink>
      <w:r w:rsidRPr="0070754C">
        <w:t>, Productivity Commission, 2022, accessed 25 April 2022.</w:t>
      </w:r>
    </w:p>
  </w:footnote>
  <w:footnote w:id="30">
    <w:p w14:paraId="52CC7F8D" w14:textId="0C1490CF" w:rsidR="005565C0" w:rsidRDefault="005565C0">
      <w:pPr>
        <w:pStyle w:val="FootnoteText"/>
      </w:pPr>
      <w:r w:rsidRPr="00597AEB">
        <w:footnoteRef/>
      </w:r>
      <w:r w:rsidRPr="00597AEB">
        <w:t xml:space="preserve"> </w:t>
      </w:r>
      <w:r w:rsidR="00597AEB">
        <w:tab/>
      </w:r>
      <w:r w:rsidR="000B0877" w:rsidRPr="000B0877">
        <w:t xml:space="preserve">Productivity Commission, ‘Table GA.13 CRA Income units paying more than 30 per cent of income on rent, with and without CRA, by selected equity group’ &amp; ‘Table GA.14CRA Income units paying more than 50 per cent of income on rent, with and without CRA, by selected equity group’ [Data Tables], </w:t>
      </w:r>
      <w:hyperlink r:id="rId28" w:history="1">
        <w:r w:rsidR="000B0877" w:rsidRPr="00A177F2">
          <w:rPr>
            <w:rStyle w:val="Hyperlink"/>
            <w:i/>
            <w:iCs/>
          </w:rPr>
          <w:t>Report on Government Services 2022: G Housing and Homelessness</w:t>
        </w:r>
      </w:hyperlink>
      <w:r w:rsidR="000B0877" w:rsidRPr="000B0877">
        <w:t>, Productivity Commission, 2022, accessed 25 April 2022.</w:t>
      </w:r>
    </w:p>
  </w:footnote>
  <w:footnote w:id="31">
    <w:p w14:paraId="50D47C39" w14:textId="3081BAC6" w:rsidR="00B233C9" w:rsidRDefault="00B233C9">
      <w:pPr>
        <w:pStyle w:val="FootnoteText"/>
      </w:pPr>
      <w:r w:rsidRPr="00597AEB">
        <w:footnoteRef/>
      </w:r>
      <w:r w:rsidRPr="00597AEB">
        <w:t xml:space="preserve"> </w:t>
      </w:r>
      <w:r w:rsidR="00597AEB">
        <w:tab/>
      </w:r>
      <w:proofErr w:type="spellStart"/>
      <w:r w:rsidR="009C22AC" w:rsidRPr="009C22AC">
        <w:t>SGS</w:t>
      </w:r>
      <w:proofErr w:type="spellEnd"/>
      <w:r w:rsidR="009C22AC" w:rsidRPr="009C22AC">
        <w:t xml:space="preserve"> Economics &amp; Planning, </w:t>
      </w:r>
      <w:hyperlink r:id="rId29" w:history="1">
        <w:r w:rsidR="009C22AC" w:rsidRPr="00DE75C1">
          <w:rPr>
            <w:rStyle w:val="Hyperlink"/>
            <w:i/>
            <w:iCs/>
          </w:rPr>
          <w:t>Rental Affordability Index: November 2021 Key Finding</w:t>
        </w:r>
        <w:r w:rsidR="005B0DDB">
          <w:rPr>
            <w:rStyle w:val="Hyperlink"/>
            <w:i/>
            <w:iCs/>
          </w:rPr>
          <w:t xml:space="preserve">s </w:t>
        </w:r>
        <w:r w:rsidR="005B0DDB" w:rsidRPr="005B0DDB">
          <w:rPr>
            <w:rStyle w:val="Hyperlink"/>
          </w:rPr>
          <w:t>[PDF]</w:t>
        </w:r>
      </w:hyperlink>
      <w:r w:rsidR="009C22AC" w:rsidRPr="009C22AC">
        <w:t xml:space="preserve">, </w:t>
      </w:r>
      <w:proofErr w:type="spellStart"/>
      <w:r w:rsidR="009C22AC" w:rsidRPr="009C22AC">
        <w:t>SGS</w:t>
      </w:r>
      <w:proofErr w:type="spellEnd"/>
      <w:r w:rsidR="009C22AC" w:rsidRPr="009C22AC">
        <w:t xml:space="preserve"> Economics &amp; Planning, Canberra, 2021, accessed 2 May 2022.</w:t>
      </w:r>
    </w:p>
  </w:footnote>
  <w:footnote w:id="32">
    <w:p w14:paraId="11BC9466" w14:textId="4F9D3DB9" w:rsidR="00DE75C1" w:rsidRDefault="00DE75C1">
      <w:pPr>
        <w:pStyle w:val="FootnoteText"/>
      </w:pPr>
      <w:r w:rsidRPr="00545355">
        <w:footnoteRef/>
      </w:r>
      <w:r>
        <w:t xml:space="preserve"> </w:t>
      </w:r>
      <w:r w:rsidR="00545355">
        <w:tab/>
      </w:r>
      <w:r w:rsidR="0095776A" w:rsidRPr="0095776A">
        <w:t xml:space="preserve">Everybody’s Home, </w:t>
      </w:r>
      <w:hyperlink r:id="rId30" w:history="1">
        <w:r w:rsidR="0095776A" w:rsidRPr="00C6702B">
          <w:rPr>
            <w:rStyle w:val="Hyperlink"/>
            <w:i/>
            <w:iCs/>
          </w:rPr>
          <w:t>Young Australians crunched by housing crisis</w:t>
        </w:r>
      </w:hyperlink>
      <w:r w:rsidR="0095776A" w:rsidRPr="0095776A">
        <w:t>, Everybody’s Home website, 20 April 2022, accessed 21 April 2022.</w:t>
      </w:r>
    </w:p>
  </w:footnote>
  <w:footnote w:id="33">
    <w:p w14:paraId="706E88F1" w14:textId="5CBEF603" w:rsidR="009966FC" w:rsidRDefault="009966FC">
      <w:pPr>
        <w:pStyle w:val="FootnoteText"/>
      </w:pPr>
      <w:r w:rsidRPr="00545355">
        <w:footnoteRef/>
      </w:r>
      <w:r w:rsidRPr="00545355">
        <w:t xml:space="preserve"> </w:t>
      </w:r>
      <w:r w:rsidR="00545355">
        <w:tab/>
      </w:r>
      <w:r w:rsidR="00A108E9" w:rsidRPr="00A108E9">
        <w:t xml:space="preserve">Everybody’s Home, </w:t>
      </w:r>
      <w:hyperlink r:id="rId31" w:history="1">
        <w:r w:rsidR="00A108E9" w:rsidRPr="00F05F0A">
          <w:rPr>
            <w:rStyle w:val="Hyperlink"/>
            <w:i/>
            <w:iCs/>
          </w:rPr>
          <w:t>Rental crisis hits COVID-essential workforce</w:t>
        </w:r>
      </w:hyperlink>
      <w:r w:rsidR="00A108E9" w:rsidRPr="00A108E9">
        <w:t>, Everybody’s Home website, 2 August 2021, accessed 25 April 2022.</w:t>
      </w:r>
    </w:p>
  </w:footnote>
  <w:footnote w:id="34">
    <w:p w14:paraId="0A50086D" w14:textId="1321B9CC" w:rsidR="00D84888" w:rsidRPr="00D84888" w:rsidRDefault="00D84888">
      <w:pPr>
        <w:pStyle w:val="FootnoteText"/>
      </w:pPr>
      <w:r w:rsidRPr="00D84888">
        <w:footnoteRef/>
      </w:r>
      <w:r w:rsidRPr="00D84888">
        <w:t xml:space="preserve"> </w:t>
      </w:r>
      <w:r>
        <w:tab/>
      </w:r>
      <w:r w:rsidRPr="00A108E9">
        <w:t xml:space="preserve">Everybody’s Home, </w:t>
      </w:r>
      <w:hyperlink r:id="rId32" w:history="1">
        <w:r w:rsidRPr="00F05F0A">
          <w:rPr>
            <w:rStyle w:val="Hyperlink"/>
            <w:i/>
            <w:iCs/>
          </w:rPr>
          <w:t>Rental crisis hits COVID-essential workforce</w:t>
        </w:r>
      </w:hyperlink>
      <w:r w:rsidRPr="00A108E9">
        <w:t>, Everybody’s Home website, 2 August 2021, accessed 25 April 2022.</w:t>
      </w:r>
    </w:p>
  </w:footnote>
  <w:footnote w:id="35">
    <w:p w14:paraId="6AA734DA" w14:textId="330A05E8" w:rsidR="00D84888" w:rsidRPr="00D84888" w:rsidRDefault="00D84888">
      <w:pPr>
        <w:pStyle w:val="FootnoteText"/>
      </w:pPr>
      <w:r w:rsidRPr="00D84888">
        <w:footnoteRef/>
      </w:r>
      <w:r w:rsidRPr="00D84888">
        <w:t xml:space="preserve"> </w:t>
      </w:r>
      <w:r>
        <w:tab/>
      </w:r>
      <w:r w:rsidRPr="00A108E9">
        <w:t xml:space="preserve">Everybody’s Home, </w:t>
      </w:r>
      <w:hyperlink r:id="rId33" w:history="1">
        <w:r w:rsidRPr="00F05F0A">
          <w:rPr>
            <w:rStyle w:val="Hyperlink"/>
            <w:i/>
            <w:iCs/>
          </w:rPr>
          <w:t>Rental crisis hits COVID-essential workforce</w:t>
        </w:r>
      </w:hyperlink>
      <w:r w:rsidRPr="00A108E9">
        <w:t>, Everybody’s Home website, 2 August 2021, accessed 25 April 2022.</w:t>
      </w:r>
    </w:p>
  </w:footnote>
  <w:footnote w:id="36">
    <w:p w14:paraId="72618DF4" w14:textId="382F6EB0" w:rsidR="00F05F0A" w:rsidRDefault="00F05F0A">
      <w:pPr>
        <w:pStyle w:val="FootnoteText"/>
      </w:pPr>
      <w:r w:rsidRPr="007C738D">
        <w:footnoteRef/>
      </w:r>
      <w:r w:rsidRPr="007C738D">
        <w:t xml:space="preserve"> </w:t>
      </w:r>
      <w:r w:rsidR="007C738D">
        <w:tab/>
      </w:r>
      <w:r w:rsidR="00B1428F" w:rsidRPr="007C738D">
        <w:t>A</w:t>
      </w:r>
      <w:r w:rsidR="00B1428F" w:rsidRPr="00B1428F">
        <w:t xml:space="preserve">nglicare Australia, </w:t>
      </w:r>
      <w:hyperlink r:id="rId34" w:history="1">
        <w:r w:rsidR="00B1428F" w:rsidRPr="000873C8">
          <w:rPr>
            <w:rStyle w:val="Hyperlink"/>
            <w:i/>
            <w:iCs/>
          </w:rPr>
          <w:t>Rental Affordability Snapshot: Regional Reports</w:t>
        </w:r>
      </w:hyperlink>
      <w:r w:rsidR="00B1428F" w:rsidRPr="00B1428F">
        <w:t>, Anglicare Australia, Canberra, April 2022, ‘ACT and Queanbeyan’, pp 33-4, accessed 28 April 2022.</w:t>
      </w:r>
    </w:p>
  </w:footnote>
  <w:footnote w:id="37">
    <w:p w14:paraId="73047301" w14:textId="0408BC4C" w:rsidR="00031EB8" w:rsidRDefault="00031EB8">
      <w:pPr>
        <w:pStyle w:val="FootnoteText"/>
      </w:pPr>
      <w:r w:rsidRPr="00031EB8">
        <w:footnoteRef/>
      </w:r>
      <w:r w:rsidRPr="00031EB8">
        <w:t xml:space="preserve"> </w:t>
      </w:r>
      <w:r w:rsidRPr="00031EB8">
        <w:tab/>
      </w:r>
      <w:proofErr w:type="spellStart"/>
      <w:r w:rsidRPr="008100A9">
        <w:t>AIHW</w:t>
      </w:r>
      <w:proofErr w:type="spellEnd"/>
      <w:r w:rsidRPr="008100A9">
        <w:t xml:space="preserve">, ‘Table SOCIAL SHARE.1: Social housing households and all Australian households, by states and territories, at 30 June 2010 to 2020’ [data tables], </w:t>
      </w:r>
      <w:hyperlink r:id="rId35" w:history="1">
        <w:r w:rsidRPr="00193D10">
          <w:rPr>
            <w:rStyle w:val="Hyperlink"/>
            <w:i/>
            <w:iCs/>
          </w:rPr>
          <w:t>Housing Assistance in Australia, 2021</w:t>
        </w:r>
      </w:hyperlink>
      <w:r w:rsidRPr="008100A9">
        <w:t>, accessed 8 July 2021.</w:t>
      </w:r>
    </w:p>
  </w:footnote>
  <w:footnote w:id="38">
    <w:p w14:paraId="781891E5" w14:textId="02D08694" w:rsidR="005431FF" w:rsidRDefault="005431FF">
      <w:pPr>
        <w:pStyle w:val="FootnoteText"/>
      </w:pPr>
      <w:r w:rsidRPr="00067556">
        <w:footnoteRef/>
      </w:r>
      <w:r w:rsidRPr="00067556">
        <w:t xml:space="preserve"> </w:t>
      </w:r>
      <w:r w:rsidR="00067556">
        <w:tab/>
      </w:r>
      <w:proofErr w:type="spellStart"/>
      <w:r w:rsidR="008100A9" w:rsidRPr="008100A9">
        <w:t>AIHW</w:t>
      </w:r>
      <w:proofErr w:type="spellEnd"/>
      <w:r w:rsidR="008100A9" w:rsidRPr="008100A9">
        <w:t xml:space="preserve">, ‘Table SOCIAL SHARE.1: Social housing households and all Australian households, by states and territories, at 30 June 2010 to 2020’ [data tables], </w:t>
      </w:r>
      <w:hyperlink r:id="rId36" w:history="1">
        <w:r w:rsidR="008100A9" w:rsidRPr="00193D10">
          <w:rPr>
            <w:rStyle w:val="Hyperlink"/>
            <w:i/>
            <w:iCs/>
          </w:rPr>
          <w:t>Housing Assistance in Australia, 2021</w:t>
        </w:r>
      </w:hyperlink>
      <w:r w:rsidR="008100A9" w:rsidRPr="008100A9">
        <w:t>, accessed 8 July 2021.</w:t>
      </w:r>
    </w:p>
  </w:footnote>
  <w:footnote w:id="39">
    <w:p w14:paraId="52496EF2" w14:textId="53F91B2B" w:rsidR="00193D10" w:rsidRDefault="00193D10">
      <w:pPr>
        <w:pStyle w:val="FootnoteText"/>
      </w:pPr>
      <w:r w:rsidRPr="007734C8">
        <w:footnoteRef/>
      </w:r>
      <w:r w:rsidRPr="007734C8">
        <w:t xml:space="preserve"> </w:t>
      </w:r>
      <w:r w:rsidR="007734C8">
        <w:tab/>
      </w:r>
      <w:r w:rsidR="00852B04" w:rsidRPr="00852B04">
        <w:t xml:space="preserve">ACT Government Community Services Directorate, </w:t>
      </w:r>
      <w:hyperlink r:id="rId37" w:history="1">
        <w:r w:rsidR="00852B04" w:rsidRPr="00891484">
          <w:rPr>
            <w:rStyle w:val="Hyperlink"/>
            <w:i/>
            <w:iCs/>
          </w:rPr>
          <w:t>Social Housing Waiting List</w:t>
        </w:r>
      </w:hyperlink>
      <w:r w:rsidR="00852B04" w:rsidRPr="00852B04">
        <w:t>, ACT Government Community Services Directorate, 7 March 2022, accessed 21 April 2022.</w:t>
      </w:r>
    </w:p>
  </w:footnote>
  <w:footnote w:id="40">
    <w:p w14:paraId="7AC832A6" w14:textId="31C7B83F" w:rsidR="00043438" w:rsidRDefault="00043438">
      <w:pPr>
        <w:pStyle w:val="FootnoteText"/>
      </w:pPr>
      <w:r w:rsidRPr="007734C8">
        <w:footnoteRef/>
      </w:r>
      <w:r w:rsidRPr="007734C8">
        <w:t xml:space="preserve"> </w:t>
      </w:r>
      <w:r w:rsidR="007734C8">
        <w:tab/>
      </w:r>
      <w:r w:rsidRPr="00043438">
        <w:t xml:space="preserve">ACT Government Community Services Directorate, </w:t>
      </w:r>
      <w:hyperlink r:id="rId38" w:history="1">
        <w:r w:rsidRPr="0005343E">
          <w:rPr>
            <w:rStyle w:val="Hyperlink"/>
            <w:i/>
            <w:iCs/>
          </w:rPr>
          <w:t>Social Housing Waiting List</w:t>
        </w:r>
      </w:hyperlink>
      <w:r w:rsidRPr="00043438">
        <w:t>, ACT Government Community Services Directorate, 5 July 2021, accessed 8 July 2021.</w:t>
      </w:r>
    </w:p>
  </w:footnote>
  <w:footnote w:id="41">
    <w:p w14:paraId="1223766F" w14:textId="1439D231" w:rsidR="00C80241" w:rsidRDefault="00C80241" w:rsidP="00C80241">
      <w:pPr>
        <w:pStyle w:val="FootnoteText"/>
      </w:pPr>
      <w:r w:rsidRPr="008727DA">
        <w:footnoteRef/>
      </w:r>
      <w:r w:rsidRPr="008727DA">
        <w:t xml:space="preserve"> </w:t>
      </w:r>
      <w:r w:rsidR="008727DA">
        <w:tab/>
      </w:r>
      <w:r w:rsidRPr="000552E3">
        <w:t xml:space="preserve">Australian Government, </w:t>
      </w:r>
      <w:hyperlink r:id="rId39" w:history="1">
        <w:r w:rsidRPr="007F55A4">
          <w:rPr>
            <w:rStyle w:val="Hyperlink"/>
            <w:i/>
            <w:iCs/>
          </w:rPr>
          <w:t>Federal Financial Relations, Budget paper no. 3: 2022-23 (Appendix D: debt transactions)</w:t>
        </w:r>
      </w:hyperlink>
      <w:r>
        <w:t>, Australian Government, 2022, accessed 17 May 2022.</w:t>
      </w:r>
    </w:p>
  </w:footnote>
  <w:footnote w:id="42">
    <w:p w14:paraId="02E66CBC" w14:textId="1F3C606D" w:rsidR="003D30E3" w:rsidRDefault="003D30E3">
      <w:pPr>
        <w:pStyle w:val="FootnoteText"/>
      </w:pPr>
      <w:r w:rsidRPr="0030513D">
        <w:footnoteRef/>
      </w:r>
      <w:r w:rsidRPr="0030513D">
        <w:t xml:space="preserve"> </w:t>
      </w:r>
      <w:r w:rsidR="0030513D">
        <w:tab/>
      </w:r>
      <w:r w:rsidR="005F4AF5">
        <w:t xml:space="preserve">Estimated cost of $500,000 per dwelling is </w:t>
      </w:r>
      <w:r w:rsidR="0032560F">
        <w:t>ACT Treasury’s costing of the ACT Greens ‘</w:t>
      </w:r>
      <w:r w:rsidR="00B5504A">
        <w:t>A Home For All’ Election Commitment</w:t>
      </w:r>
      <w:r w:rsidR="00FB4C83">
        <w:t xml:space="preserve"> ahead of the 2020 ACT Election, see: </w:t>
      </w:r>
      <w:r w:rsidR="002D58E4">
        <w:t xml:space="preserve">ACT Treasury, </w:t>
      </w:r>
      <w:hyperlink r:id="rId40" w:history="1">
        <w:r w:rsidR="004D07A4" w:rsidRPr="002F4154">
          <w:rPr>
            <w:rStyle w:val="Hyperlink"/>
            <w:i/>
            <w:iCs/>
          </w:rPr>
          <w:t xml:space="preserve">ACT Greens Costings 2020 - </w:t>
        </w:r>
        <w:r w:rsidR="006E25C9" w:rsidRPr="002F4154">
          <w:rPr>
            <w:rStyle w:val="Hyperlink"/>
            <w:i/>
            <w:iCs/>
          </w:rPr>
          <w:t>GRN013 - A home for all</w:t>
        </w:r>
        <w:r w:rsidR="00C81B96" w:rsidRPr="002F4154">
          <w:rPr>
            <w:rStyle w:val="Hyperlink"/>
            <w:i/>
            <w:iCs/>
          </w:rPr>
          <w:t xml:space="preserve"> – Costing: </w:t>
        </w:r>
        <w:r w:rsidR="004947BA" w:rsidRPr="002F4154">
          <w:rPr>
            <w:rStyle w:val="Hyperlink"/>
            <w:i/>
            <w:iCs/>
          </w:rPr>
          <w:t>GRN013C (Parts A to D)</w:t>
        </w:r>
      </w:hyperlink>
      <w:r w:rsidR="004947BA">
        <w:t xml:space="preserve">, </w:t>
      </w:r>
      <w:r w:rsidR="00C91634">
        <w:t>ACT Government</w:t>
      </w:r>
      <w:r w:rsidR="00A9276D">
        <w:t xml:space="preserve">, </w:t>
      </w:r>
      <w:r w:rsidR="008B45FD">
        <w:t>15 October 2020</w:t>
      </w:r>
      <w:r w:rsidR="00760D5B">
        <w:t>, accessed 17 May 2022.</w:t>
      </w:r>
    </w:p>
  </w:footnote>
  <w:footnote w:id="43">
    <w:p w14:paraId="3548C3B5" w14:textId="1605C07F" w:rsidR="0067153F" w:rsidRDefault="0067153F">
      <w:pPr>
        <w:pStyle w:val="FootnoteText"/>
      </w:pPr>
      <w:r w:rsidRPr="0030513D">
        <w:footnoteRef/>
      </w:r>
      <w:r w:rsidRPr="0030513D">
        <w:t xml:space="preserve"> </w:t>
      </w:r>
      <w:r w:rsidR="0030513D">
        <w:tab/>
      </w:r>
      <w:r>
        <w:t xml:space="preserve">The total ‘cost to </w:t>
      </w:r>
      <w:r w:rsidR="0030513D">
        <w:t>g</w:t>
      </w:r>
      <w:r>
        <w:t xml:space="preserve">overnment’ figure of $150,000 is based on the top of the range </w:t>
      </w:r>
      <w:r w:rsidR="00187941">
        <w:t xml:space="preserve">of $100,000 to $150,000 </w:t>
      </w:r>
      <w:r w:rsidR="006F5B35">
        <w:t>based on modelling by CHIA ACT members</w:t>
      </w:r>
      <w:r w:rsidR="00FC0874">
        <w:t xml:space="preserve"> as reported in: </w:t>
      </w:r>
      <w:r w:rsidR="00FC0874" w:rsidRPr="00FC0874">
        <w:t xml:space="preserve">Community Housing Industry Association ACT, </w:t>
      </w:r>
      <w:r w:rsidR="00FC0874" w:rsidRPr="002F4154">
        <w:rPr>
          <w:i/>
          <w:iCs/>
        </w:rPr>
        <w:t>Community Housing Industry Association (ACT Region) Policy Statement 2022</w:t>
      </w:r>
      <w:r w:rsidR="00FC0874" w:rsidRPr="00FC0874">
        <w:t>, CHIA ACT, Canberra, 2022</w:t>
      </w:r>
      <w:r w:rsidR="00FC0874">
        <w:t xml:space="preserve">. </w:t>
      </w:r>
    </w:p>
  </w:footnote>
  <w:footnote w:id="44">
    <w:p w14:paraId="41E9409B" w14:textId="22C80025" w:rsidR="00995455" w:rsidRDefault="00995455">
      <w:pPr>
        <w:pStyle w:val="FootnoteText"/>
      </w:pPr>
      <w:r w:rsidRPr="0030513D">
        <w:footnoteRef/>
      </w:r>
      <w:r w:rsidRPr="0030513D">
        <w:t xml:space="preserve"> </w:t>
      </w:r>
      <w:r w:rsidR="0030513D">
        <w:tab/>
      </w:r>
      <w:r w:rsidR="00BE04B1" w:rsidRPr="00BE04B1">
        <w:t xml:space="preserve">KPMG, </w:t>
      </w:r>
      <w:hyperlink r:id="rId41" w:history="1">
        <w:r w:rsidR="00BE04B1" w:rsidRPr="00F17E57">
          <w:rPr>
            <w:rStyle w:val="Hyperlink"/>
            <w:i/>
            <w:iCs/>
          </w:rPr>
          <w:t>Housing Ministers’ Advisory Committee, Social Housing Initiative Review</w:t>
        </w:r>
        <w:r w:rsidR="00BE04B1" w:rsidRPr="00047254">
          <w:rPr>
            <w:rStyle w:val="Hyperlink"/>
          </w:rPr>
          <w:t xml:space="preserve"> [PDF]</w:t>
        </w:r>
      </w:hyperlink>
      <w:r w:rsidR="00BE04B1" w:rsidRPr="00BE04B1">
        <w:t>, prepared by KPMG for the Department of Housing, September 2012, p 2, accessed 22 June 2021.</w:t>
      </w:r>
    </w:p>
  </w:footnote>
  <w:footnote w:id="45">
    <w:p w14:paraId="22C7243E" w14:textId="5A7B5E15" w:rsidR="0005343E" w:rsidRDefault="0005343E">
      <w:pPr>
        <w:pStyle w:val="FootnoteText"/>
      </w:pPr>
      <w:r w:rsidRPr="00BF6A4B">
        <w:footnoteRef/>
      </w:r>
      <w:r w:rsidRPr="00BF6A4B">
        <w:t xml:space="preserve"> </w:t>
      </w:r>
      <w:r w:rsidR="00BF6A4B">
        <w:tab/>
      </w:r>
      <w:r w:rsidR="00107A3E" w:rsidRPr="00107A3E">
        <w:t xml:space="preserve">ACT Government, </w:t>
      </w:r>
      <w:hyperlink r:id="rId42" w:history="1">
        <w:r w:rsidR="00107A3E" w:rsidRPr="005146AB">
          <w:rPr>
            <w:rStyle w:val="Hyperlink"/>
            <w:i/>
            <w:iCs/>
          </w:rPr>
          <w:t>Parliamentary and Governing Agreement – 10th Legislative Assembly for the Australian Capital Territor</w:t>
        </w:r>
        <w:r w:rsidR="00BF6A4B">
          <w:rPr>
            <w:rStyle w:val="Hyperlink"/>
            <w:i/>
            <w:iCs/>
          </w:rPr>
          <w:t xml:space="preserve">y </w:t>
        </w:r>
        <w:r w:rsidR="00BF6A4B">
          <w:rPr>
            <w:rStyle w:val="Hyperlink"/>
          </w:rPr>
          <w:t>[PDF]</w:t>
        </w:r>
      </w:hyperlink>
      <w:r w:rsidR="00107A3E" w:rsidRPr="00107A3E">
        <w:t>, ACT Government, 2020, accessed 2 May 2022.</w:t>
      </w:r>
    </w:p>
  </w:footnote>
  <w:footnote w:id="46">
    <w:p w14:paraId="4B8C9801" w14:textId="1BF31A19" w:rsidR="005146AB" w:rsidRDefault="005146AB">
      <w:pPr>
        <w:pStyle w:val="FootnoteText"/>
      </w:pPr>
      <w:r w:rsidRPr="00C25DFA">
        <w:footnoteRef/>
      </w:r>
      <w:r>
        <w:t xml:space="preserve"> </w:t>
      </w:r>
      <w:r w:rsidR="00C25DFA">
        <w:tab/>
      </w:r>
      <w:r w:rsidR="00E357AC" w:rsidRPr="00E357AC">
        <w:t xml:space="preserve">J Lawson, H Pawson, L Troy, R van den </w:t>
      </w:r>
      <w:proofErr w:type="spellStart"/>
      <w:r w:rsidR="00E357AC" w:rsidRPr="00E357AC">
        <w:t>Nouwelant</w:t>
      </w:r>
      <w:proofErr w:type="spellEnd"/>
      <w:r w:rsidR="00E357AC" w:rsidRPr="00E357AC">
        <w:t xml:space="preserve"> </w:t>
      </w:r>
      <w:r w:rsidR="00C25DFA">
        <w:t>&amp;</w:t>
      </w:r>
      <w:r w:rsidR="00E357AC" w:rsidRPr="00E357AC">
        <w:t xml:space="preserve"> C Hamilton, </w:t>
      </w:r>
      <w:hyperlink r:id="rId43" w:history="1">
        <w:r w:rsidR="00E357AC" w:rsidRPr="00D3325E">
          <w:rPr>
            <w:rStyle w:val="Hyperlink"/>
            <w:i/>
            <w:iCs/>
          </w:rPr>
          <w:t>Social housing as infrastructure: an investment pathway</w:t>
        </w:r>
      </w:hyperlink>
      <w:r w:rsidR="00E357AC" w:rsidRPr="00E357AC">
        <w:t xml:space="preserve">, </w:t>
      </w:r>
      <w:proofErr w:type="spellStart"/>
      <w:r w:rsidR="00E357AC" w:rsidRPr="00E357AC">
        <w:t>AHURI</w:t>
      </w:r>
      <w:proofErr w:type="spellEnd"/>
      <w:r w:rsidR="00E357AC" w:rsidRPr="00E357AC">
        <w:t xml:space="preserve"> Final Report 306, Australian Housing and Urban Research Institute Limited, 2018, p 63, accessed 22 June 2021.</w:t>
      </w:r>
    </w:p>
  </w:footnote>
  <w:footnote w:id="47">
    <w:p w14:paraId="44B97D9E" w14:textId="107DAEA8" w:rsidR="006E357E" w:rsidRDefault="006E357E">
      <w:pPr>
        <w:pStyle w:val="FootnoteText"/>
      </w:pPr>
      <w:r w:rsidRPr="00C25DFA">
        <w:footnoteRef/>
      </w:r>
      <w:r w:rsidRPr="00C25DFA">
        <w:t xml:space="preserve"> </w:t>
      </w:r>
      <w:r w:rsidR="00C25DFA">
        <w:tab/>
      </w:r>
      <w:r w:rsidR="00DD2972" w:rsidRPr="00DD2972">
        <w:t xml:space="preserve">L Troy, R van den </w:t>
      </w:r>
      <w:proofErr w:type="spellStart"/>
      <w:r w:rsidR="00DD2972" w:rsidRPr="00DD2972">
        <w:t>Nouwelant</w:t>
      </w:r>
      <w:proofErr w:type="spellEnd"/>
      <w:r w:rsidR="00DD2972" w:rsidRPr="00DD2972">
        <w:t xml:space="preserve"> &amp; B Randolph, </w:t>
      </w:r>
      <w:hyperlink r:id="rId44" w:history="1">
        <w:r w:rsidR="00DD2972" w:rsidRPr="00BB421A">
          <w:rPr>
            <w:rStyle w:val="Hyperlink"/>
            <w:i/>
            <w:iCs/>
          </w:rPr>
          <w:t>Estimating need and costs of social and affordable housing delivery</w:t>
        </w:r>
        <w:r w:rsidR="00DD2972" w:rsidRPr="00BB421A">
          <w:rPr>
            <w:rStyle w:val="Hyperlink"/>
          </w:rPr>
          <w:t xml:space="preserve"> [PDF</w:t>
        </w:r>
      </w:hyperlink>
      <w:r w:rsidR="00DD2972" w:rsidRPr="00DD2972">
        <w:t>], UNSW City Futures Research Centre, Sydney, 2019, p 3, accessed 29 March 2022.</w:t>
      </w:r>
    </w:p>
  </w:footnote>
  <w:footnote w:id="48">
    <w:p w14:paraId="6FA80236" w14:textId="6B0A6D67" w:rsidR="00D73EAF" w:rsidRDefault="00D73EAF" w:rsidP="00650F9B">
      <w:pPr>
        <w:pStyle w:val="FootnoteText"/>
      </w:pPr>
      <w:r>
        <w:footnoteRef/>
      </w:r>
      <w:r>
        <w:t xml:space="preserve"> </w:t>
      </w:r>
      <w:r w:rsidRPr="00BD2DAB">
        <w:tab/>
      </w:r>
      <w:r w:rsidRPr="00297347">
        <w:t xml:space="preserve">L Troy, R van den </w:t>
      </w:r>
      <w:proofErr w:type="spellStart"/>
      <w:r w:rsidRPr="00297347">
        <w:t>Nouwelant</w:t>
      </w:r>
      <w:proofErr w:type="spellEnd"/>
      <w:r w:rsidRPr="00297347">
        <w:t xml:space="preserve"> &amp; B Randolph, </w:t>
      </w:r>
      <w:hyperlink r:id="rId45" w:history="1">
        <w:r w:rsidRPr="00A6628E">
          <w:rPr>
            <w:rStyle w:val="Hyperlink"/>
            <w:i/>
          </w:rPr>
          <w:t>Estimating need and costs of social and affordable housing delivery</w:t>
        </w:r>
      </w:hyperlink>
      <w:r w:rsidRPr="00C25DFA">
        <w:rPr>
          <w:rStyle w:val="Hyperlink"/>
        </w:rPr>
        <w:t xml:space="preserve"> [PDF]</w:t>
      </w:r>
      <w:r w:rsidRPr="00297347">
        <w:t>, UNSW City Futures Research Centre, Sydney, 2019, p 3, accessed 29 March 2022.</w:t>
      </w:r>
    </w:p>
  </w:footnote>
  <w:footnote w:id="49">
    <w:p w14:paraId="231E5BC2" w14:textId="2395E54C" w:rsidR="00E42F32" w:rsidRDefault="00E42F32" w:rsidP="00E42F32">
      <w:pPr>
        <w:pStyle w:val="FootnoteText"/>
      </w:pPr>
      <w:r w:rsidRPr="00C25DFA">
        <w:footnoteRef/>
      </w:r>
      <w:r>
        <w:t xml:space="preserve"> </w:t>
      </w:r>
      <w:r w:rsidR="00C25DFA">
        <w:tab/>
      </w:r>
      <w:r w:rsidR="00824DD8" w:rsidRPr="00824DD8">
        <w:t>CHIA</w:t>
      </w:r>
      <w:r w:rsidRPr="00824DD8">
        <w:t xml:space="preserve"> ACT, </w:t>
      </w:r>
      <w:hyperlink r:id="rId46" w:history="1">
        <w:r w:rsidRPr="00824DD8">
          <w:rPr>
            <w:rStyle w:val="Hyperlink"/>
            <w:i/>
          </w:rPr>
          <w:t>Community Housing Industry Association (ACT Region) Policy Statement 20</w:t>
        </w:r>
        <w:r w:rsidR="00C542B9">
          <w:rPr>
            <w:rStyle w:val="Hyperlink"/>
            <w:i/>
          </w:rPr>
          <w:t>21</w:t>
        </w:r>
      </w:hyperlink>
      <w:r w:rsidRPr="00824DD8">
        <w:t>, CHIA ACT, Canberra, 2022</w:t>
      </w:r>
      <w:r w:rsidR="00E648CE" w:rsidRPr="00824DD8">
        <w:t>, accessed 19 May 2022</w:t>
      </w:r>
      <w:r w:rsidRPr="00824DD8">
        <w:t>.</w:t>
      </w:r>
    </w:p>
  </w:footnote>
  <w:footnote w:id="50">
    <w:p w14:paraId="5E211081" w14:textId="02A49720" w:rsidR="00A872DE" w:rsidRDefault="00A872DE">
      <w:pPr>
        <w:pStyle w:val="FootnoteText"/>
      </w:pPr>
      <w:r w:rsidRPr="00C52F68">
        <w:footnoteRef/>
      </w:r>
      <w:r w:rsidRPr="00C52F68">
        <w:t xml:space="preserve"> </w:t>
      </w:r>
      <w:r w:rsidR="00C52F68">
        <w:tab/>
      </w:r>
      <w:r w:rsidRPr="00A872DE">
        <w:t xml:space="preserve">ABS, </w:t>
      </w:r>
      <w:hyperlink r:id="rId47" w:history="1">
        <w:r w:rsidRPr="006E061B">
          <w:rPr>
            <w:rStyle w:val="Hyperlink"/>
            <w:i/>
            <w:iCs/>
          </w:rPr>
          <w:t>Census of Population and Housing: Estimating Homelessness, ABS, Canberra, 2018</w:t>
        </w:r>
      </w:hyperlink>
      <w:r w:rsidRPr="00A872DE">
        <w:t>, ‘Table 2.9 - Homeless operational groups and other marginal housing, Australian Capital Territory, by selected characteristics, 2016’, accessed 5 May 2022.</w:t>
      </w:r>
    </w:p>
  </w:footnote>
  <w:footnote w:id="51">
    <w:p w14:paraId="2B671455" w14:textId="4EBDC4CA" w:rsidR="00CC1434" w:rsidRDefault="00CC1434">
      <w:pPr>
        <w:pStyle w:val="FootnoteText"/>
      </w:pPr>
      <w:r w:rsidRPr="00D12CBA">
        <w:footnoteRef/>
      </w:r>
      <w:r w:rsidRPr="00D12CBA">
        <w:t xml:space="preserve"> </w:t>
      </w:r>
      <w:r w:rsidR="00D12CBA">
        <w:tab/>
        <w:t xml:space="preserve">N </w:t>
      </w:r>
      <w:proofErr w:type="spellStart"/>
      <w:r>
        <w:t>Cortis</w:t>
      </w:r>
      <w:proofErr w:type="spellEnd"/>
      <w:r>
        <w:t xml:space="preserve">, </w:t>
      </w:r>
      <w:r w:rsidR="00D12CBA">
        <w:t>M</w:t>
      </w:r>
      <w:r>
        <w:t xml:space="preserve"> Blaxland</w:t>
      </w:r>
      <w:r w:rsidR="000F2B8D">
        <w:t xml:space="preserve"> &amp; E</w:t>
      </w:r>
      <w:r>
        <w:t xml:space="preserve"> Adamson</w:t>
      </w:r>
      <w:r w:rsidR="000F2B8D">
        <w:t>,</w:t>
      </w:r>
      <w:r>
        <w:t xml:space="preserve"> </w:t>
      </w:r>
      <w:hyperlink r:id="rId48" w:history="1">
        <w:r w:rsidRPr="000F2B8D">
          <w:rPr>
            <w:rStyle w:val="Hyperlink"/>
            <w:i/>
            <w:iCs/>
          </w:rPr>
          <w:t>Counting the Costs: Sustainable funding for the ACT community services sector</w:t>
        </w:r>
      </w:hyperlink>
      <w:r w:rsidR="00A762BA">
        <w:t xml:space="preserve">, commissioned by </w:t>
      </w:r>
      <w:r w:rsidR="000F2B8D">
        <w:t>ACTCOSS</w:t>
      </w:r>
      <w:r w:rsidR="00A762BA">
        <w:t xml:space="preserve"> and ACT Government, </w:t>
      </w:r>
      <w:r w:rsidR="000F2B8D">
        <w:t xml:space="preserve">2021, </w:t>
      </w:r>
      <w:r w:rsidR="00A762BA">
        <w:t>accessed 12 May 2022.</w:t>
      </w:r>
    </w:p>
  </w:footnote>
  <w:footnote w:id="52">
    <w:p w14:paraId="256DE871" w14:textId="1E5BC4F9" w:rsidR="00F45402" w:rsidRDefault="00F45402">
      <w:pPr>
        <w:pStyle w:val="FootnoteText"/>
      </w:pPr>
      <w:r w:rsidRPr="000F2B8D">
        <w:footnoteRef/>
      </w:r>
      <w:r w:rsidRPr="000F2B8D">
        <w:t xml:space="preserve"> </w:t>
      </w:r>
      <w:r w:rsidR="000F2B8D" w:rsidRPr="000F2B8D">
        <w:tab/>
      </w:r>
      <w:r w:rsidR="000F2B8D">
        <w:t xml:space="preserve">N </w:t>
      </w:r>
      <w:proofErr w:type="spellStart"/>
      <w:r w:rsidR="000F2B8D">
        <w:t>Cortis</w:t>
      </w:r>
      <w:proofErr w:type="spellEnd"/>
      <w:r w:rsidR="000F2B8D">
        <w:t xml:space="preserve">, M Blaxland &amp; E Adamson, </w:t>
      </w:r>
      <w:hyperlink r:id="rId49" w:history="1">
        <w:r w:rsidR="000F2B8D" w:rsidRPr="000F2B8D">
          <w:rPr>
            <w:rStyle w:val="Hyperlink"/>
            <w:i/>
            <w:iCs/>
          </w:rPr>
          <w:t>Counting the Costs: Sustainable funding for the ACT community services sector</w:t>
        </w:r>
      </w:hyperlink>
      <w:r w:rsidR="000F2B8D">
        <w:t>, commissioned by ACTCOSS and ACT Government, 2021, accessed 12 May 2022.</w:t>
      </w:r>
    </w:p>
  </w:footnote>
  <w:footnote w:id="53">
    <w:p w14:paraId="081BF85C" w14:textId="45940183" w:rsidR="00643FA5" w:rsidRDefault="00643FA5">
      <w:pPr>
        <w:pStyle w:val="FootnoteText"/>
      </w:pPr>
      <w:r w:rsidRPr="004F4300">
        <w:footnoteRef/>
      </w:r>
      <w:r w:rsidRPr="004F4300">
        <w:t xml:space="preserve"> </w:t>
      </w:r>
      <w:r w:rsidR="004F4300">
        <w:tab/>
      </w:r>
      <w:r w:rsidR="007A1B1E" w:rsidRPr="007A1B1E">
        <w:t xml:space="preserve">ACT Government Community Services Directorate and the ACT Community Services Industry, </w:t>
      </w:r>
      <w:hyperlink r:id="rId50" w:history="1">
        <w:r w:rsidR="100A4F95" w:rsidRPr="100A4F95">
          <w:rPr>
            <w:rStyle w:val="Hyperlink"/>
            <w:i/>
            <w:iCs/>
          </w:rPr>
          <w:t>ACT Community Services Industry Strategy 2016-2026</w:t>
        </w:r>
        <w:r w:rsidR="00007538">
          <w:rPr>
            <w:rStyle w:val="Hyperlink"/>
            <w:i/>
            <w:iCs/>
          </w:rPr>
          <w:t xml:space="preserve"> </w:t>
        </w:r>
        <w:r w:rsidR="00200797">
          <w:rPr>
            <w:rStyle w:val="Hyperlink"/>
          </w:rPr>
          <w:t>[PDF</w:t>
        </w:r>
      </w:hyperlink>
      <w:r w:rsidR="00200797">
        <w:t>]</w:t>
      </w:r>
      <w:r w:rsidR="100A4F95" w:rsidRPr="007A1B1E">
        <w:t>,</w:t>
      </w:r>
      <w:r w:rsidR="007A1B1E" w:rsidRPr="007A1B1E">
        <w:t xml:space="preserve"> ACT Government Community Services Directorate, July 2016, accessed 22 June 2021.</w:t>
      </w:r>
    </w:p>
  </w:footnote>
  <w:footnote w:id="54">
    <w:p w14:paraId="477556E7" w14:textId="60BD0493" w:rsidR="00704A5E" w:rsidRDefault="00704A5E">
      <w:pPr>
        <w:pStyle w:val="FootnoteText"/>
      </w:pPr>
      <w:r w:rsidRPr="00981223">
        <w:footnoteRef/>
      </w:r>
      <w:r w:rsidRPr="00981223">
        <w:t xml:space="preserve"> </w:t>
      </w:r>
      <w:r w:rsidR="00981223">
        <w:tab/>
      </w:r>
      <w:r w:rsidR="00BD071B">
        <w:t>Workplace Gender Equality Agency</w:t>
      </w:r>
      <w:r w:rsidR="00981223">
        <w:t xml:space="preserve">, </w:t>
      </w:r>
      <w:hyperlink r:id="rId51" w:history="1">
        <w:r w:rsidR="00BD071B" w:rsidRPr="009174FA">
          <w:rPr>
            <w:rStyle w:val="Hyperlink"/>
            <w:i/>
            <w:iCs/>
          </w:rPr>
          <w:t>Australia’s Gender Pay Gap Statistic</w:t>
        </w:r>
        <w:r w:rsidR="00981223" w:rsidRPr="009174FA">
          <w:rPr>
            <w:rStyle w:val="Hyperlink"/>
            <w:i/>
            <w:iCs/>
          </w:rPr>
          <w:t>s</w:t>
        </w:r>
        <w:r w:rsidR="00981223">
          <w:rPr>
            <w:rStyle w:val="Hyperlink"/>
          </w:rPr>
          <w:t xml:space="preserve"> [PDF</w:t>
        </w:r>
        <w:r w:rsidR="009174FA">
          <w:rPr>
            <w:rStyle w:val="Hyperlink"/>
          </w:rPr>
          <w:t>]</w:t>
        </w:r>
      </w:hyperlink>
      <w:r w:rsidR="00A43505">
        <w:t>,</w:t>
      </w:r>
      <w:r w:rsidR="00981223">
        <w:t xml:space="preserve"> </w:t>
      </w:r>
      <w:r w:rsidR="009174FA">
        <w:t xml:space="preserve">Australian Government, </w:t>
      </w:r>
      <w:r w:rsidR="00981223">
        <w:t>2022,</w:t>
      </w:r>
      <w:r w:rsidR="00A43505">
        <w:t xml:space="preserve"> accessed 12 May 2022.</w:t>
      </w:r>
    </w:p>
  </w:footnote>
  <w:footnote w:id="55">
    <w:p w14:paraId="0909F831" w14:textId="3358A938" w:rsidR="00A43505" w:rsidRDefault="00A43505">
      <w:pPr>
        <w:pStyle w:val="FootnoteText"/>
      </w:pPr>
      <w:r w:rsidRPr="009174FA">
        <w:footnoteRef/>
      </w:r>
      <w:r w:rsidRPr="009174FA">
        <w:t xml:space="preserve"> </w:t>
      </w:r>
      <w:r w:rsidR="009174FA">
        <w:tab/>
        <w:t xml:space="preserve">Workplace Gender Equality Agency, </w:t>
      </w:r>
      <w:hyperlink r:id="rId52" w:history="1">
        <w:r w:rsidR="009174FA" w:rsidRPr="009174FA">
          <w:rPr>
            <w:rStyle w:val="Hyperlink"/>
            <w:i/>
            <w:iCs/>
          </w:rPr>
          <w:t>Australia’s Gender Pay Gap Statistics</w:t>
        </w:r>
        <w:r w:rsidR="009174FA">
          <w:rPr>
            <w:rStyle w:val="Hyperlink"/>
          </w:rPr>
          <w:t xml:space="preserve"> [PDF]</w:t>
        </w:r>
      </w:hyperlink>
      <w:r w:rsidR="009174FA">
        <w:t>, Australian Government, 2022, accessed 12 May 2022.</w:t>
      </w:r>
    </w:p>
  </w:footnote>
  <w:footnote w:id="56">
    <w:p w14:paraId="5691F8CA" w14:textId="56267607" w:rsidR="00044E33" w:rsidRDefault="00044E33">
      <w:pPr>
        <w:pStyle w:val="FootnoteText"/>
      </w:pPr>
      <w:r w:rsidRPr="009174FA">
        <w:footnoteRef/>
      </w:r>
      <w:r w:rsidRPr="009174FA">
        <w:t xml:space="preserve"> </w:t>
      </w:r>
      <w:r w:rsidR="009174FA">
        <w:tab/>
      </w:r>
      <w:r w:rsidRPr="00044E33">
        <w:t xml:space="preserve">D Wood, K Griffiths </w:t>
      </w:r>
      <w:r w:rsidR="009174FA">
        <w:t>&amp;</w:t>
      </w:r>
      <w:r w:rsidRPr="00044E33">
        <w:t xml:space="preserve"> T Crowley, </w:t>
      </w:r>
      <w:hyperlink r:id="rId53" w:history="1">
        <w:r w:rsidR="1382C466" w:rsidRPr="1382C466">
          <w:rPr>
            <w:rStyle w:val="Hyperlink"/>
            <w:i/>
            <w:iCs/>
          </w:rPr>
          <w:t>Women’s work: The impact of the COVID crisis on Australian women</w:t>
        </w:r>
      </w:hyperlink>
      <w:r w:rsidR="1382C466" w:rsidRPr="00044E33">
        <w:t>,</w:t>
      </w:r>
      <w:r w:rsidRPr="00044E33">
        <w:t xml:space="preserve"> Grattan Institute, March 2021, p 38, accessed 22 June 2021.</w:t>
      </w:r>
    </w:p>
  </w:footnote>
  <w:footnote w:id="57">
    <w:p w14:paraId="42C19389" w14:textId="65CD2559" w:rsidR="00CC5697" w:rsidRPr="008A66CB" w:rsidRDefault="00CC5697" w:rsidP="00CC5697">
      <w:pPr>
        <w:pStyle w:val="FootnoteText"/>
        <w:rPr>
          <w:lang w:val="en-US"/>
        </w:rPr>
      </w:pPr>
      <w:r w:rsidRPr="008353E3">
        <w:footnoteRef/>
      </w:r>
      <w:r w:rsidRPr="008353E3">
        <w:t xml:space="preserve"> </w:t>
      </w:r>
      <w:r w:rsidR="008353E3">
        <w:tab/>
      </w:r>
      <w:r w:rsidR="008353E3">
        <w:rPr>
          <w:lang w:val="en-US"/>
        </w:rPr>
        <w:t>ABS</w:t>
      </w:r>
      <w:r>
        <w:rPr>
          <w:lang w:val="en-US"/>
        </w:rPr>
        <w:t xml:space="preserve">, </w:t>
      </w:r>
      <w:hyperlink r:id="rId54" w:history="1">
        <w:r w:rsidRPr="00526013">
          <w:rPr>
            <w:rStyle w:val="Hyperlink"/>
            <w:lang w:val="en-US"/>
          </w:rPr>
          <w:t>Data by region: Aboriginal and Torres Strait Islander Peoples</w:t>
        </w:r>
      </w:hyperlink>
      <w:r>
        <w:rPr>
          <w:lang w:val="en-US"/>
        </w:rPr>
        <w:t xml:space="preserve">, </w:t>
      </w:r>
      <w:r w:rsidR="008353E3">
        <w:rPr>
          <w:lang w:val="en-US"/>
        </w:rPr>
        <w:t xml:space="preserve">ABS, </w:t>
      </w:r>
      <w:r w:rsidR="00B57C08">
        <w:rPr>
          <w:lang w:val="en-US"/>
        </w:rPr>
        <w:t xml:space="preserve">2019, </w:t>
      </w:r>
      <w:r>
        <w:rPr>
          <w:lang w:val="en-US"/>
        </w:rPr>
        <w:t>accessed 17 March 2022.</w:t>
      </w:r>
    </w:p>
  </w:footnote>
  <w:footnote w:id="58">
    <w:p w14:paraId="1745B4E8" w14:textId="7A159C87" w:rsidR="00CC5697" w:rsidRPr="00727742" w:rsidRDefault="00CC5697" w:rsidP="00CC5697">
      <w:pPr>
        <w:pStyle w:val="FootnoteText"/>
        <w:rPr>
          <w:lang w:val="en-US"/>
        </w:rPr>
      </w:pPr>
      <w:r w:rsidRPr="008353E3">
        <w:footnoteRef/>
      </w:r>
      <w:r w:rsidRPr="008353E3">
        <w:t xml:space="preserve"> </w:t>
      </w:r>
      <w:r w:rsidR="008353E3">
        <w:tab/>
      </w:r>
      <w:r w:rsidRPr="008353E3">
        <w:t>A</w:t>
      </w:r>
      <w:r w:rsidRPr="0061235C">
        <w:t xml:space="preserve">BS, </w:t>
      </w:r>
      <w:hyperlink r:id="rId55" w:history="1">
        <w:r w:rsidRPr="0061235C">
          <w:rPr>
            <w:rStyle w:val="Hyperlink"/>
            <w:i/>
            <w:iCs/>
          </w:rPr>
          <w:t>4430.0 - Disability, Ageing and Carers, Australia: Summary of Findings, 2018</w:t>
        </w:r>
      </w:hyperlink>
      <w:r w:rsidRPr="0061235C">
        <w:t>, ABS, 2019, accessed 22 June 2021</w:t>
      </w:r>
    </w:p>
  </w:footnote>
  <w:footnote w:id="59">
    <w:p w14:paraId="54291E9E" w14:textId="500B9989" w:rsidR="00E464D2" w:rsidRPr="004E6470" w:rsidRDefault="00E464D2" w:rsidP="00E464D2">
      <w:pPr>
        <w:pStyle w:val="FootnoteText"/>
        <w:rPr>
          <w:lang w:val="en-US"/>
        </w:rPr>
      </w:pPr>
      <w:r w:rsidRPr="008353E3">
        <w:footnoteRef/>
      </w:r>
      <w:r w:rsidRPr="008353E3">
        <w:t xml:space="preserve"> </w:t>
      </w:r>
      <w:r w:rsidR="008353E3">
        <w:tab/>
      </w:r>
      <w:r>
        <w:rPr>
          <w:lang w:val="en-US"/>
        </w:rPr>
        <w:t xml:space="preserve">Australian Government, Australian Institute of Health and Welfare, </w:t>
      </w:r>
      <w:hyperlink r:id="rId56" w:history="1">
        <w:r w:rsidRPr="00C61C06">
          <w:rPr>
            <w:rStyle w:val="Hyperlink"/>
            <w:lang w:val="en-US"/>
          </w:rPr>
          <w:t>Specialist Homelessness Services 2020-21: Australian Capital Territory</w:t>
        </w:r>
      </w:hyperlink>
      <w:r>
        <w:rPr>
          <w:lang w:val="en-US"/>
        </w:rPr>
        <w:t>,</w:t>
      </w:r>
      <w:r w:rsidR="0011455F">
        <w:rPr>
          <w:lang w:val="en-US"/>
        </w:rPr>
        <w:t xml:space="preserve"> 30 April 2021,</w:t>
      </w:r>
      <w:r>
        <w:rPr>
          <w:lang w:val="en-US"/>
        </w:rPr>
        <w:t xml:space="preserve"> accessed 16 March 2022.</w:t>
      </w:r>
    </w:p>
  </w:footnote>
  <w:footnote w:id="60">
    <w:p w14:paraId="48886DFD" w14:textId="40DC379D" w:rsidR="00E464D2" w:rsidRPr="00905030" w:rsidRDefault="00E464D2" w:rsidP="00E464D2">
      <w:pPr>
        <w:pStyle w:val="FootnoteText"/>
        <w:rPr>
          <w:lang w:val="en-US"/>
        </w:rPr>
      </w:pPr>
      <w:r w:rsidRPr="00691210">
        <w:footnoteRef/>
      </w:r>
      <w:r w:rsidRPr="00691210">
        <w:t xml:space="preserve"> </w:t>
      </w:r>
      <w:r w:rsidR="00691210">
        <w:tab/>
      </w:r>
      <w:r>
        <w:rPr>
          <w:lang w:val="en-US"/>
        </w:rPr>
        <w:t xml:space="preserve">Australian Government </w:t>
      </w:r>
      <w:proofErr w:type="spellStart"/>
      <w:r w:rsidR="0011455F">
        <w:rPr>
          <w:lang w:val="en-US"/>
        </w:rPr>
        <w:t>AIHW</w:t>
      </w:r>
      <w:proofErr w:type="spellEnd"/>
      <w:r>
        <w:rPr>
          <w:lang w:val="en-US"/>
        </w:rPr>
        <w:t xml:space="preserve">, </w:t>
      </w:r>
      <w:hyperlink r:id="rId57" w:anchor="findings" w:history="1">
        <w:r w:rsidRPr="000C4EB4">
          <w:rPr>
            <w:rStyle w:val="Hyperlink"/>
            <w:lang w:val="en-US"/>
          </w:rPr>
          <w:t>Aboriginal and Torres Strait Islander Health Performance Framework: 2.01 Housing</w:t>
        </w:r>
      </w:hyperlink>
      <w:r>
        <w:rPr>
          <w:lang w:val="en-US"/>
        </w:rPr>
        <w:t xml:space="preserve">, </w:t>
      </w:r>
      <w:proofErr w:type="spellStart"/>
      <w:r w:rsidR="0011455F">
        <w:rPr>
          <w:lang w:val="en-US"/>
        </w:rPr>
        <w:t>AIHW</w:t>
      </w:r>
      <w:proofErr w:type="spellEnd"/>
      <w:r w:rsidR="0011455F">
        <w:rPr>
          <w:lang w:val="en-US"/>
        </w:rPr>
        <w:t xml:space="preserve">, </w:t>
      </w:r>
      <w:r>
        <w:rPr>
          <w:lang w:val="en-US"/>
        </w:rPr>
        <w:t>accessed 17 March 2022.</w:t>
      </w:r>
    </w:p>
  </w:footnote>
  <w:footnote w:id="61">
    <w:p w14:paraId="70D4E56D" w14:textId="0EE39EBB" w:rsidR="002C6F07" w:rsidRPr="00B852CD" w:rsidRDefault="002C6F07" w:rsidP="002C6F07">
      <w:pPr>
        <w:pStyle w:val="FootnoteText"/>
        <w:rPr>
          <w:lang w:val="en-US"/>
        </w:rPr>
      </w:pPr>
      <w:r w:rsidRPr="00B57C08">
        <w:footnoteRef/>
      </w:r>
      <w:r w:rsidRPr="00B57C08">
        <w:t xml:space="preserve"> </w:t>
      </w:r>
      <w:r w:rsidR="00B57C08">
        <w:tab/>
      </w:r>
      <w:r w:rsidR="00B57C08">
        <w:rPr>
          <w:lang w:val="en-US"/>
        </w:rPr>
        <w:t>ABS</w:t>
      </w:r>
      <w:r>
        <w:rPr>
          <w:lang w:val="en-US"/>
        </w:rPr>
        <w:t xml:space="preserve">, </w:t>
      </w:r>
      <w:hyperlink r:id="rId58" w:history="1">
        <w:r w:rsidRPr="007204F9">
          <w:rPr>
            <w:rStyle w:val="Hyperlink"/>
            <w:lang w:val="en-US"/>
          </w:rPr>
          <w:t>2016 Census Community Profiles: Australian Capital Territory</w:t>
        </w:r>
      </w:hyperlink>
      <w:r>
        <w:rPr>
          <w:lang w:val="en-US"/>
        </w:rPr>
        <w:t xml:space="preserve">, </w:t>
      </w:r>
      <w:r w:rsidR="00B57C08">
        <w:rPr>
          <w:lang w:val="en-US"/>
        </w:rPr>
        <w:t xml:space="preserve">ABS, </w:t>
      </w:r>
      <w:r>
        <w:rPr>
          <w:lang w:val="en-US"/>
        </w:rPr>
        <w:t>accessed 16 March 2022.</w:t>
      </w:r>
    </w:p>
  </w:footnote>
  <w:footnote w:id="62">
    <w:p w14:paraId="2A3D29AC" w14:textId="055B6CA7" w:rsidR="00F77455" w:rsidRPr="003838F6" w:rsidRDefault="00F77455" w:rsidP="00F77455">
      <w:pPr>
        <w:pStyle w:val="FootnoteText"/>
        <w:rPr>
          <w:lang w:val="en-US"/>
        </w:rPr>
      </w:pPr>
      <w:r w:rsidRPr="00CC48BB">
        <w:footnoteRef/>
      </w:r>
      <w:r w:rsidRPr="00CC48BB">
        <w:t xml:space="preserve"> </w:t>
      </w:r>
      <w:r w:rsidR="00CC48BB">
        <w:tab/>
      </w:r>
      <w:r>
        <w:rPr>
          <w:lang w:val="en-US"/>
        </w:rPr>
        <w:t xml:space="preserve">Australian Government Productivity Commission, </w:t>
      </w:r>
      <w:hyperlink r:id="rId59" w:history="1">
        <w:r w:rsidRPr="00B44617">
          <w:rPr>
            <w:rStyle w:val="Hyperlink"/>
            <w:i/>
            <w:iCs/>
            <w:lang w:val="en-US"/>
          </w:rPr>
          <w:t>Report on Government Services 2022: Justice</w:t>
        </w:r>
      </w:hyperlink>
      <w:r>
        <w:rPr>
          <w:lang w:val="en-US"/>
        </w:rPr>
        <w:t xml:space="preserve">, </w:t>
      </w:r>
      <w:r w:rsidR="00CC48BB">
        <w:rPr>
          <w:lang w:val="en-US"/>
        </w:rPr>
        <w:t xml:space="preserve">2022, </w:t>
      </w:r>
      <w:r>
        <w:rPr>
          <w:lang w:val="en-US"/>
        </w:rPr>
        <w:t>accessed 28 January 2022</w:t>
      </w:r>
      <w:r w:rsidR="00B44617">
        <w:rPr>
          <w:lang w:val="en-US"/>
        </w:rPr>
        <w:t>.</w:t>
      </w:r>
    </w:p>
  </w:footnote>
  <w:footnote w:id="63">
    <w:p w14:paraId="07747418" w14:textId="071D08F6" w:rsidR="00F77455" w:rsidRPr="00F15B83" w:rsidRDefault="00F77455" w:rsidP="00F77455">
      <w:pPr>
        <w:pStyle w:val="FootnoteText"/>
        <w:rPr>
          <w:lang w:val="en-US"/>
        </w:rPr>
      </w:pPr>
      <w:r w:rsidRPr="00B44617">
        <w:footnoteRef/>
      </w:r>
      <w:r w:rsidRPr="00B44617">
        <w:t xml:space="preserve"> </w:t>
      </w:r>
      <w:r w:rsidR="00B44617">
        <w:tab/>
      </w:r>
      <w:r w:rsidR="00B44617">
        <w:rPr>
          <w:lang w:val="en-US"/>
        </w:rPr>
        <w:t xml:space="preserve">Australian Government Productivity Commission, </w:t>
      </w:r>
      <w:hyperlink r:id="rId60" w:history="1">
        <w:r w:rsidR="00B44617" w:rsidRPr="00B44617">
          <w:rPr>
            <w:rStyle w:val="Hyperlink"/>
            <w:i/>
            <w:iCs/>
            <w:lang w:val="en-US"/>
          </w:rPr>
          <w:t>Report on Government Services 2022: Justice</w:t>
        </w:r>
      </w:hyperlink>
      <w:r w:rsidR="00B44617">
        <w:rPr>
          <w:lang w:val="en-US"/>
        </w:rPr>
        <w:t>, 2022, accessed 28 January 2022.</w:t>
      </w:r>
    </w:p>
  </w:footnote>
  <w:footnote w:id="64">
    <w:p w14:paraId="19967092" w14:textId="459004AC" w:rsidR="00F77455" w:rsidRPr="00B54580" w:rsidRDefault="00F77455" w:rsidP="00F77455">
      <w:pPr>
        <w:pStyle w:val="FootnoteText"/>
        <w:rPr>
          <w:lang w:val="en-US"/>
        </w:rPr>
      </w:pPr>
      <w:r w:rsidRPr="000B1D58">
        <w:footnoteRef/>
      </w:r>
      <w:r w:rsidRPr="000B1D58">
        <w:t xml:space="preserve"> </w:t>
      </w:r>
      <w:r w:rsidR="000B1D58">
        <w:tab/>
      </w:r>
      <w:r w:rsidR="006B1BA6">
        <w:t>ABS</w:t>
      </w:r>
      <w:r>
        <w:rPr>
          <w:lang w:val="en-US"/>
        </w:rPr>
        <w:t xml:space="preserve">, </w:t>
      </w:r>
      <w:hyperlink r:id="rId61" w:anchor="data-download" w:history="1">
        <w:r w:rsidRPr="003F113A">
          <w:rPr>
            <w:rStyle w:val="Hyperlink"/>
            <w:i/>
            <w:lang w:val="en-US"/>
          </w:rPr>
          <w:t>Prisoners in Australia</w:t>
        </w:r>
      </w:hyperlink>
      <w:r w:rsidR="000B1D58">
        <w:rPr>
          <w:lang w:val="en-US"/>
        </w:rPr>
        <w:t>,</w:t>
      </w:r>
      <w:r>
        <w:rPr>
          <w:lang w:val="en-US"/>
        </w:rPr>
        <w:t xml:space="preserve"> Prisoner characteristics, States and territories, </w:t>
      </w:r>
      <w:r w:rsidR="006B1BA6">
        <w:rPr>
          <w:lang w:val="en-US"/>
        </w:rPr>
        <w:t xml:space="preserve">ABS, </w:t>
      </w:r>
      <w:r w:rsidR="00350B67">
        <w:rPr>
          <w:lang w:val="en-US"/>
        </w:rPr>
        <w:t xml:space="preserve">2021, </w:t>
      </w:r>
      <w:r>
        <w:rPr>
          <w:lang w:val="en-US"/>
        </w:rPr>
        <w:t>accessed 1 March, 2022.</w:t>
      </w:r>
    </w:p>
  </w:footnote>
  <w:footnote w:id="65">
    <w:p w14:paraId="2CB340AD" w14:textId="37E010F7" w:rsidR="003F113A" w:rsidRPr="003F113A" w:rsidRDefault="003F113A">
      <w:pPr>
        <w:pStyle w:val="FootnoteText"/>
      </w:pPr>
      <w:r w:rsidRPr="003F113A">
        <w:footnoteRef/>
      </w:r>
      <w:r w:rsidRPr="003F113A">
        <w:t xml:space="preserve"> </w:t>
      </w:r>
      <w:r>
        <w:tab/>
        <w:t>ABS</w:t>
      </w:r>
      <w:r>
        <w:rPr>
          <w:lang w:val="en-US"/>
        </w:rPr>
        <w:t xml:space="preserve">, </w:t>
      </w:r>
      <w:hyperlink r:id="rId62" w:anchor="data-download" w:history="1">
        <w:r w:rsidRPr="003F113A">
          <w:rPr>
            <w:rStyle w:val="Hyperlink"/>
            <w:i/>
            <w:iCs/>
            <w:lang w:val="en-US"/>
          </w:rPr>
          <w:t>Prisoners in Australia</w:t>
        </w:r>
      </w:hyperlink>
      <w:r>
        <w:rPr>
          <w:lang w:val="en-US"/>
        </w:rPr>
        <w:t>, Prisoner characteristics, States and territories, ABS, 2021, accessed 1 March, 2022.</w:t>
      </w:r>
    </w:p>
  </w:footnote>
  <w:footnote w:id="66">
    <w:p w14:paraId="0B50201E" w14:textId="157D0F42" w:rsidR="00B23AEB" w:rsidRPr="00924E59" w:rsidRDefault="00B23AEB" w:rsidP="00B23AEB">
      <w:pPr>
        <w:pStyle w:val="FootnoteText"/>
        <w:rPr>
          <w:lang w:val="en-US"/>
        </w:rPr>
      </w:pPr>
      <w:r w:rsidRPr="000B1D58">
        <w:footnoteRef/>
      </w:r>
      <w:r w:rsidRPr="000B1D58">
        <w:t xml:space="preserve"> </w:t>
      </w:r>
      <w:r w:rsidR="000B1D58">
        <w:tab/>
      </w:r>
      <w:r w:rsidRPr="000B1D58">
        <w:t>A</w:t>
      </w:r>
      <w:r>
        <w:t xml:space="preserve">ustralian Government Productivity Commission, </w:t>
      </w:r>
      <w:hyperlink r:id="rId63" w:history="1">
        <w:r w:rsidRPr="000B1D58">
          <w:rPr>
            <w:rStyle w:val="Hyperlink"/>
            <w:i/>
            <w:iCs/>
          </w:rPr>
          <w:t>Report on Government Services: Community Services</w:t>
        </w:r>
      </w:hyperlink>
      <w:r>
        <w:t>,</w:t>
      </w:r>
      <w:r w:rsidR="000B1D58">
        <w:t xml:space="preserve"> </w:t>
      </w:r>
      <w:r w:rsidR="000B1D58" w:rsidRPr="000B1D58">
        <w:t>A</w:t>
      </w:r>
      <w:r w:rsidR="000B1D58">
        <w:t>ustralian Government Productivity Commission</w:t>
      </w:r>
      <w:r w:rsidR="000B1D58">
        <w:t xml:space="preserve">, </w:t>
      </w:r>
      <w:r w:rsidR="000B1D58">
        <w:t>2022,</w:t>
      </w:r>
      <w:r>
        <w:t xml:space="preserve"> accessed 25 January 2022.</w:t>
      </w:r>
    </w:p>
  </w:footnote>
  <w:footnote w:id="67">
    <w:p w14:paraId="1BECC2DE" w14:textId="52374119" w:rsidR="00B23AEB" w:rsidRPr="00A24CC2" w:rsidRDefault="00B23AEB" w:rsidP="006B1BA6">
      <w:pPr>
        <w:pStyle w:val="FootnoteText"/>
        <w:rPr>
          <w:lang w:val="en-US"/>
        </w:rPr>
      </w:pPr>
      <w:r w:rsidRPr="006B1BA6">
        <w:footnoteRef/>
      </w:r>
      <w:r w:rsidRPr="006B1BA6">
        <w:t xml:space="preserve"> </w:t>
      </w:r>
      <w:r w:rsidR="006B1BA6">
        <w:tab/>
      </w:r>
      <w:r w:rsidR="006B1BA6" w:rsidRPr="000B1D58">
        <w:t>A</w:t>
      </w:r>
      <w:r w:rsidR="006B1BA6">
        <w:t xml:space="preserve">ustralian Government Productivity Commission, </w:t>
      </w:r>
      <w:hyperlink r:id="rId64" w:history="1">
        <w:r w:rsidR="006B1BA6" w:rsidRPr="000B1D58">
          <w:rPr>
            <w:rStyle w:val="Hyperlink"/>
            <w:i/>
            <w:iCs/>
          </w:rPr>
          <w:t>Report on Government Services: Community Services</w:t>
        </w:r>
      </w:hyperlink>
      <w:r w:rsidR="006B1BA6">
        <w:t xml:space="preserve">, </w:t>
      </w:r>
      <w:r w:rsidR="006B1BA6" w:rsidRPr="000B1D58">
        <w:t>A</w:t>
      </w:r>
      <w:r w:rsidR="006B1BA6">
        <w:t>ustralian Government Productivity Commission, 2022, accessed 25 January 2022.</w:t>
      </w:r>
    </w:p>
  </w:footnote>
  <w:footnote w:id="68">
    <w:p w14:paraId="3363DABD" w14:textId="2150012C" w:rsidR="00603AE8" w:rsidRPr="00603AE8" w:rsidRDefault="00603AE8">
      <w:pPr>
        <w:pStyle w:val="FootnoteText"/>
      </w:pPr>
      <w:r w:rsidRPr="00603AE8">
        <w:footnoteRef/>
      </w:r>
      <w:r>
        <w:t xml:space="preserve"> </w:t>
      </w:r>
      <w:r>
        <w:tab/>
      </w:r>
      <w:r w:rsidR="006B1BA6">
        <w:t xml:space="preserve">ACTCOSS, </w:t>
      </w:r>
      <w:hyperlink r:id="rId65" w:history="1">
        <w:r w:rsidR="006B1BA6" w:rsidRPr="00B45E43">
          <w:rPr>
            <w:rStyle w:val="Hyperlink"/>
            <w:i/>
            <w:iCs/>
          </w:rPr>
          <w:t>2022 ACT Cost of Living Report</w:t>
        </w:r>
      </w:hyperlink>
      <w:r w:rsidR="006B1BA6">
        <w:t>, ACTCOSS, Canberra, May 2022, accessed 12 May 2022.</w:t>
      </w:r>
    </w:p>
  </w:footnote>
  <w:footnote w:id="69">
    <w:p w14:paraId="154F6BA3" w14:textId="55D93AA8" w:rsidR="00001FA2" w:rsidRPr="00001FA2" w:rsidRDefault="00001FA2">
      <w:pPr>
        <w:pStyle w:val="FootnoteText"/>
      </w:pPr>
      <w:r w:rsidRPr="00A54F88">
        <w:footnoteRef/>
      </w:r>
      <w:r w:rsidRPr="00001FA2">
        <w:t xml:space="preserve"> </w:t>
      </w:r>
      <w:r>
        <w:tab/>
      </w:r>
      <w:r w:rsidRPr="00001FA2">
        <w:t xml:space="preserve">ABS, </w:t>
      </w:r>
      <w:hyperlink r:id="rId66" w:history="1">
        <w:r w:rsidRPr="00001FA2">
          <w:rPr>
            <w:rStyle w:val="Hyperlink"/>
            <w:i/>
            <w:iCs/>
          </w:rPr>
          <w:t>Consumer Price Index, Australia</w:t>
        </w:r>
      </w:hyperlink>
      <w:r w:rsidRPr="00001FA2">
        <w:rPr>
          <w:i/>
          <w:iCs/>
        </w:rPr>
        <w:t xml:space="preserve">, </w:t>
      </w:r>
      <w:r w:rsidRPr="00001FA2">
        <w:t>Reference period December 2021, ABS, 2021, accessed 21 April 2022</w:t>
      </w:r>
      <w:r w:rsidR="00A54F88">
        <w:t>.</w:t>
      </w:r>
    </w:p>
  </w:footnote>
  <w:footnote w:id="70">
    <w:p w14:paraId="0E568CB7" w14:textId="7DAEC8CF" w:rsidR="000D3364" w:rsidRDefault="000D3364">
      <w:pPr>
        <w:pStyle w:val="FootnoteText"/>
      </w:pPr>
      <w:r w:rsidRPr="00BA1460">
        <w:footnoteRef/>
      </w:r>
      <w:r w:rsidR="00B00118" w:rsidRPr="00BA1460">
        <w:t xml:space="preserve"> </w:t>
      </w:r>
      <w:r w:rsidR="00BA1460">
        <w:tab/>
      </w:r>
      <w:r w:rsidR="00A87471">
        <w:t xml:space="preserve">Australian Government </w:t>
      </w:r>
      <w:r w:rsidR="00B00118">
        <w:t>Productivity Commission</w:t>
      </w:r>
      <w:r w:rsidR="002A28DC">
        <w:t xml:space="preserve">, </w:t>
      </w:r>
      <w:hyperlink r:id="rId67" w:history="1">
        <w:r w:rsidR="00A87471" w:rsidRPr="00A87471">
          <w:rPr>
            <w:rStyle w:val="Hyperlink"/>
            <w:i/>
            <w:iCs/>
          </w:rPr>
          <w:t>Report on Government Services 2022:</w:t>
        </w:r>
        <w:r w:rsidR="00B00118" w:rsidRPr="00A87471">
          <w:rPr>
            <w:rStyle w:val="Hyperlink"/>
            <w:i/>
            <w:iCs/>
          </w:rPr>
          <w:t xml:space="preserve"> Primary and Community Health</w:t>
        </w:r>
      </w:hyperlink>
      <w:r w:rsidR="002A28DC">
        <w:t xml:space="preserve">, </w:t>
      </w:r>
      <w:r w:rsidR="00A87471">
        <w:t>Australian Government Productivity Commission,</w:t>
      </w:r>
      <w:r w:rsidR="00A87471">
        <w:t xml:space="preserve"> 2022, </w:t>
      </w:r>
      <w:r w:rsidR="002A28DC">
        <w:t>accessed 1 February 2022.</w:t>
      </w:r>
    </w:p>
  </w:footnote>
  <w:footnote w:id="71">
    <w:p w14:paraId="4AC20352" w14:textId="29277506" w:rsidR="009811CA" w:rsidRDefault="009811CA">
      <w:pPr>
        <w:pStyle w:val="FootnoteText"/>
      </w:pPr>
      <w:r w:rsidRPr="00A87471">
        <w:footnoteRef/>
      </w:r>
      <w:r w:rsidRPr="00A87471">
        <w:t xml:space="preserve"> </w:t>
      </w:r>
      <w:r w:rsidR="00A87471">
        <w:tab/>
      </w:r>
      <w:r w:rsidR="00A87471">
        <w:t xml:space="preserve">Australian Government Productivity Commission, </w:t>
      </w:r>
      <w:hyperlink r:id="rId68" w:history="1">
        <w:r w:rsidR="00A87471" w:rsidRPr="00A87471">
          <w:rPr>
            <w:rStyle w:val="Hyperlink"/>
            <w:i/>
            <w:iCs/>
          </w:rPr>
          <w:t>Report on Government Services 2022: Primary and Community Health</w:t>
        </w:r>
      </w:hyperlink>
      <w:r w:rsidR="00A87471">
        <w:t>, Australian Government Productivity Commission, 2022, accessed 1 February 2022.</w:t>
      </w:r>
    </w:p>
  </w:footnote>
  <w:footnote w:id="72">
    <w:p w14:paraId="36AE9C09" w14:textId="3BD34B2E" w:rsidR="00D61942" w:rsidRPr="00D61942" w:rsidRDefault="00D61942">
      <w:pPr>
        <w:pStyle w:val="FootnoteText"/>
      </w:pPr>
      <w:r w:rsidRPr="00D61942">
        <w:footnoteRef/>
      </w:r>
      <w:r w:rsidRPr="00D61942">
        <w:t xml:space="preserve"> </w:t>
      </w:r>
      <w:r>
        <w:tab/>
      </w:r>
      <w:r>
        <w:t xml:space="preserve">Australian Government Productivity Commission, </w:t>
      </w:r>
      <w:hyperlink r:id="rId69" w:history="1">
        <w:r w:rsidRPr="00A87471">
          <w:rPr>
            <w:rStyle w:val="Hyperlink"/>
            <w:i/>
            <w:iCs/>
          </w:rPr>
          <w:t>Report on Government Services 2022: Primary and Community Health</w:t>
        </w:r>
      </w:hyperlink>
      <w:r>
        <w:t>, Australian Government Productivity Commission, 2022, accessed 1 February 2022.</w:t>
      </w:r>
    </w:p>
  </w:footnote>
  <w:footnote w:id="73">
    <w:p w14:paraId="312A9526" w14:textId="3ACDA327" w:rsidR="001228E1" w:rsidRDefault="001228E1" w:rsidP="001228E1">
      <w:pPr>
        <w:pStyle w:val="FootnoteText"/>
      </w:pPr>
      <w:r w:rsidRPr="000378CA">
        <w:footnoteRef/>
      </w:r>
      <w:r w:rsidRPr="000378CA">
        <w:t xml:space="preserve"> </w:t>
      </w:r>
      <w:r w:rsidR="000378CA">
        <w:tab/>
      </w:r>
      <w:proofErr w:type="spellStart"/>
      <w:r w:rsidR="00700CC9">
        <w:t>AIHW</w:t>
      </w:r>
      <w:proofErr w:type="spellEnd"/>
      <w:r>
        <w:t xml:space="preserve">, </w:t>
      </w:r>
      <w:hyperlink r:id="rId70" w:history="1">
        <w:r w:rsidRPr="00933D8B">
          <w:rPr>
            <w:rStyle w:val="Hyperlink"/>
            <w:i/>
            <w:iCs/>
          </w:rPr>
          <w:t>Mental health impact of COVID-1</w:t>
        </w:r>
        <w:r w:rsidR="00933D8B" w:rsidRPr="00933D8B">
          <w:rPr>
            <w:rStyle w:val="Hyperlink"/>
            <w:i/>
            <w:iCs/>
          </w:rPr>
          <w:t>9</w:t>
        </w:r>
        <w:r w:rsidR="00933D8B">
          <w:rPr>
            <w:rStyle w:val="Hyperlink"/>
          </w:rPr>
          <w:t xml:space="preserve"> [PDF]</w:t>
        </w:r>
      </w:hyperlink>
      <w:r>
        <w:t xml:space="preserve">, </w:t>
      </w:r>
      <w:proofErr w:type="spellStart"/>
      <w:r>
        <w:t>AIHW</w:t>
      </w:r>
      <w:proofErr w:type="spellEnd"/>
      <w:r>
        <w:t xml:space="preserve">, </w:t>
      </w:r>
      <w:r w:rsidR="000378CA">
        <w:t xml:space="preserve">2022, </w:t>
      </w:r>
      <w:r>
        <w:t>accessed 17 May 2022.</w:t>
      </w:r>
    </w:p>
  </w:footnote>
  <w:footnote w:id="74">
    <w:p w14:paraId="0026BAA7" w14:textId="631F2651" w:rsidR="00847C00" w:rsidRDefault="00847C00" w:rsidP="00847C00">
      <w:pPr>
        <w:pStyle w:val="FootnoteText"/>
      </w:pPr>
      <w:r w:rsidRPr="00933D8B">
        <w:footnoteRef/>
      </w:r>
      <w:r w:rsidRPr="00933D8B">
        <w:t xml:space="preserve"> </w:t>
      </w:r>
      <w:r w:rsidR="00933D8B">
        <w:tab/>
        <w:t xml:space="preserve">Australian Government </w:t>
      </w:r>
      <w:r>
        <w:t xml:space="preserve">Productivity Commission, </w:t>
      </w:r>
      <w:hyperlink r:id="rId71" w:history="1">
        <w:r w:rsidRPr="00933D8B">
          <w:rPr>
            <w:rStyle w:val="Hyperlink"/>
            <w:i/>
            <w:iCs/>
          </w:rPr>
          <w:t>Report on Government Services 2022: Services for Mental Health</w:t>
        </w:r>
      </w:hyperlink>
      <w:r>
        <w:t xml:space="preserve">, </w:t>
      </w:r>
      <w:r w:rsidR="00933D8B">
        <w:t>Australian Government Productivity Commission</w:t>
      </w:r>
      <w:r w:rsidR="00933D8B">
        <w:t xml:space="preserve">, </w:t>
      </w:r>
      <w:r w:rsidR="00933D8B">
        <w:t xml:space="preserve">2022, </w:t>
      </w:r>
      <w:r>
        <w:t>accessed 1 February 2022.</w:t>
      </w:r>
    </w:p>
  </w:footnote>
  <w:footnote w:id="75">
    <w:p w14:paraId="4905BCBB" w14:textId="1F205A62" w:rsidR="00D61942" w:rsidRPr="00D61942" w:rsidRDefault="00D61942">
      <w:pPr>
        <w:pStyle w:val="FootnoteText"/>
      </w:pPr>
      <w:r w:rsidRPr="00D61942">
        <w:footnoteRef/>
      </w:r>
      <w:r w:rsidRPr="00D61942">
        <w:t xml:space="preserve"> </w:t>
      </w:r>
      <w:r>
        <w:tab/>
      </w:r>
      <w:r>
        <w:t>PWC</w:t>
      </w:r>
      <w:r w:rsidRPr="002F4154">
        <w:rPr>
          <w:szCs w:val="18"/>
        </w:rPr>
        <w:t xml:space="preserve"> </w:t>
      </w:r>
      <w:r w:rsidRPr="002F4154">
        <w:rPr>
          <w:szCs w:val="18"/>
        </w:rPr>
        <w:t xml:space="preserve">Consulting Australia, </w:t>
      </w:r>
      <w:hyperlink r:id="rId72" w:history="1">
        <w:r w:rsidRPr="002F4154">
          <w:rPr>
            <w:rStyle w:val="Hyperlink"/>
            <w:i/>
            <w:iCs/>
            <w:szCs w:val="18"/>
          </w:rPr>
          <w:t xml:space="preserve">The cost of perinatal depression and anxiety in Australia </w:t>
        </w:r>
        <w:r w:rsidRPr="002F4154">
          <w:rPr>
            <w:rStyle w:val="Hyperlink"/>
            <w:szCs w:val="18"/>
          </w:rPr>
          <w:t>[PDF]</w:t>
        </w:r>
      </w:hyperlink>
      <w:r w:rsidRPr="002F4154">
        <w:rPr>
          <w:szCs w:val="18"/>
        </w:rPr>
        <w:t xml:space="preserve">, Report prepared by PwC Consulting Australia for </w:t>
      </w:r>
      <w:proofErr w:type="spellStart"/>
      <w:r w:rsidRPr="002F4154">
        <w:rPr>
          <w:szCs w:val="18"/>
        </w:rPr>
        <w:t>Gidget</w:t>
      </w:r>
      <w:proofErr w:type="spellEnd"/>
      <w:r w:rsidRPr="002F4154">
        <w:rPr>
          <w:szCs w:val="18"/>
        </w:rPr>
        <w:t xml:space="preserve"> Foundation Australia, Perinatal Wellbeing Centre, PANDA and Peach Tree, November 2019, p 4, accessed 22 June 2021.</w:t>
      </w:r>
    </w:p>
  </w:footnote>
  <w:footnote w:id="76">
    <w:p w14:paraId="523C5406" w14:textId="4E286E8A" w:rsidR="00F07D0A" w:rsidRDefault="00F07D0A" w:rsidP="00D61942">
      <w:pPr>
        <w:pStyle w:val="FootnoteText"/>
      </w:pPr>
      <w:r w:rsidRPr="00933D8B">
        <w:footnoteRef/>
      </w:r>
      <w:r w:rsidRPr="00933D8B">
        <w:t xml:space="preserve"> </w:t>
      </w:r>
      <w:r w:rsidR="00933D8B">
        <w:tab/>
      </w:r>
      <w:r w:rsidR="00D61942">
        <w:t>PWC</w:t>
      </w:r>
      <w:r w:rsidR="00D61942" w:rsidRPr="002F4154">
        <w:rPr>
          <w:szCs w:val="18"/>
        </w:rPr>
        <w:t xml:space="preserve"> </w:t>
      </w:r>
      <w:r w:rsidRPr="002F4154">
        <w:rPr>
          <w:szCs w:val="18"/>
        </w:rPr>
        <w:t xml:space="preserve">Consulting Australia, </w:t>
      </w:r>
      <w:hyperlink r:id="rId73" w:history="1">
        <w:r w:rsidRPr="002F4154">
          <w:rPr>
            <w:rStyle w:val="Hyperlink"/>
            <w:i/>
            <w:szCs w:val="18"/>
          </w:rPr>
          <w:t xml:space="preserve">The cost of perinatal depression and anxiety in Australia </w:t>
        </w:r>
        <w:r w:rsidRPr="002F4154">
          <w:rPr>
            <w:rStyle w:val="Hyperlink"/>
            <w:szCs w:val="18"/>
          </w:rPr>
          <w:t>[PDF]</w:t>
        </w:r>
      </w:hyperlink>
      <w:r w:rsidRPr="002F4154">
        <w:rPr>
          <w:szCs w:val="18"/>
        </w:rPr>
        <w:t xml:space="preserve">, Report prepared by PwC Consulting Australia for </w:t>
      </w:r>
      <w:proofErr w:type="spellStart"/>
      <w:r w:rsidRPr="002F4154">
        <w:rPr>
          <w:szCs w:val="18"/>
        </w:rPr>
        <w:t>Gidget</w:t>
      </w:r>
      <w:proofErr w:type="spellEnd"/>
      <w:r w:rsidRPr="002F4154">
        <w:rPr>
          <w:szCs w:val="18"/>
        </w:rPr>
        <w:t xml:space="preserve"> Foundation Australia, Perinatal Wellbeing Centre, PANDA and Peach Tree, November 2019, p 4, accessed 22 June 2021.</w:t>
      </w:r>
    </w:p>
  </w:footnote>
  <w:footnote w:id="77">
    <w:p w14:paraId="00A236D9" w14:textId="24C29006" w:rsidR="00661032" w:rsidRDefault="00661032" w:rsidP="004F7D79">
      <w:pPr>
        <w:pStyle w:val="FootnoteText"/>
      </w:pPr>
      <w:r w:rsidRPr="009469E2">
        <w:footnoteRef/>
      </w:r>
      <w:r>
        <w:t xml:space="preserve"> </w:t>
      </w:r>
      <w:r w:rsidR="00F00431">
        <w:tab/>
      </w:r>
      <w:r w:rsidR="004F7D79" w:rsidRPr="004F7D79">
        <w:t xml:space="preserve">ABS, </w:t>
      </w:r>
      <w:hyperlink r:id="rId74" w:history="1">
        <w:r w:rsidR="004F7D79" w:rsidRPr="004F7D79">
          <w:rPr>
            <w:rStyle w:val="Hyperlink"/>
            <w:i/>
            <w:iCs/>
          </w:rPr>
          <w:t>4430.0 - Disability, Ageing and Carers, Australia: Summary of Findings, 2018</w:t>
        </w:r>
      </w:hyperlink>
      <w:r w:rsidR="004F7D79" w:rsidRPr="004F7D79">
        <w:t>, ABS, 2019, accessed 22 June 2021.</w:t>
      </w:r>
    </w:p>
  </w:footnote>
  <w:footnote w:id="78">
    <w:p w14:paraId="561AAF2C" w14:textId="2681EC9C" w:rsidR="00C952FC" w:rsidRPr="00D02830" w:rsidRDefault="00C952FC">
      <w:pPr>
        <w:pStyle w:val="FootnoteText"/>
      </w:pPr>
      <w:r w:rsidRPr="005D1674">
        <w:footnoteRef/>
      </w:r>
      <w:r w:rsidR="40A26141" w:rsidRPr="005D1674">
        <w:t xml:space="preserve"> </w:t>
      </w:r>
      <w:r w:rsidR="005D1674">
        <w:tab/>
      </w:r>
      <w:r w:rsidR="40A26141">
        <w:t xml:space="preserve">Australian Coalition for Inclusive Education, </w:t>
      </w:r>
      <w:hyperlink r:id="rId75" w:history="1">
        <w:r w:rsidR="40A26141" w:rsidRPr="40A26141">
          <w:rPr>
            <w:rStyle w:val="Hyperlink"/>
            <w:i/>
            <w:iCs/>
          </w:rPr>
          <w:t>Driving Change: A roadmap for achieving inclusive education in Australia</w:t>
        </w:r>
      </w:hyperlink>
      <w:r w:rsidR="40A26141" w:rsidRPr="40A26141">
        <w:rPr>
          <w:i/>
          <w:iCs/>
        </w:rPr>
        <w:t xml:space="preserve">, </w:t>
      </w:r>
      <w:r w:rsidR="40A26141">
        <w:t>Australian Coalition for Inclusive Education, 2021, accessed 4 June 2021.</w:t>
      </w:r>
    </w:p>
  </w:footnote>
  <w:footnote w:id="79">
    <w:p w14:paraId="3B898D6F" w14:textId="357D58C0" w:rsidR="00DE2887" w:rsidRPr="00EB08EF" w:rsidRDefault="00DE2887">
      <w:pPr>
        <w:pStyle w:val="FootnoteText"/>
      </w:pPr>
      <w:r w:rsidRPr="005D1674">
        <w:footnoteRef/>
      </w:r>
      <w:r w:rsidRPr="005D1674">
        <w:t xml:space="preserve"> </w:t>
      </w:r>
      <w:r w:rsidR="00F00431">
        <w:tab/>
      </w:r>
      <w:r w:rsidR="006D2DBD">
        <w:t>ACT Inspector of Correctional Services</w:t>
      </w:r>
      <w:r w:rsidR="00EB08EF">
        <w:t xml:space="preserve">, </w:t>
      </w:r>
      <w:r w:rsidR="00EB08EF">
        <w:rPr>
          <w:i/>
          <w:iCs/>
        </w:rPr>
        <w:t xml:space="preserve">Heathy Centre Review of </w:t>
      </w:r>
      <w:proofErr w:type="spellStart"/>
      <w:r w:rsidR="00EB08EF">
        <w:rPr>
          <w:i/>
          <w:iCs/>
        </w:rPr>
        <w:t>Bimberi</w:t>
      </w:r>
      <w:proofErr w:type="spellEnd"/>
      <w:r w:rsidR="00EB08EF">
        <w:rPr>
          <w:i/>
          <w:iCs/>
        </w:rPr>
        <w:t xml:space="preserve"> Youth Justice Centre 2020</w:t>
      </w:r>
      <w:r w:rsidR="00EB08EF">
        <w:t>,</w:t>
      </w:r>
      <w:r w:rsidR="006A33CD">
        <w:t xml:space="preserve"> ACT Inspector of Correctional Services</w:t>
      </w:r>
      <w:r w:rsidR="00F00431">
        <w:t xml:space="preserve">, </w:t>
      </w:r>
      <w:r w:rsidR="00F00431">
        <w:t>2021</w:t>
      </w:r>
      <w:r w:rsidR="00F00431">
        <w:t>.</w:t>
      </w:r>
    </w:p>
  </w:footnote>
  <w:footnote w:id="80">
    <w:p w14:paraId="20C2310C" w14:textId="2E12E108" w:rsidR="001A15AA" w:rsidRDefault="001A15AA">
      <w:pPr>
        <w:pStyle w:val="FootnoteText"/>
      </w:pPr>
      <w:r w:rsidRPr="00F048F0">
        <w:footnoteRef/>
      </w:r>
      <w:r w:rsidR="00F048F0" w:rsidRPr="00F048F0">
        <w:t xml:space="preserve"> </w:t>
      </w:r>
      <w:r w:rsidR="00F048F0" w:rsidRPr="00F048F0">
        <w:tab/>
      </w:r>
      <w:r w:rsidR="00F048F0">
        <w:t xml:space="preserve">Australian Coalition for Inclusive Education, </w:t>
      </w:r>
      <w:hyperlink r:id="rId76" w:history="1">
        <w:r w:rsidR="00F048F0" w:rsidRPr="40A26141">
          <w:rPr>
            <w:rStyle w:val="Hyperlink"/>
            <w:i/>
            <w:iCs/>
          </w:rPr>
          <w:t>Driving Change: A roadmap for achieving inclusive education in Australia</w:t>
        </w:r>
      </w:hyperlink>
      <w:r w:rsidR="00F048F0" w:rsidRPr="40A26141">
        <w:rPr>
          <w:i/>
          <w:iCs/>
        </w:rPr>
        <w:t xml:space="preserve">, </w:t>
      </w:r>
      <w:r w:rsidR="00F048F0">
        <w:t>Australian Coalition for Inclusive Education, 2021, accessed 4 June 2021.</w:t>
      </w:r>
      <w:r w:rsidR="00F048F0">
        <w:t xml:space="preserve"> </w:t>
      </w:r>
    </w:p>
  </w:footnote>
  <w:footnote w:id="81">
    <w:p w14:paraId="4E504E17" w14:textId="2401939F" w:rsidR="00C3257C" w:rsidRDefault="00C3257C">
      <w:pPr>
        <w:pStyle w:val="FootnoteText"/>
      </w:pPr>
      <w:r w:rsidRPr="0068357C">
        <w:footnoteRef/>
      </w:r>
      <w:r w:rsidRPr="0068357C">
        <w:t xml:space="preserve"> </w:t>
      </w:r>
      <w:r w:rsidR="0068357C">
        <w:tab/>
      </w:r>
      <w:r w:rsidR="00363C64" w:rsidRPr="00363C64">
        <w:t xml:space="preserve">ACT Government, </w:t>
      </w:r>
      <w:hyperlink r:id="rId77" w:history="1">
        <w:r w:rsidR="00363C64" w:rsidRPr="002F4154">
          <w:rPr>
            <w:rStyle w:val="Hyperlink"/>
            <w:i/>
            <w:iCs/>
          </w:rPr>
          <w:t>ACT Sustainable Energy Policy 2020-25 Discussion Paper</w:t>
        </w:r>
      </w:hyperlink>
      <w:r w:rsidR="00363C64" w:rsidRPr="00363C64">
        <w:t>, Environment, Planning and Sustainable Development Directorate, Canberra, 2019, accessed 2 May 2022.</w:t>
      </w:r>
    </w:p>
  </w:footnote>
  <w:footnote w:id="82">
    <w:p w14:paraId="5ADDD33A" w14:textId="65F35F42" w:rsidR="0035467D" w:rsidRDefault="0035467D">
      <w:pPr>
        <w:pStyle w:val="FootnoteText"/>
      </w:pPr>
      <w:r w:rsidRPr="0068357C">
        <w:footnoteRef/>
      </w:r>
      <w:r w:rsidRPr="0068357C">
        <w:t xml:space="preserve"> </w:t>
      </w:r>
      <w:r w:rsidR="0068357C">
        <w:tab/>
      </w:r>
      <w:r w:rsidR="008A459B">
        <w:t xml:space="preserve">ACTCOSS, </w:t>
      </w:r>
      <w:hyperlink r:id="rId78" w:history="1">
        <w:r w:rsidR="008A459B" w:rsidRPr="00B45E43">
          <w:rPr>
            <w:rStyle w:val="Hyperlink"/>
            <w:i/>
            <w:iCs/>
          </w:rPr>
          <w:t>2022 ACT Cost of Living Report</w:t>
        </w:r>
      </w:hyperlink>
      <w:r w:rsidR="008A459B">
        <w:t>, ACTCOSS, Canberra, May 2022, accessed 12 May 2022.</w:t>
      </w:r>
    </w:p>
  </w:footnote>
  <w:footnote w:id="83">
    <w:p w14:paraId="36BFE01D" w14:textId="27BEFC78" w:rsidR="00FD1E71" w:rsidRDefault="00FD1E71">
      <w:pPr>
        <w:pStyle w:val="FootnoteText"/>
      </w:pPr>
      <w:r w:rsidRPr="00E46A7C">
        <w:footnoteRef/>
      </w:r>
      <w:r w:rsidRPr="00E46A7C">
        <w:t xml:space="preserve"> </w:t>
      </w:r>
      <w:r w:rsidR="00E46A7C">
        <w:tab/>
        <w:t xml:space="preserve">ABS, </w:t>
      </w:r>
      <w:hyperlink r:id="rId79" w:anchor="data-download" w:history="1">
        <w:r w:rsidR="00C14A2D" w:rsidRPr="00D70987">
          <w:rPr>
            <w:rStyle w:val="Hyperlink"/>
            <w:i/>
          </w:rPr>
          <w:t>Prisoners in Australia</w:t>
        </w:r>
      </w:hyperlink>
      <w:r w:rsidR="00706570">
        <w:t xml:space="preserve">, </w:t>
      </w:r>
      <w:r w:rsidR="003D0DC9">
        <w:t xml:space="preserve">Table 29, </w:t>
      </w:r>
      <w:r w:rsidR="00E46A7C">
        <w:t xml:space="preserve">ABS, </w:t>
      </w:r>
      <w:r w:rsidR="00561C18">
        <w:t xml:space="preserve">2021, </w:t>
      </w:r>
      <w:r w:rsidR="003D0DC9">
        <w:t>accessed 17 May 2022.</w:t>
      </w:r>
    </w:p>
  </w:footnote>
  <w:footnote w:id="84">
    <w:p w14:paraId="5443F05C" w14:textId="43EACD29" w:rsidR="000E5401" w:rsidRDefault="000E5401">
      <w:pPr>
        <w:pStyle w:val="FootnoteText"/>
      </w:pPr>
      <w:r w:rsidRPr="00C13CBC">
        <w:footnoteRef/>
      </w:r>
      <w:r w:rsidRPr="00C13CBC">
        <w:t xml:space="preserve"> </w:t>
      </w:r>
      <w:r w:rsidR="00C13CBC">
        <w:tab/>
        <w:t xml:space="preserve">ABS, </w:t>
      </w:r>
      <w:hyperlink r:id="rId80" w:anchor="data-download" w:history="1">
        <w:r w:rsidR="00C13CBC" w:rsidRPr="00D70987">
          <w:rPr>
            <w:rStyle w:val="Hyperlink"/>
            <w:i/>
          </w:rPr>
          <w:t>Prisoners in Australia</w:t>
        </w:r>
      </w:hyperlink>
      <w:r w:rsidR="00C13CBC">
        <w:t>, Table 29, ABS, 2021, accessed 17 May 2022.</w:t>
      </w:r>
    </w:p>
  </w:footnote>
  <w:footnote w:id="85">
    <w:p w14:paraId="633F29E9" w14:textId="4714248E" w:rsidR="009C6BB8" w:rsidRPr="00D02700" w:rsidRDefault="009C6BB8">
      <w:pPr>
        <w:pStyle w:val="FootnoteText"/>
      </w:pPr>
      <w:r w:rsidRPr="00C13CBC">
        <w:footnoteRef/>
      </w:r>
      <w:r w:rsidRPr="00C13CBC">
        <w:t xml:space="preserve"> </w:t>
      </w:r>
      <w:r w:rsidR="00C13CBC">
        <w:tab/>
      </w:r>
      <w:r w:rsidR="00DB06CC">
        <w:t>ACT Inspector of Correctional Services</w:t>
      </w:r>
      <w:r w:rsidR="00CD0804">
        <w:t>,</w:t>
      </w:r>
      <w:r w:rsidR="00D55B5A">
        <w:t xml:space="preserve"> </w:t>
      </w:r>
      <w:r w:rsidR="00CD0804">
        <w:rPr>
          <w:i/>
          <w:iCs/>
        </w:rPr>
        <w:t>Healthy Prison Review of the Alexander Maconochie Centre</w:t>
      </w:r>
      <w:r w:rsidR="00D02700">
        <w:rPr>
          <w:i/>
          <w:iCs/>
        </w:rPr>
        <w:t xml:space="preserve"> 2019</w:t>
      </w:r>
      <w:r w:rsidR="00D02700">
        <w:t>, ACT Inspector of Correctional Services</w:t>
      </w:r>
      <w:r w:rsidR="00815FDB">
        <w:t>, 2019.</w:t>
      </w:r>
    </w:p>
  </w:footnote>
  <w:footnote w:id="86">
    <w:p w14:paraId="104B810F" w14:textId="5DC43564" w:rsidR="009C3214" w:rsidRDefault="009C3214">
      <w:pPr>
        <w:pStyle w:val="FootnoteText"/>
      </w:pPr>
      <w:r w:rsidRPr="00815FDB">
        <w:footnoteRef/>
      </w:r>
      <w:r w:rsidRPr="00815FDB">
        <w:t xml:space="preserve"> </w:t>
      </w:r>
      <w:r w:rsidR="00815FDB">
        <w:tab/>
        <w:t xml:space="preserve">Australian Government </w:t>
      </w:r>
      <w:r w:rsidR="00E85329">
        <w:t xml:space="preserve">Productivity Commission, </w:t>
      </w:r>
      <w:hyperlink r:id="rId81" w:history="1">
        <w:r w:rsidR="00E85329" w:rsidRPr="00815FDB">
          <w:rPr>
            <w:rStyle w:val="Hyperlink"/>
            <w:i/>
            <w:iCs/>
          </w:rPr>
          <w:t>Report on Government Services</w:t>
        </w:r>
        <w:r w:rsidR="00B371B9" w:rsidRPr="00815FDB">
          <w:rPr>
            <w:rStyle w:val="Hyperlink"/>
            <w:i/>
            <w:iCs/>
          </w:rPr>
          <w:t xml:space="preserve"> 2022</w:t>
        </w:r>
        <w:r w:rsidR="00E85329" w:rsidRPr="00815FDB">
          <w:rPr>
            <w:rStyle w:val="Hyperlink"/>
            <w:i/>
            <w:iCs/>
          </w:rPr>
          <w:t xml:space="preserve">: Community </w:t>
        </w:r>
        <w:r w:rsidR="00B371B9" w:rsidRPr="00815FDB">
          <w:rPr>
            <w:rStyle w:val="Hyperlink"/>
            <w:i/>
            <w:iCs/>
          </w:rPr>
          <w:t>Services (Youth Justice Services)</w:t>
        </w:r>
      </w:hyperlink>
      <w:r w:rsidR="00815FDB">
        <w:t xml:space="preserve">, Australian Government Productivity Commission, 2022, </w:t>
      </w:r>
      <w:r w:rsidR="00B371B9">
        <w:t xml:space="preserve">accessed </w:t>
      </w:r>
      <w:r w:rsidR="000C2C31">
        <w:t>25 January, 2022</w:t>
      </w:r>
    </w:p>
  </w:footnote>
  <w:footnote w:id="87">
    <w:p w14:paraId="489C4F64" w14:textId="099E1ACC" w:rsidR="004B5C12" w:rsidRPr="00F65CFD" w:rsidRDefault="004B5C12">
      <w:pPr>
        <w:pStyle w:val="FootnoteText"/>
      </w:pPr>
      <w:r w:rsidRPr="00815FDB">
        <w:footnoteRef/>
      </w:r>
      <w:r w:rsidRPr="00815FDB">
        <w:t xml:space="preserve"> </w:t>
      </w:r>
      <w:r w:rsidR="00815FDB">
        <w:tab/>
      </w:r>
      <w:r w:rsidR="007E7DFB">
        <w:t>National Justice Coalition</w:t>
      </w:r>
      <w:r w:rsidR="00F65CFD">
        <w:t>,</w:t>
      </w:r>
      <w:r w:rsidR="005072C3">
        <w:t xml:space="preserve"> </w:t>
      </w:r>
      <w:hyperlink r:id="rId82" w:history="1">
        <w:r w:rsidR="005072C3" w:rsidRPr="005072C3">
          <w:rPr>
            <w:rStyle w:val="Hyperlink"/>
            <w:i/>
            <w:iCs/>
          </w:rPr>
          <w:t>Kids do not belong in prison</w:t>
        </w:r>
      </w:hyperlink>
      <w:r w:rsidR="005072C3">
        <w:t>,</w:t>
      </w:r>
      <w:r w:rsidR="00F65CFD">
        <w:t xml:space="preserve"> Change the Record</w:t>
      </w:r>
      <w:r w:rsidR="002E48C7">
        <w:t>,</w:t>
      </w:r>
      <w:r w:rsidR="0084255F" w:rsidRPr="0084255F">
        <w:t xml:space="preserve"> </w:t>
      </w:r>
      <w:r w:rsidR="0084255F">
        <w:t>2015,</w:t>
      </w:r>
      <w:r w:rsidR="002E48C7">
        <w:t xml:space="preserve"> accessed 25 May 2021</w:t>
      </w:r>
      <w:r w:rsidR="00520A12">
        <w:t>.</w:t>
      </w:r>
    </w:p>
  </w:footnote>
  <w:footnote w:id="88">
    <w:p w14:paraId="0DA11538" w14:textId="7F1407BE" w:rsidR="00CD7CD9" w:rsidRPr="00CD7CD9" w:rsidRDefault="00CD7CD9">
      <w:pPr>
        <w:pStyle w:val="FootnoteText"/>
      </w:pPr>
      <w:r w:rsidRPr="00815FDB">
        <w:footnoteRef/>
      </w:r>
      <w:r>
        <w:t xml:space="preserve"> </w:t>
      </w:r>
      <w:r w:rsidR="00815FDB">
        <w:tab/>
      </w:r>
      <w:proofErr w:type="spellStart"/>
      <w:r w:rsidR="00815FDB">
        <w:t>AIHW</w:t>
      </w:r>
      <w:proofErr w:type="spellEnd"/>
      <w:r>
        <w:t xml:space="preserve">, </w:t>
      </w:r>
      <w:hyperlink r:id="rId83" w:history="1">
        <w:r w:rsidRPr="00DB5005">
          <w:rPr>
            <w:rStyle w:val="Hyperlink"/>
            <w:i/>
            <w:iCs/>
          </w:rPr>
          <w:t>Family, domestic and sexual violence service responses in the time of COVID-1</w:t>
        </w:r>
        <w:r w:rsidR="00DB5005" w:rsidRPr="00DB5005">
          <w:rPr>
            <w:rStyle w:val="Hyperlink"/>
            <w:i/>
            <w:iCs/>
          </w:rPr>
          <w:t>9</w:t>
        </w:r>
        <w:r w:rsidR="00DB5005">
          <w:rPr>
            <w:rStyle w:val="Hyperlink"/>
          </w:rPr>
          <w:t xml:space="preserve"> [PDF]</w:t>
        </w:r>
      </w:hyperlink>
      <w:r>
        <w:t xml:space="preserve">, </w:t>
      </w:r>
      <w:proofErr w:type="spellStart"/>
      <w:r w:rsidR="0081757E">
        <w:t>AIHW</w:t>
      </w:r>
      <w:proofErr w:type="spellEnd"/>
      <w:r>
        <w:t xml:space="preserve">, </w:t>
      </w:r>
      <w:r w:rsidR="00815FDB">
        <w:t xml:space="preserve">2021, </w:t>
      </w:r>
      <w:r>
        <w:t xml:space="preserve">accessed 17 May 2022. </w:t>
      </w:r>
    </w:p>
  </w:footnote>
  <w:footnote w:id="89">
    <w:p w14:paraId="3EBFE1FE" w14:textId="6C75ACFC" w:rsidR="000B2266" w:rsidRDefault="000B2266" w:rsidP="000B2266">
      <w:pPr>
        <w:pStyle w:val="FootnoteText"/>
      </w:pPr>
      <w:r w:rsidRPr="0081757E">
        <w:footnoteRef/>
      </w:r>
      <w:r w:rsidRPr="0081757E">
        <w:t xml:space="preserve"> </w:t>
      </w:r>
      <w:r w:rsidR="0081757E">
        <w:tab/>
      </w:r>
      <w:r w:rsidR="00E70E12" w:rsidRPr="00ED258F">
        <w:t>A</w:t>
      </w:r>
      <w:r w:rsidR="00E70E12">
        <w:t xml:space="preserve">ustralian Government Productivity Commission, </w:t>
      </w:r>
      <w:hyperlink r:id="rId84" w:history="1">
        <w:r w:rsidR="00E70E12" w:rsidRPr="00891FB6">
          <w:rPr>
            <w:rStyle w:val="Hyperlink"/>
            <w:i/>
            <w:iCs/>
          </w:rPr>
          <w:t>Report on Government Services: Community Services</w:t>
        </w:r>
      </w:hyperlink>
      <w:r w:rsidR="00E70E12">
        <w:t xml:space="preserve">, </w:t>
      </w:r>
      <w:r w:rsidR="00E70E12" w:rsidRPr="00ED258F">
        <w:t>A</w:t>
      </w:r>
      <w:r w:rsidR="00E70E12">
        <w:t>ustralian Government Productivity Commission, 2022, accessed 25 January 2022.</w:t>
      </w:r>
    </w:p>
  </w:footnote>
  <w:footnote w:id="90">
    <w:p w14:paraId="5CA3D1F8" w14:textId="2678B689" w:rsidR="00B61BF6" w:rsidRDefault="00B61BF6">
      <w:pPr>
        <w:pStyle w:val="FootnoteText"/>
      </w:pPr>
      <w:r w:rsidRPr="0012739B">
        <w:footnoteRef/>
      </w:r>
      <w:r w:rsidRPr="0012739B">
        <w:t xml:space="preserve"> </w:t>
      </w:r>
      <w:r w:rsidR="0012739B">
        <w:tab/>
      </w:r>
      <w:r w:rsidRPr="00B61BF6">
        <w:t xml:space="preserve">ACT Government, </w:t>
      </w:r>
      <w:hyperlink r:id="rId85" w:history="1">
        <w:r w:rsidRPr="00B61BF6">
          <w:rPr>
            <w:rStyle w:val="Hyperlink"/>
            <w:i/>
            <w:iCs/>
          </w:rPr>
          <w:t>Canberra’s living infrastructure plan: cooling the city</w:t>
        </w:r>
      </w:hyperlink>
      <w:r w:rsidRPr="00B61BF6">
        <w:t>, ACT Government, 2019, accessed 22 June 2021.</w:t>
      </w:r>
    </w:p>
  </w:footnote>
  <w:footnote w:id="91">
    <w:p w14:paraId="3D3CCBA8" w14:textId="7FFF5F76" w:rsidR="004D0A3E" w:rsidRDefault="004D0A3E">
      <w:pPr>
        <w:pStyle w:val="FootnoteText"/>
      </w:pPr>
      <w:r w:rsidRPr="0012739B">
        <w:footnoteRef/>
      </w:r>
      <w:r w:rsidRPr="0012739B">
        <w:t xml:space="preserve"> </w:t>
      </w:r>
      <w:r w:rsidR="0012739B">
        <w:tab/>
      </w:r>
      <w:r w:rsidR="00125730" w:rsidRPr="0012739B">
        <w:t>P</w:t>
      </w:r>
      <w:r w:rsidR="00125730" w:rsidRPr="00125730">
        <w:t xml:space="preserve">lanning Institute of Australia, </w:t>
      </w:r>
      <w:hyperlink r:id="rId86" w:history="1">
        <w:r w:rsidR="00125730" w:rsidRPr="00125730">
          <w:rPr>
            <w:rStyle w:val="Hyperlink"/>
            <w:i/>
            <w:iCs/>
          </w:rPr>
          <w:t>Planning for Healthy Communities Position Statement</w:t>
        </w:r>
      </w:hyperlink>
      <w:r w:rsidR="00125730" w:rsidRPr="00125730">
        <w:t>, Planning Institute of Australia, May 2016, accessed 22 June 2021.</w:t>
      </w:r>
    </w:p>
  </w:footnote>
  <w:footnote w:id="92">
    <w:p w14:paraId="39890893" w14:textId="02FE2CD4" w:rsidR="00C44202" w:rsidRDefault="00C44202" w:rsidP="006E5680">
      <w:pPr>
        <w:pStyle w:val="FootnoteText"/>
      </w:pPr>
      <w:r w:rsidRPr="0012739B">
        <w:footnoteRef/>
      </w:r>
      <w:r w:rsidRPr="0012739B">
        <w:t xml:space="preserve"> </w:t>
      </w:r>
      <w:r w:rsidR="0012739B">
        <w:tab/>
      </w:r>
      <w:r w:rsidR="006E5680" w:rsidRPr="006E5680">
        <w:t>L Ma, J Kent and C Mulley, ‘</w:t>
      </w:r>
      <w:hyperlink r:id="rId87" w:anchor="metadata_info_tab_contents" w:history="1">
        <w:r w:rsidR="006E5680" w:rsidRPr="006E5680">
          <w:rPr>
            <w:rStyle w:val="Hyperlink"/>
          </w:rPr>
          <w:t xml:space="preserve">Transport disadvantage, social exclusion, and subjective well-being: The role of the </w:t>
        </w:r>
        <w:proofErr w:type="spellStart"/>
        <w:r w:rsidR="006E5680" w:rsidRPr="006E5680">
          <w:rPr>
            <w:rStyle w:val="Hyperlink"/>
          </w:rPr>
          <w:t>neighborhood</w:t>
        </w:r>
        <w:proofErr w:type="spellEnd"/>
        <w:r w:rsidR="006E5680" w:rsidRPr="006E5680">
          <w:rPr>
            <w:rStyle w:val="Hyperlink"/>
          </w:rPr>
          <w:t xml:space="preserve"> environment—evidence from Sydney, Australia</w:t>
        </w:r>
      </w:hyperlink>
      <w:r w:rsidR="006E5680" w:rsidRPr="006E5680">
        <w:t xml:space="preserve">’, </w:t>
      </w:r>
      <w:r w:rsidR="006E5680" w:rsidRPr="006E5680">
        <w:rPr>
          <w:i/>
          <w:iCs/>
        </w:rPr>
        <w:t>The Journal of Transport and Land Use</w:t>
      </w:r>
      <w:r w:rsidR="006E5680" w:rsidRPr="006E5680">
        <w:t xml:space="preserve">, 2018, 11(1). </w:t>
      </w:r>
    </w:p>
  </w:footnote>
  <w:footnote w:id="93">
    <w:p w14:paraId="6F85D2F0" w14:textId="43E274DA" w:rsidR="00DD26CB" w:rsidRDefault="00DD26CB">
      <w:pPr>
        <w:pStyle w:val="FootnoteText"/>
      </w:pPr>
      <w:r w:rsidRPr="00F77208">
        <w:footnoteRef/>
      </w:r>
      <w:r w:rsidRPr="00F77208">
        <w:t xml:space="preserve"> </w:t>
      </w:r>
      <w:r w:rsidR="00F77208">
        <w:tab/>
        <w:t xml:space="preserve">ACTCOSS, </w:t>
      </w:r>
      <w:hyperlink r:id="rId88" w:history="1">
        <w:r w:rsidR="00F77208" w:rsidRPr="00B45E43">
          <w:rPr>
            <w:rStyle w:val="Hyperlink"/>
            <w:i/>
            <w:iCs/>
          </w:rPr>
          <w:t>2022 ACT Cost of Living Report</w:t>
        </w:r>
      </w:hyperlink>
      <w:r w:rsidR="00F77208">
        <w:t>, ACTCOSS, Canberra, May 2022, accessed 12 May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A7F28906"/>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CFEAEA42"/>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38BA7F8E"/>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2BB896E2"/>
    <w:lvl w:ilvl="0">
      <w:start w:val="1"/>
      <w:numFmt w:val="bullet"/>
      <w:pStyle w:val="ListBullet"/>
      <w:lvlText w:val=""/>
      <w:lvlJc w:val="left"/>
      <w:pPr>
        <w:ind w:left="360" w:hanging="360"/>
      </w:pPr>
      <w:rPr>
        <w:rFonts w:ascii="Symbol" w:hAnsi="Symbol" w:hint="default"/>
        <w:color w:val="006699"/>
      </w:rPr>
    </w:lvl>
  </w:abstractNum>
  <w:abstractNum w:abstractNumId="4"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15:restartNumberingAfterBreak="0">
    <w:nsid w:val="08636123"/>
    <w:multiLevelType w:val="hybridMultilevel"/>
    <w:tmpl w:val="F648C508"/>
    <w:lvl w:ilvl="0" w:tplc="0074AE0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9176078"/>
    <w:multiLevelType w:val="multilevel"/>
    <w:tmpl w:val="C00C042A"/>
    <w:lvl w:ilvl="0">
      <w:start w:val="1"/>
      <w:numFmt w:val="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0E992CFB"/>
    <w:multiLevelType w:val="hybridMultilevel"/>
    <w:tmpl w:val="1A1E58F4"/>
    <w:lvl w:ilvl="0" w:tplc="E8FA4374">
      <w:start w:val="1"/>
      <w:numFmt w:val="decimal"/>
      <w:pStyle w:val="Priorities"/>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3" w15:restartNumberingAfterBreak="0">
    <w:nsid w:val="16B00023"/>
    <w:multiLevelType w:val="hybridMultilevel"/>
    <w:tmpl w:val="CCF2E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7D623F"/>
    <w:multiLevelType w:val="multilevel"/>
    <w:tmpl w:val="19AC3E08"/>
    <w:lvl w:ilvl="0">
      <w:start w:val="1"/>
      <w:numFmt w:val="bullet"/>
      <w:lvlText w:val=""/>
      <w:lvlJc w:val="left"/>
      <w:pPr>
        <w:tabs>
          <w:tab w:val="num" w:pos="567"/>
        </w:tabs>
        <w:ind w:left="567" w:hanging="567"/>
      </w:pPr>
      <w:rPr>
        <w:rFonts w:ascii="Symbol" w:hAnsi="Symbol" w:hint="default"/>
        <w:b w:val="0"/>
        <w:i w:val="0"/>
        <w:color w:val="005984"/>
        <w:sz w:val="20"/>
      </w:rPr>
    </w:lvl>
    <w:lvl w:ilvl="1">
      <w:start w:val="1"/>
      <w:numFmt w:val="bullet"/>
      <w:lvlText w:val=""/>
      <w:lvlJc w:val="left"/>
      <w:pPr>
        <w:tabs>
          <w:tab w:val="num" w:pos="1134"/>
        </w:tabs>
        <w:ind w:left="1134" w:hanging="567"/>
      </w:pPr>
      <w:rPr>
        <w:rFonts w:ascii="Symbol" w:hAnsi="Symbol" w:hint="default"/>
        <w:color w:val="005984"/>
        <w:sz w:val="20"/>
      </w:rPr>
    </w:lvl>
    <w:lvl w:ilvl="2">
      <w:start w:val="1"/>
      <w:numFmt w:val="bullet"/>
      <w:lvlText w:val=""/>
      <w:lvlJc w:val="left"/>
      <w:pPr>
        <w:tabs>
          <w:tab w:val="num" w:pos="1701"/>
        </w:tabs>
        <w:ind w:left="1701" w:hanging="567"/>
      </w:pPr>
      <w:rPr>
        <w:rFonts w:ascii="Symbol" w:hAnsi="Symbol" w:hint="default"/>
        <w:color w:val="005984"/>
        <w:sz w:val="20"/>
      </w:rPr>
    </w:lvl>
    <w:lvl w:ilvl="3">
      <w:start w:val="1"/>
      <w:numFmt w:val="bullet"/>
      <w:lvlText w:val=""/>
      <w:lvlJc w:val="left"/>
      <w:pPr>
        <w:tabs>
          <w:tab w:val="num" w:pos="2268"/>
        </w:tabs>
        <w:ind w:left="2268" w:hanging="567"/>
      </w:pPr>
      <w:rPr>
        <w:rFonts w:ascii="Symbol" w:hAnsi="Symbol" w:hint="default"/>
        <w:color w:val="005984"/>
        <w:sz w:val="20"/>
      </w:rPr>
    </w:lvl>
    <w:lvl w:ilvl="4">
      <w:start w:val="1"/>
      <w:numFmt w:val="bullet"/>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21B310B0"/>
    <w:multiLevelType w:val="hybridMultilevel"/>
    <w:tmpl w:val="D2F248FE"/>
    <w:lvl w:ilvl="0" w:tplc="550631CA">
      <w:start w:val="2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245F1195"/>
    <w:multiLevelType w:val="hybridMultilevel"/>
    <w:tmpl w:val="62908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28767CE9"/>
    <w:multiLevelType w:val="hybridMultilevel"/>
    <w:tmpl w:val="5E0C7DA8"/>
    <w:lvl w:ilvl="0" w:tplc="7F64C11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E204E2D"/>
    <w:multiLevelType w:val="multilevel"/>
    <w:tmpl w:val="CA3ACC40"/>
    <w:lvl w:ilvl="0">
      <w:start w:val="1"/>
      <w:numFmt w:val="bullet"/>
      <w:lvlText w:val=""/>
      <w:lvlJc w:val="left"/>
      <w:pPr>
        <w:tabs>
          <w:tab w:val="num" w:pos="284"/>
        </w:tabs>
        <w:ind w:left="284" w:hanging="284"/>
      </w:pPr>
      <w:rPr>
        <w:rFonts w:ascii="Symbol" w:hAnsi="Symbol" w:hint="default"/>
        <w:b w:val="0"/>
        <w:i w:val="0"/>
        <w:color w:val="005984"/>
        <w:sz w:val="20"/>
      </w:rPr>
    </w:lvl>
    <w:lvl w:ilvl="1">
      <w:start w:val="1"/>
      <w:numFmt w:val="bullet"/>
      <w:lvlText w:val=""/>
      <w:lvlJc w:val="left"/>
      <w:pPr>
        <w:tabs>
          <w:tab w:val="num" w:pos="567"/>
        </w:tabs>
        <w:ind w:left="567" w:hanging="283"/>
      </w:pPr>
      <w:rPr>
        <w:rFonts w:ascii="Symbol" w:hAnsi="Symbol" w:hint="default"/>
        <w:color w:val="005984"/>
        <w:sz w:val="20"/>
      </w:rPr>
    </w:lvl>
    <w:lvl w:ilvl="2">
      <w:start w:val="1"/>
      <w:numFmt w:val="bullet"/>
      <w:lvlText w:val=""/>
      <w:lvlJc w:val="left"/>
      <w:pPr>
        <w:tabs>
          <w:tab w:val="num" w:pos="851"/>
        </w:tabs>
        <w:ind w:left="851" w:hanging="284"/>
      </w:pPr>
      <w:rPr>
        <w:rFonts w:ascii="Symbol" w:hAnsi="Symbol" w:hint="default"/>
        <w:color w:val="005984"/>
        <w:sz w:val="20"/>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2" w15:restartNumberingAfterBreak="0">
    <w:nsid w:val="3AEA62FC"/>
    <w:multiLevelType w:val="hybridMultilevel"/>
    <w:tmpl w:val="46CA04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7F12E6"/>
    <w:multiLevelType w:val="hybridMultilevel"/>
    <w:tmpl w:val="84F08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CA1BE2"/>
    <w:multiLevelType w:val="hybridMultilevel"/>
    <w:tmpl w:val="DE9A7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0A652B7"/>
    <w:multiLevelType w:val="multilevel"/>
    <w:tmpl w:val="1AFEFAA0"/>
    <w:styleLink w:val="111111"/>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3B2413A"/>
    <w:multiLevelType w:val="hybridMultilevel"/>
    <w:tmpl w:val="3C40B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6C770F"/>
    <w:multiLevelType w:val="hybridMultilevel"/>
    <w:tmpl w:val="A300CF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6741369"/>
    <w:multiLevelType w:val="hybridMultilevel"/>
    <w:tmpl w:val="C1E613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BE970BF"/>
    <w:multiLevelType w:val="hybridMultilevel"/>
    <w:tmpl w:val="29C84350"/>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E303B0C"/>
    <w:multiLevelType w:val="multilevel"/>
    <w:tmpl w:val="6A9697C2"/>
    <w:styleLink w:val="ArticleSection"/>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31" w15:restartNumberingAfterBreak="0">
    <w:nsid w:val="4E66726F"/>
    <w:multiLevelType w:val="hybridMultilevel"/>
    <w:tmpl w:val="B93A5E8A"/>
    <w:lvl w:ilvl="0" w:tplc="550631CA">
      <w:start w:val="2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3" w15:restartNumberingAfterBreak="0">
    <w:nsid w:val="510F6673"/>
    <w:multiLevelType w:val="hybridMultilevel"/>
    <w:tmpl w:val="96105C06"/>
    <w:lvl w:ilvl="0" w:tplc="1422BF9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532156C"/>
    <w:multiLevelType w:val="multilevel"/>
    <w:tmpl w:val="194E070E"/>
    <w:styleLink w:val="1ai"/>
    <w:lvl w:ilvl="0">
      <w:start w:val="1"/>
      <w:numFmt w:val="decimal"/>
      <w:lvlText w:val="%1."/>
      <w:lvlJc w:val="left"/>
      <w:pPr>
        <w:tabs>
          <w:tab w:val="num" w:pos="567"/>
        </w:tabs>
        <w:ind w:left="567" w:hanging="567"/>
      </w:pPr>
      <w:rPr>
        <w:rFonts w:hint="default"/>
        <w:b w:val="0"/>
        <w:i w:val="0"/>
        <w:color w:val="auto"/>
      </w:rPr>
    </w:lvl>
    <w:lvl w:ilvl="1">
      <w:start w:val="1"/>
      <w:numFmt w:val="decimal"/>
      <w:lvlText w:val="%2."/>
      <w:lvlJc w:val="left"/>
      <w:pPr>
        <w:tabs>
          <w:tab w:val="num" w:pos="1134"/>
        </w:tabs>
        <w:ind w:left="1134" w:hanging="567"/>
      </w:pPr>
      <w:rPr>
        <w:rFonts w:hint="default"/>
        <w:b w:val="0"/>
        <w:i w:val="0"/>
        <w:color w:val="auto"/>
      </w:rPr>
    </w:lvl>
    <w:lvl w:ilvl="2">
      <w:start w:val="1"/>
      <w:numFmt w:val="decimal"/>
      <w:lvlText w:val="%3."/>
      <w:lvlJc w:val="left"/>
      <w:pPr>
        <w:tabs>
          <w:tab w:val="num" w:pos="1701"/>
        </w:tabs>
        <w:ind w:left="1701" w:hanging="567"/>
      </w:pPr>
      <w:rPr>
        <w:rFonts w:hint="default"/>
        <w:b w:val="0"/>
        <w:i w:val="0"/>
        <w:color w:val="auto"/>
      </w:rPr>
    </w:lvl>
    <w:lvl w:ilvl="3">
      <w:start w:val="1"/>
      <w:numFmt w:val="decimal"/>
      <w:lvlText w:val="%4."/>
      <w:lvlJc w:val="left"/>
      <w:pPr>
        <w:tabs>
          <w:tab w:val="num" w:pos="2268"/>
        </w:tabs>
        <w:ind w:left="2268" w:hanging="567"/>
      </w:pPr>
      <w:rPr>
        <w:rFonts w:hint="default"/>
        <w:b w:val="0"/>
        <w:i w:val="0"/>
        <w:color w:val="auto"/>
      </w:rPr>
    </w:lvl>
    <w:lvl w:ilvl="4">
      <w:start w:val="1"/>
      <w:numFmt w:val="decimal"/>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5"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6" w15:restartNumberingAfterBreak="0">
    <w:nsid w:val="590431ED"/>
    <w:multiLevelType w:val="hybridMultilevel"/>
    <w:tmpl w:val="0AF6E54C"/>
    <w:lvl w:ilvl="0" w:tplc="0AD279E4">
      <w:start w:val="1"/>
      <w:numFmt w:val="bullet"/>
      <w:lvlText w:val=""/>
      <w:lvlJc w:val="left"/>
      <w:pPr>
        <w:ind w:left="720" w:hanging="360"/>
      </w:pPr>
      <w:rPr>
        <w:rFonts w:ascii="Symbol" w:hAnsi="Symbol" w:hint="default"/>
        <w:color w:val="00669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8" w15:restartNumberingAfterBreak="0">
    <w:nsid w:val="5C92064E"/>
    <w:multiLevelType w:val="hybridMultilevel"/>
    <w:tmpl w:val="00B8D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40" w15:restartNumberingAfterBreak="0">
    <w:nsid w:val="72BF489F"/>
    <w:multiLevelType w:val="hybridMultilevel"/>
    <w:tmpl w:val="7FCE677C"/>
    <w:lvl w:ilvl="0" w:tplc="0C090001">
      <w:start w:val="1"/>
      <w:numFmt w:val="bullet"/>
      <w:lvlText w:val=""/>
      <w:lvlJc w:val="left"/>
      <w:pPr>
        <w:ind w:left="1282" w:hanging="360"/>
      </w:pPr>
      <w:rPr>
        <w:rFonts w:ascii="Symbol" w:hAnsi="Symbol" w:hint="default"/>
      </w:rPr>
    </w:lvl>
    <w:lvl w:ilvl="1" w:tplc="0C090003" w:tentative="1">
      <w:start w:val="1"/>
      <w:numFmt w:val="bullet"/>
      <w:lvlText w:val="o"/>
      <w:lvlJc w:val="left"/>
      <w:pPr>
        <w:ind w:left="2002" w:hanging="360"/>
      </w:pPr>
      <w:rPr>
        <w:rFonts w:ascii="Courier New" w:hAnsi="Courier New" w:cs="Courier New" w:hint="default"/>
      </w:rPr>
    </w:lvl>
    <w:lvl w:ilvl="2" w:tplc="0C090005" w:tentative="1">
      <w:start w:val="1"/>
      <w:numFmt w:val="bullet"/>
      <w:lvlText w:val=""/>
      <w:lvlJc w:val="left"/>
      <w:pPr>
        <w:ind w:left="2722" w:hanging="360"/>
      </w:pPr>
      <w:rPr>
        <w:rFonts w:ascii="Wingdings" w:hAnsi="Wingdings" w:hint="default"/>
      </w:rPr>
    </w:lvl>
    <w:lvl w:ilvl="3" w:tplc="0C090001" w:tentative="1">
      <w:start w:val="1"/>
      <w:numFmt w:val="bullet"/>
      <w:lvlText w:val=""/>
      <w:lvlJc w:val="left"/>
      <w:pPr>
        <w:ind w:left="3442" w:hanging="360"/>
      </w:pPr>
      <w:rPr>
        <w:rFonts w:ascii="Symbol" w:hAnsi="Symbol" w:hint="default"/>
      </w:rPr>
    </w:lvl>
    <w:lvl w:ilvl="4" w:tplc="0C090003" w:tentative="1">
      <w:start w:val="1"/>
      <w:numFmt w:val="bullet"/>
      <w:lvlText w:val="o"/>
      <w:lvlJc w:val="left"/>
      <w:pPr>
        <w:ind w:left="4162" w:hanging="360"/>
      </w:pPr>
      <w:rPr>
        <w:rFonts w:ascii="Courier New" w:hAnsi="Courier New" w:cs="Courier New" w:hint="default"/>
      </w:rPr>
    </w:lvl>
    <w:lvl w:ilvl="5" w:tplc="0C090005" w:tentative="1">
      <w:start w:val="1"/>
      <w:numFmt w:val="bullet"/>
      <w:lvlText w:val=""/>
      <w:lvlJc w:val="left"/>
      <w:pPr>
        <w:ind w:left="4882" w:hanging="360"/>
      </w:pPr>
      <w:rPr>
        <w:rFonts w:ascii="Wingdings" w:hAnsi="Wingdings" w:hint="default"/>
      </w:rPr>
    </w:lvl>
    <w:lvl w:ilvl="6" w:tplc="0C090001" w:tentative="1">
      <w:start w:val="1"/>
      <w:numFmt w:val="bullet"/>
      <w:lvlText w:val=""/>
      <w:lvlJc w:val="left"/>
      <w:pPr>
        <w:ind w:left="5602" w:hanging="360"/>
      </w:pPr>
      <w:rPr>
        <w:rFonts w:ascii="Symbol" w:hAnsi="Symbol" w:hint="default"/>
      </w:rPr>
    </w:lvl>
    <w:lvl w:ilvl="7" w:tplc="0C090003" w:tentative="1">
      <w:start w:val="1"/>
      <w:numFmt w:val="bullet"/>
      <w:lvlText w:val="o"/>
      <w:lvlJc w:val="left"/>
      <w:pPr>
        <w:ind w:left="6322" w:hanging="360"/>
      </w:pPr>
      <w:rPr>
        <w:rFonts w:ascii="Courier New" w:hAnsi="Courier New" w:cs="Courier New" w:hint="default"/>
      </w:rPr>
    </w:lvl>
    <w:lvl w:ilvl="8" w:tplc="0C090005" w:tentative="1">
      <w:start w:val="1"/>
      <w:numFmt w:val="bullet"/>
      <w:lvlText w:val=""/>
      <w:lvlJc w:val="left"/>
      <w:pPr>
        <w:ind w:left="7042" w:hanging="360"/>
      </w:pPr>
      <w:rPr>
        <w:rFonts w:ascii="Wingdings" w:hAnsi="Wingdings" w:hint="default"/>
      </w:rPr>
    </w:lvl>
  </w:abstractNum>
  <w:abstractNum w:abstractNumId="41" w15:restartNumberingAfterBreak="0">
    <w:nsid w:val="76531514"/>
    <w:multiLevelType w:val="hybridMultilevel"/>
    <w:tmpl w:val="EB0A7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98817B2"/>
    <w:multiLevelType w:val="hybridMultilevel"/>
    <w:tmpl w:val="1B42F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94814183">
    <w:abstractNumId w:val="7"/>
  </w:num>
  <w:num w:numId="2" w16cid:durableId="617176148">
    <w:abstractNumId w:val="9"/>
  </w:num>
  <w:num w:numId="3" w16cid:durableId="390468048">
    <w:abstractNumId w:val="34"/>
  </w:num>
  <w:num w:numId="4" w16cid:durableId="1924072574">
    <w:abstractNumId w:val="30"/>
  </w:num>
  <w:num w:numId="5" w16cid:durableId="1621958670">
    <w:abstractNumId w:val="25"/>
  </w:num>
  <w:num w:numId="6" w16cid:durableId="1065378766">
    <w:abstractNumId w:val="32"/>
  </w:num>
  <w:num w:numId="7" w16cid:durableId="2146970443">
    <w:abstractNumId w:val="12"/>
  </w:num>
  <w:num w:numId="8" w16cid:durableId="1019350886">
    <w:abstractNumId w:val="39"/>
  </w:num>
  <w:num w:numId="9" w16cid:durableId="425930794">
    <w:abstractNumId w:val="8"/>
  </w:num>
  <w:num w:numId="10" w16cid:durableId="24672991">
    <w:abstractNumId w:val="37"/>
  </w:num>
  <w:num w:numId="11" w16cid:durableId="1315179867">
    <w:abstractNumId w:val="11"/>
  </w:num>
  <w:num w:numId="12" w16cid:durableId="82454354">
    <w:abstractNumId w:val="4"/>
  </w:num>
  <w:num w:numId="13" w16cid:durableId="1923643871">
    <w:abstractNumId w:val="35"/>
  </w:num>
  <w:num w:numId="14" w16cid:durableId="1406227088">
    <w:abstractNumId w:val="16"/>
  </w:num>
  <w:num w:numId="15" w16cid:durableId="1632831353">
    <w:abstractNumId w:val="18"/>
  </w:num>
  <w:num w:numId="16" w16cid:durableId="1549994727">
    <w:abstractNumId w:val="5"/>
  </w:num>
  <w:num w:numId="17" w16cid:durableId="394359468">
    <w:abstractNumId w:val="21"/>
  </w:num>
  <w:num w:numId="18" w16cid:durableId="1003438400">
    <w:abstractNumId w:val="38"/>
  </w:num>
  <w:num w:numId="19" w16cid:durableId="1837651779">
    <w:abstractNumId w:val="42"/>
  </w:num>
  <w:num w:numId="20" w16cid:durableId="1013994142">
    <w:abstractNumId w:val="23"/>
  </w:num>
  <w:num w:numId="21" w16cid:durableId="765273329">
    <w:abstractNumId w:val="13"/>
  </w:num>
  <w:num w:numId="22" w16cid:durableId="586036947">
    <w:abstractNumId w:val="15"/>
  </w:num>
  <w:num w:numId="23" w16cid:durableId="1716351545">
    <w:abstractNumId w:val="31"/>
  </w:num>
  <w:num w:numId="24" w16cid:durableId="1360856664">
    <w:abstractNumId w:val="22"/>
  </w:num>
  <w:num w:numId="25" w16cid:durableId="1864130742">
    <w:abstractNumId w:val="24"/>
  </w:num>
  <w:num w:numId="26" w16cid:durableId="891502068">
    <w:abstractNumId w:val="3"/>
  </w:num>
  <w:num w:numId="27" w16cid:durableId="331615460">
    <w:abstractNumId w:val="36"/>
  </w:num>
  <w:num w:numId="28" w16cid:durableId="155810229">
    <w:abstractNumId w:val="29"/>
  </w:num>
  <w:num w:numId="29" w16cid:durableId="801074497">
    <w:abstractNumId w:val="26"/>
  </w:num>
  <w:num w:numId="30" w16cid:durableId="1231965926">
    <w:abstractNumId w:val="2"/>
  </w:num>
  <w:num w:numId="31" w16cid:durableId="1914123336">
    <w:abstractNumId w:val="41"/>
  </w:num>
  <w:num w:numId="32" w16cid:durableId="950163724">
    <w:abstractNumId w:val="19"/>
  </w:num>
  <w:num w:numId="33" w16cid:durableId="1533416452">
    <w:abstractNumId w:val="6"/>
  </w:num>
  <w:num w:numId="34" w16cid:durableId="155070049">
    <w:abstractNumId w:val="28"/>
  </w:num>
  <w:num w:numId="35" w16cid:durableId="2111120617">
    <w:abstractNumId w:val="1"/>
  </w:num>
  <w:num w:numId="36" w16cid:durableId="753085126">
    <w:abstractNumId w:val="0"/>
  </w:num>
  <w:num w:numId="37" w16cid:durableId="704985640">
    <w:abstractNumId w:val="14"/>
  </w:num>
  <w:num w:numId="38" w16cid:durableId="1584947334">
    <w:abstractNumId w:val="27"/>
  </w:num>
  <w:num w:numId="39" w16cid:durableId="360594913">
    <w:abstractNumId w:val="10"/>
  </w:num>
  <w:num w:numId="40" w16cid:durableId="1329089837">
    <w:abstractNumId w:val="20"/>
  </w:num>
  <w:num w:numId="41" w16cid:durableId="1342388353">
    <w:abstractNumId w:val="40"/>
  </w:num>
  <w:num w:numId="42" w16cid:durableId="1749761979">
    <w:abstractNumId w:val="17"/>
  </w:num>
  <w:num w:numId="43" w16cid:durableId="1072895057">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DA8"/>
    <w:rsid w:val="0000015B"/>
    <w:rsid w:val="000002FF"/>
    <w:rsid w:val="00000585"/>
    <w:rsid w:val="000010FA"/>
    <w:rsid w:val="00001157"/>
    <w:rsid w:val="00001961"/>
    <w:rsid w:val="00001CC1"/>
    <w:rsid w:val="00001FA2"/>
    <w:rsid w:val="000022CE"/>
    <w:rsid w:val="0000255E"/>
    <w:rsid w:val="000027A8"/>
    <w:rsid w:val="00002C41"/>
    <w:rsid w:val="00003850"/>
    <w:rsid w:val="00003F93"/>
    <w:rsid w:val="000040BA"/>
    <w:rsid w:val="00004225"/>
    <w:rsid w:val="00004697"/>
    <w:rsid w:val="00004882"/>
    <w:rsid w:val="00004A95"/>
    <w:rsid w:val="00004C9A"/>
    <w:rsid w:val="000050B4"/>
    <w:rsid w:val="0000517C"/>
    <w:rsid w:val="000054ED"/>
    <w:rsid w:val="0000553A"/>
    <w:rsid w:val="0000588C"/>
    <w:rsid w:val="00005951"/>
    <w:rsid w:val="00005964"/>
    <w:rsid w:val="00005A28"/>
    <w:rsid w:val="00005AF7"/>
    <w:rsid w:val="00005B30"/>
    <w:rsid w:val="00005F5F"/>
    <w:rsid w:val="00005FF4"/>
    <w:rsid w:val="0000624F"/>
    <w:rsid w:val="000062DB"/>
    <w:rsid w:val="00006479"/>
    <w:rsid w:val="00006629"/>
    <w:rsid w:val="00006938"/>
    <w:rsid w:val="00006B64"/>
    <w:rsid w:val="00007434"/>
    <w:rsid w:val="00007467"/>
    <w:rsid w:val="00007538"/>
    <w:rsid w:val="00007AF0"/>
    <w:rsid w:val="00007B7B"/>
    <w:rsid w:val="00007BCA"/>
    <w:rsid w:val="00007C64"/>
    <w:rsid w:val="00007CFF"/>
    <w:rsid w:val="00010F14"/>
    <w:rsid w:val="000116AF"/>
    <w:rsid w:val="00011872"/>
    <w:rsid w:val="000119A7"/>
    <w:rsid w:val="00011B78"/>
    <w:rsid w:val="00011BA1"/>
    <w:rsid w:val="00011D4A"/>
    <w:rsid w:val="00011EF6"/>
    <w:rsid w:val="00011F6B"/>
    <w:rsid w:val="000120D3"/>
    <w:rsid w:val="000121DF"/>
    <w:rsid w:val="00012365"/>
    <w:rsid w:val="000124A4"/>
    <w:rsid w:val="00012633"/>
    <w:rsid w:val="00012D83"/>
    <w:rsid w:val="00012E73"/>
    <w:rsid w:val="00013247"/>
    <w:rsid w:val="000132C9"/>
    <w:rsid w:val="00013602"/>
    <w:rsid w:val="0001367B"/>
    <w:rsid w:val="00013A58"/>
    <w:rsid w:val="00013ED8"/>
    <w:rsid w:val="00014172"/>
    <w:rsid w:val="00014206"/>
    <w:rsid w:val="00014249"/>
    <w:rsid w:val="000143A5"/>
    <w:rsid w:val="000144C9"/>
    <w:rsid w:val="00014A41"/>
    <w:rsid w:val="00014B3B"/>
    <w:rsid w:val="0001514A"/>
    <w:rsid w:val="000152FD"/>
    <w:rsid w:val="00015769"/>
    <w:rsid w:val="00015AE9"/>
    <w:rsid w:val="00015F0A"/>
    <w:rsid w:val="00015F7A"/>
    <w:rsid w:val="000162D8"/>
    <w:rsid w:val="000164F8"/>
    <w:rsid w:val="000166C8"/>
    <w:rsid w:val="00016946"/>
    <w:rsid w:val="000169CA"/>
    <w:rsid w:val="00016BD8"/>
    <w:rsid w:val="00017087"/>
    <w:rsid w:val="00017591"/>
    <w:rsid w:val="000176AC"/>
    <w:rsid w:val="00017887"/>
    <w:rsid w:val="00017BB3"/>
    <w:rsid w:val="00017C67"/>
    <w:rsid w:val="00020AB5"/>
    <w:rsid w:val="00020FC2"/>
    <w:rsid w:val="00021448"/>
    <w:rsid w:val="0002149C"/>
    <w:rsid w:val="000215B8"/>
    <w:rsid w:val="00021975"/>
    <w:rsid w:val="00022381"/>
    <w:rsid w:val="0002251B"/>
    <w:rsid w:val="00022CA9"/>
    <w:rsid w:val="00022EC5"/>
    <w:rsid w:val="000233EA"/>
    <w:rsid w:val="000238CB"/>
    <w:rsid w:val="000239A2"/>
    <w:rsid w:val="000239CC"/>
    <w:rsid w:val="00023AD3"/>
    <w:rsid w:val="00023BC6"/>
    <w:rsid w:val="00023C3F"/>
    <w:rsid w:val="0002453D"/>
    <w:rsid w:val="000246AF"/>
    <w:rsid w:val="000247E6"/>
    <w:rsid w:val="00024A48"/>
    <w:rsid w:val="00024DDE"/>
    <w:rsid w:val="000252FB"/>
    <w:rsid w:val="000253A9"/>
    <w:rsid w:val="000255FF"/>
    <w:rsid w:val="0002589A"/>
    <w:rsid w:val="000258E9"/>
    <w:rsid w:val="00025A2F"/>
    <w:rsid w:val="00025C3D"/>
    <w:rsid w:val="00025F23"/>
    <w:rsid w:val="00026723"/>
    <w:rsid w:val="00026A30"/>
    <w:rsid w:val="00026D7E"/>
    <w:rsid w:val="0002726C"/>
    <w:rsid w:val="00027581"/>
    <w:rsid w:val="000275D6"/>
    <w:rsid w:val="0002768E"/>
    <w:rsid w:val="00027797"/>
    <w:rsid w:val="00030122"/>
    <w:rsid w:val="00030229"/>
    <w:rsid w:val="000302A3"/>
    <w:rsid w:val="0003057E"/>
    <w:rsid w:val="000309F0"/>
    <w:rsid w:val="00030AAE"/>
    <w:rsid w:val="00030C86"/>
    <w:rsid w:val="00030F2D"/>
    <w:rsid w:val="000310D2"/>
    <w:rsid w:val="0003115A"/>
    <w:rsid w:val="000315D9"/>
    <w:rsid w:val="00031A5B"/>
    <w:rsid w:val="00031E30"/>
    <w:rsid w:val="00031E69"/>
    <w:rsid w:val="00031EB8"/>
    <w:rsid w:val="00031F38"/>
    <w:rsid w:val="00031FE2"/>
    <w:rsid w:val="000320C0"/>
    <w:rsid w:val="000321B4"/>
    <w:rsid w:val="00032F54"/>
    <w:rsid w:val="0003306C"/>
    <w:rsid w:val="00033243"/>
    <w:rsid w:val="0003344E"/>
    <w:rsid w:val="00033583"/>
    <w:rsid w:val="00033717"/>
    <w:rsid w:val="0003387A"/>
    <w:rsid w:val="00033E4C"/>
    <w:rsid w:val="000340E0"/>
    <w:rsid w:val="000343C8"/>
    <w:rsid w:val="00034485"/>
    <w:rsid w:val="00034610"/>
    <w:rsid w:val="0003481C"/>
    <w:rsid w:val="00034E48"/>
    <w:rsid w:val="0003516D"/>
    <w:rsid w:val="0003549D"/>
    <w:rsid w:val="000355EE"/>
    <w:rsid w:val="00035679"/>
    <w:rsid w:val="000358E8"/>
    <w:rsid w:val="000359B7"/>
    <w:rsid w:val="00035C3F"/>
    <w:rsid w:val="00035C46"/>
    <w:rsid w:val="00036236"/>
    <w:rsid w:val="00036316"/>
    <w:rsid w:val="0003635D"/>
    <w:rsid w:val="00036701"/>
    <w:rsid w:val="00036E56"/>
    <w:rsid w:val="00036EB1"/>
    <w:rsid w:val="00036EFE"/>
    <w:rsid w:val="000372C0"/>
    <w:rsid w:val="00037427"/>
    <w:rsid w:val="000378CA"/>
    <w:rsid w:val="00037BE6"/>
    <w:rsid w:val="000400E6"/>
    <w:rsid w:val="0004041D"/>
    <w:rsid w:val="00040A4C"/>
    <w:rsid w:val="00040CFB"/>
    <w:rsid w:val="00040DD7"/>
    <w:rsid w:val="00040F25"/>
    <w:rsid w:val="000413CC"/>
    <w:rsid w:val="0004174B"/>
    <w:rsid w:val="000418AF"/>
    <w:rsid w:val="00041995"/>
    <w:rsid w:val="00041BF1"/>
    <w:rsid w:val="00041C95"/>
    <w:rsid w:val="00041F28"/>
    <w:rsid w:val="00041F39"/>
    <w:rsid w:val="00042180"/>
    <w:rsid w:val="000421AA"/>
    <w:rsid w:val="00042382"/>
    <w:rsid w:val="00042E96"/>
    <w:rsid w:val="00042F75"/>
    <w:rsid w:val="00043438"/>
    <w:rsid w:val="0004361B"/>
    <w:rsid w:val="0004372F"/>
    <w:rsid w:val="00043919"/>
    <w:rsid w:val="00043C65"/>
    <w:rsid w:val="00043CF4"/>
    <w:rsid w:val="00043D22"/>
    <w:rsid w:val="00043F97"/>
    <w:rsid w:val="00044249"/>
    <w:rsid w:val="00044716"/>
    <w:rsid w:val="000447F4"/>
    <w:rsid w:val="0004499E"/>
    <w:rsid w:val="00044A07"/>
    <w:rsid w:val="00044D90"/>
    <w:rsid w:val="00044E33"/>
    <w:rsid w:val="00044F7D"/>
    <w:rsid w:val="0004507D"/>
    <w:rsid w:val="00045456"/>
    <w:rsid w:val="000454CC"/>
    <w:rsid w:val="0004587E"/>
    <w:rsid w:val="00045A16"/>
    <w:rsid w:val="000461A4"/>
    <w:rsid w:val="00046362"/>
    <w:rsid w:val="00046BD9"/>
    <w:rsid w:val="00046C0E"/>
    <w:rsid w:val="00046F42"/>
    <w:rsid w:val="000471FF"/>
    <w:rsid w:val="00047254"/>
    <w:rsid w:val="00047816"/>
    <w:rsid w:val="000478F6"/>
    <w:rsid w:val="00047B01"/>
    <w:rsid w:val="00047BD8"/>
    <w:rsid w:val="000503BF"/>
    <w:rsid w:val="000504F5"/>
    <w:rsid w:val="00050620"/>
    <w:rsid w:val="000506CD"/>
    <w:rsid w:val="00050C3C"/>
    <w:rsid w:val="00050D10"/>
    <w:rsid w:val="00050E6A"/>
    <w:rsid w:val="000512DA"/>
    <w:rsid w:val="000518BA"/>
    <w:rsid w:val="00051B8A"/>
    <w:rsid w:val="00051C4A"/>
    <w:rsid w:val="00051EE5"/>
    <w:rsid w:val="0005220F"/>
    <w:rsid w:val="00052416"/>
    <w:rsid w:val="00052A73"/>
    <w:rsid w:val="00052C8A"/>
    <w:rsid w:val="00052EFA"/>
    <w:rsid w:val="0005343E"/>
    <w:rsid w:val="00053588"/>
    <w:rsid w:val="0005386B"/>
    <w:rsid w:val="00053941"/>
    <w:rsid w:val="00053BED"/>
    <w:rsid w:val="00054130"/>
    <w:rsid w:val="000542FE"/>
    <w:rsid w:val="00054338"/>
    <w:rsid w:val="000546C5"/>
    <w:rsid w:val="00054AD4"/>
    <w:rsid w:val="000550E0"/>
    <w:rsid w:val="000550EC"/>
    <w:rsid w:val="0005513A"/>
    <w:rsid w:val="000552E3"/>
    <w:rsid w:val="000553B2"/>
    <w:rsid w:val="00055754"/>
    <w:rsid w:val="00055A5F"/>
    <w:rsid w:val="00055CD8"/>
    <w:rsid w:val="00055D5E"/>
    <w:rsid w:val="00055D94"/>
    <w:rsid w:val="00056271"/>
    <w:rsid w:val="0005637E"/>
    <w:rsid w:val="0005647A"/>
    <w:rsid w:val="00056819"/>
    <w:rsid w:val="00056969"/>
    <w:rsid w:val="00056D76"/>
    <w:rsid w:val="000574A2"/>
    <w:rsid w:val="000576F3"/>
    <w:rsid w:val="00057763"/>
    <w:rsid w:val="00057A70"/>
    <w:rsid w:val="00057BF2"/>
    <w:rsid w:val="00057C0F"/>
    <w:rsid w:val="00060934"/>
    <w:rsid w:val="00060E6E"/>
    <w:rsid w:val="00060F36"/>
    <w:rsid w:val="00060F8B"/>
    <w:rsid w:val="00060FF2"/>
    <w:rsid w:val="0006167B"/>
    <w:rsid w:val="00061774"/>
    <w:rsid w:val="0006183F"/>
    <w:rsid w:val="00061B52"/>
    <w:rsid w:val="00061B55"/>
    <w:rsid w:val="00061BD0"/>
    <w:rsid w:val="00061DBB"/>
    <w:rsid w:val="00061F5A"/>
    <w:rsid w:val="000622B1"/>
    <w:rsid w:val="000625FD"/>
    <w:rsid w:val="0006270F"/>
    <w:rsid w:val="00063064"/>
    <w:rsid w:val="000631D9"/>
    <w:rsid w:val="0006342A"/>
    <w:rsid w:val="000634BB"/>
    <w:rsid w:val="00063541"/>
    <w:rsid w:val="0006357C"/>
    <w:rsid w:val="0006399D"/>
    <w:rsid w:val="00063C33"/>
    <w:rsid w:val="00063DF4"/>
    <w:rsid w:val="00063EE6"/>
    <w:rsid w:val="0006459D"/>
    <w:rsid w:val="000646B1"/>
    <w:rsid w:val="00064939"/>
    <w:rsid w:val="0006512C"/>
    <w:rsid w:val="000654D1"/>
    <w:rsid w:val="0006592E"/>
    <w:rsid w:val="000659DC"/>
    <w:rsid w:val="00065AF2"/>
    <w:rsid w:val="00065BEE"/>
    <w:rsid w:val="00065C2A"/>
    <w:rsid w:val="00065E1D"/>
    <w:rsid w:val="00065E8B"/>
    <w:rsid w:val="00066252"/>
    <w:rsid w:val="000667B5"/>
    <w:rsid w:val="00066893"/>
    <w:rsid w:val="00066F37"/>
    <w:rsid w:val="00067018"/>
    <w:rsid w:val="00067145"/>
    <w:rsid w:val="000671FB"/>
    <w:rsid w:val="00067248"/>
    <w:rsid w:val="00067420"/>
    <w:rsid w:val="00067529"/>
    <w:rsid w:val="00067556"/>
    <w:rsid w:val="000677B2"/>
    <w:rsid w:val="0006780F"/>
    <w:rsid w:val="00067900"/>
    <w:rsid w:val="00067A96"/>
    <w:rsid w:val="00067CAA"/>
    <w:rsid w:val="00070148"/>
    <w:rsid w:val="00070328"/>
    <w:rsid w:val="0007044D"/>
    <w:rsid w:val="00070586"/>
    <w:rsid w:val="0007074A"/>
    <w:rsid w:val="00070DA1"/>
    <w:rsid w:val="00070DD5"/>
    <w:rsid w:val="0007122A"/>
    <w:rsid w:val="00071297"/>
    <w:rsid w:val="000717FA"/>
    <w:rsid w:val="00071BF7"/>
    <w:rsid w:val="000720D8"/>
    <w:rsid w:val="00072865"/>
    <w:rsid w:val="00072957"/>
    <w:rsid w:val="00072BB0"/>
    <w:rsid w:val="00072D06"/>
    <w:rsid w:val="00072DA7"/>
    <w:rsid w:val="0007344A"/>
    <w:rsid w:val="00073589"/>
    <w:rsid w:val="000739EE"/>
    <w:rsid w:val="00073A77"/>
    <w:rsid w:val="00073E5F"/>
    <w:rsid w:val="00073F40"/>
    <w:rsid w:val="00073F60"/>
    <w:rsid w:val="00074311"/>
    <w:rsid w:val="0007435C"/>
    <w:rsid w:val="00074674"/>
    <w:rsid w:val="0007474E"/>
    <w:rsid w:val="00074AF7"/>
    <w:rsid w:val="00074D53"/>
    <w:rsid w:val="00075296"/>
    <w:rsid w:val="0007534D"/>
    <w:rsid w:val="00075471"/>
    <w:rsid w:val="000755E9"/>
    <w:rsid w:val="00075AA1"/>
    <w:rsid w:val="0007610D"/>
    <w:rsid w:val="000762BD"/>
    <w:rsid w:val="000765B6"/>
    <w:rsid w:val="000765EA"/>
    <w:rsid w:val="00076910"/>
    <w:rsid w:val="00076AAA"/>
    <w:rsid w:val="00076CEF"/>
    <w:rsid w:val="00076D5C"/>
    <w:rsid w:val="00076F20"/>
    <w:rsid w:val="000771DF"/>
    <w:rsid w:val="000773D8"/>
    <w:rsid w:val="00077575"/>
    <w:rsid w:val="0007781F"/>
    <w:rsid w:val="00077C59"/>
    <w:rsid w:val="00077CDF"/>
    <w:rsid w:val="00077D45"/>
    <w:rsid w:val="00077FF6"/>
    <w:rsid w:val="00080655"/>
    <w:rsid w:val="00080AFB"/>
    <w:rsid w:val="00080F27"/>
    <w:rsid w:val="000812BB"/>
    <w:rsid w:val="00081317"/>
    <w:rsid w:val="00081AC1"/>
    <w:rsid w:val="00081DF2"/>
    <w:rsid w:val="00081DFA"/>
    <w:rsid w:val="00081EC0"/>
    <w:rsid w:val="00082109"/>
    <w:rsid w:val="0008213C"/>
    <w:rsid w:val="0008231B"/>
    <w:rsid w:val="00082527"/>
    <w:rsid w:val="000825FA"/>
    <w:rsid w:val="00082CD6"/>
    <w:rsid w:val="00082E7C"/>
    <w:rsid w:val="00082F19"/>
    <w:rsid w:val="000830E9"/>
    <w:rsid w:val="000837F9"/>
    <w:rsid w:val="00083BD2"/>
    <w:rsid w:val="000845FD"/>
    <w:rsid w:val="00084C86"/>
    <w:rsid w:val="00085854"/>
    <w:rsid w:val="0008599F"/>
    <w:rsid w:val="00085B02"/>
    <w:rsid w:val="00085D47"/>
    <w:rsid w:val="00085D94"/>
    <w:rsid w:val="00085EEB"/>
    <w:rsid w:val="00085F31"/>
    <w:rsid w:val="00085F3A"/>
    <w:rsid w:val="00086280"/>
    <w:rsid w:val="000863DF"/>
    <w:rsid w:val="00086501"/>
    <w:rsid w:val="0008672D"/>
    <w:rsid w:val="0008683F"/>
    <w:rsid w:val="00086BE3"/>
    <w:rsid w:val="00086DBE"/>
    <w:rsid w:val="00086E1B"/>
    <w:rsid w:val="00087011"/>
    <w:rsid w:val="00087151"/>
    <w:rsid w:val="00087369"/>
    <w:rsid w:val="000873C8"/>
    <w:rsid w:val="000878CE"/>
    <w:rsid w:val="00087CF3"/>
    <w:rsid w:val="000900A1"/>
    <w:rsid w:val="00090209"/>
    <w:rsid w:val="000909A8"/>
    <w:rsid w:val="000909FD"/>
    <w:rsid w:val="00090A4F"/>
    <w:rsid w:val="00090E3A"/>
    <w:rsid w:val="000910AE"/>
    <w:rsid w:val="000915C3"/>
    <w:rsid w:val="0009165E"/>
    <w:rsid w:val="00091E3A"/>
    <w:rsid w:val="00091F32"/>
    <w:rsid w:val="000923E3"/>
    <w:rsid w:val="000923E8"/>
    <w:rsid w:val="000924F7"/>
    <w:rsid w:val="00092606"/>
    <w:rsid w:val="000926B7"/>
    <w:rsid w:val="000926BA"/>
    <w:rsid w:val="00092A6C"/>
    <w:rsid w:val="00092D66"/>
    <w:rsid w:val="000930BF"/>
    <w:rsid w:val="000932CC"/>
    <w:rsid w:val="000933B0"/>
    <w:rsid w:val="000938E3"/>
    <w:rsid w:val="00093BAD"/>
    <w:rsid w:val="00093E2F"/>
    <w:rsid w:val="00093E89"/>
    <w:rsid w:val="00093EB2"/>
    <w:rsid w:val="00093F44"/>
    <w:rsid w:val="00094140"/>
    <w:rsid w:val="00094301"/>
    <w:rsid w:val="000943A8"/>
    <w:rsid w:val="00094C2E"/>
    <w:rsid w:val="00095145"/>
    <w:rsid w:val="00095480"/>
    <w:rsid w:val="00095775"/>
    <w:rsid w:val="00095C70"/>
    <w:rsid w:val="00095E56"/>
    <w:rsid w:val="00096001"/>
    <w:rsid w:val="00096103"/>
    <w:rsid w:val="0009613B"/>
    <w:rsid w:val="0009615B"/>
    <w:rsid w:val="0009660D"/>
    <w:rsid w:val="00096802"/>
    <w:rsid w:val="00096939"/>
    <w:rsid w:val="00096D8F"/>
    <w:rsid w:val="00096F76"/>
    <w:rsid w:val="00097098"/>
    <w:rsid w:val="00097786"/>
    <w:rsid w:val="000978E9"/>
    <w:rsid w:val="00097BF9"/>
    <w:rsid w:val="000A056E"/>
    <w:rsid w:val="000A0608"/>
    <w:rsid w:val="000A09E4"/>
    <w:rsid w:val="000A0B38"/>
    <w:rsid w:val="000A0C1B"/>
    <w:rsid w:val="000A0DC5"/>
    <w:rsid w:val="000A1000"/>
    <w:rsid w:val="000A14E8"/>
    <w:rsid w:val="000A1539"/>
    <w:rsid w:val="000A161D"/>
    <w:rsid w:val="000A174A"/>
    <w:rsid w:val="000A1786"/>
    <w:rsid w:val="000A1B91"/>
    <w:rsid w:val="000A2077"/>
    <w:rsid w:val="000A21CD"/>
    <w:rsid w:val="000A2225"/>
    <w:rsid w:val="000A22BE"/>
    <w:rsid w:val="000A29A5"/>
    <w:rsid w:val="000A3386"/>
    <w:rsid w:val="000A34B6"/>
    <w:rsid w:val="000A3862"/>
    <w:rsid w:val="000A3A9E"/>
    <w:rsid w:val="000A3ABE"/>
    <w:rsid w:val="000A3BFE"/>
    <w:rsid w:val="000A3DD1"/>
    <w:rsid w:val="000A3E57"/>
    <w:rsid w:val="000A4171"/>
    <w:rsid w:val="000A435D"/>
    <w:rsid w:val="000A438F"/>
    <w:rsid w:val="000A4B05"/>
    <w:rsid w:val="000A501C"/>
    <w:rsid w:val="000A5475"/>
    <w:rsid w:val="000A56B3"/>
    <w:rsid w:val="000A59FF"/>
    <w:rsid w:val="000A5B0D"/>
    <w:rsid w:val="000A5C70"/>
    <w:rsid w:val="000A61ED"/>
    <w:rsid w:val="000A65BC"/>
    <w:rsid w:val="000A6756"/>
    <w:rsid w:val="000A6D27"/>
    <w:rsid w:val="000A7187"/>
    <w:rsid w:val="000A762F"/>
    <w:rsid w:val="000A7647"/>
    <w:rsid w:val="000A76C9"/>
    <w:rsid w:val="000A7934"/>
    <w:rsid w:val="000A7A09"/>
    <w:rsid w:val="000A7D7B"/>
    <w:rsid w:val="000A7F11"/>
    <w:rsid w:val="000B0144"/>
    <w:rsid w:val="000B0386"/>
    <w:rsid w:val="000B039C"/>
    <w:rsid w:val="000B077E"/>
    <w:rsid w:val="000B07D4"/>
    <w:rsid w:val="000B0877"/>
    <w:rsid w:val="000B0E4D"/>
    <w:rsid w:val="000B102E"/>
    <w:rsid w:val="000B1357"/>
    <w:rsid w:val="000B16EF"/>
    <w:rsid w:val="000B1876"/>
    <w:rsid w:val="000B1D58"/>
    <w:rsid w:val="000B2114"/>
    <w:rsid w:val="000B2266"/>
    <w:rsid w:val="000B2A20"/>
    <w:rsid w:val="000B2AF8"/>
    <w:rsid w:val="000B2E1C"/>
    <w:rsid w:val="000B2F15"/>
    <w:rsid w:val="000B35E3"/>
    <w:rsid w:val="000B3867"/>
    <w:rsid w:val="000B38C2"/>
    <w:rsid w:val="000B3BA2"/>
    <w:rsid w:val="000B4051"/>
    <w:rsid w:val="000B457F"/>
    <w:rsid w:val="000B4866"/>
    <w:rsid w:val="000B4A23"/>
    <w:rsid w:val="000B4BCF"/>
    <w:rsid w:val="000B531C"/>
    <w:rsid w:val="000B54FC"/>
    <w:rsid w:val="000B58B6"/>
    <w:rsid w:val="000B5CDA"/>
    <w:rsid w:val="000B69F9"/>
    <w:rsid w:val="000B6D3D"/>
    <w:rsid w:val="000B6F08"/>
    <w:rsid w:val="000B6F9C"/>
    <w:rsid w:val="000B705F"/>
    <w:rsid w:val="000B7938"/>
    <w:rsid w:val="000B7B83"/>
    <w:rsid w:val="000B7BA2"/>
    <w:rsid w:val="000B7C76"/>
    <w:rsid w:val="000C034D"/>
    <w:rsid w:val="000C03B8"/>
    <w:rsid w:val="000C0433"/>
    <w:rsid w:val="000C0530"/>
    <w:rsid w:val="000C06D1"/>
    <w:rsid w:val="000C0C16"/>
    <w:rsid w:val="000C0D40"/>
    <w:rsid w:val="000C1151"/>
    <w:rsid w:val="000C1329"/>
    <w:rsid w:val="000C1A4E"/>
    <w:rsid w:val="000C1B6B"/>
    <w:rsid w:val="000C22A7"/>
    <w:rsid w:val="000C2C31"/>
    <w:rsid w:val="000C363D"/>
    <w:rsid w:val="000C37C8"/>
    <w:rsid w:val="000C382F"/>
    <w:rsid w:val="000C38B8"/>
    <w:rsid w:val="000C3A21"/>
    <w:rsid w:val="000C3B1E"/>
    <w:rsid w:val="000C3F44"/>
    <w:rsid w:val="000C3FA1"/>
    <w:rsid w:val="000C406F"/>
    <w:rsid w:val="000C441F"/>
    <w:rsid w:val="000C52BB"/>
    <w:rsid w:val="000C5437"/>
    <w:rsid w:val="000C57A3"/>
    <w:rsid w:val="000C5837"/>
    <w:rsid w:val="000C58CE"/>
    <w:rsid w:val="000C59F0"/>
    <w:rsid w:val="000C5BD7"/>
    <w:rsid w:val="000C5C6E"/>
    <w:rsid w:val="000C5D11"/>
    <w:rsid w:val="000C60EE"/>
    <w:rsid w:val="000C613C"/>
    <w:rsid w:val="000C662B"/>
    <w:rsid w:val="000C6CAE"/>
    <w:rsid w:val="000C6D29"/>
    <w:rsid w:val="000C71AE"/>
    <w:rsid w:val="000C76EF"/>
    <w:rsid w:val="000C7705"/>
    <w:rsid w:val="000C7B0F"/>
    <w:rsid w:val="000C7B97"/>
    <w:rsid w:val="000C7C48"/>
    <w:rsid w:val="000C7D25"/>
    <w:rsid w:val="000D0228"/>
    <w:rsid w:val="000D02AE"/>
    <w:rsid w:val="000D04AC"/>
    <w:rsid w:val="000D0B03"/>
    <w:rsid w:val="000D0F31"/>
    <w:rsid w:val="000D0F69"/>
    <w:rsid w:val="000D108B"/>
    <w:rsid w:val="000D1282"/>
    <w:rsid w:val="000D16E4"/>
    <w:rsid w:val="000D1B74"/>
    <w:rsid w:val="000D1C5B"/>
    <w:rsid w:val="000D1D2F"/>
    <w:rsid w:val="000D1EE1"/>
    <w:rsid w:val="000D1F22"/>
    <w:rsid w:val="000D23EA"/>
    <w:rsid w:val="000D27EB"/>
    <w:rsid w:val="000D29EE"/>
    <w:rsid w:val="000D2B89"/>
    <w:rsid w:val="000D3102"/>
    <w:rsid w:val="000D32E6"/>
    <w:rsid w:val="000D3364"/>
    <w:rsid w:val="000D3721"/>
    <w:rsid w:val="000D3DA8"/>
    <w:rsid w:val="000D3F21"/>
    <w:rsid w:val="000D410D"/>
    <w:rsid w:val="000D420A"/>
    <w:rsid w:val="000D457F"/>
    <w:rsid w:val="000D4915"/>
    <w:rsid w:val="000D4CA8"/>
    <w:rsid w:val="000D51EE"/>
    <w:rsid w:val="000D52C3"/>
    <w:rsid w:val="000D5432"/>
    <w:rsid w:val="000D545A"/>
    <w:rsid w:val="000D5721"/>
    <w:rsid w:val="000D5A48"/>
    <w:rsid w:val="000D5DE6"/>
    <w:rsid w:val="000D5E6F"/>
    <w:rsid w:val="000D611F"/>
    <w:rsid w:val="000D62F6"/>
    <w:rsid w:val="000D647A"/>
    <w:rsid w:val="000D6827"/>
    <w:rsid w:val="000D697B"/>
    <w:rsid w:val="000D6BB1"/>
    <w:rsid w:val="000D6D83"/>
    <w:rsid w:val="000D6DE6"/>
    <w:rsid w:val="000D6DE7"/>
    <w:rsid w:val="000D6F44"/>
    <w:rsid w:val="000D7187"/>
    <w:rsid w:val="000D71DB"/>
    <w:rsid w:val="000D7415"/>
    <w:rsid w:val="000D786C"/>
    <w:rsid w:val="000D7A6C"/>
    <w:rsid w:val="000E00D0"/>
    <w:rsid w:val="000E04ED"/>
    <w:rsid w:val="000E0CF7"/>
    <w:rsid w:val="000E0D39"/>
    <w:rsid w:val="000E0D95"/>
    <w:rsid w:val="000E1537"/>
    <w:rsid w:val="000E1A65"/>
    <w:rsid w:val="000E1A74"/>
    <w:rsid w:val="000E1AFA"/>
    <w:rsid w:val="000E1C2E"/>
    <w:rsid w:val="000E203E"/>
    <w:rsid w:val="000E208D"/>
    <w:rsid w:val="000E20E8"/>
    <w:rsid w:val="000E2599"/>
    <w:rsid w:val="000E2C55"/>
    <w:rsid w:val="000E31E8"/>
    <w:rsid w:val="000E3698"/>
    <w:rsid w:val="000E36BA"/>
    <w:rsid w:val="000E37E5"/>
    <w:rsid w:val="000E3A82"/>
    <w:rsid w:val="000E3D46"/>
    <w:rsid w:val="000E3E97"/>
    <w:rsid w:val="000E4061"/>
    <w:rsid w:val="000E4AAD"/>
    <w:rsid w:val="000E4DA4"/>
    <w:rsid w:val="000E4F34"/>
    <w:rsid w:val="000E53EE"/>
    <w:rsid w:val="000E5401"/>
    <w:rsid w:val="000E568B"/>
    <w:rsid w:val="000E58E4"/>
    <w:rsid w:val="000E5A74"/>
    <w:rsid w:val="000E5AC7"/>
    <w:rsid w:val="000E5F84"/>
    <w:rsid w:val="000E610D"/>
    <w:rsid w:val="000E6257"/>
    <w:rsid w:val="000E6774"/>
    <w:rsid w:val="000E7553"/>
    <w:rsid w:val="000E769E"/>
    <w:rsid w:val="000E78F7"/>
    <w:rsid w:val="000E7923"/>
    <w:rsid w:val="000F098E"/>
    <w:rsid w:val="000F0AA6"/>
    <w:rsid w:val="000F14F7"/>
    <w:rsid w:val="000F1A19"/>
    <w:rsid w:val="000F1CDC"/>
    <w:rsid w:val="000F2121"/>
    <w:rsid w:val="000F2124"/>
    <w:rsid w:val="000F262E"/>
    <w:rsid w:val="000F27FF"/>
    <w:rsid w:val="000F2B8D"/>
    <w:rsid w:val="000F2E4C"/>
    <w:rsid w:val="000F30A7"/>
    <w:rsid w:val="000F3363"/>
    <w:rsid w:val="000F35DC"/>
    <w:rsid w:val="000F384F"/>
    <w:rsid w:val="000F39F4"/>
    <w:rsid w:val="000F405A"/>
    <w:rsid w:val="000F44FB"/>
    <w:rsid w:val="000F4692"/>
    <w:rsid w:val="000F4B79"/>
    <w:rsid w:val="000F4B9A"/>
    <w:rsid w:val="000F4F71"/>
    <w:rsid w:val="000F4FF2"/>
    <w:rsid w:val="000F5014"/>
    <w:rsid w:val="000F5085"/>
    <w:rsid w:val="000F51C1"/>
    <w:rsid w:val="000F537B"/>
    <w:rsid w:val="000F56AC"/>
    <w:rsid w:val="000F5B27"/>
    <w:rsid w:val="000F5FDF"/>
    <w:rsid w:val="000F632B"/>
    <w:rsid w:val="000F6BDC"/>
    <w:rsid w:val="000F6DC9"/>
    <w:rsid w:val="000F71B8"/>
    <w:rsid w:val="000F73C5"/>
    <w:rsid w:val="000F7B74"/>
    <w:rsid w:val="000F7C66"/>
    <w:rsid w:val="0010027D"/>
    <w:rsid w:val="00100B87"/>
    <w:rsid w:val="00100BFB"/>
    <w:rsid w:val="00100C37"/>
    <w:rsid w:val="00100C86"/>
    <w:rsid w:val="00101373"/>
    <w:rsid w:val="001014F4"/>
    <w:rsid w:val="00101589"/>
    <w:rsid w:val="001017B4"/>
    <w:rsid w:val="00101E73"/>
    <w:rsid w:val="00101EA4"/>
    <w:rsid w:val="00101EE5"/>
    <w:rsid w:val="001027CF"/>
    <w:rsid w:val="00102A07"/>
    <w:rsid w:val="00102BBA"/>
    <w:rsid w:val="00102D95"/>
    <w:rsid w:val="00102D9C"/>
    <w:rsid w:val="00102F5A"/>
    <w:rsid w:val="00103BE9"/>
    <w:rsid w:val="00103FC7"/>
    <w:rsid w:val="001040E9"/>
    <w:rsid w:val="001040EC"/>
    <w:rsid w:val="00104463"/>
    <w:rsid w:val="0010483E"/>
    <w:rsid w:val="00104C21"/>
    <w:rsid w:val="00104FBE"/>
    <w:rsid w:val="001052A2"/>
    <w:rsid w:val="001056BD"/>
    <w:rsid w:val="0010600D"/>
    <w:rsid w:val="00106041"/>
    <w:rsid w:val="00106104"/>
    <w:rsid w:val="0010628C"/>
    <w:rsid w:val="001062B1"/>
    <w:rsid w:val="00106F30"/>
    <w:rsid w:val="00107469"/>
    <w:rsid w:val="00107A3E"/>
    <w:rsid w:val="00107A8C"/>
    <w:rsid w:val="00107C90"/>
    <w:rsid w:val="00110A2B"/>
    <w:rsid w:val="00110ADC"/>
    <w:rsid w:val="00110AFC"/>
    <w:rsid w:val="00111019"/>
    <w:rsid w:val="00111073"/>
    <w:rsid w:val="001112E3"/>
    <w:rsid w:val="001113D1"/>
    <w:rsid w:val="0011178F"/>
    <w:rsid w:val="00111DEF"/>
    <w:rsid w:val="00112027"/>
    <w:rsid w:val="001120E4"/>
    <w:rsid w:val="00112C38"/>
    <w:rsid w:val="00112D44"/>
    <w:rsid w:val="00112D70"/>
    <w:rsid w:val="00113031"/>
    <w:rsid w:val="00113216"/>
    <w:rsid w:val="00113510"/>
    <w:rsid w:val="001135C2"/>
    <w:rsid w:val="00113866"/>
    <w:rsid w:val="001139C2"/>
    <w:rsid w:val="00113A17"/>
    <w:rsid w:val="0011411C"/>
    <w:rsid w:val="0011414E"/>
    <w:rsid w:val="001141FE"/>
    <w:rsid w:val="0011455F"/>
    <w:rsid w:val="00114787"/>
    <w:rsid w:val="00114857"/>
    <w:rsid w:val="001148A7"/>
    <w:rsid w:val="00114932"/>
    <w:rsid w:val="00114CDF"/>
    <w:rsid w:val="00114D1F"/>
    <w:rsid w:val="00114D34"/>
    <w:rsid w:val="00115181"/>
    <w:rsid w:val="001151E6"/>
    <w:rsid w:val="00115270"/>
    <w:rsid w:val="001157D9"/>
    <w:rsid w:val="00115C21"/>
    <w:rsid w:val="00115F3B"/>
    <w:rsid w:val="00116097"/>
    <w:rsid w:val="0011629A"/>
    <w:rsid w:val="0011641A"/>
    <w:rsid w:val="00116AB3"/>
    <w:rsid w:val="00116D55"/>
    <w:rsid w:val="00116F58"/>
    <w:rsid w:val="001172F0"/>
    <w:rsid w:val="001175D4"/>
    <w:rsid w:val="0011765A"/>
    <w:rsid w:val="00117F25"/>
    <w:rsid w:val="00120158"/>
    <w:rsid w:val="001203BF"/>
    <w:rsid w:val="0012045C"/>
    <w:rsid w:val="001204E3"/>
    <w:rsid w:val="001205A1"/>
    <w:rsid w:val="001205A4"/>
    <w:rsid w:val="00120848"/>
    <w:rsid w:val="00120858"/>
    <w:rsid w:val="00120B13"/>
    <w:rsid w:val="00120DE1"/>
    <w:rsid w:val="00121211"/>
    <w:rsid w:val="001213A3"/>
    <w:rsid w:val="001214EB"/>
    <w:rsid w:val="0012177B"/>
    <w:rsid w:val="00121AE3"/>
    <w:rsid w:val="00121AF5"/>
    <w:rsid w:val="00121C96"/>
    <w:rsid w:val="00121D44"/>
    <w:rsid w:val="001221B0"/>
    <w:rsid w:val="001221BE"/>
    <w:rsid w:val="001226EF"/>
    <w:rsid w:val="00122740"/>
    <w:rsid w:val="001228E1"/>
    <w:rsid w:val="0012298E"/>
    <w:rsid w:val="00122DF0"/>
    <w:rsid w:val="001232C5"/>
    <w:rsid w:val="00123B15"/>
    <w:rsid w:val="00124223"/>
    <w:rsid w:val="0012439D"/>
    <w:rsid w:val="001244FA"/>
    <w:rsid w:val="001248DA"/>
    <w:rsid w:val="00124AEF"/>
    <w:rsid w:val="00124BB1"/>
    <w:rsid w:val="0012505F"/>
    <w:rsid w:val="001250CD"/>
    <w:rsid w:val="001254E9"/>
    <w:rsid w:val="00125730"/>
    <w:rsid w:val="001259F5"/>
    <w:rsid w:val="00125B7A"/>
    <w:rsid w:val="00125B92"/>
    <w:rsid w:val="00125C11"/>
    <w:rsid w:val="00126713"/>
    <w:rsid w:val="00126D22"/>
    <w:rsid w:val="001270EE"/>
    <w:rsid w:val="0012720B"/>
    <w:rsid w:val="00127303"/>
    <w:rsid w:val="00127321"/>
    <w:rsid w:val="0012739B"/>
    <w:rsid w:val="001273B9"/>
    <w:rsid w:val="0012746B"/>
    <w:rsid w:val="0012762E"/>
    <w:rsid w:val="00127704"/>
    <w:rsid w:val="00127A93"/>
    <w:rsid w:val="00127B24"/>
    <w:rsid w:val="001303D4"/>
    <w:rsid w:val="00130751"/>
    <w:rsid w:val="00130AC7"/>
    <w:rsid w:val="00131322"/>
    <w:rsid w:val="0013162A"/>
    <w:rsid w:val="001318B4"/>
    <w:rsid w:val="00131965"/>
    <w:rsid w:val="00131AFB"/>
    <w:rsid w:val="00131D3F"/>
    <w:rsid w:val="00131D95"/>
    <w:rsid w:val="00131FCE"/>
    <w:rsid w:val="001320F0"/>
    <w:rsid w:val="00132190"/>
    <w:rsid w:val="00132245"/>
    <w:rsid w:val="0013252D"/>
    <w:rsid w:val="0013252F"/>
    <w:rsid w:val="00132552"/>
    <w:rsid w:val="00132F54"/>
    <w:rsid w:val="00132F5E"/>
    <w:rsid w:val="00133064"/>
    <w:rsid w:val="0013322B"/>
    <w:rsid w:val="0013344D"/>
    <w:rsid w:val="00133C57"/>
    <w:rsid w:val="001341A3"/>
    <w:rsid w:val="001347CA"/>
    <w:rsid w:val="00134B44"/>
    <w:rsid w:val="00134D46"/>
    <w:rsid w:val="001357DC"/>
    <w:rsid w:val="00135A61"/>
    <w:rsid w:val="00135A7C"/>
    <w:rsid w:val="00135E66"/>
    <w:rsid w:val="0013698C"/>
    <w:rsid w:val="001372F2"/>
    <w:rsid w:val="001375AD"/>
    <w:rsid w:val="001377DE"/>
    <w:rsid w:val="0013785B"/>
    <w:rsid w:val="00137AF8"/>
    <w:rsid w:val="00137D82"/>
    <w:rsid w:val="001405FD"/>
    <w:rsid w:val="001406ED"/>
    <w:rsid w:val="00140A42"/>
    <w:rsid w:val="00140A6B"/>
    <w:rsid w:val="00140D56"/>
    <w:rsid w:val="00140DEA"/>
    <w:rsid w:val="0014109E"/>
    <w:rsid w:val="00141410"/>
    <w:rsid w:val="0014153A"/>
    <w:rsid w:val="0014161E"/>
    <w:rsid w:val="00141879"/>
    <w:rsid w:val="001419EB"/>
    <w:rsid w:val="00141DB1"/>
    <w:rsid w:val="00141FCE"/>
    <w:rsid w:val="00142363"/>
    <w:rsid w:val="001428F3"/>
    <w:rsid w:val="00142B78"/>
    <w:rsid w:val="00142FDF"/>
    <w:rsid w:val="001430E7"/>
    <w:rsid w:val="00143139"/>
    <w:rsid w:val="00143411"/>
    <w:rsid w:val="001434FA"/>
    <w:rsid w:val="00143EA0"/>
    <w:rsid w:val="001442B1"/>
    <w:rsid w:val="001442F4"/>
    <w:rsid w:val="0014484F"/>
    <w:rsid w:val="0014496B"/>
    <w:rsid w:val="00144FA2"/>
    <w:rsid w:val="001452BE"/>
    <w:rsid w:val="0014538A"/>
    <w:rsid w:val="001454B7"/>
    <w:rsid w:val="00145717"/>
    <w:rsid w:val="0014571A"/>
    <w:rsid w:val="00145D99"/>
    <w:rsid w:val="00145E1B"/>
    <w:rsid w:val="00146833"/>
    <w:rsid w:val="00146E10"/>
    <w:rsid w:val="00146E81"/>
    <w:rsid w:val="001473BE"/>
    <w:rsid w:val="001473CD"/>
    <w:rsid w:val="00147756"/>
    <w:rsid w:val="00147AB7"/>
    <w:rsid w:val="00147D78"/>
    <w:rsid w:val="00147F1C"/>
    <w:rsid w:val="0015006B"/>
    <w:rsid w:val="001503A1"/>
    <w:rsid w:val="00150731"/>
    <w:rsid w:val="00150904"/>
    <w:rsid w:val="00150D14"/>
    <w:rsid w:val="00151268"/>
    <w:rsid w:val="001517BD"/>
    <w:rsid w:val="0015193A"/>
    <w:rsid w:val="001519C2"/>
    <w:rsid w:val="00151BC0"/>
    <w:rsid w:val="00151BFA"/>
    <w:rsid w:val="00152293"/>
    <w:rsid w:val="0015299B"/>
    <w:rsid w:val="00152A93"/>
    <w:rsid w:val="00152D20"/>
    <w:rsid w:val="00152D3F"/>
    <w:rsid w:val="001537BF"/>
    <w:rsid w:val="00153834"/>
    <w:rsid w:val="00153AD2"/>
    <w:rsid w:val="00153B0D"/>
    <w:rsid w:val="00153BAA"/>
    <w:rsid w:val="00153D52"/>
    <w:rsid w:val="001542FF"/>
    <w:rsid w:val="0015462C"/>
    <w:rsid w:val="0015467B"/>
    <w:rsid w:val="001549BC"/>
    <w:rsid w:val="00154F9C"/>
    <w:rsid w:val="0015585B"/>
    <w:rsid w:val="00155BE5"/>
    <w:rsid w:val="00155E73"/>
    <w:rsid w:val="00156780"/>
    <w:rsid w:val="00156923"/>
    <w:rsid w:val="00156A23"/>
    <w:rsid w:val="00156BB1"/>
    <w:rsid w:val="00156BED"/>
    <w:rsid w:val="00156DB0"/>
    <w:rsid w:val="00156E64"/>
    <w:rsid w:val="00157156"/>
    <w:rsid w:val="00157B88"/>
    <w:rsid w:val="00157BBE"/>
    <w:rsid w:val="001604B0"/>
    <w:rsid w:val="00160787"/>
    <w:rsid w:val="00160900"/>
    <w:rsid w:val="00160947"/>
    <w:rsid w:val="00160AD9"/>
    <w:rsid w:val="00160FD6"/>
    <w:rsid w:val="001610FE"/>
    <w:rsid w:val="0016115D"/>
    <w:rsid w:val="0016197C"/>
    <w:rsid w:val="00161ABA"/>
    <w:rsid w:val="00161F07"/>
    <w:rsid w:val="00161FA0"/>
    <w:rsid w:val="0016245C"/>
    <w:rsid w:val="0016318D"/>
    <w:rsid w:val="0016336D"/>
    <w:rsid w:val="00163482"/>
    <w:rsid w:val="00163494"/>
    <w:rsid w:val="0016358A"/>
    <w:rsid w:val="0016363B"/>
    <w:rsid w:val="001639DC"/>
    <w:rsid w:val="00163EB0"/>
    <w:rsid w:val="0016408C"/>
    <w:rsid w:val="00164895"/>
    <w:rsid w:val="001648A4"/>
    <w:rsid w:val="00164AF5"/>
    <w:rsid w:val="00165014"/>
    <w:rsid w:val="00165605"/>
    <w:rsid w:val="0016567E"/>
    <w:rsid w:val="00165792"/>
    <w:rsid w:val="001659AB"/>
    <w:rsid w:val="00165ABE"/>
    <w:rsid w:val="00165F8F"/>
    <w:rsid w:val="00166017"/>
    <w:rsid w:val="001661C2"/>
    <w:rsid w:val="0016628A"/>
    <w:rsid w:val="001667C2"/>
    <w:rsid w:val="00166A67"/>
    <w:rsid w:val="00166C3D"/>
    <w:rsid w:val="00166D83"/>
    <w:rsid w:val="00167200"/>
    <w:rsid w:val="00167378"/>
    <w:rsid w:val="001674E6"/>
    <w:rsid w:val="001678D5"/>
    <w:rsid w:val="00167F99"/>
    <w:rsid w:val="001704BE"/>
    <w:rsid w:val="00170817"/>
    <w:rsid w:val="001709B8"/>
    <w:rsid w:val="00170CE5"/>
    <w:rsid w:val="00170DEF"/>
    <w:rsid w:val="001711F2"/>
    <w:rsid w:val="00171479"/>
    <w:rsid w:val="001719E8"/>
    <w:rsid w:val="00171AC5"/>
    <w:rsid w:val="00171F63"/>
    <w:rsid w:val="0017206C"/>
    <w:rsid w:val="00172183"/>
    <w:rsid w:val="001721A3"/>
    <w:rsid w:val="00172414"/>
    <w:rsid w:val="0017265A"/>
    <w:rsid w:val="001728CB"/>
    <w:rsid w:val="00172970"/>
    <w:rsid w:val="00172EFD"/>
    <w:rsid w:val="001734E5"/>
    <w:rsid w:val="0017350A"/>
    <w:rsid w:val="00173CE1"/>
    <w:rsid w:val="00173D1E"/>
    <w:rsid w:val="00174751"/>
    <w:rsid w:val="001747DD"/>
    <w:rsid w:val="00174EBA"/>
    <w:rsid w:val="00174F5C"/>
    <w:rsid w:val="001751C7"/>
    <w:rsid w:val="001757A7"/>
    <w:rsid w:val="00175C9D"/>
    <w:rsid w:val="001760A7"/>
    <w:rsid w:val="001761B3"/>
    <w:rsid w:val="00176412"/>
    <w:rsid w:val="00176562"/>
    <w:rsid w:val="00176607"/>
    <w:rsid w:val="001774D8"/>
    <w:rsid w:val="00177588"/>
    <w:rsid w:val="001775E6"/>
    <w:rsid w:val="00177857"/>
    <w:rsid w:val="001779C5"/>
    <w:rsid w:val="00177FC3"/>
    <w:rsid w:val="001800E6"/>
    <w:rsid w:val="001800FA"/>
    <w:rsid w:val="00180461"/>
    <w:rsid w:val="001804E0"/>
    <w:rsid w:val="001809D2"/>
    <w:rsid w:val="00180A90"/>
    <w:rsid w:val="00180BFF"/>
    <w:rsid w:val="00180FA9"/>
    <w:rsid w:val="00181344"/>
    <w:rsid w:val="00181C54"/>
    <w:rsid w:val="001822D7"/>
    <w:rsid w:val="0018247A"/>
    <w:rsid w:val="00182539"/>
    <w:rsid w:val="0018260E"/>
    <w:rsid w:val="00182858"/>
    <w:rsid w:val="00182B15"/>
    <w:rsid w:val="00182F1F"/>
    <w:rsid w:val="00182FE7"/>
    <w:rsid w:val="0018300B"/>
    <w:rsid w:val="00183229"/>
    <w:rsid w:val="00183456"/>
    <w:rsid w:val="00183628"/>
    <w:rsid w:val="00183779"/>
    <w:rsid w:val="001837DA"/>
    <w:rsid w:val="00183F6B"/>
    <w:rsid w:val="001845B2"/>
    <w:rsid w:val="00184787"/>
    <w:rsid w:val="00185011"/>
    <w:rsid w:val="001852B7"/>
    <w:rsid w:val="00185466"/>
    <w:rsid w:val="00185509"/>
    <w:rsid w:val="0018574B"/>
    <w:rsid w:val="00185A59"/>
    <w:rsid w:val="00185B42"/>
    <w:rsid w:val="00185B63"/>
    <w:rsid w:val="00186329"/>
    <w:rsid w:val="0018638D"/>
    <w:rsid w:val="001863F6"/>
    <w:rsid w:val="00186911"/>
    <w:rsid w:val="00186CFD"/>
    <w:rsid w:val="001870E5"/>
    <w:rsid w:val="0018739F"/>
    <w:rsid w:val="001875F8"/>
    <w:rsid w:val="00187941"/>
    <w:rsid w:val="00187A6C"/>
    <w:rsid w:val="00187CBC"/>
    <w:rsid w:val="00187D6D"/>
    <w:rsid w:val="00187E19"/>
    <w:rsid w:val="00187EAE"/>
    <w:rsid w:val="0019036A"/>
    <w:rsid w:val="001903B5"/>
    <w:rsid w:val="00190CA6"/>
    <w:rsid w:val="00190D7B"/>
    <w:rsid w:val="00190E8E"/>
    <w:rsid w:val="0019104D"/>
    <w:rsid w:val="00191517"/>
    <w:rsid w:val="00191BAB"/>
    <w:rsid w:val="00191DCE"/>
    <w:rsid w:val="00192451"/>
    <w:rsid w:val="0019257F"/>
    <w:rsid w:val="00192C79"/>
    <w:rsid w:val="00193B91"/>
    <w:rsid w:val="00193D10"/>
    <w:rsid w:val="00193D95"/>
    <w:rsid w:val="00193DF0"/>
    <w:rsid w:val="00193E6E"/>
    <w:rsid w:val="00193ED3"/>
    <w:rsid w:val="00193EEB"/>
    <w:rsid w:val="00194214"/>
    <w:rsid w:val="001943EF"/>
    <w:rsid w:val="00194940"/>
    <w:rsid w:val="0019496A"/>
    <w:rsid w:val="001949F5"/>
    <w:rsid w:val="00194AD4"/>
    <w:rsid w:val="00194B72"/>
    <w:rsid w:val="00194C6D"/>
    <w:rsid w:val="00194DDD"/>
    <w:rsid w:val="00194DE0"/>
    <w:rsid w:val="001952F3"/>
    <w:rsid w:val="0019547A"/>
    <w:rsid w:val="00195619"/>
    <w:rsid w:val="00195B32"/>
    <w:rsid w:val="00195E3B"/>
    <w:rsid w:val="00195E7B"/>
    <w:rsid w:val="00196CA2"/>
    <w:rsid w:val="00196D40"/>
    <w:rsid w:val="00196F97"/>
    <w:rsid w:val="001971CB"/>
    <w:rsid w:val="00197372"/>
    <w:rsid w:val="00197504"/>
    <w:rsid w:val="0019755C"/>
    <w:rsid w:val="00197582"/>
    <w:rsid w:val="001975DC"/>
    <w:rsid w:val="001A0305"/>
    <w:rsid w:val="001A0F4E"/>
    <w:rsid w:val="001A0FF4"/>
    <w:rsid w:val="001A120B"/>
    <w:rsid w:val="001A14C2"/>
    <w:rsid w:val="001A15AA"/>
    <w:rsid w:val="001A1730"/>
    <w:rsid w:val="001A177A"/>
    <w:rsid w:val="001A177B"/>
    <w:rsid w:val="001A17EB"/>
    <w:rsid w:val="001A18A2"/>
    <w:rsid w:val="001A19AC"/>
    <w:rsid w:val="001A1A7D"/>
    <w:rsid w:val="001A1CA6"/>
    <w:rsid w:val="001A278D"/>
    <w:rsid w:val="001A2793"/>
    <w:rsid w:val="001A2A73"/>
    <w:rsid w:val="001A2E42"/>
    <w:rsid w:val="001A2E55"/>
    <w:rsid w:val="001A2FCA"/>
    <w:rsid w:val="001A31EA"/>
    <w:rsid w:val="001A3255"/>
    <w:rsid w:val="001A32E2"/>
    <w:rsid w:val="001A3635"/>
    <w:rsid w:val="001A37B1"/>
    <w:rsid w:val="001A3988"/>
    <w:rsid w:val="001A3C8C"/>
    <w:rsid w:val="001A3CE4"/>
    <w:rsid w:val="001A3E46"/>
    <w:rsid w:val="001A3F3A"/>
    <w:rsid w:val="001A40F4"/>
    <w:rsid w:val="001A43AB"/>
    <w:rsid w:val="001A44D2"/>
    <w:rsid w:val="001A4AE1"/>
    <w:rsid w:val="001A4EF6"/>
    <w:rsid w:val="001A508A"/>
    <w:rsid w:val="001A52A3"/>
    <w:rsid w:val="001A5A36"/>
    <w:rsid w:val="001A5E2A"/>
    <w:rsid w:val="001A62B6"/>
    <w:rsid w:val="001A65BF"/>
    <w:rsid w:val="001A68BD"/>
    <w:rsid w:val="001A6928"/>
    <w:rsid w:val="001A6C17"/>
    <w:rsid w:val="001A7AAD"/>
    <w:rsid w:val="001A7D8C"/>
    <w:rsid w:val="001A7E66"/>
    <w:rsid w:val="001B034D"/>
    <w:rsid w:val="001B05E9"/>
    <w:rsid w:val="001B07B5"/>
    <w:rsid w:val="001B0881"/>
    <w:rsid w:val="001B111D"/>
    <w:rsid w:val="001B162F"/>
    <w:rsid w:val="001B17B1"/>
    <w:rsid w:val="001B1863"/>
    <w:rsid w:val="001B1A7A"/>
    <w:rsid w:val="001B1D3A"/>
    <w:rsid w:val="001B1E6E"/>
    <w:rsid w:val="001B1EE2"/>
    <w:rsid w:val="001B207E"/>
    <w:rsid w:val="001B2112"/>
    <w:rsid w:val="001B211B"/>
    <w:rsid w:val="001B2807"/>
    <w:rsid w:val="001B28B6"/>
    <w:rsid w:val="001B29BA"/>
    <w:rsid w:val="001B2F70"/>
    <w:rsid w:val="001B2FCD"/>
    <w:rsid w:val="001B3041"/>
    <w:rsid w:val="001B35B6"/>
    <w:rsid w:val="001B3723"/>
    <w:rsid w:val="001B3BDD"/>
    <w:rsid w:val="001B3D3F"/>
    <w:rsid w:val="001B3DA9"/>
    <w:rsid w:val="001B44F9"/>
    <w:rsid w:val="001B4631"/>
    <w:rsid w:val="001B46E4"/>
    <w:rsid w:val="001B4A5C"/>
    <w:rsid w:val="001B4FF0"/>
    <w:rsid w:val="001B5035"/>
    <w:rsid w:val="001B5137"/>
    <w:rsid w:val="001B5300"/>
    <w:rsid w:val="001B5490"/>
    <w:rsid w:val="001B55A4"/>
    <w:rsid w:val="001B55E6"/>
    <w:rsid w:val="001B67DD"/>
    <w:rsid w:val="001B6AF9"/>
    <w:rsid w:val="001B6C6C"/>
    <w:rsid w:val="001B6E2E"/>
    <w:rsid w:val="001B707A"/>
    <w:rsid w:val="001B718C"/>
    <w:rsid w:val="001B7208"/>
    <w:rsid w:val="001B74C0"/>
    <w:rsid w:val="001B76ED"/>
    <w:rsid w:val="001B7AC6"/>
    <w:rsid w:val="001C003E"/>
    <w:rsid w:val="001C017E"/>
    <w:rsid w:val="001C01A5"/>
    <w:rsid w:val="001C02A5"/>
    <w:rsid w:val="001C052C"/>
    <w:rsid w:val="001C061C"/>
    <w:rsid w:val="001C08B2"/>
    <w:rsid w:val="001C0BA3"/>
    <w:rsid w:val="001C0DCF"/>
    <w:rsid w:val="001C1001"/>
    <w:rsid w:val="001C177B"/>
    <w:rsid w:val="001C1A79"/>
    <w:rsid w:val="001C1DFC"/>
    <w:rsid w:val="001C204F"/>
    <w:rsid w:val="001C2617"/>
    <w:rsid w:val="001C2858"/>
    <w:rsid w:val="001C285C"/>
    <w:rsid w:val="001C28ED"/>
    <w:rsid w:val="001C2A47"/>
    <w:rsid w:val="001C2B7D"/>
    <w:rsid w:val="001C2E3F"/>
    <w:rsid w:val="001C2E76"/>
    <w:rsid w:val="001C2F1E"/>
    <w:rsid w:val="001C3201"/>
    <w:rsid w:val="001C32D2"/>
    <w:rsid w:val="001C32EA"/>
    <w:rsid w:val="001C33E0"/>
    <w:rsid w:val="001C34D7"/>
    <w:rsid w:val="001C3589"/>
    <w:rsid w:val="001C3731"/>
    <w:rsid w:val="001C37BA"/>
    <w:rsid w:val="001C3800"/>
    <w:rsid w:val="001C3A84"/>
    <w:rsid w:val="001C3BA7"/>
    <w:rsid w:val="001C3D63"/>
    <w:rsid w:val="001C4152"/>
    <w:rsid w:val="001C4246"/>
    <w:rsid w:val="001C4311"/>
    <w:rsid w:val="001C441B"/>
    <w:rsid w:val="001C464C"/>
    <w:rsid w:val="001C46EB"/>
    <w:rsid w:val="001C4727"/>
    <w:rsid w:val="001C499F"/>
    <w:rsid w:val="001C4ACE"/>
    <w:rsid w:val="001C4D0A"/>
    <w:rsid w:val="001C50CA"/>
    <w:rsid w:val="001C549D"/>
    <w:rsid w:val="001C54B3"/>
    <w:rsid w:val="001C562C"/>
    <w:rsid w:val="001C56CB"/>
    <w:rsid w:val="001C56FD"/>
    <w:rsid w:val="001C67A7"/>
    <w:rsid w:val="001C69F0"/>
    <w:rsid w:val="001C6AF4"/>
    <w:rsid w:val="001C75E9"/>
    <w:rsid w:val="001C79BF"/>
    <w:rsid w:val="001C7C79"/>
    <w:rsid w:val="001C7CBE"/>
    <w:rsid w:val="001C7D84"/>
    <w:rsid w:val="001D01D4"/>
    <w:rsid w:val="001D03DC"/>
    <w:rsid w:val="001D0876"/>
    <w:rsid w:val="001D08F7"/>
    <w:rsid w:val="001D0975"/>
    <w:rsid w:val="001D0ADC"/>
    <w:rsid w:val="001D0C5F"/>
    <w:rsid w:val="001D0F24"/>
    <w:rsid w:val="001D0FDD"/>
    <w:rsid w:val="001D17FD"/>
    <w:rsid w:val="001D1843"/>
    <w:rsid w:val="001D1A53"/>
    <w:rsid w:val="001D1BF4"/>
    <w:rsid w:val="001D1E2C"/>
    <w:rsid w:val="001D2019"/>
    <w:rsid w:val="001D2123"/>
    <w:rsid w:val="001D216E"/>
    <w:rsid w:val="001D31C1"/>
    <w:rsid w:val="001D32E7"/>
    <w:rsid w:val="001D3389"/>
    <w:rsid w:val="001D35F3"/>
    <w:rsid w:val="001D35F6"/>
    <w:rsid w:val="001D37A2"/>
    <w:rsid w:val="001D3902"/>
    <w:rsid w:val="001D3EEA"/>
    <w:rsid w:val="001D402D"/>
    <w:rsid w:val="001D4272"/>
    <w:rsid w:val="001D4BEC"/>
    <w:rsid w:val="001D50B3"/>
    <w:rsid w:val="001D5217"/>
    <w:rsid w:val="001D52A0"/>
    <w:rsid w:val="001D5767"/>
    <w:rsid w:val="001D5B1A"/>
    <w:rsid w:val="001D5CCF"/>
    <w:rsid w:val="001D64E3"/>
    <w:rsid w:val="001D6CDB"/>
    <w:rsid w:val="001D6D28"/>
    <w:rsid w:val="001D6EEF"/>
    <w:rsid w:val="001D6F6A"/>
    <w:rsid w:val="001D780C"/>
    <w:rsid w:val="001D7BDB"/>
    <w:rsid w:val="001D7BDE"/>
    <w:rsid w:val="001D7CE2"/>
    <w:rsid w:val="001D7F76"/>
    <w:rsid w:val="001E05EA"/>
    <w:rsid w:val="001E09F8"/>
    <w:rsid w:val="001E0E48"/>
    <w:rsid w:val="001E0F25"/>
    <w:rsid w:val="001E1035"/>
    <w:rsid w:val="001E1546"/>
    <w:rsid w:val="001E1990"/>
    <w:rsid w:val="001E1A2C"/>
    <w:rsid w:val="001E1A9C"/>
    <w:rsid w:val="001E1C96"/>
    <w:rsid w:val="001E1F60"/>
    <w:rsid w:val="001E1FC5"/>
    <w:rsid w:val="001E20E6"/>
    <w:rsid w:val="001E21A5"/>
    <w:rsid w:val="001E2585"/>
    <w:rsid w:val="001E2886"/>
    <w:rsid w:val="001E2C57"/>
    <w:rsid w:val="001E2ECF"/>
    <w:rsid w:val="001E3B1F"/>
    <w:rsid w:val="001E3ECD"/>
    <w:rsid w:val="001E4636"/>
    <w:rsid w:val="001E468C"/>
    <w:rsid w:val="001E48AA"/>
    <w:rsid w:val="001E4979"/>
    <w:rsid w:val="001E49B5"/>
    <w:rsid w:val="001E4A2B"/>
    <w:rsid w:val="001E4B25"/>
    <w:rsid w:val="001E4B60"/>
    <w:rsid w:val="001E5335"/>
    <w:rsid w:val="001E553F"/>
    <w:rsid w:val="001E5641"/>
    <w:rsid w:val="001E580B"/>
    <w:rsid w:val="001E60DD"/>
    <w:rsid w:val="001E6124"/>
    <w:rsid w:val="001E623A"/>
    <w:rsid w:val="001E6272"/>
    <w:rsid w:val="001E6369"/>
    <w:rsid w:val="001E63AC"/>
    <w:rsid w:val="001E6DF2"/>
    <w:rsid w:val="001E742C"/>
    <w:rsid w:val="001E743E"/>
    <w:rsid w:val="001E7515"/>
    <w:rsid w:val="001E7934"/>
    <w:rsid w:val="001E795F"/>
    <w:rsid w:val="001E7E3C"/>
    <w:rsid w:val="001F01FC"/>
    <w:rsid w:val="001F0485"/>
    <w:rsid w:val="001F0CD7"/>
    <w:rsid w:val="001F0CE3"/>
    <w:rsid w:val="001F0DBC"/>
    <w:rsid w:val="001F1049"/>
    <w:rsid w:val="001F1192"/>
    <w:rsid w:val="001F15DF"/>
    <w:rsid w:val="001F16F2"/>
    <w:rsid w:val="001F1A50"/>
    <w:rsid w:val="001F1C83"/>
    <w:rsid w:val="001F1EDF"/>
    <w:rsid w:val="001F1F59"/>
    <w:rsid w:val="001F20A7"/>
    <w:rsid w:val="001F2C64"/>
    <w:rsid w:val="001F2CDD"/>
    <w:rsid w:val="001F2F28"/>
    <w:rsid w:val="001F3615"/>
    <w:rsid w:val="001F374E"/>
    <w:rsid w:val="001F37BC"/>
    <w:rsid w:val="001F381C"/>
    <w:rsid w:val="001F3948"/>
    <w:rsid w:val="001F3F33"/>
    <w:rsid w:val="001F463F"/>
    <w:rsid w:val="001F4782"/>
    <w:rsid w:val="001F4913"/>
    <w:rsid w:val="001F495E"/>
    <w:rsid w:val="001F496E"/>
    <w:rsid w:val="001F49A7"/>
    <w:rsid w:val="001F4C6C"/>
    <w:rsid w:val="001F4E75"/>
    <w:rsid w:val="001F4EB5"/>
    <w:rsid w:val="001F4EDD"/>
    <w:rsid w:val="001F5229"/>
    <w:rsid w:val="001F55B9"/>
    <w:rsid w:val="001F5781"/>
    <w:rsid w:val="001F5B8D"/>
    <w:rsid w:val="001F5E3C"/>
    <w:rsid w:val="001F5EE4"/>
    <w:rsid w:val="001F61E2"/>
    <w:rsid w:val="001F6B00"/>
    <w:rsid w:val="001F6B7E"/>
    <w:rsid w:val="001F6BC4"/>
    <w:rsid w:val="001F70CC"/>
    <w:rsid w:val="001F7173"/>
    <w:rsid w:val="001F71B1"/>
    <w:rsid w:val="001F7329"/>
    <w:rsid w:val="001F73B6"/>
    <w:rsid w:val="001F73B7"/>
    <w:rsid w:val="001F74B3"/>
    <w:rsid w:val="001F74D0"/>
    <w:rsid w:val="001F7741"/>
    <w:rsid w:val="001F799C"/>
    <w:rsid w:val="001F7B0D"/>
    <w:rsid w:val="001F7CB9"/>
    <w:rsid w:val="001F7FF3"/>
    <w:rsid w:val="0020038B"/>
    <w:rsid w:val="0020072D"/>
    <w:rsid w:val="0020075A"/>
    <w:rsid w:val="00200797"/>
    <w:rsid w:val="0020082D"/>
    <w:rsid w:val="00200984"/>
    <w:rsid w:val="002009DE"/>
    <w:rsid w:val="00200A5A"/>
    <w:rsid w:val="00200D28"/>
    <w:rsid w:val="00201216"/>
    <w:rsid w:val="002013C2"/>
    <w:rsid w:val="002013FE"/>
    <w:rsid w:val="0020160B"/>
    <w:rsid w:val="00201783"/>
    <w:rsid w:val="00201B98"/>
    <w:rsid w:val="00201D57"/>
    <w:rsid w:val="00202337"/>
    <w:rsid w:val="002025B3"/>
    <w:rsid w:val="002025DA"/>
    <w:rsid w:val="002027D6"/>
    <w:rsid w:val="00203060"/>
    <w:rsid w:val="0020314B"/>
    <w:rsid w:val="002035EC"/>
    <w:rsid w:val="002037E3"/>
    <w:rsid w:val="00203997"/>
    <w:rsid w:val="00203A60"/>
    <w:rsid w:val="00203D00"/>
    <w:rsid w:val="00204192"/>
    <w:rsid w:val="00204203"/>
    <w:rsid w:val="00204657"/>
    <w:rsid w:val="002048A2"/>
    <w:rsid w:val="00204A4A"/>
    <w:rsid w:val="00204C8E"/>
    <w:rsid w:val="00205241"/>
    <w:rsid w:val="00205671"/>
    <w:rsid w:val="00206353"/>
    <w:rsid w:val="0020637C"/>
    <w:rsid w:val="0020643D"/>
    <w:rsid w:val="00206802"/>
    <w:rsid w:val="0020685F"/>
    <w:rsid w:val="00206878"/>
    <w:rsid w:val="0020687D"/>
    <w:rsid w:val="00206882"/>
    <w:rsid w:val="00206E91"/>
    <w:rsid w:val="00207B88"/>
    <w:rsid w:val="00207F8A"/>
    <w:rsid w:val="00210128"/>
    <w:rsid w:val="0021067F"/>
    <w:rsid w:val="002107DC"/>
    <w:rsid w:val="00210A96"/>
    <w:rsid w:val="00210B0B"/>
    <w:rsid w:val="00210BB4"/>
    <w:rsid w:val="00211195"/>
    <w:rsid w:val="00211866"/>
    <w:rsid w:val="0021190B"/>
    <w:rsid w:val="00211924"/>
    <w:rsid w:val="00211BFA"/>
    <w:rsid w:val="00211D45"/>
    <w:rsid w:val="00211E14"/>
    <w:rsid w:val="00212027"/>
    <w:rsid w:val="002120A1"/>
    <w:rsid w:val="0021218B"/>
    <w:rsid w:val="002122EF"/>
    <w:rsid w:val="00212593"/>
    <w:rsid w:val="00212CC0"/>
    <w:rsid w:val="00212F02"/>
    <w:rsid w:val="0021339D"/>
    <w:rsid w:val="0021378D"/>
    <w:rsid w:val="0021396C"/>
    <w:rsid w:val="00213D6A"/>
    <w:rsid w:val="00213EE7"/>
    <w:rsid w:val="00214B3F"/>
    <w:rsid w:val="00214B9A"/>
    <w:rsid w:val="00214ED9"/>
    <w:rsid w:val="00214F83"/>
    <w:rsid w:val="002151F5"/>
    <w:rsid w:val="0021524D"/>
    <w:rsid w:val="0021535E"/>
    <w:rsid w:val="00215534"/>
    <w:rsid w:val="002156C9"/>
    <w:rsid w:val="00215890"/>
    <w:rsid w:val="00215AE8"/>
    <w:rsid w:val="00216542"/>
    <w:rsid w:val="00216825"/>
    <w:rsid w:val="00216BAE"/>
    <w:rsid w:val="00216C0F"/>
    <w:rsid w:val="00216CFC"/>
    <w:rsid w:val="00216E11"/>
    <w:rsid w:val="002179F6"/>
    <w:rsid w:val="00217B1A"/>
    <w:rsid w:val="00217E14"/>
    <w:rsid w:val="00220240"/>
    <w:rsid w:val="002202BB"/>
    <w:rsid w:val="0022048C"/>
    <w:rsid w:val="002208BA"/>
    <w:rsid w:val="00220F80"/>
    <w:rsid w:val="002212FD"/>
    <w:rsid w:val="0022163D"/>
    <w:rsid w:val="00221DC9"/>
    <w:rsid w:val="00221FFB"/>
    <w:rsid w:val="00222321"/>
    <w:rsid w:val="00222565"/>
    <w:rsid w:val="00222CE1"/>
    <w:rsid w:val="00222E88"/>
    <w:rsid w:val="00222ECA"/>
    <w:rsid w:val="002235FE"/>
    <w:rsid w:val="00223CC2"/>
    <w:rsid w:val="002240C9"/>
    <w:rsid w:val="002243E1"/>
    <w:rsid w:val="002244B7"/>
    <w:rsid w:val="00224621"/>
    <w:rsid w:val="00224C12"/>
    <w:rsid w:val="00224FB2"/>
    <w:rsid w:val="0022506C"/>
    <w:rsid w:val="0022507A"/>
    <w:rsid w:val="00225085"/>
    <w:rsid w:val="002252EC"/>
    <w:rsid w:val="002254F6"/>
    <w:rsid w:val="00225B50"/>
    <w:rsid w:val="00225DD2"/>
    <w:rsid w:val="00225E36"/>
    <w:rsid w:val="002261C9"/>
    <w:rsid w:val="00226E21"/>
    <w:rsid w:val="00226FEF"/>
    <w:rsid w:val="00227061"/>
    <w:rsid w:val="002272FA"/>
    <w:rsid w:val="00227630"/>
    <w:rsid w:val="00227857"/>
    <w:rsid w:val="0023096E"/>
    <w:rsid w:val="00231640"/>
    <w:rsid w:val="00231AF3"/>
    <w:rsid w:val="00231BCE"/>
    <w:rsid w:val="00232094"/>
    <w:rsid w:val="00232107"/>
    <w:rsid w:val="00232617"/>
    <w:rsid w:val="00232660"/>
    <w:rsid w:val="002329D1"/>
    <w:rsid w:val="002329E2"/>
    <w:rsid w:val="00232AE3"/>
    <w:rsid w:val="00232B10"/>
    <w:rsid w:val="00232FCC"/>
    <w:rsid w:val="00232FF4"/>
    <w:rsid w:val="002330E4"/>
    <w:rsid w:val="00233241"/>
    <w:rsid w:val="00233783"/>
    <w:rsid w:val="00233EB3"/>
    <w:rsid w:val="00233F4E"/>
    <w:rsid w:val="0023406A"/>
    <w:rsid w:val="002340FA"/>
    <w:rsid w:val="002341F8"/>
    <w:rsid w:val="0023457A"/>
    <w:rsid w:val="00234A1E"/>
    <w:rsid w:val="00234A2A"/>
    <w:rsid w:val="00234A85"/>
    <w:rsid w:val="00234C94"/>
    <w:rsid w:val="0023500A"/>
    <w:rsid w:val="00235AAD"/>
    <w:rsid w:val="00235F09"/>
    <w:rsid w:val="00235F49"/>
    <w:rsid w:val="00235FB7"/>
    <w:rsid w:val="00235FD5"/>
    <w:rsid w:val="002366F5"/>
    <w:rsid w:val="00236863"/>
    <w:rsid w:val="00236EF2"/>
    <w:rsid w:val="00236FE7"/>
    <w:rsid w:val="00237044"/>
    <w:rsid w:val="0024042D"/>
    <w:rsid w:val="00240434"/>
    <w:rsid w:val="00240658"/>
    <w:rsid w:val="0024066C"/>
    <w:rsid w:val="002408EB"/>
    <w:rsid w:val="00240ABD"/>
    <w:rsid w:val="00240D59"/>
    <w:rsid w:val="00240EA7"/>
    <w:rsid w:val="00241283"/>
    <w:rsid w:val="00241325"/>
    <w:rsid w:val="00241352"/>
    <w:rsid w:val="002413A4"/>
    <w:rsid w:val="002413BF"/>
    <w:rsid w:val="002416C0"/>
    <w:rsid w:val="00241700"/>
    <w:rsid w:val="00241C2D"/>
    <w:rsid w:val="00241D76"/>
    <w:rsid w:val="002427A4"/>
    <w:rsid w:val="00242BBD"/>
    <w:rsid w:val="00242F1F"/>
    <w:rsid w:val="00242FA6"/>
    <w:rsid w:val="002431A5"/>
    <w:rsid w:val="0024372C"/>
    <w:rsid w:val="0024387E"/>
    <w:rsid w:val="00243C28"/>
    <w:rsid w:val="0024420E"/>
    <w:rsid w:val="00245019"/>
    <w:rsid w:val="00245475"/>
    <w:rsid w:val="00245A7F"/>
    <w:rsid w:val="00245ADA"/>
    <w:rsid w:val="00246869"/>
    <w:rsid w:val="002468CB"/>
    <w:rsid w:val="00246C9A"/>
    <w:rsid w:val="00246DD0"/>
    <w:rsid w:val="002478AE"/>
    <w:rsid w:val="002478E4"/>
    <w:rsid w:val="002479B4"/>
    <w:rsid w:val="00250702"/>
    <w:rsid w:val="002507B5"/>
    <w:rsid w:val="00250B9F"/>
    <w:rsid w:val="00250ED6"/>
    <w:rsid w:val="00250F34"/>
    <w:rsid w:val="0025130F"/>
    <w:rsid w:val="0025148C"/>
    <w:rsid w:val="002514D9"/>
    <w:rsid w:val="0025177E"/>
    <w:rsid w:val="00251B46"/>
    <w:rsid w:val="00251FD9"/>
    <w:rsid w:val="002520EC"/>
    <w:rsid w:val="0025279F"/>
    <w:rsid w:val="002527E2"/>
    <w:rsid w:val="00252847"/>
    <w:rsid w:val="002528E6"/>
    <w:rsid w:val="00252ABF"/>
    <w:rsid w:val="00252ACC"/>
    <w:rsid w:val="00252AE6"/>
    <w:rsid w:val="00252DAB"/>
    <w:rsid w:val="00252F91"/>
    <w:rsid w:val="00253503"/>
    <w:rsid w:val="00253633"/>
    <w:rsid w:val="0025367C"/>
    <w:rsid w:val="0025393B"/>
    <w:rsid w:val="002539DE"/>
    <w:rsid w:val="00253EF6"/>
    <w:rsid w:val="00254254"/>
    <w:rsid w:val="002544EA"/>
    <w:rsid w:val="00254592"/>
    <w:rsid w:val="00254AA4"/>
    <w:rsid w:val="002551BA"/>
    <w:rsid w:val="0025526F"/>
    <w:rsid w:val="002552AF"/>
    <w:rsid w:val="002555A5"/>
    <w:rsid w:val="00255650"/>
    <w:rsid w:val="00255695"/>
    <w:rsid w:val="00255977"/>
    <w:rsid w:val="00255AD3"/>
    <w:rsid w:val="00255B91"/>
    <w:rsid w:val="00255C8A"/>
    <w:rsid w:val="00256551"/>
    <w:rsid w:val="0025733F"/>
    <w:rsid w:val="00257376"/>
    <w:rsid w:val="00257752"/>
    <w:rsid w:val="002578C4"/>
    <w:rsid w:val="00257DCE"/>
    <w:rsid w:val="00257EE7"/>
    <w:rsid w:val="00260322"/>
    <w:rsid w:val="00260663"/>
    <w:rsid w:val="00260E07"/>
    <w:rsid w:val="00261092"/>
    <w:rsid w:val="00261161"/>
    <w:rsid w:val="0026122E"/>
    <w:rsid w:val="00261A27"/>
    <w:rsid w:val="00261B5A"/>
    <w:rsid w:val="00261CB9"/>
    <w:rsid w:val="00261E46"/>
    <w:rsid w:val="002620AA"/>
    <w:rsid w:val="0026237A"/>
    <w:rsid w:val="002623A2"/>
    <w:rsid w:val="00262655"/>
    <w:rsid w:val="002629FD"/>
    <w:rsid w:val="00262C33"/>
    <w:rsid w:val="00262D87"/>
    <w:rsid w:val="00262F5F"/>
    <w:rsid w:val="00263252"/>
    <w:rsid w:val="002633A1"/>
    <w:rsid w:val="00263717"/>
    <w:rsid w:val="002638F1"/>
    <w:rsid w:val="00263929"/>
    <w:rsid w:val="0026396B"/>
    <w:rsid w:val="00263A0C"/>
    <w:rsid w:val="0026498C"/>
    <w:rsid w:val="00264A36"/>
    <w:rsid w:val="002651E6"/>
    <w:rsid w:val="00266076"/>
    <w:rsid w:val="002660F6"/>
    <w:rsid w:val="00266CE7"/>
    <w:rsid w:val="00266E77"/>
    <w:rsid w:val="002670F7"/>
    <w:rsid w:val="002670F9"/>
    <w:rsid w:val="00267612"/>
    <w:rsid w:val="0026792C"/>
    <w:rsid w:val="00267AB0"/>
    <w:rsid w:val="00267F88"/>
    <w:rsid w:val="00270102"/>
    <w:rsid w:val="00270901"/>
    <w:rsid w:val="00270AFC"/>
    <w:rsid w:val="00270DFE"/>
    <w:rsid w:val="0027104F"/>
    <w:rsid w:val="002713CC"/>
    <w:rsid w:val="002714EE"/>
    <w:rsid w:val="002715E4"/>
    <w:rsid w:val="00271AE4"/>
    <w:rsid w:val="00271BDE"/>
    <w:rsid w:val="00271C59"/>
    <w:rsid w:val="00271FA1"/>
    <w:rsid w:val="002723FE"/>
    <w:rsid w:val="0027242A"/>
    <w:rsid w:val="002726DA"/>
    <w:rsid w:val="00272D0D"/>
    <w:rsid w:val="00272E37"/>
    <w:rsid w:val="00272E49"/>
    <w:rsid w:val="00272ED7"/>
    <w:rsid w:val="0027301B"/>
    <w:rsid w:val="00273262"/>
    <w:rsid w:val="0027372B"/>
    <w:rsid w:val="00273E11"/>
    <w:rsid w:val="00274836"/>
    <w:rsid w:val="002749FE"/>
    <w:rsid w:val="00274B0D"/>
    <w:rsid w:val="00274BA8"/>
    <w:rsid w:val="00274C3A"/>
    <w:rsid w:val="00274FE0"/>
    <w:rsid w:val="00275290"/>
    <w:rsid w:val="0027545D"/>
    <w:rsid w:val="002754A6"/>
    <w:rsid w:val="00275526"/>
    <w:rsid w:val="0027561D"/>
    <w:rsid w:val="00275E45"/>
    <w:rsid w:val="00276572"/>
    <w:rsid w:val="002769F1"/>
    <w:rsid w:val="00276C2C"/>
    <w:rsid w:val="00276C4D"/>
    <w:rsid w:val="00277039"/>
    <w:rsid w:val="00277936"/>
    <w:rsid w:val="0027793C"/>
    <w:rsid w:val="00277AFA"/>
    <w:rsid w:val="0027F90B"/>
    <w:rsid w:val="002806A9"/>
    <w:rsid w:val="00280B3F"/>
    <w:rsid w:val="00280B7C"/>
    <w:rsid w:val="00281791"/>
    <w:rsid w:val="00281D75"/>
    <w:rsid w:val="00281E5D"/>
    <w:rsid w:val="00281EA2"/>
    <w:rsid w:val="00281F49"/>
    <w:rsid w:val="00282041"/>
    <w:rsid w:val="00282838"/>
    <w:rsid w:val="00282854"/>
    <w:rsid w:val="00282A20"/>
    <w:rsid w:val="0028317F"/>
    <w:rsid w:val="00283514"/>
    <w:rsid w:val="002839B5"/>
    <w:rsid w:val="00283B31"/>
    <w:rsid w:val="00283BC8"/>
    <w:rsid w:val="00283D06"/>
    <w:rsid w:val="00283E74"/>
    <w:rsid w:val="00284773"/>
    <w:rsid w:val="002848C0"/>
    <w:rsid w:val="002849A9"/>
    <w:rsid w:val="002849E6"/>
    <w:rsid w:val="00284B1A"/>
    <w:rsid w:val="00284C85"/>
    <w:rsid w:val="0028507B"/>
    <w:rsid w:val="0028532F"/>
    <w:rsid w:val="00285514"/>
    <w:rsid w:val="00285915"/>
    <w:rsid w:val="002859DA"/>
    <w:rsid w:val="00285BD0"/>
    <w:rsid w:val="00285C3B"/>
    <w:rsid w:val="00286057"/>
    <w:rsid w:val="00286203"/>
    <w:rsid w:val="002862D8"/>
    <w:rsid w:val="002863E2"/>
    <w:rsid w:val="002868A7"/>
    <w:rsid w:val="00287082"/>
    <w:rsid w:val="002877E0"/>
    <w:rsid w:val="00287EE3"/>
    <w:rsid w:val="002900F3"/>
    <w:rsid w:val="002901C2"/>
    <w:rsid w:val="002902EA"/>
    <w:rsid w:val="00290414"/>
    <w:rsid w:val="0029048A"/>
    <w:rsid w:val="00290564"/>
    <w:rsid w:val="00290911"/>
    <w:rsid w:val="002909C2"/>
    <w:rsid w:val="00290D0B"/>
    <w:rsid w:val="002911E9"/>
    <w:rsid w:val="00291584"/>
    <w:rsid w:val="00291CEE"/>
    <w:rsid w:val="00291D08"/>
    <w:rsid w:val="00291E9B"/>
    <w:rsid w:val="0029210F"/>
    <w:rsid w:val="0029217D"/>
    <w:rsid w:val="0029219A"/>
    <w:rsid w:val="00292D79"/>
    <w:rsid w:val="00292FD6"/>
    <w:rsid w:val="002931E3"/>
    <w:rsid w:val="002933B3"/>
    <w:rsid w:val="00293B84"/>
    <w:rsid w:val="00293D66"/>
    <w:rsid w:val="00294841"/>
    <w:rsid w:val="00294978"/>
    <w:rsid w:val="00294DD4"/>
    <w:rsid w:val="00294ED0"/>
    <w:rsid w:val="00294F5F"/>
    <w:rsid w:val="002951AD"/>
    <w:rsid w:val="00295242"/>
    <w:rsid w:val="0029539B"/>
    <w:rsid w:val="0029562C"/>
    <w:rsid w:val="0029564D"/>
    <w:rsid w:val="002956FF"/>
    <w:rsid w:val="002959D0"/>
    <w:rsid w:val="00295EE9"/>
    <w:rsid w:val="00295F5E"/>
    <w:rsid w:val="00295F60"/>
    <w:rsid w:val="00295F71"/>
    <w:rsid w:val="0029615B"/>
    <w:rsid w:val="002965B0"/>
    <w:rsid w:val="00296A8F"/>
    <w:rsid w:val="00296CF7"/>
    <w:rsid w:val="00296D09"/>
    <w:rsid w:val="00296F85"/>
    <w:rsid w:val="00296FBA"/>
    <w:rsid w:val="00297347"/>
    <w:rsid w:val="002973AB"/>
    <w:rsid w:val="002977B2"/>
    <w:rsid w:val="0029781B"/>
    <w:rsid w:val="00297C7F"/>
    <w:rsid w:val="00297F31"/>
    <w:rsid w:val="002A045E"/>
    <w:rsid w:val="002A0F34"/>
    <w:rsid w:val="002A143C"/>
    <w:rsid w:val="002A17D5"/>
    <w:rsid w:val="002A1B1B"/>
    <w:rsid w:val="002A202F"/>
    <w:rsid w:val="002A2197"/>
    <w:rsid w:val="002A21E3"/>
    <w:rsid w:val="002A2339"/>
    <w:rsid w:val="002A2377"/>
    <w:rsid w:val="002A2535"/>
    <w:rsid w:val="002A277B"/>
    <w:rsid w:val="002A27CF"/>
    <w:rsid w:val="002A28DC"/>
    <w:rsid w:val="002A2F3E"/>
    <w:rsid w:val="002A2FA7"/>
    <w:rsid w:val="002A3342"/>
    <w:rsid w:val="002A3803"/>
    <w:rsid w:val="002A384A"/>
    <w:rsid w:val="002A3947"/>
    <w:rsid w:val="002A3BAA"/>
    <w:rsid w:val="002A4333"/>
    <w:rsid w:val="002A43BB"/>
    <w:rsid w:val="002A4531"/>
    <w:rsid w:val="002A4618"/>
    <w:rsid w:val="002A4B80"/>
    <w:rsid w:val="002A4CF3"/>
    <w:rsid w:val="002A503D"/>
    <w:rsid w:val="002A50C4"/>
    <w:rsid w:val="002A52C4"/>
    <w:rsid w:val="002A5554"/>
    <w:rsid w:val="002A5708"/>
    <w:rsid w:val="002A6076"/>
    <w:rsid w:val="002A60C8"/>
    <w:rsid w:val="002A66E2"/>
    <w:rsid w:val="002A6C92"/>
    <w:rsid w:val="002A6E90"/>
    <w:rsid w:val="002A703E"/>
    <w:rsid w:val="002A734E"/>
    <w:rsid w:val="002A74CB"/>
    <w:rsid w:val="002A7776"/>
    <w:rsid w:val="002A794B"/>
    <w:rsid w:val="002A7C44"/>
    <w:rsid w:val="002B008E"/>
    <w:rsid w:val="002B0A88"/>
    <w:rsid w:val="002B0B42"/>
    <w:rsid w:val="002B0C5A"/>
    <w:rsid w:val="002B0C75"/>
    <w:rsid w:val="002B0C9D"/>
    <w:rsid w:val="002B0D55"/>
    <w:rsid w:val="002B0FAD"/>
    <w:rsid w:val="002B1411"/>
    <w:rsid w:val="002B176B"/>
    <w:rsid w:val="002B184E"/>
    <w:rsid w:val="002B18B1"/>
    <w:rsid w:val="002B18BD"/>
    <w:rsid w:val="002B1C55"/>
    <w:rsid w:val="002B1EC9"/>
    <w:rsid w:val="002B2464"/>
    <w:rsid w:val="002B258B"/>
    <w:rsid w:val="002B27AB"/>
    <w:rsid w:val="002B2A7D"/>
    <w:rsid w:val="002B2BF7"/>
    <w:rsid w:val="002B2C02"/>
    <w:rsid w:val="002B2CC1"/>
    <w:rsid w:val="002B2E7D"/>
    <w:rsid w:val="002B2ED0"/>
    <w:rsid w:val="002B300F"/>
    <w:rsid w:val="002B315D"/>
    <w:rsid w:val="002B3566"/>
    <w:rsid w:val="002B35CA"/>
    <w:rsid w:val="002B3706"/>
    <w:rsid w:val="002B3829"/>
    <w:rsid w:val="002B3D9D"/>
    <w:rsid w:val="002B3DBF"/>
    <w:rsid w:val="002B4016"/>
    <w:rsid w:val="002B4102"/>
    <w:rsid w:val="002B411A"/>
    <w:rsid w:val="002B43BC"/>
    <w:rsid w:val="002B43C1"/>
    <w:rsid w:val="002B449D"/>
    <w:rsid w:val="002B4877"/>
    <w:rsid w:val="002B490E"/>
    <w:rsid w:val="002B4A8C"/>
    <w:rsid w:val="002B4E7D"/>
    <w:rsid w:val="002B50DE"/>
    <w:rsid w:val="002B527B"/>
    <w:rsid w:val="002B5E51"/>
    <w:rsid w:val="002B5E59"/>
    <w:rsid w:val="002B5EC5"/>
    <w:rsid w:val="002B5F9F"/>
    <w:rsid w:val="002B607A"/>
    <w:rsid w:val="002B60B4"/>
    <w:rsid w:val="002B615C"/>
    <w:rsid w:val="002B61B8"/>
    <w:rsid w:val="002B642E"/>
    <w:rsid w:val="002B6A7A"/>
    <w:rsid w:val="002B6E15"/>
    <w:rsid w:val="002B7422"/>
    <w:rsid w:val="002B79CE"/>
    <w:rsid w:val="002C0413"/>
    <w:rsid w:val="002C0C50"/>
    <w:rsid w:val="002C0CC8"/>
    <w:rsid w:val="002C0FEB"/>
    <w:rsid w:val="002C11C4"/>
    <w:rsid w:val="002C16DF"/>
    <w:rsid w:val="002C1933"/>
    <w:rsid w:val="002C1B3E"/>
    <w:rsid w:val="002C25B7"/>
    <w:rsid w:val="002C2885"/>
    <w:rsid w:val="002C2BFC"/>
    <w:rsid w:val="002C2E97"/>
    <w:rsid w:val="002C3267"/>
    <w:rsid w:val="002C3481"/>
    <w:rsid w:val="002C34EA"/>
    <w:rsid w:val="002C3A86"/>
    <w:rsid w:val="002C3D8A"/>
    <w:rsid w:val="002C3EAC"/>
    <w:rsid w:val="002C41F2"/>
    <w:rsid w:val="002C431B"/>
    <w:rsid w:val="002C46D4"/>
    <w:rsid w:val="002C4AFD"/>
    <w:rsid w:val="002C4E1C"/>
    <w:rsid w:val="002C4E3A"/>
    <w:rsid w:val="002C4E96"/>
    <w:rsid w:val="002C5355"/>
    <w:rsid w:val="002C53E7"/>
    <w:rsid w:val="002C56FD"/>
    <w:rsid w:val="002C59C5"/>
    <w:rsid w:val="002C6425"/>
    <w:rsid w:val="002C67E7"/>
    <w:rsid w:val="002C6DB1"/>
    <w:rsid w:val="002C6F07"/>
    <w:rsid w:val="002C72EF"/>
    <w:rsid w:val="002C750C"/>
    <w:rsid w:val="002C7811"/>
    <w:rsid w:val="002C7F58"/>
    <w:rsid w:val="002D00AA"/>
    <w:rsid w:val="002D00FA"/>
    <w:rsid w:val="002D0241"/>
    <w:rsid w:val="002D0295"/>
    <w:rsid w:val="002D02C0"/>
    <w:rsid w:val="002D0595"/>
    <w:rsid w:val="002D078E"/>
    <w:rsid w:val="002D0B26"/>
    <w:rsid w:val="002D0B60"/>
    <w:rsid w:val="002D0B65"/>
    <w:rsid w:val="002D0E8C"/>
    <w:rsid w:val="002D1338"/>
    <w:rsid w:val="002D1721"/>
    <w:rsid w:val="002D1DC5"/>
    <w:rsid w:val="002D21C1"/>
    <w:rsid w:val="002D2277"/>
    <w:rsid w:val="002D22DF"/>
    <w:rsid w:val="002D2363"/>
    <w:rsid w:val="002D297D"/>
    <w:rsid w:val="002D2EFD"/>
    <w:rsid w:val="002D33B5"/>
    <w:rsid w:val="002D3697"/>
    <w:rsid w:val="002D387F"/>
    <w:rsid w:val="002D3B24"/>
    <w:rsid w:val="002D3F15"/>
    <w:rsid w:val="002D3F34"/>
    <w:rsid w:val="002D3FEF"/>
    <w:rsid w:val="002D4114"/>
    <w:rsid w:val="002D4412"/>
    <w:rsid w:val="002D4421"/>
    <w:rsid w:val="002D47AF"/>
    <w:rsid w:val="002D4A71"/>
    <w:rsid w:val="002D4CC6"/>
    <w:rsid w:val="002D4F03"/>
    <w:rsid w:val="002D4F88"/>
    <w:rsid w:val="002D505D"/>
    <w:rsid w:val="002D532B"/>
    <w:rsid w:val="002D54B7"/>
    <w:rsid w:val="002D55FB"/>
    <w:rsid w:val="002D58E4"/>
    <w:rsid w:val="002D5A24"/>
    <w:rsid w:val="002D5AA3"/>
    <w:rsid w:val="002D627A"/>
    <w:rsid w:val="002D6533"/>
    <w:rsid w:val="002D660C"/>
    <w:rsid w:val="002D6BCF"/>
    <w:rsid w:val="002D6D58"/>
    <w:rsid w:val="002D6E06"/>
    <w:rsid w:val="002D6F3E"/>
    <w:rsid w:val="002D73AC"/>
    <w:rsid w:val="002D761B"/>
    <w:rsid w:val="002D7706"/>
    <w:rsid w:val="002D77F9"/>
    <w:rsid w:val="002D782C"/>
    <w:rsid w:val="002D79D5"/>
    <w:rsid w:val="002E0255"/>
    <w:rsid w:val="002E0CC1"/>
    <w:rsid w:val="002E0EBA"/>
    <w:rsid w:val="002E1732"/>
    <w:rsid w:val="002E1BD6"/>
    <w:rsid w:val="002E2751"/>
    <w:rsid w:val="002E2779"/>
    <w:rsid w:val="002E27A1"/>
    <w:rsid w:val="002E31A6"/>
    <w:rsid w:val="002E3867"/>
    <w:rsid w:val="002E38EA"/>
    <w:rsid w:val="002E3997"/>
    <w:rsid w:val="002E3B2B"/>
    <w:rsid w:val="002E3CC9"/>
    <w:rsid w:val="002E3D56"/>
    <w:rsid w:val="002E3D95"/>
    <w:rsid w:val="002E3EE6"/>
    <w:rsid w:val="002E40DF"/>
    <w:rsid w:val="002E4188"/>
    <w:rsid w:val="002E48C7"/>
    <w:rsid w:val="002E4902"/>
    <w:rsid w:val="002E4B5B"/>
    <w:rsid w:val="002E4D57"/>
    <w:rsid w:val="002E4FC9"/>
    <w:rsid w:val="002E55AA"/>
    <w:rsid w:val="002E56A8"/>
    <w:rsid w:val="002E5801"/>
    <w:rsid w:val="002E58E0"/>
    <w:rsid w:val="002E59A1"/>
    <w:rsid w:val="002E5EE4"/>
    <w:rsid w:val="002E6636"/>
    <w:rsid w:val="002E67B8"/>
    <w:rsid w:val="002E6916"/>
    <w:rsid w:val="002E6A58"/>
    <w:rsid w:val="002E7015"/>
    <w:rsid w:val="002E70B3"/>
    <w:rsid w:val="002E7115"/>
    <w:rsid w:val="002E74AF"/>
    <w:rsid w:val="002E760D"/>
    <w:rsid w:val="002E76D5"/>
    <w:rsid w:val="002E7796"/>
    <w:rsid w:val="002E7862"/>
    <w:rsid w:val="002E78DB"/>
    <w:rsid w:val="002F034A"/>
    <w:rsid w:val="002F06C2"/>
    <w:rsid w:val="002F075D"/>
    <w:rsid w:val="002F089B"/>
    <w:rsid w:val="002F0B7D"/>
    <w:rsid w:val="002F0C87"/>
    <w:rsid w:val="002F0EC7"/>
    <w:rsid w:val="002F1736"/>
    <w:rsid w:val="002F1993"/>
    <w:rsid w:val="002F1D8D"/>
    <w:rsid w:val="002F230D"/>
    <w:rsid w:val="002F233F"/>
    <w:rsid w:val="002F242E"/>
    <w:rsid w:val="002F297F"/>
    <w:rsid w:val="002F2CDD"/>
    <w:rsid w:val="002F3715"/>
    <w:rsid w:val="002F375B"/>
    <w:rsid w:val="002F3814"/>
    <w:rsid w:val="002F3A98"/>
    <w:rsid w:val="002F3E06"/>
    <w:rsid w:val="002F3FB6"/>
    <w:rsid w:val="002F4154"/>
    <w:rsid w:val="002F4325"/>
    <w:rsid w:val="002F4566"/>
    <w:rsid w:val="002F4ECA"/>
    <w:rsid w:val="002F4FBF"/>
    <w:rsid w:val="002F516E"/>
    <w:rsid w:val="002F570A"/>
    <w:rsid w:val="002F5B91"/>
    <w:rsid w:val="002F5E04"/>
    <w:rsid w:val="002F63AC"/>
    <w:rsid w:val="002F658C"/>
    <w:rsid w:val="002F67D0"/>
    <w:rsid w:val="002F720A"/>
    <w:rsid w:val="002F77C3"/>
    <w:rsid w:val="002F7947"/>
    <w:rsid w:val="002F7B07"/>
    <w:rsid w:val="00300045"/>
    <w:rsid w:val="00300074"/>
    <w:rsid w:val="00300233"/>
    <w:rsid w:val="003002EB"/>
    <w:rsid w:val="003003B5"/>
    <w:rsid w:val="003003F0"/>
    <w:rsid w:val="003006E1"/>
    <w:rsid w:val="00300C60"/>
    <w:rsid w:val="00300DFE"/>
    <w:rsid w:val="00300F23"/>
    <w:rsid w:val="00300F3A"/>
    <w:rsid w:val="003010FD"/>
    <w:rsid w:val="00301102"/>
    <w:rsid w:val="003011BC"/>
    <w:rsid w:val="003012B0"/>
    <w:rsid w:val="003012F4"/>
    <w:rsid w:val="00301763"/>
    <w:rsid w:val="003019F2"/>
    <w:rsid w:val="00301AF2"/>
    <w:rsid w:val="00301B48"/>
    <w:rsid w:val="00301BAA"/>
    <w:rsid w:val="00301C6C"/>
    <w:rsid w:val="00301E3C"/>
    <w:rsid w:val="0030200C"/>
    <w:rsid w:val="0030204A"/>
    <w:rsid w:val="00302190"/>
    <w:rsid w:val="003021CB"/>
    <w:rsid w:val="003026FA"/>
    <w:rsid w:val="003028F5"/>
    <w:rsid w:val="0030297F"/>
    <w:rsid w:val="00302A72"/>
    <w:rsid w:val="00302E5C"/>
    <w:rsid w:val="003030B0"/>
    <w:rsid w:val="00303440"/>
    <w:rsid w:val="00303551"/>
    <w:rsid w:val="0030367E"/>
    <w:rsid w:val="0030378F"/>
    <w:rsid w:val="003037A8"/>
    <w:rsid w:val="003040F2"/>
    <w:rsid w:val="003041CB"/>
    <w:rsid w:val="00304321"/>
    <w:rsid w:val="0030453C"/>
    <w:rsid w:val="00304544"/>
    <w:rsid w:val="00304930"/>
    <w:rsid w:val="00304B34"/>
    <w:rsid w:val="00304DED"/>
    <w:rsid w:val="00304F01"/>
    <w:rsid w:val="00304F75"/>
    <w:rsid w:val="0030513D"/>
    <w:rsid w:val="00305860"/>
    <w:rsid w:val="0030586D"/>
    <w:rsid w:val="00305DD5"/>
    <w:rsid w:val="00305E7F"/>
    <w:rsid w:val="003064C6"/>
    <w:rsid w:val="00306577"/>
    <w:rsid w:val="003065D3"/>
    <w:rsid w:val="003067DC"/>
    <w:rsid w:val="00306809"/>
    <w:rsid w:val="003069D8"/>
    <w:rsid w:val="00307F59"/>
    <w:rsid w:val="00310401"/>
    <w:rsid w:val="00310543"/>
    <w:rsid w:val="003107A9"/>
    <w:rsid w:val="00310927"/>
    <w:rsid w:val="003109FC"/>
    <w:rsid w:val="00310A96"/>
    <w:rsid w:val="00310C47"/>
    <w:rsid w:val="0031175C"/>
    <w:rsid w:val="00311D17"/>
    <w:rsid w:val="0031221C"/>
    <w:rsid w:val="003122AA"/>
    <w:rsid w:val="0031276C"/>
    <w:rsid w:val="003129AE"/>
    <w:rsid w:val="00312D44"/>
    <w:rsid w:val="00312D6B"/>
    <w:rsid w:val="00312DD3"/>
    <w:rsid w:val="00312FD5"/>
    <w:rsid w:val="0031300A"/>
    <w:rsid w:val="00313593"/>
    <w:rsid w:val="003139E1"/>
    <w:rsid w:val="00314297"/>
    <w:rsid w:val="00314FDE"/>
    <w:rsid w:val="003151CA"/>
    <w:rsid w:val="003151D0"/>
    <w:rsid w:val="0031549A"/>
    <w:rsid w:val="00315993"/>
    <w:rsid w:val="00315C2C"/>
    <w:rsid w:val="0031600C"/>
    <w:rsid w:val="0031605A"/>
    <w:rsid w:val="003161D0"/>
    <w:rsid w:val="0031629A"/>
    <w:rsid w:val="0031676C"/>
    <w:rsid w:val="00316895"/>
    <w:rsid w:val="00316B24"/>
    <w:rsid w:val="00316CAE"/>
    <w:rsid w:val="00316CFD"/>
    <w:rsid w:val="00316F1B"/>
    <w:rsid w:val="0031737A"/>
    <w:rsid w:val="00317462"/>
    <w:rsid w:val="00317721"/>
    <w:rsid w:val="00320722"/>
    <w:rsid w:val="00320809"/>
    <w:rsid w:val="00320C74"/>
    <w:rsid w:val="00321264"/>
    <w:rsid w:val="003212E7"/>
    <w:rsid w:val="003214B7"/>
    <w:rsid w:val="003215F3"/>
    <w:rsid w:val="00321C35"/>
    <w:rsid w:val="00321F49"/>
    <w:rsid w:val="00322058"/>
    <w:rsid w:val="00322147"/>
    <w:rsid w:val="00322350"/>
    <w:rsid w:val="0032268D"/>
    <w:rsid w:val="00322ACA"/>
    <w:rsid w:val="00322E6D"/>
    <w:rsid w:val="00322F70"/>
    <w:rsid w:val="003236E0"/>
    <w:rsid w:val="003236F2"/>
    <w:rsid w:val="00323802"/>
    <w:rsid w:val="0032393B"/>
    <w:rsid w:val="00323E55"/>
    <w:rsid w:val="00324177"/>
    <w:rsid w:val="00324516"/>
    <w:rsid w:val="00324A5F"/>
    <w:rsid w:val="00324B57"/>
    <w:rsid w:val="00324BBE"/>
    <w:rsid w:val="00324C46"/>
    <w:rsid w:val="00325051"/>
    <w:rsid w:val="003254B1"/>
    <w:rsid w:val="00325501"/>
    <w:rsid w:val="0032560F"/>
    <w:rsid w:val="00325C26"/>
    <w:rsid w:val="0032683F"/>
    <w:rsid w:val="00326FCE"/>
    <w:rsid w:val="003271A7"/>
    <w:rsid w:val="00327244"/>
    <w:rsid w:val="003279B3"/>
    <w:rsid w:val="00327A3B"/>
    <w:rsid w:val="00327A96"/>
    <w:rsid w:val="00327C3F"/>
    <w:rsid w:val="00330021"/>
    <w:rsid w:val="00330055"/>
    <w:rsid w:val="00330266"/>
    <w:rsid w:val="00330300"/>
    <w:rsid w:val="00330340"/>
    <w:rsid w:val="003308F2"/>
    <w:rsid w:val="00330E6A"/>
    <w:rsid w:val="00330F22"/>
    <w:rsid w:val="003313FB"/>
    <w:rsid w:val="003318EE"/>
    <w:rsid w:val="00331A2A"/>
    <w:rsid w:val="00332647"/>
    <w:rsid w:val="0033271E"/>
    <w:rsid w:val="0033277D"/>
    <w:rsid w:val="00332781"/>
    <w:rsid w:val="00332BBB"/>
    <w:rsid w:val="00333131"/>
    <w:rsid w:val="00333145"/>
    <w:rsid w:val="0033392C"/>
    <w:rsid w:val="00334558"/>
    <w:rsid w:val="003348F4"/>
    <w:rsid w:val="003353E7"/>
    <w:rsid w:val="003355C3"/>
    <w:rsid w:val="00335A61"/>
    <w:rsid w:val="00335DBA"/>
    <w:rsid w:val="00335E48"/>
    <w:rsid w:val="00336038"/>
    <w:rsid w:val="003360BB"/>
    <w:rsid w:val="003360D9"/>
    <w:rsid w:val="00336934"/>
    <w:rsid w:val="00336974"/>
    <w:rsid w:val="00336AFC"/>
    <w:rsid w:val="00336C0A"/>
    <w:rsid w:val="00336E0D"/>
    <w:rsid w:val="00336EEB"/>
    <w:rsid w:val="00337B89"/>
    <w:rsid w:val="003402F1"/>
    <w:rsid w:val="003402FF"/>
    <w:rsid w:val="003405E1"/>
    <w:rsid w:val="0034088E"/>
    <w:rsid w:val="00340990"/>
    <w:rsid w:val="00340A52"/>
    <w:rsid w:val="00340B17"/>
    <w:rsid w:val="00340C76"/>
    <w:rsid w:val="00340E7D"/>
    <w:rsid w:val="0034123E"/>
    <w:rsid w:val="003414F5"/>
    <w:rsid w:val="00341B81"/>
    <w:rsid w:val="00341CD2"/>
    <w:rsid w:val="00341D82"/>
    <w:rsid w:val="00341E8C"/>
    <w:rsid w:val="00341E90"/>
    <w:rsid w:val="00341F9B"/>
    <w:rsid w:val="003421CE"/>
    <w:rsid w:val="0034242E"/>
    <w:rsid w:val="00342588"/>
    <w:rsid w:val="003425FE"/>
    <w:rsid w:val="003428BC"/>
    <w:rsid w:val="00342EB3"/>
    <w:rsid w:val="00343029"/>
    <w:rsid w:val="0034309E"/>
    <w:rsid w:val="0034319B"/>
    <w:rsid w:val="00343227"/>
    <w:rsid w:val="003433C6"/>
    <w:rsid w:val="0034359D"/>
    <w:rsid w:val="0034363D"/>
    <w:rsid w:val="003436DD"/>
    <w:rsid w:val="00343AA7"/>
    <w:rsid w:val="00343E41"/>
    <w:rsid w:val="00343E63"/>
    <w:rsid w:val="00344C5D"/>
    <w:rsid w:val="00344FBD"/>
    <w:rsid w:val="00345717"/>
    <w:rsid w:val="003459BF"/>
    <w:rsid w:val="00346026"/>
    <w:rsid w:val="00346190"/>
    <w:rsid w:val="003461A1"/>
    <w:rsid w:val="003464C0"/>
    <w:rsid w:val="003464E0"/>
    <w:rsid w:val="003467D2"/>
    <w:rsid w:val="003468B6"/>
    <w:rsid w:val="00346CE1"/>
    <w:rsid w:val="00346E00"/>
    <w:rsid w:val="00347105"/>
    <w:rsid w:val="00347266"/>
    <w:rsid w:val="003473A2"/>
    <w:rsid w:val="00347401"/>
    <w:rsid w:val="003476B1"/>
    <w:rsid w:val="00347BBC"/>
    <w:rsid w:val="00347BE5"/>
    <w:rsid w:val="00347D2A"/>
    <w:rsid w:val="00347F01"/>
    <w:rsid w:val="00350364"/>
    <w:rsid w:val="0035051B"/>
    <w:rsid w:val="0035067B"/>
    <w:rsid w:val="003509A7"/>
    <w:rsid w:val="00350B67"/>
    <w:rsid w:val="00350F59"/>
    <w:rsid w:val="0035126B"/>
    <w:rsid w:val="00351307"/>
    <w:rsid w:val="003519F2"/>
    <w:rsid w:val="00351AEB"/>
    <w:rsid w:val="00351DA8"/>
    <w:rsid w:val="00352287"/>
    <w:rsid w:val="00352393"/>
    <w:rsid w:val="003523BA"/>
    <w:rsid w:val="00352539"/>
    <w:rsid w:val="003527D9"/>
    <w:rsid w:val="00352900"/>
    <w:rsid w:val="00352994"/>
    <w:rsid w:val="00352CA9"/>
    <w:rsid w:val="00352F6B"/>
    <w:rsid w:val="003531D3"/>
    <w:rsid w:val="00353455"/>
    <w:rsid w:val="003537B8"/>
    <w:rsid w:val="00353906"/>
    <w:rsid w:val="0035467D"/>
    <w:rsid w:val="0035476E"/>
    <w:rsid w:val="0035497B"/>
    <w:rsid w:val="00354B4F"/>
    <w:rsid w:val="00354F32"/>
    <w:rsid w:val="003551C6"/>
    <w:rsid w:val="00355582"/>
    <w:rsid w:val="0035565A"/>
    <w:rsid w:val="00355727"/>
    <w:rsid w:val="0035588F"/>
    <w:rsid w:val="00355A25"/>
    <w:rsid w:val="00355AE2"/>
    <w:rsid w:val="00355CDE"/>
    <w:rsid w:val="00355FA3"/>
    <w:rsid w:val="003563E1"/>
    <w:rsid w:val="00356B25"/>
    <w:rsid w:val="00356E92"/>
    <w:rsid w:val="00356F38"/>
    <w:rsid w:val="003575E9"/>
    <w:rsid w:val="003577AB"/>
    <w:rsid w:val="0035782E"/>
    <w:rsid w:val="00357858"/>
    <w:rsid w:val="00357D2F"/>
    <w:rsid w:val="00360728"/>
    <w:rsid w:val="00360A0C"/>
    <w:rsid w:val="0036104C"/>
    <w:rsid w:val="003617F5"/>
    <w:rsid w:val="0036212C"/>
    <w:rsid w:val="00362538"/>
    <w:rsid w:val="0036270B"/>
    <w:rsid w:val="003628F9"/>
    <w:rsid w:val="00363565"/>
    <w:rsid w:val="00363C64"/>
    <w:rsid w:val="00363E70"/>
    <w:rsid w:val="00363F8E"/>
    <w:rsid w:val="003642C1"/>
    <w:rsid w:val="00364470"/>
    <w:rsid w:val="00364548"/>
    <w:rsid w:val="003648DB"/>
    <w:rsid w:val="003649C7"/>
    <w:rsid w:val="00364EEE"/>
    <w:rsid w:val="0036579A"/>
    <w:rsid w:val="00365899"/>
    <w:rsid w:val="00365A3F"/>
    <w:rsid w:val="00365BB7"/>
    <w:rsid w:val="00365BC3"/>
    <w:rsid w:val="00365D44"/>
    <w:rsid w:val="00366020"/>
    <w:rsid w:val="00366217"/>
    <w:rsid w:val="0036650B"/>
    <w:rsid w:val="00366618"/>
    <w:rsid w:val="00366A49"/>
    <w:rsid w:val="00367699"/>
    <w:rsid w:val="00367790"/>
    <w:rsid w:val="003678ED"/>
    <w:rsid w:val="003679E3"/>
    <w:rsid w:val="00367C4F"/>
    <w:rsid w:val="00367CBE"/>
    <w:rsid w:val="00370269"/>
    <w:rsid w:val="003706AE"/>
    <w:rsid w:val="003709B0"/>
    <w:rsid w:val="00370B5E"/>
    <w:rsid w:val="00370C93"/>
    <w:rsid w:val="00371448"/>
    <w:rsid w:val="0037158D"/>
    <w:rsid w:val="003715B6"/>
    <w:rsid w:val="00371931"/>
    <w:rsid w:val="003719FA"/>
    <w:rsid w:val="00371C35"/>
    <w:rsid w:val="00371D9F"/>
    <w:rsid w:val="00371EAC"/>
    <w:rsid w:val="00372618"/>
    <w:rsid w:val="003729F6"/>
    <w:rsid w:val="00372F8A"/>
    <w:rsid w:val="0037302A"/>
    <w:rsid w:val="0037351A"/>
    <w:rsid w:val="00373754"/>
    <w:rsid w:val="0037387B"/>
    <w:rsid w:val="003738C5"/>
    <w:rsid w:val="00374155"/>
    <w:rsid w:val="00374349"/>
    <w:rsid w:val="00374A72"/>
    <w:rsid w:val="003763BA"/>
    <w:rsid w:val="0037678B"/>
    <w:rsid w:val="00376956"/>
    <w:rsid w:val="00376C3B"/>
    <w:rsid w:val="00376E2D"/>
    <w:rsid w:val="0037729B"/>
    <w:rsid w:val="00377AEA"/>
    <w:rsid w:val="00380472"/>
    <w:rsid w:val="00380886"/>
    <w:rsid w:val="003809CA"/>
    <w:rsid w:val="00380D94"/>
    <w:rsid w:val="0038101A"/>
    <w:rsid w:val="003812E6"/>
    <w:rsid w:val="00381497"/>
    <w:rsid w:val="00381763"/>
    <w:rsid w:val="00381CFC"/>
    <w:rsid w:val="00381EDF"/>
    <w:rsid w:val="00381F19"/>
    <w:rsid w:val="0038251E"/>
    <w:rsid w:val="00382568"/>
    <w:rsid w:val="003827B7"/>
    <w:rsid w:val="0038323C"/>
    <w:rsid w:val="003835F0"/>
    <w:rsid w:val="00383981"/>
    <w:rsid w:val="003839DF"/>
    <w:rsid w:val="00383F23"/>
    <w:rsid w:val="003844FC"/>
    <w:rsid w:val="003846CE"/>
    <w:rsid w:val="00384717"/>
    <w:rsid w:val="003852EE"/>
    <w:rsid w:val="00385819"/>
    <w:rsid w:val="003859D4"/>
    <w:rsid w:val="00385E20"/>
    <w:rsid w:val="00385E56"/>
    <w:rsid w:val="00386482"/>
    <w:rsid w:val="0038651A"/>
    <w:rsid w:val="00386564"/>
    <w:rsid w:val="00386571"/>
    <w:rsid w:val="003868F8"/>
    <w:rsid w:val="00386969"/>
    <w:rsid w:val="00386B91"/>
    <w:rsid w:val="00386BA9"/>
    <w:rsid w:val="0038712A"/>
    <w:rsid w:val="00387462"/>
    <w:rsid w:val="00387698"/>
    <w:rsid w:val="0038793B"/>
    <w:rsid w:val="00387AEF"/>
    <w:rsid w:val="00387B48"/>
    <w:rsid w:val="00387DDC"/>
    <w:rsid w:val="00387E6C"/>
    <w:rsid w:val="00387E8D"/>
    <w:rsid w:val="003905A8"/>
    <w:rsid w:val="003908AA"/>
    <w:rsid w:val="00390BD2"/>
    <w:rsid w:val="00391629"/>
    <w:rsid w:val="00391A05"/>
    <w:rsid w:val="003925D4"/>
    <w:rsid w:val="0039289B"/>
    <w:rsid w:val="003928AB"/>
    <w:rsid w:val="00392EDF"/>
    <w:rsid w:val="003930F2"/>
    <w:rsid w:val="00393111"/>
    <w:rsid w:val="00393213"/>
    <w:rsid w:val="00393246"/>
    <w:rsid w:val="0039368C"/>
    <w:rsid w:val="003938A9"/>
    <w:rsid w:val="00393A4C"/>
    <w:rsid w:val="00393A60"/>
    <w:rsid w:val="00393E76"/>
    <w:rsid w:val="00394089"/>
    <w:rsid w:val="003943DF"/>
    <w:rsid w:val="0039460D"/>
    <w:rsid w:val="0039470F"/>
    <w:rsid w:val="003947AF"/>
    <w:rsid w:val="003947CF"/>
    <w:rsid w:val="00394818"/>
    <w:rsid w:val="00394858"/>
    <w:rsid w:val="003949A2"/>
    <w:rsid w:val="00394B21"/>
    <w:rsid w:val="00394EC6"/>
    <w:rsid w:val="00395364"/>
    <w:rsid w:val="003959AB"/>
    <w:rsid w:val="0039703B"/>
    <w:rsid w:val="00397175"/>
    <w:rsid w:val="00397234"/>
    <w:rsid w:val="00397463"/>
    <w:rsid w:val="0039753B"/>
    <w:rsid w:val="003976CA"/>
    <w:rsid w:val="0039775F"/>
    <w:rsid w:val="00397974"/>
    <w:rsid w:val="00397A55"/>
    <w:rsid w:val="003A0031"/>
    <w:rsid w:val="003A0150"/>
    <w:rsid w:val="003A05DC"/>
    <w:rsid w:val="003A0A40"/>
    <w:rsid w:val="003A0B98"/>
    <w:rsid w:val="003A1130"/>
    <w:rsid w:val="003A1600"/>
    <w:rsid w:val="003A17A7"/>
    <w:rsid w:val="003A1C9B"/>
    <w:rsid w:val="003A1E92"/>
    <w:rsid w:val="003A23EC"/>
    <w:rsid w:val="003A25C2"/>
    <w:rsid w:val="003A26CC"/>
    <w:rsid w:val="003A2A3E"/>
    <w:rsid w:val="003A2BF3"/>
    <w:rsid w:val="003A34C5"/>
    <w:rsid w:val="003A3897"/>
    <w:rsid w:val="003A3985"/>
    <w:rsid w:val="003A3E0E"/>
    <w:rsid w:val="003A3F59"/>
    <w:rsid w:val="003A436A"/>
    <w:rsid w:val="003A4377"/>
    <w:rsid w:val="003A449E"/>
    <w:rsid w:val="003A4845"/>
    <w:rsid w:val="003A4A49"/>
    <w:rsid w:val="003A4BAB"/>
    <w:rsid w:val="003A4DD1"/>
    <w:rsid w:val="003A521B"/>
    <w:rsid w:val="003A528A"/>
    <w:rsid w:val="003A53B0"/>
    <w:rsid w:val="003A55AB"/>
    <w:rsid w:val="003A5998"/>
    <w:rsid w:val="003A5D08"/>
    <w:rsid w:val="003A62B0"/>
    <w:rsid w:val="003A6431"/>
    <w:rsid w:val="003A6566"/>
    <w:rsid w:val="003A7014"/>
    <w:rsid w:val="003A70D0"/>
    <w:rsid w:val="003A7570"/>
    <w:rsid w:val="003A7688"/>
    <w:rsid w:val="003A7731"/>
    <w:rsid w:val="003A7974"/>
    <w:rsid w:val="003A79AA"/>
    <w:rsid w:val="003A7D4F"/>
    <w:rsid w:val="003B0651"/>
    <w:rsid w:val="003B0A49"/>
    <w:rsid w:val="003B0C6A"/>
    <w:rsid w:val="003B0EC3"/>
    <w:rsid w:val="003B12E6"/>
    <w:rsid w:val="003B1675"/>
    <w:rsid w:val="003B1A6B"/>
    <w:rsid w:val="003B1BDE"/>
    <w:rsid w:val="003B1DA8"/>
    <w:rsid w:val="003B1DEF"/>
    <w:rsid w:val="003B1E25"/>
    <w:rsid w:val="003B1F0B"/>
    <w:rsid w:val="003B21B3"/>
    <w:rsid w:val="003B251C"/>
    <w:rsid w:val="003B255E"/>
    <w:rsid w:val="003B265D"/>
    <w:rsid w:val="003B284C"/>
    <w:rsid w:val="003B2EF6"/>
    <w:rsid w:val="003B3060"/>
    <w:rsid w:val="003B34D9"/>
    <w:rsid w:val="003B359B"/>
    <w:rsid w:val="003B3622"/>
    <w:rsid w:val="003B3689"/>
    <w:rsid w:val="003B3992"/>
    <w:rsid w:val="003B4118"/>
    <w:rsid w:val="003B439C"/>
    <w:rsid w:val="003B45BF"/>
    <w:rsid w:val="003B4D7F"/>
    <w:rsid w:val="003B514F"/>
    <w:rsid w:val="003B534D"/>
    <w:rsid w:val="003B5A39"/>
    <w:rsid w:val="003B5DB3"/>
    <w:rsid w:val="003B5F20"/>
    <w:rsid w:val="003B60A7"/>
    <w:rsid w:val="003B6108"/>
    <w:rsid w:val="003B6261"/>
    <w:rsid w:val="003B6799"/>
    <w:rsid w:val="003B6A83"/>
    <w:rsid w:val="003B6AF4"/>
    <w:rsid w:val="003B6CB7"/>
    <w:rsid w:val="003B725A"/>
    <w:rsid w:val="003B73D3"/>
    <w:rsid w:val="003B76F5"/>
    <w:rsid w:val="003B7927"/>
    <w:rsid w:val="003B7A61"/>
    <w:rsid w:val="003B7A9F"/>
    <w:rsid w:val="003B7B9E"/>
    <w:rsid w:val="003C061A"/>
    <w:rsid w:val="003C07FB"/>
    <w:rsid w:val="003C0820"/>
    <w:rsid w:val="003C0AE5"/>
    <w:rsid w:val="003C1359"/>
    <w:rsid w:val="003C14D2"/>
    <w:rsid w:val="003C1793"/>
    <w:rsid w:val="003C1CC1"/>
    <w:rsid w:val="003C2013"/>
    <w:rsid w:val="003C2158"/>
    <w:rsid w:val="003C26DE"/>
    <w:rsid w:val="003C27CE"/>
    <w:rsid w:val="003C296F"/>
    <w:rsid w:val="003C2D1B"/>
    <w:rsid w:val="003C2EF0"/>
    <w:rsid w:val="003C3155"/>
    <w:rsid w:val="003C32A4"/>
    <w:rsid w:val="003C3338"/>
    <w:rsid w:val="003C3468"/>
    <w:rsid w:val="003C3635"/>
    <w:rsid w:val="003C375F"/>
    <w:rsid w:val="003C3C21"/>
    <w:rsid w:val="003C3C83"/>
    <w:rsid w:val="003C3D88"/>
    <w:rsid w:val="003C3E24"/>
    <w:rsid w:val="003C3FBA"/>
    <w:rsid w:val="003C427E"/>
    <w:rsid w:val="003C42EC"/>
    <w:rsid w:val="003C4590"/>
    <w:rsid w:val="003C4BDC"/>
    <w:rsid w:val="003C4F08"/>
    <w:rsid w:val="003C5AFB"/>
    <w:rsid w:val="003C67E9"/>
    <w:rsid w:val="003C6E39"/>
    <w:rsid w:val="003C6FCD"/>
    <w:rsid w:val="003C70A0"/>
    <w:rsid w:val="003C74AE"/>
    <w:rsid w:val="003C79DA"/>
    <w:rsid w:val="003C7DA4"/>
    <w:rsid w:val="003C7E45"/>
    <w:rsid w:val="003D0071"/>
    <w:rsid w:val="003D0130"/>
    <w:rsid w:val="003D0342"/>
    <w:rsid w:val="003D0558"/>
    <w:rsid w:val="003D066F"/>
    <w:rsid w:val="003D0921"/>
    <w:rsid w:val="003D0DC9"/>
    <w:rsid w:val="003D1504"/>
    <w:rsid w:val="003D150E"/>
    <w:rsid w:val="003D158F"/>
    <w:rsid w:val="003D1B7F"/>
    <w:rsid w:val="003D1EF8"/>
    <w:rsid w:val="003D200E"/>
    <w:rsid w:val="003D21FE"/>
    <w:rsid w:val="003D304D"/>
    <w:rsid w:val="003D30E3"/>
    <w:rsid w:val="003D320D"/>
    <w:rsid w:val="003D35A1"/>
    <w:rsid w:val="003D3636"/>
    <w:rsid w:val="003D3638"/>
    <w:rsid w:val="003D3772"/>
    <w:rsid w:val="003D3AE0"/>
    <w:rsid w:val="003D410D"/>
    <w:rsid w:val="003D4D9C"/>
    <w:rsid w:val="003D4DE9"/>
    <w:rsid w:val="003D5E16"/>
    <w:rsid w:val="003D5F14"/>
    <w:rsid w:val="003D5FE8"/>
    <w:rsid w:val="003D60AA"/>
    <w:rsid w:val="003D62C3"/>
    <w:rsid w:val="003D6C69"/>
    <w:rsid w:val="003D6F08"/>
    <w:rsid w:val="003D7038"/>
    <w:rsid w:val="003D74D4"/>
    <w:rsid w:val="003D75D4"/>
    <w:rsid w:val="003D7AFC"/>
    <w:rsid w:val="003D7B3A"/>
    <w:rsid w:val="003D7DFA"/>
    <w:rsid w:val="003E08E7"/>
    <w:rsid w:val="003E0953"/>
    <w:rsid w:val="003E095C"/>
    <w:rsid w:val="003E0A7A"/>
    <w:rsid w:val="003E0D47"/>
    <w:rsid w:val="003E173D"/>
    <w:rsid w:val="003E178C"/>
    <w:rsid w:val="003E1B7E"/>
    <w:rsid w:val="003E1EE7"/>
    <w:rsid w:val="003E1F57"/>
    <w:rsid w:val="003E217C"/>
    <w:rsid w:val="003E2694"/>
    <w:rsid w:val="003E272A"/>
    <w:rsid w:val="003E288C"/>
    <w:rsid w:val="003E37B3"/>
    <w:rsid w:val="003E3926"/>
    <w:rsid w:val="003E438A"/>
    <w:rsid w:val="003E47A9"/>
    <w:rsid w:val="003E494A"/>
    <w:rsid w:val="003E4BE5"/>
    <w:rsid w:val="003E50EC"/>
    <w:rsid w:val="003E555D"/>
    <w:rsid w:val="003E58AF"/>
    <w:rsid w:val="003E595A"/>
    <w:rsid w:val="003E5E45"/>
    <w:rsid w:val="003E5EDC"/>
    <w:rsid w:val="003E62AF"/>
    <w:rsid w:val="003E6384"/>
    <w:rsid w:val="003E6820"/>
    <w:rsid w:val="003E6A7B"/>
    <w:rsid w:val="003E6EF5"/>
    <w:rsid w:val="003E70CC"/>
    <w:rsid w:val="003E70F6"/>
    <w:rsid w:val="003E7332"/>
    <w:rsid w:val="003E76FA"/>
    <w:rsid w:val="003E7873"/>
    <w:rsid w:val="003E7971"/>
    <w:rsid w:val="003E79A2"/>
    <w:rsid w:val="003E7DC2"/>
    <w:rsid w:val="003F0AE4"/>
    <w:rsid w:val="003F0D75"/>
    <w:rsid w:val="003F113A"/>
    <w:rsid w:val="003F12D4"/>
    <w:rsid w:val="003F1986"/>
    <w:rsid w:val="003F1990"/>
    <w:rsid w:val="003F1B5C"/>
    <w:rsid w:val="003F21D7"/>
    <w:rsid w:val="003F25FB"/>
    <w:rsid w:val="003F2D20"/>
    <w:rsid w:val="003F301A"/>
    <w:rsid w:val="003F312C"/>
    <w:rsid w:val="003F32F7"/>
    <w:rsid w:val="003F3564"/>
    <w:rsid w:val="003F393B"/>
    <w:rsid w:val="003F3AC3"/>
    <w:rsid w:val="003F3E18"/>
    <w:rsid w:val="003F408E"/>
    <w:rsid w:val="003F4512"/>
    <w:rsid w:val="003F489E"/>
    <w:rsid w:val="003F48AD"/>
    <w:rsid w:val="003F4B3E"/>
    <w:rsid w:val="003F4CB4"/>
    <w:rsid w:val="003F4DBF"/>
    <w:rsid w:val="003F5E20"/>
    <w:rsid w:val="003F5F43"/>
    <w:rsid w:val="003F6031"/>
    <w:rsid w:val="003F62EB"/>
    <w:rsid w:val="003F6305"/>
    <w:rsid w:val="003F6410"/>
    <w:rsid w:val="003F657F"/>
    <w:rsid w:val="003F6C45"/>
    <w:rsid w:val="003F6DE4"/>
    <w:rsid w:val="003F77C9"/>
    <w:rsid w:val="0040019B"/>
    <w:rsid w:val="00400377"/>
    <w:rsid w:val="00400491"/>
    <w:rsid w:val="004007BB"/>
    <w:rsid w:val="00400A2E"/>
    <w:rsid w:val="00400CFD"/>
    <w:rsid w:val="00400F72"/>
    <w:rsid w:val="004013BC"/>
    <w:rsid w:val="00401A1F"/>
    <w:rsid w:val="00401C02"/>
    <w:rsid w:val="00401C4B"/>
    <w:rsid w:val="00402248"/>
    <w:rsid w:val="00402A97"/>
    <w:rsid w:val="00402AD5"/>
    <w:rsid w:val="00402B62"/>
    <w:rsid w:val="00402D20"/>
    <w:rsid w:val="0040311E"/>
    <w:rsid w:val="0040375C"/>
    <w:rsid w:val="00403B06"/>
    <w:rsid w:val="00403B58"/>
    <w:rsid w:val="00403BB0"/>
    <w:rsid w:val="00403FFE"/>
    <w:rsid w:val="0040459A"/>
    <w:rsid w:val="00404AE7"/>
    <w:rsid w:val="00404BBB"/>
    <w:rsid w:val="00404FCE"/>
    <w:rsid w:val="004050B1"/>
    <w:rsid w:val="00405175"/>
    <w:rsid w:val="00405637"/>
    <w:rsid w:val="0040571B"/>
    <w:rsid w:val="00405862"/>
    <w:rsid w:val="00405982"/>
    <w:rsid w:val="00405DE5"/>
    <w:rsid w:val="00405F16"/>
    <w:rsid w:val="004061CE"/>
    <w:rsid w:val="004065E5"/>
    <w:rsid w:val="00406872"/>
    <w:rsid w:val="0040688E"/>
    <w:rsid w:val="0040724B"/>
    <w:rsid w:val="004072EF"/>
    <w:rsid w:val="004074BC"/>
    <w:rsid w:val="00407531"/>
    <w:rsid w:val="004075DA"/>
    <w:rsid w:val="004077E3"/>
    <w:rsid w:val="00407866"/>
    <w:rsid w:val="0040792B"/>
    <w:rsid w:val="00407C26"/>
    <w:rsid w:val="00407C66"/>
    <w:rsid w:val="00407CE7"/>
    <w:rsid w:val="00407D9B"/>
    <w:rsid w:val="00407DF6"/>
    <w:rsid w:val="00410671"/>
    <w:rsid w:val="00410B8E"/>
    <w:rsid w:val="00411330"/>
    <w:rsid w:val="004113C2"/>
    <w:rsid w:val="00411A8C"/>
    <w:rsid w:val="00411C9D"/>
    <w:rsid w:val="00411D17"/>
    <w:rsid w:val="00411DBF"/>
    <w:rsid w:val="00411E86"/>
    <w:rsid w:val="00411EBD"/>
    <w:rsid w:val="00412522"/>
    <w:rsid w:val="004125A1"/>
    <w:rsid w:val="004129F3"/>
    <w:rsid w:val="00412A9B"/>
    <w:rsid w:val="00412C55"/>
    <w:rsid w:val="00413062"/>
    <w:rsid w:val="0041312C"/>
    <w:rsid w:val="00413368"/>
    <w:rsid w:val="0041338B"/>
    <w:rsid w:val="00413A3A"/>
    <w:rsid w:val="00413AE4"/>
    <w:rsid w:val="00414077"/>
    <w:rsid w:val="0041464D"/>
    <w:rsid w:val="00414C53"/>
    <w:rsid w:val="00415279"/>
    <w:rsid w:val="0041530D"/>
    <w:rsid w:val="0041536B"/>
    <w:rsid w:val="004154CD"/>
    <w:rsid w:val="00415E4B"/>
    <w:rsid w:val="00416059"/>
    <w:rsid w:val="004161DE"/>
    <w:rsid w:val="004164A1"/>
    <w:rsid w:val="0041664A"/>
    <w:rsid w:val="004168FF"/>
    <w:rsid w:val="004172E6"/>
    <w:rsid w:val="00417B62"/>
    <w:rsid w:val="00420D72"/>
    <w:rsid w:val="00420DBD"/>
    <w:rsid w:val="00421119"/>
    <w:rsid w:val="0042120F"/>
    <w:rsid w:val="00421968"/>
    <w:rsid w:val="004219A0"/>
    <w:rsid w:val="00421AE6"/>
    <w:rsid w:val="004220C0"/>
    <w:rsid w:val="00422636"/>
    <w:rsid w:val="00422678"/>
    <w:rsid w:val="00422942"/>
    <w:rsid w:val="004229BF"/>
    <w:rsid w:val="00422B55"/>
    <w:rsid w:val="004230BD"/>
    <w:rsid w:val="004235E5"/>
    <w:rsid w:val="004236E7"/>
    <w:rsid w:val="0042393D"/>
    <w:rsid w:val="00423B3F"/>
    <w:rsid w:val="00423C00"/>
    <w:rsid w:val="00423E57"/>
    <w:rsid w:val="0042409B"/>
    <w:rsid w:val="00424650"/>
    <w:rsid w:val="0042469F"/>
    <w:rsid w:val="00424C9A"/>
    <w:rsid w:val="00424EE1"/>
    <w:rsid w:val="00425342"/>
    <w:rsid w:val="00425410"/>
    <w:rsid w:val="004255DC"/>
    <w:rsid w:val="0042582C"/>
    <w:rsid w:val="00425AE2"/>
    <w:rsid w:val="00425F4E"/>
    <w:rsid w:val="004260BB"/>
    <w:rsid w:val="004268CB"/>
    <w:rsid w:val="004269BA"/>
    <w:rsid w:val="004269D0"/>
    <w:rsid w:val="00426AA1"/>
    <w:rsid w:val="00426B91"/>
    <w:rsid w:val="00426BA8"/>
    <w:rsid w:val="0042732B"/>
    <w:rsid w:val="004274EE"/>
    <w:rsid w:val="00427804"/>
    <w:rsid w:val="00427AA1"/>
    <w:rsid w:val="00427C27"/>
    <w:rsid w:val="00427CCC"/>
    <w:rsid w:val="00427E2A"/>
    <w:rsid w:val="00427F52"/>
    <w:rsid w:val="004300CB"/>
    <w:rsid w:val="00430453"/>
    <w:rsid w:val="0043061A"/>
    <w:rsid w:val="00430BCC"/>
    <w:rsid w:val="00431788"/>
    <w:rsid w:val="00431880"/>
    <w:rsid w:val="00431A0F"/>
    <w:rsid w:val="00432915"/>
    <w:rsid w:val="0043295B"/>
    <w:rsid w:val="00432F2E"/>
    <w:rsid w:val="0043367B"/>
    <w:rsid w:val="004336E9"/>
    <w:rsid w:val="00433981"/>
    <w:rsid w:val="00433AAE"/>
    <w:rsid w:val="00433FBE"/>
    <w:rsid w:val="00434069"/>
    <w:rsid w:val="00434C95"/>
    <w:rsid w:val="00434D60"/>
    <w:rsid w:val="0043510A"/>
    <w:rsid w:val="00435C96"/>
    <w:rsid w:val="0043607E"/>
    <w:rsid w:val="004360F2"/>
    <w:rsid w:val="0043628A"/>
    <w:rsid w:val="0043646E"/>
    <w:rsid w:val="004371D7"/>
    <w:rsid w:val="0043734B"/>
    <w:rsid w:val="00437437"/>
    <w:rsid w:val="00437464"/>
    <w:rsid w:val="0043750A"/>
    <w:rsid w:val="004378BC"/>
    <w:rsid w:val="00437BAA"/>
    <w:rsid w:val="00437D08"/>
    <w:rsid w:val="00437DAA"/>
    <w:rsid w:val="00437F03"/>
    <w:rsid w:val="0044013B"/>
    <w:rsid w:val="004408AA"/>
    <w:rsid w:val="0044090F"/>
    <w:rsid w:val="00440C17"/>
    <w:rsid w:val="00440E91"/>
    <w:rsid w:val="0044104E"/>
    <w:rsid w:val="00441A68"/>
    <w:rsid w:val="00441E0E"/>
    <w:rsid w:val="004426B3"/>
    <w:rsid w:val="004429F4"/>
    <w:rsid w:val="00442A8C"/>
    <w:rsid w:val="00442BC4"/>
    <w:rsid w:val="00442EFE"/>
    <w:rsid w:val="004433C6"/>
    <w:rsid w:val="0044349D"/>
    <w:rsid w:val="004439A4"/>
    <w:rsid w:val="00443B83"/>
    <w:rsid w:val="00443D48"/>
    <w:rsid w:val="00444056"/>
    <w:rsid w:val="004440B5"/>
    <w:rsid w:val="00444273"/>
    <w:rsid w:val="00444C2D"/>
    <w:rsid w:val="00444D46"/>
    <w:rsid w:val="00444F5C"/>
    <w:rsid w:val="00445072"/>
    <w:rsid w:val="00445104"/>
    <w:rsid w:val="00445F5D"/>
    <w:rsid w:val="0044610F"/>
    <w:rsid w:val="00446316"/>
    <w:rsid w:val="0044680F"/>
    <w:rsid w:val="00446833"/>
    <w:rsid w:val="00446851"/>
    <w:rsid w:val="00446A6D"/>
    <w:rsid w:val="00446A77"/>
    <w:rsid w:val="00446C54"/>
    <w:rsid w:val="004472A2"/>
    <w:rsid w:val="00447667"/>
    <w:rsid w:val="004478E1"/>
    <w:rsid w:val="00447951"/>
    <w:rsid w:val="0045087A"/>
    <w:rsid w:val="00450C4F"/>
    <w:rsid w:val="00450CA7"/>
    <w:rsid w:val="00450E29"/>
    <w:rsid w:val="00451082"/>
    <w:rsid w:val="00451743"/>
    <w:rsid w:val="00451C48"/>
    <w:rsid w:val="00452F21"/>
    <w:rsid w:val="0045351A"/>
    <w:rsid w:val="004537B4"/>
    <w:rsid w:val="00453968"/>
    <w:rsid w:val="004539A1"/>
    <w:rsid w:val="0045410B"/>
    <w:rsid w:val="00454198"/>
    <w:rsid w:val="004541C3"/>
    <w:rsid w:val="004544BC"/>
    <w:rsid w:val="004546C3"/>
    <w:rsid w:val="004549F7"/>
    <w:rsid w:val="00454A40"/>
    <w:rsid w:val="004551D5"/>
    <w:rsid w:val="00455CB5"/>
    <w:rsid w:val="00455F7D"/>
    <w:rsid w:val="0045645C"/>
    <w:rsid w:val="004564BE"/>
    <w:rsid w:val="0045682B"/>
    <w:rsid w:val="00456D24"/>
    <w:rsid w:val="0045729F"/>
    <w:rsid w:val="004573F7"/>
    <w:rsid w:val="004574E2"/>
    <w:rsid w:val="00457A81"/>
    <w:rsid w:val="00457AAB"/>
    <w:rsid w:val="00457CD9"/>
    <w:rsid w:val="004601B2"/>
    <w:rsid w:val="0046032F"/>
    <w:rsid w:val="0046050D"/>
    <w:rsid w:val="00460519"/>
    <w:rsid w:val="0046065B"/>
    <w:rsid w:val="0046067E"/>
    <w:rsid w:val="00460FD9"/>
    <w:rsid w:val="004610EC"/>
    <w:rsid w:val="00461268"/>
    <w:rsid w:val="00461327"/>
    <w:rsid w:val="004614CA"/>
    <w:rsid w:val="004616D2"/>
    <w:rsid w:val="00461D6D"/>
    <w:rsid w:val="00461E19"/>
    <w:rsid w:val="004621F8"/>
    <w:rsid w:val="004622A5"/>
    <w:rsid w:val="00462646"/>
    <w:rsid w:val="004626EB"/>
    <w:rsid w:val="00462C08"/>
    <w:rsid w:val="00462C40"/>
    <w:rsid w:val="00463ECF"/>
    <w:rsid w:val="004640A5"/>
    <w:rsid w:val="004640FA"/>
    <w:rsid w:val="0046428D"/>
    <w:rsid w:val="0046450E"/>
    <w:rsid w:val="00464B63"/>
    <w:rsid w:val="00464E17"/>
    <w:rsid w:val="00464E39"/>
    <w:rsid w:val="00465417"/>
    <w:rsid w:val="00465972"/>
    <w:rsid w:val="00465D3D"/>
    <w:rsid w:val="00465EE8"/>
    <w:rsid w:val="00466050"/>
    <w:rsid w:val="0046613A"/>
    <w:rsid w:val="00466548"/>
    <w:rsid w:val="004666D9"/>
    <w:rsid w:val="004669A1"/>
    <w:rsid w:val="00466B14"/>
    <w:rsid w:val="00466BD6"/>
    <w:rsid w:val="00466D26"/>
    <w:rsid w:val="00466E54"/>
    <w:rsid w:val="00467186"/>
    <w:rsid w:val="0046733B"/>
    <w:rsid w:val="004673C3"/>
    <w:rsid w:val="004674A5"/>
    <w:rsid w:val="0046761A"/>
    <w:rsid w:val="004677CA"/>
    <w:rsid w:val="00467837"/>
    <w:rsid w:val="00467A99"/>
    <w:rsid w:val="00467E8D"/>
    <w:rsid w:val="00467EC0"/>
    <w:rsid w:val="00467EFF"/>
    <w:rsid w:val="00470052"/>
    <w:rsid w:val="0047022F"/>
    <w:rsid w:val="00470462"/>
    <w:rsid w:val="00470832"/>
    <w:rsid w:val="00470955"/>
    <w:rsid w:val="004709DD"/>
    <w:rsid w:val="0047134A"/>
    <w:rsid w:val="00471542"/>
    <w:rsid w:val="0047195B"/>
    <w:rsid w:val="00471ABF"/>
    <w:rsid w:val="00471E03"/>
    <w:rsid w:val="00471E07"/>
    <w:rsid w:val="0047224A"/>
    <w:rsid w:val="004722CE"/>
    <w:rsid w:val="004723E6"/>
    <w:rsid w:val="004727B3"/>
    <w:rsid w:val="00472D1F"/>
    <w:rsid w:val="00472DD4"/>
    <w:rsid w:val="004731B6"/>
    <w:rsid w:val="00473274"/>
    <w:rsid w:val="004736C6"/>
    <w:rsid w:val="004739F1"/>
    <w:rsid w:val="00473A5B"/>
    <w:rsid w:val="00473FE6"/>
    <w:rsid w:val="00474173"/>
    <w:rsid w:val="004741C3"/>
    <w:rsid w:val="00475552"/>
    <w:rsid w:val="0047557F"/>
    <w:rsid w:val="00475940"/>
    <w:rsid w:val="0047596B"/>
    <w:rsid w:val="00475A69"/>
    <w:rsid w:val="00475CEF"/>
    <w:rsid w:val="0047618D"/>
    <w:rsid w:val="004761A7"/>
    <w:rsid w:val="00476458"/>
    <w:rsid w:val="00476CCF"/>
    <w:rsid w:val="00476D01"/>
    <w:rsid w:val="00476F39"/>
    <w:rsid w:val="00477321"/>
    <w:rsid w:val="00477499"/>
    <w:rsid w:val="00477781"/>
    <w:rsid w:val="0047794A"/>
    <w:rsid w:val="00477962"/>
    <w:rsid w:val="00477A08"/>
    <w:rsid w:val="00477FA4"/>
    <w:rsid w:val="00480295"/>
    <w:rsid w:val="0048043A"/>
    <w:rsid w:val="00480B52"/>
    <w:rsid w:val="00480C65"/>
    <w:rsid w:val="004818B4"/>
    <w:rsid w:val="00481960"/>
    <w:rsid w:val="00481A77"/>
    <w:rsid w:val="0048202B"/>
    <w:rsid w:val="0048212A"/>
    <w:rsid w:val="00482226"/>
    <w:rsid w:val="00482349"/>
    <w:rsid w:val="0048290A"/>
    <w:rsid w:val="00482C99"/>
    <w:rsid w:val="00482D1C"/>
    <w:rsid w:val="00482EC7"/>
    <w:rsid w:val="0048302C"/>
    <w:rsid w:val="0048306C"/>
    <w:rsid w:val="00483383"/>
    <w:rsid w:val="00483441"/>
    <w:rsid w:val="00483EA9"/>
    <w:rsid w:val="004842FF"/>
    <w:rsid w:val="00484659"/>
    <w:rsid w:val="0048474B"/>
    <w:rsid w:val="004847D9"/>
    <w:rsid w:val="00484F1C"/>
    <w:rsid w:val="004851AC"/>
    <w:rsid w:val="004853FA"/>
    <w:rsid w:val="0048572A"/>
    <w:rsid w:val="00485A2F"/>
    <w:rsid w:val="00485B68"/>
    <w:rsid w:val="00485D1E"/>
    <w:rsid w:val="00486159"/>
    <w:rsid w:val="00486391"/>
    <w:rsid w:val="0048640C"/>
    <w:rsid w:val="0048657B"/>
    <w:rsid w:val="004867EE"/>
    <w:rsid w:val="00486B6D"/>
    <w:rsid w:val="00486B95"/>
    <w:rsid w:val="00487036"/>
    <w:rsid w:val="00487243"/>
    <w:rsid w:val="004873A7"/>
    <w:rsid w:val="004873FC"/>
    <w:rsid w:val="004874E2"/>
    <w:rsid w:val="004875C0"/>
    <w:rsid w:val="0048797C"/>
    <w:rsid w:val="00487EE1"/>
    <w:rsid w:val="00490446"/>
    <w:rsid w:val="00490467"/>
    <w:rsid w:val="00490D3E"/>
    <w:rsid w:val="00491669"/>
    <w:rsid w:val="0049184C"/>
    <w:rsid w:val="00491A12"/>
    <w:rsid w:val="00491E9B"/>
    <w:rsid w:val="0049217C"/>
    <w:rsid w:val="004924E6"/>
    <w:rsid w:val="0049258C"/>
    <w:rsid w:val="004925DF"/>
    <w:rsid w:val="004930B3"/>
    <w:rsid w:val="00493223"/>
    <w:rsid w:val="0049327D"/>
    <w:rsid w:val="004933C1"/>
    <w:rsid w:val="004935F7"/>
    <w:rsid w:val="004937D5"/>
    <w:rsid w:val="004939B0"/>
    <w:rsid w:val="00493BD1"/>
    <w:rsid w:val="00493D0C"/>
    <w:rsid w:val="00493D53"/>
    <w:rsid w:val="004944C6"/>
    <w:rsid w:val="004947BA"/>
    <w:rsid w:val="00494B73"/>
    <w:rsid w:val="00494CED"/>
    <w:rsid w:val="00495005"/>
    <w:rsid w:val="0049525C"/>
    <w:rsid w:val="00495563"/>
    <w:rsid w:val="00495620"/>
    <w:rsid w:val="00495837"/>
    <w:rsid w:val="00495AEF"/>
    <w:rsid w:val="004960AA"/>
    <w:rsid w:val="00496102"/>
    <w:rsid w:val="0049646C"/>
    <w:rsid w:val="004969C7"/>
    <w:rsid w:val="00496D13"/>
    <w:rsid w:val="00496F8A"/>
    <w:rsid w:val="0049715B"/>
    <w:rsid w:val="00497AA3"/>
    <w:rsid w:val="00497CE6"/>
    <w:rsid w:val="00497F1E"/>
    <w:rsid w:val="004A0017"/>
    <w:rsid w:val="004A04B2"/>
    <w:rsid w:val="004A0D1B"/>
    <w:rsid w:val="004A1197"/>
    <w:rsid w:val="004A138C"/>
    <w:rsid w:val="004A1855"/>
    <w:rsid w:val="004A1A16"/>
    <w:rsid w:val="004A1E3B"/>
    <w:rsid w:val="004A1F28"/>
    <w:rsid w:val="004A20BB"/>
    <w:rsid w:val="004A2197"/>
    <w:rsid w:val="004A2347"/>
    <w:rsid w:val="004A249B"/>
    <w:rsid w:val="004A2741"/>
    <w:rsid w:val="004A2804"/>
    <w:rsid w:val="004A2988"/>
    <w:rsid w:val="004A29B2"/>
    <w:rsid w:val="004A29B3"/>
    <w:rsid w:val="004A2A2D"/>
    <w:rsid w:val="004A2D84"/>
    <w:rsid w:val="004A2F68"/>
    <w:rsid w:val="004A34B9"/>
    <w:rsid w:val="004A36C6"/>
    <w:rsid w:val="004A3738"/>
    <w:rsid w:val="004A38C0"/>
    <w:rsid w:val="004A39EF"/>
    <w:rsid w:val="004A3D9E"/>
    <w:rsid w:val="004A4035"/>
    <w:rsid w:val="004A4550"/>
    <w:rsid w:val="004A4673"/>
    <w:rsid w:val="004A4814"/>
    <w:rsid w:val="004A4E31"/>
    <w:rsid w:val="004A4F0B"/>
    <w:rsid w:val="004A5178"/>
    <w:rsid w:val="004A5E2D"/>
    <w:rsid w:val="004A5E42"/>
    <w:rsid w:val="004A628A"/>
    <w:rsid w:val="004A64FC"/>
    <w:rsid w:val="004A65B6"/>
    <w:rsid w:val="004A6976"/>
    <w:rsid w:val="004A6AAD"/>
    <w:rsid w:val="004A73A7"/>
    <w:rsid w:val="004A75E5"/>
    <w:rsid w:val="004A76F2"/>
    <w:rsid w:val="004A7978"/>
    <w:rsid w:val="004B0151"/>
    <w:rsid w:val="004B056E"/>
    <w:rsid w:val="004B0B1B"/>
    <w:rsid w:val="004B0B81"/>
    <w:rsid w:val="004B1670"/>
    <w:rsid w:val="004B16A3"/>
    <w:rsid w:val="004B1ED6"/>
    <w:rsid w:val="004B1F63"/>
    <w:rsid w:val="004B2234"/>
    <w:rsid w:val="004B22A3"/>
    <w:rsid w:val="004B265B"/>
    <w:rsid w:val="004B2A86"/>
    <w:rsid w:val="004B2CEA"/>
    <w:rsid w:val="004B2FCA"/>
    <w:rsid w:val="004B317F"/>
    <w:rsid w:val="004B3509"/>
    <w:rsid w:val="004B3B7E"/>
    <w:rsid w:val="004B3C3E"/>
    <w:rsid w:val="004B3E45"/>
    <w:rsid w:val="004B3F9C"/>
    <w:rsid w:val="004B4166"/>
    <w:rsid w:val="004B42BB"/>
    <w:rsid w:val="004B430E"/>
    <w:rsid w:val="004B456B"/>
    <w:rsid w:val="004B45DC"/>
    <w:rsid w:val="004B4D11"/>
    <w:rsid w:val="004B4E7C"/>
    <w:rsid w:val="004B4ECD"/>
    <w:rsid w:val="004B502D"/>
    <w:rsid w:val="004B531F"/>
    <w:rsid w:val="004B548C"/>
    <w:rsid w:val="004B54EA"/>
    <w:rsid w:val="004B5560"/>
    <w:rsid w:val="004B5787"/>
    <w:rsid w:val="004B58F2"/>
    <w:rsid w:val="004B5917"/>
    <w:rsid w:val="004B5C12"/>
    <w:rsid w:val="004B5D9B"/>
    <w:rsid w:val="004B6062"/>
    <w:rsid w:val="004B6238"/>
    <w:rsid w:val="004B6510"/>
    <w:rsid w:val="004B6A79"/>
    <w:rsid w:val="004B6D08"/>
    <w:rsid w:val="004B6DD2"/>
    <w:rsid w:val="004B7126"/>
    <w:rsid w:val="004B76A9"/>
    <w:rsid w:val="004B785B"/>
    <w:rsid w:val="004B7CB1"/>
    <w:rsid w:val="004C01BF"/>
    <w:rsid w:val="004C06EF"/>
    <w:rsid w:val="004C0C4E"/>
    <w:rsid w:val="004C0E18"/>
    <w:rsid w:val="004C147F"/>
    <w:rsid w:val="004C14C0"/>
    <w:rsid w:val="004C162D"/>
    <w:rsid w:val="004C1B6D"/>
    <w:rsid w:val="004C1B99"/>
    <w:rsid w:val="004C1D53"/>
    <w:rsid w:val="004C20B8"/>
    <w:rsid w:val="004C2263"/>
    <w:rsid w:val="004C2505"/>
    <w:rsid w:val="004C2680"/>
    <w:rsid w:val="004C2935"/>
    <w:rsid w:val="004C2B94"/>
    <w:rsid w:val="004C3143"/>
    <w:rsid w:val="004C33E8"/>
    <w:rsid w:val="004C3BEB"/>
    <w:rsid w:val="004C3E56"/>
    <w:rsid w:val="004C3EBF"/>
    <w:rsid w:val="004C42B9"/>
    <w:rsid w:val="004C44A6"/>
    <w:rsid w:val="004C46C5"/>
    <w:rsid w:val="004C4911"/>
    <w:rsid w:val="004C4A68"/>
    <w:rsid w:val="004C4B9F"/>
    <w:rsid w:val="004C52BE"/>
    <w:rsid w:val="004C588A"/>
    <w:rsid w:val="004C5CA3"/>
    <w:rsid w:val="004C5DEB"/>
    <w:rsid w:val="004C64AB"/>
    <w:rsid w:val="004C64F9"/>
    <w:rsid w:val="004C660B"/>
    <w:rsid w:val="004C6666"/>
    <w:rsid w:val="004C675E"/>
    <w:rsid w:val="004C70BD"/>
    <w:rsid w:val="004C7A14"/>
    <w:rsid w:val="004C7B9E"/>
    <w:rsid w:val="004C7E97"/>
    <w:rsid w:val="004D012A"/>
    <w:rsid w:val="004D0495"/>
    <w:rsid w:val="004D0675"/>
    <w:rsid w:val="004D07A4"/>
    <w:rsid w:val="004D07BF"/>
    <w:rsid w:val="004D0A3E"/>
    <w:rsid w:val="004D0BB3"/>
    <w:rsid w:val="004D0CE2"/>
    <w:rsid w:val="004D1330"/>
    <w:rsid w:val="004D1426"/>
    <w:rsid w:val="004D1B0D"/>
    <w:rsid w:val="004D1B27"/>
    <w:rsid w:val="004D24C9"/>
    <w:rsid w:val="004D29F0"/>
    <w:rsid w:val="004D2A84"/>
    <w:rsid w:val="004D2BB2"/>
    <w:rsid w:val="004D2D08"/>
    <w:rsid w:val="004D2D7E"/>
    <w:rsid w:val="004D32F6"/>
    <w:rsid w:val="004D33E4"/>
    <w:rsid w:val="004D3C64"/>
    <w:rsid w:val="004D3F44"/>
    <w:rsid w:val="004D3FC2"/>
    <w:rsid w:val="004D456C"/>
    <w:rsid w:val="004D485F"/>
    <w:rsid w:val="004D4D9B"/>
    <w:rsid w:val="004D4FC2"/>
    <w:rsid w:val="004D55D2"/>
    <w:rsid w:val="004D56BC"/>
    <w:rsid w:val="004D59A0"/>
    <w:rsid w:val="004D6237"/>
    <w:rsid w:val="004D6422"/>
    <w:rsid w:val="004D6481"/>
    <w:rsid w:val="004D6715"/>
    <w:rsid w:val="004D6855"/>
    <w:rsid w:val="004D686A"/>
    <w:rsid w:val="004D6C99"/>
    <w:rsid w:val="004D734E"/>
    <w:rsid w:val="004D741D"/>
    <w:rsid w:val="004D783B"/>
    <w:rsid w:val="004D7F68"/>
    <w:rsid w:val="004E00A4"/>
    <w:rsid w:val="004E018F"/>
    <w:rsid w:val="004E0223"/>
    <w:rsid w:val="004E0242"/>
    <w:rsid w:val="004E0A75"/>
    <w:rsid w:val="004E0B3F"/>
    <w:rsid w:val="004E0D1D"/>
    <w:rsid w:val="004E0D8F"/>
    <w:rsid w:val="004E14B8"/>
    <w:rsid w:val="004E1612"/>
    <w:rsid w:val="004E1DB4"/>
    <w:rsid w:val="004E1E35"/>
    <w:rsid w:val="004E2110"/>
    <w:rsid w:val="004E254A"/>
    <w:rsid w:val="004E2A14"/>
    <w:rsid w:val="004E2C10"/>
    <w:rsid w:val="004E3213"/>
    <w:rsid w:val="004E3255"/>
    <w:rsid w:val="004E32CC"/>
    <w:rsid w:val="004E3336"/>
    <w:rsid w:val="004E3338"/>
    <w:rsid w:val="004E388D"/>
    <w:rsid w:val="004E3B7A"/>
    <w:rsid w:val="004E3CEB"/>
    <w:rsid w:val="004E44AD"/>
    <w:rsid w:val="004E4659"/>
    <w:rsid w:val="004E4B03"/>
    <w:rsid w:val="004E4E17"/>
    <w:rsid w:val="004E5872"/>
    <w:rsid w:val="004E5D63"/>
    <w:rsid w:val="004E621E"/>
    <w:rsid w:val="004E6617"/>
    <w:rsid w:val="004E679A"/>
    <w:rsid w:val="004E693B"/>
    <w:rsid w:val="004E69D8"/>
    <w:rsid w:val="004E6ED3"/>
    <w:rsid w:val="004E7459"/>
    <w:rsid w:val="004E76C7"/>
    <w:rsid w:val="004E7BB1"/>
    <w:rsid w:val="004E7CF8"/>
    <w:rsid w:val="004E7D14"/>
    <w:rsid w:val="004F0192"/>
    <w:rsid w:val="004F01A7"/>
    <w:rsid w:val="004F0383"/>
    <w:rsid w:val="004F03E9"/>
    <w:rsid w:val="004F108F"/>
    <w:rsid w:val="004F1AF1"/>
    <w:rsid w:val="004F1C2F"/>
    <w:rsid w:val="004F1E0D"/>
    <w:rsid w:val="004F1E8F"/>
    <w:rsid w:val="004F1EC7"/>
    <w:rsid w:val="004F2066"/>
    <w:rsid w:val="004F242D"/>
    <w:rsid w:val="004F2855"/>
    <w:rsid w:val="004F29ED"/>
    <w:rsid w:val="004F2FDB"/>
    <w:rsid w:val="004F32EA"/>
    <w:rsid w:val="004F3356"/>
    <w:rsid w:val="004F35F0"/>
    <w:rsid w:val="004F3892"/>
    <w:rsid w:val="004F3EB3"/>
    <w:rsid w:val="004F429F"/>
    <w:rsid w:val="004F42D6"/>
    <w:rsid w:val="004F4300"/>
    <w:rsid w:val="004F4466"/>
    <w:rsid w:val="004F4562"/>
    <w:rsid w:val="004F4962"/>
    <w:rsid w:val="004F4B2B"/>
    <w:rsid w:val="004F4C9C"/>
    <w:rsid w:val="004F51E1"/>
    <w:rsid w:val="004F54ED"/>
    <w:rsid w:val="004F577F"/>
    <w:rsid w:val="004F5A03"/>
    <w:rsid w:val="004F5EC1"/>
    <w:rsid w:val="004F6015"/>
    <w:rsid w:val="004F603A"/>
    <w:rsid w:val="004F62FD"/>
    <w:rsid w:val="004F6332"/>
    <w:rsid w:val="004F67A2"/>
    <w:rsid w:val="004F68B0"/>
    <w:rsid w:val="004F6AF6"/>
    <w:rsid w:val="004F6BB0"/>
    <w:rsid w:val="004F799F"/>
    <w:rsid w:val="004F7BDE"/>
    <w:rsid w:val="004F7D79"/>
    <w:rsid w:val="0050034B"/>
    <w:rsid w:val="00500937"/>
    <w:rsid w:val="00502095"/>
    <w:rsid w:val="00502E61"/>
    <w:rsid w:val="00503191"/>
    <w:rsid w:val="0050326D"/>
    <w:rsid w:val="005035DD"/>
    <w:rsid w:val="0050361E"/>
    <w:rsid w:val="00503626"/>
    <w:rsid w:val="00503976"/>
    <w:rsid w:val="00503E32"/>
    <w:rsid w:val="005040F5"/>
    <w:rsid w:val="005047CB"/>
    <w:rsid w:val="005047F1"/>
    <w:rsid w:val="00504B40"/>
    <w:rsid w:val="00505225"/>
    <w:rsid w:val="00505237"/>
    <w:rsid w:val="0050553A"/>
    <w:rsid w:val="00505D84"/>
    <w:rsid w:val="0050601B"/>
    <w:rsid w:val="00506108"/>
    <w:rsid w:val="00506562"/>
    <w:rsid w:val="0050667D"/>
    <w:rsid w:val="005068F5"/>
    <w:rsid w:val="00506BB4"/>
    <w:rsid w:val="00506C38"/>
    <w:rsid w:val="00506C3E"/>
    <w:rsid w:val="00506E46"/>
    <w:rsid w:val="0050702C"/>
    <w:rsid w:val="005072C3"/>
    <w:rsid w:val="00507A40"/>
    <w:rsid w:val="00507D5A"/>
    <w:rsid w:val="005101F9"/>
    <w:rsid w:val="0051038E"/>
    <w:rsid w:val="00510412"/>
    <w:rsid w:val="005105DB"/>
    <w:rsid w:val="00510683"/>
    <w:rsid w:val="00510876"/>
    <w:rsid w:val="005109A2"/>
    <w:rsid w:val="00510A68"/>
    <w:rsid w:val="00510AAD"/>
    <w:rsid w:val="0051130C"/>
    <w:rsid w:val="005113EC"/>
    <w:rsid w:val="00511429"/>
    <w:rsid w:val="00511AC5"/>
    <w:rsid w:val="00511F48"/>
    <w:rsid w:val="00512111"/>
    <w:rsid w:val="00512121"/>
    <w:rsid w:val="005124E1"/>
    <w:rsid w:val="005129C7"/>
    <w:rsid w:val="005132AC"/>
    <w:rsid w:val="0051386A"/>
    <w:rsid w:val="005139AB"/>
    <w:rsid w:val="005139B9"/>
    <w:rsid w:val="00514003"/>
    <w:rsid w:val="005143FD"/>
    <w:rsid w:val="005145AA"/>
    <w:rsid w:val="005146AB"/>
    <w:rsid w:val="00514917"/>
    <w:rsid w:val="00514E69"/>
    <w:rsid w:val="00514F78"/>
    <w:rsid w:val="00514F81"/>
    <w:rsid w:val="0051526D"/>
    <w:rsid w:val="00515431"/>
    <w:rsid w:val="00515684"/>
    <w:rsid w:val="0051582F"/>
    <w:rsid w:val="00515CFA"/>
    <w:rsid w:val="00516209"/>
    <w:rsid w:val="0051655C"/>
    <w:rsid w:val="00516675"/>
    <w:rsid w:val="005166BA"/>
    <w:rsid w:val="00516865"/>
    <w:rsid w:val="00516D97"/>
    <w:rsid w:val="0051770F"/>
    <w:rsid w:val="00517731"/>
    <w:rsid w:val="00517788"/>
    <w:rsid w:val="005179F5"/>
    <w:rsid w:val="00517AFB"/>
    <w:rsid w:val="0052006C"/>
    <w:rsid w:val="005207FB"/>
    <w:rsid w:val="00520A12"/>
    <w:rsid w:val="00520BE2"/>
    <w:rsid w:val="00521139"/>
    <w:rsid w:val="00521725"/>
    <w:rsid w:val="0052175E"/>
    <w:rsid w:val="005219CB"/>
    <w:rsid w:val="00521BC5"/>
    <w:rsid w:val="00522AD0"/>
    <w:rsid w:val="00522B23"/>
    <w:rsid w:val="00522BFC"/>
    <w:rsid w:val="00522CA9"/>
    <w:rsid w:val="00522E09"/>
    <w:rsid w:val="00522EB1"/>
    <w:rsid w:val="00522EFA"/>
    <w:rsid w:val="00523373"/>
    <w:rsid w:val="005233E4"/>
    <w:rsid w:val="00523B72"/>
    <w:rsid w:val="00523E8E"/>
    <w:rsid w:val="005244F7"/>
    <w:rsid w:val="005245A5"/>
    <w:rsid w:val="00524908"/>
    <w:rsid w:val="00524C72"/>
    <w:rsid w:val="00525088"/>
    <w:rsid w:val="005250D4"/>
    <w:rsid w:val="005250E1"/>
    <w:rsid w:val="0052537C"/>
    <w:rsid w:val="00525579"/>
    <w:rsid w:val="005258A2"/>
    <w:rsid w:val="00525972"/>
    <w:rsid w:val="00525D2D"/>
    <w:rsid w:val="005262C2"/>
    <w:rsid w:val="00526431"/>
    <w:rsid w:val="00526991"/>
    <w:rsid w:val="00526FBE"/>
    <w:rsid w:val="00527322"/>
    <w:rsid w:val="00527605"/>
    <w:rsid w:val="00527D37"/>
    <w:rsid w:val="00527DD2"/>
    <w:rsid w:val="00530227"/>
    <w:rsid w:val="005304A4"/>
    <w:rsid w:val="005308BF"/>
    <w:rsid w:val="00530ADC"/>
    <w:rsid w:val="00530B7B"/>
    <w:rsid w:val="00530C74"/>
    <w:rsid w:val="00530C9C"/>
    <w:rsid w:val="0053121D"/>
    <w:rsid w:val="0053128D"/>
    <w:rsid w:val="005313FE"/>
    <w:rsid w:val="00531407"/>
    <w:rsid w:val="00531429"/>
    <w:rsid w:val="005314AB"/>
    <w:rsid w:val="0053157E"/>
    <w:rsid w:val="00531671"/>
    <w:rsid w:val="00531852"/>
    <w:rsid w:val="00531D3A"/>
    <w:rsid w:val="00531E7F"/>
    <w:rsid w:val="005320F9"/>
    <w:rsid w:val="00532259"/>
    <w:rsid w:val="0053263B"/>
    <w:rsid w:val="0053263D"/>
    <w:rsid w:val="00532BA0"/>
    <w:rsid w:val="00532E1A"/>
    <w:rsid w:val="00533102"/>
    <w:rsid w:val="00533519"/>
    <w:rsid w:val="005337F3"/>
    <w:rsid w:val="00534056"/>
    <w:rsid w:val="005340DB"/>
    <w:rsid w:val="0053447F"/>
    <w:rsid w:val="00534873"/>
    <w:rsid w:val="00534C4A"/>
    <w:rsid w:val="00535406"/>
    <w:rsid w:val="00535625"/>
    <w:rsid w:val="00535754"/>
    <w:rsid w:val="00535D54"/>
    <w:rsid w:val="00535F5D"/>
    <w:rsid w:val="00536582"/>
    <w:rsid w:val="005365A8"/>
    <w:rsid w:val="00536855"/>
    <w:rsid w:val="00536A50"/>
    <w:rsid w:val="00536D53"/>
    <w:rsid w:val="00536EB7"/>
    <w:rsid w:val="005370DC"/>
    <w:rsid w:val="0053734E"/>
    <w:rsid w:val="0053736E"/>
    <w:rsid w:val="005375E2"/>
    <w:rsid w:val="005376E4"/>
    <w:rsid w:val="00537802"/>
    <w:rsid w:val="00537CA6"/>
    <w:rsid w:val="00537CE9"/>
    <w:rsid w:val="005401E0"/>
    <w:rsid w:val="0054035C"/>
    <w:rsid w:val="005403CB"/>
    <w:rsid w:val="00540441"/>
    <w:rsid w:val="00540720"/>
    <w:rsid w:val="005408D1"/>
    <w:rsid w:val="0054094E"/>
    <w:rsid w:val="00540AD1"/>
    <w:rsid w:val="00540DAD"/>
    <w:rsid w:val="0054115B"/>
    <w:rsid w:val="005413A6"/>
    <w:rsid w:val="00541450"/>
    <w:rsid w:val="005422FB"/>
    <w:rsid w:val="005425EE"/>
    <w:rsid w:val="005426C3"/>
    <w:rsid w:val="005428C6"/>
    <w:rsid w:val="00542C0F"/>
    <w:rsid w:val="00542C72"/>
    <w:rsid w:val="00542D06"/>
    <w:rsid w:val="00542E4E"/>
    <w:rsid w:val="005431FF"/>
    <w:rsid w:val="00543891"/>
    <w:rsid w:val="005438C4"/>
    <w:rsid w:val="005439F6"/>
    <w:rsid w:val="00543A31"/>
    <w:rsid w:val="00543AE9"/>
    <w:rsid w:val="00543E2F"/>
    <w:rsid w:val="005442AF"/>
    <w:rsid w:val="005442DF"/>
    <w:rsid w:val="00544393"/>
    <w:rsid w:val="005443D1"/>
    <w:rsid w:val="00544747"/>
    <w:rsid w:val="00544DB1"/>
    <w:rsid w:val="00545029"/>
    <w:rsid w:val="00545355"/>
    <w:rsid w:val="00545620"/>
    <w:rsid w:val="00545AD8"/>
    <w:rsid w:val="00545D8E"/>
    <w:rsid w:val="0054612E"/>
    <w:rsid w:val="0054618C"/>
    <w:rsid w:val="00546465"/>
    <w:rsid w:val="005464A0"/>
    <w:rsid w:val="00546855"/>
    <w:rsid w:val="005469E6"/>
    <w:rsid w:val="00546CBA"/>
    <w:rsid w:val="00546E3A"/>
    <w:rsid w:val="00547381"/>
    <w:rsid w:val="005474B0"/>
    <w:rsid w:val="005474DB"/>
    <w:rsid w:val="0054786C"/>
    <w:rsid w:val="005478D2"/>
    <w:rsid w:val="00547A11"/>
    <w:rsid w:val="00547A54"/>
    <w:rsid w:val="00547F6E"/>
    <w:rsid w:val="0055057F"/>
    <w:rsid w:val="005506A3"/>
    <w:rsid w:val="005508AA"/>
    <w:rsid w:val="005509AE"/>
    <w:rsid w:val="00550C30"/>
    <w:rsid w:val="00550EE6"/>
    <w:rsid w:val="00550FE6"/>
    <w:rsid w:val="00551405"/>
    <w:rsid w:val="00551575"/>
    <w:rsid w:val="00551A99"/>
    <w:rsid w:val="00551B34"/>
    <w:rsid w:val="00551C48"/>
    <w:rsid w:val="00551D50"/>
    <w:rsid w:val="00551F88"/>
    <w:rsid w:val="005525C4"/>
    <w:rsid w:val="00552759"/>
    <w:rsid w:val="0055280A"/>
    <w:rsid w:val="00552845"/>
    <w:rsid w:val="00552915"/>
    <w:rsid w:val="0055299B"/>
    <w:rsid w:val="005530C0"/>
    <w:rsid w:val="0055321E"/>
    <w:rsid w:val="0055331D"/>
    <w:rsid w:val="005536C2"/>
    <w:rsid w:val="005539C6"/>
    <w:rsid w:val="00553A82"/>
    <w:rsid w:val="00553C0D"/>
    <w:rsid w:val="00553E04"/>
    <w:rsid w:val="00553E96"/>
    <w:rsid w:val="00554195"/>
    <w:rsid w:val="005542F3"/>
    <w:rsid w:val="005547AA"/>
    <w:rsid w:val="00554A79"/>
    <w:rsid w:val="00554B0F"/>
    <w:rsid w:val="00554BEF"/>
    <w:rsid w:val="00555085"/>
    <w:rsid w:val="00555428"/>
    <w:rsid w:val="005554E9"/>
    <w:rsid w:val="00555883"/>
    <w:rsid w:val="0055590E"/>
    <w:rsid w:val="00555F50"/>
    <w:rsid w:val="0055637A"/>
    <w:rsid w:val="0055654B"/>
    <w:rsid w:val="005565C0"/>
    <w:rsid w:val="005566D6"/>
    <w:rsid w:val="00556839"/>
    <w:rsid w:val="00556ECF"/>
    <w:rsid w:val="005572EF"/>
    <w:rsid w:val="0055771E"/>
    <w:rsid w:val="00557723"/>
    <w:rsid w:val="005577CA"/>
    <w:rsid w:val="00557CA7"/>
    <w:rsid w:val="00557F04"/>
    <w:rsid w:val="00557FDF"/>
    <w:rsid w:val="00560A82"/>
    <w:rsid w:val="00560DE1"/>
    <w:rsid w:val="00560EB2"/>
    <w:rsid w:val="00561158"/>
    <w:rsid w:val="00561A9B"/>
    <w:rsid w:val="00561C18"/>
    <w:rsid w:val="00561C57"/>
    <w:rsid w:val="00561DC0"/>
    <w:rsid w:val="00562138"/>
    <w:rsid w:val="00562152"/>
    <w:rsid w:val="005622AF"/>
    <w:rsid w:val="00562571"/>
    <w:rsid w:val="005627E9"/>
    <w:rsid w:val="00562BF6"/>
    <w:rsid w:val="00562E87"/>
    <w:rsid w:val="00562F6F"/>
    <w:rsid w:val="0056304E"/>
    <w:rsid w:val="005630AA"/>
    <w:rsid w:val="00563280"/>
    <w:rsid w:val="0056332E"/>
    <w:rsid w:val="005638C1"/>
    <w:rsid w:val="00563A1C"/>
    <w:rsid w:val="00563B65"/>
    <w:rsid w:val="00563F60"/>
    <w:rsid w:val="00563F90"/>
    <w:rsid w:val="005648FF"/>
    <w:rsid w:val="005651F6"/>
    <w:rsid w:val="0056540C"/>
    <w:rsid w:val="005657C7"/>
    <w:rsid w:val="005658DF"/>
    <w:rsid w:val="00566A41"/>
    <w:rsid w:val="00566DB5"/>
    <w:rsid w:val="00567068"/>
    <w:rsid w:val="0056720E"/>
    <w:rsid w:val="0056728D"/>
    <w:rsid w:val="005674B4"/>
    <w:rsid w:val="00567BA4"/>
    <w:rsid w:val="00567ED0"/>
    <w:rsid w:val="00567F82"/>
    <w:rsid w:val="005701D9"/>
    <w:rsid w:val="00570538"/>
    <w:rsid w:val="005708E6"/>
    <w:rsid w:val="00570A2C"/>
    <w:rsid w:val="00570A49"/>
    <w:rsid w:val="00570AD7"/>
    <w:rsid w:val="00571012"/>
    <w:rsid w:val="005710F3"/>
    <w:rsid w:val="00571139"/>
    <w:rsid w:val="005712EB"/>
    <w:rsid w:val="00571319"/>
    <w:rsid w:val="0057193E"/>
    <w:rsid w:val="005719E7"/>
    <w:rsid w:val="00571D84"/>
    <w:rsid w:val="0057206E"/>
    <w:rsid w:val="00572253"/>
    <w:rsid w:val="00572B7E"/>
    <w:rsid w:val="00572BFE"/>
    <w:rsid w:val="00572D65"/>
    <w:rsid w:val="0057309D"/>
    <w:rsid w:val="005734F0"/>
    <w:rsid w:val="00573560"/>
    <w:rsid w:val="0057366F"/>
    <w:rsid w:val="0057369A"/>
    <w:rsid w:val="00573985"/>
    <w:rsid w:val="00573D12"/>
    <w:rsid w:val="00573D75"/>
    <w:rsid w:val="00573E5C"/>
    <w:rsid w:val="0057401A"/>
    <w:rsid w:val="00574050"/>
    <w:rsid w:val="0057449D"/>
    <w:rsid w:val="005746C5"/>
    <w:rsid w:val="005749A3"/>
    <w:rsid w:val="00574D88"/>
    <w:rsid w:val="005753BC"/>
    <w:rsid w:val="00575514"/>
    <w:rsid w:val="005755AD"/>
    <w:rsid w:val="00575D8C"/>
    <w:rsid w:val="00576065"/>
    <w:rsid w:val="00576318"/>
    <w:rsid w:val="005765A5"/>
    <w:rsid w:val="00576830"/>
    <w:rsid w:val="00577101"/>
    <w:rsid w:val="00577123"/>
    <w:rsid w:val="00577189"/>
    <w:rsid w:val="00577415"/>
    <w:rsid w:val="0057761F"/>
    <w:rsid w:val="005778F3"/>
    <w:rsid w:val="005779E6"/>
    <w:rsid w:val="00577C5B"/>
    <w:rsid w:val="005808E8"/>
    <w:rsid w:val="00580EAB"/>
    <w:rsid w:val="00581542"/>
    <w:rsid w:val="00581671"/>
    <w:rsid w:val="00581875"/>
    <w:rsid w:val="00582015"/>
    <w:rsid w:val="005823BC"/>
    <w:rsid w:val="0058288A"/>
    <w:rsid w:val="00582D17"/>
    <w:rsid w:val="00582E72"/>
    <w:rsid w:val="00582F6E"/>
    <w:rsid w:val="005833C2"/>
    <w:rsid w:val="00583B0A"/>
    <w:rsid w:val="00584062"/>
    <w:rsid w:val="005852FB"/>
    <w:rsid w:val="005853FB"/>
    <w:rsid w:val="0058542C"/>
    <w:rsid w:val="00585455"/>
    <w:rsid w:val="00585797"/>
    <w:rsid w:val="005859A4"/>
    <w:rsid w:val="00585A18"/>
    <w:rsid w:val="00585D00"/>
    <w:rsid w:val="00585D6E"/>
    <w:rsid w:val="00585EFC"/>
    <w:rsid w:val="00585F6B"/>
    <w:rsid w:val="00586039"/>
    <w:rsid w:val="005862A0"/>
    <w:rsid w:val="00586A80"/>
    <w:rsid w:val="00586E5E"/>
    <w:rsid w:val="0058714C"/>
    <w:rsid w:val="005876FA"/>
    <w:rsid w:val="00587D76"/>
    <w:rsid w:val="00587FC9"/>
    <w:rsid w:val="00587FCC"/>
    <w:rsid w:val="00590531"/>
    <w:rsid w:val="00590868"/>
    <w:rsid w:val="00590915"/>
    <w:rsid w:val="00591383"/>
    <w:rsid w:val="005913F7"/>
    <w:rsid w:val="00591521"/>
    <w:rsid w:val="00591578"/>
    <w:rsid w:val="005915FB"/>
    <w:rsid w:val="00591658"/>
    <w:rsid w:val="00591768"/>
    <w:rsid w:val="00591E04"/>
    <w:rsid w:val="00591E51"/>
    <w:rsid w:val="005921C1"/>
    <w:rsid w:val="005921FE"/>
    <w:rsid w:val="005922FC"/>
    <w:rsid w:val="00592369"/>
    <w:rsid w:val="00592440"/>
    <w:rsid w:val="00592A5F"/>
    <w:rsid w:val="00592B76"/>
    <w:rsid w:val="00592C2A"/>
    <w:rsid w:val="00592CDB"/>
    <w:rsid w:val="00592D8A"/>
    <w:rsid w:val="0059370F"/>
    <w:rsid w:val="00593977"/>
    <w:rsid w:val="005941BF"/>
    <w:rsid w:val="005942A7"/>
    <w:rsid w:val="00594A5A"/>
    <w:rsid w:val="00594AC1"/>
    <w:rsid w:val="00594B39"/>
    <w:rsid w:val="00594BCF"/>
    <w:rsid w:val="00594D16"/>
    <w:rsid w:val="00594DE5"/>
    <w:rsid w:val="00595057"/>
    <w:rsid w:val="00595097"/>
    <w:rsid w:val="00595107"/>
    <w:rsid w:val="005952EA"/>
    <w:rsid w:val="00595513"/>
    <w:rsid w:val="00595852"/>
    <w:rsid w:val="00595A38"/>
    <w:rsid w:val="00595D50"/>
    <w:rsid w:val="00595E5C"/>
    <w:rsid w:val="00595F6D"/>
    <w:rsid w:val="00596235"/>
    <w:rsid w:val="005964B7"/>
    <w:rsid w:val="00596B5B"/>
    <w:rsid w:val="00596B84"/>
    <w:rsid w:val="005970C1"/>
    <w:rsid w:val="005973F1"/>
    <w:rsid w:val="00597544"/>
    <w:rsid w:val="005975A0"/>
    <w:rsid w:val="00597852"/>
    <w:rsid w:val="0059792A"/>
    <w:rsid w:val="00597984"/>
    <w:rsid w:val="00597AEB"/>
    <w:rsid w:val="00597EA2"/>
    <w:rsid w:val="005A05EF"/>
    <w:rsid w:val="005A068F"/>
    <w:rsid w:val="005A0880"/>
    <w:rsid w:val="005A09E4"/>
    <w:rsid w:val="005A1306"/>
    <w:rsid w:val="005A16D1"/>
    <w:rsid w:val="005A176F"/>
    <w:rsid w:val="005A17D1"/>
    <w:rsid w:val="005A17EA"/>
    <w:rsid w:val="005A2481"/>
    <w:rsid w:val="005A26D9"/>
    <w:rsid w:val="005A27E4"/>
    <w:rsid w:val="005A286A"/>
    <w:rsid w:val="005A2D7F"/>
    <w:rsid w:val="005A37CB"/>
    <w:rsid w:val="005A38A1"/>
    <w:rsid w:val="005A39DE"/>
    <w:rsid w:val="005A3C07"/>
    <w:rsid w:val="005A44C3"/>
    <w:rsid w:val="005A4503"/>
    <w:rsid w:val="005A454B"/>
    <w:rsid w:val="005A5211"/>
    <w:rsid w:val="005A5555"/>
    <w:rsid w:val="005A55C0"/>
    <w:rsid w:val="005A562C"/>
    <w:rsid w:val="005A5B46"/>
    <w:rsid w:val="005A5B9B"/>
    <w:rsid w:val="005A6096"/>
    <w:rsid w:val="005A6330"/>
    <w:rsid w:val="005A679F"/>
    <w:rsid w:val="005A6A81"/>
    <w:rsid w:val="005A6AC2"/>
    <w:rsid w:val="005A6AC5"/>
    <w:rsid w:val="005A6C10"/>
    <w:rsid w:val="005A6DC9"/>
    <w:rsid w:val="005A6DEE"/>
    <w:rsid w:val="005A6F15"/>
    <w:rsid w:val="005A735A"/>
    <w:rsid w:val="005A737B"/>
    <w:rsid w:val="005A74ED"/>
    <w:rsid w:val="005A765A"/>
    <w:rsid w:val="005A7760"/>
    <w:rsid w:val="005A7BB5"/>
    <w:rsid w:val="005A7C48"/>
    <w:rsid w:val="005B0296"/>
    <w:rsid w:val="005B0DDB"/>
    <w:rsid w:val="005B0E69"/>
    <w:rsid w:val="005B0EC7"/>
    <w:rsid w:val="005B12CD"/>
    <w:rsid w:val="005B1A92"/>
    <w:rsid w:val="005B1B30"/>
    <w:rsid w:val="005B1B7A"/>
    <w:rsid w:val="005B1C12"/>
    <w:rsid w:val="005B2548"/>
    <w:rsid w:val="005B2805"/>
    <w:rsid w:val="005B2859"/>
    <w:rsid w:val="005B2EA2"/>
    <w:rsid w:val="005B3282"/>
    <w:rsid w:val="005B3546"/>
    <w:rsid w:val="005B35AA"/>
    <w:rsid w:val="005B3675"/>
    <w:rsid w:val="005B36AC"/>
    <w:rsid w:val="005B381A"/>
    <w:rsid w:val="005B3E02"/>
    <w:rsid w:val="005B4124"/>
    <w:rsid w:val="005B478B"/>
    <w:rsid w:val="005B4B27"/>
    <w:rsid w:val="005B4BE9"/>
    <w:rsid w:val="005B5036"/>
    <w:rsid w:val="005B50A7"/>
    <w:rsid w:val="005B51FE"/>
    <w:rsid w:val="005B52D5"/>
    <w:rsid w:val="005B56DC"/>
    <w:rsid w:val="005B57B6"/>
    <w:rsid w:val="005B57E2"/>
    <w:rsid w:val="005B591D"/>
    <w:rsid w:val="005B5ADE"/>
    <w:rsid w:val="005B5C55"/>
    <w:rsid w:val="005B5DC4"/>
    <w:rsid w:val="005B5F3F"/>
    <w:rsid w:val="005B682C"/>
    <w:rsid w:val="005B6A11"/>
    <w:rsid w:val="005B713A"/>
    <w:rsid w:val="005B7163"/>
    <w:rsid w:val="005B7306"/>
    <w:rsid w:val="005B74A9"/>
    <w:rsid w:val="005B7602"/>
    <w:rsid w:val="005B79E9"/>
    <w:rsid w:val="005B7B33"/>
    <w:rsid w:val="005B7D95"/>
    <w:rsid w:val="005B7DDB"/>
    <w:rsid w:val="005B7E0F"/>
    <w:rsid w:val="005B7F53"/>
    <w:rsid w:val="005C00DE"/>
    <w:rsid w:val="005C020C"/>
    <w:rsid w:val="005C02E9"/>
    <w:rsid w:val="005C0CF3"/>
    <w:rsid w:val="005C107B"/>
    <w:rsid w:val="005C147E"/>
    <w:rsid w:val="005C17A2"/>
    <w:rsid w:val="005C1810"/>
    <w:rsid w:val="005C1C3F"/>
    <w:rsid w:val="005C1E9F"/>
    <w:rsid w:val="005C20F8"/>
    <w:rsid w:val="005C23A4"/>
    <w:rsid w:val="005C292F"/>
    <w:rsid w:val="005C2C71"/>
    <w:rsid w:val="005C2CD1"/>
    <w:rsid w:val="005C2DB6"/>
    <w:rsid w:val="005C2F2F"/>
    <w:rsid w:val="005C2F40"/>
    <w:rsid w:val="005C2F66"/>
    <w:rsid w:val="005C33BF"/>
    <w:rsid w:val="005C33FE"/>
    <w:rsid w:val="005C3610"/>
    <w:rsid w:val="005C3AD0"/>
    <w:rsid w:val="005C3D13"/>
    <w:rsid w:val="005C3DE2"/>
    <w:rsid w:val="005C477A"/>
    <w:rsid w:val="005C47DE"/>
    <w:rsid w:val="005C48F5"/>
    <w:rsid w:val="005C4932"/>
    <w:rsid w:val="005C4933"/>
    <w:rsid w:val="005C4B8B"/>
    <w:rsid w:val="005C4CC1"/>
    <w:rsid w:val="005C4DE5"/>
    <w:rsid w:val="005C4ED9"/>
    <w:rsid w:val="005C50A6"/>
    <w:rsid w:val="005C50FE"/>
    <w:rsid w:val="005C518E"/>
    <w:rsid w:val="005C52AC"/>
    <w:rsid w:val="005C532D"/>
    <w:rsid w:val="005C5F5B"/>
    <w:rsid w:val="005C6C92"/>
    <w:rsid w:val="005C6FA2"/>
    <w:rsid w:val="005C7131"/>
    <w:rsid w:val="005C7726"/>
    <w:rsid w:val="005C78DF"/>
    <w:rsid w:val="005C7B9D"/>
    <w:rsid w:val="005C7E2F"/>
    <w:rsid w:val="005D00E9"/>
    <w:rsid w:val="005D0275"/>
    <w:rsid w:val="005D036C"/>
    <w:rsid w:val="005D0492"/>
    <w:rsid w:val="005D0907"/>
    <w:rsid w:val="005D0D2D"/>
    <w:rsid w:val="005D117B"/>
    <w:rsid w:val="005D1596"/>
    <w:rsid w:val="005D1674"/>
    <w:rsid w:val="005D1782"/>
    <w:rsid w:val="005D17B9"/>
    <w:rsid w:val="005D1E03"/>
    <w:rsid w:val="005D1F71"/>
    <w:rsid w:val="005D20D0"/>
    <w:rsid w:val="005D27C0"/>
    <w:rsid w:val="005D2BE4"/>
    <w:rsid w:val="005D2F37"/>
    <w:rsid w:val="005D306F"/>
    <w:rsid w:val="005D3407"/>
    <w:rsid w:val="005D36FA"/>
    <w:rsid w:val="005D3801"/>
    <w:rsid w:val="005D3984"/>
    <w:rsid w:val="005D3B39"/>
    <w:rsid w:val="005D4020"/>
    <w:rsid w:val="005D41D8"/>
    <w:rsid w:val="005D4BE5"/>
    <w:rsid w:val="005D502C"/>
    <w:rsid w:val="005D524F"/>
    <w:rsid w:val="005D5373"/>
    <w:rsid w:val="005D5636"/>
    <w:rsid w:val="005D5BB7"/>
    <w:rsid w:val="005D5CC3"/>
    <w:rsid w:val="005D5D49"/>
    <w:rsid w:val="005D6019"/>
    <w:rsid w:val="005D6A97"/>
    <w:rsid w:val="005D6C47"/>
    <w:rsid w:val="005D6F67"/>
    <w:rsid w:val="005D6FE9"/>
    <w:rsid w:val="005D7067"/>
    <w:rsid w:val="005D74F5"/>
    <w:rsid w:val="005D7896"/>
    <w:rsid w:val="005D7902"/>
    <w:rsid w:val="005D7F00"/>
    <w:rsid w:val="005E02DD"/>
    <w:rsid w:val="005E0480"/>
    <w:rsid w:val="005E06BD"/>
    <w:rsid w:val="005E08E5"/>
    <w:rsid w:val="005E0CCE"/>
    <w:rsid w:val="005E0D7D"/>
    <w:rsid w:val="005E1026"/>
    <w:rsid w:val="005E13C3"/>
    <w:rsid w:val="005E1841"/>
    <w:rsid w:val="005E1B4E"/>
    <w:rsid w:val="005E1FF7"/>
    <w:rsid w:val="005E231E"/>
    <w:rsid w:val="005E2653"/>
    <w:rsid w:val="005E2A08"/>
    <w:rsid w:val="005E2E51"/>
    <w:rsid w:val="005E2EAD"/>
    <w:rsid w:val="005E2F1A"/>
    <w:rsid w:val="005E304B"/>
    <w:rsid w:val="005E34B0"/>
    <w:rsid w:val="005E35FB"/>
    <w:rsid w:val="005E365E"/>
    <w:rsid w:val="005E3909"/>
    <w:rsid w:val="005E3CCE"/>
    <w:rsid w:val="005E3D82"/>
    <w:rsid w:val="005E40F6"/>
    <w:rsid w:val="005E42E3"/>
    <w:rsid w:val="005E42E6"/>
    <w:rsid w:val="005E449E"/>
    <w:rsid w:val="005E4528"/>
    <w:rsid w:val="005E49E4"/>
    <w:rsid w:val="005E4B45"/>
    <w:rsid w:val="005E4C5A"/>
    <w:rsid w:val="005E4E72"/>
    <w:rsid w:val="005E51C2"/>
    <w:rsid w:val="005E5232"/>
    <w:rsid w:val="005E589B"/>
    <w:rsid w:val="005E70A5"/>
    <w:rsid w:val="005E7B4E"/>
    <w:rsid w:val="005F00DE"/>
    <w:rsid w:val="005F03FE"/>
    <w:rsid w:val="005F0449"/>
    <w:rsid w:val="005F066A"/>
    <w:rsid w:val="005F0B47"/>
    <w:rsid w:val="005F11BB"/>
    <w:rsid w:val="005F1449"/>
    <w:rsid w:val="005F1793"/>
    <w:rsid w:val="005F1848"/>
    <w:rsid w:val="005F1A35"/>
    <w:rsid w:val="005F2236"/>
    <w:rsid w:val="005F23BA"/>
    <w:rsid w:val="005F248D"/>
    <w:rsid w:val="005F24E0"/>
    <w:rsid w:val="005F2671"/>
    <w:rsid w:val="005F269F"/>
    <w:rsid w:val="005F29C5"/>
    <w:rsid w:val="005F2A4E"/>
    <w:rsid w:val="005F2E76"/>
    <w:rsid w:val="005F3220"/>
    <w:rsid w:val="005F3443"/>
    <w:rsid w:val="005F3487"/>
    <w:rsid w:val="005F35E3"/>
    <w:rsid w:val="005F3E17"/>
    <w:rsid w:val="005F42E8"/>
    <w:rsid w:val="005F45AF"/>
    <w:rsid w:val="005F4AF5"/>
    <w:rsid w:val="005F4C69"/>
    <w:rsid w:val="005F4C9C"/>
    <w:rsid w:val="005F4F3C"/>
    <w:rsid w:val="005F504C"/>
    <w:rsid w:val="005F51D3"/>
    <w:rsid w:val="005F5693"/>
    <w:rsid w:val="005F5AAD"/>
    <w:rsid w:val="005F615D"/>
    <w:rsid w:val="005F6321"/>
    <w:rsid w:val="005F641C"/>
    <w:rsid w:val="005F644A"/>
    <w:rsid w:val="005F6728"/>
    <w:rsid w:val="005F67CC"/>
    <w:rsid w:val="005F6B3F"/>
    <w:rsid w:val="005F6B88"/>
    <w:rsid w:val="005F6BF9"/>
    <w:rsid w:val="005F7151"/>
    <w:rsid w:val="005F76C0"/>
    <w:rsid w:val="005F79C6"/>
    <w:rsid w:val="005F7B10"/>
    <w:rsid w:val="005F7E82"/>
    <w:rsid w:val="005F7F73"/>
    <w:rsid w:val="00600163"/>
    <w:rsid w:val="00600213"/>
    <w:rsid w:val="006002F2"/>
    <w:rsid w:val="00600361"/>
    <w:rsid w:val="00600AE6"/>
    <w:rsid w:val="00600BDB"/>
    <w:rsid w:val="0060149C"/>
    <w:rsid w:val="006018AA"/>
    <w:rsid w:val="006019CD"/>
    <w:rsid w:val="00601BF3"/>
    <w:rsid w:val="00601C3A"/>
    <w:rsid w:val="00601C9C"/>
    <w:rsid w:val="00602059"/>
    <w:rsid w:val="00602218"/>
    <w:rsid w:val="00602283"/>
    <w:rsid w:val="006024AD"/>
    <w:rsid w:val="00602F64"/>
    <w:rsid w:val="00603836"/>
    <w:rsid w:val="00603A3D"/>
    <w:rsid w:val="00603AA1"/>
    <w:rsid w:val="00603AE8"/>
    <w:rsid w:val="00603E9C"/>
    <w:rsid w:val="00603F4E"/>
    <w:rsid w:val="0060409C"/>
    <w:rsid w:val="006040A7"/>
    <w:rsid w:val="00604445"/>
    <w:rsid w:val="00604687"/>
    <w:rsid w:val="0060484A"/>
    <w:rsid w:val="00604D22"/>
    <w:rsid w:val="00605033"/>
    <w:rsid w:val="00605A01"/>
    <w:rsid w:val="00605EBA"/>
    <w:rsid w:val="006063CA"/>
    <w:rsid w:val="00606458"/>
    <w:rsid w:val="00606A67"/>
    <w:rsid w:val="00606C10"/>
    <w:rsid w:val="00606C7D"/>
    <w:rsid w:val="00606C89"/>
    <w:rsid w:val="006071AF"/>
    <w:rsid w:val="0060745B"/>
    <w:rsid w:val="0060750D"/>
    <w:rsid w:val="00607593"/>
    <w:rsid w:val="006075C9"/>
    <w:rsid w:val="006079F5"/>
    <w:rsid w:val="00607ED4"/>
    <w:rsid w:val="0061012C"/>
    <w:rsid w:val="00610161"/>
    <w:rsid w:val="0061022E"/>
    <w:rsid w:val="00610352"/>
    <w:rsid w:val="00610684"/>
    <w:rsid w:val="00610720"/>
    <w:rsid w:val="00610733"/>
    <w:rsid w:val="00610C46"/>
    <w:rsid w:val="00610E0E"/>
    <w:rsid w:val="00610E19"/>
    <w:rsid w:val="00610F08"/>
    <w:rsid w:val="006115A3"/>
    <w:rsid w:val="00611624"/>
    <w:rsid w:val="006116FE"/>
    <w:rsid w:val="00611729"/>
    <w:rsid w:val="00611AD5"/>
    <w:rsid w:val="00611B39"/>
    <w:rsid w:val="00611B3C"/>
    <w:rsid w:val="00612441"/>
    <w:rsid w:val="00612C40"/>
    <w:rsid w:val="00612D06"/>
    <w:rsid w:val="00612DC1"/>
    <w:rsid w:val="00612EA5"/>
    <w:rsid w:val="00612EDD"/>
    <w:rsid w:val="00612FBE"/>
    <w:rsid w:val="00613540"/>
    <w:rsid w:val="0061360B"/>
    <w:rsid w:val="006139D4"/>
    <w:rsid w:val="00614376"/>
    <w:rsid w:val="0061438D"/>
    <w:rsid w:val="00614446"/>
    <w:rsid w:val="00614D59"/>
    <w:rsid w:val="00614FE8"/>
    <w:rsid w:val="006150B0"/>
    <w:rsid w:val="00615346"/>
    <w:rsid w:val="0061580D"/>
    <w:rsid w:val="00615A74"/>
    <w:rsid w:val="00615EFD"/>
    <w:rsid w:val="00616864"/>
    <w:rsid w:val="00616A24"/>
    <w:rsid w:val="00616D1F"/>
    <w:rsid w:val="00616D71"/>
    <w:rsid w:val="00617041"/>
    <w:rsid w:val="006172F8"/>
    <w:rsid w:val="00617644"/>
    <w:rsid w:val="00617769"/>
    <w:rsid w:val="006177A2"/>
    <w:rsid w:val="00617A1F"/>
    <w:rsid w:val="00617CA0"/>
    <w:rsid w:val="006200E2"/>
    <w:rsid w:val="0062026C"/>
    <w:rsid w:val="006202C4"/>
    <w:rsid w:val="00620364"/>
    <w:rsid w:val="0062059D"/>
    <w:rsid w:val="006208DB"/>
    <w:rsid w:val="00620994"/>
    <w:rsid w:val="00620C2F"/>
    <w:rsid w:val="00620E60"/>
    <w:rsid w:val="00621CB5"/>
    <w:rsid w:val="00622060"/>
    <w:rsid w:val="00622604"/>
    <w:rsid w:val="006227DD"/>
    <w:rsid w:val="006229A7"/>
    <w:rsid w:val="00622F82"/>
    <w:rsid w:val="00623113"/>
    <w:rsid w:val="00623172"/>
    <w:rsid w:val="0062336D"/>
    <w:rsid w:val="00623DA3"/>
    <w:rsid w:val="00623F4C"/>
    <w:rsid w:val="006240F5"/>
    <w:rsid w:val="00624509"/>
    <w:rsid w:val="006245BE"/>
    <w:rsid w:val="006245DC"/>
    <w:rsid w:val="006249C9"/>
    <w:rsid w:val="0062536F"/>
    <w:rsid w:val="00625492"/>
    <w:rsid w:val="00625A21"/>
    <w:rsid w:val="00625FF2"/>
    <w:rsid w:val="0062605B"/>
    <w:rsid w:val="0062623D"/>
    <w:rsid w:val="00626355"/>
    <w:rsid w:val="00626395"/>
    <w:rsid w:val="00626774"/>
    <w:rsid w:val="00626AA2"/>
    <w:rsid w:val="00626F5D"/>
    <w:rsid w:val="006270C7"/>
    <w:rsid w:val="00627371"/>
    <w:rsid w:val="006275F5"/>
    <w:rsid w:val="0062793F"/>
    <w:rsid w:val="006279E3"/>
    <w:rsid w:val="00627E5E"/>
    <w:rsid w:val="00627EBA"/>
    <w:rsid w:val="00627FF8"/>
    <w:rsid w:val="00630012"/>
    <w:rsid w:val="006301BC"/>
    <w:rsid w:val="006306F2"/>
    <w:rsid w:val="00630A91"/>
    <w:rsid w:val="00630E5A"/>
    <w:rsid w:val="00630F45"/>
    <w:rsid w:val="0063109E"/>
    <w:rsid w:val="00632835"/>
    <w:rsid w:val="0063286A"/>
    <w:rsid w:val="0063293A"/>
    <w:rsid w:val="00632E65"/>
    <w:rsid w:val="00632EFF"/>
    <w:rsid w:val="006330CE"/>
    <w:rsid w:val="006331AE"/>
    <w:rsid w:val="006331C4"/>
    <w:rsid w:val="0063331F"/>
    <w:rsid w:val="006334FA"/>
    <w:rsid w:val="006338CA"/>
    <w:rsid w:val="00633A13"/>
    <w:rsid w:val="006342FF"/>
    <w:rsid w:val="00634401"/>
    <w:rsid w:val="006344E8"/>
    <w:rsid w:val="0063456E"/>
    <w:rsid w:val="006348E3"/>
    <w:rsid w:val="00634D3E"/>
    <w:rsid w:val="00634E51"/>
    <w:rsid w:val="0063539D"/>
    <w:rsid w:val="00635EC3"/>
    <w:rsid w:val="006361D2"/>
    <w:rsid w:val="00636701"/>
    <w:rsid w:val="006368BF"/>
    <w:rsid w:val="00636AAA"/>
    <w:rsid w:val="00636B6B"/>
    <w:rsid w:val="00636CB0"/>
    <w:rsid w:val="00637310"/>
    <w:rsid w:val="00637572"/>
    <w:rsid w:val="0063766D"/>
    <w:rsid w:val="00637673"/>
    <w:rsid w:val="0063794B"/>
    <w:rsid w:val="00637DDD"/>
    <w:rsid w:val="00637F03"/>
    <w:rsid w:val="006403C4"/>
    <w:rsid w:val="00640441"/>
    <w:rsid w:val="006408E8"/>
    <w:rsid w:val="006409BD"/>
    <w:rsid w:val="00640B3D"/>
    <w:rsid w:val="00640F32"/>
    <w:rsid w:val="00640FF1"/>
    <w:rsid w:val="00641156"/>
    <w:rsid w:val="006411C6"/>
    <w:rsid w:val="006417F3"/>
    <w:rsid w:val="00641B60"/>
    <w:rsid w:val="00641E14"/>
    <w:rsid w:val="006420E5"/>
    <w:rsid w:val="0064266E"/>
    <w:rsid w:val="006428AB"/>
    <w:rsid w:val="0064296B"/>
    <w:rsid w:val="00643008"/>
    <w:rsid w:val="00643809"/>
    <w:rsid w:val="00643C58"/>
    <w:rsid w:val="00643FA5"/>
    <w:rsid w:val="00644558"/>
    <w:rsid w:val="00644768"/>
    <w:rsid w:val="00644847"/>
    <w:rsid w:val="00644BF3"/>
    <w:rsid w:val="006454A0"/>
    <w:rsid w:val="006454D4"/>
    <w:rsid w:val="006461AC"/>
    <w:rsid w:val="006461BE"/>
    <w:rsid w:val="006462B7"/>
    <w:rsid w:val="00646435"/>
    <w:rsid w:val="006467DF"/>
    <w:rsid w:val="00646966"/>
    <w:rsid w:val="00646B49"/>
    <w:rsid w:val="006470CB"/>
    <w:rsid w:val="00647569"/>
    <w:rsid w:val="00647756"/>
    <w:rsid w:val="00647CA5"/>
    <w:rsid w:val="00650286"/>
    <w:rsid w:val="006507D6"/>
    <w:rsid w:val="006508E5"/>
    <w:rsid w:val="00650F9B"/>
    <w:rsid w:val="00650FAD"/>
    <w:rsid w:val="0065103A"/>
    <w:rsid w:val="006511F1"/>
    <w:rsid w:val="00651487"/>
    <w:rsid w:val="006518FC"/>
    <w:rsid w:val="00652210"/>
    <w:rsid w:val="0065230E"/>
    <w:rsid w:val="0065282D"/>
    <w:rsid w:val="00652C4A"/>
    <w:rsid w:val="00652E8D"/>
    <w:rsid w:val="00652E9F"/>
    <w:rsid w:val="006530A4"/>
    <w:rsid w:val="006535BE"/>
    <w:rsid w:val="00653B20"/>
    <w:rsid w:val="006544E0"/>
    <w:rsid w:val="00654944"/>
    <w:rsid w:val="00654964"/>
    <w:rsid w:val="00654E0F"/>
    <w:rsid w:val="00654FAB"/>
    <w:rsid w:val="0065506E"/>
    <w:rsid w:val="00655168"/>
    <w:rsid w:val="006552D8"/>
    <w:rsid w:val="006555F6"/>
    <w:rsid w:val="00655649"/>
    <w:rsid w:val="0065572F"/>
    <w:rsid w:val="00655928"/>
    <w:rsid w:val="00655C00"/>
    <w:rsid w:val="00655E7A"/>
    <w:rsid w:val="00655FC6"/>
    <w:rsid w:val="00656D7F"/>
    <w:rsid w:val="00657055"/>
    <w:rsid w:val="006572E7"/>
    <w:rsid w:val="00657663"/>
    <w:rsid w:val="00657B4E"/>
    <w:rsid w:val="00657B55"/>
    <w:rsid w:val="0066029B"/>
    <w:rsid w:val="006603D9"/>
    <w:rsid w:val="006604D6"/>
    <w:rsid w:val="00660535"/>
    <w:rsid w:val="006606B5"/>
    <w:rsid w:val="00661032"/>
    <w:rsid w:val="006611CF"/>
    <w:rsid w:val="006612F6"/>
    <w:rsid w:val="0066143C"/>
    <w:rsid w:val="00661888"/>
    <w:rsid w:val="00661900"/>
    <w:rsid w:val="0066191E"/>
    <w:rsid w:val="00661AAF"/>
    <w:rsid w:val="00661DC3"/>
    <w:rsid w:val="00661FB7"/>
    <w:rsid w:val="006626B7"/>
    <w:rsid w:val="006627F9"/>
    <w:rsid w:val="00662A80"/>
    <w:rsid w:val="00662BEB"/>
    <w:rsid w:val="00662ED2"/>
    <w:rsid w:val="00662F6E"/>
    <w:rsid w:val="0066334B"/>
    <w:rsid w:val="00663955"/>
    <w:rsid w:val="00663F92"/>
    <w:rsid w:val="006641B3"/>
    <w:rsid w:val="006641DC"/>
    <w:rsid w:val="006645ED"/>
    <w:rsid w:val="006646CE"/>
    <w:rsid w:val="00664F86"/>
    <w:rsid w:val="00665105"/>
    <w:rsid w:val="00665197"/>
    <w:rsid w:val="006654B0"/>
    <w:rsid w:val="0066568F"/>
    <w:rsid w:val="00665809"/>
    <w:rsid w:val="00665D3E"/>
    <w:rsid w:val="0066618F"/>
    <w:rsid w:val="006667BB"/>
    <w:rsid w:val="006668DE"/>
    <w:rsid w:val="006669ED"/>
    <w:rsid w:val="00666A07"/>
    <w:rsid w:val="00666CAF"/>
    <w:rsid w:val="00667060"/>
    <w:rsid w:val="0066755E"/>
    <w:rsid w:val="00667672"/>
    <w:rsid w:val="006676BF"/>
    <w:rsid w:val="00667A22"/>
    <w:rsid w:val="00670205"/>
    <w:rsid w:val="00670259"/>
    <w:rsid w:val="0067040A"/>
    <w:rsid w:val="0067076F"/>
    <w:rsid w:val="00670795"/>
    <w:rsid w:val="006707B2"/>
    <w:rsid w:val="006708BD"/>
    <w:rsid w:val="00670EE7"/>
    <w:rsid w:val="00670F1F"/>
    <w:rsid w:val="00671170"/>
    <w:rsid w:val="006711CB"/>
    <w:rsid w:val="0067153F"/>
    <w:rsid w:val="00671A1F"/>
    <w:rsid w:val="00671D24"/>
    <w:rsid w:val="00671D90"/>
    <w:rsid w:val="00671E9B"/>
    <w:rsid w:val="00672254"/>
    <w:rsid w:val="00672293"/>
    <w:rsid w:val="00672346"/>
    <w:rsid w:val="00672368"/>
    <w:rsid w:val="00672C17"/>
    <w:rsid w:val="00672CA2"/>
    <w:rsid w:val="00673502"/>
    <w:rsid w:val="00673747"/>
    <w:rsid w:val="00673D54"/>
    <w:rsid w:val="00673EB3"/>
    <w:rsid w:val="00674127"/>
    <w:rsid w:val="006743A3"/>
    <w:rsid w:val="006747DE"/>
    <w:rsid w:val="00674961"/>
    <w:rsid w:val="00674D17"/>
    <w:rsid w:val="00675105"/>
    <w:rsid w:val="00675121"/>
    <w:rsid w:val="0067525D"/>
    <w:rsid w:val="00675C04"/>
    <w:rsid w:val="00675C6E"/>
    <w:rsid w:val="00675E18"/>
    <w:rsid w:val="0067622B"/>
    <w:rsid w:val="006766BA"/>
    <w:rsid w:val="00676AE5"/>
    <w:rsid w:val="00676EDF"/>
    <w:rsid w:val="0067755A"/>
    <w:rsid w:val="0067769A"/>
    <w:rsid w:val="00677B69"/>
    <w:rsid w:val="00677BA6"/>
    <w:rsid w:val="00677E60"/>
    <w:rsid w:val="0068001E"/>
    <w:rsid w:val="00680059"/>
    <w:rsid w:val="00680176"/>
    <w:rsid w:val="0068073E"/>
    <w:rsid w:val="00680B55"/>
    <w:rsid w:val="00680DBD"/>
    <w:rsid w:val="006810AB"/>
    <w:rsid w:val="006814CC"/>
    <w:rsid w:val="00681573"/>
    <w:rsid w:val="006817CB"/>
    <w:rsid w:val="00681808"/>
    <w:rsid w:val="00681A2B"/>
    <w:rsid w:val="00681AD8"/>
    <w:rsid w:val="00681B65"/>
    <w:rsid w:val="00681E07"/>
    <w:rsid w:val="00681E39"/>
    <w:rsid w:val="0068231E"/>
    <w:rsid w:val="006826D7"/>
    <w:rsid w:val="00682864"/>
    <w:rsid w:val="006828FA"/>
    <w:rsid w:val="006831FB"/>
    <w:rsid w:val="0068326C"/>
    <w:rsid w:val="0068357C"/>
    <w:rsid w:val="0068377F"/>
    <w:rsid w:val="006837E6"/>
    <w:rsid w:val="00683A74"/>
    <w:rsid w:val="00683AA1"/>
    <w:rsid w:val="00683AEB"/>
    <w:rsid w:val="00683CD7"/>
    <w:rsid w:val="00683E93"/>
    <w:rsid w:val="00683FA7"/>
    <w:rsid w:val="0068432B"/>
    <w:rsid w:val="006844B6"/>
    <w:rsid w:val="006844F6"/>
    <w:rsid w:val="006845B4"/>
    <w:rsid w:val="0068464C"/>
    <w:rsid w:val="0068467A"/>
    <w:rsid w:val="00684B9C"/>
    <w:rsid w:val="00684C5D"/>
    <w:rsid w:val="00684E25"/>
    <w:rsid w:val="00685DDA"/>
    <w:rsid w:val="0068622F"/>
    <w:rsid w:val="006862CB"/>
    <w:rsid w:val="00686418"/>
    <w:rsid w:val="006867B3"/>
    <w:rsid w:val="00686C68"/>
    <w:rsid w:val="006870A3"/>
    <w:rsid w:val="006875BD"/>
    <w:rsid w:val="00687852"/>
    <w:rsid w:val="006879C2"/>
    <w:rsid w:val="00687CD8"/>
    <w:rsid w:val="00690440"/>
    <w:rsid w:val="00690508"/>
    <w:rsid w:val="0069088E"/>
    <w:rsid w:val="00690A73"/>
    <w:rsid w:val="00690D0F"/>
    <w:rsid w:val="00690F90"/>
    <w:rsid w:val="00691210"/>
    <w:rsid w:val="00691402"/>
    <w:rsid w:val="00691848"/>
    <w:rsid w:val="00691B7F"/>
    <w:rsid w:val="00691E31"/>
    <w:rsid w:val="00691FEB"/>
    <w:rsid w:val="006921DF"/>
    <w:rsid w:val="00692849"/>
    <w:rsid w:val="00692DC8"/>
    <w:rsid w:val="006934DC"/>
    <w:rsid w:val="006936A6"/>
    <w:rsid w:val="0069383A"/>
    <w:rsid w:val="006938A9"/>
    <w:rsid w:val="00693C15"/>
    <w:rsid w:val="00693E1B"/>
    <w:rsid w:val="0069418D"/>
    <w:rsid w:val="00694492"/>
    <w:rsid w:val="00694AA6"/>
    <w:rsid w:val="006950D2"/>
    <w:rsid w:val="0069543A"/>
    <w:rsid w:val="00695568"/>
    <w:rsid w:val="006958A4"/>
    <w:rsid w:val="00695920"/>
    <w:rsid w:val="006959FD"/>
    <w:rsid w:val="00695E69"/>
    <w:rsid w:val="006967C8"/>
    <w:rsid w:val="0069686F"/>
    <w:rsid w:val="006968D1"/>
    <w:rsid w:val="00696BCF"/>
    <w:rsid w:val="00697061"/>
    <w:rsid w:val="006970A0"/>
    <w:rsid w:val="006975F5"/>
    <w:rsid w:val="00697628"/>
    <w:rsid w:val="00697B80"/>
    <w:rsid w:val="00697B88"/>
    <w:rsid w:val="00697CB2"/>
    <w:rsid w:val="00697F82"/>
    <w:rsid w:val="006A0020"/>
    <w:rsid w:val="006A0032"/>
    <w:rsid w:val="006A01ED"/>
    <w:rsid w:val="006A059F"/>
    <w:rsid w:val="006A0727"/>
    <w:rsid w:val="006A0762"/>
    <w:rsid w:val="006A08EE"/>
    <w:rsid w:val="006A093E"/>
    <w:rsid w:val="006A0BC5"/>
    <w:rsid w:val="006A0D25"/>
    <w:rsid w:val="006A0D68"/>
    <w:rsid w:val="006A0EDA"/>
    <w:rsid w:val="006A112D"/>
    <w:rsid w:val="006A122F"/>
    <w:rsid w:val="006A180B"/>
    <w:rsid w:val="006A1B01"/>
    <w:rsid w:val="006A1C3F"/>
    <w:rsid w:val="006A2469"/>
    <w:rsid w:val="006A24A0"/>
    <w:rsid w:val="006A2827"/>
    <w:rsid w:val="006A2C2E"/>
    <w:rsid w:val="006A32EF"/>
    <w:rsid w:val="006A33AA"/>
    <w:rsid w:val="006A33CD"/>
    <w:rsid w:val="006A392A"/>
    <w:rsid w:val="006A40E4"/>
    <w:rsid w:val="006A4244"/>
    <w:rsid w:val="006A4474"/>
    <w:rsid w:val="006A44E9"/>
    <w:rsid w:val="006A4531"/>
    <w:rsid w:val="006A4D4D"/>
    <w:rsid w:val="006A4F9C"/>
    <w:rsid w:val="006A509E"/>
    <w:rsid w:val="006A50EE"/>
    <w:rsid w:val="006A5806"/>
    <w:rsid w:val="006A5809"/>
    <w:rsid w:val="006A59F1"/>
    <w:rsid w:val="006A67BD"/>
    <w:rsid w:val="006A67D2"/>
    <w:rsid w:val="006A6BFA"/>
    <w:rsid w:val="006A6FE5"/>
    <w:rsid w:val="006A7050"/>
    <w:rsid w:val="006A74BD"/>
    <w:rsid w:val="006A7588"/>
    <w:rsid w:val="006A78C2"/>
    <w:rsid w:val="006A7FE7"/>
    <w:rsid w:val="006B02F1"/>
    <w:rsid w:val="006B095D"/>
    <w:rsid w:val="006B0991"/>
    <w:rsid w:val="006B0A02"/>
    <w:rsid w:val="006B0B5D"/>
    <w:rsid w:val="006B0EFA"/>
    <w:rsid w:val="006B0F0D"/>
    <w:rsid w:val="006B106D"/>
    <w:rsid w:val="006B1110"/>
    <w:rsid w:val="006B139D"/>
    <w:rsid w:val="006B1587"/>
    <w:rsid w:val="006B1BA6"/>
    <w:rsid w:val="006B1CEB"/>
    <w:rsid w:val="006B1D20"/>
    <w:rsid w:val="006B224C"/>
    <w:rsid w:val="006B2AB8"/>
    <w:rsid w:val="006B2AC2"/>
    <w:rsid w:val="006B2C89"/>
    <w:rsid w:val="006B2D15"/>
    <w:rsid w:val="006B2D23"/>
    <w:rsid w:val="006B2E2F"/>
    <w:rsid w:val="006B311C"/>
    <w:rsid w:val="006B333E"/>
    <w:rsid w:val="006B37B8"/>
    <w:rsid w:val="006B38A8"/>
    <w:rsid w:val="006B39FB"/>
    <w:rsid w:val="006B3CD1"/>
    <w:rsid w:val="006B3E41"/>
    <w:rsid w:val="006B3FA1"/>
    <w:rsid w:val="006B46B5"/>
    <w:rsid w:val="006B48D3"/>
    <w:rsid w:val="006B4A96"/>
    <w:rsid w:val="006B4F91"/>
    <w:rsid w:val="006B5050"/>
    <w:rsid w:val="006B51C1"/>
    <w:rsid w:val="006B533D"/>
    <w:rsid w:val="006B5598"/>
    <w:rsid w:val="006B55DC"/>
    <w:rsid w:val="006B616B"/>
    <w:rsid w:val="006B66C0"/>
    <w:rsid w:val="006B6D76"/>
    <w:rsid w:val="006B6E7F"/>
    <w:rsid w:val="006B6FC8"/>
    <w:rsid w:val="006B715F"/>
    <w:rsid w:val="006B7472"/>
    <w:rsid w:val="006B74A7"/>
    <w:rsid w:val="006B74DC"/>
    <w:rsid w:val="006B7619"/>
    <w:rsid w:val="006B7943"/>
    <w:rsid w:val="006B7CF7"/>
    <w:rsid w:val="006C0AEF"/>
    <w:rsid w:val="006C0D30"/>
    <w:rsid w:val="006C1086"/>
    <w:rsid w:val="006C1447"/>
    <w:rsid w:val="006C161B"/>
    <w:rsid w:val="006C1708"/>
    <w:rsid w:val="006C226A"/>
    <w:rsid w:val="006C27C6"/>
    <w:rsid w:val="006C28B6"/>
    <w:rsid w:val="006C2ACF"/>
    <w:rsid w:val="006C324E"/>
    <w:rsid w:val="006C3496"/>
    <w:rsid w:val="006C3584"/>
    <w:rsid w:val="006C3D10"/>
    <w:rsid w:val="006C4249"/>
    <w:rsid w:val="006C4592"/>
    <w:rsid w:val="006C48C6"/>
    <w:rsid w:val="006C490B"/>
    <w:rsid w:val="006C4C2B"/>
    <w:rsid w:val="006C4C9A"/>
    <w:rsid w:val="006C50E7"/>
    <w:rsid w:val="006C525A"/>
    <w:rsid w:val="006C5846"/>
    <w:rsid w:val="006C5A35"/>
    <w:rsid w:val="006C5C1B"/>
    <w:rsid w:val="006C60E5"/>
    <w:rsid w:val="006C646F"/>
    <w:rsid w:val="006C6B4A"/>
    <w:rsid w:val="006C6F0E"/>
    <w:rsid w:val="006C70F8"/>
    <w:rsid w:val="006C7489"/>
    <w:rsid w:val="006C75C0"/>
    <w:rsid w:val="006C75FF"/>
    <w:rsid w:val="006C77C7"/>
    <w:rsid w:val="006C7834"/>
    <w:rsid w:val="006C7873"/>
    <w:rsid w:val="006C7FC3"/>
    <w:rsid w:val="006D0CDD"/>
    <w:rsid w:val="006D10F4"/>
    <w:rsid w:val="006D12A5"/>
    <w:rsid w:val="006D195A"/>
    <w:rsid w:val="006D1B43"/>
    <w:rsid w:val="006D1DB6"/>
    <w:rsid w:val="006D1E75"/>
    <w:rsid w:val="006D1EA6"/>
    <w:rsid w:val="006D2177"/>
    <w:rsid w:val="006D2730"/>
    <w:rsid w:val="006D2DBD"/>
    <w:rsid w:val="006D324E"/>
    <w:rsid w:val="006D3341"/>
    <w:rsid w:val="006D33EB"/>
    <w:rsid w:val="006D3400"/>
    <w:rsid w:val="006D349E"/>
    <w:rsid w:val="006D3840"/>
    <w:rsid w:val="006D39E0"/>
    <w:rsid w:val="006D3A28"/>
    <w:rsid w:val="006D3DE5"/>
    <w:rsid w:val="006D3F36"/>
    <w:rsid w:val="006D463E"/>
    <w:rsid w:val="006D466B"/>
    <w:rsid w:val="006D5700"/>
    <w:rsid w:val="006D58A0"/>
    <w:rsid w:val="006D5AF5"/>
    <w:rsid w:val="006D5D14"/>
    <w:rsid w:val="006D5F74"/>
    <w:rsid w:val="006D6742"/>
    <w:rsid w:val="006D6A56"/>
    <w:rsid w:val="006D6E79"/>
    <w:rsid w:val="006D702C"/>
    <w:rsid w:val="006D7178"/>
    <w:rsid w:val="006D7526"/>
    <w:rsid w:val="006D7575"/>
    <w:rsid w:val="006D764C"/>
    <w:rsid w:val="006D79B6"/>
    <w:rsid w:val="006D7C2A"/>
    <w:rsid w:val="006E061B"/>
    <w:rsid w:val="006E0884"/>
    <w:rsid w:val="006E0A4C"/>
    <w:rsid w:val="006E0E1A"/>
    <w:rsid w:val="006E0F10"/>
    <w:rsid w:val="006E0F37"/>
    <w:rsid w:val="006E104C"/>
    <w:rsid w:val="006E1800"/>
    <w:rsid w:val="006E1825"/>
    <w:rsid w:val="006E1E7C"/>
    <w:rsid w:val="006E25C9"/>
    <w:rsid w:val="006E339C"/>
    <w:rsid w:val="006E3531"/>
    <w:rsid w:val="006E357E"/>
    <w:rsid w:val="006E3A95"/>
    <w:rsid w:val="006E3CF2"/>
    <w:rsid w:val="006E3D94"/>
    <w:rsid w:val="006E3E83"/>
    <w:rsid w:val="006E4094"/>
    <w:rsid w:val="006E456F"/>
    <w:rsid w:val="006E47D5"/>
    <w:rsid w:val="006E4FAE"/>
    <w:rsid w:val="006E519B"/>
    <w:rsid w:val="006E5680"/>
    <w:rsid w:val="006E577F"/>
    <w:rsid w:val="006E59C4"/>
    <w:rsid w:val="006E5A7C"/>
    <w:rsid w:val="006E601C"/>
    <w:rsid w:val="006E68DC"/>
    <w:rsid w:val="006E6A32"/>
    <w:rsid w:val="006E7155"/>
    <w:rsid w:val="006E75EF"/>
    <w:rsid w:val="006E760A"/>
    <w:rsid w:val="006E79D5"/>
    <w:rsid w:val="006F00AF"/>
    <w:rsid w:val="006F00F4"/>
    <w:rsid w:val="006F0739"/>
    <w:rsid w:val="006F08DA"/>
    <w:rsid w:val="006F1050"/>
    <w:rsid w:val="006F12DD"/>
    <w:rsid w:val="006F16BC"/>
    <w:rsid w:val="006F1743"/>
    <w:rsid w:val="006F17EA"/>
    <w:rsid w:val="006F188F"/>
    <w:rsid w:val="006F1E87"/>
    <w:rsid w:val="006F1FC6"/>
    <w:rsid w:val="006F2030"/>
    <w:rsid w:val="006F21C8"/>
    <w:rsid w:val="006F2204"/>
    <w:rsid w:val="006F2339"/>
    <w:rsid w:val="006F24CA"/>
    <w:rsid w:val="006F2669"/>
    <w:rsid w:val="006F2854"/>
    <w:rsid w:val="006F2AF4"/>
    <w:rsid w:val="006F2CBE"/>
    <w:rsid w:val="006F2CE2"/>
    <w:rsid w:val="006F2F16"/>
    <w:rsid w:val="006F31DF"/>
    <w:rsid w:val="006F342B"/>
    <w:rsid w:val="006F362E"/>
    <w:rsid w:val="006F3812"/>
    <w:rsid w:val="006F399C"/>
    <w:rsid w:val="006F3A46"/>
    <w:rsid w:val="006F3B13"/>
    <w:rsid w:val="006F3D09"/>
    <w:rsid w:val="006F3E14"/>
    <w:rsid w:val="006F4916"/>
    <w:rsid w:val="006F4D0A"/>
    <w:rsid w:val="006F4D0D"/>
    <w:rsid w:val="006F4F8F"/>
    <w:rsid w:val="006F536D"/>
    <w:rsid w:val="006F5443"/>
    <w:rsid w:val="006F5483"/>
    <w:rsid w:val="006F55BD"/>
    <w:rsid w:val="006F5926"/>
    <w:rsid w:val="006F5B35"/>
    <w:rsid w:val="006F5DF7"/>
    <w:rsid w:val="006F61C3"/>
    <w:rsid w:val="006F62CB"/>
    <w:rsid w:val="006F6489"/>
    <w:rsid w:val="006F690B"/>
    <w:rsid w:val="006F6C23"/>
    <w:rsid w:val="006F70D5"/>
    <w:rsid w:val="006F7109"/>
    <w:rsid w:val="006F717D"/>
    <w:rsid w:val="006F7845"/>
    <w:rsid w:val="006F7B86"/>
    <w:rsid w:val="006F7BC7"/>
    <w:rsid w:val="006F7DF5"/>
    <w:rsid w:val="006F7F84"/>
    <w:rsid w:val="007001B5"/>
    <w:rsid w:val="007001D5"/>
    <w:rsid w:val="007002AD"/>
    <w:rsid w:val="007002D8"/>
    <w:rsid w:val="0070067A"/>
    <w:rsid w:val="0070069D"/>
    <w:rsid w:val="00700853"/>
    <w:rsid w:val="00700AD4"/>
    <w:rsid w:val="00700C49"/>
    <w:rsid w:val="00700CC9"/>
    <w:rsid w:val="007013C3"/>
    <w:rsid w:val="00701783"/>
    <w:rsid w:val="00701B8A"/>
    <w:rsid w:val="00701BEE"/>
    <w:rsid w:val="00701DD2"/>
    <w:rsid w:val="007024F4"/>
    <w:rsid w:val="007025C2"/>
    <w:rsid w:val="0070284D"/>
    <w:rsid w:val="00702938"/>
    <w:rsid w:val="00702A82"/>
    <w:rsid w:val="00702FD9"/>
    <w:rsid w:val="00703089"/>
    <w:rsid w:val="00703189"/>
    <w:rsid w:val="007035F3"/>
    <w:rsid w:val="0070372B"/>
    <w:rsid w:val="00703974"/>
    <w:rsid w:val="00703A15"/>
    <w:rsid w:val="00703B06"/>
    <w:rsid w:val="00703B78"/>
    <w:rsid w:val="00703E35"/>
    <w:rsid w:val="0070439D"/>
    <w:rsid w:val="007048B5"/>
    <w:rsid w:val="00704A5E"/>
    <w:rsid w:val="00704C54"/>
    <w:rsid w:val="00704DBE"/>
    <w:rsid w:val="00704DDE"/>
    <w:rsid w:val="00704ED7"/>
    <w:rsid w:val="00704F4F"/>
    <w:rsid w:val="0070512A"/>
    <w:rsid w:val="00705179"/>
    <w:rsid w:val="007054B3"/>
    <w:rsid w:val="0070577F"/>
    <w:rsid w:val="007057FE"/>
    <w:rsid w:val="00705B4B"/>
    <w:rsid w:val="00706490"/>
    <w:rsid w:val="00706570"/>
    <w:rsid w:val="00706C8F"/>
    <w:rsid w:val="00706EC3"/>
    <w:rsid w:val="00706EE5"/>
    <w:rsid w:val="007070B2"/>
    <w:rsid w:val="0070719C"/>
    <w:rsid w:val="0070725F"/>
    <w:rsid w:val="0070754C"/>
    <w:rsid w:val="00707781"/>
    <w:rsid w:val="007077C5"/>
    <w:rsid w:val="00707CC2"/>
    <w:rsid w:val="00707E7F"/>
    <w:rsid w:val="00707E94"/>
    <w:rsid w:val="00707E97"/>
    <w:rsid w:val="00707F84"/>
    <w:rsid w:val="007107C2"/>
    <w:rsid w:val="00710C17"/>
    <w:rsid w:val="00710CE3"/>
    <w:rsid w:val="00710E3E"/>
    <w:rsid w:val="00710F2F"/>
    <w:rsid w:val="0071177A"/>
    <w:rsid w:val="00711A30"/>
    <w:rsid w:val="00711B92"/>
    <w:rsid w:val="00711C41"/>
    <w:rsid w:val="00711F91"/>
    <w:rsid w:val="007124F2"/>
    <w:rsid w:val="007128F9"/>
    <w:rsid w:val="00712967"/>
    <w:rsid w:val="00712E7E"/>
    <w:rsid w:val="00712EA0"/>
    <w:rsid w:val="00712F9C"/>
    <w:rsid w:val="007132D3"/>
    <w:rsid w:val="007134EB"/>
    <w:rsid w:val="007135BF"/>
    <w:rsid w:val="0071415C"/>
    <w:rsid w:val="00714642"/>
    <w:rsid w:val="00714686"/>
    <w:rsid w:val="007146CE"/>
    <w:rsid w:val="0071471F"/>
    <w:rsid w:val="00714865"/>
    <w:rsid w:val="007148C8"/>
    <w:rsid w:val="00714933"/>
    <w:rsid w:val="00714E0E"/>
    <w:rsid w:val="00714E19"/>
    <w:rsid w:val="00714FFA"/>
    <w:rsid w:val="00715050"/>
    <w:rsid w:val="0071514C"/>
    <w:rsid w:val="0071531A"/>
    <w:rsid w:val="0071555D"/>
    <w:rsid w:val="007155CF"/>
    <w:rsid w:val="00715A31"/>
    <w:rsid w:val="00715C40"/>
    <w:rsid w:val="00715D51"/>
    <w:rsid w:val="0071615B"/>
    <w:rsid w:val="00716841"/>
    <w:rsid w:val="007168D9"/>
    <w:rsid w:val="00716D70"/>
    <w:rsid w:val="00716F94"/>
    <w:rsid w:val="00717113"/>
    <w:rsid w:val="007177EF"/>
    <w:rsid w:val="00717A09"/>
    <w:rsid w:val="00717AC9"/>
    <w:rsid w:val="00717B73"/>
    <w:rsid w:val="0072053A"/>
    <w:rsid w:val="007206D4"/>
    <w:rsid w:val="0072074F"/>
    <w:rsid w:val="0072084C"/>
    <w:rsid w:val="00720A50"/>
    <w:rsid w:val="00720DFB"/>
    <w:rsid w:val="00720F26"/>
    <w:rsid w:val="00720F95"/>
    <w:rsid w:val="007210FC"/>
    <w:rsid w:val="007211DA"/>
    <w:rsid w:val="007211E8"/>
    <w:rsid w:val="00721219"/>
    <w:rsid w:val="0072160F"/>
    <w:rsid w:val="00721ACE"/>
    <w:rsid w:val="00721DE8"/>
    <w:rsid w:val="007223C2"/>
    <w:rsid w:val="0072272C"/>
    <w:rsid w:val="007227CA"/>
    <w:rsid w:val="00722998"/>
    <w:rsid w:val="00722C5D"/>
    <w:rsid w:val="007237AB"/>
    <w:rsid w:val="007239E0"/>
    <w:rsid w:val="0072405C"/>
    <w:rsid w:val="007244B9"/>
    <w:rsid w:val="0072479C"/>
    <w:rsid w:val="00724AB5"/>
    <w:rsid w:val="00724F29"/>
    <w:rsid w:val="00724FA7"/>
    <w:rsid w:val="0072513C"/>
    <w:rsid w:val="0072532E"/>
    <w:rsid w:val="007254C6"/>
    <w:rsid w:val="00725783"/>
    <w:rsid w:val="00725874"/>
    <w:rsid w:val="00725A57"/>
    <w:rsid w:val="00725D98"/>
    <w:rsid w:val="00725E2E"/>
    <w:rsid w:val="007260D9"/>
    <w:rsid w:val="007262F0"/>
    <w:rsid w:val="0072645E"/>
    <w:rsid w:val="007266A0"/>
    <w:rsid w:val="007269B3"/>
    <w:rsid w:val="00726D32"/>
    <w:rsid w:val="0072711B"/>
    <w:rsid w:val="0072754D"/>
    <w:rsid w:val="007277F8"/>
    <w:rsid w:val="00727ECC"/>
    <w:rsid w:val="00727FD8"/>
    <w:rsid w:val="0073003E"/>
    <w:rsid w:val="00730601"/>
    <w:rsid w:val="00730941"/>
    <w:rsid w:val="00730D41"/>
    <w:rsid w:val="00730D42"/>
    <w:rsid w:val="00731110"/>
    <w:rsid w:val="0073123E"/>
    <w:rsid w:val="00731A97"/>
    <w:rsid w:val="00731E6C"/>
    <w:rsid w:val="00732072"/>
    <w:rsid w:val="0073213B"/>
    <w:rsid w:val="00732181"/>
    <w:rsid w:val="0073236C"/>
    <w:rsid w:val="007323A6"/>
    <w:rsid w:val="00732437"/>
    <w:rsid w:val="007327A1"/>
    <w:rsid w:val="00732A02"/>
    <w:rsid w:val="00732A07"/>
    <w:rsid w:val="007337EA"/>
    <w:rsid w:val="007337F9"/>
    <w:rsid w:val="00733A25"/>
    <w:rsid w:val="00733D16"/>
    <w:rsid w:val="00733D34"/>
    <w:rsid w:val="00733DBB"/>
    <w:rsid w:val="00734073"/>
    <w:rsid w:val="007340FF"/>
    <w:rsid w:val="00734361"/>
    <w:rsid w:val="00734388"/>
    <w:rsid w:val="007344D8"/>
    <w:rsid w:val="007345F4"/>
    <w:rsid w:val="007347CD"/>
    <w:rsid w:val="00734A80"/>
    <w:rsid w:val="00734B05"/>
    <w:rsid w:val="00734C0A"/>
    <w:rsid w:val="00735105"/>
    <w:rsid w:val="0073546E"/>
    <w:rsid w:val="007356D2"/>
    <w:rsid w:val="00735934"/>
    <w:rsid w:val="00735B9F"/>
    <w:rsid w:val="00735D33"/>
    <w:rsid w:val="0073600C"/>
    <w:rsid w:val="007362E3"/>
    <w:rsid w:val="007364A4"/>
    <w:rsid w:val="007365D6"/>
    <w:rsid w:val="00736CDF"/>
    <w:rsid w:val="00736D63"/>
    <w:rsid w:val="00736EDD"/>
    <w:rsid w:val="007371A7"/>
    <w:rsid w:val="007372C2"/>
    <w:rsid w:val="007375D4"/>
    <w:rsid w:val="00737AA0"/>
    <w:rsid w:val="00737B55"/>
    <w:rsid w:val="00737B97"/>
    <w:rsid w:val="00737DAA"/>
    <w:rsid w:val="0074001E"/>
    <w:rsid w:val="007400D3"/>
    <w:rsid w:val="007400ED"/>
    <w:rsid w:val="00740CA6"/>
    <w:rsid w:val="00741078"/>
    <w:rsid w:val="0074112C"/>
    <w:rsid w:val="00741866"/>
    <w:rsid w:val="00741CF5"/>
    <w:rsid w:val="00741D26"/>
    <w:rsid w:val="00741D40"/>
    <w:rsid w:val="0074208D"/>
    <w:rsid w:val="00742402"/>
    <w:rsid w:val="00742487"/>
    <w:rsid w:val="00742895"/>
    <w:rsid w:val="00743556"/>
    <w:rsid w:val="007435F0"/>
    <w:rsid w:val="007438E3"/>
    <w:rsid w:val="00743E96"/>
    <w:rsid w:val="00744029"/>
    <w:rsid w:val="007440DF"/>
    <w:rsid w:val="00744329"/>
    <w:rsid w:val="007443B4"/>
    <w:rsid w:val="00744A7A"/>
    <w:rsid w:val="00744F72"/>
    <w:rsid w:val="007458DC"/>
    <w:rsid w:val="00745A27"/>
    <w:rsid w:val="00745AD3"/>
    <w:rsid w:val="00745BCC"/>
    <w:rsid w:val="0074650A"/>
    <w:rsid w:val="007466A7"/>
    <w:rsid w:val="00746785"/>
    <w:rsid w:val="00746958"/>
    <w:rsid w:val="00746C38"/>
    <w:rsid w:val="00746F0E"/>
    <w:rsid w:val="00747417"/>
    <w:rsid w:val="0074748F"/>
    <w:rsid w:val="00747960"/>
    <w:rsid w:val="00747A66"/>
    <w:rsid w:val="00747CD7"/>
    <w:rsid w:val="00750154"/>
    <w:rsid w:val="00750F4E"/>
    <w:rsid w:val="00750FE0"/>
    <w:rsid w:val="007515AF"/>
    <w:rsid w:val="00751627"/>
    <w:rsid w:val="00751868"/>
    <w:rsid w:val="00751935"/>
    <w:rsid w:val="00751996"/>
    <w:rsid w:val="00751B16"/>
    <w:rsid w:val="00751D74"/>
    <w:rsid w:val="00751EF8"/>
    <w:rsid w:val="0075278F"/>
    <w:rsid w:val="007528AB"/>
    <w:rsid w:val="00753890"/>
    <w:rsid w:val="00753A8E"/>
    <w:rsid w:val="00753B90"/>
    <w:rsid w:val="00754142"/>
    <w:rsid w:val="00754335"/>
    <w:rsid w:val="00754422"/>
    <w:rsid w:val="00754671"/>
    <w:rsid w:val="0075484F"/>
    <w:rsid w:val="00754E18"/>
    <w:rsid w:val="00755118"/>
    <w:rsid w:val="0075590B"/>
    <w:rsid w:val="00755C38"/>
    <w:rsid w:val="00755DE8"/>
    <w:rsid w:val="0075606C"/>
    <w:rsid w:val="007562DF"/>
    <w:rsid w:val="00756565"/>
    <w:rsid w:val="007566BB"/>
    <w:rsid w:val="0075674F"/>
    <w:rsid w:val="00756E93"/>
    <w:rsid w:val="00756F1C"/>
    <w:rsid w:val="00757068"/>
    <w:rsid w:val="00757748"/>
    <w:rsid w:val="0075791A"/>
    <w:rsid w:val="007579B5"/>
    <w:rsid w:val="00757A80"/>
    <w:rsid w:val="0076006D"/>
    <w:rsid w:val="00760209"/>
    <w:rsid w:val="007604BC"/>
    <w:rsid w:val="00760895"/>
    <w:rsid w:val="00760AFB"/>
    <w:rsid w:val="00760B52"/>
    <w:rsid w:val="00760D5B"/>
    <w:rsid w:val="00760E8D"/>
    <w:rsid w:val="00760EE2"/>
    <w:rsid w:val="00761A45"/>
    <w:rsid w:val="00761CB1"/>
    <w:rsid w:val="007620F0"/>
    <w:rsid w:val="00762335"/>
    <w:rsid w:val="0076283A"/>
    <w:rsid w:val="00762CCA"/>
    <w:rsid w:val="00762E8E"/>
    <w:rsid w:val="0076317C"/>
    <w:rsid w:val="007632B9"/>
    <w:rsid w:val="00763400"/>
    <w:rsid w:val="007635E2"/>
    <w:rsid w:val="00763B3D"/>
    <w:rsid w:val="00763BFD"/>
    <w:rsid w:val="00763DF7"/>
    <w:rsid w:val="00763FB9"/>
    <w:rsid w:val="0076467B"/>
    <w:rsid w:val="00764A66"/>
    <w:rsid w:val="00765092"/>
    <w:rsid w:val="00765238"/>
    <w:rsid w:val="0076563E"/>
    <w:rsid w:val="00765774"/>
    <w:rsid w:val="00765837"/>
    <w:rsid w:val="007659B5"/>
    <w:rsid w:val="00765D40"/>
    <w:rsid w:val="007661C4"/>
    <w:rsid w:val="007667C7"/>
    <w:rsid w:val="00766BA7"/>
    <w:rsid w:val="00766CCF"/>
    <w:rsid w:val="00766F41"/>
    <w:rsid w:val="007671EE"/>
    <w:rsid w:val="00767570"/>
    <w:rsid w:val="007677DA"/>
    <w:rsid w:val="00767AEB"/>
    <w:rsid w:val="00770486"/>
    <w:rsid w:val="007707E1"/>
    <w:rsid w:val="0077101B"/>
    <w:rsid w:val="0077106A"/>
    <w:rsid w:val="00771168"/>
    <w:rsid w:val="0077121D"/>
    <w:rsid w:val="00771699"/>
    <w:rsid w:val="00771D00"/>
    <w:rsid w:val="00772143"/>
    <w:rsid w:val="00772161"/>
    <w:rsid w:val="0077234C"/>
    <w:rsid w:val="007724E6"/>
    <w:rsid w:val="00772745"/>
    <w:rsid w:val="0077286D"/>
    <w:rsid w:val="0077298E"/>
    <w:rsid w:val="007730AC"/>
    <w:rsid w:val="007730E5"/>
    <w:rsid w:val="00773281"/>
    <w:rsid w:val="007734C8"/>
    <w:rsid w:val="007736D7"/>
    <w:rsid w:val="00773C51"/>
    <w:rsid w:val="00774281"/>
    <w:rsid w:val="007743B0"/>
    <w:rsid w:val="00774981"/>
    <w:rsid w:val="0077506B"/>
    <w:rsid w:val="007755F8"/>
    <w:rsid w:val="00775686"/>
    <w:rsid w:val="00775914"/>
    <w:rsid w:val="00775A7E"/>
    <w:rsid w:val="00775C01"/>
    <w:rsid w:val="007762F6"/>
    <w:rsid w:val="007764B0"/>
    <w:rsid w:val="00776505"/>
    <w:rsid w:val="00776737"/>
    <w:rsid w:val="00776BAC"/>
    <w:rsid w:val="00776BE8"/>
    <w:rsid w:val="00776DA0"/>
    <w:rsid w:val="00777304"/>
    <w:rsid w:val="007806B1"/>
    <w:rsid w:val="00780760"/>
    <w:rsid w:val="00780A48"/>
    <w:rsid w:val="00780B0C"/>
    <w:rsid w:val="00780B97"/>
    <w:rsid w:val="00781053"/>
    <w:rsid w:val="0078109F"/>
    <w:rsid w:val="00781112"/>
    <w:rsid w:val="00781277"/>
    <w:rsid w:val="007816BB"/>
    <w:rsid w:val="00781984"/>
    <w:rsid w:val="00781DC1"/>
    <w:rsid w:val="00781F4B"/>
    <w:rsid w:val="007823A8"/>
    <w:rsid w:val="007826A1"/>
    <w:rsid w:val="00782818"/>
    <w:rsid w:val="007829C5"/>
    <w:rsid w:val="00782A4E"/>
    <w:rsid w:val="00782AE1"/>
    <w:rsid w:val="007833E9"/>
    <w:rsid w:val="00783B01"/>
    <w:rsid w:val="00783DCA"/>
    <w:rsid w:val="00783EFD"/>
    <w:rsid w:val="0078453E"/>
    <w:rsid w:val="00784625"/>
    <w:rsid w:val="00784774"/>
    <w:rsid w:val="0078492A"/>
    <w:rsid w:val="00784BA9"/>
    <w:rsid w:val="0078512C"/>
    <w:rsid w:val="007851A4"/>
    <w:rsid w:val="007855F6"/>
    <w:rsid w:val="00785732"/>
    <w:rsid w:val="0078575B"/>
    <w:rsid w:val="0078595D"/>
    <w:rsid w:val="00785B6E"/>
    <w:rsid w:val="00785B71"/>
    <w:rsid w:val="00785CAF"/>
    <w:rsid w:val="00785E62"/>
    <w:rsid w:val="00785FF5"/>
    <w:rsid w:val="00786012"/>
    <w:rsid w:val="00786095"/>
    <w:rsid w:val="007861B8"/>
    <w:rsid w:val="00786222"/>
    <w:rsid w:val="007863DD"/>
    <w:rsid w:val="00786553"/>
    <w:rsid w:val="00786C53"/>
    <w:rsid w:val="00786C90"/>
    <w:rsid w:val="00786CD1"/>
    <w:rsid w:val="007873A4"/>
    <w:rsid w:val="007873DF"/>
    <w:rsid w:val="00787480"/>
    <w:rsid w:val="00787772"/>
    <w:rsid w:val="00787C53"/>
    <w:rsid w:val="00787CE7"/>
    <w:rsid w:val="00787FC0"/>
    <w:rsid w:val="00790059"/>
    <w:rsid w:val="007900F5"/>
    <w:rsid w:val="00790220"/>
    <w:rsid w:val="0079037D"/>
    <w:rsid w:val="0079043D"/>
    <w:rsid w:val="00790719"/>
    <w:rsid w:val="00790F08"/>
    <w:rsid w:val="007911E6"/>
    <w:rsid w:val="00791302"/>
    <w:rsid w:val="0079153B"/>
    <w:rsid w:val="00791AA4"/>
    <w:rsid w:val="00791EFB"/>
    <w:rsid w:val="00792108"/>
    <w:rsid w:val="00792176"/>
    <w:rsid w:val="0079230D"/>
    <w:rsid w:val="00792625"/>
    <w:rsid w:val="00792959"/>
    <w:rsid w:val="00792BAB"/>
    <w:rsid w:val="00792C2B"/>
    <w:rsid w:val="00792DFE"/>
    <w:rsid w:val="007931D1"/>
    <w:rsid w:val="0079371F"/>
    <w:rsid w:val="00793831"/>
    <w:rsid w:val="007939C3"/>
    <w:rsid w:val="00793B73"/>
    <w:rsid w:val="00793D5B"/>
    <w:rsid w:val="007940A0"/>
    <w:rsid w:val="007943BF"/>
    <w:rsid w:val="007944CC"/>
    <w:rsid w:val="007948B9"/>
    <w:rsid w:val="00795136"/>
    <w:rsid w:val="00795838"/>
    <w:rsid w:val="007959ED"/>
    <w:rsid w:val="00795BC5"/>
    <w:rsid w:val="0079671D"/>
    <w:rsid w:val="007969AA"/>
    <w:rsid w:val="00797054"/>
    <w:rsid w:val="00797169"/>
    <w:rsid w:val="00797380"/>
    <w:rsid w:val="0079764A"/>
    <w:rsid w:val="00797773"/>
    <w:rsid w:val="0079791B"/>
    <w:rsid w:val="00797BC9"/>
    <w:rsid w:val="00797C1E"/>
    <w:rsid w:val="00797D7F"/>
    <w:rsid w:val="00797FDC"/>
    <w:rsid w:val="007A093C"/>
    <w:rsid w:val="007A0E6C"/>
    <w:rsid w:val="007A0EA2"/>
    <w:rsid w:val="007A0ECB"/>
    <w:rsid w:val="007A115F"/>
    <w:rsid w:val="007A1371"/>
    <w:rsid w:val="007A13C4"/>
    <w:rsid w:val="007A1B1E"/>
    <w:rsid w:val="007A1FAA"/>
    <w:rsid w:val="007A21AD"/>
    <w:rsid w:val="007A2247"/>
    <w:rsid w:val="007A23C9"/>
    <w:rsid w:val="007A2479"/>
    <w:rsid w:val="007A2551"/>
    <w:rsid w:val="007A2BC6"/>
    <w:rsid w:val="007A2D47"/>
    <w:rsid w:val="007A36FE"/>
    <w:rsid w:val="007A4A59"/>
    <w:rsid w:val="007A52C0"/>
    <w:rsid w:val="007A53F3"/>
    <w:rsid w:val="007A57E8"/>
    <w:rsid w:val="007A583E"/>
    <w:rsid w:val="007A5A4A"/>
    <w:rsid w:val="007A5C42"/>
    <w:rsid w:val="007A5CD4"/>
    <w:rsid w:val="007A5E6B"/>
    <w:rsid w:val="007A6823"/>
    <w:rsid w:val="007A6989"/>
    <w:rsid w:val="007A6A71"/>
    <w:rsid w:val="007A73D1"/>
    <w:rsid w:val="007A75F8"/>
    <w:rsid w:val="007A7E73"/>
    <w:rsid w:val="007A7F0C"/>
    <w:rsid w:val="007B027E"/>
    <w:rsid w:val="007B02F5"/>
    <w:rsid w:val="007B03BF"/>
    <w:rsid w:val="007B0A90"/>
    <w:rsid w:val="007B0E1E"/>
    <w:rsid w:val="007B106B"/>
    <w:rsid w:val="007B1133"/>
    <w:rsid w:val="007B12C2"/>
    <w:rsid w:val="007B1382"/>
    <w:rsid w:val="007B1493"/>
    <w:rsid w:val="007B1A11"/>
    <w:rsid w:val="007B1C5F"/>
    <w:rsid w:val="007B1F0B"/>
    <w:rsid w:val="007B25B4"/>
    <w:rsid w:val="007B2A7A"/>
    <w:rsid w:val="007B2C04"/>
    <w:rsid w:val="007B2C6A"/>
    <w:rsid w:val="007B317A"/>
    <w:rsid w:val="007B342A"/>
    <w:rsid w:val="007B363C"/>
    <w:rsid w:val="007B39F6"/>
    <w:rsid w:val="007B3A87"/>
    <w:rsid w:val="007B3DD0"/>
    <w:rsid w:val="007B3E2A"/>
    <w:rsid w:val="007B3F54"/>
    <w:rsid w:val="007B3F96"/>
    <w:rsid w:val="007B4042"/>
    <w:rsid w:val="007B433F"/>
    <w:rsid w:val="007B4484"/>
    <w:rsid w:val="007B455C"/>
    <w:rsid w:val="007B4AF3"/>
    <w:rsid w:val="007B4D44"/>
    <w:rsid w:val="007B4DF3"/>
    <w:rsid w:val="007B4E55"/>
    <w:rsid w:val="007B4EC4"/>
    <w:rsid w:val="007B4FB5"/>
    <w:rsid w:val="007B50D5"/>
    <w:rsid w:val="007B5488"/>
    <w:rsid w:val="007B556E"/>
    <w:rsid w:val="007B573D"/>
    <w:rsid w:val="007B5A80"/>
    <w:rsid w:val="007B5C7E"/>
    <w:rsid w:val="007B6523"/>
    <w:rsid w:val="007B6551"/>
    <w:rsid w:val="007B6608"/>
    <w:rsid w:val="007B6CC1"/>
    <w:rsid w:val="007B6F75"/>
    <w:rsid w:val="007B6FED"/>
    <w:rsid w:val="007B6FFF"/>
    <w:rsid w:val="007B71A6"/>
    <w:rsid w:val="007B7385"/>
    <w:rsid w:val="007B7543"/>
    <w:rsid w:val="007B79E2"/>
    <w:rsid w:val="007B7ED0"/>
    <w:rsid w:val="007C0550"/>
    <w:rsid w:val="007C0B63"/>
    <w:rsid w:val="007C11F7"/>
    <w:rsid w:val="007C1712"/>
    <w:rsid w:val="007C19E5"/>
    <w:rsid w:val="007C1C54"/>
    <w:rsid w:val="007C1E7F"/>
    <w:rsid w:val="007C2290"/>
    <w:rsid w:val="007C2447"/>
    <w:rsid w:val="007C2702"/>
    <w:rsid w:val="007C2756"/>
    <w:rsid w:val="007C2A95"/>
    <w:rsid w:val="007C2D2F"/>
    <w:rsid w:val="007C2F1E"/>
    <w:rsid w:val="007C340C"/>
    <w:rsid w:val="007C3874"/>
    <w:rsid w:val="007C3ADA"/>
    <w:rsid w:val="007C4133"/>
    <w:rsid w:val="007C417F"/>
    <w:rsid w:val="007C4384"/>
    <w:rsid w:val="007C48E5"/>
    <w:rsid w:val="007C4B90"/>
    <w:rsid w:val="007C50A8"/>
    <w:rsid w:val="007C5A00"/>
    <w:rsid w:val="007C5D77"/>
    <w:rsid w:val="007C5E18"/>
    <w:rsid w:val="007C6241"/>
    <w:rsid w:val="007C68BD"/>
    <w:rsid w:val="007C6983"/>
    <w:rsid w:val="007C6B95"/>
    <w:rsid w:val="007C6C85"/>
    <w:rsid w:val="007C71A7"/>
    <w:rsid w:val="007C738D"/>
    <w:rsid w:val="007C76B6"/>
    <w:rsid w:val="007C76EB"/>
    <w:rsid w:val="007C7733"/>
    <w:rsid w:val="007C7CCE"/>
    <w:rsid w:val="007D0307"/>
    <w:rsid w:val="007D048B"/>
    <w:rsid w:val="007D0900"/>
    <w:rsid w:val="007D0C05"/>
    <w:rsid w:val="007D0F06"/>
    <w:rsid w:val="007D1190"/>
    <w:rsid w:val="007D17B4"/>
    <w:rsid w:val="007D19BA"/>
    <w:rsid w:val="007D1C72"/>
    <w:rsid w:val="007D219A"/>
    <w:rsid w:val="007D229C"/>
    <w:rsid w:val="007D2591"/>
    <w:rsid w:val="007D274F"/>
    <w:rsid w:val="007D27B0"/>
    <w:rsid w:val="007D28E6"/>
    <w:rsid w:val="007D2C4C"/>
    <w:rsid w:val="007D3010"/>
    <w:rsid w:val="007D3104"/>
    <w:rsid w:val="007D3188"/>
    <w:rsid w:val="007D33A3"/>
    <w:rsid w:val="007D346F"/>
    <w:rsid w:val="007D34D9"/>
    <w:rsid w:val="007D356B"/>
    <w:rsid w:val="007D373B"/>
    <w:rsid w:val="007D3A2C"/>
    <w:rsid w:val="007D3D83"/>
    <w:rsid w:val="007D3DC1"/>
    <w:rsid w:val="007D3FEF"/>
    <w:rsid w:val="007D4039"/>
    <w:rsid w:val="007D40FE"/>
    <w:rsid w:val="007D4691"/>
    <w:rsid w:val="007D47E7"/>
    <w:rsid w:val="007D481B"/>
    <w:rsid w:val="007D483D"/>
    <w:rsid w:val="007D4CCD"/>
    <w:rsid w:val="007D4E3D"/>
    <w:rsid w:val="007D5762"/>
    <w:rsid w:val="007D64CD"/>
    <w:rsid w:val="007E008A"/>
    <w:rsid w:val="007E02E8"/>
    <w:rsid w:val="007E042C"/>
    <w:rsid w:val="007E0618"/>
    <w:rsid w:val="007E0689"/>
    <w:rsid w:val="007E0757"/>
    <w:rsid w:val="007E08D0"/>
    <w:rsid w:val="007E0BF8"/>
    <w:rsid w:val="007E0EAA"/>
    <w:rsid w:val="007E105F"/>
    <w:rsid w:val="007E12E8"/>
    <w:rsid w:val="007E1650"/>
    <w:rsid w:val="007E19AF"/>
    <w:rsid w:val="007E1B64"/>
    <w:rsid w:val="007E1BBB"/>
    <w:rsid w:val="007E218E"/>
    <w:rsid w:val="007E262C"/>
    <w:rsid w:val="007E265A"/>
    <w:rsid w:val="007E2F7B"/>
    <w:rsid w:val="007E2F90"/>
    <w:rsid w:val="007E353D"/>
    <w:rsid w:val="007E42F1"/>
    <w:rsid w:val="007E4679"/>
    <w:rsid w:val="007E486A"/>
    <w:rsid w:val="007E4F58"/>
    <w:rsid w:val="007E5101"/>
    <w:rsid w:val="007E62B1"/>
    <w:rsid w:val="007E62ED"/>
    <w:rsid w:val="007E630B"/>
    <w:rsid w:val="007E65F6"/>
    <w:rsid w:val="007E680E"/>
    <w:rsid w:val="007E688D"/>
    <w:rsid w:val="007E6CF7"/>
    <w:rsid w:val="007E6D48"/>
    <w:rsid w:val="007E6DA1"/>
    <w:rsid w:val="007E71CE"/>
    <w:rsid w:val="007E7350"/>
    <w:rsid w:val="007E7993"/>
    <w:rsid w:val="007E7C66"/>
    <w:rsid w:val="007E7DFB"/>
    <w:rsid w:val="007E7F21"/>
    <w:rsid w:val="007F0018"/>
    <w:rsid w:val="007F0104"/>
    <w:rsid w:val="007F04DD"/>
    <w:rsid w:val="007F06B8"/>
    <w:rsid w:val="007F0B73"/>
    <w:rsid w:val="007F0CDB"/>
    <w:rsid w:val="007F1074"/>
    <w:rsid w:val="007F1296"/>
    <w:rsid w:val="007F1371"/>
    <w:rsid w:val="007F13D0"/>
    <w:rsid w:val="007F14A5"/>
    <w:rsid w:val="007F1553"/>
    <w:rsid w:val="007F1B5B"/>
    <w:rsid w:val="007F2141"/>
    <w:rsid w:val="007F2984"/>
    <w:rsid w:val="007F2A49"/>
    <w:rsid w:val="007F2AE8"/>
    <w:rsid w:val="007F2B1C"/>
    <w:rsid w:val="007F2EB1"/>
    <w:rsid w:val="007F2FBE"/>
    <w:rsid w:val="007F34B5"/>
    <w:rsid w:val="007F3851"/>
    <w:rsid w:val="007F3ACD"/>
    <w:rsid w:val="007F3F9B"/>
    <w:rsid w:val="007F45C5"/>
    <w:rsid w:val="007F4A01"/>
    <w:rsid w:val="007F4F3D"/>
    <w:rsid w:val="007F518B"/>
    <w:rsid w:val="007F5405"/>
    <w:rsid w:val="007F5428"/>
    <w:rsid w:val="007F5E02"/>
    <w:rsid w:val="007F6284"/>
    <w:rsid w:val="007F62AE"/>
    <w:rsid w:val="007F6405"/>
    <w:rsid w:val="007F67A6"/>
    <w:rsid w:val="007F6922"/>
    <w:rsid w:val="007F69D3"/>
    <w:rsid w:val="007F6D06"/>
    <w:rsid w:val="007F70FA"/>
    <w:rsid w:val="007F71C9"/>
    <w:rsid w:val="007F7634"/>
    <w:rsid w:val="007F7CAC"/>
    <w:rsid w:val="007F7CD6"/>
    <w:rsid w:val="007F7E8D"/>
    <w:rsid w:val="007F7EAB"/>
    <w:rsid w:val="008000DF"/>
    <w:rsid w:val="008002AF"/>
    <w:rsid w:val="0080033A"/>
    <w:rsid w:val="008010C5"/>
    <w:rsid w:val="008012EF"/>
    <w:rsid w:val="008015A8"/>
    <w:rsid w:val="008015E6"/>
    <w:rsid w:val="00801603"/>
    <w:rsid w:val="0080164E"/>
    <w:rsid w:val="008017E9"/>
    <w:rsid w:val="008018A1"/>
    <w:rsid w:val="00801AC0"/>
    <w:rsid w:val="00801C9C"/>
    <w:rsid w:val="00801CF0"/>
    <w:rsid w:val="00801D13"/>
    <w:rsid w:val="008021F1"/>
    <w:rsid w:val="00802266"/>
    <w:rsid w:val="00802327"/>
    <w:rsid w:val="008026F8"/>
    <w:rsid w:val="00802AAF"/>
    <w:rsid w:val="00802DCD"/>
    <w:rsid w:val="008032D7"/>
    <w:rsid w:val="008038A4"/>
    <w:rsid w:val="00803961"/>
    <w:rsid w:val="00803C9F"/>
    <w:rsid w:val="00803CD8"/>
    <w:rsid w:val="00804333"/>
    <w:rsid w:val="00804343"/>
    <w:rsid w:val="008047E8"/>
    <w:rsid w:val="00804B01"/>
    <w:rsid w:val="0080513B"/>
    <w:rsid w:val="008052EF"/>
    <w:rsid w:val="0080586A"/>
    <w:rsid w:val="008067C1"/>
    <w:rsid w:val="00806860"/>
    <w:rsid w:val="00806C7B"/>
    <w:rsid w:val="00806E50"/>
    <w:rsid w:val="00807627"/>
    <w:rsid w:val="00807887"/>
    <w:rsid w:val="008100A9"/>
    <w:rsid w:val="008103D4"/>
    <w:rsid w:val="008104FB"/>
    <w:rsid w:val="00810C07"/>
    <w:rsid w:val="0081110E"/>
    <w:rsid w:val="00811217"/>
    <w:rsid w:val="0081167C"/>
    <w:rsid w:val="00811970"/>
    <w:rsid w:val="00811CCA"/>
    <w:rsid w:val="00811E8C"/>
    <w:rsid w:val="008122B2"/>
    <w:rsid w:val="008125FB"/>
    <w:rsid w:val="008129B2"/>
    <w:rsid w:val="00812D9C"/>
    <w:rsid w:val="00813159"/>
    <w:rsid w:val="00813264"/>
    <w:rsid w:val="008134E4"/>
    <w:rsid w:val="00813A2C"/>
    <w:rsid w:val="00813A6E"/>
    <w:rsid w:val="00813B2B"/>
    <w:rsid w:val="00813B74"/>
    <w:rsid w:val="00813F5B"/>
    <w:rsid w:val="0081431D"/>
    <w:rsid w:val="008143B4"/>
    <w:rsid w:val="0081459C"/>
    <w:rsid w:val="0081477D"/>
    <w:rsid w:val="0081496A"/>
    <w:rsid w:val="00814AF2"/>
    <w:rsid w:val="0081500C"/>
    <w:rsid w:val="0081541E"/>
    <w:rsid w:val="008154AA"/>
    <w:rsid w:val="008157FD"/>
    <w:rsid w:val="00815AD1"/>
    <w:rsid w:val="00815FDB"/>
    <w:rsid w:val="008160DA"/>
    <w:rsid w:val="00816192"/>
    <w:rsid w:val="0081667A"/>
    <w:rsid w:val="008166C7"/>
    <w:rsid w:val="008167B7"/>
    <w:rsid w:val="0081683D"/>
    <w:rsid w:val="00816C3B"/>
    <w:rsid w:val="00817288"/>
    <w:rsid w:val="0081757E"/>
    <w:rsid w:val="008175A5"/>
    <w:rsid w:val="008175FB"/>
    <w:rsid w:val="00817744"/>
    <w:rsid w:val="00817756"/>
    <w:rsid w:val="008177DE"/>
    <w:rsid w:val="00817990"/>
    <w:rsid w:val="00817FA2"/>
    <w:rsid w:val="00820524"/>
    <w:rsid w:val="008208C8"/>
    <w:rsid w:val="00820D14"/>
    <w:rsid w:val="00820D7A"/>
    <w:rsid w:val="00820E2F"/>
    <w:rsid w:val="00820F7E"/>
    <w:rsid w:val="00820FB5"/>
    <w:rsid w:val="008211F2"/>
    <w:rsid w:val="008213F0"/>
    <w:rsid w:val="008215A3"/>
    <w:rsid w:val="008216B1"/>
    <w:rsid w:val="0082177C"/>
    <w:rsid w:val="008218A2"/>
    <w:rsid w:val="0082194B"/>
    <w:rsid w:val="0082195A"/>
    <w:rsid w:val="00821A1B"/>
    <w:rsid w:val="008225A3"/>
    <w:rsid w:val="008226B0"/>
    <w:rsid w:val="0082285C"/>
    <w:rsid w:val="008228B7"/>
    <w:rsid w:val="00822A82"/>
    <w:rsid w:val="00822B41"/>
    <w:rsid w:val="0082315F"/>
    <w:rsid w:val="00823353"/>
    <w:rsid w:val="00823568"/>
    <w:rsid w:val="0082397E"/>
    <w:rsid w:val="00823A81"/>
    <w:rsid w:val="00823E84"/>
    <w:rsid w:val="0082459C"/>
    <w:rsid w:val="008245F6"/>
    <w:rsid w:val="00824DD8"/>
    <w:rsid w:val="00824DD9"/>
    <w:rsid w:val="0082547D"/>
    <w:rsid w:val="00825AC1"/>
    <w:rsid w:val="00825C2B"/>
    <w:rsid w:val="00825F2B"/>
    <w:rsid w:val="00826174"/>
    <w:rsid w:val="0082654E"/>
    <w:rsid w:val="008268F0"/>
    <w:rsid w:val="008269BC"/>
    <w:rsid w:val="008269F8"/>
    <w:rsid w:val="00826A21"/>
    <w:rsid w:val="00826D0B"/>
    <w:rsid w:val="00827270"/>
    <w:rsid w:val="00827322"/>
    <w:rsid w:val="008274EE"/>
    <w:rsid w:val="008278E0"/>
    <w:rsid w:val="00827BB2"/>
    <w:rsid w:val="00827BC9"/>
    <w:rsid w:val="008301E5"/>
    <w:rsid w:val="00830299"/>
    <w:rsid w:val="00830943"/>
    <w:rsid w:val="00830A71"/>
    <w:rsid w:val="00830D22"/>
    <w:rsid w:val="00830D3A"/>
    <w:rsid w:val="00831028"/>
    <w:rsid w:val="00831594"/>
    <w:rsid w:val="008318AC"/>
    <w:rsid w:val="00831B2B"/>
    <w:rsid w:val="00831C0C"/>
    <w:rsid w:val="00831F8C"/>
    <w:rsid w:val="00832044"/>
    <w:rsid w:val="008325EF"/>
    <w:rsid w:val="00832791"/>
    <w:rsid w:val="008327BF"/>
    <w:rsid w:val="008329BF"/>
    <w:rsid w:val="00832A7B"/>
    <w:rsid w:val="00832B66"/>
    <w:rsid w:val="008332DA"/>
    <w:rsid w:val="008332EE"/>
    <w:rsid w:val="008334F3"/>
    <w:rsid w:val="00833D88"/>
    <w:rsid w:val="00833E66"/>
    <w:rsid w:val="00834152"/>
    <w:rsid w:val="008342D1"/>
    <w:rsid w:val="008342FD"/>
    <w:rsid w:val="0083438B"/>
    <w:rsid w:val="00834927"/>
    <w:rsid w:val="00834AF0"/>
    <w:rsid w:val="00834EC7"/>
    <w:rsid w:val="00834F44"/>
    <w:rsid w:val="00835022"/>
    <w:rsid w:val="008353E3"/>
    <w:rsid w:val="008357CE"/>
    <w:rsid w:val="00835BBB"/>
    <w:rsid w:val="00835DCB"/>
    <w:rsid w:val="00836301"/>
    <w:rsid w:val="008364CF"/>
    <w:rsid w:val="008369D9"/>
    <w:rsid w:val="0083755C"/>
    <w:rsid w:val="008375FB"/>
    <w:rsid w:val="0083761C"/>
    <w:rsid w:val="00837BB4"/>
    <w:rsid w:val="00837C40"/>
    <w:rsid w:val="00837FBA"/>
    <w:rsid w:val="008402BB"/>
    <w:rsid w:val="00840303"/>
    <w:rsid w:val="008403EF"/>
    <w:rsid w:val="00841451"/>
    <w:rsid w:val="00841690"/>
    <w:rsid w:val="008416CA"/>
    <w:rsid w:val="008417BA"/>
    <w:rsid w:val="008418E2"/>
    <w:rsid w:val="00841A51"/>
    <w:rsid w:val="00841CCA"/>
    <w:rsid w:val="00841F59"/>
    <w:rsid w:val="00842018"/>
    <w:rsid w:val="0084215E"/>
    <w:rsid w:val="0084255F"/>
    <w:rsid w:val="00842630"/>
    <w:rsid w:val="0084289B"/>
    <w:rsid w:val="00842A13"/>
    <w:rsid w:val="00842BDF"/>
    <w:rsid w:val="00842FDA"/>
    <w:rsid w:val="008432B9"/>
    <w:rsid w:val="0084351E"/>
    <w:rsid w:val="008435EC"/>
    <w:rsid w:val="0084362D"/>
    <w:rsid w:val="00843789"/>
    <w:rsid w:val="008438B6"/>
    <w:rsid w:val="00843BBB"/>
    <w:rsid w:val="00843DA6"/>
    <w:rsid w:val="00843E8D"/>
    <w:rsid w:val="00844173"/>
    <w:rsid w:val="00844365"/>
    <w:rsid w:val="0084455E"/>
    <w:rsid w:val="00844B6B"/>
    <w:rsid w:val="00844D31"/>
    <w:rsid w:val="00844DBD"/>
    <w:rsid w:val="00844F03"/>
    <w:rsid w:val="00844F93"/>
    <w:rsid w:val="0084504E"/>
    <w:rsid w:val="00845113"/>
    <w:rsid w:val="0084533F"/>
    <w:rsid w:val="00845792"/>
    <w:rsid w:val="008457EB"/>
    <w:rsid w:val="00845815"/>
    <w:rsid w:val="00845F98"/>
    <w:rsid w:val="00845FEE"/>
    <w:rsid w:val="00846180"/>
    <w:rsid w:val="0084675D"/>
    <w:rsid w:val="00846776"/>
    <w:rsid w:val="00846BDC"/>
    <w:rsid w:val="00846CC2"/>
    <w:rsid w:val="00846DC4"/>
    <w:rsid w:val="008471EB"/>
    <w:rsid w:val="008473F7"/>
    <w:rsid w:val="00847579"/>
    <w:rsid w:val="00847A08"/>
    <w:rsid w:val="00847A9E"/>
    <w:rsid w:val="00847B55"/>
    <w:rsid w:val="00847C00"/>
    <w:rsid w:val="00847F70"/>
    <w:rsid w:val="008504AA"/>
    <w:rsid w:val="0085066F"/>
    <w:rsid w:val="008506F6"/>
    <w:rsid w:val="008508B5"/>
    <w:rsid w:val="00850BF9"/>
    <w:rsid w:val="00850E3D"/>
    <w:rsid w:val="00850F57"/>
    <w:rsid w:val="00850FF6"/>
    <w:rsid w:val="00851AA5"/>
    <w:rsid w:val="00851C6A"/>
    <w:rsid w:val="00851DE0"/>
    <w:rsid w:val="00852071"/>
    <w:rsid w:val="00852280"/>
    <w:rsid w:val="0085229B"/>
    <w:rsid w:val="00852472"/>
    <w:rsid w:val="008525B5"/>
    <w:rsid w:val="00852680"/>
    <w:rsid w:val="00852B04"/>
    <w:rsid w:val="00852B62"/>
    <w:rsid w:val="00852D16"/>
    <w:rsid w:val="0085342F"/>
    <w:rsid w:val="008535E9"/>
    <w:rsid w:val="00853CF1"/>
    <w:rsid w:val="00853D66"/>
    <w:rsid w:val="0085425F"/>
    <w:rsid w:val="00854298"/>
    <w:rsid w:val="00854303"/>
    <w:rsid w:val="0085442C"/>
    <w:rsid w:val="0085463E"/>
    <w:rsid w:val="00854640"/>
    <w:rsid w:val="00854A8A"/>
    <w:rsid w:val="00854B33"/>
    <w:rsid w:val="00854C96"/>
    <w:rsid w:val="00854E92"/>
    <w:rsid w:val="00854ECD"/>
    <w:rsid w:val="00855078"/>
    <w:rsid w:val="0085526D"/>
    <w:rsid w:val="00855706"/>
    <w:rsid w:val="00855AAE"/>
    <w:rsid w:val="008565AD"/>
    <w:rsid w:val="008568CC"/>
    <w:rsid w:val="008568D3"/>
    <w:rsid w:val="00856D09"/>
    <w:rsid w:val="00856D33"/>
    <w:rsid w:val="008570F4"/>
    <w:rsid w:val="0085713D"/>
    <w:rsid w:val="00857845"/>
    <w:rsid w:val="00857857"/>
    <w:rsid w:val="00857C6B"/>
    <w:rsid w:val="00860016"/>
    <w:rsid w:val="00860389"/>
    <w:rsid w:val="008603DF"/>
    <w:rsid w:val="008606B3"/>
    <w:rsid w:val="00860756"/>
    <w:rsid w:val="00860B1B"/>
    <w:rsid w:val="00860B44"/>
    <w:rsid w:val="00860B82"/>
    <w:rsid w:val="00860D96"/>
    <w:rsid w:val="00860F1E"/>
    <w:rsid w:val="00860F24"/>
    <w:rsid w:val="00860FD6"/>
    <w:rsid w:val="008610E5"/>
    <w:rsid w:val="008617F9"/>
    <w:rsid w:val="00861822"/>
    <w:rsid w:val="00861A61"/>
    <w:rsid w:val="00861D77"/>
    <w:rsid w:val="00861DF0"/>
    <w:rsid w:val="00862223"/>
    <w:rsid w:val="0086232C"/>
    <w:rsid w:val="0086245A"/>
    <w:rsid w:val="0086247F"/>
    <w:rsid w:val="008624A3"/>
    <w:rsid w:val="008628AF"/>
    <w:rsid w:val="008629C6"/>
    <w:rsid w:val="00862BDD"/>
    <w:rsid w:val="00862BEE"/>
    <w:rsid w:val="00862C12"/>
    <w:rsid w:val="00862E5D"/>
    <w:rsid w:val="00863E2E"/>
    <w:rsid w:val="008642AE"/>
    <w:rsid w:val="00864385"/>
    <w:rsid w:val="00864850"/>
    <w:rsid w:val="00864F81"/>
    <w:rsid w:val="008651CB"/>
    <w:rsid w:val="008652A5"/>
    <w:rsid w:val="00865344"/>
    <w:rsid w:val="008656D3"/>
    <w:rsid w:val="00865787"/>
    <w:rsid w:val="0086579B"/>
    <w:rsid w:val="0086581E"/>
    <w:rsid w:val="00865ACE"/>
    <w:rsid w:val="00865D31"/>
    <w:rsid w:val="00865E1D"/>
    <w:rsid w:val="00866106"/>
    <w:rsid w:val="008662BE"/>
    <w:rsid w:val="0086632C"/>
    <w:rsid w:val="0086653F"/>
    <w:rsid w:val="008667C6"/>
    <w:rsid w:val="00866DA4"/>
    <w:rsid w:val="00866F49"/>
    <w:rsid w:val="008671FC"/>
    <w:rsid w:val="008673F0"/>
    <w:rsid w:val="008675B8"/>
    <w:rsid w:val="00867612"/>
    <w:rsid w:val="00867739"/>
    <w:rsid w:val="00867B30"/>
    <w:rsid w:val="00867CEB"/>
    <w:rsid w:val="00867F41"/>
    <w:rsid w:val="00867FFA"/>
    <w:rsid w:val="00870218"/>
    <w:rsid w:val="0087087C"/>
    <w:rsid w:val="0087098D"/>
    <w:rsid w:val="008714EC"/>
    <w:rsid w:val="0087173D"/>
    <w:rsid w:val="00872234"/>
    <w:rsid w:val="008727DA"/>
    <w:rsid w:val="00872C36"/>
    <w:rsid w:val="00872D54"/>
    <w:rsid w:val="00872F2D"/>
    <w:rsid w:val="00873431"/>
    <w:rsid w:val="0087350B"/>
    <w:rsid w:val="008736A0"/>
    <w:rsid w:val="00873DC0"/>
    <w:rsid w:val="00873E0E"/>
    <w:rsid w:val="008740A4"/>
    <w:rsid w:val="008744C7"/>
    <w:rsid w:val="008746D0"/>
    <w:rsid w:val="00874A48"/>
    <w:rsid w:val="00874AC1"/>
    <w:rsid w:val="00874EE0"/>
    <w:rsid w:val="008753FF"/>
    <w:rsid w:val="0087568E"/>
    <w:rsid w:val="0087599D"/>
    <w:rsid w:val="00875CCE"/>
    <w:rsid w:val="008761B1"/>
    <w:rsid w:val="00876243"/>
    <w:rsid w:val="0087624D"/>
    <w:rsid w:val="00876527"/>
    <w:rsid w:val="00876A0E"/>
    <w:rsid w:val="00876DD9"/>
    <w:rsid w:val="00876EA8"/>
    <w:rsid w:val="0087716E"/>
    <w:rsid w:val="00877425"/>
    <w:rsid w:val="0087755A"/>
    <w:rsid w:val="00877569"/>
    <w:rsid w:val="0087768C"/>
    <w:rsid w:val="008779E9"/>
    <w:rsid w:val="00877B84"/>
    <w:rsid w:val="00877F4E"/>
    <w:rsid w:val="00880111"/>
    <w:rsid w:val="008801EE"/>
    <w:rsid w:val="00880322"/>
    <w:rsid w:val="008806D0"/>
    <w:rsid w:val="00880D36"/>
    <w:rsid w:val="00880D4E"/>
    <w:rsid w:val="008810B3"/>
    <w:rsid w:val="008811B3"/>
    <w:rsid w:val="008815E0"/>
    <w:rsid w:val="00881DBF"/>
    <w:rsid w:val="00881DC1"/>
    <w:rsid w:val="00881E7D"/>
    <w:rsid w:val="008820D0"/>
    <w:rsid w:val="0088248D"/>
    <w:rsid w:val="00882620"/>
    <w:rsid w:val="00882A73"/>
    <w:rsid w:val="00882B64"/>
    <w:rsid w:val="00882F95"/>
    <w:rsid w:val="00883859"/>
    <w:rsid w:val="008838D6"/>
    <w:rsid w:val="00883FB3"/>
    <w:rsid w:val="0088405E"/>
    <w:rsid w:val="008847D5"/>
    <w:rsid w:val="00884D3F"/>
    <w:rsid w:val="0088565B"/>
    <w:rsid w:val="00885790"/>
    <w:rsid w:val="00885DD4"/>
    <w:rsid w:val="00885E97"/>
    <w:rsid w:val="00885F5D"/>
    <w:rsid w:val="008861E2"/>
    <w:rsid w:val="0088631E"/>
    <w:rsid w:val="00886399"/>
    <w:rsid w:val="00886888"/>
    <w:rsid w:val="00886E83"/>
    <w:rsid w:val="00886F42"/>
    <w:rsid w:val="00887A53"/>
    <w:rsid w:val="0089036D"/>
    <w:rsid w:val="008906E8"/>
    <w:rsid w:val="00890702"/>
    <w:rsid w:val="008907C0"/>
    <w:rsid w:val="00890AEE"/>
    <w:rsid w:val="00890C5C"/>
    <w:rsid w:val="00890D5E"/>
    <w:rsid w:val="00891061"/>
    <w:rsid w:val="0089115A"/>
    <w:rsid w:val="008912D5"/>
    <w:rsid w:val="008913BB"/>
    <w:rsid w:val="00891484"/>
    <w:rsid w:val="008917F7"/>
    <w:rsid w:val="008917FC"/>
    <w:rsid w:val="00891ABE"/>
    <w:rsid w:val="00891F25"/>
    <w:rsid w:val="00891FB6"/>
    <w:rsid w:val="0089239F"/>
    <w:rsid w:val="00892888"/>
    <w:rsid w:val="00892EA6"/>
    <w:rsid w:val="00892EE4"/>
    <w:rsid w:val="00892FA1"/>
    <w:rsid w:val="00892FF0"/>
    <w:rsid w:val="00893511"/>
    <w:rsid w:val="00893806"/>
    <w:rsid w:val="0089392F"/>
    <w:rsid w:val="008939EE"/>
    <w:rsid w:val="00893AD1"/>
    <w:rsid w:val="00893D4A"/>
    <w:rsid w:val="00893E15"/>
    <w:rsid w:val="00893E6F"/>
    <w:rsid w:val="00893F7F"/>
    <w:rsid w:val="00894439"/>
    <w:rsid w:val="008944F6"/>
    <w:rsid w:val="008946A3"/>
    <w:rsid w:val="0089489B"/>
    <w:rsid w:val="00894BD1"/>
    <w:rsid w:val="00894EEC"/>
    <w:rsid w:val="00894FAF"/>
    <w:rsid w:val="0089597A"/>
    <w:rsid w:val="008959C9"/>
    <w:rsid w:val="00895B8B"/>
    <w:rsid w:val="00895C67"/>
    <w:rsid w:val="00895CEA"/>
    <w:rsid w:val="00896123"/>
    <w:rsid w:val="0089645E"/>
    <w:rsid w:val="00896729"/>
    <w:rsid w:val="00896F33"/>
    <w:rsid w:val="00897114"/>
    <w:rsid w:val="00897228"/>
    <w:rsid w:val="0089758A"/>
    <w:rsid w:val="00897A59"/>
    <w:rsid w:val="00897A9E"/>
    <w:rsid w:val="008A0013"/>
    <w:rsid w:val="008A00BF"/>
    <w:rsid w:val="008A024F"/>
    <w:rsid w:val="008A02E6"/>
    <w:rsid w:val="008A112A"/>
    <w:rsid w:val="008A182E"/>
    <w:rsid w:val="008A1854"/>
    <w:rsid w:val="008A1AC6"/>
    <w:rsid w:val="008A1D57"/>
    <w:rsid w:val="008A1E2D"/>
    <w:rsid w:val="008A1E45"/>
    <w:rsid w:val="008A21B5"/>
    <w:rsid w:val="008A23AD"/>
    <w:rsid w:val="008A24AA"/>
    <w:rsid w:val="008A2629"/>
    <w:rsid w:val="008A2786"/>
    <w:rsid w:val="008A298E"/>
    <w:rsid w:val="008A2AF9"/>
    <w:rsid w:val="008A2BF2"/>
    <w:rsid w:val="008A2C4E"/>
    <w:rsid w:val="008A2F58"/>
    <w:rsid w:val="008A3120"/>
    <w:rsid w:val="008A3238"/>
    <w:rsid w:val="008A32FF"/>
    <w:rsid w:val="008A37B3"/>
    <w:rsid w:val="008A3996"/>
    <w:rsid w:val="008A399A"/>
    <w:rsid w:val="008A3E59"/>
    <w:rsid w:val="008A459B"/>
    <w:rsid w:val="008A45DE"/>
    <w:rsid w:val="008A473E"/>
    <w:rsid w:val="008A4A7D"/>
    <w:rsid w:val="008A4CDA"/>
    <w:rsid w:val="008A5584"/>
    <w:rsid w:val="008A5760"/>
    <w:rsid w:val="008A58B9"/>
    <w:rsid w:val="008A59AD"/>
    <w:rsid w:val="008A5BDF"/>
    <w:rsid w:val="008A6033"/>
    <w:rsid w:val="008A60C5"/>
    <w:rsid w:val="008A6CB4"/>
    <w:rsid w:val="008A6D74"/>
    <w:rsid w:val="008A7045"/>
    <w:rsid w:val="008A7BCE"/>
    <w:rsid w:val="008B0293"/>
    <w:rsid w:val="008B085F"/>
    <w:rsid w:val="008B090A"/>
    <w:rsid w:val="008B0AEA"/>
    <w:rsid w:val="008B0B45"/>
    <w:rsid w:val="008B0D2B"/>
    <w:rsid w:val="008B0E93"/>
    <w:rsid w:val="008B116B"/>
    <w:rsid w:val="008B13EA"/>
    <w:rsid w:val="008B1403"/>
    <w:rsid w:val="008B14E4"/>
    <w:rsid w:val="008B1597"/>
    <w:rsid w:val="008B1881"/>
    <w:rsid w:val="008B1AAF"/>
    <w:rsid w:val="008B1D1A"/>
    <w:rsid w:val="008B1DC7"/>
    <w:rsid w:val="008B1FFA"/>
    <w:rsid w:val="008B2189"/>
    <w:rsid w:val="008B232A"/>
    <w:rsid w:val="008B248D"/>
    <w:rsid w:val="008B24A4"/>
    <w:rsid w:val="008B26A3"/>
    <w:rsid w:val="008B28D5"/>
    <w:rsid w:val="008B2B1F"/>
    <w:rsid w:val="008B2C96"/>
    <w:rsid w:val="008B2DFC"/>
    <w:rsid w:val="008B2F18"/>
    <w:rsid w:val="008B2F83"/>
    <w:rsid w:val="008B35B1"/>
    <w:rsid w:val="008B365A"/>
    <w:rsid w:val="008B3E88"/>
    <w:rsid w:val="008B4141"/>
    <w:rsid w:val="008B4182"/>
    <w:rsid w:val="008B45FD"/>
    <w:rsid w:val="008B4C40"/>
    <w:rsid w:val="008B4F14"/>
    <w:rsid w:val="008B5230"/>
    <w:rsid w:val="008B541C"/>
    <w:rsid w:val="008B57E3"/>
    <w:rsid w:val="008B5903"/>
    <w:rsid w:val="008B5AA6"/>
    <w:rsid w:val="008B5AE0"/>
    <w:rsid w:val="008B5D2C"/>
    <w:rsid w:val="008B5DD4"/>
    <w:rsid w:val="008B6739"/>
    <w:rsid w:val="008B6844"/>
    <w:rsid w:val="008B6CEF"/>
    <w:rsid w:val="008B6DC7"/>
    <w:rsid w:val="008B7199"/>
    <w:rsid w:val="008B7201"/>
    <w:rsid w:val="008B76AC"/>
    <w:rsid w:val="008B7971"/>
    <w:rsid w:val="008B7C5C"/>
    <w:rsid w:val="008B7FCD"/>
    <w:rsid w:val="008C00E2"/>
    <w:rsid w:val="008C0133"/>
    <w:rsid w:val="008C0549"/>
    <w:rsid w:val="008C0917"/>
    <w:rsid w:val="008C0BF2"/>
    <w:rsid w:val="008C0D83"/>
    <w:rsid w:val="008C11DC"/>
    <w:rsid w:val="008C1C73"/>
    <w:rsid w:val="008C1FAE"/>
    <w:rsid w:val="008C295E"/>
    <w:rsid w:val="008C2B68"/>
    <w:rsid w:val="008C2BC6"/>
    <w:rsid w:val="008C3084"/>
    <w:rsid w:val="008C3299"/>
    <w:rsid w:val="008C34A4"/>
    <w:rsid w:val="008C3517"/>
    <w:rsid w:val="008C38DD"/>
    <w:rsid w:val="008C3939"/>
    <w:rsid w:val="008C3A1C"/>
    <w:rsid w:val="008C3C61"/>
    <w:rsid w:val="008C4399"/>
    <w:rsid w:val="008C4417"/>
    <w:rsid w:val="008C4B52"/>
    <w:rsid w:val="008C5225"/>
    <w:rsid w:val="008C53A1"/>
    <w:rsid w:val="008C5453"/>
    <w:rsid w:val="008C5EAD"/>
    <w:rsid w:val="008C5F4C"/>
    <w:rsid w:val="008C5F7F"/>
    <w:rsid w:val="008C68C9"/>
    <w:rsid w:val="008C6C0E"/>
    <w:rsid w:val="008C6C1C"/>
    <w:rsid w:val="008C6D62"/>
    <w:rsid w:val="008C6DEF"/>
    <w:rsid w:val="008C6F6A"/>
    <w:rsid w:val="008C7124"/>
    <w:rsid w:val="008C727B"/>
    <w:rsid w:val="008C75CD"/>
    <w:rsid w:val="008C7CB3"/>
    <w:rsid w:val="008C7D1A"/>
    <w:rsid w:val="008D0084"/>
    <w:rsid w:val="008D018F"/>
    <w:rsid w:val="008D0482"/>
    <w:rsid w:val="008D04E5"/>
    <w:rsid w:val="008D05B4"/>
    <w:rsid w:val="008D0796"/>
    <w:rsid w:val="008D1329"/>
    <w:rsid w:val="008D18A4"/>
    <w:rsid w:val="008D1CC2"/>
    <w:rsid w:val="008D2110"/>
    <w:rsid w:val="008D21B6"/>
    <w:rsid w:val="008D223D"/>
    <w:rsid w:val="008D2358"/>
    <w:rsid w:val="008D23A5"/>
    <w:rsid w:val="008D244A"/>
    <w:rsid w:val="008D27A4"/>
    <w:rsid w:val="008D29BD"/>
    <w:rsid w:val="008D314E"/>
    <w:rsid w:val="008D34C4"/>
    <w:rsid w:val="008D350D"/>
    <w:rsid w:val="008D35AD"/>
    <w:rsid w:val="008D3966"/>
    <w:rsid w:val="008D3B07"/>
    <w:rsid w:val="008D4101"/>
    <w:rsid w:val="008D43E2"/>
    <w:rsid w:val="008D45A6"/>
    <w:rsid w:val="008D484E"/>
    <w:rsid w:val="008D4A86"/>
    <w:rsid w:val="008D4F05"/>
    <w:rsid w:val="008D4F10"/>
    <w:rsid w:val="008D501E"/>
    <w:rsid w:val="008D5832"/>
    <w:rsid w:val="008D58AA"/>
    <w:rsid w:val="008D5D95"/>
    <w:rsid w:val="008D6061"/>
    <w:rsid w:val="008D6327"/>
    <w:rsid w:val="008D63A4"/>
    <w:rsid w:val="008D63A8"/>
    <w:rsid w:val="008D6442"/>
    <w:rsid w:val="008D6474"/>
    <w:rsid w:val="008D65F7"/>
    <w:rsid w:val="008D685E"/>
    <w:rsid w:val="008D687A"/>
    <w:rsid w:val="008D6E22"/>
    <w:rsid w:val="008D6F74"/>
    <w:rsid w:val="008D705B"/>
    <w:rsid w:val="008D74EC"/>
    <w:rsid w:val="008D7872"/>
    <w:rsid w:val="008D7C27"/>
    <w:rsid w:val="008D7FA6"/>
    <w:rsid w:val="008D7FCB"/>
    <w:rsid w:val="008E01F4"/>
    <w:rsid w:val="008E0615"/>
    <w:rsid w:val="008E0694"/>
    <w:rsid w:val="008E0AD8"/>
    <w:rsid w:val="008E0B2C"/>
    <w:rsid w:val="008E0D16"/>
    <w:rsid w:val="008E0D17"/>
    <w:rsid w:val="008E17BA"/>
    <w:rsid w:val="008E1ADC"/>
    <w:rsid w:val="008E1E38"/>
    <w:rsid w:val="008E1E55"/>
    <w:rsid w:val="008E20E0"/>
    <w:rsid w:val="008E22EE"/>
    <w:rsid w:val="008E265A"/>
    <w:rsid w:val="008E2685"/>
    <w:rsid w:val="008E2868"/>
    <w:rsid w:val="008E2EE7"/>
    <w:rsid w:val="008E3009"/>
    <w:rsid w:val="008E34AA"/>
    <w:rsid w:val="008E3716"/>
    <w:rsid w:val="008E38D9"/>
    <w:rsid w:val="008E3AB4"/>
    <w:rsid w:val="008E3CAA"/>
    <w:rsid w:val="008E3D33"/>
    <w:rsid w:val="008E3DE2"/>
    <w:rsid w:val="008E40A6"/>
    <w:rsid w:val="008E40CF"/>
    <w:rsid w:val="008E480D"/>
    <w:rsid w:val="008E4B4B"/>
    <w:rsid w:val="008E4DE1"/>
    <w:rsid w:val="008E4E70"/>
    <w:rsid w:val="008E5163"/>
    <w:rsid w:val="008E51F2"/>
    <w:rsid w:val="008E5470"/>
    <w:rsid w:val="008E54C1"/>
    <w:rsid w:val="008E5649"/>
    <w:rsid w:val="008E565F"/>
    <w:rsid w:val="008E5F89"/>
    <w:rsid w:val="008E61B3"/>
    <w:rsid w:val="008E622D"/>
    <w:rsid w:val="008E6306"/>
    <w:rsid w:val="008E63E1"/>
    <w:rsid w:val="008E6462"/>
    <w:rsid w:val="008E64A5"/>
    <w:rsid w:val="008E6513"/>
    <w:rsid w:val="008E6D8C"/>
    <w:rsid w:val="008E7230"/>
    <w:rsid w:val="008E7525"/>
    <w:rsid w:val="008E7813"/>
    <w:rsid w:val="008F000C"/>
    <w:rsid w:val="008F0938"/>
    <w:rsid w:val="008F0D50"/>
    <w:rsid w:val="008F0FE7"/>
    <w:rsid w:val="008F1320"/>
    <w:rsid w:val="008F14A5"/>
    <w:rsid w:val="008F1789"/>
    <w:rsid w:val="008F1A0F"/>
    <w:rsid w:val="008F2332"/>
    <w:rsid w:val="008F25C8"/>
    <w:rsid w:val="008F28A9"/>
    <w:rsid w:val="008F2A4D"/>
    <w:rsid w:val="008F2CA6"/>
    <w:rsid w:val="008F2E52"/>
    <w:rsid w:val="008F2F1D"/>
    <w:rsid w:val="008F30FE"/>
    <w:rsid w:val="008F35E5"/>
    <w:rsid w:val="008F3897"/>
    <w:rsid w:val="008F3A21"/>
    <w:rsid w:val="008F3E22"/>
    <w:rsid w:val="008F4083"/>
    <w:rsid w:val="008F40BB"/>
    <w:rsid w:val="008F467D"/>
    <w:rsid w:val="008F4744"/>
    <w:rsid w:val="008F4C99"/>
    <w:rsid w:val="008F4D9B"/>
    <w:rsid w:val="008F5229"/>
    <w:rsid w:val="008F5AFF"/>
    <w:rsid w:val="008F5BEF"/>
    <w:rsid w:val="008F5BF1"/>
    <w:rsid w:val="008F5C86"/>
    <w:rsid w:val="008F6843"/>
    <w:rsid w:val="008F68CF"/>
    <w:rsid w:val="008F6911"/>
    <w:rsid w:val="008F6DB9"/>
    <w:rsid w:val="008F6EEB"/>
    <w:rsid w:val="008F76CE"/>
    <w:rsid w:val="009001D0"/>
    <w:rsid w:val="00900214"/>
    <w:rsid w:val="009002F1"/>
    <w:rsid w:val="00900414"/>
    <w:rsid w:val="00900660"/>
    <w:rsid w:val="00900756"/>
    <w:rsid w:val="00900C5A"/>
    <w:rsid w:val="00900C7D"/>
    <w:rsid w:val="00900EE9"/>
    <w:rsid w:val="0090101F"/>
    <w:rsid w:val="00901440"/>
    <w:rsid w:val="009016C5"/>
    <w:rsid w:val="009017A9"/>
    <w:rsid w:val="009018C3"/>
    <w:rsid w:val="009019D8"/>
    <w:rsid w:val="00901E40"/>
    <w:rsid w:val="00902503"/>
    <w:rsid w:val="00902656"/>
    <w:rsid w:val="00902705"/>
    <w:rsid w:val="00902915"/>
    <w:rsid w:val="00902BA2"/>
    <w:rsid w:val="00902D65"/>
    <w:rsid w:val="00902FCC"/>
    <w:rsid w:val="00902FDE"/>
    <w:rsid w:val="009031AF"/>
    <w:rsid w:val="009032CB"/>
    <w:rsid w:val="009032CD"/>
    <w:rsid w:val="009032E9"/>
    <w:rsid w:val="00903396"/>
    <w:rsid w:val="00903798"/>
    <w:rsid w:val="009039DE"/>
    <w:rsid w:val="00903EA1"/>
    <w:rsid w:val="00904612"/>
    <w:rsid w:val="00904690"/>
    <w:rsid w:val="00904887"/>
    <w:rsid w:val="0090496B"/>
    <w:rsid w:val="009049F7"/>
    <w:rsid w:val="00904A27"/>
    <w:rsid w:val="00904EE2"/>
    <w:rsid w:val="00904EF1"/>
    <w:rsid w:val="009050B0"/>
    <w:rsid w:val="00905469"/>
    <w:rsid w:val="009054FF"/>
    <w:rsid w:val="009058C5"/>
    <w:rsid w:val="00906103"/>
    <w:rsid w:val="00906159"/>
    <w:rsid w:val="0090669D"/>
    <w:rsid w:val="00906897"/>
    <w:rsid w:val="00906F4E"/>
    <w:rsid w:val="0090742B"/>
    <w:rsid w:val="0090760D"/>
    <w:rsid w:val="00907D7D"/>
    <w:rsid w:val="00907F45"/>
    <w:rsid w:val="009100B3"/>
    <w:rsid w:val="0091015D"/>
    <w:rsid w:val="00910629"/>
    <w:rsid w:val="0091065F"/>
    <w:rsid w:val="009106B4"/>
    <w:rsid w:val="009109F6"/>
    <w:rsid w:val="00910A3D"/>
    <w:rsid w:val="00910B54"/>
    <w:rsid w:val="00910B73"/>
    <w:rsid w:val="00910BD5"/>
    <w:rsid w:val="00910C3D"/>
    <w:rsid w:val="0091113B"/>
    <w:rsid w:val="00911BC7"/>
    <w:rsid w:val="00911C8C"/>
    <w:rsid w:val="00911DD8"/>
    <w:rsid w:val="0091212A"/>
    <w:rsid w:val="00912148"/>
    <w:rsid w:val="00912415"/>
    <w:rsid w:val="00912774"/>
    <w:rsid w:val="009129E8"/>
    <w:rsid w:val="00912BF6"/>
    <w:rsid w:val="00912FE0"/>
    <w:rsid w:val="0091314D"/>
    <w:rsid w:val="009135ED"/>
    <w:rsid w:val="00913748"/>
    <w:rsid w:val="00913818"/>
    <w:rsid w:val="009139BB"/>
    <w:rsid w:val="00913AAA"/>
    <w:rsid w:val="00913AD6"/>
    <w:rsid w:val="00913E3C"/>
    <w:rsid w:val="00914013"/>
    <w:rsid w:val="0091475A"/>
    <w:rsid w:val="009149A3"/>
    <w:rsid w:val="00914A45"/>
    <w:rsid w:val="00914DE2"/>
    <w:rsid w:val="00915698"/>
    <w:rsid w:val="009159F5"/>
    <w:rsid w:val="00915B11"/>
    <w:rsid w:val="00916372"/>
    <w:rsid w:val="00916412"/>
    <w:rsid w:val="0091687A"/>
    <w:rsid w:val="0091691A"/>
    <w:rsid w:val="0091729A"/>
    <w:rsid w:val="009172BF"/>
    <w:rsid w:val="00917443"/>
    <w:rsid w:val="009174FA"/>
    <w:rsid w:val="0091753C"/>
    <w:rsid w:val="00917826"/>
    <w:rsid w:val="00917913"/>
    <w:rsid w:val="00917A26"/>
    <w:rsid w:val="00917A7D"/>
    <w:rsid w:val="00917C4A"/>
    <w:rsid w:val="00917E93"/>
    <w:rsid w:val="00920002"/>
    <w:rsid w:val="00920477"/>
    <w:rsid w:val="0092053F"/>
    <w:rsid w:val="00920D56"/>
    <w:rsid w:val="00920F06"/>
    <w:rsid w:val="0092112C"/>
    <w:rsid w:val="009213C8"/>
    <w:rsid w:val="0092188C"/>
    <w:rsid w:val="00921DF3"/>
    <w:rsid w:val="00922136"/>
    <w:rsid w:val="0092248E"/>
    <w:rsid w:val="009229F1"/>
    <w:rsid w:val="00922B2C"/>
    <w:rsid w:val="00922BB0"/>
    <w:rsid w:val="00922C38"/>
    <w:rsid w:val="00922E91"/>
    <w:rsid w:val="0092332A"/>
    <w:rsid w:val="00923891"/>
    <w:rsid w:val="00923BCC"/>
    <w:rsid w:val="0092412C"/>
    <w:rsid w:val="0092427C"/>
    <w:rsid w:val="009249F9"/>
    <w:rsid w:val="00924CF7"/>
    <w:rsid w:val="00924E41"/>
    <w:rsid w:val="009250FD"/>
    <w:rsid w:val="00925333"/>
    <w:rsid w:val="0092547A"/>
    <w:rsid w:val="00925F78"/>
    <w:rsid w:val="0092614A"/>
    <w:rsid w:val="00926518"/>
    <w:rsid w:val="00926820"/>
    <w:rsid w:val="00926A37"/>
    <w:rsid w:val="00926A54"/>
    <w:rsid w:val="00926C5F"/>
    <w:rsid w:val="00926F44"/>
    <w:rsid w:val="009270F4"/>
    <w:rsid w:val="00927425"/>
    <w:rsid w:val="009275EC"/>
    <w:rsid w:val="00927C8E"/>
    <w:rsid w:val="00927DCD"/>
    <w:rsid w:val="00927EEA"/>
    <w:rsid w:val="00930277"/>
    <w:rsid w:val="0093044F"/>
    <w:rsid w:val="0093080E"/>
    <w:rsid w:val="00930A85"/>
    <w:rsid w:val="00930ABD"/>
    <w:rsid w:val="00930CE4"/>
    <w:rsid w:val="00930DF7"/>
    <w:rsid w:val="00931296"/>
    <w:rsid w:val="0093160C"/>
    <w:rsid w:val="009316C0"/>
    <w:rsid w:val="009317AC"/>
    <w:rsid w:val="009318FC"/>
    <w:rsid w:val="00931DCD"/>
    <w:rsid w:val="00931E44"/>
    <w:rsid w:val="00932947"/>
    <w:rsid w:val="00932C71"/>
    <w:rsid w:val="00932D18"/>
    <w:rsid w:val="00932DD8"/>
    <w:rsid w:val="00932EB2"/>
    <w:rsid w:val="00932ECA"/>
    <w:rsid w:val="00932F06"/>
    <w:rsid w:val="0093355E"/>
    <w:rsid w:val="009335D6"/>
    <w:rsid w:val="0093378B"/>
    <w:rsid w:val="00933D8B"/>
    <w:rsid w:val="00934462"/>
    <w:rsid w:val="009347B0"/>
    <w:rsid w:val="00934860"/>
    <w:rsid w:val="00934ABC"/>
    <w:rsid w:val="00934ADF"/>
    <w:rsid w:val="00934B10"/>
    <w:rsid w:val="00934BBF"/>
    <w:rsid w:val="00934EEF"/>
    <w:rsid w:val="00934F9F"/>
    <w:rsid w:val="00935154"/>
    <w:rsid w:val="00935218"/>
    <w:rsid w:val="009354E8"/>
    <w:rsid w:val="00935EEC"/>
    <w:rsid w:val="00935F42"/>
    <w:rsid w:val="00935FCD"/>
    <w:rsid w:val="0093605D"/>
    <w:rsid w:val="0093638E"/>
    <w:rsid w:val="0093642E"/>
    <w:rsid w:val="0093664F"/>
    <w:rsid w:val="00936872"/>
    <w:rsid w:val="0093688A"/>
    <w:rsid w:val="00936A66"/>
    <w:rsid w:val="00936ECE"/>
    <w:rsid w:val="00936F4F"/>
    <w:rsid w:val="0093729E"/>
    <w:rsid w:val="009376B2"/>
    <w:rsid w:val="00937880"/>
    <w:rsid w:val="00937AC5"/>
    <w:rsid w:val="00937BEB"/>
    <w:rsid w:val="00937C5B"/>
    <w:rsid w:val="00937D7F"/>
    <w:rsid w:val="00937E2C"/>
    <w:rsid w:val="0094000A"/>
    <w:rsid w:val="00940111"/>
    <w:rsid w:val="009401A9"/>
    <w:rsid w:val="0094030D"/>
    <w:rsid w:val="00940787"/>
    <w:rsid w:val="00940792"/>
    <w:rsid w:val="00940AAA"/>
    <w:rsid w:val="00940B3C"/>
    <w:rsid w:val="00940C01"/>
    <w:rsid w:val="00940CD5"/>
    <w:rsid w:val="00940ECF"/>
    <w:rsid w:val="0094114A"/>
    <w:rsid w:val="00941B66"/>
    <w:rsid w:val="00941F2C"/>
    <w:rsid w:val="00941FB6"/>
    <w:rsid w:val="009420C3"/>
    <w:rsid w:val="00942392"/>
    <w:rsid w:val="00942524"/>
    <w:rsid w:val="00942AA6"/>
    <w:rsid w:val="00942B60"/>
    <w:rsid w:val="0094304F"/>
    <w:rsid w:val="0094314D"/>
    <w:rsid w:val="00943466"/>
    <w:rsid w:val="0094373F"/>
    <w:rsid w:val="009438AE"/>
    <w:rsid w:val="00943A1D"/>
    <w:rsid w:val="00943C77"/>
    <w:rsid w:val="00943E1D"/>
    <w:rsid w:val="00943FA3"/>
    <w:rsid w:val="0094400A"/>
    <w:rsid w:val="00944465"/>
    <w:rsid w:val="00944479"/>
    <w:rsid w:val="009447C3"/>
    <w:rsid w:val="009447C8"/>
    <w:rsid w:val="00945059"/>
    <w:rsid w:val="009450E8"/>
    <w:rsid w:val="0094563F"/>
    <w:rsid w:val="00945755"/>
    <w:rsid w:val="0094581E"/>
    <w:rsid w:val="0094596A"/>
    <w:rsid w:val="00945DB8"/>
    <w:rsid w:val="0094606D"/>
    <w:rsid w:val="0094611E"/>
    <w:rsid w:val="009469E2"/>
    <w:rsid w:val="009475DB"/>
    <w:rsid w:val="00947B8C"/>
    <w:rsid w:val="00947D6F"/>
    <w:rsid w:val="00950003"/>
    <w:rsid w:val="009501AE"/>
    <w:rsid w:val="009501BB"/>
    <w:rsid w:val="0095021F"/>
    <w:rsid w:val="009505BA"/>
    <w:rsid w:val="0095074E"/>
    <w:rsid w:val="009508DC"/>
    <w:rsid w:val="00950A9F"/>
    <w:rsid w:val="00950AFC"/>
    <w:rsid w:val="00950F6F"/>
    <w:rsid w:val="009511A1"/>
    <w:rsid w:val="00951A04"/>
    <w:rsid w:val="00951C06"/>
    <w:rsid w:val="00951DD7"/>
    <w:rsid w:val="00951EA3"/>
    <w:rsid w:val="009522F6"/>
    <w:rsid w:val="00952591"/>
    <w:rsid w:val="00952665"/>
    <w:rsid w:val="00953040"/>
    <w:rsid w:val="00953124"/>
    <w:rsid w:val="00953426"/>
    <w:rsid w:val="00953864"/>
    <w:rsid w:val="00953BF0"/>
    <w:rsid w:val="00953E2B"/>
    <w:rsid w:val="009540DD"/>
    <w:rsid w:val="0095418E"/>
    <w:rsid w:val="009543E8"/>
    <w:rsid w:val="0095446F"/>
    <w:rsid w:val="0095478F"/>
    <w:rsid w:val="00954ACC"/>
    <w:rsid w:val="0095519B"/>
    <w:rsid w:val="009553CF"/>
    <w:rsid w:val="00955586"/>
    <w:rsid w:val="00955B2B"/>
    <w:rsid w:val="009561C0"/>
    <w:rsid w:val="009569E7"/>
    <w:rsid w:val="00956E0A"/>
    <w:rsid w:val="00956EF1"/>
    <w:rsid w:val="0095710F"/>
    <w:rsid w:val="00957317"/>
    <w:rsid w:val="00957320"/>
    <w:rsid w:val="00957497"/>
    <w:rsid w:val="009576AF"/>
    <w:rsid w:val="0095776A"/>
    <w:rsid w:val="009577E3"/>
    <w:rsid w:val="009578A6"/>
    <w:rsid w:val="00957C7F"/>
    <w:rsid w:val="00957D83"/>
    <w:rsid w:val="009602CB"/>
    <w:rsid w:val="00960901"/>
    <w:rsid w:val="00960BAD"/>
    <w:rsid w:val="00960E07"/>
    <w:rsid w:val="009611B8"/>
    <w:rsid w:val="00961630"/>
    <w:rsid w:val="00961847"/>
    <w:rsid w:val="00961D8A"/>
    <w:rsid w:val="00961E9B"/>
    <w:rsid w:val="00961FF6"/>
    <w:rsid w:val="00962254"/>
    <w:rsid w:val="00962CDC"/>
    <w:rsid w:val="00962EFC"/>
    <w:rsid w:val="00962F09"/>
    <w:rsid w:val="0096328F"/>
    <w:rsid w:val="009633CD"/>
    <w:rsid w:val="00963505"/>
    <w:rsid w:val="00963909"/>
    <w:rsid w:val="0096409E"/>
    <w:rsid w:val="00964169"/>
    <w:rsid w:val="00964188"/>
    <w:rsid w:val="00964A70"/>
    <w:rsid w:val="00964C42"/>
    <w:rsid w:val="00965353"/>
    <w:rsid w:val="00965556"/>
    <w:rsid w:val="00965DF4"/>
    <w:rsid w:val="00965E5E"/>
    <w:rsid w:val="00965F52"/>
    <w:rsid w:val="00966337"/>
    <w:rsid w:val="009663BF"/>
    <w:rsid w:val="0096653F"/>
    <w:rsid w:val="009666A4"/>
    <w:rsid w:val="009668FC"/>
    <w:rsid w:val="00966F63"/>
    <w:rsid w:val="00966F83"/>
    <w:rsid w:val="00967152"/>
    <w:rsid w:val="0096728B"/>
    <w:rsid w:val="00967614"/>
    <w:rsid w:val="0096765A"/>
    <w:rsid w:val="009676B9"/>
    <w:rsid w:val="0096771C"/>
    <w:rsid w:val="0096787F"/>
    <w:rsid w:val="00967ABA"/>
    <w:rsid w:val="00967F9D"/>
    <w:rsid w:val="0097022C"/>
    <w:rsid w:val="009702B0"/>
    <w:rsid w:val="00970624"/>
    <w:rsid w:val="0097065A"/>
    <w:rsid w:val="00970D79"/>
    <w:rsid w:val="00970FF3"/>
    <w:rsid w:val="0097145E"/>
    <w:rsid w:val="0097154A"/>
    <w:rsid w:val="00971F3C"/>
    <w:rsid w:val="00972024"/>
    <w:rsid w:val="009724CE"/>
    <w:rsid w:val="0097287D"/>
    <w:rsid w:val="00972A23"/>
    <w:rsid w:val="0097331A"/>
    <w:rsid w:val="00973755"/>
    <w:rsid w:val="00973970"/>
    <w:rsid w:val="00973CCC"/>
    <w:rsid w:val="00973ED1"/>
    <w:rsid w:val="0097402A"/>
    <w:rsid w:val="009741BE"/>
    <w:rsid w:val="009747E1"/>
    <w:rsid w:val="0097519E"/>
    <w:rsid w:val="00975222"/>
    <w:rsid w:val="009752CF"/>
    <w:rsid w:val="00975374"/>
    <w:rsid w:val="009753DD"/>
    <w:rsid w:val="0097592D"/>
    <w:rsid w:val="00975933"/>
    <w:rsid w:val="00975BD3"/>
    <w:rsid w:val="00975E8C"/>
    <w:rsid w:val="00975EAB"/>
    <w:rsid w:val="00975F21"/>
    <w:rsid w:val="0097617E"/>
    <w:rsid w:val="0097652C"/>
    <w:rsid w:val="0097675D"/>
    <w:rsid w:val="009769BF"/>
    <w:rsid w:val="009769CF"/>
    <w:rsid w:val="00976A05"/>
    <w:rsid w:val="00976B65"/>
    <w:rsid w:val="00976CE6"/>
    <w:rsid w:val="0097757E"/>
    <w:rsid w:val="00977614"/>
    <w:rsid w:val="009776EA"/>
    <w:rsid w:val="009777C4"/>
    <w:rsid w:val="0098004F"/>
    <w:rsid w:val="00980307"/>
    <w:rsid w:val="00980314"/>
    <w:rsid w:val="009811CA"/>
    <w:rsid w:val="00981223"/>
    <w:rsid w:val="00981325"/>
    <w:rsid w:val="0098134F"/>
    <w:rsid w:val="00981748"/>
    <w:rsid w:val="009818E6"/>
    <w:rsid w:val="009819D2"/>
    <w:rsid w:val="00981AE9"/>
    <w:rsid w:val="00981E4C"/>
    <w:rsid w:val="0098216F"/>
    <w:rsid w:val="009821D3"/>
    <w:rsid w:val="00982331"/>
    <w:rsid w:val="00982377"/>
    <w:rsid w:val="00982C36"/>
    <w:rsid w:val="0098318A"/>
    <w:rsid w:val="0098335E"/>
    <w:rsid w:val="00983824"/>
    <w:rsid w:val="00983DD1"/>
    <w:rsid w:val="009841E3"/>
    <w:rsid w:val="00984437"/>
    <w:rsid w:val="0098454B"/>
    <w:rsid w:val="009846C3"/>
    <w:rsid w:val="0098476E"/>
    <w:rsid w:val="009847AE"/>
    <w:rsid w:val="00984A34"/>
    <w:rsid w:val="00984EC1"/>
    <w:rsid w:val="00984F54"/>
    <w:rsid w:val="009851E4"/>
    <w:rsid w:val="00985469"/>
    <w:rsid w:val="00985479"/>
    <w:rsid w:val="00985668"/>
    <w:rsid w:val="009859B7"/>
    <w:rsid w:val="009859E7"/>
    <w:rsid w:val="00985A98"/>
    <w:rsid w:val="00985C9C"/>
    <w:rsid w:val="00985E25"/>
    <w:rsid w:val="00985FBB"/>
    <w:rsid w:val="0098625D"/>
    <w:rsid w:val="009863B8"/>
    <w:rsid w:val="009863FF"/>
    <w:rsid w:val="00986435"/>
    <w:rsid w:val="009866FB"/>
    <w:rsid w:val="00986730"/>
    <w:rsid w:val="0098674E"/>
    <w:rsid w:val="00986A78"/>
    <w:rsid w:val="00987081"/>
    <w:rsid w:val="00987188"/>
    <w:rsid w:val="00987365"/>
    <w:rsid w:val="00987390"/>
    <w:rsid w:val="009873EA"/>
    <w:rsid w:val="009879EE"/>
    <w:rsid w:val="009879F4"/>
    <w:rsid w:val="00987D5A"/>
    <w:rsid w:val="00987D9E"/>
    <w:rsid w:val="00990165"/>
    <w:rsid w:val="009905E6"/>
    <w:rsid w:val="00990609"/>
    <w:rsid w:val="00990841"/>
    <w:rsid w:val="00990ADB"/>
    <w:rsid w:val="00990ECE"/>
    <w:rsid w:val="00990FDE"/>
    <w:rsid w:val="0099113D"/>
    <w:rsid w:val="009912FF"/>
    <w:rsid w:val="009919BC"/>
    <w:rsid w:val="00991A10"/>
    <w:rsid w:val="00991A28"/>
    <w:rsid w:val="00991AFE"/>
    <w:rsid w:val="00991B1D"/>
    <w:rsid w:val="00991C37"/>
    <w:rsid w:val="00991C7F"/>
    <w:rsid w:val="00991DFF"/>
    <w:rsid w:val="00991F39"/>
    <w:rsid w:val="00992489"/>
    <w:rsid w:val="00992575"/>
    <w:rsid w:val="009928CB"/>
    <w:rsid w:val="00992E48"/>
    <w:rsid w:val="00993002"/>
    <w:rsid w:val="0099376E"/>
    <w:rsid w:val="00993A62"/>
    <w:rsid w:val="00993E7C"/>
    <w:rsid w:val="009941C1"/>
    <w:rsid w:val="0099440A"/>
    <w:rsid w:val="00994719"/>
    <w:rsid w:val="00994A6F"/>
    <w:rsid w:val="00995455"/>
    <w:rsid w:val="00995BEB"/>
    <w:rsid w:val="00995C86"/>
    <w:rsid w:val="00995C92"/>
    <w:rsid w:val="0099611D"/>
    <w:rsid w:val="009966FC"/>
    <w:rsid w:val="0099674B"/>
    <w:rsid w:val="00996A32"/>
    <w:rsid w:val="00996C82"/>
    <w:rsid w:val="00996E11"/>
    <w:rsid w:val="009974C4"/>
    <w:rsid w:val="00997646"/>
    <w:rsid w:val="00997728"/>
    <w:rsid w:val="0099778E"/>
    <w:rsid w:val="00997922"/>
    <w:rsid w:val="00997A19"/>
    <w:rsid w:val="00997BF9"/>
    <w:rsid w:val="00997C84"/>
    <w:rsid w:val="00997CE6"/>
    <w:rsid w:val="00997CFA"/>
    <w:rsid w:val="009A01C8"/>
    <w:rsid w:val="009A01E7"/>
    <w:rsid w:val="009A0771"/>
    <w:rsid w:val="009A0AB5"/>
    <w:rsid w:val="009A0C5C"/>
    <w:rsid w:val="009A0E6F"/>
    <w:rsid w:val="009A1A97"/>
    <w:rsid w:val="009A1F50"/>
    <w:rsid w:val="009A205F"/>
    <w:rsid w:val="009A22E4"/>
    <w:rsid w:val="009A2662"/>
    <w:rsid w:val="009A2922"/>
    <w:rsid w:val="009A2B27"/>
    <w:rsid w:val="009A2D5D"/>
    <w:rsid w:val="009A2D79"/>
    <w:rsid w:val="009A3056"/>
    <w:rsid w:val="009A3985"/>
    <w:rsid w:val="009A4037"/>
    <w:rsid w:val="009A49AC"/>
    <w:rsid w:val="009A4AA2"/>
    <w:rsid w:val="009A4AB7"/>
    <w:rsid w:val="009A4B33"/>
    <w:rsid w:val="009A4FC6"/>
    <w:rsid w:val="009A56CE"/>
    <w:rsid w:val="009A5AE8"/>
    <w:rsid w:val="009A5B44"/>
    <w:rsid w:val="009A5C09"/>
    <w:rsid w:val="009A5C2F"/>
    <w:rsid w:val="009A5D45"/>
    <w:rsid w:val="009A606F"/>
    <w:rsid w:val="009A632B"/>
    <w:rsid w:val="009A6982"/>
    <w:rsid w:val="009A6B1B"/>
    <w:rsid w:val="009A6B5E"/>
    <w:rsid w:val="009A6FAF"/>
    <w:rsid w:val="009A76C5"/>
    <w:rsid w:val="009A7B4E"/>
    <w:rsid w:val="009A7E16"/>
    <w:rsid w:val="009B00CD"/>
    <w:rsid w:val="009B0155"/>
    <w:rsid w:val="009B0235"/>
    <w:rsid w:val="009B11AC"/>
    <w:rsid w:val="009B11F5"/>
    <w:rsid w:val="009B147B"/>
    <w:rsid w:val="009B14A8"/>
    <w:rsid w:val="009B14BF"/>
    <w:rsid w:val="009B18C3"/>
    <w:rsid w:val="009B2D01"/>
    <w:rsid w:val="009B329F"/>
    <w:rsid w:val="009B3DD5"/>
    <w:rsid w:val="009B3E31"/>
    <w:rsid w:val="009B42E8"/>
    <w:rsid w:val="009B4401"/>
    <w:rsid w:val="009B4473"/>
    <w:rsid w:val="009B4649"/>
    <w:rsid w:val="009B4B30"/>
    <w:rsid w:val="009B4FC2"/>
    <w:rsid w:val="009B5339"/>
    <w:rsid w:val="009B54AB"/>
    <w:rsid w:val="009B5763"/>
    <w:rsid w:val="009B57A4"/>
    <w:rsid w:val="009B5C31"/>
    <w:rsid w:val="009B5ECA"/>
    <w:rsid w:val="009B66C4"/>
    <w:rsid w:val="009B6709"/>
    <w:rsid w:val="009B673C"/>
    <w:rsid w:val="009B69DB"/>
    <w:rsid w:val="009B6BB1"/>
    <w:rsid w:val="009B6E6E"/>
    <w:rsid w:val="009B723F"/>
    <w:rsid w:val="009B7C76"/>
    <w:rsid w:val="009B7E3A"/>
    <w:rsid w:val="009C04A7"/>
    <w:rsid w:val="009C05B1"/>
    <w:rsid w:val="009C0845"/>
    <w:rsid w:val="009C087B"/>
    <w:rsid w:val="009C0FFF"/>
    <w:rsid w:val="009C11E8"/>
    <w:rsid w:val="009C13A2"/>
    <w:rsid w:val="009C141D"/>
    <w:rsid w:val="009C1974"/>
    <w:rsid w:val="009C1D6F"/>
    <w:rsid w:val="009C2234"/>
    <w:rsid w:val="009C22AC"/>
    <w:rsid w:val="009C2895"/>
    <w:rsid w:val="009C297B"/>
    <w:rsid w:val="009C2CF6"/>
    <w:rsid w:val="009C30D3"/>
    <w:rsid w:val="009C3214"/>
    <w:rsid w:val="009C357E"/>
    <w:rsid w:val="009C368C"/>
    <w:rsid w:val="009C36F0"/>
    <w:rsid w:val="009C3824"/>
    <w:rsid w:val="009C409F"/>
    <w:rsid w:val="009C49D8"/>
    <w:rsid w:val="009C4C4B"/>
    <w:rsid w:val="009C4D0C"/>
    <w:rsid w:val="009C505F"/>
    <w:rsid w:val="009C51CD"/>
    <w:rsid w:val="009C52E5"/>
    <w:rsid w:val="009C57A6"/>
    <w:rsid w:val="009C59B9"/>
    <w:rsid w:val="009C59DA"/>
    <w:rsid w:val="009C5E11"/>
    <w:rsid w:val="009C5EA3"/>
    <w:rsid w:val="009C6520"/>
    <w:rsid w:val="009C659B"/>
    <w:rsid w:val="009C6BB8"/>
    <w:rsid w:val="009C6BEE"/>
    <w:rsid w:val="009C6CD9"/>
    <w:rsid w:val="009C6E3D"/>
    <w:rsid w:val="009C6F0F"/>
    <w:rsid w:val="009C713C"/>
    <w:rsid w:val="009C7C11"/>
    <w:rsid w:val="009C7CB6"/>
    <w:rsid w:val="009C7F51"/>
    <w:rsid w:val="009D041A"/>
    <w:rsid w:val="009D0666"/>
    <w:rsid w:val="009D0774"/>
    <w:rsid w:val="009D1313"/>
    <w:rsid w:val="009D1781"/>
    <w:rsid w:val="009D1896"/>
    <w:rsid w:val="009D19F8"/>
    <w:rsid w:val="009D1CD7"/>
    <w:rsid w:val="009D23CA"/>
    <w:rsid w:val="009D23F4"/>
    <w:rsid w:val="009D2820"/>
    <w:rsid w:val="009D2862"/>
    <w:rsid w:val="009D2BE0"/>
    <w:rsid w:val="009D3401"/>
    <w:rsid w:val="009D41F4"/>
    <w:rsid w:val="009D4203"/>
    <w:rsid w:val="009D423C"/>
    <w:rsid w:val="009D42EB"/>
    <w:rsid w:val="009D484B"/>
    <w:rsid w:val="009D48DA"/>
    <w:rsid w:val="009D4C13"/>
    <w:rsid w:val="009D51DC"/>
    <w:rsid w:val="009D534F"/>
    <w:rsid w:val="009D57E5"/>
    <w:rsid w:val="009D5DD9"/>
    <w:rsid w:val="009D5FFA"/>
    <w:rsid w:val="009D6D91"/>
    <w:rsid w:val="009D6E53"/>
    <w:rsid w:val="009D7411"/>
    <w:rsid w:val="009D7469"/>
    <w:rsid w:val="009D7489"/>
    <w:rsid w:val="009D7758"/>
    <w:rsid w:val="009D77CF"/>
    <w:rsid w:val="009D7AC6"/>
    <w:rsid w:val="009D7FF2"/>
    <w:rsid w:val="009E0135"/>
    <w:rsid w:val="009E0506"/>
    <w:rsid w:val="009E069F"/>
    <w:rsid w:val="009E1313"/>
    <w:rsid w:val="009E13C1"/>
    <w:rsid w:val="009E1637"/>
    <w:rsid w:val="009E1AF9"/>
    <w:rsid w:val="009E1D26"/>
    <w:rsid w:val="009E1E49"/>
    <w:rsid w:val="009E23BD"/>
    <w:rsid w:val="009E27FB"/>
    <w:rsid w:val="009E2A7B"/>
    <w:rsid w:val="009E309C"/>
    <w:rsid w:val="009E36AA"/>
    <w:rsid w:val="009E38C0"/>
    <w:rsid w:val="009E4115"/>
    <w:rsid w:val="009E449B"/>
    <w:rsid w:val="009E44BA"/>
    <w:rsid w:val="009E47BE"/>
    <w:rsid w:val="009E47CF"/>
    <w:rsid w:val="009E4D82"/>
    <w:rsid w:val="009E4F1B"/>
    <w:rsid w:val="009E510E"/>
    <w:rsid w:val="009E5548"/>
    <w:rsid w:val="009E5575"/>
    <w:rsid w:val="009E57D4"/>
    <w:rsid w:val="009E5A05"/>
    <w:rsid w:val="009E5CD5"/>
    <w:rsid w:val="009E5D48"/>
    <w:rsid w:val="009E5DDC"/>
    <w:rsid w:val="009E5FA1"/>
    <w:rsid w:val="009E6485"/>
    <w:rsid w:val="009E6509"/>
    <w:rsid w:val="009E6F11"/>
    <w:rsid w:val="009E747F"/>
    <w:rsid w:val="009E74A3"/>
    <w:rsid w:val="009E7C13"/>
    <w:rsid w:val="009E7E77"/>
    <w:rsid w:val="009EC427"/>
    <w:rsid w:val="009F042E"/>
    <w:rsid w:val="009F049C"/>
    <w:rsid w:val="009F0607"/>
    <w:rsid w:val="009F09A0"/>
    <w:rsid w:val="009F11D7"/>
    <w:rsid w:val="009F1427"/>
    <w:rsid w:val="009F1819"/>
    <w:rsid w:val="009F1DEA"/>
    <w:rsid w:val="009F2037"/>
    <w:rsid w:val="009F22FF"/>
    <w:rsid w:val="009F2319"/>
    <w:rsid w:val="009F241C"/>
    <w:rsid w:val="009F2578"/>
    <w:rsid w:val="009F2684"/>
    <w:rsid w:val="009F275E"/>
    <w:rsid w:val="009F2A16"/>
    <w:rsid w:val="009F324E"/>
    <w:rsid w:val="009F3288"/>
    <w:rsid w:val="009F3783"/>
    <w:rsid w:val="009F39F1"/>
    <w:rsid w:val="009F3FC5"/>
    <w:rsid w:val="009F40CE"/>
    <w:rsid w:val="009F44DB"/>
    <w:rsid w:val="009F469E"/>
    <w:rsid w:val="009F478D"/>
    <w:rsid w:val="009F4A20"/>
    <w:rsid w:val="009F4ED3"/>
    <w:rsid w:val="009F4EED"/>
    <w:rsid w:val="009F5015"/>
    <w:rsid w:val="009F5F47"/>
    <w:rsid w:val="009F5FD7"/>
    <w:rsid w:val="009F6377"/>
    <w:rsid w:val="009F68EB"/>
    <w:rsid w:val="009F6D30"/>
    <w:rsid w:val="009F6E8D"/>
    <w:rsid w:val="009F7044"/>
    <w:rsid w:val="009F7184"/>
    <w:rsid w:val="009F720D"/>
    <w:rsid w:val="009F7719"/>
    <w:rsid w:val="009F7B90"/>
    <w:rsid w:val="009F7D53"/>
    <w:rsid w:val="00A003FF"/>
    <w:rsid w:val="00A00731"/>
    <w:rsid w:val="00A00800"/>
    <w:rsid w:val="00A00A1B"/>
    <w:rsid w:val="00A00ACD"/>
    <w:rsid w:val="00A011A4"/>
    <w:rsid w:val="00A011C1"/>
    <w:rsid w:val="00A01445"/>
    <w:rsid w:val="00A01621"/>
    <w:rsid w:val="00A018E2"/>
    <w:rsid w:val="00A019E1"/>
    <w:rsid w:val="00A01BF5"/>
    <w:rsid w:val="00A020CF"/>
    <w:rsid w:val="00A020EB"/>
    <w:rsid w:val="00A0261B"/>
    <w:rsid w:val="00A02871"/>
    <w:rsid w:val="00A02982"/>
    <w:rsid w:val="00A02B9C"/>
    <w:rsid w:val="00A03141"/>
    <w:rsid w:val="00A03676"/>
    <w:rsid w:val="00A03CD3"/>
    <w:rsid w:val="00A03D86"/>
    <w:rsid w:val="00A043A8"/>
    <w:rsid w:val="00A04607"/>
    <w:rsid w:val="00A049EF"/>
    <w:rsid w:val="00A04BA9"/>
    <w:rsid w:val="00A05327"/>
    <w:rsid w:val="00A05B14"/>
    <w:rsid w:val="00A05C1B"/>
    <w:rsid w:val="00A05E1C"/>
    <w:rsid w:val="00A06050"/>
    <w:rsid w:val="00A062F0"/>
    <w:rsid w:val="00A06F4F"/>
    <w:rsid w:val="00A070AB"/>
    <w:rsid w:val="00A0714D"/>
    <w:rsid w:val="00A077B9"/>
    <w:rsid w:val="00A07C30"/>
    <w:rsid w:val="00A10106"/>
    <w:rsid w:val="00A101BC"/>
    <w:rsid w:val="00A10268"/>
    <w:rsid w:val="00A10529"/>
    <w:rsid w:val="00A10639"/>
    <w:rsid w:val="00A10674"/>
    <w:rsid w:val="00A108E9"/>
    <w:rsid w:val="00A10907"/>
    <w:rsid w:val="00A10A1C"/>
    <w:rsid w:val="00A10D1E"/>
    <w:rsid w:val="00A10F28"/>
    <w:rsid w:val="00A11BB9"/>
    <w:rsid w:val="00A11F31"/>
    <w:rsid w:val="00A123B8"/>
    <w:rsid w:val="00A125DF"/>
    <w:rsid w:val="00A12920"/>
    <w:rsid w:val="00A12A6A"/>
    <w:rsid w:val="00A13366"/>
    <w:rsid w:val="00A134CC"/>
    <w:rsid w:val="00A13833"/>
    <w:rsid w:val="00A13AF4"/>
    <w:rsid w:val="00A13B33"/>
    <w:rsid w:val="00A13B86"/>
    <w:rsid w:val="00A141A4"/>
    <w:rsid w:val="00A1449B"/>
    <w:rsid w:val="00A148E0"/>
    <w:rsid w:val="00A14C5A"/>
    <w:rsid w:val="00A14F81"/>
    <w:rsid w:val="00A154F2"/>
    <w:rsid w:val="00A156B6"/>
    <w:rsid w:val="00A15987"/>
    <w:rsid w:val="00A159BB"/>
    <w:rsid w:val="00A15A12"/>
    <w:rsid w:val="00A1627E"/>
    <w:rsid w:val="00A163B6"/>
    <w:rsid w:val="00A1651F"/>
    <w:rsid w:val="00A1656D"/>
    <w:rsid w:val="00A1694E"/>
    <w:rsid w:val="00A16B49"/>
    <w:rsid w:val="00A16B76"/>
    <w:rsid w:val="00A16CDC"/>
    <w:rsid w:val="00A16F43"/>
    <w:rsid w:val="00A174BB"/>
    <w:rsid w:val="00A175C0"/>
    <w:rsid w:val="00A177F2"/>
    <w:rsid w:val="00A17AE8"/>
    <w:rsid w:val="00A17DE4"/>
    <w:rsid w:val="00A2004A"/>
    <w:rsid w:val="00A20056"/>
    <w:rsid w:val="00A200AD"/>
    <w:rsid w:val="00A204A1"/>
    <w:rsid w:val="00A2053E"/>
    <w:rsid w:val="00A20A16"/>
    <w:rsid w:val="00A21445"/>
    <w:rsid w:val="00A214D3"/>
    <w:rsid w:val="00A215F6"/>
    <w:rsid w:val="00A21606"/>
    <w:rsid w:val="00A21819"/>
    <w:rsid w:val="00A21B7A"/>
    <w:rsid w:val="00A21DD5"/>
    <w:rsid w:val="00A21E68"/>
    <w:rsid w:val="00A21F9D"/>
    <w:rsid w:val="00A2234D"/>
    <w:rsid w:val="00A2240A"/>
    <w:rsid w:val="00A22686"/>
    <w:rsid w:val="00A22C0F"/>
    <w:rsid w:val="00A23096"/>
    <w:rsid w:val="00A23691"/>
    <w:rsid w:val="00A23CB6"/>
    <w:rsid w:val="00A24373"/>
    <w:rsid w:val="00A24418"/>
    <w:rsid w:val="00A24704"/>
    <w:rsid w:val="00A24766"/>
    <w:rsid w:val="00A24ABC"/>
    <w:rsid w:val="00A24E04"/>
    <w:rsid w:val="00A25236"/>
    <w:rsid w:val="00A25713"/>
    <w:rsid w:val="00A25825"/>
    <w:rsid w:val="00A259A7"/>
    <w:rsid w:val="00A259B7"/>
    <w:rsid w:val="00A25ACD"/>
    <w:rsid w:val="00A25D85"/>
    <w:rsid w:val="00A266A6"/>
    <w:rsid w:val="00A268E0"/>
    <w:rsid w:val="00A26CDB"/>
    <w:rsid w:val="00A26FED"/>
    <w:rsid w:val="00A272D5"/>
    <w:rsid w:val="00A2779D"/>
    <w:rsid w:val="00A27B6D"/>
    <w:rsid w:val="00A27BC2"/>
    <w:rsid w:val="00A30211"/>
    <w:rsid w:val="00A30D0F"/>
    <w:rsid w:val="00A30D51"/>
    <w:rsid w:val="00A30D59"/>
    <w:rsid w:val="00A30DF5"/>
    <w:rsid w:val="00A30EEA"/>
    <w:rsid w:val="00A310E7"/>
    <w:rsid w:val="00A3110A"/>
    <w:rsid w:val="00A311F9"/>
    <w:rsid w:val="00A31268"/>
    <w:rsid w:val="00A31475"/>
    <w:rsid w:val="00A3160E"/>
    <w:rsid w:val="00A319EE"/>
    <w:rsid w:val="00A31B59"/>
    <w:rsid w:val="00A32253"/>
    <w:rsid w:val="00A32657"/>
    <w:rsid w:val="00A32840"/>
    <w:rsid w:val="00A3287A"/>
    <w:rsid w:val="00A32ADA"/>
    <w:rsid w:val="00A32FF7"/>
    <w:rsid w:val="00A330AE"/>
    <w:rsid w:val="00A33540"/>
    <w:rsid w:val="00A3366C"/>
    <w:rsid w:val="00A33B22"/>
    <w:rsid w:val="00A33E0B"/>
    <w:rsid w:val="00A34014"/>
    <w:rsid w:val="00A340F0"/>
    <w:rsid w:val="00A345BB"/>
    <w:rsid w:val="00A3478D"/>
    <w:rsid w:val="00A3497C"/>
    <w:rsid w:val="00A34C56"/>
    <w:rsid w:val="00A34DA6"/>
    <w:rsid w:val="00A34DE5"/>
    <w:rsid w:val="00A34E61"/>
    <w:rsid w:val="00A350E5"/>
    <w:rsid w:val="00A35100"/>
    <w:rsid w:val="00A35134"/>
    <w:rsid w:val="00A35236"/>
    <w:rsid w:val="00A356FF"/>
    <w:rsid w:val="00A35A47"/>
    <w:rsid w:val="00A35BCF"/>
    <w:rsid w:val="00A35C45"/>
    <w:rsid w:val="00A35C9F"/>
    <w:rsid w:val="00A368D0"/>
    <w:rsid w:val="00A36A18"/>
    <w:rsid w:val="00A36DF6"/>
    <w:rsid w:val="00A37070"/>
    <w:rsid w:val="00A37809"/>
    <w:rsid w:val="00A37AC1"/>
    <w:rsid w:val="00A37C94"/>
    <w:rsid w:val="00A37CEB"/>
    <w:rsid w:val="00A403C1"/>
    <w:rsid w:val="00A4049A"/>
    <w:rsid w:val="00A404A5"/>
    <w:rsid w:val="00A40523"/>
    <w:rsid w:val="00A4054C"/>
    <w:rsid w:val="00A40569"/>
    <w:rsid w:val="00A4097F"/>
    <w:rsid w:val="00A40B2A"/>
    <w:rsid w:val="00A40B5F"/>
    <w:rsid w:val="00A410C9"/>
    <w:rsid w:val="00A41294"/>
    <w:rsid w:val="00A4171C"/>
    <w:rsid w:val="00A417C5"/>
    <w:rsid w:val="00A41904"/>
    <w:rsid w:val="00A41A67"/>
    <w:rsid w:val="00A41ABF"/>
    <w:rsid w:val="00A41B6F"/>
    <w:rsid w:val="00A41B8C"/>
    <w:rsid w:val="00A41E41"/>
    <w:rsid w:val="00A41EF2"/>
    <w:rsid w:val="00A42328"/>
    <w:rsid w:val="00A423D1"/>
    <w:rsid w:val="00A427D3"/>
    <w:rsid w:val="00A43118"/>
    <w:rsid w:val="00A434EC"/>
    <w:rsid w:val="00A43505"/>
    <w:rsid w:val="00A43634"/>
    <w:rsid w:val="00A4396D"/>
    <w:rsid w:val="00A43F2B"/>
    <w:rsid w:val="00A4434C"/>
    <w:rsid w:val="00A4454B"/>
    <w:rsid w:val="00A447E4"/>
    <w:rsid w:val="00A4481E"/>
    <w:rsid w:val="00A44AC1"/>
    <w:rsid w:val="00A44B76"/>
    <w:rsid w:val="00A44FA8"/>
    <w:rsid w:val="00A454C5"/>
    <w:rsid w:val="00A454E3"/>
    <w:rsid w:val="00A457DD"/>
    <w:rsid w:val="00A45A24"/>
    <w:rsid w:val="00A45BA6"/>
    <w:rsid w:val="00A45BBC"/>
    <w:rsid w:val="00A45BEF"/>
    <w:rsid w:val="00A45E4F"/>
    <w:rsid w:val="00A46079"/>
    <w:rsid w:val="00A46350"/>
    <w:rsid w:val="00A46577"/>
    <w:rsid w:val="00A46629"/>
    <w:rsid w:val="00A46B49"/>
    <w:rsid w:val="00A472A5"/>
    <w:rsid w:val="00A473F2"/>
    <w:rsid w:val="00A47415"/>
    <w:rsid w:val="00A47935"/>
    <w:rsid w:val="00A479B8"/>
    <w:rsid w:val="00A47B9B"/>
    <w:rsid w:val="00A505A9"/>
    <w:rsid w:val="00A505B6"/>
    <w:rsid w:val="00A5081E"/>
    <w:rsid w:val="00A50895"/>
    <w:rsid w:val="00A50DA4"/>
    <w:rsid w:val="00A50EF7"/>
    <w:rsid w:val="00A51219"/>
    <w:rsid w:val="00A51871"/>
    <w:rsid w:val="00A51904"/>
    <w:rsid w:val="00A52253"/>
    <w:rsid w:val="00A52342"/>
    <w:rsid w:val="00A525B4"/>
    <w:rsid w:val="00A52DDB"/>
    <w:rsid w:val="00A52E32"/>
    <w:rsid w:val="00A537BB"/>
    <w:rsid w:val="00A537C1"/>
    <w:rsid w:val="00A53AD4"/>
    <w:rsid w:val="00A53CEE"/>
    <w:rsid w:val="00A54666"/>
    <w:rsid w:val="00A54672"/>
    <w:rsid w:val="00A546F6"/>
    <w:rsid w:val="00A548AD"/>
    <w:rsid w:val="00A54B5E"/>
    <w:rsid w:val="00A54F7A"/>
    <w:rsid w:val="00A54F88"/>
    <w:rsid w:val="00A55557"/>
    <w:rsid w:val="00A55743"/>
    <w:rsid w:val="00A55761"/>
    <w:rsid w:val="00A55ED6"/>
    <w:rsid w:val="00A55F0F"/>
    <w:rsid w:val="00A562A2"/>
    <w:rsid w:val="00A563C5"/>
    <w:rsid w:val="00A564D6"/>
    <w:rsid w:val="00A5680B"/>
    <w:rsid w:val="00A56A11"/>
    <w:rsid w:val="00A56B9F"/>
    <w:rsid w:val="00A575AE"/>
    <w:rsid w:val="00A57676"/>
    <w:rsid w:val="00A57677"/>
    <w:rsid w:val="00A576FB"/>
    <w:rsid w:val="00A57702"/>
    <w:rsid w:val="00A57CE5"/>
    <w:rsid w:val="00A57D4E"/>
    <w:rsid w:val="00A57E1E"/>
    <w:rsid w:val="00A57F34"/>
    <w:rsid w:val="00A60253"/>
    <w:rsid w:val="00A603C5"/>
    <w:rsid w:val="00A60442"/>
    <w:rsid w:val="00A6048B"/>
    <w:rsid w:val="00A607C2"/>
    <w:rsid w:val="00A6087F"/>
    <w:rsid w:val="00A60F6F"/>
    <w:rsid w:val="00A60F78"/>
    <w:rsid w:val="00A6107A"/>
    <w:rsid w:val="00A615DA"/>
    <w:rsid w:val="00A619B3"/>
    <w:rsid w:val="00A61D71"/>
    <w:rsid w:val="00A62036"/>
    <w:rsid w:val="00A620B6"/>
    <w:rsid w:val="00A622C7"/>
    <w:rsid w:val="00A6255E"/>
    <w:rsid w:val="00A62A21"/>
    <w:rsid w:val="00A62CEF"/>
    <w:rsid w:val="00A62FA1"/>
    <w:rsid w:val="00A63322"/>
    <w:rsid w:val="00A63372"/>
    <w:rsid w:val="00A63685"/>
    <w:rsid w:val="00A6391F"/>
    <w:rsid w:val="00A63AD5"/>
    <w:rsid w:val="00A64CC8"/>
    <w:rsid w:val="00A64CEE"/>
    <w:rsid w:val="00A65045"/>
    <w:rsid w:val="00A65087"/>
    <w:rsid w:val="00A65274"/>
    <w:rsid w:val="00A654BD"/>
    <w:rsid w:val="00A65621"/>
    <w:rsid w:val="00A65CE8"/>
    <w:rsid w:val="00A65DEC"/>
    <w:rsid w:val="00A66068"/>
    <w:rsid w:val="00A6628E"/>
    <w:rsid w:val="00A66390"/>
    <w:rsid w:val="00A664D9"/>
    <w:rsid w:val="00A66509"/>
    <w:rsid w:val="00A665E7"/>
    <w:rsid w:val="00A66E11"/>
    <w:rsid w:val="00A66E1A"/>
    <w:rsid w:val="00A66EEA"/>
    <w:rsid w:val="00A672A0"/>
    <w:rsid w:val="00A67347"/>
    <w:rsid w:val="00A6734F"/>
    <w:rsid w:val="00A67363"/>
    <w:rsid w:val="00A67529"/>
    <w:rsid w:val="00A67A19"/>
    <w:rsid w:val="00A67AA3"/>
    <w:rsid w:val="00A67BC9"/>
    <w:rsid w:val="00A67BEC"/>
    <w:rsid w:val="00A67FCB"/>
    <w:rsid w:val="00A700FF"/>
    <w:rsid w:val="00A701D8"/>
    <w:rsid w:val="00A702DD"/>
    <w:rsid w:val="00A7053C"/>
    <w:rsid w:val="00A70F36"/>
    <w:rsid w:val="00A71549"/>
    <w:rsid w:val="00A71720"/>
    <w:rsid w:val="00A71829"/>
    <w:rsid w:val="00A71F28"/>
    <w:rsid w:val="00A7221F"/>
    <w:rsid w:val="00A722BE"/>
    <w:rsid w:val="00A72A31"/>
    <w:rsid w:val="00A72E60"/>
    <w:rsid w:val="00A72E7F"/>
    <w:rsid w:val="00A7343C"/>
    <w:rsid w:val="00A7350B"/>
    <w:rsid w:val="00A736A2"/>
    <w:rsid w:val="00A73704"/>
    <w:rsid w:val="00A738E7"/>
    <w:rsid w:val="00A73A0E"/>
    <w:rsid w:val="00A73E04"/>
    <w:rsid w:val="00A73E82"/>
    <w:rsid w:val="00A73F3E"/>
    <w:rsid w:val="00A7431A"/>
    <w:rsid w:val="00A74467"/>
    <w:rsid w:val="00A74691"/>
    <w:rsid w:val="00A7489D"/>
    <w:rsid w:val="00A74C46"/>
    <w:rsid w:val="00A74F3B"/>
    <w:rsid w:val="00A75020"/>
    <w:rsid w:val="00A75201"/>
    <w:rsid w:val="00A7589D"/>
    <w:rsid w:val="00A76256"/>
    <w:rsid w:val="00A762BA"/>
    <w:rsid w:val="00A76960"/>
    <w:rsid w:val="00A76AB1"/>
    <w:rsid w:val="00A76B54"/>
    <w:rsid w:val="00A76D5A"/>
    <w:rsid w:val="00A76EC1"/>
    <w:rsid w:val="00A77953"/>
    <w:rsid w:val="00A779A6"/>
    <w:rsid w:val="00A804BB"/>
    <w:rsid w:val="00A807CC"/>
    <w:rsid w:val="00A80EE5"/>
    <w:rsid w:val="00A81CE8"/>
    <w:rsid w:val="00A81FC6"/>
    <w:rsid w:val="00A820BC"/>
    <w:rsid w:val="00A823B5"/>
    <w:rsid w:val="00A82610"/>
    <w:rsid w:val="00A827E3"/>
    <w:rsid w:val="00A831B0"/>
    <w:rsid w:val="00A83233"/>
    <w:rsid w:val="00A834B2"/>
    <w:rsid w:val="00A838D7"/>
    <w:rsid w:val="00A83A12"/>
    <w:rsid w:val="00A83AB7"/>
    <w:rsid w:val="00A84893"/>
    <w:rsid w:val="00A84943"/>
    <w:rsid w:val="00A84BDD"/>
    <w:rsid w:val="00A84E09"/>
    <w:rsid w:val="00A84F3F"/>
    <w:rsid w:val="00A850BE"/>
    <w:rsid w:val="00A85209"/>
    <w:rsid w:val="00A855A3"/>
    <w:rsid w:val="00A855EC"/>
    <w:rsid w:val="00A859D1"/>
    <w:rsid w:val="00A85E30"/>
    <w:rsid w:val="00A85E73"/>
    <w:rsid w:val="00A868B0"/>
    <w:rsid w:val="00A86903"/>
    <w:rsid w:val="00A86CBB"/>
    <w:rsid w:val="00A8700E"/>
    <w:rsid w:val="00A872DE"/>
    <w:rsid w:val="00A87471"/>
    <w:rsid w:val="00A87769"/>
    <w:rsid w:val="00A8786A"/>
    <w:rsid w:val="00A87886"/>
    <w:rsid w:val="00A87CA3"/>
    <w:rsid w:val="00A87E6D"/>
    <w:rsid w:val="00A87ECB"/>
    <w:rsid w:val="00A9022D"/>
    <w:rsid w:val="00A902DF"/>
    <w:rsid w:val="00A90499"/>
    <w:rsid w:val="00A90A4D"/>
    <w:rsid w:val="00A90BF8"/>
    <w:rsid w:val="00A90F3A"/>
    <w:rsid w:val="00A9146A"/>
    <w:rsid w:val="00A91FA5"/>
    <w:rsid w:val="00A92258"/>
    <w:rsid w:val="00A92574"/>
    <w:rsid w:val="00A9276D"/>
    <w:rsid w:val="00A92BA7"/>
    <w:rsid w:val="00A92C33"/>
    <w:rsid w:val="00A92EBB"/>
    <w:rsid w:val="00A92F49"/>
    <w:rsid w:val="00A9339E"/>
    <w:rsid w:val="00A93504"/>
    <w:rsid w:val="00A93D64"/>
    <w:rsid w:val="00A93F48"/>
    <w:rsid w:val="00A940D6"/>
    <w:rsid w:val="00A94267"/>
    <w:rsid w:val="00A94652"/>
    <w:rsid w:val="00A946CF"/>
    <w:rsid w:val="00A946D4"/>
    <w:rsid w:val="00A9489A"/>
    <w:rsid w:val="00A948C2"/>
    <w:rsid w:val="00A94A5B"/>
    <w:rsid w:val="00A94D7F"/>
    <w:rsid w:val="00A94EA6"/>
    <w:rsid w:val="00A94F4F"/>
    <w:rsid w:val="00A95192"/>
    <w:rsid w:val="00A9550E"/>
    <w:rsid w:val="00A95832"/>
    <w:rsid w:val="00A959F9"/>
    <w:rsid w:val="00A95EFD"/>
    <w:rsid w:val="00A96435"/>
    <w:rsid w:val="00A967F3"/>
    <w:rsid w:val="00A968A0"/>
    <w:rsid w:val="00A969BA"/>
    <w:rsid w:val="00A96F85"/>
    <w:rsid w:val="00A97118"/>
    <w:rsid w:val="00A97581"/>
    <w:rsid w:val="00A9799E"/>
    <w:rsid w:val="00A97BD6"/>
    <w:rsid w:val="00A97FDE"/>
    <w:rsid w:val="00AA0225"/>
    <w:rsid w:val="00AA0689"/>
    <w:rsid w:val="00AA07FA"/>
    <w:rsid w:val="00AA088F"/>
    <w:rsid w:val="00AA08D3"/>
    <w:rsid w:val="00AA0AC3"/>
    <w:rsid w:val="00AA12AF"/>
    <w:rsid w:val="00AA13FE"/>
    <w:rsid w:val="00AA15EE"/>
    <w:rsid w:val="00AA18E4"/>
    <w:rsid w:val="00AA1B8D"/>
    <w:rsid w:val="00AA1FBB"/>
    <w:rsid w:val="00AA226D"/>
    <w:rsid w:val="00AA2926"/>
    <w:rsid w:val="00AA29C6"/>
    <w:rsid w:val="00AA2FF2"/>
    <w:rsid w:val="00AA3B6C"/>
    <w:rsid w:val="00AA3E9A"/>
    <w:rsid w:val="00AA444C"/>
    <w:rsid w:val="00AA46AF"/>
    <w:rsid w:val="00AA4AA7"/>
    <w:rsid w:val="00AA4B5D"/>
    <w:rsid w:val="00AA5729"/>
    <w:rsid w:val="00AA578A"/>
    <w:rsid w:val="00AA5834"/>
    <w:rsid w:val="00AA5F32"/>
    <w:rsid w:val="00AA6243"/>
    <w:rsid w:val="00AA62B1"/>
    <w:rsid w:val="00AA6ADB"/>
    <w:rsid w:val="00AA6C46"/>
    <w:rsid w:val="00AA6CA0"/>
    <w:rsid w:val="00AA737C"/>
    <w:rsid w:val="00AA746A"/>
    <w:rsid w:val="00AA7CB8"/>
    <w:rsid w:val="00AA7E88"/>
    <w:rsid w:val="00AA7FC9"/>
    <w:rsid w:val="00AB1098"/>
    <w:rsid w:val="00AB122A"/>
    <w:rsid w:val="00AB151E"/>
    <w:rsid w:val="00AB180F"/>
    <w:rsid w:val="00AB1A4A"/>
    <w:rsid w:val="00AB1D3B"/>
    <w:rsid w:val="00AB2096"/>
    <w:rsid w:val="00AB255D"/>
    <w:rsid w:val="00AB26E0"/>
    <w:rsid w:val="00AB285F"/>
    <w:rsid w:val="00AB2DA8"/>
    <w:rsid w:val="00AB300B"/>
    <w:rsid w:val="00AB30AB"/>
    <w:rsid w:val="00AB3161"/>
    <w:rsid w:val="00AB32EA"/>
    <w:rsid w:val="00AB3B09"/>
    <w:rsid w:val="00AB3B58"/>
    <w:rsid w:val="00AB3C14"/>
    <w:rsid w:val="00AB3F7E"/>
    <w:rsid w:val="00AB43E1"/>
    <w:rsid w:val="00AB45B3"/>
    <w:rsid w:val="00AB487F"/>
    <w:rsid w:val="00AB4959"/>
    <w:rsid w:val="00AB49E3"/>
    <w:rsid w:val="00AB4AC0"/>
    <w:rsid w:val="00AB4B31"/>
    <w:rsid w:val="00AB4B90"/>
    <w:rsid w:val="00AB56C1"/>
    <w:rsid w:val="00AB581E"/>
    <w:rsid w:val="00AB5B17"/>
    <w:rsid w:val="00AB5B73"/>
    <w:rsid w:val="00AB5C2F"/>
    <w:rsid w:val="00AB6141"/>
    <w:rsid w:val="00AB61F3"/>
    <w:rsid w:val="00AB6A73"/>
    <w:rsid w:val="00AB6AB5"/>
    <w:rsid w:val="00AB7347"/>
    <w:rsid w:val="00AB764D"/>
    <w:rsid w:val="00AB783E"/>
    <w:rsid w:val="00AB796F"/>
    <w:rsid w:val="00AB79D2"/>
    <w:rsid w:val="00AB7EFA"/>
    <w:rsid w:val="00AC030A"/>
    <w:rsid w:val="00AC0708"/>
    <w:rsid w:val="00AC110C"/>
    <w:rsid w:val="00AC1596"/>
    <w:rsid w:val="00AC1A41"/>
    <w:rsid w:val="00AC1EAB"/>
    <w:rsid w:val="00AC1FF7"/>
    <w:rsid w:val="00AC2316"/>
    <w:rsid w:val="00AC256D"/>
    <w:rsid w:val="00AC2B3E"/>
    <w:rsid w:val="00AC2CC0"/>
    <w:rsid w:val="00AC301B"/>
    <w:rsid w:val="00AC3343"/>
    <w:rsid w:val="00AC35BC"/>
    <w:rsid w:val="00AC3844"/>
    <w:rsid w:val="00AC3C76"/>
    <w:rsid w:val="00AC3FD9"/>
    <w:rsid w:val="00AC405B"/>
    <w:rsid w:val="00AC484A"/>
    <w:rsid w:val="00AC49C1"/>
    <w:rsid w:val="00AC4C87"/>
    <w:rsid w:val="00AC4DE8"/>
    <w:rsid w:val="00AC4F81"/>
    <w:rsid w:val="00AC5151"/>
    <w:rsid w:val="00AC51AC"/>
    <w:rsid w:val="00AC5246"/>
    <w:rsid w:val="00AC5298"/>
    <w:rsid w:val="00AC539E"/>
    <w:rsid w:val="00AC5676"/>
    <w:rsid w:val="00AC60D4"/>
    <w:rsid w:val="00AC620A"/>
    <w:rsid w:val="00AC674A"/>
    <w:rsid w:val="00AC6ED3"/>
    <w:rsid w:val="00AC76D1"/>
    <w:rsid w:val="00AC7ABF"/>
    <w:rsid w:val="00AC7B5D"/>
    <w:rsid w:val="00AC7FA7"/>
    <w:rsid w:val="00AD02D0"/>
    <w:rsid w:val="00AD03F0"/>
    <w:rsid w:val="00AD044C"/>
    <w:rsid w:val="00AD06C8"/>
    <w:rsid w:val="00AD0C4E"/>
    <w:rsid w:val="00AD0D35"/>
    <w:rsid w:val="00AD186F"/>
    <w:rsid w:val="00AD189A"/>
    <w:rsid w:val="00AD1986"/>
    <w:rsid w:val="00AD1E31"/>
    <w:rsid w:val="00AD1EA4"/>
    <w:rsid w:val="00AD1FEC"/>
    <w:rsid w:val="00AD20A6"/>
    <w:rsid w:val="00AD20B3"/>
    <w:rsid w:val="00AD2143"/>
    <w:rsid w:val="00AD2B5B"/>
    <w:rsid w:val="00AD2BF0"/>
    <w:rsid w:val="00AD2D8E"/>
    <w:rsid w:val="00AD2E0E"/>
    <w:rsid w:val="00AD370D"/>
    <w:rsid w:val="00AD3B9A"/>
    <w:rsid w:val="00AD3DC4"/>
    <w:rsid w:val="00AD3E45"/>
    <w:rsid w:val="00AD4025"/>
    <w:rsid w:val="00AD4216"/>
    <w:rsid w:val="00AD4412"/>
    <w:rsid w:val="00AD4CD8"/>
    <w:rsid w:val="00AD4F66"/>
    <w:rsid w:val="00AD51EF"/>
    <w:rsid w:val="00AD54F2"/>
    <w:rsid w:val="00AD55B9"/>
    <w:rsid w:val="00AD577F"/>
    <w:rsid w:val="00AD5A65"/>
    <w:rsid w:val="00AD5D61"/>
    <w:rsid w:val="00AD5EA7"/>
    <w:rsid w:val="00AD5F8B"/>
    <w:rsid w:val="00AD626B"/>
    <w:rsid w:val="00AD6A4E"/>
    <w:rsid w:val="00AD6C44"/>
    <w:rsid w:val="00AD703F"/>
    <w:rsid w:val="00AD7127"/>
    <w:rsid w:val="00AD7377"/>
    <w:rsid w:val="00AE0C76"/>
    <w:rsid w:val="00AE0DB6"/>
    <w:rsid w:val="00AE0F21"/>
    <w:rsid w:val="00AE0F65"/>
    <w:rsid w:val="00AE16DD"/>
    <w:rsid w:val="00AE1740"/>
    <w:rsid w:val="00AE1B49"/>
    <w:rsid w:val="00AE1D0C"/>
    <w:rsid w:val="00AE1E44"/>
    <w:rsid w:val="00AE1EED"/>
    <w:rsid w:val="00AE22A4"/>
    <w:rsid w:val="00AE2450"/>
    <w:rsid w:val="00AE28C2"/>
    <w:rsid w:val="00AE2AEB"/>
    <w:rsid w:val="00AE2E48"/>
    <w:rsid w:val="00AE2E85"/>
    <w:rsid w:val="00AE3712"/>
    <w:rsid w:val="00AE3877"/>
    <w:rsid w:val="00AE3A79"/>
    <w:rsid w:val="00AE3DA6"/>
    <w:rsid w:val="00AE3DE3"/>
    <w:rsid w:val="00AE3F0C"/>
    <w:rsid w:val="00AE3FCC"/>
    <w:rsid w:val="00AE4115"/>
    <w:rsid w:val="00AE411A"/>
    <w:rsid w:val="00AE4150"/>
    <w:rsid w:val="00AE41F5"/>
    <w:rsid w:val="00AE4564"/>
    <w:rsid w:val="00AE4A57"/>
    <w:rsid w:val="00AE4A86"/>
    <w:rsid w:val="00AE4AD3"/>
    <w:rsid w:val="00AE4BFB"/>
    <w:rsid w:val="00AE4F50"/>
    <w:rsid w:val="00AE5040"/>
    <w:rsid w:val="00AE5493"/>
    <w:rsid w:val="00AE551E"/>
    <w:rsid w:val="00AE57B8"/>
    <w:rsid w:val="00AE58C8"/>
    <w:rsid w:val="00AE5BA5"/>
    <w:rsid w:val="00AE5C90"/>
    <w:rsid w:val="00AE5FB2"/>
    <w:rsid w:val="00AE662C"/>
    <w:rsid w:val="00AE679E"/>
    <w:rsid w:val="00AE67FE"/>
    <w:rsid w:val="00AE68CA"/>
    <w:rsid w:val="00AE69C7"/>
    <w:rsid w:val="00AE6B3C"/>
    <w:rsid w:val="00AE7330"/>
    <w:rsid w:val="00AE7542"/>
    <w:rsid w:val="00AE7D04"/>
    <w:rsid w:val="00AE7E51"/>
    <w:rsid w:val="00AF0350"/>
    <w:rsid w:val="00AF0EBD"/>
    <w:rsid w:val="00AF0F1D"/>
    <w:rsid w:val="00AF18FE"/>
    <w:rsid w:val="00AF1D1C"/>
    <w:rsid w:val="00AF1D67"/>
    <w:rsid w:val="00AF2623"/>
    <w:rsid w:val="00AF2AC5"/>
    <w:rsid w:val="00AF2E67"/>
    <w:rsid w:val="00AF3238"/>
    <w:rsid w:val="00AF393D"/>
    <w:rsid w:val="00AF39C7"/>
    <w:rsid w:val="00AF3A11"/>
    <w:rsid w:val="00AF3AE1"/>
    <w:rsid w:val="00AF3C04"/>
    <w:rsid w:val="00AF3C15"/>
    <w:rsid w:val="00AF3CF2"/>
    <w:rsid w:val="00AF3F63"/>
    <w:rsid w:val="00AF4021"/>
    <w:rsid w:val="00AF4033"/>
    <w:rsid w:val="00AF4386"/>
    <w:rsid w:val="00AF4479"/>
    <w:rsid w:val="00AF469C"/>
    <w:rsid w:val="00AF4AC9"/>
    <w:rsid w:val="00AF4C00"/>
    <w:rsid w:val="00AF4F00"/>
    <w:rsid w:val="00AF4F29"/>
    <w:rsid w:val="00AF5625"/>
    <w:rsid w:val="00AF57EE"/>
    <w:rsid w:val="00AF5D5B"/>
    <w:rsid w:val="00AF5DFE"/>
    <w:rsid w:val="00AF6046"/>
    <w:rsid w:val="00AF630E"/>
    <w:rsid w:val="00AF63B0"/>
    <w:rsid w:val="00AF649E"/>
    <w:rsid w:val="00AF64AA"/>
    <w:rsid w:val="00AF6612"/>
    <w:rsid w:val="00AF6701"/>
    <w:rsid w:val="00AF6783"/>
    <w:rsid w:val="00AF6D12"/>
    <w:rsid w:val="00AF761E"/>
    <w:rsid w:val="00AF786D"/>
    <w:rsid w:val="00AF7887"/>
    <w:rsid w:val="00AF78E9"/>
    <w:rsid w:val="00AF7AA0"/>
    <w:rsid w:val="00AF7ED2"/>
    <w:rsid w:val="00B00118"/>
    <w:rsid w:val="00B007C3"/>
    <w:rsid w:val="00B00C28"/>
    <w:rsid w:val="00B01253"/>
    <w:rsid w:val="00B014FF"/>
    <w:rsid w:val="00B015AC"/>
    <w:rsid w:val="00B015C9"/>
    <w:rsid w:val="00B01644"/>
    <w:rsid w:val="00B018E3"/>
    <w:rsid w:val="00B01A14"/>
    <w:rsid w:val="00B01BF4"/>
    <w:rsid w:val="00B01D33"/>
    <w:rsid w:val="00B0219F"/>
    <w:rsid w:val="00B022F1"/>
    <w:rsid w:val="00B02EE9"/>
    <w:rsid w:val="00B02F69"/>
    <w:rsid w:val="00B03109"/>
    <w:rsid w:val="00B03548"/>
    <w:rsid w:val="00B03963"/>
    <w:rsid w:val="00B039BC"/>
    <w:rsid w:val="00B03A44"/>
    <w:rsid w:val="00B03ABA"/>
    <w:rsid w:val="00B03F94"/>
    <w:rsid w:val="00B0404A"/>
    <w:rsid w:val="00B041EC"/>
    <w:rsid w:val="00B042A5"/>
    <w:rsid w:val="00B04384"/>
    <w:rsid w:val="00B04ADF"/>
    <w:rsid w:val="00B04C22"/>
    <w:rsid w:val="00B05145"/>
    <w:rsid w:val="00B051C4"/>
    <w:rsid w:val="00B05705"/>
    <w:rsid w:val="00B058C0"/>
    <w:rsid w:val="00B05D92"/>
    <w:rsid w:val="00B05F1F"/>
    <w:rsid w:val="00B060E6"/>
    <w:rsid w:val="00B0634A"/>
    <w:rsid w:val="00B063AD"/>
    <w:rsid w:val="00B063C2"/>
    <w:rsid w:val="00B06E43"/>
    <w:rsid w:val="00B0748F"/>
    <w:rsid w:val="00B0765F"/>
    <w:rsid w:val="00B076C8"/>
    <w:rsid w:val="00B078E8"/>
    <w:rsid w:val="00B07C69"/>
    <w:rsid w:val="00B07D99"/>
    <w:rsid w:val="00B1031C"/>
    <w:rsid w:val="00B106A4"/>
    <w:rsid w:val="00B10E9A"/>
    <w:rsid w:val="00B10F13"/>
    <w:rsid w:val="00B10F5A"/>
    <w:rsid w:val="00B11175"/>
    <w:rsid w:val="00B1140B"/>
    <w:rsid w:val="00B116A9"/>
    <w:rsid w:val="00B11AB1"/>
    <w:rsid w:val="00B11B64"/>
    <w:rsid w:val="00B11BF8"/>
    <w:rsid w:val="00B11C3F"/>
    <w:rsid w:val="00B11C62"/>
    <w:rsid w:val="00B11C97"/>
    <w:rsid w:val="00B11E93"/>
    <w:rsid w:val="00B11FA5"/>
    <w:rsid w:val="00B124BF"/>
    <w:rsid w:val="00B12530"/>
    <w:rsid w:val="00B12759"/>
    <w:rsid w:val="00B12926"/>
    <w:rsid w:val="00B12B85"/>
    <w:rsid w:val="00B13393"/>
    <w:rsid w:val="00B133ED"/>
    <w:rsid w:val="00B13469"/>
    <w:rsid w:val="00B13A39"/>
    <w:rsid w:val="00B13AED"/>
    <w:rsid w:val="00B13D42"/>
    <w:rsid w:val="00B13F83"/>
    <w:rsid w:val="00B141FD"/>
    <w:rsid w:val="00B1428F"/>
    <w:rsid w:val="00B143D6"/>
    <w:rsid w:val="00B14997"/>
    <w:rsid w:val="00B14B56"/>
    <w:rsid w:val="00B14C39"/>
    <w:rsid w:val="00B1524D"/>
    <w:rsid w:val="00B1557B"/>
    <w:rsid w:val="00B1589A"/>
    <w:rsid w:val="00B15956"/>
    <w:rsid w:val="00B15E83"/>
    <w:rsid w:val="00B160D0"/>
    <w:rsid w:val="00B164E1"/>
    <w:rsid w:val="00B165E2"/>
    <w:rsid w:val="00B16800"/>
    <w:rsid w:val="00B16974"/>
    <w:rsid w:val="00B16C8B"/>
    <w:rsid w:val="00B16CB0"/>
    <w:rsid w:val="00B16DF8"/>
    <w:rsid w:val="00B16EB5"/>
    <w:rsid w:val="00B17148"/>
    <w:rsid w:val="00B174CC"/>
    <w:rsid w:val="00B1771F"/>
    <w:rsid w:val="00B178FC"/>
    <w:rsid w:val="00B17B4D"/>
    <w:rsid w:val="00B17BE5"/>
    <w:rsid w:val="00B200AA"/>
    <w:rsid w:val="00B20320"/>
    <w:rsid w:val="00B20439"/>
    <w:rsid w:val="00B20C31"/>
    <w:rsid w:val="00B20D50"/>
    <w:rsid w:val="00B21067"/>
    <w:rsid w:val="00B2123A"/>
    <w:rsid w:val="00B2129C"/>
    <w:rsid w:val="00B218E5"/>
    <w:rsid w:val="00B21AA4"/>
    <w:rsid w:val="00B21D76"/>
    <w:rsid w:val="00B223DC"/>
    <w:rsid w:val="00B227F3"/>
    <w:rsid w:val="00B2295A"/>
    <w:rsid w:val="00B22D5A"/>
    <w:rsid w:val="00B22E40"/>
    <w:rsid w:val="00B22FB0"/>
    <w:rsid w:val="00B23156"/>
    <w:rsid w:val="00B2316F"/>
    <w:rsid w:val="00B2330D"/>
    <w:rsid w:val="00B233C9"/>
    <w:rsid w:val="00B2370E"/>
    <w:rsid w:val="00B23ABD"/>
    <w:rsid w:val="00B23AEB"/>
    <w:rsid w:val="00B23B3E"/>
    <w:rsid w:val="00B23B68"/>
    <w:rsid w:val="00B23FF9"/>
    <w:rsid w:val="00B2405C"/>
    <w:rsid w:val="00B24133"/>
    <w:rsid w:val="00B24595"/>
    <w:rsid w:val="00B24684"/>
    <w:rsid w:val="00B248FB"/>
    <w:rsid w:val="00B24950"/>
    <w:rsid w:val="00B24B8B"/>
    <w:rsid w:val="00B24D87"/>
    <w:rsid w:val="00B24E41"/>
    <w:rsid w:val="00B24E6F"/>
    <w:rsid w:val="00B25192"/>
    <w:rsid w:val="00B25589"/>
    <w:rsid w:val="00B2566B"/>
    <w:rsid w:val="00B2572C"/>
    <w:rsid w:val="00B25A2A"/>
    <w:rsid w:val="00B25AA9"/>
    <w:rsid w:val="00B25AD2"/>
    <w:rsid w:val="00B25B35"/>
    <w:rsid w:val="00B268A2"/>
    <w:rsid w:val="00B269B3"/>
    <w:rsid w:val="00B26CA0"/>
    <w:rsid w:val="00B26EFF"/>
    <w:rsid w:val="00B271B4"/>
    <w:rsid w:val="00B2789A"/>
    <w:rsid w:val="00B27F4F"/>
    <w:rsid w:val="00B27F73"/>
    <w:rsid w:val="00B306AB"/>
    <w:rsid w:val="00B308DA"/>
    <w:rsid w:val="00B30963"/>
    <w:rsid w:val="00B30A99"/>
    <w:rsid w:val="00B30AE1"/>
    <w:rsid w:val="00B30C4C"/>
    <w:rsid w:val="00B31098"/>
    <w:rsid w:val="00B31621"/>
    <w:rsid w:val="00B316A1"/>
    <w:rsid w:val="00B31805"/>
    <w:rsid w:val="00B31A62"/>
    <w:rsid w:val="00B31B87"/>
    <w:rsid w:val="00B31E1B"/>
    <w:rsid w:val="00B31F11"/>
    <w:rsid w:val="00B31F2D"/>
    <w:rsid w:val="00B321FA"/>
    <w:rsid w:val="00B3239B"/>
    <w:rsid w:val="00B33109"/>
    <w:rsid w:val="00B33431"/>
    <w:rsid w:val="00B3357B"/>
    <w:rsid w:val="00B33B04"/>
    <w:rsid w:val="00B33B7C"/>
    <w:rsid w:val="00B33C07"/>
    <w:rsid w:val="00B33E4D"/>
    <w:rsid w:val="00B33EF1"/>
    <w:rsid w:val="00B34020"/>
    <w:rsid w:val="00B340CF"/>
    <w:rsid w:val="00B345EA"/>
    <w:rsid w:val="00B3478E"/>
    <w:rsid w:val="00B34939"/>
    <w:rsid w:val="00B34C22"/>
    <w:rsid w:val="00B34E60"/>
    <w:rsid w:val="00B34E8D"/>
    <w:rsid w:val="00B35192"/>
    <w:rsid w:val="00B358C5"/>
    <w:rsid w:val="00B35A65"/>
    <w:rsid w:val="00B35B14"/>
    <w:rsid w:val="00B35BAE"/>
    <w:rsid w:val="00B35DD3"/>
    <w:rsid w:val="00B35F15"/>
    <w:rsid w:val="00B35FD8"/>
    <w:rsid w:val="00B36122"/>
    <w:rsid w:val="00B36358"/>
    <w:rsid w:val="00B367B2"/>
    <w:rsid w:val="00B368CF"/>
    <w:rsid w:val="00B36FC8"/>
    <w:rsid w:val="00B370CE"/>
    <w:rsid w:val="00B371B9"/>
    <w:rsid w:val="00B3739F"/>
    <w:rsid w:val="00B373BF"/>
    <w:rsid w:val="00B37494"/>
    <w:rsid w:val="00B37539"/>
    <w:rsid w:val="00B37E31"/>
    <w:rsid w:val="00B37EA7"/>
    <w:rsid w:val="00B40302"/>
    <w:rsid w:val="00B40307"/>
    <w:rsid w:val="00B4065E"/>
    <w:rsid w:val="00B4080D"/>
    <w:rsid w:val="00B40981"/>
    <w:rsid w:val="00B409C7"/>
    <w:rsid w:val="00B414C2"/>
    <w:rsid w:val="00B4174D"/>
    <w:rsid w:val="00B4189C"/>
    <w:rsid w:val="00B41A43"/>
    <w:rsid w:val="00B41C41"/>
    <w:rsid w:val="00B42785"/>
    <w:rsid w:val="00B42D4D"/>
    <w:rsid w:val="00B42D76"/>
    <w:rsid w:val="00B431EB"/>
    <w:rsid w:val="00B432C9"/>
    <w:rsid w:val="00B433DD"/>
    <w:rsid w:val="00B4352C"/>
    <w:rsid w:val="00B43921"/>
    <w:rsid w:val="00B43AF3"/>
    <w:rsid w:val="00B43B29"/>
    <w:rsid w:val="00B43BDF"/>
    <w:rsid w:val="00B43C12"/>
    <w:rsid w:val="00B43FBF"/>
    <w:rsid w:val="00B4453D"/>
    <w:rsid w:val="00B445D7"/>
    <w:rsid w:val="00B44617"/>
    <w:rsid w:val="00B4478C"/>
    <w:rsid w:val="00B44C32"/>
    <w:rsid w:val="00B44C63"/>
    <w:rsid w:val="00B44CC3"/>
    <w:rsid w:val="00B44CDA"/>
    <w:rsid w:val="00B44D74"/>
    <w:rsid w:val="00B44DBF"/>
    <w:rsid w:val="00B4516C"/>
    <w:rsid w:val="00B45340"/>
    <w:rsid w:val="00B45A3C"/>
    <w:rsid w:val="00B45E43"/>
    <w:rsid w:val="00B4601E"/>
    <w:rsid w:val="00B465B4"/>
    <w:rsid w:val="00B46B56"/>
    <w:rsid w:val="00B46BBD"/>
    <w:rsid w:val="00B471F9"/>
    <w:rsid w:val="00B4725A"/>
    <w:rsid w:val="00B47321"/>
    <w:rsid w:val="00B4741E"/>
    <w:rsid w:val="00B476E0"/>
    <w:rsid w:val="00B50083"/>
    <w:rsid w:val="00B50445"/>
    <w:rsid w:val="00B50992"/>
    <w:rsid w:val="00B50B57"/>
    <w:rsid w:val="00B50CA7"/>
    <w:rsid w:val="00B50DCB"/>
    <w:rsid w:val="00B50DD7"/>
    <w:rsid w:val="00B51142"/>
    <w:rsid w:val="00B51173"/>
    <w:rsid w:val="00B5141E"/>
    <w:rsid w:val="00B51849"/>
    <w:rsid w:val="00B51F52"/>
    <w:rsid w:val="00B526E6"/>
    <w:rsid w:val="00B52790"/>
    <w:rsid w:val="00B52958"/>
    <w:rsid w:val="00B52993"/>
    <w:rsid w:val="00B52A05"/>
    <w:rsid w:val="00B52B86"/>
    <w:rsid w:val="00B52D18"/>
    <w:rsid w:val="00B53204"/>
    <w:rsid w:val="00B53649"/>
    <w:rsid w:val="00B53680"/>
    <w:rsid w:val="00B5395B"/>
    <w:rsid w:val="00B53BB5"/>
    <w:rsid w:val="00B53C63"/>
    <w:rsid w:val="00B53CAD"/>
    <w:rsid w:val="00B53D90"/>
    <w:rsid w:val="00B54259"/>
    <w:rsid w:val="00B543BF"/>
    <w:rsid w:val="00B545DD"/>
    <w:rsid w:val="00B5469E"/>
    <w:rsid w:val="00B546A3"/>
    <w:rsid w:val="00B54727"/>
    <w:rsid w:val="00B5479A"/>
    <w:rsid w:val="00B54956"/>
    <w:rsid w:val="00B5501C"/>
    <w:rsid w:val="00B55041"/>
    <w:rsid w:val="00B5504A"/>
    <w:rsid w:val="00B55050"/>
    <w:rsid w:val="00B55257"/>
    <w:rsid w:val="00B557AA"/>
    <w:rsid w:val="00B55B20"/>
    <w:rsid w:val="00B55E45"/>
    <w:rsid w:val="00B55E78"/>
    <w:rsid w:val="00B5649B"/>
    <w:rsid w:val="00B56783"/>
    <w:rsid w:val="00B5679E"/>
    <w:rsid w:val="00B56A30"/>
    <w:rsid w:val="00B56B58"/>
    <w:rsid w:val="00B56BC3"/>
    <w:rsid w:val="00B56E2C"/>
    <w:rsid w:val="00B56EEF"/>
    <w:rsid w:val="00B571BD"/>
    <w:rsid w:val="00B572E8"/>
    <w:rsid w:val="00B5754A"/>
    <w:rsid w:val="00B575EA"/>
    <w:rsid w:val="00B577FC"/>
    <w:rsid w:val="00B57B72"/>
    <w:rsid w:val="00B57C08"/>
    <w:rsid w:val="00B57D26"/>
    <w:rsid w:val="00B57DA8"/>
    <w:rsid w:val="00B57EDB"/>
    <w:rsid w:val="00B57FC1"/>
    <w:rsid w:val="00B60770"/>
    <w:rsid w:val="00B60939"/>
    <w:rsid w:val="00B60CE8"/>
    <w:rsid w:val="00B614D7"/>
    <w:rsid w:val="00B61A6F"/>
    <w:rsid w:val="00B61A8A"/>
    <w:rsid w:val="00B61BF6"/>
    <w:rsid w:val="00B61C8B"/>
    <w:rsid w:val="00B61E59"/>
    <w:rsid w:val="00B62166"/>
    <w:rsid w:val="00B6218B"/>
    <w:rsid w:val="00B628F3"/>
    <w:rsid w:val="00B63037"/>
    <w:rsid w:val="00B63966"/>
    <w:rsid w:val="00B63E81"/>
    <w:rsid w:val="00B6405E"/>
    <w:rsid w:val="00B6414F"/>
    <w:rsid w:val="00B643E6"/>
    <w:rsid w:val="00B6443F"/>
    <w:rsid w:val="00B6469C"/>
    <w:rsid w:val="00B6486C"/>
    <w:rsid w:val="00B64886"/>
    <w:rsid w:val="00B648B7"/>
    <w:rsid w:val="00B64A62"/>
    <w:rsid w:val="00B65324"/>
    <w:rsid w:val="00B6547E"/>
    <w:rsid w:val="00B65509"/>
    <w:rsid w:val="00B65986"/>
    <w:rsid w:val="00B65C17"/>
    <w:rsid w:val="00B65EBC"/>
    <w:rsid w:val="00B65FC5"/>
    <w:rsid w:val="00B66202"/>
    <w:rsid w:val="00B66325"/>
    <w:rsid w:val="00B663C8"/>
    <w:rsid w:val="00B666AA"/>
    <w:rsid w:val="00B666EF"/>
    <w:rsid w:val="00B66E7C"/>
    <w:rsid w:val="00B66F90"/>
    <w:rsid w:val="00B6736F"/>
    <w:rsid w:val="00B6737E"/>
    <w:rsid w:val="00B674D9"/>
    <w:rsid w:val="00B677E5"/>
    <w:rsid w:val="00B67963"/>
    <w:rsid w:val="00B67E6E"/>
    <w:rsid w:val="00B70029"/>
    <w:rsid w:val="00B700FE"/>
    <w:rsid w:val="00B706B4"/>
    <w:rsid w:val="00B7189C"/>
    <w:rsid w:val="00B7196C"/>
    <w:rsid w:val="00B71BBB"/>
    <w:rsid w:val="00B71F12"/>
    <w:rsid w:val="00B72033"/>
    <w:rsid w:val="00B722F8"/>
    <w:rsid w:val="00B724DA"/>
    <w:rsid w:val="00B7263F"/>
    <w:rsid w:val="00B72968"/>
    <w:rsid w:val="00B72A3C"/>
    <w:rsid w:val="00B72BE0"/>
    <w:rsid w:val="00B72CAD"/>
    <w:rsid w:val="00B72DF7"/>
    <w:rsid w:val="00B73100"/>
    <w:rsid w:val="00B731E0"/>
    <w:rsid w:val="00B733B5"/>
    <w:rsid w:val="00B73838"/>
    <w:rsid w:val="00B739BA"/>
    <w:rsid w:val="00B73A44"/>
    <w:rsid w:val="00B73C9B"/>
    <w:rsid w:val="00B74662"/>
    <w:rsid w:val="00B747A7"/>
    <w:rsid w:val="00B747F4"/>
    <w:rsid w:val="00B74AA3"/>
    <w:rsid w:val="00B74D1A"/>
    <w:rsid w:val="00B752A7"/>
    <w:rsid w:val="00B75339"/>
    <w:rsid w:val="00B756E7"/>
    <w:rsid w:val="00B7576F"/>
    <w:rsid w:val="00B75A39"/>
    <w:rsid w:val="00B75C96"/>
    <w:rsid w:val="00B75C9E"/>
    <w:rsid w:val="00B76342"/>
    <w:rsid w:val="00B76640"/>
    <w:rsid w:val="00B772A1"/>
    <w:rsid w:val="00B7797F"/>
    <w:rsid w:val="00B77B72"/>
    <w:rsid w:val="00B80740"/>
    <w:rsid w:val="00B807FA"/>
    <w:rsid w:val="00B80BB7"/>
    <w:rsid w:val="00B80D75"/>
    <w:rsid w:val="00B80E8D"/>
    <w:rsid w:val="00B80ECE"/>
    <w:rsid w:val="00B80F06"/>
    <w:rsid w:val="00B8118D"/>
    <w:rsid w:val="00B816FC"/>
    <w:rsid w:val="00B81F25"/>
    <w:rsid w:val="00B81FB3"/>
    <w:rsid w:val="00B82071"/>
    <w:rsid w:val="00B8208C"/>
    <w:rsid w:val="00B82628"/>
    <w:rsid w:val="00B82B11"/>
    <w:rsid w:val="00B83540"/>
    <w:rsid w:val="00B8426D"/>
    <w:rsid w:val="00B846AB"/>
    <w:rsid w:val="00B846C0"/>
    <w:rsid w:val="00B84A18"/>
    <w:rsid w:val="00B84A8C"/>
    <w:rsid w:val="00B84B0C"/>
    <w:rsid w:val="00B84B4F"/>
    <w:rsid w:val="00B85278"/>
    <w:rsid w:val="00B854C8"/>
    <w:rsid w:val="00B85629"/>
    <w:rsid w:val="00B8589A"/>
    <w:rsid w:val="00B85977"/>
    <w:rsid w:val="00B85EC8"/>
    <w:rsid w:val="00B85FAD"/>
    <w:rsid w:val="00B86342"/>
    <w:rsid w:val="00B863B7"/>
    <w:rsid w:val="00B8657D"/>
    <w:rsid w:val="00B86649"/>
    <w:rsid w:val="00B86DFA"/>
    <w:rsid w:val="00B87267"/>
    <w:rsid w:val="00B8734A"/>
    <w:rsid w:val="00B873E4"/>
    <w:rsid w:val="00B878CF"/>
    <w:rsid w:val="00B87DD0"/>
    <w:rsid w:val="00B903D9"/>
    <w:rsid w:val="00B90658"/>
    <w:rsid w:val="00B907C5"/>
    <w:rsid w:val="00B90AB7"/>
    <w:rsid w:val="00B91324"/>
    <w:rsid w:val="00B91957"/>
    <w:rsid w:val="00B91BF3"/>
    <w:rsid w:val="00B91DB1"/>
    <w:rsid w:val="00B91F11"/>
    <w:rsid w:val="00B92236"/>
    <w:rsid w:val="00B92996"/>
    <w:rsid w:val="00B92E10"/>
    <w:rsid w:val="00B930E3"/>
    <w:rsid w:val="00B931E4"/>
    <w:rsid w:val="00B934F0"/>
    <w:rsid w:val="00B936B3"/>
    <w:rsid w:val="00B9396E"/>
    <w:rsid w:val="00B93BED"/>
    <w:rsid w:val="00B93C51"/>
    <w:rsid w:val="00B93D2F"/>
    <w:rsid w:val="00B93D5A"/>
    <w:rsid w:val="00B93E3E"/>
    <w:rsid w:val="00B93EDC"/>
    <w:rsid w:val="00B9426B"/>
    <w:rsid w:val="00B9429C"/>
    <w:rsid w:val="00B94440"/>
    <w:rsid w:val="00B9492F"/>
    <w:rsid w:val="00B94B7A"/>
    <w:rsid w:val="00B951CA"/>
    <w:rsid w:val="00B962D7"/>
    <w:rsid w:val="00B96431"/>
    <w:rsid w:val="00B96639"/>
    <w:rsid w:val="00B96671"/>
    <w:rsid w:val="00B966C6"/>
    <w:rsid w:val="00B96C6A"/>
    <w:rsid w:val="00B96D2C"/>
    <w:rsid w:val="00B96DFC"/>
    <w:rsid w:val="00B9738E"/>
    <w:rsid w:val="00B9785D"/>
    <w:rsid w:val="00B97C4A"/>
    <w:rsid w:val="00BA01EC"/>
    <w:rsid w:val="00BA0347"/>
    <w:rsid w:val="00BA058F"/>
    <w:rsid w:val="00BA05DF"/>
    <w:rsid w:val="00BA0C6E"/>
    <w:rsid w:val="00BA0DE8"/>
    <w:rsid w:val="00BA13CA"/>
    <w:rsid w:val="00BA1460"/>
    <w:rsid w:val="00BA173D"/>
    <w:rsid w:val="00BA181B"/>
    <w:rsid w:val="00BA194A"/>
    <w:rsid w:val="00BA1D60"/>
    <w:rsid w:val="00BA1F09"/>
    <w:rsid w:val="00BA2650"/>
    <w:rsid w:val="00BA26D3"/>
    <w:rsid w:val="00BA287F"/>
    <w:rsid w:val="00BA2975"/>
    <w:rsid w:val="00BA2A06"/>
    <w:rsid w:val="00BA2C4C"/>
    <w:rsid w:val="00BA2C56"/>
    <w:rsid w:val="00BA2DCC"/>
    <w:rsid w:val="00BA2F53"/>
    <w:rsid w:val="00BA37DA"/>
    <w:rsid w:val="00BA3856"/>
    <w:rsid w:val="00BA3A1A"/>
    <w:rsid w:val="00BA3EA6"/>
    <w:rsid w:val="00BA4390"/>
    <w:rsid w:val="00BA4412"/>
    <w:rsid w:val="00BA4619"/>
    <w:rsid w:val="00BA486D"/>
    <w:rsid w:val="00BA5763"/>
    <w:rsid w:val="00BA5B17"/>
    <w:rsid w:val="00BA5B51"/>
    <w:rsid w:val="00BA5DD9"/>
    <w:rsid w:val="00BA6760"/>
    <w:rsid w:val="00BA6C87"/>
    <w:rsid w:val="00BA710A"/>
    <w:rsid w:val="00BA7489"/>
    <w:rsid w:val="00BA7538"/>
    <w:rsid w:val="00BA7556"/>
    <w:rsid w:val="00BA766E"/>
    <w:rsid w:val="00BA7816"/>
    <w:rsid w:val="00BA7CBE"/>
    <w:rsid w:val="00BA7EEB"/>
    <w:rsid w:val="00BA7F8F"/>
    <w:rsid w:val="00BB05CA"/>
    <w:rsid w:val="00BB0798"/>
    <w:rsid w:val="00BB07C5"/>
    <w:rsid w:val="00BB0813"/>
    <w:rsid w:val="00BB0930"/>
    <w:rsid w:val="00BB10E1"/>
    <w:rsid w:val="00BB11C7"/>
    <w:rsid w:val="00BB1349"/>
    <w:rsid w:val="00BB135B"/>
    <w:rsid w:val="00BB13F2"/>
    <w:rsid w:val="00BB140D"/>
    <w:rsid w:val="00BB1425"/>
    <w:rsid w:val="00BB1675"/>
    <w:rsid w:val="00BB1AF2"/>
    <w:rsid w:val="00BB1BEB"/>
    <w:rsid w:val="00BB2208"/>
    <w:rsid w:val="00BB27C9"/>
    <w:rsid w:val="00BB2EE5"/>
    <w:rsid w:val="00BB2F5D"/>
    <w:rsid w:val="00BB3173"/>
    <w:rsid w:val="00BB31E0"/>
    <w:rsid w:val="00BB345B"/>
    <w:rsid w:val="00BB3550"/>
    <w:rsid w:val="00BB3CDA"/>
    <w:rsid w:val="00BB421A"/>
    <w:rsid w:val="00BB5075"/>
    <w:rsid w:val="00BB510A"/>
    <w:rsid w:val="00BB5243"/>
    <w:rsid w:val="00BB5AE0"/>
    <w:rsid w:val="00BB5BE2"/>
    <w:rsid w:val="00BB5D24"/>
    <w:rsid w:val="00BB60EF"/>
    <w:rsid w:val="00BB62BC"/>
    <w:rsid w:val="00BB6424"/>
    <w:rsid w:val="00BB645F"/>
    <w:rsid w:val="00BB64B7"/>
    <w:rsid w:val="00BB65D9"/>
    <w:rsid w:val="00BB6B82"/>
    <w:rsid w:val="00BB6BDF"/>
    <w:rsid w:val="00BB6CA4"/>
    <w:rsid w:val="00BB6D92"/>
    <w:rsid w:val="00BB6ED6"/>
    <w:rsid w:val="00BB70B9"/>
    <w:rsid w:val="00BB7179"/>
    <w:rsid w:val="00BB74D3"/>
    <w:rsid w:val="00BB7576"/>
    <w:rsid w:val="00BB78A0"/>
    <w:rsid w:val="00BB7D87"/>
    <w:rsid w:val="00BB7F92"/>
    <w:rsid w:val="00BC0691"/>
    <w:rsid w:val="00BC06B9"/>
    <w:rsid w:val="00BC0AD0"/>
    <w:rsid w:val="00BC0BED"/>
    <w:rsid w:val="00BC0E35"/>
    <w:rsid w:val="00BC1740"/>
    <w:rsid w:val="00BC1A59"/>
    <w:rsid w:val="00BC1BB0"/>
    <w:rsid w:val="00BC1D5A"/>
    <w:rsid w:val="00BC2409"/>
    <w:rsid w:val="00BC24C9"/>
    <w:rsid w:val="00BC2F02"/>
    <w:rsid w:val="00BC380B"/>
    <w:rsid w:val="00BC39F4"/>
    <w:rsid w:val="00BC3D45"/>
    <w:rsid w:val="00BC3E66"/>
    <w:rsid w:val="00BC3E92"/>
    <w:rsid w:val="00BC4021"/>
    <w:rsid w:val="00BC4066"/>
    <w:rsid w:val="00BC4492"/>
    <w:rsid w:val="00BC450E"/>
    <w:rsid w:val="00BC46CC"/>
    <w:rsid w:val="00BC47CB"/>
    <w:rsid w:val="00BC491A"/>
    <w:rsid w:val="00BC4A6B"/>
    <w:rsid w:val="00BC4B38"/>
    <w:rsid w:val="00BC4BB2"/>
    <w:rsid w:val="00BC4CC6"/>
    <w:rsid w:val="00BC4D85"/>
    <w:rsid w:val="00BC531B"/>
    <w:rsid w:val="00BC548B"/>
    <w:rsid w:val="00BC58AF"/>
    <w:rsid w:val="00BC58C5"/>
    <w:rsid w:val="00BC5C66"/>
    <w:rsid w:val="00BC5E47"/>
    <w:rsid w:val="00BC604C"/>
    <w:rsid w:val="00BC6798"/>
    <w:rsid w:val="00BC6C96"/>
    <w:rsid w:val="00BC6DAF"/>
    <w:rsid w:val="00BC71C9"/>
    <w:rsid w:val="00BC73CA"/>
    <w:rsid w:val="00BC772B"/>
    <w:rsid w:val="00BC78B0"/>
    <w:rsid w:val="00BC7A4E"/>
    <w:rsid w:val="00BC7F2C"/>
    <w:rsid w:val="00BD071B"/>
    <w:rsid w:val="00BD0740"/>
    <w:rsid w:val="00BD0769"/>
    <w:rsid w:val="00BD0887"/>
    <w:rsid w:val="00BD08C4"/>
    <w:rsid w:val="00BD0AB1"/>
    <w:rsid w:val="00BD0FE4"/>
    <w:rsid w:val="00BD10EC"/>
    <w:rsid w:val="00BD177C"/>
    <w:rsid w:val="00BD1816"/>
    <w:rsid w:val="00BD19B5"/>
    <w:rsid w:val="00BD214B"/>
    <w:rsid w:val="00BD21AB"/>
    <w:rsid w:val="00BD2A46"/>
    <w:rsid w:val="00BD2BF7"/>
    <w:rsid w:val="00BD2DAB"/>
    <w:rsid w:val="00BD33C3"/>
    <w:rsid w:val="00BD378A"/>
    <w:rsid w:val="00BD3B88"/>
    <w:rsid w:val="00BD42CF"/>
    <w:rsid w:val="00BD43D6"/>
    <w:rsid w:val="00BD4538"/>
    <w:rsid w:val="00BD471A"/>
    <w:rsid w:val="00BD4965"/>
    <w:rsid w:val="00BD4B75"/>
    <w:rsid w:val="00BD4DC1"/>
    <w:rsid w:val="00BD5338"/>
    <w:rsid w:val="00BD5521"/>
    <w:rsid w:val="00BD5A84"/>
    <w:rsid w:val="00BD680F"/>
    <w:rsid w:val="00BD68FF"/>
    <w:rsid w:val="00BD7018"/>
    <w:rsid w:val="00BD7056"/>
    <w:rsid w:val="00BD71D7"/>
    <w:rsid w:val="00BD7214"/>
    <w:rsid w:val="00BD7B25"/>
    <w:rsid w:val="00BD7DAC"/>
    <w:rsid w:val="00BD7DCB"/>
    <w:rsid w:val="00BE0147"/>
    <w:rsid w:val="00BE021D"/>
    <w:rsid w:val="00BE0354"/>
    <w:rsid w:val="00BE04B1"/>
    <w:rsid w:val="00BE052B"/>
    <w:rsid w:val="00BE055E"/>
    <w:rsid w:val="00BE0A0D"/>
    <w:rsid w:val="00BE0D04"/>
    <w:rsid w:val="00BE112F"/>
    <w:rsid w:val="00BE1234"/>
    <w:rsid w:val="00BE1466"/>
    <w:rsid w:val="00BE1681"/>
    <w:rsid w:val="00BE16C2"/>
    <w:rsid w:val="00BE186B"/>
    <w:rsid w:val="00BE1890"/>
    <w:rsid w:val="00BE18DF"/>
    <w:rsid w:val="00BE1AD8"/>
    <w:rsid w:val="00BE1AFA"/>
    <w:rsid w:val="00BE27ED"/>
    <w:rsid w:val="00BE2DEA"/>
    <w:rsid w:val="00BE2F1B"/>
    <w:rsid w:val="00BE2FDC"/>
    <w:rsid w:val="00BE3022"/>
    <w:rsid w:val="00BE3172"/>
    <w:rsid w:val="00BE3335"/>
    <w:rsid w:val="00BE37DD"/>
    <w:rsid w:val="00BE3AC3"/>
    <w:rsid w:val="00BE3FDB"/>
    <w:rsid w:val="00BE47E1"/>
    <w:rsid w:val="00BE4FAB"/>
    <w:rsid w:val="00BE55B0"/>
    <w:rsid w:val="00BE5604"/>
    <w:rsid w:val="00BE5633"/>
    <w:rsid w:val="00BE59C8"/>
    <w:rsid w:val="00BE6304"/>
    <w:rsid w:val="00BE65CE"/>
    <w:rsid w:val="00BE690B"/>
    <w:rsid w:val="00BE696D"/>
    <w:rsid w:val="00BE6ECE"/>
    <w:rsid w:val="00BE715D"/>
    <w:rsid w:val="00BE7226"/>
    <w:rsid w:val="00BE72B3"/>
    <w:rsid w:val="00BE739E"/>
    <w:rsid w:val="00BE743B"/>
    <w:rsid w:val="00BE7488"/>
    <w:rsid w:val="00BE76E4"/>
    <w:rsid w:val="00BE7792"/>
    <w:rsid w:val="00BE78CF"/>
    <w:rsid w:val="00BE7D09"/>
    <w:rsid w:val="00BE7D4F"/>
    <w:rsid w:val="00BE7DDE"/>
    <w:rsid w:val="00BF016F"/>
    <w:rsid w:val="00BF06D9"/>
    <w:rsid w:val="00BF0BC5"/>
    <w:rsid w:val="00BF0C55"/>
    <w:rsid w:val="00BF0E47"/>
    <w:rsid w:val="00BF146E"/>
    <w:rsid w:val="00BF1962"/>
    <w:rsid w:val="00BF1AFC"/>
    <w:rsid w:val="00BF1B58"/>
    <w:rsid w:val="00BF1FBA"/>
    <w:rsid w:val="00BF2143"/>
    <w:rsid w:val="00BF2496"/>
    <w:rsid w:val="00BF28BD"/>
    <w:rsid w:val="00BF29EC"/>
    <w:rsid w:val="00BF3311"/>
    <w:rsid w:val="00BF362D"/>
    <w:rsid w:val="00BF3739"/>
    <w:rsid w:val="00BF3FE5"/>
    <w:rsid w:val="00BF42AF"/>
    <w:rsid w:val="00BF44B0"/>
    <w:rsid w:val="00BF45A5"/>
    <w:rsid w:val="00BF4ACE"/>
    <w:rsid w:val="00BF4DDC"/>
    <w:rsid w:val="00BF4ED6"/>
    <w:rsid w:val="00BF4F01"/>
    <w:rsid w:val="00BF527A"/>
    <w:rsid w:val="00BF52EB"/>
    <w:rsid w:val="00BF53D4"/>
    <w:rsid w:val="00BF5516"/>
    <w:rsid w:val="00BF5578"/>
    <w:rsid w:val="00BF5662"/>
    <w:rsid w:val="00BF568A"/>
    <w:rsid w:val="00BF59EF"/>
    <w:rsid w:val="00BF5A37"/>
    <w:rsid w:val="00BF5A52"/>
    <w:rsid w:val="00BF5B5A"/>
    <w:rsid w:val="00BF6988"/>
    <w:rsid w:val="00BF6A3C"/>
    <w:rsid w:val="00BF6A4B"/>
    <w:rsid w:val="00BF6AD9"/>
    <w:rsid w:val="00BF6FCD"/>
    <w:rsid w:val="00BF70BC"/>
    <w:rsid w:val="00BF743D"/>
    <w:rsid w:val="00BF74FA"/>
    <w:rsid w:val="00BF7587"/>
    <w:rsid w:val="00BF7800"/>
    <w:rsid w:val="00BF7835"/>
    <w:rsid w:val="00BF78AE"/>
    <w:rsid w:val="00BF7B7E"/>
    <w:rsid w:val="00BF7D15"/>
    <w:rsid w:val="00BF7F9C"/>
    <w:rsid w:val="00C00002"/>
    <w:rsid w:val="00C00296"/>
    <w:rsid w:val="00C002CE"/>
    <w:rsid w:val="00C0049C"/>
    <w:rsid w:val="00C00956"/>
    <w:rsid w:val="00C00972"/>
    <w:rsid w:val="00C00CC1"/>
    <w:rsid w:val="00C01593"/>
    <w:rsid w:val="00C01CFF"/>
    <w:rsid w:val="00C01DFC"/>
    <w:rsid w:val="00C01F56"/>
    <w:rsid w:val="00C02223"/>
    <w:rsid w:val="00C02379"/>
    <w:rsid w:val="00C023E3"/>
    <w:rsid w:val="00C02854"/>
    <w:rsid w:val="00C028BB"/>
    <w:rsid w:val="00C0290D"/>
    <w:rsid w:val="00C02ADC"/>
    <w:rsid w:val="00C02EA8"/>
    <w:rsid w:val="00C02F48"/>
    <w:rsid w:val="00C02FBA"/>
    <w:rsid w:val="00C034FA"/>
    <w:rsid w:val="00C03877"/>
    <w:rsid w:val="00C038A1"/>
    <w:rsid w:val="00C03A74"/>
    <w:rsid w:val="00C03B25"/>
    <w:rsid w:val="00C03DFD"/>
    <w:rsid w:val="00C03ED7"/>
    <w:rsid w:val="00C0414E"/>
    <w:rsid w:val="00C04493"/>
    <w:rsid w:val="00C048AD"/>
    <w:rsid w:val="00C04D3F"/>
    <w:rsid w:val="00C04E3E"/>
    <w:rsid w:val="00C0501C"/>
    <w:rsid w:val="00C055FB"/>
    <w:rsid w:val="00C05612"/>
    <w:rsid w:val="00C057CC"/>
    <w:rsid w:val="00C0584B"/>
    <w:rsid w:val="00C059EE"/>
    <w:rsid w:val="00C05A3B"/>
    <w:rsid w:val="00C05C19"/>
    <w:rsid w:val="00C05D51"/>
    <w:rsid w:val="00C06025"/>
    <w:rsid w:val="00C0608C"/>
    <w:rsid w:val="00C061F2"/>
    <w:rsid w:val="00C06293"/>
    <w:rsid w:val="00C06333"/>
    <w:rsid w:val="00C06394"/>
    <w:rsid w:val="00C0644E"/>
    <w:rsid w:val="00C06869"/>
    <w:rsid w:val="00C0687D"/>
    <w:rsid w:val="00C06A1A"/>
    <w:rsid w:val="00C06A79"/>
    <w:rsid w:val="00C06C66"/>
    <w:rsid w:val="00C06FDD"/>
    <w:rsid w:val="00C07287"/>
    <w:rsid w:val="00C07727"/>
    <w:rsid w:val="00C077DF"/>
    <w:rsid w:val="00C07DF9"/>
    <w:rsid w:val="00C103CB"/>
    <w:rsid w:val="00C10493"/>
    <w:rsid w:val="00C10621"/>
    <w:rsid w:val="00C1091A"/>
    <w:rsid w:val="00C10B7F"/>
    <w:rsid w:val="00C10BF2"/>
    <w:rsid w:val="00C10C3D"/>
    <w:rsid w:val="00C10C9B"/>
    <w:rsid w:val="00C10DFF"/>
    <w:rsid w:val="00C10E5A"/>
    <w:rsid w:val="00C11047"/>
    <w:rsid w:val="00C112FA"/>
    <w:rsid w:val="00C11815"/>
    <w:rsid w:val="00C11A34"/>
    <w:rsid w:val="00C11D68"/>
    <w:rsid w:val="00C11F12"/>
    <w:rsid w:val="00C1213F"/>
    <w:rsid w:val="00C12213"/>
    <w:rsid w:val="00C125EC"/>
    <w:rsid w:val="00C1282D"/>
    <w:rsid w:val="00C12872"/>
    <w:rsid w:val="00C12951"/>
    <w:rsid w:val="00C130EB"/>
    <w:rsid w:val="00C136F1"/>
    <w:rsid w:val="00C137D9"/>
    <w:rsid w:val="00C13CBC"/>
    <w:rsid w:val="00C13F79"/>
    <w:rsid w:val="00C14129"/>
    <w:rsid w:val="00C146F2"/>
    <w:rsid w:val="00C14A2D"/>
    <w:rsid w:val="00C14AE1"/>
    <w:rsid w:val="00C14DFB"/>
    <w:rsid w:val="00C14FBF"/>
    <w:rsid w:val="00C152D0"/>
    <w:rsid w:val="00C15838"/>
    <w:rsid w:val="00C15C5A"/>
    <w:rsid w:val="00C15F6A"/>
    <w:rsid w:val="00C1640F"/>
    <w:rsid w:val="00C16CC2"/>
    <w:rsid w:val="00C16D04"/>
    <w:rsid w:val="00C16D9C"/>
    <w:rsid w:val="00C16E20"/>
    <w:rsid w:val="00C16E75"/>
    <w:rsid w:val="00C17185"/>
    <w:rsid w:val="00C171DF"/>
    <w:rsid w:val="00C175F4"/>
    <w:rsid w:val="00C177A7"/>
    <w:rsid w:val="00C17BA5"/>
    <w:rsid w:val="00C17D64"/>
    <w:rsid w:val="00C20242"/>
    <w:rsid w:val="00C20300"/>
    <w:rsid w:val="00C204F0"/>
    <w:rsid w:val="00C20659"/>
    <w:rsid w:val="00C2078F"/>
    <w:rsid w:val="00C207CF"/>
    <w:rsid w:val="00C208A4"/>
    <w:rsid w:val="00C2097E"/>
    <w:rsid w:val="00C20C9D"/>
    <w:rsid w:val="00C212AE"/>
    <w:rsid w:val="00C214F1"/>
    <w:rsid w:val="00C21817"/>
    <w:rsid w:val="00C21B13"/>
    <w:rsid w:val="00C21BBD"/>
    <w:rsid w:val="00C21E89"/>
    <w:rsid w:val="00C21F51"/>
    <w:rsid w:val="00C221EE"/>
    <w:rsid w:val="00C221FA"/>
    <w:rsid w:val="00C22916"/>
    <w:rsid w:val="00C22DA9"/>
    <w:rsid w:val="00C22DF8"/>
    <w:rsid w:val="00C230BA"/>
    <w:rsid w:val="00C236C0"/>
    <w:rsid w:val="00C23822"/>
    <w:rsid w:val="00C23D34"/>
    <w:rsid w:val="00C23E0D"/>
    <w:rsid w:val="00C24417"/>
    <w:rsid w:val="00C2441A"/>
    <w:rsid w:val="00C249E9"/>
    <w:rsid w:val="00C24B00"/>
    <w:rsid w:val="00C24CD0"/>
    <w:rsid w:val="00C25158"/>
    <w:rsid w:val="00C25188"/>
    <w:rsid w:val="00C25199"/>
    <w:rsid w:val="00C2538E"/>
    <w:rsid w:val="00C2552C"/>
    <w:rsid w:val="00C2555B"/>
    <w:rsid w:val="00C255E6"/>
    <w:rsid w:val="00C256E6"/>
    <w:rsid w:val="00C25DFA"/>
    <w:rsid w:val="00C25FE7"/>
    <w:rsid w:val="00C26303"/>
    <w:rsid w:val="00C2681F"/>
    <w:rsid w:val="00C2687C"/>
    <w:rsid w:val="00C2695A"/>
    <w:rsid w:val="00C269CE"/>
    <w:rsid w:val="00C26A7A"/>
    <w:rsid w:val="00C26CFB"/>
    <w:rsid w:val="00C26FBD"/>
    <w:rsid w:val="00C2736D"/>
    <w:rsid w:val="00C27772"/>
    <w:rsid w:val="00C277BD"/>
    <w:rsid w:val="00C27818"/>
    <w:rsid w:val="00C301C5"/>
    <w:rsid w:val="00C30679"/>
    <w:rsid w:val="00C30745"/>
    <w:rsid w:val="00C30B37"/>
    <w:rsid w:val="00C30E76"/>
    <w:rsid w:val="00C30FA6"/>
    <w:rsid w:val="00C310B6"/>
    <w:rsid w:val="00C315F7"/>
    <w:rsid w:val="00C31987"/>
    <w:rsid w:val="00C31B07"/>
    <w:rsid w:val="00C31FC0"/>
    <w:rsid w:val="00C32220"/>
    <w:rsid w:val="00C32459"/>
    <w:rsid w:val="00C3257C"/>
    <w:rsid w:val="00C328A1"/>
    <w:rsid w:val="00C329B2"/>
    <w:rsid w:val="00C32A65"/>
    <w:rsid w:val="00C32E05"/>
    <w:rsid w:val="00C33159"/>
    <w:rsid w:val="00C3317C"/>
    <w:rsid w:val="00C33512"/>
    <w:rsid w:val="00C337BC"/>
    <w:rsid w:val="00C33F05"/>
    <w:rsid w:val="00C3426A"/>
    <w:rsid w:val="00C342D5"/>
    <w:rsid w:val="00C34489"/>
    <w:rsid w:val="00C3469F"/>
    <w:rsid w:val="00C34D28"/>
    <w:rsid w:val="00C3502D"/>
    <w:rsid w:val="00C350D7"/>
    <w:rsid w:val="00C35474"/>
    <w:rsid w:val="00C356A6"/>
    <w:rsid w:val="00C35763"/>
    <w:rsid w:val="00C35C92"/>
    <w:rsid w:val="00C35D8F"/>
    <w:rsid w:val="00C35E79"/>
    <w:rsid w:val="00C35EAD"/>
    <w:rsid w:val="00C35EDE"/>
    <w:rsid w:val="00C3608A"/>
    <w:rsid w:val="00C365E2"/>
    <w:rsid w:val="00C36845"/>
    <w:rsid w:val="00C36CD2"/>
    <w:rsid w:val="00C371C4"/>
    <w:rsid w:val="00C37691"/>
    <w:rsid w:val="00C37768"/>
    <w:rsid w:val="00C37777"/>
    <w:rsid w:val="00C377A1"/>
    <w:rsid w:val="00C37CE8"/>
    <w:rsid w:val="00C400F1"/>
    <w:rsid w:val="00C403BB"/>
    <w:rsid w:val="00C408F3"/>
    <w:rsid w:val="00C40C18"/>
    <w:rsid w:val="00C40C23"/>
    <w:rsid w:val="00C40C30"/>
    <w:rsid w:val="00C42522"/>
    <w:rsid w:val="00C425A3"/>
    <w:rsid w:val="00C42669"/>
    <w:rsid w:val="00C426F8"/>
    <w:rsid w:val="00C4286C"/>
    <w:rsid w:val="00C429D9"/>
    <w:rsid w:val="00C42A83"/>
    <w:rsid w:val="00C42D2B"/>
    <w:rsid w:val="00C42D69"/>
    <w:rsid w:val="00C42DEB"/>
    <w:rsid w:val="00C4304F"/>
    <w:rsid w:val="00C4357C"/>
    <w:rsid w:val="00C4375F"/>
    <w:rsid w:val="00C43777"/>
    <w:rsid w:val="00C43797"/>
    <w:rsid w:val="00C43969"/>
    <w:rsid w:val="00C439A8"/>
    <w:rsid w:val="00C43E12"/>
    <w:rsid w:val="00C43FA6"/>
    <w:rsid w:val="00C44157"/>
    <w:rsid w:val="00C44202"/>
    <w:rsid w:val="00C442BF"/>
    <w:rsid w:val="00C443B7"/>
    <w:rsid w:val="00C44C83"/>
    <w:rsid w:val="00C44D03"/>
    <w:rsid w:val="00C44D8F"/>
    <w:rsid w:val="00C4556A"/>
    <w:rsid w:val="00C456A5"/>
    <w:rsid w:val="00C45B03"/>
    <w:rsid w:val="00C45D9C"/>
    <w:rsid w:val="00C46320"/>
    <w:rsid w:val="00C463D0"/>
    <w:rsid w:val="00C465B7"/>
    <w:rsid w:val="00C467E5"/>
    <w:rsid w:val="00C4775A"/>
    <w:rsid w:val="00C47764"/>
    <w:rsid w:val="00C4781E"/>
    <w:rsid w:val="00C47C4F"/>
    <w:rsid w:val="00C47DF9"/>
    <w:rsid w:val="00C500C1"/>
    <w:rsid w:val="00C50752"/>
    <w:rsid w:val="00C508D6"/>
    <w:rsid w:val="00C50958"/>
    <w:rsid w:val="00C51068"/>
    <w:rsid w:val="00C511B3"/>
    <w:rsid w:val="00C514DE"/>
    <w:rsid w:val="00C51637"/>
    <w:rsid w:val="00C51861"/>
    <w:rsid w:val="00C51939"/>
    <w:rsid w:val="00C51A88"/>
    <w:rsid w:val="00C51C04"/>
    <w:rsid w:val="00C51C0D"/>
    <w:rsid w:val="00C51EFE"/>
    <w:rsid w:val="00C521EB"/>
    <w:rsid w:val="00C52440"/>
    <w:rsid w:val="00C5259E"/>
    <w:rsid w:val="00C525D8"/>
    <w:rsid w:val="00C5272A"/>
    <w:rsid w:val="00C52DD6"/>
    <w:rsid w:val="00C52F68"/>
    <w:rsid w:val="00C53302"/>
    <w:rsid w:val="00C535D8"/>
    <w:rsid w:val="00C53628"/>
    <w:rsid w:val="00C5373B"/>
    <w:rsid w:val="00C539CE"/>
    <w:rsid w:val="00C53D49"/>
    <w:rsid w:val="00C53D81"/>
    <w:rsid w:val="00C53EB1"/>
    <w:rsid w:val="00C53FBA"/>
    <w:rsid w:val="00C53FD0"/>
    <w:rsid w:val="00C542B9"/>
    <w:rsid w:val="00C54472"/>
    <w:rsid w:val="00C550D2"/>
    <w:rsid w:val="00C5515B"/>
    <w:rsid w:val="00C55196"/>
    <w:rsid w:val="00C55320"/>
    <w:rsid w:val="00C55559"/>
    <w:rsid w:val="00C558C1"/>
    <w:rsid w:val="00C55AA6"/>
    <w:rsid w:val="00C55BD9"/>
    <w:rsid w:val="00C55C8F"/>
    <w:rsid w:val="00C55DC3"/>
    <w:rsid w:val="00C56AFD"/>
    <w:rsid w:val="00C56E77"/>
    <w:rsid w:val="00C57011"/>
    <w:rsid w:val="00C578D9"/>
    <w:rsid w:val="00C57943"/>
    <w:rsid w:val="00C57A20"/>
    <w:rsid w:val="00C57B7C"/>
    <w:rsid w:val="00C57BE4"/>
    <w:rsid w:val="00C57D2B"/>
    <w:rsid w:val="00C6010D"/>
    <w:rsid w:val="00C60963"/>
    <w:rsid w:val="00C60BD4"/>
    <w:rsid w:val="00C60D9B"/>
    <w:rsid w:val="00C61014"/>
    <w:rsid w:val="00C61286"/>
    <w:rsid w:val="00C6170C"/>
    <w:rsid w:val="00C6179B"/>
    <w:rsid w:val="00C619C6"/>
    <w:rsid w:val="00C61B25"/>
    <w:rsid w:val="00C61E66"/>
    <w:rsid w:val="00C61E71"/>
    <w:rsid w:val="00C62269"/>
    <w:rsid w:val="00C624F7"/>
    <w:rsid w:val="00C62909"/>
    <w:rsid w:val="00C6296C"/>
    <w:rsid w:val="00C62A52"/>
    <w:rsid w:val="00C62C5E"/>
    <w:rsid w:val="00C62C80"/>
    <w:rsid w:val="00C62D67"/>
    <w:rsid w:val="00C62FFC"/>
    <w:rsid w:val="00C630DA"/>
    <w:rsid w:val="00C631BC"/>
    <w:rsid w:val="00C6338D"/>
    <w:rsid w:val="00C635BB"/>
    <w:rsid w:val="00C6368F"/>
    <w:rsid w:val="00C63882"/>
    <w:rsid w:val="00C63D1B"/>
    <w:rsid w:val="00C63D7F"/>
    <w:rsid w:val="00C64658"/>
    <w:rsid w:val="00C64728"/>
    <w:rsid w:val="00C649EE"/>
    <w:rsid w:val="00C64A69"/>
    <w:rsid w:val="00C64AFB"/>
    <w:rsid w:val="00C64C02"/>
    <w:rsid w:val="00C64D86"/>
    <w:rsid w:val="00C6525F"/>
    <w:rsid w:val="00C655E3"/>
    <w:rsid w:val="00C6563A"/>
    <w:rsid w:val="00C65700"/>
    <w:rsid w:val="00C65767"/>
    <w:rsid w:val="00C659E8"/>
    <w:rsid w:val="00C65A9B"/>
    <w:rsid w:val="00C663C1"/>
    <w:rsid w:val="00C66732"/>
    <w:rsid w:val="00C667DE"/>
    <w:rsid w:val="00C66859"/>
    <w:rsid w:val="00C66B4C"/>
    <w:rsid w:val="00C66C76"/>
    <w:rsid w:val="00C66DD3"/>
    <w:rsid w:val="00C66E0E"/>
    <w:rsid w:val="00C6702B"/>
    <w:rsid w:val="00C6734F"/>
    <w:rsid w:val="00C67390"/>
    <w:rsid w:val="00C678A1"/>
    <w:rsid w:val="00C67D9E"/>
    <w:rsid w:val="00C67EC3"/>
    <w:rsid w:val="00C702AE"/>
    <w:rsid w:val="00C70350"/>
    <w:rsid w:val="00C70460"/>
    <w:rsid w:val="00C7053D"/>
    <w:rsid w:val="00C70B9C"/>
    <w:rsid w:val="00C71146"/>
    <w:rsid w:val="00C71376"/>
    <w:rsid w:val="00C7176F"/>
    <w:rsid w:val="00C71C6B"/>
    <w:rsid w:val="00C72653"/>
    <w:rsid w:val="00C72801"/>
    <w:rsid w:val="00C72D44"/>
    <w:rsid w:val="00C72DA4"/>
    <w:rsid w:val="00C730F9"/>
    <w:rsid w:val="00C732E5"/>
    <w:rsid w:val="00C73709"/>
    <w:rsid w:val="00C73809"/>
    <w:rsid w:val="00C738ED"/>
    <w:rsid w:val="00C739AA"/>
    <w:rsid w:val="00C744D8"/>
    <w:rsid w:val="00C74607"/>
    <w:rsid w:val="00C74761"/>
    <w:rsid w:val="00C747C1"/>
    <w:rsid w:val="00C749AE"/>
    <w:rsid w:val="00C74AD5"/>
    <w:rsid w:val="00C74B4B"/>
    <w:rsid w:val="00C74CF8"/>
    <w:rsid w:val="00C74E30"/>
    <w:rsid w:val="00C7506D"/>
    <w:rsid w:val="00C7562A"/>
    <w:rsid w:val="00C75874"/>
    <w:rsid w:val="00C75A21"/>
    <w:rsid w:val="00C75AE6"/>
    <w:rsid w:val="00C75BF7"/>
    <w:rsid w:val="00C75C63"/>
    <w:rsid w:val="00C7641B"/>
    <w:rsid w:val="00C76655"/>
    <w:rsid w:val="00C76FDB"/>
    <w:rsid w:val="00C774FA"/>
    <w:rsid w:val="00C77551"/>
    <w:rsid w:val="00C7762C"/>
    <w:rsid w:val="00C77660"/>
    <w:rsid w:val="00C77C1C"/>
    <w:rsid w:val="00C80000"/>
    <w:rsid w:val="00C8018E"/>
    <w:rsid w:val="00C8019E"/>
    <w:rsid w:val="00C80241"/>
    <w:rsid w:val="00C802A4"/>
    <w:rsid w:val="00C80862"/>
    <w:rsid w:val="00C80C99"/>
    <w:rsid w:val="00C80E06"/>
    <w:rsid w:val="00C81091"/>
    <w:rsid w:val="00C81B96"/>
    <w:rsid w:val="00C81BE9"/>
    <w:rsid w:val="00C82122"/>
    <w:rsid w:val="00C82184"/>
    <w:rsid w:val="00C82287"/>
    <w:rsid w:val="00C82489"/>
    <w:rsid w:val="00C82C69"/>
    <w:rsid w:val="00C82D1D"/>
    <w:rsid w:val="00C8300A"/>
    <w:rsid w:val="00C83853"/>
    <w:rsid w:val="00C839E0"/>
    <w:rsid w:val="00C83B47"/>
    <w:rsid w:val="00C83B52"/>
    <w:rsid w:val="00C83FCB"/>
    <w:rsid w:val="00C84092"/>
    <w:rsid w:val="00C840A1"/>
    <w:rsid w:val="00C84305"/>
    <w:rsid w:val="00C844EA"/>
    <w:rsid w:val="00C84ECE"/>
    <w:rsid w:val="00C84FB0"/>
    <w:rsid w:val="00C85061"/>
    <w:rsid w:val="00C854C3"/>
    <w:rsid w:val="00C8568D"/>
    <w:rsid w:val="00C8594B"/>
    <w:rsid w:val="00C859F1"/>
    <w:rsid w:val="00C85C3A"/>
    <w:rsid w:val="00C86037"/>
    <w:rsid w:val="00C866EA"/>
    <w:rsid w:val="00C8692E"/>
    <w:rsid w:val="00C86C5F"/>
    <w:rsid w:val="00C86C7A"/>
    <w:rsid w:val="00C872C7"/>
    <w:rsid w:val="00C87676"/>
    <w:rsid w:val="00C879B3"/>
    <w:rsid w:val="00C87D2B"/>
    <w:rsid w:val="00C87D9A"/>
    <w:rsid w:val="00C87EF6"/>
    <w:rsid w:val="00C902E0"/>
    <w:rsid w:val="00C90525"/>
    <w:rsid w:val="00C909E8"/>
    <w:rsid w:val="00C90A12"/>
    <w:rsid w:val="00C9111A"/>
    <w:rsid w:val="00C913A6"/>
    <w:rsid w:val="00C914C8"/>
    <w:rsid w:val="00C914E4"/>
    <w:rsid w:val="00C9150F"/>
    <w:rsid w:val="00C91634"/>
    <w:rsid w:val="00C91ACA"/>
    <w:rsid w:val="00C91B8A"/>
    <w:rsid w:val="00C9216D"/>
    <w:rsid w:val="00C926DF"/>
    <w:rsid w:val="00C92F0E"/>
    <w:rsid w:val="00C93084"/>
    <w:rsid w:val="00C9311A"/>
    <w:rsid w:val="00C935AB"/>
    <w:rsid w:val="00C93705"/>
    <w:rsid w:val="00C93A70"/>
    <w:rsid w:val="00C93AE4"/>
    <w:rsid w:val="00C93BFE"/>
    <w:rsid w:val="00C941A5"/>
    <w:rsid w:val="00C941EE"/>
    <w:rsid w:val="00C94430"/>
    <w:rsid w:val="00C94892"/>
    <w:rsid w:val="00C94A7C"/>
    <w:rsid w:val="00C94B0A"/>
    <w:rsid w:val="00C95258"/>
    <w:rsid w:val="00C952D1"/>
    <w:rsid w:val="00C952FC"/>
    <w:rsid w:val="00C95595"/>
    <w:rsid w:val="00C957EB"/>
    <w:rsid w:val="00C95A36"/>
    <w:rsid w:val="00C95AC1"/>
    <w:rsid w:val="00C95B2A"/>
    <w:rsid w:val="00C95D9F"/>
    <w:rsid w:val="00C965F9"/>
    <w:rsid w:val="00C9670F"/>
    <w:rsid w:val="00C96ED2"/>
    <w:rsid w:val="00C97036"/>
    <w:rsid w:val="00C973BA"/>
    <w:rsid w:val="00C9795A"/>
    <w:rsid w:val="00C979BF"/>
    <w:rsid w:val="00C97B38"/>
    <w:rsid w:val="00C97C00"/>
    <w:rsid w:val="00C97ED5"/>
    <w:rsid w:val="00CA0023"/>
    <w:rsid w:val="00CA0056"/>
    <w:rsid w:val="00CA0315"/>
    <w:rsid w:val="00CA04CC"/>
    <w:rsid w:val="00CA0599"/>
    <w:rsid w:val="00CA05E0"/>
    <w:rsid w:val="00CA07E1"/>
    <w:rsid w:val="00CA0A29"/>
    <w:rsid w:val="00CA0A47"/>
    <w:rsid w:val="00CA0C01"/>
    <w:rsid w:val="00CA1285"/>
    <w:rsid w:val="00CA1333"/>
    <w:rsid w:val="00CA13DC"/>
    <w:rsid w:val="00CA14D5"/>
    <w:rsid w:val="00CA1A5D"/>
    <w:rsid w:val="00CA1AF0"/>
    <w:rsid w:val="00CA1CE3"/>
    <w:rsid w:val="00CA1DCB"/>
    <w:rsid w:val="00CA1E51"/>
    <w:rsid w:val="00CA25E2"/>
    <w:rsid w:val="00CA30C6"/>
    <w:rsid w:val="00CA33DC"/>
    <w:rsid w:val="00CA3724"/>
    <w:rsid w:val="00CA3FA8"/>
    <w:rsid w:val="00CA45E9"/>
    <w:rsid w:val="00CA46EE"/>
    <w:rsid w:val="00CA49B2"/>
    <w:rsid w:val="00CA528B"/>
    <w:rsid w:val="00CA5E2B"/>
    <w:rsid w:val="00CA6034"/>
    <w:rsid w:val="00CA6460"/>
    <w:rsid w:val="00CA65BF"/>
    <w:rsid w:val="00CA66FF"/>
    <w:rsid w:val="00CA6857"/>
    <w:rsid w:val="00CA69BF"/>
    <w:rsid w:val="00CA6AA2"/>
    <w:rsid w:val="00CA6E93"/>
    <w:rsid w:val="00CA6FF9"/>
    <w:rsid w:val="00CA7855"/>
    <w:rsid w:val="00CA7911"/>
    <w:rsid w:val="00CA7A07"/>
    <w:rsid w:val="00CA7AA9"/>
    <w:rsid w:val="00CA7D7A"/>
    <w:rsid w:val="00CA7E6C"/>
    <w:rsid w:val="00CB03BB"/>
    <w:rsid w:val="00CB05B1"/>
    <w:rsid w:val="00CB0EAA"/>
    <w:rsid w:val="00CB1012"/>
    <w:rsid w:val="00CB1133"/>
    <w:rsid w:val="00CB1183"/>
    <w:rsid w:val="00CB148C"/>
    <w:rsid w:val="00CB14B3"/>
    <w:rsid w:val="00CB1550"/>
    <w:rsid w:val="00CB1626"/>
    <w:rsid w:val="00CB1D08"/>
    <w:rsid w:val="00CB1E54"/>
    <w:rsid w:val="00CB1EB9"/>
    <w:rsid w:val="00CB2265"/>
    <w:rsid w:val="00CB25F1"/>
    <w:rsid w:val="00CB2739"/>
    <w:rsid w:val="00CB2F0B"/>
    <w:rsid w:val="00CB3B64"/>
    <w:rsid w:val="00CB3B82"/>
    <w:rsid w:val="00CB3BBD"/>
    <w:rsid w:val="00CB40B2"/>
    <w:rsid w:val="00CB4192"/>
    <w:rsid w:val="00CB41A9"/>
    <w:rsid w:val="00CB453C"/>
    <w:rsid w:val="00CB4648"/>
    <w:rsid w:val="00CB54DB"/>
    <w:rsid w:val="00CB582D"/>
    <w:rsid w:val="00CB5CAF"/>
    <w:rsid w:val="00CB6027"/>
    <w:rsid w:val="00CB66D1"/>
    <w:rsid w:val="00CB69E2"/>
    <w:rsid w:val="00CB6A63"/>
    <w:rsid w:val="00CB6B7B"/>
    <w:rsid w:val="00CB6BFF"/>
    <w:rsid w:val="00CB6E42"/>
    <w:rsid w:val="00CB6E49"/>
    <w:rsid w:val="00CC025C"/>
    <w:rsid w:val="00CC02CF"/>
    <w:rsid w:val="00CC0A26"/>
    <w:rsid w:val="00CC0EB9"/>
    <w:rsid w:val="00CC135F"/>
    <w:rsid w:val="00CC1434"/>
    <w:rsid w:val="00CC1ACC"/>
    <w:rsid w:val="00CC1B7C"/>
    <w:rsid w:val="00CC1E0F"/>
    <w:rsid w:val="00CC2219"/>
    <w:rsid w:val="00CC22B4"/>
    <w:rsid w:val="00CC24FA"/>
    <w:rsid w:val="00CC26E8"/>
    <w:rsid w:val="00CC28EA"/>
    <w:rsid w:val="00CC2BDE"/>
    <w:rsid w:val="00CC3148"/>
    <w:rsid w:val="00CC33E1"/>
    <w:rsid w:val="00CC3425"/>
    <w:rsid w:val="00CC360A"/>
    <w:rsid w:val="00CC374A"/>
    <w:rsid w:val="00CC3D03"/>
    <w:rsid w:val="00CC3F1E"/>
    <w:rsid w:val="00CC41FD"/>
    <w:rsid w:val="00CC4610"/>
    <w:rsid w:val="00CC48BB"/>
    <w:rsid w:val="00CC4C33"/>
    <w:rsid w:val="00CC51CA"/>
    <w:rsid w:val="00CC5500"/>
    <w:rsid w:val="00CC565C"/>
    <w:rsid w:val="00CC5697"/>
    <w:rsid w:val="00CC5770"/>
    <w:rsid w:val="00CC5C66"/>
    <w:rsid w:val="00CC6374"/>
    <w:rsid w:val="00CC6697"/>
    <w:rsid w:val="00CC691D"/>
    <w:rsid w:val="00CC6C60"/>
    <w:rsid w:val="00CC754C"/>
    <w:rsid w:val="00CC7A0A"/>
    <w:rsid w:val="00CC7B01"/>
    <w:rsid w:val="00CC7BD1"/>
    <w:rsid w:val="00CC7C53"/>
    <w:rsid w:val="00CD0670"/>
    <w:rsid w:val="00CD07EA"/>
    <w:rsid w:val="00CD0804"/>
    <w:rsid w:val="00CD0948"/>
    <w:rsid w:val="00CD1020"/>
    <w:rsid w:val="00CD1C47"/>
    <w:rsid w:val="00CD1E59"/>
    <w:rsid w:val="00CD2274"/>
    <w:rsid w:val="00CD227E"/>
    <w:rsid w:val="00CD2283"/>
    <w:rsid w:val="00CD28FF"/>
    <w:rsid w:val="00CD301A"/>
    <w:rsid w:val="00CD34D3"/>
    <w:rsid w:val="00CD3C35"/>
    <w:rsid w:val="00CD3CDC"/>
    <w:rsid w:val="00CD3D9C"/>
    <w:rsid w:val="00CD3DCB"/>
    <w:rsid w:val="00CD3F39"/>
    <w:rsid w:val="00CD44DF"/>
    <w:rsid w:val="00CD45C0"/>
    <w:rsid w:val="00CD48DF"/>
    <w:rsid w:val="00CD49B9"/>
    <w:rsid w:val="00CD4DEC"/>
    <w:rsid w:val="00CD4F24"/>
    <w:rsid w:val="00CD4F7C"/>
    <w:rsid w:val="00CD4FDC"/>
    <w:rsid w:val="00CD56DE"/>
    <w:rsid w:val="00CD6330"/>
    <w:rsid w:val="00CD6760"/>
    <w:rsid w:val="00CD68A0"/>
    <w:rsid w:val="00CD6D9A"/>
    <w:rsid w:val="00CD6F97"/>
    <w:rsid w:val="00CD702F"/>
    <w:rsid w:val="00CD7A03"/>
    <w:rsid w:val="00CD7CD9"/>
    <w:rsid w:val="00CE0530"/>
    <w:rsid w:val="00CE0888"/>
    <w:rsid w:val="00CE0F26"/>
    <w:rsid w:val="00CE1072"/>
    <w:rsid w:val="00CE1D33"/>
    <w:rsid w:val="00CE2292"/>
    <w:rsid w:val="00CE22EF"/>
    <w:rsid w:val="00CE24A4"/>
    <w:rsid w:val="00CE28DA"/>
    <w:rsid w:val="00CE2D3C"/>
    <w:rsid w:val="00CE31D2"/>
    <w:rsid w:val="00CE3343"/>
    <w:rsid w:val="00CE33DC"/>
    <w:rsid w:val="00CE34F4"/>
    <w:rsid w:val="00CE38A2"/>
    <w:rsid w:val="00CE39DE"/>
    <w:rsid w:val="00CE3AD3"/>
    <w:rsid w:val="00CE42D1"/>
    <w:rsid w:val="00CE4428"/>
    <w:rsid w:val="00CE4833"/>
    <w:rsid w:val="00CE48B2"/>
    <w:rsid w:val="00CE4A5E"/>
    <w:rsid w:val="00CE4E81"/>
    <w:rsid w:val="00CE5044"/>
    <w:rsid w:val="00CE51C0"/>
    <w:rsid w:val="00CE52D0"/>
    <w:rsid w:val="00CE58A6"/>
    <w:rsid w:val="00CE592D"/>
    <w:rsid w:val="00CE5C93"/>
    <w:rsid w:val="00CE5CC3"/>
    <w:rsid w:val="00CE5D3B"/>
    <w:rsid w:val="00CE6575"/>
    <w:rsid w:val="00CE665E"/>
    <w:rsid w:val="00CE67B6"/>
    <w:rsid w:val="00CE6CA2"/>
    <w:rsid w:val="00CE6D68"/>
    <w:rsid w:val="00CE702B"/>
    <w:rsid w:val="00CE7147"/>
    <w:rsid w:val="00CE721B"/>
    <w:rsid w:val="00CE72DC"/>
    <w:rsid w:val="00CE733B"/>
    <w:rsid w:val="00CE78EA"/>
    <w:rsid w:val="00CE7CCF"/>
    <w:rsid w:val="00CE7EBD"/>
    <w:rsid w:val="00CF00A2"/>
    <w:rsid w:val="00CF0463"/>
    <w:rsid w:val="00CF0755"/>
    <w:rsid w:val="00CF079C"/>
    <w:rsid w:val="00CF084B"/>
    <w:rsid w:val="00CF08A8"/>
    <w:rsid w:val="00CF0DE8"/>
    <w:rsid w:val="00CF0F66"/>
    <w:rsid w:val="00CF1097"/>
    <w:rsid w:val="00CF157D"/>
    <w:rsid w:val="00CF175E"/>
    <w:rsid w:val="00CF17AE"/>
    <w:rsid w:val="00CF1878"/>
    <w:rsid w:val="00CF18A8"/>
    <w:rsid w:val="00CF1B92"/>
    <w:rsid w:val="00CF2660"/>
    <w:rsid w:val="00CF28AF"/>
    <w:rsid w:val="00CF29EB"/>
    <w:rsid w:val="00CF31E1"/>
    <w:rsid w:val="00CF3879"/>
    <w:rsid w:val="00CF3A6F"/>
    <w:rsid w:val="00CF3F4A"/>
    <w:rsid w:val="00CF41AF"/>
    <w:rsid w:val="00CF43A4"/>
    <w:rsid w:val="00CF47DB"/>
    <w:rsid w:val="00CF4AF8"/>
    <w:rsid w:val="00CF4E9C"/>
    <w:rsid w:val="00CF4FF3"/>
    <w:rsid w:val="00CF5218"/>
    <w:rsid w:val="00CF57C1"/>
    <w:rsid w:val="00CF5864"/>
    <w:rsid w:val="00CF5911"/>
    <w:rsid w:val="00CF5B1B"/>
    <w:rsid w:val="00CF5D55"/>
    <w:rsid w:val="00CF601A"/>
    <w:rsid w:val="00CF61ED"/>
    <w:rsid w:val="00CF6263"/>
    <w:rsid w:val="00CF6CD3"/>
    <w:rsid w:val="00CF70F3"/>
    <w:rsid w:val="00CF713B"/>
    <w:rsid w:val="00CF72C8"/>
    <w:rsid w:val="00CF74CE"/>
    <w:rsid w:val="00CF7716"/>
    <w:rsid w:val="00CF7815"/>
    <w:rsid w:val="00CF79FF"/>
    <w:rsid w:val="00CF7AB8"/>
    <w:rsid w:val="00CF7C8B"/>
    <w:rsid w:val="00CF7D51"/>
    <w:rsid w:val="00D0000D"/>
    <w:rsid w:val="00D00737"/>
    <w:rsid w:val="00D00D4A"/>
    <w:rsid w:val="00D00E24"/>
    <w:rsid w:val="00D018AA"/>
    <w:rsid w:val="00D01B14"/>
    <w:rsid w:val="00D01C60"/>
    <w:rsid w:val="00D01F21"/>
    <w:rsid w:val="00D02299"/>
    <w:rsid w:val="00D02370"/>
    <w:rsid w:val="00D02462"/>
    <w:rsid w:val="00D02700"/>
    <w:rsid w:val="00D02757"/>
    <w:rsid w:val="00D0279F"/>
    <w:rsid w:val="00D02830"/>
    <w:rsid w:val="00D03147"/>
    <w:rsid w:val="00D03151"/>
    <w:rsid w:val="00D0398F"/>
    <w:rsid w:val="00D03B9F"/>
    <w:rsid w:val="00D04152"/>
    <w:rsid w:val="00D04354"/>
    <w:rsid w:val="00D04594"/>
    <w:rsid w:val="00D0474D"/>
    <w:rsid w:val="00D04DF3"/>
    <w:rsid w:val="00D04EAC"/>
    <w:rsid w:val="00D05171"/>
    <w:rsid w:val="00D05608"/>
    <w:rsid w:val="00D0595F"/>
    <w:rsid w:val="00D05B98"/>
    <w:rsid w:val="00D05E7C"/>
    <w:rsid w:val="00D05EDA"/>
    <w:rsid w:val="00D05F65"/>
    <w:rsid w:val="00D0609F"/>
    <w:rsid w:val="00D06330"/>
    <w:rsid w:val="00D06551"/>
    <w:rsid w:val="00D06596"/>
    <w:rsid w:val="00D06A47"/>
    <w:rsid w:val="00D06A72"/>
    <w:rsid w:val="00D06B6C"/>
    <w:rsid w:val="00D0703D"/>
    <w:rsid w:val="00D07366"/>
    <w:rsid w:val="00D07794"/>
    <w:rsid w:val="00D07B04"/>
    <w:rsid w:val="00D07EF6"/>
    <w:rsid w:val="00D102D1"/>
    <w:rsid w:val="00D10312"/>
    <w:rsid w:val="00D107D3"/>
    <w:rsid w:val="00D10AFB"/>
    <w:rsid w:val="00D10B6F"/>
    <w:rsid w:val="00D111BC"/>
    <w:rsid w:val="00D125E2"/>
    <w:rsid w:val="00D12B2F"/>
    <w:rsid w:val="00D12C19"/>
    <w:rsid w:val="00D12CBA"/>
    <w:rsid w:val="00D12E7E"/>
    <w:rsid w:val="00D12F06"/>
    <w:rsid w:val="00D130E3"/>
    <w:rsid w:val="00D13117"/>
    <w:rsid w:val="00D13154"/>
    <w:rsid w:val="00D13588"/>
    <w:rsid w:val="00D13648"/>
    <w:rsid w:val="00D13C85"/>
    <w:rsid w:val="00D13EF7"/>
    <w:rsid w:val="00D13F3D"/>
    <w:rsid w:val="00D13F9B"/>
    <w:rsid w:val="00D14AB4"/>
    <w:rsid w:val="00D14FEE"/>
    <w:rsid w:val="00D154E0"/>
    <w:rsid w:val="00D15657"/>
    <w:rsid w:val="00D15A56"/>
    <w:rsid w:val="00D16106"/>
    <w:rsid w:val="00D164B2"/>
    <w:rsid w:val="00D168F4"/>
    <w:rsid w:val="00D16C14"/>
    <w:rsid w:val="00D16D35"/>
    <w:rsid w:val="00D170E0"/>
    <w:rsid w:val="00D172BA"/>
    <w:rsid w:val="00D175A2"/>
    <w:rsid w:val="00D17936"/>
    <w:rsid w:val="00D179CB"/>
    <w:rsid w:val="00D17B7D"/>
    <w:rsid w:val="00D17DFF"/>
    <w:rsid w:val="00D20108"/>
    <w:rsid w:val="00D202C5"/>
    <w:rsid w:val="00D209E6"/>
    <w:rsid w:val="00D20AA3"/>
    <w:rsid w:val="00D20C8A"/>
    <w:rsid w:val="00D216BE"/>
    <w:rsid w:val="00D21D7A"/>
    <w:rsid w:val="00D21E02"/>
    <w:rsid w:val="00D226BB"/>
    <w:rsid w:val="00D227ED"/>
    <w:rsid w:val="00D22800"/>
    <w:rsid w:val="00D228B6"/>
    <w:rsid w:val="00D22A26"/>
    <w:rsid w:val="00D22EFE"/>
    <w:rsid w:val="00D23474"/>
    <w:rsid w:val="00D237A5"/>
    <w:rsid w:val="00D23920"/>
    <w:rsid w:val="00D23B6D"/>
    <w:rsid w:val="00D24372"/>
    <w:rsid w:val="00D24427"/>
    <w:rsid w:val="00D24C72"/>
    <w:rsid w:val="00D24C8C"/>
    <w:rsid w:val="00D24E5C"/>
    <w:rsid w:val="00D2525A"/>
    <w:rsid w:val="00D25BCD"/>
    <w:rsid w:val="00D2614E"/>
    <w:rsid w:val="00D26235"/>
    <w:rsid w:val="00D266D7"/>
    <w:rsid w:val="00D2679B"/>
    <w:rsid w:val="00D267A4"/>
    <w:rsid w:val="00D26C68"/>
    <w:rsid w:val="00D26D82"/>
    <w:rsid w:val="00D2702C"/>
    <w:rsid w:val="00D27058"/>
    <w:rsid w:val="00D27185"/>
    <w:rsid w:val="00D2751B"/>
    <w:rsid w:val="00D27C49"/>
    <w:rsid w:val="00D27C95"/>
    <w:rsid w:val="00D300C7"/>
    <w:rsid w:val="00D30118"/>
    <w:rsid w:val="00D301D1"/>
    <w:rsid w:val="00D30867"/>
    <w:rsid w:val="00D3092A"/>
    <w:rsid w:val="00D30BAA"/>
    <w:rsid w:val="00D316DF"/>
    <w:rsid w:val="00D31B32"/>
    <w:rsid w:val="00D31F22"/>
    <w:rsid w:val="00D320CE"/>
    <w:rsid w:val="00D32286"/>
    <w:rsid w:val="00D325CF"/>
    <w:rsid w:val="00D32817"/>
    <w:rsid w:val="00D328F1"/>
    <w:rsid w:val="00D32B4A"/>
    <w:rsid w:val="00D32DD9"/>
    <w:rsid w:val="00D32F97"/>
    <w:rsid w:val="00D33234"/>
    <w:rsid w:val="00D3325E"/>
    <w:rsid w:val="00D333D8"/>
    <w:rsid w:val="00D3345E"/>
    <w:rsid w:val="00D335EC"/>
    <w:rsid w:val="00D337E1"/>
    <w:rsid w:val="00D33ECF"/>
    <w:rsid w:val="00D33FA4"/>
    <w:rsid w:val="00D33FD9"/>
    <w:rsid w:val="00D341CE"/>
    <w:rsid w:val="00D34413"/>
    <w:rsid w:val="00D34552"/>
    <w:rsid w:val="00D34855"/>
    <w:rsid w:val="00D34946"/>
    <w:rsid w:val="00D34969"/>
    <w:rsid w:val="00D34E1B"/>
    <w:rsid w:val="00D34E57"/>
    <w:rsid w:val="00D34E9A"/>
    <w:rsid w:val="00D35551"/>
    <w:rsid w:val="00D35752"/>
    <w:rsid w:val="00D35994"/>
    <w:rsid w:val="00D35A35"/>
    <w:rsid w:val="00D35A9B"/>
    <w:rsid w:val="00D35AA3"/>
    <w:rsid w:val="00D35CA8"/>
    <w:rsid w:val="00D35DEE"/>
    <w:rsid w:val="00D35E93"/>
    <w:rsid w:val="00D35F42"/>
    <w:rsid w:val="00D35FCF"/>
    <w:rsid w:val="00D35FD9"/>
    <w:rsid w:val="00D35FED"/>
    <w:rsid w:val="00D3631C"/>
    <w:rsid w:val="00D36390"/>
    <w:rsid w:val="00D36711"/>
    <w:rsid w:val="00D36966"/>
    <w:rsid w:val="00D36ABE"/>
    <w:rsid w:val="00D36C84"/>
    <w:rsid w:val="00D3707F"/>
    <w:rsid w:val="00D373E6"/>
    <w:rsid w:val="00D37612"/>
    <w:rsid w:val="00D37621"/>
    <w:rsid w:val="00D37C0D"/>
    <w:rsid w:val="00D37D53"/>
    <w:rsid w:val="00D4001F"/>
    <w:rsid w:val="00D40039"/>
    <w:rsid w:val="00D401BC"/>
    <w:rsid w:val="00D402B0"/>
    <w:rsid w:val="00D40355"/>
    <w:rsid w:val="00D40508"/>
    <w:rsid w:val="00D40634"/>
    <w:rsid w:val="00D40666"/>
    <w:rsid w:val="00D408B4"/>
    <w:rsid w:val="00D40D56"/>
    <w:rsid w:val="00D40DAE"/>
    <w:rsid w:val="00D40F05"/>
    <w:rsid w:val="00D410CB"/>
    <w:rsid w:val="00D41953"/>
    <w:rsid w:val="00D41D7C"/>
    <w:rsid w:val="00D420A9"/>
    <w:rsid w:val="00D42572"/>
    <w:rsid w:val="00D42B3B"/>
    <w:rsid w:val="00D42EE0"/>
    <w:rsid w:val="00D43237"/>
    <w:rsid w:val="00D43F20"/>
    <w:rsid w:val="00D43F30"/>
    <w:rsid w:val="00D4427C"/>
    <w:rsid w:val="00D446FF"/>
    <w:rsid w:val="00D449D0"/>
    <w:rsid w:val="00D4503C"/>
    <w:rsid w:val="00D454F9"/>
    <w:rsid w:val="00D45870"/>
    <w:rsid w:val="00D45CC4"/>
    <w:rsid w:val="00D46A4E"/>
    <w:rsid w:val="00D46BD4"/>
    <w:rsid w:val="00D46DB3"/>
    <w:rsid w:val="00D46E2B"/>
    <w:rsid w:val="00D470DD"/>
    <w:rsid w:val="00D471B1"/>
    <w:rsid w:val="00D47944"/>
    <w:rsid w:val="00D47C24"/>
    <w:rsid w:val="00D47CDC"/>
    <w:rsid w:val="00D501D8"/>
    <w:rsid w:val="00D50580"/>
    <w:rsid w:val="00D50827"/>
    <w:rsid w:val="00D509D9"/>
    <w:rsid w:val="00D5127E"/>
    <w:rsid w:val="00D517EE"/>
    <w:rsid w:val="00D5186D"/>
    <w:rsid w:val="00D51E44"/>
    <w:rsid w:val="00D522A0"/>
    <w:rsid w:val="00D5231A"/>
    <w:rsid w:val="00D52323"/>
    <w:rsid w:val="00D5243F"/>
    <w:rsid w:val="00D52484"/>
    <w:rsid w:val="00D525B8"/>
    <w:rsid w:val="00D528C1"/>
    <w:rsid w:val="00D532E7"/>
    <w:rsid w:val="00D5340C"/>
    <w:rsid w:val="00D53AB2"/>
    <w:rsid w:val="00D53D7E"/>
    <w:rsid w:val="00D54091"/>
    <w:rsid w:val="00D54218"/>
    <w:rsid w:val="00D54463"/>
    <w:rsid w:val="00D544A5"/>
    <w:rsid w:val="00D54649"/>
    <w:rsid w:val="00D546D1"/>
    <w:rsid w:val="00D54841"/>
    <w:rsid w:val="00D54B01"/>
    <w:rsid w:val="00D54C0B"/>
    <w:rsid w:val="00D54F43"/>
    <w:rsid w:val="00D5522A"/>
    <w:rsid w:val="00D5523A"/>
    <w:rsid w:val="00D555DB"/>
    <w:rsid w:val="00D5570A"/>
    <w:rsid w:val="00D55A09"/>
    <w:rsid w:val="00D55B5A"/>
    <w:rsid w:val="00D55DB6"/>
    <w:rsid w:val="00D55FF9"/>
    <w:rsid w:val="00D560F1"/>
    <w:rsid w:val="00D56285"/>
    <w:rsid w:val="00D56A6A"/>
    <w:rsid w:val="00D5711D"/>
    <w:rsid w:val="00D5749B"/>
    <w:rsid w:val="00D574AF"/>
    <w:rsid w:val="00D5794A"/>
    <w:rsid w:val="00D57B00"/>
    <w:rsid w:val="00D57B6E"/>
    <w:rsid w:val="00D57C14"/>
    <w:rsid w:val="00D57E41"/>
    <w:rsid w:val="00D6008F"/>
    <w:rsid w:val="00D604E1"/>
    <w:rsid w:val="00D60A93"/>
    <w:rsid w:val="00D60BCE"/>
    <w:rsid w:val="00D60EE6"/>
    <w:rsid w:val="00D60F71"/>
    <w:rsid w:val="00D61328"/>
    <w:rsid w:val="00D614A0"/>
    <w:rsid w:val="00D61558"/>
    <w:rsid w:val="00D61942"/>
    <w:rsid w:val="00D61967"/>
    <w:rsid w:val="00D619AA"/>
    <w:rsid w:val="00D61B08"/>
    <w:rsid w:val="00D61D85"/>
    <w:rsid w:val="00D61F90"/>
    <w:rsid w:val="00D621B9"/>
    <w:rsid w:val="00D624F3"/>
    <w:rsid w:val="00D62948"/>
    <w:rsid w:val="00D62B27"/>
    <w:rsid w:val="00D62B70"/>
    <w:rsid w:val="00D62CE1"/>
    <w:rsid w:val="00D62D14"/>
    <w:rsid w:val="00D62F29"/>
    <w:rsid w:val="00D63412"/>
    <w:rsid w:val="00D6389C"/>
    <w:rsid w:val="00D63B33"/>
    <w:rsid w:val="00D63CDD"/>
    <w:rsid w:val="00D6439C"/>
    <w:rsid w:val="00D64AAF"/>
    <w:rsid w:val="00D65577"/>
    <w:rsid w:val="00D655A5"/>
    <w:rsid w:val="00D660D3"/>
    <w:rsid w:val="00D661FD"/>
    <w:rsid w:val="00D665D3"/>
    <w:rsid w:val="00D66B44"/>
    <w:rsid w:val="00D66CBB"/>
    <w:rsid w:val="00D67247"/>
    <w:rsid w:val="00D6727A"/>
    <w:rsid w:val="00D67550"/>
    <w:rsid w:val="00D67AA9"/>
    <w:rsid w:val="00D7011C"/>
    <w:rsid w:val="00D70697"/>
    <w:rsid w:val="00D70987"/>
    <w:rsid w:val="00D70D0A"/>
    <w:rsid w:val="00D7139E"/>
    <w:rsid w:val="00D71752"/>
    <w:rsid w:val="00D71CCA"/>
    <w:rsid w:val="00D7232B"/>
    <w:rsid w:val="00D724D3"/>
    <w:rsid w:val="00D731E5"/>
    <w:rsid w:val="00D7364D"/>
    <w:rsid w:val="00D737B0"/>
    <w:rsid w:val="00D73A84"/>
    <w:rsid w:val="00D73B5B"/>
    <w:rsid w:val="00D73C72"/>
    <w:rsid w:val="00D73E68"/>
    <w:rsid w:val="00D73EAF"/>
    <w:rsid w:val="00D74376"/>
    <w:rsid w:val="00D74EA5"/>
    <w:rsid w:val="00D74F17"/>
    <w:rsid w:val="00D7524C"/>
    <w:rsid w:val="00D75333"/>
    <w:rsid w:val="00D755C2"/>
    <w:rsid w:val="00D757AC"/>
    <w:rsid w:val="00D759D5"/>
    <w:rsid w:val="00D75D70"/>
    <w:rsid w:val="00D75F85"/>
    <w:rsid w:val="00D76418"/>
    <w:rsid w:val="00D764D4"/>
    <w:rsid w:val="00D76532"/>
    <w:rsid w:val="00D765D5"/>
    <w:rsid w:val="00D76791"/>
    <w:rsid w:val="00D76B50"/>
    <w:rsid w:val="00D76D32"/>
    <w:rsid w:val="00D76D46"/>
    <w:rsid w:val="00D76D8A"/>
    <w:rsid w:val="00D77071"/>
    <w:rsid w:val="00D770EF"/>
    <w:rsid w:val="00D7731F"/>
    <w:rsid w:val="00D77771"/>
    <w:rsid w:val="00D77A8B"/>
    <w:rsid w:val="00D77BA1"/>
    <w:rsid w:val="00D77ECE"/>
    <w:rsid w:val="00D77F89"/>
    <w:rsid w:val="00D803E4"/>
    <w:rsid w:val="00D8051A"/>
    <w:rsid w:val="00D80756"/>
    <w:rsid w:val="00D80DC5"/>
    <w:rsid w:val="00D80EDD"/>
    <w:rsid w:val="00D80FB3"/>
    <w:rsid w:val="00D80FF8"/>
    <w:rsid w:val="00D81708"/>
    <w:rsid w:val="00D8182A"/>
    <w:rsid w:val="00D81C01"/>
    <w:rsid w:val="00D81D48"/>
    <w:rsid w:val="00D81E13"/>
    <w:rsid w:val="00D82064"/>
    <w:rsid w:val="00D8343F"/>
    <w:rsid w:val="00D83B93"/>
    <w:rsid w:val="00D84472"/>
    <w:rsid w:val="00D844B7"/>
    <w:rsid w:val="00D845E7"/>
    <w:rsid w:val="00D84888"/>
    <w:rsid w:val="00D849B9"/>
    <w:rsid w:val="00D84A1B"/>
    <w:rsid w:val="00D84B95"/>
    <w:rsid w:val="00D84CF4"/>
    <w:rsid w:val="00D84E2D"/>
    <w:rsid w:val="00D85230"/>
    <w:rsid w:val="00D8566E"/>
    <w:rsid w:val="00D85704"/>
    <w:rsid w:val="00D858A1"/>
    <w:rsid w:val="00D85A77"/>
    <w:rsid w:val="00D85B2C"/>
    <w:rsid w:val="00D860B8"/>
    <w:rsid w:val="00D8649F"/>
    <w:rsid w:val="00D864F0"/>
    <w:rsid w:val="00D867AB"/>
    <w:rsid w:val="00D86A0C"/>
    <w:rsid w:val="00D86B96"/>
    <w:rsid w:val="00D86F5F"/>
    <w:rsid w:val="00D8731E"/>
    <w:rsid w:val="00D87365"/>
    <w:rsid w:val="00D878B3"/>
    <w:rsid w:val="00D87B10"/>
    <w:rsid w:val="00D87BB2"/>
    <w:rsid w:val="00D900E5"/>
    <w:rsid w:val="00D903C1"/>
    <w:rsid w:val="00D909B2"/>
    <w:rsid w:val="00D90C29"/>
    <w:rsid w:val="00D90DB1"/>
    <w:rsid w:val="00D914E7"/>
    <w:rsid w:val="00D916CA"/>
    <w:rsid w:val="00D917CF"/>
    <w:rsid w:val="00D9199E"/>
    <w:rsid w:val="00D919BE"/>
    <w:rsid w:val="00D91A6A"/>
    <w:rsid w:val="00D92340"/>
    <w:rsid w:val="00D9257D"/>
    <w:rsid w:val="00D92B7A"/>
    <w:rsid w:val="00D93151"/>
    <w:rsid w:val="00D932E7"/>
    <w:rsid w:val="00D93626"/>
    <w:rsid w:val="00D93A24"/>
    <w:rsid w:val="00D94574"/>
    <w:rsid w:val="00D94681"/>
    <w:rsid w:val="00D946DB"/>
    <w:rsid w:val="00D94805"/>
    <w:rsid w:val="00D94B69"/>
    <w:rsid w:val="00D94C4D"/>
    <w:rsid w:val="00D94F74"/>
    <w:rsid w:val="00D95160"/>
    <w:rsid w:val="00D95240"/>
    <w:rsid w:val="00D956BC"/>
    <w:rsid w:val="00D9594D"/>
    <w:rsid w:val="00D9597D"/>
    <w:rsid w:val="00D95C14"/>
    <w:rsid w:val="00D96282"/>
    <w:rsid w:val="00D96781"/>
    <w:rsid w:val="00D9766A"/>
    <w:rsid w:val="00D977F3"/>
    <w:rsid w:val="00D97874"/>
    <w:rsid w:val="00D979AE"/>
    <w:rsid w:val="00D97E8D"/>
    <w:rsid w:val="00DA06B7"/>
    <w:rsid w:val="00DA0B11"/>
    <w:rsid w:val="00DA1229"/>
    <w:rsid w:val="00DA1492"/>
    <w:rsid w:val="00DA1B84"/>
    <w:rsid w:val="00DA1C41"/>
    <w:rsid w:val="00DA2445"/>
    <w:rsid w:val="00DA2512"/>
    <w:rsid w:val="00DA254C"/>
    <w:rsid w:val="00DA2649"/>
    <w:rsid w:val="00DA2E7A"/>
    <w:rsid w:val="00DA30EA"/>
    <w:rsid w:val="00DA3127"/>
    <w:rsid w:val="00DA3860"/>
    <w:rsid w:val="00DA38E1"/>
    <w:rsid w:val="00DA393F"/>
    <w:rsid w:val="00DA3DE7"/>
    <w:rsid w:val="00DA3ED6"/>
    <w:rsid w:val="00DA3EF9"/>
    <w:rsid w:val="00DA41BE"/>
    <w:rsid w:val="00DA42B9"/>
    <w:rsid w:val="00DA4BB1"/>
    <w:rsid w:val="00DA52EE"/>
    <w:rsid w:val="00DA5C91"/>
    <w:rsid w:val="00DA5E70"/>
    <w:rsid w:val="00DA6252"/>
    <w:rsid w:val="00DA6DAF"/>
    <w:rsid w:val="00DA6F41"/>
    <w:rsid w:val="00DA70B2"/>
    <w:rsid w:val="00DA72A8"/>
    <w:rsid w:val="00DA7433"/>
    <w:rsid w:val="00DA7763"/>
    <w:rsid w:val="00DA7785"/>
    <w:rsid w:val="00DA7909"/>
    <w:rsid w:val="00DB0065"/>
    <w:rsid w:val="00DB04D7"/>
    <w:rsid w:val="00DB06CC"/>
    <w:rsid w:val="00DB0802"/>
    <w:rsid w:val="00DB088D"/>
    <w:rsid w:val="00DB09D3"/>
    <w:rsid w:val="00DB1003"/>
    <w:rsid w:val="00DB158F"/>
    <w:rsid w:val="00DB1858"/>
    <w:rsid w:val="00DB1A2F"/>
    <w:rsid w:val="00DB1F1F"/>
    <w:rsid w:val="00DB1F80"/>
    <w:rsid w:val="00DB200C"/>
    <w:rsid w:val="00DB2405"/>
    <w:rsid w:val="00DB27DF"/>
    <w:rsid w:val="00DB281D"/>
    <w:rsid w:val="00DB2B9F"/>
    <w:rsid w:val="00DB2EEF"/>
    <w:rsid w:val="00DB34D5"/>
    <w:rsid w:val="00DB3659"/>
    <w:rsid w:val="00DB3A2F"/>
    <w:rsid w:val="00DB3E19"/>
    <w:rsid w:val="00DB419C"/>
    <w:rsid w:val="00DB4A85"/>
    <w:rsid w:val="00DB4EB2"/>
    <w:rsid w:val="00DB4FA3"/>
    <w:rsid w:val="00DB5005"/>
    <w:rsid w:val="00DB5050"/>
    <w:rsid w:val="00DB571C"/>
    <w:rsid w:val="00DB5745"/>
    <w:rsid w:val="00DB5A79"/>
    <w:rsid w:val="00DB5AFA"/>
    <w:rsid w:val="00DB6067"/>
    <w:rsid w:val="00DB63DB"/>
    <w:rsid w:val="00DB63FA"/>
    <w:rsid w:val="00DB6453"/>
    <w:rsid w:val="00DB6CFD"/>
    <w:rsid w:val="00DB6D3C"/>
    <w:rsid w:val="00DB6ED2"/>
    <w:rsid w:val="00DB7237"/>
    <w:rsid w:val="00DB75EB"/>
    <w:rsid w:val="00DB7784"/>
    <w:rsid w:val="00DC0093"/>
    <w:rsid w:val="00DC0369"/>
    <w:rsid w:val="00DC04C4"/>
    <w:rsid w:val="00DC06C1"/>
    <w:rsid w:val="00DC08EF"/>
    <w:rsid w:val="00DC095E"/>
    <w:rsid w:val="00DC0F6B"/>
    <w:rsid w:val="00DC0FD3"/>
    <w:rsid w:val="00DC1307"/>
    <w:rsid w:val="00DC14A7"/>
    <w:rsid w:val="00DC1581"/>
    <w:rsid w:val="00DC190C"/>
    <w:rsid w:val="00DC1912"/>
    <w:rsid w:val="00DC1A5F"/>
    <w:rsid w:val="00DC1ADD"/>
    <w:rsid w:val="00DC1C5A"/>
    <w:rsid w:val="00DC1CC9"/>
    <w:rsid w:val="00DC20A5"/>
    <w:rsid w:val="00DC21CA"/>
    <w:rsid w:val="00DC2282"/>
    <w:rsid w:val="00DC2292"/>
    <w:rsid w:val="00DC2911"/>
    <w:rsid w:val="00DC2A03"/>
    <w:rsid w:val="00DC2B1B"/>
    <w:rsid w:val="00DC2C63"/>
    <w:rsid w:val="00DC2DAA"/>
    <w:rsid w:val="00DC363B"/>
    <w:rsid w:val="00DC3B58"/>
    <w:rsid w:val="00DC3C20"/>
    <w:rsid w:val="00DC4138"/>
    <w:rsid w:val="00DC43BD"/>
    <w:rsid w:val="00DC4911"/>
    <w:rsid w:val="00DC4AC6"/>
    <w:rsid w:val="00DC4BC5"/>
    <w:rsid w:val="00DC4D53"/>
    <w:rsid w:val="00DC4E77"/>
    <w:rsid w:val="00DC4EB2"/>
    <w:rsid w:val="00DC4F57"/>
    <w:rsid w:val="00DC50B0"/>
    <w:rsid w:val="00DC5153"/>
    <w:rsid w:val="00DC5289"/>
    <w:rsid w:val="00DC5290"/>
    <w:rsid w:val="00DC52E1"/>
    <w:rsid w:val="00DC56BF"/>
    <w:rsid w:val="00DC5D15"/>
    <w:rsid w:val="00DC61FF"/>
    <w:rsid w:val="00DC6213"/>
    <w:rsid w:val="00DC636A"/>
    <w:rsid w:val="00DC6679"/>
    <w:rsid w:val="00DC66BB"/>
    <w:rsid w:val="00DC6963"/>
    <w:rsid w:val="00DC69E4"/>
    <w:rsid w:val="00DC7912"/>
    <w:rsid w:val="00DC7A1A"/>
    <w:rsid w:val="00DC7CE8"/>
    <w:rsid w:val="00DC7DE1"/>
    <w:rsid w:val="00DD02DC"/>
    <w:rsid w:val="00DD0316"/>
    <w:rsid w:val="00DD031B"/>
    <w:rsid w:val="00DD03D8"/>
    <w:rsid w:val="00DD06D2"/>
    <w:rsid w:val="00DD0748"/>
    <w:rsid w:val="00DD0DCD"/>
    <w:rsid w:val="00DD0F27"/>
    <w:rsid w:val="00DD1545"/>
    <w:rsid w:val="00DD1848"/>
    <w:rsid w:val="00DD1979"/>
    <w:rsid w:val="00DD1AC4"/>
    <w:rsid w:val="00DD1AFE"/>
    <w:rsid w:val="00DD1CEE"/>
    <w:rsid w:val="00DD245E"/>
    <w:rsid w:val="00DD2669"/>
    <w:rsid w:val="00DD26CB"/>
    <w:rsid w:val="00DD2727"/>
    <w:rsid w:val="00DD27BB"/>
    <w:rsid w:val="00DD28C1"/>
    <w:rsid w:val="00DD2972"/>
    <w:rsid w:val="00DD2BE3"/>
    <w:rsid w:val="00DD2D48"/>
    <w:rsid w:val="00DD2FCF"/>
    <w:rsid w:val="00DD326E"/>
    <w:rsid w:val="00DD3314"/>
    <w:rsid w:val="00DD331F"/>
    <w:rsid w:val="00DD34E2"/>
    <w:rsid w:val="00DD388D"/>
    <w:rsid w:val="00DD3BAE"/>
    <w:rsid w:val="00DD3F2C"/>
    <w:rsid w:val="00DD4130"/>
    <w:rsid w:val="00DD4185"/>
    <w:rsid w:val="00DD45DE"/>
    <w:rsid w:val="00DD4881"/>
    <w:rsid w:val="00DD4E5A"/>
    <w:rsid w:val="00DD5099"/>
    <w:rsid w:val="00DD52E0"/>
    <w:rsid w:val="00DD53EA"/>
    <w:rsid w:val="00DD5E3C"/>
    <w:rsid w:val="00DD60E3"/>
    <w:rsid w:val="00DD61C2"/>
    <w:rsid w:val="00DD66A7"/>
    <w:rsid w:val="00DD66E7"/>
    <w:rsid w:val="00DD6987"/>
    <w:rsid w:val="00DD698D"/>
    <w:rsid w:val="00DD6C14"/>
    <w:rsid w:val="00DD6EBA"/>
    <w:rsid w:val="00DD7025"/>
    <w:rsid w:val="00DD7316"/>
    <w:rsid w:val="00DD7912"/>
    <w:rsid w:val="00DE00DB"/>
    <w:rsid w:val="00DE0611"/>
    <w:rsid w:val="00DE06AB"/>
    <w:rsid w:val="00DE0B77"/>
    <w:rsid w:val="00DE0CEE"/>
    <w:rsid w:val="00DE101E"/>
    <w:rsid w:val="00DE1B80"/>
    <w:rsid w:val="00DE1D2C"/>
    <w:rsid w:val="00DE2090"/>
    <w:rsid w:val="00DE2319"/>
    <w:rsid w:val="00DE24BD"/>
    <w:rsid w:val="00DE24FC"/>
    <w:rsid w:val="00DE2596"/>
    <w:rsid w:val="00DE2887"/>
    <w:rsid w:val="00DE2DA9"/>
    <w:rsid w:val="00DE35EC"/>
    <w:rsid w:val="00DE37CB"/>
    <w:rsid w:val="00DE3F46"/>
    <w:rsid w:val="00DE42D6"/>
    <w:rsid w:val="00DE48AE"/>
    <w:rsid w:val="00DE4AA5"/>
    <w:rsid w:val="00DE4AAF"/>
    <w:rsid w:val="00DE5124"/>
    <w:rsid w:val="00DE5137"/>
    <w:rsid w:val="00DE5292"/>
    <w:rsid w:val="00DE5766"/>
    <w:rsid w:val="00DE577B"/>
    <w:rsid w:val="00DE57B0"/>
    <w:rsid w:val="00DE6842"/>
    <w:rsid w:val="00DE6A95"/>
    <w:rsid w:val="00DE6DD3"/>
    <w:rsid w:val="00DE74E5"/>
    <w:rsid w:val="00DE75C1"/>
    <w:rsid w:val="00DE7A3E"/>
    <w:rsid w:val="00DE7E3E"/>
    <w:rsid w:val="00DF04C6"/>
    <w:rsid w:val="00DF0A04"/>
    <w:rsid w:val="00DF0D7D"/>
    <w:rsid w:val="00DF120A"/>
    <w:rsid w:val="00DF1446"/>
    <w:rsid w:val="00DF1452"/>
    <w:rsid w:val="00DF1DB0"/>
    <w:rsid w:val="00DF1F5F"/>
    <w:rsid w:val="00DF2139"/>
    <w:rsid w:val="00DF2235"/>
    <w:rsid w:val="00DF253F"/>
    <w:rsid w:val="00DF2697"/>
    <w:rsid w:val="00DF2701"/>
    <w:rsid w:val="00DF3147"/>
    <w:rsid w:val="00DF359D"/>
    <w:rsid w:val="00DF36B9"/>
    <w:rsid w:val="00DF3A17"/>
    <w:rsid w:val="00DF3A88"/>
    <w:rsid w:val="00DF3ABE"/>
    <w:rsid w:val="00DF3AF0"/>
    <w:rsid w:val="00DF3DEB"/>
    <w:rsid w:val="00DF404D"/>
    <w:rsid w:val="00DF40AC"/>
    <w:rsid w:val="00DF41E3"/>
    <w:rsid w:val="00DF4877"/>
    <w:rsid w:val="00DF4BC0"/>
    <w:rsid w:val="00DF4BD3"/>
    <w:rsid w:val="00DF5258"/>
    <w:rsid w:val="00DF5263"/>
    <w:rsid w:val="00DF55A2"/>
    <w:rsid w:val="00DF55C8"/>
    <w:rsid w:val="00DF5A74"/>
    <w:rsid w:val="00DF5E9F"/>
    <w:rsid w:val="00DF5FB5"/>
    <w:rsid w:val="00DF62D5"/>
    <w:rsid w:val="00DF6535"/>
    <w:rsid w:val="00DF6786"/>
    <w:rsid w:val="00DF67F6"/>
    <w:rsid w:val="00DF6878"/>
    <w:rsid w:val="00DF68B8"/>
    <w:rsid w:val="00DF6A1D"/>
    <w:rsid w:val="00DF6AC7"/>
    <w:rsid w:val="00DF6EC6"/>
    <w:rsid w:val="00DF7111"/>
    <w:rsid w:val="00DF7397"/>
    <w:rsid w:val="00DF7D5C"/>
    <w:rsid w:val="00DF7EFA"/>
    <w:rsid w:val="00DF7F76"/>
    <w:rsid w:val="00E0005F"/>
    <w:rsid w:val="00E00083"/>
    <w:rsid w:val="00E003AA"/>
    <w:rsid w:val="00E003EC"/>
    <w:rsid w:val="00E00761"/>
    <w:rsid w:val="00E00779"/>
    <w:rsid w:val="00E00A8C"/>
    <w:rsid w:val="00E00AFE"/>
    <w:rsid w:val="00E00BDA"/>
    <w:rsid w:val="00E00FB4"/>
    <w:rsid w:val="00E01282"/>
    <w:rsid w:val="00E013A0"/>
    <w:rsid w:val="00E013AB"/>
    <w:rsid w:val="00E01466"/>
    <w:rsid w:val="00E015C8"/>
    <w:rsid w:val="00E01762"/>
    <w:rsid w:val="00E0192E"/>
    <w:rsid w:val="00E01938"/>
    <w:rsid w:val="00E01C02"/>
    <w:rsid w:val="00E01C57"/>
    <w:rsid w:val="00E01C7E"/>
    <w:rsid w:val="00E01D59"/>
    <w:rsid w:val="00E01D8A"/>
    <w:rsid w:val="00E01FE1"/>
    <w:rsid w:val="00E0231A"/>
    <w:rsid w:val="00E0241E"/>
    <w:rsid w:val="00E02985"/>
    <w:rsid w:val="00E02EFD"/>
    <w:rsid w:val="00E039DD"/>
    <w:rsid w:val="00E03BCB"/>
    <w:rsid w:val="00E03F86"/>
    <w:rsid w:val="00E0429D"/>
    <w:rsid w:val="00E04379"/>
    <w:rsid w:val="00E0471A"/>
    <w:rsid w:val="00E04A18"/>
    <w:rsid w:val="00E04BF8"/>
    <w:rsid w:val="00E04CE5"/>
    <w:rsid w:val="00E04E81"/>
    <w:rsid w:val="00E04F2B"/>
    <w:rsid w:val="00E05300"/>
    <w:rsid w:val="00E05C66"/>
    <w:rsid w:val="00E05D7E"/>
    <w:rsid w:val="00E05E8F"/>
    <w:rsid w:val="00E05F82"/>
    <w:rsid w:val="00E05FA2"/>
    <w:rsid w:val="00E06497"/>
    <w:rsid w:val="00E06677"/>
    <w:rsid w:val="00E066FE"/>
    <w:rsid w:val="00E06750"/>
    <w:rsid w:val="00E06780"/>
    <w:rsid w:val="00E0681F"/>
    <w:rsid w:val="00E06B9E"/>
    <w:rsid w:val="00E07412"/>
    <w:rsid w:val="00E0762A"/>
    <w:rsid w:val="00E07760"/>
    <w:rsid w:val="00E0793A"/>
    <w:rsid w:val="00E07F21"/>
    <w:rsid w:val="00E10502"/>
    <w:rsid w:val="00E1059F"/>
    <w:rsid w:val="00E109F9"/>
    <w:rsid w:val="00E10A23"/>
    <w:rsid w:val="00E10D0B"/>
    <w:rsid w:val="00E11420"/>
    <w:rsid w:val="00E114A8"/>
    <w:rsid w:val="00E1183B"/>
    <w:rsid w:val="00E11AC0"/>
    <w:rsid w:val="00E11D2B"/>
    <w:rsid w:val="00E11FEA"/>
    <w:rsid w:val="00E1206F"/>
    <w:rsid w:val="00E125EC"/>
    <w:rsid w:val="00E1281F"/>
    <w:rsid w:val="00E12AB2"/>
    <w:rsid w:val="00E12B9F"/>
    <w:rsid w:val="00E12F2A"/>
    <w:rsid w:val="00E130C3"/>
    <w:rsid w:val="00E13321"/>
    <w:rsid w:val="00E13353"/>
    <w:rsid w:val="00E13361"/>
    <w:rsid w:val="00E1344D"/>
    <w:rsid w:val="00E13467"/>
    <w:rsid w:val="00E136D2"/>
    <w:rsid w:val="00E13776"/>
    <w:rsid w:val="00E1432F"/>
    <w:rsid w:val="00E14504"/>
    <w:rsid w:val="00E14713"/>
    <w:rsid w:val="00E14857"/>
    <w:rsid w:val="00E14879"/>
    <w:rsid w:val="00E14887"/>
    <w:rsid w:val="00E14E26"/>
    <w:rsid w:val="00E14FC5"/>
    <w:rsid w:val="00E15AF4"/>
    <w:rsid w:val="00E15F2F"/>
    <w:rsid w:val="00E1687F"/>
    <w:rsid w:val="00E169D3"/>
    <w:rsid w:val="00E16D86"/>
    <w:rsid w:val="00E16F68"/>
    <w:rsid w:val="00E177D4"/>
    <w:rsid w:val="00E17DF6"/>
    <w:rsid w:val="00E17E13"/>
    <w:rsid w:val="00E17E61"/>
    <w:rsid w:val="00E17F4D"/>
    <w:rsid w:val="00E200D7"/>
    <w:rsid w:val="00E20112"/>
    <w:rsid w:val="00E2019A"/>
    <w:rsid w:val="00E20668"/>
    <w:rsid w:val="00E20C82"/>
    <w:rsid w:val="00E21123"/>
    <w:rsid w:val="00E21337"/>
    <w:rsid w:val="00E217D3"/>
    <w:rsid w:val="00E21BD9"/>
    <w:rsid w:val="00E21C80"/>
    <w:rsid w:val="00E21F9B"/>
    <w:rsid w:val="00E2215B"/>
    <w:rsid w:val="00E22162"/>
    <w:rsid w:val="00E22365"/>
    <w:rsid w:val="00E22428"/>
    <w:rsid w:val="00E225A5"/>
    <w:rsid w:val="00E22E7B"/>
    <w:rsid w:val="00E2392B"/>
    <w:rsid w:val="00E23DE6"/>
    <w:rsid w:val="00E23E9D"/>
    <w:rsid w:val="00E23FCA"/>
    <w:rsid w:val="00E24537"/>
    <w:rsid w:val="00E2454D"/>
    <w:rsid w:val="00E245FB"/>
    <w:rsid w:val="00E24963"/>
    <w:rsid w:val="00E24C8D"/>
    <w:rsid w:val="00E24DA3"/>
    <w:rsid w:val="00E24FDE"/>
    <w:rsid w:val="00E2504E"/>
    <w:rsid w:val="00E250B4"/>
    <w:rsid w:val="00E25326"/>
    <w:rsid w:val="00E254D8"/>
    <w:rsid w:val="00E25749"/>
    <w:rsid w:val="00E25963"/>
    <w:rsid w:val="00E25A37"/>
    <w:rsid w:val="00E25EC8"/>
    <w:rsid w:val="00E269AA"/>
    <w:rsid w:val="00E26C16"/>
    <w:rsid w:val="00E26F0A"/>
    <w:rsid w:val="00E2724B"/>
    <w:rsid w:val="00E27290"/>
    <w:rsid w:val="00E27537"/>
    <w:rsid w:val="00E27769"/>
    <w:rsid w:val="00E2785A"/>
    <w:rsid w:val="00E27923"/>
    <w:rsid w:val="00E3055C"/>
    <w:rsid w:val="00E30607"/>
    <w:rsid w:val="00E30851"/>
    <w:rsid w:val="00E30BF0"/>
    <w:rsid w:val="00E3113B"/>
    <w:rsid w:val="00E3189D"/>
    <w:rsid w:val="00E31BCD"/>
    <w:rsid w:val="00E31C73"/>
    <w:rsid w:val="00E31ED6"/>
    <w:rsid w:val="00E320E8"/>
    <w:rsid w:val="00E327DD"/>
    <w:rsid w:val="00E32826"/>
    <w:rsid w:val="00E32A7C"/>
    <w:rsid w:val="00E32E3C"/>
    <w:rsid w:val="00E3375B"/>
    <w:rsid w:val="00E3379D"/>
    <w:rsid w:val="00E33CCB"/>
    <w:rsid w:val="00E34170"/>
    <w:rsid w:val="00E343DD"/>
    <w:rsid w:val="00E345F7"/>
    <w:rsid w:val="00E34669"/>
    <w:rsid w:val="00E34BDE"/>
    <w:rsid w:val="00E3524F"/>
    <w:rsid w:val="00E357AC"/>
    <w:rsid w:val="00E35A67"/>
    <w:rsid w:val="00E35C45"/>
    <w:rsid w:val="00E35C9D"/>
    <w:rsid w:val="00E35DF7"/>
    <w:rsid w:val="00E35F2A"/>
    <w:rsid w:val="00E366D9"/>
    <w:rsid w:val="00E36761"/>
    <w:rsid w:val="00E36A28"/>
    <w:rsid w:val="00E36B43"/>
    <w:rsid w:val="00E36C52"/>
    <w:rsid w:val="00E36CFC"/>
    <w:rsid w:val="00E36D2F"/>
    <w:rsid w:val="00E36E75"/>
    <w:rsid w:val="00E36ED8"/>
    <w:rsid w:val="00E3720A"/>
    <w:rsid w:val="00E37254"/>
    <w:rsid w:val="00E372FE"/>
    <w:rsid w:val="00E3739B"/>
    <w:rsid w:val="00E374DA"/>
    <w:rsid w:val="00E376BD"/>
    <w:rsid w:val="00E37758"/>
    <w:rsid w:val="00E3784D"/>
    <w:rsid w:val="00E3793C"/>
    <w:rsid w:val="00E37C2D"/>
    <w:rsid w:val="00E37CC2"/>
    <w:rsid w:val="00E37DD8"/>
    <w:rsid w:val="00E37E68"/>
    <w:rsid w:val="00E400BA"/>
    <w:rsid w:val="00E407F2"/>
    <w:rsid w:val="00E40CFB"/>
    <w:rsid w:val="00E40D1A"/>
    <w:rsid w:val="00E40F6A"/>
    <w:rsid w:val="00E41709"/>
    <w:rsid w:val="00E41714"/>
    <w:rsid w:val="00E41860"/>
    <w:rsid w:val="00E42121"/>
    <w:rsid w:val="00E42513"/>
    <w:rsid w:val="00E4263F"/>
    <w:rsid w:val="00E426E9"/>
    <w:rsid w:val="00E42C28"/>
    <w:rsid w:val="00E42CEA"/>
    <w:rsid w:val="00E42E06"/>
    <w:rsid w:val="00E42F32"/>
    <w:rsid w:val="00E43012"/>
    <w:rsid w:val="00E436E9"/>
    <w:rsid w:val="00E436F1"/>
    <w:rsid w:val="00E43F4D"/>
    <w:rsid w:val="00E44110"/>
    <w:rsid w:val="00E4421D"/>
    <w:rsid w:val="00E44370"/>
    <w:rsid w:val="00E44623"/>
    <w:rsid w:val="00E44C29"/>
    <w:rsid w:val="00E44CA0"/>
    <w:rsid w:val="00E44EFD"/>
    <w:rsid w:val="00E44FEB"/>
    <w:rsid w:val="00E450F0"/>
    <w:rsid w:val="00E452B0"/>
    <w:rsid w:val="00E4555E"/>
    <w:rsid w:val="00E45655"/>
    <w:rsid w:val="00E4586E"/>
    <w:rsid w:val="00E4641C"/>
    <w:rsid w:val="00E464D2"/>
    <w:rsid w:val="00E46819"/>
    <w:rsid w:val="00E46997"/>
    <w:rsid w:val="00E46A7C"/>
    <w:rsid w:val="00E46AC7"/>
    <w:rsid w:val="00E46B3F"/>
    <w:rsid w:val="00E46C39"/>
    <w:rsid w:val="00E5026F"/>
    <w:rsid w:val="00E50857"/>
    <w:rsid w:val="00E50A26"/>
    <w:rsid w:val="00E50B0B"/>
    <w:rsid w:val="00E50C35"/>
    <w:rsid w:val="00E50E94"/>
    <w:rsid w:val="00E50EF6"/>
    <w:rsid w:val="00E50F4B"/>
    <w:rsid w:val="00E513FE"/>
    <w:rsid w:val="00E51A86"/>
    <w:rsid w:val="00E51AED"/>
    <w:rsid w:val="00E51C43"/>
    <w:rsid w:val="00E51E1C"/>
    <w:rsid w:val="00E5219A"/>
    <w:rsid w:val="00E522A8"/>
    <w:rsid w:val="00E525EE"/>
    <w:rsid w:val="00E527DD"/>
    <w:rsid w:val="00E52AAE"/>
    <w:rsid w:val="00E52CA5"/>
    <w:rsid w:val="00E53136"/>
    <w:rsid w:val="00E5318C"/>
    <w:rsid w:val="00E5355B"/>
    <w:rsid w:val="00E5364D"/>
    <w:rsid w:val="00E5379B"/>
    <w:rsid w:val="00E54128"/>
    <w:rsid w:val="00E541C7"/>
    <w:rsid w:val="00E54217"/>
    <w:rsid w:val="00E54274"/>
    <w:rsid w:val="00E5433A"/>
    <w:rsid w:val="00E544FE"/>
    <w:rsid w:val="00E54680"/>
    <w:rsid w:val="00E5480F"/>
    <w:rsid w:val="00E5486B"/>
    <w:rsid w:val="00E549B3"/>
    <w:rsid w:val="00E549B4"/>
    <w:rsid w:val="00E549F0"/>
    <w:rsid w:val="00E54E00"/>
    <w:rsid w:val="00E550B8"/>
    <w:rsid w:val="00E55420"/>
    <w:rsid w:val="00E55606"/>
    <w:rsid w:val="00E5564C"/>
    <w:rsid w:val="00E558A8"/>
    <w:rsid w:val="00E55910"/>
    <w:rsid w:val="00E55E4F"/>
    <w:rsid w:val="00E567AE"/>
    <w:rsid w:val="00E56C23"/>
    <w:rsid w:val="00E56DD3"/>
    <w:rsid w:val="00E57656"/>
    <w:rsid w:val="00E5782D"/>
    <w:rsid w:val="00E57DBA"/>
    <w:rsid w:val="00E6010F"/>
    <w:rsid w:val="00E601DD"/>
    <w:rsid w:val="00E60A38"/>
    <w:rsid w:val="00E60FDD"/>
    <w:rsid w:val="00E610A6"/>
    <w:rsid w:val="00E611B7"/>
    <w:rsid w:val="00E616DD"/>
    <w:rsid w:val="00E61E00"/>
    <w:rsid w:val="00E625BC"/>
    <w:rsid w:val="00E628A5"/>
    <w:rsid w:val="00E630EA"/>
    <w:rsid w:val="00E63AF9"/>
    <w:rsid w:val="00E63D36"/>
    <w:rsid w:val="00E63F4E"/>
    <w:rsid w:val="00E640C9"/>
    <w:rsid w:val="00E642FC"/>
    <w:rsid w:val="00E6469B"/>
    <w:rsid w:val="00E64704"/>
    <w:rsid w:val="00E648CE"/>
    <w:rsid w:val="00E64AA9"/>
    <w:rsid w:val="00E64F16"/>
    <w:rsid w:val="00E651D7"/>
    <w:rsid w:val="00E653A2"/>
    <w:rsid w:val="00E6565D"/>
    <w:rsid w:val="00E6593A"/>
    <w:rsid w:val="00E65D39"/>
    <w:rsid w:val="00E65F97"/>
    <w:rsid w:val="00E65FBB"/>
    <w:rsid w:val="00E6606F"/>
    <w:rsid w:val="00E661EC"/>
    <w:rsid w:val="00E66492"/>
    <w:rsid w:val="00E6677D"/>
    <w:rsid w:val="00E66A48"/>
    <w:rsid w:val="00E66F54"/>
    <w:rsid w:val="00E67133"/>
    <w:rsid w:val="00E67372"/>
    <w:rsid w:val="00E67811"/>
    <w:rsid w:val="00E6798D"/>
    <w:rsid w:val="00E67C57"/>
    <w:rsid w:val="00E67D4D"/>
    <w:rsid w:val="00E70345"/>
    <w:rsid w:val="00E7052C"/>
    <w:rsid w:val="00E70E12"/>
    <w:rsid w:val="00E71105"/>
    <w:rsid w:val="00E714A4"/>
    <w:rsid w:val="00E715EA"/>
    <w:rsid w:val="00E7191F"/>
    <w:rsid w:val="00E71DAD"/>
    <w:rsid w:val="00E71E15"/>
    <w:rsid w:val="00E72050"/>
    <w:rsid w:val="00E7216F"/>
    <w:rsid w:val="00E72287"/>
    <w:rsid w:val="00E72333"/>
    <w:rsid w:val="00E723A8"/>
    <w:rsid w:val="00E723C3"/>
    <w:rsid w:val="00E7289D"/>
    <w:rsid w:val="00E7316C"/>
    <w:rsid w:val="00E7323A"/>
    <w:rsid w:val="00E7352A"/>
    <w:rsid w:val="00E73570"/>
    <w:rsid w:val="00E735CE"/>
    <w:rsid w:val="00E739FC"/>
    <w:rsid w:val="00E73E86"/>
    <w:rsid w:val="00E74A69"/>
    <w:rsid w:val="00E74F6F"/>
    <w:rsid w:val="00E751ED"/>
    <w:rsid w:val="00E75A35"/>
    <w:rsid w:val="00E75D95"/>
    <w:rsid w:val="00E760C7"/>
    <w:rsid w:val="00E761BF"/>
    <w:rsid w:val="00E76296"/>
    <w:rsid w:val="00E76634"/>
    <w:rsid w:val="00E76A42"/>
    <w:rsid w:val="00E774F2"/>
    <w:rsid w:val="00E777A1"/>
    <w:rsid w:val="00E77ACD"/>
    <w:rsid w:val="00E77F21"/>
    <w:rsid w:val="00E77F6D"/>
    <w:rsid w:val="00E77FEF"/>
    <w:rsid w:val="00E80A6F"/>
    <w:rsid w:val="00E81227"/>
    <w:rsid w:val="00E8143A"/>
    <w:rsid w:val="00E8185C"/>
    <w:rsid w:val="00E81A27"/>
    <w:rsid w:val="00E82328"/>
    <w:rsid w:val="00E8265A"/>
    <w:rsid w:val="00E826BE"/>
    <w:rsid w:val="00E828E2"/>
    <w:rsid w:val="00E82B65"/>
    <w:rsid w:val="00E82CF0"/>
    <w:rsid w:val="00E8305A"/>
    <w:rsid w:val="00E83118"/>
    <w:rsid w:val="00E8313E"/>
    <w:rsid w:val="00E833DE"/>
    <w:rsid w:val="00E8356A"/>
    <w:rsid w:val="00E83574"/>
    <w:rsid w:val="00E8386A"/>
    <w:rsid w:val="00E83D50"/>
    <w:rsid w:val="00E8423B"/>
    <w:rsid w:val="00E845C0"/>
    <w:rsid w:val="00E84DDE"/>
    <w:rsid w:val="00E85329"/>
    <w:rsid w:val="00E85976"/>
    <w:rsid w:val="00E85B46"/>
    <w:rsid w:val="00E85C09"/>
    <w:rsid w:val="00E85D6F"/>
    <w:rsid w:val="00E85F69"/>
    <w:rsid w:val="00E861EB"/>
    <w:rsid w:val="00E86448"/>
    <w:rsid w:val="00E86673"/>
    <w:rsid w:val="00E86818"/>
    <w:rsid w:val="00E869B7"/>
    <w:rsid w:val="00E86A67"/>
    <w:rsid w:val="00E86B8B"/>
    <w:rsid w:val="00E86C62"/>
    <w:rsid w:val="00E87A0A"/>
    <w:rsid w:val="00E87D33"/>
    <w:rsid w:val="00E90205"/>
    <w:rsid w:val="00E904C0"/>
    <w:rsid w:val="00E906AF"/>
    <w:rsid w:val="00E907F6"/>
    <w:rsid w:val="00E9149B"/>
    <w:rsid w:val="00E918E7"/>
    <w:rsid w:val="00E91B49"/>
    <w:rsid w:val="00E91D26"/>
    <w:rsid w:val="00E91EC4"/>
    <w:rsid w:val="00E9210F"/>
    <w:rsid w:val="00E92120"/>
    <w:rsid w:val="00E9219D"/>
    <w:rsid w:val="00E9231A"/>
    <w:rsid w:val="00E924C2"/>
    <w:rsid w:val="00E9267A"/>
    <w:rsid w:val="00E929CC"/>
    <w:rsid w:val="00E92A7B"/>
    <w:rsid w:val="00E92ABF"/>
    <w:rsid w:val="00E92D95"/>
    <w:rsid w:val="00E930BA"/>
    <w:rsid w:val="00E935F1"/>
    <w:rsid w:val="00E93902"/>
    <w:rsid w:val="00E93F0E"/>
    <w:rsid w:val="00E94A58"/>
    <w:rsid w:val="00E94AD6"/>
    <w:rsid w:val="00E94CA6"/>
    <w:rsid w:val="00E94EFD"/>
    <w:rsid w:val="00E95174"/>
    <w:rsid w:val="00E95697"/>
    <w:rsid w:val="00E95A2A"/>
    <w:rsid w:val="00E95E91"/>
    <w:rsid w:val="00E95EA1"/>
    <w:rsid w:val="00E9649C"/>
    <w:rsid w:val="00E968F5"/>
    <w:rsid w:val="00E96B2F"/>
    <w:rsid w:val="00E96E35"/>
    <w:rsid w:val="00E97397"/>
    <w:rsid w:val="00E9796A"/>
    <w:rsid w:val="00E97A34"/>
    <w:rsid w:val="00E97CC6"/>
    <w:rsid w:val="00E97E9A"/>
    <w:rsid w:val="00E97FAB"/>
    <w:rsid w:val="00EA044A"/>
    <w:rsid w:val="00EA05E9"/>
    <w:rsid w:val="00EA0A0B"/>
    <w:rsid w:val="00EA0B43"/>
    <w:rsid w:val="00EA1371"/>
    <w:rsid w:val="00EA1CB4"/>
    <w:rsid w:val="00EA1DC0"/>
    <w:rsid w:val="00EA1E4C"/>
    <w:rsid w:val="00EA25B5"/>
    <w:rsid w:val="00EA263E"/>
    <w:rsid w:val="00EA2995"/>
    <w:rsid w:val="00EA29E1"/>
    <w:rsid w:val="00EA2F2D"/>
    <w:rsid w:val="00EA33B5"/>
    <w:rsid w:val="00EA34D5"/>
    <w:rsid w:val="00EA3D98"/>
    <w:rsid w:val="00EA3E47"/>
    <w:rsid w:val="00EA3E86"/>
    <w:rsid w:val="00EA4263"/>
    <w:rsid w:val="00EA44EA"/>
    <w:rsid w:val="00EA490D"/>
    <w:rsid w:val="00EA520D"/>
    <w:rsid w:val="00EA5266"/>
    <w:rsid w:val="00EA546F"/>
    <w:rsid w:val="00EA573A"/>
    <w:rsid w:val="00EA5B8F"/>
    <w:rsid w:val="00EA5B94"/>
    <w:rsid w:val="00EA5DE8"/>
    <w:rsid w:val="00EA5E3B"/>
    <w:rsid w:val="00EA62E2"/>
    <w:rsid w:val="00EA63F1"/>
    <w:rsid w:val="00EA6977"/>
    <w:rsid w:val="00EA6FA8"/>
    <w:rsid w:val="00EA7037"/>
    <w:rsid w:val="00EA7094"/>
    <w:rsid w:val="00EA70A5"/>
    <w:rsid w:val="00EA7AA4"/>
    <w:rsid w:val="00EA7BF2"/>
    <w:rsid w:val="00EA7FD3"/>
    <w:rsid w:val="00EB0078"/>
    <w:rsid w:val="00EB03B4"/>
    <w:rsid w:val="00EB045F"/>
    <w:rsid w:val="00EB06CB"/>
    <w:rsid w:val="00EB08EF"/>
    <w:rsid w:val="00EB0D14"/>
    <w:rsid w:val="00EB140F"/>
    <w:rsid w:val="00EB1948"/>
    <w:rsid w:val="00EB1A19"/>
    <w:rsid w:val="00EB1A7F"/>
    <w:rsid w:val="00EB1BD7"/>
    <w:rsid w:val="00EB250A"/>
    <w:rsid w:val="00EB2566"/>
    <w:rsid w:val="00EB26B0"/>
    <w:rsid w:val="00EB2B56"/>
    <w:rsid w:val="00EB2BF4"/>
    <w:rsid w:val="00EB3453"/>
    <w:rsid w:val="00EB350D"/>
    <w:rsid w:val="00EB37BB"/>
    <w:rsid w:val="00EB38B9"/>
    <w:rsid w:val="00EB426D"/>
    <w:rsid w:val="00EB436C"/>
    <w:rsid w:val="00EB4630"/>
    <w:rsid w:val="00EB4C24"/>
    <w:rsid w:val="00EB5287"/>
    <w:rsid w:val="00EB55B0"/>
    <w:rsid w:val="00EB592F"/>
    <w:rsid w:val="00EB5998"/>
    <w:rsid w:val="00EB5A3F"/>
    <w:rsid w:val="00EB5D14"/>
    <w:rsid w:val="00EB6043"/>
    <w:rsid w:val="00EB6054"/>
    <w:rsid w:val="00EB6076"/>
    <w:rsid w:val="00EB6423"/>
    <w:rsid w:val="00EB6685"/>
    <w:rsid w:val="00EB684F"/>
    <w:rsid w:val="00EB6EFB"/>
    <w:rsid w:val="00EB73D2"/>
    <w:rsid w:val="00EB765C"/>
    <w:rsid w:val="00EB76E9"/>
    <w:rsid w:val="00EB773B"/>
    <w:rsid w:val="00EB7CDD"/>
    <w:rsid w:val="00EC12DC"/>
    <w:rsid w:val="00EC14E3"/>
    <w:rsid w:val="00EC186C"/>
    <w:rsid w:val="00EC1905"/>
    <w:rsid w:val="00EC19AB"/>
    <w:rsid w:val="00EC1A03"/>
    <w:rsid w:val="00EC1B97"/>
    <w:rsid w:val="00EC2878"/>
    <w:rsid w:val="00EC2AD4"/>
    <w:rsid w:val="00EC306F"/>
    <w:rsid w:val="00EC3088"/>
    <w:rsid w:val="00EC34BD"/>
    <w:rsid w:val="00EC354D"/>
    <w:rsid w:val="00EC37CE"/>
    <w:rsid w:val="00EC3856"/>
    <w:rsid w:val="00EC3988"/>
    <w:rsid w:val="00EC3BA1"/>
    <w:rsid w:val="00EC3CFA"/>
    <w:rsid w:val="00EC3D5B"/>
    <w:rsid w:val="00EC445F"/>
    <w:rsid w:val="00EC48DC"/>
    <w:rsid w:val="00EC48F6"/>
    <w:rsid w:val="00EC4A82"/>
    <w:rsid w:val="00EC4D65"/>
    <w:rsid w:val="00EC5032"/>
    <w:rsid w:val="00EC50C3"/>
    <w:rsid w:val="00EC532D"/>
    <w:rsid w:val="00EC5523"/>
    <w:rsid w:val="00EC5862"/>
    <w:rsid w:val="00EC5F18"/>
    <w:rsid w:val="00EC604D"/>
    <w:rsid w:val="00EC60CC"/>
    <w:rsid w:val="00EC60D3"/>
    <w:rsid w:val="00EC61E4"/>
    <w:rsid w:val="00EC77F9"/>
    <w:rsid w:val="00EC7B1A"/>
    <w:rsid w:val="00ED01D2"/>
    <w:rsid w:val="00ED01DA"/>
    <w:rsid w:val="00ED0217"/>
    <w:rsid w:val="00ED0728"/>
    <w:rsid w:val="00ED0A76"/>
    <w:rsid w:val="00ED0EDB"/>
    <w:rsid w:val="00ED10B6"/>
    <w:rsid w:val="00ED12ED"/>
    <w:rsid w:val="00ED163C"/>
    <w:rsid w:val="00ED16F1"/>
    <w:rsid w:val="00ED19A8"/>
    <w:rsid w:val="00ED1C6E"/>
    <w:rsid w:val="00ED217D"/>
    <w:rsid w:val="00ED2312"/>
    <w:rsid w:val="00ED258F"/>
    <w:rsid w:val="00ED2895"/>
    <w:rsid w:val="00ED2E46"/>
    <w:rsid w:val="00ED2EB5"/>
    <w:rsid w:val="00ED3396"/>
    <w:rsid w:val="00ED34B4"/>
    <w:rsid w:val="00ED3C4A"/>
    <w:rsid w:val="00ED3C6C"/>
    <w:rsid w:val="00ED42AB"/>
    <w:rsid w:val="00ED4797"/>
    <w:rsid w:val="00ED48FB"/>
    <w:rsid w:val="00ED4CEE"/>
    <w:rsid w:val="00ED5063"/>
    <w:rsid w:val="00ED5658"/>
    <w:rsid w:val="00ED5748"/>
    <w:rsid w:val="00ED5FE9"/>
    <w:rsid w:val="00ED60BB"/>
    <w:rsid w:val="00ED6145"/>
    <w:rsid w:val="00ED62B3"/>
    <w:rsid w:val="00ED6514"/>
    <w:rsid w:val="00ED6D8C"/>
    <w:rsid w:val="00ED6E1E"/>
    <w:rsid w:val="00ED6E77"/>
    <w:rsid w:val="00ED7316"/>
    <w:rsid w:val="00ED7426"/>
    <w:rsid w:val="00ED7757"/>
    <w:rsid w:val="00ED7EBC"/>
    <w:rsid w:val="00EE0259"/>
    <w:rsid w:val="00EE04DF"/>
    <w:rsid w:val="00EE09E2"/>
    <w:rsid w:val="00EE0B8D"/>
    <w:rsid w:val="00EE0D05"/>
    <w:rsid w:val="00EE103A"/>
    <w:rsid w:val="00EE12B8"/>
    <w:rsid w:val="00EE13C7"/>
    <w:rsid w:val="00EE1AE2"/>
    <w:rsid w:val="00EE21B4"/>
    <w:rsid w:val="00EE2438"/>
    <w:rsid w:val="00EE2EE7"/>
    <w:rsid w:val="00EE312C"/>
    <w:rsid w:val="00EE323B"/>
    <w:rsid w:val="00EE363C"/>
    <w:rsid w:val="00EE414A"/>
    <w:rsid w:val="00EE5096"/>
    <w:rsid w:val="00EE577B"/>
    <w:rsid w:val="00EE5788"/>
    <w:rsid w:val="00EE5BBE"/>
    <w:rsid w:val="00EE61C4"/>
    <w:rsid w:val="00EE69A6"/>
    <w:rsid w:val="00EE6DC2"/>
    <w:rsid w:val="00EE7066"/>
    <w:rsid w:val="00EE7265"/>
    <w:rsid w:val="00EE7A3D"/>
    <w:rsid w:val="00EE7B72"/>
    <w:rsid w:val="00EE7C6E"/>
    <w:rsid w:val="00EE7E25"/>
    <w:rsid w:val="00EE7F1B"/>
    <w:rsid w:val="00EF0066"/>
    <w:rsid w:val="00EF0211"/>
    <w:rsid w:val="00EF02A2"/>
    <w:rsid w:val="00EF02B4"/>
    <w:rsid w:val="00EF04A3"/>
    <w:rsid w:val="00EF0B5D"/>
    <w:rsid w:val="00EF0D9F"/>
    <w:rsid w:val="00EF0ED7"/>
    <w:rsid w:val="00EF1228"/>
    <w:rsid w:val="00EF1275"/>
    <w:rsid w:val="00EF1400"/>
    <w:rsid w:val="00EF1696"/>
    <w:rsid w:val="00EF16CE"/>
    <w:rsid w:val="00EF1AE5"/>
    <w:rsid w:val="00EF1C2F"/>
    <w:rsid w:val="00EF1D15"/>
    <w:rsid w:val="00EF2049"/>
    <w:rsid w:val="00EF2299"/>
    <w:rsid w:val="00EF2537"/>
    <w:rsid w:val="00EF2A43"/>
    <w:rsid w:val="00EF2E86"/>
    <w:rsid w:val="00EF2E8F"/>
    <w:rsid w:val="00EF3549"/>
    <w:rsid w:val="00EF39AA"/>
    <w:rsid w:val="00EF3A0C"/>
    <w:rsid w:val="00EF3C5C"/>
    <w:rsid w:val="00EF4025"/>
    <w:rsid w:val="00EF4314"/>
    <w:rsid w:val="00EF43B2"/>
    <w:rsid w:val="00EF44E5"/>
    <w:rsid w:val="00EF46CE"/>
    <w:rsid w:val="00EF49E6"/>
    <w:rsid w:val="00EF4AD4"/>
    <w:rsid w:val="00EF4B16"/>
    <w:rsid w:val="00EF4B1B"/>
    <w:rsid w:val="00EF4D6F"/>
    <w:rsid w:val="00EF51BB"/>
    <w:rsid w:val="00EF5236"/>
    <w:rsid w:val="00EF5441"/>
    <w:rsid w:val="00EF589C"/>
    <w:rsid w:val="00EF5AD2"/>
    <w:rsid w:val="00EF5E38"/>
    <w:rsid w:val="00EF5FEC"/>
    <w:rsid w:val="00EF60D3"/>
    <w:rsid w:val="00EF6202"/>
    <w:rsid w:val="00EF62A9"/>
    <w:rsid w:val="00EF64FA"/>
    <w:rsid w:val="00EF6555"/>
    <w:rsid w:val="00EF66AB"/>
    <w:rsid w:val="00EF7070"/>
    <w:rsid w:val="00EF7096"/>
    <w:rsid w:val="00EF7164"/>
    <w:rsid w:val="00EF7193"/>
    <w:rsid w:val="00EF73E0"/>
    <w:rsid w:val="00EF7C02"/>
    <w:rsid w:val="00F00014"/>
    <w:rsid w:val="00F00387"/>
    <w:rsid w:val="00F00431"/>
    <w:rsid w:val="00F007AB"/>
    <w:rsid w:val="00F0081C"/>
    <w:rsid w:val="00F00A3A"/>
    <w:rsid w:val="00F00C6E"/>
    <w:rsid w:val="00F015E4"/>
    <w:rsid w:val="00F0199C"/>
    <w:rsid w:val="00F01B29"/>
    <w:rsid w:val="00F01F8D"/>
    <w:rsid w:val="00F01FA3"/>
    <w:rsid w:val="00F02146"/>
    <w:rsid w:val="00F0247B"/>
    <w:rsid w:val="00F02566"/>
    <w:rsid w:val="00F026F2"/>
    <w:rsid w:val="00F0287C"/>
    <w:rsid w:val="00F02C68"/>
    <w:rsid w:val="00F03238"/>
    <w:rsid w:val="00F032CE"/>
    <w:rsid w:val="00F034DE"/>
    <w:rsid w:val="00F039EA"/>
    <w:rsid w:val="00F03A89"/>
    <w:rsid w:val="00F03ADE"/>
    <w:rsid w:val="00F03DEF"/>
    <w:rsid w:val="00F03F19"/>
    <w:rsid w:val="00F03FF3"/>
    <w:rsid w:val="00F041B1"/>
    <w:rsid w:val="00F04279"/>
    <w:rsid w:val="00F048DA"/>
    <w:rsid w:val="00F048F0"/>
    <w:rsid w:val="00F04B11"/>
    <w:rsid w:val="00F04C1F"/>
    <w:rsid w:val="00F04F6E"/>
    <w:rsid w:val="00F0523F"/>
    <w:rsid w:val="00F052F9"/>
    <w:rsid w:val="00F053F6"/>
    <w:rsid w:val="00F056DA"/>
    <w:rsid w:val="00F0574E"/>
    <w:rsid w:val="00F05F0A"/>
    <w:rsid w:val="00F064D2"/>
    <w:rsid w:val="00F0666E"/>
    <w:rsid w:val="00F067A0"/>
    <w:rsid w:val="00F06C39"/>
    <w:rsid w:val="00F07228"/>
    <w:rsid w:val="00F07521"/>
    <w:rsid w:val="00F075FC"/>
    <w:rsid w:val="00F076B1"/>
    <w:rsid w:val="00F07986"/>
    <w:rsid w:val="00F07A5F"/>
    <w:rsid w:val="00F07AFB"/>
    <w:rsid w:val="00F07CAF"/>
    <w:rsid w:val="00F07D0A"/>
    <w:rsid w:val="00F10894"/>
    <w:rsid w:val="00F10D8C"/>
    <w:rsid w:val="00F1109D"/>
    <w:rsid w:val="00F11224"/>
    <w:rsid w:val="00F116CE"/>
    <w:rsid w:val="00F11C74"/>
    <w:rsid w:val="00F11D73"/>
    <w:rsid w:val="00F11DAA"/>
    <w:rsid w:val="00F11F12"/>
    <w:rsid w:val="00F124F3"/>
    <w:rsid w:val="00F1330A"/>
    <w:rsid w:val="00F133BA"/>
    <w:rsid w:val="00F133EF"/>
    <w:rsid w:val="00F134F8"/>
    <w:rsid w:val="00F13550"/>
    <w:rsid w:val="00F136BD"/>
    <w:rsid w:val="00F13BC0"/>
    <w:rsid w:val="00F13D21"/>
    <w:rsid w:val="00F14945"/>
    <w:rsid w:val="00F14B1E"/>
    <w:rsid w:val="00F14C51"/>
    <w:rsid w:val="00F15000"/>
    <w:rsid w:val="00F1525B"/>
    <w:rsid w:val="00F15276"/>
    <w:rsid w:val="00F152AA"/>
    <w:rsid w:val="00F15413"/>
    <w:rsid w:val="00F15A4A"/>
    <w:rsid w:val="00F15AB5"/>
    <w:rsid w:val="00F15AE3"/>
    <w:rsid w:val="00F15BF9"/>
    <w:rsid w:val="00F15C8F"/>
    <w:rsid w:val="00F15D3C"/>
    <w:rsid w:val="00F15EDE"/>
    <w:rsid w:val="00F16024"/>
    <w:rsid w:val="00F1626D"/>
    <w:rsid w:val="00F1638B"/>
    <w:rsid w:val="00F16615"/>
    <w:rsid w:val="00F16FC4"/>
    <w:rsid w:val="00F17052"/>
    <w:rsid w:val="00F17636"/>
    <w:rsid w:val="00F1764F"/>
    <w:rsid w:val="00F17C3A"/>
    <w:rsid w:val="00F17E57"/>
    <w:rsid w:val="00F20074"/>
    <w:rsid w:val="00F200FF"/>
    <w:rsid w:val="00F2037F"/>
    <w:rsid w:val="00F20DF1"/>
    <w:rsid w:val="00F213AB"/>
    <w:rsid w:val="00F21593"/>
    <w:rsid w:val="00F216A7"/>
    <w:rsid w:val="00F21951"/>
    <w:rsid w:val="00F22253"/>
    <w:rsid w:val="00F223CF"/>
    <w:rsid w:val="00F224B9"/>
    <w:rsid w:val="00F2265A"/>
    <w:rsid w:val="00F2269F"/>
    <w:rsid w:val="00F22978"/>
    <w:rsid w:val="00F22B94"/>
    <w:rsid w:val="00F22C86"/>
    <w:rsid w:val="00F22CC9"/>
    <w:rsid w:val="00F22E58"/>
    <w:rsid w:val="00F230C3"/>
    <w:rsid w:val="00F231D7"/>
    <w:rsid w:val="00F2328A"/>
    <w:rsid w:val="00F23FF3"/>
    <w:rsid w:val="00F240ED"/>
    <w:rsid w:val="00F246F0"/>
    <w:rsid w:val="00F24799"/>
    <w:rsid w:val="00F25192"/>
    <w:rsid w:val="00F25264"/>
    <w:rsid w:val="00F25359"/>
    <w:rsid w:val="00F25413"/>
    <w:rsid w:val="00F25430"/>
    <w:rsid w:val="00F259A5"/>
    <w:rsid w:val="00F25DC8"/>
    <w:rsid w:val="00F25F39"/>
    <w:rsid w:val="00F260BD"/>
    <w:rsid w:val="00F263EF"/>
    <w:rsid w:val="00F265C7"/>
    <w:rsid w:val="00F267D7"/>
    <w:rsid w:val="00F26B3C"/>
    <w:rsid w:val="00F26EEF"/>
    <w:rsid w:val="00F2732E"/>
    <w:rsid w:val="00F273A9"/>
    <w:rsid w:val="00F27751"/>
    <w:rsid w:val="00F278EF"/>
    <w:rsid w:val="00F27B49"/>
    <w:rsid w:val="00F27D9B"/>
    <w:rsid w:val="00F27DBE"/>
    <w:rsid w:val="00F27E85"/>
    <w:rsid w:val="00F27EA3"/>
    <w:rsid w:val="00F301ED"/>
    <w:rsid w:val="00F3042B"/>
    <w:rsid w:val="00F304A1"/>
    <w:rsid w:val="00F30767"/>
    <w:rsid w:val="00F30786"/>
    <w:rsid w:val="00F307A8"/>
    <w:rsid w:val="00F30CB8"/>
    <w:rsid w:val="00F30DBE"/>
    <w:rsid w:val="00F30F8D"/>
    <w:rsid w:val="00F31428"/>
    <w:rsid w:val="00F314B0"/>
    <w:rsid w:val="00F31565"/>
    <w:rsid w:val="00F315FD"/>
    <w:rsid w:val="00F317EE"/>
    <w:rsid w:val="00F318F1"/>
    <w:rsid w:val="00F31CD9"/>
    <w:rsid w:val="00F32014"/>
    <w:rsid w:val="00F3262E"/>
    <w:rsid w:val="00F326D2"/>
    <w:rsid w:val="00F329FF"/>
    <w:rsid w:val="00F32B8A"/>
    <w:rsid w:val="00F32CFB"/>
    <w:rsid w:val="00F32EBB"/>
    <w:rsid w:val="00F3329B"/>
    <w:rsid w:val="00F337F4"/>
    <w:rsid w:val="00F33B13"/>
    <w:rsid w:val="00F33D04"/>
    <w:rsid w:val="00F344E6"/>
    <w:rsid w:val="00F34537"/>
    <w:rsid w:val="00F349A3"/>
    <w:rsid w:val="00F34EEC"/>
    <w:rsid w:val="00F35185"/>
    <w:rsid w:val="00F35410"/>
    <w:rsid w:val="00F35D9B"/>
    <w:rsid w:val="00F35EC4"/>
    <w:rsid w:val="00F3626B"/>
    <w:rsid w:val="00F36319"/>
    <w:rsid w:val="00F36396"/>
    <w:rsid w:val="00F366E9"/>
    <w:rsid w:val="00F3677E"/>
    <w:rsid w:val="00F3684E"/>
    <w:rsid w:val="00F36A43"/>
    <w:rsid w:val="00F36C99"/>
    <w:rsid w:val="00F36CED"/>
    <w:rsid w:val="00F36E24"/>
    <w:rsid w:val="00F36E46"/>
    <w:rsid w:val="00F36FE1"/>
    <w:rsid w:val="00F371E0"/>
    <w:rsid w:val="00F3784A"/>
    <w:rsid w:val="00F402EC"/>
    <w:rsid w:val="00F403CE"/>
    <w:rsid w:val="00F4097A"/>
    <w:rsid w:val="00F40E9D"/>
    <w:rsid w:val="00F41370"/>
    <w:rsid w:val="00F415BC"/>
    <w:rsid w:val="00F41707"/>
    <w:rsid w:val="00F41BBD"/>
    <w:rsid w:val="00F41E93"/>
    <w:rsid w:val="00F42445"/>
    <w:rsid w:val="00F42484"/>
    <w:rsid w:val="00F426EC"/>
    <w:rsid w:val="00F4276F"/>
    <w:rsid w:val="00F42AFB"/>
    <w:rsid w:val="00F43532"/>
    <w:rsid w:val="00F43A7E"/>
    <w:rsid w:val="00F43D4E"/>
    <w:rsid w:val="00F43E01"/>
    <w:rsid w:val="00F43E39"/>
    <w:rsid w:val="00F43F22"/>
    <w:rsid w:val="00F43F42"/>
    <w:rsid w:val="00F441EE"/>
    <w:rsid w:val="00F442D6"/>
    <w:rsid w:val="00F44868"/>
    <w:rsid w:val="00F44A88"/>
    <w:rsid w:val="00F44F2F"/>
    <w:rsid w:val="00F4520B"/>
    <w:rsid w:val="00F45391"/>
    <w:rsid w:val="00F45402"/>
    <w:rsid w:val="00F455E3"/>
    <w:rsid w:val="00F45775"/>
    <w:rsid w:val="00F457C5"/>
    <w:rsid w:val="00F45838"/>
    <w:rsid w:val="00F45D9E"/>
    <w:rsid w:val="00F45FF3"/>
    <w:rsid w:val="00F461B4"/>
    <w:rsid w:val="00F4625A"/>
    <w:rsid w:val="00F4631B"/>
    <w:rsid w:val="00F463DD"/>
    <w:rsid w:val="00F469BA"/>
    <w:rsid w:val="00F469C5"/>
    <w:rsid w:val="00F46C5A"/>
    <w:rsid w:val="00F46CB4"/>
    <w:rsid w:val="00F471EE"/>
    <w:rsid w:val="00F4737A"/>
    <w:rsid w:val="00F47780"/>
    <w:rsid w:val="00F47A33"/>
    <w:rsid w:val="00F47E74"/>
    <w:rsid w:val="00F47F93"/>
    <w:rsid w:val="00F47FFE"/>
    <w:rsid w:val="00F50538"/>
    <w:rsid w:val="00F50592"/>
    <w:rsid w:val="00F5071A"/>
    <w:rsid w:val="00F507D4"/>
    <w:rsid w:val="00F50C29"/>
    <w:rsid w:val="00F50E35"/>
    <w:rsid w:val="00F513AD"/>
    <w:rsid w:val="00F514D2"/>
    <w:rsid w:val="00F519CB"/>
    <w:rsid w:val="00F522F1"/>
    <w:rsid w:val="00F52314"/>
    <w:rsid w:val="00F5237F"/>
    <w:rsid w:val="00F52466"/>
    <w:rsid w:val="00F524A6"/>
    <w:rsid w:val="00F524C7"/>
    <w:rsid w:val="00F52565"/>
    <w:rsid w:val="00F5265F"/>
    <w:rsid w:val="00F52943"/>
    <w:rsid w:val="00F52CE7"/>
    <w:rsid w:val="00F52E86"/>
    <w:rsid w:val="00F52F62"/>
    <w:rsid w:val="00F53496"/>
    <w:rsid w:val="00F53825"/>
    <w:rsid w:val="00F53CE9"/>
    <w:rsid w:val="00F54008"/>
    <w:rsid w:val="00F541E9"/>
    <w:rsid w:val="00F54569"/>
    <w:rsid w:val="00F545DB"/>
    <w:rsid w:val="00F547AA"/>
    <w:rsid w:val="00F5480B"/>
    <w:rsid w:val="00F5486B"/>
    <w:rsid w:val="00F549E1"/>
    <w:rsid w:val="00F54F7E"/>
    <w:rsid w:val="00F54FAF"/>
    <w:rsid w:val="00F55424"/>
    <w:rsid w:val="00F55477"/>
    <w:rsid w:val="00F5561D"/>
    <w:rsid w:val="00F55D02"/>
    <w:rsid w:val="00F55F2E"/>
    <w:rsid w:val="00F561FB"/>
    <w:rsid w:val="00F56D30"/>
    <w:rsid w:val="00F56E92"/>
    <w:rsid w:val="00F5728F"/>
    <w:rsid w:val="00F57424"/>
    <w:rsid w:val="00F57801"/>
    <w:rsid w:val="00F579A8"/>
    <w:rsid w:val="00F579D3"/>
    <w:rsid w:val="00F5D6F0"/>
    <w:rsid w:val="00F60064"/>
    <w:rsid w:val="00F605B5"/>
    <w:rsid w:val="00F60992"/>
    <w:rsid w:val="00F609BD"/>
    <w:rsid w:val="00F60A75"/>
    <w:rsid w:val="00F60BAE"/>
    <w:rsid w:val="00F60D72"/>
    <w:rsid w:val="00F60E25"/>
    <w:rsid w:val="00F6103F"/>
    <w:rsid w:val="00F61054"/>
    <w:rsid w:val="00F61941"/>
    <w:rsid w:val="00F61996"/>
    <w:rsid w:val="00F6216F"/>
    <w:rsid w:val="00F62208"/>
    <w:rsid w:val="00F62238"/>
    <w:rsid w:val="00F626D8"/>
    <w:rsid w:val="00F62A1F"/>
    <w:rsid w:val="00F62AB6"/>
    <w:rsid w:val="00F62C68"/>
    <w:rsid w:val="00F63119"/>
    <w:rsid w:val="00F63720"/>
    <w:rsid w:val="00F63F0A"/>
    <w:rsid w:val="00F6471D"/>
    <w:rsid w:val="00F647D1"/>
    <w:rsid w:val="00F64943"/>
    <w:rsid w:val="00F64E49"/>
    <w:rsid w:val="00F655E3"/>
    <w:rsid w:val="00F65693"/>
    <w:rsid w:val="00F657B2"/>
    <w:rsid w:val="00F658DE"/>
    <w:rsid w:val="00F65988"/>
    <w:rsid w:val="00F659CE"/>
    <w:rsid w:val="00F65B35"/>
    <w:rsid w:val="00F65CFD"/>
    <w:rsid w:val="00F66067"/>
    <w:rsid w:val="00F662FF"/>
    <w:rsid w:val="00F6655D"/>
    <w:rsid w:val="00F66776"/>
    <w:rsid w:val="00F668DE"/>
    <w:rsid w:val="00F66C7C"/>
    <w:rsid w:val="00F66C9E"/>
    <w:rsid w:val="00F67189"/>
    <w:rsid w:val="00F67371"/>
    <w:rsid w:val="00F6740A"/>
    <w:rsid w:val="00F67656"/>
    <w:rsid w:val="00F67731"/>
    <w:rsid w:val="00F67873"/>
    <w:rsid w:val="00F67C20"/>
    <w:rsid w:val="00F67C80"/>
    <w:rsid w:val="00F701E8"/>
    <w:rsid w:val="00F707EF"/>
    <w:rsid w:val="00F70812"/>
    <w:rsid w:val="00F7087E"/>
    <w:rsid w:val="00F709C7"/>
    <w:rsid w:val="00F709F8"/>
    <w:rsid w:val="00F70B50"/>
    <w:rsid w:val="00F70B92"/>
    <w:rsid w:val="00F70DA4"/>
    <w:rsid w:val="00F7139F"/>
    <w:rsid w:val="00F7140B"/>
    <w:rsid w:val="00F71D3F"/>
    <w:rsid w:val="00F71EB8"/>
    <w:rsid w:val="00F72028"/>
    <w:rsid w:val="00F720E8"/>
    <w:rsid w:val="00F72162"/>
    <w:rsid w:val="00F72A1D"/>
    <w:rsid w:val="00F72A4E"/>
    <w:rsid w:val="00F72EB0"/>
    <w:rsid w:val="00F73172"/>
    <w:rsid w:val="00F731B9"/>
    <w:rsid w:val="00F731DD"/>
    <w:rsid w:val="00F73258"/>
    <w:rsid w:val="00F73369"/>
    <w:rsid w:val="00F734D9"/>
    <w:rsid w:val="00F73A85"/>
    <w:rsid w:val="00F73AA5"/>
    <w:rsid w:val="00F73AB4"/>
    <w:rsid w:val="00F73B11"/>
    <w:rsid w:val="00F73B82"/>
    <w:rsid w:val="00F73F23"/>
    <w:rsid w:val="00F743E9"/>
    <w:rsid w:val="00F74830"/>
    <w:rsid w:val="00F74C09"/>
    <w:rsid w:val="00F753E2"/>
    <w:rsid w:val="00F75642"/>
    <w:rsid w:val="00F7564B"/>
    <w:rsid w:val="00F75820"/>
    <w:rsid w:val="00F7593D"/>
    <w:rsid w:val="00F75977"/>
    <w:rsid w:val="00F75C2B"/>
    <w:rsid w:val="00F75C7F"/>
    <w:rsid w:val="00F75EB2"/>
    <w:rsid w:val="00F75FB8"/>
    <w:rsid w:val="00F7601B"/>
    <w:rsid w:val="00F76106"/>
    <w:rsid w:val="00F765BA"/>
    <w:rsid w:val="00F765FF"/>
    <w:rsid w:val="00F76779"/>
    <w:rsid w:val="00F76B7C"/>
    <w:rsid w:val="00F77208"/>
    <w:rsid w:val="00F77455"/>
    <w:rsid w:val="00F778EA"/>
    <w:rsid w:val="00F77910"/>
    <w:rsid w:val="00F7798B"/>
    <w:rsid w:val="00F77AD7"/>
    <w:rsid w:val="00F77FFE"/>
    <w:rsid w:val="00F803DA"/>
    <w:rsid w:val="00F8054A"/>
    <w:rsid w:val="00F805BD"/>
    <w:rsid w:val="00F805EE"/>
    <w:rsid w:val="00F8064E"/>
    <w:rsid w:val="00F80751"/>
    <w:rsid w:val="00F80762"/>
    <w:rsid w:val="00F8079A"/>
    <w:rsid w:val="00F80F80"/>
    <w:rsid w:val="00F8104E"/>
    <w:rsid w:val="00F81207"/>
    <w:rsid w:val="00F81474"/>
    <w:rsid w:val="00F816B9"/>
    <w:rsid w:val="00F81793"/>
    <w:rsid w:val="00F81DA7"/>
    <w:rsid w:val="00F81E7E"/>
    <w:rsid w:val="00F82031"/>
    <w:rsid w:val="00F82170"/>
    <w:rsid w:val="00F82216"/>
    <w:rsid w:val="00F8228D"/>
    <w:rsid w:val="00F82735"/>
    <w:rsid w:val="00F82B41"/>
    <w:rsid w:val="00F82B65"/>
    <w:rsid w:val="00F82C2F"/>
    <w:rsid w:val="00F82D7F"/>
    <w:rsid w:val="00F82FFC"/>
    <w:rsid w:val="00F8316D"/>
    <w:rsid w:val="00F83313"/>
    <w:rsid w:val="00F83AB6"/>
    <w:rsid w:val="00F83D77"/>
    <w:rsid w:val="00F84199"/>
    <w:rsid w:val="00F84219"/>
    <w:rsid w:val="00F8426D"/>
    <w:rsid w:val="00F8498B"/>
    <w:rsid w:val="00F851CA"/>
    <w:rsid w:val="00F85387"/>
    <w:rsid w:val="00F85816"/>
    <w:rsid w:val="00F85849"/>
    <w:rsid w:val="00F85B1F"/>
    <w:rsid w:val="00F85B79"/>
    <w:rsid w:val="00F85C90"/>
    <w:rsid w:val="00F85F72"/>
    <w:rsid w:val="00F86137"/>
    <w:rsid w:val="00F86295"/>
    <w:rsid w:val="00F862D5"/>
    <w:rsid w:val="00F862FA"/>
    <w:rsid w:val="00F862FB"/>
    <w:rsid w:val="00F863E0"/>
    <w:rsid w:val="00F86409"/>
    <w:rsid w:val="00F86612"/>
    <w:rsid w:val="00F86702"/>
    <w:rsid w:val="00F86756"/>
    <w:rsid w:val="00F869B6"/>
    <w:rsid w:val="00F86ED8"/>
    <w:rsid w:val="00F871AA"/>
    <w:rsid w:val="00F87272"/>
    <w:rsid w:val="00F8757A"/>
    <w:rsid w:val="00F8766E"/>
    <w:rsid w:val="00F87A50"/>
    <w:rsid w:val="00F87B8C"/>
    <w:rsid w:val="00F90C4F"/>
    <w:rsid w:val="00F90D21"/>
    <w:rsid w:val="00F91272"/>
    <w:rsid w:val="00F9176B"/>
    <w:rsid w:val="00F918F7"/>
    <w:rsid w:val="00F91B1B"/>
    <w:rsid w:val="00F91BB5"/>
    <w:rsid w:val="00F91D51"/>
    <w:rsid w:val="00F91E4F"/>
    <w:rsid w:val="00F91F6E"/>
    <w:rsid w:val="00F91FE9"/>
    <w:rsid w:val="00F92159"/>
    <w:rsid w:val="00F923EC"/>
    <w:rsid w:val="00F92476"/>
    <w:rsid w:val="00F927FF"/>
    <w:rsid w:val="00F92801"/>
    <w:rsid w:val="00F92825"/>
    <w:rsid w:val="00F93325"/>
    <w:rsid w:val="00F93817"/>
    <w:rsid w:val="00F939E6"/>
    <w:rsid w:val="00F93CB1"/>
    <w:rsid w:val="00F93D24"/>
    <w:rsid w:val="00F93EAD"/>
    <w:rsid w:val="00F93FAE"/>
    <w:rsid w:val="00F941CC"/>
    <w:rsid w:val="00F94B96"/>
    <w:rsid w:val="00F957DA"/>
    <w:rsid w:val="00F9687B"/>
    <w:rsid w:val="00F96A8B"/>
    <w:rsid w:val="00F96DF8"/>
    <w:rsid w:val="00F96ED5"/>
    <w:rsid w:val="00F96F59"/>
    <w:rsid w:val="00F970BF"/>
    <w:rsid w:val="00F97317"/>
    <w:rsid w:val="00F9734C"/>
    <w:rsid w:val="00F9746A"/>
    <w:rsid w:val="00F979AB"/>
    <w:rsid w:val="00F97E50"/>
    <w:rsid w:val="00FA0114"/>
    <w:rsid w:val="00FA0688"/>
    <w:rsid w:val="00FA070E"/>
    <w:rsid w:val="00FA09AD"/>
    <w:rsid w:val="00FA11E6"/>
    <w:rsid w:val="00FA1802"/>
    <w:rsid w:val="00FA19B8"/>
    <w:rsid w:val="00FA1C7F"/>
    <w:rsid w:val="00FA1CFF"/>
    <w:rsid w:val="00FA208E"/>
    <w:rsid w:val="00FA20A2"/>
    <w:rsid w:val="00FA2305"/>
    <w:rsid w:val="00FA23AA"/>
    <w:rsid w:val="00FA265D"/>
    <w:rsid w:val="00FA2C0B"/>
    <w:rsid w:val="00FA2C6D"/>
    <w:rsid w:val="00FA2F28"/>
    <w:rsid w:val="00FA303A"/>
    <w:rsid w:val="00FA335C"/>
    <w:rsid w:val="00FA364C"/>
    <w:rsid w:val="00FA37C3"/>
    <w:rsid w:val="00FA39CD"/>
    <w:rsid w:val="00FA3DC3"/>
    <w:rsid w:val="00FA3FBE"/>
    <w:rsid w:val="00FA3FCB"/>
    <w:rsid w:val="00FA3FE4"/>
    <w:rsid w:val="00FA425D"/>
    <w:rsid w:val="00FA427B"/>
    <w:rsid w:val="00FA4B06"/>
    <w:rsid w:val="00FA4B17"/>
    <w:rsid w:val="00FA5051"/>
    <w:rsid w:val="00FA58C5"/>
    <w:rsid w:val="00FA596C"/>
    <w:rsid w:val="00FA5F3F"/>
    <w:rsid w:val="00FA60A4"/>
    <w:rsid w:val="00FA6320"/>
    <w:rsid w:val="00FA6373"/>
    <w:rsid w:val="00FA6438"/>
    <w:rsid w:val="00FA6721"/>
    <w:rsid w:val="00FA69E7"/>
    <w:rsid w:val="00FA6CA3"/>
    <w:rsid w:val="00FA6FF7"/>
    <w:rsid w:val="00FA7326"/>
    <w:rsid w:val="00FA75EC"/>
    <w:rsid w:val="00FA7624"/>
    <w:rsid w:val="00FA7DB6"/>
    <w:rsid w:val="00FA7F2C"/>
    <w:rsid w:val="00FA7FE0"/>
    <w:rsid w:val="00FB00EC"/>
    <w:rsid w:val="00FB02B8"/>
    <w:rsid w:val="00FB035D"/>
    <w:rsid w:val="00FB05EA"/>
    <w:rsid w:val="00FB0701"/>
    <w:rsid w:val="00FB0740"/>
    <w:rsid w:val="00FB0B69"/>
    <w:rsid w:val="00FB1080"/>
    <w:rsid w:val="00FB115B"/>
    <w:rsid w:val="00FB1532"/>
    <w:rsid w:val="00FB1E97"/>
    <w:rsid w:val="00FB222F"/>
    <w:rsid w:val="00FB22C6"/>
    <w:rsid w:val="00FB2551"/>
    <w:rsid w:val="00FB2623"/>
    <w:rsid w:val="00FB26DF"/>
    <w:rsid w:val="00FB2895"/>
    <w:rsid w:val="00FB2918"/>
    <w:rsid w:val="00FB2C82"/>
    <w:rsid w:val="00FB3CEC"/>
    <w:rsid w:val="00FB43F9"/>
    <w:rsid w:val="00FB46D3"/>
    <w:rsid w:val="00FB4819"/>
    <w:rsid w:val="00FB48C8"/>
    <w:rsid w:val="00FB4911"/>
    <w:rsid w:val="00FB4C83"/>
    <w:rsid w:val="00FB5190"/>
    <w:rsid w:val="00FB5286"/>
    <w:rsid w:val="00FB545F"/>
    <w:rsid w:val="00FB573E"/>
    <w:rsid w:val="00FB5871"/>
    <w:rsid w:val="00FB58F2"/>
    <w:rsid w:val="00FB5A89"/>
    <w:rsid w:val="00FB5A8F"/>
    <w:rsid w:val="00FB5F7C"/>
    <w:rsid w:val="00FB60CB"/>
    <w:rsid w:val="00FB626D"/>
    <w:rsid w:val="00FB6671"/>
    <w:rsid w:val="00FB6B40"/>
    <w:rsid w:val="00FB6EF6"/>
    <w:rsid w:val="00FB787F"/>
    <w:rsid w:val="00FB7CB2"/>
    <w:rsid w:val="00FB7F9C"/>
    <w:rsid w:val="00FB7FE8"/>
    <w:rsid w:val="00FC00AC"/>
    <w:rsid w:val="00FC0225"/>
    <w:rsid w:val="00FC065B"/>
    <w:rsid w:val="00FC077E"/>
    <w:rsid w:val="00FC0874"/>
    <w:rsid w:val="00FC0C63"/>
    <w:rsid w:val="00FC0C90"/>
    <w:rsid w:val="00FC0EDE"/>
    <w:rsid w:val="00FC1327"/>
    <w:rsid w:val="00FC196D"/>
    <w:rsid w:val="00FC19D2"/>
    <w:rsid w:val="00FC1E70"/>
    <w:rsid w:val="00FC1F9E"/>
    <w:rsid w:val="00FC1FB2"/>
    <w:rsid w:val="00FC1FF0"/>
    <w:rsid w:val="00FC21E6"/>
    <w:rsid w:val="00FC2319"/>
    <w:rsid w:val="00FC2422"/>
    <w:rsid w:val="00FC265C"/>
    <w:rsid w:val="00FC26DE"/>
    <w:rsid w:val="00FC27F3"/>
    <w:rsid w:val="00FC2A56"/>
    <w:rsid w:val="00FC2B0E"/>
    <w:rsid w:val="00FC2B49"/>
    <w:rsid w:val="00FC2B57"/>
    <w:rsid w:val="00FC2BEB"/>
    <w:rsid w:val="00FC2DF4"/>
    <w:rsid w:val="00FC2E0F"/>
    <w:rsid w:val="00FC3167"/>
    <w:rsid w:val="00FC3771"/>
    <w:rsid w:val="00FC3C07"/>
    <w:rsid w:val="00FC3DEA"/>
    <w:rsid w:val="00FC3E60"/>
    <w:rsid w:val="00FC3FC9"/>
    <w:rsid w:val="00FC4405"/>
    <w:rsid w:val="00FC445B"/>
    <w:rsid w:val="00FC45BB"/>
    <w:rsid w:val="00FC45FE"/>
    <w:rsid w:val="00FC4604"/>
    <w:rsid w:val="00FC46B8"/>
    <w:rsid w:val="00FC48F6"/>
    <w:rsid w:val="00FC4BAA"/>
    <w:rsid w:val="00FC4D6E"/>
    <w:rsid w:val="00FC4DBC"/>
    <w:rsid w:val="00FC5009"/>
    <w:rsid w:val="00FC5189"/>
    <w:rsid w:val="00FC51AB"/>
    <w:rsid w:val="00FC5212"/>
    <w:rsid w:val="00FC56E6"/>
    <w:rsid w:val="00FC57D0"/>
    <w:rsid w:val="00FC5F1A"/>
    <w:rsid w:val="00FC5FC4"/>
    <w:rsid w:val="00FC69C5"/>
    <w:rsid w:val="00FC718E"/>
    <w:rsid w:val="00FC724B"/>
    <w:rsid w:val="00FC72B2"/>
    <w:rsid w:val="00FC78A0"/>
    <w:rsid w:val="00FC78B8"/>
    <w:rsid w:val="00FD0137"/>
    <w:rsid w:val="00FD04F3"/>
    <w:rsid w:val="00FD05BD"/>
    <w:rsid w:val="00FD06A2"/>
    <w:rsid w:val="00FD09F8"/>
    <w:rsid w:val="00FD0CEF"/>
    <w:rsid w:val="00FD0D5D"/>
    <w:rsid w:val="00FD0DDC"/>
    <w:rsid w:val="00FD0F79"/>
    <w:rsid w:val="00FD121A"/>
    <w:rsid w:val="00FD1261"/>
    <w:rsid w:val="00FD1915"/>
    <w:rsid w:val="00FD192E"/>
    <w:rsid w:val="00FD1A04"/>
    <w:rsid w:val="00FD1E71"/>
    <w:rsid w:val="00FD22CF"/>
    <w:rsid w:val="00FD2606"/>
    <w:rsid w:val="00FD2694"/>
    <w:rsid w:val="00FD2B88"/>
    <w:rsid w:val="00FD2D8A"/>
    <w:rsid w:val="00FD2DC8"/>
    <w:rsid w:val="00FD3279"/>
    <w:rsid w:val="00FD337D"/>
    <w:rsid w:val="00FD3432"/>
    <w:rsid w:val="00FD3434"/>
    <w:rsid w:val="00FD372E"/>
    <w:rsid w:val="00FD3AF9"/>
    <w:rsid w:val="00FD3B42"/>
    <w:rsid w:val="00FD407F"/>
    <w:rsid w:val="00FD416F"/>
    <w:rsid w:val="00FD439B"/>
    <w:rsid w:val="00FD4669"/>
    <w:rsid w:val="00FD4B2F"/>
    <w:rsid w:val="00FD4C16"/>
    <w:rsid w:val="00FD570F"/>
    <w:rsid w:val="00FD57BC"/>
    <w:rsid w:val="00FD59FB"/>
    <w:rsid w:val="00FD5B7A"/>
    <w:rsid w:val="00FD5BD4"/>
    <w:rsid w:val="00FD62D4"/>
    <w:rsid w:val="00FD645C"/>
    <w:rsid w:val="00FD6622"/>
    <w:rsid w:val="00FD6BF4"/>
    <w:rsid w:val="00FD72E2"/>
    <w:rsid w:val="00FD79AB"/>
    <w:rsid w:val="00FD7E97"/>
    <w:rsid w:val="00FE0178"/>
    <w:rsid w:val="00FE0D86"/>
    <w:rsid w:val="00FE11BC"/>
    <w:rsid w:val="00FE13E1"/>
    <w:rsid w:val="00FE16B2"/>
    <w:rsid w:val="00FE1717"/>
    <w:rsid w:val="00FE1818"/>
    <w:rsid w:val="00FE1B44"/>
    <w:rsid w:val="00FE213F"/>
    <w:rsid w:val="00FE22DA"/>
    <w:rsid w:val="00FE23CB"/>
    <w:rsid w:val="00FE247B"/>
    <w:rsid w:val="00FE24B5"/>
    <w:rsid w:val="00FE2D92"/>
    <w:rsid w:val="00FE2EEC"/>
    <w:rsid w:val="00FE3551"/>
    <w:rsid w:val="00FE3569"/>
    <w:rsid w:val="00FE364B"/>
    <w:rsid w:val="00FE367F"/>
    <w:rsid w:val="00FE3B7E"/>
    <w:rsid w:val="00FE4F7F"/>
    <w:rsid w:val="00FE50AF"/>
    <w:rsid w:val="00FE50B8"/>
    <w:rsid w:val="00FE5848"/>
    <w:rsid w:val="00FE5AC5"/>
    <w:rsid w:val="00FE5B28"/>
    <w:rsid w:val="00FE5D63"/>
    <w:rsid w:val="00FE5DA8"/>
    <w:rsid w:val="00FE60FA"/>
    <w:rsid w:val="00FE6D0B"/>
    <w:rsid w:val="00FE6D1B"/>
    <w:rsid w:val="00FE6DED"/>
    <w:rsid w:val="00FE6E0C"/>
    <w:rsid w:val="00FE6E93"/>
    <w:rsid w:val="00FE6F12"/>
    <w:rsid w:val="00FE73A7"/>
    <w:rsid w:val="00FE743F"/>
    <w:rsid w:val="00FE7A11"/>
    <w:rsid w:val="00FE7E22"/>
    <w:rsid w:val="00FF0832"/>
    <w:rsid w:val="00FF0888"/>
    <w:rsid w:val="00FF0913"/>
    <w:rsid w:val="00FF0F27"/>
    <w:rsid w:val="00FF1685"/>
    <w:rsid w:val="00FF1767"/>
    <w:rsid w:val="00FF185C"/>
    <w:rsid w:val="00FF1BE1"/>
    <w:rsid w:val="00FF2056"/>
    <w:rsid w:val="00FF20F9"/>
    <w:rsid w:val="00FF2831"/>
    <w:rsid w:val="00FF29A6"/>
    <w:rsid w:val="00FF2BD9"/>
    <w:rsid w:val="00FF2C52"/>
    <w:rsid w:val="00FF30B4"/>
    <w:rsid w:val="00FF3420"/>
    <w:rsid w:val="00FF3533"/>
    <w:rsid w:val="00FF38D8"/>
    <w:rsid w:val="00FF3A35"/>
    <w:rsid w:val="00FF3DF1"/>
    <w:rsid w:val="00FF443B"/>
    <w:rsid w:val="00FF4FEA"/>
    <w:rsid w:val="00FF5062"/>
    <w:rsid w:val="00FF5297"/>
    <w:rsid w:val="00FF5894"/>
    <w:rsid w:val="00FF5AD8"/>
    <w:rsid w:val="00FF5E39"/>
    <w:rsid w:val="00FF5F62"/>
    <w:rsid w:val="00FF61F8"/>
    <w:rsid w:val="00FF628C"/>
    <w:rsid w:val="00FF6483"/>
    <w:rsid w:val="00FF660B"/>
    <w:rsid w:val="00FF69A0"/>
    <w:rsid w:val="00FF69FD"/>
    <w:rsid w:val="00FF6A0A"/>
    <w:rsid w:val="00FF6CA5"/>
    <w:rsid w:val="00FF70DA"/>
    <w:rsid w:val="00FF71E1"/>
    <w:rsid w:val="00FF7207"/>
    <w:rsid w:val="00FF7389"/>
    <w:rsid w:val="00FF7BB2"/>
    <w:rsid w:val="00FF7BC6"/>
    <w:rsid w:val="0131E8B3"/>
    <w:rsid w:val="01354BF8"/>
    <w:rsid w:val="01356168"/>
    <w:rsid w:val="0205C6E2"/>
    <w:rsid w:val="024D4C53"/>
    <w:rsid w:val="02609D18"/>
    <w:rsid w:val="0285037F"/>
    <w:rsid w:val="02A28B40"/>
    <w:rsid w:val="02B4F659"/>
    <w:rsid w:val="03196E99"/>
    <w:rsid w:val="0320C3AC"/>
    <w:rsid w:val="039C5CA3"/>
    <w:rsid w:val="03D15AA3"/>
    <w:rsid w:val="03D62ACF"/>
    <w:rsid w:val="04593B10"/>
    <w:rsid w:val="0474F865"/>
    <w:rsid w:val="051592F2"/>
    <w:rsid w:val="05587CAD"/>
    <w:rsid w:val="065CF6A3"/>
    <w:rsid w:val="06A325E1"/>
    <w:rsid w:val="06C3482E"/>
    <w:rsid w:val="07359B65"/>
    <w:rsid w:val="073B8A97"/>
    <w:rsid w:val="07842E31"/>
    <w:rsid w:val="0787CB8D"/>
    <w:rsid w:val="08E5CCB3"/>
    <w:rsid w:val="08FDC620"/>
    <w:rsid w:val="0966DA61"/>
    <w:rsid w:val="09AEE0B4"/>
    <w:rsid w:val="09BC6AE3"/>
    <w:rsid w:val="09FF8835"/>
    <w:rsid w:val="0A125141"/>
    <w:rsid w:val="0ABCACED"/>
    <w:rsid w:val="0B07B9E6"/>
    <w:rsid w:val="0B7DE40A"/>
    <w:rsid w:val="0CAFA945"/>
    <w:rsid w:val="0D02AE07"/>
    <w:rsid w:val="0DBFB498"/>
    <w:rsid w:val="0E5281DD"/>
    <w:rsid w:val="0E55A791"/>
    <w:rsid w:val="0E6B4610"/>
    <w:rsid w:val="0E9D0720"/>
    <w:rsid w:val="0EF36651"/>
    <w:rsid w:val="0FBF30F4"/>
    <w:rsid w:val="0FC4D647"/>
    <w:rsid w:val="100A4F95"/>
    <w:rsid w:val="100D7BDB"/>
    <w:rsid w:val="10BBC1BA"/>
    <w:rsid w:val="113D2A43"/>
    <w:rsid w:val="114853D1"/>
    <w:rsid w:val="11512D79"/>
    <w:rsid w:val="11FD03BF"/>
    <w:rsid w:val="1215CC8B"/>
    <w:rsid w:val="121A33E9"/>
    <w:rsid w:val="12526CD1"/>
    <w:rsid w:val="125565BA"/>
    <w:rsid w:val="1283C92D"/>
    <w:rsid w:val="1295989E"/>
    <w:rsid w:val="12FA202E"/>
    <w:rsid w:val="12FE47A9"/>
    <w:rsid w:val="1324A2CD"/>
    <w:rsid w:val="135A38F8"/>
    <w:rsid w:val="1368DD26"/>
    <w:rsid w:val="13736E93"/>
    <w:rsid w:val="1382C466"/>
    <w:rsid w:val="143452F1"/>
    <w:rsid w:val="14438A39"/>
    <w:rsid w:val="145FE1FF"/>
    <w:rsid w:val="146C4759"/>
    <w:rsid w:val="1484A98D"/>
    <w:rsid w:val="1498FA55"/>
    <w:rsid w:val="14D43AE4"/>
    <w:rsid w:val="14F84397"/>
    <w:rsid w:val="150E7453"/>
    <w:rsid w:val="1534A481"/>
    <w:rsid w:val="15425F19"/>
    <w:rsid w:val="15753FE0"/>
    <w:rsid w:val="1587AAF9"/>
    <w:rsid w:val="162079EE"/>
    <w:rsid w:val="167F1666"/>
    <w:rsid w:val="173BA69D"/>
    <w:rsid w:val="173D9470"/>
    <w:rsid w:val="1749559F"/>
    <w:rsid w:val="17C37D24"/>
    <w:rsid w:val="181009F9"/>
    <w:rsid w:val="1834C665"/>
    <w:rsid w:val="183F10D0"/>
    <w:rsid w:val="19157D81"/>
    <w:rsid w:val="19232C83"/>
    <w:rsid w:val="19583F26"/>
    <w:rsid w:val="1A18E7B4"/>
    <w:rsid w:val="1A539438"/>
    <w:rsid w:val="1A68984D"/>
    <w:rsid w:val="1A6D7BBA"/>
    <w:rsid w:val="1AEDA792"/>
    <w:rsid w:val="1AF0C880"/>
    <w:rsid w:val="1B3F04FE"/>
    <w:rsid w:val="1BEFF95A"/>
    <w:rsid w:val="1C1D981F"/>
    <w:rsid w:val="1CCB9EA5"/>
    <w:rsid w:val="1D522553"/>
    <w:rsid w:val="1D5AAAA8"/>
    <w:rsid w:val="1E0419D7"/>
    <w:rsid w:val="1E087F1E"/>
    <w:rsid w:val="1E7A7AC6"/>
    <w:rsid w:val="1EC25A4A"/>
    <w:rsid w:val="1F372F23"/>
    <w:rsid w:val="1F6F190D"/>
    <w:rsid w:val="1F9BE267"/>
    <w:rsid w:val="1FD82C88"/>
    <w:rsid w:val="204EA5AA"/>
    <w:rsid w:val="20C96181"/>
    <w:rsid w:val="211AA45F"/>
    <w:rsid w:val="213FB3F3"/>
    <w:rsid w:val="21829338"/>
    <w:rsid w:val="218F4906"/>
    <w:rsid w:val="21ADC0A9"/>
    <w:rsid w:val="21D6E34E"/>
    <w:rsid w:val="22925F25"/>
    <w:rsid w:val="229848E1"/>
    <w:rsid w:val="238A47BB"/>
    <w:rsid w:val="238D4088"/>
    <w:rsid w:val="23DDF420"/>
    <w:rsid w:val="23DFEC09"/>
    <w:rsid w:val="23FD4DCD"/>
    <w:rsid w:val="2402ED65"/>
    <w:rsid w:val="2434352F"/>
    <w:rsid w:val="24E3236B"/>
    <w:rsid w:val="2503D4FE"/>
    <w:rsid w:val="266B84A0"/>
    <w:rsid w:val="269F53BE"/>
    <w:rsid w:val="26B9ACAC"/>
    <w:rsid w:val="26D55DD5"/>
    <w:rsid w:val="271004E7"/>
    <w:rsid w:val="27613FD1"/>
    <w:rsid w:val="27875903"/>
    <w:rsid w:val="27B0F06A"/>
    <w:rsid w:val="281EEDC6"/>
    <w:rsid w:val="2825F483"/>
    <w:rsid w:val="285768EF"/>
    <w:rsid w:val="28797B48"/>
    <w:rsid w:val="293B70F1"/>
    <w:rsid w:val="298241F9"/>
    <w:rsid w:val="29AF0CAA"/>
    <w:rsid w:val="2A313FD3"/>
    <w:rsid w:val="2A53522C"/>
    <w:rsid w:val="2A9D8F53"/>
    <w:rsid w:val="2AE5F801"/>
    <w:rsid w:val="2B4C71F4"/>
    <w:rsid w:val="2C37E2BA"/>
    <w:rsid w:val="2C3C912F"/>
    <w:rsid w:val="2C9A41BF"/>
    <w:rsid w:val="2D2D525D"/>
    <w:rsid w:val="2D3B7E6C"/>
    <w:rsid w:val="2E1DDB52"/>
    <w:rsid w:val="2E7B28BA"/>
    <w:rsid w:val="2F29F515"/>
    <w:rsid w:val="2FCC4527"/>
    <w:rsid w:val="30002EF5"/>
    <w:rsid w:val="30B48D55"/>
    <w:rsid w:val="3107ABEB"/>
    <w:rsid w:val="311BC566"/>
    <w:rsid w:val="3147FE21"/>
    <w:rsid w:val="318DB9D7"/>
    <w:rsid w:val="31DA05D9"/>
    <w:rsid w:val="31EF09EE"/>
    <w:rsid w:val="3207362C"/>
    <w:rsid w:val="321A7F90"/>
    <w:rsid w:val="329D6FF9"/>
    <w:rsid w:val="32E7BA77"/>
    <w:rsid w:val="3303E5E9"/>
    <w:rsid w:val="3316EC4E"/>
    <w:rsid w:val="334208E1"/>
    <w:rsid w:val="3381F053"/>
    <w:rsid w:val="340589C2"/>
    <w:rsid w:val="340DD7C1"/>
    <w:rsid w:val="346F8D83"/>
    <w:rsid w:val="34BB422F"/>
    <w:rsid w:val="34CC1834"/>
    <w:rsid w:val="34D51C69"/>
    <w:rsid w:val="34EE8EDD"/>
    <w:rsid w:val="3517AEF6"/>
    <w:rsid w:val="353AAB4F"/>
    <w:rsid w:val="359FC10C"/>
    <w:rsid w:val="35B7ED4A"/>
    <w:rsid w:val="35BC9EF6"/>
    <w:rsid w:val="35C1D365"/>
    <w:rsid w:val="36830106"/>
    <w:rsid w:val="373D02DE"/>
    <w:rsid w:val="37A663F3"/>
    <w:rsid w:val="37A81D5B"/>
    <w:rsid w:val="37EEDA7C"/>
    <w:rsid w:val="3803217E"/>
    <w:rsid w:val="3894CA11"/>
    <w:rsid w:val="398F7437"/>
    <w:rsid w:val="39F1FC77"/>
    <w:rsid w:val="3A3E7B4A"/>
    <w:rsid w:val="3AA28CD3"/>
    <w:rsid w:val="3B0C17A1"/>
    <w:rsid w:val="3B9F08AA"/>
    <w:rsid w:val="3C75428A"/>
    <w:rsid w:val="3CCCA463"/>
    <w:rsid w:val="3D8E179D"/>
    <w:rsid w:val="3DAB9076"/>
    <w:rsid w:val="3E958043"/>
    <w:rsid w:val="3EE7B9EE"/>
    <w:rsid w:val="3F51561A"/>
    <w:rsid w:val="3FB99534"/>
    <w:rsid w:val="3FFDC183"/>
    <w:rsid w:val="40066EED"/>
    <w:rsid w:val="400E330C"/>
    <w:rsid w:val="404BFA38"/>
    <w:rsid w:val="40586546"/>
    <w:rsid w:val="405F446B"/>
    <w:rsid w:val="4067C9C0"/>
    <w:rsid w:val="406ABF18"/>
    <w:rsid w:val="408B96C4"/>
    <w:rsid w:val="40A26141"/>
    <w:rsid w:val="41266E83"/>
    <w:rsid w:val="41722875"/>
    <w:rsid w:val="4236E6FA"/>
    <w:rsid w:val="42B04595"/>
    <w:rsid w:val="42CB44EF"/>
    <w:rsid w:val="42EFD3DE"/>
    <w:rsid w:val="43004567"/>
    <w:rsid w:val="43453C56"/>
    <w:rsid w:val="435CD173"/>
    <w:rsid w:val="4403013C"/>
    <w:rsid w:val="447EB390"/>
    <w:rsid w:val="4489C5A1"/>
    <w:rsid w:val="449AFEF8"/>
    <w:rsid w:val="46034612"/>
    <w:rsid w:val="4620E8DB"/>
    <w:rsid w:val="47456D68"/>
    <w:rsid w:val="4771BE95"/>
    <w:rsid w:val="47C47CFF"/>
    <w:rsid w:val="47D1921F"/>
    <w:rsid w:val="47D51840"/>
    <w:rsid w:val="47DAC302"/>
    <w:rsid w:val="4810F416"/>
    <w:rsid w:val="48353972"/>
    <w:rsid w:val="48970380"/>
    <w:rsid w:val="4917A6C3"/>
    <w:rsid w:val="49AFEBA5"/>
    <w:rsid w:val="49B8A3C7"/>
    <w:rsid w:val="4A63E5CD"/>
    <w:rsid w:val="4AEDDC2B"/>
    <w:rsid w:val="4AF84CC7"/>
    <w:rsid w:val="4B14A12B"/>
    <w:rsid w:val="4B4AC2D1"/>
    <w:rsid w:val="4B7CEB36"/>
    <w:rsid w:val="4BAEFB86"/>
    <w:rsid w:val="4BC1AB34"/>
    <w:rsid w:val="4BCB914F"/>
    <w:rsid w:val="4BD94051"/>
    <w:rsid w:val="4C2878EC"/>
    <w:rsid w:val="4C536D3D"/>
    <w:rsid w:val="4C6CC416"/>
    <w:rsid w:val="4CC92DBF"/>
    <w:rsid w:val="4CD45800"/>
    <w:rsid w:val="4CF7E403"/>
    <w:rsid w:val="4DA5457A"/>
    <w:rsid w:val="4E257CB2"/>
    <w:rsid w:val="4E383450"/>
    <w:rsid w:val="4E7BD4E4"/>
    <w:rsid w:val="4E904A9C"/>
    <w:rsid w:val="4E98C3C8"/>
    <w:rsid w:val="4F1835CF"/>
    <w:rsid w:val="4F7F9BE2"/>
    <w:rsid w:val="4F9E9AFD"/>
    <w:rsid w:val="4FC66A5B"/>
    <w:rsid w:val="505DC608"/>
    <w:rsid w:val="507D70EB"/>
    <w:rsid w:val="50977A8E"/>
    <w:rsid w:val="50A52990"/>
    <w:rsid w:val="510BDAE2"/>
    <w:rsid w:val="51791CCC"/>
    <w:rsid w:val="51DB2D84"/>
    <w:rsid w:val="51E9A90B"/>
    <w:rsid w:val="520EDFB5"/>
    <w:rsid w:val="52715172"/>
    <w:rsid w:val="52799F26"/>
    <w:rsid w:val="527C0B1C"/>
    <w:rsid w:val="5322C1D3"/>
    <w:rsid w:val="53C46C3E"/>
    <w:rsid w:val="53DC32DA"/>
    <w:rsid w:val="543491AF"/>
    <w:rsid w:val="54602C6B"/>
    <w:rsid w:val="549C7129"/>
    <w:rsid w:val="554FF808"/>
    <w:rsid w:val="556363CD"/>
    <w:rsid w:val="558BA538"/>
    <w:rsid w:val="55C2887E"/>
    <w:rsid w:val="55E63246"/>
    <w:rsid w:val="5620D60B"/>
    <w:rsid w:val="566CFA14"/>
    <w:rsid w:val="56E77A88"/>
    <w:rsid w:val="5705F2C4"/>
    <w:rsid w:val="57961EBB"/>
    <w:rsid w:val="585F6003"/>
    <w:rsid w:val="58B49AD9"/>
    <w:rsid w:val="58D20322"/>
    <w:rsid w:val="58F2E348"/>
    <w:rsid w:val="592772FD"/>
    <w:rsid w:val="595E3CD9"/>
    <w:rsid w:val="59769424"/>
    <w:rsid w:val="59FEF942"/>
    <w:rsid w:val="5A68CEC0"/>
    <w:rsid w:val="5A9E7EF6"/>
    <w:rsid w:val="5AC8790A"/>
    <w:rsid w:val="5ACB02CE"/>
    <w:rsid w:val="5AD2EF65"/>
    <w:rsid w:val="5B20E4F0"/>
    <w:rsid w:val="5C13AAC9"/>
    <w:rsid w:val="5C522C83"/>
    <w:rsid w:val="5CCF889A"/>
    <w:rsid w:val="5CFE7DE2"/>
    <w:rsid w:val="5DD58840"/>
    <w:rsid w:val="5DDFD2AB"/>
    <w:rsid w:val="5DEDA70E"/>
    <w:rsid w:val="5E1D537E"/>
    <w:rsid w:val="5EB3D5AA"/>
    <w:rsid w:val="5EDAEA5A"/>
    <w:rsid w:val="5F03E0CC"/>
    <w:rsid w:val="5F9A20B0"/>
    <w:rsid w:val="5FE8DB66"/>
    <w:rsid w:val="602AC268"/>
    <w:rsid w:val="6077A6A7"/>
    <w:rsid w:val="610FE710"/>
    <w:rsid w:val="63AF4769"/>
    <w:rsid w:val="63BCD51F"/>
    <w:rsid w:val="64073903"/>
    <w:rsid w:val="641E8986"/>
    <w:rsid w:val="6478848A"/>
    <w:rsid w:val="649A6412"/>
    <w:rsid w:val="659BAA2C"/>
    <w:rsid w:val="6617E6BC"/>
    <w:rsid w:val="666A54DB"/>
    <w:rsid w:val="666B83E8"/>
    <w:rsid w:val="66AEE77A"/>
    <w:rsid w:val="67075E41"/>
    <w:rsid w:val="67170906"/>
    <w:rsid w:val="67556151"/>
    <w:rsid w:val="679231CD"/>
    <w:rsid w:val="68338507"/>
    <w:rsid w:val="6859A3E6"/>
    <w:rsid w:val="6882B88C"/>
    <w:rsid w:val="692F3835"/>
    <w:rsid w:val="696E483D"/>
    <w:rsid w:val="69DF0F89"/>
    <w:rsid w:val="6A11CC75"/>
    <w:rsid w:val="6A3D2FDA"/>
    <w:rsid w:val="6A59FA9A"/>
    <w:rsid w:val="6AF5DB95"/>
    <w:rsid w:val="6B17C363"/>
    <w:rsid w:val="6BA8010C"/>
    <w:rsid w:val="6BA910D9"/>
    <w:rsid w:val="6BCE734A"/>
    <w:rsid w:val="6C0982A2"/>
    <w:rsid w:val="6C33504B"/>
    <w:rsid w:val="6C9AF864"/>
    <w:rsid w:val="6CF2633C"/>
    <w:rsid w:val="6CFB6650"/>
    <w:rsid w:val="6D07E988"/>
    <w:rsid w:val="6D8BEF8A"/>
    <w:rsid w:val="6DE35986"/>
    <w:rsid w:val="6E1A3D23"/>
    <w:rsid w:val="6E6E7B5C"/>
    <w:rsid w:val="6EFB0081"/>
    <w:rsid w:val="6F2B5658"/>
    <w:rsid w:val="6F3BC7E1"/>
    <w:rsid w:val="6F65D22A"/>
    <w:rsid w:val="6F80A3BA"/>
    <w:rsid w:val="6FBA0841"/>
    <w:rsid w:val="701CEBA1"/>
    <w:rsid w:val="70266E07"/>
    <w:rsid w:val="705CCA40"/>
    <w:rsid w:val="70B25995"/>
    <w:rsid w:val="70F77E3A"/>
    <w:rsid w:val="70FB97AD"/>
    <w:rsid w:val="710A441A"/>
    <w:rsid w:val="711A3151"/>
    <w:rsid w:val="714E536D"/>
    <w:rsid w:val="71841686"/>
    <w:rsid w:val="71FD1CC2"/>
    <w:rsid w:val="7331294B"/>
    <w:rsid w:val="737DC762"/>
    <w:rsid w:val="73D789DA"/>
    <w:rsid w:val="73DFAA7A"/>
    <w:rsid w:val="75C36779"/>
    <w:rsid w:val="75EB116C"/>
    <w:rsid w:val="75EBA8E4"/>
    <w:rsid w:val="76160D6A"/>
    <w:rsid w:val="76C4E1AB"/>
    <w:rsid w:val="76EEBD3B"/>
    <w:rsid w:val="77AE6EC9"/>
    <w:rsid w:val="77D4C2B8"/>
    <w:rsid w:val="77F50326"/>
    <w:rsid w:val="7880F46E"/>
    <w:rsid w:val="7949F54A"/>
    <w:rsid w:val="79BB185C"/>
    <w:rsid w:val="7A46246D"/>
    <w:rsid w:val="7A57A329"/>
    <w:rsid w:val="7AA9A796"/>
    <w:rsid w:val="7ADA5BB8"/>
    <w:rsid w:val="7B704442"/>
    <w:rsid w:val="7BC48C58"/>
    <w:rsid w:val="7C58A6CC"/>
    <w:rsid w:val="7CECBC6F"/>
    <w:rsid w:val="7D47574D"/>
    <w:rsid w:val="7D5D76D0"/>
    <w:rsid w:val="7D774B79"/>
    <w:rsid w:val="7E46E80F"/>
    <w:rsid w:val="7F238C68"/>
    <w:rsid w:val="7F65C0D0"/>
    <w:rsid w:val="7FD2F7B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643198"/>
  <w15:chartTrackingRefBased/>
  <w15:docId w15:val="{80651083-7462-4B74-8226-739F7DDA5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toc 1" w:uiPriority="39"/>
    <w:lsdException w:name="toc 2" w:uiPriority="39"/>
    <w:lsdException w:name="caption" w:qFormat="1"/>
    <w:lsdException w:name="List Bullet" w:qFormat="1"/>
    <w:lsdException w:name="List Number" w:qFormat="1"/>
    <w:lsdException w:name="Title" w:qFormat="1"/>
    <w:lsdException w:name="Body Text" w:qFormat="1"/>
    <w:lsdException w:name="List Continue" w:qFormat="1"/>
    <w:lsdException w:name="Subtitle" w:qFormat="1"/>
    <w:lsdException w:name="Block Text" w:qFormat="1"/>
    <w:lsdException w:name="Hyperlink" w:uiPriority="99"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428AB"/>
    <w:rPr>
      <w:rFonts w:ascii="Arial" w:hAnsi="Arial"/>
      <w:sz w:val="24"/>
      <w:szCs w:val="22"/>
      <w:lang w:eastAsia="en-GB"/>
    </w:rPr>
  </w:style>
  <w:style w:type="paragraph" w:styleId="Heading1">
    <w:name w:val="heading 1"/>
    <w:next w:val="BodyText"/>
    <w:qFormat/>
    <w:rsid w:val="00A5081E"/>
    <w:pPr>
      <w:keepNext/>
      <w:keepLines/>
      <w:spacing w:before="720" w:after="480"/>
      <w:outlineLvl w:val="0"/>
    </w:pPr>
    <w:rPr>
      <w:rFonts w:ascii="Arial" w:hAnsi="Arial" w:cs="Arial"/>
      <w:b/>
      <w:bCs/>
      <w:color w:val="005984"/>
      <w:kern w:val="32"/>
      <w:sz w:val="37"/>
      <w:szCs w:val="32"/>
      <w:lang w:eastAsia="en-GB"/>
    </w:rPr>
  </w:style>
  <w:style w:type="paragraph" w:styleId="Heading2">
    <w:name w:val="heading 2"/>
    <w:basedOn w:val="Heading1"/>
    <w:next w:val="BodyText"/>
    <w:qFormat/>
    <w:rsid w:val="00F77208"/>
    <w:pPr>
      <w:spacing w:before="640" w:after="360"/>
      <w:outlineLvl w:val="1"/>
    </w:pPr>
    <w:rPr>
      <w:bCs w:val="0"/>
      <w:iCs/>
      <w:sz w:val="31"/>
      <w:szCs w:val="28"/>
    </w:rPr>
  </w:style>
  <w:style w:type="paragraph" w:styleId="Heading3">
    <w:name w:val="heading 3"/>
    <w:basedOn w:val="Heading2"/>
    <w:next w:val="BodyText"/>
    <w:qFormat/>
    <w:rsid w:val="008438B6"/>
    <w:pPr>
      <w:spacing w:before="520"/>
      <w:outlineLvl w:val="2"/>
    </w:pPr>
    <w:rPr>
      <w:bCs/>
      <w:sz w:val="26"/>
      <w:szCs w:val="26"/>
    </w:rPr>
  </w:style>
  <w:style w:type="paragraph" w:styleId="Heading4">
    <w:name w:val="heading 4"/>
    <w:basedOn w:val="Heading3"/>
    <w:next w:val="BodyText"/>
    <w:qFormat/>
    <w:rsid w:val="006845B4"/>
    <w:pPr>
      <w:spacing w:before="240" w:after="180"/>
      <w:outlineLvl w:val="3"/>
    </w:pPr>
    <w:rPr>
      <w:bCs w:val="0"/>
      <w:i/>
      <w:sz w:val="23"/>
      <w:szCs w:val="28"/>
    </w:rPr>
  </w:style>
  <w:style w:type="paragraph" w:styleId="Heading5">
    <w:name w:val="heading 5"/>
    <w:basedOn w:val="Heading4"/>
    <w:next w:val="BodyText"/>
    <w:rsid w:val="00335E48"/>
    <w:pPr>
      <w:spacing w:before="0"/>
      <w:outlineLvl w:val="4"/>
    </w:pPr>
    <w:rPr>
      <w:rFonts w:cs="Times New Roman"/>
      <w:b w:val="0"/>
      <w:kern w:val="0"/>
      <w:sz w:val="22"/>
      <w:szCs w:val="26"/>
    </w:rPr>
  </w:style>
  <w:style w:type="paragraph" w:styleId="Heading6">
    <w:name w:val="heading 6"/>
    <w:basedOn w:val="Heading5"/>
    <w:next w:val="BodyText"/>
    <w:rsid w:val="00FC0C63"/>
    <w:pPr>
      <w:spacing w:before="240" w:after="60"/>
      <w:outlineLvl w:val="5"/>
    </w:pPr>
    <w:rPr>
      <w:bCs/>
      <w:sz w:val="18"/>
    </w:rPr>
  </w:style>
  <w:style w:type="paragraph" w:styleId="Heading7">
    <w:name w:val="heading 7"/>
    <w:basedOn w:val="Heading6"/>
    <w:next w:val="BodyText"/>
    <w:rsid w:val="00FC0C63"/>
    <w:pPr>
      <w:outlineLvl w:val="6"/>
    </w:pPr>
    <w:rPr>
      <w:sz w:val="16"/>
      <w:szCs w:val="24"/>
    </w:rPr>
  </w:style>
  <w:style w:type="paragraph" w:styleId="Heading8">
    <w:name w:val="heading 8"/>
    <w:basedOn w:val="Heading7"/>
    <w:next w:val="BodyText"/>
    <w:rsid w:val="00FC0C63"/>
    <w:pPr>
      <w:outlineLvl w:val="7"/>
    </w:pPr>
    <w:rPr>
      <w:iCs w:val="0"/>
      <w:sz w:val="14"/>
    </w:rPr>
  </w:style>
  <w:style w:type="paragraph" w:styleId="Heading9">
    <w:name w:val="heading 9"/>
    <w:basedOn w:val="Normal"/>
    <w:next w:val="Normal"/>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627F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pPr>
    <w:rPr>
      <w:rFonts w:ascii="Arial" w:hAnsi="Arial"/>
      <w:sz w:val="24"/>
      <w:szCs w:val="22"/>
      <w:lang w:eastAsia="en-GB"/>
    </w:rPr>
  </w:style>
  <w:style w:type="paragraph" w:styleId="ListBullet">
    <w:name w:val="List Bullet"/>
    <w:basedOn w:val="BodyText"/>
    <w:qFormat/>
    <w:rsid w:val="00AB7EFA"/>
    <w:pPr>
      <w:numPr>
        <w:numId w:val="26"/>
      </w:numPr>
      <w:tabs>
        <w:tab w:val="clear" w:pos="567"/>
      </w:tabs>
    </w:pPr>
  </w:style>
  <w:style w:type="paragraph" w:styleId="ListBullet2">
    <w:name w:val="List Bullet 2"/>
    <w:basedOn w:val="ListBullet"/>
    <w:rsid w:val="007764B0"/>
    <w:pPr>
      <w:numPr>
        <w:ilvl w:val="1"/>
        <w:numId w:val="1"/>
      </w:numPr>
    </w:pPr>
  </w:style>
  <w:style w:type="paragraph" w:styleId="ListBullet3">
    <w:name w:val="List Bullet 3"/>
    <w:basedOn w:val="ListBullet2"/>
    <w:rsid w:val="007764B0"/>
    <w:pPr>
      <w:numPr>
        <w:ilvl w:val="2"/>
      </w:numPr>
    </w:pPr>
  </w:style>
  <w:style w:type="paragraph" w:styleId="ListBullet4">
    <w:name w:val="List Bullet 4"/>
    <w:basedOn w:val="ListBullet3"/>
    <w:rsid w:val="007764B0"/>
    <w:pPr>
      <w:numPr>
        <w:ilvl w:val="3"/>
      </w:numPr>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customStyle="1" w:styleId="Heading1-Pagebreakbefore">
    <w:name w:val="Heading 1-Pagebreak before"/>
    <w:basedOn w:val="Heading1"/>
    <w:next w:val="BodyText"/>
    <w:rsid w:val="005973F1"/>
    <w:pPr>
      <w:pageBreakBefore/>
      <w:spacing w:before="0"/>
    </w:pPr>
  </w:style>
  <w:style w:type="paragraph" w:styleId="ListContinue">
    <w:name w:val="List Continue"/>
    <w:basedOn w:val="BodyText"/>
    <w:qFormat/>
    <w:rsid w:val="00CC26E8"/>
    <w:pPr>
      <w:numPr>
        <w:numId w:val="8"/>
      </w:numPr>
    </w:pPr>
  </w:style>
  <w:style w:type="paragraph" w:styleId="ListContinue2">
    <w:name w:val="List Continue 2"/>
    <w:basedOn w:val="ListContinue"/>
    <w:rsid w:val="00CC26E8"/>
    <w:pPr>
      <w:numPr>
        <w:ilvl w:val="1"/>
      </w:numPr>
    </w:pPr>
  </w:style>
  <w:style w:type="paragraph" w:styleId="ListContinue3">
    <w:name w:val="List Continue 3"/>
    <w:basedOn w:val="ListContinue2"/>
    <w:rsid w:val="00CC26E8"/>
    <w:pPr>
      <w:numPr>
        <w:ilvl w:val="2"/>
      </w:numPr>
    </w:pPr>
  </w:style>
  <w:style w:type="paragraph" w:styleId="ListContinue4">
    <w:name w:val="List Continue 4"/>
    <w:basedOn w:val="ListContinue3"/>
    <w:rsid w:val="00CC26E8"/>
    <w:pPr>
      <w:numPr>
        <w:ilvl w:val="3"/>
      </w:numPr>
    </w:pPr>
  </w:style>
  <w:style w:type="paragraph" w:styleId="ListBullet5">
    <w:name w:val="List Bullet 5"/>
    <w:basedOn w:val="ListBullet4"/>
    <w:rsid w:val="00507D5A"/>
    <w:pPr>
      <w:numPr>
        <w:ilvl w:val="4"/>
      </w:numPr>
    </w:pPr>
  </w:style>
  <w:style w:type="paragraph" w:styleId="ListContinue5">
    <w:name w:val="List Continue 5"/>
    <w:basedOn w:val="Normal"/>
    <w:rsid w:val="00CC26E8"/>
    <w:pPr>
      <w:numPr>
        <w:ilvl w:val="4"/>
        <w:numId w:val="8"/>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semiHidden/>
    <w:rsid w:val="00A35236"/>
    <w:rPr>
      <w:i/>
      <w:iCs/>
    </w:rPr>
  </w:style>
  <w:style w:type="character" w:styleId="HTMLCode">
    <w:name w:val="HTML Code"/>
    <w:semiHidden/>
    <w:rsid w:val="00A35236"/>
    <w:rPr>
      <w:rFonts w:ascii="Courier New" w:hAnsi="Courier New" w:cs="Courier New"/>
      <w:sz w:val="20"/>
      <w:szCs w:val="20"/>
    </w:rPr>
  </w:style>
  <w:style w:type="character" w:styleId="HTMLDefinition">
    <w:name w:val="HTML Definition"/>
    <w:semiHidden/>
    <w:rsid w:val="00A35236"/>
    <w:rPr>
      <w:i/>
      <w:iCs/>
    </w:rPr>
  </w:style>
  <w:style w:type="character" w:styleId="HTMLKeyboard">
    <w:name w:val="HTML Keyboard"/>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semiHidden/>
    <w:rsid w:val="00A35236"/>
    <w:rPr>
      <w:rFonts w:ascii="Courier New" w:hAnsi="Courier New" w:cs="Courier New"/>
    </w:rPr>
  </w:style>
  <w:style w:type="character" w:styleId="HTMLTypewriter">
    <w:name w:val="HTML Typewriter"/>
    <w:semiHidden/>
    <w:rsid w:val="00A35236"/>
    <w:rPr>
      <w:rFonts w:ascii="Courier New" w:hAnsi="Courier New" w:cs="Courier New"/>
      <w:sz w:val="20"/>
      <w:szCs w:val="20"/>
    </w:rPr>
  </w:style>
  <w:style w:type="character" w:styleId="HTMLVariable">
    <w:name w:val="HTML Variable"/>
    <w:semiHidden/>
    <w:rsid w:val="00A35236"/>
    <w:rPr>
      <w:i/>
      <w:iCs/>
    </w:rPr>
  </w:style>
  <w:style w:type="paragraph" w:styleId="BlockText">
    <w:name w:val="Block Text"/>
    <w:basedOn w:val="BodyText"/>
    <w:qFormat/>
    <w:rsid w:val="006428AB"/>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D07EA"/>
    <w:pPr>
      <w:numPr>
        <w:numId w:val="3"/>
      </w:numPr>
    </w:pPr>
  </w:style>
  <w:style w:type="numbering" w:styleId="ArticleSection">
    <w:name w:val="Outline List 3"/>
    <w:basedOn w:val="NoList"/>
    <w:semiHidden/>
    <w:rsid w:val="008861E2"/>
    <w:pPr>
      <w:numPr>
        <w:numId w:val="4"/>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qFormat/>
    <w:rsid w:val="00360728"/>
    <w:pPr>
      <w:numPr>
        <w:numId w:val="2"/>
      </w:numPr>
    </w:pPr>
  </w:style>
  <w:style w:type="paragraph" w:styleId="ListNumber2">
    <w:name w:val="List Number 2"/>
    <w:basedOn w:val="ListNumber"/>
    <w:rsid w:val="00360728"/>
    <w:pPr>
      <w:numPr>
        <w:ilvl w:val="1"/>
      </w:numPr>
    </w:pPr>
  </w:style>
  <w:style w:type="paragraph" w:styleId="ListNumber3">
    <w:name w:val="List Number 3"/>
    <w:basedOn w:val="ListNumber2"/>
    <w:rsid w:val="00360728"/>
    <w:pPr>
      <w:numPr>
        <w:ilvl w:val="2"/>
      </w:numPr>
    </w:pPr>
  </w:style>
  <w:style w:type="paragraph" w:styleId="ListNumber4">
    <w:name w:val="List Number 4"/>
    <w:basedOn w:val="ListNumber3"/>
    <w:rsid w:val="00360728"/>
    <w:pPr>
      <w:numPr>
        <w:ilvl w:val="3"/>
      </w:numPr>
    </w:pPr>
  </w:style>
  <w:style w:type="numbering" w:styleId="111111">
    <w:name w:val="Outline List 2"/>
    <w:basedOn w:val="NoList"/>
    <w:semiHidden/>
    <w:rsid w:val="00AE3DA6"/>
    <w:pPr>
      <w:numPr>
        <w:numId w:val="5"/>
      </w:numPr>
    </w:pPr>
  </w:style>
  <w:style w:type="paragraph" w:styleId="Footer">
    <w:name w:val="footer"/>
    <w:basedOn w:val="Normal"/>
    <w:semiHidden/>
    <w:rsid w:val="00B82071"/>
    <w:pPr>
      <w:tabs>
        <w:tab w:val="center" w:pos="4153"/>
        <w:tab w:val="right" w:pos="8306"/>
      </w:tabs>
    </w:pPr>
  </w:style>
  <w:style w:type="paragraph" w:styleId="Header">
    <w:name w:val="header"/>
    <w:basedOn w:val="Normal"/>
    <w:semiHidden/>
    <w:rsid w:val="00B82071"/>
    <w:pPr>
      <w:tabs>
        <w:tab w:val="center" w:pos="4153"/>
        <w:tab w:val="right" w:pos="8306"/>
      </w:tabs>
    </w:pPr>
  </w:style>
  <w:style w:type="character" w:styleId="FootnoteReference">
    <w:name w:val="footnote reference"/>
    <w:rsid w:val="00336974"/>
    <w:rPr>
      <w:sz w:val="24"/>
      <w:vertAlign w:val="superscript"/>
    </w:rPr>
  </w:style>
  <w:style w:type="paragraph" w:styleId="FootnoteText">
    <w:name w:val="footnote text"/>
    <w:basedOn w:val="BodyText"/>
    <w:link w:val="FootnoteTextChar"/>
    <w:rsid w:val="00F136BD"/>
    <w:pPr>
      <w:tabs>
        <w:tab w:val="left" w:pos="284"/>
      </w:tabs>
      <w:spacing w:after="60"/>
      <w:ind w:left="284" w:hanging="284"/>
    </w:pPr>
    <w:rPr>
      <w:sz w:val="18"/>
      <w:szCs w:val="20"/>
    </w:rPr>
  </w:style>
  <w:style w:type="character" w:styleId="Emphasis">
    <w:name w:val="Emphasis"/>
    <w:qFormat/>
    <w:rsid w:val="00B04384"/>
    <w:rPr>
      <w:i/>
      <w:iCs/>
    </w:rPr>
  </w:style>
  <w:style w:type="character" w:styleId="Strong">
    <w:name w:val="Strong"/>
    <w:qFormat/>
    <w:rsid w:val="00B04384"/>
    <w:rPr>
      <w:b/>
      <w:bCs/>
    </w:rPr>
  </w:style>
  <w:style w:type="character" w:customStyle="1" w:styleId="Italic">
    <w:name w:val="Italic"/>
    <w:rsid w:val="00990ECE"/>
    <w:rPr>
      <w:i/>
      <w:iCs/>
    </w:rPr>
  </w:style>
  <w:style w:type="character" w:customStyle="1" w:styleId="Bold">
    <w:name w:val="Bold"/>
    <w:rsid w:val="006428AB"/>
    <w:rPr>
      <w:b/>
      <w:iCs/>
      <w:lang w:val="en-AU"/>
    </w:rPr>
  </w:style>
  <w:style w:type="character" w:styleId="FollowedHyperlink">
    <w:name w:val="FollowedHyperlink"/>
    <w:semiHidden/>
    <w:rsid w:val="00990ECE"/>
    <w:rPr>
      <w:color w:val="800080"/>
      <w:u w:val="single"/>
    </w:rPr>
  </w:style>
  <w:style w:type="character" w:styleId="Hyperlink">
    <w:name w:val="Hyperlink"/>
    <w:uiPriority w:val="99"/>
    <w:qFormat/>
    <w:rsid w:val="00990ECE"/>
    <w:rPr>
      <w:color w:val="0000FF"/>
      <w:u w:val="single"/>
    </w:rPr>
  </w:style>
  <w:style w:type="paragraph" w:styleId="Title">
    <w:name w:val="Title"/>
    <w:link w:val="TitleChar"/>
    <w:qFormat/>
    <w:rsid w:val="00CB582D"/>
    <w:pPr>
      <w:spacing w:before="240" w:after="60"/>
      <w:jc w:val="center"/>
      <w:outlineLvl w:val="0"/>
    </w:pPr>
    <w:rPr>
      <w:rFonts w:ascii="Arial" w:hAnsi="Arial" w:cs="Arial"/>
      <w:b/>
      <w:bCs/>
      <w:color w:val="333333"/>
      <w:kern w:val="28"/>
      <w:sz w:val="40"/>
      <w:szCs w:val="32"/>
      <w:lang w:eastAsia="en-GB"/>
    </w:rPr>
  </w:style>
  <w:style w:type="paragraph" w:styleId="Subtitle">
    <w:name w:val="Subtitle"/>
    <w:basedOn w:val="Title"/>
    <w:qFormat/>
    <w:rsid w:val="002E40DF"/>
    <w:pPr>
      <w:spacing w:after="180"/>
      <w:outlineLvl w:val="1"/>
    </w:pPr>
    <w:rPr>
      <w:sz w:val="32"/>
      <w:szCs w:val="24"/>
    </w:rPr>
  </w:style>
  <w:style w:type="table" w:styleId="TableClassic2">
    <w:name w:val="Table Classic 2"/>
    <w:basedOn w:val="TableNormal"/>
    <w:semiHidden/>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D10B6F"/>
    <w:pPr>
      <w:spacing w:before="80" w:after="60"/>
    </w:pPr>
    <w:rPr>
      <w:rFonts w:ascii="Arial" w:hAnsi="Arial"/>
      <w:b/>
      <w:szCs w:val="22"/>
      <w:lang w:eastAsia="en-GB"/>
    </w:rPr>
  </w:style>
  <w:style w:type="paragraph" w:customStyle="1" w:styleId="TableBody">
    <w:name w:val="Table Body"/>
    <w:basedOn w:val="BodyText"/>
    <w:rsid w:val="00D10B6F"/>
    <w:pPr>
      <w:spacing w:before="60" w:after="60"/>
    </w:pPr>
    <w:rPr>
      <w:sz w:val="20"/>
    </w:rPr>
  </w:style>
  <w:style w:type="character" w:styleId="PageNumber">
    <w:name w:val="page number"/>
    <w:rsid w:val="006428AB"/>
    <w:rPr>
      <w:sz w:val="24"/>
      <w:lang w:val="en-AU"/>
    </w:rPr>
  </w:style>
  <w:style w:type="character" w:customStyle="1" w:styleId="BodyTextChar">
    <w:name w:val="Body Text Char"/>
    <w:link w:val="BodyText"/>
    <w:rsid w:val="006627F9"/>
    <w:rPr>
      <w:rFonts w:ascii="Arial" w:hAnsi="Arial"/>
      <w:sz w:val="24"/>
      <w:szCs w:val="22"/>
      <w:lang w:eastAsia="en-GB"/>
    </w:rPr>
  </w:style>
  <w:style w:type="paragraph" w:customStyle="1" w:styleId="BlockText-ListBullet">
    <w:name w:val="Block Text - List Bullet"/>
    <w:basedOn w:val="BlockText"/>
    <w:rsid w:val="00CB582D"/>
    <w:pPr>
      <w:numPr>
        <w:numId w:val="7"/>
      </w:numPr>
      <w:spacing w:after="160"/>
    </w:pPr>
  </w:style>
  <w:style w:type="paragraph" w:customStyle="1" w:styleId="Table-ListBullet">
    <w:name w:val="Table - List Bullet"/>
    <w:basedOn w:val="TableBody"/>
    <w:rsid w:val="00EA6977"/>
    <w:pPr>
      <w:numPr>
        <w:numId w:val="6"/>
      </w:numPr>
    </w:pPr>
  </w:style>
  <w:style w:type="paragraph" w:styleId="PlainText">
    <w:name w:val="Plain Text"/>
    <w:basedOn w:val="Normal"/>
    <w:rsid w:val="006428AB"/>
    <w:rPr>
      <w:rFonts w:ascii="Courier New" w:hAnsi="Courier New" w:cs="Courier New"/>
      <w:sz w:val="20"/>
      <w:szCs w:val="20"/>
    </w:rPr>
  </w:style>
  <w:style w:type="table" w:customStyle="1" w:styleId="RecommendationsBox">
    <w:name w:val="Recommendations Box"/>
    <w:basedOn w:val="TableGrid"/>
    <w:rsid w:val="000164F8"/>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Recommendationsheading">
    <w:name w:val="Recommendations heading"/>
    <w:rsid w:val="00F82735"/>
    <w:pPr>
      <w:spacing w:before="120" w:after="180"/>
    </w:pPr>
    <w:rPr>
      <w:rFonts w:ascii="Arial" w:hAnsi="Arial"/>
      <w:b/>
      <w:color w:val="005984"/>
      <w:sz w:val="24"/>
      <w:szCs w:val="22"/>
      <w:lang w:eastAsia="en-GB"/>
    </w:rPr>
  </w:style>
  <w:style w:type="paragraph" w:styleId="TOC1">
    <w:name w:val="toc 1"/>
    <w:next w:val="BodyText"/>
    <w:autoRedefine/>
    <w:uiPriority w:val="39"/>
    <w:rsid w:val="003D3AE0"/>
    <w:pPr>
      <w:tabs>
        <w:tab w:val="right" w:leader="dot" w:pos="8494"/>
      </w:tabs>
      <w:spacing w:before="180"/>
    </w:pPr>
    <w:rPr>
      <w:rFonts w:ascii="Arial" w:hAnsi="Arial"/>
      <w:b/>
      <w:sz w:val="24"/>
      <w:szCs w:val="22"/>
      <w:lang w:eastAsia="en-GB"/>
    </w:rPr>
  </w:style>
  <w:style w:type="paragraph" w:styleId="TOC2">
    <w:name w:val="toc 2"/>
    <w:basedOn w:val="TOC1"/>
    <w:next w:val="BodyText"/>
    <w:autoRedefine/>
    <w:uiPriority w:val="39"/>
    <w:rsid w:val="00C64C02"/>
    <w:pPr>
      <w:tabs>
        <w:tab w:val="left" w:pos="1134"/>
      </w:tabs>
      <w:spacing w:before="100"/>
      <w:ind w:left="567"/>
    </w:pPr>
    <w:rPr>
      <w:b w:val="0"/>
    </w:rPr>
  </w:style>
  <w:style w:type="paragraph" w:styleId="TOC3">
    <w:name w:val="toc 3"/>
    <w:basedOn w:val="TOC2"/>
    <w:next w:val="BodyText"/>
    <w:autoRedefine/>
    <w:rsid w:val="00F70B92"/>
    <w:pPr>
      <w:ind w:left="1134"/>
    </w:pPr>
  </w:style>
  <w:style w:type="paragraph" w:styleId="TOC4">
    <w:name w:val="toc 4"/>
    <w:basedOn w:val="TOC3"/>
    <w:next w:val="BodyText"/>
    <w:autoRedefine/>
    <w:rsid w:val="00F70B92"/>
    <w:pPr>
      <w:ind w:left="1701"/>
    </w:pPr>
  </w:style>
  <w:style w:type="paragraph" w:styleId="TOC5">
    <w:name w:val="toc 5"/>
    <w:basedOn w:val="TOC4"/>
    <w:next w:val="BodyText"/>
    <w:autoRedefine/>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customStyle="1" w:styleId="AcronymsList">
    <w:name w:val="Acronyms List"/>
    <w:basedOn w:val="BodyText"/>
    <w:rsid w:val="006627F9"/>
    <w:pPr>
      <w:tabs>
        <w:tab w:val="clear" w:pos="567"/>
        <w:tab w:val="clear" w:pos="1134"/>
        <w:tab w:val="clear" w:pos="1701"/>
      </w:tabs>
      <w:spacing w:line="240" w:lineRule="auto"/>
      <w:ind w:left="2268" w:hanging="2268"/>
    </w:pPr>
  </w:style>
  <w:style w:type="paragraph" w:customStyle="1" w:styleId="ListLetter">
    <w:name w:val="List Letter"/>
    <w:basedOn w:val="BodyText"/>
    <w:qFormat/>
    <w:rsid w:val="00360728"/>
    <w:pPr>
      <w:numPr>
        <w:numId w:val="9"/>
      </w:numPr>
    </w:pPr>
  </w:style>
  <w:style w:type="paragraph" w:customStyle="1" w:styleId="BlockText-ListBullet2">
    <w:name w:val="Block Text - List Bullet 2"/>
    <w:basedOn w:val="BlockText-ListBullet"/>
    <w:rsid w:val="00CB582D"/>
    <w:pPr>
      <w:numPr>
        <w:ilvl w:val="1"/>
      </w:numPr>
    </w:pPr>
  </w:style>
  <w:style w:type="paragraph" w:customStyle="1" w:styleId="BlockText-ListBullet3">
    <w:name w:val="Block Text - List Bullet 3"/>
    <w:basedOn w:val="BlockText-ListBullet2"/>
    <w:rsid w:val="00CB582D"/>
    <w:pPr>
      <w:numPr>
        <w:ilvl w:val="2"/>
      </w:numPr>
    </w:pPr>
  </w:style>
  <w:style w:type="paragraph" w:customStyle="1" w:styleId="BlockText-ListBullet4">
    <w:name w:val="Block Text - List Bullet 4"/>
    <w:basedOn w:val="BlockText-ListBullet3"/>
    <w:rsid w:val="00CB582D"/>
    <w:pPr>
      <w:numPr>
        <w:ilvl w:val="3"/>
      </w:numPr>
    </w:pPr>
  </w:style>
  <w:style w:type="paragraph" w:customStyle="1" w:styleId="BlockText-ListBullet5">
    <w:name w:val="Block Text - List Bullet 5"/>
    <w:basedOn w:val="BlockText-ListBullet4"/>
    <w:rsid w:val="00CB582D"/>
    <w:pPr>
      <w:numPr>
        <w:ilvl w:val="4"/>
      </w:numPr>
    </w:pPr>
  </w:style>
  <w:style w:type="paragraph" w:customStyle="1" w:styleId="ListLetter2">
    <w:name w:val="List Letter 2"/>
    <w:basedOn w:val="ListLetter"/>
    <w:rsid w:val="00360728"/>
    <w:pPr>
      <w:numPr>
        <w:ilvl w:val="1"/>
      </w:numPr>
    </w:pPr>
  </w:style>
  <w:style w:type="paragraph" w:customStyle="1" w:styleId="ListLetter3">
    <w:name w:val="List Letter 3"/>
    <w:basedOn w:val="ListLetter2"/>
    <w:rsid w:val="00360728"/>
    <w:pPr>
      <w:numPr>
        <w:ilvl w:val="2"/>
      </w:numPr>
    </w:pPr>
  </w:style>
  <w:style w:type="paragraph" w:customStyle="1" w:styleId="ListLetter4">
    <w:name w:val="List Letter 4"/>
    <w:basedOn w:val="ListLetter3"/>
    <w:rsid w:val="00360728"/>
    <w:pPr>
      <w:numPr>
        <w:ilvl w:val="3"/>
      </w:numPr>
    </w:pPr>
  </w:style>
  <w:style w:type="paragraph" w:customStyle="1" w:styleId="ListLetter5">
    <w:name w:val="List Letter 5"/>
    <w:basedOn w:val="ListLetter4"/>
    <w:rsid w:val="00360728"/>
    <w:pPr>
      <w:numPr>
        <w:ilvl w:val="4"/>
      </w:numPr>
    </w:pPr>
  </w:style>
  <w:style w:type="paragraph" w:customStyle="1" w:styleId="ListRoman">
    <w:name w:val="List Roman"/>
    <w:basedOn w:val="BodyText"/>
    <w:rsid w:val="00F36A43"/>
    <w:pPr>
      <w:numPr>
        <w:numId w:val="10"/>
      </w:numPr>
    </w:pPr>
  </w:style>
  <w:style w:type="paragraph" w:customStyle="1" w:styleId="ListRoman2">
    <w:name w:val="List Roman 2"/>
    <w:basedOn w:val="ListRoman"/>
    <w:rsid w:val="00F36A43"/>
    <w:pPr>
      <w:numPr>
        <w:ilvl w:val="1"/>
      </w:numPr>
    </w:pPr>
  </w:style>
  <w:style w:type="paragraph" w:customStyle="1" w:styleId="ListRoman3">
    <w:name w:val="List Roman 3"/>
    <w:basedOn w:val="ListRoman2"/>
    <w:rsid w:val="00F36A43"/>
    <w:pPr>
      <w:numPr>
        <w:ilvl w:val="2"/>
      </w:numPr>
    </w:pPr>
  </w:style>
  <w:style w:type="paragraph" w:customStyle="1" w:styleId="ListRoman4">
    <w:name w:val="List Roman 4"/>
    <w:basedOn w:val="ListRoman3"/>
    <w:rsid w:val="00F36A43"/>
    <w:pPr>
      <w:numPr>
        <w:ilvl w:val="3"/>
      </w:numPr>
    </w:pPr>
  </w:style>
  <w:style w:type="paragraph" w:customStyle="1" w:styleId="ListRoman5">
    <w:name w:val="List Roman 5"/>
    <w:basedOn w:val="ListRoman4"/>
    <w:rsid w:val="00F36A43"/>
    <w:pPr>
      <w:numPr>
        <w:ilvl w:val="4"/>
      </w:numPr>
    </w:pPr>
  </w:style>
  <w:style w:type="paragraph" w:customStyle="1" w:styleId="BlockText-ListNumber">
    <w:name w:val="Block Text - List Number"/>
    <w:basedOn w:val="BlockText"/>
    <w:rsid w:val="0042409B"/>
    <w:pPr>
      <w:numPr>
        <w:numId w:val="11"/>
      </w:numPr>
    </w:pPr>
  </w:style>
  <w:style w:type="paragraph" w:customStyle="1" w:styleId="BlockText-ListNumber2">
    <w:name w:val="Block Text - List Number 2"/>
    <w:basedOn w:val="BlockText-ListNumber"/>
    <w:rsid w:val="00CD7A03"/>
    <w:pPr>
      <w:numPr>
        <w:ilvl w:val="1"/>
      </w:numPr>
      <w:ind w:right="0"/>
    </w:pPr>
  </w:style>
  <w:style w:type="paragraph" w:customStyle="1" w:styleId="BlockText-ListNumber3">
    <w:name w:val="Block Text - List Number 3"/>
    <w:basedOn w:val="BlockText-ListNumber2"/>
    <w:rsid w:val="0042409B"/>
    <w:pPr>
      <w:numPr>
        <w:ilvl w:val="2"/>
      </w:numPr>
    </w:pPr>
  </w:style>
  <w:style w:type="paragraph" w:customStyle="1" w:styleId="BlockText-ListNumber4">
    <w:name w:val="Block Text - List Number 4"/>
    <w:basedOn w:val="BlockText-ListNumber3"/>
    <w:rsid w:val="0042409B"/>
    <w:pPr>
      <w:numPr>
        <w:ilvl w:val="3"/>
      </w:numPr>
    </w:pPr>
  </w:style>
  <w:style w:type="paragraph" w:customStyle="1" w:styleId="BlockText-ListNumber5">
    <w:name w:val="Block Text - List Number 5"/>
    <w:basedOn w:val="BlockText-ListNumber4"/>
    <w:rsid w:val="0042409B"/>
    <w:pPr>
      <w:numPr>
        <w:ilvl w:val="4"/>
      </w:numPr>
    </w:pPr>
  </w:style>
  <w:style w:type="paragraph" w:customStyle="1" w:styleId="BlockText-ListLetter">
    <w:name w:val="Block Text - List Letter"/>
    <w:basedOn w:val="BlockText"/>
    <w:rsid w:val="00274836"/>
    <w:pPr>
      <w:numPr>
        <w:numId w:val="12"/>
      </w:numPr>
    </w:pPr>
  </w:style>
  <w:style w:type="paragraph" w:customStyle="1" w:styleId="BlockText-ListLetter2">
    <w:name w:val="Block Text - List Letter 2"/>
    <w:basedOn w:val="BlockText-ListLetter"/>
    <w:rsid w:val="00CD7A03"/>
    <w:pPr>
      <w:numPr>
        <w:ilvl w:val="1"/>
      </w:numPr>
      <w:ind w:right="0"/>
    </w:pPr>
  </w:style>
  <w:style w:type="paragraph" w:customStyle="1" w:styleId="BlockText-ListLetter3">
    <w:name w:val="Block Text - List Letter 3"/>
    <w:basedOn w:val="BlockText-ListLetter2"/>
    <w:rsid w:val="00274836"/>
    <w:pPr>
      <w:numPr>
        <w:ilvl w:val="2"/>
      </w:numPr>
    </w:pPr>
  </w:style>
  <w:style w:type="paragraph" w:customStyle="1" w:styleId="BlockText-ListLetter4">
    <w:name w:val="Block Text - List Letter 4"/>
    <w:basedOn w:val="BlockText-ListLetter3"/>
    <w:rsid w:val="00274836"/>
    <w:pPr>
      <w:numPr>
        <w:ilvl w:val="3"/>
      </w:numPr>
    </w:pPr>
  </w:style>
  <w:style w:type="paragraph" w:customStyle="1" w:styleId="BlockText-ListLetter5">
    <w:name w:val="Block Text - List Letter 5"/>
    <w:basedOn w:val="BlockText-ListLetter4"/>
    <w:rsid w:val="00274836"/>
    <w:pPr>
      <w:numPr>
        <w:ilvl w:val="4"/>
      </w:numPr>
    </w:pPr>
  </w:style>
  <w:style w:type="paragraph" w:customStyle="1" w:styleId="BlockText-ListRoman">
    <w:name w:val="Block Text - List Roman"/>
    <w:basedOn w:val="BlockText"/>
    <w:rsid w:val="00806C7B"/>
    <w:pPr>
      <w:numPr>
        <w:numId w:val="13"/>
      </w:numPr>
    </w:pPr>
  </w:style>
  <w:style w:type="paragraph" w:customStyle="1" w:styleId="BlockText-ListRoman2">
    <w:name w:val="Block Text - List Roman 2"/>
    <w:basedOn w:val="BlockText-ListRoman"/>
    <w:rsid w:val="00CD7A03"/>
    <w:pPr>
      <w:numPr>
        <w:ilvl w:val="1"/>
      </w:numPr>
      <w:ind w:right="0"/>
    </w:pPr>
  </w:style>
  <w:style w:type="paragraph" w:customStyle="1" w:styleId="BlockText-ListRoman3">
    <w:name w:val="Block Text - List Roman 3"/>
    <w:basedOn w:val="BlockText-ListRoman2"/>
    <w:rsid w:val="00806C7B"/>
    <w:pPr>
      <w:numPr>
        <w:ilvl w:val="2"/>
      </w:numPr>
    </w:pPr>
  </w:style>
  <w:style w:type="paragraph" w:customStyle="1" w:styleId="BlockText-ListRoman4">
    <w:name w:val="Block Text - List Roman 4"/>
    <w:basedOn w:val="BlockText-ListRoman3"/>
    <w:rsid w:val="00806C7B"/>
    <w:pPr>
      <w:numPr>
        <w:ilvl w:val="3"/>
      </w:numPr>
    </w:pPr>
  </w:style>
  <w:style w:type="paragraph" w:customStyle="1" w:styleId="BlockText-ListRoman5">
    <w:name w:val="Block Text - List Roman 5"/>
    <w:basedOn w:val="BlockText-ListRoman4"/>
    <w:rsid w:val="00806C7B"/>
    <w:pPr>
      <w:numPr>
        <w:ilvl w:val="4"/>
      </w:numPr>
    </w:pPr>
  </w:style>
  <w:style w:type="paragraph" w:customStyle="1" w:styleId="Table-ListNumber">
    <w:name w:val="Table - List Number"/>
    <w:basedOn w:val="TableBody"/>
    <w:rsid w:val="005D1782"/>
    <w:pPr>
      <w:numPr>
        <w:numId w:val="14"/>
      </w:numPr>
    </w:pPr>
  </w:style>
  <w:style w:type="paragraph" w:customStyle="1" w:styleId="Table-ListLetter">
    <w:name w:val="Table - List Letter"/>
    <w:basedOn w:val="TableBody"/>
    <w:rsid w:val="005D1782"/>
    <w:pPr>
      <w:numPr>
        <w:numId w:val="15"/>
      </w:numPr>
    </w:pPr>
  </w:style>
  <w:style w:type="paragraph" w:customStyle="1" w:styleId="Table-ListBullet2">
    <w:name w:val="Table - List Bullet 2"/>
    <w:basedOn w:val="Table-ListBullet"/>
    <w:rsid w:val="00EA6977"/>
    <w:pPr>
      <w:numPr>
        <w:ilvl w:val="1"/>
      </w:numPr>
    </w:pPr>
  </w:style>
  <w:style w:type="paragraph" w:customStyle="1" w:styleId="Table-ListBullet3">
    <w:name w:val="Table - List Bullet 3"/>
    <w:basedOn w:val="Table-ListBullet2"/>
    <w:rsid w:val="00EA6977"/>
    <w:pPr>
      <w:numPr>
        <w:ilvl w:val="2"/>
      </w:numPr>
    </w:pPr>
  </w:style>
  <w:style w:type="paragraph" w:customStyle="1" w:styleId="Table-ListNumber2">
    <w:name w:val="Table - List Number 2"/>
    <w:basedOn w:val="Table-ListNumber"/>
    <w:rsid w:val="005D1782"/>
    <w:pPr>
      <w:numPr>
        <w:ilvl w:val="1"/>
      </w:numPr>
    </w:pPr>
  </w:style>
  <w:style w:type="paragraph" w:customStyle="1" w:styleId="Table-ListNumber3">
    <w:name w:val="Table - List Number 3"/>
    <w:basedOn w:val="Table-ListNumber2"/>
    <w:rsid w:val="005D1782"/>
    <w:pPr>
      <w:numPr>
        <w:ilvl w:val="2"/>
      </w:numPr>
    </w:pPr>
  </w:style>
  <w:style w:type="paragraph" w:customStyle="1" w:styleId="Table-ListLetter2">
    <w:name w:val="Table - List Letter 2"/>
    <w:basedOn w:val="Table-ListLetter"/>
    <w:rsid w:val="005D1782"/>
    <w:pPr>
      <w:numPr>
        <w:ilvl w:val="1"/>
      </w:numPr>
    </w:pPr>
  </w:style>
  <w:style w:type="paragraph" w:customStyle="1" w:styleId="Table-ListLetter3">
    <w:name w:val="Table - List Letter 3"/>
    <w:basedOn w:val="Table-ListLetter2"/>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rsid w:val="00CB6A63"/>
    <w:pPr>
      <w:numPr>
        <w:ilvl w:val="1"/>
      </w:numPr>
    </w:pPr>
  </w:style>
  <w:style w:type="paragraph" w:customStyle="1" w:styleId="Table-ListRoman3">
    <w:name w:val="Table - List Roman 3"/>
    <w:basedOn w:val="Table-ListRoman2"/>
    <w:rsid w:val="00CB6A63"/>
    <w:pPr>
      <w:numPr>
        <w:ilvl w:val="2"/>
      </w:numPr>
    </w:pPr>
  </w:style>
  <w:style w:type="paragraph" w:customStyle="1" w:styleId="BlockText-ListContinue">
    <w:name w:val="Block Text - List Continue"/>
    <w:basedOn w:val="BlockText"/>
    <w:rsid w:val="00D76532"/>
    <w:pPr>
      <w:numPr>
        <w:numId w:val="17"/>
      </w:numPr>
    </w:pPr>
  </w:style>
  <w:style w:type="paragraph" w:customStyle="1" w:styleId="BlockText-ListContinue2">
    <w:name w:val="Block Text - List Continue 2"/>
    <w:basedOn w:val="BlockText-ListContinue"/>
    <w:rsid w:val="00D76532"/>
    <w:pPr>
      <w:numPr>
        <w:ilvl w:val="1"/>
      </w:numPr>
    </w:pPr>
  </w:style>
  <w:style w:type="paragraph" w:customStyle="1" w:styleId="BlockText-ListContinue3">
    <w:name w:val="Block Text - List Continue 3"/>
    <w:basedOn w:val="BlockText-ListContinue2"/>
    <w:rsid w:val="00D76532"/>
    <w:pPr>
      <w:numPr>
        <w:ilvl w:val="2"/>
      </w:numPr>
    </w:pPr>
  </w:style>
  <w:style w:type="paragraph" w:customStyle="1" w:styleId="BlockText-ListContinue4">
    <w:name w:val="Block Text - List Continue 4"/>
    <w:basedOn w:val="BlockText-ListContinue3"/>
    <w:rsid w:val="00D76532"/>
    <w:pPr>
      <w:numPr>
        <w:ilvl w:val="3"/>
      </w:numPr>
    </w:pPr>
  </w:style>
  <w:style w:type="paragraph" w:customStyle="1" w:styleId="BlockText-ListContinue5">
    <w:name w:val="Block Text - List Continue 5"/>
    <w:basedOn w:val="BlockText-ListContinue4"/>
    <w:rsid w:val="00D76532"/>
    <w:pPr>
      <w:numPr>
        <w:ilvl w:val="4"/>
      </w:numPr>
    </w:pPr>
  </w:style>
  <w:style w:type="paragraph" w:customStyle="1" w:styleId="Frontmatter">
    <w:name w:val="Frontmatter"/>
    <w:basedOn w:val="BodyText"/>
    <w:rsid w:val="0026498C"/>
    <w:pPr>
      <w:spacing w:after="120"/>
    </w:pPr>
    <w:rPr>
      <w:sz w:val="20"/>
    </w:rPr>
  </w:style>
  <w:style w:type="paragraph" w:customStyle="1" w:styleId="Titlepagetitle">
    <w:name w:val="Titlepage title"/>
    <w:rsid w:val="00F62238"/>
    <w:pPr>
      <w:spacing w:after="180" w:line="600" w:lineRule="exact"/>
      <w:jc w:val="center"/>
    </w:pPr>
    <w:rPr>
      <w:rFonts w:ascii="Arial" w:hAnsi="Arial" w:cs="Arial"/>
      <w:b/>
      <w:bCs/>
      <w:color w:val="333333"/>
      <w:kern w:val="28"/>
      <w:sz w:val="40"/>
      <w:szCs w:val="32"/>
      <w:lang w:eastAsia="en-GB"/>
    </w:rPr>
  </w:style>
  <w:style w:type="paragraph" w:customStyle="1" w:styleId="Titlepagesubtitle">
    <w:name w:val="Titlepage subtitle"/>
    <w:basedOn w:val="Titlepagetitle"/>
    <w:rsid w:val="0026498C"/>
    <w:pPr>
      <w:spacing w:before="320"/>
    </w:pPr>
    <w:rPr>
      <w:sz w:val="32"/>
    </w:rPr>
  </w:style>
  <w:style w:type="character" w:customStyle="1" w:styleId="Bolditalic">
    <w:name w:val="Bold italic"/>
    <w:rsid w:val="00ED2312"/>
    <w:rPr>
      <w:b/>
      <w:i/>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customStyle="1" w:styleId="Wiki">
    <w:name w:val="Wiki"/>
    <w:basedOn w:val="BodyText"/>
    <w:semiHidden/>
    <w:rsid w:val="002973AB"/>
  </w:style>
  <w:style w:type="paragraph" w:styleId="Caption">
    <w:name w:val="caption"/>
    <w:basedOn w:val="BodyText"/>
    <w:next w:val="BodyText"/>
    <w:qFormat/>
    <w:rsid w:val="00D10B6F"/>
    <w:rPr>
      <w:b/>
      <w:bCs/>
      <w:sz w:val="20"/>
      <w:szCs w:val="20"/>
    </w:rPr>
  </w:style>
  <w:style w:type="paragraph" w:customStyle="1" w:styleId="Logo-Centred">
    <w:name w:val="Logo - Centred"/>
    <w:basedOn w:val="BodyText"/>
    <w:rsid w:val="00F62238"/>
    <w:pPr>
      <w:jc w:val="center"/>
    </w:pPr>
  </w:style>
  <w:style w:type="character" w:styleId="CommentReference">
    <w:name w:val="annotation reference"/>
    <w:semiHidden/>
    <w:rsid w:val="005913F7"/>
    <w:rPr>
      <w:sz w:val="16"/>
      <w:szCs w:val="16"/>
    </w:rPr>
  </w:style>
  <w:style w:type="paragraph" w:styleId="CommentText">
    <w:name w:val="annotation text"/>
    <w:basedOn w:val="Normal"/>
    <w:link w:val="CommentTextChar"/>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 w:type="paragraph" w:customStyle="1" w:styleId="PseudoHeading1">
    <w:name w:val="Pseudo Heading 1"/>
    <w:rsid w:val="002A2F3E"/>
    <w:pPr>
      <w:pageBreakBefore/>
      <w:spacing w:after="360"/>
    </w:pPr>
    <w:rPr>
      <w:rFonts w:ascii="Arial" w:hAnsi="Arial" w:cs="Arial"/>
      <w:b/>
      <w:bCs/>
      <w:color w:val="005984"/>
      <w:kern w:val="32"/>
      <w:sz w:val="37"/>
      <w:szCs w:val="32"/>
      <w:lang w:eastAsia="en-GB"/>
    </w:rPr>
  </w:style>
  <w:style w:type="character" w:styleId="UnresolvedMention">
    <w:name w:val="Unresolved Mention"/>
    <w:basedOn w:val="DefaultParagraphFont"/>
    <w:uiPriority w:val="99"/>
    <w:unhideWhenUsed/>
    <w:rsid w:val="00023AD3"/>
    <w:rPr>
      <w:color w:val="605E5C"/>
      <w:shd w:val="clear" w:color="auto" w:fill="E1DFDD"/>
    </w:rPr>
  </w:style>
  <w:style w:type="character" w:styleId="Mention">
    <w:name w:val="Mention"/>
    <w:basedOn w:val="DefaultParagraphFont"/>
    <w:uiPriority w:val="99"/>
    <w:unhideWhenUsed/>
    <w:rsid w:val="00023AD3"/>
    <w:rPr>
      <w:color w:val="2B579A"/>
      <w:shd w:val="clear" w:color="auto" w:fill="E1DFDD"/>
    </w:rPr>
  </w:style>
  <w:style w:type="character" w:customStyle="1" w:styleId="TitleChar">
    <w:name w:val="Title Char"/>
    <w:basedOn w:val="DefaultParagraphFont"/>
    <w:link w:val="Title"/>
    <w:rsid w:val="00051B8A"/>
    <w:rPr>
      <w:rFonts w:ascii="Arial" w:hAnsi="Arial" w:cs="Arial"/>
      <w:b/>
      <w:bCs/>
      <w:color w:val="333333"/>
      <w:kern w:val="28"/>
      <w:sz w:val="40"/>
      <w:szCs w:val="32"/>
      <w:lang w:eastAsia="en-GB"/>
    </w:rPr>
  </w:style>
  <w:style w:type="paragraph" w:customStyle="1" w:styleId="List-Asks">
    <w:name w:val="List - Asks"/>
    <w:basedOn w:val="ListBullet"/>
    <w:qFormat/>
    <w:rsid w:val="00051B8A"/>
    <w:rPr>
      <w:b/>
      <w:bCs/>
    </w:rPr>
  </w:style>
  <w:style w:type="character" w:customStyle="1" w:styleId="eop">
    <w:name w:val="eop"/>
    <w:basedOn w:val="DefaultParagraphFont"/>
    <w:rsid w:val="00C03ED7"/>
  </w:style>
  <w:style w:type="character" w:customStyle="1" w:styleId="s1">
    <w:name w:val="s1"/>
    <w:basedOn w:val="DefaultParagraphFont"/>
    <w:rsid w:val="00C03ED7"/>
    <w:rPr>
      <w:rFonts w:ascii=".SFUI-Regular" w:hAnsi=".SFUI-Regular" w:hint="default"/>
      <w:b w:val="0"/>
      <w:bCs w:val="0"/>
      <w:i w:val="0"/>
      <w:iCs w:val="0"/>
      <w:sz w:val="29"/>
      <w:szCs w:val="29"/>
    </w:rPr>
  </w:style>
  <w:style w:type="character" w:customStyle="1" w:styleId="CommentTextChar">
    <w:name w:val="Comment Text Char"/>
    <w:basedOn w:val="DefaultParagraphFont"/>
    <w:link w:val="CommentText"/>
    <w:semiHidden/>
    <w:rsid w:val="00D54218"/>
    <w:rPr>
      <w:rFonts w:ascii="Arial" w:hAnsi="Arial"/>
      <w:lang w:eastAsia="en-GB"/>
    </w:rPr>
  </w:style>
  <w:style w:type="paragraph" w:customStyle="1" w:styleId="paragraph">
    <w:name w:val="paragraph"/>
    <w:basedOn w:val="Normal"/>
    <w:rsid w:val="00691848"/>
    <w:pPr>
      <w:spacing w:before="100" w:beforeAutospacing="1" w:after="100" w:afterAutospacing="1"/>
    </w:pPr>
    <w:rPr>
      <w:rFonts w:ascii="Times New Roman" w:hAnsi="Times New Roman"/>
      <w:szCs w:val="24"/>
      <w:lang w:eastAsia="en-AU"/>
    </w:rPr>
  </w:style>
  <w:style w:type="paragraph" w:styleId="ListParagraph">
    <w:name w:val="List Paragraph"/>
    <w:basedOn w:val="Normal"/>
    <w:uiPriority w:val="34"/>
    <w:rsid w:val="00061774"/>
    <w:pPr>
      <w:ind w:left="720"/>
      <w:contextualSpacing/>
    </w:pPr>
  </w:style>
  <w:style w:type="paragraph" w:styleId="NoSpacing">
    <w:name w:val="No Spacing"/>
    <w:link w:val="NoSpacingChar"/>
    <w:uiPriority w:val="1"/>
    <w:qFormat/>
    <w:rsid w:val="004D3C64"/>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4D3C64"/>
    <w:rPr>
      <w:rFonts w:asciiTheme="minorHAnsi" w:eastAsiaTheme="minorEastAsia" w:hAnsiTheme="minorHAnsi" w:cstheme="minorBidi"/>
      <w:sz w:val="22"/>
      <w:szCs w:val="22"/>
      <w:lang w:val="en-US" w:eastAsia="en-US"/>
    </w:rPr>
  </w:style>
  <w:style w:type="character" w:customStyle="1" w:styleId="superscript">
    <w:name w:val="superscript"/>
    <w:basedOn w:val="DefaultParagraphFont"/>
    <w:rsid w:val="00426B91"/>
  </w:style>
  <w:style w:type="paragraph" w:styleId="EndnoteText">
    <w:name w:val="endnote text"/>
    <w:basedOn w:val="Normal"/>
    <w:link w:val="EndnoteTextChar"/>
    <w:rsid w:val="00137D82"/>
    <w:pPr>
      <w:tabs>
        <w:tab w:val="left" w:pos="567"/>
      </w:tabs>
      <w:ind w:left="567" w:hanging="567"/>
    </w:pPr>
    <w:rPr>
      <w:sz w:val="20"/>
      <w:szCs w:val="20"/>
    </w:rPr>
  </w:style>
  <w:style w:type="character" w:customStyle="1" w:styleId="EndnoteTextChar">
    <w:name w:val="Endnote Text Char"/>
    <w:basedOn w:val="DefaultParagraphFont"/>
    <w:link w:val="EndnoteText"/>
    <w:rsid w:val="00137D82"/>
    <w:rPr>
      <w:rFonts w:ascii="Arial" w:hAnsi="Arial"/>
      <w:lang w:eastAsia="en-GB"/>
    </w:rPr>
  </w:style>
  <w:style w:type="character" w:styleId="EndnoteReference">
    <w:name w:val="endnote reference"/>
    <w:basedOn w:val="DefaultParagraphFont"/>
    <w:rsid w:val="00137D82"/>
    <w:rPr>
      <w:vertAlign w:val="superscript"/>
    </w:rPr>
  </w:style>
  <w:style w:type="paragraph" w:styleId="Revision">
    <w:name w:val="Revision"/>
    <w:hidden/>
    <w:uiPriority w:val="99"/>
    <w:semiHidden/>
    <w:rsid w:val="00137D82"/>
    <w:rPr>
      <w:rFonts w:ascii="Arial" w:hAnsi="Arial"/>
      <w:sz w:val="24"/>
      <w:szCs w:val="22"/>
      <w:lang w:eastAsia="en-GB"/>
    </w:rPr>
  </w:style>
  <w:style w:type="paragraph" w:customStyle="1" w:styleId="pf0">
    <w:name w:val="pf0"/>
    <w:basedOn w:val="Normal"/>
    <w:rsid w:val="00925333"/>
    <w:pPr>
      <w:spacing w:before="100" w:beforeAutospacing="1" w:after="100" w:afterAutospacing="1"/>
    </w:pPr>
    <w:rPr>
      <w:rFonts w:ascii="Times New Roman" w:hAnsi="Times New Roman"/>
      <w:szCs w:val="24"/>
      <w:lang w:eastAsia="en-AU"/>
    </w:rPr>
  </w:style>
  <w:style w:type="character" w:customStyle="1" w:styleId="cf01">
    <w:name w:val="cf01"/>
    <w:basedOn w:val="DefaultParagraphFont"/>
    <w:rsid w:val="00925333"/>
    <w:rPr>
      <w:rFonts w:ascii="Segoe UI" w:hAnsi="Segoe UI" w:cs="Segoe UI" w:hint="default"/>
      <w:sz w:val="18"/>
      <w:szCs w:val="18"/>
    </w:rPr>
  </w:style>
  <w:style w:type="character" w:customStyle="1" w:styleId="cf21">
    <w:name w:val="cf21"/>
    <w:basedOn w:val="DefaultParagraphFont"/>
    <w:rsid w:val="00925333"/>
    <w:rPr>
      <w:rFonts w:ascii="Segoe UI" w:hAnsi="Segoe UI" w:cs="Segoe UI" w:hint="default"/>
      <w:color w:val="0000FF"/>
      <w:sz w:val="18"/>
      <w:szCs w:val="18"/>
    </w:rPr>
  </w:style>
  <w:style w:type="character" w:customStyle="1" w:styleId="FootnoteTextChar">
    <w:name w:val="Footnote Text Char"/>
    <w:basedOn w:val="DefaultParagraphFont"/>
    <w:link w:val="FootnoteText"/>
    <w:rsid w:val="00925333"/>
    <w:rPr>
      <w:rFonts w:ascii="Arial" w:hAnsi="Arial"/>
      <w:sz w:val="18"/>
      <w:lang w:eastAsia="en-GB"/>
    </w:rPr>
  </w:style>
  <w:style w:type="table" w:customStyle="1" w:styleId="Quoteusbox">
    <w:name w:val="Quote us box"/>
    <w:basedOn w:val="TableNormal"/>
    <w:uiPriority w:val="99"/>
    <w:rsid w:val="00C62D67"/>
    <w:tblPr/>
    <w:tcPr>
      <w:shd w:val="clear" w:color="auto" w:fill="DEEAF6"/>
      <w:tcMar>
        <w:top w:w="113" w:type="dxa"/>
        <w:bottom w:w="113" w:type="dxa"/>
      </w:tcMar>
    </w:tcPr>
  </w:style>
  <w:style w:type="paragraph" w:customStyle="1" w:styleId="Source">
    <w:name w:val="Source"/>
    <w:basedOn w:val="BodyText"/>
    <w:qFormat/>
    <w:rsid w:val="005862A0"/>
    <w:pPr>
      <w:spacing w:before="60" w:after="480"/>
    </w:pPr>
    <w:rPr>
      <w:color w:val="808080" w:themeColor="background1" w:themeShade="80"/>
      <w:sz w:val="17"/>
    </w:rPr>
  </w:style>
  <w:style w:type="paragraph" w:customStyle="1" w:styleId="Image">
    <w:name w:val="Image"/>
    <w:basedOn w:val="Normal"/>
    <w:qFormat/>
    <w:rsid w:val="007E042C"/>
    <w:pPr>
      <w:keepNext/>
      <w:spacing w:before="360"/>
    </w:pPr>
  </w:style>
  <w:style w:type="paragraph" w:customStyle="1" w:styleId="Figuretabletitle">
    <w:name w:val="Figure/table title"/>
    <w:basedOn w:val="Normal"/>
    <w:qFormat/>
    <w:rsid w:val="005E3D82"/>
    <w:pPr>
      <w:keepNext/>
      <w:spacing w:before="240" w:after="120"/>
    </w:pPr>
    <w:rPr>
      <w:b/>
      <w:sz w:val="20"/>
    </w:rPr>
  </w:style>
  <w:style w:type="paragraph" w:customStyle="1" w:styleId="Priorities">
    <w:name w:val="Priorities"/>
    <w:basedOn w:val="BodyText"/>
    <w:rsid w:val="003D3AE0"/>
    <w:pPr>
      <w:numPr>
        <w:numId w:val="39"/>
      </w:numPr>
    </w:pPr>
    <w:rPr>
      <w:b/>
      <w:color w:val="006699"/>
    </w:rPr>
  </w:style>
  <w:style w:type="paragraph" w:customStyle="1" w:styleId="Recommendations2">
    <w:name w:val="Recommendations 2"/>
    <w:basedOn w:val="Recommendationsheading"/>
    <w:rsid w:val="00741078"/>
    <w:pPr>
      <w:keepNext/>
    </w:pPr>
    <w:rPr>
      <w:i/>
      <w:iCs/>
    </w:rPr>
  </w:style>
  <w:style w:type="paragraph" w:customStyle="1" w:styleId="Wellbeingdomains">
    <w:name w:val="Wellbeing domains"/>
    <w:basedOn w:val="BodyText"/>
    <w:rsid w:val="00AA1FBB"/>
    <w:pPr>
      <w:spacing w:after="80"/>
    </w:pPr>
    <w:rPr>
      <w:color w:val="595959" w:themeColor="text1" w:themeTint="A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4438">
      <w:bodyDiv w:val="1"/>
      <w:marLeft w:val="0"/>
      <w:marRight w:val="0"/>
      <w:marTop w:val="0"/>
      <w:marBottom w:val="0"/>
      <w:divBdr>
        <w:top w:val="none" w:sz="0" w:space="0" w:color="auto"/>
        <w:left w:val="none" w:sz="0" w:space="0" w:color="auto"/>
        <w:bottom w:val="none" w:sz="0" w:space="0" w:color="auto"/>
        <w:right w:val="none" w:sz="0" w:space="0" w:color="auto"/>
      </w:divBdr>
      <w:divsChild>
        <w:div w:id="1177428297">
          <w:marLeft w:val="0"/>
          <w:marRight w:val="0"/>
          <w:marTop w:val="0"/>
          <w:marBottom w:val="0"/>
          <w:divBdr>
            <w:top w:val="none" w:sz="0" w:space="0" w:color="auto"/>
            <w:left w:val="none" w:sz="0" w:space="0" w:color="auto"/>
            <w:bottom w:val="none" w:sz="0" w:space="0" w:color="auto"/>
            <w:right w:val="none" w:sz="0" w:space="0" w:color="auto"/>
          </w:divBdr>
        </w:div>
        <w:div w:id="1505123111">
          <w:marLeft w:val="0"/>
          <w:marRight w:val="0"/>
          <w:marTop w:val="0"/>
          <w:marBottom w:val="0"/>
          <w:divBdr>
            <w:top w:val="none" w:sz="0" w:space="0" w:color="auto"/>
            <w:left w:val="none" w:sz="0" w:space="0" w:color="auto"/>
            <w:bottom w:val="none" w:sz="0" w:space="0" w:color="auto"/>
            <w:right w:val="none" w:sz="0" w:space="0" w:color="auto"/>
          </w:divBdr>
        </w:div>
        <w:div w:id="1742169341">
          <w:marLeft w:val="0"/>
          <w:marRight w:val="0"/>
          <w:marTop w:val="0"/>
          <w:marBottom w:val="0"/>
          <w:divBdr>
            <w:top w:val="none" w:sz="0" w:space="0" w:color="auto"/>
            <w:left w:val="none" w:sz="0" w:space="0" w:color="auto"/>
            <w:bottom w:val="none" w:sz="0" w:space="0" w:color="auto"/>
            <w:right w:val="none" w:sz="0" w:space="0" w:color="auto"/>
          </w:divBdr>
        </w:div>
      </w:divsChild>
    </w:div>
    <w:div w:id="157120619">
      <w:bodyDiv w:val="1"/>
      <w:marLeft w:val="0"/>
      <w:marRight w:val="0"/>
      <w:marTop w:val="0"/>
      <w:marBottom w:val="0"/>
      <w:divBdr>
        <w:top w:val="none" w:sz="0" w:space="0" w:color="auto"/>
        <w:left w:val="none" w:sz="0" w:space="0" w:color="auto"/>
        <w:bottom w:val="none" w:sz="0" w:space="0" w:color="auto"/>
        <w:right w:val="none" w:sz="0" w:space="0" w:color="auto"/>
      </w:divBdr>
      <w:divsChild>
        <w:div w:id="342634857">
          <w:marLeft w:val="0"/>
          <w:marRight w:val="0"/>
          <w:marTop w:val="0"/>
          <w:marBottom w:val="0"/>
          <w:divBdr>
            <w:top w:val="none" w:sz="0" w:space="0" w:color="auto"/>
            <w:left w:val="none" w:sz="0" w:space="0" w:color="auto"/>
            <w:bottom w:val="none" w:sz="0" w:space="0" w:color="auto"/>
            <w:right w:val="none" w:sz="0" w:space="0" w:color="auto"/>
          </w:divBdr>
        </w:div>
        <w:div w:id="478890199">
          <w:marLeft w:val="0"/>
          <w:marRight w:val="0"/>
          <w:marTop w:val="0"/>
          <w:marBottom w:val="0"/>
          <w:divBdr>
            <w:top w:val="none" w:sz="0" w:space="0" w:color="auto"/>
            <w:left w:val="none" w:sz="0" w:space="0" w:color="auto"/>
            <w:bottom w:val="none" w:sz="0" w:space="0" w:color="auto"/>
            <w:right w:val="none" w:sz="0" w:space="0" w:color="auto"/>
          </w:divBdr>
        </w:div>
        <w:div w:id="1140003063">
          <w:marLeft w:val="0"/>
          <w:marRight w:val="0"/>
          <w:marTop w:val="0"/>
          <w:marBottom w:val="0"/>
          <w:divBdr>
            <w:top w:val="none" w:sz="0" w:space="0" w:color="auto"/>
            <w:left w:val="none" w:sz="0" w:space="0" w:color="auto"/>
            <w:bottom w:val="none" w:sz="0" w:space="0" w:color="auto"/>
            <w:right w:val="none" w:sz="0" w:space="0" w:color="auto"/>
          </w:divBdr>
        </w:div>
        <w:div w:id="1881822938">
          <w:marLeft w:val="0"/>
          <w:marRight w:val="0"/>
          <w:marTop w:val="0"/>
          <w:marBottom w:val="0"/>
          <w:divBdr>
            <w:top w:val="none" w:sz="0" w:space="0" w:color="auto"/>
            <w:left w:val="none" w:sz="0" w:space="0" w:color="auto"/>
            <w:bottom w:val="none" w:sz="0" w:space="0" w:color="auto"/>
            <w:right w:val="none" w:sz="0" w:space="0" w:color="auto"/>
          </w:divBdr>
        </w:div>
      </w:divsChild>
    </w:div>
    <w:div w:id="157505339">
      <w:bodyDiv w:val="1"/>
      <w:marLeft w:val="0"/>
      <w:marRight w:val="0"/>
      <w:marTop w:val="0"/>
      <w:marBottom w:val="0"/>
      <w:divBdr>
        <w:top w:val="none" w:sz="0" w:space="0" w:color="auto"/>
        <w:left w:val="none" w:sz="0" w:space="0" w:color="auto"/>
        <w:bottom w:val="none" w:sz="0" w:space="0" w:color="auto"/>
        <w:right w:val="none" w:sz="0" w:space="0" w:color="auto"/>
      </w:divBdr>
      <w:divsChild>
        <w:div w:id="186910901">
          <w:marLeft w:val="0"/>
          <w:marRight w:val="0"/>
          <w:marTop w:val="0"/>
          <w:marBottom w:val="0"/>
          <w:divBdr>
            <w:top w:val="none" w:sz="0" w:space="0" w:color="auto"/>
            <w:left w:val="none" w:sz="0" w:space="0" w:color="auto"/>
            <w:bottom w:val="none" w:sz="0" w:space="0" w:color="auto"/>
            <w:right w:val="none" w:sz="0" w:space="0" w:color="auto"/>
          </w:divBdr>
        </w:div>
        <w:div w:id="594900559">
          <w:marLeft w:val="0"/>
          <w:marRight w:val="0"/>
          <w:marTop w:val="0"/>
          <w:marBottom w:val="0"/>
          <w:divBdr>
            <w:top w:val="none" w:sz="0" w:space="0" w:color="auto"/>
            <w:left w:val="none" w:sz="0" w:space="0" w:color="auto"/>
            <w:bottom w:val="none" w:sz="0" w:space="0" w:color="auto"/>
            <w:right w:val="none" w:sz="0" w:space="0" w:color="auto"/>
          </w:divBdr>
        </w:div>
        <w:div w:id="693924352">
          <w:marLeft w:val="0"/>
          <w:marRight w:val="0"/>
          <w:marTop w:val="0"/>
          <w:marBottom w:val="0"/>
          <w:divBdr>
            <w:top w:val="none" w:sz="0" w:space="0" w:color="auto"/>
            <w:left w:val="none" w:sz="0" w:space="0" w:color="auto"/>
            <w:bottom w:val="none" w:sz="0" w:space="0" w:color="auto"/>
            <w:right w:val="none" w:sz="0" w:space="0" w:color="auto"/>
          </w:divBdr>
        </w:div>
      </w:divsChild>
    </w:div>
    <w:div w:id="212619143">
      <w:bodyDiv w:val="1"/>
      <w:marLeft w:val="0"/>
      <w:marRight w:val="0"/>
      <w:marTop w:val="0"/>
      <w:marBottom w:val="0"/>
      <w:divBdr>
        <w:top w:val="none" w:sz="0" w:space="0" w:color="auto"/>
        <w:left w:val="none" w:sz="0" w:space="0" w:color="auto"/>
        <w:bottom w:val="none" w:sz="0" w:space="0" w:color="auto"/>
        <w:right w:val="none" w:sz="0" w:space="0" w:color="auto"/>
      </w:divBdr>
      <w:divsChild>
        <w:div w:id="128862751">
          <w:marLeft w:val="0"/>
          <w:marRight w:val="0"/>
          <w:marTop w:val="0"/>
          <w:marBottom w:val="0"/>
          <w:divBdr>
            <w:top w:val="none" w:sz="0" w:space="0" w:color="auto"/>
            <w:left w:val="none" w:sz="0" w:space="0" w:color="auto"/>
            <w:bottom w:val="none" w:sz="0" w:space="0" w:color="auto"/>
            <w:right w:val="none" w:sz="0" w:space="0" w:color="auto"/>
          </w:divBdr>
        </w:div>
        <w:div w:id="185751428">
          <w:marLeft w:val="0"/>
          <w:marRight w:val="0"/>
          <w:marTop w:val="0"/>
          <w:marBottom w:val="0"/>
          <w:divBdr>
            <w:top w:val="none" w:sz="0" w:space="0" w:color="auto"/>
            <w:left w:val="none" w:sz="0" w:space="0" w:color="auto"/>
            <w:bottom w:val="none" w:sz="0" w:space="0" w:color="auto"/>
            <w:right w:val="none" w:sz="0" w:space="0" w:color="auto"/>
          </w:divBdr>
        </w:div>
        <w:div w:id="300035600">
          <w:marLeft w:val="0"/>
          <w:marRight w:val="0"/>
          <w:marTop w:val="0"/>
          <w:marBottom w:val="0"/>
          <w:divBdr>
            <w:top w:val="none" w:sz="0" w:space="0" w:color="auto"/>
            <w:left w:val="none" w:sz="0" w:space="0" w:color="auto"/>
            <w:bottom w:val="none" w:sz="0" w:space="0" w:color="auto"/>
            <w:right w:val="none" w:sz="0" w:space="0" w:color="auto"/>
          </w:divBdr>
        </w:div>
        <w:div w:id="336926854">
          <w:marLeft w:val="0"/>
          <w:marRight w:val="0"/>
          <w:marTop w:val="0"/>
          <w:marBottom w:val="0"/>
          <w:divBdr>
            <w:top w:val="none" w:sz="0" w:space="0" w:color="auto"/>
            <w:left w:val="none" w:sz="0" w:space="0" w:color="auto"/>
            <w:bottom w:val="none" w:sz="0" w:space="0" w:color="auto"/>
            <w:right w:val="none" w:sz="0" w:space="0" w:color="auto"/>
          </w:divBdr>
        </w:div>
        <w:div w:id="371809339">
          <w:marLeft w:val="0"/>
          <w:marRight w:val="0"/>
          <w:marTop w:val="0"/>
          <w:marBottom w:val="0"/>
          <w:divBdr>
            <w:top w:val="none" w:sz="0" w:space="0" w:color="auto"/>
            <w:left w:val="none" w:sz="0" w:space="0" w:color="auto"/>
            <w:bottom w:val="none" w:sz="0" w:space="0" w:color="auto"/>
            <w:right w:val="none" w:sz="0" w:space="0" w:color="auto"/>
          </w:divBdr>
        </w:div>
        <w:div w:id="428619148">
          <w:marLeft w:val="0"/>
          <w:marRight w:val="0"/>
          <w:marTop w:val="0"/>
          <w:marBottom w:val="0"/>
          <w:divBdr>
            <w:top w:val="none" w:sz="0" w:space="0" w:color="auto"/>
            <w:left w:val="none" w:sz="0" w:space="0" w:color="auto"/>
            <w:bottom w:val="none" w:sz="0" w:space="0" w:color="auto"/>
            <w:right w:val="none" w:sz="0" w:space="0" w:color="auto"/>
          </w:divBdr>
        </w:div>
        <w:div w:id="656424737">
          <w:marLeft w:val="0"/>
          <w:marRight w:val="0"/>
          <w:marTop w:val="0"/>
          <w:marBottom w:val="0"/>
          <w:divBdr>
            <w:top w:val="none" w:sz="0" w:space="0" w:color="auto"/>
            <w:left w:val="none" w:sz="0" w:space="0" w:color="auto"/>
            <w:bottom w:val="none" w:sz="0" w:space="0" w:color="auto"/>
            <w:right w:val="none" w:sz="0" w:space="0" w:color="auto"/>
          </w:divBdr>
        </w:div>
        <w:div w:id="774864786">
          <w:marLeft w:val="0"/>
          <w:marRight w:val="0"/>
          <w:marTop w:val="0"/>
          <w:marBottom w:val="0"/>
          <w:divBdr>
            <w:top w:val="none" w:sz="0" w:space="0" w:color="auto"/>
            <w:left w:val="none" w:sz="0" w:space="0" w:color="auto"/>
            <w:bottom w:val="none" w:sz="0" w:space="0" w:color="auto"/>
            <w:right w:val="none" w:sz="0" w:space="0" w:color="auto"/>
          </w:divBdr>
        </w:div>
        <w:div w:id="788815940">
          <w:marLeft w:val="0"/>
          <w:marRight w:val="0"/>
          <w:marTop w:val="0"/>
          <w:marBottom w:val="0"/>
          <w:divBdr>
            <w:top w:val="none" w:sz="0" w:space="0" w:color="auto"/>
            <w:left w:val="none" w:sz="0" w:space="0" w:color="auto"/>
            <w:bottom w:val="none" w:sz="0" w:space="0" w:color="auto"/>
            <w:right w:val="none" w:sz="0" w:space="0" w:color="auto"/>
          </w:divBdr>
        </w:div>
        <w:div w:id="922648110">
          <w:marLeft w:val="0"/>
          <w:marRight w:val="0"/>
          <w:marTop w:val="0"/>
          <w:marBottom w:val="0"/>
          <w:divBdr>
            <w:top w:val="none" w:sz="0" w:space="0" w:color="auto"/>
            <w:left w:val="none" w:sz="0" w:space="0" w:color="auto"/>
            <w:bottom w:val="none" w:sz="0" w:space="0" w:color="auto"/>
            <w:right w:val="none" w:sz="0" w:space="0" w:color="auto"/>
          </w:divBdr>
        </w:div>
        <w:div w:id="968974880">
          <w:marLeft w:val="0"/>
          <w:marRight w:val="0"/>
          <w:marTop w:val="0"/>
          <w:marBottom w:val="0"/>
          <w:divBdr>
            <w:top w:val="none" w:sz="0" w:space="0" w:color="auto"/>
            <w:left w:val="none" w:sz="0" w:space="0" w:color="auto"/>
            <w:bottom w:val="none" w:sz="0" w:space="0" w:color="auto"/>
            <w:right w:val="none" w:sz="0" w:space="0" w:color="auto"/>
          </w:divBdr>
        </w:div>
        <w:div w:id="1001859175">
          <w:marLeft w:val="0"/>
          <w:marRight w:val="0"/>
          <w:marTop w:val="0"/>
          <w:marBottom w:val="0"/>
          <w:divBdr>
            <w:top w:val="none" w:sz="0" w:space="0" w:color="auto"/>
            <w:left w:val="none" w:sz="0" w:space="0" w:color="auto"/>
            <w:bottom w:val="none" w:sz="0" w:space="0" w:color="auto"/>
            <w:right w:val="none" w:sz="0" w:space="0" w:color="auto"/>
          </w:divBdr>
        </w:div>
        <w:div w:id="1016812870">
          <w:marLeft w:val="0"/>
          <w:marRight w:val="0"/>
          <w:marTop w:val="0"/>
          <w:marBottom w:val="0"/>
          <w:divBdr>
            <w:top w:val="none" w:sz="0" w:space="0" w:color="auto"/>
            <w:left w:val="none" w:sz="0" w:space="0" w:color="auto"/>
            <w:bottom w:val="none" w:sz="0" w:space="0" w:color="auto"/>
            <w:right w:val="none" w:sz="0" w:space="0" w:color="auto"/>
          </w:divBdr>
        </w:div>
        <w:div w:id="1020014087">
          <w:marLeft w:val="0"/>
          <w:marRight w:val="0"/>
          <w:marTop w:val="0"/>
          <w:marBottom w:val="0"/>
          <w:divBdr>
            <w:top w:val="none" w:sz="0" w:space="0" w:color="auto"/>
            <w:left w:val="none" w:sz="0" w:space="0" w:color="auto"/>
            <w:bottom w:val="none" w:sz="0" w:space="0" w:color="auto"/>
            <w:right w:val="none" w:sz="0" w:space="0" w:color="auto"/>
          </w:divBdr>
        </w:div>
        <w:div w:id="1036350407">
          <w:marLeft w:val="0"/>
          <w:marRight w:val="0"/>
          <w:marTop w:val="0"/>
          <w:marBottom w:val="0"/>
          <w:divBdr>
            <w:top w:val="none" w:sz="0" w:space="0" w:color="auto"/>
            <w:left w:val="none" w:sz="0" w:space="0" w:color="auto"/>
            <w:bottom w:val="none" w:sz="0" w:space="0" w:color="auto"/>
            <w:right w:val="none" w:sz="0" w:space="0" w:color="auto"/>
          </w:divBdr>
        </w:div>
        <w:div w:id="1096437457">
          <w:marLeft w:val="0"/>
          <w:marRight w:val="0"/>
          <w:marTop w:val="0"/>
          <w:marBottom w:val="0"/>
          <w:divBdr>
            <w:top w:val="none" w:sz="0" w:space="0" w:color="auto"/>
            <w:left w:val="none" w:sz="0" w:space="0" w:color="auto"/>
            <w:bottom w:val="none" w:sz="0" w:space="0" w:color="auto"/>
            <w:right w:val="none" w:sz="0" w:space="0" w:color="auto"/>
          </w:divBdr>
        </w:div>
        <w:div w:id="1266420575">
          <w:marLeft w:val="0"/>
          <w:marRight w:val="0"/>
          <w:marTop w:val="0"/>
          <w:marBottom w:val="0"/>
          <w:divBdr>
            <w:top w:val="none" w:sz="0" w:space="0" w:color="auto"/>
            <w:left w:val="none" w:sz="0" w:space="0" w:color="auto"/>
            <w:bottom w:val="none" w:sz="0" w:space="0" w:color="auto"/>
            <w:right w:val="none" w:sz="0" w:space="0" w:color="auto"/>
          </w:divBdr>
        </w:div>
        <w:div w:id="1339310272">
          <w:marLeft w:val="0"/>
          <w:marRight w:val="0"/>
          <w:marTop w:val="0"/>
          <w:marBottom w:val="0"/>
          <w:divBdr>
            <w:top w:val="none" w:sz="0" w:space="0" w:color="auto"/>
            <w:left w:val="none" w:sz="0" w:space="0" w:color="auto"/>
            <w:bottom w:val="none" w:sz="0" w:space="0" w:color="auto"/>
            <w:right w:val="none" w:sz="0" w:space="0" w:color="auto"/>
          </w:divBdr>
        </w:div>
        <w:div w:id="1342926114">
          <w:marLeft w:val="0"/>
          <w:marRight w:val="0"/>
          <w:marTop w:val="0"/>
          <w:marBottom w:val="0"/>
          <w:divBdr>
            <w:top w:val="none" w:sz="0" w:space="0" w:color="auto"/>
            <w:left w:val="none" w:sz="0" w:space="0" w:color="auto"/>
            <w:bottom w:val="none" w:sz="0" w:space="0" w:color="auto"/>
            <w:right w:val="none" w:sz="0" w:space="0" w:color="auto"/>
          </w:divBdr>
        </w:div>
        <w:div w:id="1577520481">
          <w:marLeft w:val="0"/>
          <w:marRight w:val="0"/>
          <w:marTop w:val="0"/>
          <w:marBottom w:val="0"/>
          <w:divBdr>
            <w:top w:val="none" w:sz="0" w:space="0" w:color="auto"/>
            <w:left w:val="none" w:sz="0" w:space="0" w:color="auto"/>
            <w:bottom w:val="none" w:sz="0" w:space="0" w:color="auto"/>
            <w:right w:val="none" w:sz="0" w:space="0" w:color="auto"/>
          </w:divBdr>
        </w:div>
        <w:div w:id="1668634825">
          <w:marLeft w:val="0"/>
          <w:marRight w:val="0"/>
          <w:marTop w:val="0"/>
          <w:marBottom w:val="0"/>
          <w:divBdr>
            <w:top w:val="none" w:sz="0" w:space="0" w:color="auto"/>
            <w:left w:val="none" w:sz="0" w:space="0" w:color="auto"/>
            <w:bottom w:val="none" w:sz="0" w:space="0" w:color="auto"/>
            <w:right w:val="none" w:sz="0" w:space="0" w:color="auto"/>
          </w:divBdr>
        </w:div>
        <w:div w:id="1709649112">
          <w:marLeft w:val="0"/>
          <w:marRight w:val="0"/>
          <w:marTop w:val="0"/>
          <w:marBottom w:val="0"/>
          <w:divBdr>
            <w:top w:val="none" w:sz="0" w:space="0" w:color="auto"/>
            <w:left w:val="none" w:sz="0" w:space="0" w:color="auto"/>
            <w:bottom w:val="none" w:sz="0" w:space="0" w:color="auto"/>
            <w:right w:val="none" w:sz="0" w:space="0" w:color="auto"/>
          </w:divBdr>
        </w:div>
        <w:div w:id="1816532481">
          <w:marLeft w:val="0"/>
          <w:marRight w:val="0"/>
          <w:marTop w:val="0"/>
          <w:marBottom w:val="0"/>
          <w:divBdr>
            <w:top w:val="none" w:sz="0" w:space="0" w:color="auto"/>
            <w:left w:val="none" w:sz="0" w:space="0" w:color="auto"/>
            <w:bottom w:val="none" w:sz="0" w:space="0" w:color="auto"/>
            <w:right w:val="none" w:sz="0" w:space="0" w:color="auto"/>
          </w:divBdr>
        </w:div>
        <w:div w:id="1955861280">
          <w:marLeft w:val="0"/>
          <w:marRight w:val="0"/>
          <w:marTop w:val="0"/>
          <w:marBottom w:val="0"/>
          <w:divBdr>
            <w:top w:val="none" w:sz="0" w:space="0" w:color="auto"/>
            <w:left w:val="none" w:sz="0" w:space="0" w:color="auto"/>
            <w:bottom w:val="none" w:sz="0" w:space="0" w:color="auto"/>
            <w:right w:val="none" w:sz="0" w:space="0" w:color="auto"/>
          </w:divBdr>
        </w:div>
      </w:divsChild>
    </w:div>
    <w:div w:id="359622253">
      <w:bodyDiv w:val="1"/>
      <w:marLeft w:val="0"/>
      <w:marRight w:val="0"/>
      <w:marTop w:val="0"/>
      <w:marBottom w:val="0"/>
      <w:divBdr>
        <w:top w:val="none" w:sz="0" w:space="0" w:color="auto"/>
        <w:left w:val="none" w:sz="0" w:space="0" w:color="auto"/>
        <w:bottom w:val="none" w:sz="0" w:space="0" w:color="auto"/>
        <w:right w:val="none" w:sz="0" w:space="0" w:color="auto"/>
      </w:divBdr>
      <w:divsChild>
        <w:div w:id="298264708">
          <w:marLeft w:val="0"/>
          <w:marRight w:val="0"/>
          <w:marTop w:val="0"/>
          <w:marBottom w:val="0"/>
          <w:divBdr>
            <w:top w:val="none" w:sz="0" w:space="0" w:color="auto"/>
            <w:left w:val="none" w:sz="0" w:space="0" w:color="auto"/>
            <w:bottom w:val="none" w:sz="0" w:space="0" w:color="auto"/>
            <w:right w:val="none" w:sz="0" w:space="0" w:color="auto"/>
          </w:divBdr>
        </w:div>
        <w:div w:id="863903740">
          <w:marLeft w:val="0"/>
          <w:marRight w:val="0"/>
          <w:marTop w:val="0"/>
          <w:marBottom w:val="0"/>
          <w:divBdr>
            <w:top w:val="none" w:sz="0" w:space="0" w:color="auto"/>
            <w:left w:val="none" w:sz="0" w:space="0" w:color="auto"/>
            <w:bottom w:val="none" w:sz="0" w:space="0" w:color="auto"/>
            <w:right w:val="none" w:sz="0" w:space="0" w:color="auto"/>
          </w:divBdr>
        </w:div>
      </w:divsChild>
    </w:div>
    <w:div w:id="385181913">
      <w:bodyDiv w:val="1"/>
      <w:marLeft w:val="0"/>
      <w:marRight w:val="0"/>
      <w:marTop w:val="0"/>
      <w:marBottom w:val="0"/>
      <w:divBdr>
        <w:top w:val="none" w:sz="0" w:space="0" w:color="auto"/>
        <w:left w:val="none" w:sz="0" w:space="0" w:color="auto"/>
        <w:bottom w:val="none" w:sz="0" w:space="0" w:color="auto"/>
        <w:right w:val="none" w:sz="0" w:space="0" w:color="auto"/>
      </w:divBdr>
      <w:divsChild>
        <w:div w:id="449201371">
          <w:marLeft w:val="0"/>
          <w:marRight w:val="0"/>
          <w:marTop w:val="0"/>
          <w:marBottom w:val="0"/>
          <w:divBdr>
            <w:top w:val="none" w:sz="0" w:space="0" w:color="auto"/>
            <w:left w:val="none" w:sz="0" w:space="0" w:color="auto"/>
            <w:bottom w:val="none" w:sz="0" w:space="0" w:color="auto"/>
            <w:right w:val="none" w:sz="0" w:space="0" w:color="auto"/>
          </w:divBdr>
        </w:div>
        <w:div w:id="1873883367">
          <w:marLeft w:val="0"/>
          <w:marRight w:val="0"/>
          <w:marTop w:val="0"/>
          <w:marBottom w:val="0"/>
          <w:divBdr>
            <w:top w:val="none" w:sz="0" w:space="0" w:color="auto"/>
            <w:left w:val="none" w:sz="0" w:space="0" w:color="auto"/>
            <w:bottom w:val="none" w:sz="0" w:space="0" w:color="auto"/>
            <w:right w:val="none" w:sz="0" w:space="0" w:color="auto"/>
          </w:divBdr>
        </w:div>
        <w:div w:id="1880048785">
          <w:marLeft w:val="0"/>
          <w:marRight w:val="0"/>
          <w:marTop w:val="0"/>
          <w:marBottom w:val="0"/>
          <w:divBdr>
            <w:top w:val="none" w:sz="0" w:space="0" w:color="auto"/>
            <w:left w:val="none" w:sz="0" w:space="0" w:color="auto"/>
            <w:bottom w:val="none" w:sz="0" w:space="0" w:color="auto"/>
            <w:right w:val="none" w:sz="0" w:space="0" w:color="auto"/>
          </w:divBdr>
        </w:div>
      </w:divsChild>
    </w:div>
    <w:div w:id="405686120">
      <w:bodyDiv w:val="1"/>
      <w:marLeft w:val="0"/>
      <w:marRight w:val="0"/>
      <w:marTop w:val="0"/>
      <w:marBottom w:val="0"/>
      <w:divBdr>
        <w:top w:val="none" w:sz="0" w:space="0" w:color="auto"/>
        <w:left w:val="none" w:sz="0" w:space="0" w:color="auto"/>
        <w:bottom w:val="none" w:sz="0" w:space="0" w:color="auto"/>
        <w:right w:val="none" w:sz="0" w:space="0" w:color="auto"/>
      </w:divBdr>
    </w:div>
    <w:div w:id="529026079">
      <w:bodyDiv w:val="1"/>
      <w:marLeft w:val="0"/>
      <w:marRight w:val="0"/>
      <w:marTop w:val="0"/>
      <w:marBottom w:val="0"/>
      <w:divBdr>
        <w:top w:val="none" w:sz="0" w:space="0" w:color="auto"/>
        <w:left w:val="none" w:sz="0" w:space="0" w:color="auto"/>
        <w:bottom w:val="none" w:sz="0" w:space="0" w:color="auto"/>
        <w:right w:val="none" w:sz="0" w:space="0" w:color="auto"/>
      </w:divBdr>
      <w:divsChild>
        <w:div w:id="474840147">
          <w:marLeft w:val="0"/>
          <w:marRight w:val="0"/>
          <w:marTop w:val="0"/>
          <w:marBottom w:val="0"/>
          <w:divBdr>
            <w:top w:val="none" w:sz="0" w:space="0" w:color="auto"/>
            <w:left w:val="none" w:sz="0" w:space="0" w:color="auto"/>
            <w:bottom w:val="none" w:sz="0" w:space="0" w:color="auto"/>
            <w:right w:val="none" w:sz="0" w:space="0" w:color="auto"/>
          </w:divBdr>
        </w:div>
        <w:div w:id="521405876">
          <w:marLeft w:val="0"/>
          <w:marRight w:val="0"/>
          <w:marTop w:val="0"/>
          <w:marBottom w:val="0"/>
          <w:divBdr>
            <w:top w:val="none" w:sz="0" w:space="0" w:color="auto"/>
            <w:left w:val="none" w:sz="0" w:space="0" w:color="auto"/>
            <w:bottom w:val="none" w:sz="0" w:space="0" w:color="auto"/>
            <w:right w:val="none" w:sz="0" w:space="0" w:color="auto"/>
          </w:divBdr>
        </w:div>
        <w:div w:id="898977545">
          <w:marLeft w:val="0"/>
          <w:marRight w:val="0"/>
          <w:marTop w:val="0"/>
          <w:marBottom w:val="0"/>
          <w:divBdr>
            <w:top w:val="none" w:sz="0" w:space="0" w:color="auto"/>
            <w:left w:val="none" w:sz="0" w:space="0" w:color="auto"/>
            <w:bottom w:val="none" w:sz="0" w:space="0" w:color="auto"/>
            <w:right w:val="none" w:sz="0" w:space="0" w:color="auto"/>
          </w:divBdr>
        </w:div>
        <w:div w:id="1272905862">
          <w:marLeft w:val="0"/>
          <w:marRight w:val="0"/>
          <w:marTop w:val="0"/>
          <w:marBottom w:val="0"/>
          <w:divBdr>
            <w:top w:val="none" w:sz="0" w:space="0" w:color="auto"/>
            <w:left w:val="none" w:sz="0" w:space="0" w:color="auto"/>
            <w:bottom w:val="none" w:sz="0" w:space="0" w:color="auto"/>
            <w:right w:val="none" w:sz="0" w:space="0" w:color="auto"/>
          </w:divBdr>
        </w:div>
        <w:div w:id="1309676669">
          <w:marLeft w:val="0"/>
          <w:marRight w:val="0"/>
          <w:marTop w:val="0"/>
          <w:marBottom w:val="0"/>
          <w:divBdr>
            <w:top w:val="none" w:sz="0" w:space="0" w:color="auto"/>
            <w:left w:val="none" w:sz="0" w:space="0" w:color="auto"/>
            <w:bottom w:val="none" w:sz="0" w:space="0" w:color="auto"/>
            <w:right w:val="none" w:sz="0" w:space="0" w:color="auto"/>
          </w:divBdr>
        </w:div>
      </w:divsChild>
    </w:div>
    <w:div w:id="605966059">
      <w:bodyDiv w:val="1"/>
      <w:marLeft w:val="0"/>
      <w:marRight w:val="0"/>
      <w:marTop w:val="0"/>
      <w:marBottom w:val="0"/>
      <w:divBdr>
        <w:top w:val="none" w:sz="0" w:space="0" w:color="auto"/>
        <w:left w:val="none" w:sz="0" w:space="0" w:color="auto"/>
        <w:bottom w:val="none" w:sz="0" w:space="0" w:color="auto"/>
        <w:right w:val="none" w:sz="0" w:space="0" w:color="auto"/>
      </w:divBdr>
      <w:divsChild>
        <w:div w:id="221259743">
          <w:marLeft w:val="0"/>
          <w:marRight w:val="0"/>
          <w:marTop w:val="0"/>
          <w:marBottom w:val="0"/>
          <w:divBdr>
            <w:top w:val="none" w:sz="0" w:space="0" w:color="auto"/>
            <w:left w:val="none" w:sz="0" w:space="0" w:color="auto"/>
            <w:bottom w:val="none" w:sz="0" w:space="0" w:color="auto"/>
            <w:right w:val="none" w:sz="0" w:space="0" w:color="auto"/>
          </w:divBdr>
        </w:div>
        <w:div w:id="2084135731">
          <w:marLeft w:val="0"/>
          <w:marRight w:val="0"/>
          <w:marTop w:val="0"/>
          <w:marBottom w:val="0"/>
          <w:divBdr>
            <w:top w:val="none" w:sz="0" w:space="0" w:color="auto"/>
            <w:left w:val="none" w:sz="0" w:space="0" w:color="auto"/>
            <w:bottom w:val="none" w:sz="0" w:space="0" w:color="auto"/>
            <w:right w:val="none" w:sz="0" w:space="0" w:color="auto"/>
          </w:divBdr>
        </w:div>
      </w:divsChild>
    </w:div>
    <w:div w:id="613899379">
      <w:bodyDiv w:val="1"/>
      <w:marLeft w:val="0"/>
      <w:marRight w:val="0"/>
      <w:marTop w:val="0"/>
      <w:marBottom w:val="0"/>
      <w:divBdr>
        <w:top w:val="none" w:sz="0" w:space="0" w:color="auto"/>
        <w:left w:val="none" w:sz="0" w:space="0" w:color="auto"/>
        <w:bottom w:val="none" w:sz="0" w:space="0" w:color="auto"/>
        <w:right w:val="none" w:sz="0" w:space="0" w:color="auto"/>
      </w:divBdr>
    </w:div>
    <w:div w:id="744499015">
      <w:bodyDiv w:val="1"/>
      <w:marLeft w:val="0"/>
      <w:marRight w:val="0"/>
      <w:marTop w:val="0"/>
      <w:marBottom w:val="0"/>
      <w:divBdr>
        <w:top w:val="none" w:sz="0" w:space="0" w:color="auto"/>
        <w:left w:val="none" w:sz="0" w:space="0" w:color="auto"/>
        <w:bottom w:val="none" w:sz="0" w:space="0" w:color="auto"/>
        <w:right w:val="none" w:sz="0" w:space="0" w:color="auto"/>
      </w:divBdr>
      <w:divsChild>
        <w:div w:id="256913299">
          <w:marLeft w:val="0"/>
          <w:marRight w:val="0"/>
          <w:marTop w:val="0"/>
          <w:marBottom w:val="0"/>
          <w:divBdr>
            <w:top w:val="none" w:sz="0" w:space="0" w:color="auto"/>
            <w:left w:val="none" w:sz="0" w:space="0" w:color="auto"/>
            <w:bottom w:val="none" w:sz="0" w:space="0" w:color="auto"/>
            <w:right w:val="none" w:sz="0" w:space="0" w:color="auto"/>
          </w:divBdr>
        </w:div>
        <w:div w:id="1742095936">
          <w:marLeft w:val="0"/>
          <w:marRight w:val="0"/>
          <w:marTop w:val="0"/>
          <w:marBottom w:val="0"/>
          <w:divBdr>
            <w:top w:val="none" w:sz="0" w:space="0" w:color="auto"/>
            <w:left w:val="none" w:sz="0" w:space="0" w:color="auto"/>
            <w:bottom w:val="none" w:sz="0" w:space="0" w:color="auto"/>
            <w:right w:val="none" w:sz="0" w:space="0" w:color="auto"/>
          </w:divBdr>
        </w:div>
      </w:divsChild>
    </w:div>
    <w:div w:id="852308202">
      <w:bodyDiv w:val="1"/>
      <w:marLeft w:val="0"/>
      <w:marRight w:val="0"/>
      <w:marTop w:val="0"/>
      <w:marBottom w:val="0"/>
      <w:divBdr>
        <w:top w:val="none" w:sz="0" w:space="0" w:color="auto"/>
        <w:left w:val="none" w:sz="0" w:space="0" w:color="auto"/>
        <w:bottom w:val="none" w:sz="0" w:space="0" w:color="auto"/>
        <w:right w:val="none" w:sz="0" w:space="0" w:color="auto"/>
      </w:divBdr>
      <w:divsChild>
        <w:div w:id="964626369">
          <w:marLeft w:val="0"/>
          <w:marRight w:val="0"/>
          <w:marTop w:val="0"/>
          <w:marBottom w:val="0"/>
          <w:divBdr>
            <w:top w:val="none" w:sz="0" w:space="0" w:color="auto"/>
            <w:left w:val="none" w:sz="0" w:space="0" w:color="auto"/>
            <w:bottom w:val="none" w:sz="0" w:space="0" w:color="auto"/>
            <w:right w:val="none" w:sz="0" w:space="0" w:color="auto"/>
          </w:divBdr>
        </w:div>
        <w:div w:id="1243879283">
          <w:marLeft w:val="0"/>
          <w:marRight w:val="0"/>
          <w:marTop w:val="0"/>
          <w:marBottom w:val="0"/>
          <w:divBdr>
            <w:top w:val="none" w:sz="0" w:space="0" w:color="auto"/>
            <w:left w:val="none" w:sz="0" w:space="0" w:color="auto"/>
            <w:bottom w:val="none" w:sz="0" w:space="0" w:color="auto"/>
            <w:right w:val="none" w:sz="0" w:space="0" w:color="auto"/>
          </w:divBdr>
        </w:div>
        <w:div w:id="1881086126">
          <w:marLeft w:val="0"/>
          <w:marRight w:val="0"/>
          <w:marTop w:val="0"/>
          <w:marBottom w:val="0"/>
          <w:divBdr>
            <w:top w:val="none" w:sz="0" w:space="0" w:color="auto"/>
            <w:left w:val="none" w:sz="0" w:space="0" w:color="auto"/>
            <w:bottom w:val="none" w:sz="0" w:space="0" w:color="auto"/>
            <w:right w:val="none" w:sz="0" w:space="0" w:color="auto"/>
          </w:divBdr>
        </w:div>
        <w:div w:id="1910339640">
          <w:marLeft w:val="0"/>
          <w:marRight w:val="0"/>
          <w:marTop w:val="0"/>
          <w:marBottom w:val="0"/>
          <w:divBdr>
            <w:top w:val="none" w:sz="0" w:space="0" w:color="auto"/>
            <w:left w:val="none" w:sz="0" w:space="0" w:color="auto"/>
            <w:bottom w:val="none" w:sz="0" w:space="0" w:color="auto"/>
            <w:right w:val="none" w:sz="0" w:space="0" w:color="auto"/>
          </w:divBdr>
        </w:div>
      </w:divsChild>
    </w:div>
    <w:div w:id="928733149">
      <w:bodyDiv w:val="1"/>
      <w:marLeft w:val="0"/>
      <w:marRight w:val="0"/>
      <w:marTop w:val="0"/>
      <w:marBottom w:val="0"/>
      <w:divBdr>
        <w:top w:val="none" w:sz="0" w:space="0" w:color="auto"/>
        <w:left w:val="none" w:sz="0" w:space="0" w:color="auto"/>
        <w:bottom w:val="none" w:sz="0" w:space="0" w:color="auto"/>
        <w:right w:val="none" w:sz="0" w:space="0" w:color="auto"/>
      </w:divBdr>
      <w:divsChild>
        <w:div w:id="523448678">
          <w:marLeft w:val="0"/>
          <w:marRight w:val="0"/>
          <w:marTop w:val="0"/>
          <w:marBottom w:val="0"/>
          <w:divBdr>
            <w:top w:val="none" w:sz="0" w:space="0" w:color="auto"/>
            <w:left w:val="none" w:sz="0" w:space="0" w:color="auto"/>
            <w:bottom w:val="none" w:sz="0" w:space="0" w:color="auto"/>
            <w:right w:val="none" w:sz="0" w:space="0" w:color="auto"/>
          </w:divBdr>
        </w:div>
        <w:div w:id="1080711064">
          <w:marLeft w:val="0"/>
          <w:marRight w:val="0"/>
          <w:marTop w:val="0"/>
          <w:marBottom w:val="0"/>
          <w:divBdr>
            <w:top w:val="none" w:sz="0" w:space="0" w:color="auto"/>
            <w:left w:val="none" w:sz="0" w:space="0" w:color="auto"/>
            <w:bottom w:val="none" w:sz="0" w:space="0" w:color="auto"/>
            <w:right w:val="none" w:sz="0" w:space="0" w:color="auto"/>
          </w:divBdr>
        </w:div>
      </w:divsChild>
    </w:div>
    <w:div w:id="1168716826">
      <w:bodyDiv w:val="1"/>
      <w:marLeft w:val="0"/>
      <w:marRight w:val="0"/>
      <w:marTop w:val="0"/>
      <w:marBottom w:val="0"/>
      <w:divBdr>
        <w:top w:val="none" w:sz="0" w:space="0" w:color="auto"/>
        <w:left w:val="none" w:sz="0" w:space="0" w:color="auto"/>
        <w:bottom w:val="none" w:sz="0" w:space="0" w:color="auto"/>
        <w:right w:val="none" w:sz="0" w:space="0" w:color="auto"/>
      </w:divBdr>
      <w:divsChild>
        <w:div w:id="1340473362">
          <w:marLeft w:val="0"/>
          <w:marRight w:val="0"/>
          <w:marTop w:val="0"/>
          <w:marBottom w:val="0"/>
          <w:divBdr>
            <w:top w:val="none" w:sz="0" w:space="0" w:color="auto"/>
            <w:left w:val="none" w:sz="0" w:space="0" w:color="auto"/>
            <w:bottom w:val="none" w:sz="0" w:space="0" w:color="auto"/>
            <w:right w:val="none" w:sz="0" w:space="0" w:color="auto"/>
          </w:divBdr>
          <w:divsChild>
            <w:div w:id="7139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209338231">
      <w:bodyDiv w:val="1"/>
      <w:marLeft w:val="0"/>
      <w:marRight w:val="0"/>
      <w:marTop w:val="0"/>
      <w:marBottom w:val="0"/>
      <w:divBdr>
        <w:top w:val="none" w:sz="0" w:space="0" w:color="auto"/>
        <w:left w:val="none" w:sz="0" w:space="0" w:color="auto"/>
        <w:bottom w:val="none" w:sz="0" w:space="0" w:color="auto"/>
        <w:right w:val="none" w:sz="0" w:space="0" w:color="auto"/>
      </w:divBdr>
    </w:div>
    <w:div w:id="1214267025">
      <w:bodyDiv w:val="1"/>
      <w:marLeft w:val="0"/>
      <w:marRight w:val="0"/>
      <w:marTop w:val="0"/>
      <w:marBottom w:val="0"/>
      <w:divBdr>
        <w:top w:val="none" w:sz="0" w:space="0" w:color="auto"/>
        <w:left w:val="none" w:sz="0" w:space="0" w:color="auto"/>
        <w:bottom w:val="none" w:sz="0" w:space="0" w:color="auto"/>
        <w:right w:val="none" w:sz="0" w:space="0" w:color="auto"/>
      </w:divBdr>
    </w:div>
    <w:div w:id="1261914947">
      <w:bodyDiv w:val="1"/>
      <w:marLeft w:val="0"/>
      <w:marRight w:val="0"/>
      <w:marTop w:val="0"/>
      <w:marBottom w:val="0"/>
      <w:divBdr>
        <w:top w:val="none" w:sz="0" w:space="0" w:color="auto"/>
        <w:left w:val="none" w:sz="0" w:space="0" w:color="auto"/>
        <w:bottom w:val="none" w:sz="0" w:space="0" w:color="auto"/>
        <w:right w:val="none" w:sz="0" w:space="0" w:color="auto"/>
      </w:divBdr>
      <w:divsChild>
        <w:div w:id="175458611">
          <w:marLeft w:val="0"/>
          <w:marRight w:val="0"/>
          <w:marTop w:val="0"/>
          <w:marBottom w:val="0"/>
          <w:divBdr>
            <w:top w:val="none" w:sz="0" w:space="0" w:color="auto"/>
            <w:left w:val="none" w:sz="0" w:space="0" w:color="auto"/>
            <w:bottom w:val="none" w:sz="0" w:space="0" w:color="auto"/>
            <w:right w:val="none" w:sz="0" w:space="0" w:color="auto"/>
          </w:divBdr>
        </w:div>
        <w:div w:id="202252267">
          <w:marLeft w:val="0"/>
          <w:marRight w:val="0"/>
          <w:marTop w:val="0"/>
          <w:marBottom w:val="0"/>
          <w:divBdr>
            <w:top w:val="none" w:sz="0" w:space="0" w:color="auto"/>
            <w:left w:val="none" w:sz="0" w:space="0" w:color="auto"/>
            <w:bottom w:val="none" w:sz="0" w:space="0" w:color="auto"/>
            <w:right w:val="none" w:sz="0" w:space="0" w:color="auto"/>
          </w:divBdr>
        </w:div>
        <w:div w:id="227349131">
          <w:marLeft w:val="0"/>
          <w:marRight w:val="0"/>
          <w:marTop w:val="0"/>
          <w:marBottom w:val="0"/>
          <w:divBdr>
            <w:top w:val="none" w:sz="0" w:space="0" w:color="auto"/>
            <w:left w:val="none" w:sz="0" w:space="0" w:color="auto"/>
            <w:bottom w:val="none" w:sz="0" w:space="0" w:color="auto"/>
            <w:right w:val="none" w:sz="0" w:space="0" w:color="auto"/>
          </w:divBdr>
        </w:div>
        <w:div w:id="1334141584">
          <w:marLeft w:val="0"/>
          <w:marRight w:val="0"/>
          <w:marTop w:val="0"/>
          <w:marBottom w:val="0"/>
          <w:divBdr>
            <w:top w:val="none" w:sz="0" w:space="0" w:color="auto"/>
            <w:left w:val="none" w:sz="0" w:space="0" w:color="auto"/>
            <w:bottom w:val="none" w:sz="0" w:space="0" w:color="auto"/>
            <w:right w:val="none" w:sz="0" w:space="0" w:color="auto"/>
          </w:divBdr>
        </w:div>
      </w:divsChild>
    </w:div>
    <w:div w:id="1352730285">
      <w:bodyDiv w:val="1"/>
      <w:marLeft w:val="0"/>
      <w:marRight w:val="0"/>
      <w:marTop w:val="0"/>
      <w:marBottom w:val="0"/>
      <w:divBdr>
        <w:top w:val="none" w:sz="0" w:space="0" w:color="auto"/>
        <w:left w:val="none" w:sz="0" w:space="0" w:color="auto"/>
        <w:bottom w:val="none" w:sz="0" w:space="0" w:color="auto"/>
        <w:right w:val="none" w:sz="0" w:space="0" w:color="auto"/>
      </w:divBdr>
      <w:divsChild>
        <w:div w:id="334845841">
          <w:marLeft w:val="0"/>
          <w:marRight w:val="0"/>
          <w:marTop w:val="0"/>
          <w:marBottom w:val="0"/>
          <w:divBdr>
            <w:top w:val="none" w:sz="0" w:space="0" w:color="auto"/>
            <w:left w:val="none" w:sz="0" w:space="0" w:color="auto"/>
            <w:bottom w:val="none" w:sz="0" w:space="0" w:color="auto"/>
            <w:right w:val="none" w:sz="0" w:space="0" w:color="auto"/>
          </w:divBdr>
          <w:divsChild>
            <w:div w:id="158617114">
              <w:marLeft w:val="0"/>
              <w:marRight w:val="0"/>
              <w:marTop w:val="0"/>
              <w:marBottom w:val="0"/>
              <w:divBdr>
                <w:top w:val="none" w:sz="0" w:space="0" w:color="auto"/>
                <w:left w:val="none" w:sz="0" w:space="0" w:color="auto"/>
                <w:bottom w:val="none" w:sz="0" w:space="0" w:color="auto"/>
                <w:right w:val="none" w:sz="0" w:space="0" w:color="auto"/>
              </w:divBdr>
            </w:div>
            <w:div w:id="665746771">
              <w:marLeft w:val="0"/>
              <w:marRight w:val="0"/>
              <w:marTop w:val="0"/>
              <w:marBottom w:val="0"/>
              <w:divBdr>
                <w:top w:val="none" w:sz="0" w:space="0" w:color="auto"/>
                <w:left w:val="none" w:sz="0" w:space="0" w:color="auto"/>
                <w:bottom w:val="none" w:sz="0" w:space="0" w:color="auto"/>
                <w:right w:val="none" w:sz="0" w:space="0" w:color="auto"/>
              </w:divBdr>
            </w:div>
          </w:divsChild>
        </w:div>
        <w:div w:id="646131518">
          <w:marLeft w:val="0"/>
          <w:marRight w:val="0"/>
          <w:marTop w:val="0"/>
          <w:marBottom w:val="0"/>
          <w:divBdr>
            <w:top w:val="none" w:sz="0" w:space="0" w:color="auto"/>
            <w:left w:val="none" w:sz="0" w:space="0" w:color="auto"/>
            <w:bottom w:val="none" w:sz="0" w:space="0" w:color="auto"/>
            <w:right w:val="none" w:sz="0" w:space="0" w:color="auto"/>
          </w:divBdr>
          <w:divsChild>
            <w:div w:id="94207042">
              <w:marLeft w:val="0"/>
              <w:marRight w:val="0"/>
              <w:marTop w:val="0"/>
              <w:marBottom w:val="0"/>
              <w:divBdr>
                <w:top w:val="none" w:sz="0" w:space="0" w:color="auto"/>
                <w:left w:val="none" w:sz="0" w:space="0" w:color="auto"/>
                <w:bottom w:val="none" w:sz="0" w:space="0" w:color="auto"/>
                <w:right w:val="none" w:sz="0" w:space="0" w:color="auto"/>
              </w:divBdr>
            </w:div>
          </w:divsChild>
        </w:div>
        <w:div w:id="1408502845">
          <w:marLeft w:val="0"/>
          <w:marRight w:val="0"/>
          <w:marTop w:val="0"/>
          <w:marBottom w:val="0"/>
          <w:divBdr>
            <w:top w:val="none" w:sz="0" w:space="0" w:color="auto"/>
            <w:left w:val="none" w:sz="0" w:space="0" w:color="auto"/>
            <w:bottom w:val="none" w:sz="0" w:space="0" w:color="auto"/>
            <w:right w:val="none" w:sz="0" w:space="0" w:color="auto"/>
          </w:divBdr>
          <w:divsChild>
            <w:div w:id="242494022">
              <w:marLeft w:val="0"/>
              <w:marRight w:val="0"/>
              <w:marTop w:val="0"/>
              <w:marBottom w:val="0"/>
              <w:divBdr>
                <w:top w:val="none" w:sz="0" w:space="0" w:color="auto"/>
                <w:left w:val="none" w:sz="0" w:space="0" w:color="auto"/>
                <w:bottom w:val="none" w:sz="0" w:space="0" w:color="auto"/>
                <w:right w:val="none" w:sz="0" w:space="0" w:color="auto"/>
              </w:divBdr>
            </w:div>
          </w:divsChild>
        </w:div>
        <w:div w:id="1885559254">
          <w:marLeft w:val="0"/>
          <w:marRight w:val="0"/>
          <w:marTop w:val="0"/>
          <w:marBottom w:val="0"/>
          <w:divBdr>
            <w:top w:val="none" w:sz="0" w:space="0" w:color="auto"/>
            <w:left w:val="none" w:sz="0" w:space="0" w:color="auto"/>
            <w:bottom w:val="none" w:sz="0" w:space="0" w:color="auto"/>
            <w:right w:val="none" w:sz="0" w:space="0" w:color="auto"/>
          </w:divBdr>
          <w:divsChild>
            <w:div w:id="1904679690">
              <w:marLeft w:val="0"/>
              <w:marRight w:val="0"/>
              <w:marTop w:val="0"/>
              <w:marBottom w:val="0"/>
              <w:divBdr>
                <w:top w:val="none" w:sz="0" w:space="0" w:color="auto"/>
                <w:left w:val="none" w:sz="0" w:space="0" w:color="auto"/>
                <w:bottom w:val="none" w:sz="0" w:space="0" w:color="auto"/>
                <w:right w:val="none" w:sz="0" w:space="0" w:color="auto"/>
              </w:divBdr>
            </w:div>
          </w:divsChild>
        </w:div>
        <w:div w:id="2037728012">
          <w:marLeft w:val="0"/>
          <w:marRight w:val="0"/>
          <w:marTop w:val="0"/>
          <w:marBottom w:val="0"/>
          <w:divBdr>
            <w:top w:val="none" w:sz="0" w:space="0" w:color="auto"/>
            <w:left w:val="none" w:sz="0" w:space="0" w:color="auto"/>
            <w:bottom w:val="none" w:sz="0" w:space="0" w:color="auto"/>
            <w:right w:val="none" w:sz="0" w:space="0" w:color="auto"/>
          </w:divBdr>
          <w:divsChild>
            <w:div w:id="195528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54737">
      <w:bodyDiv w:val="1"/>
      <w:marLeft w:val="0"/>
      <w:marRight w:val="0"/>
      <w:marTop w:val="0"/>
      <w:marBottom w:val="0"/>
      <w:divBdr>
        <w:top w:val="none" w:sz="0" w:space="0" w:color="auto"/>
        <w:left w:val="none" w:sz="0" w:space="0" w:color="auto"/>
        <w:bottom w:val="none" w:sz="0" w:space="0" w:color="auto"/>
        <w:right w:val="none" w:sz="0" w:space="0" w:color="auto"/>
      </w:divBdr>
    </w:div>
    <w:div w:id="1510633944">
      <w:bodyDiv w:val="1"/>
      <w:marLeft w:val="0"/>
      <w:marRight w:val="0"/>
      <w:marTop w:val="0"/>
      <w:marBottom w:val="0"/>
      <w:divBdr>
        <w:top w:val="none" w:sz="0" w:space="0" w:color="auto"/>
        <w:left w:val="none" w:sz="0" w:space="0" w:color="auto"/>
        <w:bottom w:val="none" w:sz="0" w:space="0" w:color="auto"/>
        <w:right w:val="none" w:sz="0" w:space="0" w:color="auto"/>
      </w:divBdr>
    </w:div>
    <w:div w:id="1512721418">
      <w:bodyDiv w:val="1"/>
      <w:marLeft w:val="0"/>
      <w:marRight w:val="0"/>
      <w:marTop w:val="0"/>
      <w:marBottom w:val="0"/>
      <w:divBdr>
        <w:top w:val="none" w:sz="0" w:space="0" w:color="auto"/>
        <w:left w:val="none" w:sz="0" w:space="0" w:color="auto"/>
        <w:bottom w:val="none" w:sz="0" w:space="0" w:color="auto"/>
        <w:right w:val="none" w:sz="0" w:space="0" w:color="auto"/>
      </w:divBdr>
      <w:divsChild>
        <w:div w:id="1069620945">
          <w:marLeft w:val="0"/>
          <w:marRight w:val="0"/>
          <w:marTop w:val="0"/>
          <w:marBottom w:val="0"/>
          <w:divBdr>
            <w:top w:val="none" w:sz="0" w:space="0" w:color="auto"/>
            <w:left w:val="none" w:sz="0" w:space="0" w:color="auto"/>
            <w:bottom w:val="none" w:sz="0" w:space="0" w:color="auto"/>
            <w:right w:val="none" w:sz="0" w:space="0" w:color="auto"/>
          </w:divBdr>
        </w:div>
        <w:div w:id="1241866295">
          <w:marLeft w:val="0"/>
          <w:marRight w:val="0"/>
          <w:marTop w:val="0"/>
          <w:marBottom w:val="0"/>
          <w:divBdr>
            <w:top w:val="none" w:sz="0" w:space="0" w:color="auto"/>
            <w:left w:val="none" w:sz="0" w:space="0" w:color="auto"/>
            <w:bottom w:val="none" w:sz="0" w:space="0" w:color="auto"/>
            <w:right w:val="none" w:sz="0" w:space="0" w:color="auto"/>
          </w:divBdr>
        </w:div>
      </w:divsChild>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 w:id="1583565969">
      <w:bodyDiv w:val="1"/>
      <w:marLeft w:val="0"/>
      <w:marRight w:val="0"/>
      <w:marTop w:val="0"/>
      <w:marBottom w:val="0"/>
      <w:divBdr>
        <w:top w:val="none" w:sz="0" w:space="0" w:color="auto"/>
        <w:left w:val="none" w:sz="0" w:space="0" w:color="auto"/>
        <w:bottom w:val="none" w:sz="0" w:space="0" w:color="auto"/>
        <w:right w:val="none" w:sz="0" w:space="0" w:color="auto"/>
      </w:divBdr>
    </w:div>
    <w:div w:id="1589339678">
      <w:bodyDiv w:val="1"/>
      <w:marLeft w:val="0"/>
      <w:marRight w:val="0"/>
      <w:marTop w:val="0"/>
      <w:marBottom w:val="0"/>
      <w:divBdr>
        <w:top w:val="none" w:sz="0" w:space="0" w:color="auto"/>
        <w:left w:val="none" w:sz="0" w:space="0" w:color="auto"/>
        <w:bottom w:val="none" w:sz="0" w:space="0" w:color="auto"/>
        <w:right w:val="none" w:sz="0" w:space="0" w:color="auto"/>
      </w:divBdr>
    </w:div>
    <w:div w:id="1646931671">
      <w:bodyDiv w:val="1"/>
      <w:marLeft w:val="0"/>
      <w:marRight w:val="0"/>
      <w:marTop w:val="0"/>
      <w:marBottom w:val="0"/>
      <w:divBdr>
        <w:top w:val="none" w:sz="0" w:space="0" w:color="auto"/>
        <w:left w:val="none" w:sz="0" w:space="0" w:color="auto"/>
        <w:bottom w:val="none" w:sz="0" w:space="0" w:color="auto"/>
        <w:right w:val="none" w:sz="0" w:space="0" w:color="auto"/>
      </w:divBdr>
    </w:div>
    <w:div w:id="2012370949">
      <w:bodyDiv w:val="1"/>
      <w:marLeft w:val="0"/>
      <w:marRight w:val="0"/>
      <w:marTop w:val="0"/>
      <w:marBottom w:val="0"/>
      <w:divBdr>
        <w:top w:val="none" w:sz="0" w:space="0" w:color="auto"/>
        <w:left w:val="none" w:sz="0" w:space="0" w:color="auto"/>
        <w:bottom w:val="none" w:sz="0" w:space="0" w:color="auto"/>
        <w:right w:val="none" w:sz="0" w:space="0" w:color="auto"/>
      </w:divBdr>
      <w:divsChild>
        <w:div w:id="933322438">
          <w:marLeft w:val="0"/>
          <w:marRight w:val="0"/>
          <w:marTop w:val="0"/>
          <w:marBottom w:val="0"/>
          <w:divBdr>
            <w:top w:val="none" w:sz="0" w:space="0" w:color="auto"/>
            <w:left w:val="none" w:sz="0" w:space="0" w:color="auto"/>
            <w:bottom w:val="none" w:sz="0" w:space="0" w:color="auto"/>
            <w:right w:val="none" w:sz="0" w:space="0" w:color="auto"/>
          </w:divBdr>
        </w:div>
        <w:div w:id="2014867933">
          <w:marLeft w:val="0"/>
          <w:marRight w:val="0"/>
          <w:marTop w:val="0"/>
          <w:marBottom w:val="0"/>
          <w:divBdr>
            <w:top w:val="none" w:sz="0" w:space="0" w:color="auto"/>
            <w:left w:val="none" w:sz="0" w:space="0" w:color="auto"/>
            <w:bottom w:val="none" w:sz="0" w:space="0" w:color="auto"/>
            <w:right w:val="none" w:sz="0" w:space="0" w:color="auto"/>
          </w:divBdr>
        </w:div>
      </w:divsChild>
    </w:div>
    <w:div w:id="2017688274">
      <w:bodyDiv w:val="1"/>
      <w:marLeft w:val="0"/>
      <w:marRight w:val="0"/>
      <w:marTop w:val="0"/>
      <w:marBottom w:val="0"/>
      <w:divBdr>
        <w:top w:val="none" w:sz="0" w:space="0" w:color="auto"/>
        <w:left w:val="none" w:sz="0" w:space="0" w:color="auto"/>
        <w:bottom w:val="none" w:sz="0" w:space="0" w:color="auto"/>
        <w:right w:val="none" w:sz="0" w:space="0" w:color="auto"/>
      </w:divBdr>
      <w:divsChild>
        <w:div w:id="625160581">
          <w:marLeft w:val="0"/>
          <w:marRight w:val="0"/>
          <w:marTop w:val="0"/>
          <w:marBottom w:val="0"/>
          <w:divBdr>
            <w:top w:val="none" w:sz="0" w:space="0" w:color="auto"/>
            <w:left w:val="none" w:sz="0" w:space="0" w:color="auto"/>
            <w:bottom w:val="none" w:sz="0" w:space="0" w:color="auto"/>
            <w:right w:val="none" w:sz="0" w:space="0" w:color="auto"/>
          </w:divBdr>
        </w:div>
        <w:div w:id="894973465">
          <w:marLeft w:val="0"/>
          <w:marRight w:val="0"/>
          <w:marTop w:val="0"/>
          <w:marBottom w:val="0"/>
          <w:divBdr>
            <w:top w:val="none" w:sz="0" w:space="0" w:color="auto"/>
            <w:left w:val="none" w:sz="0" w:space="0" w:color="auto"/>
            <w:bottom w:val="none" w:sz="0" w:space="0" w:color="auto"/>
            <w:right w:val="none" w:sz="0" w:space="0" w:color="auto"/>
          </w:divBdr>
        </w:div>
        <w:div w:id="1519270112">
          <w:marLeft w:val="0"/>
          <w:marRight w:val="0"/>
          <w:marTop w:val="0"/>
          <w:marBottom w:val="0"/>
          <w:divBdr>
            <w:top w:val="none" w:sz="0" w:space="0" w:color="auto"/>
            <w:left w:val="none" w:sz="0" w:space="0" w:color="auto"/>
            <w:bottom w:val="none" w:sz="0" w:space="0" w:color="auto"/>
            <w:right w:val="none" w:sz="0" w:space="0" w:color="auto"/>
          </w:divBdr>
        </w:div>
        <w:div w:id="1690109363">
          <w:marLeft w:val="0"/>
          <w:marRight w:val="0"/>
          <w:marTop w:val="0"/>
          <w:marBottom w:val="0"/>
          <w:divBdr>
            <w:top w:val="none" w:sz="0" w:space="0" w:color="auto"/>
            <w:left w:val="none" w:sz="0" w:space="0" w:color="auto"/>
            <w:bottom w:val="none" w:sz="0" w:space="0" w:color="auto"/>
            <w:right w:val="none" w:sz="0" w:space="0" w:color="auto"/>
          </w:divBdr>
        </w:div>
      </w:divsChild>
    </w:div>
    <w:div w:id="2017993957">
      <w:bodyDiv w:val="1"/>
      <w:marLeft w:val="0"/>
      <w:marRight w:val="0"/>
      <w:marTop w:val="0"/>
      <w:marBottom w:val="0"/>
      <w:divBdr>
        <w:top w:val="none" w:sz="0" w:space="0" w:color="auto"/>
        <w:left w:val="none" w:sz="0" w:space="0" w:color="auto"/>
        <w:bottom w:val="none" w:sz="0" w:space="0" w:color="auto"/>
        <w:right w:val="none" w:sz="0" w:space="0" w:color="auto"/>
      </w:divBdr>
      <w:divsChild>
        <w:div w:id="1776361206">
          <w:marLeft w:val="0"/>
          <w:marRight w:val="0"/>
          <w:marTop w:val="0"/>
          <w:marBottom w:val="0"/>
          <w:divBdr>
            <w:top w:val="none" w:sz="0" w:space="0" w:color="auto"/>
            <w:left w:val="none" w:sz="0" w:space="0" w:color="auto"/>
            <w:bottom w:val="none" w:sz="0" w:space="0" w:color="auto"/>
            <w:right w:val="none" w:sz="0" w:space="0" w:color="auto"/>
          </w:divBdr>
        </w:div>
        <w:div w:id="1804998107">
          <w:marLeft w:val="0"/>
          <w:marRight w:val="0"/>
          <w:marTop w:val="0"/>
          <w:marBottom w:val="0"/>
          <w:divBdr>
            <w:top w:val="none" w:sz="0" w:space="0" w:color="auto"/>
            <w:left w:val="none" w:sz="0" w:space="0" w:color="auto"/>
            <w:bottom w:val="none" w:sz="0" w:space="0" w:color="auto"/>
            <w:right w:val="none" w:sz="0" w:space="0" w:color="auto"/>
          </w:divBdr>
        </w:div>
      </w:divsChild>
    </w:div>
    <w:div w:id="2023972445">
      <w:bodyDiv w:val="1"/>
      <w:marLeft w:val="0"/>
      <w:marRight w:val="0"/>
      <w:marTop w:val="0"/>
      <w:marBottom w:val="0"/>
      <w:divBdr>
        <w:top w:val="none" w:sz="0" w:space="0" w:color="auto"/>
        <w:left w:val="none" w:sz="0" w:space="0" w:color="auto"/>
        <w:bottom w:val="none" w:sz="0" w:space="0" w:color="auto"/>
        <w:right w:val="none" w:sz="0" w:space="0" w:color="auto"/>
      </w:divBdr>
      <w:divsChild>
        <w:div w:id="851528253">
          <w:marLeft w:val="0"/>
          <w:marRight w:val="0"/>
          <w:marTop w:val="0"/>
          <w:marBottom w:val="0"/>
          <w:divBdr>
            <w:top w:val="none" w:sz="0" w:space="0" w:color="auto"/>
            <w:left w:val="none" w:sz="0" w:space="0" w:color="auto"/>
            <w:bottom w:val="none" w:sz="0" w:space="0" w:color="auto"/>
            <w:right w:val="none" w:sz="0" w:space="0" w:color="auto"/>
          </w:divBdr>
        </w:div>
        <w:div w:id="1046686799">
          <w:marLeft w:val="0"/>
          <w:marRight w:val="0"/>
          <w:marTop w:val="0"/>
          <w:marBottom w:val="0"/>
          <w:divBdr>
            <w:top w:val="none" w:sz="0" w:space="0" w:color="auto"/>
            <w:left w:val="none" w:sz="0" w:space="0" w:color="auto"/>
            <w:bottom w:val="none" w:sz="0" w:space="0" w:color="auto"/>
            <w:right w:val="none" w:sz="0" w:space="0" w:color="auto"/>
          </w:divBdr>
        </w:div>
        <w:div w:id="2007513792">
          <w:marLeft w:val="0"/>
          <w:marRight w:val="0"/>
          <w:marTop w:val="0"/>
          <w:marBottom w:val="0"/>
          <w:divBdr>
            <w:top w:val="none" w:sz="0" w:space="0" w:color="auto"/>
            <w:left w:val="none" w:sz="0" w:space="0" w:color="auto"/>
            <w:bottom w:val="none" w:sz="0" w:space="0" w:color="auto"/>
            <w:right w:val="none" w:sz="0" w:space="0" w:color="auto"/>
          </w:divBdr>
        </w:div>
      </w:divsChild>
    </w:div>
    <w:div w:id="2036033706">
      <w:bodyDiv w:val="1"/>
      <w:marLeft w:val="0"/>
      <w:marRight w:val="0"/>
      <w:marTop w:val="0"/>
      <w:marBottom w:val="0"/>
      <w:divBdr>
        <w:top w:val="none" w:sz="0" w:space="0" w:color="auto"/>
        <w:left w:val="none" w:sz="0" w:space="0" w:color="auto"/>
        <w:bottom w:val="none" w:sz="0" w:space="0" w:color="auto"/>
        <w:right w:val="none" w:sz="0" w:space="0" w:color="auto"/>
      </w:divBdr>
      <w:divsChild>
        <w:div w:id="5325898">
          <w:marLeft w:val="0"/>
          <w:marRight w:val="0"/>
          <w:marTop w:val="0"/>
          <w:marBottom w:val="0"/>
          <w:divBdr>
            <w:top w:val="none" w:sz="0" w:space="0" w:color="auto"/>
            <w:left w:val="none" w:sz="0" w:space="0" w:color="auto"/>
            <w:bottom w:val="none" w:sz="0" w:space="0" w:color="auto"/>
            <w:right w:val="none" w:sz="0" w:space="0" w:color="auto"/>
          </w:divBdr>
        </w:div>
        <w:div w:id="1464232770">
          <w:marLeft w:val="0"/>
          <w:marRight w:val="0"/>
          <w:marTop w:val="0"/>
          <w:marBottom w:val="0"/>
          <w:divBdr>
            <w:top w:val="none" w:sz="0" w:space="0" w:color="auto"/>
            <w:left w:val="none" w:sz="0" w:space="0" w:color="auto"/>
            <w:bottom w:val="none" w:sz="0" w:space="0" w:color="auto"/>
            <w:right w:val="none" w:sz="0" w:space="0" w:color="auto"/>
          </w:divBdr>
        </w:div>
        <w:div w:id="1928733275">
          <w:marLeft w:val="0"/>
          <w:marRight w:val="0"/>
          <w:marTop w:val="0"/>
          <w:marBottom w:val="0"/>
          <w:divBdr>
            <w:top w:val="none" w:sz="0" w:space="0" w:color="auto"/>
            <w:left w:val="none" w:sz="0" w:space="0" w:color="auto"/>
            <w:bottom w:val="none" w:sz="0" w:space="0" w:color="auto"/>
            <w:right w:val="none" w:sz="0" w:space="0" w:color="auto"/>
          </w:divBdr>
        </w:div>
      </w:divsChild>
    </w:div>
    <w:div w:id="2056734001">
      <w:bodyDiv w:val="1"/>
      <w:marLeft w:val="0"/>
      <w:marRight w:val="0"/>
      <w:marTop w:val="0"/>
      <w:marBottom w:val="0"/>
      <w:divBdr>
        <w:top w:val="none" w:sz="0" w:space="0" w:color="auto"/>
        <w:left w:val="none" w:sz="0" w:space="0" w:color="auto"/>
        <w:bottom w:val="none" w:sz="0" w:space="0" w:color="auto"/>
        <w:right w:val="none" w:sz="0" w:space="0" w:color="auto"/>
      </w:divBdr>
    </w:div>
    <w:div w:id="2083405374">
      <w:bodyDiv w:val="1"/>
      <w:marLeft w:val="0"/>
      <w:marRight w:val="0"/>
      <w:marTop w:val="0"/>
      <w:marBottom w:val="0"/>
      <w:divBdr>
        <w:top w:val="none" w:sz="0" w:space="0" w:color="auto"/>
        <w:left w:val="none" w:sz="0" w:space="0" w:color="auto"/>
        <w:bottom w:val="none" w:sz="0" w:space="0" w:color="auto"/>
        <w:right w:val="none" w:sz="0" w:space="0" w:color="auto"/>
      </w:divBdr>
      <w:divsChild>
        <w:div w:id="1342584150">
          <w:marLeft w:val="0"/>
          <w:marRight w:val="0"/>
          <w:marTop w:val="0"/>
          <w:marBottom w:val="0"/>
          <w:divBdr>
            <w:top w:val="none" w:sz="0" w:space="0" w:color="auto"/>
            <w:left w:val="none" w:sz="0" w:space="0" w:color="auto"/>
            <w:bottom w:val="none" w:sz="0" w:space="0" w:color="auto"/>
            <w:right w:val="none" w:sz="0" w:space="0" w:color="auto"/>
          </w:divBdr>
        </w:div>
        <w:div w:id="1660883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ctcoss@actcoss.org.au" TargetMode="External"/><Relationship Id="rId18" Type="http://schemas.openxmlformats.org/officeDocument/2006/relationships/image" Target="media/image4.png"/><Relationship Id="rId26" Type="http://schemas.openxmlformats.org/officeDocument/2006/relationships/hyperlink" Target="https://www.actcoss.org.au/publications/advocacy-publications/report-counting-costs" TargetMode="External"/><Relationship Id="rId39" Type="http://schemas.openxmlformats.org/officeDocument/2006/relationships/hyperlink" Target="https://www.actcoss.org.au/publications/advocacy-publications/submission-inquiry-auditor-general-report-4/2020-residential-land" TargetMode="External"/><Relationship Id="rId21" Type="http://schemas.openxmlformats.org/officeDocument/2006/relationships/hyperlink" Target="http://www.austlii.edu.au/au/other/IndigLRes/rciadic/" TargetMode="External"/><Relationship Id="rId34" Type="http://schemas.openxmlformats.org/officeDocument/2006/relationships/hyperlink" Target="https://www.sgsep.com.au/assets/main/SGS-Economics-and-Planning_Rental-Affordability-Index-2021.pdf" TargetMode="External"/><Relationship Id="rId42" Type="http://schemas.openxmlformats.org/officeDocument/2006/relationships/image" Target="media/image8.png"/><Relationship Id="rId47" Type="http://schemas.openxmlformats.org/officeDocument/2006/relationships/image" Target="media/image9.png"/><Relationship Id="rId50" Type="http://schemas.openxmlformats.org/officeDocument/2006/relationships/hyperlink" Target="https://www.servicesaustralia.gov.au/organisations/about-us/reports-and-statistics/guide-australian-government-payments" TargetMode="External"/><Relationship Id="rId55" Type="http://schemas.openxmlformats.org/officeDocument/2006/relationships/image" Target="media/image12.png"/><Relationship Id="rId63" Type="http://schemas.microsoft.com/office/2019/05/relationships/documenttasks" Target="documenttasks/documenttasks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ctcoss.org.au/publications/advocacy-publications/2022-act-cost-living-report" TargetMode="External"/><Relationship Id="rId20" Type="http://schemas.openxmlformats.org/officeDocument/2006/relationships/hyperlink" Target="https://www.strongfamilies.act.gov.au/our-booris,-our-way" TargetMode="External"/><Relationship Id="rId29" Type="http://schemas.openxmlformats.org/officeDocument/2006/relationships/hyperlink" Target="https://www.justice.act.gov.au/sites/default/files/2021-10/Raising%20the%20Age%20-%20Final%20Report.PDF" TargetMode="External"/><Relationship Id="rId41" Type="http://schemas.openxmlformats.org/officeDocument/2006/relationships/hyperlink" Target="https://www.actcoss.org.au/sites/default/files/public/publications/2019-ACT-Community-Services-Industry-Workforce-Data.pdf" TargetMode="External"/><Relationship Id="rId54" Type="http://schemas.openxmlformats.org/officeDocument/2006/relationships/hyperlink" Target="https://www.actcoss.org.au/publications/advocacy-publications/2022-act-cost-living-report"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5.png"/><Relationship Id="rId32" Type="http://schemas.openxmlformats.org/officeDocument/2006/relationships/hyperlink" Target="https://www.domain.com.au/research/rental-report/march-2022/" TargetMode="External"/><Relationship Id="rId37" Type="http://schemas.openxmlformats.org/officeDocument/2006/relationships/hyperlink" Target="https://www.aihw.gov.au/reports/housing-assistance/housing-assistance-in-australia/contents/summary" TargetMode="External"/><Relationship Id="rId40" Type="http://schemas.openxmlformats.org/officeDocument/2006/relationships/hyperlink" Target="https://www.actcoss.org.au/publications/advocacy-publications/report-counting-costs" TargetMode="External"/><Relationship Id="rId45" Type="http://schemas.openxmlformats.org/officeDocument/2006/relationships/hyperlink" Target="https://www.strongfamilies.act.gov.au/our-booris,-our-way" TargetMode="External"/><Relationship Id="rId53" Type="http://schemas.openxmlformats.org/officeDocument/2006/relationships/hyperlink" Target="https://www.servicesaustralia.gov.au/organisations/about-us/reports-and-statistics/guide-australian-government-payments" TargetMode="External"/><Relationship Id="rId58" Type="http://schemas.openxmlformats.org/officeDocument/2006/relationships/hyperlink" Target="https://www.justice.act.gov.au/sites/default/files/2021-10/Raising%20the%20Age%20-%20Final%20Report.PDF"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actcoss.org.au/sites/default/files/public/publications/2022-report-ACT-Cost-of-Living.pdf" TargetMode="External"/><Relationship Id="rId28" Type="http://schemas.openxmlformats.org/officeDocument/2006/relationships/hyperlink" Target="https://www.strongfamilies.act.gov.au/our-booris,-our-way" TargetMode="External"/><Relationship Id="rId36" Type="http://schemas.openxmlformats.org/officeDocument/2006/relationships/image" Target="media/image7.png"/><Relationship Id="rId49" Type="http://schemas.openxmlformats.org/officeDocument/2006/relationships/image" Target="media/image10.png"/><Relationship Id="rId57" Type="http://schemas.openxmlformats.org/officeDocument/2006/relationships/hyperlink" Target="https://www.actcoss.org.au/publications/advocacy-publications/2022-act-cost-living-report" TargetMode="External"/><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ctcoss.org.au/publications/advocacy-publications/factsheet-2021-act-community-sector-demand-snapshot" TargetMode="External"/><Relationship Id="rId31" Type="http://schemas.openxmlformats.org/officeDocument/2006/relationships/image" Target="media/image6.png"/><Relationship Id="rId44" Type="http://schemas.openxmlformats.org/officeDocument/2006/relationships/hyperlink" Target="https://www.actcoss.org.au/publications/advocacy-publications/report-counting-costs" TargetMode="External"/><Relationship Id="rId52" Type="http://schemas.openxmlformats.org/officeDocument/2006/relationships/image" Target="media/image11.png"/><Relationship Id="rId60"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tcoss.org.au" TargetMode="External"/><Relationship Id="rId22" Type="http://schemas.openxmlformats.org/officeDocument/2006/relationships/hyperlink" Target="https://www.ombudsman.act.gov.au/publications/reports/investigation-reports" TargetMode="External"/><Relationship Id="rId27" Type="http://schemas.openxmlformats.org/officeDocument/2006/relationships/hyperlink" Target="https://www.actcoss.org.au/sites/default/files/public/publications/2019-ACT-Community-Services-Industry-Workforce-Data.pdf" TargetMode="External"/><Relationship Id="rId30" Type="http://schemas.openxmlformats.org/officeDocument/2006/relationships/hyperlink" Target="https://www.justice.act.gov.au/sites/default/files/2021-10/Raising%20the%20Age%20-%20Final%20Report.PDF" TargetMode="External"/><Relationship Id="rId35" Type="http://schemas.openxmlformats.org/officeDocument/2006/relationships/hyperlink" Target="https://www.actcoss.org.au/publications/advocacy-publications/2022-act-cost-living-report" TargetMode="External"/><Relationship Id="rId43" Type="http://schemas.openxmlformats.org/officeDocument/2006/relationships/hyperlink" Target="https://www.actcoss.org.au/publications/advocacy-publications/factsheet-2021-act-community-sector-demand-snapshot" TargetMode="External"/><Relationship Id="rId48" Type="http://schemas.openxmlformats.org/officeDocument/2006/relationships/hyperlink" Target="https://www.abs.gov.au/statistics/people/crime-and-justice/prisoners-australia/latest-release" TargetMode="External"/><Relationship Id="rId56" Type="http://schemas.openxmlformats.org/officeDocument/2006/relationships/hyperlink" Target="https://www.abs.gov.au/statistics/economy/price-indexes-and-inflation/consumer-price-index-australia/dec-2021" TargetMode="External"/><Relationship Id="rId8" Type="http://schemas.openxmlformats.org/officeDocument/2006/relationships/webSettings" Target="webSettings.xml"/><Relationship Id="rId51" Type="http://schemas.openxmlformats.org/officeDocument/2006/relationships/hyperlink" Target="https://www.actcoss.org.au/publications/advocacy-publications/2022-act-cost-living-report" TargetMode="Externa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hyperlink" Target="https://www.actcoss.org.au/publications/advocacy-publications/report-counting-costs" TargetMode="External"/><Relationship Id="rId25" Type="http://schemas.openxmlformats.org/officeDocument/2006/relationships/hyperlink" Target="https://www.actcoss.org.au/publications/advocacy-publications/factsheet-2021-act-community-sector-demand-snapshot" TargetMode="External"/><Relationship Id="rId33" Type="http://schemas.openxmlformats.org/officeDocument/2006/relationships/hyperlink" Target="https://www.actcoss.org.au/publications/advocacy-publications/2022-act-cost-living-report" TargetMode="External"/><Relationship Id="rId38" Type="http://schemas.openxmlformats.org/officeDocument/2006/relationships/hyperlink" Target="https://www.actcoss.org.au/publications/advocacy-publications/2022-act-cost-living-report" TargetMode="External"/><Relationship Id="rId46" Type="http://schemas.openxmlformats.org/officeDocument/2006/relationships/hyperlink" Target="https://www.justice.act.gov.au/sites/default/files/2021-10/Raising%20the%20Age%20-%20Final%20Report.PDF" TargetMode="External"/><Relationship Id="rId59"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dbr.abs.gov.au/region.html?lyr=ste&amp;rgn=8" TargetMode="External"/><Relationship Id="rId18" Type="http://schemas.openxmlformats.org/officeDocument/2006/relationships/hyperlink" Target="http://povertyandinequality.acoss.org.au/poverty/rate-of-poverty-by-state-territory-of-residence-of-people/" TargetMode="External"/><Relationship Id="rId26" Type="http://schemas.openxmlformats.org/officeDocument/2006/relationships/hyperlink" Target="https://www.pc.gov.au/research/ongoing/report-on-government-services" TargetMode="External"/><Relationship Id="rId39" Type="http://schemas.openxmlformats.org/officeDocument/2006/relationships/hyperlink" Target="https://budget.gov.au/2022-23/content/bp3/index.htm" TargetMode="External"/><Relationship Id="rId21" Type="http://schemas.openxmlformats.org/officeDocument/2006/relationships/hyperlink" Target="https://www.actcoss.org.au/publications/advocacy-publications/2022-act-cost-living-report" TargetMode="External"/><Relationship Id="rId34" Type="http://schemas.openxmlformats.org/officeDocument/2006/relationships/hyperlink" Target="https://www.anglicare.asn.au/publications/rental-affordability-snapshot-2022/" TargetMode="External"/><Relationship Id="rId42" Type="http://schemas.openxmlformats.org/officeDocument/2006/relationships/hyperlink" Target="https://www.cmtedd.act.gov.au/__data/assets/pdf_file/0003/1654077/Parliamentary-Agreement-for-the-10th-Legislative-Assembly.pdf" TargetMode="External"/><Relationship Id="rId47" Type="http://schemas.openxmlformats.org/officeDocument/2006/relationships/hyperlink" Target="https://www.abs.gov.au/statistics/people/housing/census-population-and-housing-estimating-homelessness/2016" TargetMode="External"/><Relationship Id="rId50" Type="http://schemas.openxmlformats.org/officeDocument/2006/relationships/hyperlink" Target="https://www.actcoss.org.au/sites/default/files/public/documents/2016-ACT-Community-Services-Industry-Strategy-pdf-version-1.pdf" TargetMode="External"/><Relationship Id="rId55" Type="http://schemas.openxmlformats.org/officeDocument/2006/relationships/hyperlink" Target="https://www.abs.gov.au/ausstats/abs@.nsf/Latestproducts/4430.0Main%20Features52018" TargetMode="External"/><Relationship Id="rId63" Type="http://schemas.openxmlformats.org/officeDocument/2006/relationships/hyperlink" Target="https://www.pc.gov.au/research/ongoing/report-on-government-services/2022/community-services" TargetMode="External"/><Relationship Id="rId68" Type="http://schemas.openxmlformats.org/officeDocument/2006/relationships/hyperlink" Target="https://www.pc.gov.au/research/ongoing/report-on-government-services/2022/health/primary-and-community-health" TargetMode="External"/><Relationship Id="rId76" Type="http://schemas.openxmlformats.org/officeDocument/2006/relationships/hyperlink" Target="https://acie.org.au/2020/09/30/driving-change-a-roadmap-for-achieving-inclusive-education-in-australia/" TargetMode="External"/><Relationship Id="rId84" Type="http://schemas.openxmlformats.org/officeDocument/2006/relationships/hyperlink" Target="https://www.pc.gov.au/research/ongoing/report-on-government-services/2022/community-services" TargetMode="External"/><Relationship Id="rId7" Type="http://schemas.openxmlformats.org/officeDocument/2006/relationships/hyperlink" Target="https://everybodyshome.com.au/young-australians-crunched-by-housing-crisis/" TargetMode="External"/><Relationship Id="rId71" Type="http://schemas.openxmlformats.org/officeDocument/2006/relationships/hyperlink" Target="https://www.pc.gov.au/research/ongoing/report-on-government-services/2022/health/services-for-mental-health" TargetMode="External"/><Relationship Id="rId2" Type="http://schemas.openxmlformats.org/officeDocument/2006/relationships/hyperlink" Target="https://www.pc.gov.au/research/ongoing/report-on-government-services" TargetMode="External"/><Relationship Id="rId16" Type="http://schemas.openxmlformats.org/officeDocument/2006/relationships/hyperlink" Target="https://www.pc.gov.au/research/ongoing/report-on-government-services/2022/community-services" TargetMode="External"/><Relationship Id="rId29" Type="http://schemas.openxmlformats.org/officeDocument/2006/relationships/hyperlink" Target="https://www.sgsep.com.au/assets/main/SGS-Economics-and-Planning_Rental-Affordability-Index-2021.pdf" TargetMode="External"/><Relationship Id="rId11" Type="http://schemas.openxmlformats.org/officeDocument/2006/relationships/hyperlink" Target="https://www.actcoss.org.au/publications/advocacy-publications/report-counting-costs" TargetMode="External"/><Relationship Id="rId24" Type="http://schemas.openxmlformats.org/officeDocument/2006/relationships/hyperlink" Target="https://www.domain.com.au/research/rental-report/march-2022/" TargetMode="External"/><Relationship Id="rId32" Type="http://schemas.openxmlformats.org/officeDocument/2006/relationships/hyperlink" Target="https://everybodyshome.com.au/national-homelessness-week-rental-crisis-hits-covid-essential-workforce/" TargetMode="External"/><Relationship Id="rId37" Type="http://schemas.openxmlformats.org/officeDocument/2006/relationships/hyperlink" Target="https://www.communityservices.act.gov.au/hcs/services/social_housing/waiting_lists" TargetMode="External"/><Relationship Id="rId40" Type="http://schemas.openxmlformats.org/officeDocument/2006/relationships/hyperlink" Target="https://www.treasury.act.gov.au/electioncostings/act-greens-costings-2020" TargetMode="External"/><Relationship Id="rId45" Type="http://schemas.openxmlformats.org/officeDocument/2006/relationships/hyperlink" Target="https://cityfutures.be.unsw.edu.au/documents/522/Modelling_costs_of_housing_provision_FINAL.pdf" TargetMode="External"/><Relationship Id="rId53" Type="http://schemas.openxmlformats.org/officeDocument/2006/relationships/hyperlink" Target="https://grattan.edu.au/report/womens-work/" TargetMode="External"/><Relationship Id="rId58" Type="http://schemas.openxmlformats.org/officeDocument/2006/relationships/hyperlink" Target="https://quickstats.censusdata.abs.gov.au/census_services/getproduct/census/2016/communityprofile/801?opendocument" TargetMode="External"/><Relationship Id="rId66" Type="http://schemas.openxmlformats.org/officeDocument/2006/relationships/hyperlink" Target="https://www.abs.gov.au/statistics/economy/price-indexes-and-inflation/consumer-price-index-australia/dec-2021" TargetMode="External"/><Relationship Id="rId74" Type="http://schemas.openxmlformats.org/officeDocument/2006/relationships/hyperlink" Target="https://www.abs.gov.au/ausstats/abs@.nsf/Latestproducts/4430.0Main%20Features52018" TargetMode="External"/><Relationship Id="rId79" Type="http://schemas.openxmlformats.org/officeDocument/2006/relationships/hyperlink" Target="https://www.abs.gov.au/statistics/people/crime-and-justice/prisoners-australia/latest-release" TargetMode="External"/><Relationship Id="rId87" Type="http://schemas.openxmlformats.org/officeDocument/2006/relationships/hyperlink" Target="https://www.jstor.org/stable/26622389" TargetMode="External"/><Relationship Id="rId5" Type="http://schemas.openxmlformats.org/officeDocument/2006/relationships/hyperlink" Target="https://www.actcoss.org.au/publications/advocacy-publications/factsheet-2021-act-community-sector-demand-snapshot" TargetMode="External"/><Relationship Id="rId61" Type="http://schemas.openxmlformats.org/officeDocument/2006/relationships/hyperlink" Target="https://www.abs.gov.au/statistics/people/crime-and-justice/prisoners-australia/latest-release" TargetMode="External"/><Relationship Id="rId82" Type="http://schemas.openxmlformats.org/officeDocument/2006/relationships/hyperlink" Target="https://www.raisetheage.org.au/about" TargetMode="External"/><Relationship Id="rId19" Type="http://schemas.openxmlformats.org/officeDocument/2006/relationships/hyperlink" Target="https://www.actcoss.org.au/publications/advocacy-publications/factsheet-2021-act-community-sector-demand-snapshot" TargetMode="External"/><Relationship Id="rId4" Type="http://schemas.openxmlformats.org/officeDocument/2006/relationships/hyperlink" Target="https://www.abs.gov.au/statistics/people/housing/housing-occupancy-and-costs" TargetMode="External"/><Relationship Id="rId9" Type="http://schemas.openxmlformats.org/officeDocument/2006/relationships/hyperlink" Target="https://actleave.act.gov.au/wp-content/uploads/Community-Sector-Industry-Workforce-Analysis.pdf" TargetMode="External"/><Relationship Id="rId14" Type="http://schemas.openxmlformats.org/officeDocument/2006/relationships/hyperlink" Target="https://www.abs.gov.au/statistics/people/crime-and-justice/prisoners-australia/latest-release" TargetMode="External"/><Relationship Id="rId22" Type="http://schemas.openxmlformats.org/officeDocument/2006/relationships/hyperlink" Target="https://www.domain.com.au/research/house-price-report/march-2022/" TargetMode="External"/><Relationship Id="rId27" Type="http://schemas.openxmlformats.org/officeDocument/2006/relationships/hyperlink" Target="https://www.pc.gov.au/research/ongoing/report-on-government-services/2022/housing-and-homelessness" TargetMode="External"/><Relationship Id="rId30" Type="http://schemas.openxmlformats.org/officeDocument/2006/relationships/hyperlink" Target="https://everybodyshome.com.au/young-australians-crunched-by-housing-crisis/" TargetMode="External"/><Relationship Id="rId35" Type="http://schemas.openxmlformats.org/officeDocument/2006/relationships/hyperlink" Target="https://www.aihw.gov.au/reports/housing-assistance/housing-assistance-in-australia/contents/summary" TargetMode="External"/><Relationship Id="rId43" Type="http://schemas.openxmlformats.org/officeDocument/2006/relationships/hyperlink" Target="https://www.ahuri.edu.au/research/final-reports/306" TargetMode="External"/><Relationship Id="rId48" Type="http://schemas.openxmlformats.org/officeDocument/2006/relationships/hyperlink" Target="https://www.actcoss.org.au/publications/advocacy-publications/report-counting-costs" TargetMode="External"/><Relationship Id="rId56" Type="http://schemas.openxmlformats.org/officeDocument/2006/relationships/hyperlink" Target="https://www.aihw.gov.au/getmedia/61b1197c-4830-49ed-9dfb-0b96a794bb7e/ACT_factsheet.pdf.aspx" TargetMode="External"/><Relationship Id="rId64" Type="http://schemas.openxmlformats.org/officeDocument/2006/relationships/hyperlink" Target="https://www.pc.gov.au/research/ongoing/report-on-government-services/2022/community-services" TargetMode="External"/><Relationship Id="rId69" Type="http://schemas.openxmlformats.org/officeDocument/2006/relationships/hyperlink" Target="https://www.pc.gov.au/research/ongoing/report-on-government-services/2022/health/primary-and-community-health" TargetMode="External"/><Relationship Id="rId77" Type="http://schemas.openxmlformats.org/officeDocument/2006/relationships/hyperlink" Target="https://www.environment.act.gov.au/energy/act-sustainable-energy-policy-2020-25" TargetMode="External"/><Relationship Id="rId8" Type="http://schemas.openxmlformats.org/officeDocument/2006/relationships/hyperlink" Target="https://cityfutures.be.unsw.edu.au/documents/522/Modelling_costs_of_housing_provision_FINAL.pdf" TargetMode="External"/><Relationship Id="rId51" Type="http://schemas.openxmlformats.org/officeDocument/2006/relationships/hyperlink" Target="https://www.wgea.gov.au/sites/default/files/documents/Gender_pay_gap_factsheet_feb2022.pdf" TargetMode="External"/><Relationship Id="rId72" Type="http://schemas.openxmlformats.org/officeDocument/2006/relationships/hyperlink" Target="https://www.perinatalwellbeingcentre.org.au/Handlers/Download.ashx?IDMF=53aab8d3-c748-4818-abab-32a58d3c510f" TargetMode="External"/><Relationship Id="rId80" Type="http://schemas.openxmlformats.org/officeDocument/2006/relationships/hyperlink" Target="https://www.abs.gov.au/statistics/people/crime-and-justice/prisoners-australia/latest-release" TargetMode="External"/><Relationship Id="rId85" Type="http://schemas.openxmlformats.org/officeDocument/2006/relationships/hyperlink" Target="https://apo.org.au/node/259131" TargetMode="External"/><Relationship Id="rId3" Type="http://schemas.openxmlformats.org/officeDocument/2006/relationships/hyperlink" Target="https://www.actcoss.org.au/publications/advocacy-publications/report-food-security-food-assistance-and-affordability-healthy" TargetMode="External"/><Relationship Id="rId12" Type="http://schemas.openxmlformats.org/officeDocument/2006/relationships/hyperlink" Target="https://www.pc.gov.au/research/ongoing/report-on-government-services/2022/community-services" TargetMode="External"/><Relationship Id="rId17" Type="http://schemas.openxmlformats.org/officeDocument/2006/relationships/hyperlink" Target="https://dbr.abs.gov.au/region.html?lyr=ste&amp;rgn=8" TargetMode="External"/><Relationship Id="rId25" Type="http://schemas.openxmlformats.org/officeDocument/2006/relationships/hyperlink" Target="https://www.domain.com.au/research/vacancy-rates-march-2022-1128965/" TargetMode="External"/><Relationship Id="rId33" Type="http://schemas.openxmlformats.org/officeDocument/2006/relationships/hyperlink" Target="https://everybodyshome.com.au/national-homelessness-week-rental-crisis-hits-covid-essential-workforce/" TargetMode="External"/><Relationship Id="rId38" Type="http://schemas.openxmlformats.org/officeDocument/2006/relationships/hyperlink" Target="https://www.communityservices.act.gov.au/hcs/services/social_housing/waiting_lists" TargetMode="External"/><Relationship Id="rId46" Type="http://schemas.openxmlformats.org/officeDocument/2006/relationships/hyperlink" Target="https://www.communityhousing.com.au/wp-content/uploads/2021/09/CHIA-ACT-2021-Policy-Statement.pdf?x13848" TargetMode="External"/><Relationship Id="rId59" Type="http://schemas.openxmlformats.org/officeDocument/2006/relationships/hyperlink" Target="https://www.pc.gov.au/research/ongoing/report-on-government-services/2022/justice" TargetMode="External"/><Relationship Id="rId67" Type="http://schemas.openxmlformats.org/officeDocument/2006/relationships/hyperlink" Target="https://www.pc.gov.au/research/ongoing/report-on-government-services/2022/health/primary-and-community-health" TargetMode="External"/><Relationship Id="rId20" Type="http://schemas.openxmlformats.org/officeDocument/2006/relationships/hyperlink" Target="https://www.actcoss.org.au/news-events/media-release/canberrans-low-incomes-hit-hardest-cost-living-rises-income-supports" TargetMode="External"/><Relationship Id="rId41" Type="http://schemas.openxmlformats.org/officeDocument/2006/relationships/hyperlink" Target="http://www.nwhn.net.au/admin/file/content101/c6/social_housing_initiative_review.pdf" TargetMode="External"/><Relationship Id="rId54" Type="http://schemas.openxmlformats.org/officeDocument/2006/relationships/hyperlink" Target="https://dbr.abs.gov.au/region.html?lyr=ste&amp;rgn=8" TargetMode="External"/><Relationship Id="rId62" Type="http://schemas.openxmlformats.org/officeDocument/2006/relationships/hyperlink" Target="https://www.abs.gov.au/statistics/people/crime-and-justice/prisoners-australia/latest-release" TargetMode="External"/><Relationship Id="rId70" Type="http://schemas.openxmlformats.org/officeDocument/2006/relationships/hyperlink" Target="https://www.aihw.gov.au/getmedia/620b8637-5043-4c3c-b309-02d6161e2be9/Mental-health-impact-of-COVID-19.pdf.aspx" TargetMode="External"/><Relationship Id="rId75" Type="http://schemas.openxmlformats.org/officeDocument/2006/relationships/hyperlink" Target="https://acie.org.au/2020/09/30/driving-change-a-roadmap-for-achieving-inclusive-education-in-australia/" TargetMode="External"/><Relationship Id="rId83" Type="http://schemas.openxmlformats.org/officeDocument/2006/relationships/hyperlink" Target="https://www.aihw.gov.au/getmedia/9d808ec3-8c3a-452d-b435-b0afa1df866d/aihw-fdv-8.pdf.aspx?inline=true" TargetMode="External"/><Relationship Id="rId88" Type="http://schemas.openxmlformats.org/officeDocument/2006/relationships/hyperlink" Target="https://www.actcoss.org.au/publications/advocacy-publications/2022-act-cost-living-report" TargetMode="External"/><Relationship Id="rId1" Type="http://schemas.openxmlformats.org/officeDocument/2006/relationships/hyperlink" Target="https://www.actcoss.org.au/publications/advocacy-publications/2022-act-cost-living-report" TargetMode="External"/><Relationship Id="rId6" Type="http://schemas.openxmlformats.org/officeDocument/2006/relationships/hyperlink" Target="https://www.pc.gov.au/research/ongoing/report-on-government-services" TargetMode="External"/><Relationship Id="rId15" Type="http://schemas.openxmlformats.org/officeDocument/2006/relationships/hyperlink" Target="https://www.aihw.gov.au/getmedia/61b1197c-4830-49ed-9dfb-0b96a794bb7e/ACT_factsheet.pdf.aspx" TargetMode="External"/><Relationship Id="rId23" Type="http://schemas.openxmlformats.org/officeDocument/2006/relationships/hyperlink" Target="https://www.actcoss.org.au/publications/advocacy-publications/2022-act-cost-living-report" TargetMode="External"/><Relationship Id="rId28" Type="http://schemas.openxmlformats.org/officeDocument/2006/relationships/hyperlink" Target="https://www.pc.gov.au/research/ongoing/report-on-government-services/2022/housing-and-homelessness" TargetMode="External"/><Relationship Id="rId36" Type="http://schemas.openxmlformats.org/officeDocument/2006/relationships/hyperlink" Target="https://www.aihw.gov.au/reports/housing-assistance/housing-assistance-in-australia/contents/summary" TargetMode="External"/><Relationship Id="rId49" Type="http://schemas.openxmlformats.org/officeDocument/2006/relationships/hyperlink" Target="https://www.actcoss.org.au/publications/advocacy-publications/report-counting-costs" TargetMode="External"/><Relationship Id="rId57" Type="http://schemas.openxmlformats.org/officeDocument/2006/relationships/hyperlink" Target="https://www.indigenoushpf.gov.au/measures/2-01-housing" TargetMode="External"/><Relationship Id="rId10" Type="http://schemas.openxmlformats.org/officeDocument/2006/relationships/hyperlink" Target="https://www.tra.gov.au/data-and-research/reports/state-tourism-satellite-account-2019-20/tourism-employment-results" TargetMode="External"/><Relationship Id="rId31" Type="http://schemas.openxmlformats.org/officeDocument/2006/relationships/hyperlink" Target="https://everybodyshome.com.au/national-homelessness-week-rental-crisis-hits-covid-essential-workforce/" TargetMode="External"/><Relationship Id="rId44" Type="http://schemas.openxmlformats.org/officeDocument/2006/relationships/hyperlink" Target="https://cityfutures.be.unsw.edu.au/documents/522/Modelling_costs_of_housing_provision_FINAL.pdf" TargetMode="External"/><Relationship Id="rId52" Type="http://schemas.openxmlformats.org/officeDocument/2006/relationships/hyperlink" Target="https://www.wgea.gov.au/sites/default/files/documents/Gender_pay_gap_factsheet_feb2022.pdf" TargetMode="External"/><Relationship Id="rId60" Type="http://schemas.openxmlformats.org/officeDocument/2006/relationships/hyperlink" Target="https://www.pc.gov.au/research/ongoing/report-on-government-services/2022/justice" TargetMode="External"/><Relationship Id="rId65" Type="http://schemas.openxmlformats.org/officeDocument/2006/relationships/hyperlink" Target="https://www.actcoss.org.au/publications/advocacy-publications/2022-act-cost-living-report" TargetMode="External"/><Relationship Id="rId73" Type="http://schemas.openxmlformats.org/officeDocument/2006/relationships/hyperlink" Target="https://www.perinatalwellbeingcentre.org.au/Handlers/Download.ashx?IDMF=53aab8d3-c748-4818-abab-32a58d3c510f" TargetMode="External"/><Relationship Id="rId78" Type="http://schemas.openxmlformats.org/officeDocument/2006/relationships/hyperlink" Target="https://www.actcoss.org.au/publications/advocacy-publications/2022-act-cost-living-report" TargetMode="External"/><Relationship Id="rId81" Type="http://schemas.openxmlformats.org/officeDocument/2006/relationships/hyperlink" Target="https://www.pc.gov.au/research/ongoing/report-on-government-services/2022/community-services/youth-justice" TargetMode="External"/><Relationship Id="rId86" Type="http://schemas.openxmlformats.org/officeDocument/2006/relationships/hyperlink" Target="https://www.planning.org.au/policy/planning-for-healthy-communit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ner\Downloads\TPL%20Submission.dot" TargetMode="External"/></Relationships>
</file>

<file path=word/documenttasks/documenttasks1.xml><?xml version="1.0" encoding="utf-8"?>
<t:Tasks xmlns:t="http://schemas.microsoft.com/office/tasks/2019/documenttasks" xmlns:oel="http://schemas.microsoft.com/office/2019/extlst">
  <t:Task id="{0B629CD2-1DDC-4F0A-BCFC-53303E4B5F9A}">
    <t:Anchor>
      <t:Comment id="512847789"/>
    </t:Anchor>
    <t:History>
      <t:Event id="{E60750F8-C71E-4F3F-B428-2A0974E2617F}" time="2022-04-21T11:51:15.575Z">
        <t:Attribution userId="S::adam.poulter@actcoss.org.au::25b1ef1d-92c5-4170-a483-84f24bacc698" userProvider="AD" userName="Adam Poulter"/>
        <t:Anchor>
          <t:Comment id="512847789"/>
        </t:Anchor>
        <t:Create/>
      </t:Event>
      <t:Event id="{444C9FE0-53F6-4302-A0BD-C1359367EB6B}" time="2022-04-21T11:51:15.575Z">
        <t:Attribution userId="S::adam.poulter@actcoss.org.au::25b1ef1d-92c5-4170-a483-84f24bacc698" userProvider="AD" userName="Adam Poulter"/>
        <t:Anchor>
          <t:Comment id="512847789"/>
        </t:Anchor>
        <t:Assign userId="S::avan.daruwalla@actcoss.org.au::6da69886-a8b7-4b12-9a7c-46cb72bbb97e" userProvider="AD" userName="Avan Daruwalla"/>
      </t:Event>
      <t:Event id="{E9745BB8-D5CF-4F2B-BEB0-A3A63C804F78}" time="2022-04-21T11:51:15.575Z">
        <t:Attribution userId="S::adam.poulter@actcoss.org.au::25b1ef1d-92c5-4170-a483-84f24bacc698" userProvider="AD" userName="Adam Poulter"/>
        <t:Anchor>
          <t:Comment id="512847789"/>
        </t:Anchor>
        <t:SetTitle title="@Avan, if you have time on Friday, please move these recommendations under the relevant sections at the end of the report., saying e.g.:HEALTH ACTCOSS recommends: + Greater investment in the Community Assistance and Support Program...."/>
      </t:Event>
    </t:History>
  </t:Task>
  <t:Task id="{29582401-D05A-4531-8CDA-97D0EDAB3182}">
    <t:Anchor>
      <t:Comment id="640204953"/>
    </t:Anchor>
    <t:History>
      <t:Event id="{E4F12358-98CE-437B-A3CC-0DAB6977D00D}" time="2022-05-13T03:17:13.582Z">
        <t:Attribution userId="S::adam.poulter@actcoss.org.au::25b1ef1d-92c5-4170-a483-84f24bacc698" userProvider="AD" userName="Adam Poulter"/>
        <t:Anchor>
          <t:Comment id="1382400926"/>
        </t:Anchor>
        <t:Create/>
      </t:Event>
      <t:Event id="{8CB2B7AE-5E10-4F1C-8389-329062979AB7}" time="2022-05-13T03:17:13.582Z">
        <t:Attribution userId="S::adam.poulter@actcoss.org.au::25b1ef1d-92c5-4170-a483-84f24bacc698" userProvider="AD" userName="Adam Poulter"/>
        <t:Anchor>
          <t:Comment id="1382400926"/>
        </t:Anchor>
        <t:Assign userId="S::gemma.killen@actcoss.org.au::430fc21c-3940-4b6c-ad61-bcaa86bf7407" userProvider="AD" userName="Gemma Killen"/>
      </t:Event>
      <t:Event id="{DAE2E3FD-1CF3-4946-B7D9-AA44E61EB3B5}" time="2022-05-13T03:17:13.582Z">
        <t:Attribution userId="S::adam.poulter@actcoss.org.au::25b1ef1d-92c5-4170-a483-84f24bacc698" userProvider="AD" userName="Adam Poulter"/>
        <t:Anchor>
          <t:Comment id="1382400926"/>
        </t:Anchor>
        <t:SetTitle title="@Gemma Killen yes let''s include them but I think we could have 2 pdfs: one for main document and one for the appendices"/>
      </t:Event>
    </t:History>
  </t:Task>
  <t:Task id="{252B94D9-F4F0-4915-9738-B17ED0E6940A}">
    <t:Anchor>
      <t:Comment id="640201421"/>
    </t:Anchor>
    <t:History>
      <t:Event id="{13778D3A-F3D8-45DC-86D3-A06282F1DBEC}" time="2022-05-13T03:15:49.545Z">
        <t:Attribution userId="S::adam.poulter@actcoss.org.au::25b1ef1d-92c5-4170-a483-84f24bacc698" userProvider="AD" userName="Adam Poulter"/>
        <t:Anchor>
          <t:Comment id="2109726408"/>
        </t:Anchor>
        <t:Create/>
      </t:Event>
      <t:Event id="{FE23CCE1-7777-4544-A82E-7FD4BE26B068}" time="2022-05-13T03:15:49.545Z">
        <t:Attribution userId="S::adam.poulter@actcoss.org.au::25b1ef1d-92c5-4170-a483-84f24bacc698" userProvider="AD" userName="Adam Poulter"/>
        <t:Anchor>
          <t:Comment id="2109726408"/>
        </t:Anchor>
        <t:Assign userId="S::geoff.buchanan@actcoss.org.au::1186c233-b0f9-4d72-bd8c-7ed11f061002" userProvider="AD" userName="Geoff Buchanan"/>
      </t:Event>
      <t:Event id="{3983DDCB-62AF-4012-948F-8BAB7E2DE447}" time="2022-05-13T03:15:49.545Z">
        <t:Attribution userId="S::adam.poulter@actcoss.org.au::25b1ef1d-92c5-4170-a483-84f24bacc698" userProvider="AD" userName="Adam Poulter"/>
        <t:Anchor>
          <t:Comment id="2109726408"/>
        </t:Anchor>
        <t:SetTitle title="@Geoff Buchanan, if we have credible sources for the figures here I think we should include these points, but be clear around our sources and any wriggle room in the assumptions. We can also recommend dialogue with e.g. CHIA (as the CHP industry peak)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3" ma:contentTypeDescription="Create a new document." ma:contentTypeScope="" ma:versionID="5d6394ce4c6bffbcc4f52b034a3c72c8">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36bb2ce0b774c68ce95e0a4a60e0c01f"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F1A775-93F5-4EC5-ADFF-688E0F644BC7}">
  <ds:schemaRefs>
    <ds:schemaRef ds:uri="http://schemas.openxmlformats.org/officeDocument/2006/bibliography"/>
  </ds:schemaRefs>
</ds:datastoreItem>
</file>

<file path=customXml/itemProps2.xml><?xml version="1.0" encoding="utf-8"?>
<ds:datastoreItem xmlns:ds="http://schemas.openxmlformats.org/officeDocument/2006/customXml" ds:itemID="{4FC06235-2002-4A40-86E9-C8AE67EEB127}">
  <ds:schemaRefs>
    <ds:schemaRef ds:uri="http://schemas.microsoft.com/sharepoint/v3/contenttype/forms"/>
  </ds:schemaRefs>
</ds:datastoreItem>
</file>

<file path=customXml/itemProps3.xml><?xml version="1.0" encoding="utf-8"?>
<ds:datastoreItem xmlns:ds="http://schemas.openxmlformats.org/officeDocument/2006/customXml" ds:itemID="{4DFC22B7-250C-44DE-AF10-0ADFC904FF8B}">
  <ds:schemaRefs>
    <ds:schemaRef ds:uri="32918964-d11d-4bda-ba04-9b8184f6a173"/>
    <ds:schemaRef ds:uri="http://purl.org/dc/terms/"/>
    <ds:schemaRef ds:uri="http://schemas.openxmlformats.org/package/2006/metadata/core-properties"/>
    <ds:schemaRef ds:uri="http://schemas.microsoft.com/office/2006/documentManagement/types"/>
    <ds:schemaRef ds:uri="ef2741e4-cc31-428c-aca2-d2da616e4ed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CBC14D4-2B6B-47E3-A281-5F7A1A934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TPL Submission.dot</Template>
  <TotalTime>1</TotalTime>
  <Pages>43</Pages>
  <Words>10121</Words>
  <Characters>63154</Characters>
  <Application>Microsoft Office Word</Application>
  <DocSecurity>0</DocSecurity>
  <Lines>526</Lines>
  <Paragraphs>146</Paragraphs>
  <ScaleCrop>false</ScaleCrop>
  <Company/>
  <LinksUpToDate>false</LinksUpToDate>
  <CharactersWithSpaces>73129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ACTCOSS ACT Budget Priorities 2022-23</dc:title>
  <dc:subject/>
  <dc:creator>Suzanne Richardson</dc:creator>
  <cp:keywords/>
  <dc:description/>
  <cp:lastModifiedBy>Suzanne Richardson</cp:lastModifiedBy>
  <cp:revision>2</cp:revision>
  <cp:lastPrinted>2022-05-14T10:36:00Z</cp:lastPrinted>
  <dcterms:created xsi:type="dcterms:W3CDTF">2022-05-19T07:04:00Z</dcterms:created>
  <dcterms:modified xsi:type="dcterms:W3CDTF">2022-05-19T07:04:00Z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ContentTypeId">
    <vt:lpwstr>0x010100A393A2617EF7DB41893826E3ECAAB324</vt:lpwstr>
  </property>
  <property fmtid="{D5CDD505-2E9C-101B-9397-08002B2CF9AE}" pid="4" name="AuthorIds_UIVersion_512">
    <vt:lpwstr>6</vt:lpwstr>
  </property>
  <property fmtid="{D5CDD505-2E9C-101B-9397-08002B2CF9AE}" pid="5" name="AuthorIds_UIVersion_2560">
    <vt:lpwstr>6</vt:lpwstr>
  </property>
  <property fmtid="{D5CDD505-2E9C-101B-9397-08002B2CF9AE}" pid="6" name="_MarkAsFinal">
    <vt:bool>true</vt:bool>
  </property>
</Properties>
</file>