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A41748">
      <w:pPr>
        <w:pStyle w:val="Letterhead"/>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A41748">
      <w:pPr>
        <w:pStyle w:val="Letterhead"/>
      </w:pPr>
    </w:p>
    <w:p w14:paraId="604F8F2D" w14:textId="1A09817B" w:rsidR="00116332" w:rsidRDefault="00116332" w:rsidP="00A41748">
      <w:pPr>
        <w:pStyle w:val="Letterhead"/>
      </w:pPr>
    </w:p>
    <w:p w14:paraId="1DED1803" w14:textId="77777777" w:rsidR="00866B34" w:rsidRDefault="00866B34" w:rsidP="00A41748">
      <w:pPr>
        <w:pStyle w:val="Letterhead"/>
      </w:pPr>
    </w:p>
    <w:p w14:paraId="2F3B43E4" w14:textId="23E09576" w:rsidR="00B70B8B" w:rsidRPr="00DA3570" w:rsidRDefault="00B70B8B" w:rsidP="00DA3570">
      <w:pPr>
        <w:pStyle w:val="Letterhead"/>
        <w:rPr>
          <w:b/>
          <w:bCs/>
        </w:rPr>
      </w:pPr>
      <w:r w:rsidRPr="00DA3570">
        <w:rPr>
          <w:b/>
          <w:bCs/>
        </w:rPr>
        <w:t xml:space="preserve">ACT Council of Social Service Inc. </w:t>
      </w:r>
    </w:p>
    <w:p w14:paraId="66466DE6" w14:textId="6340849C" w:rsidR="007D0CDE" w:rsidRPr="00116332" w:rsidRDefault="008C58B5" w:rsidP="00DA3570">
      <w:pPr>
        <w:pStyle w:val="Letterhead"/>
      </w:pPr>
      <w:r w:rsidRPr="00116332">
        <w:t>1/6 Gritten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DA3570">
      <w:pPr>
        <w:pStyle w:val="Letterhead"/>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DA3570">
      <w:pPr>
        <w:pStyle w:val="Letterhead"/>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DA3570">
      <w:pPr>
        <w:pStyle w:val="Letterhead"/>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DA3570">
      <w:pPr>
        <w:pStyle w:val="Letterhead"/>
      </w:pPr>
      <w:r w:rsidRPr="00116332">
        <w:t>abn</w:t>
      </w:r>
      <w:r w:rsidR="00F6621C">
        <w:t>.</w:t>
      </w:r>
      <w:r w:rsidR="00D566EE">
        <w:tab/>
      </w:r>
      <w:r w:rsidR="002539E3" w:rsidRPr="00116332">
        <w:t>81 818 839 988</w:t>
      </w:r>
    </w:p>
    <w:p w14:paraId="3C98F258" w14:textId="71A20A39" w:rsidR="00686AEB" w:rsidRDefault="00686AEB" w:rsidP="00E06BEC">
      <w:bookmarkStart w:id="1" w:name="Text12"/>
    </w:p>
    <w:bookmarkEnd w:id="1"/>
    <w:p w14:paraId="2E9632F8" w14:textId="2CD8BD99" w:rsidR="005F7E96" w:rsidRDefault="0031670C" w:rsidP="00E06BEC">
      <w:r>
        <w:t>13 April 2022</w:t>
      </w:r>
    </w:p>
    <w:p w14:paraId="7583D339" w14:textId="77777777" w:rsidR="009E2A23" w:rsidRDefault="009E2A23" w:rsidP="00E06BEC"/>
    <w:p w14:paraId="66EDCE44" w14:textId="5FAC22F7" w:rsidR="00EC2A44" w:rsidRDefault="009B3B8D" w:rsidP="00E06BEC">
      <w:bookmarkStart w:id="2" w:name="Text2"/>
      <w:bookmarkEnd w:id="0"/>
      <w:r>
        <w:t>Mr Joe Dimasi</w:t>
      </w:r>
    </w:p>
    <w:p w14:paraId="66EDCE45" w14:textId="0C8021FF" w:rsidR="00EC2A44" w:rsidRDefault="002052D8" w:rsidP="00E06BEC">
      <w:bookmarkStart w:id="3" w:name="Text3"/>
      <w:bookmarkEnd w:id="2"/>
      <w:r>
        <w:t>Senior Commissioner</w:t>
      </w:r>
    </w:p>
    <w:p w14:paraId="0613ED18" w14:textId="119C42BA" w:rsidR="005B0089" w:rsidRDefault="005B0089" w:rsidP="00E06BEC">
      <w:r>
        <w:t>Independent Competition and Regulatory Commission</w:t>
      </w:r>
    </w:p>
    <w:bookmarkEnd w:id="3"/>
    <w:p w14:paraId="61975553" w14:textId="77777777" w:rsidR="004E5412" w:rsidRDefault="004E5412" w:rsidP="00AF5200">
      <w:r w:rsidRPr="004E5412">
        <w:t xml:space="preserve">PO Box 161 </w:t>
      </w:r>
    </w:p>
    <w:p w14:paraId="66EDCE48" w14:textId="342F64FD" w:rsidR="00E0423E" w:rsidRDefault="00AB60F7" w:rsidP="00E06BEC">
      <w:r w:rsidRPr="00AB60F7">
        <w:t>Civic Square 2608 ACT</w:t>
      </w:r>
    </w:p>
    <w:p w14:paraId="1839CB0E" w14:textId="77777777" w:rsidR="00AB60F7" w:rsidRDefault="00AB60F7" w:rsidP="00E06BEC"/>
    <w:p w14:paraId="66EDCE4A" w14:textId="104ADD14" w:rsidR="00E0423E" w:rsidRDefault="00E0423E" w:rsidP="009C3637">
      <w:r>
        <w:t xml:space="preserve">Via email: </w:t>
      </w:r>
      <w:hyperlink r:id="rId14" w:history="1">
        <w:r w:rsidR="006A7A87" w:rsidRPr="00733DCD">
          <w:rPr>
            <w:rStyle w:val="Hyperlink"/>
          </w:rPr>
          <w:t>icrc@act.gov.au</w:t>
        </w:r>
      </w:hyperlink>
      <w:r w:rsidR="006A7A87">
        <w:t xml:space="preserve"> </w:t>
      </w:r>
    </w:p>
    <w:p w14:paraId="546C0F64" w14:textId="780BCDB7" w:rsidR="009C3637" w:rsidRDefault="009C3637" w:rsidP="0094755C">
      <w:pPr>
        <w:pStyle w:val="NoSpacing"/>
      </w:pPr>
    </w:p>
    <w:p w14:paraId="66EDCE4C" w14:textId="6BFD65B1" w:rsidR="00E0423E" w:rsidRDefault="00E0423E" w:rsidP="009C3637">
      <w:pPr>
        <w:pStyle w:val="BodyText"/>
      </w:pPr>
      <w:r w:rsidRPr="009C3637">
        <w:t>Dear</w:t>
      </w:r>
      <w:r>
        <w:t xml:space="preserve"> </w:t>
      </w:r>
      <w:r w:rsidR="005B0089">
        <w:t>Senior Commissioner Dimasi</w:t>
      </w:r>
    </w:p>
    <w:p w14:paraId="66EDCE4D" w14:textId="41BC4D9D" w:rsidR="00E0423E" w:rsidRPr="00202876" w:rsidRDefault="00DC38B4" w:rsidP="00202876">
      <w:pPr>
        <w:pStyle w:val="Subjectline"/>
      </w:pPr>
      <w:r>
        <w:t xml:space="preserve">Submission: </w:t>
      </w:r>
      <w:r w:rsidR="00FF775A">
        <w:t>Issues Paper</w:t>
      </w:r>
      <w:r>
        <w:t xml:space="preserve"> – </w:t>
      </w:r>
      <w:r w:rsidR="00087204">
        <w:t xml:space="preserve">Regulated water and sewerage </w:t>
      </w:r>
      <w:r w:rsidR="005E18A6">
        <w:t xml:space="preserve">services </w:t>
      </w:r>
      <w:r w:rsidR="00087204">
        <w:t>prices 2023-28</w:t>
      </w:r>
    </w:p>
    <w:p w14:paraId="53035F87" w14:textId="2F6DB7E0" w:rsidR="003C6947" w:rsidRDefault="00FF775A" w:rsidP="00C12F9E">
      <w:pPr>
        <w:pStyle w:val="BodyText"/>
      </w:pPr>
      <w:r>
        <w:t xml:space="preserve">The ACT Council of Social Service (ACTCOSS) welcomes the opportunity to </w:t>
      </w:r>
      <w:r w:rsidR="00C00D33">
        <w:t xml:space="preserve">comment on </w:t>
      </w:r>
      <w:r w:rsidR="004C0868">
        <w:t>the Independent Competition</w:t>
      </w:r>
      <w:r w:rsidR="0079336E">
        <w:t xml:space="preserve"> and Regulatory Commission’s (ICRC’s) </w:t>
      </w:r>
      <w:hyperlink r:id="rId15" w:history="1">
        <w:r w:rsidR="00AF50CF" w:rsidRPr="00800D06">
          <w:rPr>
            <w:rStyle w:val="Hyperlink"/>
          </w:rPr>
          <w:t xml:space="preserve">issues paper on regulated water and sewerage </w:t>
        </w:r>
        <w:r w:rsidR="005E18A6" w:rsidRPr="00800D06">
          <w:rPr>
            <w:rStyle w:val="Hyperlink"/>
          </w:rPr>
          <w:t xml:space="preserve">services </w:t>
        </w:r>
        <w:r w:rsidR="00AF50CF" w:rsidRPr="00800D06">
          <w:rPr>
            <w:rStyle w:val="Hyperlink"/>
          </w:rPr>
          <w:t>prices 2023-28</w:t>
        </w:r>
      </w:hyperlink>
      <w:r w:rsidR="00781FD9">
        <w:t xml:space="preserve"> (the Issues Paper)</w:t>
      </w:r>
      <w:r w:rsidR="00AF50CF">
        <w:t>.</w:t>
      </w:r>
      <w:r w:rsidR="0024618A">
        <w:t xml:space="preserve"> </w:t>
      </w:r>
    </w:p>
    <w:p w14:paraId="2C114927" w14:textId="6AFC567F" w:rsidR="00B03A72" w:rsidRDefault="00B03A72" w:rsidP="00C12F9E">
      <w:pPr>
        <w:pStyle w:val="BodyText"/>
      </w:pPr>
      <w:r w:rsidRPr="00781FD9">
        <w:t>Th</w:t>
      </w:r>
      <w:r>
        <w:t>e</w:t>
      </w:r>
      <w:r w:rsidRPr="00781FD9">
        <w:t xml:space="preserve"> Issues Paper</w:t>
      </w:r>
      <w:r>
        <w:t xml:space="preserve"> sets out the ICRC’s approach to</w:t>
      </w:r>
      <w:r w:rsidRPr="00781FD9">
        <w:t xml:space="preserve"> investigat</w:t>
      </w:r>
      <w:r>
        <w:t>ing</w:t>
      </w:r>
      <w:r w:rsidRPr="00781FD9">
        <w:t>, and determin</w:t>
      </w:r>
      <w:r>
        <w:t>ing</w:t>
      </w:r>
      <w:r w:rsidRPr="00781FD9">
        <w:t xml:space="preserve"> a price direction for, regulated water and sewerage services provided by Icon Water in the ACT</w:t>
      </w:r>
      <w:r>
        <w:t xml:space="preserve"> for the period from 2023-28. This submission responds to the questions raised in the Issues Paper</w:t>
      </w:r>
      <w:r w:rsidR="00734CA7">
        <w:t xml:space="preserve"> across </w:t>
      </w:r>
      <w:r w:rsidR="00DB0D1F">
        <w:t>two broad</w:t>
      </w:r>
      <w:r w:rsidR="00734CA7">
        <w:t xml:space="preserve"> themes: </w:t>
      </w:r>
    </w:p>
    <w:p w14:paraId="08EAD54D" w14:textId="21DAE6CD" w:rsidR="00734CA7" w:rsidRDefault="00734CA7" w:rsidP="00734CA7">
      <w:pPr>
        <w:pStyle w:val="ListBullet"/>
      </w:pPr>
      <w:r>
        <w:t>Balancing economic, social and environmental objectives</w:t>
      </w:r>
    </w:p>
    <w:p w14:paraId="38C1B737" w14:textId="30F58BC3" w:rsidR="00734CA7" w:rsidRDefault="00DB0D1F" w:rsidP="00C12F9E">
      <w:pPr>
        <w:pStyle w:val="ListBullet"/>
      </w:pPr>
      <w:r>
        <w:t>Setting</w:t>
      </w:r>
      <w:r w:rsidR="00F014AD">
        <w:t xml:space="preserve"> prices</w:t>
      </w:r>
      <w:r>
        <w:t xml:space="preserve"> and structuring pricing.</w:t>
      </w:r>
    </w:p>
    <w:p w14:paraId="6B9AF629" w14:textId="2D7433B8" w:rsidR="004210B0" w:rsidRDefault="004210B0" w:rsidP="004210B0">
      <w:pPr>
        <w:pStyle w:val="Heading1"/>
      </w:pPr>
      <w:r>
        <w:t>About ACTCOSS</w:t>
      </w:r>
    </w:p>
    <w:p w14:paraId="79C94704" w14:textId="19328D95" w:rsidR="00AF50CF" w:rsidRDefault="00AF50CF" w:rsidP="00C12F9E">
      <w:pPr>
        <w:pStyle w:val="BodyText"/>
      </w:pPr>
      <w:r>
        <w:t xml:space="preserve">ACTCOSS </w:t>
      </w:r>
      <w:r w:rsidRPr="00AF50CF">
        <w:t>advocates for social justice in the ACT and represents not-for-profit community organisations.</w:t>
      </w:r>
      <w:r w:rsidR="005E18A6">
        <w:t xml:space="preserve"> </w:t>
      </w:r>
      <w:r w:rsidR="002E355E">
        <w:t xml:space="preserve">As essential services, it is critical that water and sewerage services </w:t>
      </w:r>
      <w:r w:rsidR="00E94390">
        <w:t xml:space="preserve">are affordable, </w:t>
      </w:r>
      <w:r w:rsidR="00635620">
        <w:t>safe,</w:t>
      </w:r>
      <w:r w:rsidR="00E94390">
        <w:t xml:space="preserve"> reliable</w:t>
      </w:r>
      <w:r w:rsidR="009B4211">
        <w:t xml:space="preserve">, </w:t>
      </w:r>
      <w:r w:rsidR="00E45914">
        <w:t xml:space="preserve">secure, </w:t>
      </w:r>
      <w:r w:rsidR="009B4211">
        <w:t>and sustainable</w:t>
      </w:r>
      <w:r w:rsidR="00E94390">
        <w:t xml:space="preserve"> for everyone in our community</w:t>
      </w:r>
      <w:r w:rsidR="00E16E66">
        <w:t xml:space="preserve"> now and into the future</w:t>
      </w:r>
      <w:r w:rsidR="004C17A7">
        <w:t>.</w:t>
      </w:r>
    </w:p>
    <w:p w14:paraId="50F6A1FC" w14:textId="2B6F56B9" w:rsidR="004510CB" w:rsidRDefault="00E61C86" w:rsidP="00BB38E7">
      <w:pPr>
        <w:pStyle w:val="BodyText"/>
      </w:pPr>
      <w:r>
        <w:lastRenderedPageBreak/>
        <w:t xml:space="preserve">Between </w:t>
      </w:r>
      <w:r w:rsidR="00F9746B">
        <w:t>July 2021</w:t>
      </w:r>
      <w:r>
        <w:t xml:space="preserve"> and February 2022</w:t>
      </w:r>
      <w:r w:rsidR="00F9746B">
        <w:t xml:space="preserve">, </w:t>
      </w:r>
      <w:r w:rsidR="004510CB">
        <w:t>ACTCOSS</w:t>
      </w:r>
      <w:r w:rsidR="00DA55EB">
        <w:t xml:space="preserve"> </w:t>
      </w:r>
      <w:r w:rsidR="00994A85">
        <w:t>participated</w:t>
      </w:r>
      <w:r w:rsidR="00932F06">
        <w:t xml:space="preserve"> in</w:t>
      </w:r>
      <w:r w:rsidR="004510CB">
        <w:t xml:space="preserve"> Icon Water’s Customer Advocacy Forum</w:t>
      </w:r>
      <w:r w:rsidR="00FB50EB">
        <w:t xml:space="preserve"> </w:t>
      </w:r>
      <w:r w:rsidR="00932F06">
        <w:t>and its Deliberative Forum</w:t>
      </w:r>
      <w:r w:rsidR="00BB38E7">
        <w:t xml:space="preserve"> which w</w:t>
      </w:r>
      <w:r w:rsidR="00932F06">
        <w:t>ere</w:t>
      </w:r>
      <w:r w:rsidR="00BB38E7">
        <w:t xml:space="preserve"> established to inform the development of </w:t>
      </w:r>
      <w:r w:rsidR="00DA55EB">
        <w:t>their</w:t>
      </w:r>
      <w:r w:rsidR="00BB38E7">
        <w:t xml:space="preserve"> draft 2023-28 price proposal</w:t>
      </w:r>
      <w:r w:rsidR="00C14F0F">
        <w:t xml:space="preserve"> which is due to be submitted in July 2022.</w:t>
      </w:r>
      <w:r w:rsidR="003C18B1">
        <w:t xml:space="preserve"> ACTCOSS is also a </w:t>
      </w:r>
      <w:r w:rsidR="00960D78">
        <w:t xml:space="preserve">long-standing </w:t>
      </w:r>
      <w:r w:rsidR="003C18B1">
        <w:t xml:space="preserve">member of the ICRC’s Customer Consultative Committee which </w:t>
      </w:r>
      <w:r w:rsidR="00A96153">
        <w:t>has also recently discussed this price investigation.</w:t>
      </w:r>
    </w:p>
    <w:p w14:paraId="3B3A8613" w14:textId="56A5A4D1" w:rsidR="001145FE" w:rsidRDefault="001145FE" w:rsidP="000E2CA8">
      <w:pPr>
        <w:pStyle w:val="Heading1"/>
      </w:pPr>
      <w:r>
        <w:t>Balancing economic, social and environmental objectives</w:t>
      </w:r>
    </w:p>
    <w:p w14:paraId="61119772" w14:textId="025159D1" w:rsidR="008407E1" w:rsidRDefault="008407E1" w:rsidP="008407E1">
      <w:pPr>
        <w:pStyle w:val="BodyText"/>
      </w:pPr>
      <w:r>
        <w:t xml:space="preserve">The first three questions asked in the Issues Paper </w:t>
      </w:r>
      <w:r w:rsidR="007C0DD2">
        <w:t>relate to balancing economic, social and environmental objectives in the price investigation and determination</w:t>
      </w:r>
      <w:r>
        <w:t>:</w:t>
      </w:r>
    </w:p>
    <w:p w14:paraId="7AEBE466" w14:textId="77777777" w:rsidR="008407E1" w:rsidRPr="00CE03DF" w:rsidRDefault="008407E1" w:rsidP="00884D4D">
      <w:pPr>
        <w:pStyle w:val="ListNumber"/>
      </w:pPr>
      <w:r w:rsidRPr="00CE03DF">
        <w:t>How do we balance the trade-offs between affordability and price stability on one side, and Icon Water’s ability to raise enough revenue to maintain service standards, protect water security and manage the impacts of climate change on the other?</w:t>
      </w:r>
    </w:p>
    <w:p w14:paraId="46A62426" w14:textId="77777777" w:rsidR="008407E1" w:rsidRPr="00CE03DF" w:rsidRDefault="008407E1" w:rsidP="00884D4D">
      <w:pPr>
        <w:pStyle w:val="ListNumber"/>
      </w:pPr>
      <w:r w:rsidRPr="00CE03DF">
        <w:t>Are there other issues relating to the price and quality of water and sewerage services supplied by Icon Water that we should consider during the price investigation?</w:t>
      </w:r>
    </w:p>
    <w:p w14:paraId="6EC5B2D3" w14:textId="77777777" w:rsidR="008407E1" w:rsidRPr="00CE03DF" w:rsidRDefault="008407E1" w:rsidP="00884D4D">
      <w:pPr>
        <w:pStyle w:val="ListNumber"/>
      </w:pPr>
      <w:r w:rsidRPr="00CE03DF">
        <w:t>We welcome any comments on the pricing principles that we intend to use in addressing and balancing economic, social and environmental objectives.</w:t>
      </w:r>
    </w:p>
    <w:p w14:paraId="7CF220F7" w14:textId="2A6B17C9" w:rsidR="00715BB7" w:rsidRDefault="00026A2E" w:rsidP="00715BB7">
      <w:pPr>
        <w:pStyle w:val="BodyText"/>
      </w:pPr>
      <w:r>
        <w:t xml:space="preserve">The Issues Paper notes that, in undertaking </w:t>
      </w:r>
      <w:r w:rsidR="00DB1A6F">
        <w:t>pricing investigations, the ICRC balances:</w:t>
      </w:r>
    </w:p>
    <w:p w14:paraId="3BBF6B86" w14:textId="5CD23548" w:rsidR="00DB1A6F" w:rsidRDefault="00DB1A6F" w:rsidP="00BF0B74">
      <w:pPr>
        <w:pStyle w:val="BlockText"/>
      </w:pPr>
      <w:r>
        <w:t>economic, social and environmental considerations, as required by the objectives set out in our enabling legislation. This involves a trade-off between keeping</w:t>
      </w:r>
      <w:r w:rsidR="00BF0B74">
        <w:t xml:space="preserve"> </w:t>
      </w:r>
      <w:r>
        <w:t>bills</w:t>
      </w:r>
      <w:r w:rsidR="00BF0B74">
        <w:t xml:space="preserve"> </w:t>
      </w:r>
      <w:r>
        <w:t>affordable and creating a sustainable future for the water network.</w:t>
      </w:r>
    </w:p>
    <w:p w14:paraId="0D3FE073" w14:textId="77777777" w:rsidR="00397FF5" w:rsidRDefault="00397FF5" w:rsidP="00397FF5">
      <w:pPr>
        <w:pStyle w:val="BodyText"/>
      </w:pPr>
      <w:r>
        <w:t>Further, the ICRC:</w:t>
      </w:r>
    </w:p>
    <w:p w14:paraId="66924AC1" w14:textId="77777777" w:rsidR="00397FF5" w:rsidRDefault="00397FF5" w:rsidP="00397FF5">
      <w:pPr>
        <w:pStyle w:val="BlockText"/>
      </w:pPr>
      <w:r>
        <w:t>will continue to ensure that regulated prices for water and sewerage services reflect only efficient and prudent costs needed to provide services into the future.</w:t>
      </w:r>
    </w:p>
    <w:p w14:paraId="154ACA0C" w14:textId="6EF802FD" w:rsidR="00397FF5" w:rsidRDefault="00397FF5" w:rsidP="00397FF5">
      <w:pPr>
        <w:pStyle w:val="BodyText"/>
      </w:pPr>
      <w:r>
        <w:t xml:space="preserve">Sections 7 and 19L of the </w:t>
      </w:r>
      <w:r w:rsidR="006958A2" w:rsidRPr="006958A2">
        <w:rPr>
          <w:i/>
          <w:iCs/>
        </w:rPr>
        <w:t>Independent Competition and Regulatory Commission Act 1997</w:t>
      </w:r>
      <w:r w:rsidR="006958A2">
        <w:t xml:space="preserve"> </w:t>
      </w:r>
      <w:r>
        <w:t>set out the ICRC’s objectives as follows:</w:t>
      </w:r>
    </w:p>
    <w:p w14:paraId="7135F277" w14:textId="77777777" w:rsidR="00397FF5" w:rsidRDefault="00397FF5" w:rsidP="00397FF5">
      <w:pPr>
        <w:pStyle w:val="BlockText"/>
      </w:pPr>
      <w:r>
        <w:t>Section 7:</w:t>
      </w:r>
    </w:p>
    <w:p w14:paraId="3DA3C3B4" w14:textId="003BCEC8" w:rsidR="00397FF5" w:rsidRDefault="001C4451" w:rsidP="00397FF5">
      <w:pPr>
        <w:pStyle w:val="BlockText"/>
        <w:numPr>
          <w:ilvl w:val="0"/>
          <w:numId w:val="27"/>
        </w:numPr>
      </w:pPr>
      <w:r>
        <w:t xml:space="preserve"> </w:t>
      </w:r>
      <w:r w:rsidR="00397FF5">
        <w:t>to promote effective competition in the interests of consumers;</w:t>
      </w:r>
    </w:p>
    <w:p w14:paraId="4E97AFA0" w14:textId="2F7643B6" w:rsidR="00397FF5" w:rsidRDefault="001C4451" w:rsidP="00397FF5">
      <w:pPr>
        <w:pStyle w:val="BlockText"/>
        <w:numPr>
          <w:ilvl w:val="0"/>
          <w:numId w:val="27"/>
        </w:numPr>
      </w:pPr>
      <w:r>
        <w:t xml:space="preserve"> </w:t>
      </w:r>
      <w:r w:rsidR="00397FF5">
        <w:t>to facilitate an appropriate balance between efficiency and environmental and social considerations;</w:t>
      </w:r>
    </w:p>
    <w:p w14:paraId="2C3961CC" w14:textId="67107096" w:rsidR="00397FF5" w:rsidRDefault="001C4451" w:rsidP="00397FF5">
      <w:pPr>
        <w:pStyle w:val="BlockText"/>
        <w:numPr>
          <w:ilvl w:val="0"/>
          <w:numId w:val="27"/>
        </w:numPr>
      </w:pPr>
      <w:r>
        <w:t xml:space="preserve"> </w:t>
      </w:r>
      <w:r w:rsidR="00397FF5">
        <w:t>to ensure non-discriminatory access to monopoly and near-monopoly infrastructure.</w:t>
      </w:r>
    </w:p>
    <w:p w14:paraId="30698C54" w14:textId="77777777" w:rsidR="00397FF5" w:rsidRDefault="00397FF5" w:rsidP="00397FF5">
      <w:pPr>
        <w:pStyle w:val="BlockText"/>
      </w:pPr>
      <w:r>
        <w:t>Section 19L:</w:t>
      </w:r>
    </w:p>
    <w:p w14:paraId="5C39355A" w14:textId="77777777" w:rsidR="00397FF5" w:rsidRDefault="00397FF5" w:rsidP="00397FF5">
      <w:pPr>
        <w:pStyle w:val="BlockText"/>
      </w:pPr>
      <w:r>
        <w:lastRenderedPageBreak/>
        <w:t>To promote the efficient investment in, and efficient operation and use of regulated services for the long-term interests of consumers in relation to the price, quality, safety, reliability and security of the service.</w:t>
      </w:r>
    </w:p>
    <w:p w14:paraId="106D6A12" w14:textId="7C870C19" w:rsidR="00397FF5" w:rsidRDefault="00397FF5" w:rsidP="00397FF5">
      <w:pPr>
        <w:pStyle w:val="BodyText"/>
      </w:pPr>
      <w:r>
        <w:t>The table below sets out the pricing principles established by the ICRC to clarify how it intends to take account of these regulatory objectives in its decision making.</w:t>
      </w:r>
    </w:p>
    <w:p w14:paraId="385C26F2" w14:textId="182FEFA2" w:rsidR="0030502C" w:rsidRPr="00C134DE" w:rsidRDefault="008E5094" w:rsidP="00397FF5">
      <w:pPr>
        <w:pStyle w:val="BodyText"/>
        <w:rPr>
          <w:b/>
          <w:bCs/>
          <w:sz w:val="18"/>
          <w:szCs w:val="18"/>
        </w:rPr>
      </w:pPr>
      <w:r>
        <w:rPr>
          <w:b/>
          <w:bCs/>
          <w:sz w:val="18"/>
          <w:szCs w:val="18"/>
        </w:rPr>
        <w:t>ICRC’s r</w:t>
      </w:r>
      <w:r w:rsidR="00C134DE" w:rsidRPr="00C134DE">
        <w:rPr>
          <w:b/>
          <w:bCs/>
          <w:sz w:val="18"/>
          <w:szCs w:val="18"/>
        </w:rPr>
        <w:t>egulatory objectives and pricing principles for water and sewerage tariffs</w:t>
      </w:r>
    </w:p>
    <w:tbl>
      <w:tblPr>
        <w:tblStyle w:val="TableGrid"/>
        <w:tblpPr w:leftFromText="180" w:rightFromText="180" w:vertAnchor="text" w:tblpY="-47"/>
        <w:tblW w:w="0" w:type="auto"/>
        <w:tblLook w:val="04A0" w:firstRow="1" w:lastRow="0" w:firstColumn="1" w:lastColumn="0" w:noHBand="0" w:noVBand="1"/>
      </w:tblPr>
      <w:tblGrid>
        <w:gridCol w:w="1888"/>
        <w:gridCol w:w="7128"/>
      </w:tblGrid>
      <w:tr w:rsidR="008771F0" w:rsidRPr="006958A2" w14:paraId="441B9C2C" w14:textId="77777777" w:rsidTr="009E5D76">
        <w:tc>
          <w:tcPr>
            <w:tcW w:w="1888" w:type="dxa"/>
            <w:shd w:val="clear" w:color="auto" w:fill="DEEAF6" w:themeFill="accent1" w:themeFillTint="33"/>
          </w:tcPr>
          <w:p w14:paraId="6A91FCF2" w14:textId="77777777" w:rsidR="008771F0" w:rsidRPr="006958A2" w:rsidRDefault="008771F0" w:rsidP="008771F0">
            <w:pPr>
              <w:pStyle w:val="BodyText"/>
              <w:rPr>
                <w:b/>
                <w:bCs/>
                <w:sz w:val="16"/>
                <w:szCs w:val="16"/>
              </w:rPr>
            </w:pPr>
            <w:r w:rsidRPr="006958A2">
              <w:rPr>
                <w:b/>
                <w:bCs/>
                <w:sz w:val="16"/>
                <w:szCs w:val="16"/>
              </w:rPr>
              <w:t>Objective</w:t>
            </w:r>
          </w:p>
        </w:tc>
        <w:tc>
          <w:tcPr>
            <w:tcW w:w="7128" w:type="dxa"/>
            <w:shd w:val="clear" w:color="auto" w:fill="DEEAF6" w:themeFill="accent1" w:themeFillTint="33"/>
          </w:tcPr>
          <w:p w14:paraId="7DA1D2A9" w14:textId="77777777" w:rsidR="008771F0" w:rsidRPr="006958A2" w:rsidRDefault="008771F0" w:rsidP="008771F0">
            <w:pPr>
              <w:pStyle w:val="BodyText"/>
              <w:rPr>
                <w:sz w:val="16"/>
                <w:szCs w:val="16"/>
              </w:rPr>
            </w:pPr>
          </w:p>
        </w:tc>
      </w:tr>
      <w:tr w:rsidR="008771F0" w:rsidRPr="006958A2" w14:paraId="731D19A8" w14:textId="77777777" w:rsidTr="009E5D76">
        <w:tc>
          <w:tcPr>
            <w:tcW w:w="1888" w:type="dxa"/>
          </w:tcPr>
          <w:p w14:paraId="72432AB5" w14:textId="77777777" w:rsidR="008771F0" w:rsidRPr="006958A2" w:rsidRDefault="008771F0" w:rsidP="008771F0">
            <w:pPr>
              <w:pStyle w:val="BodyText"/>
              <w:rPr>
                <w:sz w:val="16"/>
                <w:szCs w:val="16"/>
              </w:rPr>
            </w:pPr>
            <w:r w:rsidRPr="006958A2">
              <w:rPr>
                <w:sz w:val="16"/>
                <w:szCs w:val="16"/>
              </w:rPr>
              <w:t>Overarching interpretation</w:t>
            </w:r>
          </w:p>
        </w:tc>
        <w:tc>
          <w:tcPr>
            <w:tcW w:w="7128" w:type="dxa"/>
          </w:tcPr>
          <w:p w14:paraId="15CA6315" w14:textId="77777777" w:rsidR="008771F0" w:rsidRPr="006958A2" w:rsidRDefault="008771F0" w:rsidP="008771F0">
            <w:pPr>
              <w:pStyle w:val="BodyText"/>
              <w:rPr>
                <w:sz w:val="16"/>
                <w:szCs w:val="16"/>
              </w:rPr>
            </w:pPr>
            <w:r w:rsidRPr="006958A2">
              <w:rPr>
                <w:sz w:val="16"/>
                <w:szCs w:val="16"/>
              </w:rPr>
              <w:t>To promote efficient investment in, and efficient operation and use of, regulated services for the long-term interests of consumers in relation to the price, quality, safety, reliability and security of the service.</w:t>
            </w:r>
          </w:p>
          <w:p w14:paraId="30FE4B57" w14:textId="2CD77FD7" w:rsidR="008771F0" w:rsidRPr="006958A2" w:rsidRDefault="008771F0" w:rsidP="008771F0">
            <w:pPr>
              <w:pStyle w:val="BodyText"/>
              <w:rPr>
                <w:sz w:val="16"/>
                <w:szCs w:val="16"/>
              </w:rPr>
            </w:pPr>
            <w:r w:rsidRPr="006958A2">
              <w:rPr>
                <w:sz w:val="16"/>
                <w:szCs w:val="16"/>
              </w:rPr>
              <w:t>The various aspects of economic efficiency are given emphasis but with the ultimate objective being the long-term interests of consumers.</w:t>
            </w:r>
            <w:r w:rsidR="008E10A2" w:rsidRPr="006958A2">
              <w:rPr>
                <w:sz w:val="16"/>
                <w:szCs w:val="16"/>
              </w:rPr>
              <w:t xml:space="preserve"> </w:t>
            </w:r>
            <w:r w:rsidRPr="006958A2">
              <w:rPr>
                <w:sz w:val="16"/>
                <w:szCs w:val="16"/>
              </w:rPr>
              <w:t>‘Economic efficiency’ when properly defined encompasses environmental objectives. Consumer interests must take account of equity and other social impacts, as required by the ICRC Act.</w:t>
            </w:r>
          </w:p>
          <w:p w14:paraId="269D1436" w14:textId="77777777" w:rsidR="008771F0" w:rsidRPr="006958A2" w:rsidRDefault="008771F0" w:rsidP="008771F0">
            <w:pPr>
              <w:pStyle w:val="BodyText"/>
              <w:rPr>
                <w:sz w:val="16"/>
                <w:szCs w:val="16"/>
              </w:rPr>
            </w:pPr>
            <w:r w:rsidRPr="006958A2">
              <w:rPr>
                <w:sz w:val="16"/>
                <w:szCs w:val="16"/>
              </w:rPr>
              <w:t>Economic efficiency considerations related to pricing are a starting point but need to be balanced with environmental and social considerations.</w:t>
            </w:r>
          </w:p>
        </w:tc>
      </w:tr>
      <w:tr w:rsidR="008771F0" w:rsidRPr="006958A2" w14:paraId="2B5C5388" w14:textId="77777777" w:rsidTr="009E5D76">
        <w:tc>
          <w:tcPr>
            <w:tcW w:w="1888" w:type="dxa"/>
            <w:shd w:val="clear" w:color="auto" w:fill="DEEAF6" w:themeFill="accent1" w:themeFillTint="33"/>
          </w:tcPr>
          <w:p w14:paraId="3E6E2B28" w14:textId="02E9B701" w:rsidR="008771F0" w:rsidRPr="006958A2" w:rsidRDefault="00BD0B01" w:rsidP="008771F0">
            <w:pPr>
              <w:pStyle w:val="BodyText"/>
              <w:rPr>
                <w:b/>
                <w:bCs/>
                <w:sz w:val="16"/>
                <w:szCs w:val="16"/>
              </w:rPr>
            </w:pPr>
            <w:r w:rsidRPr="006958A2">
              <w:rPr>
                <w:b/>
                <w:bCs/>
                <w:sz w:val="16"/>
                <w:szCs w:val="16"/>
              </w:rPr>
              <w:t>Pricing Principle</w:t>
            </w:r>
          </w:p>
        </w:tc>
        <w:tc>
          <w:tcPr>
            <w:tcW w:w="7128" w:type="dxa"/>
            <w:shd w:val="clear" w:color="auto" w:fill="DEEAF6" w:themeFill="accent1" w:themeFillTint="33"/>
          </w:tcPr>
          <w:p w14:paraId="237A7161" w14:textId="77777777" w:rsidR="008771F0" w:rsidRPr="006958A2" w:rsidRDefault="008771F0" w:rsidP="008771F0">
            <w:pPr>
              <w:pStyle w:val="BodyText"/>
              <w:rPr>
                <w:sz w:val="16"/>
                <w:szCs w:val="16"/>
              </w:rPr>
            </w:pPr>
          </w:p>
        </w:tc>
      </w:tr>
      <w:tr w:rsidR="008771F0" w:rsidRPr="006958A2" w14:paraId="4E73AEBC" w14:textId="77777777" w:rsidTr="009E5D76">
        <w:tc>
          <w:tcPr>
            <w:tcW w:w="1888" w:type="dxa"/>
          </w:tcPr>
          <w:p w14:paraId="0FFD5237" w14:textId="30F07717" w:rsidR="008771F0" w:rsidRPr="006958A2" w:rsidRDefault="00532615" w:rsidP="008771F0">
            <w:pPr>
              <w:pStyle w:val="BodyText"/>
              <w:rPr>
                <w:sz w:val="16"/>
                <w:szCs w:val="16"/>
              </w:rPr>
            </w:pPr>
            <w:r w:rsidRPr="006958A2">
              <w:rPr>
                <w:sz w:val="16"/>
                <w:szCs w:val="16"/>
              </w:rPr>
              <w:t>1. Economic</w:t>
            </w:r>
            <w:r w:rsidR="00624F86" w:rsidRPr="006958A2">
              <w:rPr>
                <w:sz w:val="16"/>
                <w:szCs w:val="16"/>
              </w:rPr>
              <w:t xml:space="preserve"> </w:t>
            </w:r>
            <w:r w:rsidRPr="006958A2">
              <w:rPr>
                <w:sz w:val="16"/>
                <w:szCs w:val="16"/>
              </w:rPr>
              <w:t>efficiency in</w:t>
            </w:r>
            <w:r w:rsidR="00624F86" w:rsidRPr="006958A2">
              <w:rPr>
                <w:sz w:val="16"/>
                <w:szCs w:val="16"/>
              </w:rPr>
              <w:t xml:space="preserve"> </w:t>
            </w:r>
            <w:r w:rsidRPr="006958A2">
              <w:rPr>
                <w:sz w:val="16"/>
                <w:szCs w:val="16"/>
              </w:rPr>
              <w:t>use</w:t>
            </w:r>
          </w:p>
        </w:tc>
        <w:tc>
          <w:tcPr>
            <w:tcW w:w="7128" w:type="dxa"/>
          </w:tcPr>
          <w:p w14:paraId="285CF9D0" w14:textId="0AD80AB1" w:rsidR="00532615" w:rsidRPr="006958A2" w:rsidRDefault="00532615" w:rsidP="00532615">
            <w:pPr>
              <w:pStyle w:val="BodyText"/>
              <w:rPr>
                <w:sz w:val="16"/>
                <w:szCs w:val="16"/>
              </w:rPr>
            </w:pPr>
            <w:r w:rsidRPr="006958A2">
              <w:rPr>
                <w:sz w:val="16"/>
                <w:szCs w:val="16"/>
              </w:rPr>
              <w:t>Regulated prices should promote the economically efficient use of Icon Water’s water and sewerage services infrastructure and should also encourage economically efficient use of the water resource itself.</w:t>
            </w:r>
          </w:p>
          <w:p w14:paraId="0447B83D" w14:textId="49706A4D" w:rsidR="008771F0" w:rsidRPr="006958A2" w:rsidRDefault="00532615" w:rsidP="00532615">
            <w:pPr>
              <w:pStyle w:val="BodyText"/>
              <w:rPr>
                <w:sz w:val="16"/>
                <w:szCs w:val="16"/>
              </w:rPr>
            </w:pPr>
            <w:r w:rsidRPr="006958A2">
              <w:rPr>
                <w:sz w:val="16"/>
                <w:szCs w:val="16"/>
              </w:rPr>
              <w:t>This includes having regard to uneconomic bypass where water supply is sourced from a higher cost alternative.</w:t>
            </w:r>
          </w:p>
        </w:tc>
      </w:tr>
      <w:tr w:rsidR="008771F0" w:rsidRPr="006958A2" w14:paraId="7F6C3F59" w14:textId="77777777" w:rsidTr="009E5D76">
        <w:tc>
          <w:tcPr>
            <w:tcW w:w="1888" w:type="dxa"/>
          </w:tcPr>
          <w:p w14:paraId="47035370" w14:textId="7A8FA201" w:rsidR="008771F0" w:rsidRPr="006958A2" w:rsidRDefault="00624F86" w:rsidP="00624F86">
            <w:pPr>
              <w:pStyle w:val="BodyText"/>
              <w:rPr>
                <w:sz w:val="16"/>
                <w:szCs w:val="16"/>
              </w:rPr>
            </w:pPr>
            <w:r w:rsidRPr="006958A2">
              <w:rPr>
                <w:sz w:val="16"/>
                <w:szCs w:val="16"/>
              </w:rPr>
              <w:t>2. Economic efficiency for investment and operation</w:t>
            </w:r>
          </w:p>
        </w:tc>
        <w:tc>
          <w:tcPr>
            <w:tcW w:w="7128" w:type="dxa"/>
          </w:tcPr>
          <w:p w14:paraId="1BF7963E" w14:textId="0E8AB7EB" w:rsidR="00397FF5" w:rsidRPr="006958A2" w:rsidRDefault="00397FF5" w:rsidP="00397FF5">
            <w:pPr>
              <w:pStyle w:val="BodyText"/>
              <w:rPr>
                <w:sz w:val="16"/>
                <w:szCs w:val="16"/>
              </w:rPr>
            </w:pPr>
            <w:r w:rsidRPr="006958A2">
              <w:rPr>
                <w:sz w:val="16"/>
                <w:szCs w:val="16"/>
              </w:rPr>
              <w:t>Regulated prices and supporting regulatory arrangements should facilitate the efficient recovery of the prudent and efficient costs of investment and operation.</w:t>
            </w:r>
          </w:p>
          <w:p w14:paraId="65A4D42A" w14:textId="50B1CF42" w:rsidR="008771F0" w:rsidRPr="006958A2" w:rsidRDefault="00397FF5" w:rsidP="00397FF5">
            <w:pPr>
              <w:pStyle w:val="BodyText"/>
              <w:rPr>
                <w:sz w:val="16"/>
                <w:szCs w:val="16"/>
              </w:rPr>
            </w:pPr>
            <w:r w:rsidRPr="006958A2">
              <w:rPr>
                <w:sz w:val="16"/>
                <w:szCs w:val="16"/>
              </w:rPr>
              <w:t>The finance recovery aspect of this principle is often described as ensuring revenue adequacy or financial viability. Costs also need to be efficient, which is primarily dealt with by auditing and incentive-sharing mechanisms.</w:t>
            </w:r>
          </w:p>
        </w:tc>
      </w:tr>
      <w:tr w:rsidR="008771F0" w:rsidRPr="006958A2" w14:paraId="328C7D42" w14:textId="77777777" w:rsidTr="009E5D76">
        <w:tc>
          <w:tcPr>
            <w:tcW w:w="1888" w:type="dxa"/>
          </w:tcPr>
          <w:p w14:paraId="76C72F57" w14:textId="1B1084A7" w:rsidR="008771F0" w:rsidRPr="006958A2" w:rsidRDefault="009E5D76" w:rsidP="009E5D76">
            <w:pPr>
              <w:pStyle w:val="BodyText"/>
              <w:rPr>
                <w:sz w:val="16"/>
                <w:szCs w:val="16"/>
              </w:rPr>
            </w:pPr>
            <w:r w:rsidRPr="006958A2">
              <w:rPr>
                <w:sz w:val="16"/>
                <w:szCs w:val="16"/>
              </w:rPr>
              <w:t>3. Environmental considerations</w:t>
            </w:r>
          </w:p>
        </w:tc>
        <w:tc>
          <w:tcPr>
            <w:tcW w:w="7128" w:type="dxa"/>
          </w:tcPr>
          <w:p w14:paraId="5270201B" w14:textId="25E4B8C0" w:rsidR="008771F0" w:rsidRPr="006958A2" w:rsidRDefault="009B3376" w:rsidP="009B3376">
            <w:pPr>
              <w:pStyle w:val="BodyText"/>
              <w:rPr>
                <w:sz w:val="16"/>
                <w:szCs w:val="16"/>
              </w:rPr>
            </w:pPr>
            <w:r w:rsidRPr="006958A2">
              <w:rPr>
                <w:sz w:val="16"/>
                <w:szCs w:val="16"/>
              </w:rPr>
              <w:t>Regulated prices and complementary mechanisms should ensure that environmental objectives are effectively accounted for.</w:t>
            </w:r>
          </w:p>
        </w:tc>
      </w:tr>
      <w:tr w:rsidR="008771F0" w:rsidRPr="006958A2" w14:paraId="19C47123" w14:textId="77777777" w:rsidTr="009E5D76">
        <w:tc>
          <w:tcPr>
            <w:tcW w:w="1888" w:type="dxa"/>
          </w:tcPr>
          <w:p w14:paraId="52AE1176" w14:textId="3EE7A993" w:rsidR="008771F0" w:rsidRPr="006958A2" w:rsidRDefault="009B3376" w:rsidP="00917EC4">
            <w:pPr>
              <w:pStyle w:val="BodyText"/>
              <w:rPr>
                <w:sz w:val="16"/>
                <w:szCs w:val="16"/>
              </w:rPr>
            </w:pPr>
            <w:r w:rsidRPr="006958A2">
              <w:rPr>
                <w:sz w:val="16"/>
                <w:szCs w:val="16"/>
              </w:rPr>
              <w:t>4. Community impact –</w:t>
            </w:r>
            <w:r w:rsidR="00917EC4" w:rsidRPr="006958A2">
              <w:rPr>
                <w:sz w:val="16"/>
                <w:szCs w:val="16"/>
              </w:rPr>
              <w:t xml:space="preserve"> </w:t>
            </w:r>
            <w:r w:rsidRPr="006958A2">
              <w:rPr>
                <w:sz w:val="16"/>
                <w:szCs w:val="16"/>
              </w:rPr>
              <w:t>gradual adjustment</w:t>
            </w:r>
          </w:p>
        </w:tc>
        <w:tc>
          <w:tcPr>
            <w:tcW w:w="7128" w:type="dxa"/>
          </w:tcPr>
          <w:p w14:paraId="7AE0B674" w14:textId="0EAE38DE" w:rsidR="008771F0" w:rsidRPr="006958A2" w:rsidRDefault="00286A7A" w:rsidP="00286A7A">
            <w:pPr>
              <w:pStyle w:val="BodyText"/>
              <w:rPr>
                <w:sz w:val="16"/>
                <w:szCs w:val="16"/>
              </w:rPr>
            </w:pPr>
            <w:r w:rsidRPr="006958A2">
              <w:rPr>
                <w:sz w:val="16"/>
                <w:szCs w:val="16"/>
              </w:rPr>
              <w:t>Any change to prices or other regulatory arrangements that will have substantial consumer impacts should be phased in over a transition period to allow reasonable time for consumers to adjust to the change.</w:t>
            </w:r>
          </w:p>
        </w:tc>
      </w:tr>
      <w:tr w:rsidR="008771F0" w:rsidRPr="006958A2" w14:paraId="264CE429" w14:textId="77777777" w:rsidTr="009E5D76">
        <w:tc>
          <w:tcPr>
            <w:tcW w:w="1888" w:type="dxa"/>
          </w:tcPr>
          <w:p w14:paraId="2034FBE5" w14:textId="487E43D8" w:rsidR="008771F0" w:rsidRPr="006958A2" w:rsidRDefault="00286A7A" w:rsidP="00286A7A">
            <w:pPr>
              <w:pStyle w:val="BodyText"/>
              <w:rPr>
                <w:sz w:val="16"/>
                <w:szCs w:val="16"/>
              </w:rPr>
            </w:pPr>
            <w:r w:rsidRPr="006958A2">
              <w:rPr>
                <w:sz w:val="16"/>
                <w:szCs w:val="16"/>
              </w:rPr>
              <w:t>5. Community impact – fair outcomes for low-income households</w:t>
            </w:r>
          </w:p>
        </w:tc>
        <w:tc>
          <w:tcPr>
            <w:tcW w:w="7128" w:type="dxa"/>
          </w:tcPr>
          <w:p w14:paraId="2BB0522A" w14:textId="4F08C802" w:rsidR="008771F0" w:rsidRPr="006958A2" w:rsidRDefault="004738B9" w:rsidP="004738B9">
            <w:pPr>
              <w:pStyle w:val="BodyText"/>
              <w:rPr>
                <w:sz w:val="16"/>
                <w:szCs w:val="16"/>
              </w:rPr>
            </w:pPr>
            <w:r w:rsidRPr="006958A2">
              <w:rPr>
                <w:sz w:val="16"/>
                <w:szCs w:val="16"/>
              </w:rPr>
              <w:t>Adverse impacts on households with low incomes need to be limited or moderated by phasing and other compensating mechanisms or limits on changes to regulated prices or other regulatory arrangements.</w:t>
            </w:r>
          </w:p>
        </w:tc>
      </w:tr>
      <w:tr w:rsidR="004738B9" w:rsidRPr="006958A2" w14:paraId="4556520E" w14:textId="77777777" w:rsidTr="009E5D76">
        <w:tc>
          <w:tcPr>
            <w:tcW w:w="1888" w:type="dxa"/>
          </w:tcPr>
          <w:p w14:paraId="44C811E0" w14:textId="1E6C4936" w:rsidR="004738B9" w:rsidRPr="006958A2" w:rsidRDefault="006F275A" w:rsidP="006F275A">
            <w:pPr>
              <w:pStyle w:val="BodyText"/>
              <w:rPr>
                <w:sz w:val="16"/>
                <w:szCs w:val="16"/>
              </w:rPr>
            </w:pPr>
            <w:r w:rsidRPr="006958A2">
              <w:rPr>
                <w:sz w:val="16"/>
                <w:szCs w:val="16"/>
              </w:rPr>
              <w:t>6. Regulatory governance – simplicity</w:t>
            </w:r>
          </w:p>
        </w:tc>
        <w:tc>
          <w:tcPr>
            <w:tcW w:w="7128" w:type="dxa"/>
          </w:tcPr>
          <w:p w14:paraId="4A62A4BA" w14:textId="04E2E640" w:rsidR="004738B9" w:rsidRPr="006958A2" w:rsidRDefault="006F275A" w:rsidP="006F275A">
            <w:pPr>
              <w:pStyle w:val="BodyText"/>
              <w:rPr>
                <w:sz w:val="16"/>
                <w:szCs w:val="16"/>
              </w:rPr>
            </w:pPr>
            <w:r w:rsidRPr="006958A2">
              <w:rPr>
                <w:sz w:val="16"/>
                <w:szCs w:val="16"/>
              </w:rPr>
              <w:t>Regulated prices and their form should be simple for consumers to understand and straightforward for the utility to implement.</w:t>
            </w:r>
          </w:p>
        </w:tc>
      </w:tr>
      <w:tr w:rsidR="006F275A" w:rsidRPr="006958A2" w14:paraId="0CC76A4C" w14:textId="77777777" w:rsidTr="009E5D76">
        <w:tc>
          <w:tcPr>
            <w:tcW w:w="1888" w:type="dxa"/>
          </w:tcPr>
          <w:p w14:paraId="1B46776F" w14:textId="7AA44F8B" w:rsidR="006F275A" w:rsidRPr="006958A2" w:rsidRDefault="00C469B1" w:rsidP="00C469B1">
            <w:pPr>
              <w:pStyle w:val="BodyText"/>
              <w:rPr>
                <w:sz w:val="16"/>
                <w:szCs w:val="16"/>
              </w:rPr>
            </w:pPr>
            <w:r w:rsidRPr="006958A2">
              <w:rPr>
                <w:sz w:val="16"/>
                <w:szCs w:val="16"/>
              </w:rPr>
              <w:t>7. Regulatory governance –transparency</w:t>
            </w:r>
          </w:p>
        </w:tc>
        <w:tc>
          <w:tcPr>
            <w:tcW w:w="7128" w:type="dxa"/>
          </w:tcPr>
          <w:p w14:paraId="7960AC85" w14:textId="647D6A41" w:rsidR="006F275A" w:rsidRPr="006958A2" w:rsidRDefault="0027522D" w:rsidP="0027522D">
            <w:pPr>
              <w:pStyle w:val="BodyText"/>
              <w:rPr>
                <w:sz w:val="16"/>
                <w:szCs w:val="16"/>
              </w:rPr>
            </w:pPr>
            <w:r w:rsidRPr="006958A2">
              <w:rPr>
                <w:sz w:val="16"/>
                <w:szCs w:val="16"/>
              </w:rPr>
              <w:t>Regulated prices should be set using a transparent methodology and be subject to public consultation and scrutiny.</w:t>
            </w:r>
          </w:p>
        </w:tc>
      </w:tr>
    </w:tbl>
    <w:p w14:paraId="6C4C9932" w14:textId="77777777" w:rsidR="00BC5AE1" w:rsidRDefault="00BC5AE1" w:rsidP="00BC5AE1">
      <w:pPr>
        <w:pStyle w:val="BodyText"/>
      </w:pPr>
    </w:p>
    <w:p w14:paraId="6AB9D1E3" w14:textId="769EC65F" w:rsidR="00E05D97" w:rsidRDefault="00041C27" w:rsidP="00BC5AE1">
      <w:pPr>
        <w:pStyle w:val="BodyText"/>
      </w:pPr>
      <w:r>
        <w:lastRenderedPageBreak/>
        <w:t xml:space="preserve">ACTCOSS </w:t>
      </w:r>
      <w:r w:rsidR="00CD606C">
        <w:t>supports the</w:t>
      </w:r>
      <w:r w:rsidR="0054625A">
        <w:t xml:space="preserve"> ICRC’s</w:t>
      </w:r>
      <w:r w:rsidR="00CD606C">
        <w:t xml:space="preserve"> pricing principles</w:t>
      </w:r>
      <w:r w:rsidR="00EB1780">
        <w:t xml:space="preserve">, </w:t>
      </w:r>
      <w:r w:rsidR="00AD2848">
        <w:t>especially</w:t>
      </w:r>
      <w:r w:rsidR="00EB1780">
        <w:t xml:space="preserve"> the </w:t>
      </w:r>
      <w:r w:rsidR="00AD2848">
        <w:t>principle</w:t>
      </w:r>
      <w:r w:rsidR="00EA3ECA">
        <w:t xml:space="preserve">s relating to </w:t>
      </w:r>
      <w:r w:rsidR="00EB1780">
        <w:t xml:space="preserve">community impact in terms of both price stability and </w:t>
      </w:r>
      <w:r w:rsidR="008B63B9">
        <w:t>equitable</w:t>
      </w:r>
      <w:r w:rsidR="00EB1780">
        <w:t xml:space="preserve"> outcomes for low-income households.</w:t>
      </w:r>
      <w:r w:rsidR="00F9279D">
        <w:t xml:space="preserve"> In investigating and determining </w:t>
      </w:r>
      <w:r w:rsidR="00EA3ECA">
        <w:t xml:space="preserve">Icon Water’s </w:t>
      </w:r>
      <w:r w:rsidR="00F9279D">
        <w:t>water and sewerage services pric</w:t>
      </w:r>
      <w:r w:rsidR="00EA3ECA">
        <w:t>es</w:t>
      </w:r>
      <w:r w:rsidR="00F9279D">
        <w:t xml:space="preserve"> ACTCOSS </w:t>
      </w:r>
      <w:r w:rsidR="009D6F7B">
        <w:t xml:space="preserve">recommends that the ICRC include an assessment of the distributional impact of </w:t>
      </w:r>
      <w:r w:rsidR="00994C6B">
        <w:t>pricing</w:t>
      </w:r>
      <w:r w:rsidR="00C96E29">
        <w:t xml:space="preserve"> across </w:t>
      </w:r>
      <w:r w:rsidR="004A6727">
        <w:t xml:space="preserve">household </w:t>
      </w:r>
      <w:r w:rsidR="00F115AB">
        <w:t xml:space="preserve">income </w:t>
      </w:r>
      <w:r w:rsidR="004A6727">
        <w:t xml:space="preserve">quintiles and/or </w:t>
      </w:r>
      <w:r w:rsidR="00950824">
        <w:t xml:space="preserve">household </w:t>
      </w:r>
      <w:r w:rsidR="004A6727">
        <w:t>types</w:t>
      </w:r>
      <w:r w:rsidR="00994C6B">
        <w:t xml:space="preserve">. </w:t>
      </w:r>
      <w:r w:rsidR="004A6727">
        <w:t>It is important to ensure that pricing is informed by</w:t>
      </w:r>
      <w:r w:rsidR="00BC2C7E">
        <w:t xml:space="preserve"> an</w:t>
      </w:r>
      <w:r w:rsidR="00994C6B">
        <w:t xml:space="preserve"> understanding of the impact on affordability for low-income households with different levels of water </w:t>
      </w:r>
      <w:r w:rsidR="00F04EFC">
        <w:t>usage.</w:t>
      </w:r>
    </w:p>
    <w:p w14:paraId="547B9D4A" w14:textId="43DB0667" w:rsidR="00600581" w:rsidRDefault="00DC417D" w:rsidP="00DC417D">
      <w:pPr>
        <w:pStyle w:val="BodyText"/>
      </w:pPr>
      <w:r w:rsidRPr="004E4CC8">
        <w:t>In investigating the affordability of water and sewerage services prices, it would be useful to ex</w:t>
      </w:r>
      <w:r w:rsidR="00AD01B0">
        <w:t>amine the</w:t>
      </w:r>
      <w:r w:rsidRPr="004E4CC8">
        <w:t xml:space="preserve"> levels of debt and/or hardship among Icon Water customers.</w:t>
      </w:r>
      <w:r>
        <w:t xml:space="preserve"> It would also be useful to analyse the impact of the Utilities Concession in addressing affordability for low-income households. The Utilities Concession is intended to support low-income households to access affordable electricity, gas, and water and sewerage services</w:t>
      </w:r>
      <w:r w:rsidR="004B7A08">
        <w:t>. The Utilities Concession</w:t>
      </w:r>
      <w:r>
        <w:t xml:space="preserve"> is applied to households’ electricity account</w:t>
      </w:r>
      <w:r w:rsidR="004B7A08">
        <w:t>s</w:t>
      </w:r>
      <w:r>
        <w:t xml:space="preserve"> </w:t>
      </w:r>
      <w:r w:rsidR="004B7A08">
        <w:t>which</w:t>
      </w:r>
      <w:r>
        <w:t xml:space="preserve"> ensures that rental households </w:t>
      </w:r>
      <w:r w:rsidR="00773264">
        <w:t xml:space="preserve">that do not receive </w:t>
      </w:r>
      <w:r w:rsidR="00600581">
        <w:t>Icon Water</w:t>
      </w:r>
      <w:r w:rsidR="00773264">
        <w:t xml:space="preserve"> bills directly </w:t>
      </w:r>
      <w:r>
        <w:t xml:space="preserve">also have access to a concession covering water and sewerage services. </w:t>
      </w:r>
      <w:r w:rsidR="00E816AC">
        <w:t>However, as it is applied to the</w:t>
      </w:r>
      <w:r w:rsidR="002E0290">
        <w:t xml:space="preserve"> electricity account the</w:t>
      </w:r>
      <w:r>
        <w:t xml:space="preserve"> relationship between the Utilities Concession and the affordability of </w:t>
      </w:r>
      <w:r w:rsidR="009456D9">
        <w:t>water and sewerage services</w:t>
      </w:r>
      <w:r w:rsidR="00433446">
        <w:t xml:space="preserve"> for </w:t>
      </w:r>
      <w:r w:rsidR="0092658A">
        <w:t>low-income households</w:t>
      </w:r>
      <w:r>
        <w:t xml:space="preserve"> is not clear. </w:t>
      </w:r>
    </w:p>
    <w:p w14:paraId="487D980D" w14:textId="16AC8543" w:rsidR="00DC417D" w:rsidRDefault="00C4753E" w:rsidP="00DC417D">
      <w:pPr>
        <w:pStyle w:val="BodyText"/>
      </w:pPr>
      <w:r>
        <w:t>The</w:t>
      </w:r>
      <w:r w:rsidR="002B255D">
        <w:t xml:space="preserve"> </w:t>
      </w:r>
      <w:r w:rsidR="00C91EA0">
        <w:t xml:space="preserve">2023-28 price </w:t>
      </w:r>
      <w:r w:rsidR="00802E06">
        <w:t xml:space="preserve">review </w:t>
      </w:r>
      <w:r>
        <w:t xml:space="preserve">provides an opportunity </w:t>
      </w:r>
      <w:r w:rsidR="00704755">
        <w:t xml:space="preserve">for the ICRC and/or Icon Water </w:t>
      </w:r>
      <w:r>
        <w:t>to</w:t>
      </w:r>
      <w:r w:rsidR="00C91EA0">
        <w:t xml:space="preserve"> </w:t>
      </w:r>
      <w:r w:rsidR="000D62AB">
        <w:t>assess</w:t>
      </w:r>
      <w:r w:rsidR="00BC48C3">
        <w:t xml:space="preserve"> the </w:t>
      </w:r>
      <w:r w:rsidR="00E0014E">
        <w:t>adequacy</w:t>
      </w:r>
      <w:r w:rsidR="00EE651A">
        <w:t>, targeting,</w:t>
      </w:r>
      <w:r w:rsidR="00E0014E">
        <w:t xml:space="preserve"> and </w:t>
      </w:r>
      <w:r w:rsidR="00BC48C3">
        <w:t>design of the Utilities Concession</w:t>
      </w:r>
      <w:r w:rsidR="00E0014E">
        <w:t xml:space="preserve"> </w:t>
      </w:r>
      <w:r w:rsidR="00EE651A">
        <w:t xml:space="preserve">to ensure it </w:t>
      </w:r>
      <w:r w:rsidR="004F339D">
        <w:t>achieves the aim of making</w:t>
      </w:r>
      <w:r w:rsidR="00EE651A">
        <w:t xml:space="preserve"> </w:t>
      </w:r>
      <w:r w:rsidR="00E0014E">
        <w:t xml:space="preserve">water and sewerage </w:t>
      </w:r>
      <w:r w:rsidR="00EE651A">
        <w:t xml:space="preserve">services affordable for all. </w:t>
      </w:r>
      <w:r w:rsidR="00DC417D">
        <w:t>While beyond the ICRC’s remit, ACTCOSS recommends that ACT Government extend the Utilities Hardship Fund to include Icon Water. The Utilities Hardship Fund currently uses co-contributions from ACT Government and four energy retailers operating in the ACT to provide customers experiencing hardship or payment difficulty with access to up to two $100 rebates per year.</w:t>
      </w:r>
    </w:p>
    <w:p w14:paraId="3B7D0477" w14:textId="4A6F9026" w:rsidR="001115E8" w:rsidRDefault="00A57684" w:rsidP="00BC5AE1">
      <w:pPr>
        <w:pStyle w:val="BodyText"/>
      </w:pPr>
      <w:r>
        <w:t xml:space="preserve">Equity considerations need to extend beyond price stability and affordability to also </w:t>
      </w:r>
      <w:r w:rsidR="00687463">
        <w:t>ensure equitable access to quality, safe, reliable, secure</w:t>
      </w:r>
      <w:r w:rsidR="00276FA2">
        <w:t>,</w:t>
      </w:r>
      <w:r w:rsidR="00687463">
        <w:t xml:space="preserve"> and sustainable services</w:t>
      </w:r>
      <w:r w:rsidR="008A2829">
        <w:t xml:space="preserve">. The </w:t>
      </w:r>
      <w:r w:rsidR="00D87A2D">
        <w:t xml:space="preserve">ICRC’s price investigation should also take into consideration whether </w:t>
      </w:r>
      <w:r w:rsidR="00D41D89">
        <w:t>investments in water and sewerage services that may</w:t>
      </w:r>
      <w:r w:rsidR="000F2551">
        <w:t xml:space="preserve"> add costs across the consumer base would also </w:t>
      </w:r>
      <w:r w:rsidR="00231608">
        <w:t>help ensure all consumers are guaranteed the same or similar level of service.</w:t>
      </w:r>
      <w:r w:rsidR="00E02D4A">
        <w:t xml:space="preserve"> </w:t>
      </w:r>
      <w:r w:rsidR="00C546B9">
        <w:t xml:space="preserve">An example of </w:t>
      </w:r>
      <w:r w:rsidR="001342E1">
        <w:t>an appropriate</w:t>
      </w:r>
      <w:r w:rsidR="00C546B9">
        <w:t xml:space="preserve"> investment would be</w:t>
      </w:r>
      <w:r w:rsidR="00FA603A">
        <w:t xml:space="preserve"> to improve service quality and reliability</w:t>
      </w:r>
      <w:r w:rsidR="00E02D4A">
        <w:t xml:space="preserve"> in a suburb or neighbourhood</w:t>
      </w:r>
      <w:r w:rsidR="0014237A">
        <w:t xml:space="preserve"> that </w:t>
      </w:r>
      <w:r w:rsidR="00CC09AC">
        <w:t xml:space="preserve">currently </w:t>
      </w:r>
      <w:r w:rsidR="0014237A">
        <w:t>experiences a much higher rate of outages than other areas of the ACT.</w:t>
      </w:r>
    </w:p>
    <w:p w14:paraId="5F7F0F34" w14:textId="249C5DAE" w:rsidR="00153EBF" w:rsidRDefault="00153EBF" w:rsidP="00BC5AE1">
      <w:pPr>
        <w:pStyle w:val="BodyText"/>
      </w:pPr>
      <w:r>
        <w:t xml:space="preserve">As the peak body for not-for-profit community organisations in the ACT, we </w:t>
      </w:r>
      <w:r w:rsidR="00541938">
        <w:t xml:space="preserve">recommend that the ICRC </w:t>
      </w:r>
      <w:r w:rsidR="002920BE">
        <w:t xml:space="preserve">also </w:t>
      </w:r>
      <w:r w:rsidR="00541938">
        <w:t>consider the</w:t>
      </w:r>
      <w:r w:rsidR="00863F9E">
        <w:t xml:space="preserve"> distributional</w:t>
      </w:r>
      <w:r w:rsidR="00541938">
        <w:t xml:space="preserve"> impact of pric</w:t>
      </w:r>
      <w:r w:rsidR="00863F9E">
        <w:t>ing across</w:t>
      </w:r>
      <w:r w:rsidR="004372F4">
        <w:t xml:space="preserve"> businesses and community organisations</w:t>
      </w:r>
      <w:r w:rsidR="00AE2C92">
        <w:t>.</w:t>
      </w:r>
      <w:r w:rsidR="00CE5CAC">
        <w:t xml:space="preserve"> Not-for-profit community organisations </w:t>
      </w:r>
      <w:r w:rsidR="004A5A1C">
        <w:t>often</w:t>
      </w:r>
      <w:r w:rsidR="00EB5E2E">
        <w:t xml:space="preserve"> have very constrained operating budgets that limit their ability to </w:t>
      </w:r>
      <w:r w:rsidR="003318D8">
        <w:t xml:space="preserve">manage </w:t>
      </w:r>
      <w:r w:rsidR="00446318">
        <w:t xml:space="preserve">high </w:t>
      </w:r>
      <w:r w:rsidR="00C07B79">
        <w:t xml:space="preserve">prices </w:t>
      </w:r>
      <w:r w:rsidR="00446318">
        <w:t xml:space="preserve">and/or </w:t>
      </w:r>
      <w:r w:rsidR="003318D8">
        <w:t xml:space="preserve">sudden </w:t>
      </w:r>
      <w:r w:rsidR="00C07B79">
        <w:t>price increases</w:t>
      </w:r>
      <w:r w:rsidR="003318D8">
        <w:t xml:space="preserve">. </w:t>
      </w:r>
      <w:r w:rsidR="00C07B79">
        <w:t xml:space="preserve">Usage levels may also vary significantly between organisations depending on the </w:t>
      </w:r>
      <w:r w:rsidR="009D70F4">
        <w:t xml:space="preserve">services they provide. For example, organisations </w:t>
      </w:r>
      <w:r w:rsidR="00A36BD6">
        <w:t xml:space="preserve">providing </w:t>
      </w:r>
      <w:r w:rsidR="002C0135">
        <w:t>accommodation</w:t>
      </w:r>
      <w:r w:rsidR="00A36BD6">
        <w:t xml:space="preserve"> for </w:t>
      </w:r>
      <w:r w:rsidR="00C15618">
        <w:t>a large number of</w:t>
      </w:r>
      <w:r w:rsidR="00A36BD6">
        <w:t xml:space="preserve"> clients (e.g., aged care </w:t>
      </w:r>
      <w:r w:rsidR="00A36BD6">
        <w:lastRenderedPageBreak/>
        <w:t>or specialist homelessness services)</w:t>
      </w:r>
      <w:r w:rsidR="00DF37CE">
        <w:t xml:space="preserve"> may </w:t>
      </w:r>
      <w:r w:rsidR="009B29B2">
        <w:t xml:space="preserve">face significantly higher </w:t>
      </w:r>
      <w:r w:rsidR="00DF37CE">
        <w:t xml:space="preserve">water and sewerage services </w:t>
      </w:r>
      <w:r w:rsidR="009B29B2">
        <w:t>bills</w:t>
      </w:r>
      <w:r w:rsidR="00DF37CE">
        <w:t>.</w:t>
      </w:r>
      <w:r w:rsidR="002353E6">
        <w:t xml:space="preserve"> Targeted concessions should be considered for such organisations.</w:t>
      </w:r>
    </w:p>
    <w:p w14:paraId="3A58DB85" w14:textId="687F7E27" w:rsidR="001C7F5B" w:rsidRDefault="001C7F5B" w:rsidP="00BC5AE1">
      <w:pPr>
        <w:pStyle w:val="BodyText"/>
      </w:pPr>
      <w:r>
        <w:t xml:space="preserve">ACTCOSS also </w:t>
      </w:r>
      <w:r w:rsidR="00CD57DE">
        <w:t>supports</w:t>
      </w:r>
      <w:r w:rsidRPr="001C7F5B">
        <w:t xml:space="preserve"> equity measures by ACT Government and/or Icon Water that assist low-income households</w:t>
      </w:r>
      <w:r w:rsidR="00CD57DE">
        <w:t xml:space="preserve"> and not-for-profit organisations</w:t>
      </w:r>
      <w:r w:rsidRPr="001C7F5B">
        <w:t xml:space="preserve"> to identify ways they can reduce their water bills</w:t>
      </w:r>
      <w:r w:rsidR="00CD57DE">
        <w:t xml:space="preserve"> and </w:t>
      </w:r>
      <w:r w:rsidRPr="001C7F5B">
        <w:t>afford water-saving devices or repairs.</w:t>
      </w:r>
    </w:p>
    <w:p w14:paraId="50BC987B" w14:textId="77777777" w:rsidR="00331E47" w:rsidRDefault="00A13F27" w:rsidP="00BC5AE1">
      <w:pPr>
        <w:pStyle w:val="BodyText"/>
      </w:pPr>
      <w:r>
        <w:t xml:space="preserve">Community engagement has a critical role to place in </w:t>
      </w:r>
      <w:r w:rsidR="00DD654B">
        <w:t>balancing economic, social and environmental objectives</w:t>
      </w:r>
      <w:r w:rsidR="00D215D4">
        <w:t xml:space="preserve"> in investigating and determining water and sewerage services prices</w:t>
      </w:r>
      <w:r w:rsidR="00DD654B">
        <w:t xml:space="preserve">. ACTCOSS </w:t>
      </w:r>
      <w:r w:rsidR="00ED5C2C">
        <w:t xml:space="preserve">commends Icon Water for the work it has already undertaken through the Consumer Advocacy Forum and the Deliberative Forum to </w:t>
      </w:r>
      <w:r w:rsidR="00ED5C2C" w:rsidRPr="00ED5C2C">
        <w:t>inform the development of their draft 2023-28 price proposal</w:t>
      </w:r>
      <w:r w:rsidR="00ED5C2C">
        <w:t xml:space="preserve">. </w:t>
      </w:r>
      <w:r w:rsidR="009E582C">
        <w:t xml:space="preserve">This engagement has covered a diverse </w:t>
      </w:r>
      <w:r w:rsidR="00EA0412">
        <w:t>range of sectors and consumers.</w:t>
      </w:r>
      <w:r w:rsidR="00441801">
        <w:t xml:space="preserve"> </w:t>
      </w:r>
      <w:r w:rsidR="00D55BD6">
        <w:t xml:space="preserve">We especially welcomed </w:t>
      </w:r>
      <w:r w:rsidR="00BC3DF9">
        <w:t xml:space="preserve">Icon Water’s </w:t>
      </w:r>
      <w:r w:rsidR="00D55BD6">
        <w:t xml:space="preserve">Deliberative Forum </w:t>
      </w:r>
      <w:r w:rsidR="00CC2F55">
        <w:t xml:space="preserve">requiring participants to </w:t>
      </w:r>
      <w:r w:rsidR="00FF6A1B">
        <w:t>consider levels</w:t>
      </w:r>
      <w:r w:rsidR="00CC2F55">
        <w:t xml:space="preserve"> of investment by Icon Water </w:t>
      </w:r>
      <w:r w:rsidR="00FF6A1B">
        <w:t xml:space="preserve">across different areas – e.g., </w:t>
      </w:r>
      <w:r w:rsidR="0012694A">
        <w:t xml:space="preserve">digital meters, achieving net zero emissions, research and development, </w:t>
      </w:r>
      <w:r w:rsidR="00B47DA4">
        <w:t xml:space="preserve">and service levels – </w:t>
      </w:r>
      <w:r w:rsidR="00CC2F55">
        <w:t xml:space="preserve">that was informed by </w:t>
      </w:r>
      <w:r w:rsidR="006E248A">
        <w:t>the distributional impact on the bills of household and business archetypes.</w:t>
      </w:r>
      <w:r w:rsidR="00DB6DDF">
        <w:t xml:space="preserve"> </w:t>
      </w:r>
    </w:p>
    <w:p w14:paraId="4B7B0201" w14:textId="200F4099" w:rsidR="004E4CC8" w:rsidRDefault="006B009E" w:rsidP="00BC5AE1">
      <w:pPr>
        <w:pStyle w:val="BodyText"/>
      </w:pPr>
      <w:r>
        <w:t>It is important that</w:t>
      </w:r>
      <w:r w:rsidR="00331E47">
        <w:t xml:space="preserve"> stakeholder engagement</w:t>
      </w:r>
      <w:r>
        <w:t xml:space="preserve"> by ICRC and Icon Water</w:t>
      </w:r>
      <w:r w:rsidR="007275C9">
        <w:t xml:space="preserve"> is inclusive</w:t>
      </w:r>
      <w:r w:rsidR="00090912">
        <w:t xml:space="preserve"> </w:t>
      </w:r>
      <w:r>
        <w:t xml:space="preserve">and accessible, and that it </w:t>
      </w:r>
      <w:r w:rsidR="00450F5A">
        <w:t xml:space="preserve">includes </w:t>
      </w:r>
      <w:r w:rsidR="00202CE5">
        <w:t xml:space="preserve">targeted engagement with </w:t>
      </w:r>
      <w:r w:rsidR="006218AF">
        <w:t xml:space="preserve">residential consumers </w:t>
      </w:r>
      <w:r w:rsidR="007328E0">
        <w:t>experiencing disadvantage or vulnerable circumstances and with not-for-profit community organisations</w:t>
      </w:r>
      <w:r w:rsidR="00090912">
        <w:t>.</w:t>
      </w:r>
    </w:p>
    <w:p w14:paraId="20F60F84" w14:textId="41DA3EC5" w:rsidR="00C8458A" w:rsidRDefault="00BC5AE1" w:rsidP="001C0A8C">
      <w:pPr>
        <w:pStyle w:val="Heading1"/>
      </w:pPr>
      <w:r>
        <w:t>Setting prices and structuring pricing</w:t>
      </w:r>
    </w:p>
    <w:p w14:paraId="29C6C2C3" w14:textId="40F91C10" w:rsidR="001C0A8C" w:rsidRPr="001C0A8C" w:rsidRDefault="001C0A8C" w:rsidP="001C0A8C">
      <w:pPr>
        <w:pStyle w:val="BodyText"/>
      </w:pPr>
      <w:r>
        <w:t xml:space="preserve">The Issues Paper includes the following questions in relation to </w:t>
      </w:r>
      <w:r w:rsidR="0095322C">
        <w:t xml:space="preserve">how it sets prices </w:t>
      </w:r>
      <w:r w:rsidR="00300127">
        <w:t>and structures pricing</w:t>
      </w:r>
      <w:r w:rsidR="005524C9">
        <w:t xml:space="preserve"> to encourage efficient use </w:t>
      </w:r>
      <w:r w:rsidR="00CC22C4">
        <w:t xml:space="preserve">and operation </w:t>
      </w:r>
      <w:r w:rsidR="008C2557">
        <w:t>of water</w:t>
      </w:r>
      <w:r w:rsidR="00CC22C4">
        <w:t xml:space="preserve"> and sewerage services:</w:t>
      </w:r>
    </w:p>
    <w:p w14:paraId="4571B05C" w14:textId="689A8C90" w:rsidR="006611B6" w:rsidRDefault="006611B6" w:rsidP="006611B6">
      <w:pPr>
        <w:pStyle w:val="BodyText"/>
      </w:pPr>
      <w:r>
        <w:t>4. Do you have any comments on our proposed approach to assessing Icon Water’s revenue</w:t>
      </w:r>
      <w:r w:rsidR="0013721F">
        <w:t xml:space="preserve"> </w:t>
      </w:r>
      <w:r>
        <w:t>requirement for the next regulatory period?</w:t>
      </w:r>
    </w:p>
    <w:p w14:paraId="2E17D847" w14:textId="2EE84064" w:rsidR="006611B6" w:rsidRDefault="006611B6" w:rsidP="006611B6">
      <w:pPr>
        <w:pStyle w:val="BodyText"/>
      </w:pPr>
      <w:r>
        <w:t>5. Do you have any comments on our proposed process for reviewing the prudency and efficiency of</w:t>
      </w:r>
      <w:r w:rsidR="0013721F">
        <w:t xml:space="preserve"> </w:t>
      </w:r>
      <w:r>
        <w:t>capital and operating expenditure proposed by Icon Water?</w:t>
      </w:r>
    </w:p>
    <w:p w14:paraId="54D96A84" w14:textId="10C33577" w:rsidR="004C17A7" w:rsidRDefault="006611B6" w:rsidP="006611B6">
      <w:pPr>
        <w:pStyle w:val="BodyText"/>
      </w:pPr>
      <w:r>
        <w:t>6. Do you consider the current water tariff structure remains appropriate or is there scope for further</w:t>
      </w:r>
      <w:r w:rsidR="0013721F">
        <w:t xml:space="preserve"> </w:t>
      </w:r>
      <w:r>
        <w:t>rebalancing?</w:t>
      </w:r>
    </w:p>
    <w:p w14:paraId="04DEC30A" w14:textId="7CFBF70B" w:rsidR="000A1406" w:rsidRDefault="00CC22C4" w:rsidP="006611B6">
      <w:pPr>
        <w:pStyle w:val="BodyText"/>
      </w:pPr>
      <w:r>
        <w:t xml:space="preserve">Through our </w:t>
      </w:r>
      <w:r w:rsidR="000607A5">
        <w:t>work on energy consumer advocacy under the ACT Energised Consumers Project, ACTCOSS is familiar with the building block approach used by the ICRC</w:t>
      </w:r>
      <w:r w:rsidR="00322233">
        <w:t xml:space="preserve"> and other utilities regulators. </w:t>
      </w:r>
      <w:r w:rsidR="00D63C7A">
        <w:t>We value the ICRC’s attention to reviewing the prudency and efficiency of capital and operating expenditure proposed by Icon Water</w:t>
      </w:r>
      <w:r w:rsidR="00AE5E89">
        <w:t>.</w:t>
      </w:r>
      <w:r w:rsidR="005304C9">
        <w:t xml:space="preserve"> </w:t>
      </w:r>
      <w:r w:rsidR="00A41C0A">
        <w:t xml:space="preserve">It is important that this is assessed </w:t>
      </w:r>
      <w:r w:rsidR="00B53A85">
        <w:t>in relation to both equity impacts and community priorities.</w:t>
      </w:r>
    </w:p>
    <w:p w14:paraId="09077836" w14:textId="07FB7708" w:rsidR="00B53A85" w:rsidRDefault="00F75537" w:rsidP="006611B6">
      <w:pPr>
        <w:pStyle w:val="BodyText"/>
      </w:pPr>
      <w:r>
        <w:t xml:space="preserve">ACTCOSS </w:t>
      </w:r>
      <w:r w:rsidR="00964DCB">
        <w:t xml:space="preserve">broadly supports the current water tariff structure </w:t>
      </w:r>
      <w:r w:rsidR="00C16784">
        <w:t>whereby:</w:t>
      </w:r>
    </w:p>
    <w:p w14:paraId="31A354C7" w14:textId="3D704D58" w:rsidR="00C16784" w:rsidRDefault="00C16784" w:rsidP="00C16784">
      <w:pPr>
        <w:pStyle w:val="BlockText"/>
      </w:pPr>
      <w:r>
        <w:lastRenderedPageBreak/>
        <w:t>ACT consumers pay an annual fixed supply charge, and a lower price (Tier 1) for the first 200 kilolitres (kL) of water use and a higher price (Tier 2) for water use above that level.</w:t>
      </w:r>
    </w:p>
    <w:p w14:paraId="53567839" w14:textId="0FC49D2E" w:rsidR="00DE7992" w:rsidRDefault="00DB3D52" w:rsidP="00C16784">
      <w:pPr>
        <w:pStyle w:val="BodyText"/>
      </w:pPr>
      <w:r>
        <w:t xml:space="preserve">We note that this structure resulted from </w:t>
      </w:r>
      <w:r w:rsidR="002C7D2C">
        <w:t>the</w:t>
      </w:r>
      <w:r w:rsidR="005227AA">
        <w:t xml:space="preserve"> ICRC’s</w:t>
      </w:r>
      <w:r w:rsidR="002C7D2C">
        <w:t xml:space="preserve"> </w:t>
      </w:r>
      <w:hyperlink r:id="rId16" w:history="1">
        <w:r w:rsidR="002C7D2C" w:rsidRPr="00CE03DF">
          <w:rPr>
            <w:rStyle w:val="Hyperlink"/>
          </w:rPr>
          <w:t>Tariff Structure Review 2016–17</w:t>
        </w:r>
      </w:hyperlink>
      <w:r w:rsidR="002C7D2C">
        <w:t xml:space="preserve"> which </w:t>
      </w:r>
      <w:r w:rsidR="00E6170A">
        <w:t xml:space="preserve">included </w:t>
      </w:r>
      <w:r w:rsidR="002019E0">
        <w:t>consideration of the equity impacts.</w:t>
      </w:r>
      <w:r w:rsidR="00DE7992">
        <w:t xml:space="preserve"> We recommend that the ICRC’s investigation include an analysis of the distributional impacts of </w:t>
      </w:r>
      <w:r w:rsidR="00D72AB9">
        <w:t>the tariff structure across households and organisations. This should pay particular attention to impacts on affordability for low-income</w:t>
      </w:r>
      <w:r w:rsidR="00722995">
        <w:t xml:space="preserve"> households and not-for-profit organisations </w:t>
      </w:r>
      <w:r w:rsidR="00096EF4">
        <w:t>with different levels of water usage.</w:t>
      </w:r>
    </w:p>
    <w:p w14:paraId="66E465ED" w14:textId="1B9A7A58" w:rsidR="00E670F4" w:rsidRDefault="00B9354A" w:rsidP="00B9354A">
      <w:pPr>
        <w:pStyle w:val="Heading1"/>
      </w:pPr>
      <w:r>
        <w:t>Further engagement</w:t>
      </w:r>
    </w:p>
    <w:p w14:paraId="44649B1C" w14:textId="7878D239" w:rsidR="00763A68" w:rsidRDefault="00B9354A" w:rsidP="006611B6">
      <w:pPr>
        <w:pStyle w:val="BodyText"/>
      </w:pPr>
      <w:r>
        <w:t xml:space="preserve">ACTCOSS </w:t>
      </w:r>
      <w:r w:rsidR="0056145F">
        <w:t xml:space="preserve">is keen to keep engaged in the </w:t>
      </w:r>
      <w:r w:rsidR="00B72F07">
        <w:t xml:space="preserve">ICRC’s </w:t>
      </w:r>
      <w:r w:rsidR="0056145F">
        <w:t>water and sewerage services</w:t>
      </w:r>
      <w:r w:rsidR="00B72F07">
        <w:t xml:space="preserve"> 2023-28 </w:t>
      </w:r>
      <w:r w:rsidR="0056145F">
        <w:t xml:space="preserve">price </w:t>
      </w:r>
      <w:r w:rsidR="00B72F07">
        <w:t>investigation</w:t>
      </w:r>
      <w:r w:rsidR="00BC5CA4">
        <w:t xml:space="preserve"> with a focus on ensuring equitable outcomes for low-income households and not-for-profit community organisations in the ACT. </w:t>
      </w:r>
      <w:r w:rsidR="00985566">
        <w:t xml:space="preserve">Please contact </w:t>
      </w:r>
      <w:r w:rsidR="005168F8">
        <w:t xml:space="preserve">us </w:t>
      </w:r>
      <w:r w:rsidR="00985566">
        <w:t>if you would like to discuss any of the issues raised in our submission</w:t>
      </w:r>
      <w:r w:rsidR="00535AD1">
        <w:t>.</w:t>
      </w:r>
    </w:p>
    <w:p w14:paraId="7D3F0928" w14:textId="77777777" w:rsidR="00535AD1" w:rsidRDefault="00535AD1" w:rsidP="006611B6">
      <w:pPr>
        <w:pStyle w:val="BodyText"/>
      </w:pPr>
    </w:p>
    <w:p w14:paraId="66EDCE4F" w14:textId="3780734A" w:rsidR="00E0423E" w:rsidRDefault="00E0423E" w:rsidP="00933BB9">
      <w:pPr>
        <w:pStyle w:val="BodyText"/>
        <w:keepNext/>
      </w:pPr>
      <w:r>
        <w:t>Yours sincerely,</w:t>
      </w:r>
    </w:p>
    <w:p w14:paraId="4103A4D7" w14:textId="77777777" w:rsidR="00535AD1" w:rsidRDefault="00535AD1" w:rsidP="00C12F9E">
      <w:pPr>
        <w:pStyle w:val="BodyText"/>
      </w:pPr>
      <w:bookmarkStart w:id="4" w:name="Text10"/>
      <w:r>
        <w:rPr>
          <w:noProof/>
        </w:rPr>
        <w:drawing>
          <wp:inline distT="0" distB="0" distL="0" distR="0" wp14:anchorId="721F64C5" wp14:editId="348C5811">
            <wp:extent cx="1533525" cy="406430"/>
            <wp:effectExtent l="0" t="0" r="0" b="0"/>
            <wp:docPr id="1" name="Picture 1" descr="A picture containing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9392" cy="413286"/>
                    </a:xfrm>
                    <a:prstGeom prst="rect">
                      <a:avLst/>
                    </a:prstGeom>
                  </pic:spPr>
                </pic:pic>
              </a:graphicData>
            </a:graphic>
          </wp:inline>
        </w:drawing>
      </w:r>
    </w:p>
    <w:p w14:paraId="66EDCE51" w14:textId="071B6523" w:rsidR="00E0423E" w:rsidRDefault="00535AD1" w:rsidP="00C12F9E">
      <w:pPr>
        <w:pStyle w:val="BodyText"/>
      </w:pPr>
      <w:r>
        <w:t>Adam Poulter</w:t>
      </w:r>
      <w:r w:rsidR="00C12F9E">
        <w:br/>
      </w:r>
      <w:bookmarkEnd w:id="4"/>
      <w:r>
        <w:t>Deputy CEO, ACTCOSS</w:t>
      </w:r>
    </w:p>
    <w:p w14:paraId="66EDCE52" w14:textId="3306F346" w:rsidR="00E0423E" w:rsidRDefault="00E0423E" w:rsidP="00C12F9E">
      <w:pPr>
        <w:pStyle w:val="BodyText"/>
      </w:pPr>
      <w:r>
        <w:t xml:space="preserve">Email: </w:t>
      </w:r>
      <w:hyperlink r:id="rId18" w:history="1">
        <w:r w:rsidR="00535AD1" w:rsidRPr="000B54EE">
          <w:rPr>
            <w:rStyle w:val="Hyperlink"/>
          </w:rPr>
          <w:t>adam.poulter@actcoss.org.au</w:t>
        </w:r>
      </w:hyperlink>
      <w:r w:rsidR="00535AD1">
        <w:t xml:space="preserve"> </w:t>
      </w:r>
    </w:p>
    <w:p w14:paraId="3EC17860" w14:textId="77777777" w:rsidR="003E3291" w:rsidRDefault="003E3291" w:rsidP="00C12F9E">
      <w:pPr>
        <w:pStyle w:val="BodyText"/>
      </w:pPr>
    </w:p>
    <w:sectPr w:rsidR="003E3291" w:rsidSect="004330FD">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F114" w14:textId="77777777" w:rsidR="003B74FA" w:rsidRDefault="003B74FA">
      <w:r>
        <w:separator/>
      </w:r>
    </w:p>
  </w:endnote>
  <w:endnote w:type="continuationSeparator" w:id="0">
    <w:p w14:paraId="7E2A3E79" w14:textId="77777777" w:rsidR="003B74FA" w:rsidRDefault="003B74FA">
      <w:r>
        <w:continuationSeparator/>
      </w:r>
    </w:p>
  </w:endnote>
  <w:endnote w:type="continuationNotice" w:id="1">
    <w:p w14:paraId="131A58C5" w14:textId="77777777" w:rsidR="003B74FA" w:rsidRDefault="003B74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000000">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000000"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106A" w14:textId="77777777" w:rsidR="003B74FA" w:rsidRDefault="003B74FA">
      <w:r>
        <w:separator/>
      </w:r>
    </w:p>
  </w:footnote>
  <w:footnote w:type="continuationSeparator" w:id="0">
    <w:p w14:paraId="4803B996" w14:textId="77777777" w:rsidR="003B74FA" w:rsidRDefault="003B74FA">
      <w:r>
        <w:continuationSeparator/>
      </w:r>
    </w:p>
  </w:footnote>
  <w:footnote w:type="continuationNotice" w:id="1">
    <w:p w14:paraId="089D3FE6" w14:textId="77777777" w:rsidR="003B74FA" w:rsidRDefault="003B74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CF89" w14:textId="77777777" w:rsidR="00535AD1" w:rsidRDefault="00535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E5C9" w14:textId="7E3F22C8" w:rsidR="00535AD1" w:rsidRDefault="00535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DC6B" w14:textId="77777777" w:rsidR="00535AD1" w:rsidRDefault="00535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BBCE42DE"/>
    <w:lvl w:ilvl="0">
      <w:start w:val="1"/>
      <w:numFmt w:val="decimal"/>
      <w:pStyle w:val="ListNumber"/>
      <w:lvlText w:val="%1."/>
      <w:lvlJc w:val="left"/>
      <w:pPr>
        <w:tabs>
          <w:tab w:val="num" w:pos="567"/>
        </w:tabs>
        <w:ind w:left="567" w:hanging="567"/>
      </w:pPr>
      <w:rPr>
        <w:rFonts w:hint="default"/>
        <w:b w:val="0"/>
        <w:i w:val="0"/>
        <w:iCs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1B2472E"/>
    <w:multiLevelType w:val="hybridMultilevel"/>
    <w:tmpl w:val="D0806F6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88103658">
    <w:abstractNumId w:val="7"/>
  </w:num>
  <w:num w:numId="2" w16cid:durableId="331493672">
    <w:abstractNumId w:val="9"/>
  </w:num>
  <w:num w:numId="3" w16cid:durableId="608195330">
    <w:abstractNumId w:val="20"/>
  </w:num>
  <w:num w:numId="4" w16cid:durableId="1253391680">
    <w:abstractNumId w:val="18"/>
  </w:num>
  <w:num w:numId="5" w16cid:durableId="2060125747">
    <w:abstractNumId w:val="17"/>
  </w:num>
  <w:num w:numId="6" w16cid:durableId="184172402">
    <w:abstractNumId w:val="19"/>
  </w:num>
  <w:num w:numId="7" w16cid:durableId="1376585050">
    <w:abstractNumId w:val="11"/>
  </w:num>
  <w:num w:numId="8" w16cid:durableId="1904946752">
    <w:abstractNumId w:val="24"/>
  </w:num>
  <w:num w:numId="9" w16cid:durableId="1181354854">
    <w:abstractNumId w:val="8"/>
  </w:num>
  <w:num w:numId="10" w16cid:durableId="971134340">
    <w:abstractNumId w:val="22"/>
  </w:num>
  <w:num w:numId="11" w16cid:durableId="1962880844">
    <w:abstractNumId w:val="10"/>
  </w:num>
  <w:num w:numId="12" w16cid:durableId="1035277106">
    <w:abstractNumId w:val="5"/>
  </w:num>
  <w:num w:numId="13" w16cid:durableId="75591584">
    <w:abstractNumId w:val="21"/>
  </w:num>
  <w:num w:numId="14" w16cid:durableId="1570730424">
    <w:abstractNumId w:val="12"/>
  </w:num>
  <w:num w:numId="15" w16cid:durableId="965546750">
    <w:abstractNumId w:val="13"/>
  </w:num>
  <w:num w:numId="16" w16cid:durableId="1399209455">
    <w:abstractNumId w:val="6"/>
  </w:num>
  <w:num w:numId="17" w16cid:durableId="222562581">
    <w:abstractNumId w:val="16"/>
  </w:num>
  <w:num w:numId="18" w16cid:durableId="1491408611">
    <w:abstractNumId w:val="4"/>
  </w:num>
  <w:num w:numId="19" w16cid:durableId="122232167">
    <w:abstractNumId w:val="2"/>
  </w:num>
  <w:num w:numId="20" w16cid:durableId="1915629702">
    <w:abstractNumId w:val="1"/>
  </w:num>
  <w:num w:numId="21" w16cid:durableId="1973552787">
    <w:abstractNumId w:val="3"/>
  </w:num>
  <w:num w:numId="22" w16cid:durableId="159465916">
    <w:abstractNumId w:val="0"/>
  </w:num>
  <w:num w:numId="23" w16cid:durableId="1611474456">
    <w:abstractNumId w:val="15"/>
  </w:num>
  <w:num w:numId="24" w16cid:durableId="1467822420">
    <w:abstractNumId w:val="26"/>
  </w:num>
  <w:num w:numId="25" w16cid:durableId="2093308406">
    <w:abstractNumId w:val="25"/>
  </w:num>
  <w:num w:numId="26" w16cid:durableId="33165092">
    <w:abstractNumId w:val="14"/>
  </w:num>
  <w:num w:numId="27" w16cid:durableId="21321661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3F2"/>
    <w:rsid w:val="0002453D"/>
    <w:rsid w:val="000246AF"/>
    <w:rsid w:val="000247E6"/>
    <w:rsid w:val="00024A48"/>
    <w:rsid w:val="00024DDE"/>
    <w:rsid w:val="000252FB"/>
    <w:rsid w:val="000253A9"/>
    <w:rsid w:val="00025A2F"/>
    <w:rsid w:val="00025F23"/>
    <w:rsid w:val="00026723"/>
    <w:rsid w:val="00026A2E"/>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1C27"/>
    <w:rsid w:val="00042382"/>
    <w:rsid w:val="00042E96"/>
    <w:rsid w:val="00043089"/>
    <w:rsid w:val="00043412"/>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C2D"/>
    <w:rsid w:val="00055D5E"/>
    <w:rsid w:val="00056271"/>
    <w:rsid w:val="0005637E"/>
    <w:rsid w:val="0005647A"/>
    <w:rsid w:val="00056819"/>
    <w:rsid w:val="00056969"/>
    <w:rsid w:val="00057102"/>
    <w:rsid w:val="000574A2"/>
    <w:rsid w:val="000576F3"/>
    <w:rsid w:val="00057763"/>
    <w:rsid w:val="00057BF2"/>
    <w:rsid w:val="000607A5"/>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25B"/>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C85"/>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204"/>
    <w:rsid w:val="00087369"/>
    <w:rsid w:val="000900A1"/>
    <w:rsid w:val="00090209"/>
    <w:rsid w:val="00090912"/>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426"/>
    <w:rsid w:val="0009660D"/>
    <w:rsid w:val="00096802"/>
    <w:rsid w:val="00096939"/>
    <w:rsid w:val="00096D8F"/>
    <w:rsid w:val="00096EF4"/>
    <w:rsid w:val="00097786"/>
    <w:rsid w:val="00097C11"/>
    <w:rsid w:val="000A0264"/>
    <w:rsid w:val="000A056E"/>
    <w:rsid w:val="000A1406"/>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A4"/>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2B98"/>
    <w:rsid w:val="000B35E3"/>
    <w:rsid w:val="000B4051"/>
    <w:rsid w:val="000B4866"/>
    <w:rsid w:val="000B4A1C"/>
    <w:rsid w:val="000B4A23"/>
    <w:rsid w:val="000B54FC"/>
    <w:rsid w:val="000B58B6"/>
    <w:rsid w:val="000B5C9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649"/>
    <w:rsid w:val="000D0B03"/>
    <w:rsid w:val="000D0D66"/>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2AB"/>
    <w:rsid w:val="000D6BB1"/>
    <w:rsid w:val="000D71DB"/>
    <w:rsid w:val="000D7415"/>
    <w:rsid w:val="000E0D39"/>
    <w:rsid w:val="000E0D95"/>
    <w:rsid w:val="000E1A65"/>
    <w:rsid w:val="000E1A74"/>
    <w:rsid w:val="000E1C2E"/>
    <w:rsid w:val="000E203E"/>
    <w:rsid w:val="000E208D"/>
    <w:rsid w:val="000E20E8"/>
    <w:rsid w:val="000E2218"/>
    <w:rsid w:val="000E2C55"/>
    <w:rsid w:val="000E2CA8"/>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551"/>
    <w:rsid w:val="000F262E"/>
    <w:rsid w:val="000F27FF"/>
    <w:rsid w:val="000F2B02"/>
    <w:rsid w:val="000F39F4"/>
    <w:rsid w:val="000F4692"/>
    <w:rsid w:val="000F4F71"/>
    <w:rsid w:val="000F5085"/>
    <w:rsid w:val="000F56AC"/>
    <w:rsid w:val="000F5FDF"/>
    <w:rsid w:val="000F6BDC"/>
    <w:rsid w:val="000F6DC9"/>
    <w:rsid w:val="000F71B8"/>
    <w:rsid w:val="000F73C5"/>
    <w:rsid w:val="00100A6B"/>
    <w:rsid w:val="00100A78"/>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5E8"/>
    <w:rsid w:val="0011178F"/>
    <w:rsid w:val="00111DEF"/>
    <w:rsid w:val="00112027"/>
    <w:rsid w:val="001120E4"/>
    <w:rsid w:val="00112C38"/>
    <w:rsid w:val="00112D44"/>
    <w:rsid w:val="00112D70"/>
    <w:rsid w:val="00113216"/>
    <w:rsid w:val="00113510"/>
    <w:rsid w:val="001135C2"/>
    <w:rsid w:val="00113866"/>
    <w:rsid w:val="001145FE"/>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F25"/>
    <w:rsid w:val="001204E3"/>
    <w:rsid w:val="001205A1"/>
    <w:rsid w:val="001205A4"/>
    <w:rsid w:val="0012092F"/>
    <w:rsid w:val="00120DE1"/>
    <w:rsid w:val="00120EFF"/>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94A"/>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2E1"/>
    <w:rsid w:val="001347CA"/>
    <w:rsid w:val="00134B44"/>
    <w:rsid w:val="00134D46"/>
    <w:rsid w:val="00135A61"/>
    <w:rsid w:val="00135E66"/>
    <w:rsid w:val="0013697F"/>
    <w:rsid w:val="0013698C"/>
    <w:rsid w:val="0013721F"/>
    <w:rsid w:val="001377DE"/>
    <w:rsid w:val="0013785B"/>
    <w:rsid w:val="00137AF8"/>
    <w:rsid w:val="001405FD"/>
    <w:rsid w:val="001406ED"/>
    <w:rsid w:val="00140A42"/>
    <w:rsid w:val="00140A6B"/>
    <w:rsid w:val="00140DEA"/>
    <w:rsid w:val="00141410"/>
    <w:rsid w:val="0014153A"/>
    <w:rsid w:val="0014161E"/>
    <w:rsid w:val="0014237A"/>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3EBF"/>
    <w:rsid w:val="001542FF"/>
    <w:rsid w:val="0015462C"/>
    <w:rsid w:val="00154F9C"/>
    <w:rsid w:val="0015585B"/>
    <w:rsid w:val="001563CC"/>
    <w:rsid w:val="00156923"/>
    <w:rsid w:val="00156A23"/>
    <w:rsid w:val="00156BB1"/>
    <w:rsid w:val="00156BED"/>
    <w:rsid w:val="00156DB0"/>
    <w:rsid w:val="00157088"/>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704BE"/>
    <w:rsid w:val="00170817"/>
    <w:rsid w:val="00170CE5"/>
    <w:rsid w:val="001720A1"/>
    <w:rsid w:val="00172183"/>
    <w:rsid w:val="001728CB"/>
    <w:rsid w:val="00172970"/>
    <w:rsid w:val="001730EB"/>
    <w:rsid w:val="001734E5"/>
    <w:rsid w:val="00173CE1"/>
    <w:rsid w:val="00174751"/>
    <w:rsid w:val="001747DD"/>
    <w:rsid w:val="001751C7"/>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8D"/>
    <w:rsid w:val="001B707A"/>
    <w:rsid w:val="001B74C0"/>
    <w:rsid w:val="001B76ED"/>
    <w:rsid w:val="001B7AC6"/>
    <w:rsid w:val="001C017E"/>
    <w:rsid w:val="001C01A5"/>
    <w:rsid w:val="001C061C"/>
    <w:rsid w:val="001C0A8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451"/>
    <w:rsid w:val="001C4727"/>
    <w:rsid w:val="001C499F"/>
    <w:rsid w:val="001C4D0A"/>
    <w:rsid w:val="001C50CA"/>
    <w:rsid w:val="001C549D"/>
    <w:rsid w:val="001C54B3"/>
    <w:rsid w:val="001C562C"/>
    <w:rsid w:val="001C69F0"/>
    <w:rsid w:val="001C6AF4"/>
    <w:rsid w:val="001C75E9"/>
    <w:rsid w:val="001C7C79"/>
    <w:rsid w:val="001C7CBE"/>
    <w:rsid w:val="001C7D84"/>
    <w:rsid w:val="001C7F5B"/>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6A7A"/>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4F1B"/>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082"/>
    <w:rsid w:val="0020038B"/>
    <w:rsid w:val="0020072D"/>
    <w:rsid w:val="0020082D"/>
    <w:rsid w:val="00200D28"/>
    <w:rsid w:val="00201216"/>
    <w:rsid w:val="002013C2"/>
    <w:rsid w:val="0020160B"/>
    <w:rsid w:val="00201783"/>
    <w:rsid w:val="002019E0"/>
    <w:rsid w:val="00201D57"/>
    <w:rsid w:val="00202337"/>
    <w:rsid w:val="002025DA"/>
    <w:rsid w:val="00202876"/>
    <w:rsid w:val="00202C4D"/>
    <w:rsid w:val="00202CE5"/>
    <w:rsid w:val="00203060"/>
    <w:rsid w:val="0020314B"/>
    <w:rsid w:val="002035EC"/>
    <w:rsid w:val="002037E3"/>
    <w:rsid w:val="00203A60"/>
    <w:rsid w:val="00203D00"/>
    <w:rsid w:val="00204192"/>
    <w:rsid w:val="002052D8"/>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54B"/>
    <w:rsid w:val="00214B9A"/>
    <w:rsid w:val="00214ED9"/>
    <w:rsid w:val="00215534"/>
    <w:rsid w:val="002156C9"/>
    <w:rsid w:val="00215AE8"/>
    <w:rsid w:val="002179F6"/>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08"/>
    <w:rsid w:val="00231640"/>
    <w:rsid w:val="00231AF3"/>
    <w:rsid w:val="00231BCE"/>
    <w:rsid w:val="002329E2"/>
    <w:rsid w:val="00232AE3"/>
    <w:rsid w:val="00232B10"/>
    <w:rsid w:val="00232FF4"/>
    <w:rsid w:val="002330E4"/>
    <w:rsid w:val="00233391"/>
    <w:rsid w:val="00233783"/>
    <w:rsid w:val="0023406A"/>
    <w:rsid w:val="002340FA"/>
    <w:rsid w:val="0023457A"/>
    <w:rsid w:val="00234A2A"/>
    <w:rsid w:val="00234A85"/>
    <w:rsid w:val="00234C94"/>
    <w:rsid w:val="0023500A"/>
    <w:rsid w:val="002353E6"/>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18A"/>
    <w:rsid w:val="00246869"/>
    <w:rsid w:val="00246C9A"/>
    <w:rsid w:val="002472A6"/>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9E3"/>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00"/>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22D"/>
    <w:rsid w:val="00275E45"/>
    <w:rsid w:val="002769F1"/>
    <w:rsid w:val="00276C2C"/>
    <w:rsid w:val="00276C4D"/>
    <w:rsid w:val="00276FA2"/>
    <w:rsid w:val="00277039"/>
    <w:rsid w:val="0027749A"/>
    <w:rsid w:val="00277936"/>
    <w:rsid w:val="0027793C"/>
    <w:rsid w:val="002806A9"/>
    <w:rsid w:val="00281791"/>
    <w:rsid w:val="00281EA2"/>
    <w:rsid w:val="00281F49"/>
    <w:rsid w:val="00282041"/>
    <w:rsid w:val="00282838"/>
    <w:rsid w:val="00282854"/>
    <w:rsid w:val="00282A20"/>
    <w:rsid w:val="0028317F"/>
    <w:rsid w:val="00283514"/>
    <w:rsid w:val="002837BB"/>
    <w:rsid w:val="002839B5"/>
    <w:rsid w:val="00283D06"/>
    <w:rsid w:val="00283E74"/>
    <w:rsid w:val="00285514"/>
    <w:rsid w:val="002859DA"/>
    <w:rsid w:val="00286057"/>
    <w:rsid w:val="00286203"/>
    <w:rsid w:val="002868A7"/>
    <w:rsid w:val="00286A7A"/>
    <w:rsid w:val="00287082"/>
    <w:rsid w:val="00287EE3"/>
    <w:rsid w:val="002900F3"/>
    <w:rsid w:val="00290414"/>
    <w:rsid w:val="00290564"/>
    <w:rsid w:val="00290911"/>
    <w:rsid w:val="002909C2"/>
    <w:rsid w:val="00290D0B"/>
    <w:rsid w:val="00291CEE"/>
    <w:rsid w:val="00291E9B"/>
    <w:rsid w:val="002920BE"/>
    <w:rsid w:val="0029219A"/>
    <w:rsid w:val="00292FD6"/>
    <w:rsid w:val="002933B3"/>
    <w:rsid w:val="00294DD4"/>
    <w:rsid w:val="0029564D"/>
    <w:rsid w:val="00295B70"/>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4E07"/>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5D"/>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135"/>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72EF"/>
    <w:rsid w:val="002C750C"/>
    <w:rsid w:val="002C7811"/>
    <w:rsid w:val="002C7D2C"/>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290"/>
    <w:rsid w:val="002E0CC1"/>
    <w:rsid w:val="002E0EBA"/>
    <w:rsid w:val="002E1BD6"/>
    <w:rsid w:val="002E2751"/>
    <w:rsid w:val="002E2779"/>
    <w:rsid w:val="002E27A1"/>
    <w:rsid w:val="002E355E"/>
    <w:rsid w:val="002E38EA"/>
    <w:rsid w:val="002E3997"/>
    <w:rsid w:val="002E3B2B"/>
    <w:rsid w:val="002E3CC9"/>
    <w:rsid w:val="002E3D95"/>
    <w:rsid w:val="002E40DF"/>
    <w:rsid w:val="002E4902"/>
    <w:rsid w:val="002E4B5B"/>
    <w:rsid w:val="002E4D57"/>
    <w:rsid w:val="002E4FC9"/>
    <w:rsid w:val="002E55AA"/>
    <w:rsid w:val="002E5801"/>
    <w:rsid w:val="002E64DE"/>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127"/>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02C"/>
    <w:rsid w:val="0030586D"/>
    <w:rsid w:val="00305DD5"/>
    <w:rsid w:val="00306577"/>
    <w:rsid w:val="003067DC"/>
    <w:rsid w:val="00306809"/>
    <w:rsid w:val="003069D8"/>
    <w:rsid w:val="00307A97"/>
    <w:rsid w:val="00310543"/>
    <w:rsid w:val="003107A9"/>
    <w:rsid w:val="0031175C"/>
    <w:rsid w:val="00311D17"/>
    <w:rsid w:val="0031221C"/>
    <w:rsid w:val="003122AA"/>
    <w:rsid w:val="00312D6B"/>
    <w:rsid w:val="00312DD3"/>
    <w:rsid w:val="00312FD5"/>
    <w:rsid w:val="00313593"/>
    <w:rsid w:val="003135C5"/>
    <w:rsid w:val="003139E1"/>
    <w:rsid w:val="003148CD"/>
    <w:rsid w:val="00314A95"/>
    <w:rsid w:val="003151CA"/>
    <w:rsid w:val="003151D0"/>
    <w:rsid w:val="0031549A"/>
    <w:rsid w:val="00315C2C"/>
    <w:rsid w:val="0031600C"/>
    <w:rsid w:val="0031605A"/>
    <w:rsid w:val="003161D0"/>
    <w:rsid w:val="0031629A"/>
    <w:rsid w:val="0031670C"/>
    <w:rsid w:val="0031676C"/>
    <w:rsid w:val="00316B24"/>
    <w:rsid w:val="0031737A"/>
    <w:rsid w:val="00320722"/>
    <w:rsid w:val="00320C74"/>
    <w:rsid w:val="00321264"/>
    <w:rsid w:val="003212E7"/>
    <w:rsid w:val="003214B7"/>
    <w:rsid w:val="003215F3"/>
    <w:rsid w:val="00321F49"/>
    <w:rsid w:val="00322058"/>
    <w:rsid w:val="00322233"/>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17AD"/>
    <w:rsid w:val="003318D8"/>
    <w:rsid w:val="00331E47"/>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B29"/>
    <w:rsid w:val="00343E41"/>
    <w:rsid w:val="0034497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92B"/>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32"/>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43A"/>
    <w:rsid w:val="003925D4"/>
    <w:rsid w:val="00392EDF"/>
    <w:rsid w:val="003930F2"/>
    <w:rsid w:val="00393213"/>
    <w:rsid w:val="0039368C"/>
    <w:rsid w:val="003938A9"/>
    <w:rsid w:val="00393A4C"/>
    <w:rsid w:val="00393A60"/>
    <w:rsid w:val="00394089"/>
    <w:rsid w:val="00394216"/>
    <w:rsid w:val="003943DF"/>
    <w:rsid w:val="003947AF"/>
    <w:rsid w:val="003947CF"/>
    <w:rsid w:val="00394858"/>
    <w:rsid w:val="003948C5"/>
    <w:rsid w:val="00394B21"/>
    <w:rsid w:val="00395364"/>
    <w:rsid w:val="003959AB"/>
    <w:rsid w:val="0039627E"/>
    <w:rsid w:val="0039703B"/>
    <w:rsid w:val="00397175"/>
    <w:rsid w:val="00397234"/>
    <w:rsid w:val="0039753B"/>
    <w:rsid w:val="003976CA"/>
    <w:rsid w:val="0039775F"/>
    <w:rsid w:val="00397974"/>
    <w:rsid w:val="00397FF5"/>
    <w:rsid w:val="003A0150"/>
    <w:rsid w:val="003A0B98"/>
    <w:rsid w:val="003A1130"/>
    <w:rsid w:val="003A1600"/>
    <w:rsid w:val="003A17A7"/>
    <w:rsid w:val="003A23EC"/>
    <w:rsid w:val="003A25C2"/>
    <w:rsid w:val="003A26CC"/>
    <w:rsid w:val="003A29EA"/>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4FA"/>
    <w:rsid w:val="003B76F5"/>
    <w:rsid w:val="003B7927"/>
    <w:rsid w:val="003B7A61"/>
    <w:rsid w:val="003B7A9F"/>
    <w:rsid w:val="003C14D2"/>
    <w:rsid w:val="003C1793"/>
    <w:rsid w:val="003C18B1"/>
    <w:rsid w:val="003C2013"/>
    <w:rsid w:val="003C2158"/>
    <w:rsid w:val="003C25E1"/>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947"/>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7C1"/>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291"/>
    <w:rsid w:val="003E341E"/>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0B0"/>
    <w:rsid w:val="00421119"/>
    <w:rsid w:val="0042120F"/>
    <w:rsid w:val="004219A0"/>
    <w:rsid w:val="00421AE6"/>
    <w:rsid w:val="00422678"/>
    <w:rsid w:val="00422942"/>
    <w:rsid w:val="00422B55"/>
    <w:rsid w:val="004230BD"/>
    <w:rsid w:val="00423451"/>
    <w:rsid w:val="00423496"/>
    <w:rsid w:val="0042393D"/>
    <w:rsid w:val="00423C00"/>
    <w:rsid w:val="0042409B"/>
    <w:rsid w:val="004245A3"/>
    <w:rsid w:val="00424EE1"/>
    <w:rsid w:val="00425AE2"/>
    <w:rsid w:val="004260BB"/>
    <w:rsid w:val="004268CB"/>
    <w:rsid w:val="004269BA"/>
    <w:rsid w:val="004274EE"/>
    <w:rsid w:val="00427C27"/>
    <w:rsid w:val="00427CCC"/>
    <w:rsid w:val="004300CB"/>
    <w:rsid w:val="00430453"/>
    <w:rsid w:val="00430BCC"/>
    <w:rsid w:val="004322F6"/>
    <w:rsid w:val="004326F3"/>
    <w:rsid w:val="0043295B"/>
    <w:rsid w:val="004330FD"/>
    <w:rsid w:val="00433446"/>
    <w:rsid w:val="0043367B"/>
    <w:rsid w:val="004336E9"/>
    <w:rsid w:val="00433981"/>
    <w:rsid w:val="00433AAE"/>
    <w:rsid w:val="00434C95"/>
    <w:rsid w:val="0043510A"/>
    <w:rsid w:val="0043628A"/>
    <w:rsid w:val="0043629A"/>
    <w:rsid w:val="0043646E"/>
    <w:rsid w:val="00436F3F"/>
    <w:rsid w:val="004371D7"/>
    <w:rsid w:val="004372F4"/>
    <w:rsid w:val="00437437"/>
    <w:rsid w:val="0043750A"/>
    <w:rsid w:val="004378BC"/>
    <w:rsid w:val="00437DAA"/>
    <w:rsid w:val="0044013B"/>
    <w:rsid w:val="00440C17"/>
    <w:rsid w:val="00440E91"/>
    <w:rsid w:val="00441801"/>
    <w:rsid w:val="00441A68"/>
    <w:rsid w:val="00441E0E"/>
    <w:rsid w:val="00442EFE"/>
    <w:rsid w:val="004433C6"/>
    <w:rsid w:val="0044349D"/>
    <w:rsid w:val="00443D48"/>
    <w:rsid w:val="00444056"/>
    <w:rsid w:val="004440B5"/>
    <w:rsid w:val="00444729"/>
    <w:rsid w:val="00444C2D"/>
    <w:rsid w:val="00444F5C"/>
    <w:rsid w:val="0044610F"/>
    <w:rsid w:val="00446316"/>
    <w:rsid w:val="00446318"/>
    <w:rsid w:val="00446833"/>
    <w:rsid w:val="00450CA7"/>
    <w:rsid w:val="00450E29"/>
    <w:rsid w:val="00450F5A"/>
    <w:rsid w:val="00451082"/>
    <w:rsid w:val="004510CB"/>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84B"/>
    <w:rsid w:val="0047134A"/>
    <w:rsid w:val="0047195B"/>
    <w:rsid w:val="00471E03"/>
    <w:rsid w:val="004722CE"/>
    <w:rsid w:val="004723E6"/>
    <w:rsid w:val="00472D1F"/>
    <w:rsid w:val="004731B6"/>
    <w:rsid w:val="00473274"/>
    <w:rsid w:val="004738B9"/>
    <w:rsid w:val="00473A5B"/>
    <w:rsid w:val="004741C3"/>
    <w:rsid w:val="00474238"/>
    <w:rsid w:val="00475940"/>
    <w:rsid w:val="004761A7"/>
    <w:rsid w:val="00476544"/>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764"/>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3E8"/>
    <w:rsid w:val="004A4E31"/>
    <w:rsid w:val="004A5A1C"/>
    <w:rsid w:val="004A5E2D"/>
    <w:rsid w:val="004A5E42"/>
    <w:rsid w:val="004A628A"/>
    <w:rsid w:val="004A6727"/>
    <w:rsid w:val="004A6976"/>
    <w:rsid w:val="004A73A7"/>
    <w:rsid w:val="004B0151"/>
    <w:rsid w:val="004B056E"/>
    <w:rsid w:val="004B0B81"/>
    <w:rsid w:val="004B1274"/>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B7A08"/>
    <w:rsid w:val="004C01BF"/>
    <w:rsid w:val="004C06EF"/>
    <w:rsid w:val="004C0868"/>
    <w:rsid w:val="004C0E18"/>
    <w:rsid w:val="004C14C0"/>
    <w:rsid w:val="004C17A7"/>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6ED2"/>
    <w:rsid w:val="004C70BD"/>
    <w:rsid w:val="004C78A1"/>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CC8"/>
    <w:rsid w:val="004E4E17"/>
    <w:rsid w:val="004E5412"/>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339D"/>
    <w:rsid w:val="004F429F"/>
    <w:rsid w:val="004F42D6"/>
    <w:rsid w:val="004F4466"/>
    <w:rsid w:val="004F4562"/>
    <w:rsid w:val="004F4C9C"/>
    <w:rsid w:val="004F50AF"/>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4C0E"/>
    <w:rsid w:val="00505225"/>
    <w:rsid w:val="00505D84"/>
    <w:rsid w:val="0050601B"/>
    <w:rsid w:val="00506108"/>
    <w:rsid w:val="0050667D"/>
    <w:rsid w:val="005068F5"/>
    <w:rsid w:val="00506BB4"/>
    <w:rsid w:val="00506C38"/>
    <w:rsid w:val="00506C3E"/>
    <w:rsid w:val="00506E46"/>
    <w:rsid w:val="0050702C"/>
    <w:rsid w:val="005101F9"/>
    <w:rsid w:val="005104FA"/>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8F8"/>
    <w:rsid w:val="00516D97"/>
    <w:rsid w:val="00517731"/>
    <w:rsid w:val="00517788"/>
    <w:rsid w:val="005179F5"/>
    <w:rsid w:val="00517AFB"/>
    <w:rsid w:val="00520217"/>
    <w:rsid w:val="005207FB"/>
    <w:rsid w:val="005210D0"/>
    <w:rsid w:val="00521139"/>
    <w:rsid w:val="00521725"/>
    <w:rsid w:val="0052175E"/>
    <w:rsid w:val="005227AA"/>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293"/>
    <w:rsid w:val="005304A4"/>
    <w:rsid w:val="005304C9"/>
    <w:rsid w:val="00530B7B"/>
    <w:rsid w:val="00530C3C"/>
    <w:rsid w:val="00530C74"/>
    <w:rsid w:val="0053128D"/>
    <w:rsid w:val="005313FE"/>
    <w:rsid w:val="00531429"/>
    <w:rsid w:val="0053157E"/>
    <w:rsid w:val="00531671"/>
    <w:rsid w:val="005319F6"/>
    <w:rsid w:val="00531D3A"/>
    <w:rsid w:val="00531E7F"/>
    <w:rsid w:val="005320F9"/>
    <w:rsid w:val="00532615"/>
    <w:rsid w:val="0053263B"/>
    <w:rsid w:val="0053263D"/>
    <w:rsid w:val="0053271D"/>
    <w:rsid w:val="00532BA0"/>
    <w:rsid w:val="00533102"/>
    <w:rsid w:val="005337F3"/>
    <w:rsid w:val="00534056"/>
    <w:rsid w:val="0053447F"/>
    <w:rsid w:val="00534C4A"/>
    <w:rsid w:val="00535625"/>
    <w:rsid w:val="00535754"/>
    <w:rsid w:val="00535AD1"/>
    <w:rsid w:val="00535D54"/>
    <w:rsid w:val="00535F5D"/>
    <w:rsid w:val="00536582"/>
    <w:rsid w:val="005365A8"/>
    <w:rsid w:val="00536855"/>
    <w:rsid w:val="00536A50"/>
    <w:rsid w:val="00536D53"/>
    <w:rsid w:val="00536EB7"/>
    <w:rsid w:val="005370DC"/>
    <w:rsid w:val="005376E4"/>
    <w:rsid w:val="00537A99"/>
    <w:rsid w:val="00537CE9"/>
    <w:rsid w:val="0054035C"/>
    <w:rsid w:val="00540720"/>
    <w:rsid w:val="0054094E"/>
    <w:rsid w:val="00540AD1"/>
    <w:rsid w:val="00541938"/>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25A"/>
    <w:rsid w:val="00546465"/>
    <w:rsid w:val="0054647C"/>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4C9"/>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45F"/>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27A"/>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6"/>
    <w:rsid w:val="00591578"/>
    <w:rsid w:val="00591658"/>
    <w:rsid w:val="00591768"/>
    <w:rsid w:val="00591E51"/>
    <w:rsid w:val="00591F5F"/>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56B"/>
    <w:rsid w:val="00595852"/>
    <w:rsid w:val="00595A38"/>
    <w:rsid w:val="00595D50"/>
    <w:rsid w:val="00595DE7"/>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02"/>
    <w:rsid w:val="005A6096"/>
    <w:rsid w:val="005A6AC5"/>
    <w:rsid w:val="005A6C10"/>
    <w:rsid w:val="005A6F15"/>
    <w:rsid w:val="005A737B"/>
    <w:rsid w:val="005A74ED"/>
    <w:rsid w:val="005A7C48"/>
    <w:rsid w:val="005B0089"/>
    <w:rsid w:val="005B0296"/>
    <w:rsid w:val="005B0E69"/>
    <w:rsid w:val="005B12CD"/>
    <w:rsid w:val="005B1A92"/>
    <w:rsid w:val="005B1AC4"/>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690"/>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436A"/>
    <w:rsid w:val="005D4705"/>
    <w:rsid w:val="005D502C"/>
    <w:rsid w:val="005D5636"/>
    <w:rsid w:val="005D5BB7"/>
    <w:rsid w:val="005D5CC3"/>
    <w:rsid w:val="005D5D49"/>
    <w:rsid w:val="005D6019"/>
    <w:rsid w:val="005D6F67"/>
    <w:rsid w:val="005D6FE9"/>
    <w:rsid w:val="005D7896"/>
    <w:rsid w:val="005D7902"/>
    <w:rsid w:val="005D7D6A"/>
    <w:rsid w:val="005E06BD"/>
    <w:rsid w:val="005E0CCE"/>
    <w:rsid w:val="005E0D7D"/>
    <w:rsid w:val="005E1841"/>
    <w:rsid w:val="005E18A6"/>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106D"/>
    <w:rsid w:val="005F1BFE"/>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5F7705"/>
    <w:rsid w:val="005F7E96"/>
    <w:rsid w:val="00600213"/>
    <w:rsid w:val="00600581"/>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994"/>
    <w:rsid w:val="00620A0B"/>
    <w:rsid w:val="006218AF"/>
    <w:rsid w:val="00622604"/>
    <w:rsid w:val="006227DD"/>
    <w:rsid w:val="00622F82"/>
    <w:rsid w:val="0062336D"/>
    <w:rsid w:val="00623DA3"/>
    <w:rsid w:val="00623F4C"/>
    <w:rsid w:val="006245DC"/>
    <w:rsid w:val="00624F86"/>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1BD4"/>
    <w:rsid w:val="0063286A"/>
    <w:rsid w:val="00632E65"/>
    <w:rsid w:val="00632EFF"/>
    <w:rsid w:val="006330CE"/>
    <w:rsid w:val="0063331F"/>
    <w:rsid w:val="006338CA"/>
    <w:rsid w:val="006342FF"/>
    <w:rsid w:val="006344E8"/>
    <w:rsid w:val="0063456E"/>
    <w:rsid w:val="006348E3"/>
    <w:rsid w:val="00634D3E"/>
    <w:rsid w:val="00634E51"/>
    <w:rsid w:val="0063539D"/>
    <w:rsid w:val="00635620"/>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6F7C"/>
    <w:rsid w:val="00657055"/>
    <w:rsid w:val="006572E7"/>
    <w:rsid w:val="00657663"/>
    <w:rsid w:val="00657B4E"/>
    <w:rsid w:val="00657DA5"/>
    <w:rsid w:val="006611B6"/>
    <w:rsid w:val="0066143C"/>
    <w:rsid w:val="00661900"/>
    <w:rsid w:val="0066191E"/>
    <w:rsid w:val="00661AAF"/>
    <w:rsid w:val="00661D7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F2E"/>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4EF2"/>
    <w:rsid w:val="00685DDA"/>
    <w:rsid w:val="00686418"/>
    <w:rsid w:val="00686AEB"/>
    <w:rsid w:val="00686C68"/>
    <w:rsid w:val="006870A3"/>
    <w:rsid w:val="00687463"/>
    <w:rsid w:val="006875BD"/>
    <w:rsid w:val="00687852"/>
    <w:rsid w:val="006878AB"/>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14D"/>
    <w:rsid w:val="006A4531"/>
    <w:rsid w:val="006A4D4D"/>
    <w:rsid w:val="006A4F9C"/>
    <w:rsid w:val="006A5806"/>
    <w:rsid w:val="006A67BD"/>
    <w:rsid w:val="006A6FE5"/>
    <w:rsid w:val="006A74BD"/>
    <w:rsid w:val="006A7588"/>
    <w:rsid w:val="006A7A87"/>
    <w:rsid w:val="006B009E"/>
    <w:rsid w:val="006B0991"/>
    <w:rsid w:val="006B0EFA"/>
    <w:rsid w:val="006B0F0D"/>
    <w:rsid w:val="006B1587"/>
    <w:rsid w:val="006B1CEB"/>
    <w:rsid w:val="006B1D20"/>
    <w:rsid w:val="006B1E52"/>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C7FCD"/>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248A"/>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75A"/>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755"/>
    <w:rsid w:val="007048B5"/>
    <w:rsid w:val="00704C54"/>
    <w:rsid w:val="00704DBE"/>
    <w:rsid w:val="0070512A"/>
    <w:rsid w:val="007054B3"/>
    <w:rsid w:val="00705B4B"/>
    <w:rsid w:val="00706C8F"/>
    <w:rsid w:val="00706EE5"/>
    <w:rsid w:val="007070B2"/>
    <w:rsid w:val="00707781"/>
    <w:rsid w:val="007077C5"/>
    <w:rsid w:val="00707CC2"/>
    <w:rsid w:val="00707F67"/>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BB7"/>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5D0"/>
    <w:rsid w:val="0072272C"/>
    <w:rsid w:val="00722995"/>
    <w:rsid w:val="00722998"/>
    <w:rsid w:val="007239E0"/>
    <w:rsid w:val="0072479C"/>
    <w:rsid w:val="00724EE4"/>
    <w:rsid w:val="00724FA7"/>
    <w:rsid w:val="0072513C"/>
    <w:rsid w:val="007254C6"/>
    <w:rsid w:val="00725783"/>
    <w:rsid w:val="00725E2E"/>
    <w:rsid w:val="007262F0"/>
    <w:rsid w:val="0072645E"/>
    <w:rsid w:val="007266A0"/>
    <w:rsid w:val="007269B3"/>
    <w:rsid w:val="007275C9"/>
    <w:rsid w:val="007277F8"/>
    <w:rsid w:val="00727ECC"/>
    <w:rsid w:val="00727FD8"/>
    <w:rsid w:val="0073003E"/>
    <w:rsid w:val="00730601"/>
    <w:rsid w:val="00730D41"/>
    <w:rsid w:val="00731E6C"/>
    <w:rsid w:val="00732072"/>
    <w:rsid w:val="00732181"/>
    <w:rsid w:val="007323A6"/>
    <w:rsid w:val="007328E0"/>
    <w:rsid w:val="00732A07"/>
    <w:rsid w:val="00732FCF"/>
    <w:rsid w:val="007337EA"/>
    <w:rsid w:val="007337F9"/>
    <w:rsid w:val="00733D16"/>
    <w:rsid w:val="00733D34"/>
    <w:rsid w:val="00733DB9"/>
    <w:rsid w:val="00733DBB"/>
    <w:rsid w:val="00734073"/>
    <w:rsid w:val="007340FF"/>
    <w:rsid w:val="00734361"/>
    <w:rsid w:val="00734388"/>
    <w:rsid w:val="007345F4"/>
    <w:rsid w:val="00734CA7"/>
    <w:rsid w:val="007362E3"/>
    <w:rsid w:val="007365D6"/>
    <w:rsid w:val="0073680C"/>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A78"/>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A68"/>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264"/>
    <w:rsid w:val="007736D7"/>
    <w:rsid w:val="00774281"/>
    <w:rsid w:val="007743B0"/>
    <w:rsid w:val="007755F8"/>
    <w:rsid w:val="00775C01"/>
    <w:rsid w:val="007762F6"/>
    <w:rsid w:val="00776737"/>
    <w:rsid w:val="00776BAC"/>
    <w:rsid w:val="00776BE8"/>
    <w:rsid w:val="007772D6"/>
    <w:rsid w:val="00780760"/>
    <w:rsid w:val="00780A48"/>
    <w:rsid w:val="00781112"/>
    <w:rsid w:val="00781277"/>
    <w:rsid w:val="00781DC1"/>
    <w:rsid w:val="00781F4B"/>
    <w:rsid w:val="00781FD9"/>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933"/>
    <w:rsid w:val="00787C53"/>
    <w:rsid w:val="00787FC0"/>
    <w:rsid w:val="0079037D"/>
    <w:rsid w:val="0079043D"/>
    <w:rsid w:val="00790719"/>
    <w:rsid w:val="0079153B"/>
    <w:rsid w:val="00791AA4"/>
    <w:rsid w:val="00792108"/>
    <w:rsid w:val="00792176"/>
    <w:rsid w:val="00792625"/>
    <w:rsid w:val="00792959"/>
    <w:rsid w:val="00792DFE"/>
    <w:rsid w:val="0079336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C"/>
    <w:rsid w:val="00797C1E"/>
    <w:rsid w:val="007A093C"/>
    <w:rsid w:val="007A0E6C"/>
    <w:rsid w:val="007A0EA2"/>
    <w:rsid w:val="007A115F"/>
    <w:rsid w:val="007A1371"/>
    <w:rsid w:val="007A21AD"/>
    <w:rsid w:val="007A2247"/>
    <w:rsid w:val="007A23C9"/>
    <w:rsid w:val="007A2479"/>
    <w:rsid w:val="007A2551"/>
    <w:rsid w:val="007A2711"/>
    <w:rsid w:val="007A304C"/>
    <w:rsid w:val="007A4A59"/>
    <w:rsid w:val="007A53F3"/>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4C7"/>
    <w:rsid w:val="007B7543"/>
    <w:rsid w:val="007B79E2"/>
    <w:rsid w:val="007C0B63"/>
    <w:rsid w:val="007C0DD2"/>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A2E"/>
    <w:rsid w:val="007C6B95"/>
    <w:rsid w:val="007C6C3F"/>
    <w:rsid w:val="007C6C85"/>
    <w:rsid w:val="007C76B6"/>
    <w:rsid w:val="007C76EB"/>
    <w:rsid w:val="007C7733"/>
    <w:rsid w:val="007D0307"/>
    <w:rsid w:val="007D0900"/>
    <w:rsid w:val="007D0C05"/>
    <w:rsid w:val="007D0CD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7CDA"/>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3C"/>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0D06"/>
    <w:rsid w:val="008010C5"/>
    <w:rsid w:val="008015A8"/>
    <w:rsid w:val="00801603"/>
    <w:rsid w:val="008017E9"/>
    <w:rsid w:val="00801AC0"/>
    <w:rsid w:val="00801CF0"/>
    <w:rsid w:val="00801D13"/>
    <w:rsid w:val="008021F1"/>
    <w:rsid w:val="00802266"/>
    <w:rsid w:val="00802327"/>
    <w:rsid w:val="00802AAF"/>
    <w:rsid w:val="00802DCD"/>
    <w:rsid w:val="00802E06"/>
    <w:rsid w:val="008032D7"/>
    <w:rsid w:val="00803961"/>
    <w:rsid w:val="00803C9F"/>
    <w:rsid w:val="00803CD8"/>
    <w:rsid w:val="00804333"/>
    <w:rsid w:val="00804343"/>
    <w:rsid w:val="008047E8"/>
    <w:rsid w:val="0080483C"/>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53"/>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2E7C"/>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07E1"/>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74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F9E"/>
    <w:rsid w:val="00864385"/>
    <w:rsid w:val="008652A5"/>
    <w:rsid w:val="00865344"/>
    <w:rsid w:val="008656D3"/>
    <w:rsid w:val="00865787"/>
    <w:rsid w:val="0086579B"/>
    <w:rsid w:val="0086581E"/>
    <w:rsid w:val="00865ACE"/>
    <w:rsid w:val="00865D31"/>
    <w:rsid w:val="00865E1D"/>
    <w:rsid w:val="0086632C"/>
    <w:rsid w:val="0086653F"/>
    <w:rsid w:val="00866B34"/>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5D75"/>
    <w:rsid w:val="008761B1"/>
    <w:rsid w:val="00876243"/>
    <w:rsid w:val="0087624D"/>
    <w:rsid w:val="008763C9"/>
    <w:rsid w:val="00876527"/>
    <w:rsid w:val="00876A0E"/>
    <w:rsid w:val="00876DD9"/>
    <w:rsid w:val="00876EA8"/>
    <w:rsid w:val="008771F0"/>
    <w:rsid w:val="0087755A"/>
    <w:rsid w:val="0087768C"/>
    <w:rsid w:val="008779E9"/>
    <w:rsid w:val="00877B84"/>
    <w:rsid w:val="00880111"/>
    <w:rsid w:val="0088046D"/>
    <w:rsid w:val="00880D36"/>
    <w:rsid w:val="008810B3"/>
    <w:rsid w:val="008815E0"/>
    <w:rsid w:val="00881E7D"/>
    <w:rsid w:val="0088248D"/>
    <w:rsid w:val="00882B64"/>
    <w:rsid w:val="00882F95"/>
    <w:rsid w:val="008838D6"/>
    <w:rsid w:val="0088405E"/>
    <w:rsid w:val="00884D3F"/>
    <w:rsid w:val="00884D4D"/>
    <w:rsid w:val="00885E97"/>
    <w:rsid w:val="00885F5D"/>
    <w:rsid w:val="008861E2"/>
    <w:rsid w:val="00886399"/>
    <w:rsid w:val="00886888"/>
    <w:rsid w:val="00886E83"/>
    <w:rsid w:val="00886F42"/>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829"/>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038"/>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3B9"/>
    <w:rsid w:val="008B6739"/>
    <w:rsid w:val="008B6844"/>
    <w:rsid w:val="008B6CEF"/>
    <w:rsid w:val="008B6DC7"/>
    <w:rsid w:val="008B7971"/>
    <w:rsid w:val="008B7C5C"/>
    <w:rsid w:val="008B7FCD"/>
    <w:rsid w:val="008C0549"/>
    <w:rsid w:val="008C1C73"/>
    <w:rsid w:val="008C1FAE"/>
    <w:rsid w:val="008C2557"/>
    <w:rsid w:val="008C295E"/>
    <w:rsid w:val="008C2966"/>
    <w:rsid w:val="008C3084"/>
    <w:rsid w:val="008C3299"/>
    <w:rsid w:val="008C34A4"/>
    <w:rsid w:val="008C3517"/>
    <w:rsid w:val="008C38DD"/>
    <w:rsid w:val="008C3A1C"/>
    <w:rsid w:val="008C4399"/>
    <w:rsid w:val="008C4417"/>
    <w:rsid w:val="008C4B52"/>
    <w:rsid w:val="008C5453"/>
    <w:rsid w:val="008C58B5"/>
    <w:rsid w:val="008C5EAD"/>
    <w:rsid w:val="008C5F4C"/>
    <w:rsid w:val="008C6C1C"/>
    <w:rsid w:val="008C6DEF"/>
    <w:rsid w:val="008C7124"/>
    <w:rsid w:val="008C712C"/>
    <w:rsid w:val="008C727B"/>
    <w:rsid w:val="008C75CD"/>
    <w:rsid w:val="008C7CB3"/>
    <w:rsid w:val="008D0084"/>
    <w:rsid w:val="008D04E5"/>
    <w:rsid w:val="008D05B4"/>
    <w:rsid w:val="008D0796"/>
    <w:rsid w:val="008D1624"/>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0A2"/>
    <w:rsid w:val="008E1E55"/>
    <w:rsid w:val="008E20E0"/>
    <w:rsid w:val="008E2685"/>
    <w:rsid w:val="008E2868"/>
    <w:rsid w:val="008E34AA"/>
    <w:rsid w:val="008E38D9"/>
    <w:rsid w:val="008E3AB4"/>
    <w:rsid w:val="008E4DE1"/>
    <w:rsid w:val="008E4E70"/>
    <w:rsid w:val="008E5094"/>
    <w:rsid w:val="008E5163"/>
    <w:rsid w:val="008E51F2"/>
    <w:rsid w:val="008E54C1"/>
    <w:rsid w:val="008E565F"/>
    <w:rsid w:val="008E5F89"/>
    <w:rsid w:val="008E622D"/>
    <w:rsid w:val="008E6306"/>
    <w:rsid w:val="008E63E1"/>
    <w:rsid w:val="008E64A5"/>
    <w:rsid w:val="008E6513"/>
    <w:rsid w:val="008F0938"/>
    <w:rsid w:val="008F1320"/>
    <w:rsid w:val="008F14A5"/>
    <w:rsid w:val="008F2304"/>
    <w:rsid w:val="008F28A9"/>
    <w:rsid w:val="008F2CA6"/>
    <w:rsid w:val="008F2E52"/>
    <w:rsid w:val="008F2F1D"/>
    <w:rsid w:val="008F3492"/>
    <w:rsid w:val="008F3897"/>
    <w:rsid w:val="008F3A21"/>
    <w:rsid w:val="008F3E22"/>
    <w:rsid w:val="008F467D"/>
    <w:rsid w:val="008F4744"/>
    <w:rsid w:val="008F4C99"/>
    <w:rsid w:val="008F5229"/>
    <w:rsid w:val="008F5722"/>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08"/>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4F64"/>
    <w:rsid w:val="00915698"/>
    <w:rsid w:val="00915B11"/>
    <w:rsid w:val="00916372"/>
    <w:rsid w:val="0091687A"/>
    <w:rsid w:val="0091729A"/>
    <w:rsid w:val="00917913"/>
    <w:rsid w:val="00917A26"/>
    <w:rsid w:val="00917A7D"/>
    <w:rsid w:val="00917C4A"/>
    <w:rsid w:val="00917E93"/>
    <w:rsid w:val="00917EC4"/>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58A"/>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2F06"/>
    <w:rsid w:val="0093355E"/>
    <w:rsid w:val="00933BB9"/>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4DC3"/>
    <w:rsid w:val="00945059"/>
    <w:rsid w:val="009450E8"/>
    <w:rsid w:val="009456D9"/>
    <w:rsid w:val="0094606D"/>
    <w:rsid w:val="0094611E"/>
    <w:rsid w:val="009468C8"/>
    <w:rsid w:val="0094755C"/>
    <w:rsid w:val="00947B8C"/>
    <w:rsid w:val="009501AE"/>
    <w:rsid w:val="009501BB"/>
    <w:rsid w:val="009505BA"/>
    <w:rsid w:val="0095074E"/>
    <w:rsid w:val="00950824"/>
    <w:rsid w:val="00950A9F"/>
    <w:rsid w:val="009511A1"/>
    <w:rsid w:val="00951498"/>
    <w:rsid w:val="00951A04"/>
    <w:rsid w:val="00951C06"/>
    <w:rsid w:val="00951EA3"/>
    <w:rsid w:val="009522F6"/>
    <w:rsid w:val="00953040"/>
    <w:rsid w:val="0095322C"/>
    <w:rsid w:val="00953864"/>
    <w:rsid w:val="00953BF0"/>
    <w:rsid w:val="00953E2B"/>
    <w:rsid w:val="0095418E"/>
    <w:rsid w:val="009543E8"/>
    <w:rsid w:val="0095519B"/>
    <w:rsid w:val="00955B2B"/>
    <w:rsid w:val="009561C0"/>
    <w:rsid w:val="009569E7"/>
    <w:rsid w:val="00956E0A"/>
    <w:rsid w:val="00957317"/>
    <w:rsid w:val="009576AF"/>
    <w:rsid w:val="009578A6"/>
    <w:rsid w:val="00957B95"/>
    <w:rsid w:val="00957C7F"/>
    <w:rsid w:val="00957D83"/>
    <w:rsid w:val="009602CB"/>
    <w:rsid w:val="00960BAD"/>
    <w:rsid w:val="00960D78"/>
    <w:rsid w:val="00960E07"/>
    <w:rsid w:val="009611B8"/>
    <w:rsid w:val="00961D8A"/>
    <w:rsid w:val="00961E9B"/>
    <w:rsid w:val="00961FF6"/>
    <w:rsid w:val="00962CDC"/>
    <w:rsid w:val="00962F09"/>
    <w:rsid w:val="009633CD"/>
    <w:rsid w:val="0096409E"/>
    <w:rsid w:val="00964169"/>
    <w:rsid w:val="00964188"/>
    <w:rsid w:val="00964DCB"/>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080B"/>
    <w:rsid w:val="00971373"/>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443"/>
    <w:rsid w:val="00981748"/>
    <w:rsid w:val="009819D2"/>
    <w:rsid w:val="00981AE9"/>
    <w:rsid w:val="00981E4C"/>
    <w:rsid w:val="0098216F"/>
    <w:rsid w:val="009821D3"/>
    <w:rsid w:val="00982331"/>
    <w:rsid w:val="00982C36"/>
    <w:rsid w:val="00982CBD"/>
    <w:rsid w:val="00983824"/>
    <w:rsid w:val="009841E3"/>
    <w:rsid w:val="00984437"/>
    <w:rsid w:val="0098454B"/>
    <w:rsid w:val="009846C3"/>
    <w:rsid w:val="009847AE"/>
    <w:rsid w:val="00984EC1"/>
    <w:rsid w:val="00984F54"/>
    <w:rsid w:val="009851E4"/>
    <w:rsid w:val="00985469"/>
    <w:rsid w:val="00985479"/>
    <w:rsid w:val="00985566"/>
    <w:rsid w:val="00985668"/>
    <w:rsid w:val="009859E7"/>
    <w:rsid w:val="00985A98"/>
    <w:rsid w:val="00985AB2"/>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4A85"/>
    <w:rsid w:val="00994C6B"/>
    <w:rsid w:val="00995BEB"/>
    <w:rsid w:val="00995C86"/>
    <w:rsid w:val="00995C92"/>
    <w:rsid w:val="00996997"/>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9B2"/>
    <w:rsid w:val="009B2D01"/>
    <w:rsid w:val="009B3376"/>
    <w:rsid w:val="009B3B8D"/>
    <w:rsid w:val="009B3DD5"/>
    <w:rsid w:val="009B4211"/>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37"/>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893"/>
    <w:rsid w:val="009D6F7B"/>
    <w:rsid w:val="009D7029"/>
    <w:rsid w:val="009D70F4"/>
    <w:rsid w:val="009D7411"/>
    <w:rsid w:val="009D7469"/>
    <w:rsid w:val="009D7489"/>
    <w:rsid w:val="009D77CF"/>
    <w:rsid w:val="009E01DD"/>
    <w:rsid w:val="009E0506"/>
    <w:rsid w:val="009E2A23"/>
    <w:rsid w:val="009E2A7B"/>
    <w:rsid w:val="009E309C"/>
    <w:rsid w:val="009E36AA"/>
    <w:rsid w:val="009E38C0"/>
    <w:rsid w:val="009E4115"/>
    <w:rsid w:val="009E449B"/>
    <w:rsid w:val="009E44BA"/>
    <w:rsid w:val="009E47BE"/>
    <w:rsid w:val="009E4F1B"/>
    <w:rsid w:val="009E510E"/>
    <w:rsid w:val="009E582C"/>
    <w:rsid w:val="009E5D76"/>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0EFA"/>
    <w:rsid w:val="00A011A4"/>
    <w:rsid w:val="00A018E2"/>
    <w:rsid w:val="00A01BF5"/>
    <w:rsid w:val="00A020EB"/>
    <w:rsid w:val="00A0261B"/>
    <w:rsid w:val="00A02982"/>
    <w:rsid w:val="00A02B9C"/>
    <w:rsid w:val="00A02FBB"/>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3F27"/>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B3C"/>
    <w:rsid w:val="00A23CB6"/>
    <w:rsid w:val="00A24033"/>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BD6"/>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C0A"/>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AEF"/>
    <w:rsid w:val="00A55ED6"/>
    <w:rsid w:val="00A55F0F"/>
    <w:rsid w:val="00A562A2"/>
    <w:rsid w:val="00A564D6"/>
    <w:rsid w:val="00A56A11"/>
    <w:rsid w:val="00A56B9F"/>
    <w:rsid w:val="00A575AE"/>
    <w:rsid w:val="00A57676"/>
    <w:rsid w:val="00A57677"/>
    <w:rsid w:val="00A57684"/>
    <w:rsid w:val="00A57702"/>
    <w:rsid w:val="00A57D4E"/>
    <w:rsid w:val="00A57F34"/>
    <w:rsid w:val="00A603C5"/>
    <w:rsid w:val="00A60442"/>
    <w:rsid w:val="00A60F6F"/>
    <w:rsid w:val="00A60F78"/>
    <w:rsid w:val="00A61119"/>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89"/>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3CA"/>
    <w:rsid w:val="00A95832"/>
    <w:rsid w:val="00A95EFD"/>
    <w:rsid w:val="00A96153"/>
    <w:rsid w:val="00A96435"/>
    <w:rsid w:val="00A967F3"/>
    <w:rsid w:val="00A969BA"/>
    <w:rsid w:val="00A96F85"/>
    <w:rsid w:val="00A9799E"/>
    <w:rsid w:val="00A97FDE"/>
    <w:rsid w:val="00AA0689"/>
    <w:rsid w:val="00AA07FA"/>
    <w:rsid w:val="00AA08D3"/>
    <w:rsid w:val="00AA13FE"/>
    <w:rsid w:val="00AA18E4"/>
    <w:rsid w:val="00AA1B8D"/>
    <w:rsid w:val="00AA29C6"/>
    <w:rsid w:val="00AA2C25"/>
    <w:rsid w:val="00AA2FF2"/>
    <w:rsid w:val="00AA3B6C"/>
    <w:rsid w:val="00AA3E9A"/>
    <w:rsid w:val="00AA444C"/>
    <w:rsid w:val="00AA46AF"/>
    <w:rsid w:val="00AA4AA7"/>
    <w:rsid w:val="00AA4B5D"/>
    <w:rsid w:val="00AA5729"/>
    <w:rsid w:val="00AA6CA0"/>
    <w:rsid w:val="00AA737C"/>
    <w:rsid w:val="00AA746A"/>
    <w:rsid w:val="00AA7CB8"/>
    <w:rsid w:val="00AA7E88"/>
    <w:rsid w:val="00AB13D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0F7"/>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6F1"/>
    <w:rsid w:val="00AC3C76"/>
    <w:rsid w:val="00AC484A"/>
    <w:rsid w:val="00AC49C1"/>
    <w:rsid w:val="00AC4C87"/>
    <w:rsid w:val="00AC51AC"/>
    <w:rsid w:val="00AC5246"/>
    <w:rsid w:val="00AC5298"/>
    <w:rsid w:val="00AC60D4"/>
    <w:rsid w:val="00AC620A"/>
    <w:rsid w:val="00AC76D1"/>
    <w:rsid w:val="00AC7ABF"/>
    <w:rsid w:val="00AD01B0"/>
    <w:rsid w:val="00AD03F0"/>
    <w:rsid w:val="00AD0D35"/>
    <w:rsid w:val="00AD1986"/>
    <w:rsid w:val="00AD1E31"/>
    <w:rsid w:val="00AD1EA4"/>
    <w:rsid w:val="00AD20A6"/>
    <w:rsid w:val="00AD2848"/>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D7781"/>
    <w:rsid w:val="00AE0DB6"/>
    <w:rsid w:val="00AE0F21"/>
    <w:rsid w:val="00AE0F65"/>
    <w:rsid w:val="00AE0F95"/>
    <w:rsid w:val="00AE1EED"/>
    <w:rsid w:val="00AE22A4"/>
    <w:rsid w:val="00AE28C2"/>
    <w:rsid w:val="00AE2AEB"/>
    <w:rsid w:val="00AE2C92"/>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5E89"/>
    <w:rsid w:val="00AE662C"/>
    <w:rsid w:val="00AE68CA"/>
    <w:rsid w:val="00AE6B3C"/>
    <w:rsid w:val="00AE7542"/>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0CF"/>
    <w:rsid w:val="00AF5200"/>
    <w:rsid w:val="00AF543B"/>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3A72"/>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33A"/>
    <w:rsid w:val="00B234B3"/>
    <w:rsid w:val="00B2370E"/>
    <w:rsid w:val="00B23ABD"/>
    <w:rsid w:val="00B23B3E"/>
    <w:rsid w:val="00B23B68"/>
    <w:rsid w:val="00B23FF9"/>
    <w:rsid w:val="00B2405C"/>
    <w:rsid w:val="00B248FB"/>
    <w:rsid w:val="00B24B8B"/>
    <w:rsid w:val="00B25192"/>
    <w:rsid w:val="00B25589"/>
    <w:rsid w:val="00B255D7"/>
    <w:rsid w:val="00B2572C"/>
    <w:rsid w:val="00B25AB9"/>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949"/>
    <w:rsid w:val="00B44C63"/>
    <w:rsid w:val="00B4516C"/>
    <w:rsid w:val="00B45A3C"/>
    <w:rsid w:val="00B4601E"/>
    <w:rsid w:val="00B46B56"/>
    <w:rsid w:val="00B46BBD"/>
    <w:rsid w:val="00B471F9"/>
    <w:rsid w:val="00B476E0"/>
    <w:rsid w:val="00B47DA4"/>
    <w:rsid w:val="00B50992"/>
    <w:rsid w:val="00B50DD7"/>
    <w:rsid w:val="00B51142"/>
    <w:rsid w:val="00B51173"/>
    <w:rsid w:val="00B51849"/>
    <w:rsid w:val="00B526E6"/>
    <w:rsid w:val="00B52958"/>
    <w:rsid w:val="00B52993"/>
    <w:rsid w:val="00B52B86"/>
    <w:rsid w:val="00B52D18"/>
    <w:rsid w:val="00B53204"/>
    <w:rsid w:val="00B53649"/>
    <w:rsid w:val="00B53680"/>
    <w:rsid w:val="00B53A85"/>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1DE"/>
    <w:rsid w:val="00B643E6"/>
    <w:rsid w:val="00B6443F"/>
    <w:rsid w:val="00B6469C"/>
    <w:rsid w:val="00B6486C"/>
    <w:rsid w:val="00B648B7"/>
    <w:rsid w:val="00B64B69"/>
    <w:rsid w:val="00B65324"/>
    <w:rsid w:val="00B65C17"/>
    <w:rsid w:val="00B65FC5"/>
    <w:rsid w:val="00B66202"/>
    <w:rsid w:val="00B663C8"/>
    <w:rsid w:val="00B66742"/>
    <w:rsid w:val="00B66F90"/>
    <w:rsid w:val="00B6736F"/>
    <w:rsid w:val="00B6737E"/>
    <w:rsid w:val="00B674D9"/>
    <w:rsid w:val="00B67963"/>
    <w:rsid w:val="00B67E6E"/>
    <w:rsid w:val="00B70B8B"/>
    <w:rsid w:val="00B7189C"/>
    <w:rsid w:val="00B7196C"/>
    <w:rsid w:val="00B71BBB"/>
    <w:rsid w:val="00B72033"/>
    <w:rsid w:val="00B721F5"/>
    <w:rsid w:val="00B722F8"/>
    <w:rsid w:val="00B724DA"/>
    <w:rsid w:val="00B72CAD"/>
    <w:rsid w:val="00B72DF7"/>
    <w:rsid w:val="00B72F07"/>
    <w:rsid w:val="00B731E0"/>
    <w:rsid w:val="00B73838"/>
    <w:rsid w:val="00B73A44"/>
    <w:rsid w:val="00B74711"/>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6DD"/>
    <w:rsid w:val="00B87DD0"/>
    <w:rsid w:val="00B91324"/>
    <w:rsid w:val="00B91957"/>
    <w:rsid w:val="00B91BF3"/>
    <w:rsid w:val="00B91F11"/>
    <w:rsid w:val="00B92236"/>
    <w:rsid w:val="00B92996"/>
    <w:rsid w:val="00B930E3"/>
    <w:rsid w:val="00B934F0"/>
    <w:rsid w:val="00B9354A"/>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EE5"/>
    <w:rsid w:val="00BB2F5D"/>
    <w:rsid w:val="00BB3173"/>
    <w:rsid w:val="00BB31E0"/>
    <w:rsid w:val="00BB38E7"/>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2C7E"/>
    <w:rsid w:val="00BC380B"/>
    <w:rsid w:val="00BC39F4"/>
    <w:rsid w:val="00BC3D45"/>
    <w:rsid w:val="00BC3DF9"/>
    <w:rsid w:val="00BC3E66"/>
    <w:rsid w:val="00BC3E92"/>
    <w:rsid w:val="00BC4021"/>
    <w:rsid w:val="00BC4066"/>
    <w:rsid w:val="00BC450E"/>
    <w:rsid w:val="00BC48C3"/>
    <w:rsid w:val="00BC4D85"/>
    <w:rsid w:val="00BC531B"/>
    <w:rsid w:val="00BC548B"/>
    <w:rsid w:val="00BC5AE1"/>
    <w:rsid w:val="00BC5CA4"/>
    <w:rsid w:val="00BC604C"/>
    <w:rsid w:val="00BC6C96"/>
    <w:rsid w:val="00BC71C9"/>
    <w:rsid w:val="00BC7A4E"/>
    <w:rsid w:val="00BD0739"/>
    <w:rsid w:val="00BD0769"/>
    <w:rsid w:val="00BD0887"/>
    <w:rsid w:val="00BD0AB1"/>
    <w:rsid w:val="00BD0B01"/>
    <w:rsid w:val="00BD10EC"/>
    <w:rsid w:val="00BD214B"/>
    <w:rsid w:val="00BD21AB"/>
    <w:rsid w:val="00BD378A"/>
    <w:rsid w:val="00BD43D6"/>
    <w:rsid w:val="00BD4538"/>
    <w:rsid w:val="00BD4965"/>
    <w:rsid w:val="00BD4B75"/>
    <w:rsid w:val="00BD4D5B"/>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5B0"/>
    <w:rsid w:val="00BE5604"/>
    <w:rsid w:val="00BE5633"/>
    <w:rsid w:val="00BE65CE"/>
    <w:rsid w:val="00BE690B"/>
    <w:rsid w:val="00BE7226"/>
    <w:rsid w:val="00BE739E"/>
    <w:rsid w:val="00BE743B"/>
    <w:rsid w:val="00BE76E4"/>
    <w:rsid w:val="00BE7D09"/>
    <w:rsid w:val="00BE7D4F"/>
    <w:rsid w:val="00BF0B74"/>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0D33"/>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333"/>
    <w:rsid w:val="00C0687D"/>
    <w:rsid w:val="00C06A1A"/>
    <w:rsid w:val="00C06FDD"/>
    <w:rsid w:val="00C07B79"/>
    <w:rsid w:val="00C07DF9"/>
    <w:rsid w:val="00C103CB"/>
    <w:rsid w:val="00C1051B"/>
    <w:rsid w:val="00C10621"/>
    <w:rsid w:val="00C1091A"/>
    <w:rsid w:val="00C10C3D"/>
    <w:rsid w:val="00C11047"/>
    <w:rsid w:val="00C11815"/>
    <w:rsid w:val="00C11A34"/>
    <w:rsid w:val="00C11F12"/>
    <w:rsid w:val="00C1213F"/>
    <w:rsid w:val="00C125EC"/>
    <w:rsid w:val="00C12872"/>
    <w:rsid w:val="00C12951"/>
    <w:rsid w:val="00C12F9E"/>
    <w:rsid w:val="00C134DE"/>
    <w:rsid w:val="00C136F1"/>
    <w:rsid w:val="00C13F79"/>
    <w:rsid w:val="00C14129"/>
    <w:rsid w:val="00C146F2"/>
    <w:rsid w:val="00C14DFB"/>
    <w:rsid w:val="00C14F0F"/>
    <w:rsid w:val="00C14FBF"/>
    <w:rsid w:val="00C15169"/>
    <w:rsid w:val="00C152D0"/>
    <w:rsid w:val="00C15618"/>
    <w:rsid w:val="00C15838"/>
    <w:rsid w:val="00C15C5A"/>
    <w:rsid w:val="00C15F6A"/>
    <w:rsid w:val="00C1640F"/>
    <w:rsid w:val="00C16784"/>
    <w:rsid w:val="00C16CC2"/>
    <w:rsid w:val="00C16D04"/>
    <w:rsid w:val="00C16E75"/>
    <w:rsid w:val="00C17185"/>
    <w:rsid w:val="00C177A7"/>
    <w:rsid w:val="00C17D64"/>
    <w:rsid w:val="00C201F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12"/>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69B1"/>
    <w:rsid w:val="00C4753E"/>
    <w:rsid w:val="00C4756A"/>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46B9"/>
    <w:rsid w:val="00C5515B"/>
    <w:rsid w:val="00C554A9"/>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C9D"/>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4A9"/>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458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1EA0"/>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64D3"/>
    <w:rsid w:val="00C96E29"/>
    <w:rsid w:val="00C97036"/>
    <w:rsid w:val="00C973BA"/>
    <w:rsid w:val="00C97B38"/>
    <w:rsid w:val="00C97ED5"/>
    <w:rsid w:val="00CA0056"/>
    <w:rsid w:val="00CA04CC"/>
    <w:rsid w:val="00CA0599"/>
    <w:rsid w:val="00CA0A47"/>
    <w:rsid w:val="00CA1333"/>
    <w:rsid w:val="00CA1DCB"/>
    <w:rsid w:val="00CA1E51"/>
    <w:rsid w:val="00CA25E2"/>
    <w:rsid w:val="00CA33DC"/>
    <w:rsid w:val="00CA4009"/>
    <w:rsid w:val="00CA4231"/>
    <w:rsid w:val="00CA49B2"/>
    <w:rsid w:val="00CA4CD9"/>
    <w:rsid w:val="00CA4D39"/>
    <w:rsid w:val="00CA528B"/>
    <w:rsid w:val="00CA5E2B"/>
    <w:rsid w:val="00CA6460"/>
    <w:rsid w:val="00CA65BF"/>
    <w:rsid w:val="00CA6983"/>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9AC"/>
    <w:rsid w:val="00CC0A26"/>
    <w:rsid w:val="00CC135F"/>
    <w:rsid w:val="00CC1E0F"/>
    <w:rsid w:val="00CC22C4"/>
    <w:rsid w:val="00CC24FA"/>
    <w:rsid w:val="00CC26E8"/>
    <w:rsid w:val="00CC2F55"/>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8DE"/>
    <w:rsid w:val="00CD1C47"/>
    <w:rsid w:val="00CD2274"/>
    <w:rsid w:val="00CD227E"/>
    <w:rsid w:val="00CD2283"/>
    <w:rsid w:val="00CD28FF"/>
    <w:rsid w:val="00CD301A"/>
    <w:rsid w:val="00CD34D3"/>
    <w:rsid w:val="00CD3CDC"/>
    <w:rsid w:val="00CD3DCB"/>
    <w:rsid w:val="00CD4234"/>
    <w:rsid w:val="00CD44D4"/>
    <w:rsid w:val="00CD49B9"/>
    <w:rsid w:val="00CD4DEC"/>
    <w:rsid w:val="00CD4F24"/>
    <w:rsid w:val="00CD4F7C"/>
    <w:rsid w:val="00CD57DE"/>
    <w:rsid w:val="00CD606C"/>
    <w:rsid w:val="00CD6330"/>
    <w:rsid w:val="00CD6760"/>
    <w:rsid w:val="00CD7A03"/>
    <w:rsid w:val="00CE03DF"/>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5CAC"/>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725"/>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0CC4"/>
    <w:rsid w:val="00D215D4"/>
    <w:rsid w:val="00D216BE"/>
    <w:rsid w:val="00D21E02"/>
    <w:rsid w:val="00D226BB"/>
    <w:rsid w:val="00D227ED"/>
    <w:rsid w:val="00D22A26"/>
    <w:rsid w:val="00D22E99"/>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1D89"/>
    <w:rsid w:val="00D420A9"/>
    <w:rsid w:val="00D42B3B"/>
    <w:rsid w:val="00D42EE0"/>
    <w:rsid w:val="00D43F20"/>
    <w:rsid w:val="00D43F30"/>
    <w:rsid w:val="00D446FF"/>
    <w:rsid w:val="00D449D0"/>
    <w:rsid w:val="00D4503C"/>
    <w:rsid w:val="00D454F9"/>
    <w:rsid w:val="00D45870"/>
    <w:rsid w:val="00D45CC4"/>
    <w:rsid w:val="00D464BB"/>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BD6"/>
    <w:rsid w:val="00D55FF9"/>
    <w:rsid w:val="00D560F1"/>
    <w:rsid w:val="00D566EE"/>
    <w:rsid w:val="00D56A6A"/>
    <w:rsid w:val="00D5749B"/>
    <w:rsid w:val="00D574AF"/>
    <w:rsid w:val="00D6008F"/>
    <w:rsid w:val="00D604E1"/>
    <w:rsid w:val="00D60BCE"/>
    <w:rsid w:val="00D614A0"/>
    <w:rsid w:val="00D61B08"/>
    <w:rsid w:val="00D61C21"/>
    <w:rsid w:val="00D62B27"/>
    <w:rsid w:val="00D62B70"/>
    <w:rsid w:val="00D62CE1"/>
    <w:rsid w:val="00D62F29"/>
    <w:rsid w:val="00D63412"/>
    <w:rsid w:val="00D6389C"/>
    <w:rsid w:val="00D63B33"/>
    <w:rsid w:val="00D63C7A"/>
    <w:rsid w:val="00D63CDD"/>
    <w:rsid w:val="00D6439C"/>
    <w:rsid w:val="00D64AAF"/>
    <w:rsid w:val="00D661FD"/>
    <w:rsid w:val="00D665D3"/>
    <w:rsid w:val="00D66CBB"/>
    <w:rsid w:val="00D67550"/>
    <w:rsid w:val="00D7139E"/>
    <w:rsid w:val="00D71CCA"/>
    <w:rsid w:val="00D7232B"/>
    <w:rsid w:val="00D724D3"/>
    <w:rsid w:val="00D72AB9"/>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83C"/>
    <w:rsid w:val="00D80DC5"/>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87A2D"/>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570"/>
    <w:rsid w:val="00DA3860"/>
    <w:rsid w:val="00DA393F"/>
    <w:rsid w:val="00DA3DE7"/>
    <w:rsid w:val="00DA41BE"/>
    <w:rsid w:val="00DA42B9"/>
    <w:rsid w:val="00DA52EE"/>
    <w:rsid w:val="00DA55EB"/>
    <w:rsid w:val="00DA5E70"/>
    <w:rsid w:val="00DA6252"/>
    <w:rsid w:val="00DA6F41"/>
    <w:rsid w:val="00DA72A8"/>
    <w:rsid w:val="00DA75DD"/>
    <w:rsid w:val="00DA7763"/>
    <w:rsid w:val="00DB0065"/>
    <w:rsid w:val="00DB04D7"/>
    <w:rsid w:val="00DB09D3"/>
    <w:rsid w:val="00DB0D1F"/>
    <w:rsid w:val="00DB158F"/>
    <w:rsid w:val="00DB1858"/>
    <w:rsid w:val="00DB1A2F"/>
    <w:rsid w:val="00DB1A6F"/>
    <w:rsid w:val="00DB1F1F"/>
    <w:rsid w:val="00DB1F80"/>
    <w:rsid w:val="00DB2405"/>
    <w:rsid w:val="00DB27DF"/>
    <w:rsid w:val="00DB2B9F"/>
    <w:rsid w:val="00DB2EEF"/>
    <w:rsid w:val="00DB34D5"/>
    <w:rsid w:val="00DB3659"/>
    <w:rsid w:val="00DB3A2F"/>
    <w:rsid w:val="00DB3D52"/>
    <w:rsid w:val="00DB4EB2"/>
    <w:rsid w:val="00DB4FA3"/>
    <w:rsid w:val="00DB5745"/>
    <w:rsid w:val="00DB5A79"/>
    <w:rsid w:val="00DB5AFA"/>
    <w:rsid w:val="00DB6067"/>
    <w:rsid w:val="00DB63DB"/>
    <w:rsid w:val="00DB6CFD"/>
    <w:rsid w:val="00DB6D3C"/>
    <w:rsid w:val="00DB6DDF"/>
    <w:rsid w:val="00DB711B"/>
    <w:rsid w:val="00DB75EB"/>
    <w:rsid w:val="00DB7784"/>
    <w:rsid w:val="00DC06C0"/>
    <w:rsid w:val="00DC06C1"/>
    <w:rsid w:val="00DC08EF"/>
    <w:rsid w:val="00DC095E"/>
    <w:rsid w:val="00DC0F6B"/>
    <w:rsid w:val="00DC0FD3"/>
    <w:rsid w:val="00DC1307"/>
    <w:rsid w:val="00DC190C"/>
    <w:rsid w:val="00DC1912"/>
    <w:rsid w:val="00DC1ADD"/>
    <w:rsid w:val="00DC20A5"/>
    <w:rsid w:val="00DC21CA"/>
    <w:rsid w:val="00DC38B4"/>
    <w:rsid w:val="00DC3C20"/>
    <w:rsid w:val="00DC4138"/>
    <w:rsid w:val="00DC417D"/>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54B"/>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5D5E"/>
    <w:rsid w:val="00DE6DD3"/>
    <w:rsid w:val="00DE7992"/>
    <w:rsid w:val="00DE7A3E"/>
    <w:rsid w:val="00DE7E3E"/>
    <w:rsid w:val="00DF0A04"/>
    <w:rsid w:val="00DF0AF3"/>
    <w:rsid w:val="00DF1117"/>
    <w:rsid w:val="00DF1446"/>
    <w:rsid w:val="00DF1452"/>
    <w:rsid w:val="00DF1B72"/>
    <w:rsid w:val="00DF1F5F"/>
    <w:rsid w:val="00DF2235"/>
    <w:rsid w:val="00DF2701"/>
    <w:rsid w:val="00DF37CE"/>
    <w:rsid w:val="00DF3ABE"/>
    <w:rsid w:val="00DF404D"/>
    <w:rsid w:val="00DF40AC"/>
    <w:rsid w:val="00DF41E3"/>
    <w:rsid w:val="00DF4BD3"/>
    <w:rsid w:val="00DF5263"/>
    <w:rsid w:val="00DF5AC3"/>
    <w:rsid w:val="00DF5E9F"/>
    <w:rsid w:val="00DF5FB5"/>
    <w:rsid w:val="00DF6535"/>
    <w:rsid w:val="00DF6786"/>
    <w:rsid w:val="00DF67F6"/>
    <w:rsid w:val="00DF6878"/>
    <w:rsid w:val="00DF68B8"/>
    <w:rsid w:val="00DF6A1D"/>
    <w:rsid w:val="00DF6AC7"/>
    <w:rsid w:val="00DF6EC6"/>
    <w:rsid w:val="00DF7F76"/>
    <w:rsid w:val="00E00083"/>
    <w:rsid w:val="00E0014E"/>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D4A"/>
    <w:rsid w:val="00E02EFD"/>
    <w:rsid w:val="00E03839"/>
    <w:rsid w:val="00E039DD"/>
    <w:rsid w:val="00E03BCB"/>
    <w:rsid w:val="00E03F86"/>
    <w:rsid w:val="00E0423E"/>
    <w:rsid w:val="00E0471A"/>
    <w:rsid w:val="00E04A18"/>
    <w:rsid w:val="00E04BF8"/>
    <w:rsid w:val="00E04E81"/>
    <w:rsid w:val="00E04F2B"/>
    <w:rsid w:val="00E05300"/>
    <w:rsid w:val="00E05C66"/>
    <w:rsid w:val="00E05D7E"/>
    <w:rsid w:val="00E05D97"/>
    <w:rsid w:val="00E05E8F"/>
    <w:rsid w:val="00E05F82"/>
    <w:rsid w:val="00E05FA2"/>
    <w:rsid w:val="00E06677"/>
    <w:rsid w:val="00E066FE"/>
    <w:rsid w:val="00E06B9E"/>
    <w:rsid w:val="00E06BEC"/>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6E66"/>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A75"/>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4E8"/>
    <w:rsid w:val="00E327DD"/>
    <w:rsid w:val="00E3375B"/>
    <w:rsid w:val="00E33CCB"/>
    <w:rsid w:val="00E34669"/>
    <w:rsid w:val="00E3483E"/>
    <w:rsid w:val="00E3524F"/>
    <w:rsid w:val="00E35C45"/>
    <w:rsid w:val="00E35C9D"/>
    <w:rsid w:val="00E35DF7"/>
    <w:rsid w:val="00E369F3"/>
    <w:rsid w:val="00E36C52"/>
    <w:rsid w:val="00E36E75"/>
    <w:rsid w:val="00E3720A"/>
    <w:rsid w:val="00E3739B"/>
    <w:rsid w:val="00E376BD"/>
    <w:rsid w:val="00E37C2D"/>
    <w:rsid w:val="00E37DD8"/>
    <w:rsid w:val="00E37E68"/>
    <w:rsid w:val="00E400BA"/>
    <w:rsid w:val="00E407EC"/>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5914"/>
    <w:rsid w:val="00E4641C"/>
    <w:rsid w:val="00E46997"/>
    <w:rsid w:val="00E46C39"/>
    <w:rsid w:val="00E47FA7"/>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5E6F"/>
    <w:rsid w:val="00E567AE"/>
    <w:rsid w:val="00E56C23"/>
    <w:rsid w:val="00E56DD3"/>
    <w:rsid w:val="00E57656"/>
    <w:rsid w:val="00E5782D"/>
    <w:rsid w:val="00E60A38"/>
    <w:rsid w:val="00E60FDD"/>
    <w:rsid w:val="00E610A6"/>
    <w:rsid w:val="00E6170A"/>
    <w:rsid w:val="00E61C86"/>
    <w:rsid w:val="00E61E00"/>
    <w:rsid w:val="00E625BC"/>
    <w:rsid w:val="00E628A5"/>
    <w:rsid w:val="00E63D36"/>
    <w:rsid w:val="00E640C9"/>
    <w:rsid w:val="00E642FC"/>
    <w:rsid w:val="00E64F16"/>
    <w:rsid w:val="00E65F97"/>
    <w:rsid w:val="00E65FBB"/>
    <w:rsid w:val="00E6606F"/>
    <w:rsid w:val="00E6677D"/>
    <w:rsid w:val="00E66A48"/>
    <w:rsid w:val="00E670F4"/>
    <w:rsid w:val="00E67811"/>
    <w:rsid w:val="00E6798D"/>
    <w:rsid w:val="00E67D4D"/>
    <w:rsid w:val="00E70345"/>
    <w:rsid w:val="00E7191F"/>
    <w:rsid w:val="00E71DAD"/>
    <w:rsid w:val="00E71E15"/>
    <w:rsid w:val="00E72050"/>
    <w:rsid w:val="00E7216F"/>
    <w:rsid w:val="00E72287"/>
    <w:rsid w:val="00E723C3"/>
    <w:rsid w:val="00E7352A"/>
    <w:rsid w:val="00E739FC"/>
    <w:rsid w:val="00E73A69"/>
    <w:rsid w:val="00E73B7B"/>
    <w:rsid w:val="00E73E86"/>
    <w:rsid w:val="00E74A69"/>
    <w:rsid w:val="00E74F6F"/>
    <w:rsid w:val="00E751ED"/>
    <w:rsid w:val="00E75A35"/>
    <w:rsid w:val="00E761BF"/>
    <w:rsid w:val="00E76296"/>
    <w:rsid w:val="00E76E84"/>
    <w:rsid w:val="00E774F2"/>
    <w:rsid w:val="00E77ACD"/>
    <w:rsid w:val="00E77F21"/>
    <w:rsid w:val="00E80A6F"/>
    <w:rsid w:val="00E81227"/>
    <w:rsid w:val="00E816AC"/>
    <w:rsid w:val="00E8185C"/>
    <w:rsid w:val="00E82328"/>
    <w:rsid w:val="00E824CC"/>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390"/>
    <w:rsid w:val="00E94A58"/>
    <w:rsid w:val="00E94CA6"/>
    <w:rsid w:val="00E95174"/>
    <w:rsid w:val="00E95697"/>
    <w:rsid w:val="00E95A2A"/>
    <w:rsid w:val="00E95E91"/>
    <w:rsid w:val="00E95EA1"/>
    <w:rsid w:val="00E9649C"/>
    <w:rsid w:val="00E96B2F"/>
    <w:rsid w:val="00E97397"/>
    <w:rsid w:val="00E9796A"/>
    <w:rsid w:val="00E97FAB"/>
    <w:rsid w:val="00EA0412"/>
    <w:rsid w:val="00EA044A"/>
    <w:rsid w:val="00EA05E9"/>
    <w:rsid w:val="00EA0A0B"/>
    <w:rsid w:val="00EA0B43"/>
    <w:rsid w:val="00EA1CB4"/>
    <w:rsid w:val="00EA1DC0"/>
    <w:rsid w:val="00EA1E4C"/>
    <w:rsid w:val="00EA25B5"/>
    <w:rsid w:val="00EA263E"/>
    <w:rsid w:val="00EA2F2D"/>
    <w:rsid w:val="00EA33B5"/>
    <w:rsid w:val="00EA3E47"/>
    <w:rsid w:val="00EA3E86"/>
    <w:rsid w:val="00EA3ECA"/>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780"/>
    <w:rsid w:val="00EB1948"/>
    <w:rsid w:val="00EB1A7F"/>
    <w:rsid w:val="00EB1BD7"/>
    <w:rsid w:val="00EB2566"/>
    <w:rsid w:val="00EB2BF4"/>
    <w:rsid w:val="00EB3230"/>
    <w:rsid w:val="00EB3453"/>
    <w:rsid w:val="00EB37BB"/>
    <w:rsid w:val="00EB38B9"/>
    <w:rsid w:val="00EB3BB1"/>
    <w:rsid w:val="00EB436C"/>
    <w:rsid w:val="00EB4630"/>
    <w:rsid w:val="00EB5287"/>
    <w:rsid w:val="00EB592F"/>
    <w:rsid w:val="00EB5998"/>
    <w:rsid w:val="00EB5A3F"/>
    <w:rsid w:val="00EB5DBD"/>
    <w:rsid w:val="00EB5E2E"/>
    <w:rsid w:val="00EB6043"/>
    <w:rsid w:val="00EB6076"/>
    <w:rsid w:val="00EB6423"/>
    <w:rsid w:val="00EB6685"/>
    <w:rsid w:val="00EB73D2"/>
    <w:rsid w:val="00EB765C"/>
    <w:rsid w:val="00EB773B"/>
    <w:rsid w:val="00EB79ED"/>
    <w:rsid w:val="00EB7CDD"/>
    <w:rsid w:val="00EC12DC"/>
    <w:rsid w:val="00EC186C"/>
    <w:rsid w:val="00EC1905"/>
    <w:rsid w:val="00EC1B31"/>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083"/>
    <w:rsid w:val="00ED0217"/>
    <w:rsid w:val="00ED095F"/>
    <w:rsid w:val="00ED0A76"/>
    <w:rsid w:val="00ED0EDB"/>
    <w:rsid w:val="00ED10B6"/>
    <w:rsid w:val="00ED12ED"/>
    <w:rsid w:val="00ED2312"/>
    <w:rsid w:val="00ED2EB5"/>
    <w:rsid w:val="00ED3396"/>
    <w:rsid w:val="00ED34B4"/>
    <w:rsid w:val="00ED3C4A"/>
    <w:rsid w:val="00ED42AB"/>
    <w:rsid w:val="00ED4797"/>
    <w:rsid w:val="00ED4AFB"/>
    <w:rsid w:val="00ED5658"/>
    <w:rsid w:val="00ED5C2C"/>
    <w:rsid w:val="00ED5FE9"/>
    <w:rsid w:val="00ED60BB"/>
    <w:rsid w:val="00ED6145"/>
    <w:rsid w:val="00ED62B3"/>
    <w:rsid w:val="00ED6514"/>
    <w:rsid w:val="00ED6E77"/>
    <w:rsid w:val="00ED724F"/>
    <w:rsid w:val="00ED7316"/>
    <w:rsid w:val="00EE0D05"/>
    <w:rsid w:val="00EE12B8"/>
    <w:rsid w:val="00EE1AE2"/>
    <w:rsid w:val="00EE21B4"/>
    <w:rsid w:val="00EE323B"/>
    <w:rsid w:val="00EE363C"/>
    <w:rsid w:val="00EE414A"/>
    <w:rsid w:val="00EE5096"/>
    <w:rsid w:val="00EE5BBE"/>
    <w:rsid w:val="00EE61C4"/>
    <w:rsid w:val="00EE651A"/>
    <w:rsid w:val="00EE69A6"/>
    <w:rsid w:val="00EE7265"/>
    <w:rsid w:val="00EE7C6E"/>
    <w:rsid w:val="00EE7E25"/>
    <w:rsid w:val="00EF0211"/>
    <w:rsid w:val="00EF02B4"/>
    <w:rsid w:val="00EF0D9F"/>
    <w:rsid w:val="00EF160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4AD"/>
    <w:rsid w:val="00F0199C"/>
    <w:rsid w:val="00F01B29"/>
    <w:rsid w:val="00F01F8D"/>
    <w:rsid w:val="00F01FA3"/>
    <w:rsid w:val="00F02146"/>
    <w:rsid w:val="00F0247B"/>
    <w:rsid w:val="00F02566"/>
    <w:rsid w:val="00F026F2"/>
    <w:rsid w:val="00F0392F"/>
    <w:rsid w:val="00F039EA"/>
    <w:rsid w:val="00F03A89"/>
    <w:rsid w:val="00F03ADE"/>
    <w:rsid w:val="00F03F19"/>
    <w:rsid w:val="00F041B1"/>
    <w:rsid w:val="00F04279"/>
    <w:rsid w:val="00F048DA"/>
    <w:rsid w:val="00F04B11"/>
    <w:rsid w:val="00F04EFC"/>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5AB"/>
    <w:rsid w:val="00F116CE"/>
    <w:rsid w:val="00F11DAA"/>
    <w:rsid w:val="00F124F3"/>
    <w:rsid w:val="00F13112"/>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17857"/>
    <w:rsid w:val="00F2037F"/>
    <w:rsid w:val="00F20DF1"/>
    <w:rsid w:val="00F213AB"/>
    <w:rsid w:val="00F21593"/>
    <w:rsid w:val="00F223CF"/>
    <w:rsid w:val="00F2265A"/>
    <w:rsid w:val="00F22940"/>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2E1"/>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23"/>
    <w:rsid w:val="00F65693"/>
    <w:rsid w:val="00F657B2"/>
    <w:rsid w:val="00F65B35"/>
    <w:rsid w:val="00F6621C"/>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537"/>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79D"/>
    <w:rsid w:val="00F92801"/>
    <w:rsid w:val="00F93325"/>
    <w:rsid w:val="00F93EAD"/>
    <w:rsid w:val="00F93FAE"/>
    <w:rsid w:val="00F941CC"/>
    <w:rsid w:val="00F957DA"/>
    <w:rsid w:val="00F96A8B"/>
    <w:rsid w:val="00F96F59"/>
    <w:rsid w:val="00F970BF"/>
    <w:rsid w:val="00F97325"/>
    <w:rsid w:val="00F9746A"/>
    <w:rsid w:val="00F9746B"/>
    <w:rsid w:val="00FA0114"/>
    <w:rsid w:val="00FA0688"/>
    <w:rsid w:val="00FA070E"/>
    <w:rsid w:val="00FA09AD"/>
    <w:rsid w:val="00FA208E"/>
    <w:rsid w:val="00FA20A2"/>
    <w:rsid w:val="00FA2305"/>
    <w:rsid w:val="00FA23AA"/>
    <w:rsid w:val="00FA303A"/>
    <w:rsid w:val="00FA32FE"/>
    <w:rsid w:val="00FA364C"/>
    <w:rsid w:val="00FA37C3"/>
    <w:rsid w:val="00FA3FBE"/>
    <w:rsid w:val="00FA3FCB"/>
    <w:rsid w:val="00FA425D"/>
    <w:rsid w:val="00FA4B06"/>
    <w:rsid w:val="00FA4B17"/>
    <w:rsid w:val="00FA58C5"/>
    <w:rsid w:val="00FA596C"/>
    <w:rsid w:val="00FA5F3F"/>
    <w:rsid w:val="00FA603A"/>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C82"/>
    <w:rsid w:val="00FB3C0A"/>
    <w:rsid w:val="00FB43F9"/>
    <w:rsid w:val="00FB46D3"/>
    <w:rsid w:val="00FB48C8"/>
    <w:rsid w:val="00FB4911"/>
    <w:rsid w:val="00FB50EB"/>
    <w:rsid w:val="00FB5190"/>
    <w:rsid w:val="00FB5A89"/>
    <w:rsid w:val="00FB5F7C"/>
    <w:rsid w:val="00FB60CB"/>
    <w:rsid w:val="00FB6671"/>
    <w:rsid w:val="00FB6EF6"/>
    <w:rsid w:val="00FB7AE5"/>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6D"/>
    <w:rsid w:val="00FD6BF4"/>
    <w:rsid w:val="00FE16B2"/>
    <w:rsid w:val="00FE1B44"/>
    <w:rsid w:val="00FE213F"/>
    <w:rsid w:val="00FE23CB"/>
    <w:rsid w:val="00FE2D92"/>
    <w:rsid w:val="00FE3551"/>
    <w:rsid w:val="00FE364B"/>
    <w:rsid w:val="00FE367F"/>
    <w:rsid w:val="00FE50AF"/>
    <w:rsid w:val="00FE5A65"/>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6A1B"/>
    <w:rsid w:val="00FF6E2A"/>
    <w:rsid w:val="00FF70DA"/>
    <w:rsid w:val="00FF775A"/>
    <w:rsid w:val="00FF7B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DCE44"/>
  <w15:chartTrackingRefBased/>
  <w15:docId w15:val="{5FEF3C32-6C01-41AA-8151-78446F3B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hyperlink" Target="mailto:adam.poulter@actcoss.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crc.act.gov.au/water-and-sewerage/tariff-review-20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crc.act.gov.au/water-and-sewerage/regulated-water-and-sewerage-services-prices-202328"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rc@act.gov.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6" ma:contentTypeDescription="Create a new document." ma:contentTypeScope="" ma:versionID="3c24443ba9316b291013ece372e39b8c">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33f4df376c7ae0f8ea1750d14c007c"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customXml/itemProps2.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 ds:uri="32918964-d11d-4bda-ba04-9b8184f6a173"/>
    <ds:schemaRef ds:uri="ef2741e4-cc31-428c-aca2-d2da616e4ed0"/>
  </ds:schemaRefs>
</ds:datastoreItem>
</file>

<file path=customXml/itemProps3.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4.xml><?xml version="1.0" encoding="utf-8"?>
<ds:datastoreItem xmlns:ds="http://schemas.openxmlformats.org/officeDocument/2006/customXml" ds:itemID="{09745804-33E8-4AE3-8619-FC5471C14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Letter</vt:lpstr>
    </vt:vector>
  </TitlesOfParts>
  <Company>ACT Council of Social Service</Company>
  <LinksUpToDate>false</LinksUpToDate>
  <CharactersWithSpaces>13675</CharactersWithSpaces>
  <SharedDoc>false</SharedDoc>
  <HLinks>
    <vt:vector size="48" baseType="variant">
      <vt:variant>
        <vt:i4>1966112</vt:i4>
      </vt:variant>
      <vt:variant>
        <vt:i4>18</vt:i4>
      </vt:variant>
      <vt:variant>
        <vt:i4>0</vt:i4>
      </vt:variant>
      <vt:variant>
        <vt:i4>5</vt:i4>
      </vt:variant>
      <vt:variant>
        <vt:lpwstr>mailto:adam.poulter@actcoss.org.au</vt:lpwstr>
      </vt:variant>
      <vt:variant>
        <vt:lpwstr/>
      </vt:variant>
      <vt:variant>
        <vt:i4>3735578</vt:i4>
      </vt:variant>
      <vt:variant>
        <vt:i4>15</vt:i4>
      </vt:variant>
      <vt:variant>
        <vt:i4>0</vt:i4>
      </vt:variant>
      <vt:variant>
        <vt:i4>5</vt:i4>
      </vt:variant>
      <vt:variant>
        <vt:lpwstr>mailto:geoff.buchanan@actcoss.org.au</vt:lpwstr>
      </vt:variant>
      <vt:variant>
        <vt:lpwstr/>
      </vt:variant>
      <vt:variant>
        <vt:i4>5832788</vt:i4>
      </vt:variant>
      <vt:variant>
        <vt:i4>12</vt:i4>
      </vt:variant>
      <vt:variant>
        <vt:i4>0</vt:i4>
      </vt:variant>
      <vt:variant>
        <vt:i4>5</vt:i4>
      </vt:variant>
      <vt:variant>
        <vt:lpwstr>https://www.icrc.act.gov.au/water-and-sewerage/tariff-review-2017</vt:lpwstr>
      </vt:variant>
      <vt:variant>
        <vt:lpwstr/>
      </vt:variant>
      <vt:variant>
        <vt:i4>2359393</vt:i4>
      </vt:variant>
      <vt:variant>
        <vt:i4>9</vt:i4>
      </vt:variant>
      <vt:variant>
        <vt:i4>0</vt:i4>
      </vt:variant>
      <vt:variant>
        <vt:i4>5</vt:i4>
      </vt:variant>
      <vt:variant>
        <vt:lpwstr>https://www.icrc.act.gov.au/water-and-sewerage/regulated-water-and-sewerage-services-prices-202328</vt:lpwstr>
      </vt:variant>
      <vt:variant>
        <vt:lpwstr/>
      </vt:variant>
      <vt:variant>
        <vt:i4>4194351</vt:i4>
      </vt:variant>
      <vt:variant>
        <vt:i4>6</vt:i4>
      </vt:variant>
      <vt:variant>
        <vt:i4>0</vt:i4>
      </vt:variant>
      <vt:variant>
        <vt:i4>5</vt:i4>
      </vt:variant>
      <vt:variant>
        <vt:lpwstr>mailto:icrc@act.gov.au</vt:lpwstr>
      </vt:variant>
      <vt:variant>
        <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3932192</vt:i4>
      </vt:variant>
      <vt:variant>
        <vt:i4>5</vt:i4>
      </vt:variant>
      <vt:variant>
        <vt:i4>0</vt:i4>
      </vt:variant>
      <vt:variant>
        <vt:i4>5</vt:i4>
      </vt:variant>
      <vt:variant>
        <vt:lpwstr>https://www.actcoss.org.au/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Suzanne Richardson</dc:creator>
  <cp:keywords/>
  <cp:lastModifiedBy>Patrick Johnson</cp:lastModifiedBy>
  <cp:revision>3</cp:revision>
  <cp:lastPrinted>2011-07-21T10:29:00Z</cp:lastPrinted>
  <dcterms:created xsi:type="dcterms:W3CDTF">2022-09-07T00:50:00Z</dcterms:created>
  <dcterms:modified xsi:type="dcterms:W3CDTF">2022-09-07T03:32:00Z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