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297AE" w14:textId="77777777" w:rsidR="00222AFE" w:rsidRPr="001D19C8" w:rsidRDefault="00222AFE" w:rsidP="0068354C">
      <w:pPr>
        <w:pStyle w:val="Logo-Centred"/>
        <w:jc w:val="left"/>
      </w:pPr>
      <w:bookmarkStart w:id="0" w:name="_GoBack"/>
      <w:bookmarkEnd w:id="0"/>
    </w:p>
    <w:p w14:paraId="5AC297B2" w14:textId="05B005CC" w:rsidR="00222AFE" w:rsidRPr="001D19C8" w:rsidRDefault="003313FC" w:rsidP="008C25AE">
      <w:pPr>
        <w:pStyle w:val="Logo-Centred"/>
        <w:spacing w:before="1200"/>
      </w:pPr>
      <w:r>
        <w:rPr>
          <w:noProof/>
        </w:rPr>
        <w:drawing>
          <wp:inline distT="0" distB="0" distL="0" distR="0" wp14:anchorId="5AC29869" wp14:editId="2CCE6972">
            <wp:extent cx="2886075"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6075" cy="1085850"/>
                    </a:xfrm>
                    <a:prstGeom prst="rect">
                      <a:avLst/>
                    </a:prstGeom>
                    <a:noFill/>
                    <a:ln>
                      <a:noFill/>
                    </a:ln>
                  </pic:spPr>
                </pic:pic>
              </a:graphicData>
            </a:graphic>
          </wp:inline>
        </w:drawing>
      </w:r>
    </w:p>
    <w:p w14:paraId="5AC297B3" w14:textId="2EA09A09" w:rsidR="00222AFE" w:rsidRPr="00157255" w:rsidRDefault="00350D41" w:rsidP="0068354C">
      <w:pPr>
        <w:pStyle w:val="Title-FrontPage"/>
        <w:spacing w:before="1600"/>
        <w:rPr>
          <w:sz w:val="52"/>
        </w:rPr>
      </w:pPr>
      <w:r w:rsidRPr="00157255">
        <w:rPr>
          <w:sz w:val="52"/>
        </w:rPr>
        <w:t>201</w:t>
      </w:r>
      <w:r w:rsidR="00321C9E">
        <w:rPr>
          <w:sz w:val="52"/>
        </w:rPr>
        <w:t>9</w:t>
      </w:r>
      <w:r w:rsidR="00222AFE" w:rsidRPr="00157255">
        <w:rPr>
          <w:sz w:val="52"/>
        </w:rPr>
        <w:t>-</w:t>
      </w:r>
      <w:r w:rsidR="00321C9E">
        <w:rPr>
          <w:sz w:val="52"/>
        </w:rPr>
        <w:t>20</w:t>
      </w:r>
      <w:r w:rsidR="004D096A">
        <w:rPr>
          <w:sz w:val="52"/>
        </w:rPr>
        <w:t xml:space="preserve"> </w:t>
      </w:r>
      <w:r w:rsidR="004D096A" w:rsidRPr="00157255">
        <w:rPr>
          <w:sz w:val="52"/>
        </w:rPr>
        <w:t>ACT</w:t>
      </w:r>
    </w:p>
    <w:p w14:paraId="5AC297B4" w14:textId="77777777" w:rsidR="00222AFE" w:rsidRPr="00157255" w:rsidRDefault="00222AFE" w:rsidP="00222AFE">
      <w:pPr>
        <w:pStyle w:val="Title-BudgetSnapshot"/>
        <w:rPr>
          <w:sz w:val="56"/>
        </w:rPr>
      </w:pPr>
      <w:r w:rsidRPr="00157255">
        <w:rPr>
          <w:sz w:val="56"/>
        </w:rPr>
        <w:t>Budget Snapshot</w:t>
      </w:r>
    </w:p>
    <w:p w14:paraId="5AC297B8" w14:textId="083C6BA8" w:rsidR="00984FE7" w:rsidRPr="00984FE7" w:rsidRDefault="00321C9E" w:rsidP="00B13DE9">
      <w:pPr>
        <w:pStyle w:val="Titlepagesubtitle"/>
        <w:spacing w:after="720"/>
      </w:pPr>
      <w:r>
        <w:t>5</w:t>
      </w:r>
      <w:r w:rsidR="00350D41">
        <w:t xml:space="preserve"> June 201</w:t>
      </w:r>
      <w:r>
        <w:t>9</w:t>
      </w:r>
    </w:p>
    <w:p w14:paraId="12833A50" w14:textId="4C732C8E" w:rsidR="00D4109B" w:rsidRPr="001D19C8" w:rsidRDefault="00D4109B" w:rsidP="00B13DE9">
      <w:pPr>
        <w:jc w:val="center"/>
      </w:pPr>
      <w:r w:rsidRPr="00B13DE9">
        <w:rPr>
          <w:noProof/>
        </w:rPr>
        <w:drawing>
          <wp:inline distT="0" distB="0" distL="0" distR="0" wp14:anchorId="79813313" wp14:editId="05A0ACF1">
            <wp:extent cx="3650400" cy="2880000"/>
            <wp:effectExtent l="0" t="0" r="762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dget magnifier 201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50400" cy="2880000"/>
                    </a:xfrm>
                    <a:prstGeom prst="rect">
                      <a:avLst/>
                    </a:prstGeom>
                  </pic:spPr>
                </pic:pic>
              </a:graphicData>
            </a:graphic>
          </wp:inline>
        </w:drawing>
      </w:r>
    </w:p>
    <w:p w14:paraId="5AC297B9" w14:textId="77777777" w:rsidR="005913F7" w:rsidRPr="001D19C8" w:rsidRDefault="005913F7" w:rsidP="005913F7">
      <w:pPr>
        <w:pStyle w:val="Heading1-Pagebreakbefore"/>
      </w:pPr>
      <w:bookmarkStart w:id="1" w:name="_Toc299114341"/>
      <w:bookmarkStart w:id="2" w:name="_Toc10657539"/>
      <w:r w:rsidRPr="001D19C8">
        <w:lastRenderedPageBreak/>
        <w:t>About ACTCOSS</w:t>
      </w:r>
      <w:bookmarkEnd w:id="1"/>
      <w:bookmarkEnd w:id="2"/>
    </w:p>
    <w:p w14:paraId="5A93BA31" w14:textId="3404F840" w:rsidR="005E05F9" w:rsidRDefault="005E05F9" w:rsidP="005E05F9">
      <w:pPr>
        <w:pStyle w:val="Frontmatter"/>
      </w:pPr>
      <w:r>
        <w:t>ACTCOSS acknowledges Canberra has been built on the land of the Ngunnawal people. We pay respects to their Elders and recognise the strength and resilience of Aboriginal and</w:t>
      </w:r>
      <w:r w:rsidR="008C25AE">
        <w:t>/or</w:t>
      </w:r>
      <w:r>
        <w:t xml:space="preserve"> Torres Strait Islander peoples. We celebrate Aboriginal and</w:t>
      </w:r>
      <w:r w:rsidR="008C25AE">
        <w:t>/or</w:t>
      </w:r>
      <w:r>
        <w:t xml:space="preserve"> Torres Strait Islander cultures and ongoing contribution</w:t>
      </w:r>
      <w:r w:rsidR="008C25AE">
        <w:t>s</w:t>
      </w:r>
      <w:r>
        <w:t xml:space="preserve"> to the ACT community.</w:t>
      </w:r>
    </w:p>
    <w:p w14:paraId="705AC4D6" w14:textId="77777777" w:rsidR="005E05F9" w:rsidRDefault="005E05F9" w:rsidP="005E05F9">
      <w:pPr>
        <w:pStyle w:val="Frontmatter"/>
      </w:pPr>
      <w:r>
        <w:t>The ACT Council of Social Service Inc. (ACTCOSS) represents not-for-profit community organisations and advocates for social justice in the ACT.</w:t>
      </w:r>
    </w:p>
    <w:p w14:paraId="653E3A2E" w14:textId="77777777" w:rsidR="005E05F9" w:rsidRDefault="005E05F9" w:rsidP="005E05F9">
      <w:pPr>
        <w:pStyle w:val="Frontmatter"/>
      </w:pPr>
      <w:r>
        <w:t>ACTCOSS is a member of the nationwide COSS Network, made up of each of the state and territory Councils and the national body, the Australian Council of Social Service (ACOSS).</w:t>
      </w:r>
    </w:p>
    <w:p w14:paraId="1F4ADB0B" w14:textId="77777777" w:rsidR="005E05F9" w:rsidRDefault="005E05F9" w:rsidP="005E05F9">
      <w:pPr>
        <w:pStyle w:val="Frontmatter"/>
      </w:pPr>
      <w:r>
        <w:t>ACTCOSS’ vision is for Canberra to be a just, safe and sustainable community in which everyone has the opportunity for self-determination and a fair share of resources and services.</w:t>
      </w:r>
    </w:p>
    <w:p w14:paraId="15C1F0CB" w14:textId="77777777" w:rsidR="005E05F9" w:rsidRDefault="005E05F9" w:rsidP="005E05F9">
      <w:pPr>
        <w:pStyle w:val="Frontmatter"/>
      </w:pPr>
      <w:r>
        <w:t>The membership of the Council includes the majority of community-based service providers in the social welfare area, a range of community associations and networks, self-help and consumer groups and interested individuals.</w:t>
      </w:r>
    </w:p>
    <w:p w14:paraId="4C3F4D46" w14:textId="77777777" w:rsidR="005E05F9" w:rsidRDefault="005E05F9" w:rsidP="005E05F9">
      <w:pPr>
        <w:pStyle w:val="Frontmatter"/>
      </w:pPr>
      <w:r>
        <w:t>ACTCOSS advises that this document may be publicly distributed, including by placing a copy on our website.</w:t>
      </w:r>
    </w:p>
    <w:p w14:paraId="338452BE" w14:textId="77777777" w:rsidR="005E05F9" w:rsidRPr="00CA7855" w:rsidRDefault="005E05F9" w:rsidP="005E05F9">
      <w:pPr>
        <w:pStyle w:val="Frontmatter"/>
        <w:rPr>
          <w:rStyle w:val="Bold"/>
        </w:rPr>
      </w:pPr>
      <w:r w:rsidRPr="00CA7855">
        <w:rPr>
          <w:rStyle w:val="Bold"/>
        </w:rPr>
        <w:t>Contact Details</w:t>
      </w:r>
    </w:p>
    <w:p w14:paraId="6B892A70" w14:textId="30266025" w:rsidR="005E05F9" w:rsidRPr="001D19C8" w:rsidRDefault="005E05F9" w:rsidP="005E05F9">
      <w:pPr>
        <w:pStyle w:val="Frontmatter"/>
      </w:pPr>
      <w:r w:rsidRPr="001D19C8">
        <w:t>Phone:</w:t>
      </w:r>
      <w:r w:rsidRPr="001D19C8">
        <w:tab/>
      </w:r>
      <w:r w:rsidRPr="001D19C8">
        <w:tab/>
        <w:t>02 6202 7200</w:t>
      </w:r>
      <w:r w:rsidRPr="001D19C8">
        <w:br/>
      </w:r>
      <w:r>
        <w:t>Address</w:t>
      </w:r>
      <w:r w:rsidRPr="001D19C8">
        <w:t>:</w:t>
      </w:r>
      <w:r w:rsidRPr="001D19C8">
        <w:tab/>
      </w:r>
      <w:r w:rsidRPr="001D19C8">
        <w:tab/>
        <w:t xml:space="preserve">Weston Community Hub, 1/6 </w:t>
      </w:r>
      <w:proofErr w:type="spellStart"/>
      <w:r w:rsidRPr="001D19C8">
        <w:t>Gritten</w:t>
      </w:r>
      <w:proofErr w:type="spellEnd"/>
      <w:r w:rsidRPr="001D19C8">
        <w:t xml:space="preserve"> St, Weston ACT 2611</w:t>
      </w:r>
      <w:r w:rsidRPr="001D19C8">
        <w:br/>
        <w:t>Email:</w:t>
      </w:r>
      <w:r w:rsidRPr="001D19C8">
        <w:tab/>
      </w:r>
      <w:r w:rsidRPr="001D19C8">
        <w:tab/>
      </w:r>
      <w:r w:rsidRPr="001D19C8">
        <w:tab/>
      </w:r>
      <w:hyperlink r:id="rId13" w:history="1">
        <w:r w:rsidRPr="001D19C8">
          <w:rPr>
            <w:rStyle w:val="Hyperlink"/>
          </w:rPr>
          <w:t>actcoss@actcoss.org.au</w:t>
        </w:r>
      </w:hyperlink>
      <w:r w:rsidR="000F30E1">
        <w:t xml:space="preserve"> </w:t>
      </w:r>
      <w:r w:rsidRPr="001D19C8">
        <w:br/>
        <w:t xml:space="preserve">Web: </w:t>
      </w:r>
      <w:r w:rsidRPr="001D19C8">
        <w:tab/>
      </w:r>
      <w:r w:rsidRPr="001D19C8">
        <w:tab/>
      </w:r>
      <w:r>
        <w:tab/>
      </w:r>
      <w:hyperlink r:id="rId14" w:history="1">
        <w:r>
          <w:rPr>
            <w:rStyle w:val="Hyperlink"/>
          </w:rPr>
          <w:t>actcoss.org.au</w:t>
        </w:r>
      </w:hyperlink>
      <w:r w:rsidRPr="001D19C8">
        <w:tab/>
      </w:r>
      <w:r w:rsidRPr="001D19C8">
        <w:tab/>
      </w:r>
      <w:r>
        <w:br/>
      </w:r>
      <w:r w:rsidRPr="001D19C8">
        <w:t>Director:</w:t>
      </w:r>
      <w:r w:rsidRPr="001D19C8">
        <w:tab/>
      </w:r>
      <w:r w:rsidRPr="001D19C8">
        <w:tab/>
      </w:r>
      <w:r>
        <w:t>Susan Helyar</w:t>
      </w:r>
    </w:p>
    <w:p w14:paraId="082E0BCB" w14:textId="77777777" w:rsidR="005E05F9" w:rsidRPr="00CA7855" w:rsidRDefault="005E05F9" w:rsidP="005E05F9">
      <w:pPr>
        <w:pStyle w:val="Frontmatter"/>
      </w:pPr>
    </w:p>
    <w:p w14:paraId="69871D05" w14:textId="1F252EB0" w:rsidR="005E05F9" w:rsidRPr="00CA7855" w:rsidRDefault="005E05F9" w:rsidP="005E05F9">
      <w:pPr>
        <w:pStyle w:val="Frontmatter"/>
      </w:pPr>
      <w:r>
        <w:t>June 2019</w:t>
      </w:r>
    </w:p>
    <w:p w14:paraId="7F714472" w14:textId="09343260" w:rsidR="005E05F9" w:rsidRPr="00CA7855" w:rsidRDefault="005E05F9" w:rsidP="005E05F9">
      <w:pPr>
        <w:pStyle w:val="Frontmatter"/>
      </w:pPr>
      <w:r w:rsidRPr="00CA7855">
        <w:t xml:space="preserve">ISBN </w:t>
      </w:r>
      <w:r w:rsidR="0011388D" w:rsidRPr="0011388D">
        <w:t>978-1-876632-72-4</w:t>
      </w:r>
      <w:r w:rsidRPr="00CA7855">
        <w:t xml:space="preserve"> </w:t>
      </w:r>
      <w:r w:rsidRPr="0011388D">
        <w:t xml:space="preserve">(electronic version </w:t>
      </w:r>
      <w:r w:rsidR="007A6D13" w:rsidRPr="0011388D">
        <w:t>and</w:t>
      </w:r>
      <w:r w:rsidRPr="0011388D">
        <w:t xml:space="preserve"> print version)</w:t>
      </w:r>
      <w:r w:rsidRPr="00CA7855">
        <w:br/>
        <w:t>© Copyright ACT Council of Social Service Incorporated</w:t>
      </w:r>
    </w:p>
    <w:p w14:paraId="375BBE61" w14:textId="77777777" w:rsidR="005E05F9" w:rsidRDefault="005E05F9" w:rsidP="005E05F9">
      <w:pPr>
        <w:pStyle w:val="Frontmatter"/>
      </w:pPr>
      <w:r w:rsidRPr="00CA7855">
        <w:t>This publication is copyright, apart from use by those agencies for which it has been produced. Non-profit associations and groups have permission to reproduce parts of this publication as long as the original meaning is retained and proper credit is given to the ACT Council of Social Service Inc (ACTCOSS). All other individuals and Agencies seeking to reproduce material from this publication should obtain the permission of the Director of ACTCOSS.</w:t>
      </w:r>
    </w:p>
    <w:p w14:paraId="55A3578B" w14:textId="77777777" w:rsidR="005E05F9" w:rsidRDefault="005E05F9" w:rsidP="005E05F9">
      <w:pPr>
        <w:pStyle w:val="Frontmatter"/>
      </w:pPr>
    </w:p>
    <w:p w14:paraId="76625432" w14:textId="77777777" w:rsidR="005E05F9" w:rsidRPr="00CA7855" w:rsidRDefault="005E05F9" w:rsidP="005E05F9">
      <w:pPr>
        <w:pStyle w:val="Frontmatter"/>
      </w:pPr>
      <w:r w:rsidRPr="000622B1">
        <w:t>An ACT Government funded initiative</w:t>
      </w:r>
      <w:r>
        <w:t>.</w:t>
      </w:r>
    </w:p>
    <w:p w14:paraId="5AC297C9" w14:textId="310E804A" w:rsidR="00AB255D" w:rsidRPr="001D19C8" w:rsidRDefault="003313FC" w:rsidP="005E05F9">
      <w:pPr>
        <w:pStyle w:val="Frontmatter"/>
      </w:pPr>
      <w:r w:rsidRPr="00EB021D">
        <w:rPr>
          <w:noProof/>
        </w:rPr>
        <w:drawing>
          <wp:inline distT="0" distB="0" distL="0" distR="0" wp14:anchorId="09BED228" wp14:editId="0C018315">
            <wp:extent cx="1466850" cy="1009650"/>
            <wp:effectExtent l="0" t="0" r="0" b="0"/>
            <wp:docPr id="4" name="Picture 2" descr="Logo: Initiative of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nitiative of ACT Govern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6850" cy="1009650"/>
                    </a:xfrm>
                    <a:prstGeom prst="rect">
                      <a:avLst/>
                    </a:prstGeom>
                    <a:noFill/>
                    <a:ln>
                      <a:noFill/>
                    </a:ln>
                  </pic:spPr>
                </pic:pic>
              </a:graphicData>
            </a:graphic>
          </wp:inline>
        </w:drawing>
      </w:r>
    </w:p>
    <w:p w14:paraId="5AC297CA" w14:textId="77777777" w:rsidR="00F41962" w:rsidRPr="00CA7855" w:rsidRDefault="001E50F4" w:rsidP="00F41962">
      <w:pPr>
        <w:pStyle w:val="Contentsheading"/>
      </w:pPr>
      <w:bookmarkStart w:id="3" w:name="_Toc299114344"/>
      <w:r>
        <w:lastRenderedPageBreak/>
        <w:t>C</w:t>
      </w:r>
      <w:r w:rsidR="00F41962" w:rsidRPr="00CA7855">
        <w:t>ontents</w:t>
      </w:r>
    </w:p>
    <w:bookmarkEnd w:id="3"/>
    <w:p w14:paraId="53CAB6E9" w14:textId="6DAF059C" w:rsidR="00181335" w:rsidRDefault="00F163BA">
      <w:pPr>
        <w:pStyle w:val="TOC1"/>
        <w:rPr>
          <w:rFonts w:asciiTheme="minorHAnsi" w:eastAsiaTheme="minorEastAsia" w:hAnsiTheme="minorHAnsi" w:cstheme="minorBidi"/>
          <w:b w:val="0"/>
          <w:noProof/>
          <w:sz w:val="22"/>
          <w:lang w:eastAsia="en-AU"/>
        </w:rPr>
      </w:pPr>
      <w:r>
        <w:fldChar w:fldCharType="begin"/>
      </w:r>
      <w:r>
        <w:instrText xml:space="preserve"> TOC \h \z \t "Heading 1,1,Heading 1-Pagebreak before,1,Section Heading,1" </w:instrText>
      </w:r>
      <w:r>
        <w:fldChar w:fldCharType="separate"/>
      </w:r>
      <w:hyperlink w:anchor="_Toc10657539" w:history="1">
        <w:r w:rsidR="00181335" w:rsidRPr="00820DC0">
          <w:rPr>
            <w:rStyle w:val="Hyperlink"/>
            <w:noProof/>
          </w:rPr>
          <w:t>About ACTCOSS</w:t>
        </w:r>
        <w:r w:rsidR="00181335">
          <w:rPr>
            <w:noProof/>
            <w:webHidden/>
          </w:rPr>
          <w:tab/>
        </w:r>
        <w:r w:rsidR="00181335">
          <w:rPr>
            <w:noProof/>
            <w:webHidden/>
          </w:rPr>
          <w:fldChar w:fldCharType="begin"/>
        </w:r>
        <w:r w:rsidR="00181335">
          <w:rPr>
            <w:noProof/>
            <w:webHidden/>
          </w:rPr>
          <w:instrText xml:space="preserve"> PAGEREF _Toc10657539 \h </w:instrText>
        </w:r>
        <w:r w:rsidR="00181335">
          <w:rPr>
            <w:noProof/>
            <w:webHidden/>
          </w:rPr>
        </w:r>
        <w:r w:rsidR="00181335">
          <w:rPr>
            <w:noProof/>
            <w:webHidden/>
          </w:rPr>
          <w:fldChar w:fldCharType="separate"/>
        </w:r>
        <w:r w:rsidR="00181335">
          <w:rPr>
            <w:noProof/>
            <w:webHidden/>
          </w:rPr>
          <w:t>2</w:t>
        </w:r>
        <w:r w:rsidR="00181335">
          <w:rPr>
            <w:noProof/>
            <w:webHidden/>
          </w:rPr>
          <w:fldChar w:fldCharType="end"/>
        </w:r>
      </w:hyperlink>
    </w:p>
    <w:p w14:paraId="22D7E329" w14:textId="07D8F3E0" w:rsidR="00181335" w:rsidRDefault="00F0697A">
      <w:pPr>
        <w:pStyle w:val="TOC1"/>
        <w:rPr>
          <w:rFonts w:asciiTheme="minorHAnsi" w:eastAsiaTheme="minorEastAsia" w:hAnsiTheme="minorHAnsi" w:cstheme="minorBidi"/>
          <w:b w:val="0"/>
          <w:noProof/>
          <w:sz w:val="22"/>
          <w:lang w:eastAsia="en-AU"/>
        </w:rPr>
      </w:pPr>
      <w:hyperlink w:anchor="_Toc10657540" w:history="1">
        <w:r w:rsidR="00181335" w:rsidRPr="00820DC0">
          <w:rPr>
            <w:rStyle w:val="Hyperlink"/>
            <w:noProof/>
          </w:rPr>
          <w:t>Snapshot Overview</w:t>
        </w:r>
        <w:r w:rsidR="00181335">
          <w:rPr>
            <w:noProof/>
            <w:webHidden/>
          </w:rPr>
          <w:tab/>
        </w:r>
        <w:r w:rsidR="00181335">
          <w:rPr>
            <w:noProof/>
            <w:webHidden/>
          </w:rPr>
          <w:fldChar w:fldCharType="begin"/>
        </w:r>
        <w:r w:rsidR="00181335">
          <w:rPr>
            <w:noProof/>
            <w:webHidden/>
          </w:rPr>
          <w:instrText xml:space="preserve"> PAGEREF _Toc10657540 \h </w:instrText>
        </w:r>
        <w:r w:rsidR="00181335">
          <w:rPr>
            <w:noProof/>
            <w:webHidden/>
          </w:rPr>
        </w:r>
        <w:r w:rsidR="00181335">
          <w:rPr>
            <w:noProof/>
            <w:webHidden/>
          </w:rPr>
          <w:fldChar w:fldCharType="separate"/>
        </w:r>
        <w:r w:rsidR="00181335">
          <w:rPr>
            <w:noProof/>
            <w:webHidden/>
          </w:rPr>
          <w:t>4</w:t>
        </w:r>
        <w:r w:rsidR="00181335">
          <w:rPr>
            <w:noProof/>
            <w:webHidden/>
          </w:rPr>
          <w:fldChar w:fldCharType="end"/>
        </w:r>
      </w:hyperlink>
    </w:p>
    <w:p w14:paraId="4F325F8E" w14:textId="72C82211" w:rsidR="00181335" w:rsidRDefault="00F0697A">
      <w:pPr>
        <w:pStyle w:val="TOC1"/>
        <w:rPr>
          <w:rFonts w:asciiTheme="minorHAnsi" w:eastAsiaTheme="minorEastAsia" w:hAnsiTheme="minorHAnsi" w:cstheme="minorBidi"/>
          <w:b w:val="0"/>
          <w:noProof/>
          <w:sz w:val="22"/>
          <w:lang w:eastAsia="en-AU"/>
        </w:rPr>
      </w:pPr>
      <w:hyperlink w:anchor="_Toc10657541" w:history="1">
        <w:r w:rsidR="00181335" w:rsidRPr="00820DC0">
          <w:rPr>
            <w:rStyle w:val="Hyperlink"/>
            <w:noProof/>
          </w:rPr>
          <w:t>Chief Minister, Treasury and Economic Development Directorate</w:t>
        </w:r>
        <w:r w:rsidR="00181335">
          <w:rPr>
            <w:noProof/>
            <w:webHidden/>
          </w:rPr>
          <w:tab/>
        </w:r>
        <w:r w:rsidR="00181335">
          <w:rPr>
            <w:noProof/>
            <w:webHidden/>
          </w:rPr>
          <w:fldChar w:fldCharType="begin"/>
        </w:r>
        <w:r w:rsidR="00181335">
          <w:rPr>
            <w:noProof/>
            <w:webHidden/>
          </w:rPr>
          <w:instrText xml:space="preserve"> PAGEREF _Toc10657541 \h </w:instrText>
        </w:r>
        <w:r w:rsidR="00181335">
          <w:rPr>
            <w:noProof/>
            <w:webHidden/>
          </w:rPr>
        </w:r>
        <w:r w:rsidR="00181335">
          <w:rPr>
            <w:noProof/>
            <w:webHidden/>
          </w:rPr>
          <w:fldChar w:fldCharType="separate"/>
        </w:r>
        <w:r w:rsidR="00181335">
          <w:rPr>
            <w:noProof/>
            <w:webHidden/>
          </w:rPr>
          <w:t>8</w:t>
        </w:r>
        <w:r w:rsidR="00181335">
          <w:rPr>
            <w:noProof/>
            <w:webHidden/>
          </w:rPr>
          <w:fldChar w:fldCharType="end"/>
        </w:r>
      </w:hyperlink>
    </w:p>
    <w:p w14:paraId="5A88A53F" w14:textId="4C90F986" w:rsidR="00181335" w:rsidRDefault="00F0697A">
      <w:pPr>
        <w:pStyle w:val="TOC1"/>
        <w:rPr>
          <w:rFonts w:asciiTheme="minorHAnsi" w:eastAsiaTheme="minorEastAsia" w:hAnsiTheme="minorHAnsi" w:cstheme="minorBidi"/>
          <w:b w:val="0"/>
          <w:noProof/>
          <w:sz w:val="22"/>
          <w:lang w:eastAsia="en-AU"/>
        </w:rPr>
      </w:pPr>
      <w:hyperlink w:anchor="_Toc10657542" w:history="1">
        <w:r w:rsidR="00181335" w:rsidRPr="00820DC0">
          <w:rPr>
            <w:rStyle w:val="Hyperlink"/>
            <w:noProof/>
          </w:rPr>
          <w:t>Community Services Directorate and Housing ACT</w:t>
        </w:r>
        <w:r w:rsidR="00181335">
          <w:rPr>
            <w:noProof/>
            <w:webHidden/>
          </w:rPr>
          <w:tab/>
        </w:r>
        <w:r w:rsidR="00181335">
          <w:rPr>
            <w:noProof/>
            <w:webHidden/>
          </w:rPr>
          <w:fldChar w:fldCharType="begin"/>
        </w:r>
        <w:r w:rsidR="00181335">
          <w:rPr>
            <w:noProof/>
            <w:webHidden/>
          </w:rPr>
          <w:instrText xml:space="preserve"> PAGEREF _Toc10657542 \h </w:instrText>
        </w:r>
        <w:r w:rsidR="00181335">
          <w:rPr>
            <w:noProof/>
            <w:webHidden/>
          </w:rPr>
        </w:r>
        <w:r w:rsidR="00181335">
          <w:rPr>
            <w:noProof/>
            <w:webHidden/>
          </w:rPr>
          <w:fldChar w:fldCharType="separate"/>
        </w:r>
        <w:r w:rsidR="00181335">
          <w:rPr>
            <w:noProof/>
            <w:webHidden/>
          </w:rPr>
          <w:t>17</w:t>
        </w:r>
        <w:r w:rsidR="00181335">
          <w:rPr>
            <w:noProof/>
            <w:webHidden/>
          </w:rPr>
          <w:fldChar w:fldCharType="end"/>
        </w:r>
      </w:hyperlink>
    </w:p>
    <w:p w14:paraId="473859D9" w14:textId="2EE6EA6F" w:rsidR="00181335" w:rsidRDefault="00F0697A">
      <w:pPr>
        <w:pStyle w:val="TOC1"/>
        <w:rPr>
          <w:rFonts w:asciiTheme="minorHAnsi" w:eastAsiaTheme="minorEastAsia" w:hAnsiTheme="minorHAnsi" w:cstheme="minorBidi"/>
          <w:b w:val="0"/>
          <w:noProof/>
          <w:sz w:val="22"/>
          <w:lang w:eastAsia="en-AU"/>
        </w:rPr>
      </w:pPr>
      <w:hyperlink w:anchor="_Toc10657543" w:history="1">
        <w:r w:rsidR="00181335" w:rsidRPr="00820DC0">
          <w:rPr>
            <w:rStyle w:val="Hyperlink"/>
            <w:noProof/>
          </w:rPr>
          <w:t>Education Directorate</w:t>
        </w:r>
        <w:r w:rsidR="00181335">
          <w:rPr>
            <w:noProof/>
            <w:webHidden/>
          </w:rPr>
          <w:tab/>
        </w:r>
        <w:r w:rsidR="00181335">
          <w:rPr>
            <w:noProof/>
            <w:webHidden/>
          </w:rPr>
          <w:fldChar w:fldCharType="begin"/>
        </w:r>
        <w:r w:rsidR="00181335">
          <w:rPr>
            <w:noProof/>
            <w:webHidden/>
          </w:rPr>
          <w:instrText xml:space="preserve"> PAGEREF _Toc10657543 \h </w:instrText>
        </w:r>
        <w:r w:rsidR="00181335">
          <w:rPr>
            <w:noProof/>
            <w:webHidden/>
          </w:rPr>
        </w:r>
        <w:r w:rsidR="00181335">
          <w:rPr>
            <w:noProof/>
            <w:webHidden/>
          </w:rPr>
          <w:fldChar w:fldCharType="separate"/>
        </w:r>
        <w:r w:rsidR="00181335">
          <w:rPr>
            <w:noProof/>
            <w:webHidden/>
          </w:rPr>
          <w:t>27</w:t>
        </w:r>
        <w:r w:rsidR="00181335">
          <w:rPr>
            <w:noProof/>
            <w:webHidden/>
          </w:rPr>
          <w:fldChar w:fldCharType="end"/>
        </w:r>
      </w:hyperlink>
    </w:p>
    <w:p w14:paraId="57DBAC41" w14:textId="22709AE4" w:rsidR="00181335" w:rsidRDefault="00F0697A">
      <w:pPr>
        <w:pStyle w:val="TOC1"/>
        <w:rPr>
          <w:rFonts w:asciiTheme="minorHAnsi" w:eastAsiaTheme="minorEastAsia" w:hAnsiTheme="minorHAnsi" w:cstheme="minorBidi"/>
          <w:b w:val="0"/>
          <w:noProof/>
          <w:sz w:val="22"/>
          <w:lang w:eastAsia="en-AU"/>
        </w:rPr>
      </w:pPr>
      <w:hyperlink w:anchor="_Toc10657544" w:history="1">
        <w:r w:rsidR="00181335" w:rsidRPr="00820DC0">
          <w:rPr>
            <w:rStyle w:val="Hyperlink"/>
            <w:noProof/>
          </w:rPr>
          <w:t>Environment Planning and Sustainable Development Directorate</w:t>
        </w:r>
        <w:r w:rsidR="00181335">
          <w:rPr>
            <w:noProof/>
            <w:webHidden/>
          </w:rPr>
          <w:tab/>
        </w:r>
        <w:r w:rsidR="00181335">
          <w:rPr>
            <w:noProof/>
            <w:webHidden/>
          </w:rPr>
          <w:fldChar w:fldCharType="begin"/>
        </w:r>
        <w:r w:rsidR="00181335">
          <w:rPr>
            <w:noProof/>
            <w:webHidden/>
          </w:rPr>
          <w:instrText xml:space="preserve"> PAGEREF _Toc10657544 \h </w:instrText>
        </w:r>
        <w:r w:rsidR="00181335">
          <w:rPr>
            <w:noProof/>
            <w:webHidden/>
          </w:rPr>
        </w:r>
        <w:r w:rsidR="00181335">
          <w:rPr>
            <w:noProof/>
            <w:webHidden/>
          </w:rPr>
          <w:fldChar w:fldCharType="separate"/>
        </w:r>
        <w:r w:rsidR="00181335">
          <w:rPr>
            <w:noProof/>
            <w:webHidden/>
          </w:rPr>
          <w:t>34</w:t>
        </w:r>
        <w:r w:rsidR="00181335">
          <w:rPr>
            <w:noProof/>
            <w:webHidden/>
          </w:rPr>
          <w:fldChar w:fldCharType="end"/>
        </w:r>
      </w:hyperlink>
    </w:p>
    <w:p w14:paraId="216C0BF6" w14:textId="0DBEB925" w:rsidR="00181335" w:rsidRDefault="00F0697A">
      <w:pPr>
        <w:pStyle w:val="TOC1"/>
        <w:rPr>
          <w:rFonts w:asciiTheme="minorHAnsi" w:eastAsiaTheme="minorEastAsia" w:hAnsiTheme="minorHAnsi" w:cstheme="minorBidi"/>
          <w:b w:val="0"/>
          <w:noProof/>
          <w:sz w:val="22"/>
          <w:lang w:eastAsia="en-AU"/>
        </w:rPr>
      </w:pPr>
      <w:hyperlink w:anchor="_Toc10657545" w:history="1">
        <w:r w:rsidR="00181335" w:rsidRPr="00820DC0">
          <w:rPr>
            <w:rStyle w:val="Hyperlink"/>
            <w:noProof/>
          </w:rPr>
          <w:t>Health Portfolio</w:t>
        </w:r>
        <w:r w:rsidR="00181335">
          <w:rPr>
            <w:noProof/>
            <w:webHidden/>
          </w:rPr>
          <w:tab/>
        </w:r>
        <w:r w:rsidR="00181335">
          <w:rPr>
            <w:noProof/>
            <w:webHidden/>
          </w:rPr>
          <w:fldChar w:fldCharType="begin"/>
        </w:r>
        <w:r w:rsidR="00181335">
          <w:rPr>
            <w:noProof/>
            <w:webHidden/>
          </w:rPr>
          <w:instrText xml:space="preserve"> PAGEREF _Toc10657545 \h </w:instrText>
        </w:r>
        <w:r w:rsidR="00181335">
          <w:rPr>
            <w:noProof/>
            <w:webHidden/>
          </w:rPr>
        </w:r>
        <w:r w:rsidR="00181335">
          <w:rPr>
            <w:noProof/>
            <w:webHidden/>
          </w:rPr>
          <w:fldChar w:fldCharType="separate"/>
        </w:r>
        <w:r w:rsidR="00181335">
          <w:rPr>
            <w:noProof/>
            <w:webHidden/>
          </w:rPr>
          <w:t>42</w:t>
        </w:r>
        <w:r w:rsidR="00181335">
          <w:rPr>
            <w:noProof/>
            <w:webHidden/>
          </w:rPr>
          <w:fldChar w:fldCharType="end"/>
        </w:r>
      </w:hyperlink>
    </w:p>
    <w:p w14:paraId="4913A7BF" w14:textId="395E596B" w:rsidR="00181335" w:rsidRDefault="00F0697A">
      <w:pPr>
        <w:pStyle w:val="TOC1"/>
        <w:rPr>
          <w:rFonts w:asciiTheme="minorHAnsi" w:eastAsiaTheme="minorEastAsia" w:hAnsiTheme="minorHAnsi" w:cstheme="minorBidi"/>
          <w:b w:val="0"/>
          <w:noProof/>
          <w:sz w:val="22"/>
          <w:lang w:eastAsia="en-AU"/>
        </w:rPr>
      </w:pPr>
      <w:hyperlink w:anchor="_Toc10657546" w:history="1">
        <w:r w:rsidR="00181335" w:rsidRPr="00820DC0">
          <w:rPr>
            <w:rStyle w:val="Hyperlink"/>
            <w:noProof/>
          </w:rPr>
          <w:t>Justice and Community Safety Directorate and Legal Aid Commission (ACT)</w:t>
        </w:r>
        <w:r w:rsidR="00181335">
          <w:rPr>
            <w:noProof/>
            <w:webHidden/>
          </w:rPr>
          <w:tab/>
        </w:r>
        <w:r w:rsidR="00181335">
          <w:rPr>
            <w:noProof/>
            <w:webHidden/>
          </w:rPr>
          <w:fldChar w:fldCharType="begin"/>
        </w:r>
        <w:r w:rsidR="00181335">
          <w:rPr>
            <w:noProof/>
            <w:webHidden/>
          </w:rPr>
          <w:instrText xml:space="preserve"> PAGEREF _Toc10657546 \h </w:instrText>
        </w:r>
        <w:r w:rsidR="00181335">
          <w:rPr>
            <w:noProof/>
            <w:webHidden/>
          </w:rPr>
        </w:r>
        <w:r w:rsidR="00181335">
          <w:rPr>
            <w:noProof/>
            <w:webHidden/>
          </w:rPr>
          <w:fldChar w:fldCharType="separate"/>
        </w:r>
        <w:r w:rsidR="00181335">
          <w:rPr>
            <w:noProof/>
            <w:webHidden/>
          </w:rPr>
          <w:t>59</w:t>
        </w:r>
        <w:r w:rsidR="00181335">
          <w:rPr>
            <w:noProof/>
            <w:webHidden/>
          </w:rPr>
          <w:fldChar w:fldCharType="end"/>
        </w:r>
      </w:hyperlink>
    </w:p>
    <w:p w14:paraId="121719E4" w14:textId="3A33DBDB" w:rsidR="00181335" w:rsidRDefault="00F0697A">
      <w:pPr>
        <w:pStyle w:val="TOC1"/>
        <w:rPr>
          <w:rFonts w:asciiTheme="minorHAnsi" w:eastAsiaTheme="minorEastAsia" w:hAnsiTheme="minorHAnsi" w:cstheme="minorBidi"/>
          <w:b w:val="0"/>
          <w:noProof/>
          <w:sz w:val="22"/>
          <w:lang w:eastAsia="en-AU"/>
        </w:rPr>
      </w:pPr>
      <w:hyperlink w:anchor="_Toc10657547" w:history="1">
        <w:r w:rsidR="00181335" w:rsidRPr="00820DC0">
          <w:rPr>
            <w:rStyle w:val="Hyperlink"/>
            <w:noProof/>
          </w:rPr>
          <w:t>Transport Canberra and City Services Directorate</w:t>
        </w:r>
        <w:r w:rsidR="00181335">
          <w:rPr>
            <w:noProof/>
            <w:webHidden/>
          </w:rPr>
          <w:tab/>
        </w:r>
        <w:r w:rsidR="00181335">
          <w:rPr>
            <w:noProof/>
            <w:webHidden/>
          </w:rPr>
          <w:fldChar w:fldCharType="begin"/>
        </w:r>
        <w:r w:rsidR="00181335">
          <w:rPr>
            <w:noProof/>
            <w:webHidden/>
          </w:rPr>
          <w:instrText xml:space="preserve"> PAGEREF _Toc10657547 \h </w:instrText>
        </w:r>
        <w:r w:rsidR="00181335">
          <w:rPr>
            <w:noProof/>
            <w:webHidden/>
          </w:rPr>
        </w:r>
        <w:r w:rsidR="00181335">
          <w:rPr>
            <w:noProof/>
            <w:webHidden/>
          </w:rPr>
          <w:fldChar w:fldCharType="separate"/>
        </w:r>
        <w:r w:rsidR="00181335">
          <w:rPr>
            <w:noProof/>
            <w:webHidden/>
          </w:rPr>
          <w:t>67</w:t>
        </w:r>
        <w:r w:rsidR="00181335">
          <w:rPr>
            <w:noProof/>
            <w:webHidden/>
          </w:rPr>
          <w:fldChar w:fldCharType="end"/>
        </w:r>
      </w:hyperlink>
    </w:p>
    <w:p w14:paraId="5AC297D4" w14:textId="0DB42A62" w:rsidR="00AB255D" w:rsidRPr="001D19C8" w:rsidRDefault="00F163BA" w:rsidP="00023228">
      <w:pPr>
        <w:pStyle w:val="Heading1-Pagebreakbefore"/>
      </w:pPr>
      <w:r>
        <w:fldChar w:fldCharType="end"/>
      </w:r>
      <w:bookmarkStart w:id="4" w:name="_Toc10657540"/>
      <w:r w:rsidR="00023228" w:rsidRPr="00023228">
        <w:t>Snapshot</w:t>
      </w:r>
      <w:r w:rsidR="00023228">
        <w:t xml:space="preserve"> </w:t>
      </w:r>
      <w:r w:rsidR="00E56457">
        <w:t>Overview</w:t>
      </w:r>
      <w:bookmarkEnd w:id="4"/>
    </w:p>
    <w:p w14:paraId="5AC297D5" w14:textId="65D04A87" w:rsidR="00F718EB" w:rsidRPr="00F718EB" w:rsidRDefault="00776F01" w:rsidP="00F718EB">
      <w:pPr>
        <w:pStyle w:val="Body"/>
      </w:pPr>
      <w:r>
        <w:t xml:space="preserve">The 2019-20 ACT Budget invests in responding to a number of recognised risks in the </w:t>
      </w:r>
      <w:r w:rsidR="00440B48">
        <w:t xml:space="preserve">service system and delivers on </w:t>
      </w:r>
      <w:r w:rsidR="00927277">
        <w:t>several</w:t>
      </w:r>
      <w:r w:rsidR="00440B48">
        <w:t xml:space="preserve"> commitments made by the ACT Government to </w:t>
      </w:r>
      <w:r w:rsidR="001764E2">
        <w:t xml:space="preserve">residents </w:t>
      </w:r>
      <w:r w:rsidR="00302871">
        <w:t>in</w:t>
      </w:r>
      <w:r w:rsidR="001764E2">
        <w:t xml:space="preserve"> </w:t>
      </w:r>
      <w:r w:rsidR="00302871">
        <w:t xml:space="preserve">the </w:t>
      </w:r>
      <w:r w:rsidR="001764E2">
        <w:t>2016 Election and subsequently.</w:t>
      </w:r>
      <w:r w:rsidR="00385AF8">
        <w:t xml:space="preserve"> ACTCOSS </w:t>
      </w:r>
      <w:r w:rsidR="00B679A8">
        <w:t>commends the ACT G</w:t>
      </w:r>
      <w:r w:rsidR="00EC217A">
        <w:t>o</w:t>
      </w:r>
      <w:r w:rsidR="00B679A8">
        <w:t>ver</w:t>
      </w:r>
      <w:r w:rsidR="00EC217A">
        <w:t>nment for choosing</w:t>
      </w:r>
      <w:r w:rsidR="006F230F">
        <w:rPr>
          <w:rFonts w:ascii="Open Sans" w:hAnsi="Open Sans"/>
          <w:color w:val="2B3138"/>
          <w:szCs w:val="23"/>
          <w:shd w:val="clear" w:color="auto" w:fill="F0F0F0"/>
        </w:rPr>
        <w:t xml:space="preserve"> </w:t>
      </w:r>
      <w:r w:rsidR="006F230F" w:rsidRPr="00AA6683">
        <w:t xml:space="preserve">to be ambitious about investing to meet the needs of a growing city, especially when it comes to health, justice and community facilities. There are a number of </w:t>
      </w:r>
      <w:r w:rsidR="008E0C47" w:rsidRPr="00AA6683">
        <w:t xml:space="preserve">important </w:t>
      </w:r>
      <w:r w:rsidR="006F230F" w:rsidRPr="00AA6683">
        <w:t>investments in disability services, mental health programs, legal assistance, planning for better school</w:t>
      </w:r>
      <w:r w:rsidR="00A6611C">
        <w:t>s</w:t>
      </w:r>
      <w:r w:rsidR="006F230F" w:rsidRPr="00AA6683">
        <w:t xml:space="preserve"> and community partnerships, transport infrastructure development</w:t>
      </w:r>
      <w:r w:rsidR="008E0C47" w:rsidRPr="00AA6683">
        <w:t xml:space="preserve">, </w:t>
      </w:r>
      <w:r w:rsidR="00FC537B" w:rsidRPr="00AA6683">
        <w:t xml:space="preserve">transitioning to </w:t>
      </w:r>
      <w:r w:rsidR="00A6611C">
        <w:t xml:space="preserve">a </w:t>
      </w:r>
      <w:r w:rsidR="00AF696E" w:rsidRPr="00AA6683">
        <w:t xml:space="preserve">more sustainable energy supply, </w:t>
      </w:r>
      <w:r w:rsidR="00AA6683" w:rsidRPr="00AA6683">
        <w:t>improved residential and commercial</w:t>
      </w:r>
      <w:r w:rsidR="00AF696E" w:rsidRPr="00AA6683">
        <w:t xml:space="preserve"> energy efficiency</w:t>
      </w:r>
      <w:r w:rsidR="006F230F" w:rsidRPr="00AA6683">
        <w:t xml:space="preserve"> and continuing to reduce and respond better to sexual, domestic and family violence.</w:t>
      </w:r>
    </w:p>
    <w:p w14:paraId="689CFA62" w14:textId="47D158FA" w:rsidR="002A0C98" w:rsidRDefault="002A0C98" w:rsidP="00231E57">
      <w:pPr>
        <w:pStyle w:val="Body"/>
      </w:pPr>
      <w:r>
        <w:t xml:space="preserve">We appreciate that </w:t>
      </w:r>
      <w:r w:rsidR="00927277">
        <w:t>g</w:t>
      </w:r>
      <w:r>
        <w:t>overnment has difficult trade</w:t>
      </w:r>
      <w:r w:rsidR="0088702A">
        <w:t>-</w:t>
      </w:r>
      <w:r>
        <w:t>offs and choices</w:t>
      </w:r>
      <w:r w:rsidR="00927277">
        <w:t>,</w:t>
      </w:r>
      <w:r>
        <w:t xml:space="preserve"> and on this occasion has made decisions that </w:t>
      </w:r>
      <w:r w:rsidR="00582593">
        <w:t>include</w:t>
      </w:r>
      <w:r>
        <w:t xml:space="preserve"> revenue raising and the placement of the ACT Government balance sheet into tempo</w:t>
      </w:r>
      <w:r w:rsidR="00582593">
        <w:t>rary deficit in order to fund improvements in social infrastructure and some service priorities.</w:t>
      </w:r>
      <w:r w:rsidR="000F30E1">
        <w:t xml:space="preserve"> </w:t>
      </w:r>
      <w:r w:rsidR="00582593">
        <w:t xml:space="preserve">For continued community trust to be maintained through these </w:t>
      </w:r>
      <w:r w:rsidR="000F30E1">
        <w:t>trade-offs,</w:t>
      </w:r>
      <w:r w:rsidR="00582593">
        <w:t xml:space="preserve"> the community needs to see evidence of a fair spread of investment </w:t>
      </w:r>
      <w:r w:rsidR="0088702A">
        <w:t>across the whole community.</w:t>
      </w:r>
    </w:p>
    <w:p w14:paraId="0C5A4CED" w14:textId="77777777" w:rsidR="00FD21FE" w:rsidRPr="00FD21FE" w:rsidRDefault="00FD21FE" w:rsidP="00FD21FE">
      <w:pPr>
        <w:pStyle w:val="Body"/>
      </w:pPr>
      <w:r w:rsidRPr="00FD21FE">
        <w:t>The health budget is substantial and addresses a number of gaps in infrastructure in the acute and community settings. The bulk of the new spending is in the government sector, not in community organisation delivered services.</w:t>
      </w:r>
    </w:p>
    <w:p w14:paraId="7F45D751" w14:textId="45D5FE95" w:rsidR="00FD21FE" w:rsidRPr="00FD21FE" w:rsidRDefault="00FD21FE" w:rsidP="00FD21FE">
      <w:pPr>
        <w:pStyle w:val="Body"/>
      </w:pPr>
      <w:r w:rsidRPr="00FD21FE">
        <w:t>ACTCOSS particularly welcomes a package of investments in the justice reinvestment area including more supported housing for better justice outcomes</w:t>
      </w:r>
      <w:r w:rsidR="00927277">
        <w:t xml:space="preserve"> – </w:t>
      </w:r>
      <w:r w:rsidRPr="00FD21FE">
        <w:t>especially</w:t>
      </w:r>
      <w:r w:rsidR="00927277">
        <w:t xml:space="preserve"> </w:t>
      </w:r>
      <w:r w:rsidRPr="00FD21FE">
        <w:t>for women and Aboriginal and/or Torres Strait Islander detainees; improving rehabilitation options for detainees at the Alexander Maconochie Centre; bail support accommodation; staff training; and work to prevent recidivism. This is a substantial package of important justice reinvestments and changes to policing measures</w:t>
      </w:r>
      <w:r w:rsidR="00A6611C">
        <w:t>,</w:t>
      </w:r>
      <w:r w:rsidRPr="00FD21FE">
        <w:t xml:space="preserve"> aimed at reducing the root causes of offending and increasing access to rehabilitation.</w:t>
      </w:r>
    </w:p>
    <w:p w14:paraId="3562399C" w14:textId="50181917" w:rsidR="00DE182F" w:rsidRPr="00DE182F" w:rsidRDefault="00FD21FE" w:rsidP="00DE182F">
      <w:pPr>
        <w:pStyle w:val="Body"/>
      </w:pPr>
      <w:r w:rsidRPr="00FD21FE">
        <w:t>This Budget includes a much-needed significant boost to social and community infrastructure including a new community centre for Woden, upgrades to three other community centres, and new childcare centres, playgrounds and carparks</w:t>
      </w:r>
      <w:r w:rsidR="00E3163A">
        <w:t xml:space="preserve"> in local centres</w:t>
      </w:r>
      <w:r w:rsidRPr="00FD21FE">
        <w:t xml:space="preserve">. It’s good to see spending on improving building quality called for in our </w:t>
      </w:r>
      <w:hyperlink r:id="rId16" w:history="1">
        <w:r w:rsidRPr="00FD21FE">
          <w:t>submission to the ACT Housing Choices process</w:t>
        </w:r>
      </w:hyperlink>
      <w:r w:rsidRPr="00FD21FE">
        <w:t>. ACTCOSS welcomes the announcement of 2019-20 deliverables under the Affordable Housing Strategy of 80 public housing homes, 60 new community housing homes and 488 new homes for low-income households.</w:t>
      </w:r>
    </w:p>
    <w:p w14:paraId="7815B2AF" w14:textId="461B58C0" w:rsidR="00FE62AC" w:rsidRPr="00FE62AC" w:rsidRDefault="008917BD" w:rsidP="00FE62AC">
      <w:pPr>
        <w:pStyle w:val="Body"/>
      </w:pPr>
      <w:r>
        <w:t xml:space="preserve">The balance of investments is </w:t>
      </w:r>
      <w:r w:rsidR="00BD3EF8">
        <w:t>in government</w:t>
      </w:r>
      <w:r w:rsidR="00927277">
        <w:t>-</w:t>
      </w:r>
      <w:r w:rsidR="00BD3EF8">
        <w:t xml:space="preserve">delivered services. This appears to represent a policy shift away from preferencing partnerships with community organisations. This is coupled with a </w:t>
      </w:r>
      <w:r w:rsidR="00AE4512">
        <w:t>privileging</w:t>
      </w:r>
      <w:r w:rsidR="00BD3EF8">
        <w:t xml:space="preserve"> of investment in development of ACT Government human services workforce (such as the </w:t>
      </w:r>
      <w:r w:rsidR="00AE4512">
        <w:t xml:space="preserve">Safer Families workforce training program) </w:t>
      </w:r>
      <w:r w:rsidR="008F0F14">
        <w:t>without comparable</w:t>
      </w:r>
      <w:r w:rsidR="00AE4512">
        <w:t xml:space="preserve"> investment in the community sector workforce</w:t>
      </w:r>
      <w:r w:rsidR="003D70AD">
        <w:t>.</w:t>
      </w:r>
      <w:r w:rsidR="000F30E1">
        <w:t xml:space="preserve"> </w:t>
      </w:r>
      <w:r w:rsidR="003D70AD">
        <w:t xml:space="preserve">Another demonstration of a policy shift away from </w:t>
      </w:r>
      <w:r w:rsidR="008F0F14">
        <w:t>partnerships is the lack of</w:t>
      </w:r>
      <w:r w:rsidR="003D70AD">
        <w:t xml:space="preserve"> co</w:t>
      </w:r>
      <w:r w:rsidR="00272188">
        <w:t>-</w:t>
      </w:r>
      <w:r w:rsidR="003D70AD">
        <w:t xml:space="preserve">creation of </w:t>
      </w:r>
      <w:r w:rsidR="0078026A">
        <w:t xml:space="preserve">public policy and implementation </w:t>
      </w:r>
      <w:r w:rsidR="00EE2862">
        <w:t>when developing</w:t>
      </w:r>
      <w:r w:rsidR="0078026A">
        <w:t xml:space="preserve"> </w:t>
      </w:r>
      <w:r w:rsidR="003A63DC">
        <w:t>B</w:t>
      </w:r>
      <w:r w:rsidR="0078026A">
        <w:t>udget initiatives, for example</w:t>
      </w:r>
      <w:r w:rsidR="00927277">
        <w:t>,</w:t>
      </w:r>
      <w:r w:rsidR="0078026A">
        <w:t xml:space="preserve"> in the health sector, </w:t>
      </w:r>
      <w:r w:rsidR="00272188">
        <w:t xml:space="preserve">without dialogue or engagement with </w:t>
      </w:r>
      <w:r w:rsidR="00927277">
        <w:t>non-government organisation (</w:t>
      </w:r>
      <w:r w:rsidR="00272188">
        <w:t>NGO</w:t>
      </w:r>
      <w:r w:rsidR="00927277">
        <w:t>)</w:t>
      </w:r>
      <w:r w:rsidR="00272188">
        <w:t xml:space="preserve"> stakeholders. This reduces confidence in </w:t>
      </w:r>
      <w:r w:rsidR="008B65F5">
        <w:t>public administration. Small patches of good practice in co-creation don’t build confidence.</w:t>
      </w:r>
      <w:r w:rsidR="00860800">
        <w:t xml:space="preserve"> The lack of any new investment in community engagement, particularly in the areas of urban renewal an</w:t>
      </w:r>
      <w:r w:rsidR="00EE2862">
        <w:t>d</w:t>
      </w:r>
      <w:r w:rsidR="00E546B1">
        <w:t xml:space="preserve"> specialist service design, </w:t>
      </w:r>
      <w:r w:rsidR="005A6A32">
        <w:t>contributes to erosion of community confidence in the authenticity of partnerships</w:t>
      </w:r>
      <w:r w:rsidR="00E546B1">
        <w:t xml:space="preserve"> and constrains much</w:t>
      </w:r>
      <w:r w:rsidR="00927277">
        <w:t>-</w:t>
      </w:r>
      <w:r w:rsidR="00E546B1">
        <w:t>needed innovation and collaborat</w:t>
      </w:r>
      <w:r w:rsidR="005A6A32">
        <w:t>i</w:t>
      </w:r>
      <w:r w:rsidR="00E546B1">
        <w:t>ve practice.</w:t>
      </w:r>
      <w:r w:rsidR="00860800">
        <w:t xml:space="preserve"> </w:t>
      </w:r>
    </w:p>
    <w:p w14:paraId="18A12261" w14:textId="2D53F3C0" w:rsidR="00EE2862" w:rsidRDefault="00EE2862" w:rsidP="00FD21FE">
      <w:pPr>
        <w:pStyle w:val="Body"/>
      </w:pPr>
      <w:r>
        <w:t>The lack of substantial investment in community</w:t>
      </w:r>
      <w:r w:rsidR="00927277">
        <w:t>-</w:t>
      </w:r>
      <w:r>
        <w:t xml:space="preserve">led services is demonstrated by </w:t>
      </w:r>
      <w:r w:rsidR="00507D4B">
        <w:t>the lack of</w:t>
      </w:r>
      <w:r>
        <w:t xml:space="preserve"> funding for volunteer programs</w:t>
      </w:r>
      <w:r w:rsidR="00323387">
        <w:t xml:space="preserve">, </w:t>
      </w:r>
      <w:r w:rsidR="000E1A1C">
        <w:t xml:space="preserve">community development, </w:t>
      </w:r>
      <w:r w:rsidR="00212EFF">
        <w:t xml:space="preserve">reproductive health, </w:t>
      </w:r>
      <w:r w:rsidR="00507D4B">
        <w:t xml:space="preserve">addressing gaps in services for people who are </w:t>
      </w:r>
      <w:r w:rsidR="006E059D">
        <w:t>transport</w:t>
      </w:r>
      <w:r w:rsidR="00507D4B">
        <w:t xml:space="preserve"> disadvantaged</w:t>
      </w:r>
      <w:r w:rsidR="006E059D">
        <w:t xml:space="preserve">, disability support, </w:t>
      </w:r>
      <w:r w:rsidR="00CC20A4">
        <w:t xml:space="preserve">women-specific services, </w:t>
      </w:r>
      <w:r w:rsidR="000E1A1C">
        <w:t xml:space="preserve">implementation of the Disability Justice Strategy, </w:t>
      </w:r>
      <w:r w:rsidR="006E059D">
        <w:t>children and young people early intervention</w:t>
      </w:r>
      <w:r w:rsidR="00507D4B">
        <w:t xml:space="preserve"> services </w:t>
      </w:r>
      <w:r w:rsidR="00212EFF">
        <w:t xml:space="preserve">and </w:t>
      </w:r>
      <w:r w:rsidR="00323387">
        <w:t xml:space="preserve">very few of the </w:t>
      </w:r>
      <w:r w:rsidR="00212EFF">
        <w:t xml:space="preserve">Aboriginal and/or Torres Strait Islander </w:t>
      </w:r>
      <w:r w:rsidR="00927277">
        <w:t>self-determination</w:t>
      </w:r>
      <w:r w:rsidR="00212EFF">
        <w:t xml:space="preserve"> </w:t>
      </w:r>
      <w:r w:rsidR="00CC20A4">
        <w:t>asks</w:t>
      </w:r>
      <w:r w:rsidR="00734D27">
        <w:t>.</w:t>
      </w:r>
      <w:r w:rsidR="008151C9">
        <w:t xml:space="preserve"> We note that of the 15 </w:t>
      </w:r>
      <w:r w:rsidR="00550632">
        <w:t>new initiatives to meet the needs of Aboriginal and</w:t>
      </w:r>
      <w:r w:rsidR="00927277">
        <w:t>/or</w:t>
      </w:r>
      <w:r w:rsidR="00550632">
        <w:t xml:space="preserve"> Torres Strait Islander peoples, 12 of them are linked to contact with the criminal justice </w:t>
      </w:r>
      <w:r w:rsidR="005B5576">
        <w:t xml:space="preserve">or care and protection </w:t>
      </w:r>
      <w:r w:rsidR="00550632">
        <w:t>system</w:t>
      </w:r>
      <w:r w:rsidR="005B5576">
        <w:t>s</w:t>
      </w:r>
      <w:r w:rsidR="00550632">
        <w:t xml:space="preserve">. We also note that additional access to drug and alcohol treatment programs is via contact with the </w:t>
      </w:r>
      <w:r w:rsidR="005B5576">
        <w:t>criminal justice system. These two pieces of analysis illustrate our concern that investment focuses on existing at</w:t>
      </w:r>
      <w:r w:rsidR="00927277">
        <w:t>-</w:t>
      </w:r>
      <w:r w:rsidR="005B5576">
        <w:t xml:space="preserve">risk groups rather than prevention </w:t>
      </w:r>
      <w:r w:rsidR="00AC4502">
        <w:t>o</w:t>
      </w:r>
      <w:r w:rsidR="00EC5CB8">
        <w:t>f</w:t>
      </w:r>
      <w:r w:rsidR="00AC4502">
        <w:t xml:space="preserve"> adverse circumstances or</w:t>
      </w:r>
      <w:r w:rsidR="005B5576">
        <w:t xml:space="preserve"> early intervention prior to </w:t>
      </w:r>
      <w:r w:rsidR="00AC4502">
        <w:t>contact with involuntary systems</w:t>
      </w:r>
      <w:r w:rsidR="005B5576">
        <w:t>.</w:t>
      </w:r>
    </w:p>
    <w:p w14:paraId="52935EAB" w14:textId="72893DE4" w:rsidR="00687CA9" w:rsidRDefault="00687CA9" w:rsidP="00FD21FE">
      <w:pPr>
        <w:pStyle w:val="Body"/>
      </w:pPr>
      <w:r>
        <w:t xml:space="preserve">The economic and population data guiding the 2019-20 Budget </w:t>
      </w:r>
      <w:r w:rsidR="006B58C2">
        <w:t xml:space="preserve">projected population growth of </w:t>
      </w:r>
      <w:r w:rsidR="006F1D71">
        <w:t xml:space="preserve">2.2%, </w:t>
      </w:r>
      <w:r w:rsidR="00BE2B79">
        <w:t>g</w:t>
      </w:r>
      <w:r w:rsidR="006B58C2">
        <w:t xml:space="preserve">ross </w:t>
      </w:r>
      <w:r w:rsidR="00BE2B79">
        <w:t>d</w:t>
      </w:r>
      <w:r w:rsidR="006B58C2">
        <w:t>omestic product growth of 2.8%</w:t>
      </w:r>
      <w:r w:rsidR="006F1D71">
        <w:t xml:space="preserve"> and wages growth of 2.5%. These figures do not accurately reflect the growth experienced in the community sector which is wages growth of 3% on top of the Equal Remuneration </w:t>
      </w:r>
      <w:r w:rsidR="00450C95">
        <w:t>O</w:t>
      </w:r>
      <w:r w:rsidR="006F1D71">
        <w:t>rder</w:t>
      </w:r>
      <w:r w:rsidR="00450C95">
        <w:t xml:space="preserve"> increases in base wages (of between 26-40% over 9 years to 2020), a shift to a more professional workforce (further increasing base wages in the sector)</w:t>
      </w:r>
      <w:r w:rsidR="00F52995">
        <w:t xml:space="preserve"> </w:t>
      </w:r>
      <w:r w:rsidR="003A0EA1">
        <w:t xml:space="preserve">and ongoing increases in rents </w:t>
      </w:r>
      <w:r w:rsidR="004D3998">
        <w:t xml:space="preserve">by ACT Property Group </w:t>
      </w:r>
      <w:r w:rsidR="003A0EA1">
        <w:t xml:space="preserve">of </w:t>
      </w:r>
      <w:r w:rsidR="004D3998">
        <w:t>3%.</w:t>
      </w:r>
      <w:r w:rsidR="003A0EA1">
        <w:t xml:space="preserve"> </w:t>
      </w:r>
      <w:r w:rsidR="00F52995">
        <w:t xml:space="preserve">Indexation of funding to non-government organisations for 2019-20 has been set at 2.45%, which delivers an effective cut in funding given the increases in wages and other costs (such as </w:t>
      </w:r>
      <w:r w:rsidR="004D3998">
        <w:t xml:space="preserve">rent, </w:t>
      </w:r>
      <w:r w:rsidR="007F4CB5">
        <w:t>information and communication technology (</w:t>
      </w:r>
      <w:r w:rsidR="00F52995">
        <w:t>ICT</w:t>
      </w:r>
      <w:r w:rsidR="007F4CB5">
        <w:t>)</w:t>
      </w:r>
      <w:r w:rsidR="00F52995">
        <w:t xml:space="preserve"> renewal and </w:t>
      </w:r>
      <w:r w:rsidR="003A0EA1">
        <w:t>fleet</w:t>
      </w:r>
      <w:r w:rsidR="004D3998">
        <w:t xml:space="preserve"> operation</w:t>
      </w:r>
      <w:r w:rsidR="003A0EA1">
        <w:t>s).</w:t>
      </w:r>
      <w:r w:rsidR="004D3998">
        <w:t xml:space="preserve"> </w:t>
      </w:r>
      <w:r w:rsidR="00D56EE5">
        <w:t>Employment growth in</w:t>
      </w:r>
      <w:r w:rsidR="004D3998">
        <w:t xml:space="preserve"> </w:t>
      </w:r>
      <w:r w:rsidR="00D56EE5">
        <w:t>health sector and community services is trending at around 8.5%.</w:t>
      </w:r>
    </w:p>
    <w:p w14:paraId="1DBA82B8" w14:textId="51BD74D8" w:rsidR="006D5D12" w:rsidRDefault="006D5D12" w:rsidP="00FD21FE">
      <w:pPr>
        <w:pStyle w:val="Body"/>
      </w:pPr>
      <w:r>
        <w:t>The Treasurer’s core narrative was around a government with an infrastructure investment agenda</w:t>
      </w:r>
      <w:r w:rsidR="00687CA9">
        <w:t xml:space="preserve"> that </w:t>
      </w:r>
      <w:r w:rsidR="00FC4E90">
        <w:t>enabled</w:t>
      </w:r>
      <w:r w:rsidR="00687CA9">
        <w:t xml:space="preserve"> the </w:t>
      </w:r>
      <w:r w:rsidR="00FC4E90">
        <w:t>ACT Government to address unmet demands from a growing population and position the Territory to continue to provide a good life as the population continues to grow</w:t>
      </w:r>
      <w:r>
        <w:t>. ACTCOSS supports the calls from the business sector</w:t>
      </w:r>
      <w:r w:rsidR="00687CA9">
        <w:t xml:space="preserve"> and the construction industry for a </w:t>
      </w:r>
      <w:r w:rsidR="00CF58E5">
        <w:t>10-year</w:t>
      </w:r>
      <w:r w:rsidR="00687CA9">
        <w:t xml:space="preserve"> Infrastructure Plan.</w:t>
      </w:r>
      <w:r w:rsidR="00FC4E90">
        <w:t xml:space="preserve"> </w:t>
      </w:r>
      <w:r w:rsidR="0031223B">
        <w:t>The Affordable Housing Strategy is contributing to a catch up of supply addressing significant unmet demand for safe, affordable, appropriate housing that matches demographic needs.</w:t>
      </w:r>
      <w:r w:rsidR="00190DF3">
        <w:t xml:space="preserve"> </w:t>
      </w:r>
      <w:r w:rsidR="00FC4E90">
        <w:t xml:space="preserve">We would expect </w:t>
      </w:r>
      <w:r w:rsidR="0031223B">
        <w:t>housing development to be built into the forward infrastructure planning</w:t>
      </w:r>
      <w:r w:rsidR="00190DF3">
        <w:t xml:space="preserve">. We also expect social infrastructure development to be built into a </w:t>
      </w:r>
      <w:r w:rsidR="00CF58E5">
        <w:t>10-year</w:t>
      </w:r>
      <w:r w:rsidR="00190DF3">
        <w:t xml:space="preserve"> projection of current assets, current</w:t>
      </w:r>
      <w:r w:rsidR="0031223B">
        <w:t xml:space="preserve"> and </w:t>
      </w:r>
      <w:r w:rsidR="00190DF3">
        <w:t>emerging needs.</w:t>
      </w:r>
      <w:r w:rsidR="0031223B">
        <w:t xml:space="preserve"> </w:t>
      </w:r>
      <w:r w:rsidR="00734D27">
        <w:t xml:space="preserve">A key issue will be investing in infrastructure that enables people to age well – currently the focus is on </w:t>
      </w:r>
      <w:r w:rsidR="0013588C">
        <w:t xml:space="preserve">health services, not on the determinants of a good life as people become </w:t>
      </w:r>
      <w:r w:rsidR="0095439D">
        <w:t>frailer</w:t>
      </w:r>
      <w:r w:rsidR="0013588C">
        <w:t xml:space="preserve"> and have increased caring responsibilities.</w:t>
      </w:r>
    </w:p>
    <w:p w14:paraId="2200FB8E" w14:textId="618FCF46" w:rsidR="00E3163A" w:rsidRPr="00E3163A" w:rsidRDefault="00E3163A" w:rsidP="00E3163A">
      <w:pPr>
        <w:pStyle w:val="Body"/>
      </w:pPr>
      <w:r>
        <w:t>T</w:t>
      </w:r>
      <w:r w:rsidRPr="00E3163A">
        <w:t xml:space="preserve">he 2019-20 </w:t>
      </w:r>
      <w:r w:rsidR="0095439D">
        <w:t>B</w:t>
      </w:r>
      <w:r w:rsidRPr="00E3163A">
        <w:t>udget prioritises investment in public administration and industries other than community services. Our view is that investment in vital community services to support the improved social wellbeing of a growing population is lacking.</w:t>
      </w:r>
      <w:r w:rsidR="00FD6C18">
        <w:t xml:space="preserve"> In a </w:t>
      </w:r>
      <w:r w:rsidR="00EC08CB">
        <w:t>B</w:t>
      </w:r>
      <w:r w:rsidR="00FD6C18">
        <w:t>udget that prioritises diversification of the economy, and noting t</w:t>
      </w:r>
      <w:r w:rsidRPr="00E3163A">
        <w:t xml:space="preserve">he </w:t>
      </w:r>
      <w:r w:rsidR="006177BB">
        <w:t>h</w:t>
      </w:r>
      <w:r w:rsidRPr="00E3163A">
        <w:t xml:space="preserve">ealth </w:t>
      </w:r>
      <w:r w:rsidR="006177BB">
        <w:t>c</w:t>
      </w:r>
      <w:r w:rsidRPr="00E3163A">
        <w:t xml:space="preserve">are and </w:t>
      </w:r>
      <w:r w:rsidR="006177BB">
        <w:t>s</w:t>
      </w:r>
      <w:r w:rsidRPr="00E3163A">
        <w:t xml:space="preserve">ocial </w:t>
      </w:r>
      <w:r w:rsidR="006177BB">
        <w:t>a</w:t>
      </w:r>
      <w:r w:rsidRPr="00E3163A">
        <w:t xml:space="preserve">ssistance </w:t>
      </w:r>
      <w:r w:rsidR="006177BB">
        <w:t>i</w:t>
      </w:r>
      <w:r w:rsidRPr="00E3163A">
        <w:t xml:space="preserve">ndustry is the second largest industry for employment in the ACT, with the highest expected rate of growth, there is a lack of investment in industry development. The </w:t>
      </w:r>
      <w:r w:rsidR="00CD0AB8">
        <w:t>c</w:t>
      </w:r>
      <w:r w:rsidRPr="00E3163A">
        <w:t xml:space="preserve">ommunity </w:t>
      </w:r>
      <w:r w:rsidR="00CD0AB8">
        <w:t>s</w:t>
      </w:r>
      <w:r w:rsidRPr="00E3163A">
        <w:t xml:space="preserve">ervices </w:t>
      </w:r>
      <w:r w:rsidR="00CD0AB8">
        <w:t>i</w:t>
      </w:r>
      <w:r w:rsidRPr="00E3163A">
        <w:t xml:space="preserve">ndustry is part of the </w:t>
      </w:r>
      <w:r w:rsidR="00CD0AB8">
        <w:t>h</w:t>
      </w:r>
      <w:r w:rsidRPr="00E3163A">
        <w:t xml:space="preserve">ealth </w:t>
      </w:r>
      <w:r w:rsidR="00CD0AB8">
        <w:t>c</w:t>
      </w:r>
      <w:r w:rsidRPr="00E3163A">
        <w:t xml:space="preserve">are and </w:t>
      </w:r>
      <w:r w:rsidR="00CD0AB8">
        <w:t>s</w:t>
      </w:r>
      <w:r w:rsidRPr="00E3163A">
        <w:t xml:space="preserve">ocial </w:t>
      </w:r>
      <w:r w:rsidR="00CD0AB8">
        <w:t>a</w:t>
      </w:r>
      <w:r w:rsidRPr="00E3163A">
        <w:t xml:space="preserve">ssistance </w:t>
      </w:r>
      <w:r w:rsidR="00CD0AB8">
        <w:t>i</w:t>
      </w:r>
      <w:r w:rsidRPr="00E3163A">
        <w:t xml:space="preserve">ndustry and provides vital services to the Canberra community. It contributes to development of human capital (within the workforce and also by providing services that address disadvantage and exclusion, overcoming barriers to economic participation and productivity) in addition to improving social wellbeing in the ACT. Initiatives funded </w:t>
      </w:r>
      <w:r w:rsidR="00DB1DF8">
        <w:t xml:space="preserve">for other industries </w:t>
      </w:r>
      <w:r w:rsidRPr="00E3163A">
        <w:t>in 2019-20 include over $2 million towards events that will encourage tourism and over $4 million towards business development, diversification and innovation. ACTCOSS requested $600,000 for investment in the Community Services Industry Innovation Fund and this has not been provided.</w:t>
      </w:r>
    </w:p>
    <w:p w14:paraId="57787F47" w14:textId="3E561403" w:rsidR="00873A85" w:rsidRDefault="00E43DAB" w:rsidP="00FD21FE">
      <w:pPr>
        <w:pStyle w:val="Body"/>
      </w:pPr>
      <w:r>
        <w:t xml:space="preserve">The </w:t>
      </w:r>
      <w:r w:rsidR="005516B0">
        <w:t>B</w:t>
      </w:r>
      <w:r>
        <w:t xml:space="preserve">udget is predicated on a transition to a more efficient and sustainable tax system, </w:t>
      </w:r>
      <w:r w:rsidR="00250B41">
        <w:t xml:space="preserve">based on </w:t>
      </w:r>
      <w:r w:rsidR="00187387">
        <w:t xml:space="preserve">land taxes. ACTCOSS supports this </w:t>
      </w:r>
      <w:r w:rsidR="00BB307D">
        <w:t xml:space="preserve">shift in the tax base because it taxes wealth rather than transactions and </w:t>
      </w:r>
      <w:r w:rsidR="00D760B9">
        <w:t xml:space="preserve">creates a sustainable supply of revenue once </w:t>
      </w:r>
      <w:r w:rsidR="00C72D45">
        <w:t xml:space="preserve">land sales are no longer </w:t>
      </w:r>
      <w:r w:rsidR="0034463F">
        <w:t>available</w:t>
      </w:r>
      <w:r w:rsidR="00283063">
        <w:t xml:space="preserve">. </w:t>
      </w:r>
      <w:r w:rsidR="00261DE6">
        <w:t xml:space="preserve">We do recognise the significant </w:t>
      </w:r>
      <w:r w:rsidR="005576B2">
        <w:t>increases</w:t>
      </w:r>
      <w:r w:rsidR="00261DE6">
        <w:t xml:space="preserve"> in rates </w:t>
      </w:r>
      <w:r w:rsidR="005576B2">
        <w:t xml:space="preserve">have been difficult for residents to absorb. </w:t>
      </w:r>
      <w:r w:rsidR="00F620F3">
        <w:t xml:space="preserve">We have advocated for </w:t>
      </w:r>
      <w:r w:rsidR="00CE3933">
        <w:t xml:space="preserve">proactive, respectful and best practice hardship recognition and responses from the ACT Revenue Office to ensure anyone in financial hardship as a result of </w:t>
      </w:r>
      <w:r w:rsidR="004D52C9">
        <w:t xml:space="preserve">rates charges is </w:t>
      </w:r>
      <w:r w:rsidR="00E92463">
        <w:t>supported</w:t>
      </w:r>
      <w:r w:rsidR="00E050C3">
        <w:t xml:space="preserve"> appropriately. </w:t>
      </w:r>
      <w:r w:rsidR="00B11B75">
        <w:t xml:space="preserve">ACTCOSS notes that the </w:t>
      </w:r>
      <w:r w:rsidR="00D45212">
        <w:t>homeown</w:t>
      </w:r>
      <w:r w:rsidR="00FB5ACD">
        <w:t>ers</w:t>
      </w:r>
      <w:r w:rsidR="00B11B75">
        <w:t xml:space="preserve"> most likely to be put into financial hardship are people over 80 years old, single</w:t>
      </w:r>
      <w:r w:rsidR="004903D1">
        <w:t>-</w:t>
      </w:r>
      <w:r w:rsidR="00B11B75">
        <w:t>income ho</w:t>
      </w:r>
      <w:r w:rsidR="003B21FE">
        <w:t xml:space="preserve">useholds, </w:t>
      </w:r>
      <w:r w:rsidR="005F61F2">
        <w:t xml:space="preserve">people </w:t>
      </w:r>
      <w:r w:rsidR="00D52E9A">
        <w:t xml:space="preserve">who are unemployed or in insecure work with </w:t>
      </w:r>
      <w:r w:rsidR="00FC2D41">
        <w:t>inadequate hours of work</w:t>
      </w:r>
      <w:r w:rsidR="002F4932">
        <w:t>,</w:t>
      </w:r>
      <w:r w:rsidR="007A377B">
        <w:t xml:space="preserve"> </w:t>
      </w:r>
      <w:r w:rsidR="003B21FE">
        <w:t xml:space="preserve">and people </w:t>
      </w:r>
      <w:r w:rsidR="007A377B">
        <w:t>who have</w:t>
      </w:r>
      <w:r w:rsidR="003B21FE">
        <w:t xml:space="preserve"> </w:t>
      </w:r>
      <w:r w:rsidR="00224FFA">
        <w:t>responsibilities to provide financial support outside of the immediate nuclear family</w:t>
      </w:r>
      <w:r w:rsidR="005F61F2">
        <w:t>.</w:t>
      </w:r>
      <w:r w:rsidR="00FB5ACD">
        <w:t xml:space="preserve"> We also note the impact of increasing rates on </w:t>
      </w:r>
      <w:r w:rsidR="005732F6">
        <w:t>rental costs.</w:t>
      </w:r>
    </w:p>
    <w:p w14:paraId="52A10BA8" w14:textId="6E0E059E" w:rsidR="00054249" w:rsidRDefault="00873A85" w:rsidP="00FD21FE">
      <w:pPr>
        <w:pStyle w:val="Body"/>
      </w:pPr>
      <w:r>
        <w:t xml:space="preserve">High costs of living are a massive issue in Canberra for people living on incomes in the bottom 40% quintiles. </w:t>
      </w:r>
      <w:r w:rsidR="00114521">
        <w:t xml:space="preserve">ACTCOSS research has found </w:t>
      </w:r>
      <w:r w:rsidR="00D34F7D">
        <w:t>25,</w:t>
      </w:r>
      <w:r w:rsidR="000726C5">
        <w:t>5</w:t>
      </w:r>
      <w:r w:rsidR="00D34F7D">
        <w:t xml:space="preserve">00 people </w:t>
      </w:r>
      <w:r w:rsidR="00F22346">
        <w:t xml:space="preserve">experience food </w:t>
      </w:r>
      <w:r w:rsidR="000726C5">
        <w:t>stress</w:t>
      </w:r>
      <w:r w:rsidR="00B60BDB">
        <w:t xml:space="preserve">, </w:t>
      </w:r>
      <w:r w:rsidR="00C53847">
        <w:t xml:space="preserve">and people in the bottom 20% income group </w:t>
      </w:r>
      <w:r w:rsidR="003E7F82">
        <w:t>spend double the</w:t>
      </w:r>
      <w:r w:rsidR="001A120F">
        <w:t xml:space="preserve"> proportion of their income on </w:t>
      </w:r>
      <w:r w:rsidR="001A3831">
        <w:t>fuel for their car</w:t>
      </w:r>
      <w:r w:rsidR="00C53847">
        <w:t xml:space="preserve"> and</w:t>
      </w:r>
      <w:r w:rsidR="00F60B15">
        <w:t xml:space="preserve"> up to three times the proportion of their income on energy bills</w:t>
      </w:r>
      <w:r w:rsidR="00C53847">
        <w:t>.</w:t>
      </w:r>
      <w:r w:rsidR="006B3F0F">
        <w:t xml:space="preserve"> </w:t>
      </w:r>
      <w:r w:rsidR="00D36C2F">
        <w:t>A third (</w:t>
      </w:r>
      <w:r w:rsidR="006B3F0F">
        <w:t>8,670</w:t>
      </w:r>
      <w:r w:rsidR="00D36C2F">
        <w:t>) of</w:t>
      </w:r>
      <w:r w:rsidR="006B3F0F">
        <w:t xml:space="preserve"> low</w:t>
      </w:r>
      <w:r w:rsidR="00D36C2F">
        <w:t xml:space="preserve">-income </w:t>
      </w:r>
      <w:r w:rsidR="00186F03">
        <w:t xml:space="preserve">rental </w:t>
      </w:r>
      <w:r w:rsidR="00D36C2F">
        <w:t>households</w:t>
      </w:r>
      <w:r w:rsidR="006B3F0F">
        <w:t xml:space="preserve"> are </w:t>
      </w:r>
      <w:r w:rsidR="00FD62CE">
        <w:t xml:space="preserve">in </w:t>
      </w:r>
      <w:r w:rsidR="000B42EE">
        <w:t>rental</w:t>
      </w:r>
      <w:r w:rsidR="00FD62CE">
        <w:t xml:space="preserve"> stress</w:t>
      </w:r>
      <w:r w:rsidR="00A719FD">
        <w:t>.</w:t>
      </w:r>
      <w:r w:rsidR="007248A8">
        <w:t xml:space="preserve"> </w:t>
      </w:r>
      <w:r w:rsidR="000E0796">
        <w:t>Over</w:t>
      </w:r>
      <w:r w:rsidR="008D1F4C">
        <w:t xml:space="preserve"> 3</w:t>
      </w:r>
      <w:r w:rsidR="000E0796">
        <w:t>7</w:t>
      </w:r>
      <w:r w:rsidR="008D1F4C">
        <w:t xml:space="preserve">,000 people are living in a household with less than $500/week equivalised income, and that includes </w:t>
      </w:r>
      <w:r w:rsidR="00AE12C9">
        <w:t>almost 8</w:t>
      </w:r>
      <w:r w:rsidR="008D1F4C">
        <w:t>,000 children.</w:t>
      </w:r>
      <w:r w:rsidR="00342299">
        <w:t xml:space="preserve"> There are almost 10,000 people living in Canberra on the </w:t>
      </w:r>
      <w:r w:rsidR="005B0920">
        <w:t xml:space="preserve">completely inadequate Newstart, Youth Allowance, Sickness Allowance </w:t>
      </w:r>
      <w:r w:rsidR="00A41353">
        <w:t>and other allowances</w:t>
      </w:r>
      <w:r w:rsidR="005B0F5D">
        <w:t>. It is these households ACTCOSS considers when we review the ACT Bu</w:t>
      </w:r>
      <w:r w:rsidR="00E77562">
        <w:t>d</w:t>
      </w:r>
      <w:r w:rsidR="005B0F5D">
        <w:t>get</w:t>
      </w:r>
      <w:r w:rsidR="00E77562">
        <w:t>.</w:t>
      </w:r>
    </w:p>
    <w:p w14:paraId="571DB29B" w14:textId="061F33BE" w:rsidR="0084622D" w:rsidRDefault="005D409A" w:rsidP="00FD21FE">
      <w:pPr>
        <w:pStyle w:val="Body"/>
      </w:pPr>
      <w:r>
        <w:t>For these people, investing in more affordable housing, especially affordable rental, is crucial. We have applauded the ACT Government investment of $100</w:t>
      </w:r>
      <w:r w:rsidR="00AA05F2">
        <w:t xml:space="preserve"> </w:t>
      </w:r>
      <w:r w:rsidR="00A76231">
        <w:t>m</w:t>
      </w:r>
      <w:r w:rsidR="00AA05F2">
        <w:t>illion</w:t>
      </w:r>
      <w:r w:rsidR="00A76231">
        <w:t xml:space="preserve"> in growing the supply of public housing</w:t>
      </w:r>
      <w:r w:rsidR="00047673">
        <w:t>, which is the largest investment of any state or territory per head of population. We have also welcomed the 15% affordable housing</w:t>
      </w:r>
      <w:r w:rsidR="00117E9E">
        <w:t xml:space="preserve"> </w:t>
      </w:r>
      <w:r w:rsidR="00AA20AF">
        <w:t xml:space="preserve">inclusionary zoning requirement in all </w:t>
      </w:r>
      <w:r w:rsidR="00554661">
        <w:t>new greenfield and brownfield developments</w:t>
      </w:r>
      <w:r w:rsidR="00063A4D">
        <w:t>. Investing in a more substantial concessions regime that is accessible to wider range of low</w:t>
      </w:r>
      <w:r w:rsidR="0098382C">
        <w:t>-</w:t>
      </w:r>
      <w:r w:rsidR="00063A4D">
        <w:t>income households</w:t>
      </w:r>
      <w:r w:rsidR="00767CEB">
        <w:t xml:space="preserve"> is also vital, </w:t>
      </w:r>
      <w:r w:rsidR="00ED2FFD">
        <w:t>as is introducing a</w:t>
      </w:r>
      <w:r w:rsidR="004833A8">
        <w:t xml:space="preserve">n </w:t>
      </w:r>
      <w:r w:rsidR="0098382C">
        <w:t>income-based</w:t>
      </w:r>
      <w:r w:rsidR="004833A8">
        <w:t xml:space="preserve"> fines and charges regime</w:t>
      </w:r>
      <w:r w:rsidR="00A27D15">
        <w:t>. We welcome the increase of the utilities concession to $700/year but note much more nee</w:t>
      </w:r>
      <w:r w:rsidR="00AB742B">
        <w:t>d</w:t>
      </w:r>
      <w:r w:rsidR="00A27D15">
        <w:t>s to be done to fulfil our ambitions for a city that is</w:t>
      </w:r>
      <w:r w:rsidR="00AB742B">
        <w:t xml:space="preserve"> affordable for </w:t>
      </w:r>
      <w:r w:rsidR="005F1AEF">
        <w:t>low</w:t>
      </w:r>
      <w:r w:rsidR="00D2530C">
        <w:t>-</w:t>
      </w:r>
      <w:r w:rsidR="005F1AEF">
        <w:t>income households.</w:t>
      </w:r>
      <w:r w:rsidR="00A27D15">
        <w:t xml:space="preserve"> </w:t>
      </w:r>
      <w:r w:rsidR="004613C2">
        <w:t>However, the funding for housing and utilities concessions are enabling some catch up, and large gaps remain in terms of costs of these and capacity of low</w:t>
      </w:r>
      <w:r w:rsidR="0098382C">
        <w:t>-</w:t>
      </w:r>
      <w:r w:rsidR="004613C2">
        <w:t>income households to pay for them.</w:t>
      </w:r>
    </w:p>
    <w:p w14:paraId="6867BA8C" w14:textId="77777777" w:rsidR="00CD7947" w:rsidRDefault="00222C85" w:rsidP="00E63A24">
      <w:pPr>
        <w:pStyle w:val="Body"/>
      </w:pPr>
      <w:r>
        <w:t xml:space="preserve">ACTCOSS also looks at the </w:t>
      </w:r>
      <w:r w:rsidR="005E74B1">
        <w:t>B</w:t>
      </w:r>
      <w:r>
        <w:t xml:space="preserve">udget through the lens of people who experience </w:t>
      </w:r>
      <w:r w:rsidR="000F739F">
        <w:t>e</w:t>
      </w:r>
      <w:r w:rsidR="00853BFF">
        <w:t>x</w:t>
      </w:r>
      <w:r w:rsidR="000F739F">
        <w:t xml:space="preserve">clusion, stigma and discrimination, which </w:t>
      </w:r>
      <w:r w:rsidR="00853BFF">
        <w:t>can marginalise them from mainstream services and systems and create</w:t>
      </w:r>
      <w:r w:rsidR="000F739F">
        <w:t xml:space="preserve"> vulnerab</w:t>
      </w:r>
      <w:r w:rsidR="00853BFF">
        <w:t>ility</w:t>
      </w:r>
      <w:r w:rsidR="000F739F">
        <w:t xml:space="preserve"> to poor economic and social outcomes. </w:t>
      </w:r>
      <w:r w:rsidR="00055D4B">
        <w:t xml:space="preserve">That is why we </w:t>
      </w:r>
      <w:r w:rsidR="007C3366">
        <w:t>consistently call for investment in social infrastructure</w:t>
      </w:r>
      <w:r w:rsidR="00280727">
        <w:t>. The definition of social infrastructure we use is</w:t>
      </w:r>
      <w:r w:rsidR="00CD7947">
        <w:t>:</w:t>
      </w:r>
      <w:r w:rsidR="007C3366">
        <w:t xml:space="preserve"> </w:t>
      </w:r>
    </w:p>
    <w:p w14:paraId="5B6C4DDE" w14:textId="3390E3F8" w:rsidR="007247E1" w:rsidRPr="00CD7947" w:rsidRDefault="0074049B" w:rsidP="00CD7947">
      <w:pPr>
        <w:pStyle w:val="Body"/>
        <w:ind w:left="567" w:right="566"/>
        <w:rPr>
          <w:sz w:val="22"/>
        </w:rPr>
      </w:pPr>
      <w:r w:rsidRPr="00CD7947">
        <w:rPr>
          <w:sz w:val="22"/>
        </w:rPr>
        <w:t>the social connections and the organisations and services that build them in a community. Strong social infrastructures create strong communities with resilience and the foundations for growth in both economic capital and social justice</w:t>
      </w:r>
      <w:r w:rsidR="00280727" w:rsidRPr="00CD7947">
        <w:rPr>
          <w:sz w:val="22"/>
        </w:rPr>
        <w:t xml:space="preserve">. </w:t>
      </w:r>
    </w:p>
    <w:p w14:paraId="611C22A2" w14:textId="62AF7975" w:rsidR="00280727" w:rsidRDefault="005E4107" w:rsidP="00E63A24">
      <w:pPr>
        <w:pStyle w:val="Body"/>
      </w:pPr>
      <w:r>
        <w:t>There has been a significant investment in the built environment and government services that are needed in a city with a growing population</w:t>
      </w:r>
      <w:r w:rsidR="00C26A06">
        <w:t xml:space="preserve">. </w:t>
      </w:r>
      <w:r w:rsidR="00280727" w:rsidRPr="007F5274">
        <w:t>ACTCOSS</w:t>
      </w:r>
      <w:r w:rsidR="00352985">
        <w:t>’</w:t>
      </w:r>
      <w:r w:rsidR="00280727" w:rsidRPr="007F5274">
        <w:t xml:space="preserve"> view is that the ACT has underinvest</w:t>
      </w:r>
      <w:r w:rsidR="00563C46" w:rsidRPr="007F5274">
        <w:t>ed</w:t>
      </w:r>
      <w:r w:rsidR="00280727" w:rsidRPr="007F5274">
        <w:t xml:space="preserve"> in </w:t>
      </w:r>
      <w:r w:rsidR="00C26A06">
        <w:t xml:space="preserve">growing </w:t>
      </w:r>
      <w:r w:rsidR="00280727" w:rsidRPr="007F5274">
        <w:t>social infrastructure</w:t>
      </w:r>
      <w:r w:rsidR="00C26A06">
        <w:t xml:space="preserve"> which includes</w:t>
      </w:r>
      <w:r w:rsidR="00280727" w:rsidRPr="007F5274">
        <w:t xml:space="preserve"> community support (including support tailored to groups that experience stigma, discrimination and marginalisation</w:t>
      </w:r>
      <w:r w:rsidR="00563C46" w:rsidRPr="007F5274">
        <w:t>),</w:t>
      </w:r>
      <w:r w:rsidR="00280727" w:rsidRPr="007F5274">
        <w:t xml:space="preserve"> community facilities, arts, culture, sport and recreation (in terms of diversity inclusion, cost of access and opportunity to engage), community development, (municipal level) and public and community transport (in terms of alignment of planning/design, needs analysis)</w:t>
      </w:r>
      <w:r w:rsidR="000952BA" w:rsidRPr="007F5274">
        <w:t>.</w:t>
      </w:r>
      <w:r w:rsidR="00642105" w:rsidRPr="007F5274">
        <w:t xml:space="preserve"> </w:t>
      </w:r>
      <w:r w:rsidR="001A3F7C">
        <w:t>The</w:t>
      </w:r>
      <w:r w:rsidR="007247E1" w:rsidRPr="00E63A24">
        <w:t xml:space="preserve"> lack of investment in community development, preventative services, early intervention and addressing cost of living barriers to participation and engagement in the life of the city</w:t>
      </w:r>
      <w:r w:rsidR="001A3F7C">
        <w:t xml:space="preserve"> is a false economy</w:t>
      </w:r>
      <w:r w:rsidR="007247E1" w:rsidRPr="00E63A24">
        <w:t>.</w:t>
      </w:r>
      <w:r w:rsidR="00872F82" w:rsidRPr="00E63A24">
        <w:t xml:space="preserve"> Increased supply of community facilities, more spaces for neighbourhood social connections and investment in community development that grows social capital are simple and relatively </w:t>
      </w:r>
      <w:r w:rsidR="002C777B" w:rsidRPr="00E63A24">
        <w:t>low-cost</w:t>
      </w:r>
      <w:r w:rsidR="00872F82" w:rsidRPr="00E63A24">
        <w:t xml:space="preserve"> investments that are transformative because they increase people’s ability to participate in their community, contribute to and benefit from strong social networks.</w:t>
      </w:r>
    </w:p>
    <w:p w14:paraId="194F964B" w14:textId="5A6912A2" w:rsidR="002B7B17" w:rsidRPr="00E63A24" w:rsidRDefault="001A3F7C" w:rsidP="00E63A24">
      <w:pPr>
        <w:pStyle w:val="Body"/>
      </w:pPr>
      <w:r>
        <w:t xml:space="preserve">In this </w:t>
      </w:r>
      <w:r w:rsidR="002C777B">
        <w:t>s</w:t>
      </w:r>
      <w:r>
        <w:t>napshot</w:t>
      </w:r>
      <w:r w:rsidR="002C777B">
        <w:t>,</w:t>
      </w:r>
      <w:r>
        <w:t xml:space="preserve"> </w:t>
      </w:r>
      <w:r w:rsidR="002B7B17">
        <w:t>ACTCOSS has outlined those measures we support, those we think need f</w:t>
      </w:r>
      <w:r w:rsidR="00F0122C">
        <w:t>ur</w:t>
      </w:r>
      <w:r w:rsidR="002B7B17">
        <w:t>ther extension, those that should include more community partnerships</w:t>
      </w:r>
      <w:r w:rsidR="00725580">
        <w:t>,</w:t>
      </w:r>
      <w:r w:rsidR="002B7B17">
        <w:t xml:space="preserve"> and </w:t>
      </w:r>
      <w:r w:rsidR="00F0122C">
        <w:t>gaps in investment. Overall</w:t>
      </w:r>
      <w:r w:rsidR="00725580">
        <w:t>,</w:t>
      </w:r>
      <w:r w:rsidR="00F0122C">
        <w:t xml:space="preserve"> the </w:t>
      </w:r>
      <w:r w:rsidR="00725580">
        <w:t>B</w:t>
      </w:r>
      <w:r w:rsidR="00F0122C">
        <w:t xml:space="preserve">udget invests primarily in ACT Government delivered services and programs and </w:t>
      </w:r>
      <w:r w:rsidR="00135BFC">
        <w:t xml:space="preserve">does not provide a commensurate level of investment in community-led services </w:t>
      </w:r>
      <w:r w:rsidR="00F818F1">
        <w:t>and pol</w:t>
      </w:r>
      <w:r w:rsidR="00A63CE8">
        <w:t xml:space="preserve">icy development. </w:t>
      </w:r>
      <w:r w:rsidR="008E3A83">
        <w:t>Rebalancing this mix of investment will be a key priority for ACTCOSS advocacy in the lead up to the 2020 ACT Election.</w:t>
      </w:r>
    </w:p>
    <w:p w14:paraId="59EE83BD" w14:textId="7CF2B79C" w:rsidR="00F0142F" w:rsidRDefault="00F0142F" w:rsidP="00F0142F">
      <w:pPr>
        <w:pStyle w:val="Body"/>
      </w:pPr>
      <w:r w:rsidRPr="00175FCD">
        <w:rPr>
          <w:rStyle w:val="Bold"/>
        </w:rPr>
        <w:t>Note for reading Budget Snapshot:</w:t>
      </w:r>
      <w:r>
        <w:t xml:space="preserve"> For each of the directorate summaries, ACTCOSS has reproduced the raw data in the following tables. For more detail please refer directly to the full ACT Budget 20</w:t>
      </w:r>
      <w:r w:rsidR="00C037CC">
        <w:t>19</w:t>
      </w:r>
      <w:r>
        <w:t>-</w:t>
      </w:r>
      <w:r w:rsidR="00C037CC">
        <w:t>20</w:t>
      </w:r>
      <w:r>
        <w:t xml:space="preserve"> papers, available at: </w:t>
      </w:r>
    </w:p>
    <w:p w14:paraId="7D6F2704" w14:textId="51D77BDE" w:rsidR="00C52D23" w:rsidRPr="00C52D23" w:rsidRDefault="00F0697A" w:rsidP="00C52D23">
      <w:pPr>
        <w:pStyle w:val="Body"/>
      </w:pPr>
      <w:hyperlink r:id="rId17" w:history="1">
        <w:r w:rsidR="008B7081" w:rsidRPr="006A2368">
          <w:rPr>
            <w:rStyle w:val="Hyperlink"/>
          </w:rPr>
          <w:t>https://apps.treasury.act.gov.au/budget/budget-2019-20/home</w:t>
        </w:r>
      </w:hyperlink>
    </w:p>
    <w:p w14:paraId="5AC297E4" w14:textId="035C5557" w:rsidR="00462CAD" w:rsidRDefault="00462CAD" w:rsidP="00462CAD">
      <w:pPr>
        <w:pStyle w:val="Heading1-Pagebreakbefore"/>
      </w:pPr>
      <w:bookmarkStart w:id="5" w:name="_Toc10657541"/>
      <w:bookmarkStart w:id="6" w:name="_Toc389679742"/>
      <w:bookmarkStart w:id="7" w:name="_Toc257715943"/>
      <w:r>
        <w:t>Chief Minister, Treasury and Economic</w:t>
      </w:r>
      <w:r w:rsidR="00F53092">
        <w:br/>
      </w:r>
      <w:r>
        <w:t>Development Directorate</w:t>
      </w:r>
      <w:bookmarkEnd w:id="5"/>
      <w:r>
        <w:t xml:space="preserve"> </w:t>
      </w:r>
    </w:p>
    <w:bookmarkEnd w:id="6"/>
    <w:p w14:paraId="0B56DB7D" w14:textId="77777777" w:rsidR="00462CAD" w:rsidRPr="00A6611C" w:rsidRDefault="00462CAD" w:rsidP="00B0399A">
      <w:pPr>
        <w:pStyle w:val="Heading2"/>
        <w:rPr>
          <w:b w:val="0"/>
        </w:rPr>
      </w:pPr>
      <w:r w:rsidRPr="00A6611C">
        <w:t xml:space="preserve">Overview </w:t>
      </w:r>
    </w:p>
    <w:p w14:paraId="1E2F05FB" w14:textId="7B620464" w:rsidR="00A6611C" w:rsidRPr="00A6611C" w:rsidRDefault="00A6611C" w:rsidP="00B0399A">
      <w:pPr>
        <w:pStyle w:val="Body"/>
      </w:pPr>
      <w:r w:rsidRPr="00B0399A">
        <w:t xml:space="preserve">The </w:t>
      </w:r>
      <w:r w:rsidR="00153C75" w:rsidRPr="00153C75">
        <w:rPr>
          <w:rStyle w:val="Emphasis"/>
        </w:rPr>
        <w:t>Community Shared Statement for the ACT 2016 Election</w:t>
      </w:r>
      <w:r w:rsidRPr="00B0399A">
        <w:t>, endorsed by 19 community organisations</w:t>
      </w:r>
      <w:r w:rsidR="002873C4">
        <w:t>,</w:t>
      </w:r>
      <w:r w:rsidRPr="00B0399A">
        <w:t xml:space="preserve"> </w:t>
      </w:r>
      <w:r w:rsidRPr="00A6611C">
        <w:t>outlined priorities for action during the 2016-</w:t>
      </w:r>
      <w:r w:rsidRPr="00B0399A">
        <w:t>20</w:t>
      </w:r>
      <w:r w:rsidRPr="00A6611C">
        <w:t xml:space="preserve"> term of the ACT Government and included the following priorities relevant to the Chief Minister, Treasury and Economic Development Directorate (</w:t>
      </w:r>
      <w:proofErr w:type="spellStart"/>
      <w:r w:rsidRPr="00A6611C">
        <w:t>CMTEDD</w:t>
      </w:r>
      <w:proofErr w:type="spellEnd"/>
      <w:r w:rsidRPr="00A6611C">
        <w:t>):</w:t>
      </w:r>
    </w:p>
    <w:p w14:paraId="0D05312C" w14:textId="77777777" w:rsidR="00A6611C" w:rsidRPr="00A6611C" w:rsidRDefault="00A6611C" w:rsidP="00E93F02">
      <w:pPr>
        <w:pStyle w:val="ListBullet"/>
      </w:pPr>
      <w:r w:rsidRPr="00A6611C">
        <w:t>Increase access to secure jobs</w:t>
      </w:r>
    </w:p>
    <w:p w14:paraId="1B3C274C" w14:textId="48BD94FB" w:rsidR="00A6611C" w:rsidRPr="00A6611C" w:rsidRDefault="00A6611C" w:rsidP="00E93F02">
      <w:pPr>
        <w:pStyle w:val="ListBullet"/>
      </w:pPr>
      <w:r w:rsidRPr="00A6611C">
        <w:t>Develop a fit</w:t>
      </w:r>
      <w:r w:rsidR="00507157">
        <w:t>-</w:t>
      </w:r>
      <w:r w:rsidRPr="00A6611C">
        <w:t>for</w:t>
      </w:r>
      <w:r w:rsidR="00507157">
        <w:t>-</w:t>
      </w:r>
      <w:r w:rsidRPr="00A6611C">
        <w:t>purpose service procurement framework</w:t>
      </w:r>
      <w:r w:rsidR="00E93F02">
        <w:t>.</w:t>
      </w:r>
    </w:p>
    <w:p w14:paraId="6DBC5EEE" w14:textId="2C093388" w:rsidR="00A6611C" w:rsidRPr="00A6611C" w:rsidRDefault="00A6611C" w:rsidP="00E93F02">
      <w:pPr>
        <w:pStyle w:val="Body"/>
      </w:pPr>
      <w:r w:rsidRPr="00A6611C">
        <w:t>In ACTCOSS’ submission to the 2019-20 ACT Budget we identified the need for the following investments:</w:t>
      </w:r>
    </w:p>
    <w:p w14:paraId="6E92C5DF" w14:textId="77777777" w:rsidR="00A6611C" w:rsidRPr="00A6611C" w:rsidRDefault="00A6611C" w:rsidP="00E93F02">
      <w:pPr>
        <w:pStyle w:val="ListBullet"/>
      </w:pPr>
      <w:r w:rsidRPr="00A6611C">
        <w:t>The ACT needs an agreed set of social wellbeing goals that all policy proposals, reform agendas and financial investments need to contribute to delivering. These overarching goals would complement the well-articulated economic development agenda for our city and region</w:t>
      </w:r>
    </w:p>
    <w:p w14:paraId="0FBDEE21" w14:textId="2BAF50FE" w:rsidR="00A6611C" w:rsidRPr="00A6611C" w:rsidRDefault="00A6611C" w:rsidP="00E93F02">
      <w:pPr>
        <w:pStyle w:val="ListBullet"/>
      </w:pPr>
      <w:r w:rsidRPr="00A6611C">
        <w:t xml:space="preserve">The government needs to improve integration and coordination across </w:t>
      </w:r>
      <w:r w:rsidR="00CE2418">
        <w:t>d</w:t>
      </w:r>
      <w:r w:rsidRPr="00A6611C">
        <w:t>irectorates and policy agendas</w:t>
      </w:r>
    </w:p>
    <w:p w14:paraId="0465340B" w14:textId="73B79696" w:rsidR="00A6611C" w:rsidRPr="00A6611C" w:rsidRDefault="00A6611C" w:rsidP="00E93F02">
      <w:pPr>
        <w:pStyle w:val="ListBullet"/>
      </w:pPr>
      <w:r w:rsidRPr="00A6611C">
        <w:t>Reform agendas need to be properly resourced to ensure ambitions are matched by adequate resources for implementation, and transparent evaluation of progress, so the promise of reform is fully delivered</w:t>
      </w:r>
    </w:p>
    <w:p w14:paraId="398A4B7C" w14:textId="28CCE477" w:rsidR="00A6611C" w:rsidRPr="00A6611C" w:rsidRDefault="00A6611C" w:rsidP="00E93F02">
      <w:pPr>
        <w:pStyle w:val="ListBullet"/>
        <w:rPr>
          <w:szCs w:val="24"/>
        </w:rPr>
      </w:pPr>
      <w:r w:rsidRPr="00A6611C">
        <w:t xml:space="preserve">Development of an ACT Community Services Industry Innovation Fund to resource initiatives the ACT Government has agreed to progress in partnership with the community services industry under the </w:t>
      </w:r>
      <w:r w:rsidR="00541E4C">
        <w:t xml:space="preserve">ACT </w:t>
      </w:r>
      <w:r w:rsidRPr="00A6611C">
        <w:t>Community Services Industry Strategy 2016-2026, including:</w:t>
      </w:r>
    </w:p>
    <w:p w14:paraId="097EA473" w14:textId="77777777" w:rsidR="00A6611C" w:rsidRPr="00A6611C" w:rsidRDefault="00A6611C" w:rsidP="002E5D27">
      <w:pPr>
        <w:pStyle w:val="ListBullet2"/>
        <w:rPr>
          <w:szCs w:val="24"/>
        </w:rPr>
      </w:pPr>
      <w:r w:rsidRPr="00A6611C">
        <w:t>Development of common ICT infrastructure, as well as quality and service costing systems</w:t>
      </w:r>
    </w:p>
    <w:p w14:paraId="5A777F6E" w14:textId="77777777" w:rsidR="00A6611C" w:rsidRPr="00A6611C" w:rsidRDefault="00A6611C" w:rsidP="002E5D27">
      <w:pPr>
        <w:pStyle w:val="ListBullet2"/>
        <w:rPr>
          <w:szCs w:val="24"/>
        </w:rPr>
      </w:pPr>
      <w:r w:rsidRPr="00A6611C">
        <w:t>Conducting an in-depth community needs assessment targeting particular communities, which would consider demographic characteristics including levels of disadvantage and the current availability and distribution of services</w:t>
      </w:r>
    </w:p>
    <w:p w14:paraId="35608CE2" w14:textId="40B98D46" w:rsidR="00A6611C" w:rsidRPr="00A6611C" w:rsidRDefault="00A6611C" w:rsidP="002E5D27">
      <w:pPr>
        <w:pStyle w:val="ListBullet2"/>
        <w:rPr>
          <w:szCs w:val="24"/>
        </w:rPr>
      </w:pPr>
      <w:r w:rsidRPr="00A6611C">
        <w:t>Developing an outcomes measurement framework for human services that can be applied across services and which can capture both the tangible and intangible outcomes generated by community services including increased social cohesion and inclusivity</w:t>
      </w:r>
      <w:r w:rsidR="00925AB6">
        <w:t>.</w:t>
      </w:r>
    </w:p>
    <w:p w14:paraId="54097F7C" w14:textId="296D9A63" w:rsidR="00A6611C" w:rsidRPr="00A6611C" w:rsidRDefault="00A6611C" w:rsidP="00E93F02">
      <w:pPr>
        <w:pStyle w:val="ListBullet"/>
      </w:pPr>
      <w:r w:rsidRPr="00A6611C">
        <w:t>Support for improving secure work in the community sector</w:t>
      </w:r>
      <w:r w:rsidR="00925AB6">
        <w:t>,</w:t>
      </w:r>
      <w:r w:rsidRPr="00A6611C">
        <w:t xml:space="preserve"> including a joint process between government funders and community sector employers to quantify the gap in funding between the real costs of providing adequate wages and broader workforce quality obligations and the current funding agreement service delivery targets and expectations.</w:t>
      </w:r>
    </w:p>
    <w:p w14:paraId="0B6C9988" w14:textId="77777777" w:rsidR="00A6611C" w:rsidRPr="00A6611C" w:rsidRDefault="00A6611C" w:rsidP="006B5E29">
      <w:pPr>
        <w:pStyle w:val="Body"/>
      </w:pPr>
      <w:r w:rsidRPr="00A6611C">
        <w:t xml:space="preserve">ACTCOSS welcomes the 2019-20 ACT Budget focus on investment to grow services and infrastructure that will meet the community’s needs into the future and commends the vision to grow a more inclusive community and address disadvantage to ensure all Canberrans have hope for the future. </w:t>
      </w:r>
    </w:p>
    <w:p w14:paraId="604AB5F2" w14:textId="514ACFB5" w:rsidR="00A6611C" w:rsidRPr="00A6611C" w:rsidRDefault="00A6611C" w:rsidP="006B5E29">
      <w:pPr>
        <w:pStyle w:val="Body"/>
      </w:pPr>
      <w:r w:rsidRPr="00A6611C">
        <w:t xml:space="preserve">We welcome the commitment to develop social wellbeing indicators and look forward to working with </w:t>
      </w:r>
      <w:r w:rsidR="00DF4DB4">
        <w:t>g</w:t>
      </w:r>
      <w:r w:rsidRPr="00A6611C">
        <w:t xml:space="preserve">overnment and the wider community as these indicators are articulated and developed. ACTCOSS notes, however, that the 2019-20 </w:t>
      </w:r>
      <w:r w:rsidR="00DF4DB4">
        <w:t>B</w:t>
      </w:r>
      <w:r w:rsidRPr="00A6611C">
        <w:t>udget prioritises investment in public administration and industries other than community services. Our view is that investment in vital community services to support the improved social wellbeing of a growing population is lacking.</w:t>
      </w:r>
    </w:p>
    <w:p w14:paraId="2D32DFF4" w14:textId="51221691" w:rsidR="00A6611C" w:rsidRPr="00A6611C" w:rsidRDefault="00A6611C" w:rsidP="006B5E29">
      <w:pPr>
        <w:pStyle w:val="Body"/>
      </w:pPr>
      <w:r w:rsidRPr="00A6611C">
        <w:t xml:space="preserve">We also note that while the </w:t>
      </w:r>
      <w:r w:rsidR="00956C43" w:rsidRPr="00A6611C">
        <w:t xml:space="preserve">health care and social assistance industry </w:t>
      </w:r>
      <w:r w:rsidRPr="00A6611C">
        <w:t xml:space="preserve">is the second largest industry for employment in the ACT, with the highest expected rate of growth, there is a lack of investment in industry development. </w:t>
      </w:r>
      <w:r w:rsidR="00956C43" w:rsidRPr="00A6611C">
        <w:t xml:space="preserve">the community services industry is </w:t>
      </w:r>
      <w:r w:rsidRPr="00A6611C">
        <w:t xml:space="preserve">part of the </w:t>
      </w:r>
      <w:r w:rsidR="00956C43" w:rsidRPr="00A6611C">
        <w:t xml:space="preserve">health care and social assistance industry and provides vital services </w:t>
      </w:r>
      <w:r w:rsidRPr="00A6611C">
        <w:t>to the Canberra community.</w:t>
      </w:r>
      <w:r w:rsidR="000F30E1">
        <w:t xml:space="preserve"> </w:t>
      </w:r>
      <w:r w:rsidRPr="00A6611C">
        <w:t>It contributes to development of human capital (within the workforce and also by providing services that address disadvantage and exclusion, overcoming barriers to economic participation and productivity) in addition to improving social wellbeing in the ACT. Initiatives funded in 2019-20 include over $2 million towards events that will encourage tourism and over $4 million towards business development, diversification and innovation. ACTCOSS requested $600,000 for investment in the Community Services Industry Innovation Fund and this has not been provided.</w:t>
      </w:r>
    </w:p>
    <w:p w14:paraId="13C661B8" w14:textId="77777777" w:rsidR="00A6611C" w:rsidRPr="00A6611C" w:rsidRDefault="00A6611C" w:rsidP="006B5E29">
      <w:pPr>
        <w:pStyle w:val="Body"/>
      </w:pPr>
      <w:r w:rsidRPr="00A6611C">
        <w:t>ACTCOSS welcomes the continued funding to respond to the Royal Commission into Institutional Responses to Child Sexual Abuse and we note that some of this should be directed to enable infrastructure development in community organisations as they implement recommendations.</w:t>
      </w:r>
    </w:p>
    <w:p w14:paraId="3C9F8DA9" w14:textId="6497844B" w:rsidR="00A6611C" w:rsidRPr="00A6611C" w:rsidRDefault="00A6611C" w:rsidP="006B5E29">
      <w:pPr>
        <w:pStyle w:val="Body"/>
      </w:pPr>
      <w:r w:rsidRPr="00A6611C">
        <w:t xml:space="preserve">While we welcome the funding directed toward the development of digital service delivery within Access Canberra, we urge the ACT Government to continue to fund a face-to-face concierge service to ensure the needs of the people most at risk of digital exclusion are met. Likewise, we welcome the investment in public </w:t>
      </w:r>
      <w:r w:rsidR="0003446B">
        <w:t>w</w:t>
      </w:r>
      <w:r w:rsidRPr="00A6611C">
        <w:t>i-</w:t>
      </w:r>
      <w:r w:rsidR="0003446B">
        <w:t>f</w:t>
      </w:r>
      <w:r w:rsidRPr="00A6611C">
        <w:t xml:space="preserve">i services, but we encourage the ACT Government to prioritise digital inclusion and affordability as highlighted in our 2017 </w:t>
      </w:r>
      <w:r w:rsidRPr="00A6611C">
        <w:rPr>
          <w:i/>
          <w:iCs/>
        </w:rPr>
        <w:t xml:space="preserve">ACT Cost of Living Report </w:t>
      </w:r>
      <w:r w:rsidRPr="00A6611C">
        <w:t>that focused on telecommunications.</w:t>
      </w:r>
    </w:p>
    <w:p w14:paraId="500A609D" w14:textId="11525448" w:rsidR="00A6611C" w:rsidRPr="00A6611C" w:rsidRDefault="00A6611C" w:rsidP="006B5E29">
      <w:pPr>
        <w:pStyle w:val="Body"/>
      </w:pPr>
      <w:r w:rsidRPr="00A6611C">
        <w:t>Vocational education and training</w:t>
      </w:r>
      <w:r w:rsidR="0003446B">
        <w:t xml:space="preserve"> (VET)</w:t>
      </w:r>
      <w:r w:rsidRPr="00A6611C">
        <w:t xml:space="preserve"> is a vital component of economic development. ACTCOSS welcomes the </w:t>
      </w:r>
      <w:r w:rsidRPr="00F53092">
        <w:t>Future Skills for Future Jobs</w:t>
      </w:r>
      <w:r w:rsidRPr="00A6611C">
        <w:t xml:space="preserve"> initiative and the establishment of a new Workforce Skills and Development Unit to assist in connecting trainees and apprentices with employment placements. We encourage the ACT Government to prioritise the community services industry within these initiatives.</w:t>
      </w:r>
      <w:r>
        <w:t xml:space="preserve"> </w:t>
      </w:r>
      <w:r w:rsidR="00664C8A">
        <w:t xml:space="preserve">We </w:t>
      </w:r>
      <w:r w:rsidR="001A6562">
        <w:t xml:space="preserve">also encourage the ACT Government to </w:t>
      </w:r>
      <w:r w:rsidR="00850940">
        <w:t xml:space="preserve">prioritise access </w:t>
      </w:r>
      <w:r w:rsidR="006047FC">
        <w:t>to opportunities that improve</w:t>
      </w:r>
      <w:r w:rsidR="00FD0E29">
        <w:t xml:space="preserve"> </w:t>
      </w:r>
      <w:r w:rsidR="005A1902">
        <w:t xml:space="preserve">employment </w:t>
      </w:r>
      <w:r w:rsidR="004D23DA">
        <w:t>opportunities and secure work</w:t>
      </w:r>
      <w:r w:rsidR="005A1902">
        <w:t xml:space="preserve"> for </w:t>
      </w:r>
      <w:r w:rsidR="004D23DA">
        <w:t>people who</w:t>
      </w:r>
      <w:r w:rsidR="005A1902">
        <w:t xml:space="preserve"> face </w:t>
      </w:r>
      <w:r w:rsidR="004D23DA">
        <w:t>barrier</w:t>
      </w:r>
      <w:r w:rsidR="005A1902">
        <w:t xml:space="preserve">s </w:t>
      </w:r>
      <w:r w:rsidR="004D23DA">
        <w:t>to getting and keeping a job</w:t>
      </w:r>
      <w:r w:rsidR="00C15D2F">
        <w:t>, as articulated in our 2017 submission to the inquiry into insecure work.</w:t>
      </w:r>
      <w:r w:rsidR="000F30E1">
        <w:t xml:space="preserve"> </w:t>
      </w:r>
    </w:p>
    <w:p w14:paraId="3929472B" w14:textId="77777777" w:rsidR="00A6611C" w:rsidRPr="00A6611C" w:rsidRDefault="00A6611C" w:rsidP="006B5E29">
      <w:pPr>
        <w:pStyle w:val="Body"/>
      </w:pPr>
      <w:r w:rsidRPr="00A6611C">
        <w:t>ACTCOSS welcomes increased resources to improve processing times for the Working with Vulnerable People (</w:t>
      </w:r>
      <w:proofErr w:type="spellStart"/>
      <w:r w:rsidRPr="00A6611C">
        <w:t>WWVP</w:t>
      </w:r>
      <w:proofErr w:type="spellEnd"/>
      <w:r w:rsidRPr="00A6611C">
        <w:t xml:space="preserve">) Scheme. Ensuring background checks are processed in a timely way enables Canberrans to access the support they need to increase their wellbeing. However, we note that the initiative is partially offset by an increase to registration fees for people seeking a </w:t>
      </w:r>
      <w:proofErr w:type="spellStart"/>
      <w:r w:rsidRPr="00A6611C">
        <w:t>WWVP</w:t>
      </w:r>
      <w:proofErr w:type="spellEnd"/>
      <w:r w:rsidRPr="00A6611C">
        <w:t xml:space="preserve"> card in the context of employment. Many roles across the community sector, both paid and voluntary, require a </w:t>
      </w:r>
      <w:proofErr w:type="spellStart"/>
      <w:r w:rsidRPr="00A6611C">
        <w:t>WWVP</w:t>
      </w:r>
      <w:proofErr w:type="spellEnd"/>
      <w:r w:rsidRPr="00A6611C">
        <w:t xml:space="preserve"> card. While we support that registration fees for volunteers continue to be waived, this increased cost will disproportionately affect community organisations who often cover the cost of this registration for their employees.</w:t>
      </w:r>
    </w:p>
    <w:p w14:paraId="7F9C182E" w14:textId="77777777" w:rsidR="00A6611C" w:rsidRPr="00A6611C" w:rsidRDefault="00A6611C" w:rsidP="006B5E29">
      <w:pPr>
        <w:pStyle w:val="Body"/>
      </w:pPr>
      <w:r w:rsidRPr="00A6611C">
        <w:t>ACTCOSS supports improving the transparency and accountability of government through the ACT Integrity Commission and measures that boost the capacity of the Public Sector Standards Commissioner.</w:t>
      </w:r>
    </w:p>
    <w:p w14:paraId="22589B91" w14:textId="77777777" w:rsidR="00A6611C" w:rsidRPr="00A6611C" w:rsidRDefault="00A6611C" w:rsidP="006B5E29">
      <w:pPr>
        <w:pStyle w:val="Body"/>
      </w:pPr>
      <w:r w:rsidRPr="00A6611C">
        <w:t>We welcome the initiative to strengthen resources for the ACT’s building regulator. As noted in our Housing Choices submission, ACTCOSS supports work towards improving building quality, including in medium and high-density residential developments.</w:t>
      </w:r>
    </w:p>
    <w:p w14:paraId="3C54D115" w14:textId="2EB1C416" w:rsidR="00A6611C" w:rsidRPr="00A6611C" w:rsidRDefault="00A6611C" w:rsidP="006B5E29">
      <w:pPr>
        <w:pStyle w:val="Body"/>
      </w:pPr>
      <w:r w:rsidRPr="00A6611C">
        <w:t xml:space="preserve">We note the investment in supporting more permanent ACT </w:t>
      </w:r>
      <w:r w:rsidR="00085B61">
        <w:t>G</w:t>
      </w:r>
      <w:r w:rsidRPr="00A6611C">
        <w:t>overnment jobs. As noted in our 2017 submission to the inquiry into insecure work</w:t>
      </w:r>
      <w:r w:rsidR="00576E82">
        <w:t>, w</w:t>
      </w:r>
      <w:r w:rsidRPr="00A6611C">
        <w:t>e encourage the ACT Government, as a significant purchaser of services, to take action to reduce the prevalence of insecure work within the community services sector.</w:t>
      </w:r>
    </w:p>
    <w:p w14:paraId="1CE5F071" w14:textId="77777777" w:rsidR="00A6611C" w:rsidRPr="00A6611C" w:rsidRDefault="00A6611C" w:rsidP="006B5E29">
      <w:pPr>
        <w:pStyle w:val="Body"/>
      </w:pPr>
      <w:r w:rsidRPr="00A6611C">
        <w:t xml:space="preserve">In terms of infrastructure and capital initiatives, ACTCOSS welcomes the investment in community childcare centres, local arts facilities and local community centres. </w:t>
      </w:r>
    </w:p>
    <w:p w14:paraId="3C45E269" w14:textId="269223AC" w:rsidR="00A6611C" w:rsidRPr="00A6611C" w:rsidRDefault="00A6611C" w:rsidP="006B5E29">
      <w:pPr>
        <w:pStyle w:val="Body"/>
      </w:pPr>
      <w:r w:rsidRPr="00A6611C">
        <w:t>In relation to revenue initiatives, ACTCOSS notes the measure to improve the Lease Variation Charge (</w:t>
      </w:r>
      <w:proofErr w:type="spellStart"/>
      <w:r w:rsidRPr="00A6611C">
        <w:t>LVC</w:t>
      </w:r>
      <w:proofErr w:type="spellEnd"/>
      <w:r w:rsidRPr="00A6611C">
        <w:t>). We welcome the introduction of a 25</w:t>
      </w:r>
      <w:r w:rsidR="00927277">
        <w:t>%</w:t>
      </w:r>
      <w:r w:rsidRPr="00A6611C">
        <w:t xml:space="preserve"> remission for community housing providers. In our submission to the review of the </w:t>
      </w:r>
      <w:proofErr w:type="spellStart"/>
      <w:r w:rsidRPr="00A6611C">
        <w:t>LVC</w:t>
      </w:r>
      <w:proofErr w:type="spellEnd"/>
      <w:r w:rsidRPr="00A6611C">
        <w:t xml:space="preserve">, ACTCOSS recommended the </w:t>
      </w:r>
      <w:proofErr w:type="spellStart"/>
      <w:r w:rsidRPr="00A6611C">
        <w:t>LVC</w:t>
      </w:r>
      <w:proofErr w:type="spellEnd"/>
      <w:r w:rsidRPr="00A6611C">
        <w:t xml:space="preserve"> be retained and any changes to </w:t>
      </w:r>
      <w:proofErr w:type="spellStart"/>
      <w:r w:rsidRPr="00A6611C">
        <w:t>LVC</w:t>
      </w:r>
      <w:proofErr w:type="spellEnd"/>
      <w:r w:rsidRPr="00A6611C">
        <w:t xml:space="preserve"> be considered in the context of sustainable revenue streams for the ACT to maintain community services at the quality and quantity that the community expects and deserves. We also recommended </w:t>
      </w:r>
      <w:proofErr w:type="spellStart"/>
      <w:r w:rsidRPr="00A6611C">
        <w:t>LVC</w:t>
      </w:r>
      <w:proofErr w:type="spellEnd"/>
      <w:r w:rsidRPr="00A6611C">
        <w:t xml:space="preserve"> remissions should only be offered if the site includes greater than 20% affordable housing using the 30:40 rule, and that some of the </w:t>
      </w:r>
      <w:proofErr w:type="spellStart"/>
      <w:r w:rsidRPr="00A6611C">
        <w:t>LVC</w:t>
      </w:r>
      <w:proofErr w:type="spellEnd"/>
      <w:r w:rsidRPr="00A6611C">
        <w:t xml:space="preserve"> revenue should be allocated to build the capacity of developers to incorporate social sustainability in urban renewal and suburban development projects. Given the ACT Government has now implemented a 15% inclusionary zoning requirement under the Affordable Housing Strategy</w:t>
      </w:r>
      <w:r w:rsidR="00114B51">
        <w:t>,</w:t>
      </w:r>
      <w:r w:rsidRPr="00A6611C">
        <w:t xml:space="preserve"> this should be the threshold for offering </w:t>
      </w:r>
      <w:proofErr w:type="spellStart"/>
      <w:r w:rsidRPr="00A6611C">
        <w:t>LVC</w:t>
      </w:r>
      <w:proofErr w:type="spellEnd"/>
      <w:r w:rsidRPr="00A6611C">
        <w:t xml:space="preserve"> remissions.</w:t>
      </w:r>
    </w:p>
    <w:p w14:paraId="600BBB4C" w14:textId="77777777" w:rsidR="00A6611C" w:rsidRPr="00A6611C" w:rsidRDefault="00A6611C" w:rsidP="006B5E29">
      <w:pPr>
        <w:pStyle w:val="Body"/>
      </w:pPr>
      <w:r w:rsidRPr="00A6611C">
        <w:t xml:space="preserve">We welcome the recognition of the significant cost of living pressures and housing transition needs of older Canberrans through the extension of the Pensioner Duty Concession Scheme. </w:t>
      </w:r>
    </w:p>
    <w:p w14:paraId="3D1D34B1" w14:textId="77777777" w:rsidR="00A6611C" w:rsidRPr="00A6611C" w:rsidRDefault="00A6611C" w:rsidP="006B5E29">
      <w:pPr>
        <w:pStyle w:val="Body"/>
      </w:pPr>
      <w:r w:rsidRPr="00A6611C">
        <w:t>ACTCOSS notes the initiative to strengthen fairness in revenue collection. We urge the ACT Government to ensure that these measures also acknowledge financial hardship and incorporate best practice in relation to identifying people experiencing hardship and providing respectful, effective assistance and support.</w:t>
      </w:r>
    </w:p>
    <w:p w14:paraId="247B3B3A" w14:textId="77777777" w:rsidR="00A6611C" w:rsidRPr="00A6611C" w:rsidRDefault="00A6611C" w:rsidP="006B5E29">
      <w:pPr>
        <w:pStyle w:val="snapTabletitle"/>
        <w:rPr>
          <w:b w:val="0"/>
          <w:bCs w:val="0"/>
        </w:rPr>
      </w:pPr>
      <w:r w:rsidRPr="00A6611C">
        <w:t>Table 3.2.2: Expense initiatives</w:t>
      </w:r>
    </w:p>
    <w:tbl>
      <w:tblPr>
        <w:tblW w:w="5000" w:type="pct"/>
        <w:tblLayout w:type="fixed"/>
        <w:tblCellMar>
          <w:left w:w="30" w:type="dxa"/>
          <w:right w:w="30" w:type="dxa"/>
        </w:tblCellMar>
        <w:tblLook w:val="04A0" w:firstRow="1" w:lastRow="0" w:firstColumn="1" w:lastColumn="0" w:noHBand="0" w:noVBand="1"/>
      </w:tblPr>
      <w:tblGrid>
        <w:gridCol w:w="4845"/>
        <w:gridCol w:w="958"/>
        <w:gridCol w:w="959"/>
        <w:gridCol w:w="958"/>
        <w:gridCol w:w="959"/>
        <w:gridCol w:w="959"/>
      </w:tblGrid>
      <w:tr w:rsidR="00A6611C" w:rsidRPr="00A6611C" w14:paraId="50DED490" w14:textId="77777777" w:rsidTr="002E5D27">
        <w:trPr>
          <w:cantSplit/>
          <w:trHeight w:val="227"/>
          <w:tblHeader/>
        </w:trPr>
        <w:tc>
          <w:tcPr>
            <w:tcW w:w="4845" w:type="dxa"/>
            <w:tcBorders>
              <w:top w:val="single" w:sz="4" w:space="0" w:color="auto"/>
              <w:left w:val="nil"/>
              <w:bottom w:val="nil"/>
              <w:right w:val="nil"/>
            </w:tcBorders>
            <w:vAlign w:val="center"/>
            <w:hideMark/>
          </w:tcPr>
          <w:p w14:paraId="269BDA24" w14:textId="77777777" w:rsidR="00A6611C" w:rsidRPr="00A6611C" w:rsidRDefault="00A6611C" w:rsidP="00A6611C">
            <w:pPr>
              <w:ind w:left="227" w:hanging="227"/>
              <w:rPr>
                <w:rFonts w:ascii="Calibri" w:hAnsi="Calibri" w:cs="Calibri"/>
                <w:b/>
                <w:bCs/>
                <w:sz w:val="20"/>
                <w:szCs w:val="20"/>
                <w:lang w:eastAsia="en-AU"/>
              </w:rPr>
            </w:pPr>
            <w:r w:rsidRPr="00A6611C">
              <w:rPr>
                <w:rFonts w:ascii="Calibri" w:hAnsi="Calibri" w:cs="Calibri"/>
                <w:b/>
                <w:bCs/>
                <w:sz w:val="20"/>
                <w:szCs w:val="20"/>
                <w:lang w:eastAsia="en-AU"/>
              </w:rPr>
              <w:t>Expense initiatives</w:t>
            </w:r>
          </w:p>
        </w:tc>
        <w:tc>
          <w:tcPr>
            <w:tcW w:w="958" w:type="dxa"/>
            <w:tcBorders>
              <w:top w:val="single" w:sz="4" w:space="0" w:color="auto"/>
              <w:left w:val="nil"/>
              <w:bottom w:val="nil"/>
              <w:right w:val="nil"/>
            </w:tcBorders>
            <w:vAlign w:val="bottom"/>
            <w:hideMark/>
          </w:tcPr>
          <w:p w14:paraId="440C6827" w14:textId="77777777" w:rsidR="00A6611C" w:rsidRPr="00A6611C" w:rsidRDefault="00A6611C" w:rsidP="00A6611C">
            <w:pPr>
              <w:ind w:left="227" w:hanging="227"/>
              <w:jc w:val="right"/>
              <w:rPr>
                <w:rFonts w:ascii="Calibri" w:hAnsi="Calibri" w:cs="Calibri"/>
                <w:b/>
                <w:sz w:val="20"/>
                <w:szCs w:val="24"/>
                <w:lang w:val="x-none" w:eastAsia="en-US"/>
              </w:rPr>
            </w:pPr>
            <w:r w:rsidRPr="00A6611C">
              <w:rPr>
                <w:rFonts w:ascii="Calibri" w:hAnsi="Calibri" w:cs="Calibri"/>
                <w:b/>
                <w:sz w:val="20"/>
                <w:szCs w:val="24"/>
                <w:lang w:val="x-none" w:eastAsia="en-US"/>
              </w:rPr>
              <w:t>2019-20</w:t>
            </w:r>
          </w:p>
          <w:p w14:paraId="2B04682D" w14:textId="77777777" w:rsidR="00A6611C" w:rsidRPr="00A6611C" w:rsidRDefault="00A6611C" w:rsidP="00A6611C">
            <w:pPr>
              <w:ind w:left="227" w:hanging="227"/>
              <w:jc w:val="right"/>
              <w:rPr>
                <w:rFonts w:ascii="Calibri" w:hAnsi="Calibri" w:cs="Calibri"/>
                <w:b/>
                <w:sz w:val="20"/>
                <w:szCs w:val="24"/>
                <w:lang w:val="x-none" w:eastAsia="en-US"/>
              </w:rPr>
            </w:pPr>
            <w:r w:rsidRPr="00A6611C">
              <w:rPr>
                <w:rFonts w:ascii="Calibri" w:hAnsi="Calibri" w:cs="Calibri"/>
                <w:b/>
                <w:sz w:val="20"/>
                <w:szCs w:val="24"/>
                <w:lang w:val="x-none" w:eastAsia="en-US"/>
              </w:rPr>
              <w:t>Estimate</w:t>
            </w:r>
          </w:p>
          <w:p w14:paraId="631D4F2D" w14:textId="77777777" w:rsidR="00A6611C" w:rsidRPr="00A6611C" w:rsidRDefault="00A6611C" w:rsidP="00A6611C">
            <w:pPr>
              <w:ind w:left="227" w:hanging="227"/>
              <w:jc w:val="right"/>
              <w:rPr>
                <w:rFonts w:ascii="Calibri" w:hAnsi="Calibri" w:cs="Calibri"/>
                <w:b/>
                <w:sz w:val="20"/>
                <w:szCs w:val="24"/>
                <w:lang w:val="x-none" w:eastAsia="en-US"/>
              </w:rPr>
            </w:pPr>
            <w:r w:rsidRPr="00A6611C">
              <w:rPr>
                <w:rFonts w:ascii="Calibri" w:hAnsi="Calibri" w:cs="Calibri"/>
                <w:b/>
                <w:sz w:val="20"/>
                <w:szCs w:val="24"/>
                <w:lang w:val="x-none" w:eastAsia="en-US"/>
              </w:rPr>
              <w:t>$’000</w:t>
            </w:r>
          </w:p>
        </w:tc>
        <w:tc>
          <w:tcPr>
            <w:tcW w:w="959" w:type="dxa"/>
            <w:tcBorders>
              <w:top w:val="single" w:sz="4" w:space="0" w:color="auto"/>
              <w:left w:val="nil"/>
              <w:bottom w:val="nil"/>
              <w:right w:val="nil"/>
            </w:tcBorders>
            <w:vAlign w:val="bottom"/>
            <w:hideMark/>
          </w:tcPr>
          <w:p w14:paraId="76736077" w14:textId="77777777" w:rsidR="00A6611C" w:rsidRPr="00A6611C" w:rsidRDefault="00A6611C" w:rsidP="00A6611C">
            <w:pPr>
              <w:ind w:left="227" w:hanging="227"/>
              <w:jc w:val="right"/>
              <w:rPr>
                <w:rFonts w:ascii="Calibri" w:hAnsi="Calibri" w:cs="Calibri"/>
                <w:b/>
                <w:sz w:val="20"/>
                <w:szCs w:val="24"/>
                <w:lang w:val="x-none" w:eastAsia="en-US"/>
              </w:rPr>
            </w:pPr>
            <w:r w:rsidRPr="00A6611C">
              <w:rPr>
                <w:rFonts w:ascii="Calibri" w:hAnsi="Calibri" w:cs="Calibri"/>
                <w:b/>
                <w:sz w:val="20"/>
                <w:szCs w:val="24"/>
                <w:lang w:val="x-none" w:eastAsia="en-US"/>
              </w:rPr>
              <w:t>2020-21</w:t>
            </w:r>
          </w:p>
          <w:p w14:paraId="43489D62" w14:textId="77777777" w:rsidR="00A6611C" w:rsidRPr="00A6611C" w:rsidRDefault="00A6611C" w:rsidP="00A6611C">
            <w:pPr>
              <w:ind w:left="227" w:hanging="227"/>
              <w:jc w:val="right"/>
              <w:rPr>
                <w:rFonts w:ascii="Calibri" w:hAnsi="Calibri" w:cs="Calibri"/>
                <w:b/>
                <w:sz w:val="20"/>
                <w:szCs w:val="24"/>
                <w:lang w:val="x-none" w:eastAsia="en-US"/>
              </w:rPr>
            </w:pPr>
            <w:r w:rsidRPr="00A6611C">
              <w:rPr>
                <w:rFonts w:ascii="Calibri" w:hAnsi="Calibri" w:cs="Calibri"/>
                <w:b/>
                <w:sz w:val="20"/>
                <w:szCs w:val="24"/>
                <w:lang w:val="x-none" w:eastAsia="en-US"/>
              </w:rPr>
              <w:t>Estimate</w:t>
            </w:r>
          </w:p>
          <w:p w14:paraId="53CA7EA9" w14:textId="77777777" w:rsidR="00A6611C" w:rsidRPr="00A6611C" w:rsidRDefault="00A6611C" w:rsidP="00A6611C">
            <w:pPr>
              <w:ind w:left="227" w:hanging="227"/>
              <w:jc w:val="right"/>
              <w:rPr>
                <w:rFonts w:ascii="Calibri" w:hAnsi="Calibri" w:cs="Calibri"/>
                <w:b/>
                <w:sz w:val="20"/>
                <w:szCs w:val="24"/>
                <w:lang w:val="x-none" w:eastAsia="en-US"/>
              </w:rPr>
            </w:pPr>
            <w:r w:rsidRPr="00A6611C">
              <w:rPr>
                <w:rFonts w:ascii="Calibri" w:hAnsi="Calibri" w:cs="Calibri"/>
                <w:b/>
                <w:sz w:val="20"/>
                <w:szCs w:val="24"/>
                <w:lang w:val="x-none" w:eastAsia="en-US"/>
              </w:rPr>
              <w:t>$’000</w:t>
            </w:r>
          </w:p>
        </w:tc>
        <w:tc>
          <w:tcPr>
            <w:tcW w:w="958" w:type="dxa"/>
            <w:tcBorders>
              <w:top w:val="single" w:sz="4" w:space="0" w:color="auto"/>
              <w:left w:val="nil"/>
              <w:bottom w:val="nil"/>
              <w:right w:val="nil"/>
            </w:tcBorders>
            <w:vAlign w:val="bottom"/>
            <w:hideMark/>
          </w:tcPr>
          <w:p w14:paraId="1A69ECDE" w14:textId="77777777" w:rsidR="00A6611C" w:rsidRPr="00A6611C" w:rsidRDefault="00A6611C" w:rsidP="00A6611C">
            <w:pPr>
              <w:ind w:left="227" w:hanging="227"/>
              <w:jc w:val="right"/>
              <w:rPr>
                <w:rFonts w:ascii="Calibri" w:hAnsi="Calibri" w:cs="Calibri"/>
                <w:b/>
                <w:sz w:val="20"/>
                <w:szCs w:val="24"/>
                <w:lang w:val="x-none" w:eastAsia="en-US"/>
              </w:rPr>
            </w:pPr>
            <w:r w:rsidRPr="00A6611C">
              <w:rPr>
                <w:rFonts w:ascii="Calibri" w:hAnsi="Calibri" w:cs="Calibri"/>
                <w:b/>
                <w:sz w:val="20"/>
                <w:szCs w:val="24"/>
                <w:lang w:val="x-none" w:eastAsia="en-US"/>
              </w:rPr>
              <w:t>2021-22</w:t>
            </w:r>
          </w:p>
          <w:p w14:paraId="6CB0C176" w14:textId="77777777" w:rsidR="00A6611C" w:rsidRPr="00A6611C" w:rsidRDefault="00A6611C" w:rsidP="00A6611C">
            <w:pPr>
              <w:ind w:left="227" w:hanging="227"/>
              <w:jc w:val="right"/>
              <w:rPr>
                <w:rFonts w:ascii="Calibri" w:hAnsi="Calibri" w:cs="Calibri"/>
                <w:b/>
                <w:sz w:val="20"/>
                <w:szCs w:val="24"/>
                <w:lang w:val="x-none" w:eastAsia="en-US"/>
              </w:rPr>
            </w:pPr>
            <w:r w:rsidRPr="00A6611C">
              <w:rPr>
                <w:rFonts w:ascii="Calibri" w:hAnsi="Calibri" w:cs="Calibri"/>
                <w:b/>
                <w:sz w:val="20"/>
                <w:szCs w:val="24"/>
                <w:lang w:val="x-none" w:eastAsia="en-US"/>
              </w:rPr>
              <w:t>Estimate</w:t>
            </w:r>
          </w:p>
          <w:p w14:paraId="53FAAA47" w14:textId="77777777" w:rsidR="00A6611C" w:rsidRPr="00A6611C" w:rsidRDefault="00A6611C" w:rsidP="00A6611C">
            <w:pPr>
              <w:ind w:left="227" w:hanging="227"/>
              <w:jc w:val="right"/>
              <w:rPr>
                <w:rFonts w:ascii="Calibri" w:hAnsi="Calibri" w:cs="Calibri"/>
                <w:b/>
                <w:sz w:val="20"/>
                <w:szCs w:val="24"/>
                <w:lang w:val="x-none" w:eastAsia="en-US"/>
              </w:rPr>
            </w:pPr>
            <w:r w:rsidRPr="00A6611C">
              <w:rPr>
                <w:rFonts w:ascii="Calibri" w:hAnsi="Calibri" w:cs="Calibri"/>
                <w:b/>
                <w:sz w:val="20"/>
                <w:szCs w:val="24"/>
                <w:lang w:val="x-none" w:eastAsia="en-US"/>
              </w:rPr>
              <w:t>$’000</w:t>
            </w:r>
          </w:p>
        </w:tc>
        <w:tc>
          <w:tcPr>
            <w:tcW w:w="959" w:type="dxa"/>
            <w:tcBorders>
              <w:top w:val="single" w:sz="4" w:space="0" w:color="auto"/>
              <w:left w:val="nil"/>
              <w:bottom w:val="nil"/>
              <w:right w:val="nil"/>
            </w:tcBorders>
            <w:vAlign w:val="bottom"/>
            <w:hideMark/>
          </w:tcPr>
          <w:p w14:paraId="52633A89" w14:textId="77777777" w:rsidR="00A6611C" w:rsidRPr="00A6611C" w:rsidRDefault="00A6611C" w:rsidP="00A6611C">
            <w:pPr>
              <w:ind w:left="227" w:hanging="227"/>
              <w:jc w:val="right"/>
              <w:rPr>
                <w:rFonts w:ascii="Calibri" w:hAnsi="Calibri" w:cs="Calibri"/>
                <w:b/>
                <w:sz w:val="20"/>
                <w:szCs w:val="24"/>
                <w:lang w:val="x-none" w:eastAsia="en-US"/>
              </w:rPr>
            </w:pPr>
            <w:r w:rsidRPr="00A6611C">
              <w:rPr>
                <w:rFonts w:ascii="Calibri" w:hAnsi="Calibri" w:cs="Calibri"/>
                <w:b/>
                <w:sz w:val="20"/>
                <w:szCs w:val="24"/>
                <w:lang w:val="x-none" w:eastAsia="en-US"/>
              </w:rPr>
              <w:t>2022-23</w:t>
            </w:r>
          </w:p>
          <w:p w14:paraId="43C98451" w14:textId="77777777" w:rsidR="00A6611C" w:rsidRPr="00A6611C" w:rsidRDefault="00A6611C" w:rsidP="00A6611C">
            <w:pPr>
              <w:ind w:left="227" w:hanging="227"/>
              <w:jc w:val="right"/>
              <w:rPr>
                <w:rFonts w:ascii="Calibri" w:hAnsi="Calibri" w:cs="Calibri"/>
                <w:b/>
                <w:sz w:val="20"/>
                <w:szCs w:val="24"/>
                <w:lang w:val="x-none" w:eastAsia="en-US"/>
              </w:rPr>
            </w:pPr>
            <w:r w:rsidRPr="00A6611C">
              <w:rPr>
                <w:rFonts w:ascii="Calibri" w:hAnsi="Calibri" w:cs="Calibri"/>
                <w:b/>
                <w:sz w:val="20"/>
                <w:szCs w:val="24"/>
                <w:lang w:val="x-none" w:eastAsia="en-US"/>
              </w:rPr>
              <w:t>Estimate</w:t>
            </w:r>
          </w:p>
          <w:p w14:paraId="24E5FC82" w14:textId="77777777" w:rsidR="00A6611C" w:rsidRPr="00A6611C" w:rsidRDefault="00A6611C" w:rsidP="00A6611C">
            <w:pPr>
              <w:ind w:left="227" w:hanging="227"/>
              <w:jc w:val="right"/>
              <w:rPr>
                <w:rFonts w:ascii="Calibri" w:hAnsi="Calibri" w:cs="Calibri"/>
                <w:b/>
                <w:sz w:val="20"/>
                <w:szCs w:val="24"/>
                <w:lang w:val="x-none" w:eastAsia="en-US"/>
              </w:rPr>
            </w:pPr>
            <w:r w:rsidRPr="00A6611C">
              <w:rPr>
                <w:rFonts w:ascii="Calibri" w:hAnsi="Calibri" w:cs="Calibri"/>
                <w:b/>
                <w:sz w:val="20"/>
                <w:szCs w:val="24"/>
                <w:lang w:val="x-none" w:eastAsia="en-US"/>
              </w:rPr>
              <w:t>$’000</w:t>
            </w:r>
          </w:p>
        </w:tc>
        <w:tc>
          <w:tcPr>
            <w:tcW w:w="959" w:type="dxa"/>
            <w:tcBorders>
              <w:top w:val="single" w:sz="4" w:space="0" w:color="auto"/>
              <w:left w:val="nil"/>
              <w:bottom w:val="nil"/>
              <w:right w:val="nil"/>
            </w:tcBorders>
          </w:tcPr>
          <w:p w14:paraId="2614BBFA" w14:textId="77777777" w:rsidR="00A6611C" w:rsidRPr="00A6611C" w:rsidRDefault="00A6611C" w:rsidP="00A6611C">
            <w:pPr>
              <w:ind w:left="227" w:hanging="227"/>
              <w:jc w:val="right"/>
              <w:rPr>
                <w:rFonts w:ascii="Calibri" w:hAnsi="Calibri" w:cs="Calibri"/>
                <w:b/>
                <w:snapToGrid w:val="0"/>
                <w:sz w:val="20"/>
                <w:szCs w:val="24"/>
                <w:lang w:val="x-none" w:eastAsia="en-US"/>
              </w:rPr>
            </w:pPr>
            <w:r w:rsidRPr="00A6611C">
              <w:rPr>
                <w:rFonts w:ascii="Calibri" w:hAnsi="Calibri" w:cs="Calibri"/>
                <w:b/>
                <w:snapToGrid w:val="0"/>
                <w:sz w:val="20"/>
                <w:szCs w:val="24"/>
                <w:lang w:val="x-none" w:eastAsia="en-US"/>
              </w:rPr>
              <w:t>Total</w:t>
            </w:r>
          </w:p>
          <w:p w14:paraId="047C3ADE" w14:textId="77777777" w:rsidR="00A6611C" w:rsidRPr="00A6611C" w:rsidRDefault="00A6611C" w:rsidP="00A6611C">
            <w:pPr>
              <w:ind w:left="227" w:hanging="227"/>
              <w:jc w:val="right"/>
              <w:rPr>
                <w:rFonts w:ascii="Calibri" w:hAnsi="Calibri" w:cs="Calibri"/>
                <w:b/>
                <w:snapToGrid w:val="0"/>
                <w:sz w:val="20"/>
                <w:szCs w:val="24"/>
                <w:lang w:val="x-none" w:eastAsia="en-US"/>
              </w:rPr>
            </w:pPr>
          </w:p>
          <w:p w14:paraId="2CEB1058" w14:textId="77777777" w:rsidR="00A6611C" w:rsidRPr="00A6611C" w:rsidRDefault="00A6611C" w:rsidP="00A6611C">
            <w:pPr>
              <w:ind w:left="227" w:hanging="227"/>
              <w:jc w:val="right"/>
              <w:rPr>
                <w:rFonts w:ascii="Calibri" w:hAnsi="Calibri" w:cs="Calibri"/>
                <w:b/>
                <w:snapToGrid w:val="0"/>
                <w:sz w:val="20"/>
                <w:szCs w:val="24"/>
                <w:lang w:val="x-none" w:eastAsia="en-US"/>
              </w:rPr>
            </w:pPr>
            <w:r w:rsidRPr="00A6611C">
              <w:rPr>
                <w:rFonts w:ascii="Calibri" w:hAnsi="Calibri" w:cs="Calibri"/>
                <w:b/>
                <w:snapToGrid w:val="0"/>
                <w:sz w:val="20"/>
                <w:szCs w:val="24"/>
                <w:lang w:val="x-none" w:eastAsia="en-US"/>
              </w:rPr>
              <w:t>$’000</w:t>
            </w:r>
          </w:p>
        </w:tc>
      </w:tr>
      <w:tr w:rsidR="00A6611C" w:rsidRPr="00A6611C" w14:paraId="49A5A3C5" w14:textId="77777777" w:rsidTr="002E5D27">
        <w:trPr>
          <w:cantSplit/>
          <w:trHeight w:val="227"/>
        </w:trPr>
        <w:tc>
          <w:tcPr>
            <w:tcW w:w="4845" w:type="dxa"/>
            <w:tcBorders>
              <w:top w:val="single" w:sz="4" w:space="0" w:color="auto"/>
              <w:left w:val="nil"/>
              <w:bottom w:val="nil"/>
              <w:right w:val="nil"/>
            </w:tcBorders>
            <w:hideMark/>
          </w:tcPr>
          <w:p w14:paraId="0F8D74ED" w14:textId="77777777" w:rsidR="00A6611C" w:rsidRPr="00A6611C" w:rsidRDefault="00A6611C" w:rsidP="00A6611C">
            <w:pPr>
              <w:jc w:val="right"/>
              <w:rPr>
                <w:rFonts w:ascii="Calibri" w:hAnsi="Calibri" w:cs="Calibri"/>
                <w:color w:val="FFFFFF"/>
                <w:sz w:val="12"/>
                <w:szCs w:val="20"/>
                <w:lang w:eastAsia="en-US"/>
              </w:rPr>
            </w:pPr>
            <w:r w:rsidRPr="00A6611C">
              <w:rPr>
                <w:rFonts w:ascii="Calibri" w:hAnsi="Calibri" w:cs="Calibri"/>
                <w:color w:val="FFFFFF"/>
                <w:sz w:val="12"/>
                <w:szCs w:val="20"/>
                <w:lang w:eastAsia="en-US"/>
              </w:rPr>
              <w:t xml:space="preserve"> </w:t>
            </w:r>
          </w:p>
        </w:tc>
        <w:tc>
          <w:tcPr>
            <w:tcW w:w="958" w:type="dxa"/>
            <w:tcBorders>
              <w:top w:val="single" w:sz="4" w:space="0" w:color="auto"/>
              <w:left w:val="nil"/>
              <w:bottom w:val="nil"/>
              <w:right w:val="nil"/>
            </w:tcBorders>
            <w:hideMark/>
          </w:tcPr>
          <w:p w14:paraId="40CB6F0E" w14:textId="77777777" w:rsidR="00A6611C" w:rsidRPr="00A6611C" w:rsidRDefault="00A6611C" w:rsidP="00A6611C">
            <w:pPr>
              <w:jc w:val="right"/>
              <w:rPr>
                <w:rFonts w:ascii="Calibri" w:hAnsi="Calibri" w:cs="Calibri"/>
                <w:color w:val="FFFFFF"/>
                <w:sz w:val="12"/>
                <w:szCs w:val="20"/>
                <w:lang w:eastAsia="en-US"/>
              </w:rPr>
            </w:pPr>
            <w:r w:rsidRPr="00A6611C">
              <w:rPr>
                <w:rFonts w:ascii="Calibri" w:hAnsi="Calibri" w:cs="Calibri"/>
                <w:color w:val="FFFFFF"/>
                <w:sz w:val="12"/>
                <w:szCs w:val="20"/>
                <w:lang w:eastAsia="en-US"/>
              </w:rPr>
              <w:t xml:space="preserve"> </w:t>
            </w:r>
          </w:p>
        </w:tc>
        <w:tc>
          <w:tcPr>
            <w:tcW w:w="959" w:type="dxa"/>
            <w:tcBorders>
              <w:top w:val="single" w:sz="4" w:space="0" w:color="auto"/>
              <w:left w:val="nil"/>
              <w:bottom w:val="nil"/>
              <w:right w:val="nil"/>
            </w:tcBorders>
            <w:hideMark/>
          </w:tcPr>
          <w:p w14:paraId="57704673" w14:textId="77777777" w:rsidR="00A6611C" w:rsidRPr="00A6611C" w:rsidRDefault="00A6611C" w:rsidP="00A6611C">
            <w:pPr>
              <w:jc w:val="right"/>
              <w:rPr>
                <w:rFonts w:ascii="Calibri" w:hAnsi="Calibri" w:cs="Calibri"/>
                <w:color w:val="FFFFFF"/>
                <w:sz w:val="12"/>
                <w:szCs w:val="20"/>
                <w:lang w:eastAsia="en-US"/>
              </w:rPr>
            </w:pPr>
            <w:r w:rsidRPr="00A6611C">
              <w:rPr>
                <w:rFonts w:ascii="Calibri" w:hAnsi="Calibri" w:cs="Calibri"/>
                <w:color w:val="FFFFFF"/>
                <w:sz w:val="12"/>
                <w:szCs w:val="20"/>
                <w:lang w:eastAsia="en-US"/>
              </w:rPr>
              <w:t xml:space="preserve"> </w:t>
            </w:r>
          </w:p>
        </w:tc>
        <w:tc>
          <w:tcPr>
            <w:tcW w:w="958" w:type="dxa"/>
            <w:tcBorders>
              <w:top w:val="single" w:sz="4" w:space="0" w:color="auto"/>
              <w:left w:val="nil"/>
              <w:bottom w:val="nil"/>
              <w:right w:val="nil"/>
            </w:tcBorders>
            <w:hideMark/>
          </w:tcPr>
          <w:p w14:paraId="094B85DE" w14:textId="77777777" w:rsidR="00A6611C" w:rsidRPr="00A6611C" w:rsidRDefault="00A6611C" w:rsidP="00A6611C">
            <w:pPr>
              <w:jc w:val="right"/>
              <w:rPr>
                <w:rFonts w:ascii="Calibri" w:hAnsi="Calibri" w:cs="Calibri"/>
                <w:color w:val="FFFFFF"/>
                <w:sz w:val="12"/>
                <w:szCs w:val="20"/>
                <w:lang w:eastAsia="en-US"/>
              </w:rPr>
            </w:pPr>
            <w:r w:rsidRPr="00A6611C">
              <w:rPr>
                <w:rFonts w:ascii="Calibri" w:hAnsi="Calibri" w:cs="Calibri"/>
                <w:color w:val="FFFFFF"/>
                <w:sz w:val="12"/>
                <w:szCs w:val="20"/>
                <w:lang w:eastAsia="en-US"/>
              </w:rPr>
              <w:t xml:space="preserve"> </w:t>
            </w:r>
          </w:p>
        </w:tc>
        <w:tc>
          <w:tcPr>
            <w:tcW w:w="959" w:type="dxa"/>
            <w:tcBorders>
              <w:top w:val="single" w:sz="4" w:space="0" w:color="auto"/>
              <w:left w:val="nil"/>
              <w:bottom w:val="nil"/>
              <w:right w:val="nil"/>
            </w:tcBorders>
            <w:hideMark/>
          </w:tcPr>
          <w:p w14:paraId="315B5231" w14:textId="77777777" w:rsidR="00A6611C" w:rsidRPr="00A6611C" w:rsidRDefault="00A6611C" w:rsidP="00A6611C">
            <w:pPr>
              <w:jc w:val="right"/>
              <w:rPr>
                <w:rFonts w:ascii="Calibri" w:hAnsi="Calibri" w:cs="Calibri"/>
                <w:color w:val="FFFFFF"/>
                <w:sz w:val="12"/>
                <w:szCs w:val="20"/>
                <w:lang w:eastAsia="en-US"/>
              </w:rPr>
            </w:pPr>
            <w:r w:rsidRPr="00A6611C">
              <w:rPr>
                <w:rFonts w:ascii="Calibri" w:hAnsi="Calibri" w:cs="Calibri"/>
                <w:color w:val="FFFFFF"/>
                <w:sz w:val="12"/>
                <w:szCs w:val="20"/>
                <w:lang w:eastAsia="en-US"/>
              </w:rPr>
              <w:t xml:space="preserve"> </w:t>
            </w:r>
          </w:p>
        </w:tc>
        <w:tc>
          <w:tcPr>
            <w:tcW w:w="959" w:type="dxa"/>
            <w:tcBorders>
              <w:top w:val="single" w:sz="4" w:space="0" w:color="auto"/>
              <w:left w:val="nil"/>
              <w:bottom w:val="nil"/>
              <w:right w:val="nil"/>
            </w:tcBorders>
            <w:hideMark/>
          </w:tcPr>
          <w:p w14:paraId="176CF2A7" w14:textId="77777777" w:rsidR="00A6611C" w:rsidRPr="00A6611C" w:rsidRDefault="00A6611C" w:rsidP="00A6611C">
            <w:pPr>
              <w:jc w:val="right"/>
              <w:rPr>
                <w:rFonts w:ascii="Calibri" w:hAnsi="Calibri" w:cs="Calibri"/>
                <w:color w:val="FFFFFF"/>
                <w:sz w:val="12"/>
                <w:szCs w:val="20"/>
                <w:lang w:eastAsia="en-US"/>
              </w:rPr>
            </w:pPr>
            <w:r w:rsidRPr="00A6611C">
              <w:rPr>
                <w:rFonts w:ascii="Calibri" w:hAnsi="Calibri" w:cs="Calibri"/>
                <w:color w:val="FFFFFF"/>
                <w:sz w:val="12"/>
                <w:szCs w:val="20"/>
                <w:lang w:eastAsia="en-US"/>
              </w:rPr>
              <w:t xml:space="preserve"> </w:t>
            </w:r>
          </w:p>
        </w:tc>
      </w:tr>
      <w:tr w:rsidR="00A6611C" w:rsidRPr="00A6611C" w14:paraId="0DABFF08" w14:textId="77777777" w:rsidTr="002E5D27">
        <w:trPr>
          <w:cantSplit/>
          <w:trHeight w:val="227"/>
        </w:trPr>
        <w:tc>
          <w:tcPr>
            <w:tcW w:w="4845" w:type="dxa"/>
            <w:hideMark/>
          </w:tcPr>
          <w:p w14:paraId="728891C2" w14:textId="77777777" w:rsidR="00A6611C" w:rsidRPr="00A6611C" w:rsidRDefault="00A6611C" w:rsidP="00A6611C">
            <w:pPr>
              <w:ind w:left="227" w:hanging="227"/>
              <w:rPr>
                <w:rFonts w:ascii="Calibri" w:hAnsi="Calibri"/>
                <w:b/>
                <w:bCs/>
                <w:sz w:val="20"/>
                <w:szCs w:val="20"/>
                <w:lang w:eastAsia="en-AU"/>
              </w:rPr>
            </w:pPr>
            <w:r w:rsidRPr="00A6611C">
              <w:rPr>
                <w:rFonts w:ascii="Calibri" w:hAnsi="Calibri" w:cs="Calibri"/>
                <w:b/>
                <w:bCs/>
                <w:sz w:val="20"/>
                <w:szCs w:val="20"/>
                <w:lang w:eastAsia="en-AU"/>
              </w:rPr>
              <w:t>Chief Minister, Treasury and Economic Development Directorate</w:t>
            </w:r>
          </w:p>
        </w:tc>
        <w:tc>
          <w:tcPr>
            <w:tcW w:w="958" w:type="dxa"/>
            <w:hideMark/>
          </w:tcPr>
          <w:p w14:paraId="7C4CAD78" w14:textId="77777777" w:rsidR="00A6611C" w:rsidRPr="00A6611C" w:rsidRDefault="00A6611C" w:rsidP="00A6611C">
            <w:pPr>
              <w:jc w:val="right"/>
              <w:rPr>
                <w:rFonts w:ascii="Calibri" w:hAnsi="Calibri" w:cs="Calibri"/>
                <w:color w:val="FFFFFF"/>
                <w:sz w:val="12"/>
                <w:szCs w:val="20"/>
                <w:lang w:eastAsia="en-US"/>
              </w:rPr>
            </w:pPr>
            <w:r w:rsidRPr="00A6611C">
              <w:rPr>
                <w:rFonts w:ascii="Calibri" w:hAnsi="Calibri" w:cs="Calibri"/>
                <w:color w:val="FFFFFF"/>
                <w:sz w:val="12"/>
                <w:szCs w:val="20"/>
                <w:lang w:eastAsia="en-US"/>
              </w:rPr>
              <w:t xml:space="preserve"> </w:t>
            </w:r>
          </w:p>
        </w:tc>
        <w:tc>
          <w:tcPr>
            <w:tcW w:w="959" w:type="dxa"/>
            <w:hideMark/>
          </w:tcPr>
          <w:p w14:paraId="24A7C750" w14:textId="77777777" w:rsidR="00A6611C" w:rsidRPr="00A6611C" w:rsidRDefault="00A6611C" w:rsidP="00A6611C">
            <w:pPr>
              <w:jc w:val="right"/>
              <w:rPr>
                <w:rFonts w:ascii="Calibri" w:hAnsi="Calibri" w:cs="Calibri"/>
                <w:color w:val="FFFFFF"/>
                <w:sz w:val="12"/>
                <w:szCs w:val="20"/>
                <w:lang w:eastAsia="en-US"/>
              </w:rPr>
            </w:pPr>
            <w:r w:rsidRPr="00A6611C">
              <w:rPr>
                <w:rFonts w:ascii="Calibri" w:hAnsi="Calibri" w:cs="Calibri"/>
                <w:color w:val="FFFFFF"/>
                <w:sz w:val="12"/>
                <w:szCs w:val="20"/>
                <w:lang w:eastAsia="en-US"/>
              </w:rPr>
              <w:t xml:space="preserve"> </w:t>
            </w:r>
          </w:p>
        </w:tc>
        <w:tc>
          <w:tcPr>
            <w:tcW w:w="958" w:type="dxa"/>
            <w:hideMark/>
          </w:tcPr>
          <w:p w14:paraId="5395FF22" w14:textId="77777777" w:rsidR="00A6611C" w:rsidRPr="00A6611C" w:rsidRDefault="00A6611C" w:rsidP="00A6611C">
            <w:pPr>
              <w:jc w:val="right"/>
              <w:rPr>
                <w:rFonts w:ascii="Calibri" w:hAnsi="Calibri" w:cs="Calibri"/>
                <w:color w:val="FFFFFF"/>
                <w:sz w:val="12"/>
                <w:szCs w:val="20"/>
                <w:lang w:eastAsia="en-US"/>
              </w:rPr>
            </w:pPr>
            <w:r w:rsidRPr="00A6611C">
              <w:rPr>
                <w:rFonts w:ascii="Calibri" w:hAnsi="Calibri" w:cs="Calibri"/>
                <w:color w:val="FFFFFF"/>
                <w:sz w:val="12"/>
                <w:szCs w:val="20"/>
                <w:lang w:eastAsia="en-US"/>
              </w:rPr>
              <w:t xml:space="preserve"> </w:t>
            </w:r>
          </w:p>
        </w:tc>
        <w:tc>
          <w:tcPr>
            <w:tcW w:w="959" w:type="dxa"/>
            <w:hideMark/>
          </w:tcPr>
          <w:p w14:paraId="3C69A899" w14:textId="77777777" w:rsidR="00A6611C" w:rsidRPr="00A6611C" w:rsidRDefault="00A6611C" w:rsidP="00A6611C">
            <w:pPr>
              <w:jc w:val="right"/>
              <w:rPr>
                <w:rFonts w:ascii="Calibri" w:hAnsi="Calibri" w:cs="Calibri"/>
                <w:color w:val="FFFFFF"/>
                <w:sz w:val="12"/>
                <w:szCs w:val="20"/>
                <w:lang w:eastAsia="en-US"/>
              </w:rPr>
            </w:pPr>
            <w:r w:rsidRPr="00A6611C">
              <w:rPr>
                <w:rFonts w:ascii="Calibri" w:hAnsi="Calibri" w:cs="Calibri"/>
                <w:color w:val="FFFFFF"/>
                <w:sz w:val="12"/>
                <w:szCs w:val="20"/>
                <w:lang w:eastAsia="en-US"/>
              </w:rPr>
              <w:t xml:space="preserve"> </w:t>
            </w:r>
          </w:p>
        </w:tc>
        <w:tc>
          <w:tcPr>
            <w:tcW w:w="959" w:type="dxa"/>
            <w:hideMark/>
          </w:tcPr>
          <w:p w14:paraId="3C75C8FA" w14:textId="77777777" w:rsidR="00A6611C" w:rsidRPr="00A6611C" w:rsidRDefault="00A6611C" w:rsidP="00A6611C">
            <w:pPr>
              <w:jc w:val="right"/>
              <w:rPr>
                <w:rFonts w:ascii="Calibri" w:hAnsi="Calibri" w:cs="Calibri"/>
                <w:color w:val="FFFFFF"/>
                <w:sz w:val="12"/>
                <w:szCs w:val="20"/>
                <w:lang w:eastAsia="en-US"/>
              </w:rPr>
            </w:pPr>
            <w:r w:rsidRPr="00A6611C">
              <w:rPr>
                <w:rFonts w:ascii="Calibri" w:hAnsi="Calibri" w:cs="Calibri"/>
                <w:color w:val="FFFFFF"/>
                <w:sz w:val="12"/>
                <w:szCs w:val="20"/>
                <w:lang w:eastAsia="en-US"/>
              </w:rPr>
              <w:t xml:space="preserve"> </w:t>
            </w:r>
          </w:p>
        </w:tc>
      </w:tr>
      <w:tr w:rsidR="00A6611C" w:rsidRPr="00A6611C" w14:paraId="4E11BEB2" w14:textId="77777777" w:rsidTr="002E5D27">
        <w:trPr>
          <w:cantSplit/>
          <w:trHeight w:val="227"/>
        </w:trPr>
        <w:tc>
          <w:tcPr>
            <w:tcW w:w="4845" w:type="dxa"/>
            <w:hideMark/>
          </w:tcPr>
          <w:p w14:paraId="1A639214" w14:textId="77777777" w:rsidR="00A6611C" w:rsidRPr="00A6611C" w:rsidRDefault="00A6611C" w:rsidP="00A6611C">
            <w:pPr>
              <w:ind w:left="227" w:hanging="227"/>
              <w:rPr>
                <w:rFonts w:ascii="Calibri" w:hAnsi="Calibri"/>
                <w:bCs/>
                <w:sz w:val="20"/>
                <w:szCs w:val="20"/>
                <w:lang w:eastAsia="en-AU"/>
              </w:rPr>
            </w:pPr>
            <w:r w:rsidRPr="00A6611C">
              <w:rPr>
                <w:rFonts w:ascii="Calibri" w:hAnsi="Calibri" w:cs="Calibri"/>
                <w:bCs/>
                <w:sz w:val="20"/>
                <w:szCs w:val="20"/>
                <w:lang w:eastAsia="en-AU"/>
              </w:rPr>
              <w:t xml:space="preserve">ACT Land Titles system modernisation </w:t>
            </w:r>
            <w:r w:rsidRPr="00A6611C">
              <w:rPr>
                <w:rFonts w:ascii="Calibri" w:hAnsi="Calibri" w:cs="Calibri"/>
                <w:bCs/>
                <w:sz w:val="20"/>
                <w:szCs w:val="20"/>
                <w:vertAlign w:val="superscript"/>
                <w:lang w:eastAsia="en-AU"/>
              </w:rPr>
              <w:t>1, 2</w:t>
            </w:r>
          </w:p>
        </w:tc>
        <w:tc>
          <w:tcPr>
            <w:tcW w:w="958" w:type="dxa"/>
            <w:hideMark/>
          </w:tcPr>
          <w:p w14:paraId="78E7B745"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337</w:t>
            </w:r>
          </w:p>
        </w:tc>
        <w:tc>
          <w:tcPr>
            <w:tcW w:w="959" w:type="dxa"/>
            <w:hideMark/>
          </w:tcPr>
          <w:p w14:paraId="6C6EC022"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169</w:t>
            </w:r>
          </w:p>
        </w:tc>
        <w:tc>
          <w:tcPr>
            <w:tcW w:w="958" w:type="dxa"/>
            <w:hideMark/>
          </w:tcPr>
          <w:p w14:paraId="6FCDD21C"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173</w:t>
            </w:r>
          </w:p>
        </w:tc>
        <w:tc>
          <w:tcPr>
            <w:tcW w:w="959" w:type="dxa"/>
            <w:hideMark/>
          </w:tcPr>
          <w:p w14:paraId="46025C74"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178</w:t>
            </w:r>
          </w:p>
        </w:tc>
        <w:tc>
          <w:tcPr>
            <w:tcW w:w="959" w:type="dxa"/>
            <w:hideMark/>
          </w:tcPr>
          <w:p w14:paraId="63A1B7B6"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857</w:t>
            </w:r>
          </w:p>
        </w:tc>
      </w:tr>
      <w:tr w:rsidR="00A6611C" w:rsidRPr="00A6611C" w14:paraId="0684CEDC" w14:textId="77777777" w:rsidTr="002E5D27">
        <w:trPr>
          <w:cantSplit/>
          <w:trHeight w:val="227"/>
        </w:trPr>
        <w:tc>
          <w:tcPr>
            <w:tcW w:w="4845" w:type="dxa"/>
            <w:hideMark/>
          </w:tcPr>
          <w:p w14:paraId="19CD9CFD" w14:textId="77777777" w:rsidR="00A6611C" w:rsidRPr="00A6611C" w:rsidRDefault="00A6611C" w:rsidP="00A6611C">
            <w:pPr>
              <w:ind w:left="227" w:hanging="227"/>
              <w:rPr>
                <w:rFonts w:ascii="Calibri" w:hAnsi="Calibri" w:cs="Calibri"/>
                <w:bCs/>
                <w:sz w:val="20"/>
                <w:szCs w:val="20"/>
                <w:lang w:eastAsia="en-AU"/>
              </w:rPr>
            </w:pPr>
            <w:r w:rsidRPr="00A6611C">
              <w:rPr>
                <w:rFonts w:ascii="Calibri" w:hAnsi="Calibri" w:cs="Calibri"/>
                <w:bCs/>
                <w:sz w:val="20"/>
                <w:szCs w:val="20"/>
                <w:lang w:eastAsia="en-AU"/>
              </w:rPr>
              <w:t xml:space="preserve">Better online services through Access Canberra </w:t>
            </w:r>
            <w:r w:rsidRPr="00A6611C">
              <w:rPr>
                <w:rFonts w:ascii="Calibri" w:hAnsi="Calibri" w:cs="Calibri"/>
                <w:bCs/>
                <w:sz w:val="20"/>
                <w:szCs w:val="20"/>
                <w:vertAlign w:val="superscript"/>
                <w:lang w:eastAsia="en-AU"/>
              </w:rPr>
              <w:t>2</w:t>
            </w:r>
          </w:p>
        </w:tc>
        <w:tc>
          <w:tcPr>
            <w:tcW w:w="958" w:type="dxa"/>
            <w:hideMark/>
          </w:tcPr>
          <w:p w14:paraId="000C6616"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200</w:t>
            </w:r>
          </w:p>
        </w:tc>
        <w:tc>
          <w:tcPr>
            <w:tcW w:w="959" w:type="dxa"/>
            <w:hideMark/>
          </w:tcPr>
          <w:p w14:paraId="76B51B1A"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195</w:t>
            </w:r>
          </w:p>
        </w:tc>
        <w:tc>
          <w:tcPr>
            <w:tcW w:w="958" w:type="dxa"/>
            <w:hideMark/>
          </w:tcPr>
          <w:p w14:paraId="1CDDAEBB"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50</w:t>
            </w:r>
          </w:p>
        </w:tc>
        <w:tc>
          <w:tcPr>
            <w:tcW w:w="959" w:type="dxa"/>
            <w:hideMark/>
          </w:tcPr>
          <w:p w14:paraId="7F850DFA"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50</w:t>
            </w:r>
          </w:p>
        </w:tc>
        <w:tc>
          <w:tcPr>
            <w:tcW w:w="959" w:type="dxa"/>
            <w:hideMark/>
          </w:tcPr>
          <w:p w14:paraId="2E762C0E"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495</w:t>
            </w:r>
          </w:p>
        </w:tc>
      </w:tr>
      <w:tr w:rsidR="00A6611C" w:rsidRPr="00A6611C" w14:paraId="55DDCEC2" w14:textId="77777777" w:rsidTr="002E5D27">
        <w:trPr>
          <w:cantSplit/>
          <w:trHeight w:val="227"/>
        </w:trPr>
        <w:tc>
          <w:tcPr>
            <w:tcW w:w="4845" w:type="dxa"/>
            <w:hideMark/>
          </w:tcPr>
          <w:p w14:paraId="3000831F" w14:textId="77777777" w:rsidR="00A6611C" w:rsidRPr="00A6611C" w:rsidRDefault="00A6611C" w:rsidP="00A6611C">
            <w:pPr>
              <w:rPr>
                <w:rFonts w:ascii="Calibri" w:hAnsi="Calibri" w:cs="Calibri"/>
                <w:bCs/>
                <w:sz w:val="20"/>
                <w:szCs w:val="20"/>
                <w:lang w:eastAsia="en-AU"/>
              </w:rPr>
            </w:pPr>
            <w:r w:rsidRPr="00A6611C">
              <w:rPr>
                <w:rFonts w:ascii="Calibri" w:hAnsi="Calibri" w:cs="Calibri"/>
                <w:bCs/>
                <w:sz w:val="20"/>
                <w:szCs w:val="20"/>
                <w:lang w:eastAsia="en-AU"/>
              </w:rPr>
              <w:t xml:space="preserve">Continuing </w:t>
            </w:r>
            <w:proofErr w:type="spellStart"/>
            <w:r w:rsidRPr="00A6611C">
              <w:rPr>
                <w:rFonts w:ascii="Calibri" w:hAnsi="Calibri" w:cs="Calibri"/>
                <w:bCs/>
                <w:sz w:val="20"/>
                <w:szCs w:val="20"/>
                <w:lang w:eastAsia="en-AU"/>
              </w:rPr>
              <w:t>CBRfree</w:t>
            </w:r>
            <w:proofErr w:type="spellEnd"/>
            <w:r w:rsidRPr="00A6611C">
              <w:rPr>
                <w:rFonts w:ascii="Calibri" w:hAnsi="Calibri" w:cs="Calibri"/>
                <w:bCs/>
                <w:sz w:val="20"/>
                <w:szCs w:val="20"/>
                <w:lang w:eastAsia="en-AU"/>
              </w:rPr>
              <w:t xml:space="preserve"> public Wi-Fi services </w:t>
            </w:r>
            <w:r w:rsidRPr="00A6611C">
              <w:rPr>
                <w:rFonts w:ascii="Calibri" w:hAnsi="Calibri" w:cs="Calibri"/>
                <w:bCs/>
                <w:sz w:val="20"/>
                <w:szCs w:val="20"/>
                <w:vertAlign w:val="superscript"/>
                <w:lang w:eastAsia="en-AU"/>
              </w:rPr>
              <w:t>3</w:t>
            </w:r>
          </w:p>
        </w:tc>
        <w:tc>
          <w:tcPr>
            <w:tcW w:w="958" w:type="dxa"/>
            <w:hideMark/>
          </w:tcPr>
          <w:p w14:paraId="1EB314C1"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0</w:t>
            </w:r>
          </w:p>
        </w:tc>
        <w:tc>
          <w:tcPr>
            <w:tcW w:w="959" w:type="dxa"/>
            <w:hideMark/>
          </w:tcPr>
          <w:p w14:paraId="572FF772"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0</w:t>
            </w:r>
          </w:p>
        </w:tc>
        <w:tc>
          <w:tcPr>
            <w:tcW w:w="958" w:type="dxa"/>
            <w:hideMark/>
          </w:tcPr>
          <w:p w14:paraId="6634A741"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0</w:t>
            </w:r>
          </w:p>
        </w:tc>
        <w:tc>
          <w:tcPr>
            <w:tcW w:w="959" w:type="dxa"/>
            <w:hideMark/>
          </w:tcPr>
          <w:p w14:paraId="0D015676"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0</w:t>
            </w:r>
          </w:p>
        </w:tc>
        <w:tc>
          <w:tcPr>
            <w:tcW w:w="959" w:type="dxa"/>
            <w:hideMark/>
          </w:tcPr>
          <w:p w14:paraId="075EAB49"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0</w:t>
            </w:r>
          </w:p>
        </w:tc>
      </w:tr>
      <w:tr w:rsidR="00A6611C" w:rsidRPr="00A6611C" w14:paraId="336AEA41" w14:textId="77777777" w:rsidTr="002E5D27">
        <w:trPr>
          <w:cantSplit/>
          <w:trHeight w:val="227"/>
        </w:trPr>
        <w:tc>
          <w:tcPr>
            <w:tcW w:w="4845" w:type="dxa"/>
            <w:hideMark/>
          </w:tcPr>
          <w:p w14:paraId="3951CE01" w14:textId="77777777" w:rsidR="00A6611C" w:rsidRPr="00A6611C" w:rsidRDefault="00A6611C" w:rsidP="00A6611C">
            <w:pPr>
              <w:ind w:left="227" w:hanging="227"/>
              <w:rPr>
                <w:rFonts w:ascii="Calibri" w:hAnsi="Calibri" w:cs="Calibri"/>
                <w:bCs/>
                <w:sz w:val="20"/>
                <w:szCs w:val="20"/>
                <w:lang w:eastAsia="en-AU"/>
              </w:rPr>
            </w:pPr>
            <w:r w:rsidRPr="00A6611C">
              <w:rPr>
                <w:rFonts w:ascii="Calibri" w:hAnsi="Calibri" w:cs="Calibri"/>
                <w:bCs/>
                <w:sz w:val="20"/>
                <w:szCs w:val="20"/>
                <w:lang w:eastAsia="en-AU"/>
              </w:rPr>
              <w:t>Delivering the 2020 Australian Tourism Awards</w:t>
            </w:r>
          </w:p>
        </w:tc>
        <w:tc>
          <w:tcPr>
            <w:tcW w:w="958" w:type="dxa"/>
            <w:hideMark/>
          </w:tcPr>
          <w:p w14:paraId="1258DAED"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290</w:t>
            </w:r>
          </w:p>
        </w:tc>
        <w:tc>
          <w:tcPr>
            <w:tcW w:w="959" w:type="dxa"/>
            <w:hideMark/>
          </w:tcPr>
          <w:p w14:paraId="75D37269"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0</w:t>
            </w:r>
          </w:p>
        </w:tc>
        <w:tc>
          <w:tcPr>
            <w:tcW w:w="958" w:type="dxa"/>
            <w:hideMark/>
          </w:tcPr>
          <w:p w14:paraId="4BD92ED0"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0</w:t>
            </w:r>
          </w:p>
        </w:tc>
        <w:tc>
          <w:tcPr>
            <w:tcW w:w="959" w:type="dxa"/>
            <w:hideMark/>
          </w:tcPr>
          <w:p w14:paraId="65E5C763"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0</w:t>
            </w:r>
          </w:p>
        </w:tc>
        <w:tc>
          <w:tcPr>
            <w:tcW w:w="959" w:type="dxa"/>
            <w:hideMark/>
          </w:tcPr>
          <w:p w14:paraId="3B1F1B66"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290</w:t>
            </w:r>
          </w:p>
        </w:tc>
      </w:tr>
      <w:tr w:rsidR="00A6611C" w:rsidRPr="00A6611C" w14:paraId="499CCA09" w14:textId="77777777" w:rsidTr="002E5D27">
        <w:trPr>
          <w:cantSplit/>
          <w:trHeight w:val="227"/>
        </w:trPr>
        <w:tc>
          <w:tcPr>
            <w:tcW w:w="4845" w:type="dxa"/>
            <w:hideMark/>
          </w:tcPr>
          <w:p w14:paraId="27A97D0E" w14:textId="77777777" w:rsidR="00A6611C" w:rsidRPr="00A6611C" w:rsidRDefault="00A6611C" w:rsidP="00A6611C">
            <w:pPr>
              <w:ind w:left="227" w:hanging="227"/>
              <w:rPr>
                <w:rFonts w:ascii="Calibri" w:hAnsi="Calibri" w:cs="Calibri"/>
                <w:bCs/>
                <w:sz w:val="20"/>
                <w:szCs w:val="20"/>
                <w:lang w:eastAsia="en-AU"/>
              </w:rPr>
            </w:pPr>
            <w:r w:rsidRPr="00A6611C">
              <w:rPr>
                <w:rFonts w:ascii="Calibri" w:hAnsi="Calibri" w:cs="Calibri"/>
                <w:bCs/>
                <w:sz w:val="20"/>
                <w:szCs w:val="20"/>
                <w:lang w:eastAsia="en-AU"/>
              </w:rPr>
              <w:t xml:space="preserve">Delivering the Home of Football at Throsby </w:t>
            </w:r>
            <w:r w:rsidRPr="00A6611C">
              <w:rPr>
                <w:rFonts w:ascii="Calibri" w:hAnsi="Calibri" w:cs="Calibri"/>
                <w:bCs/>
                <w:sz w:val="20"/>
                <w:szCs w:val="20"/>
                <w:vertAlign w:val="superscript"/>
                <w:lang w:eastAsia="en-AU"/>
              </w:rPr>
              <w:t>2</w:t>
            </w:r>
          </w:p>
        </w:tc>
        <w:tc>
          <w:tcPr>
            <w:tcW w:w="958" w:type="dxa"/>
            <w:hideMark/>
          </w:tcPr>
          <w:p w14:paraId="2C2F59D4"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0</w:t>
            </w:r>
          </w:p>
        </w:tc>
        <w:tc>
          <w:tcPr>
            <w:tcW w:w="959" w:type="dxa"/>
            <w:hideMark/>
          </w:tcPr>
          <w:p w14:paraId="2F95E864"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0</w:t>
            </w:r>
          </w:p>
        </w:tc>
        <w:tc>
          <w:tcPr>
            <w:tcW w:w="958" w:type="dxa"/>
            <w:hideMark/>
          </w:tcPr>
          <w:p w14:paraId="25011E05"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97</w:t>
            </w:r>
          </w:p>
        </w:tc>
        <w:tc>
          <w:tcPr>
            <w:tcW w:w="959" w:type="dxa"/>
            <w:hideMark/>
          </w:tcPr>
          <w:p w14:paraId="36E9698D"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401</w:t>
            </w:r>
          </w:p>
        </w:tc>
        <w:tc>
          <w:tcPr>
            <w:tcW w:w="959" w:type="dxa"/>
            <w:hideMark/>
          </w:tcPr>
          <w:p w14:paraId="338327DB"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498</w:t>
            </w:r>
          </w:p>
        </w:tc>
      </w:tr>
      <w:tr w:rsidR="00A6611C" w:rsidRPr="00A6611C" w14:paraId="71DCC975" w14:textId="77777777" w:rsidTr="002E5D27">
        <w:trPr>
          <w:cantSplit/>
          <w:trHeight w:val="227"/>
        </w:trPr>
        <w:tc>
          <w:tcPr>
            <w:tcW w:w="4845" w:type="dxa"/>
            <w:hideMark/>
          </w:tcPr>
          <w:p w14:paraId="1EFF8E11" w14:textId="77777777" w:rsidR="00A6611C" w:rsidRPr="00A6611C" w:rsidRDefault="00A6611C" w:rsidP="00A6611C">
            <w:pPr>
              <w:ind w:left="227" w:hanging="227"/>
              <w:rPr>
                <w:rFonts w:ascii="Calibri" w:hAnsi="Calibri" w:cs="Calibri"/>
                <w:bCs/>
                <w:sz w:val="20"/>
                <w:szCs w:val="20"/>
                <w:lang w:eastAsia="en-AU"/>
              </w:rPr>
            </w:pPr>
            <w:r w:rsidRPr="00A6611C">
              <w:rPr>
                <w:rFonts w:ascii="Calibri" w:hAnsi="Calibri" w:cs="Calibri"/>
                <w:bCs/>
                <w:sz w:val="20"/>
                <w:szCs w:val="20"/>
                <w:lang w:eastAsia="en-AU"/>
              </w:rPr>
              <w:t>Delivering the ICC Twenty20 Cricket World Cup in 2020</w:t>
            </w:r>
          </w:p>
        </w:tc>
        <w:tc>
          <w:tcPr>
            <w:tcW w:w="958" w:type="dxa"/>
            <w:hideMark/>
          </w:tcPr>
          <w:p w14:paraId="4CF9F100"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1,765</w:t>
            </w:r>
          </w:p>
        </w:tc>
        <w:tc>
          <w:tcPr>
            <w:tcW w:w="959" w:type="dxa"/>
            <w:hideMark/>
          </w:tcPr>
          <w:p w14:paraId="2B9F6A23"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0</w:t>
            </w:r>
          </w:p>
        </w:tc>
        <w:tc>
          <w:tcPr>
            <w:tcW w:w="958" w:type="dxa"/>
            <w:hideMark/>
          </w:tcPr>
          <w:p w14:paraId="1DB79217"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0</w:t>
            </w:r>
          </w:p>
        </w:tc>
        <w:tc>
          <w:tcPr>
            <w:tcW w:w="959" w:type="dxa"/>
            <w:hideMark/>
          </w:tcPr>
          <w:p w14:paraId="266C39E0"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0</w:t>
            </w:r>
          </w:p>
        </w:tc>
        <w:tc>
          <w:tcPr>
            <w:tcW w:w="959" w:type="dxa"/>
            <w:hideMark/>
          </w:tcPr>
          <w:p w14:paraId="20F4FEB9"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1,765</w:t>
            </w:r>
          </w:p>
        </w:tc>
      </w:tr>
      <w:tr w:rsidR="00A6611C" w:rsidRPr="00A6611C" w14:paraId="5E18B532" w14:textId="77777777" w:rsidTr="002E5D27">
        <w:trPr>
          <w:cantSplit/>
          <w:trHeight w:val="227"/>
        </w:trPr>
        <w:tc>
          <w:tcPr>
            <w:tcW w:w="4845" w:type="dxa"/>
            <w:hideMark/>
          </w:tcPr>
          <w:p w14:paraId="3E298DEE" w14:textId="77777777" w:rsidR="00A6611C" w:rsidRPr="00A6611C" w:rsidRDefault="00A6611C" w:rsidP="00A6611C">
            <w:pPr>
              <w:ind w:left="227" w:hanging="227"/>
              <w:rPr>
                <w:rFonts w:ascii="Calibri" w:hAnsi="Calibri" w:cs="Calibri"/>
                <w:bCs/>
                <w:sz w:val="20"/>
                <w:szCs w:val="20"/>
                <w:lang w:eastAsia="en-AU"/>
              </w:rPr>
            </w:pPr>
            <w:r w:rsidRPr="00A6611C">
              <w:rPr>
                <w:rFonts w:ascii="Calibri" w:hAnsi="Calibri" w:cs="Calibri"/>
                <w:bCs/>
                <w:sz w:val="20"/>
                <w:szCs w:val="20"/>
                <w:lang w:eastAsia="en-AU"/>
              </w:rPr>
              <w:t>Growing future skills with more apprenticeship and vocational training places</w:t>
            </w:r>
          </w:p>
        </w:tc>
        <w:tc>
          <w:tcPr>
            <w:tcW w:w="958" w:type="dxa"/>
            <w:hideMark/>
          </w:tcPr>
          <w:p w14:paraId="5B36CA30"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500</w:t>
            </w:r>
          </w:p>
        </w:tc>
        <w:tc>
          <w:tcPr>
            <w:tcW w:w="959" w:type="dxa"/>
            <w:hideMark/>
          </w:tcPr>
          <w:p w14:paraId="5FF76E66"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500</w:t>
            </w:r>
          </w:p>
        </w:tc>
        <w:tc>
          <w:tcPr>
            <w:tcW w:w="958" w:type="dxa"/>
            <w:hideMark/>
          </w:tcPr>
          <w:p w14:paraId="32532C87"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500</w:t>
            </w:r>
          </w:p>
        </w:tc>
        <w:tc>
          <w:tcPr>
            <w:tcW w:w="959" w:type="dxa"/>
            <w:hideMark/>
          </w:tcPr>
          <w:p w14:paraId="3BDFF8FB"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0</w:t>
            </w:r>
          </w:p>
        </w:tc>
        <w:tc>
          <w:tcPr>
            <w:tcW w:w="959" w:type="dxa"/>
            <w:hideMark/>
          </w:tcPr>
          <w:p w14:paraId="1A5F8908"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1,500</w:t>
            </w:r>
          </w:p>
        </w:tc>
      </w:tr>
      <w:tr w:rsidR="00A6611C" w:rsidRPr="00A6611C" w14:paraId="576BCB27" w14:textId="77777777" w:rsidTr="002E5D27">
        <w:trPr>
          <w:cantSplit/>
          <w:trHeight w:val="227"/>
        </w:trPr>
        <w:tc>
          <w:tcPr>
            <w:tcW w:w="4845" w:type="dxa"/>
            <w:hideMark/>
          </w:tcPr>
          <w:p w14:paraId="74EC2F54" w14:textId="77777777" w:rsidR="00A6611C" w:rsidRPr="00A6611C" w:rsidRDefault="00A6611C" w:rsidP="00A6611C">
            <w:pPr>
              <w:ind w:left="227" w:hanging="227"/>
              <w:rPr>
                <w:rFonts w:ascii="Calibri" w:hAnsi="Calibri" w:cs="Calibri"/>
                <w:bCs/>
                <w:sz w:val="20"/>
                <w:szCs w:val="20"/>
                <w:lang w:eastAsia="en-AU"/>
              </w:rPr>
            </w:pPr>
            <w:r w:rsidRPr="00A6611C">
              <w:rPr>
                <w:rFonts w:ascii="Calibri" w:hAnsi="Calibri" w:cs="Calibri"/>
                <w:bCs/>
                <w:sz w:val="20"/>
                <w:szCs w:val="20"/>
                <w:lang w:eastAsia="en-AU"/>
              </w:rPr>
              <w:t xml:space="preserve">Improving frontline services through the Safer Families Levy </w:t>
            </w:r>
          </w:p>
        </w:tc>
        <w:tc>
          <w:tcPr>
            <w:tcW w:w="958" w:type="dxa"/>
            <w:hideMark/>
          </w:tcPr>
          <w:p w14:paraId="23E0A680"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0</w:t>
            </w:r>
          </w:p>
        </w:tc>
        <w:tc>
          <w:tcPr>
            <w:tcW w:w="959" w:type="dxa"/>
            <w:hideMark/>
          </w:tcPr>
          <w:p w14:paraId="7C602F13"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-300</w:t>
            </w:r>
          </w:p>
        </w:tc>
        <w:tc>
          <w:tcPr>
            <w:tcW w:w="958" w:type="dxa"/>
            <w:hideMark/>
          </w:tcPr>
          <w:p w14:paraId="10FADD0C"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-308</w:t>
            </w:r>
          </w:p>
        </w:tc>
        <w:tc>
          <w:tcPr>
            <w:tcW w:w="959" w:type="dxa"/>
            <w:hideMark/>
          </w:tcPr>
          <w:p w14:paraId="02FED3A1"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-316</w:t>
            </w:r>
          </w:p>
        </w:tc>
        <w:tc>
          <w:tcPr>
            <w:tcW w:w="959" w:type="dxa"/>
            <w:hideMark/>
          </w:tcPr>
          <w:p w14:paraId="050978CC"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-924</w:t>
            </w:r>
          </w:p>
        </w:tc>
      </w:tr>
      <w:tr w:rsidR="00A6611C" w:rsidRPr="00A6611C" w14:paraId="509B2728" w14:textId="77777777" w:rsidTr="002E5D27">
        <w:trPr>
          <w:cantSplit/>
          <w:trHeight w:val="227"/>
        </w:trPr>
        <w:tc>
          <w:tcPr>
            <w:tcW w:w="4845" w:type="dxa"/>
            <w:hideMark/>
          </w:tcPr>
          <w:p w14:paraId="5D5D8BF8" w14:textId="77777777" w:rsidR="00A6611C" w:rsidRPr="00A6611C" w:rsidRDefault="00A6611C" w:rsidP="00A6611C">
            <w:pPr>
              <w:ind w:left="227" w:hanging="227"/>
              <w:rPr>
                <w:rFonts w:ascii="Calibri" w:hAnsi="Calibri" w:cs="Calibri"/>
                <w:bCs/>
                <w:sz w:val="20"/>
                <w:szCs w:val="20"/>
                <w:lang w:eastAsia="en-AU"/>
              </w:rPr>
            </w:pPr>
            <w:r w:rsidRPr="00A6611C">
              <w:rPr>
                <w:rFonts w:ascii="Calibri" w:hAnsi="Calibri" w:cs="Calibri"/>
                <w:bCs/>
                <w:sz w:val="20"/>
                <w:szCs w:val="20"/>
                <w:lang w:eastAsia="en-AU"/>
              </w:rPr>
              <w:t xml:space="preserve">Improving processing for Working with Vulnerable People checks </w:t>
            </w:r>
            <w:r w:rsidRPr="00A6611C">
              <w:rPr>
                <w:rFonts w:ascii="Calibri" w:hAnsi="Calibri" w:cs="Calibri"/>
                <w:bCs/>
                <w:sz w:val="20"/>
                <w:szCs w:val="20"/>
                <w:vertAlign w:val="superscript"/>
                <w:lang w:eastAsia="en-AU"/>
              </w:rPr>
              <w:t>1</w:t>
            </w:r>
          </w:p>
        </w:tc>
        <w:tc>
          <w:tcPr>
            <w:tcW w:w="958" w:type="dxa"/>
            <w:hideMark/>
          </w:tcPr>
          <w:p w14:paraId="68CFA0D4"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2,032</w:t>
            </w:r>
          </w:p>
        </w:tc>
        <w:tc>
          <w:tcPr>
            <w:tcW w:w="959" w:type="dxa"/>
            <w:hideMark/>
          </w:tcPr>
          <w:p w14:paraId="0059C8E6"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2,126</w:t>
            </w:r>
          </w:p>
        </w:tc>
        <w:tc>
          <w:tcPr>
            <w:tcW w:w="958" w:type="dxa"/>
            <w:hideMark/>
          </w:tcPr>
          <w:p w14:paraId="0F7CD7E7"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2,172</w:t>
            </w:r>
          </w:p>
        </w:tc>
        <w:tc>
          <w:tcPr>
            <w:tcW w:w="959" w:type="dxa"/>
            <w:hideMark/>
          </w:tcPr>
          <w:p w14:paraId="4373832C"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0</w:t>
            </w:r>
          </w:p>
        </w:tc>
        <w:tc>
          <w:tcPr>
            <w:tcW w:w="959" w:type="dxa"/>
            <w:hideMark/>
          </w:tcPr>
          <w:p w14:paraId="417C176A"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6,330</w:t>
            </w:r>
          </w:p>
        </w:tc>
      </w:tr>
      <w:tr w:rsidR="00A6611C" w:rsidRPr="00A6611C" w14:paraId="1E49157C" w14:textId="77777777" w:rsidTr="002E5D27">
        <w:trPr>
          <w:cantSplit/>
          <w:trHeight w:val="227"/>
        </w:trPr>
        <w:tc>
          <w:tcPr>
            <w:tcW w:w="4845" w:type="dxa"/>
            <w:hideMark/>
          </w:tcPr>
          <w:p w14:paraId="6B3A07B7" w14:textId="77777777" w:rsidR="00A6611C" w:rsidRPr="00A6611C" w:rsidRDefault="00A6611C" w:rsidP="00A6611C">
            <w:pPr>
              <w:ind w:left="227" w:hanging="227"/>
              <w:rPr>
                <w:rFonts w:ascii="Calibri" w:hAnsi="Calibri" w:cs="Calibri"/>
                <w:bCs/>
                <w:sz w:val="20"/>
                <w:szCs w:val="20"/>
                <w:vertAlign w:val="superscript"/>
                <w:lang w:eastAsia="en-AU"/>
              </w:rPr>
            </w:pPr>
            <w:r w:rsidRPr="00A6611C">
              <w:rPr>
                <w:rFonts w:ascii="Calibri" w:hAnsi="Calibri" w:cs="Calibri"/>
                <w:bCs/>
                <w:sz w:val="20"/>
                <w:szCs w:val="20"/>
                <w:lang w:eastAsia="en-AU"/>
              </w:rPr>
              <w:t xml:space="preserve">Investing in the </w:t>
            </w:r>
            <w:proofErr w:type="spellStart"/>
            <w:r w:rsidRPr="00A6611C">
              <w:rPr>
                <w:rFonts w:ascii="Calibri" w:hAnsi="Calibri" w:cs="Calibri"/>
                <w:bCs/>
                <w:sz w:val="20"/>
                <w:szCs w:val="20"/>
                <w:lang w:eastAsia="en-AU"/>
              </w:rPr>
              <w:t>CBR</w:t>
            </w:r>
            <w:proofErr w:type="spellEnd"/>
            <w:r w:rsidRPr="00A6611C">
              <w:rPr>
                <w:rFonts w:ascii="Calibri" w:hAnsi="Calibri" w:cs="Calibri"/>
                <w:bCs/>
                <w:sz w:val="20"/>
                <w:szCs w:val="20"/>
                <w:lang w:eastAsia="en-AU"/>
              </w:rPr>
              <w:t xml:space="preserve"> Innovation Network to boost business innovation </w:t>
            </w:r>
          </w:p>
        </w:tc>
        <w:tc>
          <w:tcPr>
            <w:tcW w:w="958" w:type="dxa"/>
            <w:hideMark/>
          </w:tcPr>
          <w:p w14:paraId="2C46DDAF"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1,100</w:t>
            </w:r>
          </w:p>
        </w:tc>
        <w:tc>
          <w:tcPr>
            <w:tcW w:w="959" w:type="dxa"/>
            <w:hideMark/>
          </w:tcPr>
          <w:p w14:paraId="35B35320"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1,100</w:t>
            </w:r>
          </w:p>
        </w:tc>
        <w:tc>
          <w:tcPr>
            <w:tcW w:w="958" w:type="dxa"/>
            <w:hideMark/>
          </w:tcPr>
          <w:p w14:paraId="3B88B037"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1,250</w:t>
            </w:r>
          </w:p>
        </w:tc>
        <w:tc>
          <w:tcPr>
            <w:tcW w:w="959" w:type="dxa"/>
            <w:hideMark/>
          </w:tcPr>
          <w:p w14:paraId="05DD13A9"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1,250</w:t>
            </w:r>
          </w:p>
        </w:tc>
        <w:tc>
          <w:tcPr>
            <w:tcW w:w="959" w:type="dxa"/>
            <w:hideMark/>
          </w:tcPr>
          <w:p w14:paraId="0D480088"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4,700</w:t>
            </w:r>
          </w:p>
        </w:tc>
      </w:tr>
      <w:tr w:rsidR="00A6611C" w:rsidRPr="00A6611C" w14:paraId="12364707" w14:textId="77777777" w:rsidTr="002E5D27">
        <w:trPr>
          <w:cantSplit/>
          <w:trHeight w:val="227"/>
        </w:trPr>
        <w:tc>
          <w:tcPr>
            <w:tcW w:w="4845" w:type="dxa"/>
            <w:hideMark/>
          </w:tcPr>
          <w:p w14:paraId="74C9F2BC" w14:textId="77777777" w:rsidR="00A6611C" w:rsidRPr="00A6611C" w:rsidRDefault="00A6611C" w:rsidP="00A6611C">
            <w:pPr>
              <w:ind w:left="227" w:hanging="227"/>
              <w:rPr>
                <w:rFonts w:ascii="Calibri" w:hAnsi="Calibri" w:cs="Calibri"/>
                <w:bCs/>
                <w:sz w:val="20"/>
                <w:szCs w:val="20"/>
                <w:vertAlign w:val="superscript"/>
                <w:lang w:eastAsia="en-AU"/>
              </w:rPr>
            </w:pPr>
            <w:r w:rsidRPr="00A6611C">
              <w:rPr>
                <w:rFonts w:ascii="Calibri" w:hAnsi="Calibri" w:cs="Calibri"/>
                <w:bCs/>
                <w:sz w:val="20"/>
                <w:szCs w:val="20"/>
                <w:lang w:eastAsia="en-AU"/>
              </w:rPr>
              <w:t xml:space="preserve">Leading the next phase of action towards a zero emissions future - ACT Climate Change Strategy 2019-2025 and Living Infrastructure Plan </w:t>
            </w:r>
            <w:r w:rsidRPr="00A6611C">
              <w:rPr>
                <w:rFonts w:ascii="Calibri" w:hAnsi="Calibri" w:cs="Calibri"/>
                <w:bCs/>
                <w:sz w:val="20"/>
                <w:szCs w:val="20"/>
                <w:vertAlign w:val="superscript"/>
                <w:lang w:eastAsia="en-AU"/>
              </w:rPr>
              <w:t>4</w:t>
            </w:r>
          </w:p>
        </w:tc>
        <w:tc>
          <w:tcPr>
            <w:tcW w:w="958" w:type="dxa"/>
            <w:hideMark/>
          </w:tcPr>
          <w:p w14:paraId="02721B73"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-445</w:t>
            </w:r>
          </w:p>
        </w:tc>
        <w:tc>
          <w:tcPr>
            <w:tcW w:w="959" w:type="dxa"/>
            <w:hideMark/>
          </w:tcPr>
          <w:p w14:paraId="6E93B5B5"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-457</w:t>
            </w:r>
          </w:p>
        </w:tc>
        <w:tc>
          <w:tcPr>
            <w:tcW w:w="958" w:type="dxa"/>
            <w:hideMark/>
          </w:tcPr>
          <w:p w14:paraId="33AEE408"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-468</w:t>
            </w:r>
          </w:p>
        </w:tc>
        <w:tc>
          <w:tcPr>
            <w:tcW w:w="959" w:type="dxa"/>
            <w:hideMark/>
          </w:tcPr>
          <w:p w14:paraId="576EDA73"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-480</w:t>
            </w:r>
          </w:p>
        </w:tc>
        <w:tc>
          <w:tcPr>
            <w:tcW w:w="959" w:type="dxa"/>
            <w:hideMark/>
          </w:tcPr>
          <w:p w14:paraId="52BF5BEC"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-1,850</w:t>
            </w:r>
          </w:p>
        </w:tc>
      </w:tr>
      <w:tr w:rsidR="00A6611C" w:rsidRPr="00A6611C" w14:paraId="2F096201" w14:textId="77777777" w:rsidTr="002E5D27">
        <w:trPr>
          <w:cantSplit/>
          <w:trHeight w:val="227"/>
        </w:trPr>
        <w:tc>
          <w:tcPr>
            <w:tcW w:w="4845" w:type="dxa"/>
            <w:hideMark/>
          </w:tcPr>
          <w:p w14:paraId="474F864C" w14:textId="77777777" w:rsidR="00A6611C" w:rsidRPr="00A6611C" w:rsidRDefault="00A6611C" w:rsidP="00A6611C">
            <w:pPr>
              <w:ind w:left="227" w:hanging="227"/>
              <w:rPr>
                <w:rFonts w:ascii="Calibri" w:hAnsi="Calibri" w:cs="Calibri"/>
                <w:bCs/>
                <w:sz w:val="20"/>
                <w:szCs w:val="20"/>
                <w:lang w:eastAsia="en-AU"/>
              </w:rPr>
            </w:pPr>
            <w:r w:rsidRPr="00A6611C">
              <w:rPr>
                <w:rFonts w:ascii="Calibri" w:hAnsi="Calibri" w:cs="Calibri"/>
                <w:bCs/>
                <w:sz w:val="20"/>
                <w:szCs w:val="20"/>
                <w:lang w:eastAsia="en-AU"/>
              </w:rPr>
              <w:t xml:space="preserve">Maintaining support for disability services in the transition to the full scheme National Disability Insurance Scheme </w:t>
            </w:r>
          </w:p>
        </w:tc>
        <w:tc>
          <w:tcPr>
            <w:tcW w:w="958" w:type="dxa"/>
            <w:hideMark/>
          </w:tcPr>
          <w:p w14:paraId="50DFF8A3"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1,200</w:t>
            </w:r>
          </w:p>
        </w:tc>
        <w:tc>
          <w:tcPr>
            <w:tcW w:w="959" w:type="dxa"/>
            <w:hideMark/>
          </w:tcPr>
          <w:p w14:paraId="3B5255B0"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1,230</w:t>
            </w:r>
          </w:p>
        </w:tc>
        <w:tc>
          <w:tcPr>
            <w:tcW w:w="958" w:type="dxa"/>
            <w:hideMark/>
          </w:tcPr>
          <w:p w14:paraId="60AE1DEC"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1,261</w:t>
            </w:r>
          </w:p>
        </w:tc>
        <w:tc>
          <w:tcPr>
            <w:tcW w:w="959" w:type="dxa"/>
            <w:hideMark/>
          </w:tcPr>
          <w:p w14:paraId="12BED089"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1,292</w:t>
            </w:r>
          </w:p>
        </w:tc>
        <w:tc>
          <w:tcPr>
            <w:tcW w:w="959" w:type="dxa"/>
            <w:hideMark/>
          </w:tcPr>
          <w:p w14:paraId="3D52DD87"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4,983</w:t>
            </w:r>
          </w:p>
        </w:tc>
      </w:tr>
      <w:tr w:rsidR="00A6611C" w:rsidRPr="00A6611C" w14:paraId="5D0BC5B7" w14:textId="77777777" w:rsidTr="002E5D27">
        <w:trPr>
          <w:cantSplit/>
          <w:trHeight w:val="227"/>
        </w:trPr>
        <w:tc>
          <w:tcPr>
            <w:tcW w:w="4845" w:type="dxa"/>
            <w:hideMark/>
          </w:tcPr>
          <w:p w14:paraId="160191AA" w14:textId="77777777" w:rsidR="00A6611C" w:rsidRPr="00A6611C" w:rsidRDefault="00A6611C" w:rsidP="00A6611C">
            <w:pPr>
              <w:ind w:left="227" w:hanging="227"/>
              <w:rPr>
                <w:rFonts w:ascii="Calibri" w:hAnsi="Calibri" w:cs="Calibri"/>
                <w:bCs/>
                <w:sz w:val="20"/>
                <w:szCs w:val="20"/>
                <w:vertAlign w:val="superscript"/>
                <w:lang w:eastAsia="en-AU"/>
              </w:rPr>
            </w:pPr>
            <w:r w:rsidRPr="00A6611C">
              <w:rPr>
                <w:rFonts w:ascii="Calibri" w:hAnsi="Calibri" w:cs="Calibri"/>
                <w:bCs/>
                <w:sz w:val="20"/>
                <w:szCs w:val="20"/>
                <w:lang w:eastAsia="en-AU"/>
              </w:rPr>
              <w:t xml:space="preserve">Making controlled sports safer </w:t>
            </w:r>
            <w:r w:rsidRPr="00A6611C">
              <w:rPr>
                <w:rFonts w:ascii="Calibri" w:hAnsi="Calibri" w:cs="Calibri"/>
                <w:bCs/>
                <w:sz w:val="20"/>
                <w:szCs w:val="20"/>
                <w:vertAlign w:val="superscript"/>
                <w:lang w:eastAsia="en-AU"/>
              </w:rPr>
              <w:t>1</w:t>
            </w:r>
          </w:p>
        </w:tc>
        <w:tc>
          <w:tcPr>
            <w:tcW w:w="958" w:type="dxa"/>
            <w:hideMark/>
          </w:tcPr>
          <w:p w14:paraId="553DDD4E"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160</w:t>
            </w:r>
          </w:p>
        </w:tc>
        <w:tc>
          <w:tcPr>
            <w:tcW w:w="959" w:type="dxa"/>
            <w:hideMark/>
          </w:tcPr>
          <w:p w14:paraId="415FDC2B"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9</w:t>
            </w:r>
          </w:p>
        </w:tc>
        <w:tc>
          <w:tcPr>
            <w:tcW w:w="958" w:type="dxa"/>
            <w:hideMark/>
          </w:tcPr>
          <w:p w14:paraId="158E2781"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9</w:t>
            </w:r>
          </w:p>
        </w:tc>
        <w:tc>
          <w:tcPr>
            <w:tcW w:w="959" w:type="dxa"/>
            <w:hideMark/>
          </w:tcPr>
          <w:p w14:paraId="098E3717"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6</w:t>
            </w:r>
          </w:p>
        </w:tc>
        <w:tc>
          <w:tcPr>
            <w:tcW w:w="959" w:type="dxa"/>
            <w:hideMark/>
          </w:tcPr>
          <w:p w14:paraId="2FE41BD0"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184</w:t>
            </w:r>
          </w:p>
        </w:tc>
      </w:tr>
      <w:tr w:rsidR="00A6611C" w:rsidRPr="00A6611C" w14:paraId="5CF3FDED" w14:textId="77777777" w:rsidTr="002E5D27">
        <w:trPr>
          <w:cantSplit/>
          <w:trHeight w:val="227"/>
        </w:trPr>
        <w:tc>
          <w:tcPr>
            <w:tcW w:w="4845" w:type="dxa"/>
            <w:hideMark/>
          </w:tcPr>
          <w:p w14:paraId="27ACDE71" w14:textId="77777777" w:rsidR="00A6611C" w:rsidRPr="00A6611C" w:rsidRDefault="00A6611C" w:rsidP="00A6611C">
            <w:pPr>
              <w:ind w:left="227" w:hanging="227"/>
              <w:rPr>
                <w:rFonts w:ascii="Calibri" w:hAnsi="Calibri" w:cs="Calibri"/>
                <w:bCs/>
                <w:sz w:val="20"/>
                <w:szCs w:val="20"/>
                <w:lang w:eastAsia="en-AU"/>
              </w:rPr>
            </w:pPr>
            <w:r w:rsidRPr="00A6611C">
              <w:rPr>
                <w:rFonts w:ascii="Calibri" w:hAnsi="Calibri" w:cs="Calibri"/>
                <w:bCs/>
                <w:sz w:val="20"/>
                <w:szCs w:val="20"/>
                <w:lang w:eastAsia="en-AU"/>
              </w:rPr>
              <w:t xml:space="preserve">Matching apprentices and trainees to the right job </w:t>
            </w:r>
          </w:p>
        </w:tc>
        <w:tc>
          <w:tcPr>
            <w:tcW w:w="958" w:type="dxa"/>
            <w:hideMark/>
          </w:tcPr>
          <w:p w14:paraId="2DDE4A2D"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94</w:t>
            </w:r>
          </w:p>
        </w:tc>
        <w:tc>
          <w:tcPr>
            <w:tcW w:w="959" w:type="dxa"/>
            <w:hideMark/>
          </w:tcPr>
          <w:p w14:paraId="43D071DF"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97</w:t>
            </w:r>
          </w:p>
        </w:tc>
        <w:tc>
          <w:tcPr>
            <w:tcW w:w="958" w:type="dxa"/>
            <w:hideMark/>
          </w:tcPr>
          <w:p w14:paraId="2EAD4377"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100</w:t>
            </w:r>
          </w:p>
        </w:tc>
        <w:tc>
          <w:tcPr>
            <w:tcW w:w="959" w:type="dxa"/>
            <w:hideMark/>
          </w:tcPr>
          <w:p w14:paraId="480202B3"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0</w:t>
            </w:r>
          </w:p>
        </w:tc>
        <w:tc>
          <w:tcPr>
            <w:tcW w:w="959" w:type="dxa"/>
            <w:hideMark/>
          </w:tcPr>
          <w:p w14:paraId="102E5809"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291</w:t>
            </w:r>
          </w:p>
        </w:tc>
      </w:tr>
      <w:tr w:rsidR="00A6611C" w:rsidRPr="00A6611C" w14:paraId="0F590A13" w14:textId="77777777" w:rsidTr="002E5D27">
        <w:trPr>
          <w:cantSplit/>
          <w:trHeight w:val="227"/>
        </w:trPr>
        <w:tc>
          <w:tcPr>
            <w:tcW w:w="4845" w:type="dxa"/>
            <w:hideMark/>
          </w:tcPr>
          <w:p w14:paraId="176150D4" w14:textId="77777777" w:rsidR="00A6611C" w:rsidRPr="00A6611C" w:rsidRDefault="00A6611C" w:rsidP="00A6611C">
            <w:pPr>
              <w:ind w:left="227" w:hanging="227"/>
              <w:rPr>
                <w:rFonts w:ascii="Calibri" w:hAnsi="Calibri" w:cs="Calibri"/>
                <w:bCs/>
                <w:sz w:val="20"/>
                <w:szCs w:val="20"/>
                <w:lang w:eastAsia="en-AU"/>
              </w:rPr>
            </w:pPr>
            <w:r w:rsidRPr="00A6611C">
              <w:rPr>
                <w:rFonts w:ascii="Calibri" w:hAnsi="Calibri" w:cs="Calibri"/>
                <w:bCs/>
                <w:sz w:val="20"/>
                <w:szCs w:val="20"/>
                <w:lang w:eastAsia="en-AU"/>
              </w:rPr>
              <w:t xml:space="preserve">Moving delivery of more community services online </w:t>
            </w:r>
            <w:r w:rsidRPr="00A6611C">
              <w:rPr>
                <w:rFonts w:ascii="Calibri" w:hAnsi="Calibri" w:cs="Calibri"/>
                <w:bCs/>
                <w:sz w:val="20"/>
                <w:szCs w:val="20"/>
                <w:vertAlign w:val="superscript"/>
                <w:lang w:eastAsia="en-AU"/>
              </w:rPr>
              <w:t>2</w:t>
            </w:r>
          </w:p>
        </w:tc>
        <w:tc>
          <w:tcPr>
            <w:tcW w:w="958" w:type="dxa"/>
            <w:hideMark/>
          </w:tcPr>
          <w:p w14:paraId="0B66A5CB"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1,697</w:t>
            </w:r>
          </w:p>
        </w:tc>
        <w:tc>
          <w:tcPr>
            <w:tcW w:w="959" w:type="dxa"/>
            <w:hideMark/>
          </w:tcPr>
          <w:p w14:paraId="7BF308E0"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1,850</w:t>
            </w:r>
          </w:p>
        </w:tc>
        <w:tc>
          <w:tcPr>
            <w:tcW w:w="958" w:type="dxa"/>
            <w:hideMark/>
          </w:tcPr>
          <w:p w14:paraId="35A8790E"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2,053</w:t>
            </w:r>
          </w:p>
        </w:tc>
        <w:tc>
          <w:tcPr>
            <w:tcW w:w="959" w:type="dxa"/>
            <w:hideMark/>
          </w:tcPr>
          <w:p w14:paraId="1B38D558"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1,945</w:t>
            </w:r>
          </w:p>
        </w:tc>
        <w:tc>
          <w:tcPr>
            <w:tcW w:w="959" w:type="dxa"/>
            <w:hideMark/>
          </w:tcPr>
          <w:p w14:paraId="6E5D60D7"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7,545</w:t>
            </w:r>
          </w:p>
        </w:tc>
      </w:tr>
      <w:tr w:rsidR="00A6611C" w:rsidRPr="00A6611C" w14:paraId="2044AFBF" w14:textId="77777777" w:rsidTr="002E5D27">
        <w:trPr>
          <w:cantSplit/>
          <w:trHeight w:val="227"/>
        </w:trPr>
        <w:tc>
          <w:tcPr>
            <w:tcW w:w="4845" w:type="dxa"/>
            <w:hideMark/>
          </w:tcPr>
          <w:p w14:paraId="65E43904" w14:textId="77777777" w:rsidR="00A6611C" w:rsidRPr="00A6611C" w:rsidRDefault="00A6611C" w:rsidP="00A6611C">
            <w:pPr>
              <w:ind w:left="227" w:hanging="227"/>
              <w:rPr>
                <w:rFonts w:ascii="Calibri" w:hAnsi="Calibri" w:cs="Calibri"/>
                <w:bCs/>
                <w:sz w:val="20"/>
                <w:szCs w:val="20"/>
                <w:lang w:eastAsia="en-AU"/>
              </w:rPr>
            </w:pPr>
            <w:r w:rsidRPr="00A6611C">
              <w:rPr>
                <w:rFonts w:ascii="Calibri" w:hAnsi="Calibri" w:cs="Calibri"/>
                <w:bCs/>
                <w:sz w:val="20"/>
                <w:szCs w:val="20"/>
                <w:lang w:eastAsia="en-AU"/>
              </w:rPr>
              <w:t xml:space="preserve">Oracle Whole of Government licensing </w:t>
            </w:r>
            <w:r w:rsidRPr="00A6611C">
              <w:rPr>
                <w:rFonts w:ascii="Calibri" w:hAnsi="Calibri" w:cs="Calibri"/>
                <w:bCs/>
                <w:sz w:val="20"/>
                <w:szCs w:val="20"/>
                <w:vertAlign w:val="superscript"/>
                <w:lang w:eastAsia="en-AU"/>
              </w:rPr>
              <w:t>2</w:t>
            </w:r>
          </w:p>
        </w:tc>
        <w:tc>
          <w:tcPr>
            <w:tcW w:w="958" w:type="dxa"/>
            <w:hideMark/>
          </w:tcPr>
          <w:p w14:paraId="7F6C3E8B"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1,110</w:t>
            </w:r>
          </w:p>
        </w:tc>
        <w:tc>
          <w:tcPr>
            <w:tcW w:w="959" w:type="dxa"/>
            <w:hideMark/>
          </w:tcPr>
          <w:p w14:paraId="76A85081"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1,442</w:t>
            </w:r>
          </w:p>
        </w:tc>
        <w:tc>
          <w:tcPr>
            <w:tcW w:w="958" w:type="dxa"/>
            <w:hideMark/>
          </w:tcPr>
          <w:p w14:paraId="3225685D"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940</w:t>
            </w:r>
          </w:p>
        </w:tc>
        <w:tc>
          <w:tcPr>
            <w:tcW w:w="959" w:type="dxa"/>
            <w:hideMark/>
          </w:tcPr>
          <w:p w14:paraId="6021893B"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0</w:t>
            </w:r>
          </w:p>
        </w:tc>
        <w:tc>
          <w:tcPr>
            <w:tcW w:w="959" w:type="dxa"/>
            <w:hideMark/>
          </w:tcPr>
          <w:p w14:paraId="019A8749"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3,492</w:t>
            </w:r>
          </w:p>
        </w:tc>
      </w:tr>
      <w:tr w:rsidR="00A6611C" w:rsidRPr="00A6611C" w14:paraId="7AE7C485" w14:textId="77777777" w:rsidTr="002E5D27">
        <w:trPr>
          <w:cantSplit/>
          <w:trHeight w:val="227"/>
        </w:trPr>
        <w:tc>
          <w:tcPr>
            <w:tcW w:w="4845" w:type="dxa"/>
            <w:hideMark/>
          </w:tcPr>
          <w:p w14:paraId="0616FD05" w14:textId="77777777" w:rsidR="00A6611C" w:rsidRPr="00A6611C" w:rsidRDefault="00A6611C" w:rsidP="00A6611C">
            <w:pPr>
              <w:ind w:left="227" w:hanging="227"/>
              <w:rPr>
                <w:rFonts w:ascii="Calibri" w:hAnsi="Calibri" w:cs="Calibri"/>
                <w:bCs/>
                <w:sz w:val="20"/>
                <w:szCs w:val="20"/>
                <w:vertAlign w:val="superscript"/>
                <w:lang w:eastAsia="en-AU"/>
              </w:rPr>
            </w:pPr>
            <w:r w:rsidRPr="00A6611C">
              <w:rPr>
                <w:rFonts w:ascii="Calibri" w:hAnsi="Calibri" w:cs="Calibri"/>
                <w:bCs/>
                <w:sz w:val="20"/>
                <w:szCs w:val="20"/>
                <w:lang w:eastAsia="en-AU"/>
              </w:rPr>
              <w:t xml:space="preserve">Replacing the Human Resource Information Management System </w:t>
            </w:r>
            <w:r w:rsidRPr="00A6611C">
              <w:rPr>
                <w:rFonts w:ascii="Calibri" w:hAnsi="Calibri" w:cs="Calibri"/>
                <w:bCs/>
                <w:sz w:val="20"/>
                <w:szCs w:val="20"/>
                <w:vertAlign w:val="superscript"/>
                <w:lang w:eastAsia="en-AU"/>
              </w:rPr>
              <w:t>2</w:t>
            </w:r>
          </w:p>
        </w:tc>
        <w:tc>
          <w:tcPr>
            <w:tcW w:w="958" w:type="dxa"/>
            <w:hideMark/>
          </w:tcPr>
          <w:p w14:paraId="3AF5647F"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4,308</w:t>
            </w:r>
          </w:p>
        </w:tc>
        <w:tc>
          <w:tcPr>
            <w:tcW w:w="959" w:type="dxa"/>
            <w:hideMark/>
          </w:tcPr>
          <w:p w14:paraId="731D3CC1"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11,317</w:t>
            </w:r>
          </w:p>
        </w:tc>
        <w:tc>
          <w:tcPr>
            <w:tcW w:w="958" w:type="dxa"/>
            <w:hideMark/>
          </w:tcPr>
          <w:p w14:paraId="43B0ADC0"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4,856</w:t>
            </w:r>
          </w:p>
        </w:tc>
        <w:tc>
          <w:tcPr>
            <w:tcW w:w="959" w:type="dxa"/>
            <w:hideMark/>
          </w:tcPr>
          <w:p w14:paraId="6C067F7B"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1,903</w:t>
            </w:r>
          </w:p>
        </w:tc>
        <w:tc>
          <w:tcPr>
            <w:tcW w:w="959" w:type="dxa"/>
            <w:hideMark/>
          </w:tcPr>
          <w:p w14:paraId="50557EA1"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22,384</w:t>
            </w:r>
          </w:p>
        </w:tc>
      </w:tr>
      <w:tr w:rsidR="00A6611C" w:rsidRPr="00A6611C" w14:paraId="7BCDA3B1" w14:textId="77777777" w:rsidTr="002E5D27">
        <w:trPr>
          <w:cantSplit/>
          <w:trHeight w:val="227"/>
        </w:trPr>
        <w:tc>
          <w:tcPr>
            <w:tcW w:w="4845" w:type="dxa"/>
            <w:hideMark/>
          </w:tcPr>
          <w:p w14:paraId="286B20F2" w14:textId="77777777" w:rsidR="00A6611C" w:rsidRPr="00A6611C" w:rsidRDefault="00A6611C" w:rsidP="00A6611C">
            <w:pPr>
              <w:ind w:left="227" w:hanging="227"/>
              <w:rPr>
                <w:rFonts w:ascii="Calibri" w:hAnsi="Calibri" w:cs="Calibri"/>
                <w:bCs/>
                <w:sz w:val="20"/>
                <w:szCs w:val="20"/>
                <w:vertAlign w:val="superscript"/>
                <w:lang w:eastAsia="en-AU"/>
              </w:rPr>
            </w:pPr>
            <w:r w:rsidRPr="00A6611C">
              <w:rPr>
                <w:rFonts w:ascii="Calibri" w:hAnsi="Calibri" w:cs="Calibri"/>
                <w:bCs/>
                <w:sz w:val="20"/>
                <w:szCs w:val="20"/>
                <w:lang w:eastAsia="en-AU"/>
              </w:rPr>
              <w:t xml:space="preserve">Strengthening fairness in tax collection </w:t>
            </w:r>
            <w:r w:rsidRPr="00A6611C">
              <w:rPr>
                <w:rFonts w:ascii="Calibri" w:hAnsi="Calibri" w:cs="Calibri"/>
                <w:bCs/>
                <w:sz w:val="20"/>
                <w:szCs w:val="20"/>
                <w:vertAlign w:val="superscript"/>
                <w:lang w:eastAsia="en-AU"/>
              </w:rPr>
              <w:t>1</w:t>
            </w:r>
          </w:p>
        </w:tc>
        <w:tc>
          <w:tcPr>
            <w:tcW w:w="958" w:type="dxa"/>
            <w:hideMark/>
          </w:tcPr>
          <w:p w14:paraId="30DBBCDB"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4,000</w:t>
            </w:r>
          </w:p>
        </w:tc>
        <w:tc>
          <w:tcPr>
            <w:tcW w:w="959" w:type="dxa"/>
            <w:hideMark/>
          </w:tcPr>
          <w:p w14:paraId="78E8E855"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4,100</w:t>
            </w:r>
          </w:p>
        </w:tc>
        <w:tc>
          <w:tcPr>
            <w:tcW w:w="958" w:type="dxa"/>
            <w:hideMark/>
          </w:tcPr>
          <w:p w14:paraId="1A260FB9"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4,300</w:t>
            </w:r>
          </w:p>
        </w:tc>
        <w:tc>
          <w:tcPr>
            <w:tcW w:w="959" w:type="dxa"/>
            <w:hideMark/>
          </w:tcPr>
          <w:p w14:paraId="4135F603"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4,400</w:t>
            </w:r>
          </w:p>
        </w:tc>
        <w:tc>
          <w:tcPr>
            <w:tcW w:w="959" w:type="dxa"/>
            <w:hideMark/>
          </w:tcPr>
          <w:p w14:paraId="4E2BA7B5"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16,800</w:t>
            </w:r>
          </w:p>
        </w:tc>
      </w:tr>
      <w:tr w:rsidR="00A6611C" w:rsidRPr="00A6611C" w14:paraId="2E42A104" w14:textId="77777777" w:rsidTr="002E5D27">
        <w:trPr>
          <w:cantSplit/>
          <w:trHeight w:val="227"/>
        </w:trPr>
        <w:tc>
          <w:tcPr>
            <w:tcW w:w="4845" w:type="dxa"/>
            <w:hideMark/>
          </w:tcPr>
          <w:p w14:paraId="1B0DAE72" w14:textId="77777777" w:rsidR="00A6611C" w:rsidRPr="00A6611C" w:rsidRDefault="00A6611C" w:rsidP="00A6611C">
            <w:pPr>
              <w:ind w:left="227" w:hanging="227"/>
              <w:rPr>
                <w:rFonts w:ascii="Calibri" w:hAnsi="Calibri" w:cs="Calibri"/>
                <w:bCs/>
                <w:sz w:val="20"/>
                <w:szCs w:val="20"/>
                <w:lang w:eastAsia="en-AU"/>
              </w:rPr>
            </w:pPr>
            <w:r w:rsidRPr="00A6611C">
              <w:rPr>
                <w:rFonts w:ascii="Calibri" w:hAnsi="Calibri" w:cs="Calibri"/>
                <w:bCs/>
                <w:sz w:val="20"/>
                <w:szCs w:val="20"/>
                <w:lang w:eastAsia="en-AU"/>
              </w:rPr>
              <w:t xml:space="preserve">Strengthening security at </w:t>
            </w:r>
            <w:proofErr w:type="spellStart"/>
            <w:r w:rsidRPr="00A6611C">
              <w:rPr>
                <w:rFonts w:ascii="Calibri" w:hAnsi="Calibri" w:cs="Calibri"/>
                <w:bCs/>
                <w:sz w:val="20"/>
                <w:szCs w:val="20"/>
                <w:lang w:eastAsia="en-AU"/>
              </w:rPr>
              <w:t>GIO</w:t>
            </w:r>
            <w:proofErr w:type="spellEnd"/>
            <w:r w:rsidRPr="00A6611C">
              <w:rPr>
                <w:rFonts w:ascii="Calibri" w:hAnsi="Calibri" w:cs="Calibri"/>
                <w:bCs/>
                <w:sz w:val="20"/>
                <w:szCs w:val="20"/>
                <w:lang w:eastAsia="en-AU"/>
              </w:rPr>
              <w:t xml:space="preserve"> Stadium </w:t>
            </w:r>
            <w:r w:rsidRPr="00A6611C">
              <w:rPr>
                <w:rFonts w:ascii="Calibri" w:hAnsi="Calibri" w:cs="Calibri"/>
                <w:bCs/>
                <w:sz w:val="20"/>
                <w:szCs w:val="20"/>
                <w:vertAlign w:val="superscript"/>
                <w:lang w:eastAsia="en-AU"/>
              </w:rPr>
              <w:t>2</w:t>
            </w:r>
          </w:p>
        </w:tc>
        <w:tc>
          <w:tcPr>
            <w:tcW w:w="958" w:type="dxa"/>
            <w:hideMark/>
          </w:tcPr>
          <w:p w14:paraId="76EA09AD"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50</w:t>
            </w:r>
          </w:p>
        </w:tc>
        <w:tc>
          <w:tcPr>
            <w:tcW w:w="959" w:type="dxa"/>
            <w:hideMark/>
          </w:tcPr>
          <w:p w14:paraId="0B822FE1"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0</w:t>
            </w:r>
          </w:p>
        </w:tc>
        <w:tc>
          <w:tcPr>
            <w:tcW w:w="958" w:type="dxa"/>
            <w:hideMark/>
          </w:tcPr>
          <w:p w14:paraId="1C73924C"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6</w:t>
            </w:r>
          </w:p>
        </w:tc>
        <w:tc>
          <w:tcPr>
            <w:tcW w:w="959" w:type="dxa"/>
            <w:hideMark/>
          </w:tcPr>
          <w:p w14:paraId="18C032FF"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11</w:t>
            </w:r>
          </w:p>
        </w:tc>
        <w:tc>
          <w:tcPr>
            <w:tcW w:w="959" w:type="dxa"/>
            <w:hideMark/>
          </w:tcPr>
          <w:p w14:paraId="20711BC2"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67</w:t>
            </w:r>
          </w:p>
        </w:tc>
      </w:tr>
      <w:tr w:rsidR="00A6611C" w:rsidRPr="00A6611C" w14:paraId="7439720A" w14:textId="77777777" w:rsidTr="002E5D27">
        <w:trPr>
          <w:cantSplit/>
          <w:trHeight w:val="227"/>
        </w:trPr>
        <w:tc>
          <w:tcPr>
            <w:tcW w:w="4845" w:type="dxa"/>
            <w:hideMark/>
          </w:tcPr>
          <w:p w14:paraId="4D27F17E" w14:textId="77777777" w:rsidR="00A6611C" w:rsidRPr="00A6611C" w:rsidRDefault="00A6611C" w:rsidP="00A6611C">
            <w:pPr>
              <w:ind w:left="227" w:hanging="227"/>
              <w:rPr>
                <w:rFonts w:ascii="Calibri" w:hAnsi="Calibri" w:cs="Calibri"/>
                <w:bCs/>
                <w:sz w:val="20"/>
                <w:szCs w:val="20"/>
                <w:vertAlign w:val="superscript"/>
                <w:lang w:eastAsia="en-AU"/>
              </w:rPr>
            </w:pPr>
            <w:r w:rsidRPr="00A6611C">
              <w:rPr>
                <w:rFonts w:ascii="Calibri" w:hAnsi="Calibri" w:cs="Calibri"/>
                <w:bCs/>
                <w:sz w:val="20"/>
                <w:szCs w:val="20"/>
                <w:lang w:eastAsia="en-AU"/>
              </w:rPr>
              <w:t xml:space="preserve">Strengthening the contribution clubs make to our community </w:t>
            </w:r>
            <w:r w:rsidRPr="00A6611C">
              <w:rPr>
                <w:rFonts w:ascii="Calibri" w:hAnsi="Calibri" w:cs="Calibri"/>
                <w:bCs/>
                <w:sz w:val="20"/>
                <w:szCs w:val="20"/>
                <w:vertAlign w:val="superscript"/>
                <w:lang w:eastAsia="en-AU"/>
              </w:rPr>
              <w:t>1, 4</w:t>
            </w:r>
          </w:p>
        </w:tc>
        <w:tc>
          <w:tcPr>
            <w:tcW w:w="958" w:type="dxa"/>
            <w:hideMark/>
          </w:tcPr>
          <w:p w14:paraId="10683CDA"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800</w:t>
            </w:r>
          </w:p>
        </w:tc>
        <w:tc>
          <w:tcPr>
            <w:tcW w:w="959" w:type="dxa"/>
            <w:hideMark/>
          </w:tcPr>
          <w:p w14:paraId="09F33504"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820</w:t>
            </w:r>
          </w:p>
        </w:tc>
        <w:tc>
          <w:tcPr>
            <w:tcW w:w="958" w:type="dxa"/>
            <w:hideMark/>
          </w:tcPr>
          <w:p w14:paraId="5245884F"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840</w:t>
            </w:r>
          </w:p>
        </w:tc>
        <w:tc>
          <w:tcPr>
            <w:tcW w:w="959" w:type="dxa"/>
            <w:hideMark/>
          </w:tcPr>
          <w:p w14:paraId="508B1ED5"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860</w:t>
            </w:r>
          </w:p>
        </w:tc>
        <w:tc>
          <w:tcPr>
            <w:tcW w:w="959" w:type="dxa"/>
            <w:hideMark/>
          </w:tcPr>
          <w:p w14:paraId="042AACF2"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3,320</w:t>
            </w:r>
          </w:p>
        </w:tc>
      </w:tr>
      <w:tr w:rsidR="00A6611C" w:rsidRPr="00A6611C" w14:paraId="0C2857FF" w14:textId="77777777" w:rsidTr="002E5D27">
        <w:trPr>
          <w:cantSplit/>
          <w:trHeight w:val="227"/>
        </w:trPr>
        <w:tc>
          <w:tcPr>
            <w:tcW w:w="4845" w:type="dxa"/>
            <w:hideMark/>
          </w:tcPr>
          <w:p w14:paraId="5AD8D754" w14:textId="77777777" w:rsidR="00A6611C" w:rsidRPr="00A6611C" w:rsidRDefault="00A6611C" w:rsidP="00A6611C">
            <w:pPr>
              <w:ind w:left="227" w:hanging="227"/>
              <w:rPr>
                <w:rFonts w:ascii="Calibri" w:hAnsi="Calibri" w:cs="Calibri"/>
                <w:bCs/>
                <w:sz w:val="20"/>
                <w:szCs w:val="20"/>
                <w:lang w:eastAsia="en-AU"/>
              </w:rPr>
            </w:pPr>
            <w:r w:rsidRPr="00A6611C">
              <w:rPr>
                <w:rFonts w:ascii="Calibri" w:hAnsi="Calibri" w:cs="Calibri"/>
                <w:bCs/>
                <w:sz w:val="20"/>
                <w:szCs w:val="20"/>
                <w:lang w:eastAsia="en-AU"/>
              </w:rPr>
              <w:t>Strengthening transparent government</w:t>
            </w:r>
          </w:p>
        </w:tc>
        <w:tc>
          <w:tcPr>
            <w:tcW w:w="958" w:type="dxa"/>
            <w:hideMark/>
          </w:tcPr>
          <w:p w14:paraId="4BC9885B"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287</w:t>
            </w:r>
          </w:p>
        </w:tc>
        <w:tc>
          <w:tcPr>
            <w:tcW w:w="959" w:type="dxa"/>
            <w:hideMark/>
          </w:tcPr>
          <w:p w14:paraId="0D80F8E8"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295</w:t>
            </w:r>
          </w:p>
        </w:tc>
        <w:tc>
          <w:tcPr>
            <w:tcW w:w="958" w:type="dxa"/>
            <w:hideMark/>
          </w:tcPr>
          <w:p w14:paraId="27D99AB3"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0</w:t>
            </w:r>
          </w:p>
        </w:tc>
        <w:tc>
          <w:tcPr>
            <w:tcW w:w="959" w:type="dxa"/>
            <w:hideMark/>
          </w:tcPr>
          <w:p w14:paraId="62108444"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0</w:t>
            </w:r>
          </w:p>
        </w:tc>
        <w:tc>
          <w:tcPr>
            <w:tcW w:w="959" w:type="dxa"/>
            <w:hideMark/>
          </w:tcPr>
          <w:p w14:paraId="2EAF0A3B"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582</w:t>
            </w:r>
          </w:p>
        </w:tc>
      </w:tr>
      <w:tr w:rsidR="00A6611C" w:rsidRPr="00A6611C" w14:paraId="115158A2" w14:textId="77777777" w:rsidTr="002E5D27">
        <w:trPr>
          <w:cantSplit/>
          <w:trHeight w:val="227"/>
        </w:trPr>
        <w:tc>
          <w:tcPr>
            <w:tcW w:w="4845" w:type="dxa"/>
            <w:hideMark/>
          </w:tcPr>
          <w:p w14:paraId="02C48DF5" w14:textId="77777777" w:rsidR="00A6611C" w:rsidRPr="00A6611C" w:rsidRDefault="00A6611C" w:rsidP="00A6611C">
            <w:pPr>
              <w:ind w:left="227" w:hanging="227"/>
              <w:rPr>
                <w:rFonts w:ascii="Calibri" w:hAnsi="Calibri" w:cs="Calibri"/>
                <w:bCs/>
                <w:sz w:val="20"/>
                <w:szCs w:val="20"/>
                <w:vertAlign w:val="superscript"/>
                <w:lang w:eastAsia="en-AU"/>
              </w:rPr>
            </w:pPr>
            <w:r w:rsidRPr="00A6611C">
              <w:rPr>
                <w:rFonts w:ascii="Calibri" w:hAnsi="Calibri" w:cs="Calibri"/>
                <w:bCs/>
                <w:sz w:val="20"/>
                <w:szCs w:val="20"/>
                <w:lang w:eastAsia="en-AU"/>
              </w:rPr>
              <w:t xml:space="preserve">Stronger compliance to improve building quality </w:t>
            </w:r>
            <w:r w:rsidRPr="00A6611C">
              <w:rPr>
                <w:rFonts w:ascii="Calibri" w:hAnsi="Calibri" w:cs="Calibri"/>
                <w:bCs/>
                <w:sz w:val="20"/>
                <w:szCs w:val="20"/>
                <w:vertAlign w:val="superscript"/>
                <w:lang w:eastAsia="en-AU"/>
              </w:rPr>
              <w:t>1</w:t>
            </w:r>
          </w:p>
        </w:tc>
        <w:tc>
          <w:tcPr>
            <w:tcW w:w="958" w:type="dxa"/>
            <w:hideMark/>
          </w:tcPr>
          <w:p w14:paraId="4986ABF2"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2,152</w:t>
            </w:r>
          </w:p>
        </w:tc>
        <w:tc>
          <w:tcPr>
            <w:tcW w:w="959" w:type="dxa"/>
            <w:hideMark/>
          </w:tcPr>
          <w:p w14:paraId="4E7F48BE"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2,206</w:t>
            </w:r>
          </w:p>
        </w:tc>
        <w:tc>
          <w:tcPr>
            <w:tcW w:w="958" w:type="dxa"/>
            <w:hideMark/>
          </w:tcPr>
          <w:p w14:paraId="04168C1A"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2,261</w:t>
            </w:r>
          </w:p>
        </w:tc>
        <w:tc>
          <w:tcPr>
            <w:tcW w:w="959" w:type="dxa"/>
            <w:hideMark/>
          </w:tcPr>
          <w:p w14:paraId="70096436"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2,327</w:t>
            </w:r>
          </w:p>
        </w:tc>
        <w:tc>
          <w:tcPr>
            <w:tcW w:w="959" w:type="dxa"/>
            <w:hideMark/>
          </w:tcPr>
          <w:p w14:paraId="3356503F"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8,946</w:t>
            </w:r>
          </w:p>
        </w:tc>
      </w:tr>
      <w:tr w:rsidR="00A6611C" w:rsidRPr="00A6611C" w14:paraId="5885F22F" w14:textId="77777777" w:rsidTr="002E5D27">
        <w:trPr>
          <w:cantSplit/>
          <w:trHeight w:val="227"/>
        </w:trPr>
        <w:tc>
          <w:tcPr>
            <w:tcW w:w="4845" w:type="dxa"/>
            <w:hideMark/>
          </w:tcPr>
          <w:p w14:paraId="78C1E6DC" w14:textId="77777777" w:rsidR="00A6611C" w:rsidRPr="00A6611C" w:rsidRDefault="00A6611C" w:rsidP="00A6611C">
            <w:pPr>
              <w:ind w:left="227" w:hanging="227"/>
              <w:rPr>
                <w:rFonts w:ascii="Calibri" w:hAnsi="Calibri" w:cs="Calibri"/>
                <w:bCs/>
                <w:sz w:val="20"/>
                <w:szCs w:val="20"/>
                <w:lang w:eastAsia="en-AU"/>
              </w:rPr>
            </w:pPr>
            <w:r w:rsidRPr="00A6611C">
              <w:rPr>
                <w:rFonts w:ascii="Calibri" w:hAnsi="Calibri" w:cs="Calibri"/>
                <w:bCs/>
                <w:sz w:val="20"/>
                <w:szCs w:val="20"/>
                <w:lang w:eastAsia="en-AU"/>
              </w:rPr>
              <w:t xml:space="preserve">Supporting business and innovation to keep growing our economy </w:t>
            </w:r>
          </w:p>
        </w:tc>
        <w:tc>
          <w:tcPr>
            <w:tcW w:w="958" w:type="dxa"/>
            <w:hideMark/>
          </w:tcPr>
          <w:p w14:paraId="41C285F9"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2,840</w:t>
            </w:r>
          </w:p>
        </w:tc>
        <w:tc>
          <w:tcPr>
            <w:tcW w:w="959" w:type="dxa"/>
            <w:hideMark/>
          </w:tcPr>
          <w:p w14:paraId="5E9A8BA1"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2,932</w:t>
            </w:r>
          </w:p>
        </w:tc>
        <w:tc>
          <w:tcPr>
            <w:tcW w:w="958" w:type="dxa"/>
            <w:hideMark/>
          </w:tcPr>
          <w:p w14:paraId="69EB8816"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3,025</w:t>
            </w:r>
          </w:p>
        </w:tc>
        <w:tc>
          <w:tcPr>
            <w:tcW w:w="959" w:type="dxa"/>
            <w:hideMark/>
          </w:tcPr>
          <w:p w14:paraId="0BD0A3B7"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3,119</w:t>
            </w:r>
          </w:p>
        </w:tc>
        <w:tc>
          <w:tcPr>
            <w:tcW w:w="959" w:type="dxa"/>
            <w:hideMark/>
          </w:tcPr>
          <w:p w14:paraId="5E255049"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11,916</w:t>
            </w:r>
          </w:p>
        </w:tc>
      </w:tr>
      <w:tr w:rsidR="00A6611C" w:rsidRPr="00A6611C" w14:paraId="12C64881" w14:textId="77777777" w:rsidTr="002E5D27">
        <w:trPr>
          <w:cantSplit/>
          <w:trHeight w:val="227"/>
        </w:trPr>
        <w:tc>
          <w:tcPr>
            <w:tcW w:w="4845" w:type="dxa"/>
            <w:hideMark/>
          </w:tcPr>
          <w:p w14:paraId="25A8E3F8" w14:textId="77777777" w:rsidR="00A6611C" w:rsidRPr="00A6611C" w:rsidRDefault="00A6611C" w:rsidP="00A6611C">
            <w:pPr>
              <w:ind w:left="227" w:hanging="227"/>
              <w:rPr>
                <w:rFonts w:ascii="Calibri" w:hAnsi="Calibri" w:cs="Calibri"/>
                <w:bCs/>
                <w:sz w:val="20"/>
                <w:szCs w:val="20"/>
                <w:lang w:eastAsia="en-AU"/>
              </w:rPr>
            </w:pPr>
            <w:r w:rsidRPr="00A6611C">
              <w:rPr>
                <w:rFonts w:ascii="Calibri" w:hAnsi="Calibri" w:cs="Calibri"/>
                <w:bCs/>
                <w:sz w:val="20"/>
                <w:szCs w:val="20"/>
                <w:lang w:eastAsia="en-AU"/>
              </w:rPr>
              <w:t>Supporting local community groups to improve social inclusion and equality</w:t>
            </w:r>
          </w:p>
        </w:tc>
        <w:tc>
          <w:tcPr>
            <w:tcW w:w="958" w:type="dxa"/>
            <w:hideMark/>
          </w:tcPr>
          <w:p w14:paraId="5B3E7456"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150</w:t>
            </w:r>
          </w:p>
        </w:tc>
        <w:tc>
          <w:tcPr>
            <w:tcW w:w="959" w:type="dxa"/>
            <w:hideMark/>
          </w:tcPr>
          <w:p w14:paraId="0601FFE1"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150</w:t>
            </w:r>
          </w:p>
        </w:tc>
        <w:tc>
          <w:tcPr>
            <w:tcW w:w="958" w:type="dxa"/>
            <w:hideMark/>
          </w:tcPr>
          <w:p w14:paraId="15C21F27"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150</w:t>
            </w:r>
          </w:p>
        </w:tc>
        <w:tc>
          <w:tcPr>
            <w:tcW w:w="959" w:type="dxa"/>
            <w:hideMark/>
          </w:tcPr>
          <w:p w14:paraId="5331C86C"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0</w:t>
            </w:r>
          </w:p>
        </w:tc>
        <w:tc>
          <w:tcPr>
            <w:tcW w:w="959" w:type="dxa"/>
            <w:hideMark/>
          </w:tcPr>
          <w:p w14:paraId="37E2CC59"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450</w:t>
            </w:r>
          </w:p>
        </w:tc>
      </w:tr>
      <w:tr w:rsidR="00A6611C" w:rsidRPr="00A6611C" w14:paraId="59B5E7C8" w14:textId="77777777" w:rsidTr="002E5D27">
        <w:trPr>
          <w:cantSplit/>
          <w:trHeight w:val="227"/>
        </w:trPr>
        <w:tc>
          <w:tcPr>
            <w:tcW w:w="4845" w:type="dxa"/>
            <w:tcBorders>
              <w:top w:val="nil"/>
              <w:left w:val="nil"/>
              <w:right w:val="nil"/>
            </w:tcBorders>
            <w:hideMark/>
          </w:tcPr>
          <w:p w14:paraId="5BD82BFE" w14:textId="77777777" w:rsidR="00A6611C" w:rsidRPr="00A6611C" w:rsidRDefault="00A6611C" w:rsidP="00A6611C">
            <w:pPr>
              <w:ind w:left="227" w:hanging="227"/>
              <w:rPr>
                <w:rFonts w:ascii="Calibri" w:hAnsi="Calibri" w:cs="Calibri"/>
                <w:bCs/>
                <w:sz w:val="20"/>
                <w:szCs w:val="20"/>
                <w:lang w:eastAsia="en-AU"/>
              </w:rPr>
            </w:pPr>
            <w:r w:rsidRPr="00A6611C">
              <w:rPr>
                <w:rFonts w:ascii="Calibri" w:hAnsi="Calibri" w:cs="Calibri"/>
                <w:bCs/>
                <w:sz w:val="20"/>
                <w:szCs w:val="20"/>
                <w:lang w:eastAsia="en-AU"/>
              </w:rPr>
              <w:t>Supporting more permanent ACT government jobs</w:t>
            </w:r>
          </w:p>
        </w:tc>
        <w:tc>
          <w:tcPr>
            <w:tcW w:w="958" w:type="dxa"/>
            <w:tcBorders>
              <w:top w:val="nil"/>
              <w:left w:val="nil"/>
              <w:right w:val="nil"/>
            </w:tcBorders>
            <w:hideMark/>
          </w:tcPr>
          <w:p w14:paraId="0F1C92C8"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471</w:t>
            </w:r>
          </w:p>
        </w:tc>
        <w:tc>
          <w:tcPr>
            <w:tcW w:w="959" w:type="dxa"/>
            <w:tcBorders>
              <w:top w:val="nil"/>
              <w:left w:val="nil"/>
              <w:right w:val="nil"/>
            </w:tcBorders>
            <w:hideMark/>
          </w:tcPr>
          <w:p w14:paraId="5637BE86"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0</w:t>
            </w:r>
          </w:p>
        </w:tc>
        <w:tc>
          <w:tcPr>
            <w:tcW w:w="958" w:type="dxa"/>
            <w:tcBorders>
              <w:top w:val="nil"/>
              <w:left w:val="nil"/>
              <w:right w:val="nil"/>
            </w:tcBorders>
            <w:hideMark/>
          </w:tcPr>
          <w:p w14:paraId="3394F98A"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0</w:t>
            </w:r>
          </w:p>
        </w:tc>
        <w:tc>
          <w:tcPr>
            <w:tcW w:w="959" w:type="dxa"/>
            <w:tcBorders>
              <w:top w:val="nil"/>
              <w:left w:val="nil"/>
              <w:right w:val="nil"/>
            </w:tcBorders>
            <w:hideMark/>
          </w:tcPr>
          <w:p w14:paraId="7535FB52"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0</w:t>
            </w:r>
          </w:p>
        </w:tc>
        <w:tc>
          <w:tcPr>
            <w:tcW w:w="959" w:type="dxa"/>
            <w:tcBorders>
              <w:top w:val="nil"/>
              <w:left w:val="nil"/>
              <w:right w:val="nil"/>
            </w:tcBorders>
            <w:hideMark/>
          </w:tcPr>
          <w:p w14:paraId="32F770FA"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471</w:t>
            </w:r>
          </w:p>
        </w:tc>
      </w:tr>
      <w:tr w:rsidR="00A6611C" w:rsidRPr="00A6611C" w14:paraId="5B8489B0" w14:textId="77777777" w:rsidTr="002E5D27">
        <w:trPr>
          <w:cantSplit/>
          <w:trHeight w:val="227"/>
        </w:trPr>
        <w:tc>
          <w:tcPr>
            <w:tcW w:w="4845" w:type="dxa"/>
            <w:tcBorders>
              <w:left w:val="nil"/>
              <w:bottom w:val="nil"/>
              <w:right w:val="nil"/>
            </w:tcBorders>
            <w:hideMark/>
          </w:tcPr>
          <w:p w14:paraId="3289D001" w14:textId="77777777" w:rsidR="00A6611C" w:rsidRPr="00A6611C" w:rsidRDefault="00A6611C" w:rsidP="00A6611C">
            <w:pPr>
              <w:ind w:left="227" w:hanging="227"/>
              <w:rPr>
                <w:rFonts w:ascii="Calibri" w:hAnsi="Calibri" w:cs="Calibri"/>
                <w:bCs/>
                <w:sz w:val="20"/>
                <w:szCs w:val="20"/>
                <w:lang w:eastAsia="en-AU"/>
              </w:rPr>
            </w:pPr>
            <w:r w:rsidRPr="00A6611C">
              <w:rPr>
                <w:rFonts w:ascii="Calibri" w:hAnsi="Calibri" w:cs="Calibri"/>
                <w:bCs/>
                <w:sz w:val="20"/>
                <w:szCs w:val="20"/>
                <w:lang w:eastAsia="en-AU"/>
              </w:rPr>
              <w:t xml:space="preserve">Supporting smarter working in the new ACT Government office projects </w:t>
            </w:r>
            <w:r w:rsidRPr="00A6611C">
              <w:rPr>
                <w:rFonts w:ascii="Calibri" w:hAnsi="Calibri" w:cs="Calibri"/>
                <w:bCs/>
                <w:sz w:val="20"/>
                <w:szCs w:val="20"/>
                <w:vertAlign w:val="superscript"/>
                <w:lang w:eastAsia="en-AU"/>
              </w:rPr>
              <w:t>2, 4</w:t>
            </w:r>
          </w:p>
        </w:tc>
        <w:tc>
          <w:tcPr>
            <w:tcW w:w="958" w:type="dxa"/>
            <w:tcBorders>
              <w:left w:val="nil"/>
              <w:bottom w:val="nil"/>
              <w:right w:val="nil"/>
            </w:tcBorders>
            <w:hideMark/>
          </w:tcPr>
          <w:p w14:paraId="6BFD82DD"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5,842</w:t>
            </w:r>
          </w:p>
        </w:tc>
        <w:tc>
          <w:tcPr>
            <w:tcW w:w="959" w:type="dxa"/>
            <w:tcBorders>
              <w:left w:val="nil"/>
              <w:bottom w:val="nil"/>
              <w:right w:val="nil"/>
            </w:tcBorders>
            <w:hideMark/>
          </w:tcPr>
          <w:p w14:paraId="77924394"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5,629</w:t>
            </w:r>
          </w:p>
        </w:tc>
        <w:tc>
          <w:tcPr>
            <w:tcW w:w="958" w:type="dxa"/>
            <w:tcBorders>
              <w:left w:val="nil"/>
              <w:bottom w:val="nil"/>
              <w:right w:val="nil"/>
            </w:tcBorders>
            <w:hideMark/>
          </w:tcPr>
          <w:p w14:paraId="4137892A"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1,831</w:t>
            </w:r>
          </w:p>
        </w:tc>
        <w:tc>
          <w:tcPr>
            <w:tcW w:w="959" w:type="dxa"/>
            <w:tcBorders>
              <w:left w:val="nil"/>
              <w:bottom w:val="nil"/>
              <w:right w:val="nil"/>
            </w:tcBorders>
            <w:hideMark/>
          </w:tcPr>
          <w:p w14:paraId="0A95E89A"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1,847</w:t>
            </w:r>
          </w:p>
        </w:tc>
        <w:tc>
          <w:tcPr>
            <w:tcW w:w="959" w:type="dxa"/>
            <w:tcBorders>
              <w:left w:val="nil"/>
              <w:bottom w:val="nil"/>
              <w:right w:val="nil"/>
            </w:tcBorders>
            <w:hideMark/>
          </w:tcPr>
          <w:p w14:paraId="34091557"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15,149</w:t>
            </w:r>
          </w:p>
        </w:tc>
      </w:tr>
      <w:tr w:rsidR="00A6611C" w:rsidRPr="00A6611C" w14:paraId="41F78160" w14:textId="77777777" w:rsidTr="002E5D27">
        <w:trPr>
          <w:cantSplit/>
          <w:trHeight w:val="227"/>
        </w:trPr>
        <w:tc>
          <w:tcPr>
            <w:tcW w:w="4845" w:type="dxa"/>
            <w:hideMark/>
          </w:tcPr>
          <w:p w14:paraId="06A31209" w14:textId="77777777" w:rsidR="00A6611C" w:rsidRPr="00A6611C" w:rsidRDefault="00A6611C" w:rsidP="00A6611C">
            <w:pPr>
              <w:ind w:left="227" w:hanging="227"/>
              <w:rPr>
                <w:rFonts w:ascii="Calibri" w:hAnsi="Calibri" w:cs="Calibri"/>
                <w:bCs/>
                <w:sz w:val="20"/>
                <w:szCs w:val="20"/>
                <w:lang w:eastAsia="en-AU"/>
              </w:rPr>
            </w:pPr>
            <w:r w:rsidRPr="00A6611C">
              <w:rPr>
                <w:rFonts w:ascii="Calibri" w:hAnsi="Calibri" w:cs="Calibri"/>
                <w:bCs/>
                <w:sz w:val="20"/>
                <w:szCs w:val="20"/>
                <w:lang w:eastAsia="en-AU"/>
              </w:rPr>
              <w:t>Supporting the Australian Olympic and Paralympic Teams - Tokyo 2020</w:t>
            </w:r>
          </w:p>
        </w:tc>
        <w:tc>
          <w:tcPr>
            <w:tcW w:w="958" w:type="dxa"/>
            <w:hideMark/>
          </w:tcPr>
          <w:p w14:paraId="38F7A8BB"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100</w:t>
            </w:r>
          </w:p>
        </w:tc>
        <w:tc>
          <w:tcPr>
            <w:tcW w:w="959" w:type="dxa"/>
            <w:hideMark/>
          </w:tcPr>
          <w:p w14:paraId="1010D006"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200</w:t>
            </w:r>
          </w:p>
        </w:tc>
        <w:tc>
          <w:tcPr>
            <w:tcW w:w="958" w:type="dxa"/>
            <w:hideMark/>
          </w:tcPr>
          <w:p w14:paraId="70093198"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0</w:t>
            </w:r>
          </w:p>
        </w:tc>
        <w:tc>
          <w:tcPr>
            <w:tcW w:w="959" w:type="dxa"/>
            <w:hideMark/>
          </w:tcPr>
          <w:p w14:paraId="2BC095FF"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0</w:t>
            </w:r>
          </w:p>
        </w:tc>
        <w:tc>
          <w:tcPr>
            <w:tcW w:w="959" w:type="dxa"/>
            <w:hideMark/>
          </w:tcPr>
          <w:p w14:paraId="16472231"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300</w:t>
            </w:r>
          </w:p>
        </w:tc>
      </w:tr>
      <w:tr w:rsidR="00A6611C" w:rsidRPr="00A6611C" w14:paraId="11F2B366" w14:textId="77777777" w:rsidTr="004046B9">
        <w:trPr>
          <w:cantSplit/>
          <w:trHeight w:val="227"/>
        </w:trPr>
        <w:tc>
          <w:tcPr>
            <w:tcW w:w="4845" w:type="dxa"/>
            <w:tcBorders>
              <w:bottom w:val="single" w:sz="4" w:space="0" w:color="auto"/>
            </w:tcBorders>
            <w:hideMark/>
          </w:tcPr>
          <w:p w14:paraId="4F2B15F8" w14:textId="77777777" w:rsidR="00A6611C" w:rsidRPr="00A6611C" w:rsidRDefault="00A6611C" w:rsidP="00A6611C">
            <w:pPr>
              <w:ind w:left="227" w:hanging="227"/>
              <w:rPr>
                <w:rFonts w:ascii="Calibri" w:hAnsi="Calibri" w:cs="Calibri"/>
                <w:bCs/>
                <w:sz w:val="20"/>
                <w:szCs w:val="20"/>
                <w:vertAlign w:val="superscript"/>
                <w:lang w:eastAsia="en-AU"/>
              </w:rPr>
            </w:pPr>
            <w:r w:rsidRPr="00A6611C">
              <w:rPr>
                <w:rFonts w:ascii="Calibri" w:hAnsi="Calibri" w:cs="Calibri"/>
                <w:bCs/>
                <w:sz w:val="20"/>
                <w:szCs w:val="20"/>
                <w:lang w:eastAsia="en-AU"/>
              </w:rPr>
              <w:t xml:space="preserve">Training ACT Government frontline workers to respond to family violence </w:t>
            </w:r>
            <w:r w:rsidRPr="00A6611C">
              <w:rPr>
                <w:rFonts w:ascii="Calibri" w:hAnsi="Calibri" w:cs="Calibri"/>
                <w:bCs/>
                <w:sz w:val="20"/>
                <w:szCs w:val="20"/>
                <w:vertAlign w:val="superscript"/>
                <w:lang w:eastAsia="en-AU"/>
              </w:rPr>
              <w:t>6</w:t>
            </w:r>
          </w:p>
        </w:tc>
        <w:tc>
          <w:tcPr>
            <w:tcW w:w="958" w:type="dxa"/>
            <w:tcBorders>
              <w:bottom w:val="single" w:sz="4" w:space="0" w:color="auto"/>
            </w:tcBorders>
            <w:hideMark/>
          </w:tcPr>
          <w:p w14:paraId="42F6999E"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0</w:t>
            </w:r>
          </w:p>
        </w:tc>
        <w:tc>
          <w:tcPr>
            <w:tcW w:w="959" w:type="dxa"/>
            <w:tcBorders>
              <w:bottom w:val="single" w:sz="4" w:space="0" w:color="auto"/>
            </w:tcBorders>
            <w:hideMark/>
          </w:tcPr>
          <w:p w14:paraId="09702A07"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0</w:t>
            </w:r>
          </w:p>
        </w:tc>
        <w:tc>
          <w:tcPr>
            <w:tcW w:w="958" w:type="dxa"/>
            <w:tcBorders>
              <w:bottom w:val="single" w:sz="4" w:space="0" w:color="auto"/>
            </w:tcBorders>
            <w:hideMark/>
          </w:tcPr>
          <w:p w14:paraId="2F090A0A"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0</w:t>
            </w:r>
          </w:p>
        </w:tc>
        <w:tc>
          <w:tcPr>
            <w:tcW w:w="959" w:type="dxa"/>
            <w:tcBorders>
              <w:bottom w:val="single" w:sz="4" w:space="0" w:color="auto"/>
            </w:tcBorders>
            <w:hideMark/>
          </w:tcPr>
          <w:p w14:paraId="08D2DDA7"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0</w:t>
            </w:r>
          </w:p>
        </w:tc>
        <w:tc>
          <w:tcPr>
            <w:tcW w:w="959" w:type="dxa"/>
            <w:tcBorders>
              <w:bottom w:val="single" w:sz="4" w:space="0" w:color="auto"/>
            </w:tcBorders>
            <w:hideMark/>
          </w:tcPr>
          <w:p w14:paraId="1C8E161A" w14:textId="77777777" w:rsidR="00A6611C" w:rsidRPr="00A6611C" w:rsidRDefault="00A6611C" w:rsidP="00A6611C">
            <w:pPr>
              <w:ind w:left="227" w:hanging="227"/>
              <w:jc w:val="right"/>
              <w:rPr>
                <w:rFonts w:ascii="Calibri" w:hAnsi="Calibri" w:cs="Calibri"/>
                <w:sz w:val="20"/>
                <w:szCs w:val="24"/>
                <w:lang w:val="x-none" w:eastAsia="en-US"/>
              </w:rPr>
            </w:pPr>
            <w:r w:rsidRPr="00A6611C">
              <w:rPr>
                <w:rFonts w:ascii="Calibri" w:hAnsi="Calibri" w:cs="Calibri"/>
                <w:sz w:val="20"/>
                <w:szCs w:val="24"/>
                <w:lang w:val="x-none" w:eastAsia="en-US"/>
              </w:rPr>
              <w:t>0</w:t>
            </w:r>
          </w:p>
        </w:tc>
      </w:tr>
      <w:tr w:rsidR="00A6611C" w:rsidRPr="00A6611C" w14:paraId="5CAE118B" w14:textId="77777777" w:rsidTr="004046B9">
        <w:trPr>
          <w:cantSplit/>
          <w:trHeight w:val="227"/>
        </w:trPr>
        <w:tc>
          <w:tcPr>
            <w:tcW w:w="4845" w:type="dxa"/>
            <w:tcBorders>
              <w:top w:val="single" w:sz="4" w:space="0" w:color="auto"/>
              <w:bottom w:val="single" w:sz="4" w:space="0" w:color="auto"/>
            </w:tcBorders>
            <w:vAlign w:val="bottom"/>
            <w:hideMark/>
          </w:tcPr>
          <w:p w14:paraId="26D8FC44" w14:textId="77777777" w:rsidR="00A6611C" w:rsidRPr="00A6611C" w:rsidRDefault="00A6611C" w:rsidP="00A6611C">
            <w:pPr>
              <w:ind w:left="227" w:hanging="227"/>
              <w:jc w:val="right"/>
              <w:rPr>
                <w:rFonts w:ascii="Calibri" w:hAnsi="Calibri" w:cs="Calibri"/>
                <w:b/>
                <w:sz w:val="20"/>
                <w:szCs w:val="24"/>
                <w:lang w:val="x-none" w:eastAsia="en-US"/>
              </w:rPr>
            </w:pPr>
            <w:r w:rsidRPr="00A6611C">
              <w:rPr>
                <w:rFonts w:ascii="Calibri" w:hAnsi="Calibri" w:cs="Calibri"/>
                <w:b/>
                <w:sz w:val="20"/>
                <w:szCs w:val="24"/>
                <w:lang w:val="x-none" w:eastAsia="en-US"/>
              </w:rPr>
              <w:t>Total</w:t>
            </w:r>
          </w:p>
        </w:tc>
        <w:tc>
          <w:tcPr>
            <w:tcW w:w="958" w:type="dxa"/>
            <w:tcBorders>
              <w:top w:val="single" w:sz="4" w:space="0" w:color="auto"/>
              <w:bottom w:val="single" w:sz="4" w:space="0" w:color="auto"/>
            </w:tcBorders>
            <w:hideMark/>
          </w:tcPr>
          <w:p w14:paraId="6D52769F" w14:textId="77777777" w:rsidR="00A6611C" w:rsidRPr="00A6611C" w:rsidRDefault="00A6611C" w:rsidP="00A6611C">
            <w:pPr>
              <w:ind w:left="227" w:hanging="227"/>
              <w:jc w:val="right"/>
              <w:rPr>
                <w:rFonts w:ascii="Calibri" w:hAnsi="Calibri" w:cs="Calibri"/>
                <w:b/>
                <w:sz w:val="20"/>
                <w:szCs w:val="24"/>
                <w:lang w:val="x-none" w:eastAsia="en-US"/>
              </w:rPr>
            </w:pPr>
            <w:r w:rsidRPr="00A6611C">
              <w:rPr>
                <w:rFonts w:ascii="Calibri" w:hAnsi="Calibri" w:cs="Calibri"/>
                <w:b/>
                <w:sz w:val="20"/>
                <w:szCs w:val="24"/>
                <w:lang w:val="x-none" w:eastAsia="en-US"/>
              </w:rPr>
              <w:t>31,040</w:t>
            </w:r>
          </w:p>
        </w:tc>
        <w:tc>
          <w:tcPr>
            <w:tcW w:w="959" w:type="dxa"/>
            <w:tcBorders>
              <w:top w:val="single" w:sz="4" w:space="0" w:color="auto"/>
              <w:bottom w:val="single" w:sz="4" w:space="0" w:color="auto"/>
            </w:tcBorders>
            <w:hideMark/>
          </w:tcPr>
          <w:p w14:paraId="0F9D9B44" w14:textId="77777777" w:rsidR="00A6611C" w:rsidRPr="00A6611C" w:rsidRDefault="00A6611C" w:rsidP="00A6611C">
            <w:pPr>
              <w:ind w:left="227" w:hanging="227"/>
              <w:jc w:val="right"/>
              <w:rPr>
                <w:rFonts w:ascii="Calibri" w:hAnsi="Calibri" w:cs="Calibri"/>
                <w:b/>
                <w:sz w:val="20"/>
                <w:szCs w:val="24"/>
                <w:lang w:val="x-none" w:eastAsia="en-US"/>
              </w:rPr>
            </w:pPr>
            <w:r w:rsidRPr="00A6611C">
              <w:rPr>
                <w:rFonts w:ascii="Calibri" w:hAnsi="Calibri" w:cs="Calibri"/>
                <w:b/>
                <w:sz w:val="20"/>
                <w:szCs w:val="24"/>
                <w:lang w:val="x-none" w:eastAsia="en-US"/>
              </w:rPr>
              <w:t>35,610</w:t>
            </w:r>
          </w:p>
        </w:tc>
        <w:tc>
          <w:tcPr>
            <w:tcW w:w="958" w:type="dxa"/>
            <w:tcBorders>
              <w:top w:val="single" w:sz="4" w:space="0" w:color="auto"/>
              <w:bottom w:val="single" w:sz="4" w:space="0" w:color="auto"/>
            </w:tcBorders>
            <w:hideMark/>
          </w:tcPr>
          <w:p w14:paraId="2C5A2997" w14:textId="77777777" w:rsidR="00A6611C" w:rsidRPr="00A6611C" w:rsidRDefault="00A6611C" w:rsidP="00A6611C">
            <w:pPr>
              <w:ind w:left="227" w:hanging="227"/>
              <w:jc w:val="right"/>
              <w:rPr>
                <w:rFonts w:ascii="Calibri" w:hAnsi="Calibri" w:cs="Calibri"/>
                <w:b/>
                <w:sz w:val="20"/>
                <w:szCs w:val="24"/>
                <w:lang w:val="x-none" w:eastAsia="en-US"/>
              </w:rPr>
            </w:pPr>
            <w:r w:rsidRPr="00A6611C">
              <w:rPr>
                <w:rFonts w:ascii="Calibri" w:hAnsi="Calibri" w:cs="Calibri"/>
                <w:b/>
                <w:sz w:val="20"/>
                <w:szCs w:val="24"/>
                <w:lang w:val="x-none" w:eastAsia="en-US"/>
              </w:rPr>
              <w:t>25,098</w:t>
            </w:r>
          </w:p>
        </w:tc>
        <w:tc>
          <w:tcPr>
            <w:tcW w:w="959" w:type="dxa"/>
            <w:tcBorders>
              <w:top w:val="single" w:sz="4" w:space="0" w:color="auto"/>
              <w:bottom w:val="single" w:sz="4" w:space="0" w:color="auto"/>
            </w:tcBorders>
            <w:hideMark/>
          </w:tcPr>
          <w:p w14:paraId="19FA4DF0" w14:textId="77777777" w:rsidR="00A6611C" w:rsidRPr="00A6611C" w:rsidRDefault="00A6611C" w:rsidP="00A6611C">
            <w:pPr>
              <w:ind w:left="227" w:hanging="227"/>
              <w:jc w:val="right"/>
              <w:rPr>
                <w:rFonts w:ascii="Calibri" w:hAnsi="Calibri" w:cs="Calibri"/>
                <w:b/>
                <w:sz w:val="20"/>
                <w:szCs w:val="24"/>
                <w:lang w:val="x-none" w:eastAsia="en-US"/>
              </w:rPr>
            </w:pPr>
            <w:r w:rsidRPr="00A6611C">
              <w:rPr>
                <w:rFonts w:ascii="Calibri" w:hAnsi="Calibri" w:cs="Calibri"/>
                <w:b/>
                <w:sz w:val="20"/>
                <w:szCs w:val="24"/>
                <w:lang w:val="x-none" w:eastAsia="en-US"/>
              </w:rPr>
              <w:t>18,793</w:t>
            </w:r>
          </w:p>
        </w:tc>
        <w:tc>
          <w:tcPr>
            <w:tcW w:w="959" w:type="dxa"/>
            <w:tcBorders>
              <w:top w:val="single" w:sz="4" w:space="0" w:color="auto"/>
              <w:bottom w:val="single" w:sz="4" w:space="0" w:color="auto"/>
            </w:tcBorders>
            <w:hideMark/>
          </w:tcPr>
          <w:p w14:paraId="328CBFFD" w14:textId="77777777" w:rsidR="00A6611C" w:rsidRPr="00A6611C" w:rsidRDefault="00A6611C" w:rsidP="00A6611C">
            <w:pPr>
              <w:ind w:left="227" w:hanging="227"/>
              <w:jc w:val="right"/>
              <w:rPr>
                <w:rFonts w:ascii="Calibri" w:hAnsi="Calibri" w:cs="Calibri"/>
                <w:b/>
                <w:sz w:val="20"/>
                <w:szCs w:val="24"/>
                <w:lang w:val="x-none" w:eastAsia="en-US"/>
              </w:rPr>
            </w:pPr>
            <w:r w:rsidRPr="00A6611C">
              <w:rPr>
                <w:rFonts w:ascii="Calibri" w:hAnsi="Calibri" w:cs="Calibri"/>
                <w:b/>
                <w:sz w:val="20"/>
                <w:szCs w:val="24"/>
                <w:lang w:val="x-none" w:eastAsia="en-US"/>
              </w:rPr>
              <w:t>110,541</w:t>
            </w:r>
          </w:p>
        </w:tc>
      </w:tr>
    </w:tbl>
    <w:p w14:paraId="7C3E41F5" w14:textId="77777777" w:rsidR="00A6611C" w:rsidRPr="00A6611C" w:rsidRDefault="00A6611C" w:rsidP="00E9736C">
      <w:pPr>
        <w:pStyle w:val="snapNotesheading"/>
        <w:rPr>
          <w:b w:val="0"/>
        </w:rPr>
      </w:pPr>
      <w:r w:rsidRPr="00A6611C">
        <w:t xml:space="preserve">Notes: </w:t>
      </w:r>
    </w:p>
    <w:p w14:paraId="7B755028" w14:textId="3DEF9444" w:rsidR="00A6611C" w:rsidRPr="00A6611C" w:rsidRDefault="00A6611C" w:rsidP="00E9736C">
      <w:pPr>
        <w:pStyle w:val="snapNotesbody"/>
      </w:pPr>
      <w:r w:rsidRPr="00A6611C">
        <w:t>1.</w:t>
      </w:r>
      <w:r w:rsidR="00E9736C">
        <w:t xml:space="preserve"> </w:t>
      </w:r>
      <w:r w:rsidRPr="00A6611C">
        <w:t>This initiative has a revenue component; this is listed in the summary table in Revenue initiatives (Chapter 3.4).</w:t>
      </w:r>
    </w:p>
    <w:p w14:paraId="5E910DFC" w14:textId="77777777" w:rsidR="00A6611C" w:rsidRPr="00A6611C" w:rsidRDefault="00A6611C" w:rsidP="00E9736C">
      <w:pPr>
        <w:pStyle w:val="snapNotesbody"/>
      </w:pPr>
      <w:r w:rsidRPr="00A6611C">
        <w:t>2. This initiative has a capital component; this component (and depreciation if applicable) is listed in the summary table in Infrastructure and capital initiatives (Chapter 3.3).</w:t>
      </w:r>
    </w:p>
    <w:p w14:paraId="7DD25555" w14:textId="77777777" w:rsidR="00A6611C" w:rsidRPr="00A6611C" w:rsidRDefault="00A6611C" w:rsidP="00E9736C">
      <w:pPr>
        <w:pStyle w:val="snapNotesbody"/>
      </w:pPr>
      <w:r w:rsidRPr="00A6611C">
        <w:t>3. The funding of this initiative is to be absorbed by the agency.</w:t>
      </w:r>
    </w:p>
    <w:p w14:paraId="0920A773" w14:textId="77777777" w:rsidR="00A6611C" w:rsidRPr="00A6611C" w:rsidRDefault="00A6611C" w:rsidP="00E9736C">
      <w:pPr>
        <w:pStyle w:val="snapNotesbody"/>
      </w:pPr>
      <w:r w:rsidRPr="00A6611C">
        <w:t>4. This is a joint initiative, i.e. delivered by more than one agency.</w:t>
      </w:r>
    </w:p>
    <w:p w14:paraId="4832E0B2" w14:textId="5946E351" w:rsidR="00A6611C" w:rsidRPr="00A6611C" w:rsidRDefault="00A6611C" w:rsidP="003B4CAB">
      <w:pPr>
        <w:pStyle w:val="snapNotesbody"/>
      </w:pPr>
      <w:r w:rsidRPr="00A6611C">
        <w:t>6. This initiative forms part of the Safer Families package.</w:t>
      </w:r>
    </w:p>
    <w:p w14:paraId="62E2E35B" w14:textId="77777777" w:rsidR="00A6611C" w:rsidRPr="00A6611C" w:rsidRDefault="00A6611C" w:rsidP="003B4CAB">
      <w:pPr>
        <w:pStyle w:val="snapTabletitle"/>
        <w:rPr>
          <w:b w:val="0"/>
          <w:bCs w:val="0"/>
        </w:rPr>
      </w:pPr>
      <w:r w:rsidRPr="00A6611C">
        <w:t>Table 3.3.2: Infrastructure and capital initiatives</w:t>
      </w:r>
    </w:p>
    <w:tbl>
      <w:tblPr>
        <w:tblW w:w="5000" w:type="pct"/>
        <w:tblLayout w:type="fixed"/>
        <w:tblCellMar>
          <w:left w:w="30" w:type="dxa"/>
          <w:right w:w="30" w:type="dxa"/>
        </w:tblCellMar>
        <w:tblLook w:val="0000" w:firstRow="0" w:lastRow="0" w:firstColumn="0" w:lastColumn="0" w:noHBand="0" w:noVBand="0"/>
      </w:tblPr>
      <w:tblGrid>
        <w:gridCol w:w="4820"/>
        <w:gridCol w:w="1119"/>
        <w:gridCol w:w="926"/>
        <w:gridCol w:w="931"/>
        <w:gridCol w:w="921"/>
        <w:gridCol w:w="921"/>
      </w:tblGrid>
      <w:tr w:rsidR="00A6611C" w:rsidRPr="00A6611C" w14:paraId="486150D4" w14:textId="77777777" w:rsidTr="003B4CAB">
        <w:trPr>
          <w:trHeight w:val="227"/>
          <w:tblHeader/>
        </w:trPr>
        <w:tc>
          <w:tcPr>
            <w:tcW w:w="4820" w:type="dxa"/>
            <w:tcBorders>
              <w:top w:val="single" w:sz="4" w:space="0" w:color="auto"/>
              <w:left w:val="nil"/>
              <w:bottom w:val="single" w:sz="4" w:space="0" w:color="auto"/>
              <w:right w:val="nil"/>
            </w:tcBorders>
            <w:shd w:val="clear" w:color="auto" w:fill="auto"/>
            <w:vAlign w:val="center"/>
          </w:tcPr>
          <w:p w14:paraId="3538F9F8" w14:textId="77777777" w:rsidR="00A6611C" w:rsidRPr="00A6611C" w:rsidRDefault="00A6611C" w:rsidP="00A6611C">
            <w:pPr>
              <w:spacing w:before="200" w:after="200"/>
              <w:rPr>
                <w:rFonts w:ascii="Calibri" w:hAnsi="Calibri"/>
                <w:b/>
                <w:bCs/>
                <w:sz w:val="20"/>
                <w:szCs w:val="20"/>
                <w:lang w:eastAsia="en-AU"/>
              </w:rPr>
            </w:pPr>
            <w:r w:rsidRPr="00A6611C">
              <w:rPr>
                <w:rFonts w:ascii="Calibri" w:hAnsi="Calibri"/>
                <w:b/>
                <w:bCs/>
                <w:sz w:val="20"/>
                <w:szCs w:val="20"/>
                <w:lang w:eastAsia="en-AU"/>
              </w:rPr>
              <w:t>Infrastructure and capital initiatives</w:t>
            </w:r>
          </w:p>
        </w:tc>
        <w:tc>
          <w:tcPr>
            <w:tcW w:w="1119" w:type="dxa"/>
            <w:tcBorders>
              <w:top w:val="single" w:sz="4" w:space="0" w:color="auto"/>
              <w:left w:val="nil"/>
              <w:bottom w:val="single" w:sz="4" w:space="0" w:color="auto"/>
              <w:right w:val="nil"/>
            </w:tcBorders>
            <w:shd w:val="clear" w:color="auto" w:fill="auto"/>
          </w:tcPr>
          <w:p w14:paraId="65DA65C0" w14:textId="77777777" w:rsidR="00A6611C" w:rsidRPr="00A6611C" w:rsidRDefault="00A6611C" w:rsidP="00A6611C">
            <w:pPr>
              <w:jc w:val="right"/>
              <w:rPr>
                <w:rFonts w:ascii="Calibri" w:hAnsi="Calibri"/>
                <w:b/>
                <w:bCs/>
                <w:sz w:val="20"/>
                <w:szCs w:val="20"/>
                <w:lang w:eastAsia="en-US"/>
              </w:rPr>
            </w:pPr>
            <w:r w:rsidRPr="00A6611C">
              <w:rPr>
                <w:rFonts w:ascii="Calibri" w:hAnsi="Calibri"/>
                <w:b/>
                <w:bCs/>
                <w:sz w:val="20"/>
                <w:szCs w:val="20"/>
                <w:lang w:eastAsia="en-US"/>
              </w:rPr>
              <w:t>2019-20</w:t>
            </w:r>
          </w:p>
          <w:p w14:paraId="067E5B9B" w14:textId="77777777" w:rsidR="00A6611C" w:rsidRPr="00A6611C" w:rsidRDefault="00A6611C" w:rsidP="00A6611C">
            <w:pPr>
              <w:jc w:val="right"/>
              <w:rPr>
                <w:rFonts w:ascii="Calibri" w:hAnsi="Calibri"/>
                <w:b/>
                <w:bCs/>
                <w:sz w:val="20"/>
                <w:szCs w:val="20"/>
                <w:lang w:eastAsia="en-US"/>
              </w:rPr>
            </w:pPr>
            <w:r w:rsidRPr="00A6611C">
              <w:rPr>
                <w:rFonts w:ascii="Calibri" w:hAnsi="Calibri"/>
                <w:b/>
                <w:bCs/>
                <w:sz w:val="20"/>
                <w:szCs w:val="20"/>
                <w:lang w:eastAsia="en-US"/>
              </w:rPr>
              <w:t>Estimate</w:t>
            </w:r>
          </w:p>
          <w:p w14:paraId="388D0F84" w14:textId="77777777" w:rsidR="00A6611C" w:rsidRPr="00A6611C" w:rsidRDefault="00A6611C" w:rsidP="00A6611C">
            <w:pPr>
              <w:jc w:val="right"/>
              <w:rPr>
                <w:rFonts w:ascii="Calibri" w:hAnsi="Calibri"/>
                <w:b/>
                <w:bCs/>
                <w:sz w:val="20"/>
                <w:szCs w:val="20"/>
                <w:lang w:eastAsia="en-US"/>
              </w:rPr>
            </w:pPr>
            <w:r w:rsidRPr="00A6611C">
              <w:rPr>
                <w:rFonts w:ascii="Calibri" w:hAnsi="Calibri"/>
                <w:b/>
                <w:bCs/>
                <w:sz w:val="20"/>
                <w:szCs w:val="20"/>
                <w:lang w:eastAsia="en-US"/>
              </w:rPr>
              <w:t>$’000</w:t>
            </w:r>
          </w:p>
        </w:tc>
        <w:tc>
          <w:tcPr>
            <w:tcW w:w="926" w:type="dxa"/>
            <w:tcBorders>
              <w:top w:val="single" w:sz="4" w:space="0" w:color="auto"/>
              <w:left w:val="nil"/>
              <w:bottom w:val="single" w:sz="4" w:space="0" w:color="auto"/>
              <w:right w:val="nil"/>
            </w:tcBorders>
            <w:shd w:val="clear" w:color="auto" w:fill="auto"/>
          </w:tcPr>
          <w:p w14:paraId="16991C5D" w14:textId="77777777" w:rsidR="00A6611C" w:rsidRPr="00A6611C" w:rsidRDefault="00A6611C" w:rsidP="00A6611C">
            <w:pPr>
              <w:jc w:val="right"/>
              <w:rPr>
                <w:rFonts w:ascii="Calibri" w:hAnsi="Calibri"/>
                <w:b/>
                <w:bCs/>
                <w:sz w:val="20"/>
                <w:szCs w:val="20"/>
                <w:lang w:eastAsia="en-US"/>
              </w:rPr>
            </w:pPr>
            <w:r w:rsidRPr="00A6611C">
              <w:rPr>
                <w:rFonts w:ascii="Calibri" w:hAnsi="Calibri"/>
                <w:b/>
                <w:bCs/>
                <w:sz w:val="20"/>
                <w:szCs w:val="20"/>
                <w:lang w:eastAsia="en-US"/>
              </w:rPr>
              <w:t>2020</w:t>
            </w:r>
            <w:r w:rsidRPr="00A6611C">
              <w:rPr>
                <w:rFonts w:ascii="Calibri" w:hAnsi="Calibri"/>
                <w:b/>
                <w:bCs/>
                <w:sz w:val="20"/>
                <w:szCs w:val="20"/>
                <w:lang w:eastAsia="en-US"/>
              </w:rPr>
              <w:noBreakHyphen/>
              <w:t>21</w:t>
            </w:r>
          </w:p>
          <w:p w14:paraId="0AE1D45C" w14:textId="77777777" w:rsidR="00A6611C" w:rsidRPr="00A6611C" w:rsidRDefault="00A6611C" w:rsidP="00A6611C">
            <w:pPr>
              <w:jc w:val="right"/>
              <w:rPr>
                <w:rFonts w:ascii="Calibri" w:hAnsi="Calibri"/>
                <w:b/>
                <w:bCs/>
                <w:sz w:val="20"/>
                <w:szCs w:val="20"/>
                <w:lang w:eastAsia="en-US"/>
              </w:rPr>
            </w:pPr>
            <w:r w:rsidRPr="00A6611C">
              <w:rPr>
                <w:rFonts w:ascii="Calibri" w:hAnsi="Calibri"/>
                <w:b/>
                <w:bCs/>
                <w:sz w:val="20"/>
                <w:szCs w:val="20"/>
                <w:lang w:eastAsia="en-US"/>
              </w:rPr>
              <w:t>Estimate</w:t>
            </w:r>
          </w:p>
          <w:p w14:paraId="149C8638" w14:textId="77777777" w:rsidR="00A6611C" w:rsidRPr="00A6611C" w:rsidRDefault="00A6611C" w:rsidP="00A6611C">
            <w:pPr>
              <w:jc w:val="right"/>
              <w:rPr>
                <w:rFonts w:ascii="Calibri" w:hAnsi="Calibri"/>
                <w:b/>
                <w:bCs/>
                <w:sz w:val="20"/>
                <w:szCs w:val="20"/>
                <w:lang w:eastAsia="en-US"/>
              </w:rPr>
            </w:pPr>
            <w:r w:rsidRPr="00A6611C">
              <w:rPr>
                <w:rFonts w:ascii="Calibri" w:hAnsi="Calibri"/>
                <w:b/>
                <w:bCs/>
                <w:sz w:val="20"/>
                <w:szCs w:val="20"/>
                <w:lang w:eastAsia="en-US"/>
              </w:rPr>
              <w:t>$’000</w:t>
            </w:r>
          </w:p>
        </w:tc>
        <w:tc>
          <w:tcPr>
            <w:tcW w:w="931" w:type="dxa"/>
            <w:tcBorders>
              <w:top w:val="single" w:sz="4" w:space="0" w:color="auto"/>
              <w:left w:val="nil"/>
              <w:bottom w:val="single" w:sz="4" w:space="0" w:color="auto"/>
              <w:right w:val="nil"/>
            </w:tcBorders>
            <w:shd w:val="clear" w:color="auto" w:fill="auto"/>
          </w:tcPr>
          <w:p w14:paraId="53D5E00B" w14:textId="77777777" w:rsidR="00A6611C" w:rsidRPr="00A6611C" w:rsidRDefault="00A6611C" w:rsidP="00A6611C">
            <w:pPr>
              <w:jc w:val="right"/>
              <w:rPr>
                <w:rFonts w:ascii="Calibri" w:hAnsi="Calibri"/>
                <w:b/>
                <w:bCs/>
                <w:sz w:val="20"/>
                <w:szCs w:val="20"/>
                <w:lang w:eastAsia="en-US"/>
              </w:rPr>
            </w:pPr>
            <w:r w:rsidRPr="00A6611C">
              <w:rPr>
                <w:rFonts w:ascii="Calibri" w:hAnsi="Calibri"/>
                <w:b/>
                <w:bCs/>
                <w:sz w:val="20"/>
                <w:szCs w:val="20"/>
                <w:lang w:eastAsia="en-US"/>
              </w:rPr>
              <w:t>2021-22</w:t>
            </w:r>
          </w:p>
          <w:p w14:paraId="4F00EDB2" w14:textId="77777777" w:rsidR="00A6611C" w:rsidRPr="00A6611C" w:rsidRDefault="00A6611C" w:rsidP="00A6611C">
            <w:pPr>
              <w:jc w:val="right"/>
              <w:rPr>
                <w:rFonts w:ascii="Calibri" w:hAnsi="Calibri"/>
                <w:b/>
                <w:bCs/>
                <w:sz w:val="20"/>
                <w:szCs w:val="20"/>
                <w:lang w:eastAsia="en-US"/>
              </w:rPr>
            </w:pPr>
            <w:r w:rsidRPr="00A6611C">
              <w:rPr>
                <w:rFonts w:ascii="Calibri" w:hAnsi="Calibri"/>
                <w:b/>
                <w:bCs/>
                <w:sz w:val="20"/>
                <w:szCs w:val="20"/>
                <w:lang w:eastAsia="en-US"/>
              </w:rPr>
              <w:t>Estimate</w:t>
            </w:r>
          </w:p>
          <w:p w14:paraId="71ABAE7C" w14:textId="77777777" w:rsidR="00A6611C" w:rsidRPr="00A6611C" w:rsidRDefault="00A6611C" w:rsidP="00A6611C">
            <w:pPr>
              <w:jc w:val="right"/>
              <w:rPr>
                <w:rFonts w:ascii="Calibri" w:hAnsi="Calibri"/>
                <w:b/>
                <w:bCs/>
                <w:sz w:val="20"/>
                <w:szCs w:val="20"/>
                <w:lang w:eastAsia="en-US"/>
              </w:rPr>
            </w:pPr>
            <w:r w:rsidRPr="00A6611C">
              <w:rPr>
                <w:rFonts w:ascii="Calibri" w:hAnsi="Calibri"/>
                <w:b/>
                <w:bCs/>
                <w:sz w:val="20"/>
                <w:szCs w:val="20"/>
                <w:lang w:eastAsia="en-US"/>
              </w:rPr>
              <w:t>$’000</w:t>
            </w:r>
          </w:p>
        </w:tc>
        <w:tc>
          <w:tcPr>
            <w:tcW w:w="921" w:type="dxa"/>
            <w:tcBorders>
              <w:top w:val="single" w:sz="4" w:space="0" w:color="auto"/>
              <w:left w:val="nil"/>
              <w:bottom w:val="single" w:sz="4" w:space="0" w:color="auto"/>
              <w:right w:val="nil"/>
            </w:tcBorders>
          </w:tcPr>
          <w:p w14:paraId="6251CFAB" w14:textId="77777777" w:rsidR="00A6611C" w:rsidRPr="00A6611C" w:rsidRDefault="00A6611C" w:rsidP="00A6611C">
            <w:pPr>
              <w:jc w:val="right"/>
              <w:rPr>
                <w:rFonts w:ascii="Calibri" w:hAnsi="Calibri"/>
                <w:b/>
                <w:bCs/>
                <w:sz w:val="20"/>
                <w:szCs w:val="20"/>
                <w:lang w:eastAsia="en-US"/>
              </w:rPr>
            </w:pPr>
            <w:r w:rsidRPr="00A6611C">
              <w:rPr>
                <w:rFonts w:ascii="Calibri" w:hAnsi="Calibri"/>
                <w:b/>
                <w:bCs/>
                <w:sz w:val="20"/>
                <w:szCs w:val="20"/>
                <w:lang w:eastAsia="en-US"/>
              </w:rPr>
              <w:t>2022-23</w:t>
            </w:r>
          </w:p>
          <w:p w14:paraId="7798C070" w14:textId="77777777" w:rsidR="00A6611C" w:rsidRPr="00A6611C" w:rsidRDefault="00A6611C" w:rsidP="00A6611C">
            <w:pPr>
              <w:jc w:val="right"/>
              <w:rPr>
                <w:rFonts w:ascii="Calibri" w:hAnsi="Calibri"/>
                <w:b/>
                <w:bCs/>
                <w:sz w:val="20"/>
                <w:szCs w:val="20"/>
                <w:lang w:eastAsia="en-US"/>
              </w:rPr>
            </w:pPr>
            <w:r w:rsidRPr="00A6611C">
              <w:rPr>
                <w:rFonts w:ascii="Calibri" w:hAnsi="Calibri"/>
                <w:b/>
                <w:bCs/>
                <w:sz w:val="20"/>
                <w:szCs w:val="20"/>
                <w:lang w:eastAsia="en-US"/>
              </w:rPr>
              <w:t>Estimate</w:t>
            </w:r>
          </w:p>
          <w:p w14:paraId="3A1B896A" w14:textId="77777777" w:rsidR="00A6611C" w:rsidRPr="00A6611C" w:rsidRDefault="00A6611C" w:rsidP="00A6611C">
            <w:pPr>
              <w:jc w:val="right"/>
              <w:rPr>
                <w:rFonts w:ascii="Calibri" w:hAnsi="Calibri"/>
                <w:b/>
                <w:bCs/>
                <w:sz w:val="20"/>
                <w:szCs w:val="20"/>
                <w:lang w:eastAsia="en-US"/>
              </w:rPr>
            </w:pPr>
            <w:r w:rsidRPr="00A6611C">
              <w:rPr>
                <w:rFonts w:ascii="Calibri" w:hAnsi="Calibri"/>
                <w:b/>
                <w:bCs/>
                <w:sz w:val="20"/>
                <w:szCs w:val="20"/>
                <w:lang w:eastAsia="en-US"/>
              </w:rPr>
              <w:t>$’000</w:t>
            </w:r>
          </w:p>
        </w:tc>
        <w:tc>
          <w:tcPr>
            <w:tcW w:w="921" w:type="dxa"/>
            <w:tcBorders>
              <w:top w:val="single" w:sz="4" w:space="0" w:color="auto"/>
              <w:left w:val="nil"/>
              <w:bottom w:val="single" w:sz="4" w:space="0" w:color="auto"/>
              <w:right w:val="nil"/>
            </w:tcBorders>
          </w:tcPr>
          <w:p w14:paraId="4D7383BE" w14:textId="77777777" w:rsidR="00A6611C" w:rsidRPr="00A6611C" w:rsidRDefault="00A6611C" w:rsidP="00A6611C">
            <w:pPr>
              <w:jc w:val="right"/>
              <w:rPr>
                <w:rFonts w:ascii="Calibri" w:hAnsi="Calibri"/>
                <w:b/>
                <w:bCs/>
                <w:sz w:val="20"/>
                <w:szCs w:val="20"/>
                <w:lang w:eastAsia="en-US"/>
              </w:rPr>
            </w:pPr>
            <w:r w:rsidRPr="00A6611C">
              <w:rPr>
                <w:rFonts w:ascii="Calibri" w:hAnsi="Calibri"/>
                <w:b/>
                <w:bCs/>
                <w:sz w:val="20"/>
                <w:szCs w:val="20"/>
                <w:lang w:eastAsia="en-US"/>
              </w:rPr>
              <w:t xml:space="preserve">Total </w:t>
            </w:r>
          </w:p>
          <w:p w14:paraId="639200DD" w14:textId="77777777" w:rsidR="00A6611C" w:rsidRPr="00A6611C" w:rsidRDefault="00A6611C" w:rsidP="00A6611C">
            <w:pPr>
              <w:jc w:val="right"/>
              <w:rPr>
                <w:rFonts w:ascii="Calibri" w:hAnsi="Calibri"/>
                <w:b/>
                <w:bCs/>
                <w:sz w:val="20"/>
                <w:szCs w:val="20"/>
                <w:lang w:eastAsia="en-US"/>
              </w:rPr>
            </w:pPr>
          </w:p>
          <w:p w14:paraId="73380D40" w14:textId="77777777" w:rsidR="00A6611C" w:rsidRPr="00A6611C" w:rsidRDefault="00A6611C" w:rsidP="00A6611C">
            <w:pPr>
              <w:jc w:val="right"/>
              <w:rPr>
                <w:rFonts w:ascii="Calibri" w:hAnsi="Calibri"/>
                <w:b/>
                <w:bCs/>
                <w:sz w:val="20"/>
                <w:szCs w:val="20"/>
                <w:lang w:eastAsia="en-US"/>
              </w:rPr>
            </w:pPr>
            <w:r w:rsidRPr="00A6611C">
              <w:rPr>
                <w:rFonts w:ascii="Calibri" w:hAnsi="Calibri"/>
                <w:b/>
                <w:bCs/>
                <w:sz w:val="20"/>
                <w:szCs w:val="20"/>
                <w:lang w:eastAsia="en-US"/>
              </w:rPr>
              <w:t>$’000</w:t>
            </w:r>
          </w:p>
        </w:tc>
      </w:tr>
      <w:tr w:rsidR="00A6611C" w:rsidRPr="00A6611C" w14:paraId="1A5A43BE" w14:textId="77777777" w:rsidTr="003B4CAB">
        <w:trPr>
          <w:trHeight w:val="227"/>
        </w:trPr>
        <w:tc>
          <w:tcPr>
            <w:tcW w:w="4820" w:type="dxa"/>
            <w:tcBorders>
              <w:top w:val="single" w:sz="4" w:space="0" w:color="auto"/>
              <w:left w:val="nil"/>
              <w:bottom w:val="nil"/>
              <w:right w:val="nil"/>
            </w:tcBorders>
          </w:tcPr>
          <w:p w14:paraId="5866A32A" w14:textId="77777777" w:rsidR="00A6611C" w:rsidRPr="00A6611C" w:rsidRDefault="00A6611C" w:rsidP="00A6611C">
            <w:pPr>
              <w:ind w:left="227" w:hanging="227"/>
              <w:rPr>
                <w:rFonts w:ascii="Calibri" w:hAnsi="Calibri"/>
                <w:b/>
                <w:bCs/>
                <w:sz w:val="20"/>
                <w:szCs w:val="20"/>
                <w:lang w:val="x-none" w:eastAsia="en-US"/>
              </w:rPr>
            </w:pPr>
          </w:p>
        </w:tc>
        <w:tc>
          <w:tcPr>
            <w:tcW w:w="1119" w:type="dxa"/>
            <w:tcBorders>
              <w:top w:val="single" w:sz="4" w:space="0" w:color="auto"/>
              <w:left w:val="nil"/>
              <w:bottom w:val="nil"/>
              <w:right w:val="nil"/>
            </w:tcBorders>
          </w:tcPr>
          <w:p w14:paraId="748E6D67" w14:textId="77777777" w:rsidR="00A6611C" w:rsidRPr="00A6611C" w:rsidRDefault="00A6611C" w:rsidP="00A6611C">
            <w:pPr>
              <w:jc w:val="right"/>
              <w:rPr>
                <w:rFonts w:ascii="Calibri" w:hAnsi="Calibri" w:cs="Calibri"/>
                <w:color w:val="FFFFFF"/>
                <w:sz w:val="12"/>
                <w:szCs w:val="20"/>
                <w:lang w:eastAsia="en-US"/>
              </w:rPr>
            </w:pPr>
          </w:p>
        </w:tc>
        <w:tc>
          <w:tcPr>
            <w:tcW w:w="926" w:type="dxa"/>
            <w:tcBorders>
              <w:top w:val="single" w:sz="4" w:space="0" w:color="auto"/>
              <w:left w:val="nil"/>
              <w:bottom w:val="nil"/>
              <w:right w:val="nil"/>
            </w:tcBorders>
          </w:tcPr>
          <w:p w14:paraId="1707FEE2" w14:textId="77777777" w:rsidR="00A6611C" w:rsidRPr="00A6611C" w:rsidRDefault="00A6611C" w:rsidP="00A6611C">
            <w:pPr>
              <w:jc w:val="right"/>
              <w:rPr>
                <w:rFonts w:ascii="Calibri" w:hAnsi="Calibri" w:cs="Calibri"/>
                <w:color w:val="FFFFFF"/>
                <w:sz w:val="12"/>
                <w:szCs w:val="20"/>
                <w:lang w:eastAsia="en-US"/>
              </w:rPr>
            </w:pPr>
          </w:p>
        </w:tc>
        <w:tc>
          <w:tcPr>
            <w:tcW w:w="931" w:type="dxa"/>
            <w:tcBorders>
              <w:top w:val="single" w:sz="4" w:space="0" w:color="auto"/>
              <w:left w:val="nil"/>
              <w:bottom w:val="nil"/>
              <w:right w:val="nil"/>
            </w:tcBorders>
          </w:tcPr>
          <w:p w14:paraId="28C9DE53" w14:textId="77777777" w:rsidR="00A6611C" w:rsidRPr="00A6611C" w:rsidRDefault="00A6611C" w:rsidP="00A6611C">
            <w:pPr>
              <w:jc w:val="right"/>
              <w:rPr>
                <w:rFonts w:ascii="Calibri" w:hAnsi="Calibri" w:cs="Calibri"/>
                <w:color w:val="FFFFFF"/>
                <w:sz w:val="12"/>
                <w:szCs w:val="20"/>
                <w:lang w:eastAsia="en-US"/>
              </w:rPr>
            </w:pPr>
          </w:p>
        </w:tc>
        <w:tc>
          <w:tcPr>
            <w:tcW w:w="921" w:type="dxa"/>
            <w:tcBorders>
              <w:top w:val="single" w:sz="4" w:space="0" w:color="auto"/>
              <w:left w:val="nil"/>
              <w:bottom w:val="nil"/>
              <w:right w:val="nil"/>
            </w:tcBorders>
          </w:tcPr>
          <w:p w14:paraId="6362CECC" w14:textId="77777777" w:rsidR="00A6611C" w:rsidRPr="00A6611C" w:rsidRDefault="00A6611C" w:rsidP="00A6611C">
            <w:pPr>
              <w:jc w:val="right"/>
              <w:rPr>
                <w:rFonts w:ascii="Calibri" w:hAnsi="Calibri" w:cs="Calibri"/>
                <w:color w:val="FFFFFF"/>
                <w:sz w:val="12"/>
                <w:szCs w:val="20"/>
                <w:lang w:eastAsia="en-US"/>
              </w:rPr>
            </w:pPr>
          </w:p>
        </w:tc>
        <w:tc>
          <w:tcPr>
            <w:tcW w:w="921" w:type="dxa"/>
            <w:tcBorders>
              <w:top w:val="single" w:sz="4" w:space="0" w:color="auto"/>
              <w:left w:val="nil"/>
              <w:bottom w:val="nil"/>
              <w:right w:val="nil"/>
            </w:tcBorders>
          </w:tcPr>
          <w:p w14:paraId="60A44E3C" w14:textId="77777777" w:rsidR="00A6611C" w:rsidRPr="00A6611C" w:rsidRDefault="00A6611C" w:rsidP="00A6611C">
            <w:pPr>
              <w:jc w:val="right"/>
              <w:rPr>
                <w:rFonts w:ascii="Calibri" w:hAnsi="Calibri" w:cs="Calibri"/>
                <w:color w:val="FFFFFF"/>
                <w:sz w:val="12"/>
                <w:szCs w:val="20"/>
                <w:lang w:eastAsia="en-US"/>
              </w:rPr>
            </w:pPr>
          </w:p>
        </w:tc>
      </w:tr>
      <w:tr w:rsidR="00A6611C" w:rsidRPr="00A6611C" w14:paraId="5BE0E399" w14:textId="77777777" w:rsidTr="003B4CAB">
        <w:trPr>
          <w:trHeight w:val="227"/>
        </w:trPr>
        <w:tc>
          <w:tcPr>
            <w:tcW w:w="8717" w:type="dxa"/>
            <w:gridSpan w:val="5"/>
            <w:tcBorders>
              <w:left w:val="nil"/>
              <w:bottom w:val="nil"/>
              <w:right w:val="nil"/>
            </w:tcBorders>
          </w:tcPr>
          <w:p w14:paraId="13E591BD" w14:textId="77777777" w:rsidR="00A6611C" w:rsidRPr="00A6611C" w:rsidRDefault="00A6611C" w:rsidP="00A6611C">
            <w:pPr>
              <w:ind w:left="227" w:hanging="227"/>
              <w:rPr>
                <w:rFonts w:ascii="Calibri" w:hAnsi="Calibri"/>
                <w:b/>
                <w:sz w:val="20"/>
                <w:szCs w:val="20"/>
                <w:lang w:eastAsia="en-AU"/>
              </w:rPr>
            </w:pPr>
            <w:r w:rsidRPr="00A6611C">
              <w:rPr>
                <w:rFonts w:ascii="Calibri" w:hAnsi="Calibri"/>
                <w:b/>
                <w:sz w:val="20"/>
                <w:szCs w:val="20"/>
                <w:lang w:eastAsia="en-AU"/>
              </w:rPr>
              <w:t>Chief Minister, Treasury and Economic Development Directorate</w:t>
            </w:r>
          </w:p>
        </w:tc>
        <w:tc>
          <w:tcPr>
            <w:tcW w:w="921" w:type="dxa"/>
            <w:tcBorders>
              <w:left w:val="nil"/>
              <w:bottom w:val="nil"/>
              <w:right w:val="nil"/>
            </w:tcBorders>
          </w:tcPr>
          <w:p w14:paraId="6914BE99" w14:textId="77777777" w:rsidR="00A6611C" w:rsidRPr="00A6611C" w:rsidRDefault="00A6611C" w:rsidP="00A6611C">
            <w:pPr>
              <w:ind w:left="227" w:hanging="227"/>
              <w:jc w:val="right"/>
              <w:rPr>
                <w:rFonts w:ascii="Calibri" w:hAnsi="Calibri"/>
                <w:b/>
                <w:sz w:val="20"/>
                <w:szCs w:val="20"/>
                <w:lang w:eastAsia="en-AU"/>
              </w:rPr>
            </w:pPr>
          </w:p>
        </w:tc>
      </w:tr>
      <w:tr w:rsidR="00A6611C" w:rsidRPr="00A6611C" w14:paraId="7D2BB664" w14:textId="77777777" w:rsidTr="003B4CAB">
        <w:trPr>
          <w:trHeight w:val="227"/>
        </w:trPr>
        <w:tc>
          <w:tcPr>
            <w:tcW w:w="4820" w:type="dxa"/>
          </w:tcPr>
          <w:p w14:paraId="5D8853A0" w14:textId="77777777" w:rsidR="00A6611C" w:rsidRPr="00A6611C" w:rsidRDefault="00A6611C" w:rsidP="00A6611C">
            <w:pPr>
              <w:rPr>
                <w:rFonts w:ascii="Calibri" w:hAnsi="Calibri"/>
                <w:bCs/>
                <w:color w:val="000000"/>
                <w:sz w:val="20"/>
                <w:szCs w:val="20"/>
                <w:vertAlign w:val="superscript"/>
                <w:lang w:eastAsia="en-US"/>
              </w:rPr>
            </w:pPr>
            <w:r w:rsidRPr="00A6611C">
              <w:rPr>
                <w:rFonts w:ascii="Calibri" w:hAnsi="Calibri"/>
                <w:bCs/>
                <w:color w:val="000000"/>
                <w:sz w:val="20"/>
                <w:szCs w:val="20"/>
                <w:lang w:val="x-none" w:eastAsia="en-US"/>
              </w:rPr>
              <w:t>Better online services through Access Canberra</w:t>
            </w:r>
            <w:r w:rsidRPr="00A6611C">
              <w:rPr>
                <w:rFonts w:ascii="Calibri" w:hAnsi="Calibri"/>
                <w:bCs/>
                <w:color w:val="000000"/>
                <w:sz w:val="20"/>
                <w:szCs w:val="20"/>
                <w:lang w:eastAsia="en-US"/>
              </w:rPr>
              <w:t xml:space="preserve"> </w:t>
            </w:r>
            <w:r w:rsidRPr="00A6611C">
              <w:rPr>
                <w:rFonts w:ascii="Calibri" w:hAnsi="Calibri"/>
                <w:bCs/>
                <w:color w:val="000000"/>
                <w:sz w:val="20"/>
                <w:szCs w:val="20"/>
                <w:vertAlign w:val="superscript"/>
                <w:lang w:eastAsia="en-US"/>
              </w:rPr>
              <w:t>2</w:t>
            </w:r>
          </w:p>
        </w:tc>
        <w:tc>
          <w:tcPr>
            <w:tcW w:w="1119" w:type="dxa"/>
          </w:tcPr>
          <w:p w14:paraId="51FD024E"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500</w:t>
            </w:r>
          </w:p>
        </w:tc>
        <w:tc>
          <w:tcPr>
            <w:tcW w:w="926" w:type="dxa"/>
          </w:tcPr>
          <w:p w14:paraId="724E5ABA"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500</w:t>
            </w:r>
          </w:p>
        </w:tc>
        <w:tc>
          <w:tcPr>
            <w:tcW w:w="931" w:type="dxa"/>
          </w:tcPr>
          <w:p w14:paraId="42FB7D18"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0</w:t>
            </w:r>
          </w:p>
        </w:tc>
        <w:tc>
          <w:tcPr>
            <w:tcW w:w="921" w:type="dxa"/>
          </w:tcPr>
          <w:p w14:paraId="44FACE5F"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0</w:t>
            </w:r>
          </w:p>
        </w:tc>
        <w:tc>
          <w:tcPr>
            <w:tcW w:w="921" w:type="dxa"/>
          </w:tcPr>
          <w:p w14:paraId="64CBE561"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1,000</w:t>
            </w:r>
          </w:p>
        </w:tc>
      </w:tr>
      <w:tr w:rsidR="00A6611C" w:rsidRPr="00A6611C" w14:paraId="1FD97E3D" w14:textId="77777777" w:rsidTr="003B4CAB">
        <w:trPr>
          <w:trHeight w:val="227"/>
        </w:trPr>
        <w:tc>
          <w:tcPr>
            <w:tcW w:w="4820" w:type="dxa"/>
            <w:tcBorders>
              <w:left w:val="nil"/>
              <w:bottom w:val="nil"/>
              <w:right w:val="nil"/>
            </w:tcBorders>
          </w:tcPr>
          <w:p w14:paraId="110119B6" w14:textId="77777777" w:rsidR="00A6611C" w:rsidRPr="00A6611C" w:rsidRDefault="00A6611C" w:rsidP="00A6611C">
            <w:pPr>
              <w:rPr>
                <w:rFonts w:ascii="Calibri" w:hAnsi="Calibri"/>
                <w:bCs/>
                <w:color w:val="000000"/>
                <w:sz w:val="20"/>
                <w:szCs w:val="20"/>
                <w:vertAlign w:val="superscript"/>
                <w:lang w:eastAsia="en-US"/>
              </w:rPr>
            </w:pPr>
            <w:r w:rsidRPr="00A6611C">
              <w:rPr>
                <w:rFonts w:ascii="Calibri" w:hAnsi="Calibri"/>
                <w:bCs/>
                <w:color w:val="000000"/>
                <w:sz w:val="20"/>
                <w:szCs w:val="20"/>
                <w:lang w:val="x-none" w:eastAsia="en-US"/>
              </w:rPr>
              <w:t>Delivering the Home of Football at Throsby</w:t>
            </w:r>
            <w:r w:rsidRPr="00A6611C">
              <w:rPr>
                <w:rFonts w:ascii="Calibri" w:hAnsi="Calibri"/>
                <w:bCs/>
                <w:color w:val="000000"/>
                <w:sz w:val="20"/>
                <w:szCs w:val="20"/>
                <w:lang w:eastAsia="en-US"/>
              </w:rPr>
              <w:t xml:space="preserve"> </w:t>
            </w:r>
            <w:r w:rsidRPr="00A6611C">
              <w:rPr>
                <w:rFonts w:ascii="Calibri" w:hAnsi="Calibri"/>
                <w:bCs/>
                <w:color w:val="000000"/>
                <w:sz w:val="20"/>
                <w:szCs w:val="20"/>
                <w:vertAlign w:val="superscript"/>
                <w:lang w:eastAsia="en-US"/>
              </w:rPr>
              <w:t>2</w:t>
            </w:r>
          </w:p>
        </w:tc>
        <w:tc>
          <w:tcPr>
            <w:tcW w:w="1119" w:type="dxa"/>
            <w:tcBorders>
              <w:left w:val="nil"/>
              <w:bottom w:val="nil"/>
              <w:right w:val="nil"/>
            </w:tcBorders>
          </w:tcPr>
          <w:p w14:paraId="7244067F"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750</w:t>
            </w:r>
          </w:p>
        </w:tc>
        <w:tc>
          <w:tcPr>
            <w:tcW w:w="926" w:type="dxa"/>
            <w:tcBorders>
              <w:left w:val="nil"/>
              <w:bottom w:val="nil"/>
              <w:right w:val="nil"/>
            </w:tcBorders>
          </w:tcPr>
          <w:p w14:paraId="36BA3CDC"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10,000</w:t>
            </w:r>
          </w:p>
        </w:tc>
        <w:tc>
          <w:tcPr>
            <w:tcW w:w="931" w:type="dxa"/>
            <w:tcBorders>
              <w:left w:val="nil"/>
              <w:bottom w:val="nil"/>
              <w:right w:val="nil"/>
            </w:tcBorders>
          </w:tcPr>
          <w:p w14:paraId="21BD8E2E"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9,250</w:t>
            </w:r>
          </w:p>
        </w:tc>
        <w:tc>
          <w:tcPr>
            <w:tcW w:w="921" w:type="dxa"/>
            <w:tcBorders>
              <w:left w:val="nil"/>
              <w:bottom w:val="nil"/>
              <w:right w:val="nil"/>
            </w:tcBorders>
          </w:tcPr>
          <w:p w14:paraId="00042E6A"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0</w:t>
            </w:r>
          </w:p>
        </w:tc>
        <w:tc>
          <w:tcPr>
            <w:tcW w:w="921" w:type="dxa"/>
            <w:tcBorders>
              <w:left w:val="nil"/>
              <w:bottom w:val="nil"/>
              <w:right w:val="nil"/>
            </w:tcBorders>
          </w:tcPr>
          <w:p w14:paraId="3B7558B9"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20,000</w:t>
            </w:r>
          </w:p>
        </w:tc>
      </w:tr>
      <w:tr w:rsidR="00A6611C" w:rsidRPr="00A6611C" w14:paraId="5FD87B7B" w14:textId="77777777" w:rsidTr="003B4CAB">
        <w:trPr>
          <w:trHeight w:val="227"/>
        </w:trPr>
        <w:tc>
          <w:tcPr>
            <w:tcW w:w="4820" w:type="dxa"/>
            <w:tcBorders>
              <w:left w:val="nil"/>
              <w:bottom w:val="nil"/>
              <w:right w:val="nil"/>
            </w:tcBorders>
          </w:tcPr>
          <w:p w14:paraId="75CCA101" w14:textId="77777777" w:rsidR="00A6611C" w:rsidRPr="00A6611C" w:rsidRDefault="00A6611C" w:rsidP="00A6611C">
            <w:pPr>
              <w:rPr>
                <w:rFonts w:ascii="Calibri" w:hAnsi="Calibri"/>
                <w:bCs/>
                <w:color w:val="000000"/>
                <w:sz w:val="20"/>
                <w:szCs w:val="20"/>
                <w:lang w:val="x-none" w:eastAsia="en-US"/>
              </w:rPr>
            </w:pPr>
            <w:r w:rsidRPr="00A6611C">
              <w:rPr>
                <w:rFonts w:ascii="Calibri" w:hAnsi="Calibri"/>
                <w:bCs/>
                <w:color w:val="000000"/>
                <w:sz w:val="20"/>
                <w:szCs w:val="20"/>
                <w:lang w:val="x-none" w:eastAsia="en-US"/>
              </w:rPr>
              <w:t>Improving major venues</w:t>
            </w:r>
          </w:p>
        </w:tc>
        <w:tc>
          <w:tcPr>
            <w:tcW w:w="1119" w:type="dxa"/>
            <w:tcBorders>
              <w:left w:val="nil"/>
              <w:bottom w:val="nil"/>
              <w:right w:val="nil"/>
            </w:tcBorders>
          </w:tcPr>
          <w:p w14:paraId="4649A211"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1,766</w:t>
            </w:r>
          </w:p>
        </w:tc>
        <w:tc>
          <w:tcPr>
            <w:tcW w:w="926" w:type="dxa"/>
            <w:tcBorders>
              <w:left w:val="nil"/>
              <w:bottom w:val="nil"/>
              <w:right w:val="nil"/>
            </w:tcBorders>
          </w:tcPr>
          <w:p w14:paraId="11DB4603"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0</w:t>
            </w:r>
          </w:p>
        </w:tc>
        <w:tc>
          <w:tcPr>
            <w:tcW w:w="931" w:type="dxa"/>
            <w:tcBorders>
              <w:left w:val="nil"/>
              <w:bottom w:val="nil"/>
              <w:right w:val="nil"/>
            </w:tcBorders>
          </w:tcPr>
          <w:p w14:paraId="2419A0C8"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0</w:t>
            </w:r>
          </w:p>
        </w:tc>
        <w:tc>
          <w:tcPr>
            <w:tcW w:w="921" w:type="dxa"/>
            <w:tcBorders>
              <w:left w:val="nil"/>
              <w:bottom w:val="nil"/>
              <w:right w:val="nil"/>
            </w:tcBorders>
          </w:tcPr>
          <w:p w14:paraId="0639DB45"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0</w:t>
            </w:r>
          </w:p>
        </w:tc>
        <w:tc>
          <w:tcPr>
            <w:tcW w:w="921" w:type="dxa"/>
            <w:tcBorders>
              <w:left w:val="nil"/>
              <w:bottom w:val="nil"/>
              <w:right w:val="nil"/>
            </w:tcBorders>
          </w:tcPr>
          <w:p w14:paraId="749DABE6"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1,766</w:t>
            </w:r>
          </w:p>
        </w:tc>
      </w:tr>
      <w:tr w:rsidR="00A6611C" w:rsidRPr="00A6611C" w14:paraId="47C3B61A" w14:textId="77777777" w:rsidTr="003B4CAB">
        <w:trPr>
          <w:trHeight w:val="227"/>
        </w:trPr>
        <w:tc>
          <w:tcPr>
            <w:tcW w:w="4820" w:type="dxa"/>
            <w:tcBorders>
              <w:left w:val="nil"/>
              <w:bottom w:val="nil"/>
              <w:right w:val="nil"/>
            </w:tcBorders>
          </w:tcPr>
          <w:p w14:paraId="0F06114D" w14:textId="77777777" w:rsidR="00A6611C" w:rsidRPr="00A6611C" w:rsidRDefault="00A6611C" w:rsidP="00A6611C">
            <w:pPr>
              <w:rPr>
                <w:rFonts w:ascii="Calibri" w:hAnsi="Calibri"/>
                <w:color w:val="000000"/>
                <w:sz w:val="20"/>
                <w:szCs w:val="20"/>
                <w:lang w:eastAsia="en-AU"/>
              </w:rPr>
            </w:pPr>
            <w:r w:rsidRPr="00A6611C">
              <w:rPr>
                <w:rFonts w:ascii="Calibri" w:hAnsi="Calibri"/>
                <w:color w:val="000000"/>
                <w:sz w:val="20"/>
                <w:szCs w:val="20"/>
                <w:lang w:eastAsia="en-US"/>
              </w:rPr>
              <w:t>More facilities for Stromlo Forest Park</w:t>
            </w:r>
          </w:p>
        </w:tc>
        <w:tc>
          <w:tcPr>
            <w:tcW w:w="1119" w:type="dxa"/>
            <w:tcBorders>
              <w:left w:val="nil"/>
              <w:bottom w:val="nil"/>
              <w:right w:val="nil"/>
            </w:tcBorders>
          </w:tcPr>
          <w:p w14:paraId="76D274DC"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200</w:t>
            </w:r>
          </w:p>
        </w:tc>
        <w:tc>
          <w:tcPr>
            <w:tcW w:w="926" w:type="dxa"/>
            <w:tcBorders>
              <w:left w:val="nil"/>
              <w:bottom w:val="nil"/>
              <w:right w:val="nil"/>
            </w:tcBorders>
          </w:tcPr>
          <w:p w14:paraId="02DA1D7A"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0</w:t>
            </w:r>
          </w:p>
        </w:tc>
        <w:tc>
          <w:tcPr>
            <w:tcW w:w="931" w:type="dxa"/>
            <w:tcBorders>
              <w:left w:val="nil"/>
              <w:bottom w:val="nil"/>
              <w:right w:val="nil"/>
            </w:tcBorders>
          </w:tcPr>
          <w:p w14:paraId="04A9870C"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0</w:t>
            </w:r>
          </w:p>
        </w:tc>
        <w:tc>
          <w:tcPr>
            <w:tcW w:w="921" w:type="dxa"/>
            <w:tcBorders>
              <w:left w:val="nil"/>
              <w:bottom w:val="nil"/>
              <w:right w:val="nil"/>
            </w:tcBorders>
          </w:tcPr>
          <w:p w14:paraId="76AE93E7"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0</w:t>
            </w:r>
          </w:p>
        </w:tc>
        <w:tc>
          <w:tcPr>
            <w:tcW w:w="921" w:type="dxa"/>
            <w:tcBorders>
              <w:left w:val="nil"/>
              <w:bottom w:val="nil"/>
              <w:right w:val="nil"/>
            </w:tcBorders>
          </w:tcPr>
          <w:p w14:paraId="226CECC3"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200</w:t>
            </w:r>
          </w:p>
        </w:tc>
      </w:tr>
      <w:tr w:rsidR="00A6611C" w:rsidRPr="00A6611C" w14:paraId="20FB8EBD" w14:textId="77777777" w:rsidTr="003B4CAB">
        <w:trPr>
          <w:trHeight w:val="227"/>
        </w:trPr>
        <w:tc>
          <w:tcPr>
            <w:tcW w:w="4820" w:type="dxa"/>
            <w:tcBorders>
              <w:left w:val="nil"/>
              <w:bottom w:val="nil"/>
              <w:right w:val="nil"/>
            </w:tcBorders>
          </w:tcPr>
          <w:p w14:paraId="3A2DE54D" w14:textId="77777777" w:rsidR="00A6611C" w:rsidRPr="00A6611C" w:rsidRDefault="00A6611C" w:rsidP="00A6611C">
            <w:pPr>
              <w:rPr>
                <w:rFonts w:ascii="Calibri" w:hAnsi="Calibri"/>
                <w:color w:val="000000"/>
                <w:sz w:val="20"/>
                <w:szCs w:val="20"/>
                <w:lang w:eastAsia="en-US"/>
              </w:rPr>
            </w:pPr>
            <w:r w:rsidRPr="00A6611C">
              <w:rPr>
                <w:rFonts w:ascii="Calibri" w:hAnsi="Calibri"/>
                <w:color w:val="000000"/>
                <w:sz w:val="20"/>
                <w:szCs w:val="20"/>
                <w:lang w:eastAsia="en-US"/>
              </w:rPr>
              <w:t>Revitalising heritage buildings</w:t>
            </w:r>
          </w:p>
        </w:tc>
        <w:tc>
          <w:tcPr>
            <w:tcW w:w="1119" w:type="dxa"/>
            <w:tcBorders>
              <w:left w:val="nil"/>
              <w:bottom w:val="nil"/>
              <w:right w:val="nil"/>
            </w:tcBorders>
          </w:tcPr>
          <w:p w14:paraId="0DC29D5B"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425</w:t>
            </w:r>
          </w:p>
        </w:tc>
        <w:tc>
          <w:tcPr>
            <w:tcW w:w="926" w:type="dxa"/>
            <w:tcBorders>
              <w:left w:val="nil"/>
              <w:bottom w:val="nil"/>
              <w:right w:val="nil"/>
            </w:tcBorders>
          </w:tcPr>
          <w:p w14:paraId="7E1B727D"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0</w:t>
            </w:r>
          </w:p>
        </w:tc>
        <w:tc>
          <w:tcPr>
            <w:tcW w:w="931" w:type="dxa"/>
            <w:tcBorders>
              <w:left w:val="nil"/>
              <w:bottom w:val="nil"/>
              <w:right w:val="nil"/>
            </w:tcBorders>
          </w:tcPr>
          <w:p w14:paraId="7E041BB8"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0</w:t>
            </w:r>
          </w:p>
        </w:tc>
        <w:tc>
          <w:tcPr>
            <w:tcW w:w="921" w:type="dxa"/>
            <w:tcBorders>
              <w:left w:val="nil"/>
              <w:bottom w:val="nil"/>
              <w:right w:val="nil"/>
            </w:tcBorders>
          </w:tcPr>
          <w:p w14:paraId="7EA85AD9"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0</w:t>
            </w:r>
          </w:p>
        </w:tc>
        <w:tc>
          <w:tcPr>
            <w:tcW w:w="921" w:type="dxa"/>
            <w:tcBorders>
              <w:left w:val="nil"/>
              <w:bottom w:val="nil"/>
              <w:right w:val="nil"/>
            </w:tcBorders>
          </w:tcPr>
          <w:p w14:paraId="1BB24486"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425</w:t>
            </w:r>
          </w:p>
        </w:tc>
      </w:tr>
      <w:tr w:rsidR="00A6611C" w:rsidRPr="00A6611C" w14:paraId="63B21C7C" w14:textId="77777777" w:rsidTr="003B4CAB">
        <w:trPr>
          <w:trHeight w:val="227"/>
        </w:trPr>
        <w:tc>
          <w:tcPr>
            <w:tcW w:w="4820" w:type="dxa"/>
            <w:tcBorders>
              <w:left w:val="nil"/>
              <w:bottom w:val="nil"/>
              <w:right w:val="nil"/>
            </w:tcBorders>
            <w:shd w:val="clear" w:color="auto" w:fill="auto"/>
          </w:tcPr>
          <w:p w14:paraId="6D9FBC21" w14:textId="77777777" w:rsidR="00A6611C" w:rsidRPr="00A6611C" w:rsidRDefault="00A6611C" w:rsidP="00A6611C">
            <w:pPr>
              <w:rPr>
                <w:rFonts w:ascii="Calibri" w:hAnsi="Calibri"/>
                <w:i/>
                <w:szCs w:val="20"/>
                <w:vertAlign w:val="superscript"/>
                <w:lang w:eastAsia="en-US"/>
              </w:rPr>
            </w:pPr>
            <w:r w:rsidRPr="00A6611C">
              <w:rPr>
                <w:rFonts w:ascii="Calibri" w:hAnsi="Calibri"/>
                <w:color w:val="000000"/>
                <w:sz w:val="20"/>
                <w:szCs w:val="20"/>
                <w:lang w:eastAsia="en-US"/>
              </w:rPr>
              <w:t xml:space="preserve">Strengthening security at </w:t>
            </w:r>
            <w:proofErr w:type="spellStart"/>
            <w:r w:rsidRPr="00A6611C">
              <w:rPr>
                <w:rFonts w:ascii="Calibri" w:hAnsi="Calibri"/>
                <w:color w:val="000000"/>
                <w:sz w:val="20"/>
                <w:szCs w:val="20"/>
                <w:lang w:eastAsia="en-US"/>
              </w:rPr>
              <w:t>GIO</w:t>
            </w:r>
            <w:proofErr w:type="spellEnd"/>
            <w:r w:rsidRPr="00A6611C">
              <w:rPr>
                <w:rFonts w:ascii="Calibri" w:hAnsi="Calibri"/>
                <w:color w:val="000000"/>
                <w:sz w:val="20"/>
                <w:szCs w:val="20"/>
                <w:lang w:eastAsia="en-US"/>
              </w:rPr>
              <w:t xml:space="preserve"> Stadium </w:t>
            </w:r>
            <w:r w:rsidRPr="00A6611C">
              <w:rPr>
                <w:rFonts w:ascii="Calibri" w:hAnsi="Calibri"/>
                <w:color w:val="000000"/>
                <w:sz w:val="20"/>
                <w:szCs w:val="20"/>
                <w:vertAlign w:val="superscript"/>
                <w:lang w:eastAsia="en-US"/>
              </w:rPr>
              <w:t>2</w:t>
            </w:r>
          </w:p>
        </w:tc>
        <w:tc>
          <w:tcPr>
            <w:tcW w:w="1119" w:type="dxa"/>
            <w:tcBorders>
              <w:left w:val="nil"/>
              <w:bottom w:val="nil"/>
              <w:right w:val="nil"/>
            </w:tcBorders>
          </w:tcPr>
          <w:p w14:paraId="2401252B"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440</w:t>
            </w:r>
          </w:p>
        </w:tc>
        <w:tc>
          <w:tcPr>
            <w:tcW w:w="926" w:type="dxa"/>
            <w:tcBorders>
              <w:left w:val="nil"/>
              <w:bottom w:val="nil"/>
              <w:right w:val="nil"/>
            </w:tcBorders>
          </w:tcPr>
          <w:p w14:paraId="5AFB9ABE"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0</w:t>
            </w:r>
          </w:p>
        </w:tc>
        <w:tc>
          <w:tcPr>
            <w:tcW w:w="931" w:type="dxa"/>
            <w:tcBorders>
              <w:left w:val="nil"/>
              <w:bottom w:val="nil"/>
              <w:right w:val="nil"/>
            </w:tcBorders>
          </w:tcPr>
          <w:p w14:paraId="016C46BD"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0</w:t>
            </w:r>
          </w:p>
        </w:tc>
        <w:tc>
          <w:tcPr>
            <w:tcW w:w="921" w:type="dxa"/>
            <w:tcBorders>
              <w:left w:val="nil"/>
              <w:bottom w:val="nil"/>
              <w:right w:val="nil"/>
            </w:tcBorders>
          </w:tcPr>
          <w:p w14:paraId="31E280BA"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0</w:t>
            </w:r>
          </w:p>
        </w:tc>
        <w:tc>
          <w:tcPr>
            <w:tcW w:w="921" w:type="dxa"/>
            <w:tcBorders>
              <w:left w:val="nil"/>
              <w:bottom w:val="nil"/>
              <w:right w:val="nil"/>
            </w:tcBorders>
          </w:tcPr>
          <w:p w14:paraId="59711EA9"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440</w:t>
            </w:r>
          </w:p>
        </w:tc>
      </w:tr>
      <w:tr w:rsidR="00A6611C" w:rsidRPr="00A6611C" w14:paraId="69159168" w14:textId="77777777" w:rsidTr="003B4CAB">
        <w:trPr>
          <w:trHeight w:val="227"/>
        </w:trPr>
        <w:tc>
          <w:tcPr>
            <w:tcW w:w="4820" w:type="dxa"/>
            <w:tcBorders>
              <w:left w:val="nil"/>
              <w:bottom w:val="nil"/>
              <w:right w:val="nil"/>
            </w:tcBorders>
          </w:tcPr>
          <w:p w14:paraId="42FBB689" w14:textId="77777777" w:rsidR="00A6611C" w:rsidRPr="00A6611C" w:rsidRDefault="00A6611C" w:rsidP="00A6611C">
            <w:pPr>
              <w:rPr>
                <w:rFonts w:ascii="Calibri" w:hAnsi="Calibri"/>
                <w:color w:val="000000"/>
                <w:sz w:val="20"/>
                <w:szCs w:val="20"/>
                <w:lang w:eastAsia="en-US"/>
              </w:rPr>
            </w:pPr>
            <w:r w:rsidRPr="00A6611C">
              <w:rPr>
                <w:rFonts w:ascii="Calibri" w:hAnsi="Calibri"/>
                <w:color w:val="000000"/>
                <w:sz w:val="20"/>
                <w:szCs w:val="20"/>
                <w:lang w:eastAsia="en-US"/>
              </w:rPr>
              <w:t xml:space="preserve">Upgrading community childcare centres </w:t>
            </w:r>
          </w:p>
        </w:tc>
        <w:tc>
          <w:tcPr>
            <w:tcW w:w="1119" w:type="dxa"/>
            <w:tcBorders>
              <w:left w:val="nil"/>
              <w:bottom w:val="nil"/>
              <w:right w:val="nil"/>
            </w:tcBorders>
          </w:tcPr>
          <w:p w14:paraId="4D96786A"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494</w:t>
            </w:r>
          </w:p>
        </w:tc>
        <w:tc>
          <w:tcPr>
            <w:tcW w:w="926" w:type="dxa"/>
            <w:tcBorders>
              <w:left w:val="nil"/>
              <w:bottom w:val="nil"/>
              <w:right w:val="nil"/>
            </w:tcBorders>
          </w:tcPr>
          <w:p w14:paraId="209661C3"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0</w:t>
            </w:r>
          </w:p>
        </w:tc>
        <w:tc>
          <w:tcPr>
            <w:tcW w:w="931" w:type="dxa"/>
            <w:tcBorders>
              <w:left w:val="nil"/>
              <w:bottom w:val="nil"/>
              <w:right w:val="nil"/>
            </w:tcBorders>
          </w:tcPr>
          <w:p w14:paraId="443134DB"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0</w:t>
            </w:r>
          </w:p>
        </w:tc>
        <w:tc>
          <w:tcPr>
            <w:tcW w:w="921" w:type="dxa"/>
            <w:tcBorders>
              <w:left w:val="nil"/>
              <w:bottom w:val="nil"/>
              <w:right w:val="nil"/>
            </w:tcBorders>
          </w:tcPr>
          <w:p w14:paraId="2EC5862F"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0</w:t>
            </w:r>
          </w:p>
        </w:tc>
        <w:tc>
          <w:tcPr>
            <w:tcW w:w="921" w:type="dxa"/>
            <w:tcBorders>
              <w:left w:val="nil"/>
              <w:bottom w:val="nil"/>
              <w:right w:val="nil"/>
            </w:tcBorders>
          </w:tcPr>
          <w:p w14:paraId="6AB97DA2"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494</w:t>
            </w:r>
          </w:p>
        </w:tc>
      </w:tr>
      <w:tr w:rsidR="00A6611C" w:rsidRPr="00A6611C" w14:paraId="0300AB02" w14:textId="77777777" w:rsidTr="003B4CAB">
        <w:trPr>
          <w:trHeight w:val="227"/>
        </w:trPr>
        <w:tc>
          <w:tcPr>
            <w:tcW w:w="4820" w:type="dxa"/>
            <w:tcBorders>
              <w:left w:val="nil"/>
              <w:bottom w:val="nil"/>
              <w:right w:val="nil"/>
            </w:tcBorders>
          </w:tcPr>
          <w:p w14:paraId="7B782FA6" w14:textId="77777777" w:rsidR="00A6611C" w:rsidRPr="00A6611C" w:rsidRDefault="00A6611C" w:rsidP="00A6611C">
            <w:pPr>
              <w:rPr>
                <w:rFonts w:ascii="Calibri" w:hAnsi="Calibri"/>
                <w:color w:val="000000"/>
                <w:sz w:val="20"/>
                <w:szCs w:val="20"/>
                <w:lang w:eastAsia="en-US"/>
              </w:rPr>
            </w:pPr>
            <w:r w:rsidRPr="00A6611C">
              <w:rPr>
                <w:rFonts w:ascii="Calibri" w:hAnsi="Calibri"/>
                <w:color w:val="000000"/>
                <w:sz w:val="20"/>
                <w:szCs w:val="20"/>
                <w:lang w:eastAsia="en-US"/>
              </w:rPr>
              <w:t>Upgrading local arts facilities</w:t>
            </w:r>
          </w:p>
        </w:tc>
        <w:tc>
          <w:tcPr>
            <w:tcW w:w="1119" w:type="dxa"/>
            <w:tcBorders>
              <w:left w:val="nil"/>
              <w:bottom w:val="nil"/>
              <w:right w:val="nil"/>
            </w:tcBorders>
          </w:tcPr>
          <w:p w14:paraId="4CC8F096"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650</w:t>
            </w:r>
          </w:p>
        </w:tc>
        <w:tc>
          <w:tcPr>
            <w:tcW w:w="926" w:type="dxa"/>
            <w:tcBorders>
              <w:left w:val="nil"/>
              <w:bottom w:val="nil"/>
              <w:right w:val="nil"/>
            </w:tcBorders>
          </w:tcPr>
          <w:p w14:paraId="53C278F1"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650</w:t>
            </w:r>
          </w:p>
        </w:tc>
        <w:tc>
          <w:tcPr>
            <w:tcW w:w="931" w:type="dxa"/>
            <w:tcBorders>
              <w:left w:val="nil"/>
              <w:bottom w:val="nil"/>
              <w:right w:val="nil"/>
            </w:tcBorders>
          </w:tcPr>
          <w:p w14:paraId="66A69635"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375</w:t>
            </w:r>
          </w:p>
        </w:tc>
        <w:tc>
          <w:tcPr>
            <w:tcW w:w="921" w:type="dxa"/>
            <w:tcBorders>
              <w:left w:val="nil"/>
              <w:bottom w:val="nil"/>
              <w:right w:val="nil"/>
            </w:tcBorders>
          </w:tcPr>
          <w:p w14:paraId="1FDD553C"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0</w:t>
            </w:r>
          </w:p>
        </w:tc>
        <w:tc>
          <w:tcPr>
            <w:tcW w:w="921" w:type="dxa"/>
            <w:tcBorders>
              <w:left w:val="nil"/>
              <w:bottom w:val="nil"/>
              <w:right w:val="nil"/>
            </w:tcBorders>
          </w:tcPr>
          <w:p w14:paraId="091B9A72"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1,675</w:t>
            </w:r>
          </w:p>
        </w:tc>
      </w:tr>
      <w:tr w:rsidR="00A6611C" w:rsidRPr="00A6611C" w14:paraId="6F1FC479" w14:textId="77777777" w:rsidTr="003B4CAB">
        <w:trPr>
          <w:trHeight w:val="227"/>
        </w:trPr>
        <w:tc>
          <w:tcPr>
            <w:tcW w:w="4820" w:type="dxa"/>
            <w:tcBorders>
              <w:left w:val="nil"/>
              <w:bottom w:val="nil"/>
              <w:right w:val="nil"/>
            </w:tcBorders>
          </w:tcPr>
          <w:p w14:paraId="4BAD29EB" w14:textId="77777777" w:rsidR="00A6611C" w:rsidRPr="00A6611C" w:rsidRDefault="00A6611C" w:rsidP="00A6611C">
            <w:pPr>
              <w:rPr>
                <w:rFonts w:ascii="Calibri" w:hAnsi="Calibri"/>
                <w:color w:val="000000"/>
                <w:sz w:val="20"/>
                <w:szCs w:val="20"/>
                <w:lang w:eastAsia="en-US"/>
              </w:rPr>
            </w:pPr>
            <w:r w:rsidRPr="00A6611C">
              <w:rPr>
                <w:rFonts w:ascii="Calibri" w:hAnsi="Calibri"/>
                <w:color w:val="000000"/>
                <w:sz w:val="20"/>
                <w:szCs w:val="20"/>
                <w:lang w:eastAsia="en-US"/>
              </w:rPr>
              <w:t xml:space="preserve">Upgrading local community centres </w:t>
            </w:r>
          </w:p>
        </w:tc>
        <w:tc>
          <w:tcPr>
            <w:tcW w:w="1119" w:type="dxa"/>
            <w:tcBorders>
              <w:left w:val="nil"/>
              <w:bottom w:val="nil"/>
              <w:right w:val="nil"/>
            </w:tcBorders>
          </w:tcPr>
          <w:p w14:paraId="4D2DED12"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250</w:t>
            </w:r>
          </w:p>
        </w:tc>
        <w:tc>
          <w:tcPr>
            <w:tcW w:w="926" w:type="dxa"/>
            <w:tcBorders>
              <w:left w:val="nil"/>
              <w:bottom w:val="nil"/>
              <w:right w:val="nil"/>
            </w:tcBorders>
          </w:tcPr>
          <w:p w14:paraId="75ECAE11"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250</w:t>
            </w:r>
          </w:p>
        </w:tc>
        <w:tc>
          <w:tcPr>
            <w:tcW w:w="931" w:type="dxa"/>
            <w:tcBorders>
              <w:left w:val="nil"/>
              <w:bottom w:val="nil"/>
              <w:right w:val="nil"/>
            </w:tcBorders>
          </w:tcPr>
          <w:p w14:paraId="13DEBCE9"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250</w:t>
            </w:r>
          </w:p>
        </w:tc>
        <w:tc>
          <w:tcPr>
            <w:tcW w:w="921" w:type="dxa"/>
            <w:tcBorders>
              <w:left w:val="nil"/>
              <w:bottom w:val="nil"/>
              <w:right w:val="nil"/>
            </w:tcBorders>
          </w:tcPr>
          <w:p w14:paraId="6301FE80"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250</w:t>
            </w:r>
          </w:p>
        </w:tc>
        <w:tc>
          <w:tcPr>
            <w:tcW w:w="921" w:type="dxa"/>
            <w:tcBorders>
              <w:left w:val="nil"/>
              <w:bottom w:val="nil"/>
              <w:right w:val="nil"/>
            </w:tcBorders>
          </w:tcPr>
          <w:p w14:paraId="5E8D55C1"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1,000</w:t>
            </w:r>
          </w:p>
        </w:tc>
      </w:tr>
      <w:tr w:rsidR="00A6611C" w:rsidRPr="00A6611C" w14:paraId="04FDC599" w14:textId="77777777" w:rsidTr="003B4CAB">
        <w:trPr>
          <w:trHeight w:val="227"/>
        </w:trPr>
        <w:tc>
          <w:tcPr>
            <w:tcW w:w="4820" w:type="dxa"/>
            <w:tcBorders>
              <w:left w:val="nil"/>
              <w:bottom w:val="nil"/>
              <w:right w:val="nil"/>
            </w:tcBorders>
          </w:tcPr>
          <w:p w14:paraId="30C13D5C" w14:textId="77777777" w:rsidR="00A6611C" w:rsidRPr="00A6611C" w:rsidRDefault="00A6611C" w:rsidP="00A6611C">
            <w:pPr>
              <w:rPr>
                <w:rFonts w:ascii="Calibri" w:hAnsi="Calibri"/>
                <w:color w:val="000000"/>
                <w:sz w:val="20"/>
                <w:szCs w:val="20"/>
                <w:lang w:eastAsia="en-US"/>
              </w:rPr>
            </w:pPr>
            <w:r w:rsidRPr="00A6611C">
              <w:rPr>
                <w:rFonts w:ascii="Calibri" w:hAnsi="Calibri"/>
                <w:color w:val="000000"/>
                <w:sz w:val="20"/>
                <w:szCs w:val="20"/>
                <w:lang w:eastAsia="en-US"/>
              </w:rPr>
              <w:t xml:space="preserve">Upgrading Manuka Pool </w:t>
            </w:r>
          </w:p>
        </w:tc>
        <w:tc>
          <w:tcPr>
            <w:tcW w:w="1119" w:type="dxa"/>
            <w:tcBorders>
              <w:left w:val="nil"/>
              <w:bottom w:val="nil"/>
              <w:right w:val="nil"/>
            </w:tcBorders>
          </w:tcPr>
          <w:p w14:paraId="005BBF61"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800</w:t>
            </w:r>
          </w:p>
        </w:tc>
        <w:tc>
          <w:tcPr>
            <w:tcW w:w="926" w:type="dxa"/>
            <w:tcBorders>
              <w:left w:val="nil"/>
              <w:bottom w:val="nil"/>
              <w:right w:val="nil"/>
            </w:tcBorders>
          </w:tcPr>
          <w:p w14:paraId="5AC98E41"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0</w:t>
            </w:r>
          </w:p>
        </w:tc>
        <w:tc>
          <w:tcPr>
            <w:tcW w:w="931" w:type="dxa"/>
            <w:tcBorders>
              <w:left w:val="nil"/>
              <w:bottom w:val="nil"/>
              <w:right w:val="nil"/>
            </w:tcBorders>
          </w:tcPr>
          <w:p w14:paraId="01633F4A"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0</w:t>
            </w:r>
          </w:p>
        </w:tc>
        <w:tc>
          <w:tcPr>
            <w:tcW w:w="921" w:type="dxa"/>
            <w:tcBorders>
              <w:left w:val="nil"/>
              <w:bottom w:val="nil"/>
              <w:right w:val="nil"/>
            </w:tcBorders>
          </w:tcPr>
          <w:p w14:paraId="577FBC6B"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0</w:t>
            </w:r>
          </w:p>
        </w:tc>
        <w:tc>
          <w:tcPr>
            <w:tcW w:w="921" w:type="dxa"/>
            <w:tcBorders>
              <w:left w:val="nil"/>
              <w:bottom w:val="nil"/>
              <w:right w:val="nil"/>
            </w:tcBorders>
          </w:tcPr>
          <w:p w14:paraId="5A6C3A19"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800</w:t>
            </w:r>
          </w:p>
        </w:tc>
      </w:tr>
      <w:tr w:rsidR="00A6611C" w:rsidRPr="00A6611C" w14:paraId="2E503F22" w14:textId="77777777" w:rsidTr="003B4CAB">
        <w:trPr>
          <w:trHeight w:val="227"/>
        </w:trPr>
        <w:tc>
          <w:tcPr>
            <w:tcW w:w="4820" w:type="dxa"/>
            <w:tcBorders>
              <w:left w:val="nil"/>
              <w:bottom w:val="nil"/>
              <w:right w:val="nil"/>
            </w:tcBorders>
          </w:tcPr>
          <w:p w14:paraId="1692435E" w14:textId="77777777" w:rsidR="00A6611C" w:rsidRPr="00A6611C" w:rsidRDefault="00A6611C" w:rsidP="00A6611C">
            <w:pPr>
              <w:ind w:left="284" w:hanging="284"/>
              <w:rPr>
                <w:rFonts w:ascii="Calibri" w:hAnsi="Calibri"/>
                <w:bCs/>
                <w:sz w:val="20"/>
                <w:szCs w:val="20"/>
                <w:lang w:val="x-none" w:eastAsia="en-US"/>
              </w:rPr>
            </w:pPr>
          </w:p>
        </w:tc>
        <w:tc>
          <w:tcPr>
            <w:tcW w:w="1119" w:type="dxa"/>
            <w:tcBorders>
              <w:left w:val="nil"/>
              <w:bottom w:val="nil"/>
              <w:right w:val="nil"/>
            </w:tcBorders>
          </w:tcPr>
          <w:p w14:paraId="042F3D40" w14:textId="77777777" w:rsidR="00A6611C" w:rsidRPr="00A6611C" w:rsidRDefault="00A6611C" w:rsidP="00A6611C">
            <w:pPr>
              <w:ind w:left="227" w:hanging="227"/>
              <w:jc w:val="right"/>
              <w:rPr>
                <w:rFonts w:ascii="Calibri" w:hAnsi="Calibri"/>
                <w:sz w:val="20"/>
                <w:szCs w:val="20"/>
                <w:lang w:eastAsia="en-AU"/>
              </w:rPr>
            </w:pPr>
          </w:p>
        </w:tc>
        <w:tc>
          <w:tcPr>
            <w:tcW w:w="926" w:type="dxa"/>
            <w:tcBorders>
              <w:left w:val="nil"/>
              <w:bottom w:val="nil"/>
              <w:right w:val="nil"/>
            </w:tcBorders>
          </w:tcPr>
          <w:p w14:paraId="234D7A65" w14:textId="77777777" w:rsidR="00A6611C" w:rsidRPr="00A6611C" w:rsidRDefault="00A6611C" w:rsidP="00A6611C">
            <w:pPr>
              <w:ind w:left="227" w:hanging="227"/>
              <w:jc w:val="right"/>
              <w:rPr>
                <w:rFonts w:ascii="Calibri" w:hAnsi="Calibri"/>
                <w:sz w:val="20"/>
                <w:szCs w:val="20"/>
                <w:lang w:eastAsia="en-AU"/>
              </w:rPr>
            </w:pPr>
          </w:p>
        </w:tc>
        <w:tc>
          <w:tcPr>
            <w:tcW w:w="931" w:type="dxa"/>
            <w:tcBorders>
              <w:left w:val="nil"/>
              <w:bottom w:val="nil"/>
              <w:right w:val="nil"/>
            </w:tcBorders>
          </w:tcPr>
          <w:p w14:paraId="6E5D4CBB" w14:textId="77777777" w:rsidR="00A6611C" w:rsidRPr="00A6611C" w:rsidRDefault="00A6611C" w:rsidP="00A6611C">
            <w:pPr>
              <w:ind w:left="227" w:hanging="227"/>
              <w:jc w:val="right"/>
              <w:rPr>
                <w:rFonts w:ascii="Calibri" w:hAnsi="Calibri"/>
                <w:sz w:val="20"/>
                <w:szCs w:val="20"/>
                <w:lang w:eastAsia="en-AU"/>
              </w:rPr>
            </w:pPr>
          </w:p>
        </w:tc>
        <w:tc>
          <w:tcPr>
            <w:tcW w:w="921" w:type="dxa"/>
            <w:tcBorders>
              <w:left w:val="nil"/>
              <w:bottom w:val="nil"/>
              <w:right w:val="nil"/>
            </w:tcBorders>
          </w:tcPr>
          <w:p w14:paraId="0C558C2F" w14:textId="77777777" w:rsidR="00A6611C" w:rsidRPr="00A6611C" w:rsidRDefault="00A6611C" w:rsidP="00A6611C">
            <w:pPr>
              <w:ind w:left="227" w:hanging="227"/>
              <w:jc w:val="right"/>
              <w:rPr>
                <w:rFonts w:ascii="Calibri" w:hAnsi="Calibri"/>
                <w:sz w:val="20"/>
                <w:szCs w:val="20"/>
                <w:lang w:eastAsia="en-AU"/>
              </w:rPr>
            </w:pPr>
          </w:p>
        </w:tc>
        <w:tc>
          <w:tcPr>
            <w:tcW w:w="921" w:type="dxa"/>
            <w:tcBorders>
              <w:left w:val="nil"/>
              <w:bottom w:val="nil"/>
              <w:right w:val="nil"/>
            </w:tcBorders>
          </w:tcPr>
          <w:p w14:paraId="48EFB06E" w14:textId="77777777" w:rsidR="00A6611C" w:rsidRPr="00A6611C" w:rsidRDefault="00A6611C" w:rsidP="00A6611C">
            <w:pPr>
              <w:ind w:left="227" w:hanging="227"/>
              <w:jc w:val="right"/>
              <w:rPr>
                <w:rFonts w:ascii="Calibri" w:hAnsi="Calibri"/>
                <w:sz w:val="20"/>
                <w:szCs w:val="20"/>
                <w:lang w:eastAsia="en-AU"/>
              </w:rPr>
            </w:pPr>
          </w:p>
        </w:tc>
      </w:tr>
      <w:tr w:rsidR="00A6611C" w:rsidRPr="00A6611C" w14:paraId="6BA9DFD8" w14:textId="77777777" w:rsidTr="003B4CAB">
        <w:trPr>
          <w:trHeight w:val="227"/>
        </w:trPr>
        <w:tc>
          <w:tcPr>
            <w:tcW w:w="4820" w:type="dxa"/>
            <w:tcBorders>
              <w:left w:val="nil"/>
              <w:bottom w:val="nil"/>
              <w:right w:val="nil"/>
            </w:tcBorders>
          </w:tcPr>
          <w:p w14:paraId="5792C6A7" w14:textId="77777777" w:rsidR="00A6611C" w:rsidRPr="00A6611C" w:rsidRDefault="00A6611C" w:rsidP="00A6611C">
            <w:pPr>
              <w:ind w:left="227" w:hanging="227"/>
              <w:rPr>
                <w:rFonts w:ascii="Calibri" w:hAnsi="Calibri"/>
                <w:sz w:val="20"/>
                <w:szCs w:val="20"/>
                <w:lang w:eastAsia="en-AU"/>
              </w:rPr>
            </w:pPr>
            <w:r w:rsidRPr="00A6611C">
              <w:rPr>
                <w:rFonts w:ascii="Calibri" w:hAnsi="Calibri"/>
                <w:bCs/>
                <w:i/>
                <w:sz w:val="20"/>
                <w:szCs w:val="20"/>
                <w:lang w:eastAsia="en-AU"/>
              </w:rPr>
              <w:t>Information and communication technology</w:t>
            </w:r>
          </w:p>
        </w:tc>
        <w:tc>
          <w:tcPr>
            <w:tcW w:w="1119" w:type="dxa"/>
            <w:tcBorders>
              <w:left w:val="nil"/>
              <w:bottom w:val="nil"/>
              <w:right w:val="nil"/>
            </w:tcBorders>
          </w:tcPr>
          <w:p w14:paraId="34DBE390" w14:textId="77777777" w:rsidR="00A6611C" w:rsidRPr="00A6611C" w:rsidRDefault="00A6611C" w:rsidP="00A6611C">
            <w:pPr>
              <w:ind w:left="227" w:hanging="227"/>
              <w:jc w:val="right"/>
              <w:rPr>
                <w:rFonts w:ascii="Calibri" w:hAnsi="Calibri"/>
                <w:sz w:val="20"/>
                <w:szCs w:val="20"/>
                <w:lang w:eastAsia="en-AU"/>
              </w:rPr>
            </w:pPr>
          </w:p>
        </w:tc>
        <w:tc>
          <w:tcPr>
            <w:tcW w:w="926" w:type="dxa"/>
            <w:tcBorders>
              <w:left w:val="nil"/>
              <w:bottom w:val="nil"/>
              <w:right w:val="nil"/>
            </w:tcBorders>
          </w:tcPr>
          <w:p w14:paraId="72B5DE8E" w14:textId="77777777" w:rsidR="00A6611C" w:rsidRPr="00A6611C" w:rsidRDefault="00A6611C" w:rsidP="00A6611C">
            <w:pPr>
              <w:ind w:left="227" w:hanging="227"/>
              <w:jc w:val="right"/>
              <w:rPr>
                <w:rFonts w:ascii="Calibri" w:hAnsi="Calibri"/>
                <w:sz w:val="20"/>
                <w:szCs w:val="20"/>
                <w:lang w:eastAsia="en-AU"/>
              </w:rPr>
            </w:pPr>
          </w:p>
        </w:tc>
        <w:tc>
          <w:tcPr>
            <w:tcW w:w="931" w:type="dxa"/>
            <w:tcBorders>
              <w:left w:val="nil"/>
              <w:bottom w:val="nil"/>
              <w:right w:val="nil"/>
            </w:tcBorders>
          </w:tcPr>
          <w:p w14:paraId="4627E638" w14:textId="77777777" w:rsidR="00A6611C" w:rsidRPr="00A6611C" w:rsidRDefault="00A6611C" w:rsidP="00A6611C">
            <w:pPr>
              <w:ind w:left="227" w:hanging="227"/>
              <w:jc w:val="right"/>
              <w:rPr>
                <w:rFonts w:ascii="Calibri" w:hAnsi="Calibri"/>
                <w:sz w:val="20"/>
                <w:szCs w:val="20"/>
                <w:lang w:eastAsia="en-AU"/>
              </w:rPr>
            </w:pPr>
          </w:p>
        </w:tc>
        <w:tc>
          <w:tcPr>
            <w:tcW w:w="921" w:type="dxa"/>
            <w:tcBorders>
              <w:left w:val="nil"/>
              <w:bottom w:val="nil"/>
              <w:right w:val="nil"/>
            </w:tcBorders>
          </w:tcPr>
          <w:p w14:paraId="03B7DD45" w14:textId="77777777" w:rsidR="00A6611C" w:rsidRPr="00A6611C" w:rsidRDefault="00A6611C" w:rsidP="00A6611C">
            <w:pPr>
              <w:ind w:left="227" w:hanging="227"/>
              <w:jc w:val="right"/>
              <w:rPr>
                <w:rFonts w:ascii="Calibri" w:hAnsi="Calibri"/>
                <w:sz w:val="20"/>
                <w:szCs w:val="20"/>
                <w:lang w:eastAsia="en-AU"/>
              </w:rPr>
            </w:pPr>
          </w:p>
        </w:tc>
        <w:tc>
          <w:tcPr>
            <w:tcW w:w="921" w:type="dxa"/>
            <w:tcBorders>
              <w:left w:val="nil"/>
              <w:bottom w:val="nil"/>
              <w:right w:val="nil"/>
            </w:tcBorders>
          </w:tcPr>
          <w:p w14:paraId="3FB05B43" w14:textId="77777777" w:rsidR="00A6611C" w:rsidRPr="00A6611C" w:rsidRDefault="00A6611C" w:rsidP="00A6611C">
            <w:pPr>
              <w:ind w:left="227" w:hanging="227"/>
              <w:jc w:val="right"/>
              <w:rPr>
                <w:rFonts w:ascii="Calibri" w:hAnsi="Calibri"/>
                <w:sz w:val="20"/>
                <w:szCs w:val="20"/>
                <w:lang w:eastAsia="en-AU"/>
              </w:rPr>
            </w:pPr>
          </w:p>
        </w:tc>
      </w:tr>
      <w:tr w:rsidR="00A6611C" w:rsidRPr="00A6611C" w14:paraId="534DB72B" w14:textId="77777777" w:rsidTr="003B4CAB">
        <w:trPr>
          <w:trHeight w:val="227"/>
        </w:trPr>
        <w:tc>
          <w:tcPr>
            <w:tcW w:w="4820" w:type="dxa"/>
            <w:tcBorders>
              <w:left w:val="nil"/>
              <w:bottom w:val="nil"/>
              <w:right w:val="nil"/>
            </w:tcBorders>
          </w:tcPr>
          <w:p w14:paraId="6EFD5EBF" w14:textId="77777777" w:rsidR="00A6611C" w:rsidRPr="00A6611C" w:rsidRDefault="00A6611C" w:rsidP="00A6611C">
            <w:pPr>
              <w:rPr>
                <w:rFonts w:ascii="Calibri" w:hAnsi="Calibri"/>
                <w:bCs/>
                <w:color w:val="000000"/>
                <w:sz w:val="20"/>
                <w:szCs w:val="20"/>
                <w:vertAlign w:val="superscript"/>
                <w:lang w:eastAsia="en-US"/>
              </w:rPr>
            </w:pPr>
            <w:r w:rsidRPr="00A6611C">
              <w:rPr>
                <w:rFonts w:ascii="Calibri" w:hAnsi="Calibri"/>
                <w:bCs/>
                <w:color w:val="000000"/>
                <w:sz w:val="20"/>
                <w:szCs w:val="20"/>
                <w:lang w:val="x-none" w:eastAsia="en-US"/>
              </w:rPr>
              <w:t>ACT Land Titles system modernisation</w:t>
            </w:r>
            <w:r w:rsidRPr="00A6611C">
              <w:rPr>
                <w:rFonts w:ascii="Calibri" w:hAnsi="Calibri"/>
                <w:bCs/>
                <w:color w:val="000000"/>
                <w:sz w:val="20"/>
                <w:szCs w:val="20"/>
                <w:lang w:eastAsia="en-US"/>
              </w:rPr>
              <w:t xml:space="preserve"> </w:t>
            </w:r>
            <w:r w:rsidRPr="00A6611C">
              <w:rPr>
                <w:rFonts w:ascii="Calibri" w:hAnsi="Calibri"/>
                <w:bCs/>
                <w:color w:val="000000"/>
                <w:sz w:val="20"/>
                <w:szCs w:val="20"/>
                <w:vertAlign w:val="superscript"/>
                <w:lang w:eastAsia="en-US"/>
              </w:rPr>
              <w:t>1, 2</w:t>
            </w:r>
          </w:p>
        </w:tc>
        <w:tc>
          <w:tcPr>
            <w:tcW w:w="1119" w:type="dxa"/>
            <w:tcBorders>
              <w:left w:val="nil"/>
              <w:bottom w:val="nil"/>
              <w:right w:val="nil"/>
            </w:tcBorders>
          </w:tcPr>
          <w:p w14:paraId="0928BA34"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912</w:t>
            </w:r>
          </w:p>
        </w:tc>
        <w:tc>
          <w:tcPr>
            <w:tcW w:w="926" w:type="dxa"/>
            <w:tcBorders>
              <w:left w:val="nil"/>
              <w:bottom w:val="nil"/>
              <w:right w:val="nil"/>
            </w:tcBorders>
          </w:tcPr>
          <w:p w14:paraId="7A7C1742"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0</w:t>
            </w:r>
          </w:p>
        </w:tc>
        <w:tc>
          <w:tcPr>
            <w:tcW w:w="931" w:type="dxa"/>
            <w:tcBorders>
              <w:left w:val="nil"/>
              <w:bottom w:val="nil"/>
              <w:right w:val="nil"/>
            </w:tcBorders>
          </w:tcPr>
          <w:p w14:paraId="05952BED"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0</w:t>
            </w:r>
          </w:p>
        </w:tc>
        <w:tc>
          <w:tcPr>
            <w:tcW w:w="921" w:type="dxa"/>
            <w:tcBorders>
              <w:left w:val="nil"/>
              <w:bottom w:val="nil"/>
              <w:right w:val="nil"/>
            </w:tcBorders>
          </w:tcPr>
          <w:p w14:paraId="46C2DAC5"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0</w:t>
            </w:r>
          </w:p>
        </w:tc>
        <w:tc>
          <w:tcPr>
            <w:tcW w:w="921" w:type="dxa"/>
            <w:tcBorders>
              <w:left w:val="nil"/>
              <w:bottom w:val="nil"/>
              <w:right w:val="nil"/>
            </w:tcBorders>
          </w:tcPr>
          <w:p w14:paraId="3C4F8FD5"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912</w:t>
            </w:r>
          </w:p>
        </w:tc>
      </w:tr>
      <w:tr w:rsidR="00A6611C" w:rsidRPr="00A6611C" w14:paraId="129766D7" w14:textId="77777777" w:rsidTr="003B4CAB">
        <w:trPr>
          <w:trHeight w:val="227"/>
        </w:trPr>
        <w:tc>
          <w:tcPr>
            <w:tcW w:w="4820" w:type="dxa"/>
            <w:tcBorders>
              <w:left w:val="nil"/>
              <w:bottom w:val="nil"/>
              <w:right w:val="nil"/>
            </w:tcBorders>
          </w:tcPr>
          <w:p w14:paraId="6778CFD3" w14:textId="77777777" w:rsidR="00A6611C" w:rsidRPr="00A6611C" w:rsidRDefault="00A6611C" w:rsidP="00A6611C">
            <w:pPr>
              <w:rPr>
                <w:rFonts w:ascii="Calibri" w:hAnsi="Calibri"/>
                <w:color w:val="000000"/>
                <w:sz w:val="20"/>
                <w:szCs w:val="20"/>
                <w:vertAlign w:val="superscript"/>
                <w:lang w:eastAsia="en-US"/>
              </w:rPr>
            </w:pPr>
            <w:r w:rsidRPr="00A6611C">
              <w:rPr>
                <w:rFonts w:ascii="Calibri" w:hAnsi="Calibri"/>
                <w:color w:val="000000"/>
                <w:sz w:val="20"/>
                <w:szCs w:val="20"/>
                <w:lang w:eastAsia="en-US"/>
              </w:rPr>
              <w:t xml:space="preserve">Moving delivery of more community services online </w:t>
            </w:r>
            <w:r w:rsidRPr="00A6611C">
              <w:rPr>
                <w:rFonts w:ascii="Calibri" w:hAnsi="Calibri"/>
                <w:color w:val="000000"/>
                <w:sz w:val="20"/>
                <w:szCs w:val="20"/>
                <w:vertAlign w:val="superscript"/>
                <w:lang w:eastAsia="en-US"/>
              </w:rPr>
              <w:t>2</w:t>
            </w:r>
          </w:p>
        </w:tc>
        <w:tc>
          <w:tcPr>
            <w:tcW w:w="1119" w:type="dxa"/>
            <w:tcBorders>
              <w:left w:val="nil"/>
              <w:bottom w:val="nil"/>
              <w:right w:val="nil"/>
            </w:tcBorders>
          </w:tcPr>
          <w:p w14:paraId="20C9BE60"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7,368</w:t>
            </w:r>
          </w:p>
        </w:tc>
        <w:tc>
          <w:tcPr>
            <w:tcW w:w="926" w:type="dxa"/>
            <w:tcBorders>
              <w:left w:val="nil"/>
              <w:bottom w:val="nil"/>
              <w:right w:val="nil"/>
            </w:tcBorders>
          </w:tcPr>
          <w:p w14:paraId="769931DA"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0</w:t>
            </w:r>
          </w:p>
        </w:tc>
        <w:tc>
          <w:tcPr>
            <w:tcW w:w="931" w:type="dxa"/>
            <w:tcBorders>
              <w:left w:val="nil"/>
              <w:bottom w:val="nil"/>
              <w:right w:val="nil"/>
            </w:tcBorders>
          </w:tcPr>
          <w:p w14:paraId="6E1A7540"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0</w:t>
            </w:r>
          </w:p>
        </w:tc>
        <w:tc>
          <w:tcPr>
            <w:tcW w:w="921" w:type="dxa"/>
            <w:tcBorders>
              <w:left w:val="nil"/>
              <w:bottom w:val="nil"/>
              <w:right w:val="nil"/>
            </w:tcBorders>
          </w:tcPr>
          <w:p w14:paraId="0810F83D"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0</w:t>
            </w:r>
          </w:p>
        </w:tc>
        <w:tc>
          <w:tcPr>
            <w:tcW w:w="921" w:type="dxa"/>
            <w:tcBorders>
              <w:left w:val="nil"/>
              <w:bottom w:val="nil"/>
              <w:right w:val="nil"/>
            </w:tcBorders>
          </w:tcPr>
          <w:p w14:paraId="0E0FE380"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7,368</w:t>
            </w:r>
          </w:p>
        </w:tc>
      </w:tr>
      <w:tr w:rsidR="00A6611C" w:rsidRPr="00A6611C" w14:paraId="5A2396D6" w14:textId="77777777" w:rsidTr="003B4CAB">
        <w:trPr>
          <w:trHeight w:val="227"/>
        </w:trPr>
        <w:tc>
          <w:tcPr>
            <w:tcW w:w="4820" w:type="dxa"/>
            <w:tcBorders>
              <w:left w:val="nil"/>
              <w:bottom w:val="nil"/>
              <w:right w:val="nil"/>
            </w:tcBorders>
          </w:tcPr>
          <w:p w14:paraId="55510891" w14:textId="77777777" w:rsidR="00A6611C" w:rsidRPr="00A6611C" w:rsidRDefault="00A6611C" w:rsidP="00A6611C">
            <w:pPr>
              <w:rPr>
                <w:rFonts w:ascii="Calibri" w:hAnsi="Calibri"/>
                <w:color w:val="000000"/>
                <w:sz w:val="20"/>
                <w:szCs w:val="20"/>
                <w:vertAlign w:val="superscript"/>
                <w:lang w:eastAsia="en-US"/>
              </w:rPr>
            </w:pPr>
            <w:r w:rsidRPr="00A6611C">
              <w:rPr>
                <w:rFonts w:ascii="Calibri" w:hAnsi="Calibri"/>
                <w:color w:val="000000"/>
                <w:sz w:val="20"/>
                <w:szCs w:val="20"/>
                <w:lang w:eastAsia="en-US"/>
              </w:rPr>
              <w:t xml:space="preserve">Oracle Whole of Government licensing </w:t>
            </w:r>
            <w:r w:rsidRPr="00A6611C">
              <w:rPr>
                <w:rFonts w:ascii="Calibri" w:hAnsi="Calibri"/>
                <w:color w:val="000000"/>
                <w:sz w:val="20"/>
                <w:szCs w:val="20"/>
                <w:vertAlign w:val="superscript"/>
                <w:lang w:eastAsia="en-US"/>
              </w:rPr>
              <w:t>2</w:t>
            </w:r>
          </w:p>
        </w:tc>
        <w:tc>
          <w:tcPr>
            <w:tcW w:w="1119" w:type="dxa"/>
            <w:tcBorders>
              <w:left w:val="nil"/>
              <w:bottom w:val="nil"/>
              <w:right w:val="nil"/>
            </w:tcBorders>
          </w:tcPr>
          <w:p w14:paraId="20C280F0"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3,700</w:t>
            </w:r>
          </w:p>
        </w:tc>
        <w:tc>
          <w:tcPr>
            <w:tcW w:w="926" w:type="dxa"/>
            <w:tcBorders>
              <w:left w:val="nil"/>
              <w:bottom w:val="nil"/>
              <w:right w:val="nil"/>
            </w:tcBorders>
          </w:tcPr>
          <w:p w14:paraId="60D93DFE"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0</w:t>
            </w:r>
          </w:p>
        </w:tc>
        <w:tc>
          <w:tcPr>
            <w:tcW w:w="931" w:type="dxa"/>
            <w:tcBorders>
              <w:left w:val="nil"/>
              <w:bottom w:val="nil"/>
              <w:right w:val="nil"/>
            </w:tcBorders>
          </w:tcPr>
          <w:p w14:paraId="092C2C11"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0</w:t>
            </w:r>
          </w:p>
        </w:tc>
        <w:tc>
          <w:tcPr>
            <w:tcW w:w="921" w:type="dxa"/>
            <w:tcBorders>
              <w:left w:val="nil"/>
              <w:bottom w:val="nil"/>
              <w:right w:val="nil"/>
            </w:tcBorders>
          </w:tcPr>
          <w:p w14:paraId="7EA34623"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0</w:t>
            </w:r>
          </w:p>
        </w:tc>
        <w:tc>
          <w:tcPr>
            <w:tcW w:w="921" w:type="dxa"/>
            <w:tcBorders>
              <w:left w:val="nil"/>
              <w:bottom w:val="nil"/>
              <w:right w:val="nil"/>
            </w:tcBorders>
          </w:tcPr>
          <w:p w14:paraId="58C6B53C"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3,700</w:t>
            </w:r>
          </w:p>
        </w:tc>
      </w:tr>
      <w:tr w:rsidR="00A6611C" w:rsidRPr="00A6611C" w14:paraId="1DFDC9A0" w14:textId="77777777" w:rsidTr="003B4CAB">
        <w:trPr>
          <w:trHeight w:val="227"/>
        </w:trPr>
        <w:tc>
          <w:tcPr>
            <w:tcW w:w="4820" w:type="dxa"/>
          </w:tcPr>
          <w:p w14:paraId="225E79FE" w14:textId="77777777" w:rsidR="00A6611C" w:rsidRPr="00A6611C" w:rsidRDefault="00A6611C" w:rsidP="00A6611C">
            <w:pPr>
              <w:ind w:left="227" w:hanging="227"/>
              <w:rPr>
                <w:rFonts w:ascii="Calibri" w:hAnsi="Calibri"/>
                <w:bCs/>
                <w:color w:val="000000"/>
                <w:sz w:val="20"/>
                <w:szCs w:val="20"/>
                <w:vertAlign w:val="superscript"/>
                <w:lang w:eastAsia="en-AU"/>
              </w:rPr>
            </w:pPr>
            <w:r w:rsidRPr="00A6611C">
              <w:rPr>
                <w:rFonts w:ascii="Calibri" w:hAnsi="Calibri"/>
                <w:bCs/>
                <w:color w:val="000000"/>
                <w:sz w:val="20"/>
                <w:szCs w:val="20"/>
                <w:lang w:eastAsia="en-AU"/>
              </w:rPr>
              <w:t xml:space="preserve">Replacing the Human Resource Information Management System </w:t>
            </w:r>
            <w:r w:rsidRPr="00A6611C">
              <w:rPr>
                <w:rFonts w:ascii="Calibri" w:hAnsi="Calibri"/>
                <w:bCs/>
                <w:color w:val="000000"/>
                <w:sz w:val="20"/>
                <w:szCs w:val="20"/>
                <w:vertAlign w:val="superscript"/>
                <w:lang w:eastAsia="en-AU"/>
              </w:rPr>
              <w:t>2</w:t>
            </w:r>
          </w:p>
        </w:tc>
        <w:tc>
          <w:tcPr>
            <w:tcW w:w="1119" w:type="dxa"/>
          </w:tcPr>
          <w:p w14:paraId="1D7ACE7B"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13,000</w:t>
            </w:r>
          </w:p>
        </w:tc>
        <w:tc>
          <w:tcPr>
            <w:tcW w:w="926" w:type="dxa"/>
          </w:tcPr>
          <w:p w14:paraId="0B5009EC"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20,708</w:t>
            </w:r>
          </w:p>
        </w:tc>
        <w:tc>
          <w:tcPr>
            <w:tcW w:w="931" w:type="dxa"/>
          </w:tcPr>
          <w:p w14:paraId="18994FEB"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0</w:t>
            </w:r>
          </w:p>
        </w:tc>
        <w:tc>
          <w:tcPr>
            <w:tcW w:w="921" w:type="dxa"/>
          </w:tcPr>
          <w:p w14:paraId="4C9BB227"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0</w:t>
            </w:r>
          </w:p>
        </w:tc>
        <w:tc>
          <w:tcPr>
            <w:tcW w:w="921" w:type="dxa"/>
          </w:tcPr>
          <w:p w14:paraId="0C0E5C76"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33,708</w:t>
            </w:r>
          </w:p>
        </w:tc>
      </w:tr>
      <w:tr w:rsidR="00A6611C" w:rsidRPr="00A6611C" w14:paraId="6D93B477" w14:textId="77777777" w:rsidTr="003B4CAB">
        <w:trPr>
          <w:trHeight w:val="227"/>
        </w:trPr>
        <w:tc>
          <w:tcPr>
            <w:tcW w:w="4820" w:type="dxa"/>
            <w:tcBorders>
              <w:left w:val="nil"/>
              <w:bottom w:val="nil"/>
              <w:right w:val="nil"/>
            </w:tcBorders>
          </w:tcPr>
          <w:p w14:paraId="2C2CBFCA" w14:textId="77777777" w:rsidR="00A6611C" w:rsidRPr="00A6611C" w:rsidRDefault="00A6611C" w:rsidP="00A6611C">
            <w:pPr>
              <w:rPr>
                <w:rFonts w:ascii="Calibri" w:hAnsi="Calibri"/>
                <w:color w:val="000000"/>
                <w:sz w:val="20"/>
                <w:szCs w:val="20"/>
                <w:lang w:eastAsia="en-US"/>
              </w:rPr>
            </w:pPr>
          </w:p>
        </w:tc>
        <w:tc>
          <w:tcPr>
            <w:tcW w:w="1119" w:type="dxa"/>
            <w:tcBorders>
              <w:left w:val="nil"/>
              <w:bottom w:val="nil"/>
              <w:right w:val="nil"/>
            </w:tcBorders>
          </w:tcPr>
          <w:p w14:paraId="4BC678DB" w14:textId="77777777" w:rsidR="00A6611C" w:rsidRPr="00A6611C" w:rsidRDefault="00A6611C" w:rsidP="00A6611C">
            <w:pPr>
              <w:ind w:left="227" w:hanging="227"/>
              <w:jc w:val="right"/>
              <w:rPr>
                <w:rFonts w:ascii="Calibri" w:hAnsi="Calibri"/>
                <w:sz w:val="20"/>
                <w:szCs w:val="20"/>
                <w:lang w:eastAsia="en-AU"/>
              </w:rPr>
            </w:pPr>
          </w:p>
        </w:tc>
        <w:tc>
          <w:tcPr>
            <w:tcW w:w="926" w:type="dxa"/>
            <w:tcBorders>
              <w:left w:val="nil"/>
              <w:bottom w:val="nil"/>
              <w:right w:val="nil"/>
            </w:tcBorders>
          </w:tcPr>
          <w:p w14:paraId="1817468C" w14:textId="77777777" w:rsidR="00A6611C" w:rsidRPr="00A6611C" w:rsidRDefault="00A6611C" w:rsidP="00A6611C">
            <w:pPr>
              <w:ind w:left="227" w:hanging="227"/>
              <w:jc w:val="right"/>
              <w:rPr>
                <w:rFonts w:ascii="Calibri" w:hAnsi="Calibri"/>
                <w:sz w:val="20"/>
                <w:szCs w:val="20"/>
                <w:lang w:eastAsia="en-AU"/>
              </w:rPr>
            </w:pPr>
          </w:p>
        </w:tc>
        <w:tc>
          <w:tcPr>
            <w:tcW w:w="931" w:type="dxa"/>
            <w:tcBorders>
              <w:left w:val="nil"/>
              <w:bottom w:val="nil"/>
              <w:right w:val="nil"/>
            </w:tcBorders>
          </w:tcPr>
          <w:p w14:paraId="4FFA2C4B" w14:textId="77777777" w:rsidR="00A6611C" w:rsidRPr="00A6611C" w:rsidRDefault="00A6611C" w:rsidP="00A6611C">
            <w:pPr>
              <w:ind w:left="227" w:hanging="227"/>
              <w:jc w:val="right"/>
              <w:rPr>
                <w:rFonts w:ascii="Calibri" w:hAnsi="Calibri"/>
                <w:sz w:val="20"/>
                <w:szCs w:val="20"/>
                <w:lang w:eastAsia="en-AU"/>
              </w:rPr>
            </w:pPr>
          </w:p>
        </w:tc>
        <w:tc>
          <w:tcPr>
            <w:tcW w:w="921" w:type="dxa"/>
            <w:tcBorders>
              <w:left w:val="nil"/>
              <w:bottom w:val="nil"/>
              <w:right w:val="nil"/>
            </w:tcBorders>
          </w:tcPr>
          <w:p w14:paraId="4B82255E" w14:textId="77777777" w:rsidR="00A6611C" w:rsidRPr="00A6611C" w:rsidRDefault="00A6611C" w:rsidP="00A6611C">
            <w:pPr>
              <w:ind w:left="227" w:hanging="227"/>
              <w:jc w:val="right"/>
              <w:rPr>
                <w:rFonts w:ascii="Calibri" w:hAnsi="Calibri"/>
                <w:sz w:val="20"/>
                <w:szCs w:val="20"/>
                <w:lang w:eastAsia="en-AU"/>
              </w:rPr>
            </w:pPr>
          </w:p>
        </w:tc>
        <w:tc>
          <w:tcPr>
            <w:tcW w:w="921" w:type="dxa"/>
            <w:tcBorders>
              <w:left w:val="nil"/>
              <w:bottom w:val="nil"/>
              <w:right w:val="nil"/>
            </w:tcBorders>
          </w:tcPr>
          <w:p w14:paraId="5AE0651B" w14:textId="77777777" w:rsidR="00A6611C" w:rsidRPr="00A6611C" w:rsidRDefault="00A6611C" w:rsidP="00A6611C">
            <w:pPr>
              <w:ind w:left="227" w:hanging="227"/>
              <w:jc w:val="right"/>
              <w:rPr>
                <w:rFonts w:ascii="Calibri" w:hAnsi="Calibri"/>
                <w:sz w:val="20"/>
                <w:szCs w:val="20"/>
                <w:lang w:eastAsia="en-AU"/>
              </w:rPr>
            </w:pPr>
          </w:p>
        </w:tc>
      </w:tr>
      <w:tr w:rsidR="00A6611C" w:rsidRPr="00A6611C" w14:paraId="7DE79A6A" w14:textId="77777777" w:rsidTr="003B4CAB">
        <w:trPr>
          <w:trHeight w:val="227"/>
        </w:trPr>
        <w:tc>
          <w:tcPr>
            <w:tcW w:w="4820" w:type="dxa"/>
            <w:tcBorders>
              <w:left w:val="nil"/>
              <w:bottom w:val="nil"/>
              <w:right w:val="nil"/>
            </w:tcBorders>
          </w:tcPr>
          <w:p w14:paraId="567F3C81" w14:textId="77777777" w:rsidR="00A6611C" w:rsidRPr="00A6611C" w:rsidRDefault="00A6611C" w:rsidP="00A6611C">
            <w:pPr>
              <w:ind w:left="227" w:hanging="227"/>
              <w:rPr>
                <w:rFonts w:ascii="Calibri" w:hAnsi="Calibri"/>
                <w:bCs/>
                <w:color w:val="000000"/>
                <w:sz w:val="20"/>
                <w:szCs w:val="20"/>
                <w:lang w:eastAsia="en-AU"/>
              </w:rPr>
            </w:pPr>
            <w:r w:rsidRPr="00A6611C">
              <w:rPr>
                <w:rFonts w:ascii="Calibri" w:hAnsi="Calibri"/>
                <w:bCs/>
                <w:i/>
                <w:sz w:val="20"/>
                <w:szCs w:val="20"/>
                <w:lang w:eastAsia="en-AU"/>
              </w:rPr>
              <w:t>Plant and equipment</w:t>
            </w:r>
          </w:p>
        </w:tc>
        <w:tc>
          <w:tcPr>
            <w:tcW w:w="1119" w:type="dxa"/>
            <w:tcBorders>
              <w:left w:val="nil"/>
              <w:bottom w:val="nil"/>
              <w:right w:val="nil"/>
            </w:tcBorders>
          </w:tcPr>
          <w:p w14:paraId="6A4103B1" w14:textId="77777777" w:rsidR="00A6611C" w:rsidRPr="00A6611C" w:rsidRDefault="00A6611C" w:rsidP="00A6611C">
            <w:pPr>
              <w:ind w:left="227" w:hanging="227"/>
              <w:jc w:val="right"/>
              <w:rPr>
                <w:rFonts w:ascii="Calibri" w:hAnsi="Calibri"/>
                <w:sz w:val="20"/>
                <w:szCs w:val="20"/>
                <w:lang w:eastAsia="en-AU"/>
              </w:rPr>
            </w:pPr>
          </w:p>
        </w:tc>
        <w:tc>
          <w:tcPr>
            <w:tcW w:w="926" w:type="dxa"/>
            <w:tcBorders>
              <w:left w:val="nil"/>
              <w:bottom w:val="nil"/>
              <w:right w:val="nil"/>
            </w:tcBorders>
          </w:tcPr>
          <w:p w14:paraId="5B378D8B" w14:textId="77777777" w:rsidR="00A6611C" w:rsidRPr="00A6611C" w:rsidRDefault="00A6611C" w:rsidP="00A6611C">
            <w:pPr>
              <w:ind w:left="227" w:hanging="227"/>
              <w:jc w:val="right"/>
              <w:rPr>
                <w:rFonts w:ascii="Calibri" w:hAnsi="Calibri"/>
                <w:sz w:val="20"/>
                <w:szCs w:val="20"/>
                <w:lang w:eastAsia="en-AU"/>
              </w:rPr>
            </w:pPr>
          </w:p>
        </w:tc>
        <w:tc>
          <w:tcPr>
            <w:tcW w:w="931" w:type="dxa"/>
            <w:tcBorders>
              <w:left w:val="nil"/>
              <w:bottom w:val="nil"/>
              <w:right w:val="nil"/>
            </w:tcBorders>
          </w:tcPr>
          <w:p w14:paraId="7D3DEB14" w14:textId="77777777" w:rsidR="00A6611C" w:rsidRPr="00A6611C" w:rsidRDefault="00A6611C" w:rsidP="00A6611C">
            <w:pPr>
              <w:ind w:left="227" w:hanging="227"/>
              <w:jc w:val="right"/>
              <w:rPr>
                <w:rFonts w:ascii="Calibri" w:hAnsi="Calibri"/>
                <w:sz w:val="20"/>
                <w:szCs w:val="20"/>
                <w:lang w:eastAsia="en-AU"/>
              </w:rPr>
            </w:pPr>
          </w:p>
        </w:tc>
        <w:tc>
          <w:tcPr>
            <w:tcW w:w="921" w:type="dxa"/>
            <w:tcBorders>
              <w:left w:val="nil"/>
              <w:bottom w:val="nil"/>
              <w:right w:val="nil"/>
            </w:tcBorders>
          </w:tcPr>
          <w:p w14:paraId="4B705973" w14:textId="77777777" w:rsidR="00A6611C" w:rsidRPr="00A6611C" w:rsidRDefault="00A6611C" w:rsidP="00A6611C">
            <w:pPr>
              <w:ind w:left="227" w:hanging="227"/>
              <w:jc w:val="right"/>
              <w:rPr>
                <w:rFonts w:ascii="Calibri" w:hAnsi="Calibri"/>
                <w:sz w:val="20"/>
                <w:szCs w:val="20"/>
                <w:lang w:eastAsia="en-AU"/>
              </w:rPr>
            </w:pPr>
          </w:p>
        </w:tc>
        <w:tc>
          <w:tcPr>
            <w:tcW w:w="921" w:type="dxa"/>
            <w:tcBorders>
              <w:left w:val="nil"/>
              <w:bottom w:val="nil"/>
              <w:right w:val="nil"/>
            </w:tcBorders>
          </w:tcPr>
          <w:p w14:paraId="30245BEF" w14:textId="77777777" w:rsidR="00A6611C" w:rsidRPr="00A6611C" w:rsidRDefault="00A6611C" w:rsidP="00A6611C">
            <w:pPr>
              <w:ind w:left="227" w:hanging="227"/>
              <w:jc w:val="right"/>
              <w:rPr>
                <w:rFonts w:ascii="Calibri" w:hAnsi="Calibri"/>
                <w:sz w:val="20"/>
                <w:szCs w:val="20"/>
                <w:lang w:eastAsia="en-AU"/>
              </w:rPr>
            </w:pPr>
          </w:p>
        </w:tc>
      </w:tr>
      <w:tr w:rsidR="00A6611C" w:rsidRPr="00A6611C" w14:paraId="3161DE37" w14:textId="77777777" w:rsidTr="004046B9">
        <w:trPr>
          <w:trHeight w:val="227"/>
        </w:trPr>
        <w:tc>
          <w:tcPr>
            <w:tcW w:w="4820" w:type="dxa"/>
            <w:tcBorders>
              <w:left w:val="nil"/>
              <w:bottom w:val="single" w:sz="4" w:space="0" w:color="auto"/>
              <w:right w:val="nil"/>
            </w:tcBorders>
          </w:tcPr>
          <w:p w14:paraId="391BD65C" w14:textId="77777777" w:rsidR="00A6611C" w:rsidRPr="00A6611C" w:rsidRDefault="00A6611C" w:rsidP="00A6611C">
            <w:pPr>
              <w:ind w:left="227" w:hanging="227"/>
              <w:rPr>
                <w:rFonts w:ascii="Calibri" w:hAnsi="Calibri"/>
                <w:sz w:val="20"/>
                <w:szCs w:val="20"/>
                <w:vertAlign w:val="superscript"/>
                <w:lang w:eastAsia="en-AU"/>
              </w:rPr>
            </w:pPr>
            <w:r w:rsidRPr="00A6611C">
              <w:rPr>
                <w:rFonts w:ascii="Calibri" w:hAnsi="Calibri"/>
                <w:bCs/>
                <w:color w:val="000000"/>
                <w:sz w:val="20"/>
                <w:szCs w:val="20"/>
                <w:lang w:eastAsia="en-AU"/>
              </w:rPr>
              <w:t xml:space="preserve">Supporting smarter working in the new ACT Government office projects </w:t>
            </w:r>
            <w:r w:rsidRPr="00A6611C">
              <w:rPr>
                <w:rFonts w:ascii="Calibri" w:hAnsi="Calibri"/>
                <w:bCs/>
                <w:color w:val="000000"/>
                <w:sz w:val="20"/>
                <w:szCs w:val="20"/>
                <w:vertAlign w:val="superscript"/>
                <w:lang w:eastAsia="en-AU"/>
              </w:rPr>
              <w:t>2</w:t>
            </w:r>
          </w:p>
        </w:tc>
        <w:tc>
          <w:tcPr>
            <w:tcW w:w="1119" w:type="dxa"/>
            <w:tcBorders>
              <w:left w:val="nil"/>
              <w:bottom w:val="single" w:sz="4" w:space="0" w:color="auto"/>
              <w:right w:val="nil"/>
            </w:tcBorders>
          </w:tcPr>
          <w:p w14:paraId="7BFB5904"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6,510</w:t>
            </w:r>
          </w:p>
        </w:tc>
        <w:tc>
          <w:tcPr>
            <w:tcW w:w="926" w:type="dxa"/>
            <w:tcBorders>
              <w:left w:val="nil"/>
              <w:bottom w:val="single" w:sz="4" w:space="0" w:color="auto"/>
              <w:right w:val="nil"/>
            </w:tcBorders>
          </w:tcPr>
          <w:p w14:paraId="7492E73C"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3,374</w:t>
            </w:r>
          </w:p>
        </w:tc>
        <w:tc>
          <w:tcPr>
            <w:tcW w:w="931" w:type="dxa"/>
            <w:tcBorders>
              <w:left w:val="nil"/>
              <w:bottom w:val="single" w:sz="4" w:space="0" w:color="auto"/>
              <w:right w:val="nil"/>
            </w:tcBorders>
          </w:tcPr>
          <w:p w14:paraId="42BDE182"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0</w:t>
            </w:r>
          </w:p>
        </w:tc>
        <w:tc>
          <w:tcPr>
            <w:tcW w:w="921" w:type="dxa"/>
            <w:tcBorders>
              <w:left w:val="nil"/>
              <w:bottom w:val="single" w:sz="4" w:space="0" w:color="auto"/>
              <w:right w:val="nil"/>
            </w:tcBorders>
          </w:tcPr>
          <w:p w14:paraId="098103AF"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0</w:t>
            </w:r>
          </w:p>
        </w:tc>
        <w:tc>
          <w:tcPr>
            <w:tcW w:w="921" w:type="dxa"/>
            <w:tcBorders>
              <w:left w:val="nil"/>
              <w:bottom w:val="single" w:sz="4" w:space="0" w:color="auto"/>
              <w:right w:val="nil"/>
            </w:tcBorders>
          </w:tcPr>
          <w:p w14:paraId="357700AE"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9,884</w:t>
            </w:r>
          </w:p>
        </w:tc>
      </w:tr>
      <w:tr w:rsidR="00A6611C" w:rsidRPr="00A6611C" w14:paraId="2C7FE3C6" w14:textId="77777777" w:rsidTr="004046B9">
        <w:trPr>
          <w:trHeight w:val="227"/>
        </w:trPr>
        <w:tc>
          <w:tcPr>
            <w:tcW w:w="4820" w:type="dxa"/>
            <w:tcBorders>
              <w:top w:val="single" w:sz="4" w:space="0" w:color="auto"/>
              <w:left w:val="nil"/>
              <w:bottom w:val="single" w:sz="4" w:space="0" w:color="auto"/>
              <w:right w:val="nil"/>
            </w:tcBorders>
          </w:tcPr>
          <w:p w14:paraId="1296B701" w14:textId="77777777" w:rsidR="00A6611C" w:rsidRPr="00A6611C" w:rsidRDefault="00A6611C" w:rsidP="00A6611C">
            <w:pPr>
              <w:ind w:left="227" w:hanging="227"/>
              <w:jc w:val="right"/>
              <w:rPr>
                <w:rFonts w:ascii="Calibri" w:hAnsi="Calibri"/>
                <w:b/>
                <w:sz w:val="20"/>
                <w:szCs w:val="20"/>
                <w:lang w:eastAsia="en-AU"/>
              </w:rPr>
            </w:pPr>
            <w:r w:rsidRPr="00A6611C">
              <w:rPr>
                <w:rFonts w:ascii="Calibri" w:hAnsi="Calibri"/>
                <w:b/>
                <w:sz w:val="20"/>
                <w:szCs w:val="20"/>
                <w:lang w:eastAsia="en-AU"/>
              </w:rPr>
              <w:t>Total</w:t>
            </w:r>
          </w:p>
        </w:tc>
        <w:tc>
          <w:tcPr>
            <w:tcW w:w="1119" w:type="dxa"/>
            <w:tcBorders>
              <w:top w:val="single" w:sz="4" w:space="0" w:color="auto"/>
              <w:left w:val="nil"/>
              <w:bottom w:val="single" w:sz="4" w:space="0" w:color="auto"/>
              <w:right w:val="nil"/>
            </w:tcBorders>
          </w:tcPr>
          <w:p w14:paraId="3AF75EBB" w14:textId="77777777" w:rsidR="00A6611C" w:rsidRPr="00A6611C" w:rsidRDefault="00A6611C" w:rsidP="00A6611C">
            <w:pPr>
              <w:ind w:left="227" w:hanging="227"/>
              <w:jc w:val="right"/>
              <w:rPr>
                <w:rFonts w:ascii="Calibri" w:hAnsi="Calibri"/>
                <w:b/>
                <w:sz w:val="20"/>
                <w:szCs w:val="20"/>
                <w:lang w:eastAsia="en-AU"/>
              </w:rPr>
            </w:pPr>
            <w:r w:rsidRPr="00A6611C">
              <w:rPr>
                <w:rFonts w:ascii="Calibri" w:hAnsi="Calibri"/>
                <w:b/>
                <w:sz w:val="20"/>
                <w:szCs w:val="20"/>
                <w:lang w:eastAsia="en-AU"/>
              </w:rPr>
              <w:t>37,765</w:t>
            </w:r>
          </w:p>
        </w:tc>
        <w:tc>
          <w:tcPr>
            <w:tcW w:w="926" w:type="dxa"/>
            <w:tcBorders>
              <w:top w:val="single" w:sz="4" w:space="0" w:color="auto"/>
              <w:left w:val="nil"/>
              <w:bottom w:val="single" w:sz="4" w:space="0" w:color="auto"/>
              <w:right w:val="nil"/>
            </w:tcBorders>
          </w:tcPr>
          <w:p w14:paraId="3EF9FCB5" w14:textId="77777777" w:rsidR="00A6611C" w:rsidRPr="00A6611C" w:rsidRDefault="00A6611C" w:rsidP="00A6611C">
            <w:pPr>
              <w:ind w:left="227" w:hanging="227"/>
              <w:jc w:val="right"/>
              <w:rPr>
                <w:rFonts w:ascii="Calibri" w:hAnsi="Calibri"/>
                <w:b/>
                <w:sz w:val="20"/>
                <w:szCs w:val="20"/>
                <w:lang w:eastAsia="en-AU"/>
              </w:rPr>
            </w:pPr>
            <w:r w:rsidRPr="00A6611C">
              <w:rPr>
                <w:rFonts w:ascii="Calibri" w:hAnsi="Calibri"/>
                <w:b/>
                <w:sz w:val="20"/>
                <w:szCs w:val="20"/>
                <w:lang w:eastAsia="en-AU"/>
              </w:rPr>
              <w:t>35,482</w:t>
            </w:r>
          </w:p>
        </w:tc>
        <w:tc>
          <w:tcPr>
            <w:tcW w:w="931" w:type="dxa"/>
            <w:tcBorders>
              <w:top w:val="single" w:sz="4" w:space="0" w:color="auto"/>
              <w:left w:val="nil"/>
              <w:bottom w:val="single" w:sz="4" w:space="0" w:color="auto"/>
              <w:right w:val="nil"/>
            </w:tcBorders>
          </w:tcPr>
          <w:p w14:paraId="17607E41" w14:textId="77777777" w:rsidR="00A6611C" w:rsidRPr="00A6611C" w:rsidRDefault="00A6611C" w:rsidP="00A6611C">
            <w:pPr>
              <w:ind w:left="227" w:hanging="227"/>
              <w:jc w:val="right"/>
              <w:rPr>
                <w:rFonts w:ascii="Calibri" w:hAnsi="Calibri"/>
                <w:b/>
                <w:sz w:val="20"/>
                <w:szCs w:val="20"/>
                <w:lang w:eastAsia="en-AU"/>
              </w:rPr>
            </w:pPr>
            <w:r w:rsidRPr="00A6611C">
              <w:rPr>
                <w:rFonts w:ascii="Calibri" w:hAnsi="Calibri"/>
                <w:b/>
                <w:sz w:val="20"/>
                <w:szCs w:val="20"/>
                <w:lang w:eastAsia="en-AU"/>
              </w:rPr>
              <w:t>9,875</w:t>
            </w:r>
          </w:p>
        </w:tc>
        <w:tc>
          <w:tcPr>
            <w:tcW w:w="921" w:type="dxa"/>
            <w:tcBorders>
              <w:top w:val="single" w:sz="4" w:space="0" w:color="auto"/>
              <w:left w:val="nil"/>
              <w:bottom w:val="single" w:sz="4" w:space="0" w:color="auto"/>
              <w:right w:val="nil"/>
            </w:tcBorders>
          </w:tcPr>
          <w:p w14:paraId="6BD83690" w14:textId="77777777" w:rsidR="00A6611C" w:rsidRPr="00A6611C" w:rsidRDefault="00A6611C" w:rsidP="00A6611C">
            <w:pPr>
              <w:ind w:left="227" w:hanging="227"/>
              <w:jc w:val="right"/>
              <w:rPr>
                <w:rFonts w:ascii="Calibri" w:hAnsi="Calibri"/>
                <w:b/>
                <w:sz w:val="20"/>
                <w:szCs w:val="20"/>
                <w:lang w:eastAsia="en-AU"/>
              </w:rPr>
            </w:pPr>
            <w:r w:rsidRPr="00A6611C">
              <w:rPr>
                <w:rFonts w:ascii="Calibri" w:hAnsi="Calibri"/>
                <w:b/>
                <w:sz w:val="20"/>
                <w:szCs w:val="20"/>
                <w:lang w:eastAsia="en-AU"/>
              </w:rPr>
              <w:t>250</w:t>
            </w:r>
          </w:p>
        </w:tc>
        <w:tc>
          <w:tcPr>
            <w:tcW w:w="921" w:type="dxa"/>
            <w:tcBorders>
              <w:top w:val="single" w:sz="4" w:space="0" w:color="auto"/>
              <w:left w:val="nil"/>
              <w:bottom w:val="single" w:sz="4" w:space="0" w:color="auto"/>
              <w:right w:val="nil"/>
            </w:tcBorders>
          </w:tcPr>
          <w:p w14:paraId="60B21FEE" w14:textId="77777777" w:rsidR="00A6611C" w:rsidRPr="00A6611C" w:rsidRDefault="00A6611C" w:rsidP="00A6611C">
            <w:pPr>
              <w:ind w:left="227" w:hanging="227"/>
              <w:jc w:val="right"/>
              <w:rPr>
                <w:rFonts w:ascii="Calibri" w:hAnsi="Calibri"/>
                <w:b/>
                <w:sz w:val="20"/>
                <w:szCs w:val="20"/>
                <w:lang w:eastAsia="en-AU"/>
              </w:rPr>
            </w:pPr>
            <w:r w:rsidRPr="00A6611C">
              <w:rPr>
                <w:rFonts w:ascii="Calibri" w:hAnsi="Calibri"/>
                <w:b/>
                <w:sz w:val="20"/>
                <w:szCs w:val="20"/>
                <w:lang w:eastAsia="en-AU"/>
              </w:rPr>
              <w:t>83,372</w:t>
            </w:r>
          </w:p>
        </w:tc>
      </w:tr>
    </w:tbl>
    <w:p w14:paraId="4151F580" w14:textId="77777777" w:rsidR="00A6611C" w:rsidRPr="00A6611C" w:rsidRDefault="00A6611C" w:rsidP="003B4CAB">
      <w:pPr>
        <w:pStyle w:val="snapNotesheading"/>
        <w:rPr>
          <w:b w:val="0"/>
        </w:rPr>
      </w:pPr>
      <w:r w:rsidRPr="00A6611C">
        <w:t xml:space="preserve">Notes: </w:t>
      </w:r>
    </w:p>
    <w:p w14:paraId="00440FC9" w14:textId="77777777" w:rsidR="00A6611C" w:rsidRPr="00A6611C" w:rsidRDefault="00A6611C" w:rsidP="003B4CAB">
      <w:pPr>
        <w:pStyle w:val="snapNotesbody"/>
      </w:pPr>
      <w:r w:rsidRPr="00A6611C">
        <w:t>1. This initiative has a revenue component; this is listed in the summary table in Revenue initiatives (Chapter 3.4).</w:t>
      </w:r>
    </w:p>
    <w:p w14:paraId="4E1E5528" w14:textId="77777777" w:rsidR="00A6611C" w:rsidRPr="00A6611C" w:rsidRDefault="00A6611C" w:rsidP="003B4CAB">
      <w:pPr>
        <w:pStyle w:val="snapNotesbody"/>
      </w:pPr>
      <w:r w:rsidRPr="00A6611C">
        <w:t>2. This initiative has an expense component; this is listed in the summary table in Expense initiatives (Chapter 3.2).</w:t>
      </w:r>
    </w:p>
    <w:p w14:paraId="6125621F" w14:textId="77777777" w:rsidR="00A6611C" w:rsidRPr="00A6611C" w:rsidRDefault="00A6611C" w:rsidP="003B4CAB">
      <w:pPr>
        <w:pStyle w:val="snapTabletitle"/>
        <w:rPr>
          <w:b w:val="0"/>
          <w:bCs w:val="0"/>
        </w:rPr>
      </w:pPr>
      <w:r w:rsidRPr="00A6611C">
        <w:t>Table 3.4.2: Summary of revenue initiatives by agency</w:t>
      </w:r>
    </w:p>
    <w:tbl>
      <w:tblPr>
        <w:tblW w:w="5000" w:type="pct"/>
        <w:tblLayout w:type="fixed"/>
        <w:tblCellMar>
          <w:left w:w="30" w:type="dxa"/>
          <w:right w:w="30" w:type="dxa"/>
        </w:tblCellMar>
        <w:tblLook w:val="0000" w:firstRow="0" w:lastRow="0" w:firstColumn="0" w:lastColumn="0" w:noHBand="0" w:noVBand="0"/>
      </w:tblPr>
      <w:tblGrid>
        <w:gridCol w:w="3681"/>
        <w:gridCol w:w="1189"/>
        <w:gridCol w:w="1192"/>
        <w:gridCol w:w="1192"/>
        <w:gridCol w:w="1192"/>
        <w:gridCol w:w="1192"/>
      </w:tblGrid>
      <w:tr w:rsidR="00A6611C" w:rsidRPr="00A6611C" w14:paraId="5F6922D2" w14:textId="77777777" w:rsidTr="002E5D27">
        <w:trPr>
          <w:cantSplit/>
          <w:trHeight w:val="227"/>
          <w:tblHeader/>
        </w:trPr>
        <w:tc>
          <w:tcPr>
            <w:tcW w:w="3681" w:type="dxa"/>
            <w:tcBorders>
              <w:top w:val="single" w:sz="4" w:space="0" w:color="auto"/>
              <w:left w:val="nil"/>
              <w:bottom w:val="single" w:sz="4" w:space="0" w:color="auto"/>
              <w:right w:val="nil"/>
            </w:tcBorders>
            <w:shd w:val="clear" w:color="auto" w:fill="auto"/>
            <w:vAlign w:val="center"/>
          </w:tcPr>
          <w:p w14:paraId="723230C6" w14:textId="77777777" w:rsidR="00A6611C" w:rsidRPr="00A6611C" w:rsidRDefault="00A6611C" w:rsidP="00A6611C">
            <w:pPr>
              <w:spacing w:before="200" w:after="200"/>
              <w:rPr>
                <w:rFonts w:ascii="Calibri" w:hAnsi="Calibri"/>
                <w:b/>
                <w:bCs/>
                <w:sz w:val="20"/>
                <w:szCs w:val="20"/>
                <w:lang w:eastAsia="en-AU"/>
              </w:rPr>
            </w:pPr>
            <w:r w:rsidRPr="00A6611C">
              <w:rPr>
                <w:rFonts w:ascii="Calibri" w:hAnsi="Calibri"/>
                <w:b/>
                <w:bCs/>
                <w:sz w:val="20"/>
                <w:szCs w:val="20"/>
                <w:lang w:eastAsia="en-AU"/>
              </w:rPr>
              <w:t xml:space="preserve">Revenue initiatives </w:t>
            </w:r>
          </w:p>
        </w:tc>
        <w:tc>
          <w:tcPr>
            <w:tcW w:w="1189" w:type="dxa"/>
            <w:tcBorders>
              <w:top w:val="single" w:sz="4" w:space="0" w:color="auto"/>
              <w:left w:val="nil"/>
              <w:bottom w:val="single" w:sz="4" w:space="0" w:color="auto"/>
              <w:right w:val="nil"/>
            </w:tcBorders>
            <w:shd w:val="clear" w:color="auto" w:fill="auto"/>
          </w:tcPr>
          <w:p w14:paraId="0A862341" w14:textId="77777777" w:rsidR="00A6611C" w:rsidRPr="00A6611C" w:rsidRDefault="00A6611C" w:rsidP="00A6611C">
            <w:pPr>
              <w:jc w:val="right"/>
              <w:rPr>
                <w:rFonts w:ascii="Calibri" w:hAnsi="Calibri"/>
                <w:b/>
                <w:bCs/>
                <w:snapToGrid w:val="0"/>
                <w:sz w:val="20"/>
                <w:szCs w:val="20"/>
                <w:lang w:eastAsia="en-US"/>
              </w:rPr>
            </w:pPr>
            <w:r w:rsidRPr="00A6611C">
              <w:rPr>
                <w:rFonts w:ascii="Calibri" w:hAnsi="Calibri"/>
                <w:b/>
                <w:bCs/>
                <w:snapToGrid w:val="0"/>
                <w:sz w:val="20"/>
                <w:szCs w:val="20"/>
                <w:lang w:eastAsia="en-US"/>
              </w:rPr>
              <w:t>2019-20</w:t>
            </w:r>
          </w:p>
          <w:p w14:paraId="570329E3" w14:textId="77777777" w:rsidR="00A6611C" w:rsidRPr="00A6611C" w:rsidRDefault="00A6611C" w:rsidP="00A6611C">
            <w:pPr>
              <w:jc w:val="right"/>
              <w:rPr>
                <w:rFonts w:ascii="Calibri" w:hAnsi="Calibri"/>
                <w:b/>
                <w:bCs/>
                <w:sz w:val="20"/>
                <w:szCs w:val="20"/>
                <w:lang w:eastAsia="en-US"/>
              </w:rPr>
            </w:pPr>
            <w:r w:rsidRPr="00A6611C">
              <w:rPr>
                <w:rFonts w:ascii="Calibri" w:hAnsi="Calibri"/>
                <w:b/>
                <w:bCs/>
                <w:sz w:val="20"/>
                <w:szCs w:val="20"/>
                <w:lang w:eastAsia="en-US"/>
              </w:rPr>
              <w:t>Estimate</w:t>
            </w:r>
          </w:p>
          <w:p w14:paraId="2F6AC8ED" w14:textId="77777777" w:rsidR="00A6611C" w:rsidRPr="00A6611C" w:rsidRDefault="00A6611C" w:rsidP="00A6611C">
            <w:pPr>
              <w:jc w:val="right"/>
              <w:rPr>
                <w:rFonts w:ascii="Calibri" w:hAnsi="Calibri"/>
                <w:b/>
                <w:bCs/>
                <w:snapToGrid w:val="0"/>
                <w:sz w:val="20"/>
                <w:szCs w:val="20"/>
                <w:lang w:eastAsia="en-US"/>
              </w:rPr>
            </w:pPr>
            <w:r w:rsidRPr="00A6611C">
              <w:rPr>
                <w:rFonts w:ascii="Calibri" w:hAnsi="Calibri"/>
                <w:b/>
                <w:bCs/>
                <w:sz w:val="20"/>
                <w:szCs w:val="20"/>
                <w:lang w:eastAsia="en-US"/>
              </w:rPr>
              <w:t>$’000</w:t>
            </w:r>
          </w:p>
        </w:tc>
        <w:tc>
          <w:tcPr>
            <w:tcW w:w="1192" w:type="dxa"/>
            <w:tcBorders>
              <w:top w:val="single" w:sz="4" w:space="0" w:color="auto"/>
              <w:left w:val="nil"/>
              <w:bottom w:val="single" w:sz="4" w:space="0" w:color="auto"/>
              <w:right w:val="nil"/>
            </w:tcBorders>
            <w:shd w:val="clear" w:color="auto" w:fill="auto"/>
          </w:tcPr>
          <w:p w14:paraId="2EAAEF4F" w14:textId="77777777" w:rsidR="00A6611C" w:rsidRPr="00A6611C" w:rsidRDefault="00A6611C" w:rsidP="00A6611C">
            <w:pPr>
              <w:jc w:val="right"/>
              <w:rPr>
                <w:rFonts w:ascii="Calibri" w:hAnsi="Calibri"/>
                <w:b/>
                <w:bCs/>
                <w:snapToGrid w:val="0"/>
                <w:sz w:val="20"/>
                <w:szCs w:val="20"/>
                <w:lang w:eastAsia="en-US"/>
              </w:rPr>
            </w:pPr>
            <w:r w:rsidRPr="00A6611C">
              <w:rPr>
                <w:rFonts w:ascii="Calibri" w:hAnsi="Calibri"/>
                <w:b/>
                <w:bCs/>
                <w:snapToGrid w:val="0"/>
                <w:sz w:val="20"/>
                <w:szCs w:val="20"/>
                <w:lang w:eastAsia="en-US"/>
              </w:rPr>
              <w:t>2020-21</w:t>
            </w:r>
          </w:p>
          <w:p w14:paraId="6EAB80EA" w14:textId="77777777" w:rsidR="00A6611C" w:rsidRPr="00A6611C" w:rsidRDefault="00A6611C" w:rsidP="00A6611C">
            <w:pPr>
              <w:jc w:val="right"/>
              <w:rPr>
                <w:rFonts w:ascii="Calibri" w:hAnsi="Calibri"/>
                <w:b/>
                <w:bCs/>
                <w:sz w:val="20"/>
                <w:szCs w:val="20"/>
                <w:lang w:eastAsia="en-US"/>
              </w:rPr>
            </w:pPr>
            <w:r w:rsidRPr="00A6611C">
              <w:rPr>
                <w:rFonts w:ascii="Calibri" w:hAnsi="Calibri"/>
                <w:b/>
                <w:bCs/>
                <w:sz w:val="20"/>
                <w:szCs w:val="20"/>
                <w:lang w:eastAsia="en-US"/>
              </w:rPr>
              <w:t>Estimate</w:t>
            </w:r>
          </w:p>
          <w:p w14:paraId="447D7B55" w14:textId="77777777" w:rsidR="00A6611C" w:rsidRPr="00A6611C" w:rsidRDefault="00A6611C" w:rsidP="00A6611C">
            <w:pPr>
              <w:jc w:val="right"/>
              <w:rPr>
                <w:rFonts w:ascii="Calibri" w:hAnsi="Calibri"/>
                <w:b/>
                <w:bCs/>
                <w:snapToGrid w:val="0"/>
                <w:sz w:val="20"/>
                <w:szCs w:val="20"/>
                <w:lang w:eastAsia="en-US"/>
              </w:rPr>
            </w:pPr>
            <w:r w:rsidRPr="00A6611C">
              <w:rPr>
                <w:rFonts w:ascii="Calibri" w:hAnsi="Calibri"/>
                <w:b/>
                <w:bCs/>
                <w:sz w:val="20"/>
                <w:szCs w:val="20"/>
                <w:lang w:eastAsia="en-US"/>
              </w:rPr>
              <w:t>$’000</w:t>
            </w:r>
          </w:p>
        </w:tc>
        <w:tc>
          <w:tcPr>
            <w:tcW w:w="1192" w:type="dxa"/>
            <w:tcBorders>
              <w:top w:val="single" w:sz="4" w:space="0" w:color="auto"/>
              <w:left w:val="nil"/>
              <w:bottom w:val="single" w:sz="4" w:space="0" w:color="auto"/>
              <w:right w:val="nil"/>
            </w:tcBorders>
            <w:shd w:val="clear" w:color="auto" w:fill="auto"/>
          </w:tcPr>
          <w:p w14:paraId="1CF13C21" w14:textId="77777777" w:rsidR="00A6611C" w:rsidRPr="00A6611C" w:rsidRDefault="00A6611C" w:rsidP="00A6611C">
            <w:pPr>
              <w:jc w:val="right"/>
              <w:rPr>
                <w:rFonts w:ascii="Calibri" w:hAnsi="Calibri"/>
                <w:b/>
                <w:bCs/>
                <w:snapToGrid w:val="0"/>
                <w:sz w:val="20"/>
                <w:szCs w:val="20"/>
                <w:lang w:eastAsia="en-US"/>
              </w:rPr>
            </w:pPr>
            <w:r w:rsidRPr="00A6611C">
              <w:rPr>
                <w:rFonts w:ascii="Calibri" w:hAnsi="Calibri"/>
                <w:b/>
                <w:bCs/>
                <w:snapToGrid w:val="0"/>
                <w:sz w:val="20"/>
                <w:szCs w:val="20"/>
                <w:lang w:eastAsia="en-US"/>
              </w:rPr>
              <w:t>2021-22</w:t>
            </w:r>
          </w:p>
          <w:p w14:paraId="6D9C8611" w14:textId="77777777" w:rsidR="00A6611C" w:rsidRPr="00A6611C" w:rsidRDefault="00A6611C" w:rsidP="00A6611C">
            <w:pPr>
              <w:jc w:val="right"/>
              <w:rPr>
                <w:rFonts w:ascii="Calibri" w:hAnsi="Calibri"/>
                <w:b/>
                <w:bCs/>
                <w:sz w:val="20"/>
                <w:szCs w:val="20"/>
                <w:lang w:eastAsia="en-US"/>
              </w:rPr>
            </w:pPr>
            <w:r w:rsidRPr="00A6611C">
              <w:rPr>
                <w:rFonts w:ascii="Calibri" w:hAnsi="Calibri"/>
                <w:b/>
                <w:bCs/>
                <w:sz w:val="20"/>
                <w:szCs w:val="20"/>
                <w:lang w:eastAsia="en-US"/>
              </w:rPr>
              <w:t>Estimate</w:t>
            </w:r>
          </w:p>
          <w:p w14:paraId="28D03057" w14:textId="77777777" w:rsidR="00A6611C" w:rsidRPr="00A6611C" w:rsidRDefault="00A6611C" w:rsidP="00A6611C">
            <w:pPr>
              <w:jc w:val="right"/>
              <w:rPr>
                <w:rFonts w:ascii="Calibri" w:hAnsi="Calibri"/>
                <w:b/>
                <w:bCs/>
                <w:snapToGrid w:val="0"/>
                <w:sz w:val="20"/>
                <w:szCs w:val="20"/>
                <w:lang w:eastAsia="en-US"/>
              </w:rPr>
            </w:pPr>
            <w:r w:rsidRPr="00A6611C">
              <w:rPr>
                <w:rFonts w:ascii="Calibri" w:hAnsi="Calibri"/>
                <w:b/>
                <w:bCs/>
                <w:sz w:val="20"/>
                <w:szCs w:val="20"/>
                <w:lang w:eastAsia="en-US"/>
              </w:rPr>
              <w:t>$’000</w:t>
            </w:r>
          </w:p>
        </w:tc>
        <w:tc>
          <w:tcPr>
            <w:tcW w:w="1192" w:type="dxa"/>
            <w:tcBorders>
              <w:top w:val="single" w:sz="4" w:space="0" w:color="auto"/>
              <w:left w:val="nil"/>
              <w:bottom w:val="single" w:sz="4" w:space="0" w:color="auto"/>
              <w:right w:val="nil"/>
            </w:tcBorders>
            <w:shd w:val="clear" w:color="auto" w:fill="auto"/>
          </w:tcPr>
          <w:p w14:paraId="55DB3E50" w14:textId="77777777" w:rsidR="00A6611C" w:rsidRPr="00A6611C" w:rsidRDefault="00A6611C" w:rsidP="00A6611C">
            <w:pPr>
              <w:jc w:val="right"/>
              <w:rPr>
                <w:rFonts w:ascii="Calibri" w:hAnsi="Calibri"/>
                <w:b/>
                <w:bCs/>
                <w:snapToGrid w:val="0"/>
                <w:sz w:val="20"/>
                <w:szCs w:val="20"/>
                <w:lang w:eastAsia="en-US"/>
              </w:rPr>
            </w:pPr>
            <w:r w:rsidRPr="00A6611C">
              <w:rPr>
                <w:rFonts w:ascii="Calibri" w:hAnsi="Calibri"/>
                <w:b/>
                <w:bCs/>
                <w:snapToGrid w:val="0"/>
                <w:sz w:val="20"/>
                <w:szCs w:val="20"/>
                <w:lang w:eastAsia="en-US"/>
              </w:rPr>
              <w:t>2022-23</w:t>
            </w:r>
          </w:p>
          <w:p w14:paraId="56F2728E" w14:textId="77777777" w:rsidR="00A6611C" w:rsidRPr="00A6611C" w:rsidRDefault="00A6611C" w:rsidP="00A6611C">
            <w:pPr>
              <w:jc w:val="right"/>
              <w:rPr>
                <w:rFonts w:ascii="Calibri" w:hAnsi="Calibri"/>
                <w:b/>
                <w:bCs/>
                <w:sz w:val="20"/>
                <w:szCs w:val="20"/>
                <w:lang w:eastAsia="en-US"/>
              </w:rPr>
            </w:pPr>
            <w:r w:rsidRPr="00A6611C">
              <w:rPr>
                <w:rFonts w:ascii="Calibri" w:hAnsi="Calibri"/>
                <w:b/>
                <w:bCs/>
                <w:sz w:val="20"/>
                <w:szCs w:val="20"/>
                <w:lang w:eastAsia="en-US"/>
              </w:rPr>
              <w:t>Estimate</w:t>
            </w:r>
          </w:p>
          <w:p w14:paraId="2E219637" w14:textId="77777777" w:rsidR="00A6611C" w:rsidRPr="00A6611C" w:rsidRDefault="00A6611C" w:rsidP="00A6611C">
            <w:pPr>
              <w:jc w:val="right"/>
              <w:rPr>
                <w:rFonts w:ascii="Calibri" w:hAnsi="Calibri"/>
                <w:b/>
                <w:bCs/>
                <w:snapToGrid w:val="0"/>
                <w:sz w:val="20"/>
                <w:szCs w:val="20"/>
                <w:lang w:eastAsia="en-US"/>
              </w:rPr>
            </w:pPr>
            <w:r w:rsidRPr="00A6611C">
              <w:rPr>
                <w:rFonts w:ascii="Calibri" w:hAnsi="Calibri"/>
                <w:b/>
                <w:bCs/>
                <w:sz w:val="20"/>
                <w:szCs w:val="20"/>
                <w:lang w:eastAsia="en-US"/>
              </w:rPr>
              <w:t>$’000</w:t>
            </w:r>
          </w:p>
        </w:tc>
        <w:tc>
          <w:tcPr>
            <w:tcW w:w="1192" w:type="dxa"/>
            <w:tcBorders>
              <w:top w:val="single" w:sz="4" w:space="0" w:color="auto"/>
              <w:left w:val="nil"/>
              <w:bottom w:val="single" w:sz="4" w:space="0" w:color="auto"/>
              <w:right w:val="nil"/>
            </w:tcBorders>
            <w:shd w:val="clear" w:color="auto" w:fill="auto"/>
          </w:tcPr>
          <w:p w14:paraId="598C93A5" w14:textId="77777777" w:rsidR="00A6611C" w:rsidRPr="00A6611C" w:rsidRDefault="00A6611C" w:rsidP="00A6611C">
            <w:pPr>
              <w:jc w:val="right"/>
              <w:rPr>
                <w:rFonts w:ascii="Calibri" w:hAnsi="Calibri"/>
                <w:b/>
                <w:bCs/>
                <w:snapToGrid w:val="0"/>
                <w:sz w:val="20"/>
                <w:szCs w:val="20"/>
                <w:lang w:eastAsia="en-US"/>
              </w:rPr>
            </w:pPr>
            <w:r w:rsidRPr="00A6611C">
              <w:rPr>
                <w:rFonts w:ascii="Calibri" w:hAnsi="Calibri"/>
                <w:b/>
                <w:bCs/>
                <w:snapToGrid w:val="0"/>
                <w:sz w:val="20"/>
                <w:szCs w:val="20"/>
                <w:lang w:eastAsia="en-US"/>
              </w:rPr>
              <w:t>Total</w:t>
            </w:r>
          </w:p>
          <w:p w14:paraId="01090EB7" w14:textId="77777777" w:rsidR="00A6611C" w:rsidRPr="00A6611C" w:rsidRDefault="00A6611C" w:rsidP="00A6611C">
            <w:pPr>
              <w:jc w:val="right"/>
              <w:rPr>
                <w:rFonts w:ascii="Calibri" w:hAnsi="Calibri"/>
                <w:b/>
                <w:bCs/>
                <w:snapToGrid w:val="0"/>
                <w:sz w:val="20"/>
                <w:szCs w:val="20"/>
                <w:lang w:eastAsia="en-US"/>
              </w:rPr>
            </w:pPr>
          </w:p>
          <w:p w14:paraId="538639ED" w14:textId="77777777" w:rsidR="00A6611C" w:rsidRPr="00A6611C" w:rsidRDefault="00A6611C" w:rsidP="00A6611C">
            <w:pPr>
              <w:jc w:val="right"/>
              <w:rPr>
                <w:rFonts w:ascii="Calibri" w:hAnsi="Calibri"/>
                <w:b/>
                <w:bCs/>
                <w:snapToGrid w:val="0"/>
                <w:sz w:val="20"/>
                <w:szCs w:val="20"/>
                <w:lang w:eastAsia="en-US"/>
              </w:rPr>
            </w:pPr>
            <w:r w:rsidRPr="00A6611C">
              <w:rPr>
                <w:rFonts w:ascii="Calibri" w:hAnsi="Calibri"/>
                <w:b/>
                <w:bCs/>
                <w:snapToGrid w:val="0"/>
                <w:sz w:val="20"/>
                <w:szCs w:val="20"/>
                <w:lang w:eastAsia="en-US"/>
              </w:rPr>
              <w:t>$’000</w:t>
            </w:r>
          </w:p>
        </w:tc>
      </w:tr>
      <w:tr w:rsidR="00A6611C" w:rsidRPr="00A6611C" w14:paraId="3E1526A0" w14:textId="77777777" w:rsidTr="002E5D27">
        <w:trPr>
          <w:cantSplit/>
          <w:trHeight w:val="227"/>
        </w:trPr>
        <w:tc>
          <w:tcPr>
            <w:tcW w:w="3681" w:type="dxa"/>
            <w:tcBorders>
              <w:top w:val="single" w:sz="4" w:space="0" w:color="auto"/>
            </w:tcBorders>
            <w:shd w:val="clear" w:color="auto" w:fill="auto"/>
          </w:tcPr>
          <w:p w14:paraId="5F69C2E8" w14:textId="77777777" w:rsidR="00A6611C" w:rsidRPr="00A6611C" w:rsidRDefault="00A6611C" w:rsidP="00A6611C">
            <w:pPr>
              <w:jc w:val="right"/>
              <w:rPr>
                <w:rFonts w:ascii="Calibri" w:hAnsi="Calibri" w:cs="Calibri"/>
                <w:color w:val="FFFFFF"/>
                <w:sz w:val="12"/>
                <w:szCs w:val="20"/>
                <w:lang w:eastAsia="en-US"/>
              </w:rPr>
            </w:pPr>
            <w:r w:rsidRPr="00A6611C">
              <w:rPr>
                <w:rFonts w:ascii="Calibri" w:hAnsi="Calibri" w:cs="Calibri"/>
                <w:color w:val="FFFFFF"/>
                <w:sz w:val="12"/>
                <w:szCs w:val="20"/>
                <w:lang w:eastAsia="en-US"/>
              </w:rPr>
              <w:t xml:space="preserve"> </w:t>
            </w:r>
          </w:p>
        </w:tc>
        <w:tc>
          <w:tcPr>
            <w:tcW w:w="1189" w:type="dxa"/>
            <w:tcBorders>
              <w:top w:val="single" w:sz="4" w:space="0" w:color="auto"/>
            </w:tcBorders>
            <w:shd w:val="clear" w:color="auto" w:fill="auto"/>
          </w:tcPr>
          <w:p w14:paraId="77671858" w14:textId="77777777" w:rsidR="00A6611C" w:rsidRPr="00A6611C" w:rsidRDefault="00A6611C" w:rsidP="00A6611C">
            <w:pPr>
              <w:jc w:val="right"/>
              <w:rPr>
                <w:rFonts w:ascii="Calibri" w:hAnsi="Calibri" w:cs="Calibri"/>
                <w:color w:val="FFFFFF"/>
                <w:sz w:val="12"/>
                <w:szCs w:val="20"/>
                <w:lang w:eastAsia="en-US"/>
              </w:rPr>
            </w:pPr>
            <w:r w:rsidRPr="00A6611C">
              <w:rPr>
                <w:rFonts w:ascii="Calibri" w:hAnsi="Calibri" w:cs="Calibri"/>
                <w:color w:val="FFFFFF"/>
                <w:sz w:val="12"/>
                <w:szCs w:val="20"/>
                <w:lang w:eastAsia="en-US"/>
              </w:rPr>
              <w:t xml:space="preserve"> </w:t>
            </w:r>
          </w:p>
        </w:tc>
        <w:tc>
          <w:tcPr>
            <w:tcW w:w="1192" w:type="dxa"/>
            <w:tcBorders>
              <w:top w:val="single" w:sz="4" w:space="0" w:color="auto"/>
            </w:tcBorders>
            <w:shd w:val="clear" w:color="auto" w:fill="auto"/>
          </w:tcPr>
          <w:p w14:paraId="491DCE8C" w14:textId="77777777" w:rsidR="00A6611C" w:rsidRPr="00A6611C" w:rsidRDefault="00A6611C" w:rsidP="00A6611C">
            <w:pPr>
              <w:jc w:val="right"/>
              <w:rPr>
                <w:rFonts w:ascii="Calibri" w:hAnsi="Calibri" w:cs="Calibri"/>
                <w:color w:val="FFFFFF"/>
                <w:sz w:val="12"/>
                <w:szCs w:val="20"/>
                <w:lang w:eastAsia="en-US"/>
              </w:rPr>
            </w:pPr>
            <w:r w:rsidRPr="00A6611C">
              <w:rPr>
                <w:rFonts w:ascii="Calibri" w:hAnsi="Calibri" w:cs="Calibri"/>
                <w:color w:val="FFFFFF"/>
                <w:sz w:val="12"/>
                <w:szCs w:val="20"/>
                <w:lang w:eastAsia="en-US"/>
              </w:rPr>
              <w:t xml:space="preserve"> </w:t>
            </w:r>
          </w:p>
        </w:tc>
        <w:tc>
          <w:tcPr>
            <w:tcW w:w="1192" w:type="dxa"/>
            <w:tcBorders>
              <w:top w:val="single" w:sz="4" w:space="0" w:color="auto"/>
            </w:tcBorders>
            <w:shd w:val="clear" w:color="auto" w:fill="auto"/>
          </w:tcPr>
          <w:p w14:paraId="17899DF7" w14:textId="77777777" w:rsidR="00A6611C" w:rsidRPr="00A6611C" w:rsidRDefault="00A6611C" w:rsidP="00A6611C">
            <w:pPr>
              <w:jc w:val="right"/>
              <w:rPr>
                <w:rFonts w:ascii="Calibri" w:hAnsi="Calibri" w:cs="Calibri"/>
                <w:color w:val="FFFFFF"/>
                <w:sz w:val="12"/>
                <w:szCs w:val="20"/>
                <w:lang w:eastAsia="en-US"/>
              </w:rPr>
            </w:pPr>
            <w:r w:rsidRPr="00A6611C">
              <w:rPr>
                <w:rFonts w:ascii="Calibri" w:hAnsi="Calibri" w:cs="Calibri"/>
                <w:color w:val="FFFFFF"/>
                <w:sz w:val="12"/>
                <w:szCs w:val="20"/>
                <w:lang w:eastAsia="en-US"/>
              </w:rPr>
              <w:t xml:space="preserve"> </w:t>
            </w:r>
          </w:p>
        </w:tc>
        <w:tc>
          <w:tcPr>
            <w:tcW w:w="1192" w:type="dxa"/>
            <w:tcBorders>
              <w:top w:val="single" w:sz="4" w:space="0" w:color="auto"/>
            </w:tcBorders>
            <w:shd w:val="clear" w:color="auto" w:fill="auto"/>
          </w:tcPr>
          <w:p w14:paraId="157DBCB0" w14:textId="77777777" w:rsidR="00A6611C" w:rsidRPr="00A6611C" w:rsidRDefault="00A6611C" w:rsidP="00A6611C">
            <w:pPr>
              <w:jc w:val="right"/>
              <w:rPr>
                <w:rFonts w:ascii="Calibri" w:hAnsi="Calibri" w:cs="Calibri"/>
                <w:color w:val="FFFFFF"/>
                <w:sz w:val="12"/>
                <w:szCs w:val="20"/>
                <w:lang w:eastAsia="en-US"/>
              </w:rPr>
            </w:pPr>
            <w:r w:rsidRPr="00A6611C">
              <w:rPr>
                <w:rFonts w:ascii="Calibri" w:hAnsi="Calibri" w:cs="Calibri"/>
                <w:color w:val="FFFFFF"/>
                <w:sz w:val="12"/>
                <w:szCs w:val="20"/>
                <w:lang w:eastAsia="en-US"/>
              </w:rPr>
              <w:t xml:space="preserve"> </w:t>
            </w:r>
          </w:p>
        </w:tc>
        <w:tc>
          <w:tcPr>
            <w:tcW w:w="1192" w:type="dxa"/>
            <w:tcBorders>
              <w:top w:val="single" w:sz="4" w:space="0" w:color="auto"/>
            </w:tcBorders>
            <w:shd w:val="clear" w:color="auto" w:fill="auto"/>
          </w:tcPr>
          <w:p w14:paraId="13BC6902" w14:textId="77777777" w:rsidR="00A6611C" w:rsidRPr="00A6611C" w:rsidRDefault="00A6611C" w:rsidP="00A6611C">
            <w:pPr>
              <w:jc w:val="right"/>
              <w:rPr>
                <w:rFonts w:ascii="Calibri" w:hAnsi="Calibri" w:cs="Calibri"/>
                <w:color w:val="FFFFFF"/>
                <w:sz w:val="12"/>
                <w:szCs w:val="20"/>
                <w:lang w:eastAsia="en-US"/>
              </w:rPr>
            </w:pPr>
            <w:r w:rsidRPr="00A6611C">
              <w:rPr>
                <w:rFonts w:ascii="Calibri" w:hAnsi="Calibri" w:cs="Calibri"/>
                <w:color w:val="FFFFFF"/>
                <w:sz w:val="12"/>
                <w:szCs w:val="20"/>
                <w:lang w:eastAsia="en-US"/>
              </w:rPr>
              <w:t xml:space="preserve"> </w:t>
            </w:r>
          </w:p>
        </w:tc>
      </w:tr>
      <w:tr w:rsidR="00A6611C" w:rsidRPr="00A6611C" w14:paraId="3B308D5E" w14:textId="77777777" w:rsidTr="002E5D27">
        <w:trPr>
          <w:cantSplit/>
          <w:trHeight w:val="227"/>
        </w:trPr>
        <w:tc>
          <w:tcPr>
            <w:tcW w:w="6062" w:type="dxa"/>
            <w:gridSpan w:val="3"/>
            <w:shd w:val="clear" w:color="auto" w:fill="auto"/>
          </w:tcPr>
          <w:p w14:paraId="4C77AB1B" w14:textId="77777777" w:rsidR="00A6611C" w:rsidRPr="00A6611C" w:rsidRDefault="00A6611C" w:rsidP="00A6611C">
            <w:pPr>
              <w:spacing w:before="200" w:after="200"/>
              <w:rPr>
                <w:rFonts w:ascii="Calibri" w:hAnsi="Calibri"/>
                <w:b/>
                <w:bCs/>
                <w:sz w:val="20"/>
                <w:szCs w:val="20"/>
                <w:lang w:val="x-none" w:eastAsia="en-AU"/>
              </w:rPr>
            </w:pPr>
            <w:r w:rsidRPr="00A6611C">
              <w:rPr>
                <w:rFonts w:ascii="Calibri" w:hAnsi="Calibri"/>
                <w:b/>
                <w:bCs/>
                <w:sz w:val="20"/>
                <w:szCs w:val="20"/>
                <w:lang w:eastAsia="en-AU"/>
              </w:rPr>
              <w:t>Chief Minister, Treasury and Economic Development Directorate</w:t>
            </w:r>
          </w:p>
        </w:tc>
        <w:tc>
          <w:tcPr>
            <w:tcW w:w="1192" w:type="dxa"/>
            <w:shd w:val="clear" w:color="auto" w:fill="auto"/>
          </w:tcPr>
          <w:p w14:paraId="25EC02A0" w14:textId="77777777" w:rsidR="00A6611C" w:rsidRPr="00A6611C" w:rsidRDefault="00A6611C" w:rsidP="00A6611C">
            <w:pPr>
              <w:jc w:val="right"/>
              <w:rPr>
                <w:rFonts w:ascii="Calibri" w:hAnsi="Calibri" w:cs="Calibri"/>
                <w:color w:val="FFFFFF"/>
                <w:sz w:val="12"/>
                <w:szCs w:val="20"/>
                <w:lang w:val="x-none" w:eastAsia="en-US"/>
              </w:rPr>
            </w:pPr>
          </w:p>
        </w:tc>
        <w:tc>
          <w:tcPr>
            <w:tcW w:w="1192" w:type="dxa"/>
            <w:shd w:val="clear" w:color="auto" w:fill="auto"/>
          </w:tcPr>
          <w:p w14:paraId="6A2D8977" w14:textId="77777777" w:rsidR="00A6611C" w:rsidRPr="00A6611C" w:rsidRDefault="00A6611C" w:rsidP="00A6611C">
            <w:pPr>
              <w:jc w:val="right"/>
              <w:rPr>
                <w:rFonts w:ascii="Calibri" w:hAnsi="Calibri" w:cs="Calibri"/>
                <w:color w:val="FFFFFF"/>
                <w:sz w:val="12"/>
                <w:szCs w:val="20"/>
                <w:lang w:val="x-none" w:eastAsia="en-US"/>
              </w:rPr>
            </w:pPr>
          </w:p>
        </w:tc>
        <w:tc>
          <w:tcPr>
            <w:tcW w:w="1192" w:type="dxa"/>
            <w:shd w:val="clear" w:color="auto" w:fill="auto"/>
          </w:tcPr>
          <w:p w14:paraId="6FFF9629" w14:textId="77777777" w:rsidR="00A6611C" w:rsidRPr="00A6611C" w:rsidRDefault="00A6611C" w:rsidP="00A6611C">
            <w:pPr>
              <w:jc w:val="right"/>
              <w:rPr>
                <w:rFonts w:ascii="Calibri" w:hAnsi="Calibri" w:cs="Calibri"/>
                <w:color w:val="FFFFFF"/>
                <w:sz w:val="12"/>
                <w:szCs w:val="20"/>
                <w:lang w:val="x-none" w:eastAsia="en-US"/>
              </w:rPr>
            </w:pPr>
          </w:p>
        </w:tc>
      </w:tr>
      <w:tr w:rsidR="00A6611C" w:rsidRPr="00A6611C" w14:paraId="3B61721D" w14:textId="77777777" w:rsidTr="002E5D27">
        <w:trPr>
          <w:cantSplit/>
          <w:trHeight w:val="227"/>
        </w:trPr>
        <w:tc>
          <w:tcPr>
            <w:tcW w:w="3681" w:type="dxa"/>
            <w:shd w:val="clear" w:color="auto" w:fill="auto"/>
          </w:tcPr>
          <w:p w14:paraId="50AC2D55" w14:textId="77777777" w:rsidR="00A6611C" w:rsidRPr="00A6611C" w:rsidRDefault="00A6611C" w:rsidP="00A6611C">
            <w:pPr>
              <w:ind w:left="227" w:hanging="227"/>
              <w:rPr>
                <w:rFonts w:ascii="Calibri" w:hAnsi="Calibri"/>
                <w:bCs/>
                <w:sz w:val="20"/>
                <w:szCs w:val="20"/>
                <w:vertAlign w:val="superscript"/>
                <w:lang w:eastAsia="en-AU"/>
              </w:rPr>
            </w:pPr>
            <w:r w:rsidRPr="00A6611C">
              <w:rPr>
                <w:rFonts w:ascii="Calibri" w:hAnsi="Calibri"/>
                <w:bCs/>
                <w:sz w:val="20"/>
                <w:szCs w:val="20"/>
                <w:lang w:eastAsia="en-AU"/>
              </w:rPr>
              <w:t xml:space="preserve">ACT Land Titles system modernisation </w:t>
            </w:r>
            <w:r w:rsidRPr="00A6611C">
              <w:rPr>
                <w:rFonts w:ascii="Calibri" w:hAnsi="Calibri"/>
                <w:bCs/>
                <w:sz w:val="20"/>
                <w:szCs w:val="20"/>
                <w:vertAlign w:val="superscript"/>
                <w:lang w:eastAsia="en-AU"/>
              </w:rPr>
              <w:t>1, 2</w:t>
            </w:r>
          </w:p>
        </w:tc>
        <w:tc>
          <w:tcPr>
            <w:tcW w:w="1189" w:type="dxa"/>
            <w:shd w:val="clear" w:color="auto" w:fill="auto"/>
          </w:tcPr>
          <w:p w14:paraId="7853FC14" w14:textId="77777777" w:rsidR="00A6611C" w:rsidRPr="00A6611C" w:rsidRDefault="00A6611C" w:rsidP="00A6611C">
            <w:pPr>
              <w:ind w:left="227" w:hanging="227"/>
              <w:jc w:val="right"/>
              <w:rPr>
                <w:rFonts w:ascii="Calibri" w:hAnsi="Calibri"/>
                <w:sz w:val="20"/>
                <w:szCs w:val="24"/>
                <w:lang w:eastAsia="en-US"/>
              </w:rPr>
            </w:pPr>
            <w:r w:rsidRPr="00A6611C">
              <w:rPr>
                <w:rFonts w:ascii="Calibri" w:hAnsi="Calibri"/>
                <w:sz w:val="20"/>
                <w:szCs w:val="24"/>
                <w:lang w:eastAsia="en-US"/>
              </w:rPr>
              <w:t>415</w:t>
            </w:r>
          </w:p>
        </w:tc>
        <w:tc>
          <w:tcPr>
            <w:tcW w:w="1192" w:type="dxa"/>
            <w:shd w:val="clear" w:color="auto" w:fill="auto"/>
          </w:tcPr>
          <w:p w14:paraId="48FA822D" w14:textId="77777777" w:rsidR="00A6611C" w:rsidRPr="00A6611C" w:rsidRDefault="00A6611C" w:rsidP="00A6611C">
            <w:pPr>
              <w:ind w:left="227" w:hanging="227"/>
              <w:jc w:val="right"/>
              <w:rPr>
                <w:rFonts w:ascii="Calibri" w:hAnsi="Calibri"/>
                <w:sz w:val="20"/>
                <w:szCs w:val="24"/>
                <w:lang w:eastAsia="en-US"/>
              </w:rPr>
            </w:pPr>
            <w:r w:rsidRPr="00A6611C">
              <w:rPr>
                <w:rFonts w:ascii="Calibri" w:hAnsi="Calibri"/>
                <w:sz w:val="20"/>
                <w:szCs w:val="24"/>
                <w:lang w:eastAsia="en-US"/>
              </w:rPr>
              <w:t>635</w:t>
            </w:r>
          </w:p>
        </w:tc>
        <w:tc>
          <w:tcPr>
            <w:tcW w:w="1192" w:type="dxa"/>
            <w:shd w:val="clear" w:color="auto" w:fill="auto"/>
          </w:tcPr>
          <w:p w14:paraId="4D60DC60" w14:textId="77777777" w:rsidR="00A6611C" w:rsidRPr="00A6611C" w:rsidRDefault="00A6611C" w:rsidP="00A6611C">
            <w:pPr>
              <w:ind w:left="227" w:hanging="227"/>
              <w:jc w:val="right"/>
              <w:rPr>
                <w:rFonts w:ascii="Calibri" w:hAnsi="Calibri"/>
                <w:sz w:val="20"/>
                <w:szCs w:val="24"/>
                <w:lang w:eastAsia="en-US"/>
              </w:rPr>
            </w:pPr>
            <w:r w:rsidRPr="00A6611C">
              <w:rPr>
                <w:rFonts w:ascii="Calibri" w:hAnsi="Calibri"/>
                <w:sz w:val="20"/>
                <w:szCs w:val="24"/>
                <w:lang w:eastAsia="en-US"/>
              </w:rPr>
              <w:t>651</w:t>
            </w:r>
          </w:p>
        </w:tc>
        <w:tc>
          <w:tcPr>
            <w:tcW w:w="1192" w:type="dxa"/>
            <w:shd w:val="clear" w:color="auto" w:fill="auto"/>
          </w:tcPr>
          <w:p w14:paraId="17F33B86" w14:textId="77777777" w:rsidR="00A6611C" w:rsidRPr="00A6611C" w:rsidRDefault="00A6611C" w:rsidP="00A6611C">
            <w:pPr>
              <w:ind w:left="227" w:hanging="227"/>
              <w:jc w:val="right"/>
              <w:rPr>
                <w:rFonts w:ascii="Calibri" w:hAnsi="Calibri"/>
                <w:sz w:val="20"/>
                <w:szCs w:val="24"/>
                <w:lang w:eastAsia="en-US"/>
              </w:rPr>
            </w:pPr>
            <w:r w:rsidRPr="00A6611C">
              <w:rPr>
                <w:rFonts w:ascii="Calibri" w:hAnsi="Calibri"/>
                <w:sz w:val="20"/>
                <w:szCs w:val="24"/>
                <w:lang w:eastAsia="en-US"/>
              </w:rPr>
              <w:t>667</w:t>
            </w:r>
          </w:p>
        </w:tc>
        <w:tc>
          <w:tcPr>
            <w:tcW w:w="1192" w:type="dxa"/>
            <w:shd w:val="clear" w:color="auto" w:fill="auto"/>
          </w:tcPr>
          <w:p w14:paraId="693F45B0" w14:textId="77777777" w:rsidR="00A6611C" w:rsidRPr="00A6611C" w:rsidRDefault="00A6611C" w:rsidP="00A6611C">
            <w:pPr>
              <w:ind w:left="227" w:hanging="227"/>
              <w:jc w:val="right"/>
              <w:rPr>
                <w:rFonts w:ascii="Calibri" w:hAnsi="Calibri"/>
                <w:sz w:val="20"/>
                <w:szCs w:val="24"/>
                <w:lang w:eastAsia="en-US"/>
              </w:rPr>
            </w:pPr>
            <w:r w:rsidRPr="00A6611C">
              <w:rPr>
                <w:rFonts w:ascii="Calibri" w:hAnsi="Calibri"/>
                <w:sz w:val="20"/>
                <w:szCs w:val="24"/>
                <w:lang w:eastAsia="en-US"/>
              </w:rPr>
              <w:t>2,368</w:t>
            </w:r>
          </w:p>
        </w:tc>
      </w:tr>
      <w:tr w:rsidR="00A6611C" w:rsidRPr="00A6611C" w14:paraId="70A4595B" w14:textId="77777777" w:rsidTr="002E5D27">
        <w:trPr>
          <w:cantSplit/>
          <w:trHeight w:val="227"/>
        </w:trPr>
        <w:tc>
          <w:tcPr>
            <w:tcW w:w="3681" w:type="dxa"/>
            <w:shd w:val="clear" w:color="auto" w:fill="auto"/>
          </w:tcPr>
          <w:p w14:paraId="2463A212" w14:textId="77777777" w:rsidR="00A6611C" w:rsidRPr="00A6611C" w:rsidRDefault="00A6611C" w:rsidP="00A6611C">
            <w:pPr>
              <w:ind w:left="227" w:hanging="227"/>
              <w:rPr>
                <w:rFonts w:ascii="Calibri" w:hAnsi="Calibri"/>
                <w:bCs/>
                <w:sz w:val="20"/>
                <w:szCs w:val="20"/>
                <w:vertAlign w:val="superscript"/>
                <w:lang w:eastAsia="en-AU"/>
              </w:rPr>
            </w:pPr>
            <w:r w:rsidRPr="00A6611C">
              <w:rPr>
                <w:rFonts w:ascii="Calibri" w:hAnsi="Calibri"/>
                <w:bCs/>
                <w:sz w:val="20"/>
                <w:szCs w:val="20"/>
                <w:lang w:eastAsia="en-AU"/>
              </w:rPr>
              <w:t xml:space="preserve">Improving processing for Working with Vulnerable People checks </w:t>
            </w:r>
            <w:r w:rsidRPr="00A6611C">
              <w:rPr>
                <w:rFonts w:ascii="Calibri" w:hAnsi="Calibri"/>
                <w:bCs/>
                <w:sz w:val="20"/>
                <w:szCs w:val="20"/>
                <w:vertAlign w:val="superscript"/>
                <w:lang w:eastAsia="en-AU"/>
              </w:rPr>
              <w:t>1</w:t>
            </w:r>
          </w:p>
        </w:tc>
        <w:tc>
          <w:tcPr>
            <w:tcW w:w="1189" w:type="dxa"/>
            <w:shd w:val="clear" w:color="auto" w:fill="auto"/>
          </w:tcPr>
          <w:p w14:paraId="1D4D56B8" w14:textId="77777777" w:rsidR="00A6611C" w:rsidRPr="00A6611C" w:rsidRDefault="00A6611C" w:rsidP="00A6611C">
            <w:pPr>
              <w:ind w:left="227" w:hanging="227"/>
              <w:jc w:val="right"/>
              <w:rPr>
                <w:rFonts w:ascii="Calibri" w:hAnsi="Calibri"/>
                <w:sz w:val="20"/>
                <w:szCs w:val="24"/>
                <w:lang w:eastAsia="en-US"/>
              </w:rPr>
            </w:pPr>
            <w:r w:rsidRPr="00A6611C">
              <w:rPr>
                <w:rFonts w:ascii="Calibri" w:hAnsi="Calibri"/>
                <w:sz w:val="20"/>
                <w:szCs w:val="24"/>
                <w:lang w:eastAsia="en-US"/>
              </w:rPr>
              <w:t>871</w:t>
            </w:r>
          </w:p>
        </w:tc>
        <w:tc>
          <w:tcPr>
            <w:tcW w:w="1192" w:type="dxa"/>
            <w:shd w:val="clear" w:color="auto" w:fill="auto"/>
          </w:tcPr>
          <w:p w14:paraId="3B04A3F1" w14:textId="77777777" w:rsidR="00A6611C" w:rsidRPr="00A6611C" w:rsidRDefault="00A6611C" w:rsidP="00A6611C">
            <w:pPr>
              <w:ind w:left="227" w:hanging="227"/>
              <w:jc w:val="right"/>
              <w:rPr>
                <w:rFonts w:ascii="Calibri" w:hAnsi="Calibri"/>
                <w:sz w:val="20"/>
                <w:szCs w:val="24"/>
                <w:lang w:eastAsia="en-US"/>
              </w:rPr>
            </w:pPr>
            <w:r w:rsidRPr="00A6611C">
              <w:rPr>
                <w:rFonts w:ascii="Calibri" w:hAnsi="Calibri"/>
                <w:sz w:val="20"/>
                <w:szCs w:val="24"/>
                <w:lang w:eastAsia="en-US"/>
              </w:rPr>
              <w:t>1,169</w:t>
            </w:r>
          </w:p>
        </w:tc>
        <w:tc>
          <w:tcPr>
            <w:tcW w:w="1192" w:type="dxa"/>
            <w:shd w:val="clear" w:color="auto" w:fill="auto"/>
          </w:tcPr>
          <w:p w14:paraId="3C1218E3" w14:textId="77777777" w:rsidR="00A6611C" w:rsidRPr="00A6611C" w:rsidRDefault="00A6611C" w:rsidP="00A6611C">
            <w:pPr>
              <w:ind w:left="227" w:hanging="227"/>
              <w:jc w:val="right"/>
              <w:rPr>
                <w:rFonts w:ascii="Calibri" w:hAnsi="Calibri"/>
                <w:sz w:val="20"/>
                <w:szCs w:val="24"/>
                <w:lang w:eastAsia="en-US"/>
              </w:rPr>
            </w:pPr>
            <w:r w:rsidRPr="00A6611C">
              <w:rPr>
                <w:rFonts w:ascii="Calibri" w:hAnsi="Calibri"/>
                <w:sz w:val="20"/>
                <w:szCs w:val="24"/>
                <w:lang w:eastAsia="en-US"/>
              </w:rPr>
              <w:t>1,370</w:t>
            </w:r>
          </w:p>
        </w:tc>
        <w:tc>
          <w:tcPr>
            <w:tcW w:w="1192" w:type="dxa"/>
            <w:shd w:val="clear" w:color="auto" w:fill="auto"/>
          </w:tcPr>
          <w:p w14:paraId="1D51891E" w14:textId="77777777" w:rsidR="00A6611C" w:rsidRPr="00A6611C" w:rsidRDefault="00A6611C" w:rsidP="00A6611C">
            <w:pPr>
              <w:ind w:left="227" w:hanging="227"/>
              <w:jc w:val="right"/>
              <w:rPr>
                <w:rFonts w:ascii="Calibri" w:hAnsi="Calibri"/>
                <w:sz w:val="20"/>
                <w:szCs w:val="24"/>
                <w:lang w:eastAsia="en-US"/>
              </w:rPr>
            </w:pPr>
            <w:r w:rsidRPr="00A6611C">
              <w:rPr>
                <w:rFonts w:ascii="Calibri" w:hAnsi="Calibri"/>
                <w:sz w:val="20"/>
                <w:szCs w:val="24"/>
                <w:lang w:eastAsia="en-US"/>
              </w:rPr>
              <w:t>0</w:t>
            </w:r>
          </w:p>
        </w:tc>
        <w:tc>
          <w:tcPr>
            <w:tcW w:w="1192" w:type="dxa"/>
            <w:shd w:val="clear" w:color="auto" w:fill="auto"/>
          </w:tcPr>
          <w:p w14:paraId="5C0616C5" w14:textId="77777777" w:rsidR="00A6611C" w:rsidRPr="00A6611C" w:rsidRDefault="00A6611C" w:rsidP="00A6611C">
            <w:pPr>
              <w:ind w:left="227" w:hanging="227"/>
              <w:jc w:val="right"/>
              <w:rPr>
                <w:rFonts w:ascii="Calibri" w:hAnsi="Calibri"/>
                <w:sz w:val="20"/>
                <w:szCs w:val="24"/>
                <w:lang w:eastAsia="en-US"/>
              </w:rPr>
            </w:pPr>
            <w:r w:rsidRPr="00A6611C">
              <w:rPr>
                <w:rFonts w:ascii="Calibri" w:hAnsi="Calibri"/>
                <w:sz w:val="20"/>
                <w:szCs w:val="24"/>
                <w:lang w:eastAsia="en-US"/>
              </w:rPr>
              <w:t>3,410</w:t>
            </w:r>
          </w:p>
        </w:tc>
      </w:tr>
      <w:tr w:rsidR="00A6611C" w:rsidRPr="00A6611C" w14:paraId="5D942C54" w14:textId="77777777" w:rsidTr="002E5D27">
        <w:trPr>
          <w:cantSplit/>
          <w:trHeight w:val="227"/>
        </w:trPr>
        <w:tc>
          <w:tcPr>
            <w:tcW w:w="3681" w:type="dxa"/>
            <w:shd w:val="clear" w:color="auto" w:fill="auto"/>
          </w:tcPr>
          <w:p w14:paraId="6C04F76F" w14:textId="77777777" w:rsidR="00A6611C" w:rsidRPr="00A6611C" w:rsidRDefault="00A6611C" w:rsidP="00A6611C">
            <w:pPr>
              <w:rPr>
                <w:rFonts w:ascii="Calibri" w:hAnsi="Calibri"/>
                <w:bCs/>
                <w:sz w:val="20"/>
                <w:szCs w:val="20"/>
                <w:lang w:eastAsia="en-AU"/>
              </w:rPr>
            </w:pPr>
            <w:r w:rsidRPr="00A6611C">
              <w:rPr>
                <w:rFonts w:ascii="Calibri" w:hAnsi="Calibri"/>
                <w:bCs/>
                <w:sz w:val="20"/>
                <w:szCs w:val="20"/>
                <w:lang w:eastAsia="en-AU"/>
              </w:rPr>
              <w:t>Improving the Lease Variation Charge</w:t>
            </w:r>
          </w:p>
        </w:tc>
        <w:tc>
          <w:tcPr>
            <w:tcW w:w="1189" w:type="dxa"/>
            <w:shd w:val="clear" w:color="auto" w:fill="auto"/>
          </w:tcPr>
          <w:p w14:paraId="15955570" w14:textId="77777777" w:rsidR="00A6611C" w:rsidRPr="00A6611C" w:rsidRDefault="00A6611C" w:rsidP="00A6611C">
            <w:pPr>
              <w:ind w:left="227" w:hanging="227"/>
              <w:jc w:val="right"/>
              <w:rPr>
                <w:rFonts w:ascii="Calibri" w:hAnsi="Calibri"/>
                <w:sz w:val="20"/>
                <w:szCs w:val="24"/>
                <w:lang w:eastAsia="en-US"/>
              </w:rPr>
            </w:pPr>
            <w:r w:rsidRPr="00A6611C">
              <w:rPr>
                <w:rFonts w:ascii="Calibri" w:hAnsi="Calibri"/>
                <w:sz w:val="20"/>
                <w:szCs w:val="24"/>
                <w:lang w:eastAsia="en-US"/>
              </w:rPr>
              <w:t>-200</w:t>
            </w:r>
          </w:p>
        </w:tc>
        <w:tc>
          <w:tcPr>
            <w:tcW w:w="1192" w:type="dxa"/>
            <w:shd w:val="clear" w:color="auto" w:fill="auto"/>
          </w:tcPr>
          <w:p w14:paraId="1CFB63C2" w14:textId="77777777" w:rsidR="00A6611C" w:rsidRPr="00A6611C" w:rsidRDefault="00A6611C" w:rsidP="00A6611C">
            <w:pPr>
              <w:ind w:left="227" w:hanging="227"/>
              <w:jc w:val="right"/>
              <w:rPr>
                <w:rFonts w:ascii="Calibri" w:hAnsi="Calibri"/>
                <w:sz w:val="20"/>
                <w:szCs w:val="24"/>
                <w:lang w:eastAsia="en-US"/>
              </w:rPr>
            </w:pPr>
            <w:r w:rsidRPr="00A6611C">
              <w:rPr>
                <w:rFonts w:ascii="Calibri" w:hAnsi="Calibri"/>
                <w:sz w:val="20"/>
                <w:szCs w:val="24"/>
                <w:lang w:eastAsia="en-US"/>
              </w:rPr>
              <w:t>-200</w:t>
            </w:r>
          </w:p>
        </w:tc>
        <w:tc>
          <w:tcPr>
            <w:tcW w:w="1192" w:type="dxa"/>
            <w:shd w:val="clear" w:color="auto" w:fill="auto"/>
          </w:tcPr>
          <w:p w14:paraId="732EDA8C" w14:textId="77777777" w:rsidR="00A6611C" w:rsidRPr="00A6611C" w:rsidRDefault="00A6611C" w:rsidP="00A6611C">
            <w:pPr>
              <w:ind w:left="227" w:hanging="227"/>
              <w:jc w:val="right"/>
              <w:rPr>
                <w:rFonts w:ascii="Calibri" w:hAnsi="Calibri"/>
                <w:sz w:val="20"/>
                <w:szCs w:val="24"/>
                <w:lang w:eastAsia="en-US"/>
              </w:rPr>
            </w:pPr>
            <w:r w:rsidRPr="00A6611C">
              <w:rPr>
                <w:rFonts w:ascii="Calibri" w:hAnsi="Calibri"/>
                <w:sz w:val="20"/>
                <w:szCs w:val="24"/>
                <w:lang w:eastAsia="en-US"/>
              </w:rPr>
              <w:t>-200</w:t>
            </w:r>
          </w:p>
        </w:tc>
        <w:tc>
          <w:tcPr>
            <w:tcW w:w="1192" w:type="dxa"/>
            <w:shd w:val="clear" w:color="auto" w:fill="auto"/>
          </w:tcPr>
          <w:p w14:paraId="67831B3A" w14:textId="77777777" w:rsidR="00A6611C" w:rsidRPr="00A6611C" w:rsidRDefault="00A6611C" w:rsidP="00A6611C">
            <w:pPr>
              <w:ind w:left="227" w:hanging="227"/>
              <w:jc w:val="right"/>
              <w:rPr>
                <w:rFonts w:ascii="Calibri" w:hAnsi="Calibri"/>
                <w:sz w:val="20"/>
                <w:szCs w:val="24"/>
                <w:lang w:eastAsia="en-US"/>
              </w:rPr>
            </w:pPr>
            <w:r w:rsidRPr="00A6611C">
              <w:rPr>
                <w:rFonts w:ascii="Calibri" w:hAnsi="Calibri"/>
                <w:sz w:val="20"/>
                <w:szCs w:val="24"/>
                <w:lang w:eastAsia="en-US"/>
              </w:rPr>
              <w:t>0</w:t>
            </w:r>
          </w:p>
        </w:tc>
        <w:tc>
          <w:tcPr>
            <w:tcW w:w="1192" w:type="dxa"/>
            <w:shd w:val="clear" w:color="auto" w:fill="auto"/>
          </w:tcPr>
          <w:p w14:paraId="2BB86F57" w14:textId="77777777" w:rsidR="00A6611C" w:rsidRPr="00A6611C" w:rsidRDefault="00A6611C" w:rsidP="00A6611C">
            <w:pPr>
              <w:ind w:left="227" w:hanging="227"/>
              <w:jc w:val="right"/>
              <w:rPr>
                <w:rFonts w:ascii="Calibri" w:hAnsi="Calibri"/>
                <w:sz w:val="20"/>
                <w:szCs w:val="24"/>
                <w:lang w:eastAsia="en-US"/>
              </w:rPr>
            </w:pPr>
            <w:r w:rsidRPr="00A6611C">
              <w:rPr>
                <w:rFonts w:ascii="Calibri" w:hAnsi="Calibri"/>
                <w:sz w:val="20"/>
                <w:szCs w:val="24"/>
                <w:lang w:eastAsia="en-US"/>
              </w:rPr>
              <w:t>-600</w:t>
            </w:r>
          </w:p>
        </w:tc>
      </w:tr>
      <w:tr w:rsidR="00A6611C" w:rsidRPr="00A6611C" w14:paraId="1B345C3C" w14:textId="77777777" w:rsidTr="002E5D27">
        <w:trPr>
          <w:cantSplit/>
          <w:trHeight w:val="227"/>
        </w:trPr>
        <w:tc>
          <w:tcPr>
            <w:tcW w:w="3681" w:type="dxa"/>
            <w:shd w:val="clear" w:color="auto" w:fill="auto"/>
          </w:tcPr>
          <w:p w14:paraId="1875768C" w14:textId="77777777" w:rsidR="00A6611C" w:rsidRPr="00A6611C" w:rsidRDefault="00A6611C" w:rsidP="00A6611C">
            <w:pPr>
              <w:rPr>
                <w:rFonts w:ascii="Calibri" w:hAnsi="Calibri"/>
                <w:bCs/>
                <w:sz w:val="20"/>
                <w:szCs w:val="20"/>
                <w:lang w:eastAsia="en-AU"/>
              </w:rPr>
            </w:pPr>
            <w:r w:rsidRPr="00A6611C">
              <w:rPr>
                <w:rFonts w:ascii="Calibri" w:hAnsi="Calibri"/>
                <w:bCs/>
                <w:sz w:val="20"/>
                <w:szCs w:val="20"/>
                <w:lang w:eastAsia="en-AU"/>
              </w:rPr>
              <w:t>Increasing the Life Support Rebate</w:t>
            </w:r>
          </w:p>
        </w:tc>
        <w:tc>
          <w:tcPr>
            <w:tcW w:w="1189" w:type="dxa"/>
            <w:shd w:val="clear" w:color="auto" w:fill="auto"/>
          </w:tcPr>
          <w:p w14:paraId="6D519F24" w14:textId="77777777" w:rsidR="00A6611C" w:rsidRPr="00A6611C" w:rsidRDefault="00A6611C" w:rsidP="00A6611C">
            <w:pPr>
              <w:ind w:left="227" w:hanging="227"/>
              <w:jc w:val="right"/>
              <w:rPr>
                <w:rFonts w:ascii="Calibri" w:hAnsi="Calibri"/>
                <w:color w:val="000000"/>
                <w:sz w:val="20"/>
                <w:szCs w:val="20"/>
                <w:lang w:eastAsia="en-AU"/>
              </w:rPr>
            </w:pPr>
            <w:r w:rsidRPr="00A6611C">
              <w:rPr>
                <w:rFonts w:ascii="Calibri" w:hAnsi="Calibri"/>
                <w:color w:val="000000"/>
                <w:sz w:val="20"/>
                <w:szCs w:val="20"/>
                <w:lang w:eastAsia="en-AU"/>
              </w:rPr>
              <w:t>-20</w:t>
            </w:r>
          </w:p>
        </w:tc>
        <w:tc>
          <w:tcPr>
            <w:tcW w:w="1192" w:type="dxa"/>
            <w:shd w:val="clear" w:color="auto" w:fill="auto"/>
          </w:tcPr>
          <w:p w14:paraId="6F531073" w14:textId="77777777" w:rsidR="00A6611C" w:rsidRPr="00A6611C" w:rsidRDefault="00A6611C" w:rsidP="00A6611C">
            <w:pPr>
              <w:ind w:left="227" w:hanging="227"/>
              <w:jc w:val="right"/>
              <w:rPr>
                <w:rFonts w:ascii="Calibri" w:hAnsi="Calibri"/>
                <w:color w:val="000000"/>
                <w:sz w:val="20"/>
                <w:szCs w:val="20"/>
                <w:lang w:eastAsia="en-AU"/>
              </w:rPr>
            </w:pPr>
            <w:r w:rsidRPr="00A6611C">
              <w:rPr>
                <w:rFonts w:ascii="Calibri" w:hAnsi="Calibri"/>
                <w:color w:val="000000"/>
                <w:sz w:val="20"/>
                <w:szCs w:val="20"/>
                <w:lang w:eastAsia="en-AU"/>
              </w:rPr>
              <w:t>-22</w:t>
            </w:r>
          </w:p>
        </w:tc>
        <w:tc>
          <w:tcPr>
            <w:tcW w:w="1192" w:type="dxa"/>
            <w:shd w:val="clear" w:color="auto" w:fill="auto"/>
          </w:tcPr>
          <w:p w14:paraId="60AB0D07" w14:textId="77777777" w:rsidR="00A6611C" w:rsidRPr="00A6611C" w:rsidRDefault="00A6611C" w:rsidP="00A6611C">
            <w:pPr>
              <w:ind w:left="227" w:hanging="227"/>
              <w:jc w:val="right"/>
              <w:rPr>
                <w:rFonts w:ascii="Calibri" w:hAnsi="Calibri"/>
                <w:color w:val="000000"/>
                <w:sz w:val="20"/>
                <w:szCs w:val="20"/>
                <w:lang w:eastAsia="en-AU"/>
              </w:rPr>
            </w:pPr>
            <w:r w:rsidRPr="00A6611C">
              <w:rPr>
                <w:rFonts w:ascii="Calibri" w:hAnsi="Calibri"/>
                <w:color w:val="000000"/>
                <w:sz w:val="20"/>
                <w:szCs w:val="20"/>
                <w:lang w:eastAsia="en-AU"/>
              </w:rPr>
              <w:t>-24</w:t>
            </w:r>
          </w:p>
        </w:tc>
        <w:tc>
          <w:tcPr>
            <w:tcW w:w="1192" w:type="dxa"/>
            <w:shd w:val="clear" w:color="auto" w:fill="auto"/>
          </w:tcPr>
          <w:p w14:paraId="1D1FAC1F" w14:textId="77777777" w:rsidR="00A6611C" w:rsidRPr="00A6611C" w:rsidRDefault="00A6611C" w:rsidP="00A6611C">
            <w:pPr>
              <w:ind w:left="227" w:hanging="227"/>
              <w:jc w:val="right"/>
              <w:rPr>
                <w:rFonts w:ascii="Calibri" w:hAnsi="Calibri"/>
                <w:color w:val="000000"/>
                <w:sz w:val="20"/>
                <w:szCs w:val="20"/>
                <w:lang w:eastAsia="en-AU"/>
              </w:rPr>
            </w:pPr>
            <w:r w:rsidRPr="00A6611C">
              <w:rPr>
                <w:rFonts w:ascii="Calibri" w:hAnsi="Calibri"/>
                <w:color w:val="000000"/>
                <w:sz w:val="20"/>
                <w:szCs w:val="20"/>
                <w:lang w:eastAsia="en-AU"/>
              </w:rPr>
              <w:t>-26</w:t>
            </w:r>
          </w:p>
        </w:tc>
        <w:tc>
          <w:tcPr>
            <w:tcW w:w="1192" w:type="dxa"/>
            <w:shd w:val="clear" w:color="auto" w:fill="auto"/>
          </w:tcPr>
          <w:p w14:paraId="631AEE49" w14:textId="77777777" w:rsidR="00A6611C" w:rsidRPr="00A6611C" w:rsidRDefault="00A6611C" w:rsidP="00A6611C">
            <w:pPr>
              <w:ind w:left="227" w:hanging="227"/>
              <w:jc w:val="right"/>
              <w:rPr>
                <w:rFonts w:ascii="Calibri" w:hAnsi="Calibri"/>
                <w:color w:val="000000"/>
                <w:sz w:val="20"/>
                <w:szCs w:val="20"/>
                <w:lang w:eastAsia="en-AU"/>
              </w:rPr>
            </w:pPr>
            <w:r w:rsidRPr="00A6611C">
              <w:rPr>
                <w:rFonts w:ascii="Calibri" w:hAnsi="Calibri"/>
                <w:color w:val="000000"/>
                <w:sz w:val="20"/>
                <w:szCs w:val="20"/>
                <w:lang w:eastAsia="en-AU"/>
              </w:rPr>
              <w:t>-92</w:t>
            </w:r>
          </w:p>
        </w:tc>
      </w:tr>
      <w:tr w:rsidR="00A6611C" w:rsidRPr="00A6611C" w14:paraId="31DD2059" w14:textId="77777777" w:rsidTr="002E5D27">
        <w:trPr>
          <w:cantSplit/>
          <w:trHeight w:val="227"/>
        </w:trPr>
        <w:tc>
          <w:tcPr>
            <w:tcW w:w="3681" w:type="dxa"/>
            <w:shd w:val="clear" w:color="auto" w:fill="auto"/>
          </w:tcPr>
          <w:p w14:paraId="42C32AFC" w14:textId="77777777" w:rsidR="00A6611C" w:rsidRPr="00A6611C" w:rsidRDefault="00A6611C" w:rsidP="00A6611C">
            <w:pPr>
              <w:rPr>
                <w:rFonts w:ascii="Calibri" w:hAnsi="Calibri"/>
                <w:bCs/>
                <w:sz w:val="20"/>
                <w:szCs w:val="20"/>
                <w:vertAlign w:val="superscript"/>
                <w:lang w:eastAsia="en-AU"/>
              </w:rPr>
            </w:pPr>
            <w:r w:rsidRPr="00A6611C">
              <w:rPr>
                <w:rFonts w:ascii="Calibri" w:hAnsi="Calibri"/>
                <w:bCs/>
                <w:sz w:val="20"/>
                <w:szCs w:val="20"/>
                <w:lang w:eastAsia="en-AU"/>
              </w:rPr>
              <w:t xml:space="preserve">Making controlled sports safer </w:t>
            </w:r>
            <w:r w:rsidRPr="00A6611C">
              <w:rPr>
                <w:rFonts w:ascii="Calibri" w:hAnsi="Calibri"/>
                <w:bCs/>
                <w:sz w:val="20"/>
                <w:szCs w:val="20"/>
                <w:vertAlign w:val="superscript"/>
                <w:lang w:eastAsia="en-AU"/>
              </w:rPr>
              <w:t>1</w:t>
            </w:r>
          </w:p>
        </w:tc>
        <w:tc>
          <w:tcPr>
            <w:tcW w:w="1189" w:type="dxa"/>
            <w:shd w:val="clear" w:color="auto" w:fill="auto"/>
          </w:tcPr>
          <w:p w14:paraId="5454E06F" w14:textId="77777777" w:rsidR="00A6611C" w:rsidRPr="00A6611C" w:rsidRDefault="00A6611C" w:rsidP="00A6611C">
            <w:pPr>
              <w:ind w:left="227" w:hanging="227"/>
              <w:jc w:val="right"/>
              <w:rPr>
                <w:rFonts w:ascii="Calibri" w:hAnsi="Calibri"/>
                <w:color w:val="000000"/>
                <w:sz w:val="20"/>
                <w:szCs w:val="20"/>
                <w:lang w:eastAsia="en-AU"/>
              </w:rPr>
            </w:pPr>
            <w:r w:rsidRPr="00A6611C">
              <w:rPr>
                <w:rFonts w:ascii="Calibri" w:hAnsi="Calibri"/>
                <w:color w:val="000000"/>
                <w:sz w:val="20"/>
                <w:szCs w:val="20"/>
                <w:lang w:eastAsia="en-AU"/>
              </w:rPr>
              <w:t>183</w:t>
            </w:r>
          </w:p>
        </w:tc>
        <w:tc>
          <w:tcPr>
            <w:tcW w:w="1192" w:type="dxa"/>
            <w:shd w:val="clear" w:color="auto" w:fill="auto"/>
          </w:tcPr>
          <w:p w14:paraId="5732E8D3" w14:textId="77777777" w:rsidR="00A6611C" w:rsidRPr="00A6611C" w:rsidRDefault="00A6611C" w:rsidP="00A6611C">
            <w:pPr>
              <w:ind w:left="227" w:hanging="227"/>
              <w:jc w:val="right"/>
              <w:rPr>
                <w:rFonts w:ascii="Calibri" w:hAnsi="Calibri"/>
                <w:color w:val="000000"/>
                <w:sz w:val="20"/>
                <w:szCs w:val="20"/>
                <w:lang w:eastAsia="en-AU"/>
              </w:rPr>
            </w:pPr>
            <w:r w:rsidRPr="00A6611C">
              <w:rPr>
                <w:rFonts w:ascii="Calibri" w:hAnsi="Calibri"/>
                <w:color w:val="000000"/>
                <w:sz w:val="20"/>
                <w:szCs w:val="20"/>
                <w:lang w:eastAsia="en-AU"/>
              </w:rPr>
              <w:t>28</w:t>
            </w:r>
          </w:p>
        </w:tc>
        <w:tc>
          <w:tcPr>
            <w:tcW w:w="1192" w:type="dxa"/>
            <w:shd w:val="clear" w:color="auto" w:fill="auto"/>
          </w:tcPr>
          <w:p w14:paraId="571AD313" w14:textId="77777777" w:rsidR="00A6611C" w:rsidRPr="00A6611C" w:rsidRDefault="00A6611C" w:rsidP="00A6611C">
            <w:pPr>
              <w:ind w:left="227" w:hanging="227"/>
              <w:jc w:val="right"/>
              <w:rPr>
                <w:rFonts w:ascii="Calibri" w:hAnsi="Calibri"/>
                <w:color w:val="000000"/>
                <w:sz w:val="20"/>
                <w:szCs w:val="20"/>
                <w:lang w:eastAsia="en-AU"/>
              </w:rPr>
            </w:pPr>
            <w:r w:rsidRPr="00A6611C">
              <w:rPr>
                <w:rFonts w:ascii="Calibri" w:hAnsi="Calibri"/>
                <w:color w:val="000000"/>
                <w:sz w:val="20"/>
                <w:szCs w:val="20"/>
                <w:lang w:eastAsia="en-AU"/>
              </w:rPr>
              <w:t>28</w:t>
            </w:r>
          </w:p>
        </w:tc>
        <w:tc>
          <w:tcPr>
            <w:tcW w:w="1192" w:type="dxa"/>
            <w:shd w:val="clear" w:color="auto" w:fill="auto"/>
          </w:tcPr>
          <w:p w14:paraId="3B205360" w14:textId="77777777" w:rsidR="00A6611C" w:rsidRPr="00A6611C" w:rsidRDefault="00A6611C" w:rsidP="00A6611C">
            <w:pPr>
              <w:ind w:left="227" w:hanging="227"/>
              <w:jc w:val="right"/>
              <w:rPr>
                <w:rFonts w:ascii="Calibri" w:hAnsi="Calibri"/>
                <w:color w:val="000000"/>
                <w:sz w:val="20"/>
                <w:szCs w:val="20"/>
                <w:lang w:eastAsia="en-AU"/>
              </w:rPr>
            </w:pPr>
            <w:r w:rsidRPr="00A6611C">
              <w:rPr>
                <w:rFonts w:ascii="Calibri" w:hAnsi="Calibri"/>
                <w:color w:val="000000"/>
                <w:sz w:val="20"/>
                <w:szCs w:val="20"/>
                <w:lang w:eastAsia="en-AU"/>
              </w:rPr>
              <w:t>183</w:t>
            </w:r>
          </w:p>
        </w:tc>
        <w:tc>
          <w:tcPr>
            <w:tcW w:w="1192" w:type="dxa"/>
            <w:shd w:val="clear" w:color="auto" w:fill="auto"/>
          </w:tcPr>
          <w:p w14:paraId="622B4AB0" w14:textId="77777777" w:rsidR="00A6611C" w:rsidRPr="00A6611C" w:rsidRDefault="00A6611C" w:rsidP="00A6611C">
            <w:pPr>
              <w:ind w:left="227" w:hanging="227"/>
              <w:jc w:val="right"/>
              <w:rPr>
                <w:rFonts w:ascii="Calibri" w:hAnsi="Calibri"/>
                <w:color w:val="000000"/>
                <w:sz w:val="20"/>
                <w:szCs w:val="20"/>
                <w:lang w:eastAsia="en-AU"/>
              </w:rPr>
            </w:pPr>
            <w:r w:rsidRPr="00A6611C">
              <w:rPr>
                <w:rFonts w:ascii="Calibri" w:hAnsi="Calibri"/>
                <w:color w:val="000000"/>
                <w:sz w:val="20"/>
                <w:szCs w:val="20"/>
                <w:lang w:eastAsia="en-AU"/>
              </w:rPr>
              <w:t>422</w:t>
            </w:r>
          </w:p>
        </w:tc>
      </w:tr>
      <w:tr w:rsidR="00A6611C" w:rsidRPr="00A6611C" w14:paraId="51E2120A" w14:textId="77777777" w:rsidTr="002E5D27">
        <w:trPr>
          <w:cantSplit/>
          <w:trHeight w:val="227"/>
        </w:trPr>
        <w:tc>
          <w:tcPr>
            <w:tcW w:w="3681" w:type="dxa"/>
            <w:shd w:val="clear" w:color="auto" w:fill="auto"/>
          </w:tcPr>
          <w:p w14:paraId="0B2ECB14" w14:textId="77777777" w:rsidR="00A6611C" w:rsidRPr="00A6611C" w:rsidRDefault="00A6611C" w:rsidP="00A6611C">
            <w:pPr>
              <w:ind w:left="227" w:hanging="227"/>
              <w:rPr>
                <w:rFonts w:ascii="Calibri" w:hAnsi="Calibri"/>
                <w:bCs/>
                <w:sz w:val="20"/>
                <w:szCs w:val="20"/>
                <w:vertAlign w:val="superscript"/>
                <w:lang w:eastAsia="en-AU"/>
              </w:rPr>
            </w:pPr>
            <w:r w:rsidRPr="00A6611C">
              <w:rPr>
                <w:rFonts w:ascii="Calibri" w:hAnsi="Calibri"/>
                <w:bCs/>
                <w:sz w:val="20"/>
                <w:szCs w:val="20"/>
                <w:lang w:eastAsia="en-AU"/>
              </w:rPr>
              <w:t xml:space="preserve">Strengthening fairness in tax collection </w:t>
            </w:r>
            <w:r w:rsidRPr="00A6611C">
              <w:rPr>
                <w:rFonts w:ascii="Calibri" w:hAnsi="Calibri"/>
                <w:bCs/>
                <w:sz w:val="20"/>
                <w:szCs w:val="20"/>
                <w:vertAlign w:val="superscript"/>
                <w:lang w:eastAsia="en-AU"/>
              </w:rPr>
              <w:t>1</w:t>
            </w:r>
          </w:p>
        </w:tc>
        <w:tc>
          <w:tcPr>
            <w:tcW w:w="1189" w:type="dxa"/>
            <w:shd w:val="clear" w:color="auto" w:fill="auto"/>
          </w:tcPr>
          <w:p w14:paraId="1D318274"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3,440</w:t>
            </w:r>
          </w:p>
        </w:tc>
        <w:tc>
          <w:tcPr>
            <w:tcW w:w="1192" w:type="dxa"/>
            <w:shd w:val="clear" w:color="auto" w:fill="auto"/>
          </w:tcPr>
          <w:p w14:paraId="0F665ADC"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3,840</w:t>
            </w:r>
          </w:p>
        </w:tc>
        <w:tc>
          <w:tcPr>
            <w:tcW w:w="1192" w:type="dxa"/>
            <w:shd w:val="clear" w:color="auto" w:fill="auto"/>
          </w:tcPr>
          <w:p w14:paraId="64B85EAB"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3,840</w:t>
            </w:r>
          </w:p>
        </w:tc>
        <w:tc>
          <w:tcPr>
            <w:tcW w:w="1192" w:type="dxa"/>
            <w:shd w:val="clear" w:color="auto" w:fill="auto"/>
          </w:tcPr>
          <w:p w14:paraId="1014C188"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3,840</w:t>
            </w:r>
          </w:p>
        </w:tc>
        <w:tc>
          <w:tcPr>
            <w:tcW w:w="1192" w:type="dxa"/>
            <w:shd w:val="clear" w:color="auto" w:fill="auto"/>
          </w:tcPr>
          <w:p w14:paraId="0751381B"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14,960</w:t>
            </w:r>
          </w:p>
        </w:tc>
      </w:tr>
      <w:tr w:rsidR="00A6611C" w:rsidRPr="00A6611C" w14:paraId="25E254C7" w14:textId="77777777" w:rsidTr="002E5D27">
        <w:trPr>
          <w:cantSplit/>
          <w:trHeight w:val="227"/>
        </w:trPr>
        <w:tc>
          <w:tcPr>
            <w:tcW w:w="3681" w:type="dxa"/>
            <w:shd w:val="clear" w:color="auto" w:fill="auto"/>
          </w:tcPr>
          <w:p w14:paraId="68DAE63E" w14:textId="77777777" w:rsidR="00A6611C" w:rsidRPr="00A6611C" w:rsidRDefault="00A6611C" w:rsidP="00A6611C">
            <w:pPr>
              <w:ind w:left="227" w:hanging="227"/>
              <w:rPr>
                <w:rFonts w:ascii="Calibri" w:hAnsi="Calibri"/>
                <w:bCs/>
                <w:sz w:val="20"/>
                <w:szCs w:val="20"/>
                <w:vertAlign w:val="superscript"/>
                <w:lang w:eastAsia="en-AU"/>
              </w:rPr>
            </w:pPr>
            <w:r w:rsidRPr="00A6611C">
              <w:rPr>
                <w:rFonts w:ascii="Calibri" w:hAnsi="Calibri"/>
                <w:bCs/>
                <w:sz w:val="20"/>
                <w:szCs w:val="20"/>
                <w:lang w:eastAsia="en-AU"/>
              </w:rPr>
              <w:t xml:space="preserve">Strengthening the contribution clubs make to our community </w:t>
            </w:r>
            <w:r w:rsidRPr="00A6611C">
              <w:rPr>
                <w:rFonts w:ascii="Calibri" w:hAnsi="Calibri"/>
                <w:bCs/>
                <w:sz w:val="20"/>
                <w:szCs w:val="20"/>
                <w:vertAlign w:val="superscript"/>
                <w:lang w:eastAsia="en-AU"/>
              </w:rPr>
              <w:t>1</w:t>
            </w:r>
          </w:p>
        </w:tc>
        <w:tc>
          <w:tcPr>
            <w:tcW w:w="1189" w:type="dxa"/>
            <w:shd w:val="clear" w:color="auto" w:fill="auto"/>
          </w:tcPr>
          <w:p w14:paraId="30BFC5D8"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800</w:t>
            </w:r>
          </w:p>
        </w:tc>
        <w:tc>
          <w:tcPr>
            <w:tcW w:w="1192" w:type="dxa"/>
            <w:shd w:val="clear" w:color="auto" w:fill="auto"/>
          </w:tcPr>
          <w:p w14:paraId="4815C9D5"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820</w:t>
            </w:r>
          </w:p>
        </w:tc>
        <w:tc>
          <w:tcPr>
            <w:tcW w:w="1192" w:type="dxa"/>
            <w:shd w:val="clear" w:color="auto" w:fill="auto"/>
          </w:tcPr>
          <w:p w14:paraId="06ECCC78"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840</w:t>
            </w:r>
          </w:p>
        </w:tc>
        <w:tc>
          <w:tcPr>
            <w:tcW w:w="1192" w:type="dxa"/>
            <w:shd w:val="clear" w:color="auto" w:fill="auto"/>
          </w:tcPr>
          <w:p w14:paraId="456CD423"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860</w:t>
            </w:r>
          </w:p>
        </w:tc>
        <w:tc>
          <w:tcPr>
            <w:tcW w:w="1192" w:type="dxa"/>
            <w:shd w:val="clear" w:color="auto" w:fill="auto"/>
          </w:tcPr>
          <w:p w14:paraId="7B13138F"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3,320</w:t>
            </w:r>
          </w:p>
        </w:tc>
      </w:tr>
      <w:tr w:rsidR="00A6611C" w:rsidRPr="00A6611C" w14:paraId="2C65010A" w14:textId="77777777" w:rsidTr="002E5D27">
        <w:trPr>
          <w:cantSplit/>
          <w:trHeight w:val="227"/>
        </w:trPr>
        <w:tc>
          <w:tcPr>
            <w:tcW w:w="3681" w:type="dxa"/>
            <w:shd w:val="clear" w:color="auto" w:fill="auto"/>
          </w:tcPr>
          <w:p w14:paraId="76DB2BA2" w14:textId="77777777" w:rsidR="00A6611C" w:rsidRPr="00A6611C" w:rsidRDefault="00A6611C" w:rsidP="00A6611C">
            <w:pPr>
              <w:ind w:left="227" w:hanging="227"/>
              <w:rPr>
                <w:rFonts w:ascii="Calibri" w:hAnsi="Calibri"/>
                <w:bCs/>
                <w:sz w:val="20"/>
                <w:szCs w:val="20"/>
                <w:vertAlign w:val="superscript"/>
                <w:lang w:eastAsia="en-AU"/>
              </w:rPr>
            </w:pPr>
            <w:r w:rsidRPr="00A6611C">
              <w:rPr>
                <w:rFonts w:ascii="Calibri" w:hAnsi="Calibri"/>
                <w:bCs/>
                <w:sz w:val="20"/>
                <w:szCs w:val="20"/>
                <w:lang w:eastAsia="en-AU"/>
              </w:rPr>
              <w:t xml:space="preserve">Stronger compliance to improve building quality </w:t>
            </w:r>
            <w:r w:rsidRPr="00A6611C">
              <w:rPr>
                <w:rFonts w:ascii="Calibri" w:hAnsi="Calibri"/>
                <w:bCs/>
                <w:sz w:val="20"/>
                <w:szCs w:val="20"/>
                <w:vertAlign w:val="superscript"/>
                <w:lang w:eastAsia="en-AU"/>
              </w:rPr>
              <w:t>1</w:t>
            </w:r>
          </w:p>
        </w:tc>
        <w:tc>
          <w:tcPr>
            <w:tcW w:w="1189" w:type="dxa"/>
            <w:shd w:val="clear" w:color="auto" w:fill="auto"/>
          </w:tcPr>
          <w:p w14:paraId="5125E1C8"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2,152</w:t>
            </w:r>
          </w:p>
        </w:tc>
        <w:tc>
          <w:tcPr>
            <w:tcW w:w="1192" w:type="dxa"/>
            <w:shd w:val="clear" w:color="auto" w:fill="auto"/>
          </w:tcPr>
          <w:p w14:paraId="3553A048"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2,206</w:t>
            </w:r>
          </w:p>
        </w:tc>
        <w:tc>
          <w:tcPr>
            <w:tcW w:w="1192" w:type="dxa"/>
            <w:shd w:val="clear" w:color="auto" w:fill="auto"/>
          </w:tcPr>
          <w:p w14:paraId="6438AFD6"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2,261</w:t>
            </w:r>
          </w:p>
        </w:tc>
        <w:tc>
          <w:tcPr>
            <w:tcW w:w="1192" w:type="dxa"/>
            <w:shd w:val="clear" w:color="auto" w:fill="auto"/>
          </w:tcPr>
          <w:p w14:paraId="6DBEA218"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2,327</w:t>
            </w:r>
          </w:p>
        </w:tc>
        <w:tc>
          <w:tcPr>
            <w:tcW w:w="1192" w:type="dxa"/>
            <w:shd w:val="clear" w:color="auto" w:fill="auto"/>
          </w:tcPr>
          <w:p w14:paraId="455D6E80"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8,946</w:t>
            </w:r>
          </w:p>
        </w:tc>
      </w:tr>
      <w:tr w:rsidR="00A6611C" w:rsidRPr="00A6611C" w14:paraId="516A34C6" w14:textId="77777777" w:rsidTr="004046B9">
        <w:trPr>
          <w:cantSplit/>
          <w:trHeight w:val="227"/>
        </w:trPr>
        <w:tc>
          <w:tcPr>
            <w:tcW w:w="3681" w:type="dxa"/>
            <w:tcBorders>
              <w:bottom w:val="single" w:sz="4" w:space="0" w:color="auto"/>
            </w:tcBorders>
            <w:shd w:val="clear" w:color="auto" w:fill="auto"/>
          </w:tcPr>
          <w:p w14:paraId="39E59C9F" w14:textId="77777777" w:rsidR="00A6611C" w:rsidRPr="00A6611C" w:rsidRDefault="00A6611C" w:rsidP="00A6611C">
            <w:pPr>
              <w:ind w:left="227" w:hanging="227"/>
              <w:rPr>
                <w:rFonts w:ascii="Calibri" w:hAnsi="Calibri"/>
                <w:bCs/>
                <w:sz w:val="20"/>
                <w:szCs w:val="20"/>
                <w:lang w:eastAsia="en-AU"/>
              </w:rPr>
            </w:pPr>
            <w:r w:rsidRPr="00A6611C">
              <w:rPr>
                <w:rFonts w:ascii="Calibri" w:hAnsi="Calibri"/>
                <w:bCs/>
                <w:sz w:val="20"/>
                <w:szCs w:val="20"/>
                <w:lang w:eastAsia="en-AU"/>
              </w:rPr>
              <w:t>Supporting pensioners to find the right home</w:t>
            </w:r>
          </w:p>
        </w:tc>
        <w:tc>
          <w:tcPr>
            <w:tcW w:w="1189" w:type="dxa"/>
            <w:tcBorders>
              <w:bottom w:val="single" w:sz="4" w:space="0" w:color="auto"/>
            </w:tcBorders>
            <w:shd w:val="clear" w:color="auto" w:fill="auto"/>
          </w:tcPr>
          <w:p w14:paraId="38B65E3F"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-700</w:t>
            </w:r>
          </w:p>
        </w:tc>
        <w:tc>
          <w:tcPr>
            <w:tcW w:w="1192" w:type="dxa"/>
            <w:tcBorders>
              <w:bottom w:val="single" w:sz="4" w:space="0" w:color="auto"/>
            </w:tcBorders>
            <w:shd w:val="clear" w:color="auto" w:fill="auto"/>
          </w:tcPr>
          <w:p w14:paraId="474A7299"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0</w:t>
            </w:r>
          </w:p>
        </w:tc>
        <w:tc>
          <w:tcPr>
            <w:tcW w:w="1192" w:type="dxa"/>
            <w:tcBorders>
              <w:bottom w:val="single" w:sz="4" w:space="0" w:color="auto"/>
            </w:tcBorders>
            <w:shd w:val="clear" w:color="auto" w:fill="auto"/>
          </w:tcPr>
          <w:p w14:paraId="0E1B3E03"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0</w:t>
            </w:r>
          </w:p>
        </w:tc>
        <w:tc>
          <w:tcPr>
            <w:tcW w:w="1192" w:type="dxa"/>
            <w:tcBorders>
              <w:bottom w:val="single" w:sz="4" w:space="0" w:color="auto"/>
            </w:tcBorders>
            <w:shd w:val="clear" w:color="auto" w:fill="auto"/>
          </w:tcPr>
          <w:p w14:paraId="4626B82E"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0</w:t>
            </w:r>
          </w:p>
        </w:tc>
        <w:tc>
          <w:tcPr>
            <w:tcW w:w="1192" w:type="dxa"/>
            <w:tcBorders>
              <w:bottom w:val="single" w:sz="4" w:space="0" w:color="auto"/>
            </w:tcBorders>
            <w:shd w:val="clear" w:color="auto" w:fill="auto"/>
          </w:tcPr>
          <w:p w14:paraId="5674944D" w14:textId="77777777" w:rsidR="00A6611C" w:rsidRPr="00A6611C" w:rsidRDefault="00A6611C" w:rsidP="00A6611C">
            <w:pPr>
              <w:ind w:left="227" w:hanging="227"/>
              <w:jc w:val="right"/>
              <w:rPr>
                <w:rFonts w:ascii="Calibri" w:hAnsi="Calibri"/>
                <w:sz w:val="20"/>
                <w:szCs w:val="20"/>
                <w:lang w:eastAsia="en-AU"/>
              </w:rPr>
            </w:pPr>
            <w:r w:rsidRPr="00A6611C">
              <w:rPr>
                <w:rFonts w:ascii="Calibri" w:hAnsi="Calibri"/>
                <w:sz w:val="20"/>
                <w:szCs w:val="20"/>
                <w:lang w:eastAsia="en-AU"/>
              </w:rPr>
              <w:t>-700</w:t>
            </w:r>
          </w:p>
        </w:tc>
      </w:tr>
      <w:tr w:rsidR="00A6611C" w:rsidRPr="00A6611C" w14:paraId="4C147C1B" w14:textId="77777777" w:rsidTr="004046B9">
        <w:trPr>
          <w:cantSplit/>
          <w:trHeight w:val="227"/>
        </w:trPr>
        <w:tc>
          <w:tcPr>
            <w:tcW w:w="3681" w:type="dxa"/>
            <w:tcBorders>
              <w:top w:val="single" w:sz="4" w:space="0" w:color="auto"/>
              <w:bottom w:val="single" w:sz="4" w:space="0" w:color="auto"/>
            </w:tcBorders>
            <w:shd w:val="clear" w:color="auto" w:fill="auto"/>
          </w:tcPr>
          <w:p w14:paraId="727771DC" w14:textId="77777777" w:rsidR="00A6611C" w:rsidRPr="00A6611C" w:rsidRDefault="00A6611C" w:rsidP="00A6611C">
            <w:pPr>
              <w:ind w:left="227" w:hanging="227"/>
              <w:jc w:val="right"/>
              <w:rPr>
                <w:rFonts w:ascii="Calibri" w:hAnsi="Calibri"/>
                <w:b/>
                <w:sz w:val="20"/>
                <w:szCs w:val="20"/>
                <w:lang w:eastAsia="en-AU"/>
              </w:rPr>
            </w:pPr>
            <w:r w:rsidRPr="00A6611C">
              <w:rPr>
                <w:rFonts w:ascii="Calibri" w:hAnsi="Calibri"/>
                <w:b/>
                <w:sz w:val="20"/>
                <w:szCs w:val="20"/>
                <w:lang w:eastAsia="en-AU"/>
              </w:rPr>
              <w:t>Total</w:t>
            </w:r>
          </w:p>
        </w:tc>
        <w:tc>
          <w:tcPr>
            <w:tcW w:w="1189" w:type="dxa"/>
            <w:tcBorders>
              <w:top w:val="single" w:sz="4" w:space="0" w:color="auto"/>
              <w:bottom w:val="single" w:sz="4" w:space="0" w:color="auto"/>
            </w:tcBorders>
            <w:shd w:val="clear" w:color="auto" w:fill="auto"/>
            <w:vAlign w:val="center"/>
          </w:tcPr>
          <w:p w14:paraId="6B57EE45" w14:textId="77777777" w:rsidR="00A6611C" w:rsidRPr="00A6611C" w:rsidRDefault="00A6611C" w:rsidP="00A6611C">
            <w:pPr>
              <w:ind w:left="227" w:hanging="227"/>
              <w:jc w:val="right"/>
              <w:rPr>
                <w:rFonts w:ascii="Calibri" w:hAnsi="Calibri"/>
                <w:b/>
                <w:sz w:val="20"/>
                <w:szCs w:val="20"/>
                <w:lang w:eastAsia="en-AU"/>
              </w:rPr>
            </w:pPr>
            <w:r w:rsidRPr="00A6611C">
              <w:rPr>
                <w:rFonts w:ascii="Calibri" w:hAnsi="Calibri"/>
                <w:b/>
                <w:sz w:val="20"/>
                <w:szCs w:val="20"/>
                <w:lang w:eastAsia="en-AU"/>
              </w:rPr>
              <w:t>6,941</w:t>
            </w:r>
          </w:p>
        </w:tc>
        <w:tc>
          <w:tcPr>
            <w:tcW w:w="1192" w:type="dxa"/>
            <w:tcBorders>
              <w:top w:val="single" w:sz="4" w:space="0" w:color="auto"/>
              <w:bottom w:val="single" w:sz="4" w:space="0" w:color="auto"/>
            </w:tcBorders>
            <w:shd w:val="clear" w:color="auto" w:fill="auto"/>
            <w:vAlign w:val="center"/>
          </w:tcPr>
          <w:p w14:paraId="275CB5E5" w14:textId="77777777" w:rsidR="00A6611C" w:rsidRPr="00A6611C" w:rsidRDefault="00A6611C" w:rsidP="00A6611C">
            <w:pPr>
              <w:ind w:left="227" w:hanging="227"/>
              <w:jc w:val="right"/>
              <w:rPr>
                <w:rFonts w:ascii="Calibri" w:hAnsi="Calibri"/>
                <w:b/>
                <w:sz w:val="20"/>
                <w:szCs w:val="20"/>
                <w:lang w:eastAsia="en-AU"/>
              </w:rPr>
            </w:pPr>
            <w:r w:rsidRPr="00A6611C">
              <w:rPr>
                <w:rFonts w:ascii="Calibri" w:hAnsi="Calibri"/>
                <w:b/>
                <w:sz w:val="20"/>
                <w:szCs w:val="20"/>
                <w:lang w:eastAsia="en-AU"/>
              </w:rPr>
              <w:t>8,476</w:t>
            </w:r>
          </w:p>
        </w:tc>
        <w:tc>
          <w:tcPr>
            <w:tcW w:w="1192" w:type="dxa"/>
            <w:tcBorders>
              <w:top w:val="single" w:sz="4" w:space="0" w:color="auto"/>
              <w:bottom w:val="single" w:sz="4" w:space="0" w:color="auto"/>
            </w:tcBorders>
            <w:shd w:val="clear" w:color="auto" w:fill="auto"/>
            <w:vAlign w:val="center"/>
          </w:tcPr>
          <w:p w14:paraId="2ABACA2A" w14:textId="77777777" w:rsidR="00A6611C" w:rsidRPr="00A6611C" w:rsidRDefault="00A6611C" w:rsidP="00A6611C">
            <w:pPr>
              <w:ind w:left="227" w:hanging="227"/>
              <w:jc w:val="right"/>
              <w:rPr>
                <w:rFonts w:ascii="Calibri" w:hAnsi="Calibri"/>
                <w:b/>
                <w:sz w:val="20"/>
                <w:szCs w:val="20"/>
                <w:lang w:eastAsia="en-AU"/>
              </w:rPr>
            </w:pPr>
            <w:r w:rsidRPr="00A6611C">
              <w:rPr>
                <w:rFonts w:ascii="Calibri" w:hAnsi="Calibri"/>
                <w:b/>
                <w:sz w:val="20"/>
                <w:szCs w:val="20"/>
                <w:lang w:eastAsia="en-AU"/>
              </w:rPr>
              <w:t>8,766</w:t>
            </w:r>
          </w:p>
        </w:tc>
        <w:tc>
          <w:tcPr>
            <w:tcW w:w="1192" w:type="dxa"/>
            <w:tcBorders>
              <w:top w:val="single" w:sz="4" w:space="0" w:color="auto"/>
              <w:bottom w:val="single" w:sz="4" w:space="0" w:color="auto"/>
            </w:tcBorders>
            <w:shd w:val="clear" w:color="auto" w:fill="auto"/>
            <w:vAlign w:val="center"/>
          </w:tcPr>
          <w:p w14:paraId="5AEA7B08" w14:textId="77777777" w:rsidR="00A6611C" w:rsidRPr="00A6611C" w:rsidRDefault="00A6611C" w:rsidP="00A6611C">
            <w:pPr>
              <w:ind w:left="227" w:hanging="227"/>
              <w:jc w:val="right"/>
              <w:rPr>
                <w:rFonts w:ascii="Calibri" w:hAnsi="Calibri"/>
                <w:b/>
                <w:sz w:val="20"/>
                <w:szCs w:val="20"/>
                <w:lang w:eastAsia="en-AU"/>
              </w:rPr>
            </w:pPr>
            <w:r w:rsidRPr="00A6611C">
              <w:rPr>
                <w:rFonts w:ascii="Calibri" w:hAnsi="Calibri"/>
                <w:b/>
                <w:sz w:val="20"/>
                <w:szCs w:val="20"/>
                <w:lang w:eastAsia="en-AU"/>
              </w:rPr>
              <w:t>7,851</w:t>
            </w:r>
          </w:p>
        </w:tc>
        <w:tc>
          <w:tcPr>
            <w:tcW w:w="1192" w:type="dxa"/>
            <w:tcBorders>
              <w:top w:val="single" w:sz="4" w:space="0" w:color="auto"/>
              <w:bottom w:val="single" w:sz="4" w:space="0" w:color="auto"/>
            </w:tcBorders>
            <w:shd w:val="clear" w:color="auto" w:fill="auto"/>
            <w:vAlign w:val="center"/>
          </w:tcPr>
          <w:p w14:paraId="707ED093" w14:textId="77777777" w:rsidR="00A6611C" w:rsidRPr="00A6611C" w:rsidRDefault="00A6611C" w:rsidP="00A6611C">
            <w:pPr>
              <w:ind w:left="227" w:hanging="227"/>
              <w:jc w:val="right"/>
              <w:rPr>
                <w:rFonts w:ascii="Calibri" w:hAnsi="Calibri"/>
                <w:b/>
                <w:sz w:val="20"/>
                <w:szCs w:val="20"/>
                <w:lang w:eastAsia="en-AU"/>
              </w:rPr>
            </w:pPr>
            <w:r w:rsidRPr="00A6611C">
              <w:rPr>
                <w:rFonts w:ascii="Calibri" w:hAnsi="Calibri"/>
                <w:b/>
                <w:sz w:val="20"/>
                <w:szCs w:val="20"/>
                <w:lang w:eastAsia="en-AU"/>
              </w:rPr>
              <w:t>32,034</w:t>
            </w:r>
          </w:p>
        </w:tc>
      </w:tr>
    </w:tbl>
    <w:p w14:paraId="339E751A" w14:textId="77777777" w:rsidR="00A6611C" w:rsidRPr="00A6611C" w:rsidRDefault="00A6611C" w:rsidP="003B4CAB">
      <w:pPr>
        <w:pStyle w:val="snapNotesheading"/>
        <w:rPr>
          <w:b w:val="0"/>
        </w:rPr>
      </w:pPr>
      <w:r w:rsidRPr="00A6611C">
        <w:t>Notes:</w:t>
      </w:r>
    </w:p>
    <w:p w14:paraId="60FF40E2" w14:textId="5F951D1A" w:rsidR="00A6611C" w:rsidRPr="00A6611C" w:rsidRDefault="003B4CAB" w:rsidP="003B4CAB">
      <w:pPr>
        <w:pStyle w:val="snapNotesbody"/>
      </w:pPr>
      <w:r>
        <w:rPr>
          <w:lang w:val="en-US"/>
        </w:rPr>
        <w:t xml:space="preserve">1. </w:t>
      </w:r>
      <w:r w:rsidR="00A6611C" w:rsidRPr="00A6611C">
        <w:t>This initiative has an expense component; this is listed in the summary table in Expense initiatives (Chapter 3.2).</w:t>
      </w:r>
    </w:p>
    <w:p w14:paraId="5AC297F5" w14:textId="2B77FDBE" w:rsidR="00445EB3" w:rsidRPr="001D19C8" w:rsidRDefault="003B4CAB" w:rsidP="003B4CAB">
      <w:pPr>
        <w:pStyle w:val="snapNotesbody"/>
      </w:pPr>
      <w:r>
        <w:rPr>
          <w:lang w:val="en-US"/>
        </w:rPr>
        <w:t xml:space="preserve">2. </w:t>
      </w:r>
      <w:r w:rsidR="00A6611C" w:rsidRPr="00A6611C">
        <w:t>This initiative has a capital component; this is listed in the summary table in Capital initiatives (Chapter 3.3).</w:t>
      </w:r>
    </w:p>
    <w:p w14:paraId="7E5CD516" w14:textId="77777777" w:rsidR="000A4C6C" w:rsidRPr="00D15C55" w:rsidRDefault="000A4C6C" w:rsidP="000A4C6C">
      <w:pPr>
        <w:pStyle w:val="Heading2"/>
      </w:pPr>
      <w:r w:rsidRPr="00D15C55">
        <w:t>Selected Initiatives</w:t>
      </w:r>
    </w:p>
    <w:p w14:paraId="4A67AC85" w14:textId="77777777" w:rsidR="000A4C6C" w:rsidRPr="007A3A72" w:rsidRDefault="000A4C6C" w:rsidP="007A3A72">
      <w:pPr>
        <w:pStyle w:val="Heading3"/>
      </w:pPr>
      <w:r w:rsidRPr="007A3A72">
        <w:t>Expense Initiatives</w:t>
      </w:r>
    </w:p>
    <w:p w14:paraId="06524A27" w14:textId="77777777" w:rsidR="000A4C6C" w:rsidRPr="004046B9" w:rsidRDefault="000A4C6C" w:rsidP="004046B9">
      <w:pPr>
        <w:pStyle w:val="snapInittitles"/>
      </w:pPr>
      <w:r w:rsidRPr="004046B9">
        <w:t xml:space="preserve">Better online services through Access Canberra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0A4C6C" w:rsidRPr="00866299" w14:paraId="264CF5B2" w14:textId="77777777" w:rsidTr="005B0631">
        <w:trPr>
          <w:cantSplit/>
        </w:trPr>
        <w:tc>
          <w:tcPr>
            <w:tcW w:w="3652" w:type="dxa"/>
            <w:tcBorders>
              <w:top w:val="single" w:sz="4" w:space="0" w:color="auto"/>
              <w:bottom w:val="single" w:sz="4" w:space="0" w:color="auto"/>
            </w:tcBorders>
          </w:tcPr>
          <w:p w14:paraId="1DF379DC" w14:textId="77777777" w:rsidR="000A4C6C" w:rsidRPr="00866299" w:rsidRDefault="000A4C6C" w:rsidP="000A4C6C">
            <w:pPr>
              <w:contextualSpacing/>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2096AF89"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2019-20</w:t>
            </w:r>
          </w:p>
          <w:p w14:paraId="4FD8E09A"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4E2D58E0"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2020-21</w:t>
            </w:r>
          </w:p>
          <w:p w14:paraId="3CB7568D"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0803C82"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2021-22</w:t>
            </w:r>
          </w:p>
          <w:p w14:paraId="329E2689"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8393167"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2022-23</w:t>
            </w:r>
          </w:p>
          <w:p w14:paraId="4529423D"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5ADF07E2" w14:textId="77777777" w:rsidR="000A4C6C" w:rsidRPr="00866299" w:rsidRDefault="000A4C6C" w:rsidP="000A4C6C">
            <w:pPr>
              <w:contextualSpacing/>
              <w:jc w:val="right"/>
              <w:rPr>
                <w:b/>
                <w:sz w:val="22"/>
              </w:rPr>
            </w:pPr>
            <w:r w:rsidRPr="00866299">
              <w:rPr>
                <w:b/>
                <w:sz w:val="22"/>
              </w:rPr>
              <w:t>Total</w:t>
            </w:r>
          </w:p>
          <w:p w14:paraId="393E4E41" w14:textId="77777777" w:rsidR="000A4C6C" w:rsidRPr="00866299" w:rsidRDefault="000A4C6C" w:rsidP="000A4C6C">
            <w:pPr>
              <w:spacing w:before="200" w:after="200"/>
              <w:contextualSpacing/>
              <w:jc w:val="right"/>
              <w:rPr>
                <w:rFonts w:ascii="Calibri" w:hAnsi="Calibri"/>
                <w:b/>
                <w:sz w:val="22"/>
                <w:lang w:eastAsia="en-US"/>
              </w:rPr>
            </w:pPr>
            <w:r w:rsidRPr="00866299">
              <w:rPr>
                <w:rFonts w:ascii="Calibri" w:hAnsi="Calibri"/>
                <w:b/>
                <w:sz w:val="22"/>
                <w:lang w:eastAsia="en-US"/>
              </w:rPr>
              <w:t>$’000</w:t>
            </w:r>
          </w:p>
        </w:tc>
      </w:tr>
      <w:tr w:rsidR="000A4C6C" w:rsidRPr="00866299" w14:paraId="50E678B4" w14:textId="77777777" w:rsidTr="005B0631">
        <w:trPr>
          <w:cantSplit/>
        </w:trPr>
        <w:tc>
          <w:tcPr>
            <w:tcW w:w="3652" w:type="dxa"/>
            <w:tcBorders>
              <w:top w:val="single" w:sz="4" w:space="0" w:color="auto"/>
            </w:tcBorders>
          </w:tcPr>
          <w:p w14:paraId="717A7E95" w14:textId="77777777" w:rsidR="000A4C6C" w:rsidRPr="00866299" w:rsidRDefault="000A4C6C" w:rsidP="000A4C6C">
            <w:pPr>
              <w:ind w:left="284" w:hanging="284"/>
              <w:contextualSpacing/>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tcBorders>
          </w:tcPr>
          <w:p w14:paraId="035720EE"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200</w:t>
            </w:r>
          </w:p>
        </w:tc>
        <w:tc>
          <w:tcPr>
            <w:tcW w:w="1041" w:type="dxa"/>
            <w:tcBorders>
              <w:top w:val="single" w:sz="4" w:space="0" w:color="auto"/>
            </w:tcBorders>
          </w:tcPr>
          <w:p w14:paraId="4096F53F"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195</w:t>
            </w:r>
          </w:p>
        </w:tc>
        <w:tc>
          <w:tcPr>
            <w:tcW w:w="1029" w:type="dxa"/>
            <w:tcBorders>
              <w:top w:val="single" w:sz="4" w:space="0" w:color="auto"/>
            </w:tcBorders>
          </w:tcPr>
          <w:p w14:paraId="7A4B40DC"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50</w:t>
            </w:r>
          </w:p>
        </w:tc>
        <w:tc>
          <w:tcPr>
            <w:tcW w:w="1029" w:type="dxa"/>
            <w:tcBorders>
              <w:top w:val="single" w:sz="4" w:space="0" w:color="auto"/>
            </w:tcBorders>
          </w:tcPr>
          <w:p w14:paraId="340422FF"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50</w:t>
            </w:r>
          </w:p>
        </w:tc>
        <w:tc>
          <w:tcPr>
            <w:tcW w:w="1029" w:type="dxa"/>
            <w:tcBorders>
              <w:top w:val="single" w:sz="4" w:space="0" w:color="auto"/>
            </w:tcBorders>
          </w:tcPr>
          <w:p w14:paraId="1DBF59D8" w14:textId="77777777" w:rsidR="000A4C6C" w:rsidRPr="00866299" w:rsidRDefault="000A4C6C" w:rsidP="000A4C6C">
            <w:pPr>
              <w:spacing w:before="200" w:after="200"/>
              <w:contextualSpacing/>
              <w:jc w:val="right"/>
              <w:rPr>
                <w:rFonts w:ascii="Calibri" w:hAnsi="Calibri"/>
                <w:b/>
                <w:sz w:val="22"/>
                <w:lang w:eastAsia="en-US"/>
              </w:rPr>
            </w:pPr>
            <w:r w:rsidRPr="00866299">
              <w:rPr>
                <w:rFonts w:ascii="Calibri" w:hAnsi="Calibri"/>
                <w:b/>
                <w:sz w:val="22"/>
                <w:lang w:eastAsia="en-US"/>
              </w:rPr>
              <w:t>495</w:t>
            </w:r>
          </w:p>
        </w:tc>
      </w:tr>
      <w:tr w:rsidR="000A4C6C" w:rsidRPr="00866299" w14:paraId="4F1E6408" w14:textId="77777777" w:rsidTr="005B0631">
        <w:trPr>
          <w:cantSplit/>
        </w:trPr>
        <w:tc>
          <w:tcPr>
            <w:tcW w:w="3652" w:type="dxa"/>
            <w:shd w:val="clear" w:color="auto" w:fill="auto"/>
          </w:tcPr>
          <w:p w14:paraId="34B164F0" w14:textId="77777777" w:rsidR="000A4C6C" w:rsidRPr="00866299" w:rsidRDefault="000A4C6C" w:rsidP="000A4C6C">
            <w:pPr>
              <w:ind w:left="284" w:hanging="284"/>
              <w:contextualSpacing/>
              <w:rPr>
                <w:rFonts w:ascii="Calibri" w:hAnsi="Calibri"/>
                <w:sz w:val="22"/>
                <w:lang w:eastAsia="en-US"/>
              </w:rPr>
            </w:pPr>
            <w:r w:rsidRPr="00866299">
              <w:rPr>
                <w:rFonts w:ascii="Calibri" w:hAnsi="Calibri"/>
                <w:sz w:val="22"/>
                <w:lang w:eastAsia="en-US"/>
              </w:rPr>
              <w:t>Depreciation</w:t>
            </w:r>
          </w:p>
        </w:tc>
        <w:tc>
          <w:tcPr>
            <w:tcW w:w="1179" w:type="dxa"/>
            <w:shd w:val="clear" w:color="auto" w:fill="auto"/>
          </w:tcPr>
          <w:p w14:paraId="147A12F9"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w:t>
            </w:r>
          </w:p>
        </w:tc>
        <w:tc>
          <w:tcPr>
            <w:tcW w:w="1041" w:type="dxa"/>
            <w:shd w:val="clear" w:color="auto" w:fill="auto"/>
          </w:tcPr>
          <w:p w14:paraId="2A368E62"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w:t>
            </w:r>
          </w:p>
        </w:tc>
        <w:tc>
          <w:tcPr>
            <w:tcW w:w="1029" w:type="dxa"/>
            <w:shd w:val="clear" w:color="auto" w:fill="auto"/>
          </w:tcPr>
          <w:p w14:paraId="0A011AB9"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200</w:t>
            </w:r>
          </w:p>
        </w:tc>
        <w:tc>
          <w:tcPr>
            <w:tcW w:w="1029" w:type="dxa"/>
            <w:shd w:val="clear" w:color="auto" w:fill="auto"/>
          </w:tcPr>
          <w:p w14:paraId="676AEBDE"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200</w:t>
            </w:r>
          </w:p>
        </w:tc>
        <w:tc>
          <w:tcPr>
            <w:tcW w:w="1029" w:type="dxa"/>
            <w:shd w:val="clear" w:color="auto" w:fill="auto"/>
          </w:tcPr>
          <w:p w14:paraId="0BE79A7D" w14:textId="77777777" w:rsidR="000A4C6C" w:rsidRPr="00866299" w:rsidRDefault="000A4C6C" w:rsidP="000A4C6C">
            <w:pPr>
              <w:spacing w:before="200" w:after="200"/>
              <w:contextualSpacing/>
              <w:jc w:val="right"/>
              <w:rPr>
                <w:rFonts w:ascii="Calibri" w:hAnsi="Calibri"/>
                <w:b/>
                <w:sz w:val="22"/>
                <w:lang w:eastAsia="en-US"/>
              </w:rPr>
            </w:pPr>
            <w:r w:rsidRPr="00866299">
              <w:rPr>
                <w:rFonts w:ascii="Calibri" w:hAnsi="Calibri"/>
                <w:b/>
                <w:sz w:val="22"/>
                <w:lang w:eastAsia="en-US"/>
              </w:rPr>
              <w:t>400</w:t>
            </w:r>
          </w:p>
        </w:tc>
      </w:tr>
      <w:tr w:rsidR="000A4C6C" w:rsidRPr="00866299" w14:paraId="54668BCC" w14:textId="77777777" w:rsidTr="005B0631">
        <w:trPr>
          <w:cantSplit/>
        </w:trPr>
        <w:tc>
          <w:tcPr>
            <w:tcW w:w="3652" w:type="dxa"/>
            <w:tcBorders>
              <w:top w:val="single" w:sz="4" w:space="0" w:color="auto"/>
              <w:bottom w:val="single" w:sz="4" w:space="0" w:color="auto"/>
            </w:tcBorders>
          </w:tcPr>
          <w:p w14:paraId="5BF070B4" w14:textId="77777777" w:rsidR="000A4C6C" w:rsidRPr="00866299" w:rsidRDefault="000A4C6C" w:rsidP="000A4C6C">
            <w:pPr>
              <w:spacing w:before="200" w:after="200"/>
              <w:contextualSpacing/>
              <w:rPr>
                <w:rFonts w:ascii="Calibri" w:hAnsi="Calibri"/>
                <w:b/>
                <w:sz w:val="22"/>
                <w:lang w:eastAsia="en-US"/>
              </w:rPr>
            </w:pPr>
            <w:r w:rsidRPr="00866299">
              <w:rPr>
                <w:rFonts w:ascii="Calibri" w:hAnsi="Calibri"/>
                <w:b/>
                <w:sz w:val="22"/>
                <w:lang w:eastAsia="en-US"/>
              </w:rPr>
              <w:t>Total Expenses</w:t>
            </w:r>
          </w:p>
        </w:tc>
        <w:tc>
          <w:tcPr>
            <w:tcW w:w="1179" w:type="dxa"/>
            <w:tcBorders>
              <w:top w:val="single" w:sz="4" w:space="0" w:color="auto"/>
              <w:bottom w:val="single" w:sz="4" w:space="0" w:color="auto"/>
            </w:tcBorders>
          </w:tcPr>
          <w:p w14:paraId="32209583" w14:textId="77777777" w:rsidR="000A4C6C" w:rsidRPr="00866299" w:rsidRDefault="000A4C6C" w:rsidP="000A4C6C">
            <w:pPr>
              <w:ind w:left="284" w:hanging="284"/>
              <w:contextualSpacing/>
              <w:jc w:val="right"/>
              <w:rPr>
                <w:rFonts w:ascii="Calibri" w:hAnsi="Calibri"/>
                <w:b/>
                <w:sz w:val="22"/>
                <w:lang w:eastAsia="en-US"/>
              </w:rPr>
            </w:pPr>
            <w:r w:rsidRPr="00866299">
              <w:rPr>
                <w:rFonts w:ascii="Calibri" w:hAnsi="Calibri"/>
                <w:b/>
                <w:sz w:val="22"/>
                <w:lang w:eastAsia="en-US"/>
              </w:rPr>
              <w:t>200</w:t>
            </w:r>
          </w:p>
        </w:tc>
        <w:tc>
          <w:tcPr>
            <w:tcW w:w="1041" w:type="dxa"/>
            <w:tcBorders>
              <w:top w:val="single" w:sz="4" w:space="0" w:color="auto"/>
              <w:bottom w:val="single" w:sz="4" w:space="0" w:color="auto"/>
            </w:tcBorders>
          </w:tcPr>
          <w:p w14:paraId="2714A08D" w14:textId="77777777" w:rsidR="000A4C6C" w:rsidRPr="00866299" w:rsidRDefault="000A4C6C" w:rsidP="000A4C6C">
            <w:pPr>
              <w:ind w:left="284" w:hanging="284"/>
              <w:contextualSpacing/>
              <w:jc w:val="right"/>
              <w:rPr>
                <w:rFonts w:ascii="Calibri" w:hAnsi="Calibri"/>
                <w:b/>
                <w:sz w:val="22"/>
                <w:lang w:eastAsia="en-US"/>
              </w:rPr>
            </w:pPr>
            <w:r w:rsidRPr="00866299">
              <w:rPr>
                <w:rFonts w:ascii="Calibri" w:hAnsi="Calibri"/>
                <w:b/>
                <w:sz w:val="22"/>
                <w:lang w:eastAsia="en-US"/>
              </w:rPr>
              <w:t>195</w:t>
            </w:r>
          </w:p>
        </w:tc>
        <w:tc>
          <w:tcPr>
            <w:tcW w:w="1029" w:type="dxa"/>
            <w:tcBorders>
              <w:top w:val="single" w:sz="4" w:space="0" w:color="auto"/>
              <w:bottom w:val="single" w:sz="4" w:space="0" w:color="auto"/>
            </w:tcBorders>
          </w:tcPr>
          <w:p w14:paraId="5D601285" w14:textId="77777777" w:rsidR="000A4C6C" w:rsidRPr="00866299" w:rsidRDefault="000A4C6C" w:rsidP="000A4C6C">
            <w:pPr>
              <w:ind w:left="284" w:hanging="284"/>
              <w:contextualSpacing/>
              <w:jc w:val="right"/>
              <w:rPr>
                <w:rFonts w:ascii="Calibri" w:hAnsi="Calibri"/>
                <w:b/>
                <w:sz w:val="22"/>
                <w:lang w:eastAsia="en-US"/>
              </w:rPr>
            </w:pPr>
            <w:r w:rsidRPr="00866299">
              <w:rPr>
                <w:rFonts w:ascii="Calibri" w:hAnsi="Calibri"/>
                <w:b/>
                <w:sz w:val="22"/>
                <w:lang w:eastAsia="en-US"/>
              </w:rPr>
              <w:t>250</w:t>
            </w:r>
          </w:p>
        </w:tc>
        <w:tc>
          <w:tcPr>
            <w:tcW w:w="1029" w:type="dxa"/>
            <w:tcBorders>
              <w:top w:val="single" w:sz="4" w:space="0" w:color="auto"/>
              <w:bottom w:val="single" w:sz="4" w:space="0" w:color="auto"/>
            </w:tcBorders>
          </w:tcPr>
          <w:p w14:paraId="49B3553A" w14:textId="77777777" w:rsidR="000A4C6C" w:rsidRPr="00866299" w:rsidRDefault="000A4C6C" w:rsidP="000A4C6C">
            <w:pPr>
              <w:ind w:left="284" w:hanging="284"/>
              <w:contextualSpacing/>
              <w:jc w:val="right"/>
              <w:rPr>
                <w:rFonts w:ascii="Calibri" w:hAnsi="Calibri"/>
                <w:b/>
                <w:sz w:val="22"/>
                <w:lang w:eastAsia="en-US"/>
              </w:rPr>
            </w:pPr>
            <w:r w:rsidRPr="00866299">
              <w:rPr>
                <w:rFonts w:ascii="Calibri" w:hAnsi="Calibri"/>
                <w:b/>
                <w:sz w:val="22"/>
                <w:lang w:eastAsia="en-US"/>
              </w:rPr>
              <w:t>250</w:t>
            </w:r>
          </w:p>
        </w:tc>
        <w:tc>
          <w:tcPr>
            <w:tcW w:w="1029" w:type="dxa"/>
            <w:tcBorders>
              <w:top w:val="single" w:sz="4" w:space="0" w:color="auto"/>
              <w:bottom w:val="single" w:sz="4" w:space="0" w:color="auto"/>
            </w:tcBorders>
          </w:tcPr>
          <w:p w14:paraId="7FD974E6" w14:textId="77777777" w:rsidR="000A4C6C" w:rsidRPr="00866299" w:rsidRDefault="000A4C6C" w:rsidP="000A4C6C">
            <w:pPr>
              <w:contextualSpacing/>
              <w:jc w:val="right"/>
              <w:rPr>
                <w:b/>
                <w:sz w:val="22"/>
              </w:rPr>
            </w:pPr>
            <w:r w:rsidRPr="00866299">
              <w:rPr>
                <w:b/>
                <w:sz w:val="22"/>
              </w:rPr>
              <w:t>895</w:t>
            </w:r>
          </w:p>
        </w:tc>
      </w:tr>
      <w:tr w:rsidR="000A4C6C" w:rsidRPr="00866299" w14:paraId="72CC20BE" w14:textId="77777777" w:rsidTr="005B0631">
        <w:trPr>
          <w:cantSplit/>
          <w:trHeight w:val="107"/>
        </w:trPr>
        <w:tc>
          <w:tcPr>
            <w:tcW w:w="3652" w:type="dxa"/>
            <w:tcBorders>
              <w:top w:val="single" w:sz="4" w:space="0" w:color="auto"/>
              <w:bottom w:val="single" w:sz="4" w:space="0" w:color="auto"/>
            </w:tcBorders>
          </w:tcPr>
          <w:p w14:paraId="7D0DEED7" w14:textId="77777777" w:rsidR="000A4C6C" w:rsidRPr="00866299" w:rsidRDefault="000A4C6C" w:rsidP="000A4C6C">
            <w:pPr>
              <w:ind w:left="284" w:hanging="284"/>
              <w:contextualSpacing/>
              <w:rPr>
                <w:rFonts w:ascii="Calibri" w:hAnsi="Calibri"/>
                <w:sz w:val="22"/>
                <w:lang w:eastAsia="en-US"/>
              </w:rPr>
            </w:pPr>
            <w:r w:rsidRPr="00866299">
              <w:rPr>
                <w:rFonts w:ascii="Calibri" w:hAnsi="Calibri"/>
                <w:sz w:val="22"/>
                <w:lang w:eastAsia="en-US"/>
              </w:rPr>
              <w:t>Associated Capital</w:t>
            </w:r>
          </w:p>
        </w:tc>
        <w:tc>
          <w:tcPr>
            <w:tcW w:w="1179" w:type="dxa"/>
            <w:tcBorders>
              <w:top w:val="single" w:sz="4" w:space="0" w:color="auto"/>
              <w:bottom w:val="single" w:sz="4" w:space="0" w:color="auto"/>
            </w:tcBorders>
          </w:tcPr>
          <w:p w14:paraId="1A90B73A"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500</w:t>
            </w:r>
          </w:p>
        </w:tc>
        <w:tc>
          <w:tcPr>
            <w:tcW w:w="1041" w:type="dxa"/>
            <w:tcBorders>
              <w:top w:val="single" w:sz="4" w:space="0" w:color="auto"/>
              <w:bottom w:val="single" w:sz="4" w:space="0" w:color="auto"/>
            </w:tcBorders>
          </w:tcPr>
          <w:p w14:paraId="3CD1EF22"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500</w:t>
            </w:r>
          </w:p>
        </w:tc>
        <w:tc>
          <w:tcPr>
            <w:tcW w:w="1029" w:type="dxa"/>
            <w:tcBorders>
              <w:top w:val="single" w:sz="4" w:space="0" w:color="auto"/>
              <w:bottom w:val="single" w:sz="4" w:space="0" w:color="auto"/>
            </w:tcBorders>
          </w:tcPr>
          <w:p w14:paraId="5CCFB4A1"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2751770E"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7B512382" w14:textId="77777777" w:rsidR="000A4C6C" w:rsidRPr="00866299" w:rsidRDefault="000A4C6C" w:rsidP="000A4C6C">
            <w:pPr>
              <w:spacing w:before="200" w:after="200"/>
              <w:contextualSpacing/>
              <w:jc w:val="right"/>
              <w:rPr>
                <w:rFonts w:ascii="Calibri" w:hAnsi="Calibri"/>
                <w:b/>
                <w:sz w:val="22"/>
                <w:lang w:eastAsia="en-US"/>
              </w:rPr>
            </w:pPr>
            <w:r w:rsidRPr="00866299">
              <w:rPr>
                <w:rFonts w:ascii="Calibri" w:hAnsi="Calibri"/>
                <w:b/>
                <w:sz w:val="22"/>
                <w:lang w:eastAsia="en-US"/>
              </w:rPr>
              <w:t>1,000</w:t>
            </w:r>
          </w:p>
        </w:tc>
      </w:tr>
    </w:tbl>
    <w:p w14:paraId="1C11163B" w14:textId="77777777" w:rsidR="000A4C6C" w:rsidRPr="006B469B" w:rsidRDefault="000A4C6C" w:rsidP="005B0631">
      <w:pPr>
        <w:pStyle w:val="snapInitbody"/>
      </w:pPr>
      <w:r w:rsidRPr="006B469B">
        <w:t>The Government will continue investing in digital service delivery within Access Canberra to make accessing services more seamless for Canberrans and meet growing demand to do business with government online.</w:t>
      </w:r>
    </w:p>
    <w:p w14:paraId="568E9CFD" w14:textId="77777777" w:rsidR="000A4C6C" w:rsidRPr="004046B9" w:rsidRDefault="000A4C6C" w:rsidP="004046B9">
      <w:pPr>
        <w:pStyle w:val="snapInittitles"/>
      </w:pPr>
      <w:r w:rsidRPr="004046B9">
        <w:t xml:space="preserve">Continuing </w:t>
      </w:r>
      <w:proofErr w:type="spellStart"/>
      <w:r w:rsidRPr="004046B9">
        <w:t>CBRfree</w:t>
      </w:r>
      <w:proofErr w:type="spellEnd"/>
      <w:r w:rsidRPr="004046B9">
        <w:t xml:space="preserve"> public Wi-Fi services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0A4C6C" w:rsidRPr="00866299" w14:paraId="764B653C" w14:textId="77777777" w:rsidTr="005B0631">
        <w:trPr>
          <w:cantSplit/>
        </w:trPr>
        <w:tc>
          <w:tcPr>
            <w:tcW w:w="3652" w:type="dxa"/>
            <w:tcBorders>
              <w:top w:val="single" w:sz="4" w:space="0" w:color="auto"/>
              <w:bottom w:val="single" w:sz="4" w:space="0" w:color="auto"/>
            </w:tcBorders>
          </w:tcPr>
          <w:p w14:paraId="382981A8" w14:textId="77777777" w:rsidR="000A4C6C" w:rsidRPr="00866299" w:rsidRDefault="000A4C6C" w:rsidP="000A4C6C">
            <w:pPr>
              <w:contextualSpacing/>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2B5FEB84"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2019-20</w:t>
            </w:r>
          </w:p>
          <w:p w14:paraId="19DAE67F"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7DC94ACF"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2020-21</w:t>
            </w:r>
          </w:p>
          <w:p w14:paraId="2E47DBA4"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15C1E08C"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2021-22</w:t>
            </w:r>
          </w:p>
          <w:p w14:paraId="49D016A7"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F01DC8F"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2022-23</w:t>
            </w:r>
          </w:p>
          <w:p w14:paraId="15773644"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196979CA" w14:textId="77777777" w:rsidR="000A4C6C" w:rsidRPr="00866299" w:rsidRDefault="000A4C6C" w:rsidP="000A4C6C">
            <w:pPr>
              <w:contextualSpacing/>
              <w:jc w:val="right"/>
              <w:rPr>
                <w:b/>
                <w:sz w:val="22"/>
              </w:rPr>
            </w:pPr>
            <w:r w:rsidRPr="00866299">
              <w:rPr>
                <w:b/>
                <w:sz w:val="22"/>
              </w:rPr>
              <w:t>Total</w:t>
            </w:r>
          </w:p>
          <w:p w14:paraId="7E71FEDD" w14:textId="77777777" w:rsidR="000A4C6C" w:rsidRPr="00866299" w:rsidRDefault="000A4C6C" w:rsidP="000A4C6C">
            <w:pPr>
              <w:spacing w:before="200" w:after="200"/>
              <w:contextualSpacing/>
              <w:jc w:val="right"/>
              <w:rPr>
                <w:rFonts w:ascii="Calibri" w:hAnsi="Calibri"/>
                <w:b/>
                <w:sz w:val="22"/>
                <w:lang w:eastAsia="en-US"/>
              </w:rPr>
            </w:pPr>
            <w:r w:rsidRPr="00866299">
              <w:rPr>
                <w:rFonts w:ascii="Calibri" w:hAnsi="Calibri"/>
                <w:b/>
                <w:sz w:val="22"/>
                <w:lang w:eastAsia="en-US"/>
              </w:rPr>
              <w:t>$’000</w:t>
            </w:r>
          </w:p>
        </w:tc>
      </w:tr>
      <w:tr w:rsidR="000A4C6C" w:rsidRPr="00866299" w14:paraId="47B9C2F4" w14:textId="77777777" w:rsidTr="005B0631">
        <w:trPr>
          <w:cantSplit/>
        </w:trPr>
        <w:tc>
          <w:tcPr>
            <w:tcW w:w="3652" w:type="dxa"/>
            <w:tcBorders>
              <w:top w:val="single" w:sz="4" w:space="0" w:color="auto"/>
            </w:tcBorders>
          </w:tcPr>
          <w:p w14:paraId="45779FDD" w14:textId="77777777" w:rsidR="000A4C6C" w:rsidRPr="00866299" w:rsidRDefault="000A4C6C" w:rsidP="000A4C6C">
            <w:pPr>
              <w:ind w:left="284" w:hanging="284"/>
              <w:contextualSpacing/>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tcBorders>
          </w:tcPr>
          <w:p w14:paraId="193CBEE0"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120</w:t>
            </w:r>
          </w:p>
        </w:tc>
        <w:tc>
          <w:tcPr>
            <w:tcW w:w="1041" w:type="dxa"/>
            <w:tcBorders>
              <w:top w:val="single" w:sz="4" w:space="0" w:color="auto"/>
            </w:tcBorders>
          </w:tcPr>
          <w:p w14:paraId="4A7345D5"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120</w:t>
            </w:r>
          </w:p>
        </w:tc>
        <w:tc>
          <w:tcPr>
            <w:tcW w:w="1029" w:type="dxa"/>
            <w:tcBorders>
              <w:top w:val="single" w:sz="4" w:space="0" w:color="auto"/>
            </w:tcBorders>
          </w:tcPr>
          <w:p w14:paraId="434AC788"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120</w:t>
            </w:r>
          </w:p>
        </w:tc>
        <w:tc>
          <w:tcPr>
            <w:tcW w:w="1029" w:type="dxa"/>
            <w:tcBorders>
              <w:top w:val="single" w:sz="4" w:space="0" w:color="auto"/>
            </w:tcBorders>
          </w:tcPr>
          <w:p w14:paraId="26D58D5E"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120</w:t>
            </w:r>
          </w:p>
        </w:tc>
        <w:tc>
          <w:tcPr>
            <w:tcW w:w="1029" w:type="dxa"/>
            <w:tcBorders>
              <w:top w:val="single" w:sz="4" w:space="0" w:color="auto"/>
            </w:tcBorders>
          </w:tcPr>
          <w:p w14:paraId="699D0445" w14:textId="77777777" w:rsidR="000A4C6C" w:rsidRPr="00866299" w:rsidRDefault="000A4C6C" w:rsidP="000A4C6C">
            <w:pPr>
              <w:spacing w:before="200" w:after="200"/>
              <w:contextualSpacing/>
              <w:jc w:val="right"/>
              <w:rPr>
                <w:rFonts w:ascii="Calibri" w:hAnsi="Calibri"/>
                <w:b/>
                <w:sz w:val="22"/>
                <w:lang w:eastAsia="en-US"/>
              </w:rPr>
            </w:pPr>
            <w:r w:rsidRPr="00866299">
              <w:rPr>
                <w:rFonts w:ascii="Calibri" w:hAnsi="Calibri"/>
                <w:b/>
                <w:sz w:val="22"/>
                <w:lang w:eastAsia="en-US"/>
              </w:rPr>
              <w:t>480</w:t>
            </w:r>
          </w:p>
        </w:tc>
      </w:tr>
      <w:tr w:rsidR="000A4C6C" w:rsidRPr="00866299" w14:paraId="740D271B" w14:textId="77777777" w:rsidTr="005B0631">
        <w:trPr>
          <w:cantSplit/>
        </w:trPr>
        <w:tc>
          <w:tcPr>
            <w:tcW w:w="3652" w:type="dxa"/>
            <w:tcBorders>
              <w:bottom w:val="single" w:sz="4" w:space="0" w:color="auto"/>
            </w:tcBorders>
          </w:tcPr>
          <w:p w14:paraId="3C78D618" w14:textId="77777777" w:rsidR="000A4C6C" w:rsidRPr="00866299" w:rsidRDefault="000A4C6C" w:rsidP="000A4C6C">
            <w:pPr>
              <w:ind w:left="284" w:hanging="284"/>
              <w:contextualSpacing/>
              <w:rPr>
                <w:rFonts w:ascii="Calibri" w:hAnsi="Calibri"/>
                <w:sz w:val="22"/>
                <w:lang w:eastAsia="en-US"/>
              </w:rPr>
            </w:pPr>
            <w:r w:rsidRPr="00866299">
              <w:rPr>
                <w:rFonts w:ascii="Calibri" w:hAnsi="Calibri"/>
                <w:sz w:val="22"/>
                <w:lang w:eastAsia="en-US"/>
              </w:rPr>
              <w:t>Offset – Expenses – Provision</w:t>
            </w:r>
          </w:p>
        </w:tc>
        <w:tc>
          <w:tcPr>
            <w:tcW w:w="1179" w:type="dxa"/>
            <w:tcBorders>
              <w:bottom w:val="single" w:sz="4" w:space="0" w:color="auto"/>
            </w:tcBorders>
          </w:tcPr>
          <w:p w14:paraId="02BA2D31"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-120</w:t>
            </w:r>
          </w:p>
        </w:tc>
        <w:tc>
          <w:tcPr>
            <w:tcW w:w="1041" w:type="dxa"/>
            <w:tcBorders>
              <w:bottom w:val="single" w:sz="4" w:space="0" w:color="auto"/>
            </w:tcBorders>
          </w:tcPr>
          <w:p w14:paraId="3B645571"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-120</w:t>
            </w:r>
          </w:p>
        </w:tc>
        <w:tc>
          <w:tcPr>
            <w:tcW w:w="1029" w:type="dxa"/>
            <w:tcBorders>
              <w:bottom w:val="single" w:sz="4" w:space="0" w:color="auto"/>
            </w:tcBorders>
          </w:tcPr>
          <w:p w14:paraId="132EA314"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-120</w:t>
            </w:r>
          </w:p>
        </w:tc>
        <w:tc>
          <w:tcPr>
            <w:tcW w:w="1029" w:type="dxa"/>
            <w:tcBorders>
              <w:bottom w:val="single" w:sz="4" w:space="0" w:color="auto"/>
            </w:tcBorders>
          </w:tcPr>
          <w:p w14:paraId="7F32E445"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-120</w:t>
            </w:r>
          </w:p>
        </w:tc>
        <w:tc>
          <w:tcPr>
            <w:tcW w:w="1029" w:type="dxa"/>
            <w:tcBorders>
              <w:bottom w:val="single" w:sz="4" w:space="0" w:color="auto"/>
            </w:tcBorders>
          </w:tcPr>
          <w:p w14:paraId="5E6C1922" w14:textId="77777777" w:rsidR="000A4C6C" w:rsidRPr="00866299" w:rsidRDefault="000A4C6C" w:rsidP="000A4C6C">
            <w:pPr>
              <w:spacing w:before="200" w:after="200"/>
              <w:contextualSpacing/>
              <w:jc w:val="right"/>
              <w:rPr>
                <w:rFonts w:ascii="Calibri" w:hAnsi="Calibri"/>
                <w:b/>
                <w:sz w:val="22"/>
                <w:lang w:eastAsia="en-US"/>
              </w:rPr>
            </w:pPr>
            <w:r w:rsidRPr="00866299">
              <w:rPr>
                <w:rFonts w:ascii="Calibri" w:hAnsi="Calibri"/>
                <w:b/>
                <w:sz w:val="22"/>
                <w:lang w:eastAsia="en-US"/>
              </w:rPr>
              <w:t>-480</w:t>
            </w:r>
          </w:p>
        </w:tc>
      </w:tr>
      <w:tr w:rsidR="000A4C6C" w:rsidRPr="00866299" w14:paraId="2C160E8F" w14:textId="77777777" w:rsidTr="005B0631">
        <w:trPr>
          <w:cantSplit/>
        </w:trPr>
        <w:tc>
          <w:tcPr>
            <w:tcW w:w="3652" w:type="dxa"/>
            <w:tcBorders>
              <w:top w:val="single" w:sz="4" w:space="0" w:color="auto"/>
              <w:bottom w:val="single" w:sz="4" w:space="0" w:color="auto"/>
            </w:tcBorders>
          </w:tcPr>
          <w:p w14:paraId="37A23D61" w14:textId="77777777" w:rsidR="000A4C6C" w:rsidRPr="00866299" w:rsidRDefault="000A4C6C" w:rsidP="000A4C6C">
            <w:pPr>
              <w:spacing w:before="200" w:after="200"/>
              <w:contextualSpacing/>
              <w:rPr>
                <w:rFonts w:ascii="Calibri" w:hAnsi="Calibri"/>
                <w:b/>
                <w:sz w:val="22"/>
                <w:lang w:eastAsia="en-US"/>
              </w:rPr>
            </w:pPr>
            <w:r w:rsidRPr="00866299">
              <w:rPr>
                <w:rFonts w:ascii="Calibri" w:hAnsi="Calibri"/>
                <w:b/>
                <w:sz w:val="22"/>
                <w:lang w:eastAsia="en-US"/>
              </w:rPr>
              <w:t>Net Expenses</w:t>
            </w:r>
          </w:p>
        </w:tc>
        <w:tc>
          <w:tcPr>
            <w:tcW w:w="1179" w:type="dxa"/>
            <w:tcBorders>
              <w:top w:val="single" w:sz="4" w:space="0" w:color="auto"/>
              <w:bottom w:val="single" w:sz="4" w:space="0" w:color="auto"/>
            </w:tcBorders>
          </w:tcPr>
          <w:p w14:paraId="661994C4" w14:textId="77777777" w:rsidR="000A4C6C" w:rsidRPr="00866299" w:rsidRDefault="000A4C6C" w:rsidP="000A4C6C">
            <w:pPr>
              <w:ind w:left="284" w:hanging="284"/>
              <w:contextualSpacing/>
              <w:jc w:val="right"/>
              <w:rPr>
                <w:rFonts w:ascii="Calibri" w:hAnsi="Calibri"/>
                <w:b/>
                <w:sz w:val="22"/>
                <w:lang w:eastAsia="en-US"/>
              </w:rPr>
            </w:pPr>
            <w:r w:rsidRPr="00866299">
              <w:rPr>
                <w:rFonts w:ascii="Calibri" w:hAnsi="Calibri"/>
                <w:b/>
                <w:sz w:val="22"/>
                <w:lang w:eastAsia="en-US"/>
              </w:rPr>
              <w:t>0</w:t>
            </w:r>
          </w:p>
        </w:tc>
        <w:tc>
          <w:tcPr>
            <w:tcW w:w="1041" w:type="dxa"/>
            <w:tcBorders>
              <w:top w:val="single" w:sz="4" w:space="0" w:color="auto"/>
              <w:bottom w:val="single" w:sz="4" w:space="0" w:color="auto"/>
            </w:tcBorders>
          </w:tcPr>
          <w:p w14:paraId="7E6D1DEF" w14:textId="77777777" w:rsidR="000A4C6C" w:rsidRPr="00866299" w:rsidRDefault="000A4C6C" w:rsidP="000A4C6C">
            <w:pPr>
              <w:ind w:left="284" w:hanging="284"/>
              <w:contextualSpacing/>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3B2247E5" w14:textId="77777777" w:rsidR="000A4C6C" w:rsidRPr="00866299" w:rsidRDefault="000A4C6C" w:rsidP="000A4C6C">
            <w:pPr>
              <w:ind w:left="284" w:hanging="284"/>
              <w:contextualSpacing/>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2D2CEF97" w14:textId="77777777" w:rsidR="000A4C6C" w:rsidRPr="00866299" w:rsidRDefault="000A4C6C" w:rsidP="000A4C6C">
            <w:pPr>
              <w:ind w:left="284" w:hanging="284"/>
              <w:contextualSpacing/>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2FF02DB4" w14:textId="77777777" w:rsidR="000A4C6C" w:rsidRPr="00866299" w:rsidRDefault="000A4C6C" w:rsidP="000A4C6C">
            <w:pPr>
              <w:ind w:left="284" w:hanging="284"/>
              <w:contextualSpacing/>
              <w:jc w:val="right"/>
              <w:rPr>
                <w:rFonts w:ascii="Calibri" w:hAnsi="Calibri"/>
                <w:b/>
                <w:sz w:val="22"/>
                <w:lang w:eastAsia="en-US"/>
              </w:rPr>
            </w:pPr>
            <w:r w:rsidRPr="00866299">
              <w:rPr>
                <w:rFonts w:ascii="Calibri" w:hAnsi="Calibri"/>
                <w:b/>
                <w:sz w:val="22"/>
                <w:lang w:eastAsia="en-US"/>
              </w:rPr>
              <w:t>0</w:t>
            </w:r>
          </w:p>
        </w:tc>
      </w:tr>
    </w:tbl>
    <w:p w14:paraId="65395851" w14:textId="77777777" w:rsidR="000A4C6C" w:rsidRPr="006B469B" w:rsidRDefault="000A4C6C" w:rsidP="005B0631">
      <w:pPr>
        <w:pStyle w:val="snapInitbody"/>
      </w:pPr>
      <w:r w:rsidRPr="006B469B">
        <w:t xml:space="preserve">The Government will continue delivering free public Wi-Fi services in town centres and key public places across the Territory, ensuring all Canberrans can benefit from better digital connectivity. The cost of this initiative will be offset by funding provisioned for the Wi-Fi network in the 2018-19 Budget. </w:t>
      </w:r>
    </w:p>
    <w:p w14:paraId="23BF2076" w14:textId="77777777" w:rsidR="000A4C6C" w:rsidRPr="008A544B" w:rsidRDefault="000A4C6C" w:rsidP="005B0631">
      <w:pPr>
        <w:pStyle w:val="snapInittitles"/>
        <w:rPr>
          <w:b w:val="0"/>
          <w:bCs w:val="0"/>
          <w:sz w:val="28"/>
        </w:rPr>
      </w:pPr>
      <w:r w:rsidRPr="008A544B">
        <w:t>Growing future skills with more apprenticeship and vocational training places</w:t>
      </w:r>
      <w:r w:rsidRPr="008A544B" w:rsidDel="00F009B2">
        <w:rPr>
          <w:sz w:val="28"/>
        </w:rPr>
        <w:t xml:space="preserve">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0A4C6C" w:rsidRPr="00866299" w14:paraId="156D7FC0" w14:textId="77777777" w:rsidTr="005B0631">
        <w:trPr>
          <w:cantSplit/>
        </w:trPr>
        <w:tc>
          <w:tcPr>
            <w:tcW w:w="3652" w:type="dxa"/>
            <w:tcBorders>
              <w:top w:val="single" w:sz="4" w:space="0" w:color="auto"/>
              <w:bottom w:val="single" w:sz="4" w:space="0" w:color="auto"/>
            </w:tcBorders>
          </w:tcPr>
          <w:p w14:paraId="764D01BE" w14:textId="77777777" w:rsidR="000A4C6C" w:rsidRPr="00866299" w:rsidRDefault="000A4C6C" w:rsidP="000A4C6C">
            <w:pPr>
              <w:contextualSpacing/>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0348BCAE"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2019-20</w:t>
            </w:r>
          </w:p>
          <w:p w14:paraId="187B0CFF"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43AE4571"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2020-21</w:t>
            </w:r>
          </w:p>
          <w:p w14:paraId="0FAAD061"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708C1ED"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2021-22</w:t>
            </w:r>
          </w:p>
          <w:p w14:paraId="16046CC7"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2CDD34D"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2022-23</w:t>
            </w:r>
          </w:p>
          <w:p w14:paraId="6D3015F9"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8C7EBF6" w14:textId="77777777" w:rsidR="000A4C6C" w:rsidRPr="00866299" w:rsidRDefault="000A4C6C" w:rsidP="000A4C6C">
            <w:pPr>
              <w:contextualSpacing/>
              <w:jc w:val="right"/>
              <w:rPr>
                <w:b/>
                <w:sz w:val="22"/>
              </w:rPr>
            </w:pPr>
            <w:r w:rsidRPr="00866299">
              <w:rPr>
                <w:b/>
                <w:sz w:val="22"/>
              </w:rPr>
              <w:t>Total</w:t>
            </w:r>
          </w:p>
          <w:p w14:paraId="58B43BF8" w14:textId="77777777" w:rsidR="000A4C6C" w:rsidRPr="00866299" w:rsidRDefault="000A4C6C" w:rsidP="000A4C6C">
            <w:pPr>
              <w:spacing w:before="200" w:after="200"/>
              <w:contextualSpacing/>
              <w:jc w:val="right"/>
              <w:rPr>
                <w:rFonts w:ascii="Calibri" w:hAnsi="Calibri"/>
                <w:b/>
                <w:sz w:val="22"/>
                <w:lang w:eastAsia="en-US"/>
              </w:rPr>
            </w:pPr>
            <w:r w:rsidRPr="00866299">
              <w:rPr>
                <w:rFonts w:ascii="Calibri" w:hAnsi="Calibri"/>
                <w:b/>
                <w:sz w:val="22"/>
                <w:lang w:eastAsia="en-US"/>
              </w:rPr>
              <w:t>$’000</w:t>
            </w:r>
          </w:p>
        </w:tc>
      </w:tr>
      <w:tr w:rsidR="000A4C6C" w:rsidRPr="00866299" w14:paraId="445ADDDD" w14:textId="77777777" w:rsidTr="005B0631">
        <w:trPr>
          <w:cantSplit/>
        </w:trPr>
        <w:tc>
          <w:tcPr>
            <w:tcW w:w="3652" w:type="dxa"/>
            <w:tcBorders>
              <w:bottom w:val="single" w:sz="4" w:space="0" w:color="auto"/>
            </w:tcBorders>
          </w:tcPr>
          <w:p w14:paraId="24CA9662" w14:textId="77777777" w:rsidR="000A4C6C" w:rsidRPr="00866299" w:rsidRDefault="000A4C6C" w:rsidP="000A4C6C">
            <w:pPr>
              <w:ind w:left="284" w:hanging="284"/>
              <w:contextualSpacing/>
              <w:rPr>
                <w:rFonts w:ascii="Calibri" w:hAnsi="Calibri"/>
                <w:sz w:val="22"/>
                <w:lang w:eastAsia="en-US"/>
              </w:rPr>
            </w:pPr>
            <w:r w:rsidRPr="00866299">
              <w:rPr>
                <w:rFonts w:ascii="Calibri" w:hAnsi="Calibri"/>
                <w:sz w:val="22"/>
                <w:lang w:eastAsia="en-US"/>
              </w:rPr>
              <w:t>Expenses</w:t>
            </w:r>
          </w:p>
        </w:tc>
        <w:tc>
          <w:tcPr>
            <w:tcW w:w="1179" w:type="dxa"/>
            <w:tcBorders>
              <w:bottom w:val="single" w:sz="4" w:space="0" w:color="auto"/>
            </w:tcBorders>
          </w:tcPr>
          <w:p w14:paraId="0AF7F8D5"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500</w:t>
            </w:r>
          </w:p>
        </w:tc>
        <w:tc>
          <w:tcPr>
            <w:tcW w:w="1041" w:type="dxa"/>
            <w:tcBorders>
              <w:bottom w:val="single" w:sz="4" w:space="0" w:color="auto"/>
            </w:tcBorders>
          </w:tcPr>
          <w:p w14:paraId="6611C4F0"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500</w:t>
            </w:r>
          </w:p>
        </w:tc>
        <w:tc>
          <w:tcPr>
            <w:tcW w:w="1029" w:type="dxa"/>
            <w:tcBorders>
              <w:bottom w:val="single" w:sz="4" w:space="0" w:color="auto"/>
            </w:tcBorders>
          </w:tcPr>
          <w:p w14:paraId="52BD28EB"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500</w:t>
            </w:r>
          </w:p>
        </w:tc>
        <w:tc>
          <w:tcPr>
            <w:tcW w:w="1029" w:type="dxa"/>
            <w:tcBorders>
              <w:bottom w:val="single" w:sz="4" w:space="0" w:color="auto"/>
            </w:tcBorders>
          </w:tcPr>
          <w:p w14:paraId="3DD79145"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w:t>
            </w:r>
          </w:p>
        </w:tc>
        <w:tc>
          <w:tcPr>
            <w:tcW w:w="1029" w:type="dxa"/>
            <w:tcBorders>
              <w:bottom w:val="single" w:sz="4" w:space="0" w:color="auto"/>
            </w:tcBorders>
          </w:tcPr>
          <w:p w14:paraId="11ECCC00" w14:textId="77777777" w:rsidR="000A4C6C" w:rsidRPr="00866299" w:rsidRDefault="000A4C6C" w:rsidP="000A4C6C">
            <w:pPr>
              <w:spacing w:before="200" w:after="200"/>
              <w:contextualSpacing/>
              <w:jc w:val="right"/>
              <w:rPr>
                <w:rFonts w:ascii="Calibri" w:hAnsi="Calibri"/>
                <w:b/>
                <w:sz w:val="22"/>
                <w:lang w:eastAsia="en-US"/>
              </w:rPr>
            </w:pPr>
            <w:r w:rsidRPr="00866299">
              <w:rPr>
                <w:rFonts w:ascii="Calibri" w:hAnsi="Calibri"/>
                <w:b/>
                <w:sz w:val="22"/>
                <w:lang w:eastAsia="en-US"/>
              </w:rPr>
              <w:t>1,500</w:t>
            </w:r>
          </w:p>
        </w:tc>
      </w:tr>
    </w:tbl>
    <w:p w14:paraId="6CFE3429" w14:textId="77777777" w:rsidR="000A4C6C" w:rsidRPr="00AF7048" w:rsidRDefault="000A4C6C" w:rsidP="005B0631">
      <w:pPr>
        <w:pStyle w:val="snapInitbody"/>
        <w:rPr>
          <w:highlight w:val="yellow"/>
        </w:rPr>
      </w:pPr>
      <w:r w:rsidRPr="008A544B">
        <w:t xml:space="preserve">The Government will establish a </w:t>
      </w:r>
      <w:r w:rsidRPr="008A544B">
        <w:rPr>
          <w:i/>
        </w:rPr>
        <w:t xml:space="preserve">Future Skills for Future Jobs </w:t>
      </w:r>
      <w:r w:rsidRPr="008A544B">
        <w:t xml:space="preserve">grants program to support industry projects that help increase Australian Apprenticeship commencements in the ACT. This initiative will attract matched contributions from the Commonwealth Government through the </w:t>
      </w:r>
      <w:r w:rsidRPr="008A544B">
        <w:rPr>
          <w:i/>
        </w:rPr>
        <w:t>National Partnership on the Skilling Australians Fund</w:t>
      </w:r>
      <w:r w:rsidRPr="008A544B">
        <w:t xml:space="preserve">. </w:t>
      </w:r>
    </w:p>
    <w:p w14:paraId="6F23F0AB" w14:textId="77777777" w:rsidR="000A4C6C" w:rsidRPr="000F30E1" w:rsidRDefault="000A4C6C" w:rsidP="000F30E1">
      <w:pPr>
        <w:pStyle w:val="snapInittitles"/>
      </w:pPr>
      <w:r w:rsidRPr="000F30E1">
        <w:t xml:space="preserve">Improving processing for Working with Vulnerable People checks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0A4C6C" w:rsidRPr="00866299" w14:paraId="2AE98231" w14:textId="77777777" w:rsidTr="005B0631">
        <w:trPr>
          <w:cantSplit/>
        </w:trPr>
        <w:tc>
          <w:tcPr>
            <w:tcW w:w="3652" w:type="dxa"/>
            <w:tcBorders>
              <w:top w:val="single" w:sz="4" w:space="0" w:color="auto"/>
              <w:bottom w:val="single" w:sz="4" w:space="0" w:color="auto"/>
            </w:tcBorders>
          </w:tcPr>
          <w:p w14:paraId="50D4BFFD" w14:textId="77777777" w:rsidR="000A4C6C" w:rsidRPr="00866299" w:rsidRDefault="000A4C6C" w:rsidP="000A4C6C">
            <w:pPr>
              <w:contextualSpacing/>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0CD62E18"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2019-20</w:t>
            </w:r>
          </w:p>
          <w:p w14:paraId="0FB318C0"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64C942E8"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2020-21</w:t>
            </w:r>
          </w:p>
          <w:p w14:paraId="1818B139"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0653A39D"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2021-22</w:t>
            </w:r>
          </w:p>
          <w:p w14:paraId="51B87196"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BEA6022"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2022-23</w:t>
            </w:r>
          </w:p>
          <w:p w14:paraId="5976CD9E"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3DBB1B5D" w14:textId="77777777" w:rsidR="000A4C6C" w:rsidRPr="00866299" w:rsidRDefault="000A4C6C" w:rsidP="000A4C6C">
            <w:pPr>
              <w:contextualSpacing/>
              <w:jc w:val="right"/>
              <w:rPr>
                <w:b/>
                <w:sz w:val="22"/>
              </w:rPr>
            </w:pPr>
            <w:r w:rsidRPr="00866299">
              <w:rPr>
                <w:b/>
                <w:sz w:val="22"/>
              </w:rPr>
              <w:t>Total</w:t>
            </w:r>
          </w:p>
          <w:p w14:paraId="4E158704" w14:textId="77777777" w:rsidR="000A4C6C" w:rsidRPr="00866299" w:rsidRDefault="000A4C6C" w:rsidP="000A4C6C">
            <w:pPr>
              <w:spacing w:before="200" w:after="200"/>
              <w:contextualSpacing/>
              <w:jc w:val="right"/>
              <w:rPr>
                <w:rFonts w:ascii="Calibri" w:hAnsi="Calibri"/>
                <w:b/>
                <w:sz w:val="22"/>
                <w:lang w:eastAsia="en-US"/>
              </w:rPr>
            </w:pPr>
            <w:r w:rsidRPr="00866299">
              <w:rPr>
                <w:rFonts w:ascii="Calibri" w:hAnsi="Calibri"/>
                <w:b/>
                <w:sz w:val="22"/>
                <w:lang w:eastAsia="en-US"/>
              </w:rPr>
              <w:t>$’000</w:t>
            </w:r>
          </w:p>
        </w:tc>
      </w:tr>
      <w:tr w:rsidR="000A4C6C" w:rsidRPr="00866299" w14:paraId="3CD517D5" w14:textId="77777777" w:rsidTr="005B0631">
        <w:trPr>
          <w:cantSplit/>
        </w:trPr>
        <w:tc>
          <w:tcPr>
            <w:tcW w:w="3652" w:type="dxa"/>
            <w:tcBorders>
              <w:top w:val="single" w:sz="4" w:space="0" w:color="auto"/>
              <w:bottom w:val="single" w:sz="4" w:space="0" w:color="auto"/>
            </w:tcBorders>
          </w:tcPr>
          <w:p w14:paraId="5B344E31" w14:textId="77777777" w:rsidR="000A4C6C" w:rsidRPr="00866299" w:rsidRDefault="000A4C6C" w:rsidP="000A4C6C">
            <w:pPr>
              <w:ind w:left="284" w:hanging="284"/>
              <w:contextualSpacing/>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tcPr>
          <w:p w14:paraId="00A89714"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2,032</w:t>
            </w:r>
          </w:p>
        </w:tc>
        <w:tc>
          <w:tcPr>
            <w:tcW w:w="1041" w:type="dxa"/>
            <w:tcBorders>
              <w:top w:val="single" w:sz="4" w:space="0" w:color="auto"/>
              <w:bottom w:val="single" w:sz="4" w:space="0" w:color="auto"/>
            </w:tcBorders>
          </w:tcPr>
          <w:p w14:paraId="5EB8959B"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2,126</w:t>
            </w:r>
          </w:p>
        </w:tc>
        <w:tc>
          <w:tcPr>
            <w:tcW w:w="1029" w:type="dxa"/>
            <w:tcBorders>
              <w:top w:val="single" w:sz="4" w:space="0" w:color="auto"/>
              <w:bottom w:val="single" w:sz="4" w:space="0" w:color="auto"/>
            </w:tcBorders>
          </w:tcPr>
          <w:p w14:paraId="6A50561D"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2,172</w:t>
            </w:r>
          </w:p>
        </w:tc>
        <w:tc>
          <w:tcPr>
            <w:tcW w:w="1029" w:type="dxa"/>
            <w:tcBorders>
              <w:top w:val="single" w:sz="4" w:space="0" w:color="auto"/>
              <w:bottom w:val="single" w:sz="4" w:space="0" w:color="auto"/>
            </w:tcBorders>
          </w:tcPr>
          <w:p w14:paraId="2704970A"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762321D0" w14:textId="77777777" w:rsidR="000A4C6C" w:rsidRPr="00866299" w:rsidRDefault="000A4C6C" w:rsidP="000A4C6C">
            <w:pPr>
              <w:spacing w:before="200" w:after="200"/>
              <w:contextualSpacing/>
              <w:jc w:val="right"/>
              <w:rPr>
                <w:rFonts w:ascii="Calibri" w:hAnsi="Calibri"/>
                <w:b/>
                <w:sz w:val="22"/>
                <w:lang w:eastAsia="en-US"/>
              </w:rPr>
            </w:pPr>
            <w:r w:rsidRPr="00866299">
              <w:rPr>
                <w:rFonts w:ascii="Calibri" w:hAnsi="Calibri"/>
                <w:b/>
                <w:sz w:val="22"/>
                <w:lang w:eastAsia="en-US"/>
              </w:rPr>
              <w:t>6,330</w:t>
            </w:r>
          </w:p>
        </w:tc>
      </w:tr>
      <w:tr w:rsidR="000A4C6C" w:rsidRPr="00866299" w14:paraId="1C3F1905" w14:textId="77777777" w:rsidTr="005B0631">
        <w:trPr>
          <w:cantSplit/>
          <w:trHeight w:val="107"/>
        </w:trPr>
        <w:tc>
          <w:tcPr>
            <w:tcW w:w="3652" w:type="dxa"/>
            <w:tcBorders>
              <w:top w:val="single" w:sz="4" w:space="0" w:color="auto"/>
              <w:bottom w:val="single" w:sz="4" w:space="0" w:color="auto"/>
            </w:tcBorders>
          </w:tcPr>
          <w:p w14:paraId="5600162D" w14:textId="77777777" w:rsidR="000A4C6C" w:rsidRPr="00866299" w:rsidRDefault="000A4C6C" w:rsidP="000A4C6C">
            <w:pPr>
              <w:ind w:left="284" w:hanging="284"/>
              <w:contextualSpacing/>
              <w:rPr>
                <w:rFonts w:ascii="Calibri" w:hAnsi="Calibri"/>
                <w:sz w:val="22"/>
                <w:lang w:eastAsia="en-US"/>
              </w:rPr>
            </w:pPr>
            <w:r w:rsidRPr="00866299">
              <w:rPr>
                <w:rFonts w:ascii="Calibri" w:hAnsi="Calibri"/>
                <w:sz w:val="22"/>
                <w:lang w:eastAsia="en-US"/>
              </w:rPr>
              <w:t>Associated Revenue</w:t>
            </w:r>
          </w:p>
        </w:tc>
        <w:tc>
          <w:tcPr>
            <w:tcW w:w="1179" w:type="dxa"/>
            <w:tcBorders>
              <w:top w:val="single" w:sz="4" w:space="0" w:color="auto"/>
              <w:bottom w:val="single" w:sz="4" w:space="0" w:color="auto"/>
            </w:tcBorders>
          </w:tcPr>
          <w:p w14:paraId="5C5FA758"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871</w:t>
            </w:r>
          </w:p>
        </w:tc>
        <w:tc>
          <w:tcPr>
            <w:tcW w:w="1041" w:type="dxa"/>
            <w:tcBorders>
              <w:top w:val="single" w:sz="4" w:space="0" w:color="auto"/>
              <w:bottom w:val="single" w:sz="4" w:space="0" w:color="auto"/>
            </w:tcBorders>
          </w:tcPr>
          <w:p w14:paraId="5CA3C37E"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1,169</w:t>
            </w:r>
          </w:p>
        </w:tc>
        <w:tc>
          <w:tcPr>
            <w:tcW w:w="1029" w:type="dxa"/>
            <w:tcBorders>
              <w:top w:val="single" w:sz="4" w:space="0" w:color="auto"/>
              <w:bottom w:val="single" w:sz="4" w:space="0" w:color="auto"/>
            </w:tcBorders>
          </w:tcPr>
          <w:p w14:paraId="118FA187"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1,370</w:t>
            </w:r>
          </w:p>
        </w:tc>
        <w:tc>
          <w:tcPr>
            <w:tcW w:w="1029" w:type="dxa"/>
            <w:tcBorders>
              <w:top w:val="single" w:sz="4" w:space="0" w:color="auto"/>
              <w:bottom w:val="single" w:sz="4" w:space="0" w:color="auto"/>
            </w:tcBorders>
          </w:tcPr>
          <w:p w14:paraId="4E3468F8"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4BABE363" w14:textId="77777777" w:rsidR="000A4C6C" w:rsidRPr="00866299" w:rsidRDefault="000A4C6C" w:rsidP="000A4C6C">
            <w:pPr>
              <w:spacing w:before="200" w:after="200"/>
              <w:contextualSpacing/>
              <w:jc w:val="right"/>
              <w:rPr>
                <w:rFonts w:ascii="Calibri" w:hAnsi="Calibri"/>
                <w:b/>
                <w:sz w:val="22"/>
                <w:lang w:eastAsia="en-US"/>
              </w:rPr>
            </w:pPr>
            <w:r w:rsidRPr="00866299">
              <w:rPr>
                <w:rFonts w:ascii="Calibri" w:hAnsi="Calibri"/>
                <w:b/>
                <w:sz w:val="22"/>
                <w:lang w:eastAsia="en-US"/>
              </w:rPr>
              <w:t>3,410</w:t>
            </w:r>
          </w:p>
        </w:tc>
      </w:tr>
    </w:tbl>
    <w:p w14:paraId="3BAF964E" w14:textId="77777777" w:rsidR="000A4C6C" w:rsidRPr="0020292D" w:rsidRDefault="000A4C6C" w:rsidP="005B0631">
      <w:pPr>
        <w:pStyle w:val="snapInitbody"/>
      </w:pPr>
      <w:r w:rsidRPr="0020292D">
        <w:t>The Government will provide more resources for the Working with Vulnerable People Scheme to speed up application processing times while ensuring the scheme continues to reduce the risk of harm to vulnerable people in the Territory. This initiative is partially offset by increased registration fees for people seeking a Working with Vulnerable People Card in the context of professional employment.</w:t>
      </w:r>
    </w:p>
    <w:p w14:paraId="5A25FEBC" w14:textId="757614AC" w:rsidR="000A4C6C" w:rsidRPr="004046B9" w:rsidRDefault="000A4C6C" w:rsidP="004046B9">
      <w:pPr>
        <w:pStyle w:val="snapInittitles"/>
      </w:pPr>
      <w:r w:rsidRPr="004046B9">
        <w:t xml:space="preserve">Investing in the </w:t>
      </w:r>
      <w:proofErr w:type="spellStart"/>
      <w:r w:rsidRPr="004046B9">
        <w:t>CBR</w:t>
      </w:r>
      <w:proofErr w:type="spellEnd"/>
      <w:r w:rsidRPr="004046B9">
        <w:t xml:space="preserve"> Innovation Network to boost business innovation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0A4C6C" w:rsidRPr="00866299" w14:paraId="530A16C7" w14:textId="77777777" w:rsidTr="005B0631">
        <w:trPr>
          <w:cantSplit/>
        </w:trPr>
        <w:tc>
          <w:tcPr>
            <w:tcW w:w="3652" w:type="dxa"/>
            <w:tcBorders>
              <w:top w:val="single" w:sz="4" w:space="0" w:color="auto"/>
              <w:bottom w:val="single" w:sz="4" w:space="0" w:color="auto"/>
            </w:tcBorders>
          </w:tcPr>
          <w:p w14:paraId="7EAA4850" w14:textId="77777777" w:rsidR="000A4C6C" w:rsidRPr="00866299" w:rsidRDefault="000A4C6C" w:rsidP="000A4C6C">
            <w:pPr>
              <w:contextualSpacing/>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65A512FB"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2019-20</w:t>
            </w:r>
          </w:p>
          <w:p w14:paraId="08D61302"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17A3F5D1"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2020-21</w:t>
            </w:r>
          </w:p>
          <w:p w14:paraId="081A0E59"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AA52161"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2021-22</w:t>
            </w:r>
          </w:p>
          <w:p w14:paraId="5BFE7727"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C2E091B"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2022-23</w:t>
            </w:r>
          </w:p>
          <w:p w14:paraId="1D2026E7"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5813A71" w14:textId="77777777" w:rsidR="000A4C6C" w:rsidRPr="00866299" w:rsidRDefault="000A4C6C" w:rsidP="000A4C6C">
            <w:pPr>
              <w:contextualSpacing/>
              <w:jc w:val="right"/>
              <w:rPr>
                <w:b/>
                <w:sz w:val="22"/>
              </w:rPr>
            </w:pPr>
            <w:r w:rsidRPr="00866299">
              <w:rPr>
                <w:b/>
                <w:sz w:val="22"/>
              </w:rPr>
              <w:t>Total</w:t>
            </w:r>
          </w:p>
          <w:p w14:paraId="79ABE8AC" w14:textId="77777777" w:rsidR="000A4C6C" w:rsidRPr="00866299" w:rsidRDefault="000A4C6C" w:rsidP="000A4C6C">
            <w:pPr>
              <w:spacing w:before="200" w:after="200"/>
              <w:contextualSpacing/>
              <w:jc w:val="right"/>
              <w:rPr>
                <w:rFonts w:ascii="Calibri" w:hAnsi="Calibri"/>
                <w:b/>
                <w:sz w:val="22"/>
                <w:lang w:eastAsia="en-US"/>
              </w:rPr>
            </w:pPr>
            <w:r w:rsidRPr="00866299">
              <w:rPr>
                <w:rFonts w:ascii="Calibri" w:hAnsi="Calibri"/>
                <w:b/>
                <w:sz w:val="22"/>
                <w:lang w:eastAsia="en-US"/>
              </w:rPr>
              <w:t>$’000</w:t>
            </w:r>
          </w:p>
        </w:tc>
      </w:tr>
      <w:tr w:rsidR="000A4C6C" w:rsidRPr="00866299" w14:paraId="72004590" w14:textId="77777777" w:rsidTr="005B0631">
        <w:trPr>
          <w:cantSplit/>
        </w:trPr>
        <w:tc>
          <w:tcPr>
            <w:tcW w:w="3652" w:type="dxa"/>
            <w:tcBorders>
              <w:top w:val="single" w:sz="4" w:space="0" w:color="auto"/>
            </w:tcBorders>
          </w:tcPr>
          <w:p w14:paraId="4518B9B8" w14:textId="77777777" w:rsidR="000A4C6C" w:rsidRPr="00866299" w:rsidRDefault="000A4C6C" w:rsidP="000A4C6C">
            <w:pPr>
              <w:ind w:left="284" w:hanging="284"/>
              <w:contextualSpacing/>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tcBorders>
          </w:tcPr>
          <w:p w14:paraId="6099911F"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1,250</w:t>
            </w:r>
          </w:p>
        </w:tc>
        <w:tc>
          <w:tcPr>
            <w:tcW w:w="1041" w:type="dxa"/>
            <w:tcBorders>
              <w:top w:val="single" w:sz="4" w:space="0" w:color="auto"/>
            </w:tcBorders>
          </w:tcPr>
          <w:p w14:paraId="7E6144D3"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1,250</w:t>
            </w:r>
          </w:p>
        </w:tc>
        <w:tc>
          <w:tcPr>
            <w:tcW w:w="1029" w:type="dxa"/>
            <w:tcBorders>
              <w:top w:val="single" w:sz="4" w:space="0" w:color="auto"/>
            </w:tcBorders>
          </w:tcPr>
          <w:p w14:paraId="749A4870"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1,250</w:t>
            </w:r>
          </w:p>
        </w:tc>
        <w:tc>
          <w:tcPr>
            <w:tcW w:w="1029" w:type="dxa"/>
            <w:tcBorders>
              <w:top w:val="single" w:sz="4" w:space="0" w:color="auto"/>
            </w:tcBorders>
          </w:tcPr>
          <w:p w14:paraId="5DD9DF35"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1,250</w:t>
            </w:r>
          </w:p>
        </w:tc>
        <w:tc>
          <w:tcPr>
            <w:tcW w:w="1029" w:type="dxa"/>
            <w:tcBorders>
              <w:top w:val="single" w:sz="4" w:space="0" w:color="auto"/>
            </w:tcBorders>
          </w:tcPr>
          <w:p w14:paraId="0A54CB19" w14:textId="77777777" w:rsidR="000A4C6C" w:rsidRPr="00866299" w:rsidRDefault="000A4C6C" w:rsidP="000A4C6C">
            <w:pPr>
              <w:spacing w:before="200" w:after="200"/>
              <w:contextualSpacing/>
              <w:jc w:val="right"/>
              <w:rPr>
                <w:rFonts w:ascii="Calibri" w:hAnsi="Calibri"/>
                <w:b/>
                <w:sz w:val="22"/>
                <w:lang w:eastAsia="en-US"/>
              </w:rPr>
            </w:pPr>
            <w:r w:rsidRPr="00866299">
              <w:rPr>
                <w:rFonts w:ascii="Calibri" w:hAnsi="Calibri"/>
                <w:b/>
                <w:sz w:val="22"/>
                <w:lang w:eastAsia="en-US"/>
              </w:rPr>
              <w:t>5,000</w:t>
            </w:r>
          </w:p>
        </w:tc>
      </w:tr>
      <w:tr w:rsidR="000A4C6C" w:rsidRPr="00866299" w14:paraId="0384BC42" w14:textId="77777777" w:rsidTr="005B0631">
        <w:trPr>
          <w:cantSplit/>
        </w:trPr>
        <w:tc>
          <w:tcPr>
            <w:tcW w:w="3652" w:type="dxa"/>
          </w:tcPr>
          <w:p w14:paraId="0F798A18" w14:textId="77777777" w:rsidR="000A4C6C" w:rsidRPr="00866299" w:rsidRDefault="000A4C6C" w:rsidP="000A4C6C">
            <w:pPr>
              <w:ind w:left="284" w:hanging="284"/>
              <w:contextualSpacing/>
              <w:rPr>
                <w:rFonts w:ascii="Calibri" w:hAnsi="Calibri"/>
                <w:sz w:val="22"/>
                <w:lang w:eastAsia="en-US"/>
              </w:rPr>
            </w:pPr>
            <w:r w:rsidRPr="00866299">
              <w:rPr>
                <w:rFonts w:ascii="Calibri" w:hAnsi="Calibri"/>
                <w:sz w:val="22"/>
                <w:lang w:eastAsia="en-US"/>
              </w:rPr>
              <w:t>Offset – Expenses</w:t>
            </w:r>
          </w:p>
        </w:tc>
        <w:tc>
          <w:tcPr>
            <w:tcW w:w="1179" w:type="dxa"/>
          </w:tcPr>
          <w:p w14:paraId="44B37A08"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-150</w:t>
            </w:r>
          </w:p>
        </w:tc>
        <w:tc>
          <w:tcPr>
            <w:tcW w:w="1041" w:type="dxa"/>
          </w:tcPr>
          <w:p w14:paraId="345D7167"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-150</w:t>
            </w:r>
          </w:p>
        </w:tc>
        <w:tc>
          <w:tcPr>
            <w:tcW w:w="1029" w:type="dxa"/>
          </w:tcPr>
          <w:p w14:paraId="7FD456DA"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w:t>
            </w:r>
          </w:p>
        </w:tc>
        <w:tc>
          <w:tcPr>
            <w:tcW w:w="1029" w:type="dxa"/>
          </w:tcPr>
          <w:p w14:paraId="1014F29E"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w:t>
            </w:r>
          </w:p>
        </w:tc>
        <w:tc>
          <w:tcPr>
            <w:tcW w:w="1029" w:type="dxa"/>
          </w:tcPr>
          <w:p w14:paraId="0EAC4FF9" w14:textId="77777777" w:rsidR="000A4C6C" w:rsidRPr="00866299" w:rsidRDefault="000A4C6C" w:rsidP="000A4C6C">
            <w:pPr>
              <w:spacing w:before="200" w:after="200"/>
              <w:contextualSpacing/>
              <w:jc w:val="right"/>
              <w:rPr>
                <w:rFonts w:ascii="Calibri" w:hAnsi="Calibri"/>
                <w:b/>
                <w:sz w:val="22"/>
                <w:lang w:eastAsia="en-US"/>
              </w:rPr>
            </w:pPr>
            <w:r w:rsidRPr="00866299">
              <w:rPr>
                <w:rFonts w:ascii="Calibri" w:hAnsi="Calibri"/>
                <w:b/>
                <w:sz w:val="22"/>
                <w:lang w:eastAsia="en-US"/>
              </w:rPr>
              <w:t>-300</w:t>
            </w:r>
          </w:p>
        </w:tc>
      </w:tr>
      <w:tr w:rsidR="000A4C6C" w:rsidRPr="00866299" w14:paraId="04AF9935" w14:textId="77777777" w:rsidTr="005B0631">
        <w:trPr>
          <w:cantSplit/>
        </w:trPr>
        <w:tc>
          <w:tcPr>
            <w:tcW w:w="3652" w:type="dxa"/>
            <w:tcBorders>
              <w:top w:val="single" w:sz="4" w:space="0" w:color="auto"/>
              <w:bottom w:val="single" w:sz="4" w:space="0" w:color="auto"/>
            </w:tcBorders>
          </w:tcPr>
          <w:p w14:paraId="1636D751" w14:textId="77777777" w:rsidR="000A4C6C" w:rsidRPr="00866299" w:rsidRDefault="000A4C6C" w:rsidP="000A4C6C">
            <w:pPr>
              <w:spacing w:before="200" w:after="200"/>
              <w:contextualSpacing/>
              <w:rPr>
                <w:rFonts w:ascii="Calibri" w:hAnsi="Calibri"/>
                <w:b/>
                <w:sz w:val="22"/>
                <w:lang w:eastAsia="en-US"/>
              </w:rPr>
            </w:pPr>
            <w:r w:rsidRPr="00866299">
              <w:rPr>
                <w:rFonts w:ascii="Calibri" w:hAnsi="Calibri"/>
                <w:b/>
                <w:sz w:val="22"/>
                <w:lang w:eastAsia="en-US"/>
              </w:rPr>
              <w:t>Net Expenses</w:t>
            </w:r>
          </w:p>
        </w:tc>
        <w:tc>
          <w:tcPr>
            <w:tcW w:w="1179" w:type="dxa"/>
            <w:tcBorders>
              <w:top w:val="single" w:sz="4" w:space="0" w:color="auto"/>
              <w:bottom w:val="single" w:sz="4" w:space="0" w:color="auto"/>
            </w:tcBorders>
          </w:tcPr>
          <w:p w14:paraId="50EEFFC3" w14:textId="77777777" w:rsidR="000A4C6C" w:rsidRPr="00866299" w:rsidRDefault="000A4C6C" w:rsidP="000A4C6C">
            <w:pPr>
              <w:ind w:left="284" w:hanging="284"/>
              <w:contextualSpacing/>
              <w:jc w:val="right"/>
              <w:rPr>
                <w:rFonts w:ascii="Calibri" w:hAnsi="Calibri"/>
                <w:b/>
                <w:sz w:val="22"/>
                <w:lang w:eastAsia="en-US"/>
              </w:rPr>
            </w:pPr>
            <w:r w:rsidRPr="00866299">
              <w:rPr>
                <w:rFonts w:ascii="Calibri" w:hAnsi="Calibri"/>
                <w:b/>
                <w:sz w:val="22"/>
                <w:lang w:eastAsia="en-US"/>
              </w:rPr>
              <w:t>1,100</w:t>
            </w:r>
          </w:p>
        </w:tc>
        <w:tc>
          <w:tcPr>
            <w:tcW w:w="1041" w:type="dxa"/>
            <w:tcBorders>
              <w:top w:val="single" w:sz="4" w:space="0" w:color="auto"/>
              <w:bottom w:val="single" w:sz="4" w:space="0" w:color="auto"/>
            </w:tcBorders>
          </w:tcPr>
          <w:p w14:paraId="7BD6C4A9" w14:textId="77777777" w:rsidR="000A4C6C" w:rsidRPr="00866299" w:rsidRDefault="000A4C6C" w:rsidP="000A4C6C">
            <w:pPr>
              <w:ind w:left="284" w:hanging="284"/>
              <w:contextualSpacing/>
              <w:jc w:val="right"/>
              <w:rPr>
                <w:rFonts w:ascii="Calibri" w:hAnsi="Calibri"/>
                <w:b/>
                <w:sz w:val="22"/>
                <w:lang w:eastAsia="en-US"/>
              </w:rPr>
            </w:pPr>
            <w:r w:rsidRPr="00866299">
              <w:rPr>
                <w:rFonts w:ascii="Calibri" w:hAnsi="Calibri"/>
                <w:b/>
                <w:sz w:val="22"/>
                <w:lang w:eastAsia="en-US"/>
              </w:rPr>
              <w:t>1,100</w:t>
            </w:r>
          </w:p>
        </w:tc>
        <w:tc>
          <w:tcPr>
            <w:tcW w:w="1029" w:type="dxa"/>
            <w:tcBorders>
              <w:top w:val="single" w:sz="4" w:space="0" w:color="auto"/>
              <w:bottom w:val="single" w:sz="4" w:space="0" w:color="auto"/>
            </w:tcBorders>
          </w:tcPr>
          <w:p w14:paraId="79438C04" w14:textId="77777777" w:rsidR="000A4C6C" w:rsidRPr="00866299" w:rsidRDefault="000A4C6C" w:rsidP="000A4C6C">
            <w:pPr>
              <w:ind w:left="284" w:hanging="284"/>
              <w:contextualSpacing/>
              <w:jc w:val="right"/>
              <w:rPr>
                <w:rFonts w:ascii="Calibri" w:hAnsi="Calibri"/>
                <w:b/>
                <w:sz w:val="22"/>
                <w:lang w:eastAsia="en-US"/>
              </w:rPr>
            </w:pPr>
            <w:r w:rsidRPr="00866299">
              <w:rPr>
                <w:rFonts w:ascii="Calibri" w:hAnsi="Calibri"/>
                <w:b/>
                <w:sz w:val="22"/>
                <w:lang w:eastAsia="en-US"/>
              </w:rPr>
              <w:t>1,250</w:t>
            </w:r>
          </w:p>
        </w:tc>
        <w:tc>
          <w:tcPr>
            <w:tcW w:w="1029" w:type="dxa"/>
            <w:tcBorders>
              <w:top w:val="single" w:sz="4" w:space="0" w:color="auto"/>
              <w:bottom w:val="single" w:sz="4" w:space="0" w:color="auto"/>
            </w:tcBorders>
          </w:tcPr>
          <w:p w14:paraId="2F5F62C6" w14:textId="77777777" w:rsidR="000A4C6C" w:rsidRPr="00866299" w:rsidRDefault="000A4C6C" w:rsidP="000A4C6C">
            <w:pPr>
              <w:ind w:left="284" w:hanging="284"/>
              <w:contextualSpacing/>
              <w:jc w:val="right"/>
              <w:rPr>
                <w:rFonts w:ascii="Calibri" w:hAnsi="Calibri"/>
                <w:b/>
                <w:sz w:val="22"/>
                <w:lang w:eastAsia="en-US"/>
              </w:rPr>
            </w:pPr>
            <w:r w:rsidRPr="00866299">
              <w:rPr>
                <w:rFonts w:ascii="Calibri" w:hAnsi="Calibri"/>
                <w:b/>
                <w:sz w:val="22"/>
                <w:lang w:eastAsia="en-US"/>
              </w:rPr>
              <w:t>1,250</w:t>
            </w:r>
          </w:p>
        </w:tc>
        <w:tc>
          <w:tcPr>
            <w:tcW w:w="1029" w:type="dxa"/>
            <w:tcBorders>
              <w:top w:val="single" w:sz="4" w:space="0" w:color="auto"/>
              <w:bottom w:val="single" w:sz="4" w:space="0" w:color="auto"/>
            </w:tcBorders>
          </w:tcPr>
          <w:p w14:paraId="795D205D" w14:textId="77777777" w:rsidR="000A4C6C" w:rsidRPr="00866299" w:rsidRDefault="000A4C6C" w:rsidP="000A4C6C">
            <w:pPr>
              <w:ind w:left="284" w:hanging="284"/>
              <w:contextualSpacing/>
              <w:jc w:val="right"/>
              <w:rPr>
                <w:rFonts w:ascii="Calibri" w:hAnsi="Calibri"/>
                <w:b/>
                <w:sz w:val="22"/>
                <w:lang w:eastAsia="en-US"/>
              </w:rPr>
            </w:pPr>
            <w:r w:rsidRPr="00866299">
              <w:rPr>
                <w:rFonts w:ascii="Calibri" w:hAnsi="Calibri"/>
                <w:b/>
                <w:sz w:val="22"/>
                <w:lang w:eastAsia="en-US"/>
              </w:rPr>
              <w:t>4,700</w:t>
            </w:r>
          </w:p>
        </w:tc>
      </w:tr>
    </w:tbl>
    <w:p w14:paraId="5F953ED3" w14:textId="77777777" w:rsidR="000A4C6C" w:rsidRPr="0020292D" w:rsidRDefault="000A4C6C" w:rsidP="00B80457">
      <w:pPr>
        <w:pStyle w:val="snapInitbody"/>
      </w:pPr>
      <w:r w:rsidRPr="0020292D">
        <w:t xml:space="preserve">The Government will continue to invest in Canberra’s knowledge ecosystem through the </w:t>
      </w:r>
      <w:proofErr w:type="spellStart"/>
      <w:r w:rsidRPr="0020292D">
        <w:t>CBR</w:t>
      </w:r>
      <w:proofErr w:type="spellEnd"/>
      <w:r w:rsidRPr="0020292D">
        <w:t xml:space="preserve"> Innovation Network. </w:t>
      </w:r>
      <w:proofErr w:type="spellStart"/>
      <w:r w:rsidRPr="0020292D">
        <w:t>CBRIN</w:t>
      </w:r>
      <w:proofErr w:type="spellEnd"/>
      <w:r w:rsidRPr="0020292D">
        <w:t xml:space="preserve"> connects Canberra’s education and research institutions with business communities to help grow more local start-ups, supporting the creation of local jobs and high value economic activity.</w:t>
      </w:r>
    </w:p>
    <w:p w14:paraId="7B9803CF" w14:textId="77777777" w:rsidR="000A4C6C" w:rsidRPr="000F30E1" w:rsidRDefault="000A4C6C" w:rsidP="000F30E1">
      <w:pPr>
        <w:pStyle w:val="snapInittitles"/>
      </w:pPr>
      <w:r w:rsidRPr="000F30E1">
        <w:t xml:space="preserve">Matching apprentices and trainees to the right job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0A4C6C" w:rsidRPr="00866299" w14:paraId="494EE63D" w14:textId="77777777" w:rsidTr="00B80457">
        <w:trPr>
          <w:cantSplit/>
        </w:trPr>
        <w:tc>
          <w:tcPr>
            <w:tcW w:w="3652" w:type="dxa"/>
            <w:tcBorders>
              <w:top w:val="single" w:sz="4" w:space="0" w:color="auto"/>
              <w:bottom w:val="single" w:sz="4" w:space="0" w:color="auto"/>
            </w:tcBorders>
          </w:tcPr>
          <w:p w14:paraId="11D71044" w14:textId="77777777" w:rsidR="000A4C6C" w:rsidRPr="00866299" w:rsidRDefault="000A4C6C" w:rsidP="000A4C6C">
            <w:pPr>
              <w:contextualSpacing/>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0297C21F"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2019-20</w:t>
            </w:r>
          </w:p>
          <w:p w14:paraId="12FEC255"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5271EAA8"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2020-21</w:t>
            </w:r>
          </w:p>
          <w:p w14:paraId="77440D37"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08BBDD30"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2021-22</w:t>
            </w:r>
          </w:p>
          <w:p w14:paraId="2A2124A0"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5486CBB7"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2022-23</w:t>
            </w:r>
          </w:p>
          <w:p w14:paraId="52421128"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B991807" w14:textId="77777777" w:rsidR="000A4C6C" w:rsidRPr="00866299" w:rsidRDefault="000A4C6C" w:rsidP="000A4C6C">
            <w:pPr>
              <w:contextualSpacing/>
              <w:jc w:val="right"/>
              <w:rPr>
                <w:b/>
                <w:sz w:val="22"/>
              </w:rPr>
            </w:pPr>
            <w:r w:rsidRPr="00866299">
              <w:rPr>
                <w:b/>
                <w:sz w:val="22"/>
              </w:rPr>
              <w:t>Total</w:t>
            </w:r>
          </w:p>
          <w:p w14:paraId="4B3B9EFB" w14:textId="77777777" w:rsidR="000A4C6C" w:rsidRPr="00866299" w:rsidRDefault="000A4C6C" w:rsidP="000A4C6C">
            <w:pPr>
              <w:spacing w:before="200" w:after="200"/>
              <w:contextualSpacing/>
              <w:jc w:val="right"/>
              <w:rPr>
                <w:rFonts w:ascii="Calibri" w:hAnsi="Calibri"/>
                <w:b/>
                <w:sz w:val="22"/>
                <w:lang w:eastAsia="en-US"/>
              </w:rPr>
            </w:pPr>
            <w:r w:rsidRPr="00866299">
              <w:rPr>
                <w:rFonts w:ascii="Calibri" w:hAnsi="Calibri"/>
                <w:b/>
                <w:sz w:val="22"/>
                <w:lang w:eastAsia="en-US"/>
              </w:rPr>
              <w:t>$’000</w:t>
            </w:r>
          </w:p>
        </w:tc>
      </w:tr>
      <w:tr w:rsidR="000A4C6C" w:rsidRPr="00866299" w14:paraId="19B21239" w14:textId="77777777" w:rsidTr="00B80457">
        <w:trPr>
          <w:cantSplit/>
        </w:trPr>
        <w:tc>
          <w:tcPr>
            <w:tcW w:w="3652" w:type="dxa"/>
            <w:tcBorders>
              <w:top w:val="single" w:sz="4" w:space="0" w:color="auto"/>
              <w:bottom w:val="single" w:sz="4" w:space="0" w:color="auto"/>
            </w:tcBorders>
          </w:tcPr>
          <w:p w14:paraId="72E390F1" w14:textId="77777777" w:rsidR="000A4C6C" w:rsidRPr="00866299" w:rsidRDefault="000A4C6C" w:rsidP="000A4C6C">
            <w:pPr>
              <w:ind w:left="284" w:hanging="284"/>
              <w:contextualSpacing/>
              <w:rPr>
                <w:rFonts w:ascii="Calibri" w:hAnsi="Calibri"/>
                <w:sz w:val="22"/>
                <w:highlight w:val="yellow"/>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tcPr>
          <w:p w14:paraId="1F3C6523"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94</w:t>
            </w:r>
          </w:p>
        </w:tc>
        <w:tc>
          <w:tcPr>
            <w:tcW w:w="1041" w:type="dxa"/>
            <w:tcBorders>
              <w:top w:val="single" w:sz="4" w:space="0" w:color="auto"/>
              <w:bottom w:val="single" w:sz="4" w:space="0" w:color="auto"/>
            </w:tcBorders>
          </w:tcPr>
          <w:p w14:paraId="6B00C5A8"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97</w:t>
            </w:r>
          </w:p>
        </w:tc>
        <w:tc>
          <w:tcPr>
            <w:tcW w:w="1029" w:type="dxa"/>
            <w:tcBorders>
              <w:top w:val="single" w:sz="4" w:space="0" w:color="auto"/>
              <w:bottom w:val="single" w:sz="4" w:space="0" w:color="auto"/>
            </w:tcBorders>
          </w:tcPr>
          <w:p w14:paraId="17ABA4FC"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100</w:t>
            </w:r>
          </w:p>
        </w:tc>
        <w:tc>
          <w:tcPr>
            <w:tcW w:w="1029" w:type="dxa"/>
            <w:tcBorders>
              <w:top w:val="single" w:sz="4" w:space="0" w:color="auto"/>
              <w:bottom w:val="single" w:sz="4" w:space="0" w:color="auto"/>
            </w:tcBorders>
          </w:tcPr>
          <w:p w14:paraId="2EE52134"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27379093" w14:textId="77777777" w:rsidR="000A4C6C" w:rsidRPr="00866299" w:rsidRDefault="000A4C6C" w:rsidP="000A4C6C">
            <w:pPr>
              <w:spacing w:before="200" w:after="200"/>
              <w:contextualSpacing/>
              <w:jc w:val="right"/>
              <w:rPr>
                <w:rFonts w:ascii="Calibri" w:hAnsi="Calibri"/>
                <w:b/>
                <w:sz w:val="22"/>
                <w:lang w:eastAsia="en-US"/>
              </w:rPr>
            </w:pPr>
            <w:r w:rsidRPr="00866299">
              <w:rPr>
                <w:rFonts w:ascii="Calibri" w:hAnsi="Calibri"/>
                <w:b/>
                <w:sz w:val="22"/>
                <w:lang w:eastAsia="en-US"/>
              </w:rPr>
              <w:t>291</w:t>
            </w:r>
          </w:p>
        </w:tc>
      </w:tr>
    </w:tbl>
    <w:p w14:paraId="5F71DEBC" w14:textId="42031879" w:rsidR="000A4C6C" w:rsidRPr="006F2744" w:rsidRDefault="000A4C6C" w:rsidP="00B80457">
      <w:pPr>
        <w:pStyle w:val="snapInitbody"/>
      </w:pPr>
      <w:r w:rsidRPr="006F2744">
        <w:t xml:space="preserve">The Government will support increased Australia Apprenticeship commencements by establishing a new Workforce Skills and Development Unit which can help match training workers to suitable employment placements. This initiative will attract matched contributions from the Commonwealth Government through the </w:t>
      </w:r>
      <w:r w:rsidRPr="006F2744">
        <w:rPr>
          <w:i/>
        </w:rPr>
        <w:t>National Partnership on the Skilling Australians Fund</w:t>
      </w:r>
      <w:r w:rsidRPr="006F2744">
        <w:t>.</w:t>
      </w:r>
      <w:r w:rsidR="000F30E1">
        <w:t xml:space="preserve"> </w:t>
      </w:r>
    </w:p>
    <w:p w14:paraId="2E7ABDD2" w14:textId="77777777" w:rsidR="000A4C6C" w:rsidRPr="000F30E1" w:rsidRDefault="000A4C6C" w:rsidP="000F30E1">
      <w:pPr>
        <w:pStyle w:val="snapInittitles"/>
      </w:pPr>
      <w:r w:rsidRPr="000F30E1">
        <w:t xml:space="preserve">Strengthening transparent government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0A4C6C" w:rsidRPr="00866299" w14:paraId="476108F7" w14:textId="77777777" w:rsidTr="00B80457">
        <w:trPr>
          <w:cantSplit/>
        </w:trPr>
        <w:tc>
          <w:tcPr>
            <w:tcW w:w="3652" w:type="dxa"/>
            <w:tcBorders>
              <w:top w:val="single" w:sz="4" w:space="0" w:color="auto"/>
              <w:bottom w:val="single" w:sz="4" w:space="0" w:color="auto"/>
            </w:tcBorders>
            <w:shd w:val="clear" w:color="auto" w:fill="auto"/>
          </w:tcPr>
          <w:p w14:paraId="35D0EDDE" w14:textId="77777777" w:rsidR="000A4C6C" w:rsidRPr="00866299" w:rsidRDefault="000A4C6C" w:rsidP="000A4C6C">
            <w:pPr>
              <w:contextualSpacing/>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shd w:val="clear" w:color="auto" w:fill="auto"/>
          </w:tcPr>
          <w:p w14:paraId="2B42298D"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2019-20</w:t>
            </w:r>
          </w:p>
          <w:p w14:paraId="2440E023"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shd w:val="clear" w:color="auto" w:fill="auto"/>
          </w:tcPr>
          <w:p w14:paraId="67E3775A"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2020-21</w:t>
            </w:r>
          </w:p>
          <w:p w14:paraId="1C66B354"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AFA6C1E"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2021-22</w:t>
            </w:r>
          </w:p>
          <w:p w14:paraId="64128321"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353D66B9"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2022-23</w:t>
            </w:r>
          </w:p>
          <w:p w14:paraId="0F9AA9F7"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3B772BA4" w14:textId="77777777" w:rsidR="000A4C6C" w:rsidRPr="00866299" w:rsidRDefault="000A4C6C" w:rsidP="000A4C6C">
            <w:pPr>
              <w:contextualSpacing/>
              <w:jc w:val="right"/>
              <w:rPr>
                <w:b/>
                <w:sz w:val="22"/>
              </w:rPr>
            </w:pPr>
            <w:r w:rsidRPr="00866299">
              <w:rPr>
                <w:b/>
                <w:sz w:val="22"/>
              </w:rPr>
              <w:t>Total</w:t>
            </w:r>
          </w:p>
          <w:p w14:paraId="65D21448" w14:textId="77777777" w:rsidR="000A4C6C" w:rsidRPr="00866299" w:rsidRDefault="000A4C6C" w:rsidP="000A4C6C">
            <w:pPr>
              <w:spacing w:before="200" w:after="200"/>
              <w:contextualSpacing/>
              <w:jc w:val="right"/>
              <w:rPr>
                <w:rFonts w:ascii="Calibri" w:hAnsi="Calibri"/>
                <w:b/>
                <w:sz w:val="22"/>
                <w:lang w:eastAsia="en-US"/>
              </w:rPr>
            </w:pPr>
            <w:r w:rsidRPr="00866299">
              <w:rPr>
                <w:rFonts w:ascii="Calibri" w:hAnsi="Calibri"/>
                <w:b/>
                <w:sz w:val="22"/>
                <w:lang w:eastAsia="en-US"/>
              </w:rPr>
              <w:t>$’000</w:t>
            </w:r>
          </w:p>
        </w:tc>
      </w:tr>
      <w:tr w:rsidR="000A4C6C" w:rsidRPr="00866299" w14:paraId="7C8CF3DB" w14:textId="77777777" w:rsidTr="00B80457">
        <w:trPr>
          <w:cantSplit/>
        </w:trPr>
        <w:tc>
          <w:tcPr>
            <w:tcW w:w="3652" w:type="dxa"/>
            <w:tcBorders>
              <w:top w:val="single" w:sz="4" w:space="0" w:color="auto"/>
              <w:bottom w:val="single" w:sz="4" w:space="0" w:color="auto"/>
            </w:tcBorders>
            <w:shd w:val="clear" w:color="auto" w:fill="auto"/>
          </w:tcPr>
          <w:p w14:paraId="70A1BA67" w14:textId="77777777" w:rsidR="000A4C6C" w:rsidRPr="00866299" w:rsidRDefault="000A4C6C" w:rsidP="000A4C6C">
            <w:pPr>
              <w:ind w:left="284" w:hanging="284"/>
              <w:contextualSpacing/>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shd w:val="clear" w:color="auto" w:fill="auto"/>
          </w:tcPr>
          <w:p w14:paraId="0778F6FC"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287</w:t>
            </w:r>
          </w:p>
        </w:tc>
        <w:tc>
          <w:tcPr>
            <w:tcW w:w="1041" w:type="dxa"/>
            <w:tcBorders>
              <w:top w:val="single" w:sz="4" w:space="0" w:color="auto"/>
              <w:bottom w:val="single" w:sz="4" w:space="0" w:color="auto"/>
            </w:tcBorders>
            <w:shd w:val="clear" w:color="auto" w:fill="auto"/>
          </w:tcPr>
          <w:p w14:paraId="46A7D4DF"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295</w:t>
            </w:r>
          </w:p>
        </w:tc>
        <w:tc>
          <w:tcPr>
            <w:tcW w:w="1029" w:type="dxa"/>
            <w:tcBorders>
              <w:top w:val="single" w:sz="4" w:space="0" w:color="auto"/>
              <w:bottom w:val="single" w:sz="4" w:space="0" w:color="auto"/>
            </w:tcBorders>
          </w:tcPr>
          <w:p w14:paraId="2F9E591D"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68CD68CD"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2B3A7450" w14:textId="77777777" w:rsidR="000A4C6C" w:rsidRPr="00866299" w:rsidRDefault="000A4C6C" w:rsidP="000A4C6C">
            <w:pPr>
              <w:spacing w:before="200" w:after="200"/>
              <w:contextualSpacing/>
              <w:jc w:val="right"/>
              <w:rPr>
                <w:rFonts w:ascii="Calibri" w:hAnsi="Calibri"/>
                <w:b/>
                <w:sz w:val="22"/>
                <w:lang w:eastAsia="en-US"/>
              </w:rPr>
            </w:pPr>
            <w:r w:rsidRPr="00866299">
              <w:rPr>
                <w:rFonts w:ascii="Calibri" w:hAnsi="Calibri"/>
                <w:b/>
                <w:sz w:val="22"/>
                <w:lang w:eastAsia="en-US"/>
              </w:rPr>
              <w:t>582</w:t>
            </w:r>
          </w:p>
        </w:tc>
      </w:tr>
    </w:tbl>
    <w:p w14:paraId="46740DBF" w14:textId="129DF8C0" w:rsidR="000A4C6C" w:rsidRPr="006F2744" w:rsidRDefault="000A4C6C" w:rsidP="00B80457">
      <w:pPr>
        <w:pStyle w:val="snapInitbody"/>
      </w:pPr>
      <w:r w:rsidRPr="006F2744">
        <w:t>The Government will boost the capacity of the Public Sector Standards Commissioner to respond to complaints in a comprehensive and timely way. This will complement the establishment of the ACT Integrity Commission, to ensure that all public officials and public servants in the ACT conduct themselves with the high standards of probity and professionalism Canberrans expect.</w:t>
      </w:r>
      <w:r w:rsidR="000F30E1">
        <w:t xml:space="preserve"> </w:t>
      </w:r>
    </w:p>
    <w:p w14:paraId="7AEB387B" w14:textId="77777777" w:rsidR="00BF33C1" w:rsidRDefault="00BF33C1">
      <w:pPr>
        <w:rPr>
          <w:rFonts w:ascii="Calibri" w:hAnsi="Calibri"/>
          <w:b/>
          <w:bCs/>
          <w:sz w:val="26"/>
          <w:szCs w:val="26"/>
          <w:lang w:val="x-none" w:eastAsia="en-US"/>
        </w:rPr>
      </w:pPr>
      <w:bookmarkStart w:id="8" w:name="OLE_LINK1"/>
      <w:r>
        <w:br w:type="page"/>
      </w:r>
    </w:p>
    <w:p w14:paraId="6D403585" w14:textId="3F64039B" w:rsidR="000A4C6C" w:rsidRPr="000F30E1" w:rsidRDefault="000A4C6C" w:rsidP="000F30E1">
      <w:pPr>
        <w:pStyle w:val="snapInittitles"/>
      </w:pPr>
      <w:r w:rsidRPr="000F30E1">
        <w:t xml:space="preserve">Stronger compliance to improve building quality </w:t>
      </w:r>
      <w:bookmarkEnd w:id="8"/>
    </w:p>
    <w:tbl>
      <w:tblPr>
        <w:tblW w:w="5000" w:type="pct"/>
        <w:tblLayout w:type="fixed"/>
        <w:tblLook w:val="0000" w:firstRow="0" w:lastRow="0" w:firstColumn="0" w:lastColumn="0" w:noHBand="0" w:noVBand="0"/>
      </w:tblPr>
      <w:tblGrid>
        <w:gridCol w:w="3929"/>
        <w:gridCol w:w="1268"/>
        <w:gridCol w:w="1120"/>
        <w:gridCol w:w="1107"/>
        <w:gridCol w:w="1107"/>
        <w:gridCol w:w="1107"/>
      </w:tblGrid>
      <w:tr w:rsidR="000A4C6C" w:rsidRPr="00866299" w14:paraId="17431AF1" w14:textId="77777777" w:rsidTr="00B80457">
        <w:trPr>
          <w:cantSplit/>
        </w:trPr>
        <w:tc>
          <w:tcPr>
            <w:tcW w:w="3652" w:type="dxa"/>
            <w:tcBorders>
              <w:top w:val="single" w:sz="4" w:space="0" w:color="auto"/>
              <w:bottom w:val="single" w:sz="4" w:space="0" w:color="auto"/>
            </w:tcBorders>
          </w:tcPr>
          <w:p w14:paraId="5352270D" w14:textId="77777777" w:rsidR="000A4C6C" w:rsidRPr="00866299" w:rsidRDefault="000A4C6C" w:rsidP="000A4C6C">
            <w:pPr>
              <w:contextualSpacing/>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11B101C1"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2019-20</w:t>
            </w:r>
          </w:p>
          <w:p w14:paraId="4E9D0F65"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7A647E10"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2020-21</w:t>
            </w:r>
          </w:p>
          <w:p w14:paraId="7C452CFC"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04DBC573"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2021-22</w:t>
            </w:r>
          </w:p>
          <w:p w14:paraId="7E3270AA"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0192A2F"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2022-23</w:t>
            </w:r>
          </w:p>
          <w:p w14:paraId="107433CE"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54F41A82" w14:textId="77777777" w:rsidR="000A4C6C" w:rsidRPr="00866299" w:rsidRDefault="000A4C6C" w:rsidP="000A4C6C">
            <w:pPr>
              <w:contextualSpacing/>
              <w:jc w:val="right"/>
              <w:rPr>
                <w:b/>
                <w:sz w:val="22"/>
              </w:rPr>
            </w:pPr>
            <w:r w:rsidRPr="00866299">
              <w:rPr>
                <w:b/>
                <w:sz w:val="22"/>
              </w:rPr>
              <w:t>Total</w:t>
            </w:r>
          </w:p>
          <w:p w14:paraId="33A9E1AB" w14:textId="77777777" w:rsidR="000A4C6C" w:rsidRPr="00866299" w:rsidRDefault="000A4C6C" w:rsidP="000A4C6C">
            <w:pPr>
              <w:spacing w:before="200" w:after="200"/>
              <w:contextualSpacing/>
              <w:jc w:val="right"/>
              <w:rPr>
                <w:rFonts w:ascii="Calibri" w:hAnsi="Calibri"/>
                <w:b/>
                <w:sz w:val="22"/>
                <w:lang w:eastAsia="en-US"/>
              </w:rPr>
            </w:pPr>
            <w:r w:rsidRPr="00866299">
              <w:rPr>
                <w:rFonts w:ascii="Calibri" w:hAnsi="Calibri"/>
                <w:b/>
                <w:sz w:val="22"/>
                <w:lang w:eastAsia="en-US"/>
              </w:rPr>
              <w:t>$’000</w:t>
            </w:r>
          </w:p>
        </w:tc>
      </w:tr>
      <w:tr w:rsidR="000A4C6C" w:rsidRPr="00866299" w14:paraId="3F1B98C0" w14:textId="77777777" w:rsidTr="00B80457">
        <w:trPr>
          <w:cantSplit/>
        </w:trPr>
        <w:tc>
          <w:tcPr>
            <w:tcW w:w="3652" w:type="dxa"/>
            <w:tcBorders>
              <w:top w:val="single" w:sz="4" w:space="0" w:color="auto"/>
              <w:bottom w:val="single" w:sz="4" w:space="0" w:color="auto"/>
            </w:tcBorders>
          </w:tcPr>
          <w:p w14:paraId="046D3D69" w14:textId="77777777" w:rsidR="000A4C6C" w:rsidRPr="00866299" w:rsidRDefault="000A4C6C" w:rsidP="000A4C6C">
            <w:pPr>
              <w:ind w:left="284" w:hanging="284"/>
              <w:contextualSpacing/>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tcPr>
          <w:p w14:paraId="6DD99EE9"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2,152</w:t>
            </w:r>
          </w:p>
        </w:tc>
        <w:tc>
          <w:tcPr>
            <w:tcW w:w="1041" w:type="dxa"/>
            <w:tcBorders>
              <w:top w:val="single" w:sz="4" w:space="0" w:color="auto"/>
              <w:bottom w:val="single" w:sz="4" w:space="0" w:color="auto"/>
            </w:tcBorders>
          </w:tcPr>
          <w:p w14:paraId="50B25292"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2,206</w:t>
            </w:r>
          </w:p>
        </w:tc>
        <w:tc>
          <w:tcPr>
            <w:tcW w:w="1029" w:type="dxa"/>
            <w:tcBorders>
              <w:top w:val="single" w:sz="4" w:space="0" w:color="auto"/>
              <w:bottom w:val="single" w:sz="4" w:space="0" w:color="auto"/>
            </w:tcBorders>
          </w:tcPr>
          <w:p w14:paraId="641683AD"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2,261</w:t>
            </w:r>
          </w:p>
        </w:tc>
        <w:tc>
          <w:tcPr>
            <w:tcW w:w="1029" w:type="dxa"/>
            <w:tcBorders>
              <w:top w:val="single" w:sz="4" w:space="0" w:color="auto"/>
              <w:bottom w:val="single" w:sz="4" w:space="0" w:color="auto"/>
            </w:tcBorders>
          </w:tcPr>
          <w:p w14:paraId="4EC67F7B"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2,327</w:t>
            </w:r>
          </w:p>
        </w:tc>
        <w:tc>
          <w:tcPr>
            <w:tcW w:w="1029" w:type="dxa"/>
            <w:tcBorders>
              <w:top w:val="single" w:sz="4" w:space="0" w:color="auto"/>
              <w:bottom w:val="single" w:sz="4" w:space="0" w:color="auto"/>
            </w:tcBorders>
          </w:tcPr>
          <w:p w14:paraId="30156049" w14:textId="77777777" w:rsidR="000A4C6C" w:rsidRPr="00866299" w:rsidRDefault="000A4C6C" w:rsidP="000A4C6C">
            <w:pPr>
              <w:spacing w:before="200" w:after="200"/>
              <w:contextualSpacing/>
              <w:jc w:val="right"/>
              <w:rPr>
                <w:rFonts w:ascii="Calibri" w:hAnsi="Calibri"/>
                <w:b/>
                <w:sz w:val="22"/>
                <w:lang w:eastAsia="en-US"/>
              </w:rPr>
            </w:pPr>
            <w:r w:rsidRPr="00866299">
              <w:rPr>
                <w:rFonts w:ascii="Calibri" w:hAnsi="Calibri"/>
                <w:b/>
                <w:sz w:val="22"/>
                <w:lang w:eastAsia="en-US"/>
              </w:rPr>
              <w:t>8,946</w:t>
            </w:r>
          </w:p>
        </w:tc>
      </w:tr>
      <w:tr w:rsidR="000A4C6C" w:rsidRPr="00866299" w14:paraId="16B01E3B" w14:textId="77777777" w:rsidTr="00B80457">
        <w:trPr>
          <w:cantSplit/>
          <w:trHeight w:val="107"/>
        </w:trPr>
        <w:tc>
          <w:tcPr>
            <w:tcW w:w="3652" w:type="dxa"/>
            <w:tcBorders>
              <w:top w:val="single" w:sz="4" w:space="0" w:color="auto"/>
              <w:bottom w:val="single" w:sz="4" w:space="0" w:color="auto"/>
            </w:tcBorders>
          </w:tcPr>
          <w:p w14:paraId="20BFDB7D" w14:textId="77777777" w:rsidR="000A4C6C" w:rsidRPr="00866299" w:rsidRDefault="000A4C6C" w:rsidP="000A4C6C">
            <w:pPr>
              <w:ind w:left="284" w:hanging="284"/>
              <w:contextualSpacing/>
              <w:rPr>
                <w:rFonts w:ascii="Calibri" w:hAnsi="Calibri"/>
                <w:sz w:val="22"/>
                <w:lang w:eastAsia="en-US"/>
              </w:rPr>
            </w:pPr>
            <w:r w:rsidRPr="00866299">
              <w:rPr>
                <w:rFonts w:ascii="Calibri" w:hAnsi="Calibri"/>
                <w:sz w:val="22"/>
                <w:lang w:eastAsia="en-US"/>
              </w:rPr>
              <w:t>Associated Revenue</w:t>
            </w:r>
          </w:p>
        </w:tc>
        <w:tc>
          <w:tcPr>
            <w:tcW w:w="1179" w:type="dxa"/>
            <w:tcBorders>
              <w:top w:val="single" w:sz="4" w:space="0" w:color="auto"/>
              <w:bottom w:val="single" w:sz="4" w:space="0" w:color="auto"/>
            </w:tcBorders>
          </w:tcPr>
          <w:p w14:paraId="7B5406CD"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2,152</w:t>
            </w:r>
          </w:p>
        </w:tc>
        <w:tc>
          <w:tcPr>
            <w:tcW w:w="1041" w:type="dxa"/>
            <w:tcBorders>
              <w:top w:val="single" w:sz="4" w:space="0" w:color="auto"/>
              <w:bottom w:val="single" w:sz="4" w:space="0" w:color="auto"/>
            </w:tcBorders>
          </w:tcPr>
          <w:p w14:paraId="6195CFBF"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2,206</w:t>
            </w:r>
          </w:p>
        </w:tc>
        <w:tc>
          <w:tcPr>
            <w:tcW w:w="1029" w:type="dxa"/>
            <w:tcBorders>
              <w:top w:val="single" w:sz="4" w:space="0" w:color="auto"/>
              <w:bottom w:val="single" w:sz="4" w:space="0" w:color="auto"/>
            </w:tcBorders>
          </w:tcPr>
          <w:p w14:paraId="4B4FB42B"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2,261</w:t>
            </w:r>
          </w:p>
        </w:tc>
        <w:tc>
          <w:tcPr>
            <w:tcW w:w="1029" w:type="dxa"/>
            <w:tcBorders>
              <w:top w:val="single" w:sz="4" w:space="0" w:color="auto"/>
              <w:bottom w:val="single" w:sz="4" w:space="0" w:color="auto"/>
            </w:tcBorders>
          </w:tcPr>
          <w:p w14:paraId="4BBFB109"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2,327</w:t>
            </w:r>
          </w:p>
        </w:tc>
        <w:tc>
          <w:tcPr>
            <w:tcW w:w="1029" w:type="dxa"/>
            <w:tcBorders>
              <w:top w:val="single" w:sz="4" w:space="0" w:color="auto"/>
              <w:bottom w:val="single" w:sz="4" w:space="0" w:color="auto"/>
            </w:tcBorders>
          </w:tcPr>
          <w:p w14:paraId="13F770D4" w14:textId="77777777" w:rsidR="000A4C6C" w:rsidRPr="00866299" w:rsidRDefault="000A4C6C" w:rsidP="000A4C6C">
            <w:pPr>
              <w:spacing w:before="200" w:after="200"/>
              <w:contextualSpacing/>
              <w:jc w:val="right"/>
              <w:rPr>
                <w:rFonts w:ascii="Calibri" w:hAnsi="Calibri"/>
                <w:b/>
                <w:sz w:val="22"/>
                <w:lang w:eastAsia="en-US"/>
              </w:rPr>
            </w:pPr>
            <w:r w:rsidRPr="00866299">
              <w:rPr>
                <w:rFonts w:ascii="Calibri" w:hAnsi="Calibri"/>
                <w:b/>
                <w:sz w:val="22"/>
                <w:lang w:eastAsia="en-US"/>
              </w:rPr>
              <w:t>8,946</w:t>
            </w:r>
          </w:p>
        </w:tc>
      </w:tr>
    </w:tbl>
    <w:p w14:paraId="7D846D29" w14:textId="77777777" w:rsidR="000A4C6C" w:rsidRPr="006F2744" w:rsidRDefault="000A4C6C" w:rsidP="00B80457">
      <w:pPr>
        <w:pStyle w:val="snapInitbody"/>
      </w:pPr>
      <w:r w:rsidRPr="006F2744">
        <w:t>The Government will continue improving building quality in the ACT by boosting resources for the Territory’s building regulator to undertake more monitoring and compliance activity. This initiative will be funded by industry through a modest increase of $350 to the Building Licence fee and a 0.1 per cent increase to the Building Levy fee.</w:t>
      </w:r>
    </w:p>
    <w:p w14:paraId="5C5CB2C8" w14:textId="77777777" w:rsidR="000A4C6C" w:rsidRPr="000F30E1" w:rsidRDefault="000A4C6C" w:rsidP="000F30E1">
      <w:pPr>
        <w:pStyle w:val="snapInittitles"/>
      </w:pPr>
      <w:r w:rsidRPr="000F30E1">
        <w:t xml:space="preserve">Supporting business and innovation to keep growing our economy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0A4C6C" w:rsidRPr="00866299" w14:paraId="074269CC" w14:textId="77777777" w:rsidTr="00B80457">
        <w:trPr>
          <w:cantSplit/>
        </w:trPr>
        <w:tc>
          <w:tcPr>
            <w:tcW w:w="3652" w:type="dxa"/>
            <w:tcBorders>
              <w:top w:val="single" w:sz="4" w:space="0" w:color="auto"/>
              <w:bottom w:val="single" w:sz="4" w:space="0" w:color="auto"/>
            </w:tcBorders>
          </w:tcPr>
          <w:p w14:paraId="6B438A48" w14:textId="77777777" w:rsidR="000A4C6C" w:rsidRPr="00866299" w:rsidRDefault="000A4C6C" w:rsidP="000A4C6C">
            <w:pPr>
              <w:contextualSpacing/>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191CCE04" w14:textId="77777777" w:rsidR="000A4C6C" w:rsidRPr="00866299" w:rsidRDefault="000A4C6C" w:rsidP="000A4C6C">
            <w:pPr>
              <w:contextualSpacing/>
              <w:jc w:val="right"/>
              <w:rPr>
                <w:rFonts w:ascii="Calibri" w:hAnsi="Calibri"/>
                <w:sz w:val="22"/>
                <w:lang w:eastAsia="en-US"/>
              </w:rPr>
            </w:pPr>
            <w:r w:rsidRPr="00866299">
              <w:rPr>
                <w:rFonts w:ascii="Calibri" w:hAnsi="Calibri"/>
                <w:sz w:val="22"/>
                <w:lang w:eastAsia="en-US"/>
              </w:rPr>
              <w:t>2019-20</w:t>
            </w:r>
          </w:p>
          <w:p w14:paraId="01182BA0" w14:textId="77777777" w:rsidR="000A4C6C" w:rsidRPr="00866299" w:rsidRDefault="000A4C6C" w:rsidP="000A4C6C">
            <w:pPr>
              <w:contextualSpacing/>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174E4722" w14:textId="77777777" w:rsidR="000A4C6C" w:rsidRPr="00866299" w:rsidRDefault="000A4C6C" w:rsidP="000A4C6C">
            <w:pPr>
              <w:contextualSpacing/>
              <w:jc w:val="right"/>
              <w:rPr>
                <w:rFonts w:ascii="Calibri" w:hAnsi="Calibri"/>
                <w:sz w:val="22"/>
                <w:lang w:eastAsia="en-US"/>
              </w:rPr>
            </w:pPr>
            <w:r w:rsidRPr="00866299">
              <w:rPr>
                <w:rFonts w:ascii="Calibri" w:hAnsi="Calibri"/>
                <w:sz w:val="22"/>
                <w:lang w:eastAsia="en-US"/>
              </w:rPr>
              <w:t>2020-21</w:t>
            </w:r>
          </w:p>
          <w:p w14:paraId="310BAB0F" w14:textId="77777777" w:rsidR="000A4C6C" w:rsidRPr="00866299" w:rsidRDefault="000A4C6C" w:rsidP="000A4C6C">
            <w:pPr>
              <w:contextualSpacing/>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7AE3D46" w14:textId="77777777" w:rsidR="000A4C6C" w:rsidRPr="00866299" w:rsidRDefault="000A4C6C" w:rsidP="000A4C6C">
            <w:pPr>
              <w:contextualSpacing/>
              <w:jc w:val="right"/>
              <w:rPr>
                <w:rFonts w:ascii="Calibri" w:hAnsi="Calibri"/>
                <w:sz w:val="22"/>
                <w:lang w:eastAsia="en-US"/>
              </w:rPr>
            </w:pPr>
            <w:r w:rsidRPr="00866299">
              <w:rPr>
                <w:rFonts w:ascii="Calibri" w:hAnsi="Calibri"/>
                <w:sz w:val="22"/>
                <w:lang w:eastAsia="en-US"/>
              </w:rPr>
              <w:t>2021-22</w:t>
            </w:r>
          </w:p>
          <w:p w14:paraId="627167F4" w14:textId="77777777" w:rsidR="000A4C6C" w:rsidRPr="00866299" w:rsidRDefault="000A4C6C" w:rsidP="000A4C6C">
            <w:pPr>
              <w:contextualSpacing/>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33ADE2B5" w14:textId="77777777" w:rsidR="000A4C6C" w:rsidRPr="00866299" w:rsidRDefault="000A4C6C" w:rsidP="000A4C6C">
            <w:pPr>
              <w:contextualSpacing/>
              <w:jc w:val="right"/>
              <w:rPr>
                <w:rFonts w:ascii="Calibri" w:hAnsi="Calibri"/>
                <w:sz w:val="22"/>
                <w:lang w:eastAsia="en-US"/>
              </w:rPr>
            </w:pPr>
            <w:r w:rsidRPr="00866299">
              <w:rPr>
                <w:rFonts w:ascii="Calibri" w:hAnsi="Calibri"/>
                <w:sz w:val="22"/>
                <w:lang w:eastAsia="en-US"/>
              </w:rPr>
              <w:t>2022-23</w:t>
            </w:r>
          </w:p>
          <w:p w14:paraId="30DEFA7E" w14:textId="77777777" w:rsidR="000A4C6C" w:rsidRPr="00866299" w:rsidRDefault="000A4C6C" w:rsidP="000A4C6C">
            <w:pPr>
              <w:contextualSpacing/>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53C8B36" w14:textId="77777777" w:rsidR="000A4C6C" w:rsidRPr="00866299" w:rsidRDefault="000A4C6C" w:rsidP="000A4C6C">
            <w:pPr>
              <w:contextualSpacing/>
              <w:jc w:val="right"/>
              <w:rPr>
                <w:rFonts w:ascii="Calibri" w:hAnsi="Calibri"/>
                <w:b/>
                <w:sz w:val="22"/>
                <w:lang w:eastAsia="en-US"/>
              </w:rPr>
            </w:pPr>
            <w:r w:rsidRPr="00866299">
              <w:rPr>
                <w:rFonts w:ascii="Calibri" w:hAnsi="Calibri"/>
                <w:b/>
                <w:sz w:val="22"/>
                <w:lang w:eastAsia="en-US"/>
              </w:rPr>
              <w:t>Total</w:t>
            </w:r>
          </w:p>
          <w:p w14:paraId="2EB595D9" w14:textId="77777777" w:rsidR="000A4C6C" w:rsidRPr="00866299" w:rsidRDefault="000A4C6C" w:rsidP="000A4C6C">
            <w:pPr>
              <w:contextualSpacing/>
              <w:jc w:val="right"/>
              <w:rPr>
                <w:rFonts w:ascii="Calibri" w:hAnsi="Calibri"/>
                <w:b/>
                <w:sz w:val="22"/>
                <w:lang w:eastAsia="en-US"/>
              </w:rPr>
            </w:pPr>
            <w:r w:rsidRPr="00866299">
              <w:rPr>
                <w:rFonts w:ascii="Calibri" w:hAnsi="Calibri"/>
                <w:b/>
                <w:sz w:val="22"/>
                <w:lang w:eastAsia="en-US"/>
              </w:rPr>
              <w:t>$’000</w:t>
            </w:r>
          </w:p>
        </w:tc>
      </w:tr>
      <w:tr w:rsidR="000A4C6C" w:rsidRPr="00866299" w14:paraId="2A2FE6DD" w14:textId="77777777" w:rsidTr="00B80457">
        <w:trPr>
          <w:cantSplit/>
          <w:trHeight w:val="192"/>
        </w:trPr>
        <w:tc>
          <w:tcPr>
            <w:tcW w:w="3652" w:type="dxa"/>
            <w:tcBorders>
              <w:top w:val="single" w:sz="4" w:space="0" w:color="auto"/>
              <w:bottom w:val="single" w:sz="4" w:space="0" w:color="auto"/>
            </w:tcBorders>
          </w:tcPr>
          <w:p w14:paraId="19E160EC" w14:textId="77777777" w:rsidR="000A4C6C" w:rsidRPr="00866299" w:rsidRDefault="000A4C6C" w:rsidP="000A4C6C">
            <w:pPr>
              <w:contextualSpacing/>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tcPr>
          <w:p w14:paraId="764FFED8" w14:textId="77777777" w:rsidR="000A4C6C" w:rsidRPr="00866299" w:rsidRDefault="000A4C6C" w:rsidP="000A4C6C">
            <w:pPr>
              <w:contextualSpacing/>
              <w:jc w:val="right"/>
              <w:rPr>
                <w:rFonts w:ascii="Calibri" w:hAnsi="Calibri"/>
                <w:sz w:val="22"/>
                <w:lang w:eastAsia="en-US"/>
              </w:rPr>
            </w:pPr>
            <w:r w:rsidRPr="00866299">
              <w:rPr>
                <w:rFonts w:ascii="Calibri" w:hAnsi="Calibri"/>
                <w:sz w:val="22"/>
                <w:lang w:eastAsia="en-US"/>
              </w:rPr>
              <w:t>2,840</w:t>
            </w:r>
          </w:p>
        </w:tc>
        <w:tc>
          <w:tcPr>
            <w:tcW w:w="1041" w:type="dxa"/>
            <w:tcBorders>
              <w:top w:val="single" w:sz="4" w:space="0" w:color="auto"/>
              <w:bottom w:val="single" w:sz="4" w:space="0" w:color="auto"/>
            </w:tcBorders>
          </w:tcPr>
          <w:p w14:paraId="75F09EC0" w14:textId="77777777" w:rsidR="000A4C6C" w:rsidRPr="00866299" w:rsidRDefault="000A4C6C" w:rsidP="000A4C6C">
            <w:pPr>
              <w:contextualSpacing/>
              <w:jc w:val="right"/>
              <w:rPr>
                <w:rFonts w:ascii="Calibri" w:hAnsi="Calibri"/>
                <w:sz w:val="22"/>
                <w:lang w:eastAsia="en-US"/>
              </w:rPr>
            </w:pPr>
            <w:r w:rsidRPr="00866299">
              <w:rPr>
                <w:rFonts w:ascii="Calibri" w:hAnsi="Calibri"/>
                <w:sz w:val="22"/>
                <w:lang w:eastAsia="en-US"/>
              </w:rPr>
              <w:t>2,932</w:t>
            </w:r>
          </w:p>
        </w:tc>
        <w:tc>
          <w:tcPr>
            <w:tcW w:w="1029" w:type="dxa"/>
            <w:tcBorders>
              <w:top w:val="single" w:sz="4" w:space="0" w:color="auto"/>
              <w:bottom w:val="single" w:sz="4" w:space="0" w:color="auto"/>
            </w:tcBorders>
          </w:tcPr>
          <w:p w14:paraId="2B071660" w14:textId="77777777" w:rsidR="000A4C6C" w:rsidRPr="00866299" w:rsidRDefault="000A4C6C" w:rsidP="000A4C6C">
            <w:pPr>
              <w:contextualSpacing/>
              <w:jc w:val="right"/>
              <w:rPr>
                <w:rFonts w:ascii="Calibri" w:hAnsi="Calibri"/>
                <w:sz w:val="22"/>
                <w:lang w:eastAsia="en-US"/>
              </w:rPr>
            </w:pPr>
            <w:r w:rsidRPr="00866299">
              <w:rPr>
                <w:rFonts w:ascii="Calibri" w:hAnsi="Calibri"/>
                <w:sz w:val="22"/>
                <w:lang w:eastAsia="en-US"/>
              </w:rPr>
              <w:t>3,025</w:t>
            </w:r>
          </w:p>
        </w:tc>
        <w:tc>
          <w:tcPr>
            <w:tcW w:w="1029" w:type="dxa"/>
            <w:tcBorders>
              <w:top w:val="single" w:sz="4" w:space="0" w:color="auto"/>
              <w:bottom w:val="single" w:sz="4" w:space="0" w:color="auto"/>
            </w:tcBorders>
          </w:tcPr>
          <w:p w14:paraId="49F226A2" w14:textId="77777777" w:rsidR="000A4C6C" w:rsidRPr="00866299" w:rsidRDefault="000A4C6C" w:rsidP="000A4C6C">
            <w:pPr>
              <w:contextualSpacing/>
              <w:jc w:val="right"/>
              <w:rPr>
                <w:rFonts w:ascii="Calibri" w:hAnsi="Calibri"/>
                <w:sz w:val="22"/>
                <w:lang w:eastAsia="en-US"/>
              </w:rPr>
            </w:pPr>
            <w:r w:rsidRPr="00866299">
              <w:rPr>
                <w:rFonts w:ascii="Calibri" w:hAnsi="Calibri"/>
                <w:sz w:val="22"/>
                <w:lang w:eastAsia="en-US"/>
              </w:rPr>
              <w:t>3,119</w:t>
            </w:r>
          </w:p>
        </w:tc>
        <w:tc>
          <w:tcPr>
            <w:tcW w:w="1029" w:type="dxa"/>
            <w:tcBorders>
              <w:top w:val="single" w:sz="4" w:space="0" w:color="auto"/>
              <w:bottom w:val="single" w:sz="4" w:space="0" w:color="auto"/>
            </w:tcBorders>
          </w:tcPr>
          <w:p w14:paraId="69C0F2CF" w14:textId="77777777" w:rsidR="000A4C6C" w:rsidRPr="00866299" w:rsidRDefault="000A4C6C" w:rsidP="000A4C6C">
            <w:pPr>
              <w:contextualSpacing/>
              <w:jc w:val="right"/>
              <w:rPr>
                <w:rFonts w:ascii="Calibri" w:hAnsi="Calibri"/>
                <w:b/>
                <w:sz w:val="22"/>
                <w:lang w:eastAsia="en-US"/>
              </w:rPr>
            </w:pPr>
            <w:r w:rsidRPr="00866299">
              <w:rPr>
                <w:rFonts w:ascii="Calibri" w:hAnsi="Calibri"/>
                <w:b/>
                <w:sz w:val="22"/>
                <w:lang w:eastAsia="en-US"/>
              </w:rPr>
              <w:t>11,916</w:t>
            </w:r>
          </w:p>
        </w:tc>
      </w:tr>
    </w:tbl>
    <w:p w14:paraId="0AB862D6" w14:textId="77777777" w:rsidR="000A4C6C" w:rsidRPr="006F2744" w:rsidRDefault="000A4C6C" w:rsidP="00B80457">
      <w:pPr>
        <w:pStyle w:val="snapInitbody"/>
      </w:pPr>
      <w:r w:rsidRPr="006F2744">
        <w:t xml:space="preserve">The Government will continue driving the diversification of Canberra’s economy through international engagement, investment attraction and facilitation, growing exports in products and services, developing key industries and strengthening the local innovation ecosystem. </w:t>
      </w:r>
    </w:p>
    <w:p w14:paraId="5EB46835" w14:textId="77777777" w:rsidR="000A4C6C" w:rsidRPr="000F30E1" w:rsidRDefault="000A4C6C" w:rsidP="000F30E1">
      <w:pPr>
        <w:pStyle w:val="snapInittitles"/>
      </w:pPr>
      <w:r w:rsidRPr="000F30E1">
        <w:t xml:space="preserve">Supporting local community groups to improve social inclusion and equality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0A4C6C" w:rsidRPr="00866299" w14:paraId="0954EB78" w14:textId="77777777" w:rsidTr="00B80457">
        <w:trPr>
          <w:cantSplit/>
        </w:trPr>
        <w:tc>
          <w:tcPr>
            <w:tcW w:w="3652" w:type="dxa"/>
            <w:tcBorders>
              <w:top w:val="single" w:sz="4" w:space="0" w:color="auto"/>
              <w:bottom w:val="single" w:sz="4" w:space="0" w:color="auto"/>
            </w:tcBorders>
          </w:tcPr>
          <w:p w14:paraId="4A0EA97F" w14:textId="77777777" w:rsidR="000A4C6C" w:rsidRPr="00866299" w:rsidRDefault="000A4C6C" w:rsidP="000A4C6C">
            <w:pPr>
              <w:contextualSpacing/>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2F894AB9"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2019-20</w:t>
            </w:r>
          </w:p>
          <w:p w14:paraId="41047007"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624A87B2"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2020-21</w:t>
            </w:r>
          </w:p>
          <w:p w14:paraId="6044989F"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29FE740"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2021-22</w:t>
            </w:r>
          </w:p>
          <w:p w14:paraId="0B7753C7"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BD59E61"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2022-23</w:t>
            </w:r>
          </w:p>
          <w:p w14:paraId="4D29EC11"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5C5239B1" w14:textId="77777777" w:rsidR="000A4C6C" w:rsidRPr="00866299" w:rsidRDefault="000A4C6C" w:rsidP="000A4C6C">
            <w:pPr>
              <w:contextualSpacing/>
              <w:jc w:val="right"/>
              <w:rPr>
                <w:b/>
                <w:sz w:val="22"/>
              </w:rPr>
            </w:pPr>
            <w:r w:rsidRPr="00866299">
              <w:rPr>
                <w:b/>
                <w:sz w:val="22"/>
              </w:rPr>
              <w:t>Total</w:t>
            </w:r>
          </w:p>
          <w:p w14:paraId="597C1C42" w14:textId="77777777" w:rsidR="000A4C6C" w:rsidRPr="00866299" w:rsidRDefault="000A4C6C" w:rsidP="000A4C6C">
            <w:pPr>
              <w:spacing w:before="200" w:after="200"/>
              <w:contextualSpacing/>
              <w:jc w:val="right"/>
              <w:rPr>
                <w:rFonts w:ascii="Calibri" w:hAnsi="Calibri"/>
                <w:b/>
                <w:sz w:val="22"/>
                <w:lang w:eastAsia="en-US"/>
              </w:rPr>
            </w:pPr>
            <w:r w:rsidRPr="00866299">
              <w:rPr>
                <w:rFonts w:ascii="Calibri" w:hAnsi="Calibri"/>
                <w:b/>
                <w:sz w:val="22"/>
                <w:lang w:eastAsia="en-US"/>
              </w:rPr>
              <w:t>$’000</w:t>
            </w:r>
          </w:p>
        </w:tc>
      </w:tr>
      <w:tr w:rsidR="000A4C6C" w:rsidRPr="00866299" w14:paraId="26E7B6DC" w14:textId="77777777" w:rsidTr="00B80457">
        <w:trPr>
          <w:cantSplit/>
        </w:trPr>
        <w:tc>
          <w:tcPr>
            <w:tcW w:w="3652" w:type="dxa"/>
            <w:tcBorders>
              <w:top w:val="single" w:sz="4" w:space="0" w:color="auto"/>
              <w:bottom w:val="single" w:sz="4" w:space="0" w:color="auto"/>
            </w:tcBorders>
          </w:tcPr>
          <w:p w14:paraId="19DA05C1" w14:textId="77777777" w:rsidR="000A4C6C" w:rsidRPr="00866299" w:rsidRDefault="000A4C6C" w:rsidP="000A4C6C">
            <w:pPr>
              <w:ind w:left="284" w:hanging="284"/>
              <w:contextualSpacing/>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tcPr>
          <w:p w14:paraId="5C1B8891"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150</w:t>
            </w:r>
          </w:p>
        </w:tc>
        <w:tc>
          <w:tcPr>
            <w:tcW w:w="1041" w:type="dxa"/>
            <w:tcBorders>
              <w:top w:val="single" w:sz="4" w:space="0" w:color="auto"/>
              <w:bottom w:val="single" w:sz="4" w:space="0" w:color="auto"/>
            </w:tcBorders>
          </w:tcPr>
          <w:p w14:paraId="2752F925"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150</w:t>
            </w:r>
          </w:p>
        </w:tc>
        <w:tc>
          <w:tcPr>
            <w:tcW w:w="1029" w:type="dxa"/>
            <w:tcBorders>
              <w:top w:val="single" w:sz="4" w:space="0" w:color="auto"/>
              <w:bottom w:val="single" w:sz="4" w:space="0" w:color="auto"/>
            </w:tcBorders>
          </w:tcPr>
          <w:p w14:paraId="352CCB72"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150</w:t>
            </w:r>
          </w:p>
        </w:tc>
        <w:tc>
          <w:tcPr>
            <w:tcW w:w="1029" w:type="dxa"/>
            <w:tcBorders>
              <w:top w:val="single" w:sz="4" w:space="0" w:color="auto"/>
              <w:bottom w:val="single" w:sz="4" w:space="0" w:color="auto"/>
            </w:tcBorders>
          </w:tcPr>
          <w:p w14:paraId="1285A770"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2C75310E" w14:textId="77777777" w:rsidR="000A4C6C" w:rsidRPr="00866299" w:rsidRDefault="000A4C6C" w:rsidP="000A4C6C">
            <w:pPr>
              <w:spacing w:before="200" w:after="200"/>
              <w:contextualSpacing/>
              <w:jc w:val="right"/>
              <w:rPr>
                <w:rFonts w:ascii="Calibri" w:hAnsi="Calibri"/>
                <w:b/>
                <w:sz w:val="22"/>
                <w:lang w:eastAsia="en-US"/>
              </w:rPr>
            </w:pPr>
            <w:r w:rsidRPr="00866299">
              <w:rPr>
                <w:rFonts w:ascii="Calibri" w:hAnsi="Calibri"/>
                <w:b/>
                <w:sz w:val="22"/>
                <w:lang w:eastAsia="en-US"/>
              </w:rPr>
              <w:t>450</w:t>
            </w:r>
          </w:p>
        </w:tc>
      </w:tr>
    </w:tbl>
    <w:p w14:paraId="225EE86C" w14:textId="6AA048AF" w:rsidR="000A4C6C" w:rsidRPr="006F2744" w:rsidRDefault="000A4C6C" w:rsidP="00B80457">
      <w:pPr>
        <w:pStyle w:val="snapInitbody"/>
      </w:pPr>
      <w:r w:rsidRPr="006F2744">
        <w:t xml:space="preserve">The Government will support community-led initiatives that improve social inclusion and equality in the ACT. Direct funding grants will be provided to </w:t>
      </w:r>
      <w:proofErr w:type="spellStart"/>
      <w:r w:rsidRPr="006F2744">
        <w:t>KultureBreak</w:t>
      </w:r>
      <w:proofErr w:type="spellEnd"/>
      <w:r w:rsidRPr="006F2744">
        <w:t xml:space="preserve">, </w:t>
      </w:r>
      <w:proofErr w:type="spellStart"/>
      <w:r w:rsidRPr="006F2744">
        <w:t>Northside</w:t>
      </w:r>
      <w:proofErr w:type="spellEnd"/>
      <w:r w:rsidRPr="006F2744">
        <w:t xml:space="preserve"> Veterans Support Centre and the National Eisteddfod to support their activities which strengthen social inclusion but currently do not fit portfolio-specific criteria for existing ACT Government grant schemes and programs.</w:t>
      </w:r>
      <w:r w:rsidR="000F30E1">
        <w:t xml:space="preserve"> </w:t>
      </w:r>
    </w:p>
    <w:p w14:paraId="2E072A30" w14:textId="77777777" w:rsidR="000A4C6C" w:rsidRPr="000F30E1" w:rsidRDefault="000A4C6C" w:rsidP="000F30E1">
      <w:pPr>
        <w:pStyle w:val="snapInittitles"/>
      </w:pPr>
      <w:r w:rsidRPr="000F30E1">
        <w:t xml:space="preserve">Supporting more permanent ACT government jobs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0A4C6C" w:rsidRPr="00866299" w14:paraId="369A93C7" w14:textId="77777777" w:rsidTr="00B80457">
        <w:trPr>
          <w:cantSplit/>
        </w:trPr>
        <w:tc>
          <w:tcPr>
            <w:tcW w:w="3652" w:type="dxa"/>
            <w:tcBorders>
              <w:top w:val="single" w:sz="4" w:space="0" w:color="auto"/>
              <w:bottom w:val="single" w:sz="4" w:space="0" w:color="auto"/>
            </w:tcBorders>
          </w:tcPr>
          <w:p w14:paraId="63EA3AB1" w14:textId="77777777" w:rsidR="000A4C6C" w:rsidRPr="00866299" w:rsidRDefault="000A4C6C" w:rsidP="000A4C6C">
            <w:pPr>
              <w:contextualSpacing/>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2BDA8E8A"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2019-20</w:t>
            </w:r>
          </w:p>
          <w:p w14:paraId="7A9B0FBB"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29B783B4"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2020-21</w:t>
            </w:r>
          </w:p>
          <w:p w14:paraId="00445328"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5836D2F0"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2021-22</w:t>
            </w:r>
          </w:p>
          <w:p w14:paraId="4A471DE0"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551F6B0"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2022-23</w:t>
            </w:r>
          </w:p>
          <w:p w14:paraId="54718F62"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3968D74" w14:textId="77777777" w:rsidR="000A4C6C" w:rsidRPr="00866299" w:rsidRDefault="000A4C6C" w:rsidP="000A4C6C">
            <w:pPr>
              <w:contextualSpacing/>
              <w:jc w:val="right"/>
              <w:rPr>
                <w:b/>
                <w:sz w:val="22"/>
              </w:rPr>
            </w:pPr>
            <w:r w:rsidRPr="00866299">
              <w:rPr>
                <w:b/>
                <w:sz w:val="22"/>
              </w:rPr>
              <w:t>Total</w:t>
            </w:r>
          </w:p>
          <w:p w14:paraId="61BD4F5D" w14:textId="77777777" w:rsidR="000A4C6C" w:rsidRPr="00866299" w:rsidRDefault="000A4C6C" w:rsidP="000A4C6C">
            <w:pPr>
              <w:spacing w:before="200" w:after="200"/>
              <w:contextualSpacing/>
              <w:jc w:val="right"/>
              <w:rPr>
                <w:rFonts w:ascii="Calibri" w:hAnsi="Calibri"/>
                <w:b/>
                <w:sz w:val="22"/>
                <w:lang w:eastAsia="en-US"/>
              </w:rPr>
            </w:pPr>
            <w:r w:rsidRPr="00866299">
              <w:rPr>
                <w:rFonts w:ascii="Calibri" w:hAnsi="Calibri"/>
                <w:b/>
                <w:sz w:val="22"/>
                <w:lang w:eastAsia="en-US"/>
              </w:rPr>
              <w:t>$’000</w:t>
            </w:r>
          </w:p>
        </w:tc>
      </w:tr>
      <w:tr w:rsidR="000A4C6C" w:rsidRPr="00866299" w14:paraId="0E49CFFA" w14:textId="77777777" w:rsidTr="00B80457">
        <w:trPr>
          <w:cantSplit/>
        </w:trPr>
        <w:tc>
          <w:tcPr>
            <w:tcW w:w="3652" w:type="dxa"/>
            <w:tcBorders>
              <w:top w:val="single" w:sz="4" w:space="0" w:color="auto"/>
              <w:bottom w:val="single" w:sz="4" w:space="0" w:color="auto"/>
            </w:tcBorders>
          </w:tcPr>
          <w:p w14:paraId="63240FD5" w14:textId="77777777" w:rsidR="000A4C6C" w:rsidRPr="00866299" w:rsidRDefault="000A4C6C" w:rsidP="000A4C6C">
            <w:pPr>
              <w:ind w:left="284" w:hanging="284"/>
              <w:contextualSpacing/>
              <w:rPr>
                <w:rFonts w:ascii="Calibri" w:hAnsi="Calibri"/>
                <w:b/>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tcPr>
          <w:p w14:paraId="798056B6"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471</w:t>
            </w:r>
          </w:p>
        </w:tc>
        <w:tc>
          <w:tcPr>
            <w:tcW w:w="1041" w:type="dxa"/>
            <w:tcBorders>
              <w:top w:val="single" w:sz="4" w:space="0" w:color="auto"/>
              <w:bottom w:val="single" w:sz="4" w:space="0" w:color="auto"/>
            </w:tcBorders>
          </w:tcPr>
          <w:p w14:paraId="4B8B7961"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40BC626B"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16187718"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439D8D7D" w14:textId="77777777" w:rsidR="000A4C6C" w:rsidRPr="00866299" w:rsidRDefault="000A4C6C" w:rsidP="000A4C6C">
            <w:pPr>
              <w:spacing w:before="200" w:after="200"/>
              <w:contextualSpacing/>
              <w:jc w:val="right"/>
              <w:rPr>
                <w:rFonts w:ascii="Calibri" w:hAnsi="Calibri"/>
                <w:b/>
                <w:sz w:val="22"/>
                <w:lang w:eastAsia="en-US"/>
              </w:rPr>
            </w:pPr>
            <w:r w:rsidRPr="00866299">
              <w:rPr>
                <w:rFonts w:ascii="Calibri" w:hAnsi="Calibri"/>
                <w:b/>
                <w:sz w:val="22"/>
                <w:lang w:eastAsia="en-US"/>
              </w:rPr>
              <w:t>471</w:t>
            </w:r>
          </w:p>
        </w:tc>
      </w:tr>
    </w:tbl>
    <w:p w14:paraId="40BC5BF3" w14:textId="77777777" w:rsidR="000A4C6C" w:rsidRPr="006F2744" w:rsidRDefault="000A4C6C" w:rsidP="00B80457">
      <w:pPr>
        <w:pStyle w:val="snapInitbody"/>
      </w:pPr>
      <w:r w:rsidRPr="006F2744">
        <w:t xml:space="preserve">The Government will lead by example in improving job security for ACT government employees by reviewing the use of casual and temporary employment across directorates. This review will aim to identify roles or work types currently being done by temporary staff which can be transitioned to secure, permanent roles over time. </w:t>
      </w:r>
    </w:p>
    <w:p w14:paraId="1520409D" w14:textId="77777777" w:rsidR="000A4C6C" w:rsidRPr="007A3A72" w:rsidRDefault="000A4C6C" w:rsidP="007A3A72">
      <w:pPr>
        <w:pStyle w:val="Heading3"/>
      </w:pPr>
      <w:r w:rsidRPr="007A3A72">
        <w:t>Infrastructure and Capital Initiatives</w:t>
      </w:r>
    </w:p>
    <w:p w14:paraId="115B7784" w14:textId="77777777" w:rsidR="000A4C6C" w:rsidRPr="000F30E1" w:rsidRDefault="000A4C6C" w:rsidP="000F30E1">
      <w:pPr>
        <w:pStyle w:val="snapInittitles"/>
      </w:pPr>
      <w:r w:rsidRPr="000F30E1">
        <w:t xml:space="preserve">Upgrading community childcare centres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0A4C6C" w:rsidRPr="00866299" w14:paraId="45CF9797" w14:textId="77777777" w:rsidTr="00B80457">
        <w:trPr>
          <w:cantSplit/>
        </w:trPr>
        <w:tc>
          <w:tcPr>
            <w:tcW w:w="3652" w:type="dxa"/>
            <w:tcBorders>
              <w:top w:val="single" w:sz="4" w:space="0" w:color="auto"/>
              <w:bottom w:val="single" w:sz="4" w:space="0" w:color="auto"/>
            </w:tcBorders>
          </w:tcPr>
          <w:p w14:paraId="7D04CA6E" w14:textId="77777777" w:rsidR="000A4C6C" w:rsidRPr="00866299" w:rsidRDefault="000A4C6C" w:rsidP="000A4C6C">
            <w:pPr>
              <w:contextualSpacing/>
              <w:jc w:val="right"/>
              <w:rPr>
                <w:rFonts w:ascii="Calibri" w:hAnsi="Calibri" w:cs="Calibri"/>
                <w:i/>
                <w:color w:val="FFFFFF"/>
                <w:sz w:val="22"/>
                <w:lang w:eastAsia="en-US"/>
              </w:rPr>
            </w:pPr>
            <w:r w:rsidRPr="00866299">
              <w:rPr>
                <w:rFonts w:ascii="Calibri" w:hAnsi="Calibri" w:cs="Calibri"/>
                <w:i/>
                <w:color w:val="FFFFFF"/>
                <w:sz w:val="22"/>
                <w:lang w:eastAsia="en-US"/>
              </w:rPr>
              <w:t>Empty Cell</w:t>
            </w:r>
          </w:p>
        </w:tc>
        <w:tc>
          <w:tcPr>
            <w:tcW w:w="1179" w:type="dxa"/>
            <w:tcBorders>
              <w:top w:val="single" w:sz="4" w:space="0" w:color="auto"/>
              <w:bottom w:val="single" w:sz="4" w:space="0" w:color="auto"/>
            </w:tcBorders>
          </w:tcPr>
          <w:p w14:paraId="3BD6E91A"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2019-20</w:t>
            </w:r>
          </w:p>
          <w:p w14:paraId="3EB97020"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6B0F41C1"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2020-21</w:t>
            </w:r>
          </w:p>
          <w:p w14:paraId="435A89EA"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0369B924"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2021-22</w:t>
            </w:r>
          </w:p>
          <w:p w14:paraId="09F05979"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4A51DB1"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2022-23</w:t>
            </w:r>
          </w:p>
          <w:p w14:paraId="2D710BFC"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4E57F9D" w14:textId="77777777" w:rsidR="000A4C6C" w:rsidRPr="00866299" w:rsidRDefault="000A4C6C" w:rsidP="000A4C6C">
            <w:pPr>
              <w:spacing w:before="200" w:after="200"/>
              <w:contextualSpacing/>
              <w:jc w:val="right"/>
              <w:rPr>
                <w:rFonts w:ascii="Calibri" w:hAnsi="Calibri"/>
                <w:b/>
                <w:sz w:val="22"/>
                <w:lang w:eastAsia="en-US"/>
              </w:rPr>
            </w:pPr>
            <w:r w:rsidRPr="00866299">
              <w:rPr>
                <w:rFonts w:ascii="Calibri" w:hAnsi="Calibri"/>
                <w:b/>
                <w:sz w:val="22"/>
                <w:lang w:eastAsia="en-US"/>
              </w:rPr>
              <w:t>Total</w:t>
            </w:r>
          </w:p>
          <w:p w14:paraId="535D854C" w14:textId="77777777" w:rsidR="000A4C6C" w:rsidRPr="00866299" w:rsidRDefault="000A4C6C" w:rsidP="000A4C6C">
            <w:pPr>
              <w:spacing w:before="200" w:after="200"/>
              <w:contextualSpacing/>
              <w:jc w:val="right"/>
              <w:rPr>
                <w:rFonts w:ascii="Calibri" w:hAnsi="Calibri"/>
                <w:b/>
                <w:sz w:val="22"/>
                <w:lang w:eastAsia="en-US"/>
              </w:rPr>
            </w:pPr>
            <w:r w:rsidRPr="00866299">
              <w:rPr>
                <w:rFonts w:ascii="Calibri" w:hAnsi="Calibri"/>
                <w:b/>
                <w:sz w:val="22"/>
                <w:lang w:eastAsia="en-US"/>
              </w:rPr>
              <w:t>$’000</w:t>
            </w:r>
          </w:p>
        </w:tc>
      </w:tr>
      <w:tr w:rsidR="000A4C6C" w:rsidRPr="00866299" w14:paraId="117D62F1" w14:textId="77777777" w:rsidTr="00B80457">
        <w:trPr>
          <w:cantSplit/>
        </w:trPr>
        <w:tc>
          <w:tcPr>
            <w:tcW w:w="3652" w:type="dxa"/>
            <w:tcBorders>
              <w:top w:val="single" w:sz="4" w:space="0" w:color="auto"/>
              <w:bottom w:val="single" w:sz="4" w:space="0" w:color="auto"/>
            </w:tcBorders>
          </w:tcPr>
          <w:p w14:paraId="47F753AC" w14:textId="77777777" w:rsidR="000A4C6C" w:rsidRPr="00866299" w:rsidRDefault="000A4C6C" w:rsidP="000A4C6C">
            <w:pPr>
              <w:ind w:left="284" w:hanging="284"/>
              <w:contextualSpacing/>
              <w:rPr>
                <w:rFonts w:ascii="Calibri" w:hAnsi="Calibri"/>
                <w:sz w:val="22"/>
                <w:lang w:eastAsia="en-US"/>
              </w:rPr>
            </w:pPr>
            <w:r w:rsidRPr="00866299">
              <w:rPr>
                <w:rFonts w:ascii="Calibri" w:hAnsi="Calibri"/>
                <w:sz w:val="22"/>
                <w:lang w:eastAsia="en-US"/>
              </w:rPr>
              <w:t>Capital</w:t>
            </w:r>
          </w:p>
        </w:tc>
        <w:tc>
          <w:tcPr>
            <w:tcW w:w="1179" w:type="dxa"/>
            <w:tcBorders>
              <w:top w:val="single" w:sz="4" w:space="0" w:color="auto"/>
              <w:bottom w:val="single" w:sz="4" w:space="0" w:color="auto"/>
            </w:tcBorders>
          </w:tcPr>
          <w:p w14:paraId="7651C2D3"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494</w:t>
            </w:r>
          </w:p>
        </w:tc>
        <w:tc>
          <w:tcPr>
            <w:tcW w:w="1041" w:type="dxa"/>
            <w:tcBorders>
              <w:top w:val="single" w:sz="4" w:space="0" w:color="auto"/>
              <w:bottom w:val="single" w:sz="4" w:space="0" w:color="auto"/>
            </w:tcBorders>
          </w:tcPr>
          <w:p w14:paraId="39AC1496"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199E82C1"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710AEBCB"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4B04C81A" w14:textId="77777777" w:rsidR="000A4C6C" w:rsidRPr="00866299" w:rsidRDefault="000A4C6C" w:rsidP="000A4C6C">
            <w:pPr>
              <w:spacing w:before="200" w:after="200"/>
              <w:contextualSpacing/>
              <w:jc w:val="right"/>
              <w:rPr>
                <w:rFonts w:ascii="Calibri" w:hAnsi="Calibri"/>
                <w:b/>
                <w:sz w:val="22"/>
                <w:lang w:eastAsia="en-US"/>
              </w:rPr>
            </w:pPr>
            <w:r w:rsidRPr="00866299">
              <w:rPr>
                <w:rFonts w:ascii="Calibri" w:hAnsi="Calibri"/>
                <w:b/>
                <w:sz w:val="22"/>
                <w:lang w:eastAsia="en-US"/>
              </w:rPr>
              <w:t>494</w:t>
            </w:r>
          </w:p>
        </w:tc>
      </w:tr>
    </w:tbl>
    <w:p w14:paraId="124974B2" w14:textId="77777777" w:rsidR="000A4C6C" w:rsidRPr="002E0243" w:rsidRDefault="000A4C6C" w:rsidP="002E5D27">
      <w:pPr>
        <w:pStyle w:val="snapInitbody"/>
      </w:pPr>
      <w:r w:rsidRPr="002E0243">
        <w:t xml:space="preserve">The Government will undertake building upgrades for various government-owned properties that are home to local </w:t>
      </w:r>
      <w:r w:rsidRPr="002E5D27">
        <w:t>childcare</w:t>
      </w:r>
      <w:r w:rsidRPr="002E0243">
        <w:t xml:space="preserve"> centres, including the Maitland Centre in Hackett, Spence Children’s Cottage and Mount Rogers Community Centre. This work will be delivered through the </w:t>
      </w:r>
      <w:r w:rsidRPr="002E0243">
        <w:rPr>
          <w:i/>
        </w:rPr>
        <w:t>Better Infrastructure Fund</w:t>
      </w:r>
      <w:r w:rsidRPr="002E0243">
        <w:t>.</w:t>
      </w:r>
    </w:p>
    <w:p w14:paraId="13A41C40" w14:textId="77777777" w:rsidR="00BF33C1" w:rsidRDefault="00BF33C1">
      <w:pPr>
        <w:rPr>
          <w:rFonts w:ascii="Calibri" w:hAnsi="Calibri"/>
          <w:b/>
          <w:bCs/>
          <w:sz w:val="26"/>
          <w:szCs w:val="26"/>
          <w:lang w:val="x-none" w:eastAsia="en-US"/>
        </w:rPr>
      </w:pPr>
      <w:r>
        <w:br w:type="page"/>
      </w:r>
    </w:p>
    <w:p w14:paraId="270E8C89" w14:textId="2CE2CB75" w:rsidR="000A4C6C" w:rsidRPr="000F30E1" w:rsidRDefault="000A4C6C" w:rsidP="000F30E1">
      <w:pPr>
        <w:pStyle w:val="snapInittitles"/>
      </w:pPr>
      <w:r w:rsidRPr="000F30E1">
        <w:t xml:space="preserve">Upgrading local arts facilities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0A4C6C" w:rsidRPr="00866299" w14:paraId="1D45988F" w14:textId="77777777" w:rsidTr="00B80457">
        <w:trPr>
          <w:cantSplit/>
        </w:trPr>
        <w:tc>
          <w:tcPr>
            <w:tcW w:w="3652" w:type="dxa"/>
            <w:tcBorders>
              <w:top w:val="single" w:sz="4" w:space="0" w:color="auto"/>
              <w:bottom w:val="single" w:sz="4" w:space="0" w:color="auto"/>
            </w:tcBorders>
          </w:tcPr>
          <w:p w14:paraId="74321C43" w14:textId="77777777" w:rsidR="000A4C6C" w:rsidRPr="00866299" w:rsidRDefault="000A4C6C" w:rsidP="000A4C6C">
            <w:pPr>
              <w:contextualSpacing/>
              <w:jc w:val="right"/>
              <w:rPr>
                <w:rFonts w:ascii="Calibri" w:hAnsi="Calibri" w:cs="Calibri"/>
                <w:i/>
                <w:color w:val="FFFFFF"/>
                <w:sz w:val="22"/>
                <w:highlight w:val="yellow"/>
                <w:lang w:eastAsia="en-US"/>
              </w:rPr>
            </w:pPr>
            <w:r w:rsidRPr="00866299">
              <w:rPr>
                <w:rFonts w:ascii="Calibri" w:hAnsi="Calibri" w:cs="Calibri"/>
                <w:i/>
                <w:color w:val="FFFFFF"/>
                <w:sz w:val="22"/>
                <w:lang w:eastAsia="en-US"/>
              </w:rPr>
              <w:t>Empty Cell</w:t>
            </w:r>
          </w:p>
        </w:tc>
        <w:tc>
          <w:tcPr>
            <w:tcW w:w="1179" w:type="dxa"/>
            <w:tcBorders>
              <w:top w:val="single" w:sz="4" w:space="0" w:color="auto"/>
              <w:bottom w:val="single" w:sz="4" w:space="0" w:color="auto"/>
            </w:tcBorders>
          </w:tcPr>
          <w:p w14:paraId="417334E5"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2019-20</w:t>
            </w:r>
          </w:p>
          <w:p w14:paraId="7BC10716"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3739C54A"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2020-21</w:t>
            </w:r>
          </w:p>
          <w:p w14:paraId="3E5269BF"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AAF9143"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2021-22</w:t>
            </w:r>
          </w:p>
          <w:p w14:paraId="3C649F1E"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B390B66"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2022-23</w:t>
            </w:r>
          </w:p>
          <w:p w14:paraId="56774F86"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3A32B11B" w14:textId="77777777" w:rsidR="000A4C6C" w:rsidRPr="00866299" w:rsidRDefault="000A4C6C" w:rsidP="000A4C6C">
            <w:pPr>
              <w:spacing w:before="200" w:after="200"/>
              <w:contextualSpacing/>
              <w:jc w:val="right"/>
              <w:rPr>
                <w:rFonts w:ascii="Calibri" w:hAnsi="Calibri"/>
                <w:b/>
                <w:sz w:val="22"/>
                <w:lang w:eastAsia="en-US"/>
              </w:rPr>
            </w:pPr>
            <w:r w:rsidRPr="00866299">
              <w:rPr>
                <w:rFonts w:ascii="Calibri" w:hAnsi="Calibri"/>
                <w:b/>
                <w:sz w:val="22"/>
                <w:lang w:eastAsia="en-US"/>
              </w:rPr>
              <w:t>Total</w:t>
            </w:r>
          </w:p>
          <w:p w14:paraId="45C12217" w14:textId="77777777" w:rsidR="000A4C6C" w:rsidRPr="00866299" w:rsidRDefault="000A4C6C" w:rsidP="000A4C6C">
            <w:pPr>
              <w:spacing w:before="200" w:after="200"/>
              <w:contextualSpacing/>
              <w:jc w:val="right"/>
              <w:rPr>
                <w:rFonts w:ascii="Calibri" w:hAnsi="Calibri"/>
                <w:b/>
                <w:sz w:val="22"/>
                <w:lang w:eastAsia="en-US"/>
              </w:rPr>
            </w:pPr>
            <w:r w:rsidRPr="00866299">
              <w:rPr>
                <w:rFonts w:ascii="Calibri" w:hAnsi="Calibri"/>
                <w:b/>
                <w:sz w:val="22"/>
                <w:lang w:eastAsia="en-US"/>
              </w:rPr>
              <w:t>$’000</w:t>
            </w:r>
          </w:p>
        </w:tc>
      </w:tr>
      <w:tr w:rsidR="000A4C6C" w:rsidRPr="00866299" w14:paraId="7CCB4D80" w14:textId="77777777" w:rsidTr="00B80457">
        <w:trPr>
          <w:cantSplit/>
        </w:trPr>
        <w:tc>
          <w:tcPr>
            <w:tcW w:w="3652" w:type="dxa"/>
            <w:tcBorders>
              <w:top w:val="single" w:sz="4" w:space="0" w:color="auto"/>
              <w:bottom w:val="single" w:sz="4" w:space="0" w:color="auto"/>
            </w:tcBorders>
          </w:tcPr>
          <w:p w14:paraId="11FA7560" w14:textId="77777777" w:rsidR="000A4C6C" w:rsidRPr="00866299" w:rsidRDefault="000A4C6C" w:rsidP="000A4C6C">
            <w:pPr>
              <w:ind w:left="284" w:hanging="284"/>
              <w:contextualSpacing/>
              <w:rPr>
                <w:rFonts w:ascii="Calibri" w:hAnsi="Calibri"/>
                <w:sz w:val="22"/>
                <w:lang w:eastAsia="en-US"/>
              </w:rPr>
            </w:pPr>
            <w:r w:rsidRPr="00866299">
              <w:rPr>
                <w:rFonts w:ascii="Calibri" w:hAnsi="Calibri"/>
                <w:sz w:val="22"/>
                <w:lang w:eastAsia="en-US"/>
              </w:rPr>
              <w:t>Capital</w:t>
            </w:r>
          </w:p>
        </w:tc>
        <w:tc>
          <w:tcPr>
            <w:tcW w:w="1179" w:type="dxa"/>
            <w:tcBorders>
              <w:top w:val="single" w:sz="4" w:space="0" w:color="auto"/>
              <w:bottom w:val="single" w:sz="4" w:space="0" w:color="auto"/>
            </w:tcBorders>
          </w:tcPr>
          <w:p w14:paraId="5075AC08"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650</w:t>
            </w:r>
          </w:p>
        </w:tc>
        <w:tc>
          <w:tcPr>
            <w:tcW w:w="1041" w:type="dxa"/>
            <w:tcBorders>
              <w:top w:val="single" w:sz="4" w:space="0" w:color="auto"/>
              <w:bottom w:val="single" w:sz="4" w:space="0" w:color="auto"/>
            </w:tcBorders>
          </w:tcPr>
          <w:p w14:paraId="4D5585AC"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650</w:t>
            </w:r>
          </w:p>
        </w:tc>
        <w:tc>
          <w:tcPr>
            <w:tcW w:w="1029" w:type="dxa"/>
            <w:tcBorders>
              <w:top w:val="single" w:sz="4" w:space="0" w:color="auto"/>
              <w:bottom w:val="single" w:sz="4" w:space="0" w:color="auto"/>
            </w:tcBorders>
          </w:tcPr>
          <w:p w14:paraId="64F5FE5C"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375</w:t>
            </w:r>
          </w:p>
        </w:tc>
        <w:tc>
          <w:tcPr>
            <w:tcW w:w="1029" w:type="dxa"/>
            <w:tcBorders>
              <w:top w:val="single" w:sz="4" w:space="0" w:color="auto"/>
              <w:bottom w:val="single" w:sz="4" w:space="0" w:color="auto"/>
            </w:tcBorders>
          </w:tcPr>
          <w:p w14:paraId="4C2BF852"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4DE24704" w14:textId="77777777" w:rsidR="000A4C6C" w:rsidRPr="00866299" w:rsidRDefault="000A4C6C" w:rsidP="000A4C6C">
            <w:pPr>
              <w:spacing w:before="200" w:after="200"/>
              <w:contextualSpacing/>
              <w:jc w:val="right"/>
              <w:rPr>
                <w:rFonts w:ascii="Calibri" w:hAnsi="Calibri"/>
                <w:b/>
                <w:sz w:val="22"/>
                <w:lang w:eastAsia="en-US"/>
              </w:rPr>
            </w:pPr>
            <w:r w:rsidRPr="00866299">
              <w:rPr>
                <w:rFonts w:ascii="Calibri" w:hAnsi="Calibri"/>
                <w:b/>
                <w:sz w:val="22"/>
                <w:lang w:eastAsia="en-US"/>
              </w:rPr>
              <w:t>1,675</w:t>
            </w:r>
          </w:p>
        </w:tc>
      </w:tr>
      <w:tr w:rsidR="000A4C6C" w:rsidRPr="00866299" w14:paraId="452F90AC" w14:textId="77777777" w:rsidTr="00B80457">
        <w:trPr>
          <w:cantSplit/>
        </w:trPr>
        <w:tc>
          <w:tcPr>
            <w:tcW w:w="3652" w:type="dxa"/>
            <w:tcBorders>
              <w:top w:val="single" w:sz="4" w:space="0" w:color="auto"/>
              <w:bottom w:val="single" w:sz="4" w:space="0" w:color="auto"/>
            </w:tcBorders>
          </w:tcPr>
          <w:p w14:paraId="1E691AAB" w14:textId="77777777" w:rsidR="000A4C6C" w:rsidRPr="00866299" w:rsidRDefault="000A4C6C" w:rsidP="000A4C6C">
            <w:pPr>
              <w:ind w:left="284" w:hanging="284"/>
              <w:contextualSpacing/>
              <w:rPr>
                <w:rFonts w:ascii="Calibri" w:hAnsi="Calibri"/>
                <w:sz w:val="22"/>
                <w:lang w:eastAsia="en-US"/>
              </w:rPr>
            </w:pPr>
            <w:r w:rsidRPr="00866299">
              <w:rPr>
                <w:rFonts w:ascii="Calibri" w:hAnsi="Calibri"/>
                <w:sz w:val="22"/>
                <w:lang w:eastAsia="en-US"/>
              </w:rPr>
              <w:t>Depreciation</w:t>
            </w:r>
          </w:p>
        </w:tc>
        <w:tc>
          <w:tcPr>
            <w:tcW w:w="1179" w:type="dxa"/>
            <w:tcBorders>
              <w:top w:val="single" w:sz="4" w:space="0" w:color="auto"/>
              <w:bottom w:val="single" w:sz="4" w:space="0" w:color="auto"/>
            </w:tcBorders>
          </w:tcPr>
          <w:p w14:paraId="4130CCA4"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w:t>
            </w:r>
          </w:p>
        </w:tc>
        <w:tc>
          <w:tcPr>
            <w:tcW w:w="1041" w:type="dxa"/>
            <w:tcBorders>
              <w:top w:val="single" w:sz="4" w:space="0" w:color="auto"/>
              <w:bottom w:val="single" w:sz="4" w:space="0" w:color="auto"/>
            </w:tcBorders>
          </w:tcPr>
          <w:p w14:paraId="0827841A"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16</w:t>
            </w:r>
          </w:p>
        </w:tc>
        <w:tc>
          <w:tcPr>
            <w:tcW w:w="1029" w:type="dxa"/>
            <w:tcBorders>
              <w:top w:val="single" w:sz="4" w:space="0" w:color="auto"/>
              <w:bottom w:val="single" w:sz="4" w:space="0" w:color="auto"/>
            </w:tcBorders>
          </w:tcPr>
          <w:p w14:paraId="6F0388B9"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30</w:t>
            </w:r>
          </w:p>
        </w:tc>
        <w:tc>
          <w:tcPr>
            <w:tcW w:w="1029" w:type="dxa"/>
            <w:tcBorders>
              <w:top w:val="single" w:sz="4" w:space="0" w:color="auto"/>
              <w:bottom w:val="single" w:sz="4" w:space="0" w:color="auto"/>
            </w:tcBorders>
          </w:tcPr>
          <w:p w14:paraId="75A112A5"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40</w:t>
            </w:r>
          </w:p>
        </w:tc>
        <w:tc>
          <w:tcPr>
            <w:tcW w:w="1029" w:type="dxa"/>
            <w:tcBorders>
              <w:top w:val="single" w:sz="4" w:space="0" w:color="auto"/>
              <w:bottom w:val="single" w:sz="4" w:space="0" w:color="auto"/>
            </w:tcBorders>
          </w:tcPr>
          <w:p w14:paraId="3F554472" w14:textId="77777777" w:rsidR="000A4C6C" w:rsidRPr="00866299" w:rsidRDefault="000A4C6C" w:rsidP="000A4C6C">
            <w:pPr>
              <w:spacing w:before="200" w:after="200"/>
              <w:contextualSpacing/>
              <w:jc w:val="right"/>
              <w:rPr>
                <w:rFonts w:ascii="Calibri" w:hAnsi="Calibri"/>
                <w:b/>
                <w:sz w:val="22"/>
                <w:lang w:eastAsia="en-US"/>
              </w:rPr>
            </w:pPr>
            <w:r w:rsidRPr="00866299">
              <w:rPr>
                <w:rFonts w:ascii="Calibri" w:hAnsi="Calibri"/>
                <w:b/>
                <w:sz w:val="22"/>
                <w:lang w:eastAsia="en-US"/>
              </w:rPr>
              <w:t>86</w:t>
            </w:r>
          </w:p>
        </w:tc>
      </w:tr>
    </w:tbl>
    <w:p w14:paraId="4CCDE65C" w14:textId="2FC9CCE7" w:rsidR="000A4C6C" w:rsidRPr="002E0243" w:rsidRDefault="000A4C6C" w:rsidP="00B80457">
      <w:pPr>
        <w:pStyle w:val="snapInitbody"/>
      </w:pPr>
      <w:r w:rsidRPr="002E0243">
        <w:t xml:space="preserve">The Government will deliver upgrades and prepare designs for further capital works at the Ainslie + Gorman Arts Centres and the </w:t>
      </w:r>
      <w:proofErr w:type="spellStart"/>
      <w:r w:rsidRPr="002E0243">
        <w:t>Strathnairn</w:t>
      </w:r>
      <w:proofErr w:type="spellEnd"/>
      <w:r w:rsidRPr="002E0243">
        <w:t xml:space="preserve"> Arts Centre. The works at Ainslie + Gorman will help prepare the facility for celebrating its 50</w:t>
      </w:r>
      <w:r w:rsidRPr="002E0243">
        <w:rPr>
          <w:vertAlign w:val="superscript"/>
        </w:rPr>
        <w:t>th</w:t>
      </w:r>
      <w:r w:rsidRPr="002E0243">
        <w:t xml:space="preserve"> anniversary as one of Canberra’s central arts hubs.</w:t>
      </w:r>
      <w:r w:rsidR="000F30E1">
        <w:t xml:space="preserve"> </w:t>
      </w:r>
    </w:p>
    <w:p w14:paraId="120B2307" w14:textId="77777777" w:rsidR="000A4C6C" w:rsidRPr="000F30E1" w:rsidRDefault="000A4C6C" w:rsidP="000F30E1">
      <w:pPr>
        <w:pStyle w:val="snapInittitles"/>
      </w:pPr>
      <w:r w:rsidRPr="000F30E1">
        <w:t xml:space="preserve">Upgrading local community centres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0A4C6C" w:rsidRPr="00866299" w14:paraId="7E96A36F" w14:textId="77777777" w:rsidTr="00B80457">
        <w:trPr>
          <w:cantSplit/>
        </w:trPr>
        <w:tc>
          <w:tcPr>
            <w:tcW w:w="3652" w:type="dxa"/>
            <w:tcBorders>
              <w:top w:val="single" w:sz="4" w:space="0" w:color="auto"/>
              <w:bottom w:val="single" w:sz="4" w:space="0" w:color="auto"/>
            </w:tcBorders>
          </w:tcPr>
          <w:p w14:paraId="504B8195" w14:textId="77777777" w:rsidR="000A4C6C" w:rsidRPr="00866299" w:rsidRDefault="000A4C6C" w:rsidP="000A4C6C">
            <w:pPr>
              <w:contextualSpacing/>
              <w:jc w:val="right"/>
              <w:rPr>
                <w:rFonts w:ascii="Calibri" w:hAnsi="Calibri" w:cs="Calibri"/>
                <w:i/>
                <w:color w:val="FFFFFF"/>
                <w:sz w:val="22"/>
                <w:lang w:eastAsia="en-US"/>
              </w:rPr>
            </w:pPr>
            <w:r w:rsidRPr="00866299">
              <w:rPr>
                <w:rFonts w:ascii="Calibri" w:hAnsi="Calibri" w:cs="Calibri"/>
                <w:i/>
                <w:color w:val="FFFFFF"/>
                <w:sz w:val="22"/>
                <w:lang w:eastAsia="en-US"/>
              </w:rPr>
              <w:t>Empty Cell</w:t>
            </w:r>
          </w:p>
        </w:tc>
        <w:tc>
          <w:tcPr>
            <w:tcW w:w="1179" w:type="dxa"/>
            <w:tcBorders>
              <w:top w:val="single" w:sz="4" w:space="0" w:color="auto"/>
              <w:bottom w:val="single" w:sz="4" w:space="0" w:color="auto"/>
            </w:tcBorders>
          </w:tcPr>
          <w:p w14:paraId="7BB71A40"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2019-20</w:t>
            </w:r>
          </w:p>
          <w:p w14:paraId="3A770362"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02C9A371"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2020-21</w:t>
            </w:r>
          </w:p>
          <w:p w14:paraId="0C8FDB8E"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05E67E3B"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2021-22</w:t>
            </w:r>
          </w:p>
          <w:p w14:paraId="768544E9"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1B18506"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2022-23</w:t>
            </w:r>
          </w:p>
          <w:p w14:paraId="42491D28"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09F0699E" w14:textId="77777777" w:rsidR="000A4C6C" w:rsidRPr="00866299" w:rsidRDefault="000A4C6C" w:rsidP="000A4C6C">
            <w:pPr>
              <w:spacing w:before="200" w:after="200"/>
              <w:contextualSpacing/>
              <w:jc w:val="right"/>
              <w:rPr>
                <w:rFonts w:ascii="Calibri" w:hAnsi="Calibri"/>
                <w:b/>
                <w:sz w:val="22"/>
                <w:lang w:eastAsia="en-US"/>
              </w:rPr>
            </w:pPr>
            <w:r w:rsidRPr="00866299">
              <w:rPr>
                <w:rFonts w:ascii="Calibri" w:hAnsi="Calibri"/>
                <w:b/>
                <w:sz w:val="22"/>
                <w:lang w:eastAsia="en-US"/>
              </w:rPr>
              <w:t>Total</w:t>
            </w:r>
          </w:p>
          <w:p w14:paraId="67107CF5" w14:textId="77777777" w:rsidR="000A4C6C" w:rsidRPr="00866299" w:rsidRDefault="000A4C6C" w:rsidP="000A4C6C">
            <w:pPr>
              <w:spacing w:before="200" w:after="200"/>
              <w:contextualSpacing/>
              <w:jc w:val="right"/>
              <w:rPr>
                <w:rFonts w:ascii="Calibri" w:hAnsi="Calibri"/>
                <w:b/>
                <w:sz w:val="22"/>
                <w:lang w:eastAsia="en-US"/>
              </w:rPr>
            </w:pPr>
            <w:r w:rsidRPr="00866299">
              <w:rPr>
                <w:rFonts w:ascii="Calibri" w:hAnsi="Calibri"/>
                <w:b/>
                <w:sz w:val="22"/>
                <w:lang w:eastAsia="en-US"/>
              </w:rPr>
              <w:t>$’000</w:t>
            </w:r>
          </w:p>
        </w:tc>
      </w:tr>
      <w:tr w:rsidR="000A4C6C" w:rsidRPr="00866299" w14:paraId="22F4F9EA" w14:textId="77777777" w:rsidTr="00B80457">
        <w:trPr>
          <w:cantSplit/>
        </w:trPr>
        <w:tc>
          <w:tcPr>
            <w:tcW w:w="3652" w:type="dxa"/>
            <w:tcBorders>
              <w:top w:val="single" w:sz="4" w:space="0" w:color="auto"/>
              <w:bottom w:val="single" w:sz="4" w:space="0" w:color="auto"/>
            </w:tcBorders>
          </w:tcPr>
          <w:p w14:paraId="7408D0C2" w14:textId="77777777" w:rsidR="000A4C6C" w:rsidRPr="00866299" w:rsidRDefault="000A4C6C" w:rsidP="000A4C6C">
            <w:pPr>
              <w:ind w:left="284" w:hanging="284"/>
              <w:contextualSpacing/>
              <w:rPr>
                <w:rFonts w:ascii="Calibri" w:hAnsi="Calibri"/>
                <w:sz w:val="22"/>
                <w:lang w:eastAsia="en-US"/>
              </w:rPr>
            </w:pPr>
            <w:r w:rsidRPr="00866299">
              <w:rPr>
                <w:rFonts w:ascii="Calibri" w:hAnsi="Calibri"/>
                <w:sz w:val="22"/>
                <w:lang w:eastAsia="en-US"/>
              </w:rPr>
              <w:t>Capital</w:t>
            </w:r>
          </w:p>
        </w:tc>
        <w:tc>
          <w:tcPr>
            <w:tcW w:w="1179" w:type="dxa"/>
            <w:tcBorders>
              <w:top w:val="single" w:sz="4" w:space="0" w:color="auto"/>
              <w:bottom w:val="single" w:sz="4" w:space="0" w:color="auto"/>
            </w:tcBorders>
          </w:tcPr>
          <w:p w14:paraId="113D9100"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250</w:t>
            </w:r>
          </w:p>
        </w:tc>
        <w:tc>
          <w:tcPr>
            <w:tcW w:w="1041" w:type="dxa"/>
            <w:tcBorders>
              <w:top w:val="single" w:sz="4" w:space="0" w:color="auto"/>
              <w:bottom w:val="single" w:sz="4" w:space="0" w:color="auto"/>
            </w:tcBorders>
          </w:tcPr>
          <w:p w14:paraId="01F05D7C"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250</w:t>
            </w:r>
          </w:p>
        </w:tc>
        <w:tc>
          <w:tcPr>
            <w:tcW w:w="1029" w:type="dxa"/>
            <w:tcBorders>
              <w:top w:val="single" w:sz="4" w:space="0" w:color="auto"/>
              <w:bottom w:val="single" w:sz="4" w:space="0" w:color="auto"/>
            </w:tcBorders>
          </w:tcPr>
          <w:p w14:paraId="7D3EFF29"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250</w:t>
            </w:r>
          </w:p>
        </w:tc>
        <w:tc>
          <w:tcPr>
            <w:tcW w:w="1029" w:type="dxa"/>
            <w:tcBorders>
              <w:top w:val="single" w:sz="4" w:space="0" w:color="auto"/>
              <w:bottom w:val="single" w:sz="4" w:space="0" w:color="auto"/>
            </w:tcBorders>
          </w:tcPr>
          <w:p w14:paraId="74CFD309"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250</w:t>
            </w:r>
          </w:p>
        </w:tc>
        <w:tc>
          <w:tcPr>
            <w:tcW w:w="1029" w:type="dxa"/>
            <w:tcBorders>
              <w:top w:val="single" w:sz="4" w:space="0" w:color="auto"/>
              <w:bottom w:val="single" w:sz="4" w:space="0" w:color="auto"/>
            </w:tcBorders>
          </w:tcPr>
          <w:p w14:paraId="63DFFCE0" w14:textId="77777777" w:rsidR="000A4C6C" w:rsidRPr="00866299" w:rsidRDefault="000A4C6C" w:rsidP="000A4C6C">
            <w:pPr>
              <w:spacing w:before="200" w:after="200"/>
              <w:contextualSpacing/>
              <w:jc w:val="right"/>
              <w:rPr>
                <w:rFonts w:ascii="Calibri" w:hAnsi="Calibri"/>
                <w:b/>
                <w:sz w:val="22"/>
                <w:lang w:eastAsia="en-US"/>
              </w:rPr>
            </w:pPr>
            <w:r w:rsidRPr="00866299">
              <w:rPr>
                <w:rFonts w:ascii="Calibri" w:hAnsi="Calibri"/>
                <w:b/>
                <w:sz w:val="22"/>
                <w:lang w:eastAsia="en-US"/>
              </w:rPr>
              <w:t>1,000</w:t>
            </w:r>
          </w:p>
        </w:tc>
      </w:tr>
      <w:tr w:rsidR="000A4C6C" w:rsidRPr="00866299" w14:paraId="4906BF26" w14:textId="77777777" w:rsidTr="00B80457">
        <w:trPr>
          <w:cantSplit/>
        </w:trPr>
        <w:tc>
          <w:tcPr>
            <w:tcW w:w="3652" w:type="dxa"/>
            <w:tcBorders>
              <w:top w:val="single" w:sz="4" w:space="0" w:color="auto"/>
              <w:bottom w:val="single" w:sz="4" w:space="0" w:color="auto"/>
            </w:tcBorders>
          </w:tcPr>
          <w:p w14:paraId="2B244600" w14:textId="77777777" w:rsidR="000A4C6C" w:rsidRPr="00866299" w:rsidRDefault="000A4C6C" w:rsidP="000A4C6C">
            <w:pPr>
              <w:ind w:left="284" w:hanging="284"/>
              <w:contextualSpacing/>
              <w:rPr>
                <w:rFonts w:ascii="Calibri" w:hAnsi="Calibri"/>
                <w:sz w:val="22"/>
                <w:lang w:eastAsia="en-US"/>
              </w:rPr>
            </w:pPr>
            <w:r w:rsidRPr="00866299">
              <w:rPr>
                <w:rFonts w:ascii="Calibri" w:hAnsi="Calibri"/>
                <w:sz w:val="22"/>
                <w:lang w:eastAsia="en-US"/>
              </w:rPr>
              <w:t>Depreciation</w:t>
            </w:r>
          </w:p>
        </w:tc>
        <w:tc>
          <w:tcPr>
            <w:tcW w:w="1179" w:type="dxa"/>
            <w:tcBorders>
              <w:top w:val="single" w:sz="4" w:space="0" w:color="auto"/>
              <w:bottom w:val="single" w:sz="4" w:space="0" w:color="auto"/>
            </w:tcBorders>
          </w:tcPr>
          <w:p w14:paraId="299E261F"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w:t>
            </w:r>
          </w:p>
        </w:tc>
        <w:tc>
          <w:tcPr>
            <w:tcW w:w="1041" w:type="dxa"/>
            <w:tcBorders>
              <w:top w:val="single" w:sz="4" w:space="0" w:color="auto"/>
              <w:bottom w:val="single" w:sz="4" w:space="0" w:color="auto"/>
            </w:tcBorders>
          </w:tcPr>
          <w:p w14:paraId="33294EFA"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6</w:t>
            </w:r>
          </w:p>
        </w:tc>
        <w:tc>
          <w:tcPr>
            <w:tcW w:w="1029" w:type="dxa"/>
            <w:tcBorders>
              <w:top w:val="single" w:sz="4" w:space="0" w:color="auto"/>
              <w:bottom w:val="single" w:sz="4" w:space="0" w:color="auto"/>
            </w:tcBorders>
          </w:tcPr>
          <w:p w14:paraId="52C78CE2"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12</w:t>
            </w:r>
          </w:p>
        </w:tc>
        <w:tc>
          <w:tcPr>
            <w:tcW w:w="1029" w:type="dxa"/>
            <w:tcBorders>
              <w:top w:val="single" w:sz="4" w:space="0" w:color="auto"/>
              <w:bottom w:val="single" w:sz="4" w:space="0" w:color="auto"/>
            </w:tcBorders>
          </w:tcPr>
          <w:p w14:paraId="4C749F8E"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18</w:t>
            </w:r>
          </w:p>
        </w:tc>
        <w:tc>
          <w:tcPr>
            <w:tcW w:w="1029" w:type="dxa"/>
            <w:tcBorders>
              <w:top w:val="single" w:sz="4" w:space="0" w:color="auto"/>
              <w:bottom w:val="single" w:sz="4" w:space="0" w:color="auto"/>
            </w:tcBorders>
          </w:tcPr>
          <w:p w14:paraId="3119E22E" w14:textId="77777777" w:rsidR="000A4C6C" w:rsidRPr="00866299" w:rsidRDefault="000A4C6C" w:rsidP="000A4C6C">
            <w:pPr>
              <w:spacing w:before="200" w:after="200"/>
              <w:contextualSpacing/>
              <w:jc w:val="right"/>
              <w:rPr>
                <w:rFonts w:ascii="Calibri" w:hAnsi="Calibri"/>
                <w:b/>
                <w:sz w:val="22"/>
                <w:lang w:eastAsia="en-US"/>
              </w:rPr>
            </w:pPr>
            <w:r w:rsidRPr="00866299">
              <w:rPr>
                <w:rFonts w:ascii="Calibri" w:hAnsi="Calibri"/>
                <w:b/>
                <w:sz w:val="22"/>
                <w:lang w:eastAsia="en-US"/>
              </w:rPr>
              <w:t>36</w:t>
            </w:r>
          </w:p>
        </w:tc>
      </w:tr>
    </w:tbl>
    <w:p w14:paraId="22DFF6BD" w14:textId="77777777" w:rsidR="000A4C6C" w:rsidRPr="002E0243" w:rsidRDefault="000A4C6C" w:rsidP="00E45476">
      <w:pPr>
        <w:pStyle w:val="snapInitbody"/>
      </w:pPr>
      <w:r w:rsidRPr="002E0243">
        <w:t>The Government will upgrade community buildings across the ACT, including the Mount Rogers Community Centre, the Belconnen Community Centre and the Tuggeranong Community Centre. These upgrades will ensure our community centres continue to be accessible and comfortable for the community groups that use them.</w:t>
      </w:r>
    </w:p>
    <w:p w14:paraId="050973A6" w14:textId="77777777" w:rsidR="000A4C6C" w:rsidRPr="007A3A72" w:rsidRDefault="000A4C6C" w:rsidP="007A3A72">
      <w:pPr>
        <w:pStyle w:val="Heading3"/>
      </w:pPr>
      <w:r w:rsidRPr="007A3A72">
        <w:t>Revenue Initiatives</w:t>
      </w:r>
    </w:p>
    <w:p w14:paraId="56A6699D" w14:textId="77777777" w:rsidR="000A4C6C" w:rsidRPr="000F30E1" w:rsidRDefault="000A4C6C" w:rsidP="000F30E1">
      <w:pPr>
        <w:pStyle w:val="snapInittitles"/>
      </w:pPr>
      <w:r w:rsidRPr="000F30E1">
        <w:t xml:space="preserve">Improving the Lease Variation Charge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0A4C6C" w:rsidRPr="00866299" w14:paraId="1DBD5807" w14:textId="77777777" w:rsidTr="00E45476">
        <w:trPr>
          <w:cantSplit/>
        </w:trPr>
        <w:tc>
          <w:tcPr>
            <w:tcW w:w="3698" w:type="dxa"/>
            <w:tcBorders>
              <w:top w:val="single" w:sz="4" w:space="0" w:color="auto"/>
              <w:bottom w:val="single" w:sz="4" w:space="0" w:color="auto"/>
            </w:tcBorders>
          </w:tcPr>
          <w:p w14:paraId="492EA2B9" w14:textId="7BC6562E" w:rsidR="000A4C6C" w:rsidRPr="00866299" w:rsidRDefault="000A4C6C" w:rsidP="000A4C6C">
            <w:pPr>
              <w:pStyle w:val="EmptyCell"/>
              <w:contextualSpacing/>
              <w:rPr>
                <w:i/>
                <w:sz w:val="22"/>
                <w:szCs w:val="22"/>
                <w:highlight w:val="yellow"/>
              </w:rPr>
            </w:pPr>
          </w:p>
        </w:tc>
        <w:tc>
          <w:tcPr>
            <w:tcW w:w="1194" w:type="dxa"/>
            <w:tcBorders>
              <w:top w:val="single" w:sz="4" w:space="0" w:color="auto"/>
              <w:bottom w:val="single" w:sz="4" w:space="0" w:color="auto"/>
            </w:tcBorders>
          </w:tcPr>
          <w:p w14:paraId="1D256242" w14:textId="77777777" w:rsidR="000A4C6C" w:rsidRPr="00866299" w:rsidRDefault="000A4C6C" w:rsidP="000A4C6C">
            <w:pPr>
              <w:pStyle w:val="InitFigR"/>
              <w:contextualSpacing/>
              <w:rPr>
                <w:sz w:val="22"/>
                <w:szCs w:val="22"/>
              </w:rPr>
            </w:pPr>
            <w:r w:rsidRPr="00866299">
              <w:rPr>
                <w:sz w:val="22"/>
                <w:szCs w:val="22"/>
              </w:rPr>
              <w:t>2019-20</w:t>
            </w:r>
          </w:p>
          <w:p w14:paraId="3E3749A8" w14:textId="77777777" w:rsidR="000A4C6C" w:rsidRPr="00866299" w:rsidRDefault="000A4C6C" w:rsidP="000A4C6C">
            <w:pPr>
              <w:pStyle w:val="InitFigR"/>
              <w:contextualSpacing/>
              <w:rPr>
                <w:sz w:val="22"/>
                <w:szCs w:val="22"/>
              </w:rPr>
            </w:pPr>
            <w:r w:rsidRPr="00866299">
              <w:rPr>
                <w:sz w:val="22"/>
                <w:szCs w:val="22"/>
              </w:rPr>
              <w:t>$’000</w:t>
            </w:r>
          </w:p>
        </w:tc>
        <w:tc>
          <w:tcPr>
            <w:tcW w:w="1054" w:type="dxa"/>
            <w:tcBorders>
              <w:top w:val="single" w:sz="4" w:space="0" w:color="auto"/>
              <w:bottom w:val="single" w:sz="4" w:space="0" w:color="auto"/>
            </w:tcBorders>
          </w:tcPr>
          <w:p w14:paraId="6A11770A" w14:textId="77777777" w:rsidR="000A4C6C" w:rsidRPr="00866299" w:rsidRDefault="000A4C6C" w:rsidP="000A4C6C">
            <w:pPr>
              <w:pStyle w:val="InitFigR"/>
              <w:contextualSpacing/>
              <w:rPr>
                <w:sz w:val="22"/>
                <w:szCs w:val="22"/>
              </w:rPr>
            </w:pPr>
            <w:r w:rsidRPr="00866299">
              <w:rPr>
                <w:sz w:val="22"/>
                <w:szCs w:val="22"/>
              </w:rPr>
              <w:t>2020-21</w:t>
            </w:r>
          </w:p>
          <w:p w14:paraId="3B109FA3" w14:textId="77777777" w:rsidR="000A4C6C" w:rsidRPr="00866299" w:rsidRDefault="000A4C6C" w:rsidP="000A4C6C">
            <w:pPr>
              <w:pStyle w:val="InitFigR"/>
              <w:contextualSpacing/>
              <w:rPr>
                <w:sz w:val="22"/>
                <w:szCs w:val="22"/>
              </w:rPr>
            </w:pPr>
            <w:r w:rsidRPr="00866299">
              <w:rPr>
                <w:sz w:val="22"/>
                <w:szCs w:val="22"/>
              </w:rPr>
              <w:t>$’000</w:t>
            </w:r>
          </w:p>
        </w:tc>
        <w:tc>
          <w:tcPr>
            <w:tcW w:w="1042" w:type="dxa"/>
            <w:tcBorders>
              <w:top w:val="single" w:sz="4" w:space="0" w:color="auto"/>
              <w:bottom w:val="single" w:sz="4" w:space="0" w:color="auto"/>
            </w:tcBorders>
          </w:tcPr>
          <w:p w14:paraId="07C9045D" w14:textId="77777777" w:rsidR="000A4C6C" w:rsidRPr="00866299" w:rsidRDefault="000A4C6C" w:rsidP="000A4C6C">
            <w:pPr>
              <w:pStyle w:val="InitFigR"/>
              <w:contextualSpacing/>
              <w:rPr>
                <w:sz w:val="22"/>
                <w:szCs w:val="22"/>
              </w:rPr>
            </w:pPr>
            <w:r w:rsidRPr="00866299">
              <w:rPr>
                <w:sz w:val="22"/>
                <w:szCs w:val="22"/>
              </w:rPr>
              <w:t>2021-22</w:t>
            </w:r>
          </w:p>
          <w:p w14:paraId="45B91696" w14:textId="77777777" w:rsidR="000A4C6C" w:rsidRPr="00866299" w:rsidRDefault="000A4C6C" w:rsidP="000A4C6C">
            <w:pPr>
              <w:pStyle w:val="InitFigR"/>
              <w:contextualSpacing/>
              <w:rPr>
                <w:sz w:val="22"/>
                <w:szCs w:val="22"/>
              </w:rPr>
            </w:pPr>
            <w:r w:rsidRPr="00866299">
              <w:rPr>
                <w:sz w:val="22"/>
                <w:szCs w:val="22"/>
              </w:rPr>
              <w:t>$’000</w:t>
            </w:r>
          </w:p>
        </w:tc>
        <w:tc>
          <w:tcPr>
            <w:tcW w:w="1042" w:type="dxa"/>
            <w:tcBorders>
              <w:top w:val="single" w:sz="4" w:space="0" w:color="auto"/>
              <w:bottom w:val="single" w:sz="4" w:space="0" w:color="auto"/>
            </w:tcBorders>
          </w:tcPr>
          <w:p w14:paraId="68A4582C" w14:textId="77777777" w:rsidR="000A4C6C" w:rsidRPr="00866299" w:rsidRDefault="000A4C6C" w:rsidP="000A4C6C">
            <w:pPr>
              <w:pStyle w:val="InitFigR"/>
              <w:contextualSpacing/>
              <w:rPr>
                <w:sz w:val="22"/>
                <w:szCs w:val="22"/>
              </w:rPr>
            </w:pPr>
            <w:r w:rsidRPr="00866299">
              <w:rPr>
                <w:sz w:val="22"/>
                <w:szCs w:val="22"/>
              </w:rPr>
              <w:t>2022-23</w:t>
            </w:r>
          </w:p>
          <w:p w14:paraId="03D78E78" w14:textId="77777777" w:rsidR="000A4C6C" w:rsidRPr="00866299" w:rsidRDefault="000A4C6C" w:rsidP="000A4C6C">
            <w:pPr>
              <w:pStyle w:val="InitFigR"/>
              <w:contextualSpacing/>
              <w:rPr>
                <w:sz w:val="22"/>
                <w:szCs w:val="22"/>
              </w:rPr>
            </w:pPr>
            <w:r w:rsidRPr="00866299">
              <w:rPr>
                <w:sz w:val="22"/>
                <w:szCs w:val="22"/>
              </w:rPr>
              <w:t>$’000</w:t>
            </w:r>
          </w:p>
        </w:tc>
        <w:tc>
          <w:tcPr>
            <w:tcW w:w="1042" w:type="dxa"/>
            <w:tcBorders>
              <w:top w:val="single" w:sz="4" w:space="0" w:color="auto"/>
              <w:bottom w:val="single" w:sz="4" w:space="0" w:color="auto"/>
            </w:tcBorders>
          </w:tcPr>
          <w:p w14:paraId="7F813615" w14:textId="77777777" w:rsidR="000A4C6C" w:rsidRPr="00866299" w:rsidRDefault="000A4C6C" w:rsidP="000A4C6C">
            <w:pPr>
              <w:pStyle w:val="InitFigBR"/>
              <w:contextualSpacing/>
              <w:rPr>
                <w:sz w:val="22"/>
                <w:szCs w:val="22"/>
              </w:rPr>
            </w:pPr>
            <w:r w:rsidRPr="00866299">
              <w:rPr>
                <w:sz w:val="22"/>
                <w:szCs w:val="22"/>
              </w:rPr>
              <w:t>Total</w:t>
            </w:r>
          </w:p>
          <w:p w14:paraId="1B04AF14" w14:textId="77777777" w:rsidR="000A4C6C" w:rsidRPr="00866299" w:rsidRDefault="000A4C6C" w:rsidP="000A4C6C">
            <w:pPr>
              <w:pStyle w:val="InitFigBR"/>
              <w:contextualSpacing/>
              <w:rPr>
                <w:sz w:val="22"/>
                <w:szCs w:val="22"/>
              </w:rPr>
            </w:pPr>
            <w:r w:rsidRPr="00866299">
              <w:rPr>
                <w:sz w:val="22"/>
                <w:szCs w:val="22"/>
              </w:rPr>
              <w:t>$’000</w:t>
            </w:r>
          </w:p>
        </w:tc>
      </w:tr>
      <w:tr w:rsidR="000A4C6C" w:rsidRPr="00866299" w14:paraId="0AED593C" w14:textId="77777777" w:rsidTr="00E45476">
        <w:trPr>
          <w:cantSplit/>
        </w:trPr>
        <w:tc>
          <w:tcPr>
            <w:tcW w:w="3698" w:type="dxa"/>
            <w:tcBorders>
              <w:top w:val="single" w:sz="4" w:space="0" w:color="auto"/>
              <w:bottom w:val="single" w:sz="4" w:space="0" w:color="auto"/>
            </w:tcBorders>
          </w:tcPr>
          <w:p w14:paraId="03E6BC25" w14:textId="77777777" w:rsidR="000A4C6C" w:rsidRPr="00866299" w:rsidRDefault="000A4C6C" w:rsidP="000A4C6C">
            <w:pPr>
              <w:pStyle w:val="InitTextL"/>
              <w:contextualSpacing/>
              <w:rPr>
                <w:sz w:val="22"/>
                <w:szCs w:val="22"/>
              </w:rPr>
            </w:pPr>
            <w:r w:rsidRPr="00866299">
              <w:rPr>
                <w:sz w:val="22"/>
                <w:szCs w:val="22"/>
              </w:rPr>
              <w:t>Revenue</w:t>
            </w:r>
          </w:p>
        </w:tc>
        <w:tc>
          <w:tcPr>
            <w:tcW w:w="1194" w:type="dxa"/>
            <w:tcBorders>
              <w:top w:val="single" w:sz="4" w:space="0" w:color="auto"/>
              <w:bottom w:val="single" w:sz="4" w:space="0" w:color="auto"/>
            </w:tcBorders>
          </w:tcPr>
          <w:p w14:paraId="45CC8260" w14:textId="77777777" w:rsidR="000A4C6C" w:rsidRPr="00866299" w:rsidRDefault="000A4C6C" w:rsidP="000A4C6C">
            <w:pPr>
              <w:pStyle w:val="InitFigR"/>
              <w:contextualSpacing/>
              <w:rPr>
                <w:sz w:val="22"/>
                <w:szCs w:val="22"/>
              </w:rPr>
            </w:pPr>
            <w:r w:rsidRPr="00866299">
              <w:rPr>
                <w:sz w:val="22"/>
                <w:szCs w:val="22"/>
              </w:rPr>
              <w:t>-200</w:t>
            </w:r>
          </w:p>
        </w:tc>
        <w:tc>
          <w:tcPr>
            <w:tcW w:w="1054" w:type="dxa"/>
            <w:tcBorders>
              <w:top w:val="single" w:sz="4" w:space="0" w:color="auto"/>
              <w:bottom w:val="single" w:sz="4" w:space="0" w:color="auto"/>
            </w:tcBorders>
          </w:tcPr>
          <w:p w14:paraId="51B279C9" w14:textId="77777777" w:rsidR="000A4C6C" w:rsidRPr="00866299" w:rsidRDefault="000A4C6C" w:rsidP="000A4C6C">
            <w:pPr>
              <w:pStyle w:val="InitFigR"/>
              <w:contextualSpacing/>
              <w:rPr>
                <w:sz w:val="22"/>
                <w:szCs w:val="22"/>
              </w:rPr>
            </w:pPr>
            <w:r w:rsidRPr="00866299">
              <w:rPr>
                <w:sz w:val="22"/>
                <w:szCs w:val="22"/>
              </w:rPr>
              <w:t>-200</w:t>
            </w:r>
          </w:p>
        </w:tc>
        <w:tc>
          <w:tcPr>
            <w:tcW w:w="1042" w:type="dxa"/>
            <w:tcBorders>
              <w:top w:val="single" w:sz="4" w:space="0" w:color="auto"/>
              <w:bottom w:val="single" w:sz="4" w:space="0" w:color="auto"/>
            </w:tcBorders>
          </w:tcPr>
          <w:p w14:paraId="46F6F6DA" w14:textId="77777777" w:rsidR="000A4C6C" w:rsidRPr="00866299" w:rsidRDefault="000A4C6C" w:rsidP="000A4C6C">
            <w:pPr>
              <w:pStyle w:val="InitFigR"/>
              <w:contextualSpacing/>
              <w:rPr>
                <w:sz w:val="22"/>
                <w:szCs w:val="22"/>
              </w:rPr>
            </w:pPr>
            <w:r w:rsidRPr="00866299">
              <w:rPr>
                <w:sz w:val="22"/>
                <w:szCs w:val="22"/>
              </w:rPr>
              <w:t>-200</w:t>
            </w:r>
          </w:p>
        </w:tc>
        <w:tc>
          <w:tcPr>
            <w:tcW w:w="1042" w:type="dxa"/>
            <w:tcBorders>
              <w:top w:val="single" w:sz="4" w:space="0" w:color="auto"/>
              <w:bottom w:val="single" w:sz="4" w:space="0" w:color="auto"/>
            </w:tcBorders>
          </w:tcPr>
          <w:p w14:paraId="0B68D314" w14:textId="77777777" w:rsidR="000A4C6C" w:rsidRPr="00866299" w:rsidRDefault="000A4C6C" w:rsidP="000A4C6C">
            <w:pPr>
              <w:pStyle w:val="InitFigR"/>
              <w:contextualSpacing/>
              <w:rPr>
                <w:sz w:val="22"/>
                <w:szCs w:val="22"/>
              </w:rPr>
            </w:pPr>
            <w:r w:rsidRPr="00866299">
              <w:rPr>
                <w:sz w:val="22"/>
                <w:szCs w:val="22"/>
              </w:rPr>
              <w:t>0</w:t>
            </w:r>
          </w:p>
        </w:tc>
        <w:tc>
          <w:tcPr>
            <w:tcW w:w="1042" w:type="dxa"/>
            <w:tcBorders>
              <w:top w:val="single" w:sz="4" w:space="0" w:color="auto"/>
              <w:bottom w:val="single" w:sz="4" w:space="0" w:color="auto"/>
            </w:tcBorders>
          </w:tcPr>
          <w:p w14:paraId="4F765D7D" w14:textId="77777777" w:rsidR="000A4C6C" w:rsidRPr="00866299" w:rsidRDefault="000A4C6C" w:rsidP="000A4C6C">
            <w:pPr>
              <w:pStyle w:val="InitFigBR"/>
              <w:contextualSpacing/>
              <w:rPr>
                <w:sz w:val="22"/>
                <w:szCs w:val="22"/>
              </w:rPr>
            </w:pPr>
            <w:r w:rsidRPr="00866299">
              <w:rPr>
                <w:sz w:val="22"/>
                <w:szCs w:val="22"/>
              </w:rPr>
              <w:t>-600</w:t>
            </w:r>
          </w:p>
        </w:tc>
      </w:tr>
    </w:tbl>
    <w:p w14:paraId="5BF5AFC0" w14:textId="77777777" w:rsidR="000A4C6C" w:rsidRPr="004702AD" w:rsidRDefault="000A4C6C" w:rsidP="00E45476">
      <w:pPr>
        <w:pStyle w:val="snapInitbody"/>
      </w:pPr>
      <w:r w:rsidRPr="004702AD">
        <w:t>The Government has undertaken a review of the Lease Variation Charge to ensure it is continuing to achieve the aim of seeing the Canberra community share in the benefits of development while aligning with other government policies and objectives.</w:t>
      </w:r>
    </w:p>
    <w:p w14:paraId="5E1B1673" w14:textId="4157AF87" w:rsidR="000A4C6C" w:rsidRDefault="000A4C6C" w:rsidP="00E45476">
      <w:pPr>
        <w:pStyle w:val="snapInitbody"/>
      </w:pPr>
      <w:r w:rsidRPr="004702AD">
        <w:t xml:space="preserve">Based on the findings of this review the Government will: </w:t>
      </w:r>
    </w:p>
    <w:p w14:paraId="50391544" w14:textId="77777777" w:rsidR="000A4C6C" w:rsidRDefault="000A4C6C" w:rsidP="001A258A">
      <w:pPr>
        <w:pStyle w:val="snapInitbullet1"/>
      </w:pPr>
      <w:r>
        <w:t>introduce a 25 per cent Lease Variation Charge remission for registered community housing providers, commencing on 1 October 2019, to encourage the development of more affordable rental housing;</w:t>
      </w:r>
    </w:p>
    <w:p w14:paraId="38F1A33A" w14:textId="77777777" w:rsidR="000A4C6C" w:rsidRDefault="000A4C6C" w:rsidP="001A258A">
      <w:pPr>
        <w:pStyle w:val="snapInitbullet1"/>
      </w:pPr>
      <w:r>
        <w:t xml:space="preserve">increase access to the Lease Variation Charge deferred payment scheme by lowering the minimum value threshold from $100,000 to $50,000 from 1 July 2019; </w:t>
      </w:r>
    </w:p>
    <w:p w14:paraId="290FB386" w14:textId="77777777" w:rsidR="000A4C6C" w:rsidRDefault="000A4C6C" w:rsidP="001A258A">
      <w:pPr>
        <w:pStyle w:val="snapInitbullet1"/>
      </w:pPr>
      <w:r>
        <w:t>simplify and consolidate schedule 2 codified residential charges to make this schedule easier to understand, use and update; and</w:t>
      </w:r>
    </w:p>
    <w:p w14:paraId="5A66F225" w14:textId="77777777" w:rsidR="000A4C6C" w:rsidRDefault="000A4C6C" w:rsidP="001A258A">
      <w:pPr>
        <w:pStyle w:val="snapInitbullet1"/>
      </w:pPr>
      <w:r>
        <w:t xml:space="preserve">improve the presentation of information on ACT Government websites containing information about the </w:t>
      </w:r>
      <w:proofErr w:type="spellStart"/>
      <w:r>
        <w:t>LVC</w:t>
      </w:r>
      <w:proofErr w:type="spellEnd"/>
      <w:r>
        <w:t xml:space="preserve">, including by developing an online </w:t>
      </w:r>
      <w:proofErr w:type="spellStart"/>
      <w:r>
        <w:t>LVC</w:t>
      </w:r>
      <w:proofErr w:type="spellEnd"/>
      <w:r>
        <w:t xml:space="preserve"> calculator.</w:t>
      </w:r>
    </w:p>
    <w:p w14:paraId="3A6466CF" w14:textId="77777777" w:rsidR="000A4C6C" w:rsidRPr="005641D5" w:rsidRDefault="000A4C6C" w:rsidP="001A258A">
      <w:pPr>
        <w:pStyle w:val="snapInitbody"/>
      </w:pPr>
      <w:r w:rsidRPr="005641D5">
        <w:t>The Government will also engage further with industry to explore options to:</w:t>
      </w:r>
    </w:p>
    <w:p w14:paraId="38C8E638" w14:textId="77777777" w:rsidR="000A4C6C" w:rsidRDefault="000A4C6C" w:rsidP="001A258A">
      <w:pPr>
        <w:pStyle w:val="snapInitbullet1"/>
      </w:pPr>
      <w:r>
        <w:t>extend application of codified charges to mixed-use developments that are primarily residential in nature;</w:t>
      </w:r>
    </w:p>
    <w:p w14:paraId="0E34D614" w14:textId="77777777" w:rsidR="000A4C6C" w:rsidRDefault="000A4C6C" w:rsidP="001A258A">
      <w:pPr>
        <w:pStyle w:val="snapInitbullet1"/>
      </w:pPr>
      <w:r>
        <w:t>extend application of codified charges that apply to commercial developments; and</w:t>
      </w:r>
    </w:p>
    <w:p w14:paraId="1C0567AD" w14:textId="77777777" w:rsidR="000A4C6C" w:rsidRDefault="000A4C6C" w:rsidP="001A258A">
      <w:pPr>
        <w:pStyle w:val="snapInitbullet1"/>
      </w:pPr>
      <w:r>
        <w:t>address inequity and inconsistency between schedule 1 and schedule 2 residential codified charges.</w:t>
      </w:r>
    </w:p>
    <w:p w14:paraId="16672A59" w14:textId="02C3ED73" w:rsidR="000A4C6C" w:rsidRDefault="000A4C6C" w:rsidP="001A258A">
      <w:pPr>
        <w:pStyle w:val="snapInitbody"/>
      </w:pPr>
      <w:r w:rsidRPr="005641D5">
        <w:t>Further reforms in these areas will be pursued on a revenue neutral basis.</w:t>
      </w:r>
      <w:r w:rsidR="000F30E1">
        <w:t xml:space="preserve"> </w:t>
      </w:r>
    </w:p>
    <w:p w14:paraId="3C449267" w14:textId="77777777" w:rsidR="00BF33C1" w:rsidRDefault="00BF33C1">
      <w:pPr>
        <w:rPr>
          <w:rFonts w:ascii="Calibri" w:hAnsi="Calibri"/>
          <w:b/>
          <w:bCs/>
          <w:sz w:val="26"/>
          <w:szCs w:val="26"/>
          <w:lang w:val="x-none" w:eastAsia="en-US"/>
        </w:rPr>
      </w:pPr>
      <w:r>
        <w:br w:type="page"/>
      </w:r>
    </w:p>
    <w:p w14:paraId="0ED04B49" w14:textId="19DC8770" w:rsidR="000A4C6C" w:rsidRPr="000F30E1" w:rsidRDefault="000A4C6C" w:rsidP="000F30E1">
      <w:pPr>
        <w:pStyle w:val="snapInittitles"/>
      </w:pPr>
      <w:r w:rsidRPr="000F30E1">
        <w:t xml:space="preserve">Strengthening fairness in tax collection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0A4C6C" w:rsidRPr="00866299" w14:paraId="66047AF7" w14:textId="77777777" w:rsidTr="001A258A">
        <w:trPr>
          <w:cantSplit/>
        </w:trPr>
        <w:tc>
          <w:tcPr>
            <w:tcW w:w="3652" w:type="dxa"/>
            <w:tcBorders>
              <w:top w:val="single" w:sz="4" w:space="0" w:color="auto"/>
              <w:bottom w:val="single" w:sz="4" w:space="0" w:color="auto"/>
            </w:tcBorders>
          </w:tcPr>
          <w:p w14:paraId="67E4F6C6" w14:textId="77777777" w:rsidR="000A4C6C" w:rsidRPr="00866299" w:rsidRDefault="000A4C6C" w:rsidP="000A4C6C">
            <w:pPr>
              <w:contextualSpacing/>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55DC002A"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2019-20</w:t>
            </w:r>
          </w:p>
          <w:p w14:paraId="73FF3D39"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21DC981D"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2020-21</w:t>
            </w:r>
          </w:p>
          <w:p w14:paraId="26C4534C"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54BC5E61"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2021-22</w:t>
            </w:r>
          </w:p>
          <w:p w14:paraId="597D8BEC"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06DD106"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2022-23</w:t>
            </w:r>
          </w:p>
          <w:p w14:paraId="4FF8A96C"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118870B3" w14:textId="77777777" w:rsidR="000A4C6C" w:rsidRPr="00866299" w:rsidRDefault="000A4C6C" w:rsidP="000A4C6C">
            <w:pPr>
              <w:contextualSpacing/>
              <w:jc w:val="right"/>
              <w:rPr>
                <w:b/>
                <w:sz w:val="22"/>
              </w:rPr>
            </w:pPr>
            <w:r w:rsidRPr="00866299">
              <w:rPr>
                <w:b/>
                <w:sz w:val="22"/>
              </w:rPr>
              <w:t>Total</w:t>
            </w:r>
          </w:p>
          <w:p w14:paraId="3A583C0C" w14:textId="77777777" w:rsidR="000A4C6C" w:rsidRPr="00866299" w:rsidRDefault="000A4C6C" w:rsidP="000A4C6C">
            <w:pPr>
              <w:spacing w:before="200" w:after="200"/>
              <w:contextualSpacing/>
              <w:jc w:val="right"/>
              <w:rPr>
                <w:rFonts w:ascii="Calibri" w:hAnsi="Calibri"/>
                <w:b/>
                <w:sz w:val="22"/>
                <w:lang w:eastAsia="en-US"/>
              </w:rPr>
            </w:pPr>
            <w:r w:rsidRPr="00866299">
              <w:rPr>
                <w:rFonts w:ascii="Calibri" w:hAnsi="Calibri"/>
                <w:b/>
                <w:sz w:val="22"/>
                <w:lang w:eastAsia="en-US"/>
              </w:rPr>
              <w:t>$’000</w:t>
            </w:r>
          </w:p>
        </w:tc>
      </w:tr>
      <w:tr w:rsidR="000A4C6C" w:rsidRPr="00866299" w14:paraId="2A355098" w14:textId="77777777" w:rsidTr="001A258A">
        <w:trPr>
          <w:cantSplit/>
        </w:trPr>
        <w:tc>
          <w:tcPr>
            <w:tcW w:w="3652" w:type="dxa"/>
            <w:tcBorders>
              <w:top w:val="single" w:sz="4" w:space="0" w:color="auto"/>
            </w:tcBorders>
            <w:shd w:val="clear" w:color="auto" w:fill="auto"/>
          </w:tcPr>
          <w:p w14:paraId="54EE3111" w14:textId="77777777" w:rsidR="000A4C6C" w:rsidRPr="00866299" w:rsidRDefault="000A4C6C" w:rsidP="000A4C6C">
            <w:pPr>
              <w:ind w:left="284" w:hanging="284"/>
              <w:contextualSpacing/>
              <w:rPr>
                <w:rFonts w:ascii="Calibri" w:hAnsi="Calibri"/>
                <w:sz w:val="22"/>
                <w:lang w:eastAsia="en-US"/>
              </w:rPr>
            </w:pPr>
            <w:r w:rsidRPr="00866299">
              <w:rPr>
                <w:rFonts w:ascii="Calibri" w:hAnsi="Calibri"/>
                <w:sz w:val="22"/>
                <w:lang w:eastAsia="en-US"/>
              </w:rPr>
              <w:t xml:space="preserve">Revenue </w:t>
            </w:r>
          </w:p>
        </w:tc>
        <w:tc>
          <w:tcPr>
            <w:tcW w:w="1179" w:type="dxa"/>
            <w:tcBorders>
              <w:top w:val="single" w:sz="4" w:space="0" w:color="auto"/>
            </w:tcBorders>
            <w:shd w:val="clear" w:color="auto" w:fill="auto"/>
          </w:tcPr>
          <w:p w14:paraId="50DD4320"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4,000</w:t>
            </w:r>
          </w:p>
        </w:tc>
        <w:tc>
          <w:tcPr>
            <w:tcW w:w="1041" w:type="dxa"/>
            <w:tcBorders>
              <w:top w:val="single" w:sz="4" w:space="0" w:color="auto"/>
            </w:tcBorders>
            <w:shd w:val="clear" w:color="auto" w:fill="auto"/>
          </w:tcPr>
          <w:p w14:paraId="5364F652"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4,400</w:t>
            </w:r>
          </w:p>
        </w:tc>
        <w:tc>
          <w:tcPr>
            <w:tcW w:w="1029" w:type="dxa"/>
            <w:tcBorders>
              <w:top w:val="single" w:sz="4" w:space="0" w:color="auto"/>
            </w:tcBorders>
            <w:shd w:val="clear" w:color="auto" w:fill="auto"/>
          </w:tcPr>
          <w:p w14:paraId="634A7D81"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4,400</w:t>
            </w:r>
          </w:p>
        </w:tc>
        <w:tc>
          <w:tcPr>
            <w:tcW w:w="1029" w:type="dxa"/>
            <w:tcBorders>
              <w:top w:val="single" w:sz="4" w:space="0" w:color="auto"/>
            </w:tcBorders>
            <w:shd w:val="clear" w:color="auto" w:fill="auto"/>
          </w:tcPr>
          <w:p w14:paraId="3BBDB646"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4,400</w:t>
            </w:r>
          </w:p>
        </w:tc>
        <w:tc>
          <w:tcPr>
            <w:tcW w:w="1029" w:type="dxa"/>
            <w:tcBorders>
              <w:top w:val="single" w:sz="4" w:space="0" w:color="auto"/>
            </w:tcBorders>
            <w:shd w:val="clear" w:color="auto" w:fill="auto"/>
          </w:tcPr>
          <w:p w14:paraId="7806714B" w14:textId="77777777" w:rsidR="000A4C6C" w:rsidRPr="00866299" w:rsidRDefault="000A4C6C" w:rsidP="000A4C6C">
            <w:pPr>
              <w:spacing w:before="200" w:after="200"/>
              <w:contextualSpacing/>
              <w:jc w:val="right"/>
              <w:rPr>
                <w:rFonts w:ascii="Calibri" w:hAnsi="Calibri"/>
                <w:b/>
                <w:sz w:val="22"/>
                <w:lang w:eastAsia="en-US"/>
              </w:rPr>
            </w:pPr>
            <w:r w:rsidRPr="00866299">
              <w:rPr>
                <w:rFonts w:ascii="Calibri" w:hAnsi="Calibri"/>
                <w:b/>
                <w:sz w:val="22"/>
                <w:lang w:eastAsia="en-US"/>
              </w:rPr>
              <w:t>17,200</w:t>
            </w:r>
          </w:p>
        </w:tc>
      </w:tr>
      <w:tr w:rsidR="000A4C6C" w:rsidRPr="00866299" w14:paraId="7034F9A1" w14:textId="77777777" w:rsidTr="001A258A">
        <w:trPr>
          <w:cantSplit/>
        </w:trPr>
        <w:tc>
          <w:tcPr>
            <w:tcW w:w="3652" w:type="dxa"/>
            <w:tcBorders>
              <w:bottom w:val="single" w:sz="4" w:space="0" w:color="auto"/>
            </w:tcBorders>
          </w:tcPr>
          <w:p w14:paraId="5A61A4EB" w14:textId="77777777" w:rsidR="000A4C6C" w:rsidRPr="00866299" w:rsidRDefault="000A4C6C" w:rsidP="000A4C6C">
            <w:pPr>
              <w:ind w:left="284" w:hanging="284"/>
              <w:contextualSpacing/>
              <w:rPr>
                <w:rFonts w:ascii="Calibri" w:hAnsi="Calibri"/>
                <w:sz w:val="22"/>
                <w:lang w:eastAsia="en-US"/>
              </w:rPr>
            </w:pPr>
            <w:r w:rsidRPr="00866299">
              <w:rPr>
                <w:rFonts w:ascii="Calibri" w:hAnsi="Calibri"/>
                <w:sz w:val="22"/>
                <w:lang w:eastAsia="en-US"/>
              </w:rPr>
              <w:t>Revenue Foregone</w:t>
            </w:r>
          </w:p>
        </w:tc>
        <w:tc>
          <w:tcPr>
            <w:tcW w:w="1179" w:type="dxa"/>
            <w:tcBorders>
              <w:bottom w:val="single" w:sz="4" w:space="0" w:color="auto"/>
            </w:tcBorders>
          </w:tcPr>
          <w:p w14:paraId="6F00B312"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-560</w:t>
            </w:r>
          </w:p>
        </w:tc>
        <w:tc>
          <w:tcPr>
            <w:tcW w:w="1041" w:type="dxa"/>
            <w:tcBorders>
              <w:bottom w:val="single" w:sz="4" w:space="0" w:color="auto"/>
            </w:tcBorders>
          </w:tcPr>
          <w:p w14:paraId="08E2A25E" w14:textId="77777777" w:rsidR="000A4C6C" w:rsidRPr="00866299" w:rsidDel="000878E3"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-560</w:t>
            </w:r>
          </w:p>
        </w:tc>
        <w:tc>
          <w:tcPr>
            <w:tcW w:w="1029" w:type="dxa"/>
            <w:tcBorders>
              <w:bottom w:val="single" w:sz="4" w:space="0" w:color="auto"/>
            </w:tcBorders>
          </w:tcPr>
          <w:p w14:paraId="797BA81E" w14:textId="77777777" w:rsidR="000A4C6C" w:rsidRPr="00866299" w:rsidDel="000878E3"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-560</w:t>
            </w:r>
          </w:p>
        </w:tc>
        <w:tc>
          <w:tcPr>
            <w:tcW w:w="1029" w:type="dxa"/>
            <w:tcBorders>
              <w:bottom w:val="single" w:sz="4" w:space="0" w:color="auto"/>
            </w:tcBorders>
          </w:tcPr>
          <w:p w14:paraId="17ED7B0A"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-560</w:t>
            </w:r>
          </w:p>
        </w:tc>
        <w:tc>
          <w:tcPr>
            <w:tcW w:w="1029" w:type="dxa"/>
            <w:tcBorders>
              <w:bottom w:val="single" w:sz="4" w:space="0" w:color="auto"/>
            </w:tcBorders>
          </w:tcPr>
          <w:p w14:paraId="0C95F718" w14:textId="77777777" w:rsidR="000A4C6C" w:rsidRPr="00866299" w:rsidDel="000878E3" w:rsidRDefault="000A4C6C" w:rsidP="000A4C6C">
            <w:pPr>
              <w:spacing w:before="200" w:after="200"/>
              <w:contextualSpacing/>
              <w:jc w:val="right"/>
              <w:rPr>
                <w:rFonts w:ascii="Calibri" w:hAnsi="Calibri"/>
                <w:b/>
                <w:sz w:val="22"/>
                <w:lang w:eastAsia="en-US"/>
              </w:rPr>
            </w:pPr>
            <w:r w:rsidRPr="00866299">
              <w:rPr>
                <w:rFonts w:ascii="Calibri" w:hAnsi="Calibri"/>
                <w:b/>
                <w:sz w:val="22"/>
                <w:lang w:eastAsia="en-US"/>
              </w:rPr>
              <w:t>-2,240</w:t>
            </w:r>
          </w:p>
        </w:tc>
      </w:tr>
      <w:tr w:rsidR="000A4C6C" w:rsidRPr="00866299" w14:paraId="3CD8F213" w14:textId="77777777" w:rsidTr="001A258A">
        <w:trPr>
          <w:cantSplit/>
        </w:trPr>
        <w:tc>
          <w:tcPr>
            <w:tcW w:w="3652" w:type="dxa"/>
            <w:tcBorders>
              <w:top w:val="single" w:sz="4" w:space="0" w:color="auto"/>
              <w:bottom w:val="single" w:sz="4" w:space="0" w:color="auto"/>
            </w:tcBorders>
          </w:tcPr>
          <w:p w14:paraId="3B59923F" w14:textId="77777777" w:rsidR="000A4C6C" w:rsidRPr="00866299" w:rsidRDefault="000A4C6C" w:rsidP="000A4C6C">
            <w:pPr>
              <w:ind w:left="284" w:hanging="284"/>
              <w:contextualSpacing/>
              <w:rPr>
                <w:rFonts w:ascii="Calibri" w:hAnsi="Calibri"/>
                <w:b/>
                <w:sz w:val="22"/>
                <w:lang w:eastAsia="en-US"/>
              </w:rPr>
            </w:pPr>
            <w:r w:rsidRPr="00866299">
              <w:rPr>
                <w:rFonts w:ascii="Calibri" w:hAnsi="Calibri"/>
                <w:b/>
                <w:sz w:val="22"/>
                <w:lang w:eastAsia="en-US"/>
              </w:rPr>
              <w:t xml:space="preserve">Net Revenue </w:t>
            </w:r>
          </w:p>
        </w:tc>
        <w:tc>
          <w:tcPr>
            <w:tcW w:w="1179" w:type="dxa"/>
            <w:tcBorders>
              <w:top w:val="single" w:sz="4" w:space="0" w:color="auto"/>
              <w:bottom w:val="single" w:sz="4" w:space="0" w:color="auto"/>
            </w:tcBorders>
          </w:tcPr>
          <w:p w14:paraId="764C3EFE"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3,440</w:t>
            </w:r>
          </w:p>
        </w:tc>
        <w:tc>
          <w:tcPr>
            <w:tcW w:w="1041" w:type="dxa"/>
            <w:tcBorders>
              <w:top w:val="single" w:sz="4" w:space="0" w:color="auto"/>
              <w:bottom w:val="single" w:sz="4" w:space="0" w:color="auto"/>
            </w:tcBorders>
          </w:tcPr>
          <w:p w14:paraId="66199ABF"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3,840</w:t>
            </w:r>
          </w:p>
        </w:tc>
        <w:tc>
          <w:tcPr>
            <w:tcW w:w="1029" w:type="dxa"/>
            <w:tcBorders>
              <w:top w:val="single" w:sz="4" w:space="0" w:color="auto"/>
              <w:bottom w:val="single" w:sz="4" w:space="0" w:color="auto"/>
            </w:tcBorders>
          </w:tcPr>
          <w:p w14:paraId="7F52709E"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3,840</w:t>
            </w:r>
          </w:p>
        </w:tc>
        <w:tc>
          <w:tcPr>
            <w:tcW w:w="1029" w:type="dxa"/>
            <w:tcBorders>
              <w:top w:val="single" w:sz="4" w:space="0" w:color="auto"/>
              <w:bottom w:val="single" w:sz="4" w:space="0" w:color="auto"/>
            </w:tcBorders>
          </w:tcPr>
          <w:p w14:paraId="18B7586F"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3,840</w:t>
            </w:r>
          </w:p>
        </w:tc>
        <w:tc>
          <w:tcPr>
            <w:tcW w:w="1029" w:type="dxa"/>
            <w:tcBorders>
              <w:top w:val="single" w:sz="4" w:space="0" w:color="auto"/>
              <w:bottom w:val="single" w:sz="4" w:space="0" w:color="auto"/>
            </w:tcBorders>
          </w:tcPr>
          <w:p w14:paraId="4CC857B1" w14:textId="77777777" w:rsidR="000A4C6C" w:rsidRPr="00866299" w:rsidRDefault="000A4C6C" w:rsidP="000A4C6C">
            <w:pPr>
              <w:spacing w:before="200" w:after="200"/>
              <w:contextualSpacing/>
              <w:jc w:val="right"/>
              <w:rPr>
                <w:rFonts w:ascii="Calibri" w:hAnsi="Calibri"/>
                <w:b/>
                <w:sz w:val="22"/>
                <w:lang w:eastAsia="en-US"/>
              </w:rPr>
            </w:pPr>
            <w:r w:rsidRPr="00866299">
              <w:rPr>
                <w:rFonts w:ascii="Calibri" w:hAnsi="Calibri"/>
                <w:b/>
                <w:sz w:val="22"/>
                <w:lang w:eastAsia="en-US"/>
              </w:rPr>
              <w:t>14,960</w:t>
            </w:r>
          </w:p>
        </w:tc>
      </w:tr>
      <w:tr w:rsidR="000A4C6C" w:rsidRPr="00866299" w14:paraId="28D427AA" w14:textId="77777777" w:rsidTr="001A258A">
        <w:trPr>
          <w:cantSplit/>
        </w:trPr>
        <w:tc>
          <w:tcPr>
            <w:tcW w:w="3652" w:type="dxa"/>
            <w:tcBorders>
              <w:top w:val="single" w:sz="4" w:space="0" w:color="auto"/>
              <w:bottom w:val="single" w:sz="4" w:space="0" w:color="auto"/>
            </w:tcBorders>
          </w:tcPr>
          <w:p w14:paraId="69CB9565" w14:textId="77777777" w:rsidR="000A4C6C" w:rsidRPr="00866299" w:rsidRDefault="000A4C6C" w:rsidP="000A4C6C">
            <w:pPr>
              <w:ind w:left="284" w:hanging="284"/>
              <w:contextualSpacing/>
              <w:rPr>
                <w:rFonts w:ascii="Calibri" w:hAnsi="Calibri"/>
                <w:sz w:val="22"/>
                <w:lang w:eastAsia="en-US"/>
              </w:rPr>
            </w:pPr>
            <w:r w:rsidRPr="00866299">
              <w:rPr>
                <w:rFonts w:ascii="Calibri" w:hAnsi="Calibri"/>
                <w:sz w:val="22"/>
                <w:lang w:eastAsia="en-US"/>
              </w:rPr>
              <w:t>Associated Expenses</w:t>
            </w:r>
          </w:p>
        </w:tc>
        <w:tc>
          <w:tcPr>
            <w:tcW w:w="1179" w:type="dxa"/>
            <w:tcBorders>
              <w:top w:val="single" w:sz="4" w:space="0" w:color="auto"/>
              <w:bottom w:val="single" w:sz="4" w:space="0" w:color="auto"/>
            </w:tcBorders>
          </w:tcPr>
          <w:p w14:paraId="422F435F"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4,000</w:t>
            </w:r>
          </w:p>
        </w:tc>
        <w:tc>
          <w:tcPr>
            <w:tcW w:w="1041" w:type="dxa"/>
            <w:tcBorders>
              <w:top w:val="single" w:sz="4" w:space="0" w:color="auto"/>
              <w:bottom w:val="single" w:sz="4" w:space="0" w:color="auto"/>
            </w:tcBorders>
          </w:tcPr>
          <w:p w14:paraId="2A385AC5"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4,100</w:t>
            </w:r>
          </w:p>
        </w:tc>
        <w:tc>
          <w:tcPr>
            <w:tcW w:w="1029" w:type="dxa"/>
            <w:tcBorders>
              <w:top w:val="single" w:sz="4" w:space="0" w:color="auto"/>
              <w:bottom w:val="single" w:sz="4" w:space="0" w:color="auto"/>
            </w:tcBorders>
          </w:tcPr>
          <w:p w14:paraId="4EFF0770"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4,300</w:t>
            </w:r>
          </w:p>
        </w:tc>
        <w:tc>
          <w:tcPr>
            <w:tcW w:w="1029" w:type="dxa"/>
            <w:tcBorders>
              <w:top w:val="single" w:sz="4" w:space="0" w:color="auto"/>
              <w:bottom w:val="single" w:sz="4" w:space="0" w:color="auto"/>
            </w:tcBorders>
          </w:tcPr>
          <w:p w14:paraId="28CD45A8"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4,400</w:t>
            </w:r>
          </w:p>
        </w:tc>
        <w:tc>
          <w:tcPr>
            <w:tcW w:w="1029" w:type="dxa"/>
            <w:tcBorders>
              <w:top w:val="single" w:sz="4" w:space="0" w:color="auto"/>
              <w:bottom w:val="single" w:sz="4" w:space="0" w:color="auto"/>
            </w:tcBorders>
          </w:tcPr>
          <w:p w14:paraId="65F5FC12" w14:textId="77777777" w:rsidR="000A4C6C" w:rsidRPr="00866299" w:rsidRDefault="000A4C6C" w:rsidP="000A4C6C">
            <w:pPr>
              <w:spacing w:before="200" w:after="200"/>
              <w:contextualSpacing/>
              <w:jc w:val="right"/>
              <w:rPr>
                <w:rFonts w:ascii="Calibri" w:hAnsi="Calibri"/>
                <w:b/>
                <w:sz w:val="22"/>
                <w:lang w:eastAsia="en-US"/>
              </w:rPr>
            </w:pPr>
            <w:r w:rsidRPr="00866299">
              <w:rPr>
                <w:rFonts w:ascii="Calibri" w:hAnsi="Calibri"/>
                <w:b/>
                <w:sz w:val="22"/>
                <w:lang w:eastAsia="en-US"/>
              </w:rPr>
              <w:t>16,800</w:t>
            </w:r>
          </w:p>
        </w:tc>
      </w:tr>
    </w:tbl>
    <w:p w14:paraId="6E027886" w14:textId="77777777" w:rsidR="000A4C6C" w:rsidRPr="00875C51" w:rsidRDefault="000A4C6C" w:rsidP="001A258A">
      <w:pPr>
        <w:pStyle w:val="snapInitbody"/>
      </w:pPr>
      <w:r w:rsidRPr="00875C51">
        <w:t>The Government will support the ACT Revenue Office to collect revenue fairly and appropriately through compliance and debt recovery activities. Improved compliance will ensure that taxpayers who do the right thing do not end up subsidising those who avoid their legitimate tax obligations. As part of this initiative, the Government will also reduce the default penalty tax rate for non-compliance from 50 per cent to 25 per cent, which better aligns the ACT with penalty tax arrangements in other states.</w:t>
      </w:r>
    </w:p>
    <w:p w14:paraId="1A2066F0" w14:textId="77777777" w:rsidR="000A4C6C" w:rsidRPr="000F30E1" w:rsidRDefault="000A4C6C" w:rsidP="000F30E1">
      <w:pPr>
        <w:pStyle w:val="snapInittitles"/>
      </w:pPr>
      <w:r w:rsidRPr="000F30E1">
        <w:t xml:space="preserve">Supporting pensioners to find the right home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0A4C6C" w:rsidRPr="00866299" w14:paraId="33623EA5" w14:textId="77777777" w:rsidTr="001A258A">
        <w:trPr>
          <w:cantSplit/>
        </w:trPr>
        <w:tc>
          <w:tcPr>
            <w:tcW w:w="3698" w:type="dxa"/>
            <w:tcBorders>
              <w:top w:val="single" w:sz="4" w:space="0" w:color="auto"/>
              <w:bottom w:val="single" w:sz="4" w:space="0" w:color="auto"/>
            </w:tcBorders>
          </w:tcPr>
          <w:p w14:paraId="6819BC1C" w14:textId="4A189A04" w:rsidR="000A4C6C" w:rsidRPr="00866299" w:rsidRDefault="000A4C6C" w:rsidP="000A4C6C">
            <w:pPr>
              <w:contextualSpacing/>
              <w:jc w:val="right"/>
              <w:rPr>
                <w:rFonts w:ascii="Calibri" w:hAnsi="Calibri" w:cs="Calibri"/>
                <w:i/>
                <w:color w:val="FFFFFF"/>
                <w:sz w:val="22"/>
                <w:highlight w:val="yellow"/>
                <w:lang w:eastAsia="en-US"/>
              </w:rPr>
            </w:pPr>
          </w:p>
        </w:tc>
        <w:tc>
          <w:tcPr>
            <w:tcW w:w="1194" w:type="dxa"/>
            <w:tcBorders>
              <w:top w:val="single" w:sz="4" w:space="0" w:color="auto"/>
              <w:bottom w:val="single" w:sz="4" w:space="0" w:color="auto"/>
            </w:tcBorders>
          </w:tcPr>
          <w:p w14:paraId="3E525D7B"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2019-20</w:t>
            </w:r>
          </w:p>
          <w:p w14:paraId="78D91351"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54" w:type="dxa"/>
            <w:tcBorders>
              <w:top w:val="single" w:sz="4" w:space="0" w:color="auto"/>
              <w:bottom w:val="single" w:sz="4" w:space="0" w:color="auto"/>
            </w:tcBorders>
          </w:tcPr>
          <w:p w14:paraId="3AC71040"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2020-21</w:t>
            </w:r>
          </w:p>
          <w:p w14:paraId="01C72A9D"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42" w:type="dxa"/>
            <w:tcBorders>
              <w:top w:val="single" w:sz="4" w:space="0" w:color="auto"/>
              <w:bottom w:val="single" w:sz="4" w:space="0" w:color="auto"/>
            </w:tcBorders>
          </w:tcPr>
          <w:p w14:paraId="50BA87D3"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2021-22</w:t>
            </w:r>
          </w:p>
          <w:p w14:paraId="1EF98BBD"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42" w:type="dxa"/>
            <w:tcBorders>
              <w:top w:val="single" w:sz="4" w:space="0" w:color="auto"/>
              <w:bottom w:val="single" w:sz="4" w:space="0" w:color="auto"/>
            </w:tcBorders>
          </w:tcPr>
          <w:p w14:paraId="66729338"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2022-23</w:t>
            </w:r>
          </w:p>
          <w:p w14:paraId="5486C913"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$’000</w:t>
            </w:r>
          </w:p>
        </w:tc>
        <w:tc>
          <w:tcPr>
            <w:tcW w:w="1042" w:type="dxa"/>
            <w:tcBorders>
              <w:top w:val="single" w:sz="4" w:space="0" w:color="auto"/>
              <w:bottom w:val="single" w:sz="4" w:space="0" w:color="auto"/>
            </w:tcBorders>
          </w:tcPr>
          <w:p w14:paraId="51DCAFCC" w14:textId="77777777" w:rsidR="000A4C6C" w:rsidRPr="00866299" w:rsidRDefault="000A4C6C" w:rsidP="000A4C6C">
            <w:pPr>
              <w:spacing w:before="200" w:after="200"/>
              <w:contextualSpacing/>
              <w:jc w:val="right"/>
              <w:rPr>
                <w:rFonts w:ascii="Calibri" w:hAnsi="Calibri"/>
                <w:b/>
                <w:sz w:val="22"/>
                <w:lang w:eastAsia="en-US"/>
              </w:rPr>
            </w:pPr>
            <w:r w:rsidRPr="00866299">
              <w:rPr>
                <w:rFonts w:ascii="Calibri" w:hAnsi="Calibri"/>
                <w:b/>
                <w:sz w:val="22"/>
                <w:lang w:eastAsia="en-US"/>
              </w:rPr>
              <w:t>Total</w:t>
            </w:r>
          </w:p>
          <w:p w14:paraId="1A511368" w14:textId="77777777" w:rsidR="000A4C6C" w:rsidRPr="00866299" w:rsidRDefault="000A4C6C" w:rsidP="000A4C6C">
            <w:pPr>
              <w:spacing w:before="200" w:after="200"/>
              <w:contextualSpacing/>
              <w:jc w:val="right"/>
              <w:rPr>
                <w:rFonts w:ascii="Calibri" w:hAnsi="Calibri"/>
                <w:b/>
                <w:sz w:val="22"/>
                <w:lang w:eastAsia="en-US"/>
              </w:rPr>
            </w:pPr>
            <w:r w:rsidRPr="00866299">
              <w:rPr>
                <w:rFonts w:ascii="Calibri" w:hAnsi="Calibri"/>
                <w:b/>
                <w:sz w:val="22"/>
                <w:lang w:eastAsia="en-US"/>
              </w:rPr>
              <w:t>$’000</w:t>
            </w:r>
          </w:p>
        </w:tc>
      </w:tr>
      <w:tr w:rsidR="000A4C6C" w:rsidRPr="00866299" w14:paraId="5CA4320E" w14:textId="77777777" w:rsidTr="001A258A">
        <w:trPr>
          <w:cantSplit/>
        </w:trPr>
        <w:tc>
          <w:tcPr>
            <w:tcW w:w="3698" w:type="dxa"/>
            <w:tcBorders>
              <w:top w:val="single" w:sz="4" w:space="0" w:color="auto"/>
              <w:bottom w:val="single" w:sz="4" w:space="0" w:color="auto"/>
            </w:tcBorders>
          </w:tcPr>
          <w:p w14:paraId="5B0A0CD1" w14:textId="77777777" w:rsidR="000A4C6C" w:rsidRPr="00866299" w:rsidRDefault="000A4C6C" w:rsidP="000A4C6C">
            <w:pPr>
              <w:ind w:left="284" w:hanging="284"/>
              <w:contextualSpacing/>
              <w:rPr>
                <w:rFonts w:ascii="Calibri" w:hAnsi="Calibri"/>
                <w:sz w:val="22"/>
                <w:lang w:eastAsia="en-US"/>
              </w:rPr>
            </w:pPr>
            <w:r w:rsidRPr="00866299">
              <w:rPr>
                <w:rFonts w:ascii="Calibri" w:hAnsi="Calibri"/>
                <w:sz w:val="22"/>
                <w:lang w:eastAsia="en-US"/>
              </w:rPr>
              <w:t>Revenue</w:t>
            </w:r>
          </w:p>
        </w:tc>
        <w:tc>
          <w:tcPr>
            <w:tcW w:w="1194" w:type="dxa"/>
            <w:tcBorders>
              <w:top w:val="single" w:sz="4" w:space="0" w:color="auto"/>
              <w:bottom w:val="single" w:sz="4" w:space="0" w:color="auto"/>
            </w:tcBorders>
          </w:tcPr>
          <w:p w14:paraId="2B9A95B4"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-700</w:t>
            </w:r>
          </w:p>
        </w:tc>
        <w:tc>
          <w:tcPr>
            <w:tcW w:w="1054" w:type="dxa"/>
            <w:tcBorders>
              <w:top w:val="single" w:sz="4" w:space="0" w:color="auto"/>
              <w:bottom w:val="single" w:sz="4" w:space="0" w:color="auto"/>
            </w:tcBorders>
          </w:tcPr>
          <w:p w14:paraId="646DE3D2"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w:t>
            </w:r>
          </w:p>
        </w:tc>
        <w:tc>
          <w:tcPr>
            <w:tcW w:w="1042" w:type="dxa"/>
            <w:tcBorders>
              <w:top w:val="single" w:sz="4" w:space="0" w:color="auto"/>
              <w:bottom w:val="single" w:sz="4" w:space="0" w:color="auto"/>
            </w:tcBorders>
          </w:tcPr>
          <w:p w14:paraId="66C9C96D"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w:t>
            </w:r>
          </w:p>
        </w:tc>
        <w:tc>
          <w:tcPr>
            <w:tcW w:w="1042" w:type="dxa"/>
            <w:tcBorders>
              <w:top w:val="single" w:sz="4" w:space="0" w:color="auto"/>
              <w:bottom w:val="single" w:sz="4" w:space="0" w:color="auto"/>
            </w:tcBorders>
          </w:tcPr>
          <w:p w14:paraId="66414824" w14:textId="77777777" w:rsidR="000A4C6C" w:rsidRPr="00866299" w:rsidRDefault="000A4C6C" w:rsidP="000A4C6C">
            <w:pPr>
              <w:ind w:left="284" w:hanging="284"/>
              <w:contextualSpacing/>
              <w:jc w:val="right"/>
              <w:rPr>
                <w:rFonts w:ascii="Calibri" w:hAnsi="Calibri"/>
                <w:sz w:val="22"/>
                <w:lang w:eastAsia="en-US"/>
              </w:rPr>
            </w:pPr>
            <w:r w:rsidRPr="00866299">
              <w:rPr>
                <w:rFonts w:ascii="Calibri" w:hAnsi="Calibri"/>
                <w:sz w:val="22"/>
                <w:lang w:eastAsia="en-US"/>
              </w:rPr>
              <w:t>0</w:t>
            </w:r>
          </w:p>
        </w:tc>
        <w:tc>
          <w:tcPr>
            <w:tcW w:w="1042" w:type="dxa"/>
            <w:tcBorders>
              <w:top w:val="single" w:sz="4" w:space="0" w:color="auto"/>
              <w:bottom w:val="single" w:sz="4" w:space="0" w:color="auto"/>
            </w:tcBorders>
          </w:tcPr>
          <w:p w14:paraId="71797C58" w14:textId="77777777" w:rsidR="000A4C6C" w:rsidRPr="00866299" w:rsidRDefault="000A4C6C" w:rsidP="000A4C6C">
            <w:pPr>
              <w:spacing w:before="200" w:after="200"/>
              <w:contextualSpacing/>
              <w:jc w:val="right"/>
              <w:rPr>
                <w:rFonts w:ascii="Calibri" w:hAnsi="Calibri"/>
                <w:b/>
                <w:sz w:val="22"/>
                <w:lang w:eastAsia="en-US"/>
              </w:rPr>
            </w:pPr>
            <w:r w:rsidRPr="00866299">
              <w:rPr>
                <w:rFonts w:ascii="Calibri" w:hAnsi="Calibri"/>
                <w:b/>
                <w:sz w:val="22"/>
                <w:lang w:eastAsia="en-US"/>
              </w:rPr>
              <w:t>-700</w:t>
            </w:r>
          </w:p>
        </w:tc>
      </w:tr>
    </w:tbl>
    <w:p w14:paraId="2221271E" w14:textId="77777777" w:rsidR="000A4C6C" w:rsidRPr="00CD317B" w:rsidRDefault="000A4C6C" w:rsidP="001A258A">
      <w:pPr>
        <w:pStyle w:val="snapInitbody"/>
      </w:pPr>
      <w:r w:rsidRPr="00CD317B">
        <w:t xml:space="preserve">The ACT Government will extend the Pensioner Duty Concession Scheme to 30 June 2020. This scheme assists eligible pensioners to move to accommodation that is better suited to their needs – for example, by downsizing from a house to a townhouse – by charging a concessional rate of conveyance duty. </w:t>
      </w:r>
    </w:p>
    <w:p w14:paraId="11DF9B67" w14:textId="2EB28C65" w:rsidR="000A4C6C" w:rsidRPr="001D19C8" w:rsidRDefault="000A4C6C" w:rsidP="001A258A">
      <w:pPr>
        <w:pStyle w:val="snapInitbody"/>
      </w:pPr>
      <w:r w:rsidRPr="00CD317B">
        <w:t>Property value thresholds are also being adjusted to better target the scheme to those most in need of assistance to downsize. Canberrans purchasing a property below $420,000 will qualify for a full duty concession, while those purchasing a property worth up to $530,000 will receive a partial duty concession. Canberrans who receive a partial duty concession will also be able to defer any remaining duty until the property is sold, if they have at least 75 per cent equity in the new property.</w:t>
      </w:r>
    </w:p>
    <w:p w14:paraId="5AC297F6" w14:textId="77777777" w:rsidR="00982BA5" w:rsidRDefault="00705404" w:rsidP="00705404">
      <w:pPr>
        <w:pStyle w:val="Heading1-Pagebreakbefore"/>
      </w:pPr>
      <w:bookmarkStart w:id="9" w:name="_Toc10657542"/>
      <w:r w:rsidRPr="00705404">
        <w:t>Community Services Directorate</w:t>
      </w:r>
      <w:r w:rsidR="00462CAD">
        <w:t xml:space="preserve"> and Housing ACT</w:t>
      </w:r>
      <w:bookmarkEnd w:id="9"/>
    </w:p>
    <w:p w14:paraId="5BFCC056" w14:textId="77777777" w:rsidR="000757EE" w:rsidRPr="00990991" w:rsidRDefault="000757EE" w:rsidP="001A258A">
      <w:pPr>
        <w:pStyle w:val="Heading2"/>
        <w:rPr>
          <w:b w:val="0"/>
        </w:rPr>
      </w:pPr>
      <w:r w:rsidRPr="00990991">
        <w:t xml:space="preserve">Overview </w:t>
      </w:r>
    </w:p>
    <w:p w14:paraId="0A6B77B1" w14:textId="77777777" w:rsidR="00990991" w:rsidRPr="00990991" w:rsidRDefault="00990991" w:rsidP="001A258A">
      <w:pPr>
        <w:pStyle w:val="Body"/>
      </w:pPr>
      <w:r w:rsidRPr="00990991">
        <w:t xml:space="preserve">The </w:t>
      </w:r>
      <w:r w:rsidRPr="00990991">
        <w:rPr>
          <w:i/>
        </w:rPr>
        <w:t>Community Shared Statement</w:t>
      </w:r>
      <w:r w:rsidRPr="00990991">
        <w:t xml:space="preserve"> included a number of community sector priorities relevant to the Community Services Directorate and Housing ACT. These asks were endorsed by 19 community organisations for action during the 2016-2020 term of the ACT Government:</w:t>
      </w:r>
    </w:p>
    <w:p w14:paraId="57DB699C" w14:textId="0A3BE883" w:rsidR="00990991" w:rsidRPr="00990991" w:rsidRDefault="00990991" w:rsidP="001A258A">
      <w:pPr>
        <w:pStyle w:val="ListBullet"/>
      </w:pPr>
      <w:r w:rsidRPr="00990991">
        <w:t>Increase affordable housing for households in the bottom 40</w:t>
      </w:r>
      <w:r w:rsidR="00927277">
        <w:t>%</w:t>
      </w:r>
      <w:r w:rsidRPr="00990991">
        <w:t xml:space="preserve"> income quintiles and increased supply of housing which is accessible for and visitable by people with disabilities</w:t>
      </w:r>
    </w:p>
    <w:p w14:paraId="176F7B3D" w14:textId="77777777" w:rsidR="00990991" w:rsidRPr="00990991" w:rsidRDefault="00990991" w:rsidP="001A258A">
      <w:pPr>
        <w:pStyle w:val="ListBullet"/>
      </w:pPr>
      <w:r w:rsidRPr="00990991">
        <w:t>Develop transport services that are accessible, affordable and fit for purpose</w:t>
      </w:r>
    </w:p>
    <w:p w14:paraId="2AD7866A" w14:textId="77777777" w:rsidR="00990991" w:rsidRPr="00990991" w:rsidRDefault="00990991" w:rsidP="001A258A">
      <w:pPr>
        <w:pStyle w:val="ListBullet"/>
      </w:pPr>
      <w:r w:rsidRPr="00990991">
        <w:t xml:space="preserve">Reduce violence and improve support for people recovering from trauma </w:t>
      </w:r>
    </w:p>
    <w:p w14:paraId="294C4D47" w14:textId="77777777" w:rsidR="00990991" w:rsidRPr="00990991" w:rsidRDefault="00990991" w:rsidP="001A258A">
      <w:pPr>
        <w:pStyle w:val="ListBullet"/>
      </w:pPr>
      <w:r w:rsidRPr="00990991">
        <w:t>Develop a comprehensive Disability Strategy</w:t>
      </w:r>
    </w:p>
    <w:p w14:paraId="6F3D5C2E" w14:textId="77777777" w:rsidR="00990991" w:rsidRPr="00990991" w:rsidRDefault="00990991" w:rsidP="001A258A">
      <w:pPr>
        <w:pStyle w:val="ListBullet"/>
      </w:pPr>
      <w:r w:rsidRPr="00990991">
        <w:t>Develop a comprehensive Carer Strategy</w:t>
      </w:r>
    </w:p>
    <w:p w14:paraId="2006442D" w14:textId="39287234" w:rsidR="00990991" w:rsidRPr="00990991" w:rsidRDefault="00990991" w:rsidP="001A258A">
      <w:pPr>
        <w:pStyle w:val="ListBullet"/>
      </w:pPr>
      <w:r w:rsidRPr="00990991">
        <w:t>Support ongoing implementation and further development of the ACT Government agreement with the Aboriginal and</w:t>
      </w:r>
      <w:r w:rsidR="00CE4BE9">
        <w:t>/or</w:t>
      </w:r>
      <w:r w:rsidRPr="00990991">
        <w:t xml:space="preserve"> Torres Strait Islander community</w:t>
      </w:r>
    </w:p>
    <w:p w14:paraId="2B7248BE" w14:textId="77777777" w:rsidR="00990991" w:rsidRPr="00990991" w:rsidRDefault="00990991" w:rsidP="001A258A">
      <w:pPr>
        <w:pStyle w:val="ListBullet"/>
      </w:pPr>
      <w:r w:rsidRPr="00990991">
        <w:t>Develop an inclusive community-consulted and led multicultural policy</w:t>
      </w:r>
    </w:p>
    <w:p w14:paraId="5A5D650F" w14:textId="5FB20CDB" w:rsidR="00990991" w:rsidRPr="00990991" w:rsidRDefault="00990991" w:rsidP="001A258A">
      <w:pPr>
        <w:pStyle w:val="ListBullet"/>
      </w:pPr>
      <w:r w:rsidRPr="00990991">
        <w:t>Support volunteering as a key strategy to improve community wellbeing</w:t>
      </w:r>
    </w:p>
    <w:p w14:paraId="4BFAC797" w14:textId="77777777" w:rsidR="00990991" w:rsidRPr="00990991" w:rsidRDefault="00990991" w:rsidP="001A258A">
      <w:pPr>
        <w:pStyle w:val="ListBullet"/>
      </w:pPr>
      <w:r w:rsidRPr="00990991">
        <w:t>Build and sustain independent non-government organisations that enable self-determination and community control</w:t>
      </w:r>
    </w:p>
    <w:p w14:paraId="6EC7CF35" w14:textId="6B7CBD11" w:rsidR="00990991" w:rsidRPr="00990991" w:rsidRDefault="00990991" w:rsidP="001A258A">
      <w:pPr>
        <w:pStyle w:val="ListBullet"/>
      </w:pPr>
      <w:r w:rsidRPr="00990991">
        <w:t>Develop a fit</w:t>
      </w:r>
      <w:r w:rsidR="00CE4BE9">
        <w:t>-</w:t>
      </w:r>
      <w:r w:rsidRPr="00990991">
        <w:t>for</w:t>
      </w:r>
      <w:r w:rsidR="00497C0C">
        <w:t>-</w:t>
      </w:r>
      <w:r w:rsidRPr="00990991">
        <w:t>purpose service procurement framework.</w:t>
      </w:r>
    </w:p>
    <w:p w14:paraId="02651EEA" w14:textId="4461F24D" w:rsidR="00990991" w:rsidRPr="00541E4C" w:rsidRDefault="00990991" w:rsidP="001A258A">
      <w:pPr>
        <w:pStyle w:val="Body"/>
      </w:pPr>
      <w:r w:rsidRPr="00990991">
        <w:t>In ACTCOSS’ submission to the 2019-20 ACT Budget</w:t>
      </w:r>
      <w:r w:rsidR="00497C0C">
        <w:t>,</w:t>
      </w:r>
      <w:r w:rsidRPr="00990991">
        <w:t xml:space="preserve"> we identified the need for new investment in community infrastructure, services and development; Aboriginal and/or Torres Strait Islander self-determination; sexual, domestic and family violence services; and ensuring decent wages in community services don’t reduce supply of services to people in need. The submission also identified the need to ensure effective delivery of current commitments in relation to housing and homelessness</w:t>
      </w:r>
      <w:r w:rsidR="007965B8">
        <w:t>,</w:t>
      </w:r>
      <w:r w:rsidRPr="00990991">
        <w:t xml:space="preserve"> disability</w:t>
      </w:r>
      <w:r w:rsidR="007965B8">
        <w:t>,</w:t>
      </w:r>
      <w:r w:rsidRPr="00990991">
        <w:t xml:space="preserve"> family and children’s services</w:t>
      </w:r>
      <w:r w:rsidR="007965B8">
        <w:t>,</w:t>
      </w:r>
      <w:r w:rsidRPr="00990991">
        <w:t xml:space="preserve"> volunteering and the </w:t>
      </w:r>
      <w:r w:rsidRPr="00541E4C">
        <w:t>ACT Community Services Industry Strategy 2016-2026.</w:t>
      </w:r>
    </w:p>
    <w:p w14:paraId="7C5FB7D1" w14:textId="1A294460" w:rsidR="00990991" w:rsidRPr="001A258A" w:rsidRDefault="00990991" w:rsidP="001A258A">
      <w:pPr>
        <w:pStyle w:val="Body"/>
      </w:pPr>
      <w:r w:rsidRPr="00990991">
        <w:t>In December 2018</w:t>
      </w:r>
      <w:r w:rsidR="007965B8">
        <w:t>,</w:t>
      </w:r>
      <w:r w:rsidRPr="00990991">
        <w:t xml:space="preserve"> the Chief Minister gave a headline speech outlining his </w:t>
      </w:r>
      <w:r w:rsidR="007965B8">
        <w:t>g</w:t>
      </w:r>
      <w:r w:rsidRPr="00990991">
        <w:t>overnment’s priorities for the second half of their term. The Chief Minister said reliable services were essential parts of a good life. He recognised the importance of affordable housing to being a liveable city. He also spoke about the importance of creating a community that looks after its own.</w:t>
      </w:r>
    </w:p>
    <w:p w14:paraId="7F1BD1B3" w14:textId="21686965" w:rsidR="00990991" w:rsidRPr="00990991" w:rsidRDefault="00990991" w:rsidP="001A258A">
      <w:pPr>
        <w:pStyle w:val="Body"/>
      </w:pPr>
      <w:r w:rsidRPr="00990991">
        <w:t>We welcome the children, youth and families investments including $1.74 million over four years to strengthen services for Aboriginal and</w:t>
      </w:r>
      <w:r w:rsidR="00467203">
        <w:t>/or</w:t>
      </w:r>
      <w:r w:rsidRPr="00990991">
        <w:t xml:space="preserve"> Torres Strait Islander children and young people. We’re pleased to see that this investment will go towards continuing to implement the </w:t>
      </w:r>
      <w:r w:rsidRPr="00BF33C1">
        <w:t xml:space="preserve">Our </w:t>
      </w:r>
      <w:proofErr w:type="spellStart"/>
      <w:r w:rsidRPr="00BF33C1">
        <w:t>Booris</w:t>
      </w:r>
      <w:proofErr w:type="spellEnd"/>
      <w:r w:rsidRPr="00BF33C1">
        <w:t>, Our Way review and the National Aboriginal and Torres Strait Islander Child Placement Principles within policy, practice and training. We also welcome th</w:t>
      </w:r>
      <w:r w:rsidRPr="00990991">
        <w:t>e significant investment of $39.75 million over four years to support sustainable out of home care (</w:t>
      </w:r>
      <w:proofErr w:type="spellStart"/>
      <w:r w:rsidRPr="00990991">
        <w:t>OOHC</w:t>
      </w:r>
      <w:proofErr w:type="spellEnd"/>
      <w:r w:rsidRPr="00990991">
        <w:t>) placements.</w:t>
      </w:r>
    </w:p>
    <w:p w14:paraId="6948ABD9" w14:textId="77777777" w:rsidR="00990991" w:rsidRPr="00990991" w:rsidRDefault="00990991" w:rsidP="001A258A">
      <w:pPr>
        <w:pStyle w:val="Body"/>
      </w:pPr>
      <w:r w:rsidRPr="00990991">
        <w:t xml:space="preserve">ACTCOSS recently engaged with ACT Government </w:t>
      </w:r>
      <w:proofErr w:type="spellStart"/>
      <w:r w:rsidRPr="00990991">
        <w:t>OOHC</w:t>
      </w:r>
      <w:proofErr w:type="spellEnd"/>
      <w:r w:rsidRPr="00990991">
        <w:t xml:space="preserve"> policy and procedures through the consultation on adoption reform – dispensing with parental consent. We noted that increasing permanency and stability for children and young people in the </w:t>
      </w:r>
      <w:proofErr w:type="spellStart"/>
      <w:r w:rsidRPr="00990991">
        <w:t>OOHC</w:t>
      </w:r>
      <w:proofErr w:type="spellEnd"/>
      <w:r w:rsidRPr="00990991">
        <w:t xml:space="preserve"> system should be developed with input from the community sector, carers, young people (with experience of the system), and population groups at risk of perverse outcomes. </w:t>
      </w:r>
    </w:p>
    <w:p w14:paraId="23F58C5C" w14:textId="7689059C" w:rsidR="00990991" w:rsidRPr="00990991" w:rsidRDefault="00990991" w:rsidP="001A258A">
      <w:pPr>
        <w:pStyle w:val="Body"/>
      </w:pPr>
      <w:r w:rsidRPr="00990991">
        <w:t xml:space="preserve">ACTCOSS also wants to see adoption of best practice in scrutiny and oversight of decisions in the care and protection system, including provision of </w:t>
      </w:r>
      <w:r w:rsidR="0048490A">
        <w:t xml:space="preserve">greater transparency, </w:t>
      </w:r>
      <w:r w:rsidR="00F75C0C">
        <w:t xml:space="preserve">review of decisions, </w:t>
      </w:r>
      <w:r w:rsidRPr="00990991">
        <w:t xml:space="preserve">more advocacy and legal representation for people subject to constraints on their rights under the </w:t>
      </w:r>
      <w:r w:rsidRPr="00F75C0C">
        <w:rPr>
          <w:i/>
          <w:iCs/>
        </w:rPr>
        <w:t>Children and Young People Act</w:t>
      </w:r>
      <w:r w:rsidR="00F75C0C" w:rsidRPr="00F75C0C">
        <w:rPr>
          <w:i/>
          <w:iCs/>
        </w:rPr>
        <w:t xml:space="preserve"> 2008</w:t>
      </w:r>
      <w:r w:rsidR="00F75C0C">
        <w:t xml:space="preserve"> (ACT)</w:t>
      </w:r>
      <w:r w:rsidRPr="00990991">
        <w:t>.</w:t>
      </w:r>
    </w:p>
    <w:p w14:paraId="1E1667D0" w14:textId="77777777" w:rsidR="00990991" w:rsidRPr="00990991" w:rsidRDefault="00990991" w:rsidP="001A258A">
      <w:pPr>
        <w:pStyle w:val="Body"/>
      </w:pPr>
      <w:r w:rsidRPr="00990991">
        <w:t xml:space="preserve">In the spirit of </w:t>
      </w:r>
      <w:r w:rsidRPr="00BF33C1">
        <w:t xml:space="preserve">Building Communities, Not Prisons, </w:t>
      </w:r>
      <w:proofErr w:type="spellStart"/>
      <w:r w:rsidRPr="00BF33C1">
        <w:t>Bimberi</w:t>
      </w:r>
      <w:proofErr w:type="spellEnd"/>
      <w:r w:rsidRPr="00990991">
        <w:t xml:space="preserve"> Youth Justice Centre needs to become less of a closed institution. The funding for additional CCTV cameras is welcomed as a security measure, but additional investment is required to address the need for preventive measures to improve the safety of residents and staff.</w:t>
      </w:r>
    </w:p>
    <w:p w14:paraId="5C99477D" w14:textId="5851D82D" w:rsidR="00990991" w:rsidRPr="00990991" w:rsidRDefault="00990991" w:rsidP="001A258A">
      <w:pPr>
        <w:pStyle w:val="Body"/>
      </w:pPr>
      <w:r w:rsidRPr="00990991">
        <w:t>ACTCOSS welcomes the investment of an additional $40.57 million over four years to support people with disability as</w:t>
      </w:r>
      <w:r w:rsidR="00B906EF">
        <w:t xml:space="preserve"> the</w:t>
      </w:r>
      <w:r w:rsidRPr="00990991">
        <w:t xml:space="preserve"> ACT fully transitions to the </w:t>
      </w:r>
      <w:r w:rsidR="003B291B">
        <w:t>National Disability Insurance Scheme (</w:t>
      </w:r>
      <w:r w:rsidRPr="00990991">
        <w:t>NDIS</w:t>
      </w:r>
      <w:r w:rsidR="003B291B">
        <w:t>)</w:t>
      </w:r>
      <w:r w:rsidR="00B906EF">
        <w:t>,</w:t>
      </w:r>
      <w:r w:rsidRPr="00990991">
        <w:t xml:space="preserve"> including maintaining the:</w:t>
      </w:r>
    </w:p>
    <w:p w14:paraId="7F5877B3" w14:textId="77777777" w:rsidR="00990991" w:rsidRPr="00990991" w:rsidRDefault="00990991" w:rsidP="001A258A">
      <w:pPr>
        <w:pStyle w:val="ListBullet"/>
      </w:pPr>
      <w:r w:rsidRPr="00990991">
        <w:t>Children and Young People’s Equipment Loan Scheme</w:t>
      </w:r>
    </w:p>
    <w:p w14:paraId="7FF50070" w14:textId="77777777" w:rsidR="00990991" w:rsidRPr="00990991" w:rsidRDefault="00990991" w:rsidP="001A258A">
      <w:pPr>
        <w:pStyle w:val="ListBullet"/>
      </w:pPr>
      <w:r w:rsidRPr="00990991">
        <w:t>Child Development Service</w:t>
      </w:r>
    </w:p>
    <w:p w14:paraId="751ED6F9" w14:textId="77777777" w:rsidR="00990991" w:rsidRPr="00990991" w:rsidRDefault="00990991" w:rsidP="001A258A">
      <w:pPr>
        <w:pStyle w:val="ListBullet"/>
      </w:pPr>
      <w:r w:rsidRPr="00990991">
        <w:t>ACT Taxi Subsidy Scheme</w:t>
      </w:r>
    </w:p>
    <w:p w14:paraId="3B2A0C43" w14:textId="77777777" w:rsidR="00990991" w:rsidRPr="00990991" w:rsidRDefault="00990991" w:rsidP="001A258A">
      <w:pPr>
        <w:pStyle w:val="ListBullet"/>
      </w:pPr>
      <w:r w:rsidRPr="00990991">
        <w:t>Rehabilitation, Aged and Community Care</w:t>
      </w:r>
    </w:p>
    <w:p w14:paraId="57253F47" w14:textId="77777777" w:rsidR="00990991" w:rsidRPr="00990991" w:rsidRDefault="00990991" w:rsidP="001A258A">
      <w:pPr>
        <w:pStyle w:val="ListBullet"/>
      </w:pPr>
      <w:r w:rsidRPr="00990991">
        <w:t xml:space="preserve">Integrated Service Response Program. </w:t>
      </w:r>
    </w:p>
    <w:p w14:paraId="4AF977EF" w14:textId="5A29B443" w:rsidR="00990991" w:rsidRPr="00990991" w:rsidRDefault="00990991" w:rsidP="001A258A">
      <w:pPr>
        <w:pStyle w:val="Body"/>
      </w:pPr>
      <w:r w:rsidRPr="00990991">
        <w:t>This funding is all for ACT Government delivered programs. There remains a need for continued funding to community</w:t>
      </w:r>
      <w:r w:rsidR="003B291B">
        <w:t>-</w:t>
      </w:r>
      <w:r w:rsidRPr="00990991">
        <w:t>led organisations filling gaps and meeting demonstrated community needs that are not receiving NDIS funding.</w:t>
      </w:r>
    </w:p>
    <w:p w14:paraId="5F7AF04D" w14:textId="77777777" w:rsidR="00990991" w:rsidRPr="00990991" w:rsidRDefault="00990991" w:rsidP="001A258A">
      <w:pPr>
        <w:pStyle w:val="Body"/>
      </w:pPr>
      <w:r w:rsidRPr="00990991">
        <w:t>We welcome the investment in improving frontline services through the Safer Families Levy by:</w:t>
      </w:r>
    </w:p>
    <w:p w14:paraId="0A61AA12" w14:textId="574F1324" w:rsidR="00990991" w:rsidRPr="00990991" w:rsidRDefault="00990991" w:rsidP="001A258A">
      <w:pPr>
        <w:pStyle w:val="ListBullet"/>
      </w:pPr>
      <w:r w:rsidRPr="00990991">
        <w:t>Delivering family-centred responses for Aboriginal and</w:t>
      </w:r>
      <w:r w:rsidR="003B291B">
        <w:t>/or</w:t>
      </w:r>
      <w:r w:rsidRPr="00990991">
        <w:t xml:space="preserve"> Torres Strait Islander families impacted by family violence</w:t>
      </w:r>
    </w:p>
    <w:p w14:paraId="5FC61DD3" w14:textId="77777777" w:rsidR="00990991" w:rsidRPr="00990991" w:rsidRDefault="00990991" w:rsidP="001A258A">
      <w:pPr>
        <w:pStyle w:val="ListBullet"/>
      </w:pPr>
      <w:r w:rsidRPr="00990991">
        <w:t>Extending the Family Safety Hub legal services pilot</w:t>
      </w:r>
    </w:p>
    <w:p w14:paraId="4E7304B6" w14:textId="77777777" w:rsidR="00990991" w:rsidRPr="00990991" w:rsidRDefault="00990991" w:rsidP="001A258A">
      <w:pPr>
        <w:pStyle w:val="ListBullet"/>
      </w:pPr>
      <w:r w:rsidRPr="00990991">
        <w:t>Extending the Room4Change program to help prevent family violence</w:t>
      </w:r>
    </w:p>
    <w:p w14:paraId="2D88AAE3" w14:textId="77777777" w:rsidR="00990991" w:rsidRPr="00990991" w:rsidRDefault="00990991" w:rsidP="001A258A">
      <w:pPr>
        <w:pStyle w:val="ListBullet"/>
      </w:pPr>
      <w:r w:rsidRPr="00990991">
        <w:t>Reducing the risk of deaths from family violence</w:t>
      </w:r>
    </w:p>
    <w:p w14:paraId="6F108819" w14:textId="77777777" w:rsidR="00990991" w:rsidRPr="00990991" w:rsidRDefault="00990991" w:rsidP="001A258A">
      <w:pPr>
        <w:pStyle w:val="ListBullet"/>
      </w:pPr>
      <w:r w:rsidRPr="00990991">
        <w:t>Training ACT Government frontline workers to respond to family violence.</w:t>
      </w:r>
    </w:p>
    <w:p w14:paraId="68422BC7" w14:textId="41966E16" w:rsidR="00990991" w:rsidRPr="00990991" w:rsidRDefault="00990991" w:rsidP="001A258A">
      <w:pPr>
        <w:pStyle w:val="Body"/>
      </w:pPr>
      <w:r w:rsidRPr="00990991">
        <w:t>However, there remains a need for investment in relation to sexual, domestic and family violence beyond the investment in the Safer Families Levy. This includes investment in women’s crisis support services, addressing children’s needs in domestic and family violence, and research into specialised and evidence-based programs for sexual, domestic and family violence support</w:t>
      </w:r>
      <w:r w:rsidR="00643187">
        <w:t xml:space="preserve"> (</w:t>
      </w:r>
      <w:proofErr w:type="spellStart"/>
      <w:r w:rsidR="00643187">
        <w:t>DVF</w:t>
      </w:r>
      <w:proofErr w:type="spellEnd"/>
      <w:r w:rsidR="00643187">
        <w:t>)</w:t>
      </w:r>
      <w:r w:rsidRPr="00990991">
        <w:t>. There is also a gap in provision of community sector workforce learning and development alongside this significant investment in government workers.</w:t>
      </w:r>
    </w:p>
    <w:p w14:paraId="4D966582" w14:textId="412ED2E1" w:rsidR="00990991" w:rsidRPr="00990991" w:rsidRDefault="00990991" w:rsidP="001A258A">
      <w:pPr>
        <w:pStyle w:val="Body"/>
      </w:pPr>
      <w:r w:rsidRPr="00990991">
        <w:t xml:space="preserve">The Room4Change program aligns with </w:t>
      </w:r>
      <w:r w:rsidR="00AE5098">
        <w:t xml:space="preserve">the </w:t>
      </w:r>
      <w:r w:rsidRPr="00990991">
        <w:t>ACTCOSS ask around whole-of-family support</w:t>
      </w:r>
      <w:r w:rsidR="00C17172">
        <w:t xml:space="preserve">, and some </w:t>
      </w:r>
      <w:r w:rsidR="006574B5">
        <w:t xml:space="preserve">community </w:t>
      </w:r>
      <w:r w:rsidR="00C17172">
        <w:t xml:space="preserve">organisations (e.g. </w:t>
      </w:r>
      <w:proofErr w:type="spellStart"/>
      <w:r w:rsidR="00C17172">
        <w:t>Mens</w:t>
      </w:r>
      <w:r w:rsidR="00381F9C">
        <w:t>link</w:t>
      </w:r>
      <w:proofErr w:type="spellEnd"/>
      <w:r w:rsidR="00381F9C">
        <w:t xml:space="preserve">) currently work with </w:t>
      </w:r>
      <w:r w:rsidR="006574B5">
        <w:t xml:space="preserve">children who </w:t>
      </w:r>
      <w:r w:rsidR="00A04D6F">
        <w:t xml:space="preserve">have </w:t>
      </w:r>
      <w:r w:rsidR="006574B5">
        <w:t>experience</w:t>
      </w:r>
      <w:r w:rsidR="00A04D6F">
        <w:t>d</w:t>
      </w:r>
      <w:r w:rsidR="006574B5">
        <w:t xml:space="preserve"> family violence at home.</w:t>
      </w:r>
      <w:r w:rsidRPr="00990991">
        <w:t xml:space="preserve"> There is still a need for </w:t>
      </w:r>
      <w:r w:rsidR="00C17172">
        <w:t xml:space="preserve">further </w:t>
      </w:r>
      <w:r w:rsidRPr="00990991">
        <w:t>funding for frontline services to resource their work with children of women who have experienced domestic and family violence.</w:t>
      </w:r>
    </w:p>
    <w:p w14:paraId="1DC0FB81" w14:textId="77777777" w:rsidR="00990991" w:rsidRPr="00990991" w:rsidRDefault="00990991" w:rsidP="001A258A">
      <w:pPr>
        <w:pStyle w:val="Body"/>
      </w:pPr>
      <w:r w:rsidRPr="00990991">
        <w:t>As stated in our submission on the ACT Family Violence Death Review (</w:t>
      </w:r>
      <w:proofErr w:type="spellStart"/>
      <w:r w:rsidRPr="00990991">
        <w:t>FVDR</w:t>
      </w:r>
      <w:proofErr w:type="spellEnd"/>
      <w:r w:rsidRPr="00990991">
        <w:t xml:space="preserve">) model, ACTCOSS proposes the </w:t>
      </w:r>
      <w:proofErr w:type="spellStart"/>
      <w:r w:rsidRPr="00990991">
        <w:t>FVDR</w:t>
      </w:r>
      <w:proofErr w:type="spellEnd"/>
      <w:r w:rsidRPr="00990991">
        <w:t xml:space="preserve"> be located in the Coroner’s Court. Resources will also need to be provided for community sector analysis and implementation of any recommendations from the death reviews.</w:t>
      </w:r>
    </w:p>
    <w:p w14:paraId="0F7D3E16" w14:textId="0FE412A5" w:rsidR="00990991" w:rsidRPr="00990991" w:rsidRDefault="00990991" w:rsidP="001A258A">
      <w:pPr>
        <w:pStyle w:val="Body"/>
      </w:pPr>
      <w:r w:rsidRPr="00990991">
        <w:t>While welcoming investment in training of ACT Government frontline workers to respond to family violence, there is also a need to invest in frontline services who might need to respond to an increase in demand through referrals or requests for support.</w:t>
      </w:r>
      <w:r w:rsidR="00BC574F">
        <w:t xml:space="preserve"> </w:t>
      </w:r>
      <w:r w:rsidR="0095231B">
        <w:t xml:space="preserve">Investment in training </w:t>
      </w:r>
      <w:r w:rsidR="00D54FAA">
        <w:t>of c</w:t>
      </w:r>
      <w:r w:rsidR="000A4EAF">
        <w:t xml:space="preserve">ommunity service organisation </w:t>
      </w:r>
      <w:r w:rsidR="00D54FAA">
        <w:t>frontline workers (</w:t>
      </w:r>
      <w:r w:rsidR="006A292A">
        <w:t>other than</w:t>
      </w:r>
      <w:r w:rsidR="00D54FAA">
        <w:t xml:space="preserve"> </w:t>
      </w:r>
      <w:proofErr w:type="spellStart"/>
      <w:r w:rsidR="00D54FAA">
        <w:t>DFV</w:t>
      </w:r>
      <w:proofErr w:type="spellEnd"/>
      <w:r w:rsidR="00D54FAA">
        <w:t xml:space="preserve"> services) </w:t>
      </w:r>
      <w:r w:rsidR="00C0005A">
        <w:t xml:space="preserve">– for example, alcohol and drug services, </w:t>
      </w:r>
      <w:r w:rsidR="006A292A">
        <w:t>and</w:t>
      </w:r>
      <w:r w:rsidR="00C0005A">
        <w:t xml:space="preserve"> homelessness services – would </w:t>
      </w:r>
      <w:r w:rsidR="004852D7">
        <w:t xml:space="preserve">also be of value as these are often the services where people experiencing </w:t>
      </w:r>
      <w:proofErr w:type="spellStart"/>
      <w:r w:rsidR="004852D7">
        <w:t>DFV</w:t>
      </w:r>
      <w:proofErr w:type="spellEnd"/>
      <w:r w:rsidR="00C0005A">
        <w:t xml:space="preserve"> </w:t>
      </w:r>
      <w:r w:rsidR="00EA0189">
        <w:t xml:space="preserve">go for assistance. In doing so, training should be tailored to </w:t>
      </w:r>
      <w:r w:rsidR="00E9242E">
        <w:t>people’s work setting.</w:t>
      </w:r>
    </w:p>
    <w:p w14:paraId="52C38AA3" w14:textId="10133761" w:rsidR="00990991" w:rsidRPr="00990991" w:rsidRDefault="00990991" w:rsidP="001A258A">
      <w:pPr>
        <w:pStyle w:val="Body"/>
      </w:pPr>
      <w:r w:rsidRPr="00990991">
        <w:t xml:space="preserve">We are disappointed that the 2019-20 ACT Budget does not include any additional investment in financial counselling to keep pace with demand, although we note the </w:t>
      </w:r>
      <w:r w:rsidR="005076AA">
        <w:t>Justice and Community Safety (</w:t>
      </w:r>
      <w:proofErr w:type="spellStart"/>
      <w:r w:rsidRPr="00990991">
        <w:t>JaCS</w:t>
      </w:r>
      <w:proofErr w:type="spellEnd"/>
      <w:r w:rsidR="005076AA">
        <w:t>)</w:t>
      </w:r>
      <w:r w:rsidRPr="00990991">
        <w:t xml:space="preserve"> funding will contribute to financial counsellors working with people affected by family violence and financial abuse. There continues to be a significant gap with the ‘missing middle’ of middle-income earners not covered by current funding; and no capacity to provide financial counselling services for Alexander Maconochie Centre (AMC) detainees. </w:t>
      </w:r>
    </w:p>
    <w:p w14:paraId="32AA7558" w14:textId="1841DF4F" w:rsidR="00990991" w:rsidRPr="00990991" w:rsidRDefault="00990991" w:rsidP="001A258A">
      <w:pPr>
        <w:pStyle w:val="Body"/>
      </w:pPr>
      <w:r w:rsidRPr="00990991">
        <w:t>In our submission to the 2019-20 ACT Budget</w:t>
      </w:r>
      <w:r w:rsidR="005A49FD">
        <w:t>,</w:t>
      </w:r>
      <w:r w:rsidRPr="00990991">
        <w:t xml:space="preserve"> we identified the need for new investment in ‘municipal level community infrastructure and community development’. While the 2019-20 ACT Budget provides some welcome new investment in community infrastructure, there is no new investment in community development that builds social connections, inclusion and community cohesion. Good community development creates the foundations for growth in both economic capital and social justice. Community services organisations are best placed to deliver community development activities for regions and particular groups, consistent with their mandate, membership and community linkages. Dedicating resources to building the community development workforce and resources to support both self-led and facilitated community development will be vital to building social wellbeing in all locations, for all people.</w:t>
      </w:r>
    </w:p>
    <w:p w14:paraId="50647A8C" w14:textId="65CD636A" w:rsidR="00837F09" w:rsidRPr="00837F09" w:rsidRDefault="00990991" w:rsidP="00837F09">
      <w:pPr>
        <w:pStyle w:val="Body"/>
      </w:pPr>
      <w:r w:rsidRPr="00990991">
        <w:t>Investment in municipal</w:t>
      </w:r>
      <w:r w:rsidR="001862BB">
        <w:t>-</w:t>
      </w:r>
      <w:r w:rsidRPr="00990991">
        <w:t>level community development remains a missing component of efforts across the ACT Government to ensure people affected by poverty and inequality can build informal networks of support, express their views, influence decisions that impact on their lives and future opportunities, shape the service system, and influence the priorities of government.</w:t>
      </w:r>
    </w:p>
    <w:p w14:paraId="0B610C87" w14:textId="136BD60B" w:rsidR="00400A85" w:rsidRPr="00990991" w:rsidRDefault="00C04BEC" w:rsidP="001A258A">
      <w:pPr>
        <w:pStyle w:val="Body"/>
      </w:pPr>
      <w:r>
        <w:t>Earlier this year</w:t>
      </w:r>
      <w:r w:rsidR="001862BB">
        <w:t>,</w:t>
      </w:r>
      <w:r>
        <w:t xml:space="preserve"> Canberra joined </w:t>
      </w:r>
      <w:r w:rsidRPr="00BF33C1">
        <w:t>the Welcoming Cities</w:t>
      </w:r>
      <w:r>
        <w:t xml:space="preserve"> network</w:t>
      </w:r>
      <w:r w:rsidR="00EC7F15">
        <w:t xml:space="preserve"> </w:t>
      </w:r>
      <w:r w:rsidR="00B56249">
        <w:t xml:space="preserve">with the ACT Government claiming a </w:t>
      </w:r>
      <w:r w:rsidR="00EC7F15" w:rsidRPr="00EC7F15">
        <w:t>national leadership role in supporting diversity and ensuring all members of our community feel included, welcomed and having a sense of belonging.</w:t>
      </w:r>
      <w:r w:rsidR="00B56249">
        <w:t xml:space="preserve"> </w:t>
      </w:r>
      <w:r w:rsidR="00FC4E93">
        <w:t xml:space="preserve">What </w:t>
      </w:r>
      <w:r w:rsidR="00323D7E">
        <w:t xml:space="preserve">is needed to fulfil this promise is </w:t>
      </w:r>
      <w:r w:rsidR="00C2343D">
        <w:t>for ACT Government to support community-led multicultural policy</w:t>
      </w:r>
      <w:r w:rsidR="00C841AD">
        <w:t xml:space="preserve"> that listens to, understands and commits to addressing the priorities and needs of Canberra’s multicultural communities.</w:t>
      </w:r>
    </w:p>
    <w:p w14:paraId="39BE34EF" w14:textId="460F9FED" w:rsidR="00990991" w:rsidRPr="00990991" w:rsidRDefault="00990991" w:rsidP="001A258A">
      <w:pPr>
        <w:pStyle w:val="Body"/>
      </w:pPr>
      <w:r w:rsidRPr="00990991">
        <w:t xml:space="preserve">We remain disappointed that the ACT Government has not invested in the implementation of the </w:t>
      </w:r>
      <w:r w:rsidRPr="00541E4C">
        <w:t>ACT Community Services Industry Strategy 2016-2026. This</w:t>
      </w:r>
      <w:r w:rsidRPr="00990991">
        <w:t xml:space="preserve"> includes a lack of investment in an in-depth community needs assessment targeting specific communities – such an assessment is critical to guiding the development of the community services industry in line with community need.</w:t>
      </w:r>
      <w:r w:rsidR="005F12E7">
        <w:t xml:space="preserve"> Such assessment should also </w:t>
      </w:r>
      <w:r w:rsidR="00006F46">
        <w:t>include an assessment of community assets, with appropriate benchmark</w:t>
      </w:r>
      <w:r w:rsidR="007D7FF8">
        <w:t>ing in line with community needs and expectations.</w:t>
      </w:r>
    </w:p>
    <w:p w14:paraId="51019A20" w14:textId="0FD80F49" w:rsidR="00FF0C82" w:rsidRPr="00FF0C82" w:rsidRDefault="00990991" w:rsidP="00FF0C82">
      <w:pPr>
        <w:pStyle w:val="Body"/>
      </w:pPr>
      <w:r w:rsidRPr="00990991">
        <w:t>There also remains a need for funding to implement the ACT Volunteering Statement Action Plan 2018-</w:t>
      </w:r>
      <w:r w:rsidR="00A45A7A">
        <w:t>20</w:t>
      </w:r>
      <w:r w:rsidRPr="00990991">
        <w:t>21 and funding in service contracts to cover costs of volunteer engagement, management and ensuring compliance. According to data released by the Australian Charities and Not-for-profits Commission (</w:t>
      </w:r>
      <w:proofErr w:type="spellStart"/>
      <w:r w:rsidRPr="00990991">
        <w:t>ACNC</w:t>
      </w:r>
      <w:proofErr w:type="spellEnd"/>
      <w:r w:rsidRPr="00990991">
        <w:t>), there were over 9,300 volunteers supporting over 300 ACT community service charities in 2016.</w:t>
      </w:r>
    </w:p>
    <w:p w14:paraId="206E3470" w14:textId="070BC3FF" w:rsidR="001C452A" w:rsidRDefault="00BD21D9" w:rsidP="001A258A">
      <w:pPr>
        <w:pStyle w:val="Body"/>
      </w:pPr>
      <w:r>
        <w:t xml:space="preserve">It is disappointing that there </w:t>
      </w:r>
      <w:r w:rsidR="00284205">
        <w:t>is</w:t>
      </w:r>
      <w:r>
        <w:t xml:space="preserve"> very </w:t>
      </w:r>
      <w:r w:rsidR="00284205">
        <w:t>limited</w:t>
      </w:r>
      <w:r>
        <w:t xml:space="preserve"> investment in initiatives for </w:t>
      </w:r>
      <w:r w:rsidR="00F84ADF">
        <w:t>older people in the ACT</w:t>
      </w:r>
      <w:r w:rsidR="00284205">
        <w:t xml:space="preserve">. </w:t>
      </w:r>
      <w:r w:rsidR="00AD7CD9">
        <w:t>As the ACT population is ageing</w:t>
      </w:r>
      <w:r w:rsidR="00493A91">
        <w:t>,</w:t>
      </w:r>
      <w:r w:rsidR="00AD7CD9">
        <w:t xml:space="preserve"> it is critical that the ACT Government </w:t>
      </w:r>
      <w:r w:rsidR="00DB257E">
        <w:t xml:space="preserve">invests in ensuring that Canberra is truly an age-friendly city. This will require investment well beyond </w:t>
      </w:r>
      <w:r w:rsidR="009F2420">
        <w:t>administrat</w:t>
      </w:r>
      <w:r w:rsidR="00B8567C">
        <w:t>ion of the Seniors Card program and Seniors’ Week</w:t>
      </w:r>
      <w:r w:rsidR="00AD7CD9">
        <w:t xml:space="preserve"> </w:t>
      </w:r>
      <w:r w:rsidR="00B8567C">
        <w:t xml:space="preserve">events to ensure that </w:t>
      </w:r>
      <w:r w:rsidR="00D21D48">
        <w:t xml:space="preserve">the wellbeing of </w:t>
      </w:r>
      <w:r w:rsidR="00370DF6">
        <w:t xml:space="preserve">older Canberrans </w:t>
      </w:r>
      <w:r w:rsidR="00D21D48">
        <w:t xml:space="preserve">is improved and that </w:t>
      </w:r>
      <w:r w:rsidR="005D3AA0">
        <w:t>older people</w:t>
      </w:r>
      <w:r w:rsidR="00D21D48">
        <w:t xml:space="preserve"> </w:t>
      </w:r>
      <w:r w:rsidR="00370DF6">
        <w:t xml:space="preserve">have access to </w:t>
      </w:r>
      <w:r w:rsidR="00D21D48">
        <w:t>quality</w:t>
      </w:r>
      <w:r w:rsidR="00370DF6">
        <w:t xml:space="preserve"> services and facilities</w:t>
      </w:r>
      <w:r w:rsidR="005F12E7">
        <w:t xml:space="preserve"> and are connected to their community</w:t>
      </w:r>
      <w:r w:rsidR="00D21D48">
        <w:t>.</w:t>
      </w:r>
      <w:r w:rsidR="00370DF6">
        <w:t xml:space="preserve"> </w:t>
      </w:r>
    </w:p>
    <w:p w14:paraId="4582ADA5" w14:textId="77777777" w:rsidR="00990991" w:rsidRPr="007A3A72" w:rsidRDefault="00990991" w:rsidP="007A3A72">
      <w:pPr>
        <w:pStyle w:val="Heading3"/>
      </w:pPr>
      <w:r w:rsidRPr="007A3A72">
        <w:t>Housing Measures</w:t>
      </w:r>
    </w:p>
    <w:p w14:paraId="414C5B9F" w14:textId="531CD9CF" w:rsidR="00990991" w:rsidRPr="00990991" w:rsidRDefault="00990991" w:rsidP="008F6920">
      <w:pPr>
        <w:pStyle w:val="Body"/>
      </w:pPr>
      <w:r w:rsidRPr="00990991">
        <w:t xml:space="preserve">Late last year ACTCOSS welcomed the announcement in </w:t>
      </w:r>
      <w:r w:rsidRPr="00EC3578">
        <w:t>the ACT Housing Strategy</w:t>
      </w:r>
      <w:r w:rsidRPr="00990991">
        <w:t xml:space="preserve"> of a 15% inclusive zoning requirement in new </w:t>
      </w:r>
      <w:proofErr w:type="spellStart"/>
      <w:r w:rsidRPr="00990991">
        <w:t>greenfields</w:t>
      </w:r>
      <w:proofErr w:type="spellEnd"/>
      <w:r w:rsidRPr="00990991">
        <w:t xml:space="preserve"> and brownfields developments and $100 million investment in public housing which is now included in the 2019-20 ACT Budget. This will see</w:t>
      </w:r>
      <w:r w:rsidR="00DD5DAC">
        <w:t xml:space="preserve"> the</w:t>
      </w:r>
      <w:r w:rsidRPr="00990991">
        <w:t xml:space="preserve"> ACT Government’s public housing stock increase by 200 dwellings over five years alongside renewal of another 1,000 existing public housing properties.</w:t>
      </w:r>
      <w:r w:rsidR="00A01E86">
        <w:t xml:space="preserve"> </w:t>
      </w:r>
      <w:r w:rsidR="008C0468">
        <w:t>While this</w:t>
      </w:r>
      <w:r w:rsidR="00A06688">
        <w:t xml:space="preserve"> increase</w:t>
      </w:r>
      <w:r w:rsidR="008C0468">
        <w:t xml:space="preserve"> is positive in comparison to </w:t>
      </w:r>
      <w:r w:rsidR="007A2184">
        <w:t xml:space="preserve">investment in </w:t>
      </w:r>
      <w:r w:rsidR="00F84A59">
        <w:t xml:space="preserve">public housing </w:t>
      </w:r>
      <w:r w:rsidR="007A2184">
        <w:t>in</w:t>
      </w:r>
      <w:r w:rsidR="008C0468">
        <w:t xml:space="preserve"> </w:t>
      </w:r>
      <w:r w:rsidR="00F84A59">
        <w:t xml:space="preserve">other jurisdictions, </w:t>
      </w:r>
      <w:r w:rsidR="007A2184">
        <w:t xml:space="preserve">it is important </w:t>
      </w:r>
      <w:r w:rsidR="00A06688">
        <w:t xml:space="preserve">that the ACT Government </w:t>
      </w:r>
      <w:r w:rsidR="007A2184">
        <w:t>ensure</w:t>
      </w:r>
      <w:r w:rsidR="00A06688">
        <w:t>s</w:t>
      </w:r>
      <w:r w:rsidR="007A2184">
        <w:t xml:space="preserve"> that </w:t>
      </w:r>
      <w:r w:rsidR="00FA198A">
        <w:t xml:space="preserve">public housing stock keeps up with </w:t>
      </w:r>
      <w:r w:rsidR="006C366E">
        <w:t xml:space="preserve">need </w:t>
      </w:r>
      <w:r w:rsidR="00A06688">
        <w:t xml:space="preserve">in the ACT </w:t>
      </w:r>
      <w:r w:rsidR="006C366E">
        <w:t xml:space="preserve">as </w:t>
      </w:r>
      <w:r w:rsidR="00FA198A">
        <w:t>our population</w:t>
      </w:r>
      <w:r w:rsidR="006C366E">
        <w:t xml:space="preserve"> grows</w:t>
      </w:r>
      <w:r w:rsidR="00A06688">
        <w:t xml:space="preserve"> and as more land is </w:t>
      </w:r>
      <w:r w:rsidR="00383222">
        <w:t>released for development.</w:t>
      </w:r>
      <w:r w:rsidR="006C366E">
        <w:t xml:space="preserve"> </w:t>
      </w:r>
      <w:r w:rsidR="001B0C0C">
        <w:t>When viewed in comparison to the increase in households in the ACT</w:t>
      </w:r>
      <w:r w:rsidR="00DD5DAC">
        <w:t>,</w:t>
      </w:r>
      <w:r w:rsidR="001B0C0C">
        <w:t xml:space="preserve"> the </w:t>
      </w:r>
      <w:r w:rsidR="00095203">
        <w:t xml:space="preserve">current level of investment can be seen as </w:t>
      </w:r>
      <w:r w:rsidR="00377231">
        <w:t xml:space="preserve">more </w:t>
      </w:r>
      <w:r w:rsidR="00095203">
        <w:t xml:space="preserve">modest, and possibly </w:t>
      </w:r>
      <w:r w:rsidR="00377231">
        <w:t>as a reduction relative to the extent of land release.</w:t>
      </w:r>
    </w:p>
    <w:p w14:paraId="2963C3F2" w14:textId="6F31E67D" w:rsidR="00990991" w:rsidRPr="00990991" w:rsidRDefault="00990991" w:rsidP="008F6920">
      <w:pPr>
        <w:pStyle w:val="Body"/>
      </w:pPr>
      <w:r w:rsidRPr="00990991">
        <w:t xml:space="preserve">In implementing the </w:t>
      </w:r>
      <w:r w:rsidRPr="00BB38AA">
        <w:t xml:space="preserve">ACT Housing </w:t>
      </w:r>
      <w:r w:rsidR="00BB38AA" w:rsidRPr="00BB38AA">
        <w:t>Strategy,</w:t>
      </w:r>
      <w:r w:rsidRPr="00BB38AA">
        <w:t xml:space="preserve"> we</w:t>
      </w:r>
      <w:r w:rsidRPr="00990991">
        <w:t xml:space="preserve"> have identified a need for monitoring capacity to ensure strategy targets are delivered. This includes monitoring progress towards the target of 15% of government land releases for public, community and affordable housing, including infill development and new suburbs. ACTCOSS has called for funding to establish and maintain non-government involvement and oversight via a formal mechanism for community, tenant and industry advice to the Minister for Housing. ACTCOSS has also identified a need for further investment in investigating, designing and implementing measures that will sustain the growth of community housing.</w:t>
      </w:r>
    </w:p>
    <w:p w14:paraId="7360E4F1" w14:textId="0C630E47" w:rsidR="00990991" w:rsidRPr="00990991" w:rsidRDefault="00990991" w:rsidP="008F6920">
      <w:pPr>
        <w:pStyle w:val="Body"/>
      </w:pPr>
      <w:r w:rsidRPr="00990991">
        <w:t>ACTCO</w:t>
      </w:r>
      <w:r w:rsidR="00B97519">
        <w:t>S</w:t>
      </w:r>
      <w:r w:rsidRPr="00990991">
        <w:t>S welcomes the investment of $3.04 million in the delivery of a second Common Ground community housing complex in Dickson, as a measure to reduce homelessness in the ACT.</w:t>
      </w:r>
    </w:p>
    <w:p w14:paraId="673BDD12" w14:textId="5D18F7AD" w:rsidR="00990991" w:rsidRPr="00990991" w:rsidRDefault="00990991" w:rsidP="008F6920">
      <w:pPr>
        <w:pStyle w:val="Body"/>
      </w:pPr>
      <w:r w:rsidRPr="00990991">
        <w:t xml:space="preserve">We welcome the investment of $5.90 million in the Justice Housing Program (see commentary on Justice and Community Safety). </w:t>
      </w:r>
      <w:r w:rsidR="00400F54">
        <w:t xml:space="preserve">There remains a need </w:t>
      </w:r>
      <w:r w:rsidR="00761793">
        <w:t xml:space="preserve">for the ACT Government </w:t>
      </w:r>
      <w:r w:rsidR="00400F54">
        <w:t xml:space="preserve">to </w:t>
      </w:r>
      <w:r w:rsidR="00761793">
        <w:t>develop</w:t>
      </w:r>
      <w:r w:rsidR="00A22EA2">
        <w:t xml:space="preserve"> a broader </w:t>
      </w:r>
      <w:r w:rsidR="007A486E">
        <w:t>and more substantial</w:t>
      </w:r>
      <w:r w:rsidR="00A22EA2">
        <w:t xml:space="preserve"> approach to investment </w:t>
      </w:r>
      <w:r w:rsidR="00E511BA">
        <w:t>in</w:t>
      </w:r>
      <w:r w:rsidR="00A22EA2">
        <w:t xml:space="preserve"> housing </w:t>
      </w:r>
      <w:r w:rsidR="003F5A54">
        <w:t>for</w:t>
      </w:r>
      <w:r w:rsidR="00A22EA2">
        <w:t xml:space="preserve"> Aboriginal and/or Torres Strait Islander people</w:t>
      </w:r>
      <w:r w:rsidR="00FE6081">
        <w:t xml:space="preserve"> well beyond </w:t>
      </w:r>
      <w:r w:rsidR="007B42FD">
        <w:t xml:space="preserve">housing </w:t>
      </w:r>
      <w:r w:rsidR="00FE6081">
        <w:t>as an alternative to jail</w:t>
      </w:r>
      <w:r w:rsidR="00D55281">
        <w:t xml:space="preserve">. </w:t>
      </w:r>
      <w:r w:rsidR="007B42FD">
        <w:t>Broader</w:t>
      </w:r>
      <w:r w:rsidR="004101B2">
        <w:t xml:space="preserve"> investment in Aboriginal and/or Torres Strait Islander housing </w:t>
      </w:r>
      <w:r w:rsidR="007B42FD">
        <w:t>must be a priority</w:t>
      </w:r>
      <w:r w:rsidR="00AF475A">
        <w:t xml:space="preserve"> given the </w:t>
      </w:r>
      <w:r w:rsidR="004101B2">
        <w:t>significant</w:t>
      </w:r>
      <w:r w:rsidR="00AF475A">
        <w:t xml:space="preserve"> overrepresentation of Aboriginal and/or Torres Strait Islander people experiencing </w:t>
      </w:r>
      <w:r w:rsidR="007E0F35">
        <w:t>or at risk of</w:t>
      </w:r>
      <w:r w:rsidR="00AF475A">
        <w:t xml:space="preserve"> homelessness</w:t>
      </w:r>
      <w:r w:rsidR="00F51E00">
        <w:t xml:space="preserve"> and </w:t>
      </w:r>
      <w:r w:rsidR="007E0F35">
        <w:t>living</w:t>
      </w:r>
      <w:r w:rsidR="00F51E00">
        <w:t xml:space="preserve"> in low-income households likely to be experiencing housing stress</w:t>
      </w:r>
      <w:r w:rsidR="00FE6081">
        <w:t xml:space="preserve"> in the ACT</w:t>
      </w:r>
      <w:r w:rsidR="00F51E00">
        <w:t>.</w:t>
      </w:r>
    </w:p>
    <w:p w14:paraId="7E9CEE8D" w14:textId="230E8B9A" w:rsidR="00990991" w:rsidRPr="00990991" w:rsidRDefault="00990991" w:rsidP="008F6920">
      <w:pPr>
        <w:pStyle w:val="Body"/>
      </w:pPr>
      <w:r w:rsidRPr="00990991">
        <w:t xml:space="preserve">There remains a need to invest in implementing commitments made in the National Disability Strategy including tangible measures on Universal Housing Design (as mentioned in the Parliamentary </w:t>
      </w:r>
      <w:r w:rsidR="00503EBD">
        <w:t>A</w:t>
      </w:r>
      <w:r w:rsidRPr="00990991">
        <w:t>greement).</w:t>
      </w:r>
    </w:p>
    <w:p w14:paraId="4F7BE6FF" w14:textId="79477398" w:rsidR="00217928" w:rsidRPr="00990991" w:rsidRDefault="00217928" w:rsidP="008F6920">
      <w:pPr>
        <w:pStyle w:val="Body"/>
      </w:pPr>
      <w:r w:rsidRPr="00503EBD">
        <w:t xml:space="preserve">ACTCOSS also notes the lack of ongoing funding for the vital </w:t>
      </w:r>
      <w:r w:rsidR="001E2CC1" w:rsidRPr="00503EBD">
        <w:t>service to assist people living with hoarding disorders</w:t>
      </w:r>
      <w:r w:rsidR="0098703A" w:rsidRPr="00503EBD">
        <w:t xml:space="preserve"> in both public and private housing.</w:t>
      </w:r>
      <w:r>
        <w:t xml:space="preserve"> </w:t>
      </w:r>
    </w:p>
    <w:p w14:paraId="65789074" w14:textId="77777777" w:rsidR="00990991" w:rsidRPr="00990991" w:rsidRDefault="00990991" w:rsidP="00492EFA">
      <w:pPr>
        <w:pStyle w:val="snapTabletitle"/>
        <w:rPr>
          <w:b w:val="0"/>
          <w:bCs w:val="0"/>
        </w:rPr>
      </w:pPr>
      <w:r w:rsidRPr="00990991">
        <w:t>Table 3.2.2: Expense initiatives</w:t>
      </w:r>
    </w:p>
    <w:tbl>
      <w:tblPr>
        <w:tblW w:w="5000" w:type="pct"/>
        <w:tblLayout w:type="fixed"/>
        <w:tblCellMar>
          <w:left w:w="30" w:type="dxa"/>
          <w:right w:w="30" w:type="dxa"/>
        </w:tblCellMar>
        <w:tblLook w:val="0000" w:firstRow="0" w:lastRow="0" w:firstColumn="0" w:lastColumn="0" w:noHBand="0" w:noVBand="0"/>
      </w:tblPr>
      <w:tblGrid>
        <w:gridCol w:w="4990"/>
        <w:gridCol w:w="929"/>
        <w:gridCol w:w="930"/>
        <w:gridCol w:w="929"/>
        <w:gridCol w:w="930"/>
        <w:gridCol w:w="930"/>
      </w:tblGrid>
      <w:tr w:rsidR="00990991" w:rsidRPr="00990991" w14:paraId="49010252" w14:textId="77777777" w:rsidTr="00503EBD">
        <w:trPr>
          <w:cantSplit/>
          <w:trHeight w:val="227"/>
          <w:tblHeader/>
        </w:trPr>
        <w:tc>
          <w:tcPr>
            <w:tcW w:w="4990" w:type="dxa"/>
            <w:tcBorders>
              <w:top w:val="single" w:sz="4" w:space="0" w:color="auto"/>
              <w:left w:val="nil"/>
              <w:bottom w:val="nil"/>
              <w:right w:val="nil"/>
            </w:tcBorders>
            <w:shd w:val="clear" w:color="auto" w:fill="auto"/>
            <w:vAlign w:val="center"/>
          </w:tcPr>
          <w:p w14:paraId="5D4AAE72" w14:textId="77777777" w:rsidR="00990991" w:rsidRPr="00990991" w:rsidRDefault="00990991" w:rsidP="00990991">
            <w:pPr>
              <w:ind w:left="227" w:hanging="227"/>
              <w:rPr>
                <w:rFonts w:ascii="Calibri" w:hAnsi="Calibri"/>
                <w:b/>
                <w:bCs/>
                <w:sz w:val="20"/>
                <w:szCs w:val="20"/>
                <w:lang w:eastAsia="en-AU"/>
              </w:rPr>
            </w:pPr>
            <w:r w:rsidRPr="00990991">
              <w:rPr>
                <w:rFonts w:ascii="Calibri" w:hAnsi="Calibri"/>
                <w:b/>
                <w:bCs/>
                <w:sz w:val="20"/>
                <w:szCs w:val="20"/>
                <w:lang w:eastAsia="en-AU"/>
              </w:rPr>
              <w:t>Expense initiatives</w:t>
            </w:r>
          </w:p>
        </w:tc>
        <w:tc>
          <w:tcPr>
            <w:tcW w:w="929" w:type="dxa"/>
            <w:tcBorders>
              <w:top w:val="single" w:sz="4" w:space="0" w:color="auto"/>
              <w:left w:val="nil"/>
              <w:bottom w:val="nil"/>
              <w:right w:val="nil"/>
            </w:tcBorders>
            <w:shd w:val="clear" w:color="auto" w:fill="auto"/>
            <w:vAlign w:val="bottom"/>
          </w:tcPr>
          <w:p w14:paraId="1513325E" w14:textId="77777777" w:rsidR="00990991" w:rsidRPr="00990991" w:rsidRDefault="00990991" w:rsidP="00990991">
            <w:pPr>
              <w:ind w:left="227" w:hanging="227"/>
              <w:jc w:val="right"/>
              <w:rPr>
                <w:rFonts w:ascii="Calibri" w:hAnsi="Calibri"/>
                <w:b/>
                <w:sz w:val="20"/>
                <w:szCs w:val="24"/>
                <w:lang w:val="x-none" w:eastAsia="en-US"/>
              </w:rPr>
            </w:pPr>
            <w:r w:rsidRPr="00990991">
              <w:rPr>
                <w:rFonts w:ascii="Calibri" w:hAnsi="Calibri"/>
                <w:b/>
                <w:sz w:val="20"/>
                <w:szCs w:val="24"/>
                <w:lang w:val="x-none" w:eastAsia="en-US"/>
              </w:rPr>
              <w:t>2019-20</w:t>
            </w:r>
          </w:p>
          <w:p w14:paraId="1C8009A8" w14:textId="77777777" w:rsidR="00990991" w:rsidRPr="00990991" w:rsidRDefault="00990991" w:rsidP="00990991">
            <w:pPr>
              <w:ind w:left="227" w:hanging="227"/>
              <w:jc w:val="right"/>
              <w:rPr>
                <w:rFonts w:ascii="Calibri" w:hAnsi="Calibri"/>
                <w:b/>
                <w:sz w:val="20"/>
                <w:szCs w:val="24"/>
                <w:lang w:val="x-none" w:eastAsia="en-US"/>
              </w:rPr>
            </w:pPr>
            <w:r w:rsidRPr="00990991">
              <w:rPr>
                <w:rFonts w:ascii="Calibri" w:hAnsi="Calibri"/>
                <w:b/>
                <w:sz w:val="20"/>
                <w:szCs w:val="24"/>
                <w:lang w:val="x-none" w:eastAsia="en-US"/>
              </w:rPr>
              <w:t>Estimate</w:t>
            </w:r>
          </w:p>
          <w:p w14:paraId="76FF2CC6" w14:textId="77777777" w:rsidR="00990991" w:rsidRPr="00990991" w:rsidRDefault="00990991" w:rsidP="00990991">
            <w:pPr>
              <w:ind w:left="227" w:hanging="227"/>
              <w:jc w:val="right"/>
              <w:rPr>
                <w:rFonts w:ascii="Calibri" w:hAnsi="Calibri"/>
                <w:b/>
                <w:sz w:val="20"/>
                <w:szCs w:val="24"/>
                <w:lang w:val="x-none" w:eastAsia="en-US"/>
              </w:rPr>
            </w:pPr>
            <w:r w:rsidRPr="00990991">
              <w:rPr>
                <w:rFonts w:ascii="Calibri" w:hAnsi="Calibri"/>
                <w:b/>
                <w:sz w:val="20"/>
                <w:szCs w:val="24"/>
                <w:lang w:val="x-none" w:eastAsia="en-US"/>
              </w:rPr>
              <w:t>$’000</w:t>
            </w:r>
          </w:p>
        </w:tc>
        <w:tc>
          <w:tcPr>
            <w:tcW w:w="930" w:type="dxa"/>
            <w:tcBorders>
              <w:top w:val="single" w:sz="4" w:space="0" w:color="auto"/>
              <w:left w:val="nil"/>
              <w:bottom w:val="nil"/>
              <w:right w:val="nil"/>
            </w:tcBorders>
            <w:shd w:val="clear" w:color="auto" w:fill="auto"/>
            <w:vAlign w:val="bottom"/>
          </w:tcPr>
          <w:p w14:paraId="3665915B" w14:textId="77777777" w:rsidR="00990991" w:rsidRPr="00990991" w:rsidRDefault="00990991" w:rsidP="00990991">
            <w:pPr>
              <w:ind w:left="227" w:hanging="227"/>
              <w:jc w:val="right"/>
              <w:rPr>
                <w:rFonts w:ascii="Calibri" w:hAnsi="Calibri"/>
                <w:b/>
                <w:sz w:val="20"/>
                <w:szCs w:val="24"/>
                <w:lang w:val="x-none" w:eastAsia="en-US"/>
              </w:rPr>
            </w:pPr>
            <w:r w:rsidRPr="00990991">
              <w:rPr>
                <w:rFonts w:ascii="Calibri" w:hAnsi="Calibri"/>
                <w:b/>
                <w:sz w:val="20"/>
                <w:szCs w:val="24"/>
                <w:lang w:val="x-none" w:eastAsia="en-US"/>
              </w:rPr>
              <w:t>2020-21</w:t>
            </w:r>
          </w:p>
          <w:p w14:paraId="71861969" w14:textId="77777777" w:rsidR="00990991" w:rsidRPr="00990991" w:rsidRDefault="00990991" w:rsidP="00990991">
            <w:pPr>
              <w:ind w:left="227" w:hanging="227"/>
              <w:jc w:val="right"/>
              <w:rPr>
                <w:rFonts w:ascii="Calibri" w:hAnsi="Calibri"/>
                <w:b/>
                <w:sz w:val="20"/>
                <w:szCs w:val="24"/>
                <w:lang w:val="x-none" w:eastAsia="en-US"/>
              </w:rPr>
            </w:pPr>
            <w:r w:rsidRPr="00990991">
              <w:rPr>
                <w:rFonts w:ascii="Calibri" w:hAnsi="Calibri"/>
                <w:b/>
                <w:sz w:val="20"/>
                <w:szCs w:val="24"/>
                <w:lang w:val="x-none" w:eastAsia="en-US"/>
              </w:rPr>
              <w:t>Estimate</w:t>
            </w:r>
          </w:p>
          <w:p w14:paraId="4089CAAE" w14:textId="77777777" w:rsidR="00990991" w:rsidRPr="00990991" w:rsidRDefault="00990991" w:rsidP="00990991">
            <w:pPr>
              <w:ind w:left="227" w:hanging="227"/>
              <w:jc w:val="right"/>
              <w:rPr>
                <w:rFonts w:ascii="Calibri" w:hAnsi="Calibri"/>
                <w:b/>
                <w:sz w:val="20"/>
                <w:szCs w:val="24"/>
                <w:lang w:val="x-none" w:eastAsia="en-US"/>
              </w:rPr>
            </w:pPr>
            <w:r w:rsidRPr="00990991">
              <w:rPr>
                <w:rFonts w:ascii="Calibri" w:hAnsi="Calibri"/>
                <w:b/>
                <w:sz w:val="20"/>
                <w:szCs w:val="24"/>
                <w:lang w:val="x-none" w:eastAsia="en-US"/>
              </w:rPr>
              <w:t>$’000</w:t>
            </w:r>
          </w:p>
        </w:tc>
        <w:tc>
          <w:tcPr>
            <w:tcW w:w="929" w:type="dxa"/>
            <w:tcBorders>
              <w:top w:val="single" w:sz="4" w:space="0" w:color="auto"/>
              <w:left w:val="nil"/>
              <w:bottom w:val="nil"/>
              <w:right w:val="nil"/>
            </w:tcBorders>
            <w:shd w:val="clear" w:color="auto" w:fill="auto"/>
            <w:vAlign w:val="bottom"/>
          </w:tcPr>
          <w:p w14:paraId="013140AB" w14:textId="77777777" w:rsidR="00990991" w:rsidRPr="00990991" w:rsidRDefault="00990991" w:rsidP="00990991">
            <w:pPr>
              <w:ind w:left="227" w:hanging="227"/>
              <w:jc w:val="right"/>
              <w:rPr>
                <w:rFonts w:ascii="Calibri" w:hAnsi="Calibri"/>
                <w:b/>
                <w:sz w:val="20"/>
                <w:szCs w:val="24"/>
                <w:lang w:val="x-none" w:eastAsia="en-US"/>
              </w:rPr>
            </w:pPr>
            <w:r w:rsidRPr="00990991">
              <w:rPr>
                <w:rFonts w:ascii="Calibri" w:hAnsi="Calibri"/>
                <w:b/>
                <w:sz w:val="20"/>
                <w:szCs w:val="24"/>
                <w:lang w:val="x-none" w:eastAsia="en-US"/>
              </w:rPr>
              <w:t>2021-22</w:t>
            </w:r>
          </w:p>
          <w:p w14:paraId="598A9039" w14:textId="77777777" w:rsidR="00990991" w:rsidRPr="00990991" w:rsidRDefault="00990991" w:rsidP="00990991">
            <w:pPr>
              <w:ind w:left="227" w:hanging="227"/>
              <w:jc w:val="right"/>
              <w:rPr>
                <w:rFonts w:ascii="Calibri" w:hAnsi="Calibri"/>
                <w:b/>
                <w:sz w:val="20"/>
                <w:szCs w:val="24"/>
                <w:lang w:val="x-none" w:eastAsia="en-US"/>
              </w:rPr>
            </w:pPr>
            <w:r w:rsidRPr="00990991">
              <w:rPr>
                <w:rFonts w:ascii="Calibri" w:hAnsi="Calibri"/>
                <w:b/>
                <w:sz w:val="20"/>
                <w:szCs w:val="24"/>
                <w:lang w:val="x-none" w:eastAsia="en-US"/>
              </w:rPr>
              <w:t>Estimate</w:t>
            </w:r>
          </w:p>
          <w:p w14:paraId="33CBCC13" w14:textId="77777777" w:rsidR="00990991" w:rsidRPr="00990991" w:rsidRDefault="00990991" w:rsidP="00990991">
            <w:pPr>
              <w:ind w:left="227" w:hanging="227"/>
              <w:jc w:val="right"/>
              <w:rPr>
                <w:rFonts w:ascii="Calibri" w:hAnsi="Calibri"/>
                <w:b/>
                <w:sz w:val="20"/>
                <w:szCs w:val="24"/>
                <w:lang w:val="x-none" w:eastAsia="en-US"/>
              </w:rPr>
            </w:pPr>
            <w:r w:rsidRPr="00990991">
              <w:rPr>
                <w:rFonts w:ascii="Calibri" w:hAnsi="Calibri"/>
                <w:b/>
                <w:sz w:val="20"/>
                <w:szCs w:val="24"/>
                <w:lang w:val="x-none" w:eastAsia="en-US"/>
              </w:rPr>
              <w:t>$’000</w:t>
            </w:r>
          </w:p>
        </w:tc>
        <w:tc>
          <w:tcPr>
            <w:tcW w:w="930" w:type="dxa"/>
            <w:tcBorders>
              <w:top w:val="single" w:sz="4" w:space="0" w:color="auto"/>
              <w:left w:val="nil"/>
              <w:bottom w:val="nil"/>
              <w:right w:val="nil"/>
            </w:tcBorders>
            <w:shd w:val="clear" w:color="auto" w:fill="auto"/>
            <w:vAlign w:val="bottom"/>
          </w:tcPr>
          <w:p w14:paraId="2C60D363" w14:textId="77777777" w:rsidR="00990991" w:rsidRPr="00990991" w:rsidRDefault="00990991" w:rsidP="00990991">
            <w:pPr>
              <w:ind w:left="227" w:hanging="227"/>
              <w:jc w:val="right"/>
              <w:rPr>
                <w:rFonts w:ascii="Calibri" w:hAnsi="Calibri"/>
                <w:b/>
                <w:sz w:val="20"/>
                <w:szCs w:val="24"/>
                <w:lang w:val="x-none" w:eastAsia="en-US"/>
              </w:rPr>
            </w:pPr>
            <w:r w:rsidRPr="00990991">
              <w:rPr>
                <w:rFonts w:ascii="Calibri" w:hAnsi="Calibri"/>
                <w:b/>
                <w:sz w:val="20"/>
                <w:szCs w:val="24"/>
                <w:lang w:val="x-none" w:eastAsia="en-US"/>
              </w:rPr>
              <w:t>2022-23</w:t>
            </w:r>
          </w:p>
          <w:p w14:paraId="199A58AE" w14:textId="77777777" w:rsidR="00990991" w:rsidRPr="00990991" w:rsidRDefault="00990991" w:rsidP="00990991">
            <w:pPr>
              <w:ind w:left="227" w:hanging="227"/>
              <w:jc w:val="right"/>
              <w:rPr>
                <w:rFonts w:ascii="Calibri" w:hAnsi="Calibri"/>
                <w:b/>
                <w:sz w:val="20"/>
                <w:szCs w:val="24"/>
                <w:lang w:val="x-none" w:eastAsia="en-US"/>
              </w:rPr>
            </w:pPr>
            <w:r w:rsidRPr="00990991">
              <w:rPr>
                <w:rFonts w:ascii="Calibri" w:hAnsi="Calibri"/>
                <w:b/>
                <w:sz w:val="20"/>
                <w:szCs w:val="24"/>
                <w:lang w:val="x-none" w:eastAsia="en-US"/>
              </w:rPr>
              <w:t>Estimate</w:t>
            </w:r>
          </w:p>
          <w:p w14:paraId="5148CB46" w14:textId="77777777" w:rsidR="00990991" w:rsidRPr="00990991" w:rsidRDefault="00990991" w:rsidP="00990991">
            <w:pPr>
              <w:ind w:left="227" w:hanging="227"/>
              <w:jc w:val="right"/>
              <w:rPr>
                <w:rFonts w:ascii="Calibri" w:hAnsi="Calibri"/>
                <w:b/>
                <w:sz w:val="20"/>
                <w:szCs w:val="24"/>
                <w:lang w:val="x-none" w:eastAsia="en-US"/>
              </w:rPr>
            </w:pPr>
            <w:r w:rsidRPr="00990991">
              <w:rPr>
                <w:rFonts w:ascii="Calibri" w:hAnsi="Calibri"/>
                <w:b/>
                <w:sz w:val="20"/>
                <w:szCs w:val="24"/>
                <w:lang w:val="x-none" w:eastAsia="en-US"/>
              </w:rPr>
              <w:t>$’000</w:t>
            </w:r>
          </w:p>
        </w:tc>
        <w:tc>
          <w:tcPr>
            <w:tcW w:w="930" w:type="dxa"/>
            <w:tcBorders>
              <w:top w:val="single" w:sz="4" w:space="0" w:color="auto"/>
              <w:left w:val="nil"/>
              <w:bottom w:val="nil"/>
              <w:right w:val="nil"/>
            </w:tcBorders>
            <w:shd w:val="clear" w:color="auto" w:fill="auto"/>
          </w:tcPr>
          <w:p w14:paraId="70AB21E1" w14:textId="77777777" w:rsidR="00990991" w:rsidRPr="00990991" w:rsidRDefault="00990991" w:rsidP="00990991">
            <w:pPr>
              <w:ind w:left="227" w:hanging="227"/>
              <w:jc w:val="right"/>
              <w:rPr>
                <w:rFonts w:ascii="Calibri" w:hAnsi="Calibri"/>
                <w:b/>
                <w:snapToGrid w:val="0"/>
                <w:sz w:val="20"/>
                <w:szCs w:val="24"/>
                <w:lang w:val="x-none" w:eastAsia="en-US"/>
              </w:rPr>
            </w:pPr>
            <w:r w:rsidRPr="00990991">
              <w:rPr>
                <w:rFonts w:ascii="Calibri" w:hAnsi="Calibri"/>
                <w:b/>
                <w:snapToGrid w:val="0"/>
                <w:sz w:val="20"/>
                <w:szCs w:val="24"/>
                <w:lang w:val="x-none" w:eastAsia="en-US"/>
              </w:rPr>
              <w:t>Total</w:t>
            </w:r>
          </w:p>
          <w:p w14:paraId="703FB2B1" w14:textId="77777777" w:rsidR="00990991" w:rsidRPr="00990991" w:rsidRDefault="00990991" w:rsidP="00990991">
            <w:pPr>
              <w:ind w:left="227" w:hanging="227"/>
              <w:jc w:val="right"/>
              <w:rPr>
                <w:rFonts w:ascii="Calibri" w:hAnsi="Calibri"/>
                <w:b/>
                <w:snapToGrid w:val="0"/>
                <w:sz w:val="20"/>
                <w:szCs w:val="24"/>
                <w:lang w:val="x-none" w:eastAsia="en-US"/>
              </w:rPr>
            </w:pPr>
          </w:p>
          <w:p w14:paraId="56B7172D" w14:textId="77777777" w:rsidR="00990991" w:rsidRPr="00990991" w:rsidRDefault="00990991" w:rsidP="00990991">
            <w:pPr>
              <w:ind w:left="227" w:hanging="227"/>
              <w:jc w:val="right"/>
              <w:rPr>
                <w:rFonts w:ascii="Calibri" w:hAnsi="Calibri"/>
                <w:b/>
                <w:snapToGrid w:val="0"/>
                <w:sz w:val="20"/>
                <w:szCs w:val="24"/>
                <w:lang w:val="x-none" w:eastAsia="en-US"/>
              </w:rPr>
            </w:pPr>
            <w:r w:rsidRPr="00990991">
              <w:rPr>
                <w:rFonts w:ascii="Calibri" w:hAnsi="Calibri"/>
                <w:b/>
                <w:snapToGrid w:val="0"/>
                <w:sz w:val="20"/>
                <w:szCs w:val="24"/>
                <w:lang w:val="x-none" w:eastAsia="en-US"/>
              </w:rPr>
              <w:t>$’000</w:t>
            </w:r>
          </w:p>
        </w:tc>
      </w:tr>
      <w:tr w:rsidR="00990991" w:rsidRPr="00990991" w14:paraId="246E62D0" w14:textId="77777777" w:rsidTr="00503EBD">
        <w:trPr>
          <w:cantSplit/>
          <w:trHeight w:val="227"/>
        </w:trPr>
        <w:tc>
          <w:tcPr>
            <w:tcW w:w="4990" w:type="dxa"/>
            <w:tcBorders>
              <w:bottom w:val="single" w:sz="4" w:space="0" w:color="auto"/>
            </w:tcBorders>
            <w:shd w:val="clear" w:color="auto" w:fill="auto"/>
          </w:tcPr>
          <w:p w14:paraId="46C2EFFC" w14:textId="77777777" w:rsidR="00990991" w:rsidRPr="00990991" w:rsidRDefault="00990991" w:rsidP="00990991">
            <w:pPr>
              <w:ind w:left="227" w:hanging="227"/>
              <w:rPr>
                <w:rFonts w:ascii="Calibri" w:hAnsi="Calibri"/>
                <w:bCs/>
                <w:sz w:val="20"/>
                <w:szCs w:val="20"/>
                <w:lang w:eastAsia="en-AU"/>
              </w:rPr>
            </w:pPr>
          </w:p>
        </w:tc>
        <w:tc>
          <w:tcPr>
            <w:tcW w:w="929" w:type="dxa"/>
            <w:tcBorders>
              <w:top w:val="nil"/>
              <w:left w:val="nil"/>
              <w:bottom w:val="single" w:sz="4" w:space="0" w:color="auto"/>
              <w:right w:val="nil"/>
            </w:tcBorders>
            <w:shd w:val="clear" w:color="auto" w:fill="auto"/>
          </w:tcPr>
          <w:p w14:paraId="3F7D7B7A" w14:textId="77777777" w:rsidR="00990991" w:rsidRPr="00990991" w:rsidRDefault="00990991" w:rsidP="00990991">
            <w:pPr>
              <w:ind w:left="227" w:hanging="227"/>
              <w:jc w:val="right"/>
              <w:rPr>
                <w:rFonts w:ascii="Calibri" w:hAnsi="Calibri"/>
                <w:sz w:val="20"/>
                <w:szCs w:val="24"/>
                <w:lang w:val="x-none" w:eastAsia="en-US"/>
              </w:rPr>
            </w:pPr>
          </w:p>
        </w:tc>
        <w:tc>
          <w:tcPr>
            <w:tcW w:w="930" w:type="dxa"/>
            <w:tcBorders>
              <w:top w:val="nil"/>
              <w:left w:val="nil"/>
              <w:bottom w:val="single" w:sz="4" w:space="0" w:color="auto"/>
              <w:right w:val="nil"/>
            </w:tcBorders>
            <w:shd w:val="clear" w:color="auto" w:fill="auto"/>
          </w:tcPr>
          <w:p w14:paraId="4BF6C47F" w14:textId="77777777" w:rsidR="00990991" w:rsidRPr="00990991" w:rsidRDefault="00990991" w:rsidP="00990991">
            <w:pPr>
              <w:ind w:left="227" w:hanging="227"/>
              <w:jc w:val="right"/>
              <w:rPr>
                <w:rFonts w:ascii="Calibri" w:hAnsi="Calibri"/>
                <w:sz w:val="20"/>
                <w:szCs w:val="24"/>
                <w:lang w:val="x-none" w:eastAsia="en-US"/>
              </w:rPr>
            </w:pPr>
          </w:p>
        </w:tc>
        <w:tc>
          <w:tcPr>
            <w:tcW w:w="929" w:type="dxa"/>
            <w:tcBorders>
              <w:top w:val="nil"/>
              <w:left w:val="nil"/>
              <w:bottom w:val="single" w:sz="4" w:space="0" w:color="auto"/>
              <w:right w:val="nil"/>
            </w:tcBorders>
            <w:shd w:val="clear" w:color="auto" w:fill="auto"/>
          </w:tcPr>
          <w:p w14:paraId="54DD196C" w14:textId="77777777" w:rsidR="00990991" w:rsidRPr="00990991" w:rsidRDefault="00990991" w:rsidP="00990991">
            <w:pPr>
              <w:ind w:left="227" w:hanging="227"/>
              <w:jc w:val="right"/>
              <w:rPr>
                <w:rFonts w:ascii="Calibri" w:hAnsi="Calibri"/>
                <w:sz w:val="20"/>
                <w:szCs w:val="24"/>
                <w:lang w:val="x-none" w:eastAsia="en-US"/>
              </w:rPr>
            </w:pPr>
          </w:p>
        </w:tc>
        <w:tc>
          <w:tcPr>
            <w:tcW w:w="930" w:type="dxa"/>
            <w:tcBorders>
              <w:top w:val="nil"/>
              <w:left w:val="nil"/>
              <w:bottom w:val="single" w:sz="4" w:space="0" w:color="auto"/>
              <w:right w:val="nil"/>
            </w:tcBorders>
            <w:shd w:val="clear" w:color="auto" w:fill="auto"/>
          </w:tcPr>
          <w:p w14:paraId="4125238B" w14:textId="77777777" w:rsidR="00990991" w:rsidRPr="00990991" w:rsidRDefault="00990991" w:rsidP="00990991">
            <w:pPr>
              <w:ind w:left="227" w:hanging="227"/>
              <w:jc w:val="right"/>
              <w:rPr>
                <w:rFonts w:ascii="Calibri" w:hAnsi="Calibri"/>
                <w:sz w:val="20"/>
                <w:szCs w:val="24"/>
                <w:lang w:val="x-none" w:eastAsia="en-US"/>
              </w:rPr>
            </w:pPr>
          </w:p>
        </w:tc>
        <w:tc>
          <w:tcPr>
            <w:tcW w:w="930" w:type="dxa"/>
            <w:tcBorders>
              <w:top w:val="nil"/>
              <w:left w:val="nil"/>
              <w:bottom w:val="single" w:sz="4" w:space="0" w:color="auto"/>
            </w:tcBorders>
            <w:shd w:val="clear" w:color="auto" w:fill="auto"/>
          </w:tcPr>
          <w:p w14:paraId="48D16722" w14:textId="77777777" w:rsidR="00990991" w:rsidRPr="00990991" w:rsidRDefault="00990991" w:rsidP="00990991">
            <w:pPr>
              <w:ind w:left="227" w:hanging="227"/>
              <w:jc w:val="right"/>
              <w:rPr>
                <w:rFonts w:ascii="Calibri" w:hAnsi="Calibri"/>
                <w:sz w:val="20"/>
                <w:szCs w:val="24"/>
                <w:lang w:val="x-none" w:eastAsia="en-US"/>
              </w:rPr>
            </w:pPr>
          </w:p>
        </w:tc>
      </w:tr>
      <w:tr w:rsidR="00990991" w:rsidRPr="00990991" w14:paraId="54D79AA8" w14:textId="77777777" w:rsidTr="00503EBD">
        <w:trPr>
          <w:cantSplit/>
          <w:trHeight w:val="227"/>
        </w:trPr>
        <w:tc>
          <w:tcPr>
            <w:tcW w:w="4990" w:type="dxa"/>
            <w:tcBorders>
              <w:top w:val="single" w:sz="4" w:space="0" w:color="auto"/>
            </w:tcBorders>
            <w:shd w:val="clear" w:color="auto" w:fill="auto"/>
          </w:tcPr>
          <w:p w14:paraId="39D188C6" w14:textId="77777777" w:rsidR="00990991" w:rsidRPr="00990991" w:rsidRDefault="00990991" w:rsidP="00990991">
            <w:pPr>
              <w:ind w:left="227" w:hanging="227"/>
              <w:rPr>
                <w:rFonts w:ascii="Calibri" w:hAnsi="Calibri"/>
                <w:bCs/>
                <w:color w:val="000000"/>
                <w:sz w:val="20"/>
                <w:szCs w:val="20"/>
                <w:lang w:eastAsia="en-AU"/>
              </w:rPr>
            </w:pPr>
          </w:p>
        </w:tc>
        <w:tc>
          <w:tcPr>
            <w:tcW w:w="929" w:type="dxa"/>
            <w:tcBorders>
              <w:top w:val="single" w:sz="4" w:space="0" w:color="auto"/>
              <w:left w:val="nil"/>
              <w:bottom w:val="nil"/>
              <w:right w:val="nil"/>
            </w:tcBorders>
            <w:shd w:val="clear" w:color="auto" w:fill="auto"/>
          </w:tcPr>
          <w:p w14:paraId="3678EB26" w14:textId="77777777" w:rsidR="00990991" w:rsidRPr="00990991" w:rsidRDefault="00990991" w:rsidP="00990991">
            <w:pPr>
              <w:ind w:left="227" w:hanging="227"/>
              <w:jc w:val="right"/>
              <w:rPr>
                <w:rFonts w:ascii="Calibri" w:hAnsi="Calibri"/>
                <w:sz w:val="20"/>
                <w:szCs w:val="24"/>
                <w:lang w:val="x-none" w:eastAsia="en-US"/>
              </w:rPr>
            </w:pPr>
          </w:p>
        </w:tc>
        <w:tc>
          <w:tcPr>
            <w:tcW w:w="930" w:type="dxa"/>
            <w:tcBorders>
              <w:top w:val="single" w:sz="4" w:space="0" w:color="auto"/>
              <w:left w:val="nil"/>
              <w:bottom w:val="nil"/>
              <w:right w:val="nil"/>
            </w:tcBorders>
            <w:shd w:val="clear" w:color="auto" w:fill="auto"/>
          </w:tcPr>
          <w:p w14:paraId="57E1D4C3" w14:textId="77777777" w:rsidR="00990991" w:rsidRPr="00990991" w:rsidRDefault="00990991" w:rsidP="00990991">
            <w:pPr>
              <w:ind w:left="227" w:hanging="227"/>
              <w:jc w:val="right"/>
              <w:rPr>
                <w:rFonts w:ascii="Calibri" w:hAnsi="Calibri"/>
                <w:sz w:val="20"/>
                <w:szCs w:val="24"/>
                <w:lang w:val="x-none" w:eastAsia="en-US"/>
              </w:rPr>
            </w:pPr>
          </w:p>
        </w:tc>
        <w:tc>
          <w:tcPr>
            <w:tcW w:w="929" w:type="dxa"/>
            <w:tcBorders>
              <w:top w:val="single" w:sz="4" w:space="0" w:color="auto"/>
              <w:left w:val="nil"/>
              <w:bottom w:val="nil"/>
              <w:right w:val="nil"/>
            </w:tcBorders>
            <w:shd w:val="clear" w:color="auto" w:fill="auto"/>
          </w:tcPr>
          <w:p w14:paraId="0DAC3361" w14:textId="77777777" w:rsidR="00990991" w:rsidRPr="00990991" w:rsidRDefault="00990991" w:rsidP="00990991">
            <w:pPr>
              <w:ind w:left="227" w:hanging="227"/>
              <w:jc w:val="right"/>
              <w:rPr>
                <w:rFonts w:ascii="Calibri" w:hAnsi="Calibri"/>
                <w:sz w:val="20"/>
                <w:szCs w:val="24"/>
                <w:lang w:val="x-none" w:eastAsia="en-US"/>
              </w:rPr>
            </w:pPr>
          </w:p>
        </w:tc>
        <w:tc>
          <w:tcPr>
            <w:tcW w:w="930" w:type="dxa"/>
            <w:tcBorders>
              <w:top w:val="single" w:sz="4" w:space="0" w:color="auto"/>
              <w:left w:val="nil"/>
              <w:bottom w:val="nil"/>
              <w:right w:val="nil"/>
            </w:tcBorders>
            <w:shd w:val="clear" w:color="auto" w:fill="auto"/>
          </w:tcPr>
          <w:p w14:paraId="223BD15A" w14:textId="77777777" w:rsidR="00990991" w:rsidRPr="00990991" w:rsidRDefault="00990991" w:rsidP="00990991">
            <w:pPr>
              <w:ind w:left="227" w:hanging="227"/>
              <w:jc w:val="right"/>
              <w:rPr>
                <w:rFonts w:ascii="Calibri" w:hAnsi="Calibri"/>
                <w:sz w:val="20"/>
                <w:szCs w:val="24"/>
                <w:lang w:val="x-none" w:eastAsia="en-US"/>
              </w:rPr>
            </w:pPr>
          </w:p>
        </w:tc>
        <w:tc>
          <w:tcPr>
            <w:tcW w:w="930" w:type="dxa"/>
            <w:tcBorders>
              <w:top w:val="single" w:sz="4" w:space="0" w:color="auto"/>
              <w:left w:val="nil"/>
              <w:bottom w:val="nil"/>
            </w:tcBorders>
            <w:shd w:val="clear" w:color="auto" w:fill="auto"/>
          </w:tcPr>
          <w:p w14:paraId="6BDB3D9D" w14:textId="77777777" w:rsidR="00990991" w:rsidRPr="00990991" w:rsidRDefault="00990991" w:rsidP="00990991">
            <w:pPr>
              <w:ind w:left="227" w:hanging="227"/>
              <w:jc w:val="right"/>
              <w:rPr>
                <w:rFonts w:ascii="Calibri" w:hAnsi="Calibri"/>
                <w:sz w:val="20"/>
                <w:szCs w:val="24"/>
                <w:lang w:val="x-none" w:eastAsia="en-US"/>
              </w:rPr>
            </w:pPr>
          </w:p>
        </w:tc>
      </w:tr>
      <w:tr w:rsidR="00990991" w:rsidRPr="00990991" w14:paraId="59385A72" w14:textId="77777777" w:rsidTr="00503EBD">
        <w:trPr>
          <w:cantSplit/>
          <w:trHeight w:val="227"/>
        </w:trPr>
        <w:tc>
          <w:tcPr>
            <w:tcW w:w="4990" w:type="dxa"/>
            <w:shd w:val="clear" w:color="auto" w:fill="auto"/>
            <w:vAlign w:val="bottom"/>
          </w:tcPr>
          <w:p w14:paraId="6E550B26" w14:textId="77777777" w:rsidR="00990991" w:rsidRPr="00990991" w:rsidRDefault="00990991" w:rsidP="00990991">
            <w:pPr>
              <w:ind w:left="227" w:hanging="227"/>
              <w:rPr>
                <w:rFonts w:ascii="Calibri" w:hAnsi="Calibri"/>
                <w:b/>
                <w:bCs/>
                <w:sz w:val="20"/>
                <w:szCs w:val="20"/>
                <w:lang w:eastAsia="en-AU"/>
              </w:rPr>
            </w:pPr>
            <w:r w:rsidRPr="00990991">
              <w:rPr>
                <w:rFonts w:ascii="Calibri" w:hAnsi="Calibri"/>
                <w:b/>
                <w:bCs/>
                <w:sz w:val="20"/>
                <w:szCs w:val="20"/>
                <w:lang w:eastAsia="en-AU"/>
              </w:rPr>
              <w:t>Community Services Directorate</w:t>
            </w:r>
          </w:p>
        </w:tc>
        <w:tc>
          <w:tcPr>
            <w:tcW w:w="929" w:type="dxa"/>
            <w:shd w:val="clear" w:color="auto" w:fill="auto"/>
          </w:tcPr>
          <w:p w14:paraId="4F99B521" w14:textId="77777777" w:rsidR="00990991" w:rsidRPr="00990991" w:rsidRDefault="00990991" w:rsidP="00990991">
            <w:pPr>
              <w:framePr w:wrap="around" w:vAnchor="text" w:hAnchor="text" w:y="1"/>
              <w:jc w:val="right"/>
              <w:rPr>
                <w:rFonts w:ascii="Calibri" w:hAnsi="Calibri"/>
                <w:b/>
                <w:sz w:val="20"/>
                <w:szCs w:val="20"/>
                <w:lang w:eastAsia="en-US"/>
              </w:rPr>
            </w:pPr>
          </w:p>
        </w:tc>
        <w:tc>
          <w:tcPr>
            <w:tcW w:w="930" w:type="dxa"/>
            <w:shd w:val="clear" w:color="auto" w:fill="auto"/>
          </w:tcPr>
          <w:p w14:paraId="56C6846F" w14:textId="77777777" w:rsidR="00990991" w:rsidRPr="00990991" w:rsidRDefault="00990991" w:rsidP="00990991">
            <w:pPr>
              <w:framePr w:wrap="around" w:vAnchor="text" w:hAnchor="text" w:y="1"/>
              <w:jc w:val="right"/>
              <w:rPr>
                <w:rFonts w:ascii="Calibri" w:hAnsi="Calibri"/>
                <w:b/>
                <w:sz w:val="20"/>
                <w:szCs w:val="20"/>
                <w:lang w:eastAsia="en-US"/>
              </w:rPr>
            </w:pPr>
          </w:p>
        </w:tc>
        <w:tc>
          <w:tcPr>
            <w:tcW w:w="929" w:type="dxa"/>
            <w:shd w:val="clear" w:color="auto" w:fill="auto"/>
          </w:tcPr>
          <w:p w14:paraId="18D3812D" w14:textId="77777777" w:rsidR="00990991" w:rsidRPr="00990991" w:rsidRDefault="00990991" w:rsidP="00990991">
            <w:pPr>
              <w:framePr w:wrap="around" w:vAnchor="text" w:hAnchor="text" w:y="1"/>
              <w:jc w:val="right"/>
              <w:rPr>
                <w:rFonts w:ascii="Calibri" w:hAnsi="Calibri"/>
                <w:b/>
                <w:sz w:val="20"/>
                <w:szCs w:val="20"/>
                <w:lang w:eastAsia="en-US"/>
              </w:rPr>
            </w:pPr>
          </w:p>
        </w:tc>
        <w:tc>
          <w:tcPr>
            <w:tcW w:w="930" w:type="dxa"/>
            <w:shd w:val="clear" w:color="auto" w:fill="auto"/>
          </w:tcPr>
          <w:p w14:paraId="050F4F94" w14:textId="77777777" w:rsidR="00990991" w:rsidRPr="00990991" w:rsidRDefault="00990991" w:rsidP="00990991">
            <w:pPr>
              <w:framePr w:wrap="around" w:vAnchor="text" w:hAnchor="text" w:y="1"/>
              <w:jc w:val="right"/>
              <w:rPr>
                <w:rFonts w:ascii="Calibri" w:hAnsi="Calibri"/>
                <w:b/>
                <w:sz w:val="20"/>
                <w:szCs w:val="20"/>
                <w:lang w:eastAsia="en-US"/>
              </w:rPr>
            </w:pPr>
          </w:p>
        </w:tc>
        <w:tc>
          <w:tcPr>
            <w:tcW w:w="930" w:type="dxa"/>
            <w:shd w:val="clear" w:color="auto" w:fill="auto"/>
          </w:tcPr>
          <w:p w14:paraId="376C8508" w14:textId="77777777" w:rsidR="00990991" w:rsidRPr="00990991" w:rsidRDefault="00990991" w:rsidP="00990991">
            <w:pPr>
              <w:framePr w:wrap="around" w:vAnchor="text" w:hAnchor="text" w:y="1"/>
              <w:jc w:val="right"/>
              <w:rPr>
                <w:rFonts w:ascii="Calibri" w:hAnsi="Calibri"/>
                <w:b/>
                <w:sz w:val="20"/>
                <w:szCs w:val="20"/>
                <w:lang w:eastAsia="en-US"/>
              </w:rPr>
            </w:pPr>
          </w:p>
        </w:tc>
      </w:tr>
      <w:tr w:rsidR="00990991" w:rsidRPr="00990991" w14:paraId="204C21F6" w14:textId="77777777" w:rsidTr="00503EBD">
        <w:trPr>
          <w:cantSplit/>
          <w:trHeight w:val="227"/>
        </w:trPr>
        <w:tc>
          <w:tcPr>
            <w:tcW w:w="4990" w:type="dxa"/>
            <w:shd w:val="clear" w:color="auto" w:fill="auto"/>
          </w:tcPr>
          <w:p w14:paraId="61F2BFBF" w14:textId="77777777" w:rsidR="00990991" w:rsidRPr="00990991" w:rsidRDefault="00990991" w:rsidP="00990991">
            <w:pPr>
              <w:ind w:left="227" w:hanging="227"/>
              <w:rPr>
                <w:rFonts w:ascii="Calibri" w:hAnsi="Calibri"/>
                <w:bCs/>
                <w:color w:val="000000"/>
                <w:sz w:val="20"/>
                <w:szCs w:val="20"/>
                <w:vertAlign w:val="superscript"/>
                <w:lang w:eastAsia="en-AU"/>
              </w:rPr>
            </w:pPr>
            <w:r w:rsidRPr="00990991">
              <w:rPr>
                <w:rFonts w:ascii="Calibri" w:hAnsi="Calibri"/>
                <w:bCs/>
                <w:color w:val="000000"/>
                <w:sz w:val="20"/>
                <w:szCs w:val="20"/>
                <w:lang w:eastAsia="en-AU"/>
              </w:rPr>
              <w:t xml:space="preserve">Child and Youth Record Information System completion </w:t>
            </w:r>
            <w:r w:rsidRPr="00990991">
              <w:rPr>
                <w:rFonts w:ascii="Calibri" w:hAnsi="Calibri"/>
                <w:bCs/>
                <w:color w:val="000000"/>
                <w:sz w:val="20"/>
                <w:szCs w:val="20"/>
                <w:vertAlign w:val="superscript"/>
                <w:lang w:eastAsia="en-AU"/>
              </w:rPr>
              <w:t>2</w:t>
            </w:r>
          </w:p>
        </w:tc>
        <w:tc>
          <w:tcPr>
            <w:tcW w:w="929" w:type="dxa"/>
            <w:shd w:val="clear" w:color="auto" w:fill="auto"/>
          </w:tcPr>
          <w:p w14:paraId="38B2F7A6"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130</w:t>
            </w:r>
          </w:p>
        </w:tc>
        <w:tc>
          <w:tcPr>
            <w:tcW w:w="930" w:type="dxa"/>
            <w:shd w:val="clear" w:color="auto" w:fill="auto"/>
          </w:tcPr>
          <w:p w14:paraId="44D37F69"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154</w:t>
            </w:r>
          </w:p>
        </w:tc>
        <w:tc>
          <w:tcPr>
            <w:tcW w:w="929" w:type="dxa"/>
            <w:shd w:val="clear" w:color="auto" w:fill="auto"/>
          </w:tcPr>
          <w:p w14:paraId="00CBAC66"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154</w:t>
            </w:r>
          </w:p>
        </w:tc>
        <w:tc>
          <w:tcPr>
            <w:tcW w:w="930" w:type="dxa"/>
            <w:shd w:val="clear" w:color="auto" w:fill="auto"/>
          </w:tcPr>
          <w:p w14:paraId="20A182F3"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154</w:t>
            </w:r>
          </w:p>
        </w:tc>
        <w:tc>
          <w:tcPr>
            <w:tcW w:w="930" w:type="dxa"/>
            <w:shd w:val="clear" w:color="auto" w:fill="auto"/>
          </w:tcPr>
          <w:p w14:paraId="6F29591A"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592</w:t>
            </w:r>
          </w:p>
        </w:tc>
      </w:tr>
      <w:tr w:rsidR="00990991" w:rsidRPr="00990991" w14:paraId="502784F0" w14:textId="77777777" w:rsidTr="00503EBD">
        <w:trPr>
          <w:cantSplit/>
          <w:trHeight w:val="227"/>
        </w:trPr>
        <w:tc>
          <w:tcPr>
            <w:tcW w:w="4990" w:type="dxa"/>
            <w:shd w:val="clear" w:color="auto" w:fill="auto"/>
          </w:tcPr>
          <w:p w14:paraId="23BF9EA1" w14:textId="77777777" w:rsidR="00990991" w:rsidRPr="00990991" w:rsidRDefault="00990991" w:rsidP="00990991">
            <w:pPr>
              <w:ind w:left="227" w:hanging="227"/>
              <w:rPr>
                <w:rFonts w:ascii="Calibri" w:hAnsi="Calibri"/>
                <w:bCs/>
                <w:color w:val="000000"/>
                <w:sz w:val="20"/>
                <w:szCs w:val="20"/>
                <w:vertAlign w:val="superscript"/>
                <w:lang w:eastAsia="en-AU"/>
              </w:rPr>
            </w:pPr>
            <w:r w:rsidRPr="00990991">
              <w:rPr>
                <w:rFonts w:ascii="Calibri" w:hAnsi="Calibri"/>
                <w:bCs/>
                <w:color w:val="000000"/>
                <w:sz w:val="20"/>
                <w:szCs w:val="20"/>
                <w:lang w:eastAsia="en-AU"/>
              </w:rPr>
              <w:t xml:space="preserve">Continuing to reduce and eliminate restrictive practices </w:t>
            </w:r>
            <w:r w:rsidRPr="00990991">
              <w:rPr>
                <w:rFonts w:ascii="Calibri" w:hAnsi="Calibri"/>
                <w:bCs/>
                <w:color w:val="000000"/>
                <w:sz w:val="20"/>
                <w:szCs w:val="20"/>
                <w:vertAlign w:val="superscript"/>
                <w:lang w:eastAsia="en-AU"/>
              </w:rPr>
              <w:t>2</w:t>
            </w:r>
          </w:p>
        </w:tc>
        <w:tc>
          <w:tcPr>
            <w:tcW w:w="929" w:type="dxa"/>
            <w:tcBorders>
              <w:top w:val="nil"/>
              <w:left w:val="nil"/>
              <w:bottom w:val="nil"/>
              <w:right w:val="nil"/>
            </w:tcBorders>
            <w:shd w:val="clear" w:color="auto" w:fill="auto"/>
          </w:tcPr>
          <w:p w14:paraId="09354C2D"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74</w:t>
            </w:r>
          </w:p>
        </w:tc>
        <w:tc>
          <w:tcPr>
            <w:tcW w:w="930" w:type="dxa"/>
            <w:tcBorders>
              <w:top w:val="nil"/>
              <w:left w:val="nil"/>
              <w:bottom w:val="nil"/>
              <w:right w:val="nil"/>
            </w:tcBorders>
            <w:shd w:val="clear" w:color="auto" w:fill="auto"/>
          </w:tcPr>
          <w:p w14:paraId="5CB80AFA"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152</w:t>
            </w:r>
          </w:p>
        </w:tc>
        <w:tc>
          <w:tcPr>
            <w:tcW w:w="929" w:type="dxa"/>
            <w:tcBorders>
              <w:top w:val="nil"/>
              <w:left w:val="nil"/>
              <w:bottom w:val="nil"/>
              <w:right w:val="nil"/>
            </w:tcBorders>
            <w:shd w:val="clear" w:color="auto" w:fill="auto"/>
          </w:tcPr>
          <w:p w14:paraId="1B89EE3E"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156</w:t>
            </w:r>
          </w:p>
        </w:tc>
        <w:tc>
          <w:tcPr>
            <w:tcW w:w="930" w:type="dxa"/>
            <w:tcBorders>
              <w:top w:val="nil"/>
              <w:left w:val="nil"/>
              <w:bottom w:val="nil"/>
              <w:right w:val="nil"/>
            </w:tcBorders>
            <w:shd w:val="clear" w:color="auto" w:fill="auto"/>
          </w:tcPr>
          <w:p w14:paraId="158576B3"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158</w:t>
            </w:r>
          </w:p>
        </w:tc>
        <w:tc>
          <w:tcPr>
            <w:tcW w:w="930" w:type="dxa"/>
            <w:tcBorders>
              <w:top w:val="nil"/>
              <w:left w:val="nil"/>
              <w:bottom w:val="nil"/>
            </w:tcBorders>
            <w:shd w:val="clear" w:color="auto" w:fill="auto"/>
          </w:tcPr>
          <w:p w14:paraId="3C277104"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540</w:t>
            </w:r>
          </w:p>
        </w:tc>
      </w:tr>
      <w:tr w:rsidR="00990991" w:rsidRPr="00990991" w14:paraId="7410B9CA" w14:textId="77777777" w:rsidTr="00503EBD">
        <w:trPr>
          <w:cantSplit/>
          <w:trHeight w:val="227"/>
        </w:trPr>
        <w:tc>
          <w:tcPr>
            <w:tcW w:w="4990" w:type="dxa"/>
            <w:shd w:val="clear" w:color="auto" w:fill="auto"/>
          </w:tcPr>
          <w:p w14:paraId="1723C6E7" w14:textId="77777777" w:rsidR="00990991" w:rsidRPr="00990991" w:rsidRDefault="00990991" w:rsidP="00990991">
            <w:pPr>
              <w:ind w:left="227" w:hanging="227"/>
              <w:rPr>
                <w:rFonts w:ascii="Calibri" w:hAnsi="Calibri"/>
                <w:bCs/>
                <w:color w:val="000000"/>
                <w:sz w:val="20"/>
                <w:szCs w:val="20"/>
                <w:vertAlign w:val="superscript"/>
                <w:lang w:eastAsia="en-AU"/>
              </w:rPr>
            </w:pPr>
            <w:r w:rsidRPr="00990991">
              <w:rPr>
                <w:rFonts w:ascii="Calibri" w:hAnsi="Calibri"/>
                <w:bCs/>
                <w:color w:val="000000"/>
                <w:sz w:val="20"/>
                <w:szCs w:val="20"/>
                <w:lang w:eastAsia="en-AU"/>
              </w:rPr>
              <w:t xml:space="preserve">Delivering family-centred responses for Aboriginal and Torres Strait Islander families impacted by family violence </w:t>
            </w:r>
            <w:r w:rsidRPr="00990991">
              <w:rPr>
                <w:rFonts w:ascii="Calibri" w:hAnsi="Calibri"/>
                <w:bCs/>
                <w:color w:val="000000"/>
                <w:sz w:val="20"/>
                <w:szCs w:val="20"/>
                <w:vertAlign w:val="superscript"/>
                <w:lang w:eastAsia="en-AU"/>
              </w:rPr>
              <w:t>6</w:t>
            </w:r>
          </w:p>
        </w:tc>
        <w:tc>
          <w:tcPr>
            <w:tcW w:w="929" w:type="dxa"/>
            <w:tcBorders>
              <w:top w:val="nil"/>
              <w:left w:val="nil"/>
              <w:bottom w:val="nil"/>
              <w:right w:val="nil"/>
            </w:tcBorders>
            <w:shd w:val="clear" w:color="auto" w:fill="auto"/>
          </w:tcPr>
          <w:p w14:paraId="52924BFB"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0</w:t>
            </w:r>
          </w:p>
        </w:tc>
        <w:tc>
          <w:tcPr>
            <w:tcW w:w="930" w:type="dxa"/>
            <w:tcBorders>
              <w:top w:val="nil"/>
              <w:left w:val="nil"/>
              <w:bottom w:val="nil"/>
              <w:right w:val="nil"/>
            </w:tcBorders>
            <w:shd w:val="clear" w:color="auto" w:fill="auto"/>
          </w:tcPr>
          <w:p w14:paraId="5179C1A3"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0</w:t>
            </w:r>
          </w:p>
        </w:tc>
        <w:tc>
          <w:tcPr>
            <w:tcW w:w="929" w:type="dxa"/>
            <w:tcBorders>
              <w:top w:val="nil"/>
              <w:left w:val="nil"/>
              <w:bottom w:val="nil"/>
              <w:right w:val="nil"/>
            </w:tcBorders>
            <w:shd w:val="clear" w:color="auto" w:fill="auto"/>
          </w:tcPr>
          <w:p w14:paraId="470661CE"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0</w:t>
            </w:r>
          </w:p>
        </w:tc>
        <w:tc>
          <w:tcPr>
            <w:tcW w:w="930" w:type="dxa"/>
            <w:tcBorders>
              <w:top w:val="nil"/>
              <w:left w:val="nil"/>
              <w:bottom w:val="nil"/>
              <w:right w:val="nil"/>
            </w:tcBorders>
            <w:shd w:val="clear" w:color="auto" w:fill="auto"/>
          </w:tcPr>
          <w:p w14:paraId="5AE302A3"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0</w:t>
            </w:r>
          </w:p>
        </w:tc>
        <w:tc>
          <w:tcPr>
            <w:tcW w:w="930" w:type="dxa"/>
            <w:tcBorders>
              <w:top w:val="nil"/>
              <w:left w:val="nil"/>
              <w:bottom w:val="nil"/>
            </w:tcBorders>
            <w:shd w:val="clear" w:color="auto" w:fill="auto"/>
          </w:tcPr>
          <w:p w14:paraId="51E90925"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0</w:t>
            </w:r>
          </w:p>
        </w:tc>
      </w:tr>
      <w:tr w:rsidR="00990991" w:rsidRPr="00990991" w14:paraId="29ED734D" w14:textId="77777777" w:rsidTr="00503EBD">
        <w:trPr>
          <w:cantSplit/>
          <w:trHeight w:val="227"/>
        </w:trPr>
        <w:tc>
          <w:tcPr>
            <w:tcW w:w="4990" w:type="dxa"/>
            <w:shd w:val="clear" w:color="auto" w:fill="auto"/>
          </w:tcPr>
          <w:p w14:paraId="40B4630F" w14:textId="77777777" w:rsidR="00990991" w:rsidRPr="00990991" w:rsidRDefault="00990991" w:rsidP="00990991">
            <w:pPr>
              <w:ind w:left="227" w:hanging="227"/>
              <w:rPr>
                <w:rFonts w:ascii="Calibri" w:hAnsi="Calibri"/>
                <w:bCs/>
                <w:color w:val="000000"/>
                <w:sz w:val="20"/>
                <w:szCs w:val="20"/>
                <w:vertAlign w:val="superscript"/>
                <w:lang w:eastAsia="en-AU"/>
              </w:rPr>
            </w:pPr>
            <w:r w:rsidRPr="00990991">
              <w:rPr>
                <w:rFonts w:ascii="Calibri" w:hAnsi="Calibri"/>
                <w:bCs/>
                <w:color w:val="000000"/>
                <w:sz w:val="20"/>
                <w:szCs w:val="20"/>
                <w:lang w:eastAsia="en-AU"/>
              </w:rPr>
              <w:t xml:space="preserve">Extending the Family Safety Hub legal services pilot </w:t>
            </w:r>
            <w:r w:rsidRPr="00990991">
              <w:rPr>
                <w:rFonts w:ascii="Calibri" w:hAnsi="Calibri"/>
                <w:bCs/>
                <w:color w:val="000000"/>
                <w:sz w:val="20"/>
                <w:szCs w:val="20"/>
                <w:vertAlign w:val="superscript"/>
                <w:lang w:eastAsia="en-AU"/>
              </w:rPr>
              <w:t>6</w:t>
            </w:r>
          </w:p>
        </w:tc>
        <w:tc>
          <w:tcPr>
            <w:tcW w:w="929" w:type="dxa"/>
            <w:tcBorders>
              <w:top w:val="nil"/>
              <w:left w:val="nil"/>
              <w:bottom w:val="nil"/>
              <w:right w:val="nil"/>
            </w:tcBorders>
            <w:shd w:val="clear" w:color="auto" w:fill="auto"/>
          </w:tcPr>
          <w:p w14:paraId="634906D8"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0</w:t>
            </w:r>
          </w:p>
        </w:tc>
        <w:tc>
          <w:tcPr>
            <w:tcW w:w="930" w:type="dxa"/>
            <w:tcBorders>
              <w:top w:val="nil"/>
              <w:left w:val="nil"/>
              <w:bottom w:val="nil"/>
              <w:right w:val="nil"/>
            </w:tcBorders>
            <w:shd w:val="clear" w:color="auto" w:fill="auto"/>
          </w:tcPr>
          <w:p w14:paraId="039888DB"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0</w:t>
            </w:r>
          </w:p>
        </w:tc>
        <w:tc>
          <w:tcPr>
            <w:tcW w:w="929" w:type="dxa"/>
            <w:tcBorders>
              <w:top w:val="nil"/>
              <w:left w:val="nil"/>
              <w:bottom w:val="nil"/>
              <w:right w:val="nil"/>
            </w:tcBorders>
            <w:shd w:val="clear" w:color="auto" w:fill="auto"/>
          </w:tcPr>
          <w:p w14:paraId="0DC6DAC1"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0</w:t>
            </w:r>
          </w:p>
        </w:tc>
        <w:tc>
          <w:tcPr>
            <w:tcW w:w="930" w:type="dxa"/>
            <w:tcBorders>
              <w:top w:val="nil"/>
              <w:left w:val="nil"/>
              <w:bottom w:val="nil"/>
              <w:right w:val="nil"/>
            </w:tcBorders>
            <w:shd w:val="clear" w:color="auto" w:fill="auto"/>
          </w:tcPr>
          <w:p w14:paraId="20C2E380"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0</w:t>
            </w:r>
          </w:p>
        </w:tc>
        <w:tc>
          <w:tcPr>
            <w:tcW w:w="930" w:type="dxa"/>
            <w:tcBorders>
              <w:top w:val="nil"/>
              <w:left w:val="nil"/>
              <w:bottom w:val="nil"/>
            </w:tcBorders>
            <w:shd w:val="clear" w:color="auto" w:fill="auto"/>
          </w:tcPr>
          <w:p w14:paraId="6F9E609E"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0</w:t>
            </w:r>
          </w:p>
        </w:tc>
      </w:tr>
      <w:tr w:rsidR="00990991" w:rsidRPr="00990991" w14:paraId="25A13908" w14:textId="77777777" w:rsidTr="00503EBD">
        <w:trPr>
          <w:cantSplit/>
          <w:trHeight w:val="227"/>
        </w:trPr>
        <w:tc>
          <w:tcPr>
            <w:tcW w:w="4990" w:type="dxa"/>
            <w:shd w:val="clear" w:color="auto" w:fill="auto"/>
          </w:tcPr>
          <w:p w14:paraId="156D2C03" w14:textId="77777777" w:rsidR="00990991" w:rsidRPr="00990991" w:rsidRDefault="00990991" w:rsidP="00990991">
            <w:pPr>
              <w:ind w:left="227" w:hanging="227"/>
              <w:rPr>
                <w:rFonts w:ascii="Calibri" w:hAnsi="Calibri"/>
                <w:bCs/>
                <w:color w:val="000000"/>
                <w:sz w:val="20"/>
                <w:szCs w:val="20"/>
                <w:vertAlign w:val="superscript"/>
                <w:lang w:eastAsia="en-AU"/>
              </w:rPr>
            </w:pPr>
            <w:r w:rsidRPr="00990991">
              <w:rPr>
                <w:rFonts w:ascii="Calibri" w:hAnsi="Calibri"/>
                <w:bCs/>
                <w:color w:val="000000"/>
                <w:sz w:val="20"/>
                <w:szCs w:val="20"/>
                <w:lang w:eastAsia="en-AU"/>
              </w:rPr>
              <w:t xml:space="preserve">Extending the Room4Change program to help prevent family violence </w:t>
            </w:r>
            <w:r w:rsidRPr="00990991">
              <w:rPr>
                <w:rFonts w:ascii="Calibri" w:hAnsi="Calibri"/>
                <w:bCs/>
                <w:color w:val="000000"/>
                <w:sz w:val="20"/>
                <w:szCs w:val="20"/>
                <w:vertAlign w:val="superscript"/>
                <w:lang w:eastAsia="en-AU"/>
              </w:rPr>
              <w:t>6</w:t>
            </w:r>
          </w:p>
        </w:tc>
        <w:tc>
          <w:tcPr>
            <w:tcW w:w="929" w:type="dxa"/>
            <w:shd w:val="clear" w:color="auto" w:fill="auto"/>
          </w:tcPr>
          <w:p w14:paraId="183E3D2B"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0</w:t>
            </w:r>
          </w:p>
        </w:tc>
        <w:tc>
          <w:tcPr>
            <w:tcW w:w="930" w:type="dxa"/>
            <w:shd w:val="clear" w:color="auto" w:fill="auto"/>
          </w:tcPr>
          <w:p w14:paraId="26BD5870"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0</w:t>
            </w:r>
          </w:p>
        </w:tc>
        <w:tc>
          <w:tcPr>
            <w:tcW w:w="929" w:type="dxa"/>
            <w:shd w:val="clear" w:color="auto" w:fill="auto"/>
          </w:tcPr>
          <w:p w14:paraId="48F694E8"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0</w:t>
            </w:r>
          </w:p>
        </w:tc>
        <w:tc>
          <w:tcPr>
            <w:tcW w:w="930" w:type="dxa"/>
            <w:shd w:val="clear" w:color="auto" w:fill="auto"/>
          </w:tcPr>
          <w:p w14:paraId="36BB686A"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0</w:t>
            </w:r>
          </w:p>
        </w:tc>
        <w:tc>
          <w:tcPr>
            <w:tcW w:w="930" w:type="dxa"/>
            <w:shd w:val="clear" w:color="auto" w:fill="auto"/>
          </w:tcPr>
          <w:p w14:paraId="4EA18612"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0</w:t>
            </w:r>
          </w:p>
        </w:tc>
      </w:tr>
      <w:tr w:rsidR="00990991" w:rsidRPr="00990991" w14:paraId="11DA27A4" w14:textId="77777777" w:rsidTr="00503EBD">
        <w:trPr>
          <w:cantSplit/>
          <w:trHeight w:val="227"/>
        </w:trPr>
        <w:tc>
          <w:tcPr>
            <w:tcW w:w="4990" w:type="dxa"/>
            <w:shd w:val="clear" w:color="auto" w:fill="auto"/>
          </w:tcPr>
          <w:p w14:paraId="3515AF3D" w14:textId="77777777" w:rsidR="00990991" w:rsidRPr="00990991" w:rsidRDefault="00990991" w:rsidP="00990991">
            <w:pPr>
              <w:ind w:left="227" w:hanging="227"/>
              <w:rPr>
                <w:rFonts w:ascii="Calibri" w:hAnsi="Calibri"/>
                <w:bCs/>
                <w:color w:val="000000"/>
                <w:sz w:val="20"/>
                <w:szCs w:val="20"/>
                <w:lang w:eastAsia="en-AU"/>
              </w:rPr>
            </w:pPr>
            <w:r w:rsidRPr="00990991">
              <w:rPr>
                <w:rFonts w:ascii="Calibri" w:hAnsi="Calibri"/>
                <w:bCs/>
                <w:color w:val="000000"/>
                <w:sz w:val="20"/>
                <w:szCs w:val="20"/>
                <w:lang w:eastAsia="en-AU"/>
              </w:rPr>
              <w:t xml:space="preserve">Growing the inclusion of Canberra's seniors </w:t>
            </w:r>
          </w:p>
        </w:tc>
        <w:tc>
          <w:tcPr>
            <w:tcW w:w="929" w:type="dxa"/>
            <w:tcBorders>
              <w:top w:val="nil"/>
              <w:left w:val="nil"/>
              <w:bottom w:val="nil"/>
              <w:right w:val="nil"/>
            </w:tcBorders>
            <w:shd w:val="clear" w:color="auto" w:fill="auto"/>
          </w:tcPr>
          <w:p w14:paraId="1BF08E01"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81</w:t>
            </w:r>
          </w:p>
        </w:tc>
        <w:tc>
          <w:tcPr>
            <w:tcW w:w="930" w:type="dxa"/>
            <w:tcBorders>
              <w:top w:val="nil"/>
              <w:left w:val="nil"/>
              <w:bottom w:val="nil"/>
              <w:right w:val="nil"/>
            </w:tcBorders>
            <w:shd w:val="clear" w:color="auto" w:fill="auto"/>
          </w:tcPr>
          <w:p w14:paraId="768483D8"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81</w:t>
            </w:r>
          </w:p>
        </w:tc>
        <w:tc>
          <w:tcPr>
            <w:tcW w:w="929" w:type="dxa"/>
            <w:tcBorders>
              <w:top w:val="nil"/>
              <w:left w:val="nil"/>
              <w:bottom w:val="nil"/>
              <w:right w:val="nil"/>
            </w:tcBorders>
            <w:shd w:val="clear" w:color="auto" w:fill="auto"/>
          </w:tcPr>
          <w:p w14:paraId="54C2DA3F"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0</w:t>
            </w:r>
          </w:p>
        </w:tc>
        <w:tc>
          <w:tcPr>
            <w:tcW w:w="930" w:type="dxa"/>
            <w:tcBorders>
              <w:top w:val="nil"/>
              <w:left w:val="nil"/>
              <w:bottom w:val="nil"/>
              <w:right w:val="nil"/>
            </w:tcBorders>
            <w:shd w:val="clear" w:color="auto" w:fill="auto"/>
          </w:tcPr>
          <w:p w14:paraId="523B8890"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0</w:t>
            </w:r>
          </w:p>
        </w:tc>
        <w:tc>
          <w:tcPr>
            <w:tcW w:w="930" w:type="dxa"/>
            <w:tcBorders>
              <w:top w:val="nil"/>
              <w:left w:val="nil"/>
              <w:bottom w:val="nil"/>
            </w:tcBorders>
            <w:shd w:val="clear" w:color="auto" w:fill="auto"/>
          </w:tcPr>
          <w:p w14:paraId="50F2E8CF"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162</w:t>
            </w:r>
          </w:p>
        </w:tc>
      </w:tr>
      <w:tr w:rsidR="00990991" w:rsidRPr="00990991" w14:paraId="20FFB5FB" w14:textId="77777777" w:rsidTr="00503EBD">
        <w:trPr>
          <w:cantSplit/>
          <w:trHeight w:val="227"/>
        </w:trPr>
        <w:tc>
          <w:tcPr>
            <w:tcW w:w="4990" w:type="dxa"/>
            <w:shd w:val="clear" w:color="auto" w:fill="auto"/>
          </w:tcPr>
          <w:p w14:paraId="792F7B44" w14:textId="77777777" w:rsidR="00990991" w:rsidRPr="00990991" w:rsidRDefault="00990991" w:rsidP="00990991">
            <w:pPr>
              <w:ind w:left="227" w:hanging="227"/>
              <w:rPr>
                <w:rFonts w:ascii="Calibri" w:hAnsi="Calibri"/>
                <w:bCs/>
                <w:color w:val="000000"/>
                <w:sz w:val="20"/>
                <w:szCs w:val="20"/>
                <w:vertAlign w:val="superscript"/>
                <w:lang w:eastAsia="en-AU"/>
              </w:rPr>
            </w:pPr>
            <w:r w:rsidRPr="00990991">
              <w:rPr>
                <w:rFonts w:ascii="Calibri" w:hAnsi="Calibri"/>
                <w:bCs/>
                <w:color w:val="000000"/>
                <w:sz w:val="20"/>
                <w:szCs w:val="20"/>
                <w:lang w:eastAsia="en-AU"/>
              </w:rPr>
              <w:t xml:space="preserve">Improving frontline services through the Safer Families Levy </w:t>
            </w:r>
            <w:r w:rsidRPr="00990991">
              <w:rPr>
                <w:rFonts w:ascii="Calibri" w:hAnsi="Calibri"/>
                <w:bCs/>
                <w:color w:val="000000"/>
                <w:sz w:val="20"/>
                <w:szCs w:val="20"/>
                <w:vertAlign w:val="superscript"/>
                <w:lang w:eastAsia="en-AU"/>
              </w:rPr>
              <w:t>6</w:t>
            </w:r>
          </w:p>
        </w:tc>
        <w:tc>
          <w:tcPr>
            <w:tcW w:w="929" w:type="dxa"/>
            <w:tcBorders>
              <w:top w:val="nil"/>
              <w:left w:val="nil"/>
              <w:bottom w:val="nil"/>
              <w:right w:val="nil"/>
            </w:tcBorders>
            <w:shd w:val="clear" w:color="auto" w:fill="auto"/>
          </w:tcPr>
          <w:p w14:paraId="2D98E4DA"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1,255</w:t>
            </w:r>
          </w:p>
        </w:tc>
        <w:tc>
          <w:tcPr>
            <w:tcW w:w="930" w:type="dxa"/>
            <w:tcBorders>
              <w:top w:val="nil"/>
              <w:left w:val="nil"/>
              <w:bottom w:val="nil"/>
              <w:right w:val="nil"/>
            </w:tcBorders>
            <w:shd w:val="clear" w:color="auto" w:fill="auto"/>
          </w:tcPr>
          <w:p w14:paraId="5D90507E"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2,387</w:t>
            </w:r>
          </w:p>
        </w:tc>
        <w:tc>
          <w:tcPr>
            <w:tcW w:w="929" w:type="dxa"/>
            <w:tcBorders>
              <w:top w:val="nil"/>
              <w:left w:val="nil"/>
              <w:bottom w:val="nil"/>
              <w:right w:val="nil"/>
            </w:tcBorders>
            <w:shd w:val="clear" w:color="auto" w:fill="auto"/>
          </w:tcPr>
          <w:p w14:paraId="046CCEB0"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2,449</w:t>
            </w:r>
          </w:p>
        </w:tc>
        <w:tc>
          <w:tcPr>
            <w:tcW w:w="930" w:type="dxa"/>
            <w:tcBorders>
              <w:top w:val="nil"/>
              <w:left w:val="nil"/>
              <w:bottom w:val="nil"/>
              <w:right w:val="nil"/>
            </w:tcBorders>
            <w:shd w:val="clear" w:color="auto" w:fill="auto"/>
          </w:tcPr>
          <w:p w14:paraId="5D41F267"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2,514</w:t>
            </w:r>
          </w:p>
        </w:tc>
        <w:tc>
          <w:tcPr>
            <w:tcW w:w="930" w:type="dxa"/>
            <w:tcBorders>
              <w:top w:val="nil"/>
              <w:left w:val="nil"/>
              <w:bottom w:val="nil"/>
            </w:tcBorders>
            <w:shd w:val="clear" w:color="auto" w:fill="auto"/>
          </w:tcPr>
          <w:p w14:paraId="45FD49A9"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8,605</w:t>
            </w:r>
          </w:p>
        </w:tc>
      </w:tr>
      <w:tr w:rsidR="00990991" w:rsidRPr="00990991" w14:paraId="59FA167B" w14:textId="77777777" w:rsidTr="00503EBD">
        <w:trPr>
          <w:cantSplit/>
          <w:trHeight w:val="227"/>
        </w:trPr>
        <w:tc>
          <w:tcPr>
            <w:tcW w:w="4990" w:type="dxa"/>
            <w:shd w:val="clear" w:color="auto" w:fill="auto"/>
          </w:tcPr>
          <w:p w14:paraId="0CF53302" w14:textId="77777777" w:rsidR="00990991" w:rsidRPr="00990991" w:rsidRDefault="00990991" w:rsidP="00990991">
            <w:pPr>
              <w:ind w:left="227" w:hanging="227"/>
              <w:rPr>
                <w:rFonts w:ascii="Calibri" w:hAnsi="Calibri"/>
                <w:bCs/>
                <w:color w:val="000000"/>
                <w:sz w:val="20"/>
                <w:szCs w:val="20"/>
                <w:vertAlign w:val="superscript"/>
                <w:lang w:eastAsia="en-AU"/>
              </w:rPr>
            </w:pPr>
            <w:r w:rsidRPr="00990991">
              <w:rPr>
                <w:rFonts w:ascii="Calibri" w:hAnsi="Calibri"/>
                <w:bCs/>
                <w:color w:val="000000"/>
                <w:sz w:val="20"/>
                <w:szCs w:val="20"/>
                <w:lang w:eastAsia="en-AU"/>
              </w:rPr>
              <w:t xml:space="preserve">Maintaining support for disability services in the transition to the full scheme National Disability Insurance Scheme </w:t>
            </w:r>
            <w:r w:rsidRPr="00990991">
              <w:rPr>
                <w:rFonts w:ascii="Calibri" w:hAnsi="Calibri"/>
                <w:bCs/>
                <w:color w:val="000000"/>
                <w:sz w:val="20"/>
                <w:szCs w:val="20"/>
                <w:vertAlign w:val="superscript"/>
                <w:lang w:eastAsia="en-AU"/>
              </w:rPr>
              <w:t>4</w:t>
            </w:r>
          </w:p>
        </w:tc>
        <w:tc>
          <w:tcPr>
            <w:tcW w:w="929" w:type="dxa"/>
            <w:tcBorders>
              <w:top w:val="nil"/>
              <w:left w:val="nil"/>
              <w:bottom w:val="nil"/>
              <w:right w:val="nil"/>
            </w:tcBorders>
            <w:shd w:val="clear" w:color="auto" w:fill="auto"/>
          </w:tcPr>
          <w:p w14:paraId="35B27884"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7,923</w:t>
            </w:r>
          </w:p>
        </w:tc>
        <w:tc>
          <w:tcPr>
            <w:tcW w:w="930" w:type="dxa"/>
            <w:tcBorders>
              <w:top w:val="nil"/>
              <w:left w:val="nil"/>
              <w:bottom w:val="nil"/>
              <w:right w:val="nil"/>
            </w:tcBorders>
            <w:shd w:val="clear" w:color="auto" w:fill="auto"/>
          </w:tcPr>
          <w:p w14:paraId="1AC640EA"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4,156</w:t>
            </w:r>
          </w:p>
        </w:tc>
        <w:tc>
          <w:tcPr>
            <w:tcW w:w="929" w:type="dxa"/>
            <w:tcBorders>
              <w:top w:val="nil"/>
              <w:left w:val="nil"/>
              <w:bottom w:val="nil"/>
              <w:right w:val="nil"/>
            </w:tcBorders>
            <w:shd w:val="clear" w:color="auto" w:fill="auto"/>
          </w:tcPr>
          <w:p w14:paraId="42B50622"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6,847</w:t>
            </w:r>
          </w:p>
        </w:tc>
        <w:tc>
          <w:tcPr>
            <w:tcW w:w="930" w:type="dxa"/>
            <w:tcBorders>
              <w:top w:val="nil"/>
              <w:left w:val="nil"/>
              <w:bottom w:val="nil"/>
              <w:right w:val="nil"/>
            </w:tcBorders>
            <w:shd w:val="clear" w:color="auto" w:fill="auto"/>
          </w:tcPr>
          <w:p w14:paraId="35B917E0"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9,707</w:t>
            </w:r>
          </w:p>
        </w:tc>
        <w:tc>
          <w:tcPr>
            <w:tcW w:w="930" w:type="dxa"/>
            <w:tcBorders>
              <w:top w:val="nil"/>
              <w:left w:val="nil"/>
              <w:bottom w:val="nil"/>
            </w:tcBorders>
            <w:shd w:val="clear" w:color="auto" w:fill="auto"/>
          </w:tcPr>
          <w:p w14:paraId="18D5B7D5"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28,633</w:t>
            </w:r>
          </w:p>
        </w:tc>
      </w:tr>
      <w:tr w:rsidR="00990991" w:rsidRPr="00990991" w14:paraId="14BA4F9E" w14:textId="77777777" w:rsidTr="00503EBD">
        <w:trPr>
          <w:cantSplit/>
          <w:trHeight w:val="227"/>
        </w:trPr>
        <w:tc>
          <w:tcPr>
            <w:tcW w:w="4990" w:type="dxa"/>
            <w:shd w:val="clear" w:color="auto" w:fill="auto"/>
          </w:tcPr>
          <w:p w14:paraId="6A3D5E0C" w14:textId="77777777" w:rsidR="00990991" w:rsidRPr="00990991" w:rsidRDefault="00990991" w:rsidP="00990991">
            <w:pPr>
              <w:ind w:left="227" w:hanging="227"/>
              <w:rPr>
                <w:rFonts w:ascii="Calibri" w:hAnsi="Calibri"/>
                <w:bCs/>
                <w:color w:val="000000"/>
                <w:sz w:val="20"/>
                <w:szCs w:val="20"/>
                <w:lang w:eastAsia="en-AU"/>
              </w:rPr>
            </w:pPr>
            <w:r w:rsidRPr="00990991">
              <w:rPr>
                <w:rFonts w:ascii="Calibri" w:hAnsi="Calibri"/>
                <w:bCs/>
                <w:color w:val="000000"/>
                <w:sz w:val="20"/>
                <w:szCs w:val="20"/>
                <w:lang w:eastAsia="en-AU"/>
              </w:rPr>
              <w:t xml:space="preserve">Reducing the risk of deaths from family violence </w:t>
            </w:r>
            <w:r w:rsidRPr="00990991">
              <w:rPr>
                <w:rFonts w:ascii="Calibri" w:hAnsi="Calibri"/>
                <w:bCs/>
                <w:color w:val="000000"/>
                <w:sz w:val="20"/>
                <w:szCs w:val="20"/>
                <w:vertAlign w:val="superscript"/>
                <w:lang w:eastAsia="en-AU"/>
              </w:rPr>
              <w:t>6</w:t>
            </w:r>
            <w:r w:rsidRPr="00990991">
              <w:rPr>
                <w:rFonts w:ascii="Calibri" w:hAnsi="Calibri"/>
                <w:bCs/>
                <w:color w:val="000000"/>
                <w:sz w:val="20"/>
                <w:szCs w:val="20"/>
                <w:lang w:eastAsia="en-AU"/>
              </w:rPr>
              <w:t xml:space="preserve"> </w:t>
            </w:r>
          </w:p>
        </w:tc>
        <w:tc>
          <w:tcPr>
            <w:tcW w:w="929" w:type="dxa"/>
            <w:tcBorders>
              <w:top w:val="nil"/>
              <w:left w:val="nil"/>
              <w:bottom w:val="nil"/>
              <w:right w:val="nil"/>
            </w:tcBorders>
            <w:shd w:val="clear" w:color="auto" w:fill="auto"/>
          </w:tcPr>
          <w:p w14:paraId="4F4DEBBE"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0</w:t>
            </w:r>
          </w:p>
        </w:tc>
        <w:tc>
          <w:tcPr>
            <w:tcW w:w="930" w:type="dxa"/>
            <w:tcBorders>
              <w:top w:val="nil"/>
              <w:left w:val="nil"/>
              <w:bottom w:val="nil"/>
              <w:right w:val="nil"/>
            </w:tcBorders>
            <w:shd w:val="clear" w:color="auto" w:fill="auto"/>
          </w:tcPr>
          <w:p w14:paraId="7B59BBC0"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0</w:t>
            </w:r>
          </w:p>
        </w:tc>
        <w:tc>
          <w:tcPr>
            <w:tcW w:w="929" w:type="dxa"/>
            <w:tcBorders>
              <w:top w:val="nil"/>
              <w:left w:val="nil"/>
              <w:bottom w:val="nil"/>
              <w:right w:val="nil"/>
            </w:tcBorders>
            <w:shd w:val="clear" w:color="auto" w:fill="auto"/>
          </w:tcPr>
          <w:p w14:paraId="3C84ABE3"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0</w:t>
            </w:r>
          </w:p>
        </w:tc>
        <w:tc>
          <w:tcPr>
            <w:tcW w:w="930" w:type="dxa"/>
            <w:tcBorders>
              <w:top w:val="nil"/>
              <w:left w:val="nil"/>
              <w:bottom w:val="nil"/>
              <w:right w:val="nil"/>
            </w:tcBorders>
            <w:shd w:val="clear" w:color="auto" w:fill="auto"/>
          </w:tcPr>
          <w:p w14:paraId="48C2F61C"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0</w:t>
            </w:r>
          </w:p>
        </w:tc>
        <w:tc>
          <w:tcPr>
            <w:tcW w:w="930" w:type="dxa"/>
            <w:tcBorders>
              <w:top w:val="nil"/>
              <w:left w:val="nil"/>
              <w:bottom w:val="nil"/>
            </w:tcBorders>
            <w:shd w:val="clear" w:color="auto" w:fill="auto"/>
          </w:tcPr>
          <w:p w14:paraId="7A68776B"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0</w:t>
            </w:r>
          </w:p>
        </w:tc>
      </w:tr>
      <w:tr w:rsidR="00990991" w:rsidRPr="00990991" w14:paraId="3F3C6647" w14:textId="77777777" w:rsidTr="00503EBD">
        <w:trPr>
          <w:cantSplit/>
          <w:trHeight w:val="227"/>
        </w:trPr>
        <w:tc>
          <w:tcPr>
            <w:tcW w:w="4990" w:type="dxa"/>
            <w:shd w:val="clear" w:color="auto" w:fill="auto"/>
          </w:tcPr>
          <w:p w14:paraId="4A8D0ABC" w14:textId="77777777" w:rsidR="00990991" w:rsidRPr="00990991" w:rsidRDefault="00990991" w:rsidP="00990991">
            <w:pPr>
              <w:ind w:left="227" w:hanging="227"/>
              <w:rPr>
                <w:rFonts w:ascii="Calibri" w:hAnsi="Calibri"/>
                <w:bCs/>
                <w:color w:val="000000"/>
                <w:sz w:val="20"/>
                <w:szCs w:val="20"/>
                <w:vertAlign w:val="superscript"/>
                <w:lang w:eastAsia="en-AU"/>
              </w:rPr>
            </w:pPr>
            <w:r w:rsidRPr="00990991">
              <w:rPr>
                <w:rFonts w:ascii="Calibri" w:hAnsi="Calibri"/>
                <w:bCs/>
                <w:color w:val="000000"/>
                <w:sz w:val="20"/>
                <w:szCs w:val="20"/>
                <w:lang w:eastAsia="en-AU"/>
              </w:rPr>
              <w:t xml:space="preserve">Strengthening security and CCTV facilities at </w:t>
            </w:r>
            <w:proofErr w:type="spellStart"/>
            <w:r w:rsidRPr="00990991">
              <w:rPr>
                <w:rFonts w:ascii="Calibri" w:hAnsi="Calibri"/>
                <w:bCs/>
                <w:color w:val="000000"/>
                <w:sz w:val="20"/>
                <w:szCs w:val="20"/>
                <w:lang w:eastAsia="en-AU"/>
              </w:rPr>
              <w:t>Bimberi</w:t>
            </w:r>
            <w:proofErr w:type="spellEnd"/>
            <w:r w:rsidRPr="00990991">
              <w:rPr>
                <w:rFonts w:ascii="Calibri" w:hAnsi="Calibri"/>
                <w:bCs/>
                <w:color w:val="000000"/>
                <w:sz w:val="20"/>
                <w:szCs w:val="20"/>
                <w:lang w:eastAsia="en-AU"/>
              </w:rPr>
              <w:t xml:space="preserve"> Youth Justice Centre </w:t>
            </w:r>
            <w:r w:rsidRPr="00990991">
              <w:rPr>
                <w:rFonts w:ascii="Calibri" w:hAnsi="Calibri"/>
                <w:bCs/>
                <w:color w:val="000000"/>
                <w:sz w:val="20"/>
                <w:szCs w:val="20"/>
                <w:vertAlign w:val="superscript"/>
                <w:lang w:eastAsia="en-AU"/>
              </w:rPr>
              <w:t>2</w:t>
            </w:r>
          </w:p>
        </w:tc>
        <w:tc>
          <w:tcPr>
            <w:tcW w:w="929" w:type="dxa"/>
            <w:tcBorders>
              <w:top w:val="nil"/>
              <w:left w:val="nil"/>
              <w:bottom w:val="nil"/>
              <w:right w:val="nil"/>
            </w:tcBorders>
            <w:shd w:val="clear" w:color="auto" w:fill="auto"/>
          </w:tcPr>
          <w:p w14:paraId="1FE199D4"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0</w:t>
            </w:r>
          </w:p>
        </w:tc>
        <w:tc>
          <w:tcPr>
            <w:tcW w:w="930" w:type="dxa"/>
            <w:tcBorders>
              <w:top w:val="nil"/>
              <w:left w:val="nil"/>
              <w:bottom w:val="nil"/>
              <w:right w:val="nil"/>
            </w:tcBorders>
            <w:shd w:val="clear" w:color="auto" w:fill="auto"/>
          </w:tcPr>
          <w:p w14:paraId="2CD71117"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50</w:t>
            </w:r>
          </w:p>
        </w:tc>
        <w:tc>
          <w:tcPr>
            <w:tcW w:w="929" w:type="dxa"/>
            <w:tcBorders>
              <w:top w:val="nil"/>
              <w:left w:val="nil"/>
              <w:bottom w:val="nil"/>
              <w:right w:val="nil"/>
            </w:tcBorders>
            <w:shd w:val="clear" w:color="auto" w:fill="auto"/>
          </w:tcPr>
          <w:p w14:paraId="51B7663D"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50</w:t>
            </w:r>
          </w:p>
        </w:tc>
        <w:tc>
          <w:tcPr>
            <w:tcW w:w="930" w:type="dxa"/>
            <w:tcBorders>
              <w:top w:val="nil"/>
              <w:left w:val="nil"/>
              <w:bottom w:val="nil"/>
              <w:right w:val="nil"/>
            </w:tcBorders>
            <w:shd w:val="clear" w:color="auto" w:fill="auto"/>
          </w:tcPr>
          <w:p w14:paraId="03DA058F"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50</w:t>
            </w:r>
          </w:p>
        </w:tc>
        <w:tc>
          <w:tcPr>
            <w:tcW w:w="930" w:type="dxa"/>
            <w:tcBorders>
              <w:top w:val="nil"/>
              <w:left w:val="nil"/>
              <w:bottom w:val="nil"/>
            </w:tcBorders>
            <w:shd w:val="clear" w:color="auto" w:fill="auto"/>
          </w:tcPr>
          <w:p w14:paraId="5E13F8CB"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150</w:t>
            </w:r>
          </w:p>
        </w:tc>
      </w:tr>
      <w:tr w:rsidR="00990991" w:rsidRPr="00990991" w14:paraId="7EDF7FC9" w14:textId="77777777" w:rsidTr="00503EBD">
        <w:trPr>
          <w:cantSplit/>
          <w:trHeight w:val="227"/>
        </w:trPr>
        <w:tc>
          <w:tcPr>
            <w:tcW w:w="4990" w:type="dxa"/>
            <w:shd w:val="clear" w:color="auto" w:fill="auto"/>
          </w:tcPr>
          <w:p w14:paraId="0B2C862A" w14:textId="77777777" w:rsidR="00990991" w:rsidRPr="00990991" w:rsidRDefault="00990991" w:rsidP="00990991">
            <w:pPr>
              <w:ind w:left="227" w:hanging="227"/>
              <w:rPr>
                <w:rFonts w:ascii="Calibri" w:hAnsi="Calibri"/>
                <w:bCs/>
                <w:color w:val="000000"/>
                <w:sz w:val="20"/>
                <w:szCs w:val="20"/>
                <w:lang w:eastAsia="en-AU"/>
              </w:rPr>
            </w:pPr>
            <w:r w:rsidRPr="00990991">
              <w:rPr>
                <w:rFonts w:ascii="Calibri" w:hAnsi="Calibri"/>
                <w:bCs/>
                <w:color w:val="000000"/>
                <w:sz w:val="20"/>
                <w:szCs w:val="20"/>
                <w:lang w:eastAsia="en-AU"/>
              </w:rPr>
              <w:t xml:space="preserve">Strengthening services for Aboriginal and Torres Strait Islander children and young people </w:t>
            </w:r>
          </w:p>
        </w:tc>
        <w:tc>
          <w:tcPr>
            <w:tcW w:w="929" w:type="dxa"/>
            <w:tcBorders>
              <w:top w:val="nil"/>
              <w:left w:val="nil"/>
              <w:bottom w:val="nil"/>
              <w:right w:val="nil"/>
            </w:tcBorders>
            <w:shd w:val="clear" w:color="auto" w:fill="auto"/>
          </w:tcPr>
          <w:p w14:paraId="4623C0F7"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420</w:t>
            </w:r>
          </w:p>
        </w:tc>
        <w:tc>
          <w:tcPr>
            <w:tcW w:w="930" w:type="dxa"/>
            <w:tcBorders>
              <w:top w:val="nil"/>
              <w:left w:val="nil"/>
              <w:bottom w:val="nil"/>
              <w:right w:val="nil"/>
            </w:tcBorders>
            <w:shd w:val="clear" w:color="auto" w:fill="auto"/>
          </w:tcPr>
          <w:p w14:paraId="64AE970C"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431</w:t>
            </w:r>
          </w:p>
        </w:tc>
        <w:tc>
          <w:tcPr>
            <w:tcW w:w="929" w:type="dxa"/>
            <w:tcBorders>
              <w:top w:val="nil"/>
              <w:left w:val="nil"/>
              <w:bottom w:val="nil"/>
              <w:right w:val="nil"/>
            </w:tcBorders>
            <w:shd w:val="clear" w:color="auto" w:fill="auto"/>
          </w:tcPr>
          <w:p w14:paraId="18E5A6F7"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443</w:t>
            </w:r>
          </w:p>
        </w:tc>
        <w:tc>
          <w:tcPr>
            <w:tcW w:w="930" w:type="dxa"/>
            <w:tcBorders>
              <w:top w:val="nil"/>
              <w:left w:val="nil"/>
              <w:bottom w:val="nil"/>
              <w:right w:val="nil"/>
            </w:tcBorders>
            <w:shd w:val="clear" w:color="auto" w:fill="auto"/>
          </w:tcPr>
          <w:p w14:paraId="3D431205"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450</w:t>
            </w:r>
          </w:p>
        </w:tc>
        <w:tc>
          <w:tcPr>
            <w:tcW w:w="930" w:type="dxa"/>
            <w:tcBorders>
              <w:top w:val="nil"/>
              <w:left w:val="nil"/>
              <w:bottom w:val="nil"/>
            </w:tcBorders>
            <w:shd w:val="clear" w:color="auto" w:fill="auto"/>
          </w:tcPr>
          <w:p w14:paraId="51171DCF"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1,744</w:t>
            </w:r>
          </w:p>
        </w:tc>
      </w:tr>
      <w:tr w:rsidR="00990991" w:rsidRPr="00990991" w14:paraId="0D2E2FC3" w14:textId="77777777" w:rsidTr="00503EBD">
        <w:trPr>
          <w:cantSplit/>
          <w:trHeight w:val="227"/>
        </w:trPr>
        <w:tc>
          <w:tcPr>
            <w:tcW w:w="4990" w:type="dxa"/>
            <w:shd w:val="clear" w:color="auto" w:fill="auto"/>
          </w:tcPr>
          <w:p w14:paraId="5F36504F" w14:textId="77777777" w:rsidR="00990991" w:rsidRPr="00990991" w:rsidRDefault="00990991" w:rsidP="00990991">
            <w:pPr>
              <w:ind w:left="227" w:hanging="227"/>
              <w:rPr>
                <w:rFonts w:ascii="Calibri" w:hAnsi="Calibri"/>
                <w:bCs/>
                <w:color w:val="000000"/>
                <w:sz w:val="20"/>
                <w:szCs w:val="20"/>
                <w:vertAlign w:val="superscript"/>
                <w:lang w:eastAsia="en-AU"/>
              </w:rPr>
            </w:pPr>
            <w:r w:rsidRPr="00990991">
              <w:rPr>
                <w:rFonts w:ascii="Calibri" w:hAnsi="Calibri"/>
                <w:bCs/>
                <w:color w:val="000000"/>
                <w:sz w:val="20"/>
                <w:szCs w:val="20"/>
                <w:lang w:eastAsia="en-AU"/>
              </w:rPr>
              <w:t xml:space="preserve">Supporting smarter working in the new ACT Government office projects </w:t>
            </w:r>
            <w:r w:rsidRPr="00990991">
              <w:rPr>
                <w:rFonts w:ascii="Calibri" w:hAnsi="Calibri"/>
                <w:bCs/>
                <w:color w:val="000000"/>
                <w:sz w:val="20"/>
                <w:szCs w:val="20"/>
                <w:vertAlign w:val="superscript"/>
                <w:lang w:eastAsia="en-AU"/>
              </w:rPr>
              <w:t>2, 4</w:t>
            </w:r>
          </w:p>
        </w:tc>
        <w:tc>
          <w:tcPr>
            <w:tcW w:w="929" w:type="dxa"/>
            <w:tcBorders>
              <w:top w:val="nil"/>
              <w:left w:val="nil"/>
              <w:bottom w:val="nil"/>
              <w:right w:val="nil"/>
            </w:tcBorders>
            <w:shd w:val="clear" w:color="auto" w:fill="auto"/>
          </w:tcPr>
          <w:p w14:paraId="41B3BE24"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426</w:t>
            </w:r>
          </w:p>
        </w:tc>
        <w:tc>
          <w:tcPr>
            <w:tcW w:w="930" w:type="dxa"/>
            <w:tcBorders>
              <w:top w:val="nil"/>
              <w:left w:val="nil"/>
              <w:bottom w:val="nil"/>
              <w:right w:val="nil"/>
            </w:tcBorders>
            <w:shd w:val="clear" w:color="auto" w:fill="auto"/>
          </w:tcPr>
          <w:p w14:paraId="279243F2"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439</w:t>
            </w:r>
          </w:p>
        </w:tc>
        <w:tc>
          <w:tcPr>
            <w:tcW w:w="929" w:type="dxa"/>
            <w:tcBorders>
              <w:top w:val="nil"/>
              <w:left w:val="nil"/>
              <w:bottom w:val="nil"/>
              <w:right w:val="nil"/>
            </w:tcBorders>
            <w:shd w:val="clear" w:color="auto" w:fill="auto"/>
          </w:tcPr>
          <w:p w14:paraId="31455EBA"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0</w:t>
            </w:r>
          </w:p>
        </w:tc>
        <w:tc>
          <w:tcPr>
            <w:tcW w:w="930" w:type="dxa"/>
            <w:tcBorders>
              <w:top w:val="nil"/>
              <w:left w:val="nil"/>
              <w:bottom w:val="nil"/>
              <w:right w:val="nil"/>
            </w:tcBorders>
            <w:shd w:val="clear" w:color="auto" w:fill="auto"/>
          </w:tcPr>
          <w:p w14:paraId="4D4FC7CE"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0</w:t>
            </w:r>
          </w:p>
        </w:tc>
        <w:tc>
          <w:tcPr>
            <w:tcW w:w="930" w:type="dxa"/>
            <w:tcBorders>
              <w:top w:val="nil"/>
              <w:left w:val="nil"/>
              <w:bottom w:val="nil"/>
            </w:tcBorders>
            <w:shd w:val="clear" w:color="auto" w:fill="auto"/>
          </w:tcPr>
          <w:p w14:paraId="08B1198F"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865</w:t>
            </w:r>
          </w:p>
        </w:tc>
      </w:tr>
      <w:tr w:rsidR="00990991" w:rsidRPr="00990991" w14:paraId="44932931" w14:textId="77777777" w:rsidTr="00503EBD">
        <w:trPr>
          <w:cantSplit/>
          <w:trHeight w:val="227"/>
        </w:trPr>
        <w:tc>
          <w:tcPr>
            <w:tcW w:w="4990" w:type="dxa"/>
            <w:shd w:val="clear" w:color="auto" w:fill="auto"/>
          </w:tcPr>
          <w:p w14:paraId="3FEAF0C8" w14:textId="77777777" w:rsidR="00990991" w:rsidRPr="00990991" w:rsidRDefault="00990991" w:rsidP="00990991">
            <w:pPr>
              <w:ind w:left="227" w:hanging="227"/>
              <w:rPr>
                <w:rFonts w:ascii="Calibri" w:hAnsi="Calibri"/>
                <w:bCs/>
                <w:color w:val="000000"/>
                <w:sz w:val="20"/>
                <w:szCs w:val="20"/>
                <w:lang w:eastAsia="en-AU"/>
              </w:rPr>
            </w:pPr>
            <w:r w:rsidRPr="00990991">
              <w:rPr>
                <w:rFonts w:ascii="Calibri" w:hAnsi="Calibri"/>
                <w:bCs/>
                <w:color w:val="000000"/>
                <w:sz w:val="20"/>
                <w:szCs w:val="20"/>
                <w:lang w:eastAsia="en-AU"/>
              </w:rPr>
              <w:t xml:space="preserve">Supporting sustainable Out of Home Care placements </w:t>
            </w:r>
          </w:p>
        </w:tc>
        <w:tc>
          <w:tcPr>
            <w:tcW w:w="929" w:type="dxa"/>
            <w:tcBorders>
              <w:top w:val="nil"/>
              <w:left w:val="nil"/>
              <w:bottom w:val="nil"/>
              <w:right w:val="nil"/>
            </w:tcBorders>
            <w:shd w:val="clear" w:color="auto" w:fill="auto"/>
          </w:tcPr>
          <w:p w14:paraId="3323F130"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9,822</w:t>
            </w:r>
          </w:p>
        </w:tc>
        <w:tc>
          <w:tcPr>
            <w:tcW w:w="930" w:type="dxa"/>
            <w:tcBorders>
              <w:top w:val="nil"/>
              <w:left w:val="nil"/>
              <w:bottom w:val="nil"/>
              <w:right w:val="nil"/>
            </w:tcBorders>
            <w:shd w:val="clear" w:color="auto" w:fill="auto"/>
          </w:tcPr>
          <w:p w14:paraId="04E891B0"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10,008</w:t>
            </w:r>
          </w:p>
        </w:tc>
        <w:tc>
          <w:tcPr>
            <w:tcW w:w="929" w:type="dxa"/>
            <w:tcBorders>
              <w:top w:val="nil"/>
              <w:left w:val="nil"/>
              <w:bottom w:val="nil"/>
              <w:right w:val="nil"/>
            </w:tcBorders>
            <w:shd w:val="clear" w:color="auto" w:fill="auto"/>
          </w:tcPr>
          <w:p w14:paraId="6929B8D8"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9,688</w:t>
            </w:r>
          </w:p>
        </w:tc>
        <w:tc>
          <w:tcPr>
            <w:tcW w:w="930" w:type="dxa"/>
            <w:tcBorders>
              <w:top w:val="nil"/>
              <w:left w:val="nil"/>
              <w:bottom w:val="nil"/>
              <w:right w:val="nil"/>
            </w:tcBorders>
            <w:shd w:val="clear" w:color="auto" w:fill="auto"/>
          </w:tcPr>
          <w:p w14:paraId="00A5213F"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10,239</w:t>
            </w:r>
          </w:p>
        </w:tc>
        <w:tc>
          <w:tcPr>
            <w:tcW w:w="930" w:type="dxa"/>
            <w:tcBorders>
              <w:top w:val="nil"/>
              <w:left w:val="nil"/>
              <w:bottom w:val="nil"/>
            </w:tcBorders>
            <w:shd w:val="clear" w:color="auto" w:fill="auto"/>
          </w:tcPr>
          <w:p w14:paraId="59F91B24"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39,757</w:t>
            </w:r>
          </w:p>
        </w:tc>
      </w:tr>
      <w:tr w:rsidR="00990991" w:rsidRPr="00990991" w14:paraId="3D7C8E53" w14:textId="77777777" w:rsidTr="00503EBD">
        <w:trPr>
          <w:cantSplit/>
          <w:trHeight w:val="227"/>
        </w:trPr>
        <w:tc>
          <w:tcPr>
            <w:tcW w:w="4990" w:type="dxa"/>
            <w:tcBorders>
              <w:bottom w:val="single" w:sz="4" w:space="0" w:color="auto"/>
            </w:tcBorders>
            <w:shd w:val="clear" w:color="auto" w:fill="auto"/>
          </w:tcPr>
          <w:p w14:paraId="5CA01E6E" w14:textId="77777777" w:rsidR="00990991" w:rsidRPr="00990991" w:rsidRDefault="00990991" w:rsidP="00990991">
            <w:pPr>
              <w:ind w:left="227" w:hanging="227"/>
              <w:rPr>
                <w:rFonts w:ascii="Calibri" w:hAnsi="Calibri"/>
                <w:bCs/>
                <w:color w:val="000000"/>
                <w:sz w:val="20"/>
                <w:szCs w:val="20"/>
                <w:vertAlign w:val="superscript"/>
                <w:lang w:eastAsia="en-AU"/>
              </w:rPr>
            </w:pPr>
            <w:r w:rsidRPr="00990991">
              <w:rPr>
                <w:rFonts w:ascii="Calibri" w:hAnsi="Calibri"/>
                <w:bCs/>
                <w:color w:val="000000"/>
                <w:sz w:val="20"/>
                <w:szCs w:val="20"/>
                <w:lang w:eastAsia="en-AU"/>
              </w:rPr>
              <w:t xml:space="preserve">Training ACT Government frontline workers to respond to family violence </w:t>
            </w:r>
            <w:r w:rsidRPr="00990991">
              <w:rPr>
                <w:rFonts w:ascii="Calibri" w:hAnsi="Calibri"/>
                <w:bCs/>
                <w:color w:val="000000"/>
                <w:sz w:val="20"/>
                <w:szCs w:val="20"/>
                <w:vertAlign w:val="superscript"/>
                <w:lang w:eastAsia="en-AU"/>
              </w:rPr>
              <w:t>6</w:t>
            </w:r>
          </w:p>
        </w:tc>
        <w:tc>
          <w:tcPr>
            <w:tcW w:w="929" w:type="dxa"/>
            <w:tcBorders>
              <w:top w:val="nil"/>
              <w:left w:val="nil"/>
              <w:bottom w:val="single" w:sz="4" w:space="0" w:color="auto"/>
              <w:right w:val="nil"/>
            </w:tcBorders>
            <w:shd w:val="clear" w:color="auto" w:fill="auto"/>
          </w:tcPr>
          <w:p w14:paraId="05BC55CE"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0</w:t>
            </w:r>
          </w:p>
        </w:tc>
        <w:tc>
          <w:tcPr>
            <w:tcW w:w="930" w:type="dxa"/>
            <w:tcBorders>
              <w:top w:val="nil"/>
              <w:left w:val="nil"/>
              <w:bottom w:val="single" w:sz="4" w:space="0" w:color="auto"/>
              <w:right w:val="nil"/>
            </w:tcBorders>
            <w:shd w:val="clear" w:color="auto" w:fill="auto"/>
          </w:tcPr>
          <w:p w14:paraId="25346C45"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0</w:t>
            </w:r>
          </w:p>
        </w:tc>
        <w:tc>
          <w:tcPr>
            <w:tcW w:w="929" w:type="dxa"/>
            <w:tcBorders>
              <w:top w:val="nil"/>
              <w:left w:val="nil"/>
              <w:bottom w:val="single" w:sz="4" w:space="0" w:color="auto"/>
              <w:right w:val="nil"/>
            </w:tcBorders>
            <w:shd w:val="clear" w:color="auto" w:fill="auto"/>
          </w:tcPr>
          <w:p w14:paraId="672A61E4"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0</w:t>
            </w:r>
          </w:p>
        </w:tc>
        <w:tc>
          <w:tcPr>
            <w:tcW w:w="930" w:type="dxa"/>
            <w:tcBorders>
              <w:top w:val="nil"/>
              <w:left w:val="nil"/>
              <w:bottom w:val="single" w:sz="4" w:space="0" w:color="auto"/>
              <w:right w:val="nil"/>
            </w:tcBorders>
            <w:shd w:val="clear" w:color="auto" w:fill="auto"/>
          </w:tcPr>
          <w:p w14:paraId="5FFA44F6"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0</w:t>
            </w:r>
          </w:p>
        </w:tc>
        <w:tc>
          <w:tcPr>
            <w:tcW w:w="930" w:type="dxa"/>
            <w:tcBorders>
              <w:top w:val="nil"/>
              <w:left w:val="nil"/>
              <w:bottom w:val="single" w:sz="4" w:space="0" w:color="auto"/>
            </w:tcBorders>
            <w:shd w:val="clear" w:color="auto" w:fill="auto"/>
          </w:tcPr>
          <w:p w14:paraId="1F34891B"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0</w:t>
            </w:r>
          </w:p>
        </w:tc>
      </w:tr>
      <w:tr w:rsidR="00990991" w:rsidRPr="00990991" w14:paraId="54DBBD3E" w14:textId="77777777" w:rsidTr="00503EBD">
        <w:trPr>
          <w:cantSplit/>
          <w:trHeight w:val="227"/>
        </w:trPr>
        <w:tc>
          <w:tcPr>
            <w:tcW w:w="4990" w:type="dxa"/>
            <w:tcBorders>
              <w:top w:val="single" w:sz="4" w:space="0" w:color="auto"/>
              <w:bottom w:val="single" w:sz="4" w:space="0" w:color="auto"/>
            </w:tcBorders>
            <w:shd w:val="clear" w:color="auto" w:fill="auto"/>
            <w:vAlign w:val="bottom"/>
          </w:tcPr>
          <w:p w14:paraId="6E6CE4DC" w14:textId="77777777" w:rsidR="00990991" w:rsidRPr="00990991" w:rsidRDefault="00990991" w:rsidP="00990991">
            <w:pPr>
              <w:ind w:left="227" w:hanging="227"/>
              <w:jc w:val="right"/>
              <w:rPr>
                <w:rFonts w:ascii="Calibri" w:hAnsi="Calibri"/>
                <w:b/>
                <w:sz w:val="20"/>
                <w:szCs w:val="24"/>
                <w:lang w:val="x-none" w:eastAsia="en-US"/>
              </w:rPr>
            </w:pPr>
            <w:r w:rsidRPr="00990991">
              <w:rPr>
                <w:rFonts w:ascii="Calibri" w:hAnsi="Calibri"/>
                <w:b/>
                <w:sz w:val="20"/>
                <w:szCs w:val="24"/>
                <w:lang w:val="x-none" w:eastAsia="en-US"/>
              </w:rPr>
              <w:t>Total</w:t>
            </w:r>
          </w:p>
        </w:tc>
        <w:tc>
          <w:tcPr>
            <w:tcW w:w="929" w:type="dxa"/>
            <w:tcBorders>
              <w:top w:val="single" w:sz="4" w:space="0" w:color="auto"/>
              <w:bottom w:val="single" w:sz="4" w:space="0" w:color="auto"/>
            </w:tcBorders>
            <w:shd w:val="clear" w:color="auto" w:fill="auto"/>
          </w:tcPr>
          <w:p w14:paraId="6294BC8A" w14:textId="77777777" w:rsidR="00990991" w:rsidRPr="00990991" w:rsidRDefault="00990991" w:rsidP="00990991">
            <w:pPr>
              <w:framePr w:wrap="around" w:vAnchor="text" w:hAnchor="text" w:y="1"/>
              <w:jc w:val="right"/>
              <w:rPr>
                <w:rFonts w:ascii="Calibri" w:hAnsi="Calibri"/>
                <w:b/>
                <w:sz w:val="20"/>
                <w:szCs w:val="20"/>
                <w:lang w:eastAsia="en-US"/>
              </w:rPr>
            </w:pPr>
            <w:r w:rsidRPr="00990991">
              <w:rPr>
                <w:rFonts w:ascii="Calibri" w:hAnsi="Calibri"/>
                <w:b/>
                <w:sz w:val="20"/>
                <w:szCs w:val="20"/>
                <w:lang w:eastAsia="en-US"/>
              </w:rPr>
              <w:t>20,131</w:t>
            </w:r>
          </w:p>
        </w:tc>
        <w:tc>
          <w:tcPr>
            <w:tcW w:w="930" w:type="dxa"/>
            <w:tcBorders>
              <w:top w:val="single" w:sz="4" w:space="0" w:color="auto"/>
              <w:bottom w:val="single" w:sz="4" w:space="0" w:color="auto"/>
            </w:tcBorders>
            <w:shd w:val="clear" w:color="auto" w:fill="auto"/>
          </w:tcPr>
          <w:p w14:paraId="7F11D445" w14:textId="77777777" w:rsidR="00990991" w:rsidRPr="00990991" w:rsidRDefault="00990991" w:rsidP="00990991">
            <w:pPr>
              <w:framePr w:wrap="around" w:vAnchor="text" w:hAnchor="text" w:y="1"/>
              <w:jc w:val="right"/>
              <w:rPr>
                <w:rFonts w:ascii="Calibri" w:hAnsi="Calibri"/>
                <w:b/>
                <w:sz w:val="20"/>
                <w:szCs w:val="20"/>
                <w:lang w:eastAsia="en-US"/>
              </w:rPr>
            </w:pPr>
            <w:r w:rsidRPr="00990991">
              <w:rPr>
                <w:rFonts w:ascii="Calibri" w:hAnsi="Calibri"/>
                <w:b/>
                <w:sz w:val="20"/>
                <w:szCs w:val="20"/>
                <w:lang w:eastAsia="en-US"/>
              </w:rPr>
              <w:t>17,858</w:t>
            </w:r>
          </w:p>
        </w:tc>
        <w:tc>
          <w:tcPr>
            <w:tcW w:w="929" w:type="dxa"/>
            <w:tcBorders>
              <w:top w:val="single" w:sz="4" w:space="0" w:color="auto"/>
              <w:bottom w:val="single" w:sz="4" w:space="0" w:color="auto"/>
            </w:tcBorders>
            <w:shd w:val="clear" w:color="auto" w:fill="auto"/>
          </w:tcPr>
          <w:p w14:paraId="6A09489C" w14:textId="77777777" w:rsidR="00990991" w:rsidRPr="00990991" w:rsidRDefault="00990991" w:rsidP="00990991">
            <w:pPr>
              <w:ind w:firstLineChars="100" w:firstLine="201"/>
              <w:jc w:val="right"/>
              <w:rPr>
                <w:rFonts w:ascii="Calibri" w:hAnsi="Calibri"/>
                <w:b/>
                <w:bCs/>
                <w:sz w:val="20"/>
                <w:szCs w:val="20"/>
                <w:lang w:eastAsia="en-AU"/>
              </w:rPr>
            </w:pPr>
            <w:r w:rsidRPr="00990991">
              <w:rPr>
                <w:rFonts w:ascii="Calibri" w:hAnsi="Calibri"/>
                <w:b/>
                <w:bCs/>
                <w:sz w:val="20"/>
                <w:szCs w:val="20"/>
                <w:lang w:eastAsia="en-AU"/>
              </w:rPr>
              <w:t>19,787</w:t>
            </w:r>
          </w:p>
        </w:tc>
        <w:tc>
          <w:tcPr>
            <w:tcW w:w="930" w:type="dxa"/>
            <w:tcBorders>
              <w:top w:val="single" w:sz="4" w:space="0" w:color="auto"/>
              <w:bottom w:val="single" w:sz="4" w:space="0" w:color="auto"/>
            </w:tcBorders>
            <w:shd w:val="clear" w:color="auto" w:fill="auto"/>
          </w:tcPr>
          <w:p w14:paraId="01337818" w14:textId="77777777" w:rsidR="00990991" w:rsidRPr="00990991" w:rsidRDefault="00990991" w:rsidP="00990991">
            <w:pPr>
              <w:jc w:val="right"/>
              <w:rPr>
                <w:rFonts w:ascii="Calibri" w:hAnsi="Calibri"/>
                <w:b/>
                <w:sz w:val="20"/>
                <w:szCs w:val="20"/>
                <w:lang w:eastAsia="en-US"/>
              </w:rPr>
            </w:pPr>
            <w:r w:rsidRPr="00990991">
              <w:rPr>
                <w:rFonts w:ascii="Calibri" w:hAnsi="Calibri"/>
                <w:b/>
                <w:sz w:val="20"/>
                <w:szCs w:val="20"/>
                <w:lang w:eastAsia="en-US"/>
              </w:rPr>
              <w:t>23,272</w:t>
            </w:r>
          </w:p>
        </w:tc>
        <w:tc>
          <w:tcPr>
            <w:tcW w:w="930" w:type="dxa"/>
            <w:tcBorders>
              <w:top w:val="single" w:sz="4" w:space="0" w:color="auto"/>
              <w:bottom w:val="single" w:sz="4" w:space="0" w:color="auto"/>
            </w:tcBorders>
            <w:shd w:val="clear" w:color="auto" w:fill="auto"/>
          </w:tcPr>
          <w:p w14:paraId="2E92E804" w14:textId="77777777" w:rsidR="00990991" w:rsidRPr="00990991" w:rsidRDefault="00990991" w:rsidP="00990991">
            <w:pPr>
              <w:jc w:val="right"/>
              <w:rPr>
                <w:rFonts w:ascii="Calibri" w:hAnsi="Calibri"/>
                <w:b/>
                <w:sz w:val="20"/>
                <w:szCs w:val="20"/>
                <w:lang w:eastAsia="en-US"/>
              </w:rPr>
            </w:pPr>
            <w:r w:rsidRPr="00990991">
              <w:rPr>
                <w:rFonts w:ascii="Calibri" w:hAnsi="Calibri"/>
                <w:b/>
                <w:sz w:val="20"/>
                <w:szCs w:val="20"/>
                <w:lang w:eastAsia="en-US"/>
              </w:rPr>
              <w:t>81,048</w:t>
            </w:r>
          </w:p>
        </w:tc>
      </w:tr>
      <w:tr w:rsidR="00990991" w:rsidRPr="00990991" w14:paraId="115191F7" w14:textId="77777777" w:rsidTr="00503EBD">
        <w:trPr>
          <w:cantSplit/>
          <w:trHeight w:val="227"/>
        </w:trPr>
        <w:tc>
          <w:tcPr>
            <w:tcW w:w="4990" w:type="dxa"/>
            <w:tcBorders>
              <w:top w:val="single" w:sz="4" w:space="0" w:color="auto"/>
            </w:tcBorders>
            <w:shd w:val="clear" w:color="auto" w:fill="auto"/>
            <w:vAlign w:val="bottom"/>
          </w:tcPr>
          <w:p w14:paraId="0CF7C60F" w14:textId="77777777" w:rsidR="00990991" w:rsidRPr="00990991" w:rsidRDefault="00990991" w:rsidP="00990991">
            <w:pPr>
              <w:ind w:left="227" w:hanging="227"/>
              <w:jc w:val="right"/>
              <w:rPr>
                <w:rFonts w:ascii="Calibri" w:hAnsi="Calibri"/>
                <w:sz w:val="20"/>
                <w:szCs w:val="24"/>
                <w:lang w:val="x-none" w:eastAsia="en-US"/>
              </w:rPr>
            </w:pPr>
          </w:p>
        </w:tc>
        <w:tc>
          <w:tcPr>
            <w:tcW w:w="929" w:type="dxa"/>
            <w:tcBorders>
              <w:top w:val="single" w:sz="4" w:space="0" w:color="auto"/>
            </w:tcBorders>
            <w:shd w:val="clear" w:color="auto" w:fill="auto"/>
          </w:tcPr>
          <w:p w14:paraId="1875F708" w14:textId="77777777" w:rsidR="00990991" w:rsidRPr="00990991" w:rsidRDefault="00990991" w:rsidP="00990991">
            <w:pPr>
              <w:framePr w:wrap="around" w:vAnchor="text" w:hAnchor="text" w:y="1"/>
              <w:jc w:val="right"/>
              <w:rPr>
                <w:rFonts w:ascii="Calibri" w:hAnsi="Calibri"/>
                <w:b/>
                <w:sz w:val="20"/>
                <w:szCs w:val="20"/>
                <w:lang w:eastAsia="en-US"/>
              </w:rPr>
            </w:pPr>
          </w:p>
        </w:tc>
        <w:tc>
          <w:tcPr>
            <w:tcW w:w="930" w:type="dxa"/>
            <w:tcBorders>
              <w:top w:val="single" w:sz="4" w:space="0" w:color="auto"/>
            </w:tcBorders>
            <w:shd w:val="clear" w:color="auto" w:fill="auto"/>
          </w:tcPr>
          <w:p w14:paraId="0092AF9F" w14:textId="77777777" w:rsidR="00990991" w:rsidRPr="00990991" w:rsidRDefault="00990991" w:rsidP="00990991">
            <w:pPr>
              <w:framePr w:wrap="around" w:vAnchor="text" w:hAnchor="text" w:y="1"/>
              <w:jc w:val="right"/>
              <w:rPr>
                <w:rFonts w:ascii="Calibri" w:hAnsi="Calibri"/>
                <w:b/>
                <w:sz w:val="20"/>
                <w:szCs w:val="20"/>
                <w:lang w:eastAsia="en-US"/>
              </w:rPr>
            </w:pPr>
          </w:p>
        </w:tc>
        <w:tc>
          <w:tcPr>
            <w:tcW w:w="929" w:type="dxa"/>
            <w:tcBorders>
              <w:top w:val="single" w:sz="4" w:space="0" w:color="auto"/>
            </w:tcBorders>
            <w:shd w:val="clear" w:color="auto" w:fill="auto"/>
          </w:tcPr>
          <w:p w14:paraId="166825B4" w14:textId="77777777" w:rsidR="00990991" w:rsidRPr="00990991" w:rsidRDefault="00990991" w:rsidP="00990991">
            <w:pPr>
              <w:framePr w:wrap="around" w:vAnchor="text" w:hAnchor="text" w:y="1"/>
              <w:jc w:val="right"/>
              <w:rPr>
                <w:rFonts w:ascii="Calibri" w:hAnsi="Calibri"/>
                <w:b/>
                <w:sz w:val="20"/>
                <w:szCs w:val="20"/>
                <w:lang w:eastAsia="en-US"/>
              </w:rPr>
            </w:pPr>
          </w:p>
        </w:tc>
        <w:tc>
          <w:tcPr>
            <w:tcW w:w="930" w:type="dxa"/>
            <w:tcBorders>
              <w:top w:val="single" w:sz="4" w:space="0" w:color="auto"/>
            </w:tcBorders>
            <w:shd w:val="clear" w:color="auto" w:fill="auto"/>
          </w:tcPr>
          <w:p w14:paraId="347B340C" w14:textId="77777777" w:rsidR="00990991" w:rsidRPr="00990991" w:rsidRDefault="00990991" w:rsidP="00990991">
            <w:pPr>
              <w:framePr w:wrap="around" w:vAnchor="text" w:hAnchor="text" w:y="1"/>
              <w:jc w:val="right"/>
              <w:rPr>
                <w:rFonts w:ascii="Calibri" w:hAnsi="Calibri"/>
                <w:b/>
                <w:sz w:val="20"/>
                <w:szCs w:val="20"/>
                <w:lang w:eastAsia="en-US"/>
              </w:rPr>
            </w:pPr>
          </w:p>
        </w:tc>
        <w:tc>
          <w:tcPr>
            <w:tcW w:w="930" w:type="dxa"/>
            <w:tcBorders>
              <w:top w:val="single" w:sz="4" w:space="0" w:color="auto"/>
            </w:tcBorders>
            <w:shd w:val="clear" w:color="auto" w:fill="auto"/>
          </w:tcPr>
          <w:p w14:paraId="7588848A" w14:textId="77777777" w:rsidR="00990991" w:rsidRPr="00990991" w:rsidRDefault="00990991" w:rsidP="00990991">
            <w:pPr>
              <w:framePr w:wrap="around" w:vAnchor="text" w:hAnchor="text" w:y="1"/>
              <w:jc w:val="right"/>
              <w:rPr>
                <w:rFonts w:ascii="Calibri" w:hAnsi="Calibri"/>
                <w:b/>
                <w:sz w:val="20"/>
                <w:szCs w:val="20"/>
                <w:lang w:eastAsia="en-US"/>
              </w:rPr>
            </w:pPr>
          </w:p>
        </w:tc>
      </w:tr>
      <w:tr w:rsidR="00990991" w:rsidRPr="00990991" w14:paraId="48150004" w14:textId="77777777" w:rsidTr="00503EBD">
        <w:trPr>
          <w:cantSplit/>
          <w:trHeight w:val="227"/>
        </w:trPr>
        <w:tc>
          <w:tcPr>
            <w:tcW w:w="4990" w:type="dxa"/>
            <w:shd w:val="clear" w:color="auto" w:fill="auto"/>
            <w:vAlign w:val="bottom"/>
          </w:tcPr>
          <w:p w14:paraId="01597B4A" w14:textId="77777777" w:rsidR="00990991" w:rsidRPr="00990991" w:rsidRDefault="00990991" w:rsidP="00990991">
            <w:pPr>
              <w:ind w:left="227" w:hanging="227"/>
              <w:rPr>
                <w:rFonts w:ascii="Calibri" w:hAnsi="Calibri"/>
                <w:b/>
                <w:bCs/>
                <w:sz w:val="20"/>
                <w:szCs w:val="20"/>
                <w:lang w:eastAsia="en-AU"/>
              </w:rPr>
            </w:pPr>
            <w:r w:rsidRPr="00990991">
              <w:rPr>
                <w:rFonts w:ascii="Calibri" w:hAnsi="Calibri"/>
                <w:b/>
                <w:bCs/>
                <w:sz w:val="20"/>
                <w:szCs w:val="20"/>
                <w:lang w:eastAsia="en-AU"/>
              </w:rPr>
              <w:t>Housing ACT</w:t>
            </w:r>
          </w:p>
        </w:tc>
        <w:tc>
          <w:tcPr>
            <w:tcW w:w="929" w:type="dxa"/>
            <w:shd w:val="clear" w:color="auto" w:fill="auto"/>
          </w:tcPr>
          <w:p w14:paraId="60DB6F17" w14:textId="77777777" w:rsidR="00990991" w:rsidRPr="00990991" w:rsidRDefault="00990991" w:rsidP="00990991">
            <w:pPr>
              <w:framePr w:wrap="around" w:vAnchor="text" w:hAnchor="text" w:y="1"/>
              <w:jc w:val="right"/>
              <w:rPr>
                <w:rFonts w:ascii="Calibri" w:hAnsi="Calibri"/>
                <w:b/>
                <w:sz w:val="20"/>
                <w:szCs w:val="20"/>
                <w:lang w:eastAsia="en-US"/>
              </w:rPr>
            </w:pPr>
          </w:p>
        </w:tc>
        <w:tc>
          <w:tcPr>
            <w:tcW w:w="930" w:type="dxa"/>
            <w:shd w:val="clear" w:color="auto" w:fill="auto"/>
          </w:tcPr>
          <w:p w14:paraId="5D41C1D0" w14:textId="77777777" w:rsidR="00990991" w:rsidRPr="00990991" w:rsidRDefault="00990991" w:rsidP="00990991">
            <w:pPr>
              <w:framePr w:wrap="around" w:vAnchor="text" w:hAnchor="text" w:y="1"/>
              <w:jc w:val="right"/>
              <w:rPr>
                <w:rFonts w:ascii="Calibri" w:hAnsi="Calibri"/>
                <w:b/>
                <w:sz w:val="20"/>
                <w:szCs w:val="20"/>
                <w:lang w:eastAsia="en-US"/>
              </w:rPr>
            </w:pPr>
          </w:p>
        </w:tc>
        <w:tc>
          <w:tcPr>
            <w:tcW w:w="929" w:type="dxa"/>
            <w:shd w:val="clear" w:color="auto" w:fill="auto"/>
          </w:tcPr>
          <w:p w14:paraId="3EB5228D" w14:textId="77777777" w:rsidR="00990991" w:rsidRPr="00990991" w:rsidRDefault="00990991" w:rsidP="00990991">
            <w:pPr>
              <w:framePr w:wrap="around" w:vAnchor="text" w:hAnchor="text" w:y="1"/>
              <w:jc w:val="right"/>
              <w:rPr>
                <w:rFonts w:ascii="Calibri" w:hAnsi="Calibri"/>
                <w:b/>
                <w:sz w:val="20"/>
                <w:szCs w:val="20"/>
                <w:lang w:eastAsia="en-US"/>
              </w:rPr>
            </w:pPr>
          </w:p>
        </w:tc>
        <w:tc>
          <w:tcPr>
            <w:tcW w:w="930" w:type="dxa"/>
            <w:shd w:val="clear" w:color="auto" w:fill="auto"/>
          </w:tcPr>
          <w:p w14:paraId="45FB5AD5" w14:textId="77777777" w:rsidR="00990991" w:rsidRPr="00990991" w:rsidRDefault="00990991" w:rsidP="00990991">
            <w:pPr>
              <w:framePr w:wrap="around" w:vAnchor="text" w:hAnchor="text" w:y="1"/>
              <w:jc w:val="right"/>
              <w:rPr>
                <w:rFonts w:ascii="Calibri" w:hAnsi="Calibri"/>
                <w:b/>
                <w:sz w:val="20"/>
                <w:szCs w:val="20"/>
                <w:lang w:eastAsia="en-US"/>
              </w:rPr>
            </w:pPr>
          </w:p>
        </w:tc>
        <w:tc>
          <w:tcPr>
            <w:tcW w:w="930" w:type="dxa"/>
            <w:shd w:val="clear" w:color="auto" w:fill="auto"/>
          </w:tcPr>
          <w:p w14:paraId="56D86E86" w14:textId="77777777" w:rsidR="00990991" w:rsidRPr="00990991" w:rsidRDefault="00990991" w:rsidP="00990991">
            <w:pPr>
              <w:framePr w:wrap="around" w:vAnchor="text" w:hAnchor="text" w:y="1"/>
              <w:jc w:val="right"/>
              <w:rPr>
                <w:rFonts w:ascii="Calibri" w:hAnsi="Calibri"/>
                <w:b/>
                <w:sz w:val="20"/>
                <w:szCs w:val="20"/>
                <w:lang w:eastAsia="en-US"/>
              </w:rPr>
            </w:pPr>
          </w:p>
        </w:tc>
      </w:tr>
      <w:tr w:rsidR="00990991" w:rsidRPr="00990991" w14:paraId="6124DE18" w14:textId="77777777" w:rsidTr="00503EBD">
        <w:trPr>
          <w:cantSplit/>
          <w:trHeight w:val="227"/>
        </w:trPr>
        <w:tc>
          <w:tcPr>
            <w:tcW w:w="4990" w:type="dxa"/>
            <w:shd w:val="clear" w:color="auto" w:fill="auto"/>
          </w:tcPr>
          <w:p w14:paraId="68AE8486" w14:textId="77777777" w:rsidR="00990991" w:rsidRPr="00990991" w:rsidRDefault="00990991" w:rsidP="00990991">
            <w:pPr>
              <w:ind w:left="227" w:hanging="227"/>
              <w:rPr>
                <w:rFonts w:ascii="Calibri" w:hAnsi="Calibri"/>
                <w:bCs/>
                <w:color w:val="000000"/>
                <w:sz w:val="20"/>
                <w:szCs w:val="20"/>
                <w:vertAlign w:val="superscript"/>
                <w:lang w:eastAsia="en-AU"/>
              </w:rPr>
            </w:pPr>
            <w:r w:rsidRPr="00990991">
              <w:rPr>
                <w:rFonts w:ascii="Calibri" w:hAnsi="Calibri"/>
                <w:bCs/>
                <w:color w:val="000000"/>
                <w:sz w:val="20"/>
                <w:szCs w:val="20"/>
                <w:lang w:eastAsia="en-AU"/>
              </w:rPr>
              <w:t xml:space="preserve">Providing alternatives to jail through the Justice Housing Program </w:t>
            </w:r>
            <w:r w:rsidRPr="00990991">
              <w:rPr>
                <w:rFonts w:ascii="Calibri" w:hAnsi="Calibri"/>
                <w:bCs/>
                <w:color w:val="000000"/>
                <w:sz w:val="20"/>
                <w:szCs w:val="20"/>
                <w:vertAlign w:val="superscript"/>
                <w:lang w:eastAsia="en-AU"/>
              </w:rPr>
              <w:t>2</w:t>
            </w:r>
          </w:p>
        </w:tc>
        <w:tc>
          <w:tcPr>
            <w:tcW w:w="929" w:type="dxa"/>
            <w:shd w:val="clear" w:color="auto" w:fill="auto"/>
          </w:tcPr>
          <w:p w14:paraId="0A1EF82D"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209</w:t>
            </w:r>
          </w:p>
        </w:tc>
        <w:tc>
          <w:tcPr>
            <w:tcW w:w="930" w:type="dxa"/>
            <w:shd w:val="clear" w:color="auto" w:fill="auto"/>
          </w:tcPr>
          <w:p w14:paraId="6123949D"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347</w:t>
            </w:r>
          </w:p>
        </w:tc>
        <w:tc>
          <w:tcPr>
            <w:tcW w:w="929" w:type="dxa"/>
            <w:shd w:val="clear" w:color="auto" w:fill="auto"/>
          </w:tcPr>
          <w:p w14:paraId="2D0922B4"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353</w:t>
            </w:r>
          </w:p>
        </w:tc>
        <w:tc>
          <w:tcPr>
            <w:tcW w:w="930" w:type="dxa"/>
            <w:shd w:val="clear" w:color="auto" w:fill="auto"/>
          </w:tcPr>
          <w:p w14:paraId="52851ACC"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0</w:t>
            </w:r>
          </w:p>
        </w:tc>
        <w:tc>
          <w:tcPr>
            <w:tcW w:w="930" w:type="dxa"/>
            <w:shd w:val="clear" w:color="auto" w:fill="auto"/>
          </w:tcPr>
          <w:p w14:paraId="5761E1EB"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909</w:t>
            </w:r>
          </w:p>
        </w:tc>
      </w:tr>
      <w:tr w:rsidR="00990991" w:rsidRPr="00990991" w14:paraId="5603F1F7" w14:textId="77777777" w:rsidTr="00503EBD">
        <w:trPr>
          <w:cantSplit/>
          <w:trHeight w:val="227"/>
        </w:trPr>
        <w:tc>
          <w:tcPr>
            <w:tcW w:w="4990" w:type="dxa"/>
            <w:tcBorders>
              <w:bottom w:val="single" w:sz="4" w:space="0" w:color="auto"/>
            </w:tcBorders>
            <w:shd w:val="clear" w:color="auto" w:fill="auto"/>
          </w:tcPr>
          <w:p w14:paraId="5E6923DF" w14:textId="77777777" w:rsidR="00990991" w:rsidRPr="00990991" w:rsidRDefault="00990991" w:rsidP="00990991">
            <w:pPr>
              <w:ind w:left="227" w:hanging="227"/>
              <w:rPr>
                <w:rFonts w:ascii="Calibri" w:hAnsi="Calibri"/>
                <w:bCs/>
                <w:color w:val="000000"/>
                <w:sz w:val="20"/>
                <w:szCs w:val="20"/>
                <w:vertAlign w:val="superscript"/>
                <w:lang w:eastAsia="en-AU"/>
              </w:rPr>
            </w:pPr>
            <w:r w:rsidRPr="00990991">
              <w:rPr>
                <w:rFonts w:ascii="Calibri" w:hAnsi="Calibri"/>
                <w:bCs/>
                <w:color w:val="000000"/>
                <w:sz w:val="20"/>
                <w:szCs w:val="20"/>
                <w:lang w:eastAsia="en-AU"/>
              </w:rPr>
              <w:t xml:space="preserve">Reducing homelessness by delivering another Common Ground </w:t>
            </w:r>
            <w:r w:rsidRPr="00990991">
              <w:rPr>
                <w:rFonts w:ascii="Calibri" w:hAnsi="Calibri"/>
                <w:bCs/>
                <w:color w:val="000000"/>
                <w:sz w:val="20"/>
                <w:szCs w:val="20"/>
                <w:vertAlign w:val="superscript"/>
                <w:lang w:eastAsia="en-AU"/>
              </w:rPr>
              <w:t>2</w:t>
            </w:r>
          </w:p>
        </w:tc>
        <w:tc>
          <w:tcPr>
            <w:tcW w:w="929" w:type="dxa"/>
            <w:tcBorders>
              <w:bottom w:val="single" w:sz="4" w:space="0" w:color="auto"/>
            </w:tcBorders>
            <w:shd w:val="clear" w:color="auto" w:fill="auto"/>
          </w:tcPr>
          <w:p w14:paraId="02920419"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70</w:t>
            </w:r>
          </w:p>
        </w:tc>
        <w:tc>
          <w:tcPr>
            <w:tcW w:w="930" w:type="dxa"/>
            <w:tcBorders>
              <w:bottom w:val="single" w:sz="4" w:space="0" w:color="auto"/>
            </w:tcBorders>
            <w:shd w:val="clear" w:color="auto" w:fill="auto"/>
          </w:tcPr>
          <w:p w14:paraId="36B3DDA4"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567</w:t>
            </w:r>
          </w:p>
        </w:tc>
        <w:tc>
          <w:tcPr>
            <w:tcW w:w="929" w:type="dxa"/>
            <w:tcBorders>
              <w:bottom w:val="single" w:sz="4" w:space="0" w:color="auto"/>
            </w:tcBorders>
            <w:shd w:val="clear" w:color="auto" w:fill="auto"/>
          </w:tcPr>
          <w:p w14:paraId="2D4ABD04"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1,281</w:t>
            </w:r>
          </w:p>
        </w:tc>
        <w:tc>
          <w:tcPr>
            <w:tcW w:w="930" w:type="dxa"/>
            <w:tcBorders>
              <w:bottom w:val="single" w:sz="4" w:space="0" w:color="auto"/>
            </w:tcBorders>
            <w:shd w:val="clear" w:color="auto" w:fill="auto"/>
          </w:tcPr>
          <w:p w14:paraId="2742042B"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1,123</w:t>
            </w:r>
          </w:p>
        </w:tc>
        <w:tc>
          <w:tcPr>
            <w:tcW w:w="930" w:type="dxa"/>
            <w:tcBorders>
              <w:bottom w:val="single" w:sz="4" w:space="0" w:color="auto"/>
            </w:tcBorders>
            <w:shd w:val="clear" w:color="auto" w:fill="auto"/>
          </w:tcPr>
          <w:p w14:paraId="2AA6A490" w14:textId="77777777" w:rsidR="00990991" w:rsidRPr="00990991" w:rsidRDefault="00990991" w:rsidP="00990991">
            <w:pPr>
              <w:ind w:left="227" w:hanging="227"/>
              <w:jc w:val="right"/>
              <w:rPr>
                <w:rFonts w:ascii="Calibri" w:hAnsi="Calibri"/>
                <w:sz w:val="20"/>
                <w:szCs w:val="24"/>
                <w:lang w:val="x-none" w:eastAsia="en-US"/>
              </w:rPr>
            </w:pPr>
            <w:r w:rsidRPr="00990991">
              <w:rPr>
                <w:rFonts w:ascii="Calibri" w:hAnsi="Calibri"/>
                <w:sz w:val="20"/>
                <w:szCs w:val="24"/>
                <w:lang w:val="x-none" w:eastAsia="en-US"/>
              </w:rPr>
              <w:t>3,041</w:t>
            </w:r>
          </w:p>
        </w:tc>
      </w:tr>
      <w:tr w:rsidR="00990991" w:rsidRPr="00990991" w14:paraId="28D55396" w14:textId="77777777" w:rsidTr="00503EBD">
        <w:trPr>
          <w:cantSplit/>
          <w:trHeight w:val="227"/>
        </w:trPr>
        <w:tc>
          <w:tcPr>
            <w:tcW w:w="4990" w:type="dxa"/>
            <w:tcBorders>
              <w:top w:val="single" w:sz="4" w:space="0" w:color="auto"/>
              <w:bottom w:val="single" w:sz="4" w:space="0" w:color="auto"/>
            </w:tcBorders>
            <w:shd w:val="clear" w:color="auto" w:fill="auto"/>
            <w:vAlign w:val="bottom"/>
          </w:tcPr>
          <w:p w14:paraId="70667FC6" w14:textId="77777777" w:rsidR="00990991" w:rsidRPr="00990991" w:rsidRDefault="00990991" w:rsidP="00990991">
            <w:pPr>
              <w:ind w:left="227" w:hanging="227"/>
              <w:jc w:val="right"/>
              <w:rPr>
                <w:rFonts w:ascii="Calibri" w:hAnsi="Calibri"/>
                <w:b/>
                <w:sz w:val="20"/>
                <w:szCs w:val="24"/>
                <w:lang w:val="x-none" w:eastAsia="en-US"/>
              </w:rPr>
            </w:pPr>
            <w:r w:rsidRPr="00990991">
              <w:rPr>
                <w:rFonts w:ascii="Calibri" w:hAnsi="Calibri"/>
                <w:b/>
                <w:sz w:val="20"/>
                <w:szCs w:val="24"/>
                <w:lang w:val="x-none" w:eastAsia="en-US"/>
              </w:rPr>
              <w:t>Total</w:t>
            </w:r>
          </w:p>
        </w:tc>
        <w:tc>
          <w:tcPr>
            <w:tcW w:w="929" w:type="dxa"/>
            <w:tcBorders>
              <w:top w:val="single" w:sz="4" w:space="0" w:color="auto"/>
              <w:bottom w:val="single" w:sz="4" w:space="0" w:color="auto"/>
            </w:tcBorders>
            <w:shd w:val="clear" w:color="auto" w:fill="auto"/>
          </w:tcPr>
          <w:p w14:paraId="2740B01D" w14:textId="77777777" w:rsidR="00990991" w:rsidRPr="00990991" w:rsidRDefault="00990991" w:rsidP="00990991">
            <w:pPr>
              <w:ind w:left="227" w:hanging="227"/>
              <w:jc w:val="right"/>
              <w:rPr>
                <w:rFonts w:ascii="Calibri" w:hAnsi="Calibri"/>
                <w:b/>
                <w:sz w:val="20"/>
                <w:szCs w:val="24"/>
                <w:lang w:val="x-none" w:eastAsia="en-US"/>
              </w:rPr>
            </w:pPr>
            <w:r w:rsidRPr="00990991">
              <w:rPr>
                <w:rFonts w:ascii="Calibri" w:hAnsi="Calibri"/>
                <w:b/>
                <w:sz w:val="20"/>
                <w:szCs w:val="24"/>
                <w:lang w:val="x-none" w:eastAsia="en-US"/>
              </w:rPr>
              <w:t>279</w:t>
            </w:r>
          </w:p>
        </w:tc>
        <w:tc>
          <w:tcPr>
            <w:tcW w:w="930" w:type="dxa"/>
            <w:tcBorders>
              <w:top w:val="single" w:sz="4" w:space="0" w:color="auto"/>
              <w:bottom w:val="single" w:sz="4" w:space="0" w:color="auto"/>
            </w:tcBorders>
            <w:shd w:val="clear" w:color="auto" w:fill="auto"/>
          </w:tcPr>
          <w:p w14:paraId="77B112A3" w14:textId="77777777" w:rsidR="00990991" w:rsidRPr="00990991" w:rsidRDefault="00990991" w:rsidP="00990991">
            <w:pPr>
              <w:ind w:left="227" w:hanging="227"/>
              <w:jc w:val="right"/>
              <w:rPr>
                <w:rFonts w:ascii="Calibri" w:hAnsi="Calibri"/>
                <w:b/>
                <w:sz w:val="20"/>
                <w:szCs w:val="24"/>
                <w:lang w:val="x-none" w:eastAsia="en-US"/>
              </w:rPr>
            </w:pPr>
            <w:r w:rsidRPr="00990991">
              <w:rPr>
                <w:rFonts w:ascii="Calibri" w:hAnsi="Calibri"/>
                <w:b/>
                <w:sz w:val="20"/>
                <w:szCs w:val="24"/>
                <w:lang w:val="x-none" w:eastAsia="en-US"/>
              </w:rPr>
              <w:t>914</w:t>
            </w:r>
          </w:p>
        </w:tc>
        <w:tc>
          <w:tcPr>
            <w:tcW w:w="929" w:type="dxa"/>
            <w:tcBorders>
              <w:top w:val="single" w:sz="4" w:space="0" w:color="auto"/>
              <w:bottom w:val="single" w:sz="4" w:space="0" w:color="auto"/>
            </w:tcBorders>
            <w:shd w:val="clear" w:color="auto" w:fill="auto"/>
          </w:tcPr>
          <w:p w14:paraId="5F24E9B4" w14:textId="77777777" w:rsidR="00990991" w:rsidRPr="00990991" w:rsidRDefault="00990991" w:rsidP="00990991">
            <w:pPr>
              <w:ind w:left="227" w:hanging="227"/>
              <w:jc w:val="right"/>
              <w:rPr>
                <w:rFonts w:ascii="Calibri" w:hAnsi="Calibri"/>
                <w:b/>
                <w:sz w:val="20"/>
                <w:szCs w:val="24"/>
                <w:lang w:val="x-none" w:eastAsia="en-US"/>
              </w:rPr>
            </w:pPr>
            <w:r w:rsidRPr="00990991">
              <w:rPr>
                <w:rFonts w:ascii="Calibri" w:hAnsi="Calibri"/>
                <w:b/>
                <w:sz w:val="20"/>
                <w:szCs w:val="24"/>
                <w:lang w:val="x-none" w:eastAsia="en-US"/>
              </w:rPr>
              <w:t>1,634</w:t>
            </w:r>
          </w:p>
        </w:tc>
        <w:tc>
          <w:tcPr>
            <w:tcW w:w="930" w:type="dxa"/>
            <w:tcBorders>
              <w:top w:val="single" w:sz="4" w:space="0" w:color="auto"/>
              <w:bottom w:val="single" w:sz="4" w:space="0" w:color="auto"/>
            </w:tcBorders>
            <w:shd w:val="clear" w:color="auto" w:fill="auto"/>
          </w:tcPr>
          <w:p w14:paraId="26268D36" w14:textId="77777777" w:rsidR="00990991" w:rsidRPr="00990991" w:rsidRDefault="00990991" w:rsidP="00990991">
            <w:pPr>
              <w:ind w:left="227" w:hanging="227"/>
              <w:jc w:val="right"/>
              <w:rPr>
                <w:rFonts w:ascii="Calibri" w:hAnsi="Calibri"/>
                <w:b/>
                <w:sz w:val="20"/>
                <w:szCs w:val="24"/>
                <w:lang w:val="x-none" w:eastAsia="en-US"/>
              </w:rPr>
            </w:pPr>
            <w:r w:rsidRPr="00990991">
              <w:rPr>
                <w:rFonts w:ascii="Calibri" w:hAnsi="Calibri"/>
                <w:b/>
                <w:sz w:val="20"/>
                <w:szCs w:val="24"/>
                <w:lang w:val="x-none" w:eastAsia="en-US"/>
              </w:rPr>
              <w:t>1,123</w:t>
            </w:r>
          </w:p>
        </w:tc>
        <w:tc>
          <w:tcPr>
            <w:tcW w:w="930" w:type="dxa"/>
            <w:tcBorders>
              <w:top w:val="single" w:sz="4" w:space="0" w:color="auto"/>
              <w:bottom w:val="single" w:sz="4" w:space="0" w:color="auto"/>
            </w:tcBorders>
            <w:shd w:val="clear" w:color="auto" w:fill="auto"/>
          </w:tcPr>
          <w:p w14:paraId="30041CE5" w14:textId="77777777" w:rsidR="00990991" w:rsidRPr="00990991" w:rsidRDefault="00990991" w:rsidP="00990991">
            <w:pPr>
              <w:ind w:left="227" w:hanging="227"/>
              <w:jc w:val="right"/>
              <w:rPr>
                <w:rFonts w:ascii="Calibri" w:hAnsi="Calibri"/>
                <w:b/>
                <w:sz w:val="20"/>
                <w:szCs w:val="24"/>
                <w:lang w:val="x-none" w:eastAsia="en-US"/>
              </w:rPr>
            </w:pPr>
            <w:r w:rsidRPr="00990991">
              <w:rPr>
                <w:rFonts w:ascii="Calibri" w:hAnsi="Calibri"/>
                <w:b/>
                <w:sz w:val="20"/>
                <w:szCs w:val="24"/>
                <w:lang w:val="x-none" w:eastAsia="en-US"/>
              </w:rPr>
              <w:t>3,950</w:t>
            </w:r>
          </w:p>
        </w:tc>
      </w:tr>
    </w:tbl>
    <w:p w14:paraId="76BBF5E7" w14:textId="77777777" w:rsidR="00990991" w:rsidRPr="00990991" w:rsidRDefault="00990991" w:rsidP="00492EFA">
      <w:pPr>
        <w:pStyle w:val="snapNotesheading"/>
        <w:rPr>
          <w:b w:val="0"/>
        </w:rPr>
      </w:pPr>
      <w:r w:rsidRPr="00990991">
        <w:t xml:space="preserve">Notes: </w:t>
      </w:r>
    </w:p>
    <w:p w14:paraId="23D59575" w14:textId="77777777" w:rsidR="00990991" w:rsidRPr="00990991" w:rsidRDefault="00990991" w:rsidP="00492EFA">
      <w:pPr>
        <w:pStyle w:val="snapNotesbody"/>
      </w:pPr>
      <w:r w:rsidRPr="00990991">
        <w:rPr>
          <w:lang w:val="en-US"/>
        </w:rPr>
        <w:t xml:space="preserve">2. </w:t>
      </w:r>
      <w:r w:rsidRPr="00990991">
        <w:t>This initiative has a capital component; this component (and depreciation if applicable) is listed in the summary table in Infrastructure and capital initiatives (Chapter 3.3).</w:t>
      </w:r>
    </w:p>
    <w:p w14:paraId="53D36AC4" w14:textId="77777777" w:rsidR="00990991" w:rsidRPr="00990991" w:rsidRDefault="00990991" w:rsidP="00492EFA">
      <w:pPr>
        <w:pStyle w:val="snapNotesbody"/>
      </w:pPr>
      <w:r w:rsidRPr="00990991">
        <w:rPr>
          <w:lang w:val="en-US"/>
        </w:rPr>
        <w:t xml:space="preserve">4. </w:t>
      </w:r>
      <w:r w:rsidRPr="00990991">
        <w:t>This is a joint initiative, i.e. delivered by more than one agency.</w:t>
      </w:r>
    </w:p>
    <w:p w14:paraId="3B4EF8D5" w14:textId="22C5D00F" w:rsidR="00990991" w:rsidRPr="00492EFA" w:rsidRDefault="00990991" w:rsidP="00492EFA">
      <w:pPr>
        <w:pStyle w:val="snapNotesbody"/>
      </w:pPr>
      <w:r w:rsidRPr="00990991">
        <w:t>6. This initiative forms part of the Safer Families package.</w:t>
      </w:r>
    </w:p>
    <w:p w14:paraId="5FACC9E3" w14:textId="77777777" w:rsidR="00990991" w:rsidRPr="00990991" w:rsidRDefault="00990991" w:rsidP="00492EFA">
      <w:pPr>
        <w:pStyle w:val="snapTabletitle"/>
        <w:rPr>
          <w:b w:val="0"/>
          <w:bCs w:val="0"/>
        </w:rPr>
      </w:pPr>
      <w:r w:rsidRPr="00990991">
        <w:t>Table 3.3.2: Infrastructure and capital initiatives</w:t>
      </w:r>
    </w:p>
    <w:tbl>
      <w:tblPr>
        <w:tblW w:w="5000" w:type="pct"/>
        <w:tblLayout w:type="fixed"/>
        <w:tblCellMar>
          <w:left w:w="30" w:type="dxa"/>
          <w:right w:w="30" w:type="dxa"/>
        </w:tblCellMar>
        <w:tblLook w:val="0000" w:firstRow="0" w:lastRow="0" w:firstColumn="0" w:lastColumn="0" w:noHBand="0" w:noVBand="0"/>
      </w:tblPr>
      <w:tblGrid>
        <w:gridCol w:w="4998"/>
        <w:gridCol w:w="941"/>
        <w:gridCol w:w="926"/>
        <w:gridCol w:w="931"/>
        <w:gridCol w:w="921"/>
        <w:gridCol w:w="921"/>
      </w:tblGrid>
      <w:tr w:rsidR="00990991" w:rsidRPr="00990991" w14:paraId="39D6A5D4" w14:textId="77777777" w:rsidTr="00492EFA">
        <w:trPr>
          <w:trHeight w:val="227"/>
          <w:tblHeader/>
        </w:trPr>
        <w:tc>
          <w:tcPr>
            <w:tcW w:w="4998" w:type="dxa"/>
            <w:tcBorders>
              <w:top w:val="single" w:sz="4" w:space="0" w:color="auto"/>
              <w:left w:val="nil"/>
              <w:bottom w:val="single" w:sz="4" w:space="0" w:color="auto"/>
              <w:right w:val="nil"/>
            </w:tcBorders>
            <w:shd w:val="clear" w:color="auto" w:fill="auto"/>
            <w:vAlign w:val="center"/>
          </w:tcPr>
          <w:p w14:paraId="02C9E063" w14:textId="77777777" w:rsidR="00990991" w:rsidRPr="00990991" w:rsidRDefault="00990991" w:rsidP="00990991">
            <w:pPr>
              <w:ind w:left="227" w:hanging="227"/>
              <w:rPr>
                <w:rFonts w:ascii="Calibri" w:hAnsi="Calibri"/>
                <w:b/>
                <w:bCs/>
                <w:sz w:val="20"/>
                <w:szCs w:val="20"/>
                <w:lang w:eastAsia="en-AU"/>
              </w:rPr>
            </w:pPr>
            <w:r w:rsidRPr="00990991">
              <w:rPr>
                <w:rFonts w:ascii="Calibri" w:hAnsi="Calibri"/>
                <w:b/>
                <w:bCs/>
                <w:sz w:val="20"/>
                <w:szCs w:val="20"/>
                <w:lang w:eastAsia="en-AU"/>
              </w:rPr>
              <w:t>Infrastructure and capital initiatives</w:t>
            </w:r>
          </w:p>
        </w:tc>
        <w:tc>
          <w:tcPr>
            <w:tcW w:w="941" w:type="dxa"/>
            <w:tcBorders>
              <w:top w:val="single" w:sz="4" w:space="0" w:color="auto"/>
              <w:left w:val="nil"/>
              <w:bottom w:val="single" w:sz="4" w:space="0" w:color="auto"/>
              <w:right w:val="nil"/>
            </w:tcBorders>
            <w:shd w:val="clear" w:color="auto" w:fill="auto"/>
          </w:tcPr>
          <w:p w14:paraId="15B1DE0E" w14:textId="77777777" w:rsidR="00990991" w:rsidRPr="00990991" w:rsidRDefault="00990991" w:rsidP="00990991">
            <w:pPr>
              <w:jc w:val="right"/>
              <w:rPr>
                <w:rFonts w:ascii="Calibri" w:hAnsi="Calibri"/>
                <w:b/>
                <w:bCs/>
                <w:sz w:val="20"/>
                <w:szCs w:val="20"/>
                <w:lang w:eastAsia="en-US"/>
              </w:rPr>
            </w:pPr>
            <w:r w:rsidRPr="00990991">
              <w:rPr>
                <w:rFonts w:ascii="Calibri" w:hAnsi="Calibri"/>
                <w:b/>
                <w:bCs/>
                <w:sz w:val="20"/>
                <w:szCs w:val="20"/>
                <w:lang w:eastAsia="en-US"/>
              </w:rPr>
              <w:t>2019-20</w:t>
            </w:r>
          </w:p>
          <w:p w14:paraId="63A07961" w14:textId="77777777" w:rsidR="00990991" w:rsidRPr="00990991" w:rsidRDefault="00990991" w:rsidP="00990991">
            <w:pPr>
              <w:jc w:val="right"/>
              <w:rPr>
                <w:rFonts w:ascii="Calibri" w:hAnsi="Calibri"/>
                <w:b/>
                <w:bCs/>
                <w:sz w:val="20"/>
                <w:szCs w:val="20"/>
                <w:lang w:eastAsia="en-US"/>
              </w:rPr>
            </w:pPr>
            <w:r w:rsidRPr="00990991">
              <w:rPr>
                <w:rFonts w:ascii="Calibri" w:hAnsi="Calibri"/>
                <w:b/>
                <w:bCs/>
                <w:sz w:val="20"/>
                <w:szCs w:val="20"/>
                <w:lang w:eastAsia="en-US"/>
              </w:rPr>
              <w:t>Estimate</w:t>
            </w:r>
          </w:p>
          <w:p w14:paraId="1E5D7B39" w14:textId="77777777" w:rsidR="00990991" w:rsidRPr="00990991" w:rsidRDefault="00990991" w:rsidP="00990991">
            <w:pPr>
              <w:jc w:val="right"/>
              <w:rPr>
                <w:rFonts w:ascii="Calibri" w:hAnsi="Calibri"/>
                <w:b/>
                <w:bCs/>
                <w:sz w:val="20"/>
                <w:szCs w:val="20"/>
                <w:lang w:eastAsia="en-US"/>
              </w:rPr>
            </w:pPr>
            <w:r w:rsidRPr="00990991">
              <w:rPr>
                <w:rFonts w:ascii="Calibri" w:hAnsi="Calibri"/>
                <w:b/>
                <w:bCs/>
                <w:sz w:val="20"/>
                <w:szCs w:val="20"/>
                <w:lang w:eastAsia="en-US"/>
              </w:rPr>
              <w:t>$’000</w:t>
            </w:r>
          </w:p>
        </w:tc>
        <w:tc>
          <w:tcPr>
            <w:tcW w:w="926" w:type="dxa"/>
            <w:tcBorders>
              <w:top w:val="single" w:sz="4" w:space="0" w:color="auto"/>
              <w:left w:val="nil"/>
              <w:bottom w:val="single" w:sz="4" w:space="0" w:color="auto"/>
              <w:right w:val="nil"/>
            </w:tcBorders>
            <w:shd w:val="clear" w:color="auto" w:fill="auto"/>
          </w:tcPr>
          <w:p w14:paraId="034CEC4A" w14:textId="77777777" w:rsidR="00990991" w:rsidRPr="00990991" w:rsidRDefault="00990991" w:rsidP="00990991">
            <w:pPr>
              <w:jc w:val="right"/>
              <w:rPr>
                <w:rFonts w:ascii="Calibri" w:hAnsi="Calibri"/>
                <w:b/>
                <w:bCs/>
                <w:sz w:val="20"/>
                <w:szCs w:val="20"/>
                <w:lang w:eastAsia="en-US"/>
              </w:rPr>
            </w:pPr>
            <w:r w:rsidRPr="00990991">
              <w:rPr>
                <w:rFonts w:ascii="Calibri" w:hAnsi="Calibri"/>
                <w:b/>
                <w:bCs/>
                <w:sz w:val="20"/>
                <w:szCs w:val="20"/>
                <w:lang w:eastAsia="en-US"/>
              </w:rPr>
              <w:t>2020</w:t>
            </w:r>
            <w:r w:rsidRPr="00990991">
              <w:rPr>
                <w:rFonts w:ascii="Calibri" w:hAnsi="Calibri"/>
                <w:b/>
                <w:bCs/>
                <w:sz w:val="20"/>
                <w:szCs w:val="20"/>
                <w:lang w:eastAsia="en-US"/>
              </w:rPr>
              <w:noBreakHyphen/>
              <w:t>21</w:t>
            </w:r>
          </w:p>
          <w:p w14:paraId="3911774C" w14:textId="77777777" w:rsidR="00990991" w:rsidRPr="00990991" w:rsidRDefault="00990991" w:rsidP="00990991">
            <w:pPr>
              <w:jc w:val="right"/>
              <w:rPr>
                <w:rFonts w:ascii="Calibri" w:hAnsi="Calibri"/>
                <w:b/>
                <w:bCs/>
                <w:sz w:val="20"/>
                <w:szCs w:val="20"/>
                <w:lang w:eastAsia="en-US"/>
              </w:rPr>
            </w:pPr>
            <w:r w:rsidRPr="00990991">
              <w:rPr>
                <w:rFonts w:ascii="Calibri" w:hAnsi="Calibri"/>
                <w:b/>
                <w:bCs/>
                <w:sz w:val="20"/>
                <w:szCs w:val="20"/>
                <w:lang w:eastAsia="en-US"/>
              </w:rPr>
              <w:t>Estimate</w:t>
            </w:r>
          </w:p>
          <w:p w14:paraId="6E1A8317" w14:textId="77777777" w:rsidR="00990991" w:rsidRPr="00990991" w:rsidRDefault="00990991" w:rsidP="00990991">
            <w:pPr>
              <w:jc w:val="right"/>
              <w:rPr>
                <w:rFonts w:ascii="Calibri" w:hAnsi="Calibri"/>
                <w:b/>
                <w:bCs/>
                <w:sz w:val="20"/>
                <w:szCs w:val="20"/>
                <w:lang w:eastAsia="en-US"/>
              </w:rPr>
            </w:pPr>
            <w:r w:rsidRPr="00990991">
              <w:rPr>
                <w:rFonts w:ascii="Calibri" w:hAnsi="Calibri"/>
                <w:b/>
                <w:bCs/>
                <w:sz w:val="20"/>
                <w:szCs w:val="20"/>
                <w:lang w:eastAsia="en-US"/>
              </w:rPr>
              <w:t>$’000</w:t>
            </w:r>
          </w:p>
        </w:tc>
        <w:tc>
          <w:tcPr>
            <w:tcW w:w="931" w:type="dxa"/>
            <w:tcBorders>
              <w:top w:val="single" w:sz="4" w:space="0" w:color="auto"/>
              <w:left w:val="nil"/>
              <w:bottom w:val="single" w:sz="4" w:space="0" w:color="auto"/>
              <w:right w:val="nil"/>
            </w:tcBorders>
            <w:shd w:val="clear" w:color="auto" w:fill="auto"/>
          </w:tcPr>
          <w:p w14:paraId="0A23EA17" w14:textId="77777777" w:rsidR="00990991" w:rsidRPr="00990991" w:rsidRDefault="00990991" w:rsidP="00990991">
            <w:pPr>
              <w:jc w:val="right"/>
              <w:rPr>
                <w:rFonts w:ascii="Calibri" w:hAnsi="Calibri"/>
                <w:b/>
                <w:bCs/>
                <w:sz w:val="20"/>
                <w:szCs w:val="20"/>
                <w:lang w:eastAsia="en-US"/>
              </w:rPr>
            </w:pPr>
            <w:r w:rsidRPr="00990991">
              <w:rPr>
                <w:rFonts w:ascii="Calibri" w:hAnsi="Calibri"/>
                <w:b/>
                <w:bCs/>
                <w:sz w:val="20"/>
                <w:szCs w:val="20"/>
                <w:lang w:eastAsia="en-US"/>
              </w:rPr>
              <w:t>2021-22</w:t>
            </w:r>
          </w:p>
          <w:p w14:paraId="1ED83B04" w14:textId="77777777" w:rsidR="00990991" w:rsidRPr="00990991" w:rsidRDefault="00990991" w:rsidP="00990991">
            <w:pPr>
              <w:jc w:val="right"/>
              <w:rPr>
                <w:rFonts w:ascii="Calibri" w:hAnsi="Calibri"/>
                <w:b/>
                <w:bCs/>
                <w:sz w:val="20"/>
                <w:szCs w:val="20"/>
                <w:lang w:eastAsia="en-US"/>
              </w:rPr>
            </w:pPr>
            <w:r w:rsidRPr="00990991">
              <w:rPr>
                <w:rFonts w:ascii="Calibri" w:hAnsi="Calibri"/>
                <w:b/>
                <w:bCs/>
                <w:sz w:val="20"/>
                <w:szCs w:val="20"/>
                <w:lang w:eastAsia="en-US"/>
              </w:rPr>
              <w:t>Estimate</w:t>
            </w:r>
          </w:p>
          <w:p w14:paraId="685CC6F1" w14:textId="77777777" w:rsidR="00990991" w:rsidRPr="00990991" w:rsidRDefault="00990991" w:rsidP="00990991">
            <w:pPr>
              <w:jc w:val="right"/>
              <w:rPr>
                <w:rFonts w:ascii="Calibri" w:hAnsi="Calibri"/>
                <w:b/>
                <w:bCs/>
                <w:sz w:val="20"/>
                <w:szCs w:val="20"/>
                <w:lang w:eastAsia="en-US"/>
              </w:rPr>
            </w:pPr>
            <w:r w:rsidRPr="00990991">
              <w:rPr>
                <w:rFonts w:ascii="Calibri" w:hAnsi="Calibri"/>
                <w:b/>
                <w:bCs/>
                <w:sz w:val="20"/>
                <w:szCs w:val="20"/>
                <w:lang w:eastAsia="en-US"/>
              </w:rPr>
              <w:t>$’000</w:t>
            </w:r>
          </w:p>
        </w:tc>
        <w:tc>
          <w:tcPr>
            <w:tcW w:w="921" w:type="dxa"/>
            <w:tcBorders>
              <w:top w:val="single" w:sz="4" w:space="0" w:color="auto"/>
              <w:left w:val="nil"/>
              <w:bottom w:val="single" w:sz="4" w:space="0" w:color="auto"/>
              <w:right w:val="nil"/>
            </w:tcBorders>
          </w:tcPr>
          <w:p w14:paraId="4A48F81F" w14:textId="77777777" w:rsidR="00990991" w:rsidRPr="00990991" w:rsidRDefault="00990991" w:rsidP="00990991">
            <w:pPr>
              <w:jc w:val="right"/>
              <w:rPr>
                <w:rFonts w:ascii="Calibri" w:hAnsi="Calibri"/>
                <w:b/>
                <w:bCs/>
                <w:sz w:val="20"/>
                <w:szCs w:val="20"/>
                <w:lang w:eastAsia="en-US"/>
              </w:rPr>
            </w:pPr>
            <w:r w:rsidRPr="00990991">
              <w:rPr>
                <w:rFonts w:ascii="Calibri" w:hAnsi="Calibri"/>
                <w:b/>
                <w:bCs/>
                <w:sz w:val="20"/>
                <w:szCs w:val="20"/>
                <w:lang w:eastAsia="en-US"/>
              </w:rPr>
              <w:t>2022-23</w:t>
            </w:r>
          </w:p>
          <w:p w14:paraId="6C639EAB" w14:textId="77777777" w:rsidR="00990991" w:rsidRPr="00990991" w:rsidRDefault="00990991" w:rsidP="00990991">
            <w:pPr>
              <w:jc w:val="right"/>
              <w:rPr>
                <w:rFonts w:ascii="Calibri" w:hAnsi="Calibri"/>
                <w:b/>
                <w:bCs/>
                <w:sz w:val="20"/>
                <w:szCs w:val="20"/>
                <w:lang w:eastAsia="en-US"/>
              </w:rPr>
            </w:pPr>
            <w:r w:rsidRPr="00990991">
              <w:rPr>
                <w:rFonts w:ascii="Calibri" w:hAnsi="Calibri"/>
                <w:b/>
                <w:bCs/>
                <w:sz w:val="20"/>
                <w:szCs w:val="20"/>
                <w:lang w:eastAsia="en-US"/>
              </w:rPr>
              <w:t>Estimate</w:t>
            </w:r>
          </w:p>
          <w:p w14:paraId="44CAE50E" w14:textId="77777777" w:rsidR="00990991" w:rsidRPr="00990991" w:rsidRDefault="00990991" w:rsidP="00990991">
            <w:pPr>
              <w:jc w:val="right"/>
              <w:rPr>
                <w:rFonts w:ascii="Calibri" w:hAnsi="Calibri"/>
                <w:b/>
                <w:bCs/>
                <w:sz w:val="20"/>
                <w:szCs w:val="20"/>
                <w:lang w:eastAsia="en-US"/>
              </w:rPr>
            </w:pPr>
            <w:r w:rsidRPr="00990991">
              <w:rPr>
                <w:rFonts w:ascii="Calibri" w:hAnsi="Calibri"/>
                <w:b/>
                <w:bCs/>
                <w:sz w:val="20"/>
                <w:szCs w:val="20"/>
                <w:lang w:eastAsia="en-US"/>
              </w:rPr>
              <w:t>$’000</w:t>
            </w:r>
          </w:p>
        </w:tc>
        <w:tc>
          <w:tcPr>
            <w:tcW w:w="921" w:type="dxa"/>
            <w:tcBorders>
              <w:top w:val="single" w:sz="4" w:space="0" w:color="auto"/>
              <w:left w:val="nil"/>
              <w:bottom w:val="single" w:sz="4" w:space="0" w:color="auto"/>
              <w:right w:val="nil"/>
            </w:tcBorders>
          </w:tcPr>
          <w:p w14:paraId="36C22952" w14:textId="77777777" w:rsidR="00990991" w:rsidRPr="00990991" w:rsidRDefault="00990991" w:rsidP="00990991">
            <w:pPr>
              <w:jc w:val="right"/>
              <w:rPr>
                <w:rFonts w:ascii="Calibri" w:hAnsi="Calibri"/>
                <w:b/>
                <w:bCs/>
                <w:sz w:val="20"/>
                <w:szCs w:val="20"/>
                <w:lang w:eastAsia="en-US"/>
              </w:rPr>
            </w:pPr>
            <w:r w:rsidRPr="00990991">
              <w:rPr>
                <w:rFonts w:ascii="Calibri" w:hAnsi="Calibri"/>
                <w:b/>
                <w:bCs/>
                <w:sz w:val="20"/>
                <w:szCs w:val="20"/>
                <w:lang w:eastAsia="en-US"/>
              </w:rPr>
              <w:t xml:space="preserve">Total </w:t>
            </w:r>
          </w:p>
          <w:p w14:paraId="51B80375" w14:textId="77777777" w:rsidR="00990991" w:rsidRPr="00990991" w:rsidRDefault="00990991" w:rsidP="00990991">
            <w:pPr>
              <w:jc w:val="right"/>
              <w:rPr>
                <w:rFonts w:ascii="Calibri" w:hAnsi="Calibri"/>
                <w:b/>
                <w:bCs/>
                <w:sz w:val="20"/>
                <w:szCs w:val="20"/>
                <w:lang w:eastAsia="en-US"/>
              </w:rPr>
            </w:pPr>
          </w:p>
          <w:p w14:paraId="1B698316" w14:textId="77777777" w:rsidR="00990991" w:rsidRPr="00990991" w:rsidRDefault="00990991" w:rsidP="00990991">
            <w:pPr>
              <w:jc w:val="right"/>
              <w:rPr>
                <w:rFonts w:ascii="Calibri" w:hAnsi="Calibri"/>
                <w:b/>
                <w:bCs/>
                <w:sz w:val="20"/>
                <w:szCs w:val="20"/>
                <w:lang w:eastAsia="en-US"/>
              </w:rPr>
            </w:pPr>
            <w:r w:rsidRPr="00990991">
              <w:rPr>
                <w:rFonts w:ascii="Calibri" w:hAnsi="Calibri"/>
                <w:b/>
                <w:bCs/>
                <w:sz w:val="20"/>
                <w:szCs w:val="20"/>
                <w:lang w:eastAsia="en-US"/>
              </w:rPr>
              <w:t>$’000</w:t>
            </w:r>
          </w:p>
        </w:tc>
      </w:tr>
      <w:tr w:rsidR="00990991" w:rsidRPr="00990991" w14:paraId="6DC8B539" w14:textId="77777777" w:rsidTr="00492EFA">
        <w:trPr>
          <w:trHeight w:val="227"/>
        </w:trPr>
        <w:tc>
          <w:tcPr>
            <w:tcW w:w="4998" w:type="dxa"/>
            <w:tcBorders>
              <w:top w:val="single" w:sz="4" w:space="0" w:color="auto"/>
              <w:left w:val="nil"/>
              <w:bottom w:val="nil"/>
              <w:right w:val="nil"/>
            </w:tcBorders>
          </w:tcPr>
          <w:p w14:paraId="7AA490C0" w14:textId="77777777" w:rsidR="00990991" w:rsidRPr="00990991" w:rsidRDefault="00990991" w:rsidP="00990991">
            <w:pPr>
              <w:ind w:left="227" w:hanging="227"/>
              <w:rPr>
                <w:rFonts w:ascii="Calibri" w:hAnsi="Calibri"/>
                <w:b/>
                <w:bCs/>
                <w:sz w:val="20"/>
                <w:szCs w:val="20"/>
                <w:lang w:val="x-none" w:eastAsia="en-US"/>
              </w:rPr>
            </w:pPr>
          </w:p>
        </w:tc>
        <w:tc>
          <w:tcPr>
            <w:tcW w:w="941" w:type="dxa"/>
            <w:tcBorders>
              <w:top w:val="single" w:sz="4" w:space="0" w:color="auto"/>
              <w:left w:val="nil"/>
              <w:bottom w:val="nil"/>
              <w:right w:val="nil"/>
            </w:tcBorders>
          </w:tcPr>
          <w:p w14:paraId="165214AE" w14:textId="77777777" w:rsidR="00990991" w:rsidRPr="00990991" w:rsidRDefault="00990991" w:rsidP="00990991">
            <w:pPr>
              <w:jc w:val="right"/>
              <w:rPr>
                <w:rFonts w:ascii="Calibri" w:hAnsi="Calibri" w:cs="Calibri"/>
                <w:color w:val="FFFFFF"/>
                <w:sz w:val="12"/>
                <w:szCs w:val="20"/>
                <w:lang w:eastAsia="en-US"/>
              </w:rPr>
            </w:pPr>
          </w:p>
        </w:tc>
        <w:tc>
          <w:tcPr>
            <w:tcW w:w="926" w:type="dxa"/>
            <w:tcBorders>
              <w:top w:val="single" w:sz="4" w:space="0" w:color="auto"/>
              <w:left w:val="nil"/>
              <w:bottom w:val="nil"/>
              <w:right w:val="nil"/>
            </w:tcBorders>
          </w:tcPr>
          <w:p w14:paraId="65F025A9" w14:textId="77777777" w:rsidR="00990991" w:rsidRPr="00990991" w:rsidRDefault="00990991" w:rsidP="00990991">
            <w:pPr>
              <w:jc w:val="right"/>
              <w:rPr>
                <w:rFonts w:ascii="Calibri" w:hAnsi="Calibri" w:cs="Calibri"/>
                <w:color w:val="FFFFFF"/>
                <w:sz w:val="12"/>
                <w:szCs w:val="20"/>
                <w:lang w:eastAsia="en-US"/>
              </w:rPr>
            </w:pPr>
          </w:p>
        </w:tc>
        <w:tc>
          <w:tcPr>
            <w:tcW w:w="931" w:type="dxa"/>
            <w:tcBorders>
              <w:top w:val="single" w:sz="4" w:space="0" w:color="auto"/>
              <w:left w:val="nil"/>
              <w:bottom w:val="nil"/>
              <w:right w:val="nil"/>
            </w:tcBorders>
          </w:tcPr>
          <w:p w14:paraId="48E1A50D" w14:textId="77777777" w:rsidR="00990991" w:rsidRPr="00990991" w:rsidRDefault="00990991" w:rsidP="00990991">
            <w:pPr>
              <w:jc w:val="right"/>
              <w:rPr>
                <w:rFonts w:ascii="Calibri" w:hAnsi="Calibri" w:cs="Calibri"/>
                <w:color w:val="FFFFFF"/>
                <w:sz w:val="12"/>
                <w:szCs w:val="20"/>
                <w:lang w:eastAsia="en-US"/>
              </w:rPr>
            </w:pPr>
          </w:p>
        </w:tc>
        <w:tc>
          <w:tcPr>
            <w:tcW w:w="921" w:type="dxa"/>
            <w:tcBorders>
              <w:top w:val="single" w:sz="4" w:space="0" w:color="auto"/>
              <w:left w:val="nil"/>
              <w:bottom w:val="nil"/>
              <w:right w:val="nil"/>
            </w:tcBorders>
          </w:tcPr>
          <w:p w14:paraId="1385C9B4" w14:textId="77777777" w:rsidR="00990991" w:rsidRPr="00990991" w:rsidRDefault="00990991" w:rsidP="00990991">
            <w:pPr>
              <w:jc w:val="right"/>
              <w:rPr>
                <w:rFonts w:ascii="Calibri" w:hAnsi="Calibri" w:cs="Calibri"/>
                <w:color w:val="FFFFFF"/>
                <w:sz w:val="12"/>
                <w:szCs w:val="20"/>
                <w:lang w:eastAsia="en-US"/>
              </w:rPr>
            </w:pPr>
          </w:p>
        </w:tc>
        <w:tc>
          <w:tcPr>
            <w:tcW w:w="921" w:type="dxa"/>
            <w:tcBorders>
              <w:top w:val="single" w:sz="4" w:space="0" w:color="auto"/>
              <w:left w:val="nil"/>
              <w:bottom w:val="nil"/>
              <w:right w:val="nil"/>
            </w:tcBorders>
          </w:tcPr>
          <w:p w14:paraId="0E97BA09" w14:textId="77777777" w:rsidR="00990991" w:rsidRPr="00990991" w:rsidRDefault="00990991" w:rsidP="00990991">
            <w:pPr>
              <w:jc w:val="right"/>
              <w:rPr>
                <w:rFonts w:ascii="Calibri" w:hAnsi="Calibri" w:cs="Calibri"/>
                <w:color w:val="FFFFFF"/>
                <w:sz w:val="12"/>
                <w:szCs w:val="20"/>
                <w:lang w:eastAsia="en-US"/>
              </w:rPr>
            </w:pPr>
          </w:p>
        </w:tc>
      </w:tr>
      <w:tr w:rsidR="00990991" w:rsidRPr="00990991" w14:paraId="420D4ED1" w14:textId="77777777" w:rsidTr="00492EFA">
        <w:trPr>
          <w:trHeight w:val="227"/>
        </w:trPr>
        <w:tc>
          <w:tcPr>
            <w:tcW w:w="4998" w:type="dxa"/>
            <w:tcBorders>
              <w:left w:val="nil"/>
              <w:bottom w:val="nil"/>
              <w:right w:val="nil"/>
            </w:tcBorders>
          </w:tcPr>
          <w:p w14:paraId="47DD3043" w14:textId="77777777" w:rsidR="00990991" w:rsidRPr="00990991" w:rsidRDefault="00990991" w:rsidP="00990991">
            <w:pPr>
              <w:ind w:left="227" w:hanging="227"/>
              <w:rPr>
                <w:rFonts w:ascii="Calibri" w:hAnsi="Calibri"/>
                <w:bCs/>
                <w:color w:val="000000"/>
                <w:sz w:val="20"/>
                <w:szCs w:val="20"/>
                <w:lang w:eastAsia="en-AU"/>
              </w:rPr>
            </w:pPr>
            <w:r w:rsidRPr="00990991">
              <w:rPr>
                <w:rFonts w:ascii="Calibri" w:hAnsi="Calibri"/>
                <w:b/>
                <w:sz w:val="20"/>
                <w:szCs w:val="20"/>
                <w:lang w:eastAsia="en-AU"/>
              </w:rPr>
              <w:t>Community Services Directorate</w:t>
            </w:r>
          </w:p>
        </w:tc>
        <w:tc>
          <w:tcPr>
            <w:tcW w:w="941" w:type="dxa"/>
            <w:tcBorders>
              <w:left w:val="nil"/>
              <w:bottom w:val="nil"/>
              <w:right w:val="nil"/>
            </w:tcBorders>
          </w:tcPr>
          <w:p w14:paraId="0B914B31" w14:textId="77777777" w:rsidR="00990991" w:rsidRPr="00990991" w:rsidRDefault="00990991" w:rsidP="00990991">
            <w:pPr>
              <w:ind w:left="227" w:hanging="227"/>
              <w:jc w:val="right"/>
              <w:rPr>
                <w:rFonts w:ascii="Calibri" w:hAnsi="Calibri"/>
                <w:b/>
                <w:sz w:val="20"/>
                <w:szCs w:val="20"/>
                <w:lang w:eastAsia="en-AU"/>
              </w:rPr>
            </w:pPr>
          </w:p>
        </w:tc>
        <w:tc>
          <w:tcPr>
            <w:tcW w:w="926" w:type="dxa"/>
            <w:tcBorders>
              <w:left w:val="nil"/>
              <w:bottom w:val="nil"/>
              <w:right w:val="nil"/>
            </w:tcBorders>
          </w:tcPr>
          <w:p w14:paraId="5FFE49E6" w14:textId="77777777" w:rsidR="00990991" w:rsidRPr="00990991" w:rsidRDefault="00990991" w:rsidP="00990991">
            <w:pPr>
              <w:ind w:left="227" w:hanging="227"/>
              <w:jc w:val="right"/>
              <w:rPr>
                <w:rFonts w:ascii="Calibri" w:hAnsi="Calibri"/>
                <w:b/>
                <w:sz w:val="20"/>
                <w:szCs w:val="20"/>
                <w:lang w:eastAsia="en-AU"/>
              </w:rPr>
            </w:pPr>
          </w:p>
        </w:tc>
        <w:tc>
          <w:tcPr>
            <w:tcW w:w="931" w:type="dxa"/>
            <w:tcBorders>
              <w:left w:val="nil"/>
              <w:bottom w:val="nil"/>
              <w:right w:val="nil"/>
            </w:tcBorders>
          </w:tcPr>
          <w:p w14:paraId="3965F81D" w14:textId="77777777" w:rsidR="00990991" w:rsidRPr="00990991" w:rsidRDefault="00990991" w:rsidP="00990991">
            <w:pPr>
              <w:ind w:left="227" w:hanging="227"/>
              <w:jc w:val="right"/>
              <w:rPr>
                <w:rFonts w:ascii="Calibri" w:hAnsi="Calibri"/>
                <w:b/>
                <w:sz w:val="20"/>
                <w:szCs w:val="20"/>
                <w:lang w:eastAsia="en-AU"/>
              </w:rPr>
            </w:pPr>
          </w:p>
        </w:tc>
        <w:tc>
          <w:tcPr>
            <w:tcW w:w="921" w:type="dxa"/>
            <w:tcBorders>
              <w:left w:val="nil"/>
              <w:bottom w:val="nil"/>
              <w:right w:val="nil"/>
            </w:tcBorders>
          </w:tcPr>
          <w:p w14:paraId="17EC382B" w14:textId="77777777" w:rsidR="00990991" w:rsidRPr="00990991" w:rsidRDefault="00990991" w:rsidP="00990991">
            <w:pPr>
              <w:ind w:left="227" w:hanging="227"/>
              <w:jc w:val="right"/>
              <w:rPr>
                <w:rFonts w:ascii="Calibri" w:hAnsi="Calibri"/>
                <w:b/>
                <w:sz w:val="20"/>
                <w:szCs w:val="20"/>
                <w:lang w:eastAsia="en-AU"/>
              </w:rPr>
            </w:pPr>
          </w:p>
        </w:tc>
        <w:tc>
          <w:tcPr>
            <w:tcW w:w="921" w:type="dxa"/>
            <w:tcBorders>
              <w:left w:val="nil"/>
              <w:bottom w:val="nil"/>
              <w:right w:val="nil"/>
            </w:tcBorders>
          </w:tcPr>
          <w:p w14:paraId="5C3395F9" w14:textId="77777777" w:rsidR="00990991" w:rsidRPr="00990991" w:rsidRDefault="00990991" w:rsidP="00990991">
            <w:pPr>
              <w:ind w:left="227" w:hanging="227"/>
              <w:jc w:val="right"/>
              <w:rPr>
                <w:rFonts w:ascii="Calibri" w:hAnsi="Calibri"/>
                <w:b/>
                <w:sz w:val="20"/>
                <w:szCs w:val="20"/>
                <w:lang w:eastAsia="en-AU"/>
              </w:rPr>
            </w:pPr>
          </w:p>
        </w:tc>
      </w:tr>
      <w:tr w:rsidR="00990991" w:rsidRPr="00990991" w14:paraId="7C70DE3A" w14:textId="77777777" w:rsidTr="00492EFA">
        <w:trPr>
          <w:trHeight w:val="227"/>
        </w:trPr>
        <w:tc>
          <w:tcPr>
            <w:tcW w:w="4998" w:type="dxa"/>
            <w:tcBorders>
              <w:left w:val="nil"/>
              <w:bottom w:val="nil"/>
              <w:right w:val="nil"/>
            </w:tcBorders>
          </w:tcPr>
          <w:p w14:paraId="13958E35" w14:textId="77777777" w:rsidR="00990991" w:rsidRPr="00990991" w:rsidRDefault="00990991" w:rsidP="00990991">
            <w:pPr>
              <w:ind w:left="227" w:hanging="227"/>
              <w:rPr>
                <w:rFonts w:ascii="Calibri" w:hAnsi="Calibri"/>
                <w:bCs/>
                <w:color w:val="000000"/>
                <w:sz w:val="20"/>
                <w:szCs w:val="20"/>
                <w:vertAlign w:val="superscript"/>
                <w:lang w:eastAsia="en-AU"/>
              </w:rPr>
            </w:pPr>
            <w:r w:rsidRPr="00990991">
              <w:rPr>
                <w:rFonts w:ascii="Calibri" w:hAnsi="Calibri"/>
                <w:bCs/>
                <w:color w:val="000000"/>
                <w:sz w:val="20"/>
                <w:szCs w:val="20"/>
                <w:lang w:eastAsia="en-AU"/>
              </w:rPr>
              <w:t xml:space="preserve">Continuing to reduce and eliminate restrictive practices </w:t>
            </w:r>
            <w:r w:rsidRPr="00990991">
              <w:rPr>
                <w:rFonts w:ascii="Calibri" w:hAnsi="Calibri"/>
                <w:bCs/>
                <w:color w:val="000000"/>
                <w:sz w:val="20"/>
                <w:szCs w:val="20"/>
                <w:vertAlign w:val="superscript"/>
                <w:lang w:eastAsia="en-AU"/>
              </w:rPr>
              <w:t>2</w:t>
            </w:r>
          </w:p>
        </w:tc>
        <w:tc>
          <w:tcPr>
            <w:tcW w:w="941" w:type="dxa"/>
            <w:tcBorders>
              <w:left w:val="nil"/>
              <w:bottom w:val="nil"/>
              <w:right w:val="nil"/>
            </w:tcBorders>
          </w:tcPr>
          <w:p w14:paraId="6B7D3868" w14:textId="77777777" w:rsidR="00990991" w:rsidRPr="00990991" w:rsidRDefault="00990991" w:rsidP="00990991">
            <w:pPr>
              <w:ind w:left="227" w:hanging="227"/>
              <w:jc w:val="right"/>
              <w:rPr>
                <w:rFonts w:ascii="Calibri" w:hAnsi="Calibri"/>
                <w:sz w:val="20"/>
                <w:szCs w:val="20"/>
                <w:lang w:eastAsia="en-AU"/>
              </w:rPr>
            </w:pPr>
            <w:r w:rsidRPr="00990991">
              <w:rPr>
                <w:rFonts w:ascii="Calibri" w:hAnsi="Calibri"/>
                <w:sz w:val="20"/>
                <w:szCs w:val="20"/>
                <w:lang w:eastAsia="en-AU"/>
              </w:rPr>
              <w:t>329</w:t>
            </w:r>
          </w:p>
        </w:tc>
        <w:tc>
          <w:tcPr>
            <w:tcW w:w="926" w:type="dxa"/>
            <w:tcBorders>
              <w:left w:val="nil"/>
              <w:bottom w:val="nil"/>
              <w:right w:val="nil"/>
            </w:tcBorders>
          </w:tcPr>
          <w:p w14:paraId="3DE9CD9D" w14:textId="77777777" w:rsidR="00990991" w:rsidRPr="00990991" w:rsidRDefault="00990991" w:rsidP="00990991">
            <w:pPr>
              <w:ind w:left="227" w:hanging="227"/>
              <w:jc w:val="right"/>
              <w:rPr>
                <w:rFonts w:ascii="Calibri" w:hAnsi="Calibri"/>
                <w:sz w:val="20"/>
                <w:szCs w:val="20"/>
                <w:lang w:eastAsia="en-AU"/>
              </w:rPr>
            </w:pPr>
            <w:r w:rsidRPr="00990991">
              <w:rPr>
                <w:rFonts w:ascii="Calibri" w:hAnsi="Calibri"/>
                <w:sz w:val="20"/>
                <w:szCs w:val="20"/>
                <w:lang w:eastAsia="en-AU"/>
              </w:rPr>
              <w:t>0</w:t>
            </w:r>
          </w:p>
        </w:tc>
        <w:tc>
          <w:tcPr>
            <w:tcW w:w="931" w:type="dxa"/>
            <w:tcBorders>
              <w:left w:val="nil"/>
              <w:bottom w:val="nil"/>
              <w:right w:val="nil"/>
            </w:tcBorders>
          </w:tcPr>
          <w:p w14:paraId="4D81E629" w14:textId="77777777" w:rsidR="00990991" w:rsidRPr="00990991" w:rsidRDefault="00990991" w:rsidP="00990991">
            <w:pPr>
              <w:ind w:left="227" w:hanging="227"/>
              <w:jc w:val="right"/>
              <w:rPr>
                <w:rFonts w:ascii="Calibri" w:hAnsi="Calibri"/>
                <w:sz w:val="20"/>
                <w:szCs w:val="20"/>
                <w:lang w:eastAsia="en-AU"/>
              </w:rPr>
            </w:pPr>
            <w:r w:rsidRPr="00990991">
              <w:rPr>
                <w:rFonts w:ascii="Calibri" w:hAnsi="Calibri"/>
                <w:sz w:val="20"/>
                <w:szCs w:val="20"/>
                <w:lang w:eastAsia="en-AU"/>
              </w:rPr>
              <w:t>0</w:t>
            </w:r>
          </w:p>
        </w:tc>
        <w:tc>
          <w:tcPr>
            <w:tcW w:w="921" w:type="dxa"/>
            <w:tcBorders>
              <w:left w:val="nil"/>
              <w:bottom w:val="nil"/>
              <w:right w:val="nil"/>
            </w:tcBorders>
          </w:tcPr>
          <w:p w14:paraId="0B67A2D7" w14:textId="77777777" w:rsidR="00990991" w:rsidRPr="00990991" w:rsidRDefault="00990991" w:rsidP="00990991">
            <w:pPr>
              <w:ind w:left="227" w:hanging="227"/>
              <w:jc w:val="right"/>
              <w:rPr>
                <w:rFonts w:ascii="Calibri" w:hAnsi="Calibri"/>
                <w:sz w:val="20"/>
                <w:szCs w:val="20"/>
                <w:lang w:eastAsia="en-AU"/>
              </w:rPr>
            </w:pPr>
            <w:r w:rsidRPr="00990991">
              <w:rPr>
                <w:rFonts w:ascii="Calibri" w:hAnsi="Calibri"/>
                <w:sz w:val="20"/>
                <w:szCs w:val="20"/>
                <w:lang w:eastAsia="en-AU"/>
              </w:rPr>
              <w:t>0</w:t>
            </w:r>
          </w:p>
        </w:tc>
        <w:tc>
          <w:tcPr>
            <w:tcW w:w="921" w:type="dxa"/>
            <w:tcBorders>
              <w:left w:val="nil"/>
              <w:bottom w:val="nil"/>
              <w:right w:val="nil"/>
            </w:tcBorders>
          </w:tcPr>
          <w:p w14:paraId="21DED3D2" w14:textId="77777777" w:rsidR="00990991" w:rsidRPr="00990991" w:rsidRDefault="00990991" w:rsidP="00990991">
            <w:pPr>
              <w:ind w:left="227" w:hanging="227"/>
              <w:jc w:val="right"/>
              <w:rPr>
                <w:rFonts w:ascii="Calibri" w:hAnsi="Calibri"/>
                <w:sz w:val="20"/>
                <w:szCs w:val="20"/>
                <w:lang w:eastAsia="en-AU"/>
              </w:rPr>
            </w:pPr>
            <w:r w:rsidRPr="00990991">
              <w:rPr>
                <w:rFonts w:ascii="Calibri" w:hAnsi="Calibri"/>
                <w:sz w:val="20"/>
                <w:szCs w:val="20"/>
                <w:lang w:eastAsia="en-AU"/>
              </w:rPr>
              <w:t>329</w:t>
            </w:r>
          </w:p>
        </w:tc>
      </w:tr>
      <w:tr w:rsidR="00990991" w:rsidRPr="00990991" w14:paraId="4B008FA0" w14:textId="77777777" w:rsidTr="00492EFA">
        <w:trPr>
          <w:trHeight w:val="227"/>
        </w:trPr>
        <w:tc>
          <w:tcPr>
            <w:tcW w:w="4998" w:type="dxa"/>
            <w:tcBorders>
              <w:left w:val="nil"/>
              <w:bottom w:val="nil"/>
              <w:right w:val="nil"/>
            </w:tcBorders>
          </w:tcPr>
          <w:p w14:paraId="110A4717" w14:textId="77777777" w:rsidR="00990991" w:rsidRPr="00990991" w:rsidRDefault="00990991" w:rsidP="00990991">
            <w:pPr>
              <w:rPr>
                <w:rFonts w:ascii="Calibri" w:hAnsi="Calibri"/>
                <w:color w:val="000000"/>
                <w:sz w:val="18"/>
                <w:szCs w:val="18"/>
                <w:lang w:eastAsia="en-US"/>
              </w:rPr>
            </w:pPr>
          </w:p>
        </w:tc>
        <w:tc>
          <w:tcPr>
            <w:tcW w:w="941" w:type="dxa"/>
            <w:tcBorders>
              <w:left w:val="nil"/>
              <w:bottom w:val="nil"/>
              <w:right w:val="nil"/>
            </w:tcBorders>
          </w:tcPr>
          <w:p w14:paraId="5256061C" w14:textId="77777777" w:rsidR="00990991" w:rsidRPr="00990991" w:rsidRDefault="00990991" w:rsidP="00990991">
            <w:pPr>
              <w:ind w:left="227" w:hanging="227"/>
              <w:jc w:val="right"/>
              <w:rPr>
                <w:rFonts w:ascii="Calibri" w:hAnsi="Calibri"/>
                <w:sz w:val="18"/>
                <w:szCs w:val="18"/>
                <w:lang w:eastAsia="en-AU"/>
              </w:rPr>
            </w:pPr>
          </w:p>
        </w:tc>
        <w:tc>
          <w:tcPr>
            <w:tcW w:w="926" w:type="dxa"/>
            <w:tcBorders>
              <w:left w:val="nil"/>
              <w:bottom w:val="nil"/>
              <w:right w:val="nil"/>
            </w:tcBorders>
          </w:tcPr>
          <w:p w14:paraId="49354852" w14:textId="77777777" w:rsidR="00990991" w:rsidRPr="00990991" w:rsidRDefault="00990991" w:rsidP="00990991">
            <w:pPr>
              <w:ind w:left="227" w:hanging="227"/>
              <w:jc w:val="right"/>
              <w:rPr>
                <w:rFonts w:ascii="Calibri" w:hAnsi="Calibri"/>
                <w:sz w:val="18"/>
                <w:szCs w:val="18"/>
                <w:lang w:eastAsia="en-AU"/>
              </w:rPr>
            </w:pPr>
          </w:p>
        </w:tc>
        <w:tc>
          <w:tcPr>
            <w:tcW w:w="931" w:type="dxa"/>
            <w:tcBorders>
              <w:left w:val="nil"/>
              <w:bottom w:val="nil"/>
              <w:right w:val="nil"/>
            </w:tcBorders>
          </w:tcPr>
          <w:p w14:paraId="1C245E10" w14:textId="77777777" w:rsidR="00990991" w:rsidRPr="00990991" w:rsidRDefault="00990991" w:rsidP="00990991">
            <w:pPr>
              <w:ind w:left="227" w:hanging="227"/>
              <w:jc w:val="right"/>
              <w:rPr>
                <w:rFonts w:ascii="Calibri" w:hAnsi="Calibri"/>
                <w:sz w:val="18"/>
                <w:szCs w:val="18"/>
                <w:lang w:eastAsia="en-AU"/>
              </w:rPr>
            </w:pPr>
          </w:p>
        </w:tc>
        <w:tc>
          <w:tcPr>
            <w:tcW w:w="921" w:type="dxa"/>
            <w:tcBorders>
              <w:left w:val="nil"/>
              <w:bottom w:val="nil"/>
              <w:right w:val="nil"/>
            </w:tcBorders>
          </w:tcPr>
          <w:p w14:paraId="3A395159" w14:textId="77777777" w:rsidR="00990991" w:rsidRPr="00990991" w:rsidRDefault="00990991" w:rsidP="00990991">
            <w:pPr>
              <w:ind w:left="227" w:hanging="227"/>
              <w:jc w:val="right"/>
              <w:rPr>
                <w:rFonts w:ascii="Calibri" w:hAnsi="Calibri"/>
                <w:sz w:val="18"/>
                <w:szCs w:val="18"/>
                <w:lang w:eastAsia="en-AU"/>
              </w:rPr>
            </w:pPr>
          </w:p>
        </w:tc>
        <w:tc>
          <w:tcPr>
            <w:tcW w:w="921" w:type="dxa"/>
            <w:tcBorders>
              <w:left w:val="nil"/>
              <w:bottom w:val="nil"/>
              <w:right w:val="nil"/>
            </w:tcBorders>
          </w:tcPr>
          <w:p w14:paraId="43F28C63" w14:textId="77777777" w:rsidR="00990991" w:rsidRPr="00990991" w:rsidRDefault="00990991" w:rsidP="00990991">
            <w:pPr>
              <w:ind w:left="227" w:hanging="227"/>
              <w:jc w:val="right"/>
              <w:rPr>
                <w:rFonts w:ascii="Calibri" w:hAnsi="Calibri"/>
                <w:sz w:val="18"/>
                <w:szCs w:val="18"/>
                <w:lang w:eastAsia="en-AU"/>
              </w:rPr>
            </w:pPr>
          </w:p>
        </w:tc>
      </w:tr>
      <w:tr w:rsidR="00990991" w:rsidRPr="00990991" w14:paraId="088BFAAA" w14:textId="77777777" w:rsidTr="00492EFA">
        <w:trPr>
          <w:trHeight w:val="227"/>
        </w:trPr>
        <w:tc>
          <w:tcPr>
            <w:tcW w:w="4998" w:type="dxa"/>
            <w:tcBorders>
              <w:left w:val="nil"/>
              <w:bottom w:val="nil"/>
              <w:right w:val="nil"/>
            </w:tcBorders>
          </w:tcPr>
          <w:p w14:paraId="6F92C8E9" w14:textId="77777777" w:rsidR="00990991" w:rsidRPr="00990991" w:rsidRDefault="00990991" w:rsidP="00990991">
            <w:pPr>
              <w:rPr>
                <w:rFonts w:ascii="Calibri" w:hAnsi="Calibri"/>
                <w:color w:val="000000"/>
                <w:sz w:val="20"/>
                <w:szCs w:val="20"/>
                <w:lang w:eastAsia="en-US"/>
              </w:rPr>
            </w:pPr>
            <w:r w:rsidRPr="00990991">
              <w:rPr>
                <w:rFonts w:ascii="Calibri" w:hAnsi="Calibri"/>
                <w:bCs/>
                <w:i/>
                <w:sz w:val="20"/>
                <w:szCs w:val="20"/>
                <w:lang w:val="x-none" w:eastAsia="en-US"/>
              </w:rPr>
              <w:t>Information and communication technology</w:t>
            </w:r>
          </w:p>
        </w:tc>
        <w:tc>
          <w:tcPr>
            <w:tcW w:w="941" w:type="dxa"/>
            <w:tcBorders>
              <w:left w:val="nil"/>
              <w:bottom w:val="nil"/>
              <w:right w:val="nil"/>
            </w:tcBorders>
          </w:tcPr>
          <w:p w14:paraId="6D32800A" w14:textId="77777777" w:rsidR="00990991" w:rsidRPr="00990991" w:rsidRDefault="00990991" w:rsidP="00990991">
            <w:pPr>
              <w:ind w:left="227" w:hanging="227"/>
              <w:jc w:val="right"/>
              <w:rPr>
                <w:rFonts w:ascii="Calibri" w:hAnsi="Calibri"/>
                <w:sz w:val="20"/>
                <w:szCs w:val="20"/>
                <w:lang w:eastAsia="en-AU"/>
              </w:rPr>
            </w:pPr>
          </w:p>
        </w:tc>
        <w:tc>
          <w:tcPr>
            <w:tcW w:w="926" w:type="dxa"/>
            <w:tcBorders>
              <w:left w:val="nil"/>
              <w:bottom w:val="nil"/>
              <w:right w:val="nil"/>
            </w:tcBorders>
          </w:tcPr>
          <w:p w14:paraId="4566E0F7" w14:textId="77777777" w:rsidR="00990991" w:rsidRPr="00990991" w:rsidRDefault="00990991" w:rsidP="00990991">
            <w:pPr>
              <w:ind w:left="227" w:hanging="227"/>
              <w:jc w:val="right"/>
              <w:rPr>
                <w:rFonts w:ascii="Calibri" w:hAnsi="Calibri"/>
                <w:sz w:val="20"/>
                <w:szCs w:val="20"/>
                <w:lang w:eastAsia="en-AU"/>
              </w:rPr>
            </w:pPr>
          </w:p>
        </w:tc>
        <w:tc>
          <w:tcPr>
            <w:tcW w:w="931" w:type="dxa"/>
            <w:tcBorders>
              <w:left w:val="nil"/>
              <w:bottom w:val="nil"/>
              <w:right w:val="nil"/>
            </w:tcBorders>
          </w:tcPr>
          <w:p w14:paraId="16D13BC6" w14:textId="77777777" w:rsidR="00990991" w:rsidRPr="00990991" w:rsidRDefault="00990991" w:rsidP="00990991">
            <w:pPr>
              <w:ind w:left="227" w:hanging="227"/>
              <w:jc w:val="right"/>
              <w:rPr>
                <w:rFonts w:ascii="Calibri" w:hAnsi="Calibri"/>
                <w:sz w:val="20"/>
                <w:szCs w:val="20"/>
                <w:lang w:eastAsia="en-AU"/>
              </w:rPr>
            </w:pPr>
          </w:p>
        </w:tc>
        <w:tc>
          <w:tcPr>
            <w:tcW w:w="921" w:type="dxa"/>
            <w:tcBorders>
              <w:left w:val="nil"/>
              <w:bottom w:val="nil"/>
              <w:right w:val="nil"/>
            </w:tcBorders>
          </w:tcPr>
          <w:p w14:paraId="73EEDED0" w14:textId="77777777" w:rsidR="00990991" w:rsidRPr="00990991" w:rsidRDefault="00990991" w:rsidP="00990991">
            <w:pPr>
              <w:ind w:left="227" w:hanging="227"/>
              <w:jc w:val="right"/>
              <w:rPr>
                <w:rFonts w:ascii="Calibri" w:hAnsi="Calibri"/>
                <w:sz w:val="20"/>
                <w:szCs w:val="20"/>
                <w:lang w:eastAsia="en-AU"/>
              </w:rPr>
            </w:pPr>
          </w:p>
        </w:tc>
        <w:tc>
          <w:tcPr>
            <w:tcW w:w="921" w:type="dxa"/>
            <w:tcBorders>
              <w:left w:val="nil"/>
              <w:bottom w:val="nil"/>
              <w:right w:val="nil"/>
            </w:tcBorders>
          </w:tcPr>
          <w:p w14:paraId="2DE6C122" w14:textId="77777777" w:rsidR="00990991" w:rsidRPr="00990991" w:rsidRDefault="00990991" w:rsidP="00990991">
            <w:pPr>
              <w:ind w:left="227" w:hanging="227"/>
              <w:jc w:val="right"/>
              <w:rPr>
                <w:rFonts w:ascii="Calibri" w:hAnsi="Calibri"/>
                <w:sz w:val="20"/>
                <w:szCs w:val="20"/>
                <w:lang w:eastAsia="en-AU"/>
              </w:rPr>
            </w:pPr>
          </w:p>
        </w:tc>
      </w:tr>
      <w:tr w:rsidR="00990991" w:rsidRPr="00990991" w14:paraId="677A2DBC" w14:textId="77777777" w:rsidTr="00492EFA">
        <w:trPr>
          <w:trHeight w:val="227"/>
        </w:trPr>
        <w:tc>
          <w:tcPr>
            <w:tcW w:w="4998" w:type="dxa"/>
            <w:tcBorders>
              <w:left w:val="nil"/>
              <w:bottom w:val="nil"/>
              <w:right w:val="nil"/>
            </w:tcBorders>
          </w:tcPr>
          <w:p w14:paraId="7D1BFFE8" w14:textId="77777777" w:rsidR="00990991" w:rsidRPr="00990991" w:rsidRDefault="00990991" w:rsidP="00990991">
            <w:pPr>
              <w:ind w:left="227" w:hanging="227"/>
              <w:rPr>
                <w:rFonts w:ascii="Calibri" w:hAnsi="Calibri"/>
                <w:bCs/>
                <w:color w:val="000000"/>
                <w:sz w:val="20"/>
                <w:szCs w:val="20"/>
                <w:vertAlign w:val="superscript"/>
                <w:lang w:eastAsia="en-AU"/>
              </w:rPr>
            </w:pPr>
            <w:r w:rsidRPr="00990991">
              <w:rPr>
                <w:rFonts w:ascii="Calibri" w:hAnsi="Calibri"/>
                <w:bCs/>
                <w:color w:val="000000"/>
                <w:sz w:val="20"/>
                <w:szCs w:val="20"/>
                <w:lang w:eastAsia="en-AU"/>
              </w:rPr>
              <w:t xml:space="preserve">Child and Youth Record Information System completion </w:t>
            </w:r>
            <w:r w:rsidRPr="00990991">
              <w:rPr>
                <w:rFonts w:ascii="Calibri" w:hAnsi="Calibri"/>
                <w:bCs/>
                <w:color w:val="000000"/>
                <w:sz w:val="20"/>
                <w:szCs w:val="20"/>
                <w:vertAlign w:val="superscript"/>
                <w:lang w:eastAsia="en-AU"/>
              </w:rPr>
              <w:t>2</w:t>
            </w:r>
          </w:p>
        </w:tc>
        <w:tc>
          <w:tcPr>
            <w:tcW w:w="941" w:type="dxa"/>
            <w:tcBorders>
              <w:left w:val="nil"/>
              <w:bottom w:val="nil"/>
              <w:right w:val="nil"/>
            </w:tcBorders>
          </w:tcPr>
          <w:p w14:paraId="3635514E" w14:textId="77777777" w:rsidR="00990991" w:rsidRPr="00990991" w:rsidRDefault="00990991" w:rsidP="00990991">
            <w:pPr>
              <w:ind w:left="227" w:hanging="227"/>
              <w:jc w:val="right"/>
              <w:rPr>
                <w:rFonts w:ascii="Calibri" w:hAnsi="Calibri"/>
                <w:sz w:val="20"/>
                <w:szCs w:val="20"/>
                <w:lang w:eastAsia="en-AU"/>
              </w:rPr>
            </w:pPr>
            <w:r w:rsidRPr="00990991">
              <w:rPr>
                <w:rFonts w:ascii="Calibri" w:hAnsi="Calibri"/>
                <w:sz w:val="20"/>
                <w:szCs w:val="20"/>
                <w:lang w:eastAsia="en-AU"/>
              </w:rPr>
              <w:t>600</w:t>
            </w:r>
          </w:p>
        </w:tc>
        <w:tc>
          <w:tcPr>
            <w:tcW w:w="926" w:type="dxa"/>
            <w:tcBorders>
              <w:left w:val="nil"/>
              <w:bottom w:val="nil"/>
              <w:right w:val="nil"/>
            </w:tcBorders>
          </w:tcPr>
          <w:p w14:paraId="367CF813" w14:textId="77777777" w:rsidR="00990991" w:rsidRPr="00990991" w:rsidRDefault="00990991" w:rsidP="00990991">
            <w:pPr>
              <w:ind w:left="227" w:hanging="227"/>
              <w:jc w:val="right"/>
              <w:rPr>
                <w:rFonts w:ascii="Calibri" w:hAnsi="Calibri"/>
                <w:sz w:val="20"/>
                <w:szCs w:val="20"/>
                <w:lang w:eastAsia="en-AU"/>
              </w:rPr>
            </w:pPr>
            <w:r w:rsidRPr="00990991">
              <w:rPr>
                <w:rFonts w:ascii="Calibri" w:hAnsi="Calibri"/>
                <w:sz w:val="20"/>
                <w:szCs w:val="20"/>
                <w:lang w:eastAsia="en-AU"/>
              </w:rPr>
              <w:t>599</w:t>
            </w:r>
          </w:p>
        </w:tc>
        <w:tc>
          <w:tcPr>
            <w:tcW w:w="931" w:type="dxa"/>
            <w:tcBorders>
              <w:left w:val="nil"/>
              <w:bottom w:val="nil"/>
              <w:right w:val="nil"/>
            </w:tcBorders>
          </w:tcPr>
          <w:p w14:paraId="7345C977" w14:textId="77777777" w:rsidR="00990991" w:rsidRPr="00990991" w:rsidRDefault="00990991" w:rsidP="00990991">
            <w:pPr>
              <w:ind w:left="227" w:hanging="227"/>
              <w:jc w:val="right"/>
              <w:rPr>
                <w:rFonts w:ascii="Calibri" w:hAnsi="Calibri"/>
                <w:sz w:val="20"/>
                <w:szCs w:val="20"/>
                <w:lang w:eastAsia="en-AU"/>
              </w:rPr>
            </w:pPr>
            <w:r w:rsidRPr="00990991">
              <w:rPr>
                <w:rFonts w:ascii="Calibri" w:hAnsi="Calibri"/>
                <w:sz w:val="20"/>
                <w:szCs w:val="20"/>
                <w:lang w:eastAsia="en-AU"/>
              </w:rPr>
              <w:t>0</w:t>
            </w:r>
          </w:p>
        </w:tc>
        <w:tc>
          <w:tcPr>
            <w:tcW w:w="921" w:type="dxa"/>
            <w:tcBorders>
              <w:left w:val="nil"/>
              <w:bottom w:val="nil"/>
              <w:right w:val="nil"/>
            </w:tcBorders>
          </w:tcPr>
          <w:p w14:paraId="574ECEE5" w14:textId="77777777" w:rsidR="00990991" w:rsidRPr="00990991" w:rsidRDefault="00990991" w:rsidP="00990991">
            <w:pPr>
              <w:ind w:left="227" w:hanging="227"/>
              <w:jc w:val="right"/>
              <w:rPr>
                <w:rFonts w:ascii="Calibri" w:hAnsi="Calibri"/>
                <w:sz w:val="20"/>
                <w:szCs w:val="20"/>
                <w:lang w:eastAsia="en-AU"/>
              </w:rPr>
            </w:pPr>
            <w:r w:rsidRPr="00990991">
              <w:rPr>
                <w:rFonts w:ascii="Calibri" w:hAnsi="Calibri"/>
                <w:sz w:val="20"/>
                <w:szCs w:val="20"/>
                <w:lang w:eastAsia="en-AU"/>
              </w:rPr>
              <w:t>0</w:t>
            </w:r>
          </w:p>
        </w:tc>
        <w:tc>
          <w:tcPr>
            <w:tcW w:w="921" w:type="dxa"/>
            <w:tcBorders>
              <w:left w:val="nil"/>
              <w:bottom w:val="nil"/>
              <w:right w:val="nil"/>
            </w:tcBorders>
          </w:tcPr>
          <w:p w14:paraId="0563F9FE" w14:textId="77777777" w:rsidR="00990991" w:rsidRPr="00990991" w:rsidRDefault="00990991" w:rsidP="00990991">
            <w:pPr>
              <w:ind w:left="227" w:hanging="227"/>
              <w:jc w:val="right"/>
              <w:rPr>
                <w:rFonts w:ascii="Calibri" w:hAnsi="Calibri"/>
                <w:sz w:val="20"/>
                <w:szCs w:val="20"/>
                <w:lang w:eastAsia="en-AU"/>
              </w:rPr>
            </w:pPr>
            <w:r w:rsidRPr="00990991">
              <w:rPr>
                <w:rFonts w:ascii="Calibri" w:hAnsi="Calibri"/>
                <w:sz w:val="20"/>
                <w:szCs w:val="20"/>
                <w:lang w:eastAsia="en-AU"/>
              </w:rPr>
              <w:t>1,199</w:t>
            </w:r>
          </w:p>
        </w:tc>
      </w:tr>
      <w:tr w:rsidR="00990991" w:rsidRPr="00990991" w14:paraId="147CA955" w14:textId="77777777" w:rsidTr="00492EFA">
        <w:trPr>
          <w:trHeight w:val="227"/>
        </w:trPr>
        <w:tc>
          <w:tcPr>
            <w:tcW w:w="4998" w:type="dxa"/>
            <w:tcBorders>
              <w:left w:val="nil"/>
              <w:bottom w:val="single" w:sz="4" w:space="0" w:color="auto"/>
              <w:right w:val="nil"/>
            </w:tcBorders>
          </w:tcPr>
          <w:p w14:paraId="5539626F" w14:textId="77777777" w:rsidR="00990991" w:rsidRPr="00990991" w:rsidRDefault="00990991" w:rsidP="00990991">
            <w:pPr>
              <w:ind w:left="227" w:hanging="227"/>
              <w:rPr>
                <w:rFonts w:ascii="Calibri" w:hAnsi="Calibri"/>
                <w:bCs/>
                <w:color w:val="000000"/>
                <w:sz w:val="20"/>
                <w:szCs w:val="20"/>
                <w:vertAlign w:val="superscript"/>
                <w:lang w:eastAsia="en-AU"/>
              </w:rPr>
            </w:pPr>
            <w:r w:rsidRPr="00990991">
              <w:rPr>
                <w:rFonts w:ascii="Calibri" w:hAnsi="Calibri"/>
                <w:bCs/>
                <w:color w:val="000000"/>
                <w:sz w:val="20"/>
                <w:szCs w:val="20"/>
                <w:lang w:eastAsia="en-AU"/>
              </w:rPr>
              <w:t xml:space="preserve">Strengthening security and CCTV facilities at </w:t>
            </w:r>
            <w:proofErr w:type="spellStart"/>
            <w:r w:rsidRPr="00990991">
              <w:rPr>
                <w:rFonts w:ascii="Calibri" w:hAnsi="Calibri"/>
                <w:bCs/>
                <w:color w:val="000000"/>
                <w:sz w:val="20"/>
                <w:szCs w:val="20"/>
                <w:lang w:eastAsia="en-AU"/>
              </w:rPr>
              <w:t>Bimberi</w:t>
            </w:r>
            <w:proofErr w:type="spellEnd"/>
            <w:r w:rsidRPr="00990991">
              <w:rPr>
                <w:rFonts w:ascii="Calibri" w:hAnsi="Calibri"/>
                <w:bCs/>
                <w:color w:val="000000"/>
                <w:sz w:val="20"/>
                <w:szCs w:val="20"/>
                <w:lang w:eastAsia="en-AU"/>
              </w:rPr>
              <w:t xml:space="preserve"> Youth Justice Centre </w:t>
            </w:r>
            <w:r w:rsidRPr="00990991">
              <w:rPr>
                <w:rFonts w:ascii="Calibri" w:hAnsi="Calibri"/>
                <w:bCs/>
                <w:color w:val="000000"/>
                <w:sz w:val="20"/>
                <w:szCs w:val="20"/>
                <w:vertAlign w:val="superscript"/>
                <w:lang w:eastAsia="en-AU"/>
              </w:rPr>
              <w:t>2</w:t>
            </w:r>
          </w:p>
        </w:tc>
        <w:tc>
          <w:tcPr>
            <w:tcW w:w="941" w:type="dxa"/>
            <w:tcBorders>
              <w:left w:val="nil"/>
              <w:bottom w:val="single" w:sz="4" w:space="0" w:color="auto"/>
              <w:right w:val="nil"/>
            </w:tcBorders>
          </w:tcPr>
          <w:p w14:paraId="15820DB3" w14:textId="77777777" w:rsidR="00990991" w:rsidRPr="00990991" w:rsidRDefault="00990991" w:rsidP="00990991">
            <w:pPr>
              <w:ind w:left="227" w:hanging="227"/>
              <w:jc w:val="right"/>
              <w:rPr>
                <w:rFonts w:ascii="Calibri" w:hAnsi="Calibri"/>
                <w:sz w:val="20"/>
                <w:szCs w:val="20"/>
                <w:lang w:eastAsia="en-AU"/>
              </w:rPr>
            </w:pPr>
            <w:r w:rsidRPr="00990991">
              <w:rPr>
                <w:rFonts w:ascii="Calibri" w:hAnsi="Calibri"/>
                <w:sz w:val="20"/>
                <w:szCs w:val="20"/>
                <w:lang w:eastAsia="en-AU"/>
              </w:rPr>
              <w:t>607</w:t>
            </w:r>
          </w:p>
        </w:tc>
        <w:tc>
          <w:tcPr>
            <w:tcW w:w="926" w:type="dxa"/>
            <w:tcBorders>
              <w:left w:val="nil"/>
              <w:bottom w:val="single" w:sz="4" w:space="0" w:color="auto"/>
              <w:right w:val="nil"/>
            </w:tcBorders>
          </w:tcPr>
          <w:p w14:paraId="3954498B" w14:textId="77777777" w:rsidR="00990991" w:rsidRPr="00990991" w:rsidRDefault="00990991" w:rsidP="00990991">
            <w:pPr>
              <w:ind w:left="227" w:hanging="227"/>
              <w:jc w:val="right"/>
              <w:rPr>
                <w:rFonts w:ascii="Calibri" w:hAnsi="Calibri"/>
                <w:sz w:val="20"/>
                <w:szCs w:val="20"/>
                <w:lang w:eastAsia="en-AU"/>
              </w:rPr>
            </w:pPr>
            <w:r w:rsidRPr="00990991">
              <w:rPr>
                <w:rFonts w:ascii="Calibri" w:hAnsi="Calibri"/>
                <w:sz w:val="20"/>
                <w:szCs w:val="20"/>
                <w:lang w:eastAsia="en-AU"/>
              </w:rPr>
              <w:t>300</w:t>
            </w:r>
          </w:p>
        </w:tc>
        <w:tc>
          <w:tcPr>
            <w:tcW w:w="931" w:type="dxa"/>
            <w:tcBorders>
              <w:left w:val="nil"/>
              <w:bottom w:val="single" w:sz="4" w:space="0" w:color="auto"/>
              <w:right w:val="nil"/>
            </w:tcBorders>
          </w:tcPr>
          <w:p w14:paraId="71963834" w14:textId="77777777" w:rsidR="00990991" w:rsidRPr="00990991" w:rsidRDefault="00990991" w:rsidP="00990991">
            <w:pPr>
              <w:ind w:left="227" w:hanging="227"/>
              <w:jc w:val="right"/>
              <w:rPr>
                <w:rFonts w:ascii="Calibri" w:hAnsi="Calibri"/>
                <w:sz w:val="20"/>
                <w:szCs w:val="20"/>
                <w:lang w:eastAsia="en-AU"/>
              </w:rPr>
            </w:pPr>
            <w:r w:rsidRPr="00990991">
              <w:rPr>
                <w:rFonts w:ascii="Calibri" w:hAnsi="Calibri"/>
                <w:sz w:val="20"/>
                <w:szCs w:val="20"/>
                <w:lang w:eastAsia="en-AU"/>
              </w:rPr>
              <w:t>0</w:t>
            </w:r>
          </w:p>
        </w:tc>
        <w:tc>
          <w:tcPr>
            <w:tcW w:w="921" w:type="dxa"/>
            <w:tcBorders>
              <w:left w:val="nil"/>
              <w:bottom w:val="single" w:sz="4" w:space="0" w:color="auto"/>
              <w:right w:val="nil"/>
            </w:tcBorders>
          </w:tcPr>
          <w:p w14:paraId="2AF71382" w14:textId="77777777" w:rsidR="00990991" w:rsidRPr="00990991" w:rsidRDefault="00990991" w:rsidP="00990991">
            <w:pPr>
              <w:ind w:left="227" w:hanging="227"/>
              <w:jc w:val="right"/>
              <w:rPr>
                <w:rFonts w:ascii="Calibri" w:hAnsi="Calibri"/>
                <w:sz w:val="20"/>
                <w:szCs w:val="20"/>
                <w:lang w:eastAsia="en-AU"/>
              </w:rPr>
            </w:pPr>
            <w:r w:rsidRPr="00990991">
              <w:rPr>
                <w:rFonts w:ascii="Calibri" w:hAnsi="Calibri"/>
                <w:sz w:val="20"/>
                <w:szCs w:val="20"/>
                <w:lang w:eastAsia="en-AU"/>
              </w:rPr>
              <w:t>0</w:t>
            </w:r>
          </w:p>
        </w:tc>
        <w:tc>
          <w:tcPr>
            <w:tcW w:w="921" w:type="dxa"/>
            <w:tcBorders>
              <w:left w:val="nil"/>
              <w:bottom w:val="single" w:sz="4" w:space="0" w:color="auto"/>
              <w:right w:val="nil"/>
            </w:tcBorders>
          </w:tcPr>
          <w:p w14:paraId="63B43C5D" w14:textId="77777777" w:rsidR="00990991" w:rsidRPr="00990991" w:rsidRDefault="00990991" w:rsidP="00990991">
            <w:pPr>
              <w:ind w:left="227" w:hanging="227"/>
              <w:jc w:val="right"/>
              <w:rPr>
                <w:rFonts w:ascii="Calibri" w:hAnsi="Calibri"/>
                <w:sz w:val="20"/>
                <w:szCs w:val="20"/>
                <w:lang w:eastAsia="en-AU"/>
              </w:rPr>
            </w:pPr>
            <w:r w:rsidRPr="00990991">
              <w:rPr>
                <w:rFonts w:ascii="Calibri" w:hAnsi="Calibri"/>
                <w:sz w:val="20"/>
                <w:szCs w:val="20"/>
                <w:lang w:eastAsia="en-AU"/>
              </w:rPr>
              <w:t>907</w:t>
            </w:r>
          </w:p>
        </w:tc>
      </w:tr>
      <w:tr w:rsidR="00990991" w:rsidRPr="00990991" w14:paraId="0ABBCA83" w14:textId="77777777" w:rsidTr="00492EFA">
        <w:trPr>
          <w:trHeight w:val="227"/>
        </w:trPr>
        <w:tc>
          <w:tcPr>
            <w:tcW w:w="4998" w:type="dxa"/>
            <w:tcBorders>
              <w:top w:val="single" w:sz="4" w:space="0" w:color="auto"/>
              <w:left w:val="nil"/>
              <w:bottom w:val="single" w:sz="4" w:space="0" w:color="auto"/>
              <w:right w:val="nil"/>
            </w:tcBorders>
          </w:tcPr>
          <w:p w14:paraId="0D78EACA" w14:textId="77777777" w:rsidR="00990991" w:rsidRPr="00990991" w:rsidRDefault="00990991" w:rsidP="00990991">
            <w:pPr>
              <w:ind w:left="227" w:hanging="227"/>
              <w:jc w:val="right"/>
              <w:rPr>
                <w:rFonts w:ascii="Calibri" w:hAnsi="Calibri"/>
                <w:b/>
                <w:sz w:val="20"/>
                <w:szCs w:val="20"/>
                <w:lang w:eastAsia="en-AU"/>
              </w:rPr>
            </w:pPr>
            <w:r w:rsidRPr="00990991">
              <w:rPr>
                <w:rFonts w:ascii="Calibri" w:hAnsi="Calibri"/>
                <w:b/>
                <w:sz w:val="20"/>
                <w:szCs w:val="20"/>
                <w:lang w:eastAsia="en-AU"/>
              </w:rPr>
              <w:t>Total</w:t>
            </w:r>
          </w:p>
        </w:tc>
        <w:tc>
          <w:tcPr>
            <w:tcW w:w="941" w:type="dxa"/>
            <w:tcBorders>
              <w:top w:val="single" w:sz="4" w:space="0" w:color="auto"/>
              <w:left w:val="nil"/>
              <w:bottom w:val="single" w:sz="4" w:space="0" w:color="auto"/>
              <w:right w:val="nil"/>
            </w:tcBorders>
          </w:tcPr>
          <w:p w14:paraId="72D3F0BE" w14:textId="77777777" w:rsidR="00990991" w:rsidRPr="00990991" w:rsidRDefault="00990991" w:rsidP="00990991">
            <w:pPr>
              <w:ind w:left="227" w:hanging="227"/>
              <w:jc w:val="right"/>
              <w:rPr>
                <w:rFonts w:ascii="Calibri" w:hAnsi="Calibri"/>
                <w:b/>
                <w:sz w:val="20"/>
                <w:szCs w:val="20"/>
                <w:lang w:eastAsia="en-AU"/>
              </w:rPr>
            </w:pPr>
            <w:r w:rsidRPr="00990991">
              <w:rPr>
                <w:rFonts w:ascii="Calibri" w:hAnsi="Calibri"/>
                <w:b/>
                <w:sz w:val="20"/>
                <w:szCs w:val="20"/>
                <w:lang w:eastAsia="en-AU"/>
              </w:rPr>
              <w:t>1,536</w:t>
            </w:r>
          </w:p>
        </w:tc>
        <w:tc>
          <w:tcPr>
            <w:tcW w:w="926" w:type="dxa"/>
            <w:tcBorders>
              <w:top w:val="single" w:sz="4" w:space="0" w:color="auto"/>
              <w:left w:val="nil"/>
              <w:bottom w:val="single" w:sz="4" w:space="0" w:color="auto"/>
              <w:right w:val="nil"/>
            </w:tcBorders>
          </w:tcPr>
          <w:p w14:paraId="47C78D0D" w14:textId="77777777" w:rsidR="00990991" w:rsidRPr="00990991" w:rsidRDefault="00990991" w:rsidP="00990991">
            <w:pPr>
              <w:ind w:left="227" w:hanging="227"/>
              <w:jc w:val="right"/>
              <w:rPr>
                <w:rFonts w:ascii="Calibri" w:hAnsi="Calibri"/>
                <w:b/>
                <w:sz w:val="20"/>
                <w:szCs w:val="20"/>
                <w:lang w:eastAsia="en-AU"/>
              </w:rPr>
            </w:pPr>
            <w:r w:rsidRPr="00990991">
              <w:rPr>
                <w:rFonts w:ascii="Calibri" w:hAnsi="Calibri"/>
                <w:b/>
                <w:sz w:val="20"/>
                <w:szCs w:val="20"/>
                <w:lang w:eastAsia="en-AU"/>
              </w:rPr>
              <w:t>899</w:t>
            </w:r>
          </w:p>
        </w:tc>
        <w:tc>
          <w:tcPr>
            <w:tcW w:w="931" w:type="dxa"/>
            <w:tcBorders>
              <w:top w:val="single" w:sz="4" w:space="0" w:color="auto"/>
              <w:left w:val="nil"/>
              <w:bottom w:val="single" w:sz="4" w:space="0" w:color="auto"/>
              <w:right w:val="nil"/>
            </w:tcBorders>
          </w:tcPr>
          <w:p w14:paraId="4D7B1871" w14:textId="77777777" w:rsidR="00990991" w:rsidRPr="00990991" w:rsidRDefault="00990991" w:rsidP="00990991">
            <w:pPr>
              <w:ind w:left="227" w:hanging="227"/>
              <w:jc w:val="right"/>
              <w:rPr>
                <w:rFonts w:ascii="Calibri" w:hAnsi="Calibri"/>
                <w:b/>
                <w:sz w:val="20"/>
                <w:szCs w:val="20"/>
                <w:lang w:eastAsia="en-AU"/>
              </w:rPr>
            </w:pPr>
            <w:r w:rsidRPr="00990991">
              <w:rPr>
                <w:rFonts w:ascii="Calibri" w:hAnsi="Calibri"/>
                <w:b/>
                <w:sz w:val="20"/>
                <w:szCs w:val="20"/>
                <w:lang w:eastAsia="en-AU"/>
              </w:rPr>
              <w:t>0</w:t>
            </w:r>
          </w:p>
        </w:tc>
        <w:tc>
          <w:tcPr>
            <w:tcW w:w="921" w:type="dxa"/>
            <w:tcBorders>
              <w:top w:val="single" w:sz="4" w:space="0" w:color="auto"/>
              <w:left w:val="nil"/>
              <w:bottom w:val="single" w:sz="4" w:space="0" w:color="auto"/>
              <w:right w:val="nil"/>
            </w:tcBorders>
          </w:tcPr>
          <w:p w14:paraId="06659666" w14:textId="77777777" w:rsidR="00990991" w:rsidRPr="00990991" w:rsidRDefault="00990991" w:rsidP="00990991">
            <w:pPr>
              <w:ind w:left="227" w:hanging="227"/>
              <w:jc w:val="right"/>
              <w:rPr>
                <w:rFonts w:ascii="Calibri" w:hAnsi="Calibri"/>
                <w:b/>
                <w:sz w:val="20"/>
                <w:szCs w:val="20"/>
                <w:lang w:eastAsia="en-AU"/>
              </w:rPr>
            </w:pPr>
            <w:r w:rsidRPr="00990991">
              <w:rPr>
                <w:rFonts w:ascii="Calibri" w:hAnsi="Calibri"/>
                <w:b/>
                <w:sz w:val="20"/>
                <w:szCs w:val="20"/>
                <w:lang w:eastAsia="en-AU"/>
              </w:rPr>
              <w:t>0</w:t>
            </w:r>
          </w:p>
        </w:tc>
        <w:tc>
          <w:tcPr>
            <w:tcW w:w="921" w:type="dxa"/>
            <w:tcBorders>
              <w:top w:val="single" w:sz="4" w:space="0" w:color="auto"/>
              <w:left w:val="nil"/>
              <w:bottom w:val="single" w:sz="4" w:space="0" w:color="auto"/>
              <w:right w:val="nil"/>
            </w:tcBorders>
          </w:tcPr>
          <w:p w14:paraId="02477763" w14:textId="77777777" w:rsidR="00990991" w:rsidRPr="00990991" w:rsidRDefault="00990991" w:rsidP="00990991">
            <w:pPr>
              <w:ind w:left="227" w:hanging="227"/>
              <w:jc w:val="right"/>
              <w:rPr>
                <w:rFonts w:ascii="Calibri" w:hAnsi="Calibri"/>
                <w:b/>
                <w:sz w:val="20"/>
                <w:szCs w:val="20"/>
                <w:lang w:eastAsia="en-AU"/>
              </w:rPr>
            </w:pPr>
            <w:r w:rsidRPr="00990991">
              <w:rPr>
                <w:rFonts w:ascii="Calibri" w:hAnsi="Calibri"/>
                <w:b/>
                <w:sz w:val="20"/>
                <w:szCs w:val="20"/>
                <w:lang w:eastAsia="en-AU"/>
              </w:rPr>
              <w:t>2,435</w:t>
            </w:r>
          </w:p>
        </w:tc>
      </w:tr>
      <w:tr w:rsidR="00990991" w:rsidRPr="00990991" w14:paraId="473E3FC8" w14:textId="77777777" w:rsidTr="00492EFA">
        <w:trPr>
          <w:trHeight w:val="227"/>
        </w:trPr>
        <w:tc>
          <w:tcPr>
            <w:tcW w:w="4998" w:type="dxa"/>
            <w:tcBorders>
              <w:top w:val="single" w:sz="4" w:space="0" w:color="auto"/>
              <w:left w:val="nil"/>
              <w:bottom w:val="nil"/>
              <w:right w:val="nil"/>
            </w:tcBorders>
          </w:tcPr>
          <w:p w14:paraId="6154CA3F" w14:textId="77777777" w:rsidR="00990991" w:rsidRPr="00990991" w:rsidRDefault="00990991" w:rsidP="00990991">
            <w:pPr>
              <w:ind w:left="227" w:hanging="227"/>
              <w:jc w:val="right"/>
              <w:rPr>
                <w:rFonts w:ascii="Calibri" w:hAnsi="Calibri"/>
                <w:b/>
                <w:sz w:val="18"/>
                <w:szCs w:val="18"/>
                <w:lang w:eastAsia="en-AU"/>
              </w:rPr>
            </w:pPr>
          </w:p>
        </w:tc>
        <w:tc>
          <w:tcPr>
            <w:tcW w:w="941" w:type="dxa"/>
            <w:tcBorders>
              <w:top w:val="single" w:sz="4" w:space="0" w:color="auto"/>
              <w:left w:val="nil"/>
              <w:bottom w:val="nil"/>
              <w:right w:val="nil"/>
            </w:tcBorders>
          </w:tcPr>
          <w:p w14:paraId="0CDFCEBD" w14:textId="77777777" w:rsidR="00990991" w:rsidRPr="00990991" w:rsidRDefault="00990991" w:rsidP="00990991">
            <w:pPr>
              <w:ind w:left="227" w:hanging="227"/>
              <w:jc w:val="right"/>
              <w:rPr>
                <w:rFonts w:ascii="Calibri" w:hAnsi="Calibri"/>
                <w:b/>
                <w:sz w:val="18"/>
                <w:szCs w:val="18"/>
                <w:lang w:eastAsia="en-AU"/>
              </w:rPr>
            </w:pPr>
          </w:p>
        </w:tc>
        <w:tc>
          <w:tcPr>
            <w:tcW w:w="926" w:type="dxa"/>
            <w:tcBorders>
              <w:top w:val="single" w:sz="4" w:space="0" w:color="auto"/>
              <w:left w:val="nil"/>
              <w:bottom w:val="nil"/>
              <w:right w:val="nil"/>
            </w:tcBorders>
          </w:tcPr>
          <w:p w14:paraId="010AD685" w14:textId="77777777" w:rsidR="00990991" w:rsidRPr="00990991" w:rsidRDefault="00990991" w:rsidP="00990991">
            <w:pPr>
              <w:ind w:left="227" w:hanging="227"/>
              <w:jc w:val="right"/>
              <w:rPr>
                <w:rFonts w:ascii="Calibri" w:hAnsi="Calibri"/>
                <w:b/>
                <w:sz w:val="18"/>
                <w:szCs w:val="18"/>
                <w:lang w:eastAsia="en-AU"/>
              </w:rPr>
            </w:pPr>
          </w:p>
        </w:tc>
        <w:tc>
          <w:tcPr>
            <w:tcW w:w="931" w:type="dxa"/>
            <w:tcBorders>
              <w:top w:val="single" w:sz="4" w:space="0" w:color="auto"/>
              <w:left w:val="nil"/>
              <w:bottom w:val="nil"/>
              <w:right w:val="nil"/>
            </w:tcBorders>
          </w:tcPr>
          <w:p w14:paraId="17D46617" w14:textId="77777777" w:rsidR="00990991" w:rsidRPr="00990991" w:rsidRDefault="00990991" w:rsidP="00990991">
            <w:pPr>
              <w:ind w:left="227" w:hanging="227"/>
              <w:jc w:val="right"/>
              <w:rPr>
                <w:rFonts w:ascii="Calibri" w:hAnsi="Calibri"/>
                <w:b/>
                <w:sz w:val="18"/>
                <w:szCs w:val="18"/>
                <w:lang w:eastAsia="en-AU"/>
              </w:rPr>
            </w:pPr>
          </w:p>
        </w:tc>
        <w:tc>
          <w:tcPr>
            <w:tcW w:w="921" w:type="dxa"/>
            <w:tcBorders>
              <w:top w:val="single" w:sz="4" w:space="0" w:color="auto"/>
              <w:left w:val="nil"/>
              <w:bottom w:val="nil"/>
              <w:right w:val="nil"/>
            </w:tcBorders>
          </w:tcPr>
          <w:p w14:paraId="4A5D358E" w14:textId="77777777" w:rsidR="00990991" w:rsidRPr="00990991" w:rsidRDefault="00990991" w:rsidP="00990991">
            <w:pPr>
              <w:ind w:left="227" w:hanging="227"/>
              <w:jc w:val="right"/>
              <w:rPr>
                <w:rFonts w:ascii="Calibri" w:hAnsi="Calibri"/>
                <w:b/>
                <w:sz w:val="18"/>
                <w:szCs w:val="18"/>
                <w:lang w:eastAsia="en-AU"/>
              </w:rPr>
            </w:pPr>
          </w:p>
        </w:tc>
        <w:tc>
          <w:tcPr>
            <w:tcW w:w="921" w:type="dxa"/>
            <w:tcBorders>
              <w:top w:val="single" w:sz="4" w:space="0" w:color="auto"/>
              <w:left w:val="nil"/>
              <w:bottom w:val="nil"/>
              <w:right w:val="nil"/>
            </w:tcBorders>
          </w:tcPr>
          <w:p w14:paraId="74DC6C93" w14:textId="77777777" w:rsidR="00990991" w:rsidRPr="00990991" w:rsidRDefault="00990991" w:rsidP="00990991">
            <w:pPr>
              <w:ind w:left="227" w:hanging="227"/>
              <w:jc w:val="right"/>
              <w:rPr>
                <w:rFonts w:ascii="Calibri" w:hAnsi="Calibri"/>
                <w:b/>
                <w:sz w:val="18"/>
                <w:szCs w:val="18"/>
                <w:lang w:eastAsia="en-AU"/>
              </w:rPr>
            </w:pPr>
          </w:p>
        </w:tc>
      </w:tr>
      <w:tr w:rsidR="00990991" w:rsidRPr="00990991" w14:paraId="15491B32" w14:textId="77777777" w:rsidTr="00492EFA">
        <w:trPr>
          <w:trHeight w:val="227"/>
        </w:trPr>
        <w:tc>
          <w:tcPr>
            <w:tcW w:w="4998" w:type="dxa"/>
            <w:tcBorders>
              <w:left w:val="nil"/>
              <w:bottom w:val="nil"/>
              <w:right w:val="nil"/>
            </w:tcBorders>
          </w:tcPr>
          <w:p w14:paraId="3A21C994" w14:textId="77777777" w:rsidR="00990991" w:rsidRPr="00990991" w:rsidRDefault="00990991" w:rsidP="00990991">
            <w:pPr>
              <w:ind w:left="227" w:hanging="227"/>
              <w:jc w:val="right"/>
              <w:rPr>
                <w:rFonts w:ascii="Calibri" w:hAnsi="Calibri"/>
                <w:b/>
                <w:sz w:val="20"/>
                <w:szCs w:val="20"/>
                <w:lang w:eastAsia="en-AU"/>
              </w:rPr>
            </w:pPr>
          </w:p>
        </w:tc>
        <w:tc>
          <w:tcPr>
            <w:tcW w:w="941" w:type="dxa"/>
            <w:tcBorders>
              <w:left w:val="nil"/>
              <w:bottom w:val="nil"/>
              <w:right w:val="nil"/>
            </w:tcBorders>
          </w:tcPr>
          <w:p w14:paraId="3D3EF826" w14:textId="77777777" w:rsidR="00990991" w:rsidRPr="00990991" w:rsidRDefault="00990991" w:rsidP="00990991">
            <w:pPr>
              <w:ind w:left="227" w:hanging="227"/>
              <w:jc w:val="right"/>
              <w:rPr>
                <w:rFonts w:ascii="Calibri" w:hAnsi="Calibri"/>
                <w:b/>
                <w:sz w:val="20"/>
                <w:szCs w:val="20"/>
                <w:lang w:eastAsia="en-AU"/>
              </w:rPr>
            </w:pPr>
          </w:p>
        </w:tc>
        <w:tc>
          <w:tcPr>
            <w:tcW w:w="926" w:type="dxa"/>
            <w:tcBorders>
              <w:left w:val="nil"/>
              <w:bottom w:val="nil"/>
              <w:right w:val="nil"/>
            </w:tcBorders>
          </w:tcPr>
          <w:p w14:paraId="33C2AB4A" w14:textId="77777777" w:rsidR="00990991" w:rsidRPr="00990991" w:rsidRDefault="00990991" w:rsidP="00990991">
            <w:pPr>
              <w:ind w:left="227" w:hanging="227"/>
              <w:jc w:val="right"/>
              <w:rPr>
                <w:rFonts w:ascii="Calibri" w:hAnsi="Calibri"/>
                <w:b/>
                <w:sz w:val="20"/>
                <w:szCs w:val="20"/>
                <w:lang w:eastAsia="en-AU"/>
              </w:rPr>
            </w:pPr>
          </w:p>
        </w:tc>
        <w:tc>
          <w:tcPr>
            <w:tcW w:w="931" w:type="dxa"/>
            <w:tcBorders>
              <w:left w:val="nil"/>
              <w:bottom w:val="nil"/>
              <w:right w:val="nil"/>
            </w:tcBorders>
          </w:tcPr>
          <w:p w14:paraId="4E31F56C" w14:textId="77777777" w:rsidR="00990991" w:rsidRPr="00990991" w:rsidRDefault="00990991" w:rsidP="00990991">
            <w:pPr>
              <w:ind w:left="227" w:hanging="227"/>
              <w:jc w:val="right"/>
              <w:rPr>
                <w:rFonts w:ascii="Calibri" w:hAnsi="Calibri"/>
                <w:b/>
                <w:sz w:val="20"/>
                <w:szCs w:val="20"/>
                <w:lang w:eastAsia="en-AU"/>
              </w:rPr>
            </w:pPr>
          </w:p>
        </w:tc>
        <w:tc>
          <w:tcPr>
            <w:tcW w:w="921" w:type="dxa"/>
            <w:tcBorders>
              <w:left w:val="nil"/>
              <w:bottom w:val="nil"/>
              <w:right w:val="nil"/>
            </w:tcBorders>
          </w:tcPr>
          <w:p w14:paraId="6DA10B45" w14:textId="77777777" w:rsidR="00990991" w:rsidRPr="00990991" w:rsidRDefault="00990991" w:rsidP="00990991">
            <w:pPr>
              <w:ind w:left="227" w:hanging="227"/>
              <w:jc w:val="right"/>
              <w:rPr>
                <w:rFonts w:ascii="Calibri" w:hAnsi="Calibri"/>
                <w:b/>
                <w:sz w:val="20"/>
                <w:szCs w:val="20"/>
                <w:lang w:eastAsia="en-AU"/>
              </w:rPr>
            </w:pPr>
          </w:p>
        </w:tc>
        <w:tc>
          <w:tcPr>
            <w:tcW w:w="921" w:type="dxa"/>
            <w:tcBorders>
              <w:left w:val="nil"/>
              <w:bottom w:val="nil"/>
              <w:right w:val="nil"/>
            </w:tcBorders>
          </w:tcPr>
          <w:p w14:paraId="563A4A81" w14:textId="77777777" w:rsidR="00990991" w:rsidRPr="00990991" w:rsidRDefault="00990991" w:rsidP="00990991">
            <w:pPr>
              <w:ind w:left="227" w:hanging="227"/>
              <w:jc w:val="right"/>
              <w:rPr>
                <w:rFonts w:ascii="Calibri" w:hAnsi="Calibri"/>
                <w:b/>
                <w:sz w:val="20"/>
                <w:szCs w:val="20"/>
                <w:lang w:eastAsia="en-AU"/>
              </w:rPr>
            </w:pPr>
          </w:p>
        </w:tc>
      </w:tr>
      <w:tr w:rsidR="00990991" w:rsidRPr="00990991" w14:paraId="5FA8A968" w14:textId="77777777" w:rsidTr="00492EFA">
        <w:trPr>
          <w:trHeight w:val="227"/>
        </w:trPr>
        <w:tc>
          <w:tcPr>
            <w:tcW w:w="4998" w:type="dxa"/>
            <w:tcBorders>
              <w:left w:val="nil"/>
              <w:bottom w:val="nil"/>
              <w:right w:val="nil"/>
            </w:tcBorders>
          </w:tcPr>
          <w:p w14:paraId="30A508F5" w14:textId="77777777" w:rsidR="00990991" w:rsidRPr="00990991" w:rsidRDefault="00990991" w:rsidP="00990991">
            <w:pPr>
              <w:ind w:left="227" w:hanging="227"/>
              <w:rPr>
                <w:rFonts w:ascii="Calibri" w:hAnsi="Calibri"/>
                <w:b/>
                <w:bCs/>
                <w:sz w:val="20"/>
                <w:szCs w:val="20"/>
                <w:lang w:eastAsia="en-AU"/>
              </w:rPr>
            </w:pPr>
            <w:r w:rsidRPr="00990991">
              <w:rPr>
                <w:rFonts w:ascii="Calibri" w:hAnsi="Calibri"/>
                <w:b/>
                <w:bCs/>
                <w:sz w:val="20"/>
                <w:szCs w:val="20"/>
                <w:lang w:eastAsia="en-AU"/>
              </w:rPr>
              <w:t>Housing ACT</w:t>
            </w:r>
          </w:p>
        </w:tc>
        <w:tc>
          <w:tcPr>
            <w:tcW w:w="941" w:type="dxa"/>
            <w:tcBorders>
              <w:left w:val="nil"/>
              <w:bottom w:val="nil"/>
              <w:right w:val="nil"/>
            </w:tcBorders>
          </w:tcPr>
          <w:p w14:paraId="465576E5" w14:textId="77777777" w:rsidR="00990991" w:rsidRPr="00990991" w:rsidRDefault="00990991" w:rsidP="00990991">
            <w:pPr>
              <w:ind w:left="227" w:hanging="227"/>
              <w:jc w:val="right"/>
              <w:rPr>
                <w:rFonts w:ascii="Calibri" w:hAnsi="Calibri"/>
                <w:b/>
                <w:sz w:val="20"/>
                <w:szCs w:val="20"/>
                <w:lang w:eastAsia="en-AU"/>
              </w:rPr>
            </w:pPr>
          </w:p>
        </w:tc>
        <w:tc>
          <w:tcPr>
            <w:tcW w:w="926" w:type="dxa"/>
            <w:tcBorders>
              <w:left w:val="nil"/>
              <w:bottom w:val="nil"/>
              <w:right w:val="nil"/>
            </w:tcBorders>
          </w:tcPr>
          <w:p w14:paraId="57BF0B80" w14:textId="77777777" w:rsidR="00990991" w:rsidRPr="00990991" w:rsidRDefault="00990991" w:rsidP="00990991">
            <w:pPr>
              <w:ind w:left="227" w:hanging="227"/>
              <w:jc w:val="right"/>
              <w:rPr>
                <w:rFonts w:ascii="Calibri" w:hAnsi="Calibri"/>
                <w:b/>
                <w:sz w:val="20"/>
                <w:szCs w:val="20"/>
                <w:lang w:eastAsia="en-AU"/>
              </w:rPr>
            </w:pPr>
          </w:p>
        </w:tc>
        <w:tc>
          <w:tcPr>
            <w:tcW w:w="931" w:type="dxa"/>
            <w:tcBorders>
              <w:left w:val="nil"/>
              <w:bottom w:val="nil"/>
              <w:right w:val="nil"/>
            </w:tcBorders>
          </w:tcPr>
          <w:p w14:paraId="5729254F" w14:textId="77777777" w:rsidR="00990991" w:rsidRPr="00990991" w:rsidRDefault="00990991" w:rsidP="00990991">
            <w:pPr>
              <w:ind w:left="227" w:hanging="227"/>
              <w:jc w:val="right"/>
              <w:rPr>
                <w:rFonts w:ascii="Calibri" w:hAnsi="Calibri"/>
                <w:b/>
                <w:sz w:val="20"/>
                <w:szCs w:val="20"/>
                <w:lang w:eastAsia="en-AU"/>
              </w:rPr>
            </w:pPr>
          </w:p>
        </w:tc>
        <w:tc>
          <w:tcPr>
            <w:tcW w:w="921" w:type="dxa"/>
            <w:tcBorders>
              <w:left w:val="nil"/>
              <w:bottom w:val="nil"/>
              <w:right w:val="nil"/>
            </w:tcBorders>
          </w:tcPr>
          <w:p w14:paraId="6089328C" w14:textId="77777777" w:rsidR="00990991" w:rsidRPr="00990991" w:rsidRDefault="00990991" w:rsidP="00990991">
            <w:pPr>
              <w:ind w:left="227" w:hanging="227"/>
              <w:jc w:val="right"/>
              <w:rPr>
                <w:rFonts w:ascii="Calibri" w:hAnsi="Calibri"/>
                <w:b/>
                <w:sz w:val="20"/>
                <w:szCs w:val="20"/>
                <w:lang w:eastAsia="en-AU"/>
              </w:rPr>
            </w:pPr>
          </w:p>
        </w:tc>
        <w:tc>
          <w:tcPr>
            <w:tcW w:w="921" w:type="dxa"/>
            <w:tcBorders>
              <w:left w:val="nil"/>
              <w:bottom w:val="nil"/>
              <w:right w:val="nil"/>
            </w:tcBorders>
          </w:tcPr>
          <w:p w14:paraId="0A64FF74" w14:textId="77777777" w:rsidR="00990991" w:rsidRPr="00990991" w:rsidRDefault="00990991" w:rsidP="00990991">
            <w:pPr>
              <w:ind w:left="227" w:hanging="227"/>
              <w:jc w:val="right"/>
              <w:rPr>
                <w:rFonts w:ascii="Calibri" w:hAnsi="Calibri"/>
                <w:b/>
                <w:sz w:val="20"/>
                <w:szCs w:val="20"/>
                <w:lang w:eastAsia="en-AU"/>
              </w:rPr>
            </w:pPr>
          </w:p>
        </w:tc>
      </w:tr>
      <w:tr w:rsidR="00990991" w:rsidRPr="00990991" w14:paraId="5B51F4FA" w14:textId="77777777" w:rsidTr="00492EFA">
        <w:trPr>
          <w:trHeight w:val="227"/>
        </w:trPr>
        <w:tc>
          <w:tcPr>
            <w:tcW w:w="4998" w:type="dxa"/>
            <w:tcBorders>
              <w:left w:val="nil"/>
              <w:bottom w:val="nil"/>
              <w:right w:val="nil"/>
            </w:tcBorders>
          </w:tcPr>
          <w:p w14:paraId="6477D152" w14:textId="77777777" w:rsidR="00990991" w:rsidRPr="00990991" w:rsidRDefault="00990991" w:rsidP="00990991">
            <w:pPr>
              <w:ind w:left="227" w:hanging="227"/>
              <w:rPr>
                <w:rFonts w:ascii="Calibri" w:hAnsi="Calibri"/>
                <w:bCs/>
                <w:color w:val="000000"/>
                <w:sz w:val="20"/>
                <w:szCs w:val="20"/>
                <w:vertAlign w:val="superscript"/>
                <w:lang w:eastAsia="en-AU"/>
              </w:rPr>
            </w:pPr>
            <w:r w:rsidRPr="00990991">
              <w:rPr>
                <w:rFonts w:ascii="Calibri" w:hAnsi="Calibri"/>
                <w:bCs/>
                <w:color w:val="000000"/>
                <w:sz w:val="20"/>
                <w:szCs w:val="20"/>
                <w:lang w:eastAsia="en-AU"/>
              </w:rPr>
              <w:t xml:space="preserve">Growing and renewing more public housing </w:t>
            </w:r>
            <w:r w:rsidRPr="00990991">
              <w:rPr>
                <w:rFonts w:ascii="Calibri" w:hAnsi="Calibri"/>
                <w:bCs/>
                <w:color w:val="000000"/>
                <w:sz w:val="20"/>
                <w:szCs w:val="20"/>
                <w:vertAlign w:val="superscript"/>
                <w:lang w:eastAsia="en-AU"/>
              </w:rPr>
              <w:t>2</w:t>
            </w:r>
          </w:p>
        </w:tc>
        <w:tc>
          <w:tcPr>
            <w:tcW w:w="941" w:type="dxa"/>
            <w:tcBorders>
              <w:left w:val="nil"/>
              <w:bottom w:val="nil"/>
              <w:right w:val="nil"/>
            </w:tcBorders>
          </w:tcPr>
          <w:p w14:paraId="63A62F1F" w14:textId="77777777" w:rsidR="00990991" w:rsidRPr="00990991" w:rsidRDefault="00990991" w:rsidP="00990991">
            <w:pPr>
              <w:ind w:left="227" w:hanging="227"/>
              <w:jc w:val="right"/>
              <w:rPr>
                <w:rFonts w:ascii="Calibri" w:hAnsi="Calibri"/>
                <w:sz w:val="20"/>
                <w:szCs w:val="20"/>
                <w:lang w:eastAsia="en-AU"/>
              </w:rPr>
            </w:pPr>
            <w:r w:rsidRPr="00990991">
              <w:rPr>
                <w:rFonts w:ascii="Calibri" w:hAnsi="Calibri"/>
                <w:sz w:val="20"/>
                <w:szCs w:val="20"/>
                <w:lang w:eastAsia="en-AU"/>
              </w:rPr>
              <w:t>20,000</w:t>
            </w:r>
          </w:p>
        </w:tc>
        <w:tc>
          <w:tcPr>
            <w:tcW w:w="926" w:type="dxa"/>
            <w:tcBorders>
              <w:left w:val="nil"/>
              <w:bottom w:val="nil"/>
              <w:right w:val="nil"/>
            </w:tcBorders>
          </w:tcPr>
          <w:p w14:paraId="796AAD85" w14:textId="77777777" w:rsidR="00990991" w:rsidRPr="00990991" w:rsidRDefault="00990991" w:rsidP="00990991">
            <w:pPr>
              <w:ind w:left="227" w:hanging="227"/>
              <w:jc w:val="right"/>
              <w:rPr>
                <w:rFonts w:ascii="Calibri" w:hAnsi="Calibri"/>
                <w:sz w:val="20"/>
                <w:szCs w:val="20"/>
                <w:lang w:eastAsia="en-AU"/>
              </w:rPr>
            </w:pPr>
            <w:r w:rsidRPr="00990991">
              <w:rPr>
                <w:rFonts w:ascii="Calibri" w:hAnsi="Calibri"/>
                <w:sz w:val="20"/>
                <w:szCs w:val="20"/>
                <w:lang w:eastAsia="en-AU"/>
              </w:rPr>
              <w:t>20,000</w:t>
            </w:r>
          </w:p>
        </w:tc>
        <w:tc>
          <w:tcPr>
            <w:tcW w:w="931" w:type="dxa"/>
            <w:tcBorders>
              <w:left w:val="nil"/>
              <w:bottom w:val="nil"/>
              <w:right w:val="nil"/>
            </w:tcBorders>
          </w:tcPr>
          <w:p w14:paraId="0C8FD1CA" w14:textId="77777777" w:rsidR="00990991" w:rsidRPr="00990991" w:rsidRDefault="00990991" w:rsidP="00990991">
            <w:pPr>
              <w:ind w:left="227" w:hanging="227"/>
              <w:jc w:val="right"/>
              <w:rPr>
                <w:rFonts w:ascii="Calibri" w:hAnsi="Calibri"/>
                <w:sz w:val="20"/>
                <w:szCs w:val="20"/>
                <w:lang w:eastAsia="en-AU"/>
              </w:rPr>
            </w:pPr>
            <w:r w:rsidRPr="00990991">
              <w:rPr>
                <w:rFonts w:ascii="Calibri" w:hAnsi="Calibri"/>
                <w:sz w:val="20"/>
                <w:szCs w:val="20"/>
                <w:lang w:eastAsia="en-AU"/>
              </w:rPr>
              <w:t>20,000</w:t>
            </w:r>
          </w:p>
        </w:tc>
        <w:tc>
          <w:tcPr>
            <w:tcW w:w="921" w:type="dxa"/>
            <w:tcBorders>
              <w:left w:val="nil"/>
              <w:bottom w:val="nil"/>
              <w:right w:val="nil"/>
            </w:tcBorders>
          </w:tcPr>
          <w:p w14:paraId="046FD946" w14:textId="77777777" w:rsidR="00990991" w:rsidRPr="00990991" w:rsidRDefault="00990991" w:rsidP="00990991">
            <w:pPr>
              <w:ind w:left="227" w:hanging="227"/>
              <w:jc w:val="right"/>
              <w:rPr>
                <w:rFonts w:ascii="Calibri" w:hAnsi="Calibri"/>
                <w:sz w:val="20"/>
                <w:szCs w:val="20"/>
                <w:lang w:eastAsia="en-AU"/>
              </w:rPr>
            </w:pPr>
            <w:r w:rsidRPr="00990991">
              <w:rPr>
                <w:rFonts w:ascii="Calibri" w:hAnsi="Calibri"/>
                <w:sz w:val="20"/>
                <w:szCs w:val="20"/>
                <w:lang w:eastAsia="en-AU"/>
              </w:rPr>
              <w:t>20,000</w:t>
            </w:r>
          </w:p>
        </w:tc>
        <w:tc>
          <w:tcPr>
            <w:tcW w:w="921" w:type="dxa"/>
            <w:tcBorders>
              <w:left w:val="nil"/>
              <w:bottom w:val="nil"/>
              <w:right w:val="nil"/>
            </w:tcBorders>
          </w:tcPr>
          <w:p w14:paraId="51EF1052" w14:textId="77777777" w:rsidR="00990991" w:rsidRPr="00990991" w:rsidRDefault="00990991" w:rsidP="00990991">
            <w:pPr>
              <w:ind w:left="227" w:hanging="227"/>
              <w:jc w:val="right"/>
              <w:rPr>
                <w:rFonts w:ascii="Calibri" w:hAnsi="Calibri"/>
                <w:sz w:val="20"/>
                <w:szCs w:val="20"/>
                <w:lang w:eastAsia="en-AU"/>
              </w:rPr>
            </w:pPr>
            <w:r w:rsidRPr="00990991">
              <w:rPr>
                <w:rFonts w:ascii="Calibri" w:hAnsi="Calibri"/>
                <w:sz w:val="20"/>
                <w:szCs w:val="20"/>
                <w:lang w:eastAsia="en-AU"/>
              </w:rPr>
              <w:t>80,000</w:t>
            </w:r>
          </w:p>
        </w:tc>
      </w:tr>
      <w:tr w:rsidR="00990991" w:rsidRPr="00990991" w14:paraId="0915B879" w14:textId="77777777" w:rsidTr="00492EFA">
        <w:trPr>
          <w:trHeight w:val="227"/>
        </w:trPr>
        <w:tc>
          <w:tcPr>
            <w:tcW w:w="4998" w:type="dxa"/>
            <w:tcBorders>
              <w:left w:val="nil"/>
              <w:bottom w:val="nil"/>
              <w:right w:val="nil"/>
            </w:tcBorders>
          </w:tcPr>
          <w:p w14:paraId="722FF6D4" w14:textId="77777777" w:rsidR="00990991" w:rsidRPr="00990991" w:rsidRDefault="00990991" w:rsidP="00990991">
            <w:pPr>
              <w:ind w:left="227" w:hanging="227"/>
              <w:rPr>
                <w:rFonts w:ascii="Calibri" w:hAnsi="Calibri"/>
                <w:bCs/>
                <w:color w:val="000000"/>
                <w:sz w:val="20"/>
                <w:szCs w:val="20"/>
                <w:vertAlign w:val="superscript"/>
                <w:lang w:eastAsia="en-AU"/>
              </w:rPr>
            </w:pPr>
            <w:r w:rsidRPr="00990991">
              <w:rPr>
                <w:rFonts w:ascii="Calibri" w:hAnsi="Calibri"/>
                <w:bCs/>
                <w:color w:val="000000"/>
                <w:sz w:val="20"/>
                <w:szCs w:val="20"/>
                <w:lang w:eastAsia="en-AU"/>
              </w:rPr>
              <w:t xml:space="preserve">Providing alternatives to jail through the Justice Housing Program </w:t>
            </w:r>
            <w:r w:rsidRPr="00990991">
              <w:rPr>
                <w:rFonts w:ascii="Calibri" w:hAnsi="Calibri"/>
                <w:bCs/>
                <w:color w:val="000000"/>
                <w:sz w:val="20"/>
                <w:szCs w:val="20"/>
                <w:vertAlign w:val="superscript"/>
                <w:lang w:eastAsia="en-AU"/>
              </w:rPr>
              <w:t>2</w:t>
            </w:r>
          </w:p>
        </w:tc>
        <w:tc>
          <w:tcPr>
            <w:tcW w:w="941" w:type="dxa"/>
            <w:tcBorders>
              <w:left w:val="nil"/>
              <w:bottom w:val="nil"/>
              <w:right w:val="nil"/>
            </w:tcBorders>
          </w:tcPr>
          <w:p w14:paraId="351D2551" w14:textId="77777777" w:rsidR="00990991" w:rsidRPr="00990991" w:rsidRDefault="00990991" w:rsidP="00990991">
            <w:pPr>
              <w:ind w:left="227" w:hanging="227"/>
              <w:jc w:val="right"/>
              <w:rPr>
                <w:rFonts w:ascii="Calibri" w:hAnsi="Calibri"/>
                <w:sz w:val="20"/>
                <w:szCs w:val="20"/>
                <w:lang w:eastAsia="en-AU"/>
              </w:rPr>
            </w:pPr>
            <w:r w:rsidRPr="00990991">
              <w:rPr>
                <w:rFonts w:ascii="Calibri" w:hAnsi="Calibri"/>
                <w:sz w:val="20"/>
                <w:szCs w:val="20"/>
                <w:lang w:eastAsia="en-AU"/>
              </w:rPr>
              <w:t>7,161</w:t>
            </w:r>
          </w:p>
        </w:tc>
        <w:tc>
          <w:tcPr>
            <w:tcW w:w="926" w:type="dxa"/>
            <w:tcBorders>
              <w:left w:val="nil"/>
              <w:bottom w:val="nil"/>
              <w:right w:val="nil"/>
            </w:tcBorders>
          </w:tcPr>
          <w:p w14:paraId="3A2D6978" w14:textId="77777777" w:rsidR="00990991" w:rsidRPr="00990991" w:rsidRDefault="00990991" w:rsidP="00990991">
            <w:pPr>
              <w:ind w:left="227" w:hanging="227"/>
              <w:jc w:val="right"/>
              <w:rPr>
                <w:rFonts w:ascii="Calibri" w:hAnsi="Calibri"/>
                <w:sz w:val="20"/>
                <w:szCs w:val="20"/>
                <w:lang w:eastAsia="en-AU"/>
              </w:rPr>
            </w:pPr>
            <w:r w:rsidRPr="00990991">
              <w:rPr>
                <w:rFonts w:ascii="Calibri" w:hAnsi="Calibri"/>
                <w:sz w:val="20"/>
                <w:szCs w:val="20"/>
                <w:lang w:eastAsia="en-AU"/>
              </w:rPr>
              <w:t>0</w:t>
            </w:r>
          </w:p>
        </w:tc>
        <w:tc>
          <w:tcPr>
            <w:tcW w:w="931" w:type="dxa"/>
            <w:tcBorders>
              <w:left w:val="nil"/>
              <w:bottom w:val="nil"/>
              <w:right w:val="nil"/>
            </w:tcBorders>
          </w:tcPr>
          <w:p w14:paraId="7B3400A6" w14:textId="77777777" w:rsidR="00990991" w:rsidRPr="00990991" w:rsidRDefault="00990991" w:rsidP="00990991">
            <w:pPr>
              <w:ind w:left="227" w:hanging="227"/>
              <w:jc w:val="right"/>
              <w:rPr>
                <w:rFonts w:ascii="Calibri" w:hAnsi="Calibri"/>
                <w:sz w:val="20"/>
                <w:szCs w:val="20"/>
                <w:lang w:eastAsia="en-AU"/>
              </w:rPr>
            </w:pPr>
            <w:r w:rsidRPr="00990991">
              <w:rPr>
                <w:rFonts w:ascii="Calibri" w:hAnsi="Calibri"/>
                <w:sz w:val="20"/>
                <w:szCs w:val="20"/>
                <w:lang w:eastAsia="en-AU"/>
              </w:rPr>
              <w:t>0</w:t>
            </w:r>
          </w:p>
        </w:tc>
        <w:tc>
          <w:tcPr>
            <w:tcW w:w="921" w:type="dxa"/>
            <w:tcBorders>
              <w:left w:val="nil"/>
              <w:bottom w:val="nil"/>
              <w:right w:val="nil"/>
            </w:tcBorders>
          </w:tcPr>
          <w:p w14:paraId="1509DB44" w14:textId="77777777" w:rsidR="00990991" w:rsidRPr="00990991" w:rsidRDefault="00990991" w:rsidP="00990991">
            <w:pPr>
              <w:ind w:left="227" w:hanging="227"/>
              <w:jc w:val="right"/>
              <w:rPr>
                <w:rFonts w:ascii="Calibri" w:hAnsi="Calibri"/>
                <w:sz w:val="20"/>
                <w:szCs w:val="20"/>
                <w:lang w:eastAsia="en-AU"/>
              </w:rPr>
            </w:pPr>
            <w:r w:rsidRPr="00990991">
              <w:rPr>
                <w:rFonts w:ascii="Calibri" w:hAnsi="Calibri"/>
                <w:sz w:val="20"/>
                <w:szCs w:val="20"/>
                <w:lang w:eastAsia="en-AU"/>
              </w:rPr>
              <w:t>0</w:t>
            </w:r>
          </w:p>
        </w:tc>
        <w:tc>
          <w:tcPr>
            <w:tcW w:w="921" w:type="dxa"/>
            <w:tcBorders>
              <w:left w:val="nil"/>
              <w:bottom w:val="nil"/>
              <w:right w:val="nil"/>
            </w:tcBorders>
          </w:tcPr>
          <w:p w14:paraId="362D7607" w14:textId="77777777" w:rsidR="00990991" w:rsidRPr="00990991" w:rsidRDefault="00990991" w:rsidP="00990991">
            <w:pPr>
              <w:ind w:left="227" w:hanging="227"/>
              <w:jc w:val="right"/>
              <w:rPr>
                <w:rFonts w:ascii="Calibri" w:hAnsi="Calibri"/>
                <w:sz w:val="20"/>
                <w:szCs w:val="20"/>
                <w:lang w:eastAsia="en-AU"/>
              </w:rPr>
            </w:pPr>
            <w:r w:rsidRPr="00990991">
              <w:rPr>
                <w:rFonts w:ascii="Calibri" w:hAnsi="Calibri"/>
                <w:sz w:val="20"/>
                <w:szCs w:val="20"/>
                <w:lang w:eastAsia="en-AU"/>
              </w:rPr>
              <w:t>7,161</w:t>
            </w:r>
          </w:p>
        </w:tc>
      </w:tr>
      <w:tr w:rsidR="00990991" w:rsidRPr="00990991" w14:paraId="0629DAC5" w14:textId="77777777" w:rsidTr="00492EFA">
        <w:trPr>
          <w:trHeight w:val="227"/>
        </w:trPr>
        <w:tc>
          <w:tcPr>
            <w:tcW w:w="4998" w:type="dxa"/>
            <w:tcBorders>
              <w:left w:val="nil"/>
              <w:bottom w:val="single" w:sz="4" w:space="0" w:color="auto"/>
              <w:right w:val="nil"/>
            </w:tcBorders>
          </w:tcPr>
          <w:p w14:paraId="2152A9D7" w14:textId="77777777" w:rsidR="00990991" w:rsidRPr="00990991" w:rsidRDefault="00990991" w:rsidP="00990991">
            <w:pPr>
              <w:ind w:left="227" w:hanging="227"/>
              <w:rPr>
                <w:rFonts w:ascii="Calibri" w:hAnsi="Calibri"/>
                <w:bCs/>
                <w:color w:val="000000"/>
                <w:sz w:val="20"/>
                <w:szCs w:val="20"/>
                <w:vertAlign w:val="superscript"/>
                <w:lang w:eastAsia="en-AU"/>
              </w:rPr>
            </w:pPr>
            <w:r w:rsidRPr="00990991">
              <w:rPr>
                <w:rFonts w:ascii="Calibri" w:hAnsi="Calibri"/>
                <w:bCs/>
                <w:color w:val="000000"/>
                <w:sz w:val="20"/>
                <w:szCs w:val="20"/>
                <w:lang w:eastAsia="en-AU"/>
              </w:rPr>
              <w:t xml:space="preserve">Reducing homelessness by delivering another Common Ground </w:t>
            </w:r>
            <w:r w:rsidRPr="00990991">
              <w:rPr>
                <w:rFonts w:ascii="Calibri" w:hAnsi="Calibri"/>
                <w:bCs/>
                <w:color w:val="000000"/>
                <w:sz w:val="20"/>
                <w:szCs w:val="20"/>
                <w:vertAlign w:val="superscript"/>
                <w:lang w:eastAsia="en-AU"/>
              </w:rPr>
              <w:t>2</w:t>
            </w:r>
          </w:p>
        </w:tc>
        <w:tc>
          <w:tcPr>
            <w:tcW w:w="941" w:type="dxa"/>
            <w:tcBorders>
              <w:left w:val="nil"/>
              <w:bottom w:val="single" w:sz="4" w:space="0" w:color="auto"/>
              <w:right w:val="nil"/>
            </w:tcBorders>
          </w:tcPr>
          <w:p w14:paraId="7B4A5333" w14:textId="77777777" w:rsidR="00990991" w:rsidRPr="00990991" w:rsidRDefault="00990991" w:rsidP="00990991">
            <w:pPr>
              <w:ind w:left="227" w:hanging="227"/>
              <w:jc w:val="right"/>
              <w:rPr>
                <w:rFonts w:ascii="Calibri" w:hAnsi="Calibri"/>
                <w:sz w:val="20"/>
                <w:szCs w:val="20"/>
                <w:lang w:eastAsia="en-AU"/>
              </w:rPr>
            </w:pPr>
            <w:r w:rsidRPr="00990991">
              <w:rPr>
                <w:rFonts w:ascii="Calibri" w:hAnsi="Calibri"/>
                <w:sz w:val="20"/>
                <w:szCs w:val="20"/>
                <w:lang w:eastAsia="en-AU"/>
              </w:rPr>
              <w:t>2,147</w:t>
            </w:r>
          </w:p>
        </w:tc>
        <w:tc>
          <w:tcPr>
            <w:tcW w:w="926" w:type="dxa"/>
            <w:tcBorders>
              <w:left w:val="nil"/>
              <w:bottom w:val="single" w:sz="4" w:space="0" w:color="auto"/>
              <w:right w:val="nil"/>
            </w:tcBorders>
          </w:tcPr>
          <w:p w14:paraId="6D66D146" w14:textId="77777777" w:rsidR="00990991" w:rsidRPr="00990991" w:rsidRDefault="00990991" w:rsidP="00990991">
            <w:pPr>
              <w:ind w:left="227" w:hanging="227"/>
              <w:jc w:val="right"/>
              <w:rPr>
                <w:rFonts w:ascii="Calibri" w:hAnsi="Calibri"/>
                <w:sz w:val="20"/>
                <w:szCs w:val="20"/>
                <w:lang w:eastAsia="en-AU"/>
              </w:rPr>
            </w:pPr>
            <w:r w:rsidRPr="00990991">
              <w:rPr>
                <w:rFonts w:ascii="Calibri" w:hAnsi="Calibri"/>
                <w:sz w:val="20"/>
                <w:szCs w:val="20"/>
                <w:lang w:eastAsia="en-AU"/>
              </w:rPr>
              <w:t>0</w:t>
            </w:r>
          </w:p>
        </w:tc>
        <w:tc>
          <w:tcPr>
            <w:tcW w:w="931" w:type="dxa"/>
            <w:tcBorders>
              <w:left w:val="nil"/>
              <w:bottom w:val="single" w:sz="4" w:space="0" w:color="auto"/>
              <w:right w:val="nil"/>
            </w:tcBorders>
          </w:tcPr>
          <w:p w14:paraId="1C774D1D" w14:textId="77777777" w:rsidR="00990991" w:rsidRPr="00990991" w:rsidRDefault="00990991" w:rsidP="00990991">
            <w:pPr>
              <w:ind w:left="227" w:hanging="227"/>
              <w:jc w:val="right"/>
              <w:rPr>
                <w:rFonts w:ascii="Calibri" w:hAnsi="Calibri"/>
                <w:sz w:val="20"/>
                <w:szCs w:val="20"/>
                <w:lang w:eastAsia="en-AU"/>
              </w:rPr>
            </w:pPr>
            <w:r w:rsidRPr="00990991">
              <w:rPr>
                <w:rFonts w:ascii="Calibri" w:hAnsi="Calibri"/>
                <w:sz w:val="20"/>
                <w:szCs w:val="20"/>
                <w:lang w:eastAsia="en-AU"/>
              </w:rPr>
              <w:t>0</w:t>
            </w:r>
          </w:p>
        </w:tc>
        <w:tc>
          <w:tcPr>
            <w:tcW w:w="921" w:type="dxa"/>
            <w:tcBorders>
              <w:left w:val="nil"/>
              <w:bottom w:val="single" w:sz="4" w:space="0" w:color="auto"/>
              <w:right w:val="nil"/>
            </w:tcBorders>
          </w:tcPr>
          <w:p w14:paraId="27D60D8E" w14:textId="77777777" w:rsidR="00990991" w:rsidRPr="00990991" w:rsidRDefault="00990991" w:rsidP="00990991">
            <w:pPr>
              <w:ind w:left="227" w:hanging="227"/>
              <w:jc w:val="right"/>
              <w:rPr>
                <w:rFonts w:ascii="Calibri" w:hAnsi="Calibri"/>
                <w:sz w:val="20"/>
                <w:szCs w:val="20"/>
                <w:lang w:eastAsia="en-AU"/>
              </w:rPr>
            </w:pPr>
            <w:r w:rsidRPr="00990991">
              <w:rPr>
                <w:rFonts w:ascii="Calibri" w:hAnsi="Calibri"/>
                <w:sz w:val="20"/>
                <w:szCs w:val="20"/>
                <w:lang w:eastAsia="en-AU"/>
              </w:rPr>
              <w:t>0</w:t>
            </w:r>
          </w:p>
        </w:tc>
        <w:tc>
          <w:tcPr>
            <w:tcW w:w="921" w:type="dxa"/>
            <w:tcBorders>
              <w:left w:val="nil"/>
              <w:bottom w:val="single" w:sz="4" w:space="0" w:color="auto"/>
              <w:right w:val="nil"/>
            </w:tcBorders>
          </w:tcPr>
          <w:p w14:paraId="59D2C704" w14:textId="77777777" w:rsidR="00990991" w:rsidRPr="00990991" w:rsidRDefault="00990991" w:rsidP="00990991">
            <w:pPr>
              <w:ind w:left="227" w:hanging="227"/>
              <w:jc w:val="right"/>
              <w:rPr>
                <w:rFonts w:ascii="Calibri" w:hAnsi="Calibri"/>
                <w:sz w:val="20"/>
                <w:szCs w:val="20"/>
                <w:lang w:eastAsia="en-AU"/>
              </w:rPr>
            </w:pPr>
            <w:r w:rsidRPr="00990991">
              <w:rPr>
                <w:rFonts w:ascii="Calibri" w:hAnsi="Calibri"/>
                <w:sz w:val="20"/>
                <w:szCs w:val="20"/>
                <w:lang w:eastAsia="en-AU"/>
              </w:rPr>
              <w:t>2,147</w:t>
            </w:r>
          </w:p>
        </w:tc>
      </w:tr>
      <w:tr w:rsidR="00990991" w:rsidRPr="00990991" w14:paraId="50DA9D56" w14:textId="77777777" w:rsidTr="00492EFA">
        <w:trPr>
          <w:trHeight w:val="227"/>
        </w:trPr>
        <w:tc>
          <w:tcPr>
            <w:tcW w:w="4998" w:type="dxa"/>
            <w:tcBorders>
              <w:top w:val="single" w:sz="4" w:space="0" w:color="auto"/>
              <w:left w:val="nil"/>
              <w:bottom w:val="single" w:sz="4" w:space="0" w:color="auto"/>
              <w:right w:val="nil"/>
            </w:tcBorders>
          </w:tcPr>
          <w:p w14:paraId="0EBA63C7" w14:textId="77777777" w:rsidR="00990991" w:rsidRPr="00990991" w:rsidRDefault="00990991" w:rsidP="00990991">
            <w:pPr>
              <w:ind w:left="227" w:hanging="227"/>
              <w:jc w:val="right"/>
              <w:rPr>
                <w:rFonts w:ascii="Calibri" w:hAnsi="Calibri"/>
                <w:b/>
                <w:sz w:val="20"/>
                <w:szCs w:val="20"/>
                <w:lang w:eastAsia="en-AU"/>
              </w:rPr>
            </w:pPr>
            <w:r w:rsidRPr="00990991">
              <w:rPr>
                <w:rFonts w:ascii="Calibri" w:hAnsi="Calibri"/>
                <w:b/>
                <w:sz w:val="20"/>
                <w:szCs w:val="20"/>
                <w:lang w:eastAsia="en-AU"/>
              </w:rPr>
              <w:t>Total</w:t>
            </w:r>
          </w:p>
        </w:tc>
        <w:tc>
          <w:tcPr>
            <w:tcW w:w="941" w:type="dxa"/>
            <w:tcBorders>
              <w:top w:val="single" w:sz="4" w:space="0" w:color="auto"/>
              <w:left w:val="nil"/>
              <w:bottom w:val="single" w:sz="4" w:space="0" w:color="auto"/>
              <w:right w:val="nil"/>
            </w:tcBorders>
          </w:tcPr>
          <w:p w14:paraId="1F928337" w14:textId="77777777" w:rsidR="00990991" w:rsidRPr="00990991" w:rsidRDefault="00990991" w:rsidP="00990991">
            <w:pPr>
              <w:ind w:left="227" w:hanging="227"/>
              <w:jc w:val="right"/>
              <w:rPr>
                <w:rFonts w:ascii="Calibri" w:hAnsi="Calibri"/>
                <w:b/>
                <w:sz w:val="20"/>
                <w:szCs w:val="20"/>
                <w:lang w:eastAsia="en-AU"/>
              </w:rPr>
            </w:pPr>
            <w:r w:rsidRPr="00990991">
              <w:rPr>
                <w:rFonts w:ascii="Calibri" w:hAnsi="Calibri"/>
                <w:b/>
                <w:sz w:val="20"/>
                <w:szCs w:val="20"/>
                <w:lang w:eastAsia="en-AU"/>
              </w:rPr>
              <w:t>29,308</w:t>
            </w:r>
          </w:p>
        </w:tc>
        <w:tc>
          <w:tcPr>
            <w:tcW w:w="926" w:type="dxa"/>
            <w:tcBorders>
              <w:top w:val="single" w:sz="4" w:space="0" w:color="auto"/>
              <w:left w:val="nil"/>
              <w:bottom w:val="single" w:sz="4" w:space="0" w:color="auto"/>
              <w:right w:val="nil"/>
            </w:tcBorders>
          </w:tcPr>
          <w:p w14:paraId="52C0981E" w14:textId="77777777" w:rsidR="00990991" w:rsidRPr="00990991" w:rsidRDefault="00990991" w:rsidP="00990991">
            <w:pPr>
              <w:ind w:left="227" w:hanging="227"/>
              <w:jc w:val="right"/>
              <w:rPr>
                <w:rFonts w:ascii="Calibri" w:hAnsi="Calibri"/>
                <w:b/>
                <w:sz w:val="20"/>
                <w:szCs w:val="20"/>
                <w:lang w:eastAsia="en-AU"/>
              </w:rPr>
            </w:pPr>
            <w:r w:rsidRPr="00990991">
              <w:rPr>
                <w:rFonts w:ascii="Calibri" w:hAnsi="Calibri"/>
                <w:b/>
                <w:sz w:val="20"/>
                <w:szCs w:val="20"/>
                <w:lang w:eastAsia="en-AU"/>
              </w:rPr>
              <w:t>20,000</w:t>
            </w:r>
          </w:p>
        </w:tc>
        <w:tc>
          <w:tcPr>
            <w:tcW w:w="931" w:type="dxa"/>
            <w:tcBorders>
              <w:top w:val="single" w:sz="4" w:space="0" w:color="auto"/>
              <w:left w:val="nil"/>
              <w:bottom w:val="single" w:sz="4" w:space="0" w:color="auto"/>
              <w:right w:val="nil"/>
            </w:tcBorders>
          </w:tcPr>
          <w:p w14:paraId="41988726" w14:textId="77777777" w:rsidR="00990991" w:rsidRPr="00990991" w:rsidRDefault="00990991" w:rsidP="00990991">
            <w:pPr>
              <w:ind w:left="227" w:hanging="227"/>
              <w:jc w:val="right"/>
              <w:rPr>
                <w:rFonts w:ascii="Calibri" w:hAnsi="Calibri"/>
                <w:b/>
                <w:sz w:val="20"/>
                <w:szCs w:val="20"/>
                <w:lang w:eastAsia="en-AU"/>
              </w:rPr>
            </w:pPr>
            <w:r w:rsidRPr="00990991">
              <w:rPr>
                <w:rFonts w:ascii="Calibri" w:hAnsi="Calibri"/>
                <w:b/>
                <w:sz w:val="20"/>
                <w:szCs w:val="20"/>
                <w:lang w:eastAsia="en-AU"/>
              </w:rPr>
              <w:t>20,000</w:t>
            </w:r>
          </w:p>
        </w:tc>
        <w:tc>
          <w:tcPr>
            <w:tcW w:w="921" w:type="dxa"/>
            <w:tcBorders>
              <w:top w:val="single" w:sz="4" w:space="0" w:color="auto"/>
              <w:left w:val="nil"/>
              <w:bottom w:val="single" w:sz="4" w:space="0" w:color="auto"/>
              <w:right w:val="nil"/>
            </w:tcBorders>
          </w:tcPr>
          <w:p w14:paraId="138584E4" w14:textId="77777777" w:rsidR="00990991" w:rsidRPr="00990991" w:rsidRDefault="00990991" w:rsidP="00990991">
            <w:pPr>
              <w:ind w:left="227" w:hanging="227"/>
              <w:jc w:val="right"/>
              <w:rPr>
                <w:rFonts w:ascii="Calibri" w:hAnsi="Calibri"/>
                <w:b/>
                <w:sz w:val="20"/>
                <w:szCs w:val="20"/>
                <w:lang w:eastAsia="en-AU"/>
              </w:rPr>
            </w:pPr>
            <w:r w:rsidRPr="00990991">
              <w:rPr>
                <w:rFonts w:ascii="Calibri" w:hAnsi="Calibri"/>
                <w:b/>
                <w:sz w:val="20"/>
                <w:szCs w:val="20"/>
                <w:lang w:eastAsia="en-AU"/>
              </w:rPr>
              <w:t>20,000</w:t>
            </w:r>
          </w:p>
        </w:tc>
        <w:tc>
          <w:tcPr>
            <w:tcW w:w="921" w:type="dxa"/>
            <w:tcBorders>
              <w:top w:val="single" w:sz="4" w:space="0" w:color="auto"/>
              <w:left w:val="nil"/>
              <w:bottom w:val="single" w:sz="4" w:space="0" w:color="auto"/>
              <w:right w:val="nil"/>
            </w:tcBorders>
          </w:tcPr>
          <w:p w14:paraId="0447C844" w14:textId="77777777" w:rsidR="00990991" w:rsidRPr="00990991" w:rsidRDefault="00990991" w:rsidP="00990991">
            <w:pPr>
              <w:ind w:left="227" w:hanging="227"/>
              <w:jc w:val="right"/>
              <w:rPr>
                <w:rFonts w:ascii="Calibri" w:hAnsi="Calibri"/>
                <w:b/>
                <w:sz w:val="20"/>
                <w:szCs w:val="20"/>
                <w:lang w:eastAsia="en-AU"/>
              </w:rPr>
            </w:pPr>
            <w:r w:rsidRPr="00990991">
              <w:rPr>
                <w:rFonts w:ascii="Calibri" w:hAnsi="Calibri"/>
                <w:b/>
                <w:sz w:val="20"/>
                <w:szCs w:val="20"/>
                <w:lang w:eastAsia="en-AU"/>
              </w:rPr>
              <w:t>89,308</w:t>
            </w:r>
          </w:p>
        </w:tc>
      </w:tr>
    </w:tbl>
    <w:p w14:paraId="45EE3CC3" w14:textId="77777777" w:rsidR="00990991" w:rsidRPr="00990991" w:rsidRDefault="00990991" w:rsidP="00492EFA">
      <w:pPr>
        <w:pStyle w:val="snapNotesheading"/>
        <w:rPr>
          <w:b w:val="0"/>
        </w:rPr>
      </w:pPr>
      <w:r w:rsidRPr="00990991">
        <w:t xml:space="preserve">Notes: </w:t>
      </w:r>
    </w:p>
    <w:p w14:paraId="5F9DD084" w14:textId="77777777" w:rsidR="00990991" w:rsidRPr="00990991" w:rsidRDefault="00990991" w:rsidP="00492EFA">
      <w:pPr>
        <w:pStyle w:val="snapNotesbody"/>
        <w:rPr>
          <w:lang w:val="en-US"/>
        </w:rPr>
      </w:pPr>
      <w:r w:rsidRPr="00990991">
        <w:t xml:space="preserve">2. This initiative has an expense component; this is listed in the summary table in Expense initiatives </w:t>
      </w:r>
      <w:r w:rsidRPr="00990991">
        <w:rPr>
          <w:lang w:val="en-US"/>
        </w:rPr>
        <w:t>(Chapter 3.2).</w:t>
      </w:r>
    </w:p>
    <w:p w14:paraId="44554353" w14:textId="77777777" w:rsidR="000757EE" w:rsidRPr="00990991" w:rsidRDefault="000757EE" w:rsidP="00492EFA">
      <w:pPr>
        <w:pStyle w:val="Heading2"/>
        <w:rPr>
          <w:b w:val="0"/>
        </w:rPr>
      </w:pPr>
      <w:r w:rsidRPr="00990991">
        <w:t>Selected Initiatives</w:t>
      </w:r>
    </w:p>
    <w:p w14:paraId="1604AC29" w14:textId="77777777" w:rsidR="00990991" w:rsidRPr="007A3A72" w:rsidRDefault="00990991" w:rsidP="007A3A72">
      <w:pPr>
        <w:pStyle w:val="Heading3"/>
      </w:pPr>
      <w:r w:rsidRPr="007A3A72">
        <w:t>Community Services Directorate – Expense Initiatives</w:t>
      </w:r>
    </w:p>
    <w:p w14:paraId="4C4D4EAD" w14:textId="77777777" w:rsidR="00990991" w:rsidRPr="000F30E1" w:rsidRDefault="00990991" w:rsidP="000F30E1">
      <w:pPr>
        <w:pStyle w:val="snapInittitles"/>
      </w:pPr>
      <w:r w:rsidRPr="000F30E1">
        <w:t xml:space="preserve"> Continuing to reduce and eliminate restrictive practices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990991" w:rsidRPr="00866299" w14:paraId="587AECEE" w14:textId="77777777" w:rsidTr="00492EFA">
        <w:trPr>
          <w:cantSplit/>
        </w:trPr>
        <w:tc>
          <w:tcPr>
            <w:tcW w:w="3652" w:type="dxa"/>
            <w:tcBorders>
              <w:top w:val="single" w:sz="4" w:space="0" w:color="auto"/>
              <w:bottom w:val="single" w:sz="4" w:space="0" w:color="auto"/>
            </w:tcBorders>
          </w:tcPr>
          <w:p w14:paraId="4CD01C03" w14:textId="77777777" w:rsidR="00990991" w:rsidRPr="00866299" w:rsidRDefault="00990991" w:rsidP="00990991">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66CF7EC5"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2019-20</w:t>
            </w:r>
          </w:p>
          <w:p w14:paraId="413F4A0C"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34087937"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2020-21</w:t>
            </w:r>
          </w:p>
          <w:p w14:paraId="441EF810"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31F69C8"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2021-22</w:t>
            </w:r>
          </w:p>
          <w:p w14:paraId="172A140C"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44FC389"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2022-23</w:t>
            </w:r>
          </w:p>
          <w:p w14:paraId="430D3AEE"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D9AA655"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Total</w:t>
            </w:r>
          </w:p>
          <w:p w14:paraId="60EBFDF8"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$’000</w:t>
            </w:r>
          </w:p>
        </w:tc>
      </w:tr>
      <w:tr w:rsidR="00990991" w:rsidRPr="00866299" w14:paraId="6F7E2388" w14:textId="77777777" w:rsidTr="00492EFA">
        <w:trPr>
          <w:cantSplit/>
        </w:trPr>
        <w:tc>
          <w:tcPr>
            <w:tcW w:w="3652" w:type="dxa"/>
            <w:tcBorders>
              <w:top w:val="single" w:sz="4" w:space="0" w:color="auto"/>
            </w:tcBorders>
          </w:tcPr>
          <w:p w14:paraId="7EE05E7E" w14:textId="77777777" w:rsidR="00990991" w:rsidRPr="00866299" w:rsidRDefault="00990991" w:rsidP="00990991">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tcBorders>
          </w:tcPr>
          <w:p w14:paraId="00960788"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74</w:t>
            </w:r>
          </w:p>
        </w:tc>
        <w:tc>
          <w:tcPr>
            <w:tcW w:w="1041" w:type="dxa"/>
            <w:tcBorders>
              <w:top w:val="single" w:sz="4" w:space="0" w:color="auto"/>
            </w:tcBorders>
            <w:shd w:val="clear" w:color="auto" w:fill="auto"/>
          </w:tcPr>
          <w:p w14:paraId="16AB9459"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152</w:t>
            </w:r>
          </w:p>
        </w:tc>
        <w:tc>
          <w:tcPr>
            <w:tcW w:w="1029" w:type="dxa"/>
            <w:tcBorders>
              <w:top w:val="single" w:sz="4" w:space="0" w:color="auto"/>
            </w:tcBorders>
            <w:shd w:val="clear" w:color="auto" w:fill="auto"/>
          </w:tcPr>
          <w:p w14:paraId="4F66C6B1"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156</w:t>
            </w:r>
          </w:p>
        </w:tc>
        <w:tc>
          <w:tcPr>
            <w:tcW w:w="1029" w:type="dxa"/>
            <w:tcBorders>
              <w:top w:val="single" w:sz="4" w:space="0" w:color="auto"/>
            </w:tcBorders>
            <w:shd w:val="clear" w:color="auto" w:fill="auto"/>
          </w:tcPr>
          <w:p w14:paraId="34E147A9"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158</w:t>
            </w:r>
          </w:p>
        </w:tc>
        <w:tc>
          <w:tcPr>
            <w:tcW w:w="1029" w:type="dxa"/>
            <w:tcBorders>
              <w:top w:val="single" w:sz="4" w:space="0" w:color="auto"/>
            </w:tcBorders>
          </w:tcPr>
          <w:p w14:paraId="4186E7F9"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540</w:t>
            </w:r>
          </w:p>
        </w:tc>
      </w:tr>
      <w:tr w:rsidR="00990991" w:rsidRPr="00866299" w14:paraId="6F7CB807" w14:textId="77777777" w:rsidTr="00492EFA">
        <w:trPr>
          <w:cantSplit/>
        </w:trPr>
        <w:tc>
          <w:tcPr>
            <w:tcW w:w="3652" w:type="dxa"/>
            <w:tcBorders>
              <w:bottom w:val="single" w:sz="4" w:space="0" w:color="auto"/>
            </w:tcBorders>
          </w:tcPr>
          <w:p w14:paraId="5525FDB5" w14:textId="77777777" w:rsidR="00990991" w:rsidRPr="00866299" w:rsidRDefault="00990991" w:rsidP="00990991">
            <w:pPr>
              <w:ind w:left="284" w:hanging="284"/>
              <w:rPr>
                <w:rFonts w:ascii="Calibri" w:hAnsi="Calibri"/>
                <w:sz w:val="22"/>
                <w:lang w:eastAsia="en-US"/>
              </w:rPr>
            </w:pPr>
            <w:r w:rsidRPr="00866299">
              <w:rPr>
                <w:rFonts w:ascii="Calibri" w:hAnsi="Calibri"/>
                <w:sz w:val="22"/>
                <w:lang w:eastAsia="en-US"/>
              </w:rPr>
              <w:t>Depreciation</w:t>
            </w:r>
          </w:p>
        </w:tc>
        <w:tc>
          <w:tcPr>
            <w:tcW w:w="1179" w:type="dxa"/>
            <w:tcBorders>
              <w:bottom w:val="single" w:sz="4" w:space="0" w:color="auto"/>
            </w:tcBorders>
            <w:shd w:val="clear" w:color="auto" w:fill="auto"/>
          </w:tcPr>
          <w:p w14:paraId="2D82F8C6"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33</w:t>
            </w:r>
          </w:p>
        </w:tc>
        <w:tc>
          <w:tcPr>
            <w:tcW w:w="1041" w:type="dxa"/>
            <w:tcBorders>
              <w:bottom w:val="single" w:sz="4" w:space="0" w:color="auto"/>
            </w:tcBorders>
            <w:shd w:val="clear" w:color="auto" w:fill="auto"/>
          </w:tcPr>
          <w:p w14:paraId="148E8C9D"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66</w:t>
            </w:r>
          </w:p>
        </w:tc>
        <w:tc>
          <w:tcPr>
            <w:tcW w:w="1029" w:type="dxa"/>
            <w:tcBorders>
              <w:bottom w:val="single" w:sz="4" w:space="0" w:color="auto"/>
            </w:tcBorders>
            <w:shd w:val="clear" w:color="auto" w:fill="auto"/>
          </w:tcPr>
          <w:p w14:paraId="3BB51DDB"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66</w:t>
            </w:r>
          </w:p>
        </w:tc>
        <w:tc>
          <w:tcPr>
            <w:tcW w:w="1029" w:type="dxa"/>
            <w:tcBorders>
              <w:bottom w:val="single" w:sz="4" w:space="0" w:color="auto"/>
            </w:tcBorders>
            <w:shd w:val="clear" w:color="auto" w:fill="auto"/>
          </w:tcPr>
          <w:p w14:paraId="2E472497"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66</w:t>
            </w:r>
          </w:p>
        </w:tc>
        <w:tc>
          <w:tcPr>
            <w:tcW w:w="1029" w:type="dxa"/>
            <w:tcBorders>
              <w:bottom w:val="single" w:sz="4" w:space="0" w:color="auto"/>
            </w:tcBorders>
            <w:shd w:val="clear" w:color="auto" w:fill="auto"/>
          </w:tcPr>
          <w:p w14:paraId="7A537A03"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231</w:t>
            </w:r>
          </w:p>
        </w:tc>
      </w:tr>
      <w:tr w:rsidR="00990991" w:rsidRPr="00866299" w14:paraId="0147B563" w14:textId="77777777" w:rsidTr="00492EFA">
        <w:trPr>
          <w:cantSplit/>
        </w:trPr>
        <w:tc>
          <w:tcPr>
            <w:tcW w:w="3652" w:type="dxa"/>
            <w:tcBorders>
              <w:top w:val="single" w:sz="4" w:space="0" w:color="auto"/>
              <w:bottom w:val="single" w:sz="4" w:space="0" w:color="auto"/>
            </w:tcBorders>
          </w:tcPr>
          <w:p w14:paraId="1EACD6F6" w14:textId="77777777" w:rsidR="00990991" w:rsidRPr="00866299" w:rsidRDefault="00990991" w:rsidP="00990991">
            <w:pPr>
              <w:ind w:left="284" w:hanging="284"/>
              <w:rPr>
                <w:rFonts w:ascii="Calibri" w:hAnsi="Calibri"/>
                <w:b/>
                <w:sz w:val="22"/>
                <w:lang w:eastAsia="en-US"/>
              </w:rPr>
            </w:pPr>
            <w:r w:rsidRPr="00866299">
              <w:rPr>
                <w:rFonts w:ascii="Calibri" w:hAnsi="Calibri"/>
                <w:b/>
                <w:sz w:val="22"/>
                <w:lang w:eastAsia="en-US"/>
              </w:rPr>
              <w:t>Total Expenses</w:t>
            </w:r>
          </w:p>
        </w:tc>
        <w:tc>
          <w:tcPr>
            <w:tcW w:w="1179" w:type="dxa"/>
            <w:tcBorders>
              <w:top w:val="single" w:sz="4" w:space="0" w:color="auto"/>
              <w:bottom w:val="single" w:sz="4" w:space="0" w:color="auto"/>
            </w:tcBorders>
          </w:tcPr>
          <w:p w14:paraId="67BF5CED"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107</w:t>
            </w:r>
          </w:p>
        </w:tc>
        <w:tc>
          <w:tcPr>
            <w:tcW w:w="1041" w:type="dxa"/>
            <w:tcBorders>
              <w:top w:val="single" w:sz="4" w:space="0" w:color="auto"/>
              <w:bottom w:val="single" w:sz="4" w:space="0" w:color="auto"/>
            </w:tcBorders>
          </w:tcPr>
          <w:p w14:paraId="335CEDD4"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218</w:t>
            </w:r>
          </w:p>
        </w:tc>
        <w:tc>
          <w:tcPr>
            <w:tcW w:w="1029" w:type="dxa"/>
            <w:tcBorders>
              <w:top w:val="single" w:sz="4" w:space="0" w:color="auto"/>
              <w:bottom w:val="single" w:sz="4" w:space="0" w:color="auto"/>
            </w:tcBorders>
          </w:tcPr>
          <w:p w14:paraId="0F1CAFEA"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222</w:t>
            </w:r>
          </w:p>
        </w:tc>
        <w:tc>
          <w:tcPr>
            <w:tcW w:w="1029" w:type="dxa"/>
            <w:tcBorders>
              <w:top w:val="single" w:sz="4" w:space="0" w:color="auto"/>
              <w:bottom w:val="single" w:sz="4" w:space="0" w:color="auto"/>
            </w:tcBorders>
          </w:tcPr>
          <w:p w14:paraId="5A956BF0"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224</w:t>
            </w:r>
          </w:p>
        </w:tc>
        <w:tc>
          <w:tcPr>
            <w:tcW w:w="1029" w:type="dxa"/>
            <w:tcBorders>
              <w:top w:val="single" w:sz="4" w:space="0" w:color="auto"/>
              <w:bottom w:val="single" w:sz="4" w:space="0" w:color="auto"/>
            </w:tcBorders>
          </w:tcPr>
          <w:p w14:paraId="315ABE6A"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771</w:t>
            </w:r>
          </w:p>
        </w:tc>
      </w:tr>
      <w:tr w:rsidR="00990991" w:rsidRPr="00866299" w14:paraId="43D5718B" w14:textId="77777777" w:rsidTr="00492EFA">
        <w:trPr>
          <w:cantSplit/>
        </w:trPr>
        <w:tc>
          <w:tcPr>
            <w:tcW w:w="3652" w:type="dxa"/>
            <w:tcBorders>
              <w:top w:val="single" w:sz="4" w:space="0" w:color="auto"/>
              <w:bottom w:val="single" w:sz="4" w:space="0" w:color="auto"/>
            </w:tcBorders>
          </w:tcPr>
          <w:p w14:paraId="37065861" w14:textId="77777777" w:rsidR="00990991" w:rsidRPr="00866299" w:rsidRDefault="00990991" w:rsidP="00990991">
            <w:pPr>
              <w:ind w:left="284" w:hanging="284"/>
              <w:rPr>
                <w:rFonts w:ascii="Calibri" w:hAnsi="Calibri"/>
                <w:sz w:val="22"/>
                <w:lang w:eastAsia="en-US"/>
              </w:rPr>
            </w:pPr>
            <w:r w:rsidRPr="00866299">
              <w:rPr>
                <w:rFonts w:ascii="Calibri" w:hAnsi="Calibri"/>
                <w:sz w:val="22"/>
                <w:lang w:eastAsia="en-US"/>
              </w:rPr>
              <w:t>Associated Capital</w:t>
            </w:r>
          </w:p>
        </w:tc>
        <w:tc>
          <w:tcPr>
            <w:tcW w:w="1179" w:type="dxa"/>
            <w:tcBorders>
              <w:top w:val="single" w:sz="4" w:space="0" w:color="auto"/>
              <w:bottom w:val="single" w:sz="4" w:space="0" w:color="auto"/>
            </w:tcBorders>
          </w:tcPr>
          <w:p w14:paraId="09794AAC"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329</w:t>
            </w:r>
          </w:p>
        </w:tc>
        <w:tc>
          <w:tcPr>
            <w:tcW w:w="1041" w:type="dxa"/>
            <w:tcBorders>
              <w:top w:val="single" w:sz="4" w:space="0" w:color="auto"/>
              <w:bottom w:val="single" w:sz="4" w:space="0" w:color="auto"/>
            </w:tcBorders>
          </w:tcPr>
          <w:p w14:paraId="0D3267BA"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61C209BC"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6BFC4FDB"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4990673D"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329</w:t>
            </w:r>
          </w:p>
        </w:tc>
      </w:tr>
    </w:tbl>
    <w:p w14:paraId="6E71A7ED" w14:textId="77777777" w:rsidR="00990991" w:rsidRPr="00990991" w:rsidRDefault="00990991" w:rsidP="00492EFA">
      <w:pPr>
        <w:pStyle w:val="snapInitbody"/>
      </w:pPr>
      <w:r w:rsidRPr="00990991">
        <w:t xml:space="preserve">The Government will continue working towards reducing and eliminating the use of restrictive practices in disability, education and Out of Home Care settings by boosting resourcing for the Office of the Senior Practitioner to implement the </w:t>
      </w:r>
      <w:r w:rsidRPr="00990991">
        <w:rPr>
          <w:i/>
        </w:rPr>
        <w:t>Senior Practitioner Act 2018</w:t>
      </w:r>
      <w:r w:rsidRPr="00990991">
        <w:t>.</w:t>
      </w:r>
    </w:p>
    <w:p w14:paraId="1944256A" w14:textId="0AD6FBF2" w:rsidR="00990991" w:rsidRPr="00990991" w:rsidRDefault="00990991" w:rsidP="00492EFA">
      <w:pPr>
        <w:pStyle w:val="snapInitbody"/>
      </w:pPr>
      <w:r w:rsidRPr="00990991">
        <w:t xml:space="preserve">The Government will also invest in the Restrictive Intervention Data System (RIDS) to facilitate better oversight of actions to reduce and eliminate restrictive practices. The system will also enable external service providers to meet their reporting obligations under the </w:t>
      </w:r>
      <w:r w:rsidRPr="00990991">
        <w:rPr>
          <w:i/>
        </w:rPr>
        <w:t>Senior Practitioner Act 2018</w:t>
      </w:r>
      <w:r w:rsidRPr="00990991">
        <w:t xml:space="preserve"> on the use of restrictive practice.</w:t>
      </w:r>
      <w:r w:rsidR="000F30E1">
        <w:t xml:space="preserve"> </w:t>
      </w:r>
    </w:p>
    <w:p w14:paraId="665BFFCA" w14:textId="77777777" w:rsidR="00990991" w:rsidRPr="000F30E1" w:rsidRDefault="00990991" w:rsidP="000F30E1">
      <w:pPr>
        <w:pStyle w:val="snapInittitles"/>
      </w:pPr>
      <w:r w:rsidRPr="000F30E1">
        <w:t xml:space="preserve">Growing the inclusion of Canberra's seniors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990991" w:rsidRPr="00866299" w14:paraId="48D4DEA7" w14:textId="77777777" w:rsidTr="00492EFA">
        <w:trPr>
          <w:cantSplit/>
        </w:trPr>
        <w:tc>
          <w:tcPr>
            <w:tcW w:w="3652" w:type="dxa"/>
            <w:tcBorders>
              <w:top w:val="single" w:sz="4" w:space="0" w:color="auto"/>
              <w:bottom w:val="single" w:sz="4" w:space="0" w:color="auto"/>
            </w:tcBorders>
          </w:tcPr>
          <w:p w14:paraId="7270CFA2" w14:textId="77777777" w:rsidR="00990991" w:rsidRPr="00866299" w:rsidRDefault="00990991" w:rsidP="00990991">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6CDA5F3A"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2019-20</w:t>
            </w:r>
          </w:p>
          <w:p w14:paraId="10842B22"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397782F4"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2020-21</w:t>
            </w:r>
          </w:p>
          <w:p w14:paraId="38E7AF0C"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B33221F"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2021-22</w:t>
            </w:r>
          </w:p>
          <w:p w14:paraId="63B0D308"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119CB699"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2022-23</w:t>
            </w:r>
          </w:p>
          <w:p w14:paraId="4415B325"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0F8668B0"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Total</w:t>
            </w:r>
          </w:p>
          <w:p w14:paraId="326ADE09"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$’000</w:t>
            </w:r>
          </w:p>
        </w:tc>
      </w:tr>
      <w:tr w:rsidR="00990991" w:rsidRPr="00866299" w14:paraId="3EED9D03" w14:textId="77777777" w:rsidTr="00492EFA">
        <w:trPr>
          <w:cantSplit/>
        </w:trPr>
        <w:tc>
          <w:tcPr>
            <w:tcW w:w="3652" w:type="dxa"/>
            <w:tcBorders>
              <w:top w:val="single" w:sz="4" w:space="0" w:color="auto"/>
              <w:bottom w:val="single" w:sz="4" w:space="0" w:color="000000"/>
            </w:tcBorders>
          </w:tcPr>
          <w:p w14:paraId="296E8F46" w14:textId="77777777" w:rsidR="00990991" w:rsidRPr="00866299" w:rsidRDefault="00990991" w:rsidP="00990991">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000000"/>
            </w:tcBorders>
          </w:tcPr>
          <w:p w14:paraId="117B4BC5"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81</w:t>
            </w:r>
          </w:p>
        </w:tc>
        <w:tc>
          <w:tcPr>
            <w:tcW w:w="1041" w:type="dxa"/>
            <w:tcBorders>
              <w:top w:val="single" w:sz="4" w:space="0" w:color="auto"/>
              <w:bottom w:val="single" w:sz="4" w:space="0" w:color="000000"/>
            </w:tcBorders>
          </w:tcPr>
          <w:p w14:paraId="42168827"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81</w:t>
            </w:r>
          </w:p>
        </w:tc>
        <w:tc>
          <w:tcPr>
            <w:tcW w:w="1029" w:type="dxa"/>
            <w:tcBorders>
              <w:top w:val="single" w:sz="4" w:space="0" w:color="auto"/>
              <w:bottom w:val="single" w:sz="4" w:space="0" w:color="000000"/>
            </w:tcBorders>
          </w:tcPr>
          <w:p w14:paraId="757213DC"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000000"/>
            </w:tcBorders>
          </w:tcPr>
          <w:p w14:paraId="3470DB01"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000000"/>
            </w:tcBorders>
          </w:tcPr>
          <w:p w14:paraId="688E8768"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162</w:t>
            </w:r>
          </w:p>
        </w:tc>
      </w:tr>
    </w:tbl>
    <w:p w14:paraId="3CAD5C13" w14:textId="77777777" w:rsidR="00990991" w:rsidRPr="00990991" w:rsidRDefault="00990991" w:rsidP="00492EFA">
      <w:pPr>
        <w:pStyle w:val="snapInitbody"/>
      </w:pPr>
      <w:r w:rsidRPr="00990991">
        <w:t>The Government will continue to support seniors in the ACT through improved resourcing for administration of the Seniors Card program and more Seniors Week events.</w:t>
      </w:r>
    </w:p>
    <w:p w14:paraId="61B21287" w14:textId="77777777" w:rsidR="00990991" w:rsidRPr="000F30E1" w:rsidRDefault="00990991" w:rsidP="000F30E1">
      <w:pPr>
        <w:pStyle w:val="snapInittitles"/>
      </w:pPr>
      <w:r w:rsidRPr="000F30E1">
        <w:t xml:space="preserve">Maintaining support for disability services in the transition to the full scheme National Disability Insurance Scheme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990991" w:rsidRPr="00866299" w14:paraId="0AA08F01" w14:textId="77777777" w:rsidTr="00492EFA">
        <w:trPr>
          <w:cantSplit/>
        </w:trPr>
        <w:tc>
          <w:tcPr>
            <w:tcW w:w="3652" w:type="dxa"/>
            <w:tcBorders>
              <w:top w:val="single" w:sz="4" w:space="0" w:color="auto"/>
              <w:bottom w:val="single" w:sz="4" w:space="0" w:color="auto"/>
            </w:tcBorders>
          </w:tcPr>
          <w:p w14:paraId="077DA5C7" w14:textId="77777777" w:rsidR="00990991" w:rsidRPr="00866299" w:rsidRDefault="00990991" w:rsidP="00990991">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7A4D89DF"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2019-20</w:t>
            </w:r>
          </w:p>
          <w:p w14:paraId="0BAF3444"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5B74B8BE"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2020-21</w:t>
            </w:r>
          </w:p>
          <w:p w14:paraId="27E03907"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5FF87983"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2021-22</w:t>
            </w:r>
          </w:p>
          <w:p w14:paraId="5A5A8ABA"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5E88F03D"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2022-23</w:t>
            </w:r>
          </w:p>
          <w:p w14:paraId="467538DD"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1A1354EC"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Total</w:t>
            </w:r>
          </w:p>
          <w:p w14:paraId="72ADA504"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$’000</w:t>
            </w:r>
          </w:p>
        </w:tc>
      </w:tr>
      <w:tr w:rsidR="00990991" w:rsidRPr="00866299" w14:paraId="7FD3A328" w14:textId="77777777" w:rsidTr="00492EFA">
        <w:trPr>
          <w:cantSplit/>
        </w:trPr>
        <w:tc>
          <w:tcPr>
            <w:tcW w:w="3652" w:type="dxa"/>
            <w:tcBorders>
              <w:top w:val="single" w:sz="4" w:space="0" w:color="auto"/>
            </w:tcBorders>
          </w:tcPr>
          <w:p w14:paraId="4C9AD947" w14:textId="77777777" w:rsidR="00990991" w:rsidRPr="00866299" w:rsidRDefault="00990991" w:rsidP="00990991">
            <w:pPr>
              <w:ind w:left="284" w:hanging="284"/>
              <w:rPr>
                <w:rFonts w:ascii="Calibri" w:hAnsi="Calibri"/>
                <w:sz w:val="22"/>
                <w:lang w:eastAsia="en-US"/>
              </w:rPr>
            </w:pPr>
            <w:r w:rsidRPr="00866299">
              <w:rPr>
                <w:rFonts w:ascii="Calibri" w:hAnsi="Calibri"/>
                <w:sz w:val="22"/>
                <w:lang w:eastAsia="en-US"/>
              </w:rPr>
              <w:t>Community Services Directorate – Expenses</w:t>
            </w:r>
          </w:p>
        </w:tc>
        <w:tc>
          <w:tcPr>
            <w:tcW w:w="1179" w:type="dxa"/>
            <w:tcBorders>
              <w:top w:val="single" w:sz="4" w:space="0" w:color="auto"/>
            </w:tcBorders>
            <w:shd w:val="clear" w:color="auto" w:fill="auto"/>
          </w:tcPr>
          <w:p w14:paraId="6B8E504F"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7,923</w:t>
            </w:r>
          </w:p>
        </w:tc>
        <w:tc>
          <w:tcPr>
            <w:tcW w:w="1041" w:type="dxa"/>
            <w:tcBorders>
              <w:top w:val="single" w:sz="4" w:space="0" w:color="auto"/>
            </w:tcBorders>
            <w:shd w:val="clear" w:color="auto" w:fill="auto"/>
          </w:tcPr>
          <w:p w14:paraId="4DABC688"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4,156</w:t>
            </w:r>
          </w:p>
        </w:tc>
        <w:tc>
          <w:tcPr>
            <w:tcW w:w="1029" w:type="dxa"/>
            <w:tcBorders>
              <w:top w:val="single" w:sz="4" w:space="0" w:color="auto"/>
            </w:tcBorders>
            <w:shd w:val="clear" w:color="auto" w:fill="auto"/>
          </w:tcPr>
          <w:p w14:paraId="51EC3588"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6,847</w:t>
            </w:r>
          </w:p>
        </w:tc>
        <w:tc>
          <w:tcPr>
            <w:tcW w:w="1029" w:type="dxa"/>
            <w:tcBorders>
              <w:top w:val="single" w:sz="4" w:space="0" w:color="auto"/>
            </w:tcBorders>
            <w:shd w:val="clear" w:color="auto" w:fill="auto"/>
          </w:tcPr>
          <w:p w14:paraId="6DCE9259"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9,707</w:t>
            </w:r>
          </w:p>
        </w:tc>
        <w:tc>
          <w:tcPr>
            <w:tcW w:w="1029" w:type="dxa"/>
            <w:tcBorders>
              <w:top w:val="single" w:sz="4" w:space="0" w:color="auto"/>
            </w:tcBorders>
            <w:shd w:val="clear" w:color="auto" w:fill="auto"/>
          </w:tcPr>
          <w:p w14:paraId="28D14869"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28,633</w:t>
            </w:r>
          </w:p>
        </w:tc>
      </w:tr>
      <w:tr w:rsidR="00990991" w:rsidRPr="00866299" w14:paraId="19F0DC2F" w14:textId="77777777" w:rsidTr="00492EFA">
        <w:trPr>
          <w:cantSplit/>
        </w:trPr>
        <w:tc>
          <w:tcPr>
            <w:tcW w:w="3652" w:type="dxa"/>
          </w:tcPr>
          <w:p w14:paraId="75272C84" w14:textId="77777777" w:rsidR="00990991" w:rsidRPr="00866299" w:rsidRDefault="00990991" w:rsidP="00990991">
            <w:pPr>
              <w:ind w:left="284" w:hanging="284"/>
              <w:rPr>
                <w:rFonts w:ascii="Calibri" w:hAnsi="Calibri"/>
                <w:sz w:val="22"/>
                <w:lang w:eastAsia="en-US"/>
              </w:rPr>
            </w:pPr>
            <w:r w:rsidRPr="00866299">
              <w:rPr>
                <w:rFonts w:ascii="Calibri" w:hAnsi="Calibri"/>
                <w:sz w:val="22"/>
                <w:lang w:eastAsia="en-US"/>
              </w:rPr>
              <w:t>ACT Health – Expense</w:t>
            </w:r>
          </w:p>
        </w:tc>
        <w:tc>
          <w:tcPr>
            <w:tcW w:w="1179" w:type="dxa"/>
          </w:tcPr>
          <w:p w14:paraId="7AE3AEDF"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2,854</w:t>
            </w:r>
          </w:p>
        </w:tc>
        <w:tc>
          <w:tcPr>
            <w:tcW w:w="1041" w:type="dxa"/>
          </w:tcPr>
          <w:p w14:paraId="0BB8A903"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2,925</w:t>
            </w:r>
          </w:p>
        </w:tc>
        <w:tc>
          <w:tcPr>
            <w:tcW w:w="1029" w:type="dxa"/>
          </w:tcPr>
          <w:p w14:paraId="46387F47"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2,998</w:t>
            </w:r>
          </w:p>
        </w:tc>
        <w:tc>
          <w:tcPr>
            <w:tcW w:w="1029" w:type="dxa"/>
          </w:tcPr>
          <w:p w14:paraId="0077A090"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3,073</w:t>
            </w:r>
          </w:p>
        </w:tc>
        <w:tc>
          <w:tcPr>
            <w:tcW w:w="1029" w:type="dxa"/>
          </w:tcPr>
          <w:p w14:paraId="085758A8"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11,850</w:t>
            </w:r>
          </w:p>
        </w:tc>
      </w:tr>
      <w:tr w:rsidR="00990991" w:rsidRPr="00866299" w14:paraId="0822F355" w14:textId="77777777" w:rsidTr="00492EFA">
        <w:trPr>
          <w:cantSplit/>
        </w:trPr>
        <w:tc>
          <w:tcPr>
            <w:tcW w:w="3652" w:type="dxa"/>
          </w:tcPr>
          <w:p w14:paraId="483BAA10" w14:textId="77777777" w:rsidR="00990991" w:rsidRPr="00866299" w:rsidRDefault="00990991" w:rsidP="00990991">
            <w:pPr>
              <w:ind w:left="284" w:hanging="284"/>
              <w:rPr>
                <w:rFonts w:ascii="Calibri" w:hAnsi="Calibri"/>
                <w:sz w:val="22"/>
                <w:lang w:eastAsia="en-US"/>
              </w:rPr>
            </w:pPr>
            <w:r w:rsidRPr="00866299">
              <w:rPr>
                <w:rFonts w:ascii="Calibri" w:hAnsi="Calibri"/>
                <w:sz w:val="22"/>
                <w:lang w:eastAsia="en-US"/>
              </w:rPr>
              <w:t>ACT Health – Offset Health Funding Envelope</w:t>
            </w:r>
          </w:p>
        </w:tc>
        <w:tc>
          <w:tcPr>
            <w:tcW w:w="1179" w:type="dxa"/>
          </w:tcPr>
          <w:p w14:paraId="33F805BC"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-1,179</w:t>
            </w:r>
          </w:p>
        </w:tc>
        <w:tc>
          <w:tcPr>
            <w:tcW w:w="1041" w:type="dxa"/>
          </w:tcPr>
          <w:p w14:paraId="4D00DE41"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-1,208</w:t>
            </w:r>
          </w:p>
        </w:tc>
        <w:tc>
          <w:tcPr>
            <w:tcW w:w="1029" w:type="dxa"/>
          </w:tcPr>
          <w:p w14:paraId="355B3F1A"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-1,239</w:t>
            </w:r>
          </w:p>
        </w:tc>
        <w:tc>
          <w:tcPr>
            <w:tcW w:w="1029" w:type="dxa"/>
          </w:tcPr>
          <w:p w14:paraId="089099F9"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-1,270</w:t>
            </w:r>
          </w:p>
        </w:tc>
        <w:tc>
          <w:tcPr>
            <w:tcW w:w="1029" w:type="dxa"/>
          </w:tcPr>
          <w:p w14:paraId="2E6F8A8C"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-4,896</w:t>
            </w:r>
          </w:p>
        </w:tc>
      </w:tr>
      <w:tr w:rsidR="00990991" w:rsidRPr="00866299" w14:paraId="7E3B157A" w14:textId="77777777" w:rsidTr="00492EFA">
        <w:trPr>
          <w:cantSplit/>
        </w:trPr>
        <w:tc>
          <w:tcPr>
            <w:tcW w:w="3652" w:type="dxa"/>
            <w:tcBorders>
              <w:bottom w:val="single" w:sz="4" w:space="0" w:color="auto"/>
            </w:tcBorders>
          </w:tcPr>
          <w:p w14:paraId="3FDDA885" w14:textId="77777777" w:rsidR="00990991" w:rsidRPr="00866299" w:rsidRDefault="00990991" w:rsidP="00990991">
            <w:pPr>
              <w:ind w:left="284" w:hanging="284"/>
              <w:rPr>
                <w:rFonts w:ascii="Calibri" w:hAnsi="Calibri"/>
                <w:sz w:val="22"/>
                <w:lang w:eastAsia="en-US"/>
              </w:rPr>
            </w:pPr>
            <w:r w:rsidRPr="00866299">
              <w:rPr>
                <w:rFonts w:ascii="Calibri" w:hAnsi="Calibri"/>
                <w:sz w:val="22"/>
                <w:lang w:eastAsia="en-US"/>
              </w:rPr>
              <w:t>Chief Minister, Treasury and Economic Development Directorate – Expense</w:t>
            </w:r>
          </w:p>
        </w:tc>
        <w:tc>
          <w:tcPr>
            <w:tcW w:w="1179" w:type="dxa"/>
            <w:tcBorders>
              <w:bottom w:val="single" w:sz="4" w:space="0" w:color="auto"/>
            </w:tcBorders>
          </w:tcPr>
          <w:p w14:paraId="3596C957"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1,200</w:t>
            </w:r>
          </w:p>
        </w:tc>
        <w:tc>
          <w:tcPr>
            <w:tcW w:w="1041" w:type="dxa"/>
            <w:tcBorders>
              <w:bottom w:val="single" w:sz="4" w:space="0" w:color="auto"/>
            </w:tcBorders>
          </w:tcPr>
          <w:p w14:paraId="74B6CBF8"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1,230</w:t>
            </w:r>
          </w:p>
        </w:tc>
        <w:tc>
          <w:tcPr>
            <w:tcW w:w="1029" w:type="dxa"/>
            <w:tcBorders>
              <w:bottom w:val="single" w:sz="4" w:space="0" w:color="auto"/>
            </w:tcBorders>
          </w:tcPr>
          <w:p w14:paraId="23BBE03B"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1,261</w:t>
            </w:r>
          </w:p>
        </w:tc>
        <w:tc>
          <w:tcPr>
            <w:tcW w:w="1029" w:type="dxa"/>
            <w:tcBorders>
              <w:bottom w:val="single" w:sz="4" w:space="0" w:color="auto"/>
            </w:tcBorders>
          </w:tcPr>
          <w:p w14:paraId="79960A14"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1,292</w:t>
            </w:r>
          </w:p>
        </w:tc>
        <w:tc>
          <w:tcPr>
            <w:tcW w:w="1029" w:type="dxa"/>
            <w:tcBorders>
              <w:bottom w:val="single" w:sz="4" w:space="0" w:color="auto"/>
            </w:tcBorders>
          </w:tcPr>
          <w:p w14:paraId="0C0D8885"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4,983</w:t>
            </w:r>
          </w:p>
        </w:tc>
      </w:tr>
      <w:tr w:rsidR="00990991" w:rsidRPr="00866299" w14:paraId="3BFC8382" w14:textId="77777777" w:rsidTr="00492EFA">
        <w:trPr>
          <w:cantSplit/>
        </w:trPr>
        <w:tc>
          <w:tcPr>
            <w:tcW w:w="3652" w:type="dxa"/>
            <w:tcBorders>
              <w:top w:val="single" w:sz="4" w:space="0" w:color="auto"/>
              <w:bottom w:val="single" w:sz="4" w:space="0" w:color="auto"/>
            </w:tcBorders>
          </w:tcPr>
          <w:p w14:paraId="3BB3EE3E" w14:textId="77777777" w:rsidR="00990991" w:rsidRPr="00866299" w:rsidRDefault="00990991" w:rsidP="00990991">
            <w:pPr>
              <w:ind w:left="284" w:hanging="284"/>
              <w:rPr>
                <w:rFonts w:ascii="Calibri" w:hAnsi="Calibri"/>
                <w:b/>
                <w:sz w:val="22"/>
                <w:lang w:eastAsia="en-US"/>
              </w:rPr>
            </w:pPr>
            <w:r w:rsidRPr="00866299">
              <w:rPr>
                <w:rFonts w:ascii="Calibri" w:hAnsi="Calibri"/>
                <w:b/>
                <w:sz w:val="22"/>
                <w:lang w:eastAsia="en-US"/>
              </w:rPr>
              <w:t>Net Expense</w:t>
            </w:r>
          </w:p>
        </w:tc>
        <w:tc>
          <w:tcPr>
            <w:tcW w:w="1179" w:type="dxa"/>
            <w:tcBorders>
              <w:top w:val="single" w:sz="4" w:space="0" w:color="auto"/>
              <w:bottom w:val="single" w:sz="4" w:space="0" w:color="auto"/>
            </w:tcBorders>
          </w:tcPr>
          <w:p w14:paraId="00C7A35C"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10,798</w:t>
            </w:r>
          </w:p>
        </w:tc>
        <w:tc>
          <w:tcPr>
            <w:tcW w:w="1041" w:type="dxa"/>
            <w:tcBorders>
              <w:top w:val="single" w:sz="4" w:space="0" w:color="auto"/>
              <w:bottom w:val="single" w:sz="4" w:space="0" w:color="auto"/>
            </w:tcBorders>
          </w:tcPr>
          <w:p w14:paraId="05D2A3F1"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7,103</w:t>
            </w:r>
          </w:p>
        </w:tc>
        <w:tc>
          <w:tcPr>
            <w:tcW w:w="1029" w:type="dxa"/>
            <w:tcBorders>
              <w:top w:val="single" w:sz="4" w:space="0" w:color="auto"/>
              <w:bottom w:val="single" w:sz="4" w:space="0" w:color="auto"/>
            </w:tcBorders>
          </w:tcPr>
          <w:p w14:paraId="7CE80BC5"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9,867</w:t>
            </w:r>
          </w:p>
        </w:tc>
        <w:tc>
          <w:tcPr>
            <w:tcW w:w="1029" w:type="dxa"/>
            <w:tcBorders>
              <w:top w:val="single" w:sz="4" w:space="0" w:color="auto"/>
              <w:bottom w:val="single" w:sz="4" w:space="0" w:color="auto"/>
            </w:tcBorders>
          </w:tcPr>
          <w:p w14:paraId="6D188B3E"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12,802</w:t>
            </w:r>
          </w:p>
        </w:tc>
        <w:tc>
          <w:tcPr>
            <w:tcW w:w="1029" w:type="dxa"/>
            <w:tcBorders>
              <w:top w:val="single" w:sz="4" w:space="0" w:color="auto"/>
              <w:bottom w:val="single" w:sz="4" w:space="0" w:color="auto"/>
            </w:tcBorders>
          </w:tcPr>
          <w:p w14:paraId="61A2C215"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40,570</w:t>
            </w:r>
          </w:p>
        </w:tc>
      </w:tr>
      <w:tr w:rsidR="00990991" w:rsidRPr="00866299" w14:paraId="6D56AFF1" w14:textId="77777777" w:rsidTr="00492EFA">
        <w:trPr>
          <w:cantSplit/>
        </w:trPr>
        <w:tc>
          <w:tcPr>
            <w:tcW w:w="3652" w:type="dxa"/>
            <w:tcBorders>
              <w:top w:val="single" w:sz="4" w:space="0" w:color="auto"/>
              <w:bottom w:val="single" w:sz="4" w:space="0" w:color="auto"/>
            </w:tcBorders>
          </w:tcPr>
          <w:p w14:paraId="614DF0EF" w14:textId="77777777" w:rsidR="00990991" w:rsidRPr="00866299" w:rsidRDefault="00990991" w:rsidP="00990991">
            <w:pPr>
              <w:ind w:left="284" w:hanging="284"/>
              <w:rPr>
                <w:rFonts w:ascii="Calibri" w:hAnsi="Calibri"/>
                <w:sz w:val="22"/>
                <w:lang w:eastAsia="en-US"/>
              </w:rPr>
            </w:pPr>
            <w:r w:rsidRPr="00866299">
              <w:rPr>
                <w:rFonts w:ascii="Calibri" w:hAnsi="Calibri"/>
                <w:sz w:val="22"/>
                <w:lang w:eastAsia="en-US"/>
              </w:rPr>
              <w:t>ACT Health – Associated Revenue</w:t>
            </w:r>
          </w:p>
        </w:tc>
        <w:tc>
          <w:tcPr>
            <w:tcW w:w="1179" w:type="dxa"/>
            <w:tcBorders>
              <w:top w:val="single" w:sz="4" w:space="0" w:color="auto"/>
              <w:bottom w:val="single" w:sz="4" w:space="0" w:color="auto"/>
            </w:tcBorders>
          </w:tcPr>
          <w:p w14:paraId="0620F172"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1,675</w:t>
            </w:r>
          </w:p>
        </w:tc>
        <w:tc>
          <w:tcPr>
            <w:tcW w:w="1041" w:type="dxa"/>
            <w:tcBorders>
              <w:top w:val="single" w:sz="4" w:space="0" w:color="auto"/>
              <w:bottom w:val="single" w:sz="4" w:space="0" w:color="auto"/>
            </w:tcBorders>
          </w:tcPr>
          <w:p w14:paraId="38DB561E"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1,717</w:t>
            </w:r>
          </w:p>
        </w:tc>
        <w:tc>
          <w:tcPr>
            <w:tcW w:w="1029" w:type="dxa"/>
            <w:tcBorders>
              <w:top w:val="single" w:sz="4" w:space="0" w:color="auto"/>
              <w:bottom w:val="single" w:sz="4" w:space="0" w:color="auto"/>
            </w:tcBorders>
          </w:tcPr>
          <w:p w14:paraId="51837D1C"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1,759</w:t>
            </w:r>
          </w:p>
        </w:tc>
        <w:tc>
          <w:tcPr>
            <w:tcW w:w="1029" w:type="dxa"/>
            <w:tcBorders>
              <w:top w:val="single" w:sz="4" w:space="0" w:color="auto"/>
              <w:bottom w:val="single" w:sz="4" w:space="0" w:color="auto"/>
            </w:tcBorders>
          </w:tcPr>
          <w:p w14:paraId="3C638E90"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1,803</w:t>
            </w:r>
          </w:p>
        </w:tc>
        <w:tc>
          <w:tcPr>
            <w:tcW w:w="1029" w:type="dxa"/>
            <w:tcBorders>
              <w:top w:val="single" w:sz="4" w:space="0" w:color="auto"/>
              <w:bottom w:val="single" w:sz="4" w:space="0" w:color="auto"/>
            </w:tcBorders>
          </w:tcPr>
          <w:p w14:paraId="5260F9A9"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6,954</w:t>
            </w:r>
          </w:p>
        </w:tc>
      </w:tr>
    </w:tbl>
    <w:p w14:paraId="31A8B1CE" w14:textId="77777777" w:rsidR="00990991" w:rsidRPr="00990991" w:rsidRDefault="00990991" w:rsidP="00492EFA">
      <w:pPr>
        <w:pStyle w:val="snapInitbody"/>
      </w:pPr>
      <w:r w:rsidRPr="00990991">
        <w:t>The ACT Government will continue to grow our investment in support for Canberrans with disability in line with the full scheme arrangements for the National Disability Insurance Scheme from 1 July 2019. At the same time, the Government will make further investments to maintain existing disability services that are not eligible to be considered as in-kind contributions to the NDIS. This will ensure that these services remain free and accessible for Canberrans with disability who are not currently receiving an individual support package through the NDIS. These services include the:</w:t>
      </w:r>
    </w:p>
    <w:p w14:paraId="2FB9EC0D" w14:textId="77777777" w:rsidR="00990991" w:rsidRPr="00990991" w:rsidRDefault="00990991" w:rsidP="00492EFA">
      <w:pPr>
        <w:pStyle w:val="snapInitbullet1"/>
      </w:pPr>
      <w:r w:rsidRPr="00990991">
        <w:t xml:space="preserve">Children and Young People’s Equipment Loan Scheme which provides specialist paediatric equipment and assistive technology to young people with disability, their </w:t>
      </w:r>
      <w:proofErr w:type="spellStart"/>
      <w:r w:rsidRPr="00990991">
        <w:t>carers</w:t>
      </w:r>
      <w:proofErr w:type="spellEnd"/>
      <w:r w:rsidRPr="00990991">
        <w:t xml:space="preserve"> and health professionals.</w:t>
      </w:r>
    </w:p>
    <w:p w14:paraId="0AA17BC1" w14:textId="77777777" w:rsidR="00990991" w:rsidRPr="00990991" w:rsidRDefault="00990991" w:rsidP="00492EFA">
      <w:pPr>
        <w:pStyle w:val="snapInitbullet1"/>
      </w:pPr>
      <w:r w:rsidRPr="00990991">
        <w:t>Child Development Service, which offers assessment, referral, information and linkages for children 0-6 years where there are concerns relating to their development.</w:t>
      </w:r>
    </w:p>
    <w:p w14:paraId="70154419" w14:textId="77777777" w:rsidR="00990991" w:rsidRPr="00990991" w:rsidRDefault="00990991" w:rsidP="00492EFA">
      <w:pPr>
        <w:pStyle w:val="snapInitbullet1"/>
      </w:pPr>
      <w:r w:rsidRPr="00990991">
        <w:t xml:space="preserve">ACT Taxi Subsidy Scheme which supports NDIS participants and other eligible Canberrans with their transport needs by subsidising regular taxi trips. </w:t>
      </w:r>
    </w:p>
    <w:p w14:paraId="7AE25AA1" w14:textId="77777777" w:rsidR="00990991" w:rsidRPr="00990991" w:rsidRDefault="00990991" w:rsidP="00492EFA">
      <w:pPr>
        <w:pStyle w:val="snapInitbullet1"/>
      </w:pPr>
      <w:r w:rsidRPr="00990991">
        <w:t>Integrated Service Response Program which provides coordination, connection and emergency funding for people with disability with high and complex support needs not currently being met by the NDIS.</w:t>
      </w:r>
    </w:p>
    <w:p w14:paraId="58BBD3E3" w14:textId="77777777" w:rsidR="00990991" w:rsidRPr="00990991" w:rsidRDefault="00990991" w:rsidP="00492EFA">
      <w:pPr>
        <w:pStyle w:val="snapInitbullet1"/>
      </w:pPr>
      <w:r w:rsidRPr="00990991">
        <w:t>Rehabilitation, Aged and Community Care initiative which supports integrated and effective services for rehabilitation, aged care and community care throughout the ACT, including healthcare and support for people with acute, post-acute, and long-term illnesses.</w:t>
      </w:r>
    </w:p>
    <w:p w14:paraId="38BC9FFB" w14:textId="6EA827DE" w:rsidR="00990991" w:rsidRPr="007A3A72" w:rsidRDefault="00990991" w:rsidP="007A3A72">
      <w:pPr>
        <w:pStyle w:val="Heading3"/>
      </w:pPr>
      <w:r w:rsidRPr="007A3A72">
        <w:t xml:space="preserve">Children, </w:t>
      </w:r>
      <w:r w:rsidR="00B2594F">
        <w:t>Y</w:t>
      </w:r>
      <w:r w:rsidRPr="007A3A72">
        <w:t xml:space="preserve">outh and </w:t>
      </w:r>
      <w:r w:rsidR="00B2594F">
        <w:t>F</w:t>
      </w:r>
      <w:r w:rsidRPr="007A3A72">
        <w:t xml:space="preserve">amily </w:t>
      </w:r>
      <w:r w:rsidR="00B2594F">
        <w:t>S</w:t>
      </w:r>
      <w:r w:rsidRPr="007A3A72">
        <w:t>ervices</w:t>
      </w:r>
    </w:p>
    <w:p w14:paraId="375224F8" w14:textId="77777777" w:rsidR="00990991" w:rsidRPr="000F30E1" w:rsidRDefault="00990991" w:rsidP="000F30E1">
      <w:pPr>
        <w:pStyle w:val="snapInittitles"/>
      </w:pPr>
      <w:r w:rsidRPr="000F30E1">
        <w:t xml:space="preserve">Strengthening services for Aboriginal and Torres Strait Islander children and young people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990991" w:rsidRPr="00866299" w14:paraId="42F60D73" w14:textId="77777777" w:rsidTr="00492EFA">
        <w:trPr>
          <w:cantSplit/>
        </w:trPr>
        <w:tc>
          <w:tcPr>
            <w:tcW w:w="3652" w:type="dxa"/>
            <w:tcBorders>
              <w:top w:val="single" w:sz="4" w:space="0" w:color="auto"/>
              <w:bottom w:val="single" w:sz="4" w:space="0" w:color="auto"/>
            </w:tcBorders>
          </w:tcPr>
          <w:p w14:paraId="65610E31" w14:textId="77777777" w:rsidR="00990991" w:rsidRPr="00866299" w:rsidRDefault="00990991" w:rsidP="00990991">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576A4E4F"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2019-20</w:t>
            </w:r>
          </w:p>
          <w:p w14:paraId="244B04BE"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6D01B0E8"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2020-21</w:t>
            </w:r>
          </w:p>
          <w:p w14:paraId="74ECA3D9"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3556A781"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2021-22</w:t>
            </w:r>
          </w:p>
          <w:p w14:paraId="5864DA73"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301D5EC5"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2022-23</w:t>
            </w:r>
          </w:p>
          <w:p w14:paraId="71C9821B"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5A913E24"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Total</w:t>
            </w:r>
          </w:p>
          <w:p w14:paraId="1109E07E"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$’000</w:t>
            </w:r>
          </w:p>
        </w:tc>
      </w:tr>
      <w:tr w:rsidR="00990991" w:rsidRPr="00866299" w14:paraId="539339D1" w14:textId="77777777" w:rsidTr="00492EFA">
        <w:trPr>
          <w:cantSplit/>
        </w:trPr>
        <w:tc>
          <w:tcPr>
            <w:tcW w:w="3652" w:type="dxa"/>
            <w:tcBorders>
              <w:top w:val="single" w:sz="4" w:space="0" w:color="auto"/>
              <w:bottom w:val="single" w:sz="4" w:space="0" w:color="000000"/>
            </w:tcBorders>
          </w:tcPr>
          <w:p w14:paraId="746EE026" w14:textId="77777777" w:rsidR="00990991" w:rsidRPr="00866299" w:rsidRDefault="00990991" w:rsidP="00990991">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000000"/>
            </w:tcBorders>
          </w:tcPr>
          <w:p w14:paraId="5C99F6CE"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420</w:t>
            </w:r>
          </w:p>
        </w:tc>
        <w:tc>
          <w:tcPr>
            <w:tcW w:w="1041" w:type="dxa"/>
            <w:tcBorders>
              <w:top w:val="single" w:sz="4" w:space="0" w:color="auto"/>
              <w:bottom w:val="single" w:sz="4" w:space="0" w:color="000000"/>
            </w:tcBorders>
          </w:tcPr>
          <w:p w14:paraId="199E3759"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431</w:t>
            </w:r>
          </w:p>
        </w:tc>
        <w:tc>
          <w:tcPr>
            <w:tcW w:w="1029" w:type="dxa"/>
            <w:tcBorders>
              <w:top w:val="single" w:sz="4" w:space="0" w:color="auto"/>
              <w:bottom w:val="single" w:sz="4" w:space="0" w:color="000000"/>
            </w:tcBorders>
          </w:tcPr>
          <w:p w14:paraId="65BE0422"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443</w:t>
            </w:r>
          </w:p>
        </w:tc>
        <w:tc>
          <w:tcPr>
            <w:tcW w:w="1029" w:type="dxa"/>
            <w:tcBorders>
              <w:top w:val="single" w:sz="4" w:space="0" w:color="auto"/>
              <w:bottom w:val="single" w:sz="4" w:space="0" w:color="000000"/>
            </w:tcBorders>
          </w:tcPr>
          <w:p w14:paraId="45B16C09"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450</w:t>
            </w:r>
          </w:p>
        </w:tc>
        <w:tc>
          <w:tcPr>
            <w:tcW w:w="1029" w:type="dxa"/>
            <w:tcBorders>
              <w:top w:val="single" w:sz="4" w:space="0" w:color="auto"/>
              <w:bottom w:val="single" w:sz="4" w:space="0" w:color="000000"/>
            </w:tcBorders>
          </w:tcPr>
          <w:p w14:paraId="428A6D63"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1,744</w:t>
            </w:r>
          </w:p>
        </w:tc>
      </w:tr>
    </w:tbl>
    <w:p w14:paraId="521DF25F" w14:textId="77777777" w:rsidR="00990991" w:rsidRPr="00990991" w:rsidRDefault="00990991" w:rsidP="00492EFA">
      <w:pPr>
        <w:pStyle w:val="snapInitbody"/>
      </w:pPr>
      <w:r w:rsidRPr="00990991">
        <w:t xml:space="preserve">The Government will continue implementing recommendations of the </w:t>
      </w:r>
      <w:r w:rsidRPr="00990991">
        <w:rPr>
          <w:i/>
        </w:rPr>
        <w:t xml:space="preserve">Our </w:t>
      </w:r>
      <w:proofErr w:type="spellStart"/>
      <w:r w:rsidRPr="00990991">
        <w:rPr>
          <w:i/>
        </w:rPr>
        <w:t>Booris</w:t>
      </w:r>
      <w:proofErr w:type="spellEnd"/>
      <w:r w:rsidRPr="00990991">
        <w:rPr>
          <w:i/>
        </w:rPr>
        <w:t xml:space="preserve">, Our Way </w:t>
      </w:r>
      <w:r w:rsidRPr="00990991">
        <w:t xml:space="preserve">Review to address the over­representation of Aboriginal and Torres Strait Islander children in out of home care. This investment will support training and workforce development to increase the </w:t>
      </w:r>
      <w:r w:rsidRPr="00990991">
        <w:rPr>
          <w:szCs w:val="24"/>
        </w:rPr>
        <w:t>cultural proficiency of staff; implementation of the National Aboriginal and Torres Strait Islander Child Placement Principles within policy, practice and training; and continuation of Family Group Conferencing</w:t>
      </w:r>
      <w:r w:rsidRPr="00990991">
        <w:t>.</w:t>
      </w:r>
    </w:p>
    <w:p w14:paraId="61E8127B" w14:textId="77777777" w:rsidR="00990991" w:rsidRPr="000F30E1" w:rsidRDefault="00990991" w:rsidP="000F30E1">
      <w:pPr>
        <w:pStyle w:val="snapInittitles"/>
      </w:pPr>
      <w:r w:rsidRPr="000F30E1">
        <w:t xml:space="preserve">Supporting sustainable Out of Home Care placements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990991" w:rsidRPr="00866299" w14:paraId="53DFA734" w14:textId="77777777" w:rsidTr="00492EFA">
        <w:trPr>
          <w:cantSplit/>
        </w:trPr>
        <w:tc>
          <w:tcPr>
            <w:tcW w:w="3652" w:type="dxa"/>
            <w:tcBorders>
              <w:top w:val="single" w:sz="4" w:space="0" w:color="auto"/>
              <w:bottom w:val="single" w:sz="4" w:space="0" w:color="auto"/>
            </w:tcBorders>
          </w:tcPr>
          <w:p w14:paraId="1F19EF13" w14:textId="77777777" w:rsidR="00990991" w:rsidRPr="00866299" w:rsidRDefault="00990991" w:rsidP="00990991">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40F55F14"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2019-20</w:t>
            </w:r>
          </w:p>
          <w:p w14:paraId="204D5E6E"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532C6578"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2020-21</w:t>
            </w:r>
          </w:p>
          <w:p w14:paraId="693D9FAE"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C23D669"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2021-22</w:t>
            </w:r>
          </w:p>
          <w:p w14:paraId="05E5722F"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E5A2840"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2022-23</w:t>
            </w:r>
          </w:p>
          <w:p w14:paraId="73C6FB69"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33A7D505"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Total</w:t>
            </w:r>
          </w:p>
          <w:p w14:paraId="48A3ED9E"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$’000</w:t>
            </w:r>
          </w:p>
        </w:tc>
      </w:tr>
      <w:tr w:rsidR="00990991" w:rsidRPr="00866299" w14:paraId="65ECF768" w14:textId="77777777" w:rsidTr="00492EFA">
        <w:trPr>
          <w:cantSplit/>
        </w:trPr>
        <w:tc>
          <w:tcPr>
            <w:tcW w:w="3652" w:type="dxa"/>
            <w:tcBorders>
              <w:top w:val="single" w:sz="4" w:space="0" w:color="auto"/>
            </w:tcBorders>
          </w:tcPr>
          <w:p w14:paraId="461E69CE" w14:textId="77777777" w:rsidR="00990991" w:rsidRPr="00866299" w:rsidRDefault="00990991" w:rsidP="00990991">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tcBorders>
          </w:tcPr>
          <w:p w14:paraId="17CDDD9A"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9,822</w:t>
            </w:r>
          </w:p>
        </w:tc>
        <w:tc>
          <w:tcPr>
            <w:tcW w:w="1041" w:type="dxa"/>
            <w:tcBorders>
              <w:top w:val="single" w:sz="4" w:space="0" w:color="auto"/>
            </w:tcBorders>
          </w:tcPr>
          <w:p w14:paraId="4FBB27A6"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3,648</w:t>
            </w:r>
          </w:p>
        </w:tc>
        <w:tc>
          <w:tcPr>
            <w:tcW w:w="1029" w:type="dxa"/>
            <w:tcBorders>
              <w:top w:val="single" w:sz="4" w:space="0" w:color="auto"/>
            </w:tcBorders>
          </w:tcPr>
          <w:p w14:paraId="59ECE8D0"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1,596</w:t>
            </w:r>
          </w:p>
        </w:tc>
        <w:tc>
          <w:tcPr>
            <w:tcW w:w="1029" w:type="dxa"/>
            <w:tcBorders>
              <w:top w:val="single" w:sz="4" w:space="0" w:color="auto"/>
            </w:tcBorders>
          </w:tcPr>
          <w:p w14:paraId="70AC67C6"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1,475</w:t>
            </w:r>
          </w:p>
        </w:tc>
        <w:tc>
          <w:tcPr>
            <w:tcW w:w="1029" w:type="dxa"/>
            <w:tcBorders>
              <w:top w:val="single" w:sz="4" w:space="0" w:color="auto"/>
            </w:tcBorders>
          </w:tcPr>
          <w:p w14:paraId="21160C92"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16,541</w:t>
            </w:r>
          </w:p>
        </w:tc>
      </w:tr>
      <w:tr w:rsidR="00990991" w:rsidRPr="00866299" w14:paraId="343AC929" w14:textId="77777777" w:rsidTr="00492EFA">
        <w:trPr>
          <w:cantSplit/>
        </w:trPr>
        <w:tc>
          <w:tcPr>
            <w:tcW w:w="3652" w:type="dxa"/>
          </w:tcPr>
          <w:p w14:paraId="4EDC3DBA" w14:textId="77777777" w:rsidR="00990991" w:rsidRPr="00866299" w:rsidRDefault="00990991" w:rsidP="00990991">
            <w:pPr>
              <w:ind w:left="284" w:hanging="284"/>
              <w:rPr>
                <w:rFonts w:ascii="Calibri" w:hAnsi="Calibri"/>
                <w:sz w:val="22"/>
                <w:lang w:eastAsia="en-US"/>
              </w:rPr>
            </w:pPr>
            <w:r w:rsidRPr="00866299">
              <w:rPr>
                <w:rFonts w:ascii="Calibri" w:hAnsi="Calibri"/>
                <w:sz w:val="22"/>
                <w:lang w:eastAsia="en-US"/>
              </w:rPr>
              <w:t>Expenses – Provision</w:t>
            </w:r>
          </w:p>
        </w:tc>
        <w:tc>
          <w:tcPr>
            <w:tcW w:w="1179" w:type="dxa"/>
            <w:shd w:val="clear" w:color="auto" w:fill="auto"/>
          </w:tcPr>
          <w:p w14:paraId="7238E674"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w:t>
            </w:r>
          </w:p>
        </w:tc>
        <w:tc>
          <w:tcPr>
            <w:tcW w:w="1041" w:type="dxa"/>
            <w:shd w:val="clear" w:color="auto" w:fill="auto"/>
          </w:tcPr>
          <w:p w14:paraId="0BEDE0D6"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6,360</w:t>
            </w:r>
          </w:p>
        </w:tc>
        <w:tc>
          <w:tcPr>
            <w:tcW w:w="1029" w:type="dxa"/>
            <w:shd w:val="clear" w:color="auto" w:fill="auto"/>
          </w:tcPr>
          <w:p w14:paraId="3FD72C69"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8,092</w:t>
            </w:r>
          </w:p>
        </w:tc>
        <w:tc>
          <w:tcPr>
            <w:tcW w:w="1029" w:type="dxa"/>
            <w:shd w:val="clear" w:color="auto" w:fill="auto"/>
          </w:tcPr>
          <w:p w14:paraId="3CCF9A9A"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8,764</w:t>
            </w:r>
          </w:p>
        </w:tc>
        <w:tc>
          <w:tcPr>
            <w:tcW w:w="1029" w:type="dxa"/>
            <w:shd w:val="clear" w:color="auto" w:fill="auto"/>
          </w:tcPr>
          <w:p w14:paraId="036AD35A"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23,216</w:t>
            </w:r>
          </w:p>
        </w:tc>
      </w:tr>
      <w:tr w:rsidR="00990991" w:rsidRPr="00866299" w14:paraId="18B7178C" w14:textId="77777777" w:rsidTr="00492EFA">
        <w:trPr>
          <w:cantSplit/>
        </w:trPr>
        <w:tc>
          <w:tcPr>
            <w:tcW w:w="3652" w:type="dxa"/>
            <w:tcBorders>
              <w:top w:val="single" w:sz="4" w:space="0" w:color="auto"/>
              <w:bottom w:val="single" w:sz="4" w:space="0" w:color="auto"/>
            </w:tcBorders>
          </w:tcPr>
          <w:p w14:paraId="4E43FCD7" w14:textId="77777777" w:rsidR="00990991" w:rsidRPr="00866299" w:rsidRDefault="00990991" w:rsidP="00990991">
            <w:pPr>
              <w:ind w:left="284" w:hanging="284"/>
              <w:rPr>
                <w:rFonts w:ascii="Calibri" w:hAnsi="Calibri"/>
                <w:b/>
                <w:sz w:val="22"/>
                <w:lang w:eastAsia="en-US"/>
              </w:rPr>
            </w:pPr>
            <w:r w:rsidRPr="00866299">
              <w:rPr>
                <w:rFonts w:ascii="Calibri" w:hAnsi="Calibri"/>
                <w:b/>
                <w:sz w:val="22"/>
                <w:lang w:eastAsia="en-US"/>
              </w:rPr>
              <w:t>Net Expenses</w:t>
            </w:r>
          </w:p>
        </w:tc>
        <w:tc>
          <w:tcPr>
            <w:tcW w:w="1179" w:type="dxa"/>
            <w:tcBorders>
              <w:top w:val="single" w:sz="4" w:space="0" w:color="auto"/>
              <w:bottom w:val="single" w:sz="4" w:space="0" w:color="auto"/>
            </w:tcBorders>
            <w:shd w:val="clear" w:color="auto" w:fill="auto"/>
          </w:tcPr>
          <w:p w14:paraId="2147A0DE"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9,822</w:t>
            </w:r>
          </w:p>
        </w:tc>
        <w:tc>
          <w:tcPr>
            <w:tcW w:w="1041" w:type="dxa"/>
            <w:tcBorders>
              <w:top w:val="single" w:sz="4" w:space="0" w:color="auto"/>
              <w:bottom w:val="single" w:sz="4" w:space="0" w:color="auto"/>
            </w:tcBorders>
            <w:shd w:val="clear" w:color="auto" w:fill="auto"/>
          </w:tcPr>
          <w:p w14:paraId="53F3398B"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10,008</w:t>
            </w:r>
          </w:p>
        </w:tc>
        <w:tc>
          <w:tcPr>
            <w:tcW w:w="1029" w:type="dxa"/>
            <w:tcBorders>
              <w:top w:val="single" w:sz="4" w:space="0" w:color="auto"/>
              <w:bottom w:val="single" w:sz="4" w:space="0" w:color="auto"/>
            </w:tcBorders>
            <w:shd w:val="clear" w:color="auto" w:fill="auto"/>
          </w:tcPr>
          <w:p w14:paraId="34F35B9E"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9,688</w:t>
            </w:r>
          </w:p>
        </w:tc>
        <w:tc>
          <w:tcPr>
            <w:tcW w:w="1029" w:type="dxa"/>
            <w:tcBorders>
              <w:top w:val="single" w:sz="4" w:space="0" w:color="auto"/>
              <w:bottom w:val="single" w:sz="4" w:space="0" w:color="auto"/>
            </w:tcBorders>
            <w:shd w:val="clear" w:color="auto" w:fill="auto"/>
          </w:tcPr>
          <w:p w14:paraId="770E993B"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10,239</w:t>
            </w:r>
          </w:p>
        </w:tc>
        <w:tc>
          <w:tcPr>
            <w:tcW w:w="1029" w:type="dxa"/>
            <w:tcBorders>
              <w:top w:val="single" w:sz="4" w:space="0" w:color="auto"/>
              <w:bottom w:val="single" w:sz="4" w:space="0" w:color="auto"/>
            </w:tcBorders>
            <w:shd w:val="clear" w:color="auto" w:fill="auto"/>
          </w:tcPr>
          <w:p w14:paraId="06196EAA"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39,757</w:t>
            </w:r>
          </w:p>
        </w:tc>
      </w:tr>
    </w:tbl>
    <w:p w14:paraId="430F1AA5" w14:textId="77777777" w:rsidR="00990991" w:rsidRPr="00990991" w:rsidRDefault="00990991" w:rsidP="00492EFA">
      <w:pPr>
        <w:pStyle w:val="snapInitbody"/>
      </w:pPr>
      <w:r w:rsidRPr="00990991">
        <w:t xml:space="preserve">The Government will strengthen support for vulnerable children and young people, their families and carers through more sustainable funding for Out of Home Care services. The Government will also provide additional resources for the development of the next phase of reforms underpinning </w:t>
      </w:r>
      <w:r w:rsidRPr="00990991">
        <w:rPr>
          <w:i/>
        </w:rPr>
        <w:t>A Step Up for Our Kids</w:t>
      </w:r>
      <w:r w:rsidRPr="00990991">
        <w:t>, to be delivered beyond 2020. The investment also includes increased expenses of $1.134 million in 2018-19.</w:t>
      </w:r>
    </w:p>
    <w:p w14:paraId="357DFC0A" w14:textId="746DC369" w:rsidR="00990991" w:rsidRPr="007A3A72" w:rsidRDefault="00990991" w:rsidP="007A3A72">
      <w:pPr>
        <w:pStyle w:val="Heading4"/>
      </w:pPr>
      <w:r w:rsidRPr="007A3A72">
        <w:t xml:space="preserve">Safer </w:t>
      </w:r>
      <w:r w:rsidR="00866299">
        <w:t>F</w:t>
      </w:r>
      <w:r w:rsidRPr="007A3A72">
        <w:t xml:space="preserve">amilies </w:t>
      </w:r>
      <w:r w:rsidR="00B2594F">
        <w:t>I</w:t>
      </w:r>
      <w:r w:rsidRPr="007A3A72">
        <w:t>nitiatives</w:t>
      </w:r>
    </w:p>
    <w:p w14:paraId="3D3AEC24" w14:textId="77777777" w:rsidR="00990991" w:rsidRPr="000F30E1" w:rsidRDefault="00990991" w:rsidP="000F30E1">
      <w:pPr>
        <w:pStyle w:val="snapInittitles"/>
      </w:pPr>
      <w:r w:rsidRPr="000F30E1">
        <w:t xml:space="preserve">Improving frontline services through the Safer Families Levy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990991" w:rsidRPr="00866299" w14:paraId="7B78EFF0" w14:textId="77777777" w:rsidTr="00E26AB5">
        <w:trPr>
          <w:cantSplit/>
        </w:trPr>
        <w:tc>
          <w:tcPr>
            <w:tcW w:w="3652" w:type="dxa"/>
            <w:tcBorders>
              <w:top w:val="single" w:sz="4" w:space="0" w:color="auto"/>
              <w:bottom w:val="single" w:sz="4" w:space="0" w:color="auto"/>
            </w:tcBorders>
          </w:tcPr>
          <w:p w14:paraId="1881F91F" w14:textId="77777777" w:rsidR="00990991" w:rsidRPr="00866299" w:rsidRDefault="00990991" w:rsidP="00990991">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4D3EDE25"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2019-20</w:t>
            </w:r>
          </w:p>
          <w:p w14:paraId="7FDD2102"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61483552"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2020-21</w:t>
            </w:r>
          </w:p>
          <w:p w14:paraId="2A3284B3"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F198ECE"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2021-22</w:t>
            </w:r>
          </w:p>
          <w:p w14:paraId="4288757D"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0810119B"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2022-23</w:t>
            </w:r>
          </w:p>
          <w:p w14:paraId="6B802EF0"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F959FE7"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Total</w:t>
            </w:r>
          </w:p>
          <w:p w14:paraId="1A243E5B"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$’000</w:t>
            </w:r>
          </w:p>
        </w:tc>
      </w:tr>
      <w:tr w:rsidR="00990991" w:rsidRPr="00866299" w14:paraId="35AAC1A3" w14:textId="77777777" w:rsidTr="00E26AB5">
        <w:trPr>
          <w:cantSplit/>
        </w:trPr>
        <w:tc>
          <w:tcPr>
            <w:tcW w:w="3652" w:type="dxa"/>
          </w:tcPr>
          <w:p w14:paraId="6999C3F2" w14:textId="77777777" w:rsidR="00990991" w:rsidRPr="00866299" w:rsidRDefault="00990991" w:rsidP="00990991">
            <w:pPr>
              <w:ind w:left="284" w:hanging="284"/>
              <w:rPr>
                <w:rFonts w:ascii="Calibri" w:hAnsi="Calibri"/>
                <w:sz w:val="22"/>
                <w:lang w:eastAsia="en-US"/>
              </w:rPr>
            </w:pPr>
            <w:r w:rsidRPr="00866299">
              <w:rPr>
                <w:rFonts w:ascii="Calibri" w:hAnsi="Calibri"/>
                <w:sz w:val="22"/>
                <w:lang w:eastAsia="en-US"/>
              </w:rPr>
              <w:t>Expenses – Community Services Directorate</w:t>
            </w:r>
          </w:p>
        </w:tc>
        <w:tc>
          <w:tcPr>
            <w:tcW w:w="1179" w:type="dxa"/>
          </w:tcPr>
          <w:p w14:paraId="4AFEFB32"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1,580</w:t>
            </w:r>
          </w:p>
        </w:tc>
        <w:tc>
          <w:tcPr>
            <w:tcW w:w="1041" w:type="dxa"/>
          </w:tcPr>
          <w:p w14:paraId="32F796AA"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2,368</w:t>
            </w:r>
          </w:p>
        </w:tc>
        <w:tc>
          <w:tcPr>
            <w:tcW w:w="1029" w:type="dxa"/>
          </w:tcPr>
          <w:p w14:paraId="5F5BC801"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2,123</w:t>
            </w:r>
          </w:p>
        </w:tc>
        <w:tc>
          <w:tcPr>
            <w:tcW w:w="1029" w:type="dxa"/>
          </w:tcPr>
          <w:p w14:paraId="5F14BCCE"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2,115</w:t>
            </w:r>
          </w:p>
        </w:tc>
        <w:tc>
          <w:tcPr>
            <w:tcW w:w="1029" w:type="dxa"/>
          </w:tcPr>
          <w:p w14:paraId="399C2100"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8,186</w:t>
            </w:r>
          </w:p>
        </w:tc>
      </w:tr>
      <w:tr w:rsidR="00990991" w:rsidRPr="00866299" w14:paraId="66ADAB8A" w14:textId="77777777" w:rsidTr="00E26AB5">
        <w:trPr>
          <w:cantSplit/>
        </w:trPr>
        <w:tc>
          <w:tcPr>
            <w:tcW w:w="3652" w:type="dxa"/>
          </w:tcPr>
          <w:p w14:paraId="72D34C60" w14:textId="77777777" w:rsidR="00990991" w:rsidRPr="00866299" w:rsidRDefault="00990991" w:rsidP="00990991">
            <w:pPr>
              <w:ind w:left="284" w:hanging="284"/>
              <w:rPr>
                <w:rFonts w:ascii="Calibri" w:hAnsi="Calibri"/>
                <w:sz w:val="22"/>
                <w:lang w:eastAsia="en-US"/>
              </w:rPr>
            </w:pPr>
            <w:r w:rsidRPr="00866299">
              <w:rPr>
                <w:rFonts w:ascii="Calibri" w:hAnsi="Calibri"/>
                <w:sz w:val="22"/>
                <w:lang w:eastAsia="en-US"/>
              </w:rPr>
              <w:t>Expenses – Provision</w:t>
            </w:r>
          </w:p>
        </w:tc>
        <w:tc>
          <w:tcPr>
            <w:tcW w:w="1179" w:type="dxa"/>
          </w:tcPr>
          <w:p w14:paraId="2F25E7A0"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w:t>
            </w:r>
          </w:p>
        </w:tc>
        <w:tc>
          <w:tcPr>
            <w:tcW w:w="1041" w:type="dxa"/>
          </w:tcPr>
          <w:p w14:paraId="5C33BC91"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516</w:t>
            </w:r>
          </w:p>
        </w:tc>
        <w:tc>
          <w:tcPr>
            <w:tcW w:w="1029" w:type="dxa"/>
          </w:tcPr>
          <w:p w14:paraId="47D5DF8A"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835</w:t>
            </w:r>
          </w:p>
        </w:tc>
        <w:tc>
          <w:tcPr>
            <w:tcW w:w="1029" w:type="dxa"/>
          </w:tcPr>
          <w:p w14:paraId="72ED9B4E"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919</w:t>
            </w:r>
          </w:p>
        </w:tc>
        <w:tc>
          <w:tcPr>
            <w:tcW w:w="1029" w:type="dxa"/>
          </w:tcPr>
          <w:p w14:paraId="206BE7F0"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2,270</w:t>
            </w:r>
          </w:p>
        </w:tc>
      </w:tr>
      <w:tr w:rsidR="00990991" w:rsidRPr="00866299" w14:paraId="043E27E7" w14:textId="77777777" w:rsidTr="00E26AB5">
        <w:trPr>
          <w:cantSplit/>
        </w:trPr>
        <w:tc>
          <w:tcPr>
            <w:tcW w:w="3652" w:type="dxa"/>
          </w:tcPr>
          <w:p w14:paraId="2F9AC6AB" w14:textId="77777777" w:rsidR="00990991" w:rsidRPr="00866299" w:rsidRDefault="00990991" w:rsidP="00990991">
            <w:pPr>
              <w:ind w:left="284" w:hanging="284"/>
              <w:rPr>
                <w:rFonts w:ascii="Calibri" w:hAnsi="Calibri"/>
                <w:sz w:val="22"/>
                <w:lang w:eastAsia="en-US"/>
              </w:rPr>
            </w:pPr>
            <w:r w:rsidRPr="00866299">
              <w:rPr>
                <w:rFonts w:ascii="Calibri" w:hAnsi="Calibri"/>
                <w:sz w:val="22"/>
                <w:lang w:eastAsia="en-US"/>
              </w:rPr>
              <w:t>Offset – Expenses</w:t>
            </w:r>
          </w:p>
        </w:tc>
        <w:tc>
          <w:tcPr>
            <w:tcW w:w="1179" w:type="dxa"/>
          </w:tcPr>
          <w:p w14:paraId="5FC4596C"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-325</w:t>
            </w:r>
          </w:p>
        </w:tc>
        <w:tc>
          <w:tcPr>
            <w:tcW w:w="1041" w:type="dxa"/>
          </w:tcPr>
          <w:p w14:paraId="0AA77322"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-497</w:t>
            </w:r>
          </w:p>
        </w:tc>
        <w:tc>
          <w:tcPr>
            <w:tcW w:w="1029" w:type="dxa"/>
          </w:tcPr>
          <w:p w14:paraId="54F88C3C"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-509</w:t>
            </w:r>
          </w:p>
        </w:tc>
        <w:tc>
          <w:tcPr>
            <w:tcW w:w="1029" w:type="dxa"/>
          </w:tcPr>
          <w:p w14:paraId="5E28AC11"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-520</w:t>
            </w:r>
          </w:p>
        </w:tc>
        <w:tc>
          <w:tcPr>
            <w:tcW w:w="1029" w:type="dxa"/>
          </w:tcPr>
          <w:p w14:paraId="595DF2F3"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-1,851</w:t>
            </w:r>
          </w:p>
        </w:tc>
      </w:tr>
      <w:tr w:rsidR="00990991" w:rsidRPr="00866299" w14:paraId="6A302766" w14:textId="77777777" w:rsidTr="00E26AB5">
        <w:trPr>
          <w:cantSplit/>
        </w:trPr>
        <w:tc>
          <w:tcPr>
            <w:tcW w:w="3652" w:type="dxa"/>
          </w:tcPr>
          <w:p w14:paraId="5F8D714D" w14:textId="77777777" w:rsidR="00990991" w:rsidRPr="00866299" w:rsidRDefault="00990991" w:rsidP="00990991">
            <w:pPr>
              <w:ind w:left="284" w:hanging="284"/>
              <w:rPr>
                <w:rFonts w:ascii="Calibri" w:hAnsi="Calibri"/>
                <w:sz w:val="22"/>
                <w:lang w:eastAsia="en-US"/>
              </w:rPr>
            </w:pPr>
            <w:r w:rsidRPr="00866299">
              <w:rPr>
                <w:rFonts w:ascii="Calibri" w:hAnsi="Calibri"/>
                <w:sz w:val="22"/>
                <w:lang w:eastAsia="en-US"/>
              </w:rPr>
              <w:t>Offset – Expenses – Chief Minister, Treasury and Economic Development Directorate</w:t>
            </w:r>
          </w:p>
        </w:tc>
        <w:tc>
          <w:tcPr>
            <w:tcW w:w="1179" w:type="dxa"/>
          </w:tcPr>
          <w:p w14:paraId="50409381"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w:t>
            </w:r>
          </w:p>
        </w:tc>
        <w:tc>
          <w:tcPr>
            <w:tcW w:w="1041" w:type="dxa"/>
          </w:tcPr>
          <w:p w14:paraId="5867915B"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-300</w:t>
            </w:r>
          </w:p>
        </w:tc>
        <w:tc>
          <w:tcPr>
            <w:tcW w:w="1029" w:type="dxa"/>
          </w:tcPr>
          <w:p w14:paraId="18403391"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-308</w:t>
            </w:r>
          </w:p>
        </w:tc>
        <w:tc>
          <w:tcPr>
            <w:tcW w:w="1029" w:type="dxa"/>
          </w:tcPr>
          <w:p w14:paraId="7206FD8A"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-316</w:t>
            </w:r>
          </w:p>
        </w:tc>
        <w:tc>
          <w:tcPr>
            <w:tcW w:w="1029" w:type="dxa"/>
          </w:tcPr>
          <w:p w14:paraId="11399C5C"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-924</w:t>
            </w:r>
          </w:p>
        </w:tc>
      </w:tr>
      <w:tr w:rsidR="00990991" w:rsidRPr="00866299" w14:paraId="5848FFCF" w14:textId="77777777" w:rsidTr="00E26AB5">
        <w:trPr>
          <w:cantSplit/>
        </w:trPr>
        <w:tc>
          <w:tcPr>
            <w:tcW w:w="3652" w:type="dxa"/>
          </w:tcPr>
          <w:p w14:paraId="546453D0" w14:textId="77777777" w:rsidR="00990991" w:rsidRPr="00866299" w:rsidRDefault="00990991" w:rsidP="00990991">
            <w:pPr>
              <w:ind w:left="284" w:hanging="284"/>
              <w:rPr>
                <w:rFonts w:ascii="Calibri" w:hAnsi="Calibri"/>
                <w:sz w:val="22"/>
                <w:lang w:eastAsia="en-US"/>
              </w:rPr>
            </w:pPr>
            <w:r w:rsidRPr="00866299">
              <w:rPr>
                <w:rFonts w:ascii="Calibri" w:hAnsi="Calibri"/>
                <w:sz w:val="22"/>
                <w:lang w:eastAsia="en-US"/>
              </w:rPr>
              <w:t>Offset – Expenses – ACT Health</w:t>
            </w:r>
          </w:p>
        </w:tc>
        <w:tc>
          <w:tcPr>
            <w:tcW w:w="1179" w:type="dxa"/>
          </w:tcPr>
          <w:p w14:paraId="27F031A6"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-500</w:t>
            </w:r>
          </w:p>
        </w:tc>
        <w:tc>
          <w:tcPr>
            <w:tcW w:w="1041" w:type="dxa"/>
          </w:tcPr>
          <w:p w14:paraId="44AD7409"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-513</w:t>
            </w:r>
          </w:p>
        </w:tc>
        <w:tc>
          <w:tcPr>
            <w:tcW w:w="1029" w:type="dxa"/>
          </w:tcPr>
          <w:p w14:paraId="4D496917"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-526</w:t>
            </w:r>
          </w:p>
        </w:tc>
        <w:tc>
          <w:tcPr>
            <w:tcW w:w="1029" w:type="dxa"/>
          </w:tcPr>
          <w:p w14:paraId="14517FCF"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-539</w:t>
            </w:r>
          </w:p>
        </w:tc>
        <w:tc>
          <w:tcPr>
            <w:tcW w:w="1029" w:type="dxa"/>
          </w:tcPr>
          <w:p w14:paraId="15A0E39F"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-2,078</w:t>
            </w:r>
          </w:p>
        </w:tc>
      </w:tr>
      <w:tr w:rsidR="00990991" w:rsidRPr="00866299" w14:paraId="2D775B13" w14:textId="77777777" w:rsidTr="00E26AB5">
        <w:trPr>
          <w:cantSplit/>
        </w:trPr>
        <w:tc>
          <w:tcPr>
            <w:tcW w:w="3652" w:type="dxa"/>
          </w:tcPr>
          <w:p w14:paraId="038A991F" w14:textId="77777777" w:rsidR="00990991" w:rsidRPr="00866299" w:rsidRDefault="00990991" w:rsidP="00990991">
            <w:pPr>
              <w:ind w:left="284" w:hanging="284"/>
              <w:rPr>
                <w:rFonts w:ascii="Calibri" w:hAnsi="Calibri"/>
                <w:sz w:val="22"/>
                <w:lang w:eastAsia="en-US"/>
              </w:rPr>
            </w:pPr>
            <w:r w:rsidRPr="00866299">
              <w:rPr>
                <w:rFonts w:ascii="Calibri" w:hAnsi="Calibri"/>
                <w:sz w:val="22"/>
                <w:lang w:eastAsia="en-US"/>
              </w:rPr>
              <w:t>Offset – Expenses – Justice and Community Safety Directorate</w:t>
            </w:r>
          </w:p>
        </w:tc>
        <w:tc>
          <w:tcPr>
            <w:tcW w:w="1179" w:type="dxa"/>
          </w:tcPr>
          <w:p w14:paraId="7720E378"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-562</w:t>
            </w:r>
          </w:p>
        </w:tc>
        <w:tc>
          <w:tcPr>
            <w:tcW w:w="1041" w:type="dxa"/>
          </w:tcPr>
          <w:p w14:paraId="43C36F0D"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-1,574</w:t>
            </w:r>
          </w:p>
        </w:tc>
        <w:tc>
          <w:tcPr>
            <w:tcW w:w="1029" w:type="dxa"/>
          </w:tcPr>
          <w:p w14:paraId="3B881453"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-1,615</w:t>
            </w:r>
          </w:p>
        </w:tc>
        <w:tc>
          <w:tcPr>
            <w:tcW w:w="1029" w:type="dxa"/>
          </w:tcPr>
          <w:p w14:paraId="6E807C61"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-1,659</w:t>
            </w:r>
          </w:p>
        </w:tc>
        <w:tc>
          <w:tcPr>
            <w:tcW w:w="1029" w:type="dxa"/>
          </w:tcPr>
          <w:p w14:paraId="52309956"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-5,410</w:t>
            </w:r>
          </w:p>
        </w:tc>
      </w:tr>
      <w:tr w:rsidR="00990991" w:rsidRPr="00866299" w14:paraId="7DE772E6" w14:textId="77777777" w:rsidTr="00E26AB5">
        <w:trPr>
          <w:cantSplit/>
        </w:trPr>
        <w:tc>
          <w:tcPr>
            <w:tcW w:w="3652" w:type="dxa"/>
            <w:tcBorders>
              <w:top w:val="single" w:sz="4" w:space="0" w:color="auto"/>
              <w:bottom w:val="single" w:sz="4" w:space="0" w:color="auto"/>
            </w:tcBorders>
          </w:tcPr>
          <w:p w14:paraId="56EDB1C8" w14:textId="77777777" w:rsidR="00990991" w:rsidRPr="00866299" w:rsidRDefault="00990991" w:rsidP="00990991">
            <w:pPr>
              <w:ind w:left="284" w:hanging="284"/>
              <w:rPr>
                <w:rFonts w:ascii="Calibri" w:hAnsi="Calibri"/>
                <w:b/>
                <w:sz w:val="22"/>
                <w:lang w:eastAsia="en-US"/>
              </w:rPr>
            </w:pPr>
            <w:r w:rsidRPr="00866299">
              <w:rPr>
                <w:rFonts w:ascii="Calibri" w:hAnsi="Calibri"/>
                <w:b/>
                <w:sz w:val="22"/>
                <w:lang w:eastAsia="en-US"/>
              </w:rPr>
              <w:t>Net Expenses</w:t>
            </w:r>
          </w:p>
        </w:tc>
        <w:tc>
          <w:tcPr>
            <w:tcW w:w="1179" w:type="dxa"/>
            <w:tcBorders>
              <w:top w:val="single" w:sz="4" w:space="0" w:color="auto"/>
              <w:bottom w:val="single" w:sz="4" w:space="0" w:color="auto"/>
            </w:tcBorders>
          </w:tcPr>
          <w:p w14:paraId="77CA233D"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193</w:t>
            </w:r>
          </w:p>
        </w:tc>
        <w:tc>
          <w:tcPr>
            <w:tcW w:w="1041" w:type="dxa"/>
            <w:tcBorders>
              <w:top w:val="single" w:sz="4" w:space="0" w:color="auto"/>
              <w:bottom w:val="single" w:sz="4" w:space="0" w:color="auto"/>
            </w:tcBorders>
          </w:tcPr>
          <w:p w14:paraId="20B6D658"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2149B920"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244FBB39"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21CE2ED5"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193</w:t>
            </w:r>
          </w:p>
        </w:tc>
      </w:tr>
    </w:tbl>
    <w:p w14:paraId="332FD35F" w14:textId="77777777" w:rsidR="00990991" w:rsidRPr="00990991" w:rsidRDefault="00990991" w:rsidP="00E26AB5">
      <w:pPr>
        <w:pStyle w:val="snapInitbody"/>
      </w:pPr>
      <w:r w:rsidRPr="00990991">
        <w:t>As the Government completes the first four years of initiatives funded under the Safer Families Levy, new allocations will be made under the levy to improve domestic and family violence capacity and capability across government, transform front-line service delivery, strengthen early intervention and drive cultural change. Our new approach will provide start-up funding for directorates and agencies to test and demonstrate the practical potential of new concepts, with successful initiatives then transitioning into regular funding streams. New initiatives to be funded under this pilot approach will focus on:</w:t>
      </w:r>
    </w:p>
    <w:p w14:paraId="4CCCBA0E" w14:textId="77777777" w:rsidR="00990991" w:rsidRPr="00990991" w:rsidRDefault="00990991" w:rsidP="00E26AB5">
      <w:pPr>
        <w:pStyle w:val="snapInitbullet1"/>
        <w:rPr>
          <w:szCs w:val="20"/>
        </w:rPr>
      </w:pPr>
      <w:r w:rsidRPr="00990991">
        <w:t xml:space="preserve">delivering family-centred responses for Aboriginal and </w:t>
      </w:r>
      <w:r w:rsidRPr="00990991">
        <w:rPr>
          <w:szCs w:val="20"/>
        </w:rPr>
        <w:t>Torres Strait Islander families impacted by family violence</w:t>
      </w:r>
    </w:p>
    <w:p w14:paraId="650A7D0E" w14:textId="77777777" w:rsidR="00990991" w:rsidRPr="00990991" w:rsidRDefault="00990991" w:rsidP="00E26AB5">
      <w:pPr>
        <w:pStyle w:val="snapInitbullet1"/>
        <w:rPr>
          <w:szCs w:val="20"/>
        </w:rPr>
      </w:pPr>
      <w:r w:rsidRPr="00990991">
        <w:t>reducing the risk of deaths from family violence</w:t>
      </w:r>
    </w:p>
    <w:p w14:paraId="5E6C7759" w14:textId="77777777" w:rsidR="00990991" w:rsidRPr="00990991" w:rsidRDefault="00990991" w:rsidP="00E26AB5">
      <w:pPr>
        <w:pStyle w:val="snapInitbullet1"/>
        <w:rPr>
          <w:szCs w:val="20"/>
        </w:rPr>
      </w:pPr>
      <w:r w:rsidRPr="00990991">
        <w:t>supporting pregnant women at risk of domestic and family violence</w:t>
      </w:r>
    </w:p>
    <w:p w14:paraId="022B7571" w14:textId="77777777" w:rsidR="00990991" w:rsidRPr="00990991" w:rsidRDefault="00990991" w:rsidP="00E26AB5">
      <w:pPr>
        <w:pStyle w:val="snapInitbullet1"/>
        <w:rPr>
          <w:szCs w:val="20"/>
        </w:rPr>
      </w:pPr>
      <w:r w:rsidRPr="00990991">
        <w:t>extending the Room4Change program to help prevent family violence</w:t>
      </w:r>
    </w:p>
    <w:p w14:paraId="584516F0" w14:textId="77777777" w:rsidR="00990991" w:rsidRPr="00990991" w:rsidRDefault="00990991" w:rsidP="00E26AB5">
      <w:pPr>
        <w:pStyle w:val="snapInitbullet1"/>
        <w:rPr>
          <w:szCs w:val="20"/>
        </w:rPr>
      </w:pPr>
      <w:r w:rsidRPr="00990991">
        <w:t>training ACT Go</w:t>
      </w:r>
      <w:r w:rsidRPr="00990991">
        <w:rPr>
          <w:szCs w:val="20"/>
        </w:rPr>
        <w:t>vernment frontline workers to respond to family violence.</w:t>
      </w:r>
    </w:p>
    <w:p w14:paraId="6D8DD971" w14:textId="77777777" w:rsidR="00990991" w:rsidRPr="00990991" w:rsidRDefault="00990991" w:rsidP="00E26AB5">
      <w:pPr>
        <w:pStyle w:val="snapInitbody"/>
      </w:pPr>
      <w:r w:rsidRPr="00990991">
        <w:t>Details of these new initiatives are provided below.</w:t>
      </w:r>
    </w:p>
    <w:p w14:paraId="75DBB63D" w14:textId="77777777" w:rsidR="00990991" w:rsidRPr="000F30E1" w:rsidRDefault="00990991" w:rsidP="000F30E1">
      <w:pPr>
        <w:pStyle w:val="snapInittitles"/>
      </w:pPr>
      <w:r w:rsidRPr="000F30E1">
        <w:t xml:space="preserve">Delivering family-centred responses for Aboriginal and Torres Strait Islander families impacted by family violence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990991" w:rsidRPr="00866299" w14:paraId="057FA19D" w14:textId="77777777" w:rsidTr="00E26AB5">
        <w:trPr>
          <w:cantSplit/>
        </w:trPr>
        <w:tc>
          <w:tcPr>
            <w:tcW w:w="3652" w:type="dxa"/>
            <w:tcBorders>
              <w:top w:val="single" w:sz="4" w:space="0" w:color="auto"/>
              <w:bottom w:val="single" w:sz="4" w:space="0" w:color="auto"/>
            </w:tcBorders>
          </w:tcPr>
          <w:p w14:paraId="08EB3B79" w14:textId="77777777" w:rsidR="00990991" w:rsidRPr="00866299" w:rsidRDefault="00990991" w:rsidP="00990991">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4355476E"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2019-20</w:t>
            </w:r>
          </w:p>
          <w:p w14:paraId="39A222D3"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1C1EC6A8"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2020-21</w:t>
            </w:r>
          </w:p>
          <w:p w14:paraId="63B7D1E0"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1DFB7D15"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2021-22</w:t>
            </w:r>
          </w:p>
          <w:p w14:paraId="53FA4806"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3A9ED44"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2022-23</w:t>
            </w:r>
          </w:p>
          <w:p w14:paraId="6900106F"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2835E25"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Total</w:t>
            </w:r>
          </w:p>
          <w:p w14:paraId="44BF99E4"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$’000</w:t>
            </w:r>
          </w:p>
        </w:tc>
      </w:tr>
      <w:tr w:rsidR="00990991" w:rsidRPr="00866299" w14:paraId="394223B8" w14:textId="77777777" w:rsidTr="00E26AB5">
        <w:trPr>
          <w:cantSplit/>
        </w:trPr>
        <w:tc>
          <w:tcPr>
            <w:tcW w:w="3652" w:type="dxa"/>
            <w:tcBorders>
              <w:top w:val="single" w:sz="4" w:space="0" w:color="auto"/>
            </w:tcBorders>
          </w:tcPr>
          <w:p w14:paraId="0C67B916" w14:textId="77777777" w:rsidR="00990991" w:rsidRPr="00866299" w:rsidRDefault="00990991" w:rsidP="00990991">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tcBorders>
          </w:tcPr>
          <w:p w14:paraId="02344B8D"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100</w:t>
            </w:r>
          </w:p>
        </w:tc>
        <w:tc>
          <w:tcPr>
            <w:tcW w:w="1041" w:type="dxa"/>
            <w:tcBorders>
              <w:top w:val="single" w:sz="4" w:space="0" w:color="auto"/>
            </w:tcBorders>
          </w:tcPr>
          <w:p w14:paraId="2B43096F"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208</w:t>
            </w:r>
          </w:p>
        </w:tc>
        <w:tc>
          <w:tcPr>
            <w:tcW w:w="1029" w:type="dxa"/>
            <w:tcBorders>
              <w:top w:val="single" w:sz="4" w:space="0" w:color="auto"/>
            </w:tcBorders>
          </w:tcPr>
          <w:p w14:paraId="45CDBD6B"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46</w:t>
            </w:r>
          </w:p>
        </w:tc>
        <w:tc>
          <w:tcPr>
            <w:tcW w:w="1029" w:type="dxa"/>
            <w:tcBorders>
              <w:top w:val="single" w:sz="4" w:space="0" w:color="auto"/>
            </w:tcBorders>
          </w:tcPr>
          <w:p w14:paraId="00E89767"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7605029C"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354</w:t>
            </w:r>
          </w:p>
        </w:tc>
      </w:tr>
      <w:tr w:rsidR="00990991" w:rsidRPr="00866299" w14:paraId="61718ECC" w14:textId="77777777" w:rsidTr="00E26AB5">
        <w:trPr>
          <w:cantSplit/>
        </w:trPr>
        <w:tc>
          <w:tcPr>
            <w:tcW w:w="3652" w:type="dxa"/>
            <w:tcBorders>
              <w:bottom w:val="single" w:sz="4" w:space="0" w:color="auto"/>
            </w:tcBorders>
          </w:tcPr>
          <w:p w14:paraId="39611167" w14:textId="77777777" w:rsidR="00990991" w:rsidRPr="00866299" w:rsidRDefault="00990991" w:rsidP="00990991">
            <w:pPr>
              <w:ind w:left="284" w:hanging="284"/>
              <w:rPr>
                <w:rFonts w:ascii="Calibri" w:hAnsi="Calibri"/>
                <w:sz w:val="22"/>
                <w:lang w:eastAsia="en-US"/>
              </w:rPr>
            </w:pPr>
            <w:r w:rsidRPr="00866299">
              <w:rPr>
                <w:rFonts w:ascii="Calibri" w:hAnsi="Calibri"/>
                <w:sz w:val="22"/>
                <w:lang w:eastAsia="en-US"/>
              </w:rPr>
              <w:t>Offset – Expenses</w:t>
            </w:r>
          </w:p>
        </w:tc>
        <w:tc>
          <w:tcPr>
            <w:tcW w:w="1179" w:type="dxa"/>
            <w:tcBorders>
              <w:bottom w:val="single" w:sz="4" w:space="0" w:color="auto"/>
            </w:tcBorders>
          </w:tcPr>
          <w:p w14:paraId="5BE561CD"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-100</w:t>
            </w:r>
          </w:p>
        </w:tc>
        <w:tc>
          <w:tcPr>
            <w:tcW w:w="1041" w:type="dxa"/>
            <w:tcBorders>
              <w:bottom w:val="single" w:sz="4" w:space="0" w:color="auto"/>
            </w:tcBorders>
          </w:tcPr>
          <w:p w14:paraId="09E5D6F5"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-208</w:t>
            </w:r>
          </w:p>
        </w:tc>
        <w:tc>
          <w:tcPr>
            <w:tcW w:w="1029" w:type="dxa"/>
            <w:tcBorders>
              <w:bottom w:val="single" w:sz="4" w:space="0" w:color="auto"/>
            </w:tcBorders>
          </w:tcPr>
          <w:p w14:paraId="5174348B"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-46</w:t>
            </w:r>
          </w:p>
        </w:tc>
        <w:tc>
          <w:tcPr>
            <w:tcW w:w="1029" w:type="dxa"/>
            <w:tcBorders>
              <w:bottom w:val="single" w:sz="4" w:space="0" w:color="auto"/>
            </w:tcBorders>
          </w:tcPr>
          <w:p w14:paraId="72109388"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bottom w:val="single" w:sz="4" w:space="0" w:color="auto"/>
            </w:tcBorders>
          </w:tcPr>
          <w:p w14:paraId="00F8BCD9"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-354</w:t>
            </w:r>
          </w:p>
        </w:tc>
      </w:tr>
      <w:tr w:rsidR="00990991" w:rsidRPr="00866299" w14:paraId="0047D6C2" w14:textId="77777777" w:rsidTr="00E26AB5">
        <w:trPr>
          <w:cantSplit/>
        </w:trPr>
        <w:tc>
          <w:tcPr>
            <w:tcW w:w="3652" w:type="dxa"/>
            <w:tcBorders>
              <w:top w:val="single" w:sz="4" w:space="0" w:color="auto"/>
              <w:bottom w:val="single" w:sz="4" w:space="0" w:color="auto"/>
            </w:tcBorders>
          </w:tcPr>
          <w:p w14:paraId="5C800A44" w14:textId="77777777" w:rsidR="00990991" w:rsidRPr="00866299" w:rsidRDefault="00990991" w:rsidP="00990991">
            <w:pPr>
              <w:ind w:left="284" w:hanging="284"/>
              <w:rPr>
                <w:rFonts w:ascii="Calibri" w:hAnsi="Calibri"/>
                <w:b/>
                <w:sz w:val="22"/>
                <w:lang w:eastAsia="en-US"/>
              </w:rPr>
            </w:pPr>
            <w:r w:rsidRPr="00866299">
              <w:rPr>
                <w:rFonts w:ascii="Calibri" w:hAnsi="Calibri"/>
                <w:b/>
                <w:sz w:val="22"/>
                <w:lang w:eastAsia="en-US"/>
              </w:rPr>
              <w:t>Net Expenses</w:t>
            </w:r>
          </w:p>
        </w:tc>
        <w:tc>
          <w:tcPr>
            <w:tcW w:w="1179" w:type="dxa"/>
            <w:tcBorders>
              <w:top w:val="single" w:sz="4" w:space="0" w:color="auto"/>
              <w:bottom w:val="single" w:sz="4" w:space="0" w:color="auto"/>
            </w:tcBorders>
          </w:tcPr>
          <w:p w14:paraId="3716B60F"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0</w:t>
            </w:r>
          </w:p>
        </w:tc>
        <w:tc>
          <w:tcPr>
            <w:tcW w:w="1041" w:type="dxa"/>
            <w:tcBorders>
              <w:top w:val="single" w:sz="4" w:space="0" w:color="auto"/>
              <w:bottom w:val="single" w:sz="4" w:space="0" w:color="auto"/>
            </w:tcBorders>
          </w:tcPr>
          <w:p w14:paraId="7D5331BD"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7BA82D1F"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7DD7FC10"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61EDF11D"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0</w:t>
            </w:r>
          </w:p>
        </w:tc>
      </w:tr>
    </w:tbl>
    <w:p w14:paraId="5F066F32" w14:textId="77777777" w:rsidR="00990991" w:rsidRPr="00990991" w:rsidRDefault="00990991" w:rsidP="00E26AB5">
      <w:pPr>
        <w:pStyle w:val="snapInitbody"/>
      </w:pPr>
      <w:r w:rsidRPr="00990991">
        <w:t xml:space="preserve">The Government will develop family-centred responses for Aboriginal and Torres Strait Islander families impacted by family violence and deliver further actions responding to the </w:t>
      </w:r>
      <w:r w:rsidRPr="00990991">
        <w:rPr>
          <w:i/>
        </w:rPr>
        <w:t>We Don't Shoot Our Wounded</w:t>
      </w:r>
      <w:r w:rsidRPr="00990991">
        <w:t xml:space="preserve"> and </w:t>
      </w:r>
      <w:r w:rsidRPr="00990991">
        <w:rPr>
          <w:i/>
        </w:rPr>
        <w:t>Aboriginal and Torres Strait Islander Community Forum: Domestic and Family Violence</w:t>
      </w:r>
      <w:r w:rsidRPr="00990991">
        <w:t xml:space="preserve"> reports. This initiative will be funded by the Safer Families Levy.</w:t>
      </w:r>
    </w:p>
    <w:p w14:paraId="14E4BD24" w14:textId="77777777" w:rsidR="00990991" w:rsidRPr="000F30E1" w:rsidRDefault="00990991" w:rsidP="000F30E1">
      <w:pPr>
        <w:pStyle w:val="snapInittitles"/>
      </w:pPr>
      <w:r w:rsidRPr="000F30E1">
        <w:t xml:space="preserve">Extending the Family Safety Hub legal services pilot </w:t>
      </w:r>
    </w:p>
    <w:tbl>
      <w:tblPr>
        <w:tblW w:w="5000" w:type="pct"/>
        <w:tblLayout w:type="fixed"/>
        <w:tblLook w:val="0000" w:firstRow="0" w:lastRow="0" w:firstColumn="0" w:lastColumn="0" w:noHBand="0" w:noVBand="0"/>
      </w:tblPr>
      <w:tblGrid>
        <w:gridCol w:w="3949"/>
        <w:gridCol w:w="1264"/>
        <w:gridCol w:w="1116"/>
        <w:gridCol w:w="1103"/>
        <w:gridCol w:w="1103"/>
        <w:gridCol w:w="1103"/>
      </w:tblGrid>
      <w:tr w:rsidR="00990991" w:rsidRPr="00866299" w14:paraId="06C1B69C" w14:textId="77777777" w:rsidTr="00E26AB5">
        <w:trPr>
          <w:cantSplit/>
        </w:trPr>
        <w:tc>
          <w:tcPr>
            <w:tcW w:w="3686" w:type="dxa"/>
            <w:tcBorders>
              <w:top w:val="single" w:sz="4" w:space="0" w:color="auto"/>
              <w:bottom w:val="single" w:sz="4" w:space="0" w:color="auto"/>
            </w:tcBorders>
          </w:tcPr>
          <w:p w14:paraId="2638C620" w14:textId="77777777" w:rsidR="00990991" w:rsidRPr="00866299" w:rsidRDefault="00990991" w:rsidP="00990991">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6B158E5E"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2019-20</w:t>
            </w:r>
          </w:p>
          <w:p w14:paraId="350396B3"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65B90FE4"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2020-21</w:t>
            </w:r>
          </w:p>
          <w:p w14:paraId="07A386E2"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77A328B"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2021-22</w:t>
            </w:r>
          </w:p>
          <w:p w14:paraId="15F1B8F1"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550C319"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2022-23</w:t>
            </w:r>
          </w:p>
          <w:p w14:paraId="36599636"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5E46079"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Total</w:t>
            </w:r>
          </w:p>
          <w:p w14:paraId="4555C70A"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$’000</w:t>
            </w:r>
          </w:p>
        </w:tc>
      </w:tr>
      <w:tr w:rsidR="00990991" w:rsidRPr="00866299" w14:paraId="4283D9DF" w14:textId="77777777" w:rsidTr="00E26AB5">
        <w:trPr>
          <w:cantSplit/>
        </w:trPr>
        <w:tc>
          <w:tcPr>
            <w:tcW w:w="3686" w:type="dxa"/>
            <w:tcBorders>
              <w:top w:val="single" w:sz="4" w:space="0" w:color="auto"/>
            </w:tcBorders>
          </w:tcPr>
          <w:p w14:paraId="50872855" w14:textId="77777777" w:rsidR="00990991" w:rsidRPr="00866299" w:rsidRDefault="00990991" w:rsidP="00990991">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tcBorders>
          </w:tcPr>
          <w:p w14:paraId="6C231E6A"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300</w:t>
            </w:r>
          </w:p>
        </w:tc>
        <w:tc>
          <w:tcPr>
            <w:tcW w:w="1041" w:type="dxa"/>
            <w:tcBorders>
              <w:top w:val="single" w:sz="4" w:space="0" w:color="auto"/>
            </w:tcBorders>
          </w:tcPr>
          <w:p w14:paraId="1A52CB09"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7543DBED"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47591420"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3F65E15F"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300</w:t>
            </w:r>
          </w:p>
        </w:tc>
      </w:tr>
      <w:tr w:rsidR="00990991" w:rsidRPr="00866299" w14:paraId="164D0E1A" w14:textId="77777777" w:rsidTr="00E26AB5">
        <w:trPr>
          <w:cantSplit/>
        </w:trPr>
        <w:tc>
          <w:tcPr>
            <w:tcW w:w="3686" w:type="dxa"/>
            <w:tcBorders>
              <w:bottom w:val="single" w:sz="4" w:space="0" w:color="auto"/>
            </w:tcBorders>
          </w:tcPr>
          <w:p w14:paraId="574A0A1D" w14:textId="77777777" w:rsidR="00990991" w:rsidRPr="00866299" w:rsidRDefault="00990991" w:rsidP="00990991">
            <w:pPr>
              <w:ind w:left="284" w:hanging="284"/>
              <w:rPr>
                <w:rFonts w:ascii="Calibri" w:hAnsi="Calibri"/>
                <w:sz w:val="22"/>
                <w:lang w:eastAsia="en-US"/>
              </w:rPr>
            </w:pPr>
            <w:r w:rsidRPr="00866299">
              <w:rPr>
                <w:rFonts w:ascii="Calibri" w:hAnsi="Calibri"/>
                <w:sz w:val="22"/>
                <w:lang w:eastAsia="en-US"/>
              </w:rPr>
              <w:t>Offset – Expenses</w:t>
            </w:r>
          </w:p>
        </w:tc>
        <w:tc>
          <w:tcPr>
            <w:tcW w:w="1179" w:type="dxa"/>
            <w:tcBorders>
              <w:bottom w:val="single" w:sz="4" w:space="0" w:color="auto"/>
            </w:tcBorders>
          </w:tcPr>
          <w:p w14:paraId="4E72ED06"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-107</w:t>
            </w:r>
          </w:p>
        </w:tc>
        <w:tc>
          <w:tcPr>
            <w:tcW w:w="1041" w:type="dxa"/>
            <w:tcBorders>
              <w:bottom w:val="single" w:sz="4" w:space="0" w:color="auto"/>
            </w:tcBorders>
          </w:tcPr>
          <w:p w14:paraId="29FBEE00"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bottom w:val="single" w:sz="4" w:space="0" w:color="auto"/>
            </w:tcBorders>
          </w:tcPr>
          <w:p w14:paraId="40E64247"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bottom w:val="single" w:sz="4" w:space="0" w:color="auto"/>
            </w:tcBorders>
          </w:tcPr>
          <w:p w14:paraId="5C89742F"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bottom w:val="single" w:sz="4" w:space="0" w:color="auto"/>
            </w:tcBorders>
          </w:tcPr>
          <w:p w14:paraId="203B197A"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-107</w:t>
            </w:r>
          </w:p>
        </w:tc>
      </w:tr>
      <w:tr w:rsidR="00990991" w:rsidRPr="00866299" w14:paraId="68839ACC" w14:textId="77777777" w:rsidTr="00E26AB5">
        <w:trPr>
          <w:cantSplit/>
          <w:trHeight w:val="342"/>
        </w:trPr>
        <w:tc>
          <w:tcPr>
            <w:tcW w:w="3686" w:type="dxa"/>
            <w:tcBorders>
              <w:top w:val="single" w:sz="4" w:space="0" w:color="auto"/>
              <w:bottom w:val="single" w:sz="4" w:space="0" w:color="auto"/>
            </w:tcBorders>
            <w:vAlign w:val="center"/>
          </w:tcPr>
          <w:p w14:paraId="2522B870" w14:textId="77777777" w:rsidR="00990991" w:rsidRPr="00866299" w:rsidRDefault="00990991" w:rsidP="00990991">
            <w:pPr>
              <w:ind w:left="284" w:hanging="284"/>
              <w:rPr>
                <w:rFonts w:ascii="Calibri" w:hAnsi="Calibri"/>
                <w:b/>
                <w:sz w:val="22"/>
                <w:lang w:eastAsia="en-US"/>
              </w:rPr>
            </w:pPr>
            <w:r w:rsidRPr="00866299">
              <w:rPr>
                <w:rFonts w:ascii="Calibri" w:hAnsi="Calibri"/>
                <w:b/>
                <w:sz w:val="22"/>
                <w:lang w:eastAsia="en-US"/>
              </w:rPr>
              <w:t>Net Expenses</w:t>
            </w:r>
          </w:p>
        </w:tc>
        <w:tc>
          <w:tcPr>
            <w:tcW w:w="1179" w:type="dxa"/>
            <w:tcBorders>
              <w:top w:val="single" w:sz="4" w:space="0" w:color="auto"/>
              <w:bottom w:val="single" w:sz="4" w:space="0" w:color="auto"/>
            </w:tcBorders>
          </w:tcPr>
          <w:p w14:paraId="400A74FB"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193</w:t>
            </w:r>
          </w:p>
        </w:tc>
        <w:tc>
          <w:tcPr>
            <w:tcW w:w="1041" w:type="dxa"/>
            <w:tcBorders>
              <w:top w:val="single" w:sz="4" w:space="0" w:color="auto"/>
              <w:bottom w:val="single" w:sz="4" w:space="0" w:color="auto"/>
            </w:tcBorders>
          </w:tcPr>
          <w:p w14:paraId="6C36A848"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07E2CFF7"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2350E94F"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7213467A"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193</w:t>
            </w:r>
          </w:p>
        </w:tc>
      </w:tr>
    </w:tbl>
    <w:p w14:paraId="1BD67448" w14:textId="77777777" w:rsidR="00990991" w:rsidRPr="00990991" w:rsidRDefault="00990991" w:rsidP="00E26AB5">
      <w:pPr>
        <w:pStyle w:val="snapInitbody"/>
      </w:pPr>
      <w:r w:rsidRPr="00990991">
        <w:t>The Government will extend the Family Safety Hub legal services pilot into 2019-20 to support the full evaluation of the service and build system capability. The pilot commenced in November 2018, with a focus on providing free legal advice to pregnant women and new parents experiencing, or at risk of, domestic or family violence. The service is currently provided at Calvary Hospital, Gungahlin Child and Family Centre and the Centenary Hospital for Women and Children in partnership with Legal Aid and the Women's Legal Centre. This initiative will be funded by the Safer Families Levy and funding that has been re-allocated from the 2018-19 Budget.</w:t>
      </w:r>
    </w:p>
    <w:p w14:paraId="0D379E6A" w14:textId="77777777" w:rsidR="00990991" w:rsidRPr="000F30E1" w:rsidRDefault="00990991" w:rsidP="000F30E1">
      <w:pPr>
        <w:pStyle w:val="snapInittitles"/>
      </w:pPr>
      <w:r w:rsidRPr="000F30E1">
        <w:t xml:space="preserve">Extending the Room4Change program to help prevent family violence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990991" w:rsidRPr="00866299" w14:paraId="1ABC62F8" w14:textId="77777777" w:rsidTr="00E26AB5">
        <w:trPr>
          <w:cantSplit/>
        </w:trPr>
        <w:tc>
          <w:tcPr>
            <w:tcW w:w="3652" w:type="dxa"/>
            <w:tcBorders>
              <w:top w:val="single" w:sz="4" w:space="0" w:color="auto"/>
              <w:bottom w:val="single" w:sz="4" w:space="0" w:color="auto"/>
            </w:tcBorders>
          </w:tcPr>
          <w:p w14:paraId="29C4FB16" w14:textId="77777777" w:rsidR="00990991" w:rsidRPr="00866299" w:rsidRDefault="00990991" w:rsidP="00990991">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04E145C6"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2019-20</w:t>
            </w:r>
          </w:p>
          <w:p w14:paraId="513E7B0B"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65034516"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2020-21</w:t>
            </w:r>
          </w:p>
          <w:p w14:paraId="497E5301"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0E432A6D"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2021-22</w:t>
            </w:r>
          </w:p>
          <w:p w14:paraId="41BF6200"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61F8200"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2022-23</w:t>
            </w:r>
          </w:p>
          <w:p w14:paraId="61CB1855"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7716905"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Total</w:t>
            </w:r>
          </w:p>
          <w:p w14:paraId="64D6AD1F"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$’000</w:t>
            </w:r>
          </w:p>
        </w:tc>
      </w:tr>
      <w:tr w:rsidR="00990991" w:rsidRPr="00866299" w14:paraId="65773F55" w14:textId="77777777" w:rsidTr="00E26AB5">
        <w:trPr>
          <w:cantSplit/>
        </w:trPr>
        <w:tc>
          <w:tcPr>
            <w:tcW w:w="3652" w:type="dxa"/>
            <w:tcBorders>
              <w:top w:val="single" w:sz="4" w:space="0" w:color="auto"/>
            </w:tcBorders>
          </w:tcPr>
          <w:p w14:paraId="482D7C5D" w14:textId="77777777" w:rsidR="00990991" w:rsidRPr="00866299" w:rsidRDefault="00990991" w:rsidP="00990991">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tcBorders>
          </w:tcPr>
          <w:p w14:paraId="1408E570"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456</w:t>
            </w:r>
          </w:p>
        </w:tc>
        <w:tc>
          <w:tcPr>
            <w:tcW w:w="1041" w:type="dxa"/>
            <w:tcBorders>
              <w:top w:val="single" w:sz="4" w:space="0" w:color="auto"/>
            </w:tcBorders>
          </w:tcPr>
          <w:p w14:paraId="3456B183"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1,224</w:t>
            </w:r>
          </w:p>
        </w:tc>
        <w:tc>
          <w:tcPr>
            <w:tcW w:w="1029" w:type="dxa"/>
            <w:tcBorders>
              <w:top w:val="single" w:sz="4" w:space="0" w:color="auto"/>
            </w:tcBorders>
          </w:tcPr>
          <w:p w14:paraId="7CE4AE6D"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1,262</w:t>
            </w:r>
          </w:p>
        </w:tc>
        <w:tc>
          <w:tcPr>
            <w:tcW w:w="1029" w:type="dxa"/>
            <w:tcBorders>
              <w:top w:val="single" w:sz="4" w:space="0" w:color="auto"/>
            </w:tcBorders>
          </w:tcPr>
          <w:p w14:paraId="6C048282"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1,301</w:t>
            </w:r>
          </w:p>
        </w:tc>
        <w:tc>
          <w:tcPr>
            <w:tcW w:w="1029" w:type="dxa"/>
            <w:tcBorders>
              <w:top w:val="single" w:sz="4" w:space="0" w:color="auto"/>
            </w:tcBorders>
          </w:tcPr>
          <w:p w14:paraId="040F9943"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4,243</w:t>
            </w:r>
          </w:p>
        </w:tc>
      </w:tr>
      <w:tr w:rsidR="00990991" w:rsidRPr="00866299" w14:paraId="24DCD78C" w14:textId="77777777" w:rsidTr="00E26AB5">
        <w:trPr>
          <w:cantSplit/>
        </w:trPr>
        <w:tc>
          <w:tcPr>
            <w:tcW w:w="3652" w:type="dxa"/>
          </w:tcPr>
          <w:p w14:paraId="2AC58F39" w14:textId="77777777" w:rsidR="00990991" w:rsidRPr="00866299" w:rsidRDefault="00990991" w:rsidP="00990991">
            <w:pPr>
              <w:ind w:left="284" w:hanging="284"/>
              <w:rPr>
                <w:rFonts w:ascii="Calibri" w:hAnsi="Calibri"/>
                <w:sz w:val="22"/>
                <w:lang w:eastAsia="en-US"/>
              </w:rPr>
            </w:pPr>
            <w:r w:rsidRPr="00866299">
              <w:rPr>
                <w:rFonts w:ascii="Calibri" w:hAnsi="Calibri"/>
                <w:sz w:val="22"/>
                <w:lang w:eastAsia="en-US"/>
              </w:rPr>
              <w:t>Offset – Expenses</w:t>
            </w:r>
          </w:p>
        </w:tc>
        <w:tc>
          <w:tcPr>
            <w:tcW w:w="1179" w:type="dxa"/>
          </w:tcPr>
          <w:p w14:paraId="78145465"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-456</w:t>
            </w:r>
          </w:p>
        </w:tc>
        <w:tc>
          <w:tcPr>
            <w:tcW w:w="1041" w:type="dxa"/>
          </w:tcPr>
          <w:p w14:paraId="3EF6ACF7"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-1,224</w:t>
            </w:r>
          </w:p>
        </w:tc>
        <w:tc>
          <w:tcPr>
            <w:tcW w:w="1029" w:type="dxa"/>
          </w:tcPr>
          <w:p w14:paraId="18564664"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-1,262</w:t>
            </w:r>
          </w:p>
        </w:tc>
        <w:tc>
          <w:tcPr>
            <w:tcW w:w="1029" w:type="dxa"/>
          </w:tcPr>
          <w:p w14:paraId="40D728D2"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-1,301</w:t>
            </w:r>
          </w:p>
        </w:tc>
        <w:tc>
          <w:tcPr>
            <w:tcW w:w="1029" w:type="dxa"/>
          </w:tcPr>
          <w:p w14:paraId="1945C680"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-4,243</w:t>
            </w:r>
          </w:p>
        </w:tc>
      </w:tr>
      <w:tr w:rsidR="00990991" w:rsidRPr="00866299" w14:paraId="2A23D84C" w14:textId="77777777" w:rsidTr="00E26AB5">
        <w:trPr>
          <w:cantSplit/>
        </w:trPr>
        <w:tc>
          <w:tcPr>
            <w:tcW w:w="3652" w:type="dxa"/>
            <w:tcBorders>
              <w:top w:val="single" w:sz="4" w:space="0" w:color="auto"/>
              <w:bottom w:val="single" w:sz="4" w:space="0" w:color="auto"/>
            </w:tcBorders>
          </w:tcPr>
          <w:p w14:paraId="4745CE6E" w14:textId="77777777" w:rsidR="00990991" w:rsidRPr="00866299" w:rsidRDefault="00990991" w:rsidP="00990991">
            <w:pPr>
              <w:ind w:left="284" w:hanging="284"/>
              <w:rPr>
                <w:rFonts w:ascii="Calibri" w:hAnsi="Calibri"/>
                <w:b/>
                <w:sz w:val="22"/>
                <w:lang w:eastAsia="en-US"/>
              </w:rPr>
            </w:pPr>
            <w:r w:rsidRPr="00866299">
              <w:rPr>
                <w:rFonts w:ascii="Calibri" w:hAnsi="Calibri"/>
                <w:b/>
                <w:sz w:val="22"/>
                <w:lang w:eastAsia="en-US"/>
              </w:rPr>
              <w:t>Net Expenses</w:t>
            </w:r>
          </w:p>
        </w:tc>
        <w:tc>
          <w:tcPr>
            <w:tcW w:w="1179" w:type="dxa"/>
            <w:tcBorders>
              <w:top w:val="single" w:sz="4" w:space="0" w:color="auto"/>
              <w:bottom w:val="single" w:sz="4" w:space="0" w:color="auto"/>
            </w:tcBorders>
          </w:tcPr>
          <w:p w14:paraId="5C0D311E"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0</w:t>
            </w:r>
          </w:p>
        </w:tc>
        <w:tc>
          <w:tcPr>
            <w:tcW w:w="1041" w:type="dxa"/>
            <w:tcBorders>
              <w:top w:val="single" w:sz="4" w:space="0" w:color="auto"/>
              <w:bottom w:val="single" w:sz="4" w:space="0" w:color="auto"/>
            </w:tcBorders>
          </w:tcPr>
          <w:p w14:paraId="01223FF7"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19FCA812"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0CC87D01"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027052C4"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0</w:t>
            </w:r>
          </w:p>
        </w:tc>
      </w:tr>
    </w:tbl>
    <w:p w14:paraId="3C2DA874" w14:textId="77777777" w:rsidR="00990991" w:rsidRPr="00990991" w:rsidRDefault="00990991" w:rsidP="00E26AB5">
      <w:pPr>
        <w:pStyle w:val="snapInitbody"/>
      </w:pPr>
      <w:r w:rsidRPr="00990991">
        <w:t>The Government will continue to support Room4Change, which is a therapeutic residential men’s behaviour change program focussed on preventing domestic and family violence. Funding will also be provided to undertake an evaluation of the program and its effectiveness. This initiative will be funded by the Safer Families Levy.</w:t>
      </w:r>
    </w:p>
    <w:p w14:paraId="3EA42BE4" w14:textId="77777777" w:rsidR="00990991" w:rsidRPr="000F30E1" w:rsidRDefault="00990991" w:rsidP="000F30E1">
      <w:pPr>
        <w:pStyle w:val="snapInittitles"/>
      </w:pPr>
      <w:r w:rsidRPr="000F30E1">
        <w:t xml:space="preserve">Reducing the risk of deaths from family violence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990991" w:rsidRPr="00866299" w14:paraId="243ECDC8" w14:textId="77777777" w:rsidTr="00E26AB5">
        <w:trPr>
          <w:cantSplit/>
        </w:trPr>
        <w:tc>
          <w:tcPr>
            <w:tcW w:w="3652" w:type="dxa"/>
            <w:tcBorders>
              <w:top w:val="single" w:sz="4" w:space="0" w:color="auto"/>
              <w:bottom w:val="single" w:sz="4" w:space="0" w:color="auto"/>
            </w:tcBorders>
          </w:tcPr>
          <w:p w14:paraId="3B349F66" w14:textId="77777777" w:rsidR="00990991" w:rsidRPr="00866299" w:rsidRDefault="00990991" w:rsidP="00990991">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6CD3D029"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2019-20</w:t>
            </w:r>
          </w:p>
          <w:p w14:paraId="14E5B95F"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4C052A62"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2020-21</w:t>
            </w:r>
          </w:p>
          <w:p w14:paraId="7D37C644"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5FBE28A5"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2021-22</w:t>
            </w:r>
          </w:p>
          <w:p w14:paraId="1D2A2B38"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5C8BEAF"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2022-23</w:t>
            </w:r>
          </w:p>
          <w:p w14:paraId="31483A62"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3AF4905A"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Total</w:t>
            </w:r>
          </w:p>
          <w:p w14:paraId="5352A2DD"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$’000</w:t>
            </w:r>
          </w:p>
        </w:tc>
      </w:tr>
      <w:tr w:rsidR="00990991" w:rsidRPr="00866299" w14:paraId="64621C7D" w14:textId="77777777" w:rsidTr="00E26AB5">
        <w:trPr>
          <w:cantSplit/>
        </w:trPr>
        <w:tc>
          <w:tcPr>
            <w:tcW w:w="3652" w:type="dxa"/>
            <w:tcBorders>
              <w:top w:val="single" w:sz="4" w:space="0" w:color="auto"/>
            </w:tcBorders>
          </w:tcPr>
          <w:p w14:paraId="18692ECD" w14:textId="77777777" w:rsidR="00990991" w:rsidRPr="00866299" w:rsidRDefault="00990991" w:rsidP="00990991">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tcBorders>
          </w:tcPr>
          <w:p w14:paraId="16352A58"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87</w:t>
            </w:r>
          </w:p>
        </w:tc>
        <w:tc>
          <w:tcPr>
            <w:tcW w:w="1041" w:type="dxa"/>
            <w:tcBorders>
              <w:top w:val="single" w:sz="4" w:space="0" w:color="auto"/>
            </w:tcBorders>
          </w:tcPr>
          <w:p w14:paraId="10A62A78"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236</w:t>
            </w:r>
          </w:p>
        </w:tc>
        <w:tc>
          <w:tcPr>
            <w:tcW w:w="1029" w:type="dxa"/>
            <w:tcBorders>
              <w:top w:val="single" w:sz="4" w:space="0" w:color="auto"/>
            </w:tcBorders>
          </w:tcPr>
          <w:p w14:paraId="51B7EF6C"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243</w:t>
            </w:r>
          </w:p>
        </w:tc>
        <w:tc>
          <w:tcPr>
            <w:tcW w:w="1029" w:type="dxa"/>
            <w:tcBorders>
              <w:top w:val="single" w:sz="4" w:space="0" w:color="auto"/>
            </w:tcBorders>
          </w:tcPr>
          <w:p w14:paraId="1868D40F"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247</w:t>
            </w:r>
          </w:p>
        </w:tc>
        <w:tc>
          <w:tcPr>
            <w:tcW w:w="1029" w:type="dxa"/>
            <w:tcBorders>
              <w:top w:val="single" w:sz="4" w:space="0" w:color="auto"/>
            </w:tcBorders>
          </w:tcPr>
          <w:p w14:paraId="089C046A"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813</w:t>
            </w:r>
          </w:p>
        </w:tc>
      </w:tr>
      <w:tr w:rsidR="00990991" w:rsidRPr="00866299" w14:paraId="1D2F9B16" w14:textId="77777777" w:rsidTr="00E26AB5">
        <w:trPr>
          <w:cantSplit/>
        </w:trPr>
        <w:tc>
          <w:tcPr>
            <w:tcW w:w="3652" w:type="dxa"/>
            <w:tcBorders>
              <w:bottom w:val="single" w:sz="4" w:space="0" w:color="auto"/>
            </w:tcBorders>
          </w:tcPr>
          <w:p w14:paraId="22EBDA47" w14:textId="77777777" w:rsidR="00990991" w:rsidRPr="00866299" w:rsidRDefault="00990991" w:rsidP="00990991">
            <w:pPr>
              <w:ind w:left="284" w:hanging="284"/>
              <w:rPr>
                <w:rFonts w:ascii="Calibri" w:hAnsi="Calibri"/>
                <w:sz w:val="22"/>
                <w:lang w:eastAsia="en-US"/>
              </w:rPr>
            </w:pPr>
            <w:r w:rsidRPr="00866299">
              <w:rPr>
                <w:rFonts w:ascii="Calibri" w:hAnsi="Calibri"/>
                <w:sz w:val="22"/>
                <w:lang w:eastAsia="en-US"/>
              </w:rPr>
              <w:t>Offset – Expenses</w:t>
            </w:r>
          </w:p>
        </w:tc>
        <w:tc>
          <w:tcPr>
            <w:tcW w:w="1179" w:type="dxa"/>
            <w:tcBorders>
              <w:bottom w:val="single" w:sz="4" w:space="0" w:color="auto"/>
            </w:tcBorders>
          </w:tcPr>
          <w:p w14:paraId="4D219ABA"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-87</w:t>
            </w:r>
          </w:p>
        </w:tc>
        <w:tc>
          <w:tcPr>
            <w:tcW w:w="1041" w:type="dxa"/>
            <w:tcBorders>
              <w:bottom w:val="single" w:sz="4" w:space="0" w:color="auto"/>
            </w:tcBorders>
          </w:tcPr>
          <w:p w14:paraId="1D39AF9C"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-236</w:t>
            </w:r>
          </w:p>
        </w:tc>
        <w:tc>
          <w:tcPr>
            <w:tcW w:w="1029" w:type="dxa"/>
            <w:tcBorders>
              <w:bottom w:val="single" w:sz="4" w:space="0" w:color="auto"/>
            </w:tcBorders>
          </w:tcPr>
          <w:p w14:paraId="4912A593"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-243</w:t>
            </w:r>
          </w:p>
        </w:tc>
        <w:tc>
          <w:tcPr>
            <w:tcW w:w="1029" w:type="dxa"/>
            <w:tcBorders>
              <w:bottom w:val="single" w:sz="4" w:space="0" w:color="auto"/>
            </w:tcBorders>
          </w:tcPr>
          <w:p w14:paraId="6B66D131"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-247</w:t>
            </w:r>
          </w:p>
        </w:tc>
        <w:tc>
          <w:tcPr>
            <w:tcW w:w="1029" w:type="dxa"/>
            <w:tcBorders>
              <w:bottom w:val="single" w:sz="4" w:space="0" w:color="auto"/>
            </w:tcBorders>
          </w:tcPr>
          <w:p w14:paraId="62742801"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-813</w:t>
            </w:r>
          </w:p>
        </w:tc>
      </w:tr>
      <w:tr w:rsidR="00990991" w:rsidRPr="00866299" w14:paraId="29930830" w14:textId="77777777" w:rsidTr="00E26AB5">
        <w:trPr>
          <w:cantSplit/>
        </w:trPr>
        <w:tc>
          <w:tcPr>
            <w:tcW w:w="3652" w:type="dxa"/>
            <w:tcBorders>
              <w:top w:val="single" w:sz="4" w:space="0" w:color="auto"/>
              <w:bottom w:val="single" w:sz="4" w:space="0" w:color="auto"/>
            </w:tcBorders>
          </w:tcPr>
          <w:p w14:paraId="465D63F9" w14:textId="77777777" w:rsidR="00990991" w:rsidRPr="00866299" w:rsidRDefault="00990991" w:rsidP="00990991">
            <w:pPr>
              <w:ind w:left="284" w:hanging="284"/>
              <w:rPr>
                <w:rFonts w:ascii="Calibri" w:hAnsi="Calibri"/>
                <w:b/>
                <w:sz w:val="22"/>
                <w:lang w:eastAsia="en-US"/>
              </w:rPr>
            </w:pPr>
            <w:r w:rsidRPr="00866299">
              <w:rPr>
                <w:rFonts w:ascii="Calibri" w:hAnsi="Calibri"/>
                <w:b/>
                <w:sz w:val="22"/>
                <w:lang w:eastAsia="en-US"/>
              </w:rPr>
              <w:t>Net Expenses</w:t>
            </w:r>
          </w:p>
        </w:tc>
        <w:tc>
          <w:tcPr>
            <w:tcW w:w="1179" w:type="dxa"/>
            <w:tcBorders>
              <w:top w:val="single" w:sz="4" w:space="0" w:color="auto"/>
              <w:bottom w:val="single" w:sz="4" w:space="0" w:color="auto"/>
            </w:tcBorders>
          </w:tcPr>
          <w:p w14:paraId="07D11E27"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0</w:t>
            </w:r>
          </w:p>
        </w:tc>
        <w:tc>
          <w:tcPr>
            <w:tcW w:w="1041" w:type="dxa"/>
            <w:tcBorders>
              <w:top w:val="single" w:sz="4" w:space="0" w:color="auto"/>
              <w:bottom w:val="single" w:sz="4" w:space="0" w:color="auto"/>
            </w:tcBorders>
          </w:tcPr>
          <w:p w14:paraId="7C7E77B6"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1AC36E24"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566519A4"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7F959C1D"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0</w:t>
            </w:r>
          </w:p>
        </w:tc>
      </w:tr>
    </w:tbl>
    <w:p w14:paraId="08ADD276" w14:textId="77777777" w:rsidR="00990991" w:rsidRPr="00990991" w:rsidRDefault="00990991" w:rsidP="00E26AB5">
      <w:pPr>
        <w:pStyle w:val="snapInitbody"/>
      </w:pPr>
      <w:r w:rsidRPr="00990991">
        <w:t>The Government will deliver an ACT Family Violence Death Review model that aims to prevent the likelihood of similar deaths occurring in the future.</w:t>
      </w:r>
      <w:r w:rsidRPr="00990991">
        <w:rPr>
          <w:rFonts w:cs="Calibri"/>
          <w:lang w:eastAsia="en-AU"/>
        </w:rPr>
        <w:t xml:space="preserve"> </w:t>
      </w:r>
      <w:r w:rsidRPr="00990991">
        <w:t>A Family Violence Death Review will take a system-wide perspective and make recommendations to help prevent future deaths by improving policy, systems and services, data collection, legislation and public awareness. This initiative will be funded by the Safer Families Levy.</w:t>
      </w:r>
    </w:p>
    <w:p w14:paraId="0F6FB51D" w14:textId="77777777" w:rsidR="00990991" w:rsidRPr="000F30E1" w:rsidRDefault="00990991" w:rsidP="000F30E1">
      <w:pPr>
        <w:pStyle w:val="snapInittitles"/>
      </w:pPr>
      <w:r w:rsidRPr="000F30E1">
        <w:t xml:space="preserve">Training ACT Government frontline workers to respond to family violence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990991" w:rsidRPr="00866299" w14:paraId="7453D820" w14:textId="77777777" w:rsidTr="00E26AB5">
        <w:trPr>
          <w:cantSplit/>
        </w:trPr>
        <w:tc>
          <w:tcPr>
            <w:tcW w:w="3652" w:type="dxa"/>
            <w:tcBorders>
              <w:top w:val="single" w:sz="4" w:space="0" w:color="auto"/>
              <w:bottom w:val="single" w:sz="4" w:space="0" w:color="auto"/>
            </w:tcBorders>
          </w:tcPr>
          <w:p w14:paraId="4B83CE82" w14:textId="77777777" w:rsidR="00990991" w:rsidRPr="00866299" w:rsidRDefault="00990991" w:rsidP="00990991">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1A963B2E"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2019-20</w:t>
            </w:r>
          </w:p>
          <w:p w14:paraId="1069010C"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2759D8B7"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2020-21</w:t>
            </w:r>
          </w:p>
          <w:p w14:paraId="3CDBB687"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53F62EE9"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2021-22</w:t>
            </w:r>
          </w:p>
          <w:p w14:paraId="267280A1"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11BD6E1E"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2022-23</w:t>
            </w:r>
          </w:p>
          <w:p w14:paraId="2B362F45"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58C030A6"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Total</w:t>
            </w:r>
          </w:p>
          <w:p w14:paraId="60172E30"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$’000</w:t>
            </w:r>
          </w:p>
        </w:tc>
      </w:tr>
      <w:tr w:rsidR="00990991" w:rsidRPr="00866299" w14:paraId="7C9FDA16" w14:textId="77777777" w:rsidTr="00E26AB5">
        <w:trPr>
          <w:cantSplit/>
        </w:trPr>
        <w:tc>
          <w:tcPr>
            <w:tcW w:w="3652" w:type="dxa"/>
          </w:tcPr>
          <w:p w14:paraId="4F974B05" w14:textId="77777777" w:rsidR="00990991" w:rsidRPr="00866299" w:rsidRDefault="00990991" w:rsidP="00990991">
            <w:pPr>
              <w:ind w:left="284" w:hanging="284"/>
              <w:rPr>
                <w:rFonts w:ascii="Calibri" w:hAnsi="Calibri"/>
                <w:sz w:val="22"/>
                <w:lang w:eastAsia="en-US"/>
              </w:rPr>
            </w:pPr>
            <w:r w:rsidRPr="00866299">
              <w:rPr>
                <w:rFonts w:ascii="Calibri" w:hAnsi="Calibri"/>
                <w:sz w:val="22"/>
                <w:lang w:eastAsia="en-US"/>
              </w:rPr>
              <w:t>Community Services Directorate – Expenses</w:t>
            </w:r>
          </w:p>
        </w:tc>
        <w:tc>
          <w:tcPr>
            <w:tcW w:w="1179" w:type="dxa"/>
          </w:tcPr>
          <w:p w14:paraId="7A25E158"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196</w:t>
            </w:r>
          </w:p>
        </w:tc>
        <w:tc>
          <w:tcPr>
            <w:tcW w:w="1041" w:type="dxa"/>
          </w:tcPr>
          <w:p w14:paraId="1A42E7B4"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186</w:t>
            </w:r>
          </w:p>
        </w:tc>
        <w:tc>
          <w:tcPr>
            <w:tcW w:w="1029" w:type="dxa"/>
          </w:tcPr>
          <w:p w14:paraId="13BFAC40"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168</w:t>
            </w:r>
          </w:p>
        </w:tc>
        <w:tc>
          <w:tcPr>
            <w:tcW w:w="1029" w:type="dxa"/>
          </w:tcPr>
          <w:p w14:paraId="3B3FCE25"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159</w:t>
            </w:r>
          </w:p>
        </w:tc>
        <w:tc>
          <w:tcPr>
            <w:tcW w:w="1029" w:type="dxa"/>
          </w:tcPr>
          <w:p w14:paraId="19D43271"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709</w:t>
            </w:r>
          </w:p>
        </w:tc>
      </w:tr>
      <w:tr w:rsidR="00990991" w:rsidRPr="00866299" w14:paraId="20252378" w14:textId="77777777" w:rsidTr="00E26AB5">
        <w:trPr>
          <w:cantSplit/>
        </w:trPr>
        <w:tc>
          <w:tcPr>
            <w:tcW w:w="3652" w:type="dxa"/>
          </w:tcPr>
          <w:p w14:paraId="1B7E714F" w14:textId="77777777" w:rsidR="00990991" w:rsidRPr="00866299" w:rsidRDefault="00990991" w:rsidP="00990991">
            <w:pPr>
              <w:ind w:left="284" w:hanging="284"/>
              <w:rPr>
                <w:rFonts w:ascii="Calibri" w:hAnsi="Calibri"/>
                <w:sz w:val="22"/>
                <w:lang w:eastAsia="en-US"/>
              </w:rPr>
            </w:pPr>
            <w:r w:rsidRPr="00866299">
              <w:rPr>
                <w:rFonts w:ascii="Calibri" w:hAnsi="Calibri"/>
                <w:sz w:val="22"/>
                <w:lang w:eastAsia="en-US"/>
              </w:rPr>
              <w:t>Chief Minister, Treasury and Economic Development Directorate – Expenses</w:t>
            </w:r>
          </w:p>
        </w:tc>
        <w:tc>
          <w:tcPr>
            <w:tcW w:w="1179" w:type="dxa"/>
          </w:tcPr>
          <w:p w14:paraId="5CCDAC27"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96</w:t>
            </w:r>
          </w:p>
        </w:tc>
        <w:tc>
          <w:tcPr>
            <w:tcW w:w="1041" w:type="dxa"/>
          </w:tcPr>
          <w:p w14:paraId="595246CF"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5</w:t>
            </w:r>
          </w:p>
        </w:tc>
        <w:tc>
          <w:tcPr>
            <w:tcW w:w="1029" w:type="dxa"/>
          </w:tcPr>
          <w:p w14:paraId="44734997"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15DB1042"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100B64C2"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101</w:t>
            </w:r>
          </w:p>
        </w:tc>
      </w:tr>
      <w:tr w:rsidR="00990991" w:rsidRPr="00866299" w14:paraId="3AC463A8" w14:textId="77777777" w:rsidTr="00E26AB5">
        <w:trPr>
          <w:cantSplit/>
        </w:trPr>
        <w:tc>
          <w:tcPr>
            <w:tcW w:w="3652" w:type="dxa"/>
          </w:tcPr>
          <w:p w14:paraId="4BCE86E3" w14:textId="77777777" w:rsidR="00990991" w:rsidRPr="00866299" w:rsidRDefault="00990991" w:rsidP="00990991">
            <w:pPr>
              <w:ind w:left="284" w:hanging="284"/>
              <w:rPr>
                <w:rFonts w:ascii="Calibri" w:hAnsi="Calibri"/>
                <w:sz w:val="22"/>
                <w:lang w:eastAsia="en-US"/>
              </w:rPr>
            </w:pPr>
            <w:r w:rsidRPr="00866299">
              <w:rPr>
                <w:rFonts w:ascii="Calibri" w:hAnsi="Calibri"/>
                <w:sz w:val="22"/>
                <w:lang w:eastAsia="en-US"/>
              </w:rPr>
              <w:t>Education Directorate – Expenses</w:t>
            </w:r>
          </w:p>
        </w:tc>
        <w:tc>
          <w:tcPr>
            <w:tcW w:w="1179" w:type="dxa"/>
          </w:tcPr>
          <w:p w14:paraId="4D199991"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6</w:t>
            </w:r>
          </w:p>
        </w:tc>
        <w:tc>
          <w:tcPr>
            <w:tcW w:w="1041" w:type="dxa"/>
          </w:tcPr>
          <w:p w14:paraId="6A25271D"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140</w:t>
            </w:r>
          </w:p>
        </w:tc>
        <w:tc>
          <w:tcPr>
            <w:tcW w:w="1029" w:type="dxa"/>
          </w:tcPr>
          <w:p w14:paraId="2E5A82C4"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67</w:t>
            </w:r>
          </w:p>
        </w:tc>
        <w:tc>
          <w:tcPr>
            <w:tcW w:w="1029" w:type="dxa"/>
          </w:tcPr>
          <w:p w14:paraId="61575D03"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68</w:t>
            </w:r>
          </w:p>
        </w:tc>
        <w:tc>
          <w:tcPr>
            <w:tcW w:w="1029" w:type="dxa"/>
          </w:tcPr>
          <w:p w14:paraId="6F9824B0"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281</w:t>
            </w:r>
          </w:p>
        </w:tc>
      </w:tr>
      <w:tr w:rsidR="00990991" w:rsidRPr="00866299" w14:paraId="1B83D561" w14:textId="77777777" w:rsidTr="00E26AB5">
        <w:trPr>
          <w:cantSplit/>
        </w:trPr>
        <w:tc>
          <w:tcPr>
            <w:tcW w:w="3652" w:type="dxa"/>
          </w:tcPr>
          <w:p w14:paraId="1B2FF747" w14:textId="77777777" w:rsidR="00990991" w:rsidRPr="00866299" w:rsidRDefault="00990991" w:rsidP="00990991">
            <w:pPr>
              <w:ind w:left="284" w:hanging="284"/>
              <w:rPr>
                <w:rFonts w:ascii="Calibri" w:hAnsi="Calibri"/>
                <w:sz w:val="22"/>
                <w:lang w:eastAsia="en-US"/>
              </w:rPr>
            </w:pPr>
            <w:r w:rsidRPr="00866299">
              <w:rPr>
                <w:rFonts w:ascii="Calibri" w:hAnsi="Calibri"/>
                <w:sz w:val="22"/>
                <w:lang w:eastAsia="en-US"/>
              </w:rPr>
              <w:t>Environment, Planning and Sustainable Development Directorate – Expenses</w:t>
            </w:r>
          </w:p>
        </w:tc>
        <w:tc>
          <w:tcPr>
            <w:tcW w:w="1179" w:type="dxa"/>
          </w:tcPr>
          <w:p w14:paraId="1A2E3111"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5</w:t>
            </w:r>
          </w:p>
        </w:tc>
        <w:tc>
          <w:tcPr>
            <w:tcW w:w="1041" w:type="dxa"/>
          </w:tcPr>
          <w:p w14:paraId="791D1D95"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6D04D71C"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w:t>
            </w:r>
          </w:p>
        </w:tc>
        <w:tc>
          <w:tcPr>
            <w:tcW w:w="1029" w:type="dxa"/>
          </w:tcPr>
          <w:p w14:paraId="6DBD4248"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10A4C0C4"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6</w:t>
            </w:r>
          </w:p>
        </w:tc>
      </w:tr>
      <w:tr w:rsidR="00990991" w:rsidRPr="00866299" w14:paraId="0CF878EA" w14:textId="77777777" w:rsidTr="00E26AB5">
        <w:trPr>
          <w:cantSplit/>
        </w:trPr>
        <w:tc>
          <w:tcPr>
            <w:tcW w:w="3652" w:type="dxa"/>
          </w:tcPr>
          <w:p w14:paraId="2B9DAA3B" w14:textId="77777777" w:rsidR="00990991" w:rsidRPr="00866299" w:rsidRDefault="00990991" w:rsidP="00990991">
            <w:pPr>
              <w:ind w:left="284" w:hanging="284"/>
              <w:rPr>
                <w:rFonts w:ascii="Calibri" w:hAnsi="Calibri"/>
                <w:sz w:val="22"/>
                <w:lang w:eastAsia="en-US"/>
              </w:rPr>
            </w:pPr>
            <w:r w:rsidRPr="00866299">
              <w:rPr>
                <w:rFonts w:ascii="Calibri" w:hAnsi="Calibri"/>
                <w:sz w:val="22"/>
                <w:lang w:eastAsia="en-US"/>
              </w:rPr>
              <w:t>Health Directorate – Expenses</w:t>
            </w:r>
          </w:p>
        </w:tc>
        <w:tc>
          <w:tcPr>
            <w:tcW w:w="1179" w:type="dxa"/>
          </w:tcPr>
          <w:p w14:paraId="5A98518E"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216</w:t>
            </w:r>
          </w:p>
        </w:tc>
        <w:tc>
          <w:tcPr>
            <w:tcW w:w="1041" w:type="dxa"/>
          </w:tcPr>
          <w:p w14:paraId="207D904D"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297</w:t>
            </w:r>
          </w:p>
        </w:tc>
        <w:tc>
          <w:tcPr>
            <w:tcW w:w="1029" w:type="dxa"/>
          </w:tcPr>
          <w:p w14:paraId="0C159A0A"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296</w:t>
            </w:r>
          </w:p>
        </w:tc>
        <w:tc>
          <w:tcPr>
            <w:tcW w:w="1029" w:type="dxa"/>
          </w:tcPr>
          <w:p w14:paraId="33C330B9"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300</w:t>
            </w:r>
          </w:p>
        </w:tc>
        <w:tc>
          <w:tcPr>
            <w:tcW w:w="1029" w:type="dxa"/>
          </w:tcPr>
          <w:p w14:paraId="623100CC"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1,109</w:t>
            </w:r>
          </w:p>
        </w:tc>
      </w:tr>
      <w:tr w:rsidR="00990991" w:rsidRPr="00866299" w14:paraId="31B8E10A" w14:textId="77777777" w:rsidTr="00E26AB5">
        <w:trPr>
          <w:cantSplit/>
        </w:trPr>
        <w:tc>
          <w:tcPr>
            <w:tcW w:w="3652" w:type="dxa"/>
          </w:tcPr>
          <w:p w14:paraId="33436494" w14:textId="77777777" w:rsidR="00990991" w:rsidRPr="00866299" w:rsidRDefault="00990991" w:rsidP="00990991">
            <w:pPr>
              <w:ind w:left="284" w:hanging="284"/>
              <w:rPr>
                <w:rFonts w:ascii="Calibri" w:hAnsi="Calibri"/>
                <w:sz w:val="22"/>
                <w:lang w:eastAsia="en-US"/>
              </w:rPr>
            </w:pPr>
            <w:r w:rsidRPr="00866299">
              <w:rPr>
                <w:rFonts w:ascii="Calibri" w:hAnsi="Calibri"/>
                <w:sz w:val="22"/>
                <w:lang w:eastAsia="en-US"/>
              </w:rPr>
              <w:t>Justice and Community Safety Directorate – Expenses</w:t>
            </w:r>
          </w:p>
        </w:tc>
        <w:tc>
          <w:tcPr>
            <w:tcW w:w="1179" w:type="dxa"/>
          </w:tcPr>
          <w:p w14:paraId="3B7644C1"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58</w:t>
            </w:r>
          </w:p>
        </w:tc>
        <w:tc>
          <w:tcPr>
            <w:tcW w:w="1041" w:type="dxa"/>
          </w:tcPr>
          <w:p w14:paraId="4338626D"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58</w:t>
            </w:r>
          </w:p>
        </w:tc>
        <w:tc>
          <w:tcPr>
            <w:tcW w:w="1029" w:type="dxa"/>
          </w:tcPr>
          <w:p w14:paraId="6524BFEB"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26</w:t>
            </w:r>
          </w:p>
        </w:tc>
        <w:tc>
          <w:tcPr>
            <w:tcW w:w="1029" w:type="dxa"/>
          </w:tcPr>
          <w:p w14:paraId="4DE38FC8"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26</w:t>
            </w:r>
          </w:p>
        </w:tc>
        <w:tc>
          <w:tcPr>
            <w:tcW w:w="1029" w:type="dxa"/>
          </w:tcPr>
          <w:p w14:paraId="2E0FDDB3"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168</w:t>
            </w:r>
          </w:p>
        </w:tc>
      </w:tr>
      <w:tr w:rsidR="00990991" w:rsidRPr="00866299" w14:paraId="02947225" w14:textId="77777777" w:rsidTr="00E26AB5">
        <w:trPr>
          <w:cantSplit/>
        </w:trPr>
        <w:tc>
          <w:tcPr>
            <w:tcW w:w="3652" w:type="dxa"/>
          </w:tcPr>
          <w:p w14:paraId="1C9DFB46" w14:textId="77777777" w:rsidR="00990991" w:rsidRPr="00866299" w:rsidRDefault="00990991" w:rsidP="00990991">
            <w:pPr>
              <w:ind w:left="284" w:hanging="284"/>
              <w:rPr>
                <w:rFonts w:ascii="Calibri" w:hAnsi="Calibri"/>
                <w:sz w:val="22"/>
                <w:lang w:eastAsia="en-US"/>
              </w:rPr>
            </w:pPr>
            <w:r w:rsidRPr="00866299">
              <w:rPr>
                <w:rFonts w:ascii="Calibri" w:hAnsi="Calibri"/>
                <w:sz w:val="22"/>
                <w:lang w:eastAsia="en-US"/>
              </w:rPr>
              <w:t>Transport Canberra and City Services Directorate – Expenses</w:t>
            </w:r>
          </w:p>
        </w:tc>
        <w:tc>
          <w:tcPr>
            <w:tcW w:w="1179" w:type="dxa"/>
          </w:tcPr>
          <w:p w14:paraId="73BD8092"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60</w:t>
            </w:r>
          </w:p>
        </w:tc>
        <w:tc>
          <w:tcPr>
            <w:tcW w:w="1041" w:type="dxa"/>
          </w:tcPr>
          <w:p w14:paraId="47FA6091"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14</w:t>
            </w:r>
          </w:p>
        </w:tc>
        <w:tc>
          <w:tcPr>
            <w:tcW w:w="1029" w:type="dxa"/>
          </w:tcPr>
          <w:p w14:paraId="6B577A82"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14</w:t>
            </w:r>
          </w:p>
        </w:tc>
        <w:tc>
          <w:tcPr>
            <w:tcW w:w="1029" w:type="dxa"/>
          </w:tcPr>
          <w:p w14:paraId="1603B348"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14</w:t>
            </w:r>
          </w:p>
        </w:tc>
        <w:tc>
          <w:tcPr>
            <w:tcW w:w="1029" w:type="dxa"/>
          </w:tcPr>
          <w:p w14:paraId="270193EB"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102</w:t>
            </w:r>
          </w:p>
        </w:tc>
      </w:tr>
      <w:tr w:rsidR="00990991" w:rsidRPr="00866299" w14:paraId="4369AD3D" w14:textId="77777777" w:rsidTr="00E26AB5">
        <w:trPr>
          <w:cantSplit/>
        </w:trPr>
        <w:tc>
          <w:tcPr>
            <w:tcW w:w="3652" w:type="dxa"/>
          </w:tcPr>
          <w:p w14:paraId="13EBABC4" w14:textId="77777777" w:rsidR="00990991" w:rsidRPr="00866299" w:rsidRDefault="00990991" w:rsidP="00990991">
            <w:pPr>
              <w:ind w:left="284" w:hanging="284"/>
              <w:rPr>
                <w:rFonts w:ascii="Calibri" w:hAnsi="Calibri"/>
                <w:sz w:val="22"/>
                <w:lang w:eastAsia="en-US"/>
              </w:rPr>
            </w:pPr>
            <w:r w:rsidRPr="00866299">
              <w:rPr>
                <w:rFonts w:ascii="Calibri" w:hAnsi="Calibri"/>
                <w:sz w:val="22"/>
                <w:lang w:eastAsia="en-US"/>
              </w:rPr>
              <w:t>Offset – Expense</w:t>
            </w:r>
          </w:p>
        </w:tc>
        <w:tc>
          <w:tcPr>
            <w:tcW w:w="1179" w:type="dxa"/>
          </w:tcPr>
          <w:p w14:paraId="53294C21"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637</w:t>
            </w:r>
          </w:p>
        </w:tc>
        <w:tc>
          <w:tcPr>
            <w:tcW w:w="1041" w:type="dxa"/>
          </w:tcPr>
          <w:p w14:paraId="725A7B3B"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700</w:t>
            </w:r>
          </w:p>
        </w:tc>
        <w:tc>
          <w:tcPr>
            <w:tcW w:w="1029" w:type="dxa"/>
          </w:tcPr>
          <w:p w14:paraId="14368032"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572</w:t>
            </w:r>
          </w:p>
        </w:tc>
        <w:tc>
          <w:tcPr>
            <w:tcW w:w="1029" w:type="dxa"/>
          </w:tcPr>
          <w:p w14:paraId="09E0B816"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567</w:t>
            </w:r>
          </w:p>
        </w:tc>
        <w:tc>
          <w:tcPr>
            <w:tcW w:w="1029" w:type="dxa"/>
          </w:tcPr>
          <w:p w14:paraId="0D02E722"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2,476</w:t>
            </w:r>
          </w:p>
        </w:tc>
      </w:tr>
      <w:tr w:rsidR="00990991" w:rsidRPr="00866299" w14:paraId="573122A3" w14:textId="77777777" w:rsidTr="00E26AB5">
        <w:trPr>
          <w:cantSplit/>
        </w:trPr>
        <w:tc>
          <w:tcPr>
            <w:tcW w:w="3652" w:type="dxa"/>
            <w:tcBorders>
              <w:top w:val="single" w:sz="4" w:space="0" w:color="auto"/>
              <w:bottom w:val="single" w:sz="4" w:space="0" w:color="auto"/>
            </w:tcBorders>
          </w:tcPr>
          <w:p w14:paraId="4827C53E" w14:textId="77777777" w:rsidR="00990991" w:rsidRPr="00866299" w:rsidRDefault="00990991" w:rsidP="00990991">
            <w:pPr>
              <w:ind w:left="284" w:hanging="284"/>
              <w:rPr>
                <w:rFonts w:ascii="Calibri" w:hAnsi="Calibri"/>
                <w:b/>
                <w:sz w:val="22"/>
                <w:lang w:eastAsia="en-US"/>
              </w:rPr>
            </w:pPr>
            <w:r w:rsidRPr="00866299">
              <w:rPr>
                <w:rFonts w:ascii="Calibri" w:hAnsi="Calibri"/>
                <w:b/>
                <w:sz w:val="22"/>
                <w:lang w:eastAsia="en-US"/>
              </w:rPr>
              <w:t>Total Expenses</w:t>
            </w:r>
          </w:p>
        </w:tc>
        <w:tc>
          <w:tcPr>
            <w:tcW w:w="1179" w:type="dxa"/>
            <w:tcBorders>
              <w:top w:val="single" w:sz="4" w:space="0" w:color="auto"/>
              <w:bottom w:val="single" w:sz="4" w:space="0" w:color="auto"/>
            </w:tcBorders>
          </w:tcPr>
          <w:p w14:paraId="38C6AB53"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0</w:t>
            </w:r>
          </w:p>
        </w:tc>
        <w:tc>
          <w:tcPr>
            <w:tcW w:w="1041" w:type="dxa"/>
            <w:tcBorders>
              <w:top w:val="single" w:sz="4" w:space="0" w:color="auto"/>
              <w:bottom w:val="single" w:sz="4" w:space="0" w:color="auto"/>
            </w:tcBorders>
          </w:tcPr>
          <w:p w14:paraId="38A753CA"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06462E8C"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4D74733F"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07760F2F"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0</w:t>
            </w:r>
          </w:p>
        </w:tc>
      </w:tr>
    </w:tbl>
    <w:p w14:paraId="130AB9A2" w14:textId="77777777" w:rsidR="00990991" w:rsidRPr="00990991" w:rsidRDefault="00990991" w:rsidP="00E26AB5">
      <w:pPr>
        <w:pStyle w:val="snapInitbody"/>
      </w:pPr>
      <w:r w:rsidRPr="00990991">
        <w:t>The Government will continue to support the delivery of the Domestic and Family Violence Frontline Worker Training Strategy across the ACT Public Service. The training is helping to develop a skilled and educated workforce which is equipped to recognise and respond to domestic and family violence when our staff are providing frontline services to the Canberra community. This initiative will be funded by the Safer Families Levy.</w:t>
      </w:r>
    </w:p>
    <w:p w14:paraId="1D803D57" w14:textId="62190CF8" w:rsidR="00990991" w:rsidRPr="007A3A72" w:rsidRDefault="00990991" w:rsidP="007A3A72">
      <w:pPr>
        <w:pStyle w:val="Heading3"/>
      </w:pPr>
      <w:r w:rsidRPr="007A3A72">
        <w:t>Community Services Directorate – Infrastructure and Capital Initiatives</w:t>
      </w:r>
    </w:p>
    <w:p w14:paraId="5BBE0301" w14:textId="77777777" w:rsidR="00990991" w:rsidRPr="000F30E1" w:rsidRDefault="00990991" w:rsidP="000F30E1">
      <w:pPr>
        <w:pStyle w:val="snapInittitles"/>
      </w:pPr>
      <w:r w:rsidRPr="000F30E1">
        <w:t xml:space="preserve">Supporting smarter working in the new ACT Government office projects </w:t>
      </w:r>
    </w:p>
    <w:p w14:paraId="23861362" w14:textId="77777777" w:rsidR="00990991" w:rsidRPr="00990991" w:rsidRDefault="00990991" w:rsidP="00E26AB5">
      <w:pPr>
        <w:pStyle w:val="snapInitbody"/>
      </w:pPr>
      <w:r w:rsidRPr="00990991">
        <w:t xml:space="preserve">See the Chief Minister, Treasury and Economic Directorate capital initiative </w:t>
      </w:r>
      <w:r w:rsidRPr="00990991">
        <w:rPr>
          <w:i/>
        </w:rPr>
        <w:t xml:space="preserve">Supporting smarter working in the new ACT Government office projects </w:t>
      </w:r>
      <w:r w:rsidRPr="00990991">
        <w:t>for further details.</w:t>
      </w:r>
    </w:p>
    <w:p w14:paraId="69A25E28" w14:textId="50AE6C6E" w:rsidR="00990991" w:rsidRPr="007A3A72" w:rsidRDefault="00990991" w:rsidP="007A3A72">
      <w:pPr>
        <w:pStyle w:val="Heading4"/>
      </w:pPr>
      <w:r w:rsidRPr="007A3A72">
        <w:t xml:space="preserve">Information and </w:t>
      </w:r>
      <w:r w:rsidR="00B2594F">
        <w:t>C</w:t>
      </w:r>
      <w:r w:rsidRPr="007A3A72">
        <w:t xml:space="preserve">ommunication </w:t>
      </w:r>
      <w:r w:rsidR="00B2594F">
        <w:t>T</w:t>
      </w:r>
      <w:r w:rsidRPr="007A3A72">
        <w:t>echnology</w:t>
      </w:r>
    </w:p>
    <w:p w14:paraId="15031048" w14:textId="77777777" w:rsidR="00990991" w:rsidRPr="000F30E1" w:rsidRDefault="00990991" w:rsidP="000F30E1">
      <w:pPr>
        <w:pStyle w:val="snapInittitles"/>
      </w:pPr>
      <w:r w:rsidRPr="000F30E1">
        <w:t xml:space="preserve">Child and Youth Record Information System completion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990991" w:rsidRPr="00866299" w14:paraId="77ABFFB2" w14:textId="77777777" w:rsidTr="00E26AB5">
        <w:trPr>
          <w:cantSplit/>
        </w:trPr>
        <w:tc>
          <w:tcPr>
            <w:tcW w:w="3652" w:type="dxa"/>
            <w:tcBorders>
              <w:top w:val="single" w:sz="4" w:space="0" w:color="auto"/>
              <w:bottom w:val="single" w:sz="4" w:space="0" w:color="auto"/>
            </w:tcBorders>
          </w:tcPr>
          <w:p w14:paraId="31945547" w14:textId="1719B237" w:rsidR="00990991" w:rsidRPr="00866299" w:rsidRDefault="00990991" w:rsidP="00990991">
            <w:pPr>
              <w:jc w:val="right"/>
              <w:rPr>
                <w:rFonts w:ascii="Calibri" w:hAnsi="Calibri" w:cs="Calibri"/>
                <w:i/>
                <w:color w:val="FFFFFF"/>
                <w:sz w:val="22"/>
                <w:highlight w:val="yellow"/>
                <w:lang w:eastAsia="en-US"/>
              </w:rPr>
            </w:pPr>
          </w:p>
        </w:tc>
        <w:tc>
          <w:tcPr>
            <w:tcW w:w="1179" w:type="dxa"/>
            <w:tcBorders>
              <w:top w:val="single" w:sz="4" w:space="0" w:color="auto"/>
              <w:bottom w:val="single" w:sz="4" w:space="0" w:color="auto"/>
            </w:tcBorders>
          </w:tcPr>
          <w:p w14:paraId="22984456"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2019-20</w:t>
            </w:r>
          </w:p>
          <w:p w14:paraId="46824BEB"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0FA74473"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2020-21</w:t>
            </w:r>
          </w:p>
          <w:p w14:paraId="1EF9AD98"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B857470"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2021-22</w:t>
            </w:r>
          </w:p>
          <w:p w14:paraId="79D0CCD1"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5A4E6FED"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2022-23</w:t>
            </w:r>
          </w:p>
          <w:p w14:paraId="0E28B6A2"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AF32F08"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Total</w:t>
            </w:r>
          </w:p>
          <w:p w14:paraId="6E601900"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$’000</w:t>
            </w:r>
          </w:p>
        </w:tc>
      </w:tr>
      <w:tr w:rsidR="00990991" w:rsidRPr="00866299" w14:paraId="556C5CB9" w14:textId="77777777" w:rsidTr="00E26AB5">
        <w:trPr>
          <w:cantSplit/>
        </w:trPr>
        <w:tc>
          <w:tcPr>
            <w:tcW w:w="3652" w:type="dxa"/>
            <w:tcBorders>
              <w:top w:val="single" w:sz="4" w:space="0" w:color="auto"/>
            </w:tcBorders>
          </w:tcPr>
          <w:p w14:paraId="1C7D42AE" w14:textId="77777777" w:rsidR="00990991" w:rsidRPr="00866299" w:rsidRDefault="00990991" w:rsidP="00990991">
            <w:pPr>
              <w:ind w:left="284" w:hanging="284"/>
              <w:rPr>
                <w:rFonts w:ascii="Calibri" w:hAnsi="Calibri"/>
                <w:sz w:val="22"/>
                <w:lang w:eastAsia="en-US"/>
              </w:rPr>
            </w:pPr>
            <w:r w:rsidRPr="00866299">
              <w:rPr>
                <w:rFonts w:ascii="Calibri" w:hAnsi="Calibri"/>
                <w:sz w:val="22"/>
                <w:lang w:eastAsia="en-US"/>
              </w:rPr>
              <w:t>Capital</w:t>
            </w:r>
          </w:p>
        </w:tc>
        <w:tc>
          <w:tcPr>
            <w:tcW w:w="1179" w:type="dxa"/>
            <w:tcBorders>
              <w:top w:val="single" w:sz="4" w:space="0" w:color="auto"/>
            </w:tcBorders>
          </w:tcPr>
          <w:p w14:paraId="0C73E029"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600</w:t>
            </w:r>
          </w:p>
        </w:tc>
        <w:tc>
          <w:tcPr>
            <w:tcW w:w="1041" w:type="dxa"/>
            <w:tcBorders>
              <w:top w:val="single" w:sz="4" w:space="0" w:color="auto"/>
            </w:tcBorders>
          </w:tcPr>
          <w:p w14:paraId="546B3B4B"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599</w:t>
            </w:r>
          </w:p>
        </w:tc>
        <w:tc>
          <w:tcPr>
            <w:tcW w:w="1029" w:type="dxa"/>
            <w:tcBorders>
              <w:top w:val="single" w:sz="4" w:space="0" w:color="auto"/>
            </w:tcBorders>
          </w:tcPr>
          <w:p w14:paraId="30CE8124"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7D3D1432"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2B3CC55D"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1,199</w:t>
            </w:r>
          </w:p>
        </w:tc>
      </w:tr>
      <w:tr w:rsidR="00990991" w:rsidRPr="00866299" w14:paraId="7181E660" w14:textId="77777777" w:rsidTr="00E26AB5">
        <w:trPr>
          <w:cantSplit/>
        </w:trPr>
        <w:tc>
          <w:tcPr>
            <w:tcW w:w="3652" w:type="dxa"/>
            <w:tcBorders>
              <w:top w:val="single" w:sz="4" w:space="0" w:color="auto"/>
            </w:tcBorders>
          </w:tcPr>
          <w:p w14:paraId="392DFA2D" w14:textId="77777777" w:rsidR="00990991" w:rsidRPr="00866299" w:rsidRDefault="00990991" w:rsidP="00990991">
            <w:pPr>
              <w:ind w:left="284" w:hanging="284"/>
              <w:rPr>
                <w:rFonts w:ascii="Calibri" w:hAnsi="Calibri"/>
                <w:sz w:val="22"/>
                <w:lang w:eastAsia="en-US"/>
              </w:rPr>
            </w:pPr>
            <w:r w:rsidRPr="00866299">
              <w:rPr>
                <w:rFonts w:ascii="Calibri" w:hAnsi="Calibri"/>
                <w:sz w:val="22"/>
                <w:lang w:eastAsia="en-US"/>
              </w:rPr>
              <w:t>Depreciation</w:t>
            </w:r>
          </w:p>
        </w:tc>
        <w:tc>
          <w:tcPr>
            <w:tcW w:w="1179" w:type="dxa"/>
            <w:tcBorders>
              <w:top w:val="single" w:sz="4" w:space="0" w:color="auto"/>
            </w:tcBorders>
          </w:tcPr>
          <w:p w14:paraId="33E36970"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w:t>
            </w:r>
          </w:p>
        </w:tc>
        <w:tc>
          <w:tcPr>
            <w:tcW w:w="1041" w:type="dxa"/>
            <w:tcBorders>
              <w:top w:val="single" w:sz="4" w:space="0" w:color="auto"/>
            </w:tcBorders>
          </w:tcPr>
          <w:p w14:paraId="3650C667"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240</w:t>
            </w:r>
          </w:p>
        </w:tc>
        <w:tc>
          <w:tcPr>
            <w:tcW w:w="1029" w:type="dxa"/>
            <w:tcBorders>
              <w:top w:val="single" w:sz="4" w:space="0" w:color="auto"/>
            </w:tcBorders>
          </w:tcPr>
          <w:p w14:paraId="53D839A7"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240</w:t>
            </w:r>
          </w:p>
        </w:tc>
        <w:tc>
          <w:tcPr>
            <w:tcW w:w="1029" w:type="dxa"/>
            <w:tcBorders>
              <w:top w:val="single" w:sz="4" w:space="0" w:color="auto"/>
            </w:tcBorders>
          </w:tcPr>
          <w:p w14:paraId="2928AC83"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240</w:t>
            </w:r>
          </w:p>
        </w:tc>
        <w:tc>
          <w:tcPr>
            <w:tcW w:w="1029" w:type="dxa"/>
            <w:tcBorders>
              <w:top w:val="single" w:sz="4" w:space="0" w:color="auto"/>
            </w:tcBorders>
          </w:tcPr>
          <w:p w14:paraId="186EE633"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720</w:t>
            </w:r>
          </w:p>
        </w:tc>
      </w:tr>
      <w:tr w:rsidR="00990991" w:rsidRPr="00866299" w14:paraId="28C6FE03" w14:textId="77777777" w:rsidTr="00E26AB5">
        <w:trPr>
          <w:cantSplit/>
        </w:trPr>
        <w:tc>
          <w:tcPr>
            <w:tcW w:w="3652" w:type="dxa"/>
          </w:tcPr>
          <w:p w14:paraId="1F6FE564" w14:textId="77777777" w:rsidR="00990991" w:rsidRPr="00866299" w:rsidRDefault="00990991" w:rsidP="00990991">
            <w:pPr>
              <w:ind w:left="284" w:hanging="284"/>
              <w:rPr>
                <w:rFonts w:ascii="Calibri" w:hAnsi="Calibri"/>
                <w:sz w:val="22"/>
                <w:lang w:eastAsia="en-US"/>
              </w:rPr>
            </w:pPr>
            <w:r w:rsidRPr="00866299">
              <w:rPr>
                <w:rFonts w:ascii="Calibri" w:hAnsi="Calibri"/>
                <w:sz w:val="22"/>
                <w:lang w:eastAsia="en-US"/>
              </w:rPr>
              <w:t>Associated expenses</w:t>
            </w:r>
          </w:p>
        </w:tc>
        <w:tc>
          <w:tcPr>
            <w:tcW w:w="1179" w:type="dxa"/>
          </w:tcPr>
          <w:p w14:paraId="22BFF230"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130</w:t>
            </w:r>
          </w:p>
        </w:tc>
        <w:tc>
          <w:tcPr>
            <w:tcW w:w="1041" w:type="dxa"/>
          </w:tcPr>
          <w:p w14:paraId="38BAF281"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154</w:t>
            </w:r>
          </w:p>
        </w:tc>
        <w:tc>
          <w:tcPr>
            <w:tcW w:w="1029" w:type="dxa"/>
          </w:tcPr>
          <w:p w14:paraId="76F61B3F"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154</w:t>
            </w:r>
          </w:p>
        </w:tc>
        <w:tc>
          <w:tcPr>
            <w:tcW w:w="1029" w:type="dxa"/>
          </w:tcPr>
          <w:p w14:paraId="5A803EAA"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154</w:t>
            </w:r>
          </w:p>
        </w:tc>
        <w:tc>
          <w:tcPr>
            <w:tcW w:w="1029" w:type="dxa"/>
          </w:tcPr>
          <w:p w14:paraId="04F0E67D"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592</w:t>
            </w:r>
          </w:p>
        </w:tc>
      </w:tr>
      <w:tr w:rsidR="00990991" w:rsidRPr="00866299" w14:paraId="4CB81AE0" w14:textId="77777777" w:rsidTr="00E26AB5">
        <w:trPr>
          <w:cantSplit/>
        </w:trPr>
        <w:tc>
          <w:tcPr>
            <w:tcW w:w="3652" w:type="dxa"/>
            <w:tcBorders>
              <w:top w:val="single" w:sz="4" w:space="0" w:color="auto"/>
              <w:bottom w:val="single" w:sz="4" w:space="0" w:color="auto"/>
            </w:tcBorders>
          </w:tcPr>
          <w:p w14:paraId="750B8032" w14:textId="77777777" w:rsidR="00990991" w:rsidRPr="00866299" w:rsidRDefault="00990991" w:rsidP="00990991">
            <w:pPr>
              <w:ind w:left="284" w:hanging="284"/>
              <w:rPr>
                <w:rFonts w:ascii="Calibri" w:hAnsi="Calibri"/>
                <w:b/>
                <w:sz w:val="22"/>
                <w:lang w:eastAsia="en-US"/>
              </w:rPr>
            </w:pPr>
            <w:r w:rsidRPr="00866299">
              <w:rPr>
                <w:rFonts w:ascii="Calibri" w:hAnsi="Calibri"/>
                <w:b/>
                <w:sz w:val="22"/>
                <w:lang w:eastAsia="en-US"/>
              </w:rPr>
              <w:t>Total expenses</w:t>
            </w:r>
          </w:p>
        </w:tc>
        <w:tc>
          <w:tcPr>
            <w:tcW w:w="1179" w:type="dxa"/>
            <w:tcBorders>
              <w:top w:val="single" w:sz="4" w:space="0" w:color="auto"/>
              <w:bottom w:val="single" w:sz="4" w:space="0" w:color="auto"/>
            </w:tcBorders>
          </w:tcPr>
          <w:p w14:paraId="5541E677"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130</w:t>
            </w:r>
          </w:p>
        </w:tc>
        <w:tc>
          <w:tcPr>
            <w:tcW w:w="1041" w:type="dxa"/>
            <w:tcBorders>
              <w:top w:val="single" w:sz="4" w:space="0" w:color="auto"/>
              <w:bottom w:val="single" w:sz="4" w:space="0" w:color="auto"/>
            </w:tcBorders>
          </w:tcPr>
          <w:p w14:paraId="5C333713"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394</w:t>
            </w:r>
          </w:p>
        </w:tc>
        <w:tc>
          <w:tcPr>
            <w:tcW w:w="1029" w:type="dxa"/>
            <w:tcBorders>
              <w:top w:val="single" w:sz="4" w:space="0" w:color="auto"/>
              <w:bottom w:val="single" w:sz="4" w:space="0" w:color="auto"/>
            </w:tcBorders>
          </w:tcPr>
          <w:p w14:paraId="33D4B78F"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394</w:t>
            </w:r>
          </w:p>
        </w:tc>
        <w:tc>
          <w:tcPr>
            <w:tcW w:w="1029" w:type="dxa"/>
            <w:tcBorders>
              <w:top w:val="single" w:sz="4" w:space="0" w:color="auto"/>
              <w:bottom w:val="single" w:sz="4" w:space="0" w:color="auto"/>
            </w:tcBorders>
          </w:tcPr>
          <w:p w14:paraId="0292B2C2"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394</w:t>
            </w:r>
          </w:p>
        </w:tc>
        <w:tc>
          <w:tcPr>
            <w:tcW w:w="1029" w:type="dxa"/>
            <w:tcBorders>
              <w:top w:val="single" w:sz="4" w:space="0" w:color="auto"/>
              <w:bottom w:val="single" w:sz="4" w:space="0" w:color="auto"/>
            </w:tcBorders>
          </w:tcPr>
          <w:p w14:paraId="50E06CBB"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1,312</w:t>
            </w:r>
          </w:p>
        </w:tc>
      </w:tr>
    </w:tbl>
    <w:p w14:paraId="4DEBE528" w14:textId="77777777" w:rsidR="00990991" w:rsidRPr="00990991" w:rsidRDefault="00990991" w:rsidP="00E26AB5">
      <w:pPr>
        <w:pStyle w:val="snapInitbody"/>
      </w:pPr>
      <w:r w:rsidRPr="00990991">
        <w:t xml:space="preserve">The Government will invest additional resources to complete the new Child and Youth Record Information System, enabling better information sharing and more effective case management for children and young people, their families and carers. </w:t>
      </w:r>
    </w:p>
    <w:p w14:paraId="4E9FD0C4" w14:textId="77777777" w:rsidR="004F5155" w:rsidRDefault="004F5155">
      <w:pPr>
        <w:rPr>
          <w:rFonts w:ascii="Calibri" w:hAnsi="Calibri"/>
          <w:b/>
          <w:bCs/>
          <w:szCs w:val="26"/>
          <w:lang w:val="x-none" w:eastAsia="en-US"/>
        </w:rPr>
      </w:pPr>
      <w:r>
        <w:br w:type="page"/>
      </w:r>
    </w:p>
    <w:p w14:paraId="6DC30AF1" w14:textId="17EF33B8" w:rsidR="00990991" w:rsidRPr="000F30E1" w:rsidRDefault="00990991" w:rsidP="000F30E1">
      <w:pPr>
        <w:pStyle w:val="snapInittitles"/>
      </w:pPr>
      <w:r w:rsidRPr="000F30E1">
        <w:t xml:space="preserve">Strengthening security and CCTV facilities at </w:t>
      </w:r>
      <w:proofErr w:type="spellStart"/>
      <w:r w:rsidRPr="000F30E1">
        <w:t>Bimberi</w:t>
      </w:r>
      <w:proofErr w:type="spellEnd"/>
      <w:r w:rsidRPr="000F30E1">
        <w:t xml:space="preserve"> Youth Justice Centre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990991" w:rsidRPr="00866299" w14:paraId="6CABB9F0" w14:textId="77777777" w:rsidTr="00E26AB5">
        <w:trPr>
          <w:cantSplit/>
        </w:trPr>
        <w:tc>
          <w:tcPr>
            <w:tcW w:w="3652" w:type="dxa"/>
            <w:tcBorders>
              <w:top w:val="single" w:sz="4" w:space="0" w:color="auto"/>
              <w:bottom w:val="single" w:sz="4" w:space="0" w:color="auto"/>
            </w:tcBorders>
          </w:tcPr>
          <w:p w14:paraId="6E87B077" w14:textId="4FD6B30F" w:rsidR="00990991" w:rsidRPr="00866299" w:rsidRDefault="00990991" w:rsidP="00990991">
            <w:pPr>
              <w:jc w:val="right"/>
              <w:rPr>
                <w:rFonts w:ascii="Calibri" w:hAnsi="Calibri" w:cs="Calibri"/>
                <w:i/>
                <w:color w:val="FFFFFF"/>
                <w:sz w:val="22"/>
                <w:highlight w:val="yellow"/>
                <w:lang w:eastAsia="en-US"/>
              </w:rPr>
            </w:pPr>
          </w:p>
        </w:tc>
        <w:tc>
          <w:tcPr>
            <w:tcW w:w="1179" w:type="dxa"/>
            <w:tcBorders>
              <w:top w:val="single" w:sz="4" w:space="0" w:color="auto"/>
              <w:bottom w:val="single" w:sz="4" w:space="0" w:color="auto"/>
            </w:tcBorders>
          </w:tcPr>
          <w:p w14:paraId="6689BB3E"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2019-20</w:t>
            </w:r>
          </w:p>
          <w:p w14:paraId="4CE116A9"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722F22C4"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2020-21</w:t>
            </w:r>
          </w:p>
          <w:p w14:paraId="15559D16"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10780D6B"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2021-22</w:t>
            </w:r>
          </w:p>
          <w:p w14:paraId="68A76CBA"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A0317E0"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2022-23</w:t>
            </w:r>
          </w:p>
          <w:p w14:paraId="63B7D353"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1E33072C"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Total</w:t>
            </w:r>
          </w:p>
          <w:p w14:paraId="26A6EBAB"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$’000</w:t>
            </w:r>
          </w:p>
        </w:tc>
      </w:tr>
      <w:tr w:rsidR="00990991" w:rsidRPr="00866299" w14:paraId="49A33D6C" w14:textId="77777777" w:rsidTr="00E26AB5">
        <w:trPr>
          <w:cantSplit/>
        </w:trPr>
        <w:tc>
          <w:tcPr>
            <w:tcW w:w="3652" w:type="dxa"/>
            <w:tcBorders>
              <w:top w:val="single" w:sz="4" w:space="0" w:color="auto"/>
            </w:tcBorders>
          </w:tcPr>
          <w:p w14:paraId="13091C95" w14:textId="77777777" w:rsidR="00990991" w:rsidRPr="00866299" w:rsidRDefault="00990991" w:rsidP="00990991">
            <w:pPr>
              <w:ind w:left="284" w:hanging="284"/>
              <w:rPr>
                <w:rFonts w:ascii="Calibri" w:hAnsi="Calibri"/>
                <w:sz w:val="22"/>
                <w:lang w:eastAsia="en-US"/>
              </w:rPr>
            </w:pPr>
            <w:r w:rsidRPr="00866299">
              <w:rPr>
                <w:rFonts w:ascii="Calibri" w:hAnsi="Calibri"/>
                <w:sz w:val="22"/>
                <w:lang w:eastAsia="en-US"/>
              </w:rPr>
              <w:t>Capital</w:t>
            </w:r>
          </w:p>
        </w:tc>
        <w:tc>
          <w:tcPr>
            <w:tcW w:w="1179" w:type="dxa"/>
            <w:tcBorders>
              <w:top w:val="single" w:sz="4" w:space="0" w:color="auto"/>
            </w:tcBorders>
          </w:tcPr>
          <w:p w14:paraId="5F9A4549"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607</w:t>
            </w:r>
          </w:p>
        </w:tc>
        <w:tc>
          <w:tcPr>
            <w:tcW w:w="1041" w:type="dxa"/>
            <w:tcBorders>
              <w:top w:val="single" w:sz="4" w:space="0" w:color="auto"/>
            </w:tcBorders>
          </w:tcPr>
          <w:p w14:paraId="3C60F476"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300</w:t>
            </w:r>
          </w:p>
        </w:tc>
        <w:tc>
          <w:tcPr>
            <w:tcW w:w="1029" w:type="dxa"/>
            <w:tcBorders>
              <w:top w:val="single" w:sz="4" w:space="0" w:color="auto"/>
            </w:tcBorders>
          </w:tcPr>
          <w:p w14:paraId="6E8F1EC4"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039C457C"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1D225854"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907</w:t>
            </w:r>
          </w:p>
        </w:tc>
      </w:tr>
      <w:tr w:rsidR="00990991" w:rsidRPr="00866299" w14:paraId="0FF5C4F0" w14:textId="77777777" w:rsidTr="00E26AB5">
        <w:trPr>
          <w:cantSplit/>
        </w:trPr>
        <w:tc>
          <w:tcPr>
            <w:tcW w:w="3652" w:type="dxa"/>
            <w:tcBorders>
              <w:top w:val="single" w:sz="4" w:space="0" w:color="auto"/>
            </w:tcBorders>
          </w:tcPr>
          <w:p w14:paraId="167826D6" w14:textId="77777777" w:rsidR="00990991" w:rsidRPr="00866299" w:rsidRDefault="00990991" w:rsidP="00990991">
            <w:pPr>
              <w:ind w:left="284" w:hanging="284"/>
              <w:rPr>
                <w:rFonts w:ascii="Calibri" w:hAnsi="Calibri"/>
                <w:sz w:val="22"/>
                <w:lang w:eastAsia="en-US"/>
              </w:rPr>
            </w:pPr>
            <w:r w:rsidRPr="00866299">
              <w:rPr>
                <w:rFonts w:ascii="Calibri" w:hAnsi="Calibri"/>
                <w:sz w:val="22"/>
                <w:lang w:eastAsia="en-US"/>
              </w:rPr>
              <w:t>Depreciation</w:t>
            </w:r>
          </w:p>
        </w:tc>
        <w:tc>
          <w:tcPr>
            <w:tcW w:w="1179" w:type="dxa"/>
            <w:tcBorders>
              <w:top w:val="single" w:sz="4" w:space="0" w:color="auto"/>
            </w:tcBorders>
          </w:tcPr>
          <w:p w14:paraId="1A76A7FA"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w:t>
            </w:r>
          </w:p>
        </w:tc>
        <w:tc>
          <w:tcPr>
            <w:tcW w:w="1041" w:type="dxa"/>
            <w:tcBorders>
              <w:top w:val="single" w:sz="4" w:space="0" w:color="auto"/>
            </w:tcBorders>
          </w:tcPr>
          <w:p w14:paraId="5516D931"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60</w:t>
            </w:r>
          </w:p>
        </w:tc>
        <w:tc>
          <w:tcPr>
            <w:tcW w:w="1029" w:type="dxa"/>
            <w:tcBorders>
              <w:top w:val="single" w:sz="4" w:space="0" w:color="auto"/>
            </w:tcBorders>
          </w:tcPr>
          <w:p w14:paraId="68970F8E"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121</w:t>
            </w:r>
          </w:p>
        </w:tc>
        <w:tc>
          <w:tcPr>
            <w:tcW w:w="1029" w:type="dxa"/>
            <w:tcBorders>
              <w:top w:val="single" w:sz="4" w:space="0" w:color="auto"/>
            </w:tcBorders>
          </w:tcPr>
          <w:p w14:paraId="063CA3DD"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121</w:t>
            </w:r>
          </w:p>
        </w:tc>
        <w:tc>
          <w:tcPr>
            <w:tcW w:w="1029" w:type="dxa"/>
            <w:tcBorders>
              <w:top w:val="single" w:sz="4" w:space="0" w:color="auto"/>
            </w:tcBorders>
          </w:tcPr>
          <w:p w14:paraId="5F6710A0"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302</w:t>
            </w:r>
          </w:p>
        </w:tc>
      </w:tr>
      <w:tr w:rsidR="00990991" w:rsidRPr="00866299" w14:paraId="726779B9" w14:textId="77777777" w:rsidTr="00E26AB5">
        <w:trPr>
          <w:cantSplit/>
        </w:trPr>
        <w:tc>
          <w:tcPr>
            <w:tcW w:w="3652" w:type="dxa"/>
          </w:tcPr>
          <w:p w14:paraId="6290D37F" w14:textId="77777777" w:rsidR="00990991" w:rsidRPr="00866299" w:rsidRDefault="00990991" w:rsidP="00990991">
            <w:pPr>
              <w:ind w:left="284" w:hanging="284"/>
              <w:rPr>
                <w:rFonts w:ascii="Calibri" w:hAnsi="Calibri"/>
                <w:sz w:val="22"/>
                <w:lang w:eastAsia="en-US"/>
              </w:rPr>
            </w:pPr>
            <w:r w:rsidRPr="00866299">
              <w:rPr>
                <w:rFonts w:ascii="Calibri" w:hAnsi="Calibri"/>
                <w:sz w:val="22"/>
                <w:lang w:eastAsia="en-US"/>
              </w:rPr>
              <w:t>Associated expenses</w:t>
            </w:r>
          </w:p>
        </w:tc>
        <w:tc>
          <w:tcPr>
            <w:tcW w:w="1179" w:type="dxa"/>
          </w:tcPr>
          <w:p w14:paraId="690EA4B2"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w:t>
            </w:r>
          </w:p>
        </w:tc>
        <w:tc>
          <w:tcPr>
            <w:tcW w:w="1041" w:type="dxa"/>
          </w:tcPr>
          <w:p w14:paraId="71D140A4"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50</w:t>
            </w:r>
          </w:p>
        </w:tc>
        <w:tc>
          <w:tcPr>
            <w:tcW w:w="1029" w:type="dxa"/>
          </w:tcPr>
          <w:p w14:paraId="03A9B6B6"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50</w:t>
            </w:r>
          </w:p>
        </w:tc>
        <w:tc>
          <w:tcPr>
            <w:tcW w:w="1029" w:type="dxa"/>
          </w:tcPr>
          <w:p w14:paraId="20D32395"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50</w:t>
            </w:r>
          </w:p>
        </w:tc>
        <w:tc>
          <w:tcPr>
            <w:tcW w:w="1029" w:type="dxa"/>
          </w:tcPr>
          <w:p w14:paraId="5F08DF32"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150</w:t>
            </w:r>
          </w:p>
        </w:tc>
      </w:tr>
      <w:tr w:rsidR="00990991" w:rsidRPr="00866299" w14:paraId="08B3865F" w14:textId="77777777" w:rsidTr="00E26AB5">
        <w:trPr>
          <w:cantSplit/>
        </w:trPr>
        <w:tc>
          <w:tcPr>
            <w:tcW w:w="3652" w:type="dxa"/>
            <w:tcBorders>
              <w:top w:val="single" w:sz="4" w:space="0" w:color="auto"/>
              <w:bottom w:val="single" w:sz="4" w:space="0" w:color="auto"/>
            </w:tcBorders>
          </w:tcPr>
          <w:p w14:paraId="06B59204" w14:textId="77777777" w:rsidR="00990991" w:rsidRPr="00866299" w:rsidRDefault="00990991" w:rsidP="00990991">
            <w:pPr>
              <w:ind w:left="284" w:hanging="284"/>
              <w:rPr>
                <w:rFonts w:ascii="Calibri" w:hAnsi="Calibri"/>
                <w:b/>
                <w:sz w:val="22"/>
                <w:lang w:eastAsia="en-US"/>
              </w:rPr>
            </w:pPr>
            <w:r w:rsidRPr="00866299">
              <w:rPr>
                <w:rFonts w:ascii="Calibri" w:hAnsi="Calibri"/>
                <w:b/>
                <w:sz w:val="22"/>
                <w:lang w:eastAsia="en-US"/>
              </w:rPr>
              <w:t>Net expenses</w:t>
            </w:r>
          </w:p>
        </w:tc>
        <w:tc>
          <w:tcPr>
            <w:tcW w:w="1179" w:type="dxa"/>
            <w:tcBorders>
              <w:top w:val="single" w:sz="4" w:space="0" w:color="auto"/>
              <w:bottom w:val="single" w:sz="4" w:space="0" w:color="auto"/>
            </w:tcBorders>
          </w:tcPr>
          <w:p w14:paraId="7EAF54D4"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0</w:t>
            </w:r>
          </w:p>
        </w:tc>
        <w:tc>
          <w:tcPr>
            <w:tcW w:w="1041" w:type="dxa"/>
            <w:tcBorders>
              <w:top w:val="single" w:sz="4" w:space="0" w:color="auto"/>
              <w:bottom w:val="single" w:sz="4" w:space="0" w:color="auto"/>
            </w:tcBorders>
          </w:tcPr>
          <w:p w14:paraId="27563DC1"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110</w:t>
            </w:r>
          </w:p>
        </w:tc>
        <w:tc>
          <w:tcPr>
            <w:tcW w:w="1029" w:type="dxa"/>
            <w:tcBorders>
              <w:top w:val="single" w:sz="4" w:space="0" w:color="auto"/>
              <w:bottom w:val="single" w:sz="4" w:space="0" w:color="auto"/>
            </w:tcBorders>
          </w:tcPr>
          <w:p w14:paraId="328BEEF4"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171</w:t>
            </w:r>
          </w:p>
        </w:tc>
        <w:tc>
          <w:tcPr>
            <w:tcW w:w="1029" w:type="dxa"/>
            <w:tcBorders>
              <w:top w:val="single" w:sz="4" w:space="0" w:color="auto"/>
              <w:bottom w:val="single" w:sz="4" w:space="0" w:color="auto"/>
            </w:tcBorders>
          </w:tcPr>
          <w:p w14:paraId="3D5AD850"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171</w:t>
            </w:r>
          </w:p>
        </w:tc>
        <w:tc>
          <w:tcPr>
            <w:tcW w:w="1029" w:type="dxa"/>
            <w:tcBorders>
              <w:top w:val="single" w:sz="4" w:space="0" w:color="auto"/>
              <w:bottom w:val="single" w:sz="4" w:space="0" w:color="auto"/>
            </w:tcBorders>
          </w:tcPr>
          <w:p w14:paraId="61294E73"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452</w:t>
            </w:r>
          </w:p>
        </w:tc>
      </w:tr>
    </w:tbl>
    <w:p w14:paraId="6A368FE6" w14:textId="77777777" w:rsidR="00990991" w:rsidRPr="00990991" w:rsidRDefault="00990991" w:rsidP="00E26AB5">
      <w:pPr>
        <w:pStyle w:val="snapInitbody"/>
      </w:pPr>
      <w:r w:rsidRPr="00990991">
        <w:t xml:space="preserve">The Government will strengthen security at the </w:t>
      </w:r>
      <w:proofErr w:type="spellStart"/>
      <w:r w:rsidRPr="00990991">
        <w:t>Bimberi</w:t>
      </w:r>
      <w:proofErr w:type="spellEnd"/>
      <w:r w:rsidRPr="00990991">
        <w:t xml:space="preserve"> Youth Justice Centre by installing additional CCTV cameras. The new cameras will be placed in areas identified as high priority by an independent review of security at the centre, to better protect residents and staff. This initiative also includes security and infrastructure upgrades partially delivered through the </w:t>
      </w:r>
      <w:r w:rsidRPr="00990991">
        <w:rPr>
          <w:i/>
        </w:rPr>
        <w:t>Better Infrastructure Fund.</w:t>
      </w:r>
      <w:r w:rsidRPr="00990991">
        <w:t> </w:t>
      </w:r>
    </w:p>
    <w:p w14:paraId="4A3B5CE5" w14:textId="77777777" w:rsidR="00990991" w:rsidRPr="007A3A72" w:rsidRDefault="00990991" w:rsidP="007A3A72">
      <w:pPr>
        <w:pStyle w:val="Heading3"/>
      </w:pPr>
      <w:r w:rsidRPr="007A3A72">
        <w:t>Housing ACT – Infrastructure and Capital Initiatives</w:t>
      </w:r>
    </w:p>
    <w:p w14:paraId="62679E12" w14:textId="77777777" w:rsidR="00990991" w:rsidRPr="000F30E1" w:rsidRDefault="00990991" w:rsidP="000F30E1">
      <w:pPr>
        <w:pStyle w:val="snapInittitles"/>
      </w:pPr>
      <w:r w:rsidRPr="000F30E1">
        <w:t xml:space="preserve">Growing and renewing more public housing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990991" w:rsidRPr="00866299" w14:paraId="5D7DE1E5" w14:textId="77777777" w:rsidTr="00E26AB5">
        <w:trPr>
          <w:cantSplit/>
        </w:trPr>
        <w:tc>
          <w:tcPr>
            <w:tcW w:w="3652" w:type="dxa"/>
            <w:tcBorders>
              <w:top w:val="single" w:sz="4" w:space="0" w:color="auto"/>
              <w:bottom w:val="single" w:sz="4" w:space="0" w:color="auto"/>
            </w:tcBorders>
          </w:tcPr>
          <w:p w14:paraId="3C28136C" w14:textId="4C99F14C" w:rsidR="00990991" w:rsidRPr="00866299" w:rsidRDefault="00990991" w:rsidP="00990991">
            <w:pPr>
              <w:jc w:val="right"/>
              <w:rPr>
                <w:rFonts w:ascii="Calibri" w:hAnsi="Calibri" w:cs="Calibri"/>
                <w:i/>
                <w:color w:val="FFFFFF"/>
                <w:sz w:val="22"/>
                <w:highlight w:val="yellow"/>
                <w:lang w:eastAsia="en-US"/>
              </w:rPr>
            </w:pPr>
          </w:p>
        </w:tc>
        <w:tc>
          <w:tcPr>
            <w:tcW w:w="1179" w:type="dxa"/>
            <w:tcBorders>
              <w:top w:val="single" w:sz="4" w:space="0" w:color="auto"/>
              <w:bottom w:val="single" w:sz="4" w:space="0" w:color="auto"/>
            </w:tcBorders>
          </w:tcPr>
          <w:p w14:paraId="687DEBE0"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2019-20</w:t>
            </w:r>
          </w:p>
          <w:p w14:paraId="41CEE1D1"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38B9E8EA"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2020-21</w:t>
            </w:r>
          </w:p>
          <w:p w14:paraId="4F29389E"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B6DD68B"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2021-22</w:t>
            </w:r>
          </w:p>
          <w:p w14:paraId="3FCC87D6"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483E19A"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2022-23</w:t>
            </w:r>
          </w:p>
          <w:p w14:paraId="7272A802"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33A4577A"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Total</w:t>
            </w:r>
          </w:p>
          <w:p w14:paraId="42BCBBD0"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$’000</w:t>
            </w:r>
          </w:p>
        </w:tc>
      </w:tr>
      <w:tr w:rsidR="00990991" w:rsidRPr="00866299" w14:paraId="2A112ADA" w14:textId="77777777" w:rsidTr="00E26AB5">
        <w:trPr>
          <w:cantSplit/>
        </w:trPr>
        <w:tc>
          <w:tcPr>
            <w:tcW w:w="3652" w:type="dxa"/>
            <w:tcBorders>
              <w:top w:val="single" w:sz="4" w:space="0" w:color="auto"/>
            </w:tcBorders>
          </w:tcPr>
          <w:p w14:paraId="414FE509" w14:textId="77777777" w:rsidR="00990991" w:rsidRPr="00866299" w:rsidRDefault="00990991" w:rsidP="00990991">
            <w:pPr>
              <w:ind w:left="284" w:hanging="284"/>
              <w:rPr>
                <w:rFonts w:ascii="Calibri" w:hAnsi="Calibri"/>
                <w:sz w:val="22"/>
                <w:lang w:eastAsia="en-US"/>
              </w:rPr>
            </w:pPr>
            <w:r w:rsidRPr="00866299">
              <w:rPr>
                <w:rFonts w:ascii="Calibri" w:hAnsi="Calibri"/>
                <w:sz w:val="22"/>
                <w:lang w:eastAsia="en-US"/>
              </w:rPr>
              <w:t>Capital</w:t>
            </w:r>
          </w:p>
        </w:tc>
        <w:tc>
          <w:tcPr>
            <w:tcW w:w="1179" w:type="dxa"/>
            <w:tcBorders>
              <w:top w:val="single" w:sz="4" w:space="0" w:color="auto"/>
            </w:tcBorders>
          </w:tcPr>
          <w:p w14:paraId="311251C1" w14:textId="77777777" w:rsidR="00990991" w:rsidRPr="00866299" w:rsidRDefault="00990991" w:rsidP="00990991">
            <w:pPr>
              <w:ind w:left="284" w:hanging="284"/>
              <w:jc w:val="center"/>
              <w:rPr>
                <w:rFonts w:ascii="Calibri" w:hAnsi="Calibri"/>
                <w:sz w:val="22"/>
                <w:lang w:eastAsia="en-US"/>
              </w:rPr>
            </w:pPr>
            <w:r w:rsidRPr="00866299">
              <w:rPr>
                <w:rFonts w:ascii="Calibri" w:hAnsi="Calibri"/>
                <w:sz w:val="22"/>
                <w:lang w:eastAsia="en-US"/>
              </w:rPr>
              <w:t>85,240</w:t>
            </w:r>
          </w:p>
        </w:tc>
        <w:tc>
          <w:tcPr>
            <w:tcW w:w="1041" w:type="dxa"/>
            <w:tcBorders>
              <w:top w:val="single" w:sz="4" w:space="0" w:color="auto"/>
            </w:tcBorders>
          </w:tcPr>
          <w:p w14:paraId="26D71788"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19,790</w:t>
            </w:r>
          </w:p>
        </w:tc>
        <w:tc>
          <w:tcPr>
            <w:tcW w:w="1029" w:type="dxa"/>
            <w:tcBorders>
              <w:top w:val="single" w:sz="4" w:space="0" w:color="auto"/>
            </w:tcBorders>
          </w:tcPr>
          <w:p w14:paraId="24AE7BA6"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54CA4E78"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70313027"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105,030</w:t>
            </w:r>
          </w:p>
        </w:tc>
      </w:tr>
      <w:tr w:rsidR="00990991" w:rsidRPr="00866299" w14:paraId="7E250AA6" w14:textId="77777777" w:rsidTr="00E26AB5">
        <w:trPr>
          <w:cantSplit/>
        </w:trPr>
        <w:tc>
          <w:tcPr>
            <w:tcW w:w="3652" w:type="dxa"/>
          </w:tcPr>
          <w:p w14:paraId="6FA5A936" w14:textId="77777777" w:rsidR="00990991" w:rsidRPr="00866299" w:rsidRDefault="00990991" w:rsidP="00990991">
            <w:pPr>
              <w:ind w:left="284" w:hanging="284"/>
              <w:rPr>
                <w:rFonts w:ascii="Calibri" w:hAnsi="Calibri"/>
                <w:sz w:val="22"/>
                <w:lang w:eastAsia="en-US"/>
              </w:rPr>
            </w:pPr>
            <w:r w:rsidRPr="00866299">
              <w:rPr>
                <w:rFonts w:ascii="Calibri" w:hAnsi="Calibri"/>
                <w:sz w:val="22"/>
                <w:lang w:eastAsia="en-US"/>
              </w:rPr>
              <w:t>Offset – Capital</w:t>
            </w:r>
          </w:p>
        </w:tc>
        <w:tc>
          <w:tcPr>
            <w:tcW w:w="1179" w:type="dxa"/>
          </w:tcPr>
          <w:p w14:paraId="4159696A" w14:textId="77777777" w:rsidR="00990991" w:rsidRPr="00866299" w:rsidRDefault="00990991" w:rsidP="00990991">
            <w:pPr>
              <w:ind w:left="284" w:hanging="284"/>
              <w:jc w:val="center"/>
              <w:rPr>
                <w:rFonts w:ascii="Calibri" w:hAnsi="Calibri"/>
                <w:sz w:val="22"/>
                <w:lang w:eastAsia="en-US"/>
              </w:rPr>
            </w:pPr>
            <w:r w:rsidRPr="00866299">
              <w:rPr>
                <w:rFonts w:ascii="Calibri" w:hAnsi="Calibri"/>
                <w:sz w:val="22"/>
                <w:lang w:eastAsia="en-US"/>
              </w:rPr>
              <w:t>-65,240</w:t>
            </w:r>
          </w:p>
        </w:tc>
        <w:tc>
          <w:tcPr>
            <w:tcW w:w="1041" w:type="dxa"/>
          </w:tcPr>
          <w:p w14:paraId="1E2DD775"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-19,790</w:t>
            </w:r>
          </w:p>
        </w:tc>
        <w:tc>
          <w:tcPr>
            <w:tcW w:w="1029" w:type="dxa"/>
          </w:tcPr>
          <w:p w14:paraId="5FAF7613"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6951972F"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7A21CF92"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-85,030</w:t>
            </w:r>
          </w:p>
        </w:tc>
      </w:tr>
      <w:tr w:rsidR="00990991" w:rsidRPr="00866299" w14:paraId="76CBACF7" w14:textId="77777777" w:rsidTr="00E26AB5">
        <w:trPr>
          <w:cantSplit/>
        </w:trPr>
        <w:tc>
          <w:tcPr>
            <w:tcW w:w="3652" w:type="dxa"/>
          </w:tcPr>
          <w:p w14:paraId="6E1670D2" w14:textId="77777777" w:rsidR="00990991" w:rsidRPr="00866299" w:rsidRDefault="00990991" w:rsidP="00990991">
            <w:pPr>
              <w:ind w:left="284" w:hanging="284"/>
              <w:rPr>
                <w:rFonts w:ascii="Calibri" w:hAnsi="Calibri"/>
                <w:sz w:val="22"/>
                <w:lang w:eastAsia="en-US"/>
              </w:rPr>
            </w:pPr>
            <w:r w:rsidRPr="00866299">
              <w:rPr>
                <w:rFonts w:ascii="Calibri" w:hAnsi="Calibri"/>
                <w:sz w:val="22"/>
                <w:lang w:eastAsia="en-US"/>
              </w:rPr>
              <w:t>Capital – Provision</w:t>
            </w:r>
          </w:p>
        </w:tc>
        <w:tc>
          <w:tcPr>
            <w:tcW w:w="1179" w:type="dxa"/>
          </w:tcPr>
          <w:p w14:paraId="6DF3257E" w14:textId="77777777" w:rsidR="00990991" w:rsidRPr="00866299" w:rsidRDefault="00990991" w:rsidP="00990991">
            <w:pPr>
              <w:ind w:left="284" w:hanging="284"/>
              <w:jc w:val="center"/>
              <w:rPr>
                <w:rFonts w:ascii="Calibri" w:hAnsi="Calibri"/>
                <w:sz w:val="22"/>
                <w:lang w:eastAsia="en-US"/>
              </w:rPr>
            </w:pPr>
            <w:r w:rsidRPr="00866299">
              <w:rPr>
                <w:rFonts w:ascii="Calibri" w:hAnsi="Calibri"/>
                <w:sz w:val="22"/>
                <w:lang w:eastAsia="en-US"/>
              </w:rPr>
              <w:t>0</w:t>
            </w:r>
          </w:p>
        </w:tc>
        <w:tc>
          <w:tcPr>
            <w:tcW w:w="1041" w:type="dxa"/>
          </w:tcPr>
          <w:p w14:paraId="23F240B2"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20,000</w:t>
            </w:r>
          </w:p>
        </w:tc>
        <w:tc>
          <w:tcPr>
            <w:tcW w:w="1029" w:type="dxa"/>
          </w:tcPr>
          <w:p w14:paraId="1FA8B220"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20,000</w:t>
            </w:r>
          </w:p>
        </w:tc>
        <w:tc>
          <w:tcPr>
            <w:tcW w:w="1029" w:type="dxa"/>
          </w:tcPr>
          <w:p w14:paraId="25C637B7"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20,000</w:t>
            </w:r>
          </w:p>
        </w:tc>
        <w:tc>
          <w:tcPr>
            <w:tcW w:w="1029" w:type="dxa"/>
          </w:tcPr>
          <w:p w14:paraId="405422E6"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60,000</w:t>
            </w:r>
          </w:p>
        </w:tc>
      </w:tr>
      <w:tr w:rsidR="00990991" w:rsidRPr="00866299" w14:paraId="4959B15A" w14:textId="77777777" w:rsidTr="00E26AB5">
        <w:trPr>
          <w:cantSplit/>
        </w:trPr>
        <w:tc>
          <w:tcPr>
            <w:tcW w:w="3652" w:type="dxa"/>
            <w:tcBorders>
              <w:top w:val="single" w:sz="4" w:space="0" w:color="auto"/>
              <w:bottom w:val="single" w:sz="4" w:space="0" w:color="auto"/>
            </w:tcBorders>
          </w:tcPr>
          <w:p w14:paraId="7EB770A5" w14:textId="77777777" w:rsidR="00990991" w:rsidRPr="00866299" w:rsidRDefault="00990991" w:rsidP="00990991">
            <w:pPr>
              <w:ind w:left="284" w:hanging="284"/>
              <w:rPr>
                <w:rFonts w:ascii="Calibri" w:hAnsi="Calibri"/>
                <w:b/>
                <w:sz w:val="22"/>
                <w:lang w:eastAsia="en-US"/>
              </w:rPr>
            </w:pPr>
            <w:r w:rsidRPr="00866299">
              <w:rPr>
                <w:rFonts w:ascii="Calibri" w:hAnsi="Calibri"/>
                <w:b/>
                <w:sz w:val="22"/>
                <w:lang w:eastAsia="en-US"/>
              </w:rPr>
              <w:t>Net capital</w:t>
            </w:r>
          </w:p>
        </w:tc>
        <w:tc>
          <w:tcPr>
            <w:tcW w:w="1179" w:type="dxa"/>
            <w:tcBorders>
              <w:top w:val="single" w:sz="4" w:space="0" w:color="auto"/>
              <w:bottom w:val="single" w:sz="4" w:space="0" w:color="auto"/>
            </w:tcBorders>
          </w:tcPr>
          <w:p w14:paraId="5E695FF4"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20,000</w:t>
            </w:r>
          </w:p>
        </w:tc>
        <w:tc>
          <w:tcPr>
            <w:tcW w:w="1041" w:type="dxa"/>
            <w:tcBorders>
              <w:top w:val="single" w:sz="4" w:space="0" w:color="auto"/>
              <w:bottom w:val="single" w:sz="4" w:space="0" w:color="auto"/>
            </w:tcBorders>
          </w:tcPr>
          <w:p w14:paraId="0B92F0C8"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20,000</w:t>
            </w:r>
          </w:p>
        </w:tc>
        <w:tc>
          <w:tcPr>
            <w:tcW w:w="1029" w:type="dxa"/>
            <w:tcBorders>
              <w:top w:val="single" w:sz="4" w:space="0" w:color="auto"/>
              <w:bottom w:val="single" w:sz="4" w:space="0" w:color="auto"/>
            </w:tcBorders>
          </w:tcPr>
          <w:p w14:paraId="1F2BD3AB"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20,000</w:t>
            </w:r>
          </w:p>
        </w:tc>
        <w:tc>
          <w:tcPr>
            <w:tcW w:w="1029" w:type="dxa"/>
            <w:tcBorders>
              <w:top w:val="single" w:sz="4" w:space="0" w:color="auto"/>
              <w:bottom w:val="single" w:sz="4" w:space="0" w:color="auto"/>
            </w:tcBorders>
          </w:tcPr>
          <w:p w14:paraId="6F6404A2"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20,000</w:t>
            </w:r>
          </w:p>
        </w:tc>
        <w:tc>
          <w:tcPr>
            <w:tcW w:w="1029" w:type="dxa"/>
            <w:tcBorders>
              <w:top w:val="single" w:sz="4" w:space="0" w:color="auto"/>
              <w:bottom w:val="single" w:sz="4" w:space="0" w:color="auto"/>
            </w:tcBorders>
          </w:tcPr>
          <w:p w14:paraId="6B12BFEC"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80,000</w:t>
            </w:r>
          </w:p>
        </w:tc>
      </w:tr>
      <w:tr w:rsidR="00990991" w:rsidRPr="00866299" w14:paraId="772F5164" w14:textId="77777777" w:rsidTr="00E26AB5">
        <w:trPr>
          <w:cantSplit/>
        </w:trPr>
        <w:tc>
          <w:tcPr>
            <w:tcW w:w="3652" w:type="dxa"/>
            <w:tcBorders>
              <w:top w:val="single" w:sz="4" w:space="0" w:color="auto"/>
            </w:tcBorders>
          </w:tcPr>
          <w:p w14:paraId="10F5A3D6" w14:textId="77777777" w:rsidR="00990991" w:rsidRPr="00866299" w:rsidRDefault="00990991" w:rsidP="00990991">
            <w:pPr>
              <w:ind w:left="284" w:hanging="284"/>
              <w:rPr>
                <w:rFonts w:ascii="Calibri" w:hAnsi="Calibri"/>
                <w:sz w:val="22"/>
                <w:lang w:eastAsia="en-US"/>
              </w:rPr>
            </w:pPr>
            <w:r w:rsidRPr="00866299">
              <w:rPr>
                <w:rFonts w:ascii="Calibri" w:hAnsi="Calibri"/>
                <w:sz w:val="22"/>
                <w:lang w:eastAsia="en-US"/>
              </w:rPr>
              <w:t>Depreciation</w:t>
            </w:r>
          </w:p>
        </w:tc>
        <w:tc>
          <w:tcPr>
            <w:tcW w:w="1179" w:type="dxa"/>
            <w:tcBorders>
              <w:top w:val="single" w:sz="4" w:space="0" w:color="auto"/>
            </w:tcBorders>
          </w:tcPr>
          <w:p w14:paraId="3A9B0FED"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4,530</w:t>
            </w:r>
          </w:p>
        </w:tc>
        <w:tc>
          <w:tcPr>
            <w:tcW w:w="1041" w:type="dxa"/>
            <w:tcBorders>
              <w:top w:val="single" w:sz="4" w:space="0" w:color="auto"/>
            </w:tcBorders>
          </w:tcPr>
          <w:p w14:paraId="69BEC000"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-550</w:t>
            </w:r>
          </w:p>
        </w:tc>
        <w:tc>
          <w:tcPr>
            <w:tcW w:w="1029" w:type="dxa"/>
            <w:tcBorders>
              <w:top w:val="single" w:sz="4" w:space="0" w:color="auto"/>
            </w:tcBorders>
          </w:tcPr>
          <w:p w14:paraId="55D8B616"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-190</w:t>
            </w:r>
          </w:p>
        </w:tc>
        <w:tc>
          <w:tcPr>
            <w:tcW w:w="1029" w:type="dxa"/>
            <w:tcBorders>
              <w:top w:val="single" w:sz="4" w:space="0" w:color="auto"/>
            </w:tcBorders>
          </w:tcPr>
          <w:p w14:paraId="75CE4E05"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-190</w:t>
            </w:r>
          </w:p>
        </w:tc>
        <w:tc>
          <w:tcPr>
            <w:tcW w:w="1029" w:type="dxa"/>
            <w:tcBorders>
              <w:top w:val="single" w:sz="4" w:space="0" w:color="auto"/>
            </w:tcBorders>
          </w:tcPr>
          <w:p w14:paraId="06940277"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3,600</w:t>
            </w:r>
          </w:p>
        </w:tc>
      </w:tr>
      <w:tr w:rsidR="00990991" w:rsidRPr="00866299" w14:paraId="1D54435E" w14:textId="77777777" w:rsidTr="00E26AB5">
        <w:trPr>
          <w:cantSplit/>
        </w:trPr>
        <w:tc>
          <w:tcPr>
            <w:tcW w:w="3652" w:type="dxa"/>
          </w:tcPr>
          <w:p w14:paraId="6D525213" w14:textId="77777777" w:rsidR="00990991" w:rsidRPr="00866299" w:rsidRDefault="00990991" w:rsidP="00990991">
            <w:pPr>
              <w:ind w:left="284" w:hanging="284"/>
              <w:rPr>
                <w:rFonts w:ascii="Calibri" w:hAnsi="Calibri"/>
                <w:sz w:val="22"/>
                <w:lang w:eastAsia="en-US"/>
              </w:rPr>
            </w:pPr>
            <w:r w:rsidRPr="00866299">
              <w:rPr>
                <w:rFonts w:ascii="Calibri" w:hAnsi="Calibri"/>
                <w:sz w:val="22"/>
                <w:lang w:eastAsia="en-US"/>
              </w:rPr>
              <w:t>Associated expenses</w:t>
            </w:r>
          </w:p>
        </w:tc>
        <w:tc>
          <w:tcPr>
            <w:tcW w:w="1179" w:type="dxa"/>
          </w:tcPr>
          <w:p w14:paraId="0A23A0B6"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3,130</w:t>
            </w:r>
          </w:p>
        </w:tc>
        <w:tc>
          <w:tcPr>
            <w:tcW w:w="1041" w:type="dxa"/>
          </w:tcPr>
          <w:p w14:paraId="13D918B2"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160</w:t>
            </w:r>
          </w:p>
        </w:tc>
        <w:tc>
          <w:tcPr>
            <w:tcW w:w="1029" w:type="dxa"/>
          </w:tcPr>
          <w:p w14:paraId="0A952F72"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1849E688"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661DB922"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3,290</w:t>
            </w:r>
          </w:p>
        </w:tc>
      </w:tr>
      <w:tr w:rsidR="00990991" w:rsidRPr="00866299" w14:paraId="6A757E83" w14:textId="77777777" w:rsidTr="00E26AB5">
        <w:trPr>
          <w:cantSplit/>
        </w:trPr>
        <w:tc>
          <w:tcPr>
            <w:tcW w:w="3652" w:type="dxa"/>
          </w:tcPr>
          <w:p w14:paraId="44A923D9" w14:textId="77777777" w:rsidR="00990991" w:rsidRPr="00866299" w:rsidRDefault="00990991" w:rsidP="00990991">
            <w:pPr>
              <w:ind w:left="284" w:hanging="284"/>
              <w:rPr>
                <w:rFonts w:ascii="Calibri" w:hAnsi="Calibri"/>
                <w:sz w:val="22"/>
                <w:lang w:eastAsia="en-US"/>
              </w:rPr>
            </w:pPr>
            <w:r w:rsidRPr="00866299">
              <w:rPr>
                <w:rFonts w:ascii="Calibri" w:hAnsi="Calibri"/>
                <w:sz w:val="22"/>
                <w:lang w:eastAsia="en-US"/>
              </w:rPr>
              <w:t>Offset – Associated expenses</w:t>
            </w:r>
          </w:p>
        </w:tc>
        <w:tc>
          <w:tcPr>
            <w:tcW w:w="1179" w:type="dxa"/>
          </w:tcPr>
          <w:p w14:paraId="27D1063D"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-3,130</w:t>
            </w:r>
          </w:p>
        </w:tc>
        <w:tc>
          <w:tcPr>
            <w:tcW w:w="1041" w:type="dxa"/>
          </w:tcPr>
          <w:p w14:paraId="18E913CD"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-160</w:t>
            </w:r>
          </w:p>
        </w:tc>
        <w:tc>
          <w:tcPr>
            <w:tcW w:w="1029" w:type="dxa"/>
          </w:tcPr>
          <w:p w14:paraId="40A95772"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3B8C7E31"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17D1E61C"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-3,290</w:t>
            </w:r>
          </w:p>
        </w:tc>
      </w:tr>
      <w:tr w:rsidR="00990991" w:rsidRPr="00866299" w14:paraId="4123D606" w14:textId="77777777" w:rsidTr="00E26AB5">
        <w:trPr>
          <w:cantSplit/>
        </w:trPr>
        <w:tc>
          <w:tcPr>
            <w:tcW w:w="3652" w:type="dxa"/>
            <w:tcBorders>
              <w:top w:val="single" w:sz="4" w:space="0" w:color="auto"/>
              <w:bottom w:val="single" w:sz="4" w:space="0" w:color="auto"/>
            </w:tcBorders>
          </w:tcPr>
          <w:p w14:paraId="3883463A" w14:textId="77777777" w:rsidR="00990991" w:rsidRPr="00866299" w:rsidRDefault="00990991" w:rsidP="00990991">
            <w:pPr>
              <w:ind w:left="284" w:hanging="284"/>
              <w:rPr>
                <w:rFonts w:ascii="Calibri" w:hAnsi="Calibri"/>
                <w:b/>
                <w:sz w:val="22"/>
                <w:lang w:eastAsia="en-US"/>
              </w:rPr>
            </w:pPr>
            <w:r w:rsidRPr="00866299">
              <w:rPr>
                <w:rFonts w:ascii="Calibri" w:hAnsi="Calibri"/>
                <w:b/>
                <w:sz w:val="22"/>
                <w:lang w:eastAsia="en-US"/>
              </w:rPr>
              <w:t>Net expenses</w:t>
            </w:r>
          </w:p>
        </w:tc>
        <w:tc>
          <w:tcPr>
            <w:tcW w:w="1179" w:type="dxa"/>
            <w:tcBorders>
              <w:top w:val="single" w:sz="4" w:space="0" w:color="auto"/>
              <w:bottom w:val="single" w:sz="4" w:space="0" w:color="auto"/>
            </w:tcBorders>
          </w:tcPr>
          <w:p w14:paraId="1F29E25C"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4,530</w:t>
            </w:r>
          </w:p>
        </w:tc>
        <w:tc>
          <w:tcPr>
            <w:tcW w:w="1041" w:type="dxa"/>
            <w:tcBorders>
              <w:top w:val="single" w:sz="4" w:space="0" w:color="auto"/>
              <w:bottom w:val="single" w:sz="4" w:space="0" w:color="auto"/>
            </w:tcBorders>
          </w:tcPr>
          <w:p w14:paraId="24DD9B3F"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-550</w:t>
            </w:r>
          </w:p>
        </w:tc>
        <w:tc>
          <w:tcPr>
            <w:tcW w:w="1029" w:type="dxa"/>
            <w:tcBorders>
              <w:top w:val="single" w:sz="4" w:space="0" w:color="auto"/>
              <w:bottom w:val="single" w:sz="4" w:space="0" w:color="auto"/>
            </w:tcBorders>
          </w:tcPr>
          <w:p w14:paraId="64997FB9"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-190</w:t>
            </w:r>
          </w:p>
        </w:tc>
        <w:tc>
          <w:tcPr>
            <w:tcW w:w="1029" w:type="dxa"/>
            <w:tcBorders>
              <w:top w:val="single" w:sz="4" w:space="0" w:color="auto"/>
              <w:bottom w:val="single" w:sz="4" w:space="0" w:color="auto"/>
            </w:tcBorders>
          </w:tcPr>
          <w:p w14:paraId="6FC5D31E"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-190</w:t>
            </w:r>
          </w:p>
        </w:tc>
        <w:tc>
          <w:tcPr>
            <w:tcW w:w="1029" w:type="dxa"/>
            <w:tcBorders>
              <w:top w:val="single" w:sz="4" w:space="0" w:color="auto"/>
              <w:bottom w:val="single" w:sz="4" w:space="0" w:color="auto"/>
            </w:tcBorders>
          </w:tcPr>
          <w:p w14:paraId="134109DB"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3,600</w:t>
            </w:r>
          </w:p>
        </w:tc>
      </w:tr>
    </w:tbl>
    <w:p w14:paraId="16D67841" w14:textId="77777777" w:rsidR="00990991" w:rsidRPr="00990991" w:rsidRDefault="00990991" w:rsidP="00E26AB5">
      <w:pPr>
        <w:pStyle w:val="snapInitbody"/>
      </w:pPr>
      <w:r w:rsidRPr="00990991">
        <w:t xml:space="preserve">The Government will continue growing our investment in public housing by investing $100 million over five years to deliver at least 200 more homes and renew another 1,000 properties. This investment will commence following completion of the Government’s major public housing renewal program in mid-2019, which has seen 1,288 ageing public housing properties replaced with modern homes that better meet the diverse needs of our tenants. </w:t>
      </w:r>
    </w:p>
    <w:p w14:paraId="3CD00172" w14:textId="77777777" w:rsidR="00990991" w:rsidRPr="000F30E1" w:rsidRDefault="00990991" w:rsidP="000F30E1">
      <w:pPr>
        <w:pStyle w:val="snapInittitles"/>
      </w:pPr>
      <w:r w:rsidRPr="000F30E1">
        <w:t xml:space="preserve">Providing alternatives to jail through the Justice Housing Program </w:t>
      </w:r>
    </w:p>
    <w:p w14:paraId="12D45639" w14:textId="77777777" w:rsidR="00990991" w:rsidRPr="00990991" w:rsidRDefault="00990991" w:rsidP="00E26AB5">
      <w:pPr>
        <w:pStyle w:val="snapInitbody"/>
      </w:pPr>
      <w:r w:rsidRPr="00990991">
        <w:t xml:space="preserve">See the Justice and Community Safety Directorate expense initiative </w:t>
      </w:r>
      <w:r w:rsidRPr="00990991">
        <w:rPr>
          <w:i/>
        </w:rPr>
        <w:t>Providing alternatives to jail through the Justice Housing Program</w:t>
      </w:r>
      <w:r w:rsidRPr="00990991">
        <w:t xml:space="preserve"> for further details on the capital component of this initiative. </w:t>
      </w:r>
    </w:p>
    <w:p w14:paraId="76FC7A15" w14:textId="77777777" w:rsidR="00990991" w:rsidRPr="000F30E1" w:rsidRDefault="00990991" w:rsidP="000F30E1">
      <w:pPr>
        <w:pStyle w:val="snapInittitles"/>
      </w:pPr>
      <w:r w:rsidRPr="000F30E1">
        <w:t xml:space="preserve">Reducing homelessness by delivering another Common Ground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990991" w:rsidRPr="00866299" w14:paraId="419B436A" w14:textId="77777777" w:rsidTr="00E26AB5">
        <w:trPr>
          <w:cantSplit/>
        </w:trPr>
        <w:tc>
          <w:tcPr>
            <w:tcW w:w="3652" w:type="dxa"/>
            <w:tcBorders>
              <w:top w:val="single" w:sz="4" w:space="0" w:color="auto"/>
              <w:bottom w:val="single" w:sz="4" w:space="0" w:color="auto"/>
            </w:tcBorders>
          </w:tcPr>
          <w:p w14:paraId="4EE46C5E" w14:textId="1B26DD99" w:rsidR="00990991" w:rsidRPr="00866299" w:rsidRDefault="00990991" w:rsidP="00990991">
            <w:pPr>
              <w:jc w:val="right"/>
              <w:rPr>
                <w:rFonts w:ascii="Calibri" w:hAnsi="Calibri" w:cs="Calibri"/>
                <w:i/>
                <w:color w:val="FFFFFF"/>
                <w:sz w:val="22"/>
                <w:highlight w:val="yellow"/>
                <w:lang w:eastAsia="en-US"/>
              </w:rPr>
            </w:pPr>
          </w:p>
        </w:tc>
        <w:tc>
          <w:tcPr>
            <w:tcW w:w="1179" w:type="dxa"/>
            <w:tcBorders>
              <w:top w:val="single" w:sz="4" w:space="0" w:color="auto"/>
              <w:bottom w:val="single" w:sz="4" w:space="0" w:color="auto"/>
            </w:tcBorders>
          </w:tcPr>
          <w:p w14:paraId="2C1E2BFD"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2019-20</w:t>
            </w:r>
          </w:p>
          <w:p w14:paraId="1C8A5A96"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02C1DF86"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2020-21</w:t>
            </w:r>
          </w:p>
          <w:p w14:paraId="62A8BF8A"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EC9033F"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2021-22</w:t>
            </w:r>
          </w:p>
          <w:p w14:paraId="008E913C"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8665C52"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2022-23</w:t>
            </w:r>
          </w:p>
          <w:p w14:paraId="09F0B878"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2E18A37"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Total</w:t>
            </w:r>
          </w:p>
          <w:p w14:paraId="518049C7"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$’000</w:t>
            </w:r>
          </w:p>
        </w:tc>
      </w:tr>
      <w:tr w:rsidR="00990991" w:rsidRPr="00866299" w14:paraId="34665BCD" w14:textId="77777777" w:rsidTr="00E26AB5">
        <w:trPr>
          <w:cantSplit/>
        </w:trPr>
        <w:tc>
          <w:tcPr>
            <w:tcW w:w="3652" w:type="dxa"/>
            <w:tcBorders>
              <w:top w:val="single" w:sz="4" w:space="0" w:color="auto"/>
            </w:tcBorders>
          </w:tcPr>
          <w:p w14:paraId="7C761777" w14:textId="77777777" w:rsidR="00990991" w:rsidRPr="00866299" w:rsidRDefault="00990991" w:rsidP="00990991">
            <w:pPr>
              <w:ind w:left="284" w:hanging="284"/>
              <w:rPr>
                <w:rFonts w:ascii="Calibri" w:hAnsi="Calibri"/>
                <w:sz w:val="22"/>
                <w:lang w:eastAsia="en-US"/>
              </w:rPr>
            </w:pPr>
            <w:r w:rsidRPr="00866299">
              <w:rPr>
                <w:rFonts w:ascii="Calibri" w:hAnsi="Calibri"/>
                <w:sz w:val="22"/>
                <w:lang w:eastAsia="en-US"/>
              </w:rPr>
              <w:t>Capital</w:t>
            </w:r>
          </w:p>
        </w:tc>
        <w:tc>
          <w:tcPr>
            <w:tcW w:w="1179" w:type="dxa"/>
            <w:tcBorders>
              <w:top w:val="single" w:sz="4" w:space="0" w:color="auto"/>
            </w:tcBorders>
          </w:tcPr>
          <w:p w14:paraId="596F27E4"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2,147</w:t>
            </w:r>
          </w:p>
        </w:tc>
        <w:tc>
          <w:tcPr>
            <w:tcW w:w="1041" w:type="dxa"/>
            <w:tcBorders>
              <w:top w:val="single" w:sz="4" w:space="0" w:color="auto"/>
            </w:tcBorders>
          </w:tcPr>
          <w:p w14:paraId="185A32D1"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575C3F5C"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08F7988C"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1DA3EA75"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2,147</w:t>
            </w:r>
          </w:p>
        </w:tc>
      </w:tr>
      <w:tr w:rsidR="00990991" w:rsidRPr="00866299" w14:paraId="16528F65" w14:textId="77777777" w:rsidTr="00E26AB5">
        <w:trPr>
          <w:cantSplit/>
        </w:trPr>
        <w:tc>
          <w:tcPr>
            <w:tcW w:w="3652" w:type="dxa"/>
          </w:tcPr>
          <w:p w14:paraId="55DCA462" w14:textId="77777777" w:rsidR="00990991" w:rsidRPr="00866299" w:rsidRDefault="00990991" w:rsidP="00990991">
            <w:pPr>
              <w:ind w:left="284" w:hanging="284"/>
              <w:rPr>
                <w:rFonts w:ascii="Calibri" w:hAnsi="Calibri"/>
                <w:sz w:val="22"/>
                <w:lang w:eastAsia="en-US"/>
              </w:rPr>
            </w:pPr>
            <w:r w:rsidRPr="00866299">
              <w:rPr>
                <w:rFonts w:ascii="Calibri" w:hAnsi="Calibri"/>
                <w:sz w:val="22"/>
                <w:lang w:eastAsia="en-US"/>
              </w:rPr>
              <w:t>Capital – Provision</w:t>
            </w:r>
          </w:p>
        </w:tc>
        <w:tc>
          <w:tcPr>
            <w:tcW w:w="1179" w:type="dxa"/>
          </w:tcPr>
          <w:p w14:paraId="0C9B266F"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w:t>
            </w:r>
          </w:p>
        </w:tc>
        <w:tc>
          <w:tcPr>
            <w:tcW w:w="1041" w:type="dxa"/>
          </w:tcPr>
          <w:p w14:paraId="371E3A34" w14:textId="77777777" w:rsidR="00990991" w:rsidRPr="00866299" w:rsidRDefault="00990991" w:rsidP="00990991">
            <w:pPr>
              <w:ind w:left="284" w:hanging="284"/>
              <w:jc w:val="right"/>
              <w:rPr>
                <w:rFonts w:ascii="Calibri" w:hAnsi="Calibri"/>
                <w:sz w:val="22"/>
                <w:lang w:eastAsia="en-US"/>
              </w:rPr>
            </w:pPr>
            <w:proofErr w:type="spellStart"/>
            <w:r w:rsidRPr="00866299">
              <w:rPr>
                <w:rFonts w:ascii="Calibri" w:hAnsi="Calibri"/>
                <w:sz w:val="22"/>
                <w:lang w:eastAsia="en-US"/>
              </w:rPr>
              <w:t>NFP</w:t>
            </w:r>
            <w:proofErr w:type="spellEnd"/>
          </w:p>
        </w:tc>
        <w:tc>
          <w:tcPr>
            <w:tcW w:w="1029" w:type="dxa"/>
          </w:tcPr>
          <w:p w14:paraId="1DABBA7A" w14:textId="77777777" w:rsidR="00990991" w:rsidRPr="00866299" w:rsidRDefault="00990991" w:rsidP="00990991">
            <w:pPr>
              <w:ind w:left="284" w:hanging="284"/>
              <w:jc w:val="right"/>
              <w:rPr>
                <w:rFonts w:ascii="Calibri" w:hAnsi="Calibri"/>
                <w:sz w:val="22"/>
                <w:lang w:eastAsia="en-US"/>
              </w:rPr>
            </w:pPr>
            <w:proofErr w:type="spellStart"/>
            <w:r w:rsidRPr="00866299">
              <w:rPr>
                <w:rFonts w:ascii="Calibri" w:hAnsi="Calibri"/>
                <w:sz w:val="22"/>
                <w:lang w:eastAsia="en-US"/>
              </w:rPr>
              <w:t>NFP</w:t>
            </w:r>
            <w:proofErr w:type="spellEnd"/>
          </w:p>
        </w:tc>
        <w:tc>
          <w:tcPr>
            <w:tcW w:w="1029" w:type="dxa"/>
          </w:tcPr>
          <w:p w14:paraId="601DAF23"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6DD4C33B" w14:textId="77777777" w:rsidR="00990991" w:rsidRPr="00866299" w:rsidRDefault="00990991" w:rsidP="00990991">
            <w:pPr>
              <w:ind w:left="284" w:hanging="284"/>
              <w:jc w:val="right"/>
              <w:rPr>
                <w:rFonts w:ascii="Calibri" w:hAnsi="Calibri"/>
                <w:b/>
                <w:sz w:val="22"/>
                <w:lang w:eastAsia="en-US"/>
              </w:rPr>
            </w:pPr>
            <w:proofErr w:type="spellStart"/>
            <w:r w:rsidRPr="00866299">
              <w:rPr>
                <w:rFonts w:ascii="Calibri" w:hAnsi="Calibri"/>
                <w:b/>
                <w:sz w:val="22"/>
                <w:lang w:eastAsia="en-US"/>
              </w:rPr>
              <w:t>NFP</w:t>
            </w:r>
            <w:proofErr w:type="spellEnd"/>
          </w:p>
        </w:tc>
      </w:tr>
      <w:tr w:rsidR="00990991" w:rsidRPr="00866299" w14:paraId="3A8C23AC" w14:textId="77777777" w:rsidTr="00E26AB5">
        <w:trPr>
          <w:cantSplit/>
        </w:trPr>
        <w:tc>
          <w:tcPr>
            <w:tcW w:w="3652" w:type="dxa"/>
            <w:tcBorders>
              <w:top w:val="single" w:sz="4" w:space="0" w:color="auto"/>
              <w:bottom w:val="single" w:sz="4" w:space="0" w:color="auto"/>
            </w:tcBorders>
          </w:tcPr>
          <w:p w14:paraId="7853CAF6" w14:textId="77777777" w:rsidR="00990991" w:rsidRPr="00866299" w:rsidRDefault="00990991" w:rsidP="00990991">
            <w:pPr>
              <w:ind w:left="284" w:hanging="284"/>
              <w:rPr>
                <w:rFonts w:ascii="Calibri" w:hAnsi="Calibri"/>
                <w:b/>
                <w:sz w:val="22"/>
                <w:lang w:eastAsia="en-US"/>
              </w:rPr>
            </w:pPr>
            <w:r w:rsidRPr="00866299">
              <w:rPr>
                <w:rFonts w:ascii="Calibri" w:hAnsi="Calibri"/>
                <w:b/>
                <w:sz w:val="22"/>
                <w:lang w:eastAsia="en-US"/>
              </w:rPr>
              <w:t>Total capital</w:t>
            </w:r>
          </w:p>
        </w:tc>
        <w:tc>
          <w:tcPr>
            <w:tcW w:w="1179" w:type="dxa"/>
            <w:tcBorders>
              <w:top w:val="single" w:sz="4" w:space="0" w:color="auto"/>
              <w:bottom w:val="single" w:sz="4" w:space="0" w:color="auto"/>
            </w:tcBorders>
          </w:tcPr>
          <w:p w14:paraId="419E4530"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2,147</w:t>
            </w:r>
          </w:p>
        </w:tc>
        <w:tc>
          <w:tcPr>
            <w:tcW w:w="1041" w:type="dxa"/>
            <w:tcBorders>
              <w:top w:val="single" w:sz="4" w:space="0" w:color="auto"/>
              <w:bottom w:val="single" w:sz="4" w:space="0" w:color="auto"/>
            </w:tcBorders>
          </w:tcPr>
          <w:p w14:paraId="6FD12C29" w14:textId="77777777" w:rsidR="00990991" w:rsidRPr="00866299" w:rsidRDefault="00990991" w:rsidP="00990991">
            <w:pPr>
              <w:ind w:left="284" w:hanging="284"/>
              <w:jc w:val="right"/>
              <w:rPr>
                <w:rFonts w:ascii="Calibri" w:hAnsi="Calibri"/>
                <w:b/>
                <w:sz w:val="22"/>
                <w:lang w:eastAsia="en-US"/>
              </w:rPr>
            </w:pPr>
            <w:proofErr w:type="spellStart"/>
            <w:r w:rsidRPr="00866299">
              <w:rPr>
                <w:rFonts w:ascii="Calibri" w:hAnsi="Calibri"/>
                <w:b/>
                <w:sz w:val="22"/>
                <w:lang w:eastAsia="en-US"/>
              </w:rPr>
              <w:t>NFP</w:t>
            </w:r>
            <w:proofErr w:type="spellEnd"/>
          </w:p>
        </w:tc>
        <w:tc>
          <w:tcPr>
            <w:tcW w:w="1029" w:type="dxa"/>
            <w:tcBorders>
              <w:top w:val="single" w:sz="4" w:space="0" w:color="auto"/>
              <w:bottom w:val="single" w:sz="4" w:space="0" w:color="auto"/>
            </w:tcBorders>
          </w:tcPr>
          <w:p w14:paraId="4698060C" w14:textId="77777777" w:rsidR="00990991" w:rsidRPr="00866299" w:rsidRDefault="00990991" w:rsidP="00990991">
            <w:pPr>
              <w:ind w:left="284" w:hanging="284"/>
              <w:jc w:val="right"/>
              <w:rPr>
                <w:rFonts w:ascii="Calibri" w:hAnsi="Calibri"/>
                <w:b/>
                <w:sz w:val="22"/>
                <w:lang w:eastAsia="en-US"/>
              </w:rPr>
            </w:pPr>
            <w:proofErr w:type="spellStart"/>
            <w:r w:rsidRPr="00866299">
              <w:rPr>
                <w:rFonts w:ascii="Calibri" w:hAnsi="Calibri"/>
                <w:b/>
                <w:sz w:val="22"/>
                <w:lang w:eastAsia="en-US"/>
              </w:rPr>
              <w:t>NFP</w:t>
            </w:r>
            <w:proofErr w:type="spellEnd"/>
          </w:p>
        </w:tc>
        <w:tc>
          <w:tcPr>
            <w:tcW w:w="1029" w:type="dxa"/>
            <w:tcBorders>
              <w:top w:val="single" w:sz="4" w:space="0" w:color="auto"/>
              <w:bottom w:val="single" w:sz="4" w:space="0" w:color="auto"/>
            </w:tcBorders>
          </w:tcPr>
          <w:p w14:paraId="512CDC97"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41176BB7"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2,147</w:t>
            </w:r>
          </w:p>
        </w:tc>
      </w:tr>
      <w:tr w:rsidR="00990991" w:rsidRPr="00866299" w14:paraId="3E9AAEE6" w14:textId="77777777" w:rsidTr="00E26AB5">
        <w:trPr>
          <w:cantSplit/>
        </w:trPr>
        <w:tc>
          <w:tcPr>
            <w:tcW w:w="3652" w:type="dxa"/>
            <w:tcBorders>
              <w:top w:val="single" w:sz="4" w:space="0" w:color="auto"/>
              <w:bottom w:val="single" w:sz="4" w:space="0" w:color="auto"/>
            </w:tcBorders>
          </w:tcPr>
          <w:p w14:paraId="2D414F4F" w14:textId="77777777" w:rsidR="00990991" w:rsidRPr="00866299" w:rsidRDefault="00990991" w:rsidP="00990991">
            <w:pPr>
              <w:ind w:left="284" w:hanging="284"/>
              <w:rPr>
                <w:rFonts w:ascii="Calibri" w:hAnsi="Calibri"/>
                <w:sz w:val="22"/>
                <w:lang w:eastAsia="en-US"/>
              </w:rPr>
            </w:pPr>
            <w:r w:rsidRPr="00866299">
              <w:rPr>
                <w:rFonts w:ascii="Calibri" w:hAnsi="Calibri"/>
                <w:sz w:val="22"/>
                <w:lang w:eastAsia="en-US"/>
              </w:rPr>
              <w:t>Associated expenses</w:t>
            </w:r>
          </w:p>
        </w:tc>
        <w:tc>
          <w:tcPr>
            <w:tcW w:w="1179" w:type="dxa"/>
            <w:tcBorders>
              <w:top w:val="single" w:sz="4" w:space="0" w:color="auto"/>
              <w:bottom w:val="single" w:sz="4" w:space="0" w:color="auto"/>
            </w:tcBorders>
          </w:tcPr>
          <w:p w14:paraId="3D8C4AAA"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70</w:t>
            </w:r>
          </w:p>
        </w:tc>
        <w:tc>
          <w:tcPr>
            <w:tcW w:w="1041" w:type="dxa"/>
            <w:tcBorders>
              <w:top w:val="single" w:sz="4" w:space="0" w:color="auto"/>
              <w:bottom w:val="single" w:sz="4" w:space="0" w:color="auto"/>
            </w:tcBorders>
          </w:tcPr>
          <w:p w14:paraId="4A1921BE"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567</w:t>
            </w:r>
          </w:p>
        </w:tc>
        <w:tc>
          <w:tcPr>
            <w:tcW w:w="1029" w:type="dxa"/>
            <w:tcBorders>
              <w:top w:val="single" w:sz="4" w:space="0" w:color="auto"/>
              <w:bottom w:val="single" w:sz="4" w:space="0" w:color="auto"/>
            </w:tcBorders>
          </w:tcPr>
          <w:p w14:paraId="41304287"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1,281</w:t>
            </w:r>
          </w:p>
        </w:tc>
        <w:tc>
          <w:tcPr>
            <w:tcW w:w="1029" w:type="dxa"/>
            <w:tcBorders>
              <w:top w:val="single" w:sz="4" w:space="0" w:color="auto"/>
              <w:bottom w:val="single" w:sz="4" w:space="0" w:color="auto"/>
            </w:tcBorders>
          </w:tcPr>
          <w:p w14:paraId="7374F9F9" w14:textId="77777777" w:rsidR="00990991" w:rsidRPr="00866299" w:rsidRDefault="00990991" w:rsidP="00990991">
            <w:pPr>
              <w:ind w:left="284" w:hanging="284"/>
              <w:jc w:val="right"/>
              <w:rPr>
                <w:rFonts w:ascii="Calibri" w:hAnsi="Calibri"/>
                <w:sz w:val="22"/>
                <w:lang w:eastAsia="en-US"/>
              </w:rPr>
            </w:pPr>
            <w:r w:rsidRPr="00866299">
              <w:rPr>
                <w:rFonts w:ascii="Calibri" w:hAnsi="Calibri"/>
                <w:sz w:val="22"/>
                <w:lang w:eastAsia="en-US"/>
              </w:rPr>
              <w:t>1,123</w:t>
            </w:r>
          </w:p>
        </w:tc>
        <w:tc>
          <w:tcPr>
            <w:tcW w:w="1029" w:type="dxa"/>
            <w:tcBorders>
              <w:top w:val="single" w:sz="4" w:space="0" w:color="auto"/>
              <w:bottom w:val="single" w:sz="4" w:space="0" w:color="auto"/>
            </w:tcBorders>
          </w:tcPr>
          <w:p w14:paraId="69A6C9DA" w14:textId="77777777" w:rsidR="00990991" w:rsidRPr="00866299" w:rsidRDefault="00990991" w:rsidP="00990991">
            <w:pPr>
              <w:ind w:left="284" w:hanging="284"/>
              <w:jc w:val="right"/>
              <w:rPr>
                <w:rFonts w:ascii="Calibri" w:hAnsi="Calibri"/>
                <w:b/>
                <w:sz w:val="22"/>
                <w:lang w:eastAsia="en-US"/>
              </w:rPr>
            </w:pPr>
            <w:r w:rsidRPr="00866299">
              <w:rPr>
                <w:rFonts w:ascii="Calibri" w:hAnsi="Calibri"/>
                <w:b/>
                <w:sz w:val="22"/>
                <w:lang w:eastAsia="en-US"/>
              </w:rPr>
              <w:t>3,041</w:t>
            </w:r>
          </w:p>
        </w:tc>
      </w:tr>
    </w:tbl>
    <w:p w14:paraId="4F348D50" w14:textId="77777777" w:rsidR="00990991" w:rsidRPr="00990991" w:rsidRDefault="00990991" w:rsidP="00E26AB5">
      <w:pPr>
        <w:pStyle w:val="snapInitbody"/>
      </w:pPr>
      <w:r w:rsidRPr="00990991">
        <w:t>The Government will commence construction of a second Common Ground community housing complex in Dickson, featuring 40 units as well as communal and social enterprise spaces. The Common Ground model provides intensive support to people who are experiencing, or at risk of, homelessness, as well as providing affordable rental housing for Canberrans on low incomes. In addition to providing secure and suitable accommodation, the Common Ground model delivers onsite support for tenants with individual case management, employment, training and social inclusion opportunities.</w:t>
      </w:r>
    </w:p>
    <w:p w14:paraId="5AC2980D" w14:textId="5D15D8CC" w:rsidR="009529EB" w:rsidRPr="00EE5CB9" w:rsidRDefault="00990991" w:rsidP="00E26AB5">
      <w:pPr>
        <w:pStyle w:val="snapInitbody"/>
      </w:pPr>
      <w:r w:rsidRPr="00990991">
        <w:t>The Government has withheld details of the capital funding to ensure value for money when making an approach to market.</w:t>
      </w:r>
    </w:p>
    <w:p w14:paraId="5AC2980E" w14:textId="77777777" w:rsidR="00982BA5" w:rsidRDefault="00705404" w:rsidP="00FE1613">
      <w:pPr>
        <w:pStyle w:val="Heading1-Pagebreakbefore"/>
      </w:pPr>
      <w:bookmarkStart w:id="10" w:name="_Toc10657543"/>
      <w:bookmarkEnd w:id="7"/>
      <w:r w:rsidRPr="00705404">
        <w:t>Education Directorate</w:t>
      </w:r>
      <w:bookmarkEnd w:id="10"/>
    </w:p>
    <w:p w14:paraId="5AC2980F" w14:textId="77777777" w:rsidR="000757EE" w:rsidRPr="00371CFF" w:rsidRDefault="000757EE" w:rsidP="00E26AB5">
      <w:pPr>
        <w:pStyle w:val="Heading2"/>
        <w:rPr>
          <w:b w:val="0"/>
        </w:rPr>
      </w:pPr>
      <w:r w:rsidRPr="00371CFF">
        <w:t xml:space="preserve">Overview </w:t>
      </w:r>
    </w:p>
    <w:p w14:paraId="50E26AFA" w14:textId="77777777" w:rsidR="00371CFF" w:rsidRPr="00371CFF" w:rsidRDefault="00371CFF" w:rsidP="00E26AB5">
      <w:pPr>
        <w:pStyle w:val="Body"/>
      </w:pPr>
      <w:r w:rsidRPr="00371CFF">
        <w:t>Education is recognised as one of the key social determinants of health and has a direct influence on a person’s employment opportunities, participation in the community and social inclusion.</w:t>
      </w:r>
    </w:p>
    <w:p w14:paraId="192EDAC1" w14:textId="77777777" w:rsidR="00371CFF" w:rsidRPr="00371CFF" w:rsidRDefault="00371CFF" w:rsidP="00E26AB5">
      <w:pPr>
        <w:pStyle w:val="Body"/>
      </w:pPr>
      <w:r w:rsidRPr="00371CFF">
        <w:t>ACTCOSS advocacy on education focuses on achieving an equitable ACT education system that creates an environment in which all students can learn and thrive. Schools play an important role in identifying and supporting young people who are at risk of not reaching education attainment benchmarks. The community sector also has an important role in supporting students to succeed in education, and ACTCOSS would like to see an increased level of partnership between schools and the community sector. This has the potential to ensure better identification and support of students who experience social, economic and other barriers to succeed at school in the ACT.</w:t>
      </w:r>
    </w:p>
    <w:p w14:paraId="358AE11A" w14:textId="19BA3447" w:rsidR="00371CFF" w:rsidRPr="00371CFF" w:rsidRDefault="00371CFF" w:rsidP="00E26AB5">
      <w:pPr>
        <w:pStyle w:val="Body"/>
      </w:pPr>
      <w:r w:rsidRPr="00371CFF">
        <w:t xml:space="preserve">The </w:t>
      </w:r>
      <w:r w:rsidRPr="00371CFF">
        <w:rPr>
          <w:i/>
        </w:rPr>
        <w:t>Community Shared Statement</w:t>
      </w:r>
      <w:r w:rsidRPr="00371CFF">
        <w:t xml:space="preserve">, signed by 19 community organisations, outlined priorities for the 2016-20 term of the ACT Government. We asked the </w:t>
      </w:r>
      <w:r w:rsidR="00DB68AA">
        <w:t>g</w:t>
      </w:r>
      <w:r w:rsidRPr="00371CFF">
        <w:t>overnment to:</w:t>
      </w:r>
    </w:p>
    <w:p w14:paraId="2BEA64C2" w14:textId="1774416A" w:rsidR="00371CFF" w:rsidRPr="00371CFF" w:rsidRDefault="00371CFF" w:rsidP="00E26AB5">
      <w:pPr>
        <w:pStyle w:val="ListBullet"/>
        <w:rPr>
          <w:rFonts w:cs="Arial"/>
          <w:szCs w:val="23"/>
        </w:rPr>
      </w:pPr>
      <w:r w:rsidRPr="00662950">
        <w:t>I</w:t>
      </w:r>
      <w:r w:rsidRPr="00371CFF">
        <w:rPr>
          <w:rFonts w:cs="Arial"/>
          <w:szCs w:val="23"/>
        </w:rPr>
        <w:t xml:space="preserve">mprove education attainment and outcomes for students not meeting attainment benchmarks and students who have disengaged, or are at risk of disengaging, from school. The focus should be on children and young people in the out of home care system, Aboriginal and/or Torres Strait Islander peoples, those living with disability, dealing with financial disadvantage and culturally and linguistically diverse people </w:t>
      </w:r>
    </w:p>
    <w:p w14:paraId="5A2836CC" w14:textId="73E1F215" w:rsidR="00371CFF" w:rsidRPr="00371CFF" w:rsidRDefault="00371CFF" w:rsidP="00E26AB5">
      <w:pPr>
        <w:pStyle w:val="ListBullet"/>
        <w:rPr>
          <w:rFonts w:cs="Arial"/>
          <w:szCs w:val="23"/>
        </w:rPr>
      </w:pPr>
      <w:r w:rsidRPr="00662950">
        <w:t>Resource s</w:t>
      </w:r>
      <w:r w:rsidRPr="00371CFF">
        <w:rPr>
          <w:rFonts w:cs="Arial"/>
          <w:szCs w:val="23"/>
        </w:rPr>
        <w:t>chools and local community service agencies to build strong collaborative relationships and have capacity to respond flexibly and share resources to improve educational outcomes for young people</w:t>
      </w:r>
    </w:p>
    <w:p w14:paraId="53CB2585" w14:textId="1A55BD05" w:rsidR="00371CFF" w:rsidRPr="00371CFF" w:rsidRDefault="00CE6BB1" w:rsidP="00E26AB5">
      <w:pPr>
        <w:pStyle w:val="ListBullet"/>
      </w:pPr>
      <w:r>
        <w:t>Provide b</w:t>
      </w:r>
      <w:r w:rsidR="00371CFF" w:rsidRPr="00662950">
        <w:t>etter support for students who have disengaged or are at risk of disengaging from education.</w:t>
      </w:r>
    </w:p>
    <w:p w14:paraId="336B515C" w14:textId="56C7E8DB" w:rsidR="00371CFF" w:rsidRPr="00371CFF" w:rsidRDefault="00371CFF" w:rsidP="00E26AB5">
      <w:pPr>
        <w:pStyle w:val="Body"/>
      </w:pPr>
      <w:r w:rsidRPr="00371CFF">
        <w:t>In December 2018</w:t>
      </w:r>
      <w:r w:rsidR="008117BB">
        <w:t>,</w:t>
      </w:r>
      <w:r w:rsidRPr="00371CFF">
        <w:t xml:space="preserve"> the Chief Minister gave a headline speech outlining his </w:t>
      </w:r>
      <w:r w:rsidR="008117BB">
        <w:t>g</w:t>
      </w:r>
      <w:r w:rsidRPr="00371CFF">
        <w:t>overnment’s priorities for the second half of their term. The Chief Minister said education was one of the essentials of a good life.</w:t>
      </w:r>
    </w:p>
    <w:p w14:paraId="371CFB6F" w14:textId="30361EEC" w:rsidR="00371CFF" w:rsidRPr="00371CFF" w:rsidRDefault="00371CFF" w:rsidP="00E26AB5">
      <w:pPr>
        <w:pStyle w:val="Body"/>
      </w:pPr>
      <w:r w:rsidRPr="00371CFF">
        <w:t xml:space="preserve">ACTCOSS has been pleased to participate in the </w:t>
      </w:r>
      <w:r w:rsidR="00285AB1">
        <w:t>g</w:t>
      </w:r>
      <w:r w:rsidRPr="00371CFF">
        <w:t>overnment’s Future of Education program since it was launched in 2017, and we welcomed the launch of the Future of Education Strategy in 2018. We were particularly pleased to see its focus on improving equity of education outcomes by putting students at the centre; empowering students and professionals; building strong communities; and delivering both equity and quality.</w:t>
      </w:r>
    </w:p>
    <w:p w14:paraId="6DE68FF6" w14:textId="7EDB3FFB" w:rsidR="00371CFF" w:rsidRPr="00371CFF" w:rsidRDefault="00371CFF" w:rsidP="00E26AB5">
      <w:pPr>
        <w:pStyle w:val="Body"/>
        <w:rPr>
          <w:rFonts w:eastAsiaTheme="minorEastAsia"/>
        </w:rPr>
      </w:pPr>
      <w:r w:rsidRPr="00371CFF">
        <w:t xml:space="preserve">The </w:t>
      </w:r>
      <w:r w:rsidRPr="00371CFF">
        <w:rPr>
          <w:rFonts w:eastAsia="Arial"/>
        </w:rPr>
        <w:t>ACTCOSS’</w:t>
      </w:r>
      <w:r w:rsidR="00432B06">
        <w:rPr>
          <w:rFonts w:eastAsia="Arial"/>
        </w:rPr>
        <w:t xml:space="preserve"> s</w:t>
      </w:r>
      <w:r w:rsidRPr="00371CFF">
        <w:rPr>
          <w:rFonts w:eastAsia="Arial"/>
        </w:rPr>
        <w:t xml:space="preserve">ubmission on </w:t>
      </w:r>
      <w:r w:rsidR="00432B06">
        <w:rPr>
          <w:rFonts w:eastAsia="Arial"/>
        </w:rPr>
        <w:t>c</w:t>
      </w:r>
      <w:r w:rsidRPr="00371CFF">
        <w:rPr>
          <w:rFonts w:eastAsia="Arial"/>
        </w:rPr>
        <w:t xml:space="preserve">ommunity </w:t>
      </w:r>
      <w:r w:rsidR="00432B06">
        <w:rPr>
          <w:rFonts w:eastAsia="Arial"/>
        </w:rPr>
        <w:t>s</w:t>
      </w:r>
      <w:r w:rsidRPr="00371CFF">
        <w:rPr>
          <w:rFonts w:eastAsia="Arial"/>
        </w:rPr>
        <w:t xml:space="preserve">ector </w:t>
      </w:r>
      <w:r w:rsidR="006104F6">
        <w:rPr>
          <w:rFonts w:eastAsia="Arial"/>
        </w:rPr>
        <w:t>p</w:t>
      </w:r>
      <w:r w:rsidRPr="00371CFF">
        <w:rPr>
          <w:rFonts w:eastAsia="Arial"/>
        </w:rPr>
        <w:t>riorities for the ACT Budget 2019-20</w:t>
      </w:r>
      <w:r w:rsidRPr="00371CFF">
        <w:t xml:space="preserve"> said investment was needed in:</w:t>
      </w:r>
    </w:p>
    <w:p w14:paraId="412DCAE0" w14:textId="465EE712" w:rsidR="00371CFF" w:rsidRPr="00371CFF" w:rsidRDefault="0053552F" w:rsidP="00E26AB5">
      <w:pPr>
        <w:pStyle w:val="ListBullet"/>
        <w:rPr>
          <w:rFonts w:eastAsiaTheme="minorHAnsi"/>
        </w:rPr>
      </w:pPr>
      <w:r>
        <w:rPr>
          <w:rFonts w:eastAsiaTheme="minorHAnsi"/>
        </w:rPr>
        <w:t>S</w:t>
      </w:r>
      <w:r w:rsidR="00371CFF" w:rsidRPr="00371CFF">
        <w:rPr>
          <w:rFonts w:eastAsiaTheme="minorHAnsi"/>
        </w:rPr>
        <w:t>upporting community services to increase their capacity to partner with schools and provide targeted intensive supports to students and their families, such as through case management and group work by community services working collaboratively with schools</w:t>
      </w:r>
    </w:p>
    <w:p w14:paraId="14CCCC9E" w14:textId="679AA14A" w:rsidR="00371CFF" w:rsidRPr="00371CFF" w:rsidRDefault="0053552F" w:rsidP="00E26AB5">
      <w:pPr>
        <w:pStyle w:val="ListBullet"/>
        <w:rPr>
          <w:rFonts w:eastAsiaTheme="minorHAnsi"/>
        </w:rPr>
      </w:pPr>
      <w:r>
        <w:rPr>
          <w:rFonts w:eastAsiaTheme="minorHAnsi"/>
        </w:rPr>
        <w:t>E</w:t>
      </w:r>
      <w:r w:rsidR="00371CFF" w:rsidRPr="00371CFF">
        <w:rPr>
          <w:rFonts w:eastAsiaTheme="minorHAnsi"/>
        </w:rPr>
        <w:t>arly identification of the risks of not reaching education attainment benchmarks, and increased access to support throughout childhood and teenage years using long-term programs that can travel with a student across their school career and adapt as circumstances and settings change.</w:t>
      </w:r>
    </w:p>
    <w:p w14:paraId="0FD289B1" w14:textId="77777777" w:rsidR="00371CFF" w:rsidRPr="00371CFF" w:rsidRDefault="00371CFF" w:rsidP="00E26AB5">
      <w:pPr>
        <w:pStyle w:val="Body"/>
      </w:pPr>
      <w:r w:rsidRPr="00371CFF">
        <w:t>This Budget is heavily focused on bricks and mortar investments, particularly for new schools and colleges. There is investment in planning to deliver on the equity and excellence-focused Future of Education Strategy.</w:t>
      </w:r>
    </w:p>
    <w:p w14:paraId="1AF8F8EF" w14:textId="750D809C" w:rsidR="00371CFF" w:rsidRPr="00371CFF" w:rsidRDefault="00371CFF" w:rsidP="00E26AB5">
      <w:pPr>
        <w:pStyle w:val="Body"/>
      </w:pPr>
      <w:r w:rsidRPr="00371CFF">
        <w:t xml:space="preserve">ACTCOSS is pleased to see that the </w:t>
      </w:r>
      <w:r w:rsidR="00A70CB1">
        <w:t>g</w:t>
      </w:r>
      <w:r w:rsidRPr="00371CFF">
        <w:t>overnment is recognising the increased needs of students in Canberra as our population grows. We welcome the expenditure dedicated to delivering new schools and expanding those that are currently overstretched, which includes funding for: delivering a new high school at Kenny; delivering a new primary school at Throsby; expanding Franklin Early Childhood School; more places for students at Gold Creek School’s senior campus; more places for students at northside schools at; planning for a new college on Canberra’s northside; and expanded facilities for Gungahlin College.</w:t>
      </w:r>
    </w:p>
    <w:p w14:paraId="5C72B40D" w14:textId="77777777" w:rsidR="00371CFF" w:rsidRPr="00371CFF" w:rsidRDefault="00371CFF" w:rsidP="00E26AB5">
      <w:pPr>
        <w:pStyle w:val="Body"/>
      </w:pPr>
      <w:r w:rsidRPr="00371CFF">
        <w:t xml:space="preserve">These are necessary initiatives that respond to growing need in an expanding Canberra, particularly in the Inner North and Gungahlin regions. It is vital to ensure that all children and young people can access a good quality school that is close to their home and meets their needs. </w:t>
      </w:r>
    </w:p>
    <w:p w14:paraId="37723EA6" w14:textId="5816DE2B" w:rsidR="00371CFF" w:rsidRPr="00371CFF" w:rsidRDefault="00371CFF" w:rsidP="00E26AB5">
      <w:pPr>
        <w:pStyle w:val="Body"/>
      </w:pPr>
      <w:r w:rsidRPr="00371CFF">
        <w:t>ACTCOSS is concerned that</w:t>
      </w:r>
      <w:r w:rsidR="007102B8">
        <w:t>,</w:t>
      </w:r>
      <w:r w:rsidRPr="00371CFF">
        <w:t xml:space="preserve"> in comparison, only $4.19 million over four years has been allocated to delivering reforms associated with the Future of Education Strategy. ACTCOSS has seen some good work as a result of the </w:t>
      </w:r>
      <w:r w:rsidR="007102B8">
        <w:t>s</w:t>
      </w:r>
      <w:r w:rsidRPr="00371CFF">
        <w:t xml:space="preserve">trategy to date, such as the joint ACT Parents and Citizens Council and Education Directorate workshop on violence in schools. However, more funding is necessary to deliver on the </w:t>
      </w:r>
      <w:r w:rsidR="007102B8">
        <w:t>s</w:t>
      </w:r>
      <w:r w:rsidRPr="00371CFF">
        <w:t xml:space="preserve">trategy’s equity focus. Achieving equity in education means putting in place holistic supports that build greater health and wellbeing for students within and outside the classroom. </w:t>
      </w:r>
    </w:p>
    <w:p w14:paraId="34DA3DAC" w14:textId="3B3B0713" w:rsidR="00371CFF" w:rsidRPr="00371CFF" w:rsidRDefault="00371CFF" w:rsidP="00E26AB5">
      <w:pPr>
        <w:pStyle w:val="Body"/>
      </w:pPr>
      <w:r w:rsidRPr="00371CFF">
        <w:t xml:space="preserve">Through this Budget, the </w:t>
      </w:r>
      <w:r w:rsidR="00FA596E">
        <w:t>g</w:t>
      </w:r>
      <w:r w:rsidRPr="00371CFF">
        <w:t xml:space="preserve">overnment has recognised a need for more infrastructure expenditure for a growing school-age population. However, alongside this the </w:t>
      </w:r>
      <w:r w:rsidR="00FA596E">
        <w:t>g</w:t>
      </w:r>
      <w:r w:rsidRPr="00371CFF">
        <w:t xml:space="preserve">overnment has not adequately recognised the equally important need for social and emotional supports for students provided by experts in community services. ACTCOSS is disappointed to see that in addition to the funding for new and expanded schools, there is no dedicated resourcing for stronger school and community partnerships, including whole-of-community schools. ACTCOSS would like to see the </w:t>
      </w:r>
      <w:r w:rsidR="0001150A">
        <w:t>g</w:t>
      </w:r>
      <w:r w:rsidRPr="00371CFF">
        <w:t xml:space="preserve">overnment commit to engaging the community sector to ensure the community can share their expertise and facilitate stronger relationships with services that can contribute to children and young people succeeding in school. </w:t>
      </w:r>
    </w:p>
    <w:p w14:paraId="337CC162" w14:textId="75C83312" w:rsidR="00371CFF" w:rsidRPr="00371CFF" w:rsidRDefault="00371CFF" w:rsidP="00E26AB5">
      <w:pPr>
        <w:pStyle w:val="Body"/>
      </w:pPr>
      <w:r w:rsidRPr="00371CFF">
        <w:t xml:space="preserve">ACTCOSS expects that as a part of the funding for the Future of Education Strategy, and the $1.5 million over two years for planning for Canberra’s future school needs, the </w:t>
      </w:r>
      <w:r w:rsidR="00256ED6">
        <w:t>g</w:t>
      </w:r>
      <w:r w:rsidRPr="00371CFF">
        <w:t>overnment will progress some of the priorities for community and school partnerships outlined in our previous submissions. This could take the form of funding for engagement officers that can work within and outside the school gate to effectively support ACT children and families who are disengaged, or at risk of disengagement, from the education system. We would also like to see resourcing for community-based specialist youth services to be able to engage with and provide service within schools.</w:t>
      </w:r>
    </w:p>
    <w:p w14:paraId="54139488" w14:textId="5B2A96D2" w:rsidR="00371CFF" w:rsidRPr="00371CFF" w:rsidRDefault="00371CFF" w:rsidP="00E26AB5">
      <w:pPr>
        <w:pStyle w:val="Body"/>
      </w:pPr>
      <w:r w:rsidRPr="00371CFF">
        <w:t>ACTCOSS welcomes the $1.7 million committed over the next two years to funding the first phase of the ACT Early Childhood Strategy. ACTCOSS was engaged in the consultation process, and we hope that as with the Future of Education Strategy, this work will acknowledge the expertise of the community sector and the value of pursuing greater collaboration between community and early childhood settings. ACTCOSS submits that for all children in the ACT to have the best chance at accessing quality programs appropriate to their needs, a shift is required in the current early childhood education and care model. We will be monitoring the implementation of the Early Childhood Strategy to see if the work aligns with our recommendations for an approach that privileges cultural safety and appropriateness, sets targets for participation of disengaged, vulnerable and disadvantaged families, and offers a mix of structured and more flexible settings.</w:t>
      </w:r>
    </w:p>
    <w:p w14:paraId="0E360DA3" w14:textId="77777777" w:rsidR="00371CFF" w:rsidRPr="00371CFF" w:rsidRDefault="00371CFF" w:rsidP="00E26AB5">
      <w:pPr>
        <w:pStyle w:val="Body"/>
      </w:pPr>
      <w:r w:rsidRPr="00371CFF">
        <w:t>We acknowledge the significant investment of $41.58 million funding over four years for greater support to meet individual student needs, supporting 92 full-time learning professionals and support staff to assist students with additional needs, such as students with a disability. ACTCOSS expects that this work will be delivered in an inclusive way using restorative practices principles.</w:t>
      </w:r>
    </w:p>
    <w:p w14:paraId="4AB5CCBA" w14:textId="378FAEA5" w:rsidR="00371CFF" w:rsidRPr="00371CFF" w:rsidRDefault="00371CFF" w:rsidP="00E26AB5">
      <w:pPr>
        <w:pStyle w:val="Body"/>
      </w:pPr>
      <w:r w:rsidRPr="00371CFF">
        <w:t xml:space="preserve">ACTCOSS strongly welcomes the Safer Families Package initiative, providing training </w:t>
      </w:r>
      <w:r w:rsidR="00A3443A">
        <w:t xml:space="preserve">to </w:t>
      </w:r>
      <w:r w:rsidRPr="00371CFF">
        <w:t xml:space="preserve">ACT Government frontline workers to better understand, recognise and respond to family violence. </w:t>
      </w:r>
      <w:r w:rsidRPr="00371CFF">
        <w:rPr>
          <w:rFonts w:cs="Arial"/>
          <w:color w:val="000000"/>
          <w:shd w:val="clear" w:color="auto" w:fill="FFFFFF"/>
        </w:rPr>
        <w:t>But we note that for the project to be effective, teachers should not feel the onus is on them alone to manage responding to impacts of family violence on success at school. Teachers must be supported to progress any concerns about family violence, and frontline community services in the domestic and family violence space should be adequately resourced to respond to any associated increase in service demand.</w:t>
      </w:r>
    </w:p>
    <w:p w14:paraId="3B7BE359" w14:textId="053062D7" w:rsidR="00371CFF" w:rsidRPr="00371CFF" w:rsidRDefault="00371CFF" w:rsidP="00E26AB5">
      <w:pPr>
        <w:pStyle w:val="Body"/>
        <w:rPr>
          <w:rFonts w:cs="Arial"/>
          <w:color w:val="000000"/>
          <w:bdr w:val="none" w:sz="0" w:space="0" w:color="auto" w:frame="1"/>
        </w:rPr>
      </w:pPr>
      <w:r w:rsidRPr="00371CFF">
        <w:t>This Budget also provides $1.83 million over four years to ensure teachers and school staff are safe at work</w:t>
      </w:r>
      <w:r w:rsidR="00FE5B40">
        <w:t>,</w:t>
      </w:r>
      <w:r w:rsidRPr="00371CFF">
        <w:t xml:space="preserve"> but </w:t>
      </w:r>
      <w:r w:rsidR="00101BDE">
        <w:t xml:space="preserve">it </w:t>
      </w:r>
      <w:r w:rsidRPr="00371CFF">
        <w:t xml:space="preserve">has not funded any similar work aimed at ensuring the safety of students. ACTCOSS sees that there is an imbalance in commentary and funding to resolve student and teacher violence, when in fact neither are acceptable within schools and both issues require consistent policy, practice and adequate resourcing to eliminate. ACTCOSS has recommended to the </w:t>
      </w:r>
      <w:r w:rsidR="008637CA">
        <w:t>i</w:t>
      </w:r>
      <w:r w:rsidRPr="008637CA">
        <w:t>nquiry on the management and minimisation of bullying and violence in ACT schools t</w:t>
      </w:r>
      <w:r w:rsidRPr="00371CFF">
        <w:t xml:space="preserve">hat </w:t>
      </w:r>
      <w:r w:rsidRPr="00371CFF">
        <w:rPr>
          <w:rFonts w:cs="Arial"/>
          <w:color w:val="000000"/>
          <w:bdr w:val="none" w:sz="0" w:space="0" w:color="auto" w:frame="1"/>
        </w:rPr>
        <w:t>the same zero-tolerance approach in place for teachers experiencing workplace violence should be applied towards students.</w:t>
      </w:r>
    </w:p>
    <w:p w14:paraId="1ACD96C4" w14:textId="71739223" w:rsidR="00371CFF" w:rsidRPr="00371CFF" w:rsidRDefault="00371CFF" w:rsidP="00E26AB5">
      <w:pPr>
        <w:pStyle w:val="Body"/>
      </w:pPr>
      <w:r w:rsidRPr="00371CFF">
        <w:t>Finally, ACTCOSS welcomes the $3 million resourcing for mental health care supports for students over the next four years, through four full</w:t>
      </w:r>
      <w:r w:rsidR="008637CA">
        <w:t>-</w:t>
      </w:r>
      <w:r w:rsidRPr="00371CFF">
        <w:t>time psychologists. We note our concern that these psychologists are funded ‘within the school gate’, as students should have access to mental health and wellbeing supports outside school hours and school terms. We would like to see funding for student mental health care that is not tied to individual schools and which can therefore support students at challenging times throughout their education journey, such as during transitions from primary to high school or high school to college. ACTCOSS would also like to see the government fund social workers and youth workers in schools to offer specialised support for student mental health and wellbeing.</w:t>
      </w:r>
    </w:p>
    <w:p w14:paraId="5C1D90FA" w14:textId="77777777" w:rsidR="00371CFF" w:rsidRPr="00371CFF" w:rsidRDefault="00371CFF" w:rsidP="00E26AB5">
      <w:pPr>
        <w:pStyle w:val="snapTabletitle"/>
        <w:rPr>
          <w:b w:val="0"/>
          <w:bCs w:val="0"/>
        </w:rPr>
      </w:pPr>
      <w:r w:rsidRPr="00371CFF">
        <w:t>Table 3.2.2: Expense initiatives</w:t>
      </w:r>
    </w:p>
    <w:tbl>
      <w:tblPr>
        <w:tblW w:w="5000" w:type="pct"/>
        <w:tblLayout w:type="fixed"/>
        <w:tblCellMar>
          <w:left w:w="30" w:type="dxa"/>
          <w:right w:w="30" w:type="dxa"/>
        </w:tblCellMar>
        <w:tblLook w:val="0000" w:firstRow="0" w:lastRow="0" w:firstColumn="0" w:lastColumn="0" w:noHBand="0" w:noVBand="0"/>
      </w:tblPr>
      <w:tblGrid>
        <w:gridCol w:w="4844"/>
        <w:gridCol w:w="959"/>
        <w:gridCol w:w="959"/>
        <w:gridCol w:w="958"/>
        <w:gridCol w:w="959"/>
        <w:gridCol w:w="959"/>
      </w:tblGrid>
      <w:tr w:rsidR="00371CFF" w:rsidRPr="00371CFF" w14:paraId="5A35D00B" w14:textId="77777777" w:rsidTr="0053552F">
        <w:trPr>
          <w:cantSplit/>
          <w:trHeight w:val="227"/>
          <w:tblHeader/>
        </w:trPr>
        <w:tc>
          <w:tcPr>
            <w:tcW w:w="4844" w:type="dxa"/>
            <w:tcBorders>
              <w:top w:val="single" w:sz="4" w:space="0" w:color="auto"/>
              <w:left w:val="nil"/>
              <w:bottom w:val="nil"/>
              <w:right w:val="nil"/>
            </w:tcBorders>
            <w:shd w:val="clear" w:color="auto" w:fill="auto"/>
            <w:vAlign w:val="center"/>
          </w:tcPr>
          <w:p w14:paraId="754FB45D" w14:textId="77777777" w:rsidR="00371CFF" w:rsidRPr="00371CFF" w:rsidRDefault="00371CFF" w:rsidP="00371CFF">
            <w:pPr>
              <w:ind w:left="227" w:hanging="227"/>
              <w:rPr>
                <w:rFonts w:ascii="Calibri" w:hAnsi="Calibri"/>
                <w:b/>
                <w:bCs/>
                <w:sz w:val="20"/>
                <w:szCs w:val="20"/>
                <w:lang w:eastAsia="en-AU"/>
              </w:rPr>
            </w:pPr>
            <w:r w:rsidRPr="00371CFF">
              <w:rPr>
                <w:rFonts w:ascii="Calibri" w:hAnsi="Calibri"/>
                <w:b/>
                <w:bCs/>
                <w:sz w:val="20"/>
                <w:szCs w:val="20"/>
                <w:lang w:eastAsia="en-AU"/>
              </w:rPr>
              <w:t>Expense initiatives</w:t>
            </w:r>
          </w:p>
        </w:tc>
        <w:tc>
          <w:tcPr>
            <w:tcW w:w="959" w:type="dxa"/>
            <w:tcBorders>
              <w:top w:val="single" w:sz="4" w:space="0" w:color="auto"/>
              <w:left w:val="nil"/>
              <w:bottom w:val="nil"/>
              <w:right w:val="nil"/>
            </w:tcBorders>
            <w:shd w:val="clear" w:color="auto" w:fill="auto"/>
            <w:vAlign w:val="bottom"/>
          </w:tcPr>
          <w:p w14:paraId="0DC7430F" w14:textId="77777777" w:rsidR="00371CFF" w:rsidRPr="00371CFF" w:rsidRDefault="00371CFF" w:rsidP="00371CFF">
            <w:pPr>
              <w:ind w:left="227" w:hanging="227"/>
              <w:jc w:val="right"/>
              <w:rPr>
                <w:rFonts w:ascii="Calibri" w:hAnsi="Calibri"/>
                <w:b/>
                <w:sz w:val="20"/>
                <w:szCs w:val="20"/>
                <w:lang w:eastAsia="en-AU"/>
              </w:rPr>
            </w:pPr>
            <w:r w:rsidRPr="00371CFF">
              <w:rPr>
                <w:rFonts w:ascii="Calibri" w:hAnsi="Calibri"/>
                <w:b/>
                <w:sz w:val="20"/>
                <w:szCs w:val="20"/>
                <w:lang w:eastAsia="en-AU"/>
              </w:rPr>
              <w:t>2019-20</w:t>
            </w:r>
          </w:p>
          <w:p w14:paraId="30643FE3" w14:textId="77777777" w:rsidR="00371CFF" w:rsidRPr="00371CFF" w:rsidRDefault="00371CFF" w:rsidP="00371CFF">
            <w:pPr>
              <w:ind w:left="227" w:hanging="227"/>
              <w:jc w:val="right"/>
              <w:rPr>
                <w:rFonts w:ascii="Calibri" w:hAnsi="Calibri"/>
                <w:b/>
                <w:sz w:val="20"/>
                <w:szCs w:val="20"/>
                <w:lang w:eastAsia="en-AU"/>
              </w:rPr>
            </w:pPr>
            <w:r w:rsidRPr="00371CFF">
              <w:rPr>
                <w:rFonts w:ascii="Calibri" w:hAnsi="Calibri"/>
                <w:b/>
                <w:sz w:val="20"/>
                <w:szCs w:val="20"/>
                <w:lang w:eastAsia="en-AU"/>
              </w:rPr>
              <w:t>Estimate</w:t>
            </w:r>
          </w:p>
          <w:p w14:paraId="10F3AC1A" w14:textId="77777777" w:rsidR="00371CFF" w:rsidRPr="00371CFF" w:rsidRDefault="00371CFF" w:rsidP="00371CFF">
            <w:pPr>
              <w:ind w:left="227" w:hanging="227"/>
              <w:jc w:val="right"/>
              <w:rPr>
                <w:rFonts w:ascii="Calibri" w:hAnsi="Calibri"/>
                <w:b/>
                <w:sz w:val="20"/>
                <w:szCs w:val="20"/>
                <w:lang w:eastAsia="en-AU"/>
              </w:rPr>
            </w:pPr>
            <w:r w:rsidRPr="00371CFF">
              <w:rPr>
                <w:rFonts w:ascii="Calibri" w:hAnsi="Calibri"/>
                <w:b/>
                <w:sz w:val="20"/>
                <w:szCs w:val="20"/>
                <w:lang w:eastAsia="en-AU"/>
              </w:rPr>
              <w:t>$’000</w:t>
            </w:r>
          </w:p>
        </w:tc>
        <w:tc>
          <w:tcPr>
            <w:tcW w:w="959" w:type="dxa"/>
            <w:tcBorders>
              <w:top w:val="single" w:sz="4" w:space="0" w:color="auto"/>
              <w:left w:val="nil"/>
              <w:bottom w:val="nil"/>
              <w:right w:val="nil"/>
            </w:tcBorders>
            <w:shd w:val="clear" w:color="auto" w:fill="auto"/>
            <w:vAlign w:val="bottom"/>
          </w:tcPr>
          <w:p w14:paraId="6F1E239B" w14:textId="77777777" w:rsidR="00371CFF" w:rsidRPr="00371CFF" w:rsidRDefault="00371CFF" w:rsidP="00371CFF">
            <w:pPr>
              <w:ind w:left="227" w:hanging="227"/>
              <w:jc w:val="right"/>
              <w:rPr>
                <w:rFonts w:ascii="Calibri" w:hAnsi="Calibri"/>
                <w:b/>
                <w:sz w:val="20"/>
                <w:szCs w:val="20"/>
                <w:lang w:eastAsia="en-AU"/>
              </w:rPr>
            </w:pPr>
            <w:r w:rsidRPr="00371CFF">
              <w:rPr>
                <w:rFonts w:ascii="Calibri" w:hAnsi="Calibri"/>
                <w:b/>
                <w:sz w:val="20"/>
                <w:szCs w:val="20"/>
                <w:lang w:eastAsia="en-AU"/>
              </w:rPr>
              <w:t>2020-21</w:t>
            </w:r>
          </w:p>
          <w:p w14:paraId="7248DA0E" w14:textId="77777777" w:rsidR="00371CFF" w:rsidRPr="00371CFF" w:rsidRDefault="00371CFF" w:rsidP="00371CFF">
            <w:pPr>
              <w:ind w:left="227" w:hanging="227"/>
              <w:jc w:val="right"/>
              <w:rPr>
                <w:rFonts w:ascii="Calibri" w:hAnsi="Calibri"/>
                <w:b/>
                <w:sz w:val="20"/>
                <w:szCs w:val="20"/>
                <w:lang w:eastAsia="en-AU"/>
              </w:rPr>
            </w:pPr>
            <w:r w:rsidRPr="00371CFF">
              <w:rPr>
                <w:rFonts w:ascii="Calibri" w:hAnsi="Calibri"/>
                <w:b/>
                <w:sz w:val="20"/>
                <w:szCs w:val="20"/>
                <w:lang w:eastAsia="en-AU"/>
              </w:rPr>
              <w:t>Estimate</w:t>
            </w:r>
          </w:p>
          <w:p w14:paraId="6FE248E3" w14:textId="77777777" w:rsidR="00371CFF" w:rsidRPr="00371CFF" w:rsidRDefault="00371CFF" w:rsidP="00371CFF">
            <w:pPr>
              <w:ind w:left="227" w:hanging="227"/>
              <w:jc w:val="right"/>
              <w:rPr>
                <w:rFonts w:ascii="Calibri" w:hAnsi="Calibri"/>
                <w:b/>
                <w:sz w:val="20"/>
                <w:szCs w:val="20"/>
                <w:lang w:eastAsia="en-AU"/>
              </w:rPr>
            </w:pPr>
            <w:r w:rsidRPr="00371CFF">
              <w:rPr>
                <w:rFonts w:ascii="Calibri" w:hAnsi="Calibri"/>
                <w:b/>
                <w:sz w:val="20"/>
                <w:szCs w:val="20"/>
                <w:lang w:eastAsia="en-AU"/>
              </w:rPr>
              <w:t>$’000</w:t>
            </w:r>
          </w:p>
        </w:tc>
        <w:tc>
          <w:tcPr>
            <w:tcW w:w="958" w:type="dxa"/>
            <w:tcBorders>
              <w:top w:val="single" w:sz="4" w:space="0" w:color="auto"/>
              <w:left w:val="nil"/>
              <w:bottom w:val="nil"/>
              <w:right w:val="nil"/>
            </w:tcBorders>
            <w:shd w:val="clear" w:color="auto" w:fill="auto"/>
            <w:vAlign w:val="bottom"/>
          </w:tcPr>
          <w:p w14:paraId="57132BC4" w14:textId="77777777" w:rsidR="00371CFF" w:rsidRPr="00371CFF" w:rsidRDefault="00371CFF" w:rsidP="00371CFF">
            <w:pPr>
              <w:ind w:left="227" w:hanging="227"/>
              <w:jc w:val="right"/>
              <w:rPr>
                <w:rFonts w:ascii="Calibri" w:hAnsi="Calibri"/>
                <w:b/>
                <w:sz w:val="20"/>
                <w:szCs w:val="20"/>
                <w:lang w:eastAsia="en-AU"/>
              </w:rPr>
            </w:pPr>
            <w:r w:rsidRPr="00371CFF">
              <w:rPr>
                <w:rFonts w:ascii="Calibri" w:hAnsi="Calibri"/>
                <w:b/>
                <w:sz w:val="20"/>
                <w:szCs w:val="20"/>
                <w:lang w:eastAsia="en-AU"/>
              </w:rPr>
              <w:t>2021-22</w:t>
            </w:r>
          </w:p>
          <w:p w14:paraId="1582EF6C" w14:textId="77777777" w:rsidR="00371CFF" w:rsidRPr="00371CFF" w:rsidRDefault="00371CFF" w:rsidP="00371CFF">
            <w:pPr>
              <w:ind w:left="227" w:hanging="227"/>
              <w:jc w:val="right"/>
              <w:rPr>
                <w:rFonts w:ascii="Calibri" w:hAnsi="Calibri"/>
                <w:b/>
                <w:sz w:val="20"/>
                <w:szCs w:val="20"/>
                <w:lang w:eastAsia="en-AU"/>
              </w:rPr>
            </w:pPr>
            <w:r w:rsidRPr="00371CFF">
              <w:rPr>
                <w:rFonts w:ascii="Calibri" w:hAnsi="Calibri"/>
                <w:b/>
                <w:sz w:val="20"/>
                <w:szCs w:val="20"/>
                <w:lang w:eastAsia="en-AU"/>
              </w:rPr>
              <w:t>Estimate</w:t>
            </w:r>
          </w:p>
          <w:p w14:paraId="5B27C751" w14:textId="77777777" w:rsidR="00371CFF" w:rsidRPr="00371CFF" w:rsidRDefault="00371CFF" w:rsidP="00371CFF">
            <w:pPr>
              <w:ind w:left="227" w:hanging="227"/>
              <w:jc w:val="right"/>
              <w:rPr>
                <w:rFonts w:ascii="Calibri" w:hAnsi="Calibri"/>
                <w:b/>
                <w:sz w:val="20"/>
                <w:szCs w:val="20"/>
                <w:lang w:eastAsia="en-AU"/>
              </w:rPr>
            </w:pPr>
            <w:r w:rsidRPr="00371CFF">
              <w:rPr>
                <w:rFonts w:ascii="Calibri" w:hAnsi="Calibri"/>
                <w:b/>
                <w:sz w:val="20"/>
                <w:szCs w:val="20"/>
                <w:lang w:eastAsia="en-AU"/>
              </w:rPr>
              <w:t>$’000</w:t>
            </w:r>
          </w:p>
        </w:tc>
        <w:tc>
          <w:tcPr>
            <w:tcW w:w="959" w:type="dxa"/>
            <w:tcBorders>
              <w:top w:val="single" w:sz="4" w:space="0" w:color="auto"/>
              <w:left w:val="nil"/>
              <w:bottom w:val="nil"/>
              <w:right w:val="nil"/>
            </w:tcBorders>
            <w:shd w:val="clear" w:color="auto" w:fill="auto"/>
            <w:vAlign w:val="bottom"/>
          </w:tcPr>
          <w:p w14:paraId="20165A66" w14:textId="77777777" w:rsidR="00371CFF" w:rsidRPr="00371CFF" w:rsidRDefault="00371CFF" w:rsidP="00371CFF">
            <w:pPr>
              <w:ind w:left="227" w:hanging="227"/>
              <w:jc w:val="right"/>
              <w:rPr>
                <w:rFonts w:ascii="Calibri" w:hAnsi="Calibri"/>
                <w:b/>
                <w:sz w:val="20"/>
                <w:szCs w:val="20"/>
                <w:lang w:eastAsia="en-AU"/>
              </w:rPr>
            </w:pPr>
            <w:r w:rsidRPr="00371CFF">
              <w:rPr>
                <w:rFonts w:ascii="Calibri" w:hAnsi="Calibri"/>
                <w:b/>
                <w:sz w:val="20"/>
                <w:szCs w:val="20"/>
                <w:lang w:eastAsia="en-AU"/>
              </w:rPr>
              <w:t>2022-23</w:t>
            </w:r>
          </w:p>
          <w:p w14:paraId="1496CB15" w14:textId="77777777" w:rsidR="00371CFF" w:rsidRPr="00371CFF" w:rsidRDefault="00371CFF" w:rsidP="00371CFF">
            <w:pPr>
              <w:ind w:left="227" w:hanging="227"/>
              <w:jc w:val="right"/>
              <w:rPr>
                <w:rFonts w:ascii="Calibri" w:hAnsi="Calibri"/>
                <w:b/>
                <w:sz w:val="20"/>
                <w:szCs w:val="20"/>
                <w:lang w:eastAsia="en-AU"/>
              </w:rPr>
            </w:pPr>
            <w:r w:rsidRPr="00371CFF">
              <w:rPr>
                <w:rFonts w:ascii="Calibri" w:hAnsi="Calibri"/>
                <w:b/>
                <w:sz w:val="20"/>
                <w:szCs w:val="20"/>
                <w:lang w:eastAsia="en-AU"/>
              </w:rPr>
              <w:t>Estimate</w:t>
            </w:r>
          </w:p>
          <w:p w14:paraId="77F997CD" w14:textId="77777777" w:rsidR="00371CFF" w:rsidRPr="00371CFF" w:rsidRDefault="00371CFF" w:rsidP="00371CFF">
            <w:pPr>
              <w:ind w:left="227" w:hanging="227"/>
              <w:jc w:val="right"/>
              <w:rPr>
                <w:rFonts w:ascii="Calibri" w:hAnsi="Calibri"/>
                <w:b/>
                <w:sz w:val="20"/>
                <w:szCs w:val="20"/>
                <w:lang w:eastAsia="en-AU"/>
              </w:rPr>
            </w:pPr>
            <w:r w:rsidRPr="00371CFF">
              <w:rPr>
                <w:rFonts w:ascii="Calibri" w:hAnsi="Calibri"/>
                <w:b/>
                <w:sz w:val="20"/>
                <w:szCs w:val="20"/>
                <w:lang w:eastAsia="en-AU"/>
              </w:rPr>
              <w:t>$’000</w:t>
            </w:r>
          </w:p>
        </w:tc>
        <w:tc>
          <w:tcPr>
            <w:tcW w:w="959" w:type="dxa"/>
            <w:tcBorders>
              <w:top w:val="single" w:sz="4" w:space="0" w:color="auto"/>
              <w:left w:val="nil"/>
              <w:bottom w:val="nil"/>
              <w:right w:val="nil"/>
            </w:tcBorders>
            <w:shd w:val="clear" w:color="auto" w:fill="auto"/>
          </w:tcPr>
          <w:p w14:paraId="3D419600" w14:textId="77777777" w:rsidR="00371CFF" w:rsidRPr="00371CFF" w:rsidRDefault="00371CFF" w:rsidP="00371CFF">
            <w:pPr>
              <w:ind w:left="227" w:hanging="227"/>
              <w:jc w:val="right"/>
              <w:rPr>
                <w:rFonts w:ascii="Calibri" w:hAnsi="Calibri"/>
                <w:b/>
                <w:snapToGrid w:val="0"/>
                <w:sz w:val="20"/>
                <w:szCs w:val="20"/>
                <w:lang w:eastAsia="en-AU"/>
              </w:rPr>
            </w:pPr>
            <w:r w:rsidRPr="00371CFF">
              <w:rPr>
                <w:rFonts w:ascii="Calibri" w:hAnsi="Calibri"/>
                <w:b/>
                <w:snapToGrid w:val="0"/>
                <w:sz w:val="20"/>
                <w:szCs w:val="20"/>
                <w:lang w:eastAsia="en-AU"/>
              </w:rPr>
              <w:t>Total</w:t>
            </w:r>
          </w:p>
          <w:p w14:paraId="182441AA" w14:textId="77777777" w:rsidR="00371CFF" w:rsidRPr="00371CFF" w:rsidRDefault="00371CFF" w:rsidP="00371CFF">
            <w:pPr>
              <w:ind w:left="227" w:hanging="227"/>
              <w:jc w:val="right"/>
              <w:rPr>
                <w:rFonts w:ascii="Calibri" w:hAnsi="Calibri"/>
                <w:b/>
                <w:snapToGrid w:val="0"/>
                <w:sz w:val="20"/>
                <w:szCs w:val="20"/>
                <w:lang w:eastAsia="en-AU"/>
              </w:rPr>
            </w:pPr>
          </w:p>
          <w:p w14:paraId="41F7CB0F" w14:textId="77777777" w:rsidR="00371CFF" w:rsidRPr="00371CFF" w:rsidRDefault="00371CFF" w:rsidP="00371CFF">
            <w:pPr>
              <w:ind w:left="227" w:hanging="227"/>
              <w:jc w:val="right"/>
              <w:rPr>
                <w:rFonts w:ascii="Calibri" w:hAnsi="Calibri"/>
                <w:b/>
                <w:snapToGrid w:val="0"/>
                <w:sz w:val="20"/>
                <w:szCs w:val="20"/>
                <w:lang w:eastAsia="en-AU"/>
              </w:rPr>
            </w:pPr>
            <w:r w:rsidRPr="00371CFF">
              <w:rPr>
                <w:rFonts w:ascii="Calibri" w:hAnsi="Calibri"/>
                <w:b/>
                <w:snapToGrid w:val="0"/>
                <w:sz w:val="20"/>
                <w:szCs w:val="20"/>
                <w:lang w:eastAsia="en-AU"/>
              </w:rPr>
              <w:t>$’000</w:t>
            </w:r>
          </w:p>
        </w:tc>
      </w:tr>
      <w:tr w:rsidR="00371CFF" w:rsidRPr="00371CFF" w14:paraId="0AA3DDD4" w14:textId="77777777" w:rsidTr="0053552F">
        <w:trPr>
          <w:cantSplit/>
          <w:trHeight w:val="227"/>
        </w:trPr>
        <w:tc>
          <w:tcPr>
            <w:tcW w:w="4844" w:type="dxa"/>
            <w:tcBorders>
              <w:top w:val="single" w:sz="4" w:space="0" w:color="auto"/>
            </w:tcBorders>
            <w:shd w:val="clear" w:color="auto" w:fill="auto"/>
          </w:tcPr>
          <w:p w14:paraId="5D7B2EC7" w14:textId="77777777" w:rsidR="00371CFF" w:rsidRPr="00371CFF" w:rsidRDefault="00371CFF" w:rsidP="00371CFF">
            <w:pPr>
              <w:jc w:val="right"/>
              <w:rPr>
                <w:rFonts w:ascii="Calibri" w:hAnsi="Calibri" w:cs="Calibri"/>
                <w:color w:val="FFFFFF"/>
                <w:sz w:val="12"/>
                <w:szCs w:val="20"/>
                <w:lang w:eastAsia="en-US"/>
              </w:rPr>
            </w:pPr>
            <w:r w:rsidRPr="00371CFF">
              <w:rPr>
                <w:rFonts w:ascii="Calibri" w:hAnsi="Calibri" w:cs="Calibri"/>
                <w:color w:val="FFFFFF"/>
                <w:sz w:val="12"/>
                <w:szCs w:val="20"/>
                <w:lang w:eastAsia="en-US"/>
              </w:rPr>
              <w:t xml:space="preserve"> </w:t>
            </w:r>
          </w:p>
        </w:tc>
        <w:tc>
          <w:tcPr>
            <w:tcW w:w="959" w:type="dxa"/>
            <w:tcBorders>
              <w:top w:val="single" w:sz="4" w:space="0" w:color="auto"/>
            </w:tcBorders>
            <w:shd w:val="clear" w:color="auto" w:fill="auto"/>
          </w:tcPr>
          <w:p w14:paraId="59BE8100" w14:textId="77777777" w:rsidR="00371CFF" w:rsidRPr="00371CFF" w:rsidRDefault="00371CFF" w:rsidP="00371CFF">
            <w:pPr>
              <w:jc w:val="right"/>
              <w:rPr>
                <w:rFonts w:ascii="Calibri" w:hAnsi="Calibri" w:cs="Calibri"/>
                <w:color w:val="FFFFFF"/>
                <w:sz w:val="12"/>
                <w:szCs w:val="20"/>
                <w:lang w:eastAsia="en-US"/>
              </w:rPr>
            </w:pPr>
            <w:r w:rsidRPr="00371CFF">
              <w:rPr>
                <w:rFonts w:ascii="Calibri" w:hAnsi="Calibri" w:cs="Calibri"/>
                <w:color w:val="FFFFFF"/>
                <w:sz w:val="12"/>
                <w:szCs w:val="20"/>
                <w:lang w:eastAsia="en-US"/>
              </w:rPr>
              <w:t xml:space="preserve"> </w:t>
            </w:r>
          </w:p>
        </w:tc>
        <w:tc>
          <w:tcPr>
            <w:tcW w:w="959" w:type="dxa"/>
            <w:tcBorders>
              <w:top w:val="single" w:sz="4" w:space="0" w:color="auto"/>
            </w:tcBorders>
            <w:shd w:val="clear" w:color="auto" w:fill="auto"/>
          </w:tcPr>
          <w:p w14:paraId="7C67CEBD" w14:textId="77777777" w:rsidR="00371CFF" w:rsidRPr="00371CFF" w:rsidRDefault="00371CFF" w:rsidP="00371CFF">
            <w:pPr>
              <w:jc w:val="right"/>
              <w:rPr>
                <w:rFonts w:ascii="Calibri" w:hAnsi="Calibri" w:cs="Calibri"/>
                <w:color w:val="FFFFFF"/>
                <w:sz w:val="12"/>
                <w:szCs w:val="20"/>
                <w:lang w:eastAsia="en-US"/>
              </w:rPr>
            </w:pPr>
            <w:r w:rsidRPr="00371CFF">
              <w:rPr>
                <w:rFonts w:ascii="Calibri" w:hAnsi="Calibri" w:cs="Calibri"/>
                <w:color w:val="FFFFFF"/>
                <w:sz w:val="12"/>
                <w:szCs w:val="20"/>
                <w:lang w:eastAsia="en-US"/>
              </w:rPr>
              <w:t xml:space="preserve"> </w:t>
            </w:r>
          </w:p>
        </w:tc>
        <w:tc>
          <w:tcPr>
            <w:tcW w:w="958" w:type="dxa"/>
            <w:tcBorders>
              <w:top w:val="single" w:sz="4" w:space="0" w:color="auto"/>
            </w:tcBorders>
            <w:shd w:val="clear" w:color="auto" w:fill="auto"/>
          </w:tcPr>
          <w:p w14:paraId="35731E86" w14:textId="77777777" w:rsidR="00371CFF" w:rsidRPr="00371CFF" w:rsidRDefault="00371CFF" w:rsidP="00371CFF">
            <w:pPr>
              <w:jc w:val="right"/>
              <w:rPr>
                <w:rFonts w:ascii="Calibri" w:hAnsi="Calibri" w:cs="Calibri"/>
                <w:color w:val="FFFFFF"/>
                <w:sz w:val="12"/>
                <w:szCs w:val="20"/>
                <w:lang w:eastAsia="en-US"/>
              </w:rPr>
            </w:pPr>
            <w:r w:rsidRPr="00371CFF">
              <w:rPr>
                <w:rFonts w:ascii="Calibri" w:hAnsi="Calibri" w:cs="Calibri"/>
                <w:color w:val="FFFFFF"/>
                <w:sz w:val="12"/>
                <w:szCs w:val="20"/>
                <w:lang w:eastAsia="en-US"/>
              </w:rPr>
              <w:t xml:space="preserve"> </w:t>
            </w:r>
          </w:p>
        </w:tc>
        <w:tc>
          <w:tcPr>
            <w:tcW w:w="959" w:type="dxa"/>
            <w:tcBorders>
              <w:top w:val="single" w:sz="4" w:space="0" w:color="auto"/>
            </w:tcBorders>
            <w:shd w:val="clear" w:color="auto" w:fill="auto"/>
          </w:tcPr>
          <w:p w14:paraId="1C66C9E2" w14:textId="77777777" w:rsidR="00371CFF" w:rsidRPr="00371CFF" w:rsidRDefault="00371CFF" w:rsidP="00371CFF">
            <w:pPr>
              <w:jc w:val="right"/>
              <w:rPr>
                <w:rFonts w:ascii="Calibri" w:hAnsi="Calibri" w:cs="Calibri"/>
                <w:color w:val="FFFFFF"/>
                <w:sz w:val="12"/>
                <w:szCs w:val="20"/>
                <w:lang w:eastAsia="en-US"/>
              </w:rPr>
            </w:pPr>
            <w:r w:rsidRPr="00371CFF">
              <w:rPr>
                <w:rFonts w:ascii="Calibri" w:hAnsi="Calibri" w:cs="Calibri"/>
                <w:color w:val="FFFFFF"/>
                <w:sz w:val="12"/>
                <w:szCs w:val="20"/>
                <w:lang w:eastAsia="en-US"/>
              </w:rPr>
              <w:t xml:space="preserve"> </w:t>
            </w:r>
          </w:p>
        </w:tc>
        <w:tc>
          <w:tcPr>
            <w:tcW w:w="959" w:type="dxa"/>
            <w:tcBorders>
              <w:top w:val="single" w:sz="4" w:space="0" w:color="auto"/>
            </w:tcBorders>
            <w:shd w:val="clear" w:color="auto" w:fill="auto"/>
          </w:tcPr>
          <w:p w14:paraId="2E5B965B" w14:textId="77777777" w:rsidR="00371CFF" w:rsidRPr="00371CFF" w:rsidRDefault="00371CFF" w:rsidP="00371CFF">
            <w:pPr>
              <w:jc w:val="right"/>
              <w:rPr>
                <w:rFonts w:ascii="Calibri" w:hAnsi="Calibri" w:cs="Calibri"/>
                <w:color w:val="FFFFFF"/>
                <w:sz w:val="12"/>
                <w:szCs w:val="20"/>
                <w:lang w:eastAsia="en-US"/>
              </w:rPr>
            </w:pPr>
            <w:r w:rsidRPr="00371CFF">
              <w:rPr>
                <w:rFonts w:ascii="Calibri" w:hAnsi="Calibri" w:cs="Calibri"/>
                <w:color w:val="FFFFFF"/>
                <w:sz w:val="12"/>
                <w:szCs w:val="20"/>
                <w:lang w:eastAsia="en-US"/>
              </w:rPr>
              <w:t xml:space="preserve"> </w:t>
            </w:r>
          </w:p>
        </w:tc>
      </w:tr>
      <w:tr w:rsidR="00371CFF" w:rsidRPr="00371CFF" w14:paraId="590EA61C" w14:textId="77777777" w:rsidTr="0053552F">
        <w:trPr>
          <w:cantSplit/>
          <w:trHeight w:val="227"/>
        </w:trPr>
        <w:tc>
          <w:tcPr>
            <w:tcW w:w="4844" w:type="dxa"/>
            <w:shd w:val="clear" w:color="auto" w:fill="auto"/>
            <w:vAlign w:val="bottom"/>
          </w:tcPr>
          <w:p w14:paraId="4B81CD68" w14:textId="77777777" w:rsidR="00371CFF" w:rsidRPr="00371CFF" w:rsidRDefault="00371CFF" w:rsidP="00371CFF">
            <w:pPr>
              <w:ind w:left="227" w:hanging="227"/>
              <w:rPr>
                <w:rFonts w:ascii="Calibri" w:hAnsi="Calibri"/>
                <w:b/>
                <w:bCs/>
                <w:sz w:val="20"/>
                <w:szCs w:val="20"/>
                <w:lang w:eastAsia="en-AU"/>
              </w:rPr>
            </w:pPr>
            <w:r w:rsidRPr="00371CFF">
              <w:rPr>
                <w:rFonts w:ascii="Calibri" w:hAnsi="Calibri"/>
                <w:b/>
                <w:bCs/>
                <w:sz w:val="20"/>
                <w:szCs w:val="20"/>
                <w:lang w:eastAsia="en-AU"/>
              </w:rPr>
              <w:t>Education Directorate</w:t>
            </w:r>
          </w:p>
        </w:tc>
        <w:tc>
          <w:tcPr>
            <w:tcW w:w="959" w:type="dxa"/>
            <w:shd w:val="clear" w:color="auto" w:fill="auto"/>
          </w:tcPr>
          <w:p w14:paraId="4DB1DBE2" w14:textId="77777777" w:rsidR="00371CFF" w:rsidRPr="00371CFF" w:rsidRDefault="00371CFF" w:rsidP="00371CFF">
            <w:pPr>
              <w:framePr w:wrap="around" w:vAnchor="text" w:hAnchor="text" w:y="1"/>
              <w:jc w:val="right"/>
              <w:rPr>
                <w:rFonts w:ascii="Calibri" w:hAnsi="Calibri"/>
                <w:b/>
                <w:sz w:val="20"/>
                <w:szCs w:val="20"/>
                <w:lang w:eastAsia="en-US"/>
              </w:rPr>
            </w:pPr>
          </w:p>
        </w:tc>
        <w:tc>
          <w:tcPr>
            <w:tcW w:w="959" w:type="dxa"/>
            <w:shd w:val="clear" w:color="auto" w:fill="auto"/>
          </w:tcPr>
          <w:p w14:paraId="3B4D436B" w14:textId="77777777" w:rsidR="00371CFF" w:rsidRPr="00371CFF" w:rsidRDefault="00371CFF" w:rsidP="00371CFF">
            <w:pPr>
              <w:framePr w:wrap="around" w:vAnchor="text" w:hAnchor="text" w:y="1"/>
              <w:jc w:val="right"/>
              <w:rPr>
                <w:rFonts w:ascii="Calibri" w:hAnsi="Calibri"/>
                <w:b/>
                <w:sz w:val="20"/>
                <w:szCs w:val="20"/>
                <w:lang w:eastAsia="en-US"/>
              </w:rPr>
            </w:pPr>
          </w:p>
        </w:tc>
        <w:tc>
          <w:tcPr>
            <w:tcW w:w="958" w:type="dxa"/>
            <w:shd w:val="clear" w:color="auto" w:fill="auto"/>
          </w:tcPr>
          <w:p w14:paraId="1E20434E" w14:textId="77777777" w:rsidR="00371CFF" w:rsidRPr="00371CFF" w:rsidRDefault="00371CFF" w:rsidP="00371CFF">
            <w:pPr>
              <w:framePr w:wrap="around" w:vAnchor="text" w:hAnchor="text" w:y="1"/>
              <w:jc w:val="right"/>
              <w:rPr>
                <w:rFonts w:ascii="Calibri" w:hAnsi="Calibri"/>
                <w:b/>
                <w:sz w:val="20"/>
                <w:szCs w:val="20"/>
                <w:lang w:eastAsia="en-US"/>
              </w:rPr>
            </w:pPr>
          </w:p>
        </w:tc>
        <w:tc>
          <w:tcPr>
            <w:tcW w:w="959" w:type="dxa"/>
            <w:shd w:val="clear" w:color="auto" w:fill="auto"/>
          </w:tcPr>
          <w:p w14:paraId="56C2BC3C" w14:textId="77777777" w:rsidR="00371CFF" w:rsidRPr="00371CFF" w:rsidRDefault="00371CFF" w:rsidP="00371CFF">
            <w:pPr>
              <w:framePr w:wrap="around" w:vAnchor="text" w:hAnchor="text" w:y="1"/>
              <w:jc w:val="right"/>
              <w:rPr>
                <w:rFonts w:ascii="Calibri" w:hAnsi="Calibri"/>
                <w:b/>
                <w:sz w:val="20"/>
                <w:szCs w:val="20"/>
                <w:lang w:eastAsia="en-US"/>
              </w:rPr>
            </w:pPr>
          </w:p>
        </w:tc>
        <w:tc>
          <w:tcPr>
            <w:tcW w:w="959" w:type="dxa"/>
            <w:shd w:val="clear" w:color="auto" w:fill="auto"/>
          </w:tcPr>
          <w:p w14:paraId="07BC2CC8" w14:textId="77777777" w:rsidR="00371CFF" w:rsidRPr="00371CFF" w:rsidRDefault="00371CFF" w:rsidP="00371CFF">
            <w:pPr>
              <w:framePr w:wrap="around" w:vAnchor="text" w:hAnchor="text" w:y="1"/>
              <w:jc w:val="right"/>
              <w:rPr>
                <w:rFonts w:ascii="Calibri" w:hAnsi="Calibri"/>
                <w:b/>
                <w:sz w:val="20"/>
                <w:szCs w:val="20"/>
                <w:lang w:eastAsia="en-US"/>
              </w:rPr>
            </w:pPr>
          </w:p>
        </w:tc>
      </w:tr>
      <w:tr w:rsidR="00371CFF" w:rsidRPr="00371CFF" w14:paraId="465F3945" w14:textId="77777777" w:rsidTr="0053552F">
        <w:trPr>
          <w:cantSplit/>
          <w:trHeight w:val="227"/>
        </w:trPr>
        <w:tc>
          <w:tcPr>
            <w:tcW w:w="4844" w:type="dxa"/>
            <w:shd w:val="clear" w:color="auto" w:fill="auto"/>
          </w:tcPr>
          <w:p w14:paraId="22075584" w14:textId="77777777" w:rsidR="00371CFF" w:rsidRPr="00371CFF" w:rsidRDefault="00371CFF" w:rsidP="00371CFF">
            <w:pPr>
              <w:rPr>
                <w:rFonts w:ascii="Calibri" w:hAnsi="Calibri"/>
                <w:color w:val="000000"/>
                <w:sz w:val="20"/>
                <w:szCs w:val="20"/>
                <w:lang w:eastAsia="en-AU"/>
              </w:rPr>
            </w:pPr>
            <w:r w:rsidRPr="00371CFF">
              <w:rPr>
                <w:rFonts w:ascii="Calibri" w:hAnsi="Calibri"/>
                <w:color w:val="000000"/>
                <w:sz w:val="20"/>
                <w:szCs w:val="20"/>
                <w:lang w:eastAsia="en-US"/>
              </w:rPr>
              <w:t xml:space="preserve">ACT Early Childhood Strategy </w:t>
            </w:r>
          </w:p>
        </w:tc>
        <w:tc>
          <w:tcPr>
            <w:tcW w:w="959" w:type="dxa"/>
            <w:shd w:val="clear" w:color="auto" w:fill="auto"/>
          </w:tcPr>
          <w:p w14:paraId="0E687E86"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916</w:t>
            </w:r>
          </w:p>
        </w:tc>
        <w:tc>
          <w:tcPr>
            <w:tcW w:w="959" w:type="dxa"/>
            <w:shd w:val="clear" w:color="auto" w:fill="auto"/>
          </w:tcPr>
          <w:p w14:paraId="59CA9ECA"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785</w:t>
            </w:r>
          </w:p>
        </w:tc>
        <w:tc>
          <w:tcPr>
            <w:tcW w:w="958" w:type="dxa"/>
            <w:shd w:val="clear" w:color="auto" w:fill="auto"/>
          </w:tcPr>
          <w:p w14:paraId="4D3A897E"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0</w:t>
            </w:r>
          </w:p>
        </w:tc>
        <w:tc>
          <w:tcPr>
            <w:tcW w:w="959" w:type="dxa"/>
            <w:shd w:val="clear" w:color="auto" w:fill="auto"/>
          </w:tcPr>
          <w:p w14:paraId="59B98602"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0</w:t>
            </w:r>
          </w:p>
        </w:tc>
        <w:tc>
          <w:tcPr>
            <w:tcW w:w="959" w:type="dxa"/>
            <w:shd w:val="clear" w:color="auto" w:fill="auto"/>
          </w:tcPr>
          <w:p w14:paraId="3D56CF65"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1,701</w:t>
            </w:r>
          </w:p>
        </w:tc>
      </w:tr>
      <w:tr w:rsidR="00371CFF" w:rsidRPr="00371CFF" w14:paraId="2FF87BF9" w14:textId="77777777" w:rsidTr="0053552F">
        <w:trPr>
          <w:cantSplit/>
          <w:trHeight w:val="227"/>
        </w:trPr>
        <w:tc>
          <w:tcPr>
            <w:tcW w:w="4844" w:type="dxa"/>
            <w:shd w:val="clear" w:color="auto" w:fill="auto"/>
          </w:tcPr>
          <w:p w14:paraId="4E24F544" w14:textId="77777777" w:rsidR="00371CFF" w:rsidRPr="00371CFF" w:rsidRDefault="00371CFF" w:rsidP="00371CFF">
            <w:pPr>
              <w:ind w:left="227" w:hanging="227"/>
              <w:rPr>
                <w:rFonts w:ascii="Calibri" w:hAnsi="Calibri"/>
                <w:bCs/>
                <w:color w:val="000000"/>
                <w:sz w:val="20"/>
                <w:szCs w:val="20"/>
                <w:lang w:eastAsia="en-AU"/>
              </w:rPr>
            </w:pPr>
            <w:r w:rsidRPr="00371CFF">
              <w:rPr>
                <w:rFonts w:ascii="Calibri" w:hAnsi="Calibri"/>
                <w:bCs/>
                <w:color w:val="000000"/>
                <w:sz w:val="20"/>
                <w:szCs w:val="20"/>
                <w:lang w:eastAsia="en-AU"/>
              </w:rPr>
              <w:t xml:space="preserve">Delivering a new high school at Kenny </w:t>
            </w:r>
            <w:r w:rsidRPr="00371CFF">
              <w:rPr>
                <w:rFonts w:ascii="Calibri" w:hAnsi="Calibri"/>
                <w:bCs/>
                <w:color w:val="000000"/>
                <w:sz w:val="20"/>
                <w:szCs w:val="20"/>
                <w:vertAlign w:val="superscript"/>
                <w:lang w:eastAsia="en-AU"/>
              </w:rPr>
              <w:t>2</w:t>
            </w:r>
          </w:p>
        </w:tc>
        <w:tc>
          <w:tcPr>
            <w:tcW w:w="959" w:type="dxa"/>
            <w:shd w:val="clear" w:color="auto" w:fill="auto"/>
          </w:tcPr>
          <w:p w14:paraId="7AE20C70"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500</w:t>
            </w:r>
          </w:p>
        </w:tc>
        <w:tc>
          <w:tcPr>
            <w:tcW w:w="959" w:type="dxa"/>
            <w:shd w:val="clear" w:color="auto" w:fill="auto"/>
          </w:tcPr>
          <w:p w14:paraId="4D04239E"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0</w:t>
            </w:r>
          </w:p>
        </w:tc>
        <w:tc>
          <w:tcPr>
            <w:tcW w:w="958" w:type="dxa"/>
            <w:shd w:val="clear" w:color="auto" w:fill="auto"/>
          </w:tcPr>
          <w:p w14:paraId="32D732D9"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0</w:t>
            </w:r>
          </w:p>
        </w:tc>
        <w:tc>
          <w:tcPr>
            <w:tcW w:w="959" w:type="dxa"/>
            <w:shd w:val="clear" w:color="auto" w:fill="auto"/>
          </w:tcPr>
          <w:p w14:paraId="04C68F7E"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0</w:t>
            </w:r>
          </w:p>
        </w:tc>
        <w:tc>
          <w:tcPr>
            <w:tcW w:w="959" w:type="dxa"/>
            <w:shd w:val="clear" w:color="auto" w:fill="auto"/>
          </w:tcPr>
          <w:p w14:paraId="507B9463"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500</w:t>
            </w:r>
          </w:p>
        </w:tc>
      </w:tr>
      <w:tr w:rsidR="00371CFF" w:rsidRPr="00371CFF" w14:paraId="4FBADFEC" w14:textId="77777777" w:rsidTr="0053552F">
        <w:trPr>
          <w:cantSplit/>
          <w:trHeight w:val="227"/>
        </w:trPr>
        <w:tc>
          <w:tcPr>
            <w:tcW w:w="4844" w:type="dxa"/>
            <w:shd w:val="clear" w:color="auto" w:fill="auto"/>
          </w:tcPr>
          <w:p w14:paraId="6AB8C969" w14:textId="77777777" w:rsidR="00371CFF" w:rsidRPr="00371CFF" w:rsidRDefault="00371CFF" w:rsidP="00371CFF">
            <w:pPr>
              <w:ind w:left="227" w:hanging="227"/>
              <w:rPr>
                <w:rFonts w:ascii="Calibri" w:hAnsi="Calibri"/>
                <w:bCs/>
                <w:color w:val="000000"/>
                <w:sz w:val="20"/>
                <w:szCs w:val="20"/>
                <w:vertAlign w:val="superscript"/>
                <w:lang w:eastAsia="en-AU"/>
              </w:rPr>
            </w:pPr>
            <w:r w:rsidRPr="00371CFF">
              <w:rPr>
                <w:rFonts w:ascii="Calibri" w:hAnsi="Calibri"/>
                <w:bCs/>
                <w:color w:val="000000"/>
                <w:sz w:val="20"/>
                <w:szCs w:val="20"/>
                <w:lang w:eastAsia="en-AU"/>
              </w:rPr>
              <w:t xml:space="preserve">Delivering a new primary school at Throsby </w:t>
            </w:r>
            <w:r w:rsidRPr="00371CFF">
              <w:rPr>
                <w:rFonts w:ascii="Calibri" w:hAnsi="Calibri"/>
                <w:bCs/>
                <w:color w:val="000000"/>
                <w:sz w:val="20"/>
                <w:szCs w:val="20"/>
                <w:vertAlign w:val="superscript"/>
                <w:lang w:eastAsia="en-AU"/>
              </w:rPr>
              <w:t>2</w:t>
            </w:r>
          </w:p>
        </w:tc>
        <w:tc>
          <w:tcPr>
            <w:tcW w:w="959" w:type="dxa"/>
            <w:shd w:val="clear" w:color="auto" w:fill="auto"/>
          </w:tcPr>
          <w:p w14:paraId="4E13A5B3"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0</w:t>
            </w:r>
          </w:p>
        </w:tc>
        <w:tc>
          <w:tcPr>
            <w:tcW w:w="959" w:type="dxa"/>
            <w:shd w:val="clear" w:color="auto" w:fill="auto"/>
          </w:tcPr>
          <w:p w14:paraId="62C894B9"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0</w:t>
            </w:r>
          </w:p>
        </w:tc>
        <w:tc>
          <w:tcPr>
            <w:tcW w:w="958" w:type="dxa"/>
            <w:shd w:val="clear" w:color="auto" w:fill="auto"/>
          </w:tcPr>
          <w:p w14:paraId="43FE6F19"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1,522</w:t>
            </w:r>
          </w:p>
        </w:tc>
        <w:tc>
          <w:tcPr>
            <w:tcW w:w="959" w:type="dxa"/>
            <w:shd w:val="clear" w:color="auto" w:fill="auto"/>
          </w:tcPr>
          <w:p w14:paraId="12F8EF85"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1,669</w:t>
            </w:r>
          </w:p>
        </w:tc>
        <w:tc>
          <w:tcPr>
            <w:tcW w:w="959" w:type="dxa"/>
            <w:shd w:val="clear" w:color="auto" w:fill="auto"/>
          </w:tcPr>
          <w:p w14:paraId="73098832"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3,191</w:t>
            </w:r>
          </w:p>
        </w:tc>
      </w:tr>
      <w:tr w:rsidR="00371CFF" w:rsidRPr="00371CFF" w14:paraId="159F362F" w14:textId="77777777" w:rsidTr="0053552F">
        <w:trPr>
          <w:cantSplit/>
          <w:trHeight w:val="227"/>
        </w:trPr>
        <w:tc>
          <w:tcPr>
            <w:tcW w:w="4844" w:type="dxa"/>
            <w:shd w:val="clear" w:color="auto" w:fill="auto"/>
          </w:tcPr>
          <w:p w14:paraId="4F2D4104" w14:textId="77777777" w:rsidR="00371CFF" w:rsidRPr="00371CFF" w:rsidRDefault="00371CFF" w:rsidP="00371CFF">
            <w:pPr>
              <w:ind w:left="227" w:hanging="227"/>
              <w:rPr>
                <w:rFonts w:ascii="Calibri" w:hAnsi="Calibri"/>
                <w:bCs/>
                <w:color w:val="000000"/>
                <w:sz w:val="20"/>
                <w:szCs w:val="20"/>
                <w:lang w:eastAsia="en-AU"/>
              </w:rPr>
            </w:pPr>
            <w:r w:rsidRPr="00371CFF">
              <w:rPr>
                <w:rFonts w:ascii="Calibri" w:hAnsi="Calibri"/>
                <w:bCs/>
                <w:color w:val="000000"/>
                <w:sz w:val="20"/>
                <w:szCs w:val="20"/>
                <w:lang w:eastAsia="en-AU"/>
              </w:rPr>
              <w:t xml:space="preserve">Delivering an accelerated path for gifted and talented students to the University of Canberra </w:t>
            </w:r>
          </w:p>
        </w:tc>
        <w:tc>
          <w:tcPr>
            <w:tcW w:w="959" w:type="dxa"/>
            <w:shd w:val="clear" w:color="auto" w:fill="auto"/>
          </w:tcPr>
          <w:p w14:paraId="16241FF4"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0</w:t>
            </w:r>
          </w:p>
        </w:tc>
        <w:tc>
          <w:tcPr>
            <w:tcW w:w="959" w:type="dxa"/>
            <w:shd w:val="clear" w:color="auto" w:fill="auto"/>
          </w:tcPr>
          <w:p w14:paraId="02EAA3E5"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182</w:t>
            </w:r>
          </w:p>
        </w:tc>
        <w:tc>
          <w:tcPr>
            <w:tcW w:w="958" w:type="dxa"/>
            <w:shd w:val="clear" w:color="auto" w:fill="auto"/>
          </w:tcPr>
          <w:p w14:paraId="7E9E29E8"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260</w:t>
            </w:r>
          </w:p>
        </w:tc>
        <w:tc>
          <w:tcPr>
            <w:tcW w:w="959" w:type="dxa"/>
            <w:shd w:val="clear" w:color="auto" w:fill="auto"/>
          </w:tcPr>
          <w:p w14:paraId="14BA9F73"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325</w:t>
            </w:r>
          </w:p>
        </w:tc>
        <w:tc>
          <w:tcPr>
            <w:tcW w:w="959" w:type="dxa"/>
            <w:shd w:val="clear" w:color="auto" w:fill="auto"/>
          </w:tcPr>
          <w:p w14:paraId="5683B40D"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767</w:t>
            </w:r>
          </w:p>
        </w:tc>
      </w:tr>
      <w:tr w:rsidR="00371CFF" w:rsidRPr="00371CFF" w14:paraId="15934274" w14:textId="77777777" w:rsidTr="0053552F">
        <w:trPr>
          <w:cantSplit/>
          <w:trHeight w:val="227"/>
        </w:trPr>
        <w:tc>
          <w:tcPr>
            <w:tcW w:w="4844" w:type="dxa"/>
            <w:shd w:val="clear" w:color="auto" w:fill="auto"/>
          </w:tcPr>
          <w:p w14:paraId="17EE6C4A" w14:textId="77777777" w:rsidR="00371CFF" w:rsidRPr="00371CFF" w:rsidRDefault="00371CFF" w:rsidP="00371CFF">
            <w:pPr>
              <w:ind w:left="227" w:hanging="227"/>
              <w:rPr>
                <w:rFonts w:ascii="Calibri" w:hAnsi="Calibri"/>
                <w:bCs/>
                <w:color w:val="000000"/>
                <w:sz w:val="20"/>
                <w:szCs w:val="20"/>
                <w:vertAlign w:val="superscript"/>
                <w:lang w:eastAsia="en-AU"/>
              </w:rPr>
            </w:pPr>
            <w:r w:rsidRPr="00371CFF">
              <w:rPr>
                <w:rFonts w:ascii="Calibri" w:hAnsi="Calibri"/>
                <w:bCs/>
                <w:color w:val="000000"/>
                <w:sz w:val="20"/>
                <w:szCs w:val="20"/>
                <w:lang w:eastAsia="en-AU"/>
              </w:rPr>
              <w:t xml:space="preserve">Delivering secure local jobs for school cleaners </w:t>
            </w:r>
            <w:r w:rsidRPr="00371CFF">
              <w:rPr>
                <w:rFonts w:ascii="Calibri" w:hAnsi="Calibri"/>
                <w:bCs/>
                <w:color w:val="000000"/>
                <w:sz w:val="20"/>
                <w:szCs w:val="20"/>
                <w:vertAlign w:val="superscript"/>
                <w:lang w:eastAsia="en-AU"/>
              </w:rPr>
              <w:t>2</w:t>
            </w:r>
          </w:p>
        </w:tc>
        <w:tc>
          <w:tcPr>
            <w:tcW w:w="959" w:type="dxa"/>
            <w:shd w:val="clear" w:color="auto" w:fill="auto"/>
          </w:tcPr>
          <w:p w14:paraId="30BD03BD"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1,179</w:t>
            </w:r>
          </w:p>
        </w:tc>
        <w:tc>
          <w:tcPr>
            <w:tcW w:w="959" w:type="dxa"/>
            <w:shd w:val="clear" w:color="auto" w:fill="auto"/>
          </w:tcPr>
          <w:p w14:paraId="5E452D9E"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793</w:t>
            </w:r>
          </w:p>
        </w:tc>
        <w:tc>
          <w:tcPr>
            <w:tcW w:w="958" w:type="dxa"/>
            <w:shd w:val="clear" w:color="auto" w:fill="auto"/>
          </w:tcPr>
          <w:p w14:paraId="1EF3FCF0"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806</w:t>
            </w:r>
          </w:p>
        </w:tc>
        <w:tc>
          <w:tcPr>
            <w:tcW w:w="959" w:type="dxa"/>
            <w:shd w:val="clear" w:color="auto" w:fill="auto"/>
          </w:tcPr>
          <w:p w14:paraId="113B444E"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820</w:t>
            </w:r>
          </w:p>
        </w:tc>
        <w:tc>
          <w:tcPr>
            <w:tcW w:w="959" w:type="dxa"/>
            <w:shd w:val="clear" w:color="auto" w:fill="auto"/>
          </w:tcPr>
          <w:p w14:paraId="29B811E5"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3,598</w:t>
            </w:r>
          </w:p>
        </w:tc>
      </w:tr>
      <w:tr w:rsidR="00371CFF" w:rsidRPr="00371CFF" w14:paraId="718E5448" w14:textId="77777777" w:rsidTr="0053552F">
        <w:trPr>
          <w:cantSplit/>
          <w:trHeight w:val="227"/>
        </w:trPr>
        <w:tc>
          <w:tcPr>
            <w:tcW w:w="4844" w:type="dxa"/>
            <w:shd w:val="clear" w:color="auto" w:fill="auto"/>
          </w:tcPr>
          <w:p w14:paraId="4D6921D3" w14:textId="77777777" w:rsidR="00371CFF" w:rsidRPr="00371CFF" w:rsidRDefault="00371CFF" w:rsidP="00371CFF">
            <w:pPr>
              <w:ind w:left="227" w:hanging="227"/>
              <w:rPr>
                <w:rFonts w:ascii="Calibri" w:hAnsi="Calibri"/>
                <w:bCs/>
                <w:color w:val="000000"/>
                <w:sz w:val="20"/>
                <w:szCs w:val="20"/>
                <w:lang w:eastAsia="en-AU"/>
              </w:rPr>
            </w:pPr>
            <w:r w:rsidRPr="00371CFF">
              <w:rPr>
                <w:rFonts w:ascii="Calibri" w:hAnsi="Calibri"/>
                <w:bCs/>
                <w:color w:val="000000"/>
                <w:sz w:val="20"/>
                <w:szCs w:val="20"/>
                <w:lang w:eastAsia="en-AU"/>
              </w:rPr>
              <w:t xml:space="preserve">Ensuring teachers and school staff are safe at work </w:t>
            </w:r>
          </w:p>
        </w:tc>
        <w:tc>
          <w:tcPr>
            <w:tcW w:w="959" w:type="dxa"/>
            <w:shd w:val="clear" w:color="auto" w:fill="auto"/>
          </w:tcPr>
          <w:p w14:paraId="554372A5"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1,034</w:t>
            </w:r>
          </w:p>
        </w:tc>
        <w:tc>
          <w:tcPr>
            <w:tcW w:w="959" w:type="dxa"/>
            <w:shd w:val="clear" w:color="auto" w:fill="auto"/>
          </w:tcPr>
          <w:p w14:paraId="1791F95D"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798</w:t>
            </w:r>
          </w:p>
        </w:tc>
        <w:tc>
          <w:tcPr>
            <w:tcW w:w="958" w:type="dxa"/>
            <w:shd w:val="clear" w:color="auto" w:fill="auto"/>
          </w:tcPr>
          <w:p w14:paraId="56181AF5"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0</w:t>
            </w:r>
          </w:p>
        </w:tc>
        <w:tc>
          <w:tcPr>
            <w:tcW w:w="959" w:type="dxa"/>
            <w:shd w:val="clear" w:color="auto" w:fill="auto"/>
          </w:tcPr>
          <w:p w14:paraId="75CF0F5A"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0</w:t>
            </w:r>
          </w:p>
        </w:tc>
        <w:tc>
          <w:tcPr>
            <w:tcW w:w="959" w:type="dxa"/>
            <w:shd w:val="clear" w:color="auto" w:fill="auto"/>
          </w:tcPr>
          <w:p w14:paraId="238CF48C"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1,832</w:t>
            </w:r>
          </w:p>
        </w:tc>
      </w:tr>
      <w:tr w:rsidR="00371CFF" w:rsidRPr="00371CFF" w14:paraId="09CAB39D" w14:textId="77777777" w:rsidTr="0053552F">
        <w:trPr>
          <w:cantSplit/>
          <w:trHeight w:val="227"/>
        </w:trPr>
        <w:tc>
          <w:tcPr>
            <w:tcW w:w="4844" w:type="dxa"/>
            <w:shd w:val="clear" w:color="auto" w:fill="auto"/>
          </w:tcPr>
          <w:p w14:paraId="7C443B8C" w14:textId="77777777" w:rsidR="00371CFF" w:rsidRPr="00371CFF" w:rsidRDefault="00371CFF" w:rsidP="00371CFF">
            <w:pPr>
              <w:ind w:left="227" w:hanging="227"/>
              <w:rPr>
                <w:rFonts w:ascii="Calibri" w:hAnsi="Calibri"/>
                <w:bCs/>
                <w:color w:val="000000"/>
                <w:sz w:val="20"/>
                <w:szCs w:val="20"/>
                <w:vertAlign w:val="superscript"/>
                <w:lang w:eastAsia="en-AU"/>
              </w:rPr>
            </w:pPr>
            <w:r w:rsidRPr="00371CFF">
              <w:rPr>
                <w:rFonts w:ascii="Calibri" w:hAnsi="Calibri"/>
                <w:bCs/>
                <w:color w:val="000000"/>
                <w:sz w:val="20"/>
                <w:szCs w:val="20"/>
                <w:lang w:eastAsia="en-AU"/>
              </w:rPr>
              <w:t xml:space="preserve">Expanding Franklin Early Childhood School </w:t>
            </w:r>
            <w:r w:rsidRPr="00371CFF">
              <w:rPr>
                <w:rFonts w:ascii="Calibri" w:hAnsi="Calibri"/>
                <w:bCs/>
                <w:color w:val="000000"/>
                <w:sz w:val="20"/>
                <w:szCs w:val="20"/>
                <w:vertAlign w:val="superscript"/>
                <w:lang w:eastAsia="en-AU"/>
              </w:rPr>
              <w:t>2</w:t>
            </w:r>
          </w:p>
        </w:tc>
        <w:tc>
          <w:tcPr>
            <w:tcW w:w="959" w:type="dxa"/>
            <w:shd w:val="clear" w:color="auto" w:fill="auto"/>
          </w:tcPr>
          <w:p w14:paraId="60AD718E"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0</w:t>
            </w:r>
          </w:p>
        </w:tc>
        <w:tc>
          <w:tcPr>
            <w:tcW w:w="959" w:type="dxa"/>
            <w:shd w:val="clear" w:color="auto" w:fill="auto"/>
          </w:tcPr>
          <w:p w14:paraId="78EA2CA0"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393</w:t>
            </w:r>
          </w:p>
        </w:tc>
        <w:tc>
          <w:tcPr>
            <w:tcW w:w="958" w:type="dxa"/>
            <w:shd w:val="clear" w:color="auto" w:fill="auto"/>
          </w:tcPr>
          <w:p w14:paraId="4ABEE05F"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762</w:t>
            </w:r>
          </w:p>
        </w:tc>
        <w:tc>
          <w:tcPr>
            <w:tcW w:w="959" w:type="dxa"/>
            <w:shd w:val="clear" w:color="auto" w:fill="auto"/>
          </w:tcPr>
          <w:p w14:paraId="17B28C3C"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869</w:t>
            </w:r>
          </w:p>
        </w:tc>
        <w:tc>
          <w:tcPr>
            <w:tcW w:w="959" w:type="dxa"/>
            <w:shd w:val="clear" w:color="auto" w:fill="auto"/>
          </w:tcPr>
          <w:p w14:paraId="37BA869B"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2,024</w:t>
            </w:r>
          </w:p>
        </w:tc>
      </w:tr>
      <w:tr w:rsidR="00371CFF" w:rsidRPr="00371CFF" w14:paraId="009AC972" w14:textId="77777777" w:rsidTr="0053552F">
        <w:trPr>
          <w:cantSplit/>
          <w:trHeight w:val="227"/>
        </w:trPr>
        <w:tc>
          <w:tcPr>
            <w:tcW w:w="4844" w:type="dxa"/>
            <w:shd w:val="clear" w:color="auto" w:fill="auto"/>
          </w:tcPr>
          <w:p w14:paraId="40595691" w14:textId="77777777" w:rsidR="00371CFF" w:rsidRPr="00371CFF" w:rsidRDefault="00371CFF" w:rsidP="00371CFF">
            <w:pPr>
              <w:ind w:left="227" w:hanging="227"/>
              <w:rPr>
                <w:rFonts w:ascii="Calibri" w:hAnsi="Calibri"/>
                <w:bCs/>
                <w:color w:val="000000"/>
                <w:sz w:val="20"/>
                <w:szCs w:val="20"/>
                <w:vertAlign w:val="superscript"/>
                <w:lang w:eastAsia="en-AU"/>
              </w:rPr>
            </w:pPr>
            <w:r w:rsidRPr="00371CFF">
              <w:rPr>
                <w:rFonts w:ascii="Calibri" w:hAnsi="Calibri"/>
                <w:bCs/>
                <w:color w:val="000000"/>
                <w:sz w:val="20"/>
                <w:szCs w:val="20"/>
                <w:lang w:eastAsia="en-AU"/>
              </w:rPr>
              <w:t xml:space="preserve">More places for students at Gold Creek School’s senior campus </w:t>
            </w:r>
            <w:r w:rsidRPr="00371CFF">
              <w:rPr>
                <w:rFonts w:ascii="Calibri" w:hAnsi="Calibri"/>
                <w:bCs/>
                <w:color w:val="000000"/>
                <w:sz w:val="20"/>
                <w:szCs w:val="20"/>
                <w:vertAlign w:val="superscript"/>
                <w:lang w:eastAsia="en-AU"/>
              </w:rPr>
              <w:t>2</w:t>
            </w:r>
          </w:p>
        </w:tc>
        <w:tc>
          <w:tcPr>
            <w:tcW w:w="959" w:type="dxa"/>
            <w:shd w:val="clear" w:color="auto" w:fill="auto"/>
          </w:tcPr>
          <w:p w14:paraId="3E5ACBEC"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0</w:t>
            </w:r>
          </w:p>
        </w:tc>
        <w:tc>
          <w:tcPr>
            <w:tcW w:w="959" w:type="dxa"/>
            <w:shd w:val="clear" w:color="auto" w:fill="auto"/>
          </w:tcPr>
          <w:p w14:paraId="3C4DEF02"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0</w:t>
            </w:r>
          </w:p>
        </w:tc>
        <w:tc>
          <w:tcPr>
            <w:tcW w:w="958" w:type="dxa"/>
            <w:shd w:val="clear" w:color="auto" w:fill="auto"/>
          </w:tcPr>
          <w:p w14:paraId="14D6E424"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0</w:t>
            </w:r>
          </w:p>
        </w:tc>
        <w:tc>
          <w:tcPr>
            <w:tcW w:w="959" w:type="dxa"/>
            <w:shd w:val="clear" w:color="auto" w:fill="auto"/>
          </w:tcPr>
          <w:p w14:paraId="12FAE657"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64</w:t>
            </w:r>
          </w:p>
        </w:tc>
        <w:tc>
          <w:tcPr>
            <w:tcW w:w="959" w:type="dxa"/>
            <w:shd w:val="clear" w:color="auto" w:fill="auto"/>
          </w:tcPr>
          <w:p w14:paraId="3E633FFE"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64</w:t>
            </w:r>
          </w:p>
        </w:tc>
      </w:tr>
      <w:tr w:rsidR="00371CFF" w:rsidRPr="00371CFF" w14:paraId="778F9215" w14:textId="77777777" w:rsidTr="0053552F">
        <w:trPr>
          <w:cantSplit/>
          <w:trHeight w:val="227"/>
        </w:trPr>
        <w:tc>
          <w:tcPr>
            <w:tcW w:w="4844" w:type="dxa"/>
            <w:shd w:val="clear" w:color="auto" w:fill="auto"/>
          </w:tcPr>
          <w:p w14:paraId="4D2EC98B" w14:textId="77777777" w:rsidR="00371CFF" w:rsidRPr="00371CFF" w:rsidRDefault="00371CFF" w:rsidP="00371CFF">
            <w:pPr>
              <w:ind w:left="227" w:hanging="227"/>
              <w:rPr>
                <w:rFonts w:ascii="Calibri" w:hAnsi="Calibri"/>
                <w:bCs/>
                <w:color w:val="000000"/>
                <w:sz w:val="20"/>
                <w:szCs w:val="20"/>
                <w:vertAlign w:val="superscript"/>
                <w:lang w:eastAsia="en-AU"/>
              </w:rPr>
            </w:pPr>
            <w:r w:rsidRPr="00371CFF">
              <w:rPr>
                <w:rFonts w:ascii="Calibri" w:hAnsi="Calibri"/>
                <w:bCs/>
                <w:color w:val="000000"/>
                <w:sz w:val="20"/>
                <w:szCs w:val="20"/>
                <w:lang w:eastAsia="en-AU"/>
              </w:rPr>
              <w:t xml:space="preserve">More places for students at northside schools </w:t>
            </w:r>
            <w:r w:rsidRPr="00371CFF">
              <w:rPr>
                <w:rFonts w:ascii="Calibri" w:hAnsi="Calibri"/>
                <w:bCs/>
                <w:color w:val="000000"/>
                <w:sz w:val="20"/>
                <w:szCs w:val="20"/>
                <w:vertAlign w:val="superscript"/>
                <w:lang w:eastAsia="en-AU"/>
              </w:rPr>
              <w:t>2</w:t>
            </w:r>
          </w:p>
        </w:tc>
        <w:tc>
          <w:tcPr>
            <w:tcW w:w="959" w:type="dxa"/>
            <w:shd w:val="clear" w:color="auto" w:fill="auto"/>
          </w:tcPr>
          <w:p w14:paraId="16F6BD01"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0</w:t>
            </w:r>
          </w:p>
        </w:tc>
        <w:tc>
          <w:tcPr>
            <w:tcW w:w="959" w:type="dxa"/>
            <w:shd w:val="clear" w:color="auto" w:fill="auto"/>
          </w:tcPr>
          <w:p w14:paraId="12BD96B3"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0</w:t>
            </w:r>
          </w:p>
        </w:tc>
        <w:tc>
          <w:tcPr>
            <w:tcW w:w="958" w:type="dxa"/>
            <w:shd w:val="clear" w:color="auto" w:fill="auto"/>
          </w:tcPr>
          <w:p w14:paraId="0E4B0182"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44</w:t>
            </w:r>
          </w:p>
        </w:tc>
        <w:tc>
          <w:tcPr>
            <w:tcW w:w="959" w:type="dxa"/>
            <w:shd w:val="clear" w:color="auto" w:fill="auto"/>
          </w:tcPr>
          <w:p w14:paraId="6E859FB5"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129</w:t>
            </w:r>
          </w:p>
        </w:tc>
        <w:tc>
          <w:tcPr>
            <w:tcW w:w="959" w:type="dxa"/>
            <w:shd w:val="clear" w:color="auto" w:fill="auto"/>
          </w:tcPr>
          <w:p w14:paraId="174CC789"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173</w:t>
            </w:r>
          </w:p>
        </w:tc>
      </w:tr>
      <w:tr w:rsidR="00371CFF" w:rsidRPr="00371CFF" w14:paraId="6B96C550" w14:textId="77777777" w:rsidTr="0053552F">
        <w:trPr>
          <w:cantSplit/>
          <w:trHeight w:val="227"/>
        </w:trPr>
        <w:tc>
          <w:tcPr>
            <w:tcW w:w="4844" w:type="dxa"/>
            <w:shd w:val="clear" w:color="auto" w:fill="auto"/>
          </w:tcPr>
          <w:p w14:paraId="59E41C20" w14:textId="77777777" w:rsidR="00371CFF" w:rsidRPr="00371CFF" w:rsidRDefault="00371CFF" w:rsidP="00371CFF">
            <w:pPr>
              <w:ind w:left="227" w:hanging="227"/>
              <w:rPr>
                <w:rFonts w:ascii="Calibri" w:hAnsi="Calibri"/>
                <w:bCs/>
                <w:color w:val="000000"/>
                <w:sz w:val="20"/>
                <w:szCs w:val="20"/>
                <w:lang w:eastAsia="en-AU"/>
              </w:rPr>
            </w:pPr>
            <w:r w:rsidRPr="00371CFF">
              <w:rPr>
                <w:rFonts w:ascii="Calibri" w:hAnsi="Calibri"/>
                <w:bCs/>
                <w:color w:val="000000"/>
                <w:sz w:val="20"/>
                <w:szCs w:val="20"/>
                <w:lang w:eastAsia="en-AU"/>
              </w:rPr>
              <w:t xml:space="preserve">More support to meet individual student needs </w:t>
            </w:r>
          </w:p>
        </w:tc>
        <w:tc>
          <w:tcPr>
            <w:tcW w:w="959" w:type="dxa"/>
            <w:shd w:val="clear" w:color="auto" w:fill="auto"/>
          </w:tcPr>
          <w:p w14:paraId="1F17D211"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9,938</w:t>
            </w:r>
          </w:p>
        </w:tc>
        <w:tc>
          <w:tcPr>
            <w:tcW w:w="959" w:type="dxa"/>
            <w:shd w:val="clear" w:color="auto" w:fill="auto"/>
          </w:tcPr>
          <w:p w14:paraId="6FE292DD"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10,236</w:t>
            </w:r>
          </w:p>
        </w:tc>
        <w:tc>
          <w:tcPr>
            <w:tcW w:w="958" w:type="dxa"/>
            <w:shd w:val="clear" w:color="auto" w:fill="auto"/>
          </w:tcPr>
          <w:p w14:paraId="62292D6E"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10,543</w:t>
            </w:r>
          </w:p>
        </w:tc>
        <w:tc>
          <w:tcPr>
            <w:tcW w:w="959" w:type="dxa"/>
            <w:shd w:val="clear" w:color="auto" w:fill="auto"/>
          </w:tcPr>
          <w:p w14:paraId="60C0CC9F"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10,859</w:t>
            </w:r>
          </w:p>
        </w:tc>
        <w:tc>
          <w:tcPr>
            <w:tcW w:w="959" w:type="dxa"/>
            <w:shd w:val="clear" w:color="auto" w:fill="auto"/>
          </w:tcPr>
          <w:p w14:paraId="5F76CCAC"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41,576</w:t>
            </w:r>
          </w:p>
        </w:tc>
      </w:tr>
      <w:tr w:rsidR="00371CFF" w:rsidRPr="00371CFF" w14:paraId="6610D1CC" w14:textId="77777777" w:rsidTr="0053552F">
        <w:trPr>
          <w:cantSplit/>
          <w:trHeight w:val="227"/>
        </w:trPr>
        <w:tc>
          <w:tcPr>
            <w:tcW w:w="4844" w:type="dxa"/>
            <w:shd w:val="clear" w:color="auto" w:fill="auto"/>
          </w:tcPr>
          <w:p w14:paraId="121C7E4F" w14:textId="77777777" w:rsidR="00371CFF" w:rsidRPr="00371CFF" w:rsidRDefault="00371CFF" w:rsidP="00371CFF">
            <w:pPr>
              <w:ind w:left="227" w:hanging="227"/>
              <w:rPr>
                <w:rFonts w:ascii="Calibri" w:hAnsi="Calibri"/>
                <w:bCs/>
                <w:color w:val="000000"/>
                <w:sz w:val="20"/>
                <w:szCs w:val="20"/>
                <w:lang w:eastAsia="en-AU"/>
              </w:rPr>
            </w:pPr>
            <w:r w:rsidRPr="00371CFF">
              <w:rPr>
                <w:rFonts w:ascii="Calibri" w:hAnsi="Calibri"/>
                <w:bCs/>
                <w:color w:val="000000"/>
                <w:sz w:val="20"/>
                <w:szCs w:val="20"/>
                <w:lang w:eastAsia="en-AU"/>
              </w:rPr>
              <w:t xml:space="preserve">Planning for a new college on Canberra’s northside </w:t>
            </w:r>
          </w:p>
        </w:tc>
        <w:tc>
          <w:tcPr>
            <w:tcW w:w="959" w:type="dxa"/>
            <w:shd w:val="clear" w:color="auto" w:fill="auto"/>
          </w:tcPr>
          <w:p w14:paraId="6A265412"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600</w:t>
            </w:r>
          </w:p>
        </w:tc>
        <w:tc>
          <w:tcPr>
            <w:tcW w:w="959" w:type="dxa"/>
            <w:shd w:val="clear" w:color="auto" w:fill="auto"/>
          </w:tcPr>
          <w:p w14:paraId="5B74194B"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200</w:t>
            </w:r>
          </w:p>
        </w:tc>
        <w:tc>
          <w:tcPr>
            <w:tcW w:w="958" w:type="dxa"/>
            <w:shd w:val="clear" w:color="auto" w:fill="auto"/>
          </w:tcPr>
          <w:p w14:paraId="0FFB3B86"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0</w:t>
            </w:r>
          </w:p>
        </w:tc>
        <w:tc>
          <w:tcPr>
            <w:tcW w:w="959" w:type="dxa"/>
            <w:shd w:val="clear" w:color="auto" w:fill="auto"/>
          </w:tcPr>
          <w:p w14:paraId="34273F06"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0</w:t>
            </w:r>
          </w:p>
        </w:tc>
        <w:tc>
          <w:tcPr>
            <w:tcW w:w="959" w:type="dxa"/>
            <w:shd w:val="clear" w:color="auto" w:fill="auto"/>
          </w:tcPr>
          <w:p w14:paraId="60A99D9F"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800</w:t>
            </w:r>
          </w:p>
        </w:tc>
      </w:tr>
      <w:tr w:rsidR="00371CFF" w:rsidRPr="00371CFF" w14:paraId="4B2F3154" w14:textId="77777777" w:rsidTr="0053552F">
        <w:trPr>
          <w:cantSplit/>
          <w:trHeight w:val="227"/>
        </w:trPr>
        <w:tc>
          <w:tcPr>
            <w:tcW w:w="4844" w:type="dxa"/>
            <w:shd w:val="clear" w:color="auto" w:fill="auto"/>
          </w:tcPr>
          <w:p w14:paraId="2E4D74AC" w14:textId="77777777" w:rsidR="00371CFF" w:rsidRPr="00371CFF" w:rsidRDefault="00371CFF" w:rsidP="00371CFF">
            <w:pPr>
              <w:ind w:left="227" w:hanging="227"/>
              <w:rPr>
                <w:rFonts w:ascii="Calibri" w:hAnsi="Calibri"/>
                <w:bCs/>
                <w:color w:val="000000"/>
                <w:sz w:val="20"/>
                <w:szCs w:val="20"/>
                <w:vertAlign w:val="superscript"/>
                <w:lang w:eastAsia="en-AU"/>
              </w:rPr>
            </w:pPr>
            <w:r w:rsidRPr="00371CFF">
              <w:rPr>
                <w:rFonts w:ascii="Calibri" w:hAnsi="Calibri"/>
                <w:bCs/>
                <w:color w:val="000000"/>
                <w:sz w:val="20"/>
                <w:szCs w:val="20"/>
                <w:lang w:eastAsia="en-AU"/>
              </w:rPr>
              <w:t xml:space="preserve">Planning for Canberra’s future school needs </w:t>
            </w:r>
            <w:r w:rsidRPr="00371CFF">
              <w:rPr>
                <w:rFonts w:ascii="Calibri" w:hAnsi="Calibri"/>
                <w:bCs/>
                <w:color w:val="000000"/>
                <w:sz w:val="20"/>
                <w:szCs w:val="20"/>
                <w:vertAlign w:val="superscript"/>
                <w:lang w:eastAsia="en-AU"/>
              </w:rPr>
              <w:t>2</w:t>
            </w:r>
          </w:p>
        </w:tc>
        <w:tc>
          <w:tcPr>
            <w:tcW w:w="959" w:type="dxa"/>
            <w:shd w:val="clear" w:color="auto" w:fill="auto"/>
          </w:tcPr>
          <w:p w14:paraId="6C81C419"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750</w:t>
            </w:r>
          </w:p>
        </w:tc>
        <w:tc>
          <w:tcPr>
            <w:tcW w:w="959" w:type="dxa"/>
            <w:shd w:val="clear" w:color="auto" w:fill="auto"/>
          </w:tcPr>
          <w:p w14:paraId="494CD636"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750</w:t>
            </w:r>
          </w:p>
        </w:tc>
        <w:tc>
          <w:tcPr>
            <w:tcW w:w="958" w:type="dxa"/>
            <w:shd w:val="clear" w:color="auto" w:fill="auto"/>
          </w:tcPr>
          <w:p w14:paraId="23C2BB72"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0</w:t>
            </w:r>
          </w:p>
        </w:tc>
        <w:tc>
          <w:tcPr>
            <w:tcW w:w="959" w:type="dxa"/>
            <w:shd w:val="clear" w:color="auto" w:fill="auto"/>
          </w:tcPr>
          <w:p w14:paraId="009DD87D"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0</w:t>
            </w:r>
          </w:p>
        </w:tc>
        <w:tc>
          <w:tcPr>
            <w:tcW w:w="959" w:type="dxa"/>
            <w:shd w:val="clear" w:color="auto" w:fill="auto"/>
          </w:tcPr>
          <w:p w14:paraId="4286DF3E"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1,500</w:t>
            </w:r>
          </w:p>
        </w:tc>
      </w:tr>
      <w:tr w:rsidR="00371CFF" w:rsidRPr="00371CFF" w14:paraId="3AA0A0CF" w14:textId="77777777" w:rsidTr="0053552F">
        <w:trPr>
          <w:cantSplit/>
          <w:trHeight w:val="227"/>
        </w:trPr>
        <w:tc>
          <w:tcPr>
            <w:tcW w:w="4844" w:type="dxa"/>
            <w:shd w:val="clear" w:color="auto" w:fill="auto"/>
          </w:tcPr>
          <w:p w14:paraId="6C8446B8" w14:textId="42475DDE" w:rsidR="00371CFF" w:rsidRPr="00371CFF" w:rsidRDefault="00371CFF" w:rsidP="00371CFF">
            <w:pPr>
              <w:ind w:left="227" w:hanging="227"/>
              <w:rPr>
                <w:rFonts w:ascii="Calibri" w:hAnsi="Calibri"/>
                <w:bCs/>
                <w:color w:val="000000"/>
                <w:sz w:val="20"/>
                <w:szCs w:val="20"/>
                <w:lang w:eastAsia="en-AU"/>
              </w:rPr>
            </w:pPr>
            <w:r w:rsidRPr="00371CFF">
              <w:rPr>
                <w:rFonts w:ascii="Calibri" w:hAnsi="Calibri"/>
                <w:bCs/>
                <w:color w:val="000000"/>
                <w:sz w:val="20"/>
                <w:szCs w:val="20"/>
                <w:lang w:eastAsia="en-AU"/>
              </w:rPr>
              <w:t>Reforms arising from the Future of Education Strategy</w:t>
            </w:r>
            <w:r w:rsidR="000F30E1">
              <w:rPr>
                <w:rFonts w:ascii="Calibri" w:hAnsi="Calibri"/>
                <w:bCs/>
                <w:color w:val="000000"/>
                <w:sz w:val="20"/>
                <w:szCs w:val="20"/>
                <w:lang w:eastAsia="en-AU"/>
              </w:rPr>
              <w:t xml:space="preserve"> </w:t>
            </w:r>
          </w:p>
        </w:tc>
        <w:tc>
          <w:tcPr>
            <w:tcW w:w="959" w:type="dxa"/>
            <w:shd w:val="clear" w:color="auto" w:fill="auto"/>
          </w:tcPr>
          <w:p w14:paraId="2999ED91"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989</w:t>
            </w:r>
          </w:p>
        </w:tc>
        <w:tc>
          <w:tcPr>
            <w:tcW w:w="959" w:type="dxa"/>
            <w:shd w:val="clear" w:color="auto" w:fill="auto"/>
          </w:tcPr>
          <w:p w14:paraId="113B9CBC"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814</w:t>
            </w:r>
          </w:p>
        </w:tc>
        <w:tc>
          <w:tcPr>
            <w:tcW w:w="958" w:type="dxa"/>
            <w:shd w:val="clear" w:color="auto" w:fill="auto"/>
          </w:tcPr>
          <w:p w14:paraId="36F88F98"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1,178</w:t>
            </w:r>
          </w:p>
        </w:tc>
        <w:tc>
          <w:tcPr>
            <w:tcW w:w="959" w:type="dxa"/>
            <w:shd w:val="clear" w:color="auto" w:fill="auto"/>
          </w:tcPr>
          <w:p w14:paraId="78A99601"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1,212</w:t>
            </w:r>
          </w:p>
        </w:tc>
        <w:tc>
          <w:tcPr>
            <w:tcW w:w="959" w:type="dxa"/>
            <w:shd w:val="clear" w:color="auto" w:fill="auto"/>
          </w:tcPr>
          <w:p w14:paraId="1CEC91C3"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4,193</w:t>
            </w:r>
          </w:p>
        </w:tc>
      </w:tr>
      <w:tr w:rsidR="00371CFF" w:rsidRPr="00371CFF" w14:paraId="2C0C4C5D" w14:textId="77777777" w:rsidTr="0053552F">
        <w:trPr>
          <w:cantSplit/>
          <w:trHeight w:val="227"/>
        </w:trPr>
        <w:tc>
          <w:tcPr>
            <w:tcW w:w="4844" w:type="dxa"/>
            <w:shd w:val="clear" w:color="auto" w:fill="auto"/>
          </w:tcPr>
          <w:p w14:paraId="3F45FD2A" w14:textId="77777777" w:rsidR="00371CFF" w:rsidRPr="00371CFF" w:rsidRDefault="00371CFF" w:rsidP="00371CFF">
            <w:pPr>
              <w:ind w:left="227" w:hanging="227"/>
              <w:rPr>
                <w:rFonts w:ascii="Calibri" w:hAnsi="Calibri"/>
                <w:bCs/>
                <w:color w:val="000000"/>
                <w:sz w:val="20"/>
                <w:szCs w:val="20"/>
                <w:lang w:eastAsia="en-AU"/>
              </w:rPr>
            </w:pPr>
            <w:r w:rsidRPr="00371CFF">
              <w:rPr>
                <w:rFonts w:ascii="Calibri" w:hAnsi="Calibri"/>
                <w:bCs/>
                <w:color w:val="000000"/>
                <w:sz w:val="20"/>
                <w:szCs w:val="20"/>
                <w:lang w:eastAsia="en-AU"/>
              </w:rPr>
              <w:t xml:space="preserve">Strengthening mental health care in ACT public schools </w:t>
            </w:r>
          </w:p>
        </w:tc>
        <w:tc>
          <w:tcPr>
            <w:tcW w:w="959" w:type="dxa"/>
            <w:shd w:val="clear" w:color="auto" w:fill="auto"/>
          </w:tcPr>
          <w:p w14:paraId="7B0E1789"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720</w:t>
            </w:r>
          </w:p>
        </w:tc>
        <w:tc>
          <w:tcPr>
            <w:tcW w:w="959" w:type="dxa"/>
            <w:shd w:val="clear" w:color="auto" w:fill="auto"/>
          </w:tcPr>
          <w:p w14:paraId="66A9D675"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740</w:t>
            </w:r>
          </w:p>
        </w:tc>
        <w:tc>
          <w:tcPr>
            <w:tcW w:w="958" w:type="dxa"/>
            <w:shd w:val="clear" w:color="auto" w:fill="auto"/>
          </w:tcPr>
          <w:p w14:paraId="1C9531BB"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762</w:t>
            </w:r>
          </w:p>
        </w:tc>
        <w:tc>
          <w:tcPr>
            <w:tcW w:w="959" w:type="dxa"/>
            <w:shd w:val="clear" w:color="auto" w:fill="auto"/>
          </w:tcPr>
          <w:p w14:paraId="22A183A4"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785</w:t>
            </w:r>
          </w:p>
        </w:tc>
        <w:tc>
          <w:tcPr>
            <w:tcW w:w="959" w:type="dxa"/>
            <w:shd w:val="clear" w:color="auto" w:fill="auto"/>
          </w:tcPr>
          <w:p w14:paraId="2943E09A"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3,007</w:t>
            </w:r>
          </w:p>
        </w:tc>
      </w:tr>
      <w:tr w:rsidR="00371CFF" w:rsidRPr="00371CFF" w14:paraId="538B7A98" w14:textId="77777777" w:rsidTr="0053552F">
        <w:trPr>
          <w:cantSplit/>
          <w:trHeight w:val="227"/>
        </w:trPr>
        <w:tc>
          <w:tcPr>
            <w:tcW w:w="4844" w:type="dxa"/>
            <w:shd w:val="clear" w:color="auto" w:fill="auto"/>
          </w:tcPr>
          <w:p w14:paraId="6EDA4C25" w14:textId="77777777" w:rsidR="00371CFF" w:rsidRPr="00371CFF" w:rsidRDefault="00371CFF" w:rsidP="00371CFF">
            <w:pPr>
              <w:ind w:left="227" w:hanging="227"/>
              <w:rPr>
                <w:rFonts w:ascii="Calibri" w:hAnsi="Calibri"/>
                <w:bCs/>
                <w:color w:val="000000"/>
                <w:sz w:val="20"/>
                <w:szCs w:val="20"/>
                <w:vertAlign w:val="superscript"/>
                <w:lang w:eastAsia="en-AU"/>
              </w:rPr>
            </w:pPr>
            <w:r w:rsidRPr="00371CFF">
              <w:rPr>
                <w:rFonts w:ascii="Calibri" w:hAnsi="Calibri"/>
                <w:bCs/>
                <w:color w:val="000000"/>
                <w:sz w:val="20"/>
                <w:szCs w:val="20"/>
                <w:lang w:eastAsia="en-AU"/>
              </w:rPr>
              <w:t xml:space="preserve">Supporting smarter working in the new ACT Government office projects </w:t>
            </w:r>
            <w:r w:rsidRPr="00371CFF">
              <w:rPr>
                <w:rFonts w:ascii="Calibri" w:hAnsi="Calibri"/>
                <w:bCs/>
                <w:color w:val="000000"/>
                <w:sz w:val="20"/>
                <w:szCs w:val="20"/>
                <w:vertAlign w:val="superscript"/>
                <w:lang w:eastAsia="en-AU"/>
              </w:rPr>
              <w:t>2, 4</w:t>
            </w:r>
          </w:p>
        </w:tc>
        <w:tc>
          <w:tcPr>
            <w:tcW w:w="959" w:type="dxa"/>
            <w:shd w:val="clear" w:color="auto" w:fill="auto"/>
          </w:tcPr>
          <w:p w14:paraId="47A828C4"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633</w:t>
            </w:r>
          </w:p>
        </w:tc>
        <w:tc>
          <w:tcPr>
            <w:tcW w:w="959" w:type="dxa"/>
            <w:shd w:val="clear" w:color="auto" w:fill="auto"/>
          </w:tcPr>
          <w:p w14:paraId="1930D4D3"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0</w:t>
            </w:r>
          </w:p>
        </w:tc>
        <w:tc>
          <w:tcPr>
            <w:tcW w:w="958" w:type="dxa"/>
            <w:shd w:val="clear" w:color="auto" w:fill="auto"/>
          </w:tcPr>
          <w:p w14:paraId="01617288"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0</w:t>
            </w:r>
          </w:p>
        </w:tc>
        <w:tc>
          <w:tcPr>
            <w:tcW w:w="959" w:type="dxa"/>
            <w:shd w:val="clear" w:color="auto" w:fill="auto"/>
          </w:tcPr>
          <w:p w14:paraId="127370A6"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0</w:t>
            </w:r>
          </w:p>
        </w:tc>
        <w:tc>
          <w:tcPr>
            <w:tcW w:w="959" w:type="dxa"/>
            <w:shd w:val="clear" w:color="auto" w:fill="auto"/>
          </w:tcPr>
          <w:p w14:paraId="71B54E58"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633</w:t>
            </w:r>
          </w:p>
        </w:tc>
      </w:tr>
      <w:tr w:rsidR="00371CFF" w:rsidRPr="00371CFF" w14:paraId="107306A1" w14:textId="77777777" w:rsidTr="00A402CC">
        <w:trPr>
          <w:cantSplit/>
          <w:trHeight w:val="227"/>
        </w:trPr>
        <w:tc>
          <w:tcPr>
            <w:tcW w:w="4844" w:type="dxa"/>
            <w:tcBorders>
              <w:bottom w:val="single" w:sz="4" w:space="0" w:color="auto"/>
            </w:tcBorders>
            <w:shd w:val="clear" w:color="auto" w:fill="auto"/>
          </w:tcPr>
          <w:p w14:paraId="28EAFBC0" w14:textId="77777777" w:rsidR="00371CFF" w:rsidRPr="00371CFF" w:rsidRDefault="00371CFF" w:rsidP="00371CFF">
            <w:pPr>
              <w:ind w:left="227" w:hanging="227"/>
              <w:rPr>
                <w:rFonts w:ascii="Calibri" w:hAnsi="Calibri"/>
                <w:bCs/>
                <w:color w:val="000000"/>
                <w:sz w:val="20"/>
                <w:szCs w:val="20"/>
                <w:vertAlign w:val="superscript"/>
                <w:lang w:eastAsia="en-AU"/>
              </w:rPr>
            </w:pPr>
            <w:r w:rsidRPr="00371CFF">
              <w:rPr>
                <w:rFonts w:ascii="Calibri" w:hAnsi="Calibri"/>
                <w:bCs/>
                <w:color w:val="000000"/>
                <w:sz w:val="20"/>
                <w:szCs w:val="20"/>
                <w:lang w:eastAsia="en-AU"/>
              </w:rPr>
              <w:t xml:space="preserve">Training ACT Government frontline workers to respond to family violence </w:t>
            </w:r>
            <w:r w:rsidRPr="00371CFF">
              <w:rPr>
                <w:rFonts w:ascii="Calibri" w:hAnsi="Calibri"/>
                <w:bCs/>
                <w:color w:val="000000"/>
                <w:sz w:val="20"/>
                <w:szCs w:val="20"/>
                <w:vertAlign w:val="superscript"/>
                <w:lang w:eastAsia="en-AU"/>
              </w:rPr>
              <w:t>6</w:t>
            </w:r>
          </w:p>
        </w:tc>
        <w:tc>
          <w:tcPr>
            <w:tcW w:w="959" w:type="dxa"/>
            <w:tcBorders>
              <w:bottom w:val="single" w:sz="4" w:space="0" w:color="auto"/>
            </w:tcBorders>
            <w:shd w:val="clear" w:color="auto" w:fill="auto"/>
          </w:tcPr>
          <w:p w14:paraId="59C8C91E"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0</w:t>
            </w:r>
          </w:p>
        </w:tc>
        <w:tc>
          <w:tcPr>
            <w:tcW w:w="959" w:type="dxa"/>
            <w:tcBorders>
              <w:bottom w:val="single" w:sz="4" w:space="0" w:color="auto"/>
            </w:tcBorders>
            <w:shd w:val="clear" w:color="auto" w:fill="auto"/>
          </w:tcPr>
          <w:p w14:paraId="06D871F9"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0</w:t>
            </w:r>
          </w:p>
        </w:tc>
        <w:tc>
          <w:tcPr>
            <w:tcW w:w="958" w:type="dxa"/>
            <w:tcBorders>
              <w:bottom w:val="single" w:sz="4" w:space="0" w:color="auto"/>
            </w:tcBorders>
            <w:shd w:val="clear" w:color="auto" w:fill="auto"/>
          </w:tcPr>
          <w:p w14:paraId="38990A6A"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0</w:t>
            </w:r>
          </w:p>
        </w:tc>
        <w:tc>
          <w:tcPr>
            <w:tcW w:w="959" w:type="dxa"/>
            <w:tcBorders>
              <w:bottom w:val="single" w:sz="4" w:space="0" w:color="auto"/>
            </w:tcBorders>
            <w:shd w:val="clear" w:color="auto" w:fill="auto"/>
          </w:tcPr>
          <w:p w14:paraId="62315DBF"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0</w:t>
            </w:r>
          </w:p>
        </w:tc>
        <w:tc>
          <w:tcPr>
            <w:tcW w:w="959" w:type="dxa"/>
            <w:tcBorders>
              <w:bottom w:val="single" w:sz="4" w:space="0" w:color="auto"/>
            </w:tcBorders>
            <w:shd w:val="clear" w:color="auto" w:fill="auto"/>
          </w:tcPr>
          <w:p w14:paraId="1AE64F0B"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0</w:t>
            </w:r>
          </w:p>
        </w:tc>
      </w:tr>
      <w:tr w:rsidR="00371CFF" w:rsidRPr="00371CFF" w14:paraId="613C2417" w14:textId="77777777" w:rsidTr="00A402CC">
        <w:trPr>
          <w:cantSplit/>
          <w:trHeight w:val="227"/>
        </w:trPr>
        <w:tc>
          <w:tcPr>
            <w:tcW w:w="4844" w:type="dxa"/>
            <w:tcBorders>
              <w:top w:val="single" w:sz="4" w:space="0" w:color="auto"/>
              <w:bottom w:val="single" w:sz="4" w:space="0" w:color="auto"/>
            </w:tcBorders>
            <w:shd w:val="clear" w:color="auto" w:fill="auto"/>
            <w:vAlign w:val="bottom"/>
          </w:tcPr>
          <w:p w14:paraId="27D219B8" w14:textId="77777777" w:rsidR="00371CFF" w:rsidRPr="00371CFF" w:rsidRDefault="00371CFF" w:rsidP="00371CFF">
            <w:pPr>
              <w:ind w:left="227" w:hanging="227"/>
              <w:jc w:val="right"/>
              <w:rPr>
                <w:rFonts w:ascii="Calibri" w:hAnsi="Calibri"/>
                <w:b/>
                <w:sz w:val="20"/>
                <w:szCs w:val="20"/>
                <w:lang w:eastAsia="en-AU"/>
              </w:rPr>
            </w:pPr>
            <w:r w:rsidRPr="00371CFF">
              <w:rPr>
                <w:rFonts w:ascii="Calibri" w:hAnsi="Calibri"/>
                <w:b/>
                <w:sz w:val="20"/>
                <w:szCs w:val="20"/>
                <w:lang w:eastAsia="en-AU"/>
              </w:rPr>
              <w:t>Total</w:t>
            </w:r>
          </w:p>
        </w:tc>
        <w:tc>
          <w:tcPr>
            <w:tcW w:w="959" w:type="dxa"/>
            <w:tcBorders>
              <w:top w:val="single" w:sz="4" w:space="0" w:color="auto"/>
              <w:bottom w:val="single" w:sz="4" w:space="0" w:color="auto"/>
            </w:tcBorders>
            <w:shd w:val="clear" w:color="auto" w:fill="auto"/>
          </w:tcPr>
          <w:p w14:paraId="42316968" w14:textId="77777777" w:rsidR="00371CFF" w:rsidRPr="00371CFF" w:rsidRDefault="00371CFF" w:rsidP="00371CFF">
            <w:pPr>
              <w:ind w:left="227" w:hanging="227"/>
              <w:jc w:val="right"/>
              <w:rPr>
                <w:rFonts w:ascii="Calibri" w:hAnsi="Calibri"/>
                <w:b/>
                <w:sz w:val="20"/>
                <w:szCs w:val="20"/>
                <w:lang w:eastAsia="en-AU"/>
              </w:rPr>
            </w:pPr>
            <w:r w:rsidRPr="00371CFF">
              <w:rPr>
                <w:rFonts w:ascii="Calibri" w:hAnsi="Calibri"/>
                <w:b/>
                <w:sz w:val="20"/>
                <w:szCs w:val="20"/>
                <w:lang w:eastAsia="en-AU"/>
              </w:rPr>
              <w:t>17,259</w:t>
            </w:r>
          </w:p>
        </w:tc>
        <w:tc>
          <w:tcPr>
            <w:tcW w:w="959" w:type="dxa"/>
            <w:tcBorders>
              <w:top w:val="single" w:sz="4" w:space="0" w:color="auto"/>
              <w:bottom w:val="single" w:sz="4" w:space="0" w:color="auto"/>
            </w:tcBorders>
            <w:shd w:val="clear" w:color="auto" w:fill="auto"/>
          </w:tcPr>
          <w:p w14:paraId="7CA59225" w14:textId="77777777" w:rsidR="00371CFF" w:rsidRPr="00371CFF" w:rsidRDefault="00371CFF" w:rsidP="00371CFF">
            <w:pPr>
              <w:ind w:left="227" w:hanging="227"/>
              <w:jc w:val="right"/>
              <w:rPr>
                <w:rFonts w:ascii="Calibri" w:hAnsi="Calibri"/>
                <w:b/>
                <w:sz w:val="20"/>
                <w:szCs w:val="20"/>
                <w:lang w:eastAsia="en-AU"/>
              </w:rPr>
            </w:pPr>
            <w:r w:rsidRPr="00371CFF">
              <w:rPr>
                <w:rFonts w:ascii="Calibri" w:hAnsi="Calibri"/>
                <w:b/>
                <w:sz w:val="20"/>
                <w:szCs w:val="20"/>
                <w:lang w:eastAsia="en-AU"/>
              </w:rPr>
              <w:t>15,691</w:t>
            </w:r>
          </w:p>
        </w:tc>
        <w:tc>
          <w:tcPr>
            <w:tcW w:w="958" w:type="dxa"/>
            <w:tcBorders>
              <w:top w:val="single" w:sz="4" w:space="0" w:color="auto"/>
              <w:bottom w:val="single" w:sz="4" w:space="0" w:color="auto"/>
            </w:tcBorders>
            <w:shd w:val="clear" w:color="auto" w:fill="auto"/>
          </w:tcPr>
          <w:p w14:paraId="76E48DB3" w14:textId="77777777" w:rsidR="00371CFF" w:rsidRPr="00371CFF" w:rsidRDefault="00371CFF" w:rsidP="00371CFF">
            <w:pPr>
              <w:ind w:left="227" w:hanging="227"/>
              <w:jc w:val="right"/>
              <w:rPr>
                <w:rFonts w:ascii="Calibri" w:hAnsi="Calibri"/>
                <w:b/>
                <w:sz w:val="20"/>
                <w:szCs w:val="20"/>
                <w:lang w:eastAsia="en-AU"/>
              </w:rPr>
            </w:pPr>
            <w:r w:rsidRPr="00371CFF">
              <w:rPr>
                <w:rFonts w:ascii="Calibri" w:hAnsi="Calibri"/>
                <w:b/>
                <w:sz w:val="20"/>
                <w:szCs w:val="20"/>
                <w:lang w:eastAsia="en-AU"/>
              </w:rPr>
              <w:t>15,877</w:t>
            </w:r>
          </w:p>
        </w:tc>
        <w:tc>
          <w:tcPr>
            <w:tcW w:w="959" w:type="dxa"/>
            <w:tcBorders>
              <w:top w:val="single" w:sz="4" w:space="0" w:color="auto"/>
              <w:bottom w:val="single" w:sz="4" w:space="0" w:color="auto"/>
            </w:tcBorders>
            <w:shd w:val="clear" w:color="auto" w:fill="auto"/>
          </w:tcPr>
          <w:p w14:paraId="391CFA66" w14:textId="77777777" w:rsidR="00371CFF" w:rsidRPr="00371CFF" w:rsidRDefault="00371CFF" w:rsidP="00371CFF">
            <w:pPr>
              <w:ind w:left="227" w:hanging="227"/>
              <w:jc w:val="right"/>
              <w:rPr>
                <w:rFonts w:ascii="Calibri" w:hAnsi="Calibri"/>
                <w:b/>
                <w:sz w:val="20"/>
                <w:szCs w:val="20"/>
                <w:lang w:eastAsia="en-AU"/>
              </w:rPr>
            </w:pPr>
            <w:r w:rsidRPr="00371CFF">
              <w:rPr>
                <w:rFonts w:ascii="Calibri" w:hAnsi="Calibri"/>
                <w:b/>
                <w:sz w:val="20"/>
                <w:szCs w:val="20"/>
                <w:lang w:eastAsia="en-AU"/>
              </w:rPr>
              <w:t>16,732</w:t>
            </w:r>
          </w:p>
        </w:tc>
        <w:tc>
          <w:tcPr>
            <w:tcW w:w="959" w:type="dxa"/>
            <w:tcBorders>
              <w:top w:val="single" w:sz="4" w:space="0" w:color="auto"/>
              <w:bottom w:val="single" w:sz="4" w:space="0" w:color="auto"/>
            </w:tcBorders>
            <w:shd w:val="clear" w:color="auto" w:fill="auto"/>
          </w:tcPr>
          <w:p w14:paraId="27BEE3F6" w14:textId="77777777" w:rsidR="00371CFF" w:rsidRPr="00371CFF" w:rsidRDefault="00371CFF" w:rsidP="00371CFF">
            <w:pPr>
              <w:ind w:left="227" w:hanging="227"/>
              <w:jc w:val="right"/>
              <w:rPr>
                <w:rFonts w:ascii="Calibri" w:hAnsi="Calibri"/>
                <w:b/>
                <w:sz w:val="20"/>
                <w:szCs w:val="20"/>
                <w:lang w:eastAsia="en-AU"/>
              </w:rPr>
            </w:pPr>
            <w:r w:rsidRPr="00371CFF">
              <w:rPr>
                <w:rFonts w:ascii="Calibri" w:hAnsi="Calibri"/>
                <w:b/>
                <w:sz w:val="20"/>
                <w:szCs w:val="20"/>
                <w:lang w:eastAsia="en-AU"/>
              </w:rPr>
              <w:t>65,559</w:t>
            </w:r>
          </w:p>
        </w:tc>
      </w:tr>
    </w:tbl>
    <w:p w14:paraId="04F1346C" w14:textId="77777777" w:rsidR="00371CFF" w:rsidRPr="00371CFF" w:rsidRDefault="00371CFF" w:rsidP="00EE5AC4">
      <w:pPr>
        <w:pStyle w:val="snapNotesheading"/>
        <w:rPr>
          <w:b w:val="0"/>
        </w:rPr>
      </w:pPr>
      <w:r w:rsidRPr="00371CFF">
        <w:t xml:space="preserve">Notes: </w:t>
      </w:r>
    </w:p>
    <w:p w14:paraId="3474CB5B" w14:textId="094B7191" w:rsidR="00371CFF" w:rsidRPr="00371CFF" w:rsidRDefault="00371CFF" w:rsidP="00EE5AC4">
      <w:pPr>
        <w:pStyle w:val="snapNotesbody"/>
      </w:pPr>
      <w:r w:rsidRPr="00EE5AC4">
        <w:t>2</w:t>
      </w:r>
      <w:r w:rsidR="00EE5AC4">
        <w:rPr>
          <w:lang w:val="en-US"/>
        </w:rPr>
        <w:t>.</w:t>
      </w:r>
      <w:r w:rsidRPr="00EE5AC4">
        <w:t xml:space="preserve"> </w:t>
      </w:r>
      <w:r w:rsidRPr="00371CFF">
        <w:t>This initiative has a capital component; this component (and depreciation if applicable) is listed in the summary table in Infrastructure and capital initiatives (Chapter 3.3).</w:t>
      </w:r>
    </w:p>
    <w:p w14:paraId="7FAA3DC4" w14:textId="2E508040" w:rsidR="00371CFF" w:rsidRPr="00371CFF" w:rsidRDefault="00371CFF" w:rsidP="00EE5AC4">
      <w:pPr>
        <w:pStyle w:val="snapNotesbody"/>
      </w:pPr>
      <w:r w:rsidRPr="00EE5AC4">
        <w:t>4</w:t>
      </w:r>
      <w:r w:rsidR="00EE5AC4">
        <w:rPr>
          <w:lang w:val="en-US"/>
        </w:rPr>
        <w:t>.</w:t>
      </w:r>
      <w:r w:rsidRPr="00EE5AC4">
        <w:t xml:space="preserve"> </w:t>
      </w:r>
      <w:r w:rsidRPr="00371CFF">
        <w:t>This is a joint initiative, i.e. delivered by more than one agency.</w:t>
      </w:r>
    </w:p>
    <w:p w14:paraId="411094FE" w14:textId="6154D00B" w:rsidR="00371CFF" w:rsidRPr="00371CFF" w:rsidRDefault="00371CFF" w:rsidP="00EE5AC4">
      <w:pPr>
        <w:pStyle w:val="snapNotesbody"/>
      </w:pPr>
      <w:r w:rsidRPr="00EE5AC4">
        <w:t>6</w:t>
      </w:r>
      <w:r w:rsidR="00EE5AC4">
        <w:rPr>
          <w:lang w:val="en-US"/>
        </w:rPr>
        <w:t>.</w:t>
      </w:r>
      <w:r w:rsidRPr="00EE5AC4">
        <w:t xml:space="preserve"> </w:t>
      </w:r>
      <w:r w:rsidRPr="00371CFF">
        <w:t>This initiative forms part of the Safer Families package.</w:t>
      </w:r>
    </w:p>
    <w:p w14:paraId="3430B9CD" w14:textId="77777777" w:rsidR="00371CFF" w:rsidRPr="00371CFF" w:rsidRDefault="00371CFF" w:rsidP="00EE5AC4">
      <w:pPr>
        <w:pStyle w:val="snapTabletitle"/>
        <w:rPr>
          <w:b w:val="0"/>
          <w:bCs w:val="0"/>
        </w:rPr>
      </w:pPr>
      <w:r w:rsidRPr="00371CFF">
        <w:t>Table 3.3.2: Infrastructure and capital initiatives</w:t>
      </w:r>
    </w:p>
    <w:tbl>
      <w:tblPr>
        <w:tblW w:w="5000" w:type="pct"/>
        <w:tblLayout w:type="fixed"/>
        <w:tblCellMar>
          <w:left w:w="30" w:type="dxa"/>
          <w:right w:w="30" w:type="dxa"/>
        </w:tblCellMar>
        <w:tblLook w:val="0000" w:firstRow="0" w:lastRow="0" w:firstColumn="0" w:lastColumn="0" w:noHBand="0" w:noVBand="0"/>
      </w:tblPr>
      <w:tblGrid>
        <w:gridCol w:w="4844"/>
        <w:gridCol w:w="1095"/>
        <w:gridCol w:w="926"/>
        <w:gridCol w:w="931"/>
        <w:gridCol w:w="921"/>
        <w:gridCol w:w="921"/>
      </w:tblGrid>
      <w:tr w:rsidR="00371CFF" w:rsidRPr="00371CFF" w14:paraId="3A2FD900" w14:textId="77777777" w:rsidTr="00EE5AC4">
        <w:trPr>
          <w:trHeight w:val="227"/>
          <w:tblHeader/>
        </w:trPr>
        <w:tc>
          <w:tcPr>
            <w:tcW w:w="4844" w:type="dxa"/>
            <w:tcBorders>
              <w:top w:val="single" w:sz="4" w:space="0" w:color="auto"/>
              <w:left w:val="nil"/>
              <w:bottom w:val="single" w:sz="4" w:space="0" w:color="auto"/>
              <w:right w:val="nil"/>
            </w:tcBorders>
            <w:shd w:val="clear" w:color="auto" w:fill="auto"/>
            <w:vAlign w:val="center"/>
          </w:tcPr>
          <w:p w14:paraId="4C54CC08" w14:textId="77777777" w:rsidR="00371CFF" w:rsidRPr="00371CFF" w:rsidRDefault="00371CFF" w:rsidP="00371CFF">
            <w:pPr>
              <w:ind w:left="227" w:hanging="227"/>
              <w:rPr>
                <w:rFonts w:ascii="Calibri" w:hAnsi="Calibri"/>
                <w:b/>
                <w:bCs/>
                <w:sz w:val="20"/>
                <w:szCs w:val="20"/>
                <w:lang w:eastAsia="en-AU"/>
              </w:rPr>
            </w:pPr>
            <w:r w:rsidRPr="00371CFF">
              <w:rPr>
                <w:rFonts w:ascii="Calibri" w:hAnsi="Calibri"/>
                <w:b/>
                <w:bCs/>
                <w:sz w:val="20"/>
                <w:szCs w:val="20"/>
                <w:lang w:eastAsia="en-AU"/>
              </w:rPr>
              <w:t>Infrastructure and capital initiatives</w:t>
            </w:r>
          </w:p>
        </w:tc>
        <w:tc>
          <w:tcPr>
            <w:tcW w:w="1095" w:type="dxa"/>
            <w:tcBorders>
              <w:top w:val="single" w:sz="4" w:space="0" w:color="auto"/>
              <w:left w:val="nil"/>
              <w:bottom w:val="single" w:sz="4" w:space="0" w:color="auto"/>
              <w:right w:val="nil"/>
            </w:tcBorders>
            <w:shd w:val="clear" w:color="auto" w:fill="auto"/>
          </w:tcPr>
          <w:p w14:paraId="6C243196" w14:textId="77777777" w:rsidR="00371CFF" w:rsidRPr="00371CFF" w:rsidRDefault="00371CFF" w:rsidP="00371CFF">
            <w:pPr>
              <w:jc w:val="right"/>
              <w:rPr>
                <w:rFonts w:ascii="Calibri" w:hAnsi="Calibri"/>
                <w:b/>
                <w:bCs/>
                <w:sz w:val="20"/>
                <w:szCs w:val="20"/>
                <w:lang w:eastAsia="en-US"/>
              </w:rPr>
            </w:pPr>
            <w:r w:rsidRPr="00371CFF">
              <w:rPr>
                <w:rFonts w:ascii="Calibri" w:hAnsi="Calibri"/>
                <w:b/>
                <w:bCs/>
                <w:sz w:val="20"/>
                <w:szCs w:val="20"/>
                <w:lang w:eastAsia="en-US"/>
              </w:rPr>
              <w:t>2019-20</w:t>
            </w:r>
          </w:p>
          <w:p w14:paraId="438F29CC" w14:textId="77777777" w:rsidR="00371CFF" w:rsidRPr="00371CFF" w:rsidRDefault="00371CFF" w:rsidP="00371CFF">
            <w:pPr>
              <w:jc w:val="right"/>
              <w:rPr>
                <w:rFonts w:ascii="Calibri" w:hAnsi="Calibri"/>
                <w:b/>
                <w:bCs/>
                <w:sz w:val="20"/>
                <w:szCs w:val="20"/>
                <w:lang w:eastAsia="en-US"/>
              </w:rPr>
            </w:pPr>
            <w:r w:rsidRPr="00371CFF">
              <w:rPr>
                <w:rFonts w:ascii="Calibri" w:hAnsi="Calibri"/>
                <w:b/>
                <w:bCs/>
                <w:sz w:val="20"/>
                <w:szCs w:val="20"/>
                <w:lang w:eastAsia="en-US"/>
              </w:rPr>
              <w:t>Estimate</w:t>
            </w:r>
          </w:p>
          <w:p w14:paraId="66435CEF" w14:textId="77777777" w:rsidR="00371CFF" w:rsidRPr="00371CFF" w:rsidRDefault="00371CFF" w:rsidP="00371CFF">
            <w:pPr>
              <w:jc w:val="right"/>
              <w:rPr>
                <w:rFonts w:ascii="Calibri" w:hAnsi="Calibri"/>
                <w:b/>
                <w:bCs/>
                <w:sz w:val="20"/>
                <w:szCs w:val="20"/>
                <w:lang w:eastAsia="en-US"/>
              </w:rPr>
            </w:pPr>
            <w:r w:rsidRPr="00371CFF">
              <w:rPr>
                <w:rFonts w:ascii="Calibri" w:hAnsi="Calibri"/>
                <w:b/>
                <w:bCs/>
                <w:sz w:val="20"/>
                <w:szCs w:val="20"/>
                <w:lang w:eastAsia="en-US"/>
              </w:rPr>
              <w:t>$’000</w:t>
            </w:r>
          </w:p>
        </w:tc>
        <w:tc>
          <w:tcPr>
            <w:tcW w:w="926" w:type="dxa"/>
            <w:tcBorders>
              <w:top w:val="single" w:sz="4" w:space="0" w:color="auto"/>
              <w:left w:val="nil"/>
              <w:bottom w:val="single" w:sz="4" w:space="0" w:color="auto"/>
              <w:right w:val="nil"/>
            </w:tcBorders>
            <w:shd w:val="clear" w:color="auto" w:fill="auto"/>
          </w:tcPr>
          <w:p w14:paraId="41513742" w14:textId="77777777" w:rsidR="00371CFF" w:rsidRPr="00371CFF" w:rsidRDefault="00371CFF" w:rsidP="00371CFF">
            <w:pPr>
              <w:jc w:val="right"/>
              <w:rPr>
                <w:rFonts w:ascii="Calibri" w:hAnsi="Calibri"/>
                <w:b/>
                <w:bCs/>
                <w:sz w:val="20"/>
                <w:szCs w:val="20"/>
                <w:lang w:eastAsia="en-US"/>
              </w:rPr>
            </w:pPr>
            <w:r w:rsidRPr="00371CFF">
              <w:rPr>
                <w:rFonts w:ascii="Calibri" w:hAnsi="Calibri"/>
                <w:b/>
                <w:bCs/>
                <w:sz w:val="20"/>
                <w:szCs w:val="20"/>
                <w:lang w:eastAsia="en-US"/>
              </w:rPr>
              <w:t>2020</w:t>
            </w:r>
            <w:r w:rsidRPr="00371CFF">
              <w:rPr>
                <w:rFonts w:ascii="Calibri" w:hAnsi="Calibri"/>
                <w:b/>
                <w:bCs/>
                <w:sz w:val="20"/>
                <w:szCs w:val="20"/>
                <w:lang w:eastAsia="en-US"/>
              </w:rPr>
              <w:noBreakHyphen/>
              <w:t>21</w:t>
            </w:r>
          </w:p>
          <w:p w14:paraId="63C1B12C" w14:textId="77777777" w:rsidR="00371CFF" w:rsidRPr="00371CFF" w:rsidRDefault="00371CFF" w:rsidP="00371CFF">
            <w:pPr>
              <w:jc w:val="right"/>
              <w:rPr>
                <w:rFonts w:ascii="Calibri" w:hAnsi="Calibri"/>
                <w:b/>
                <w:bCs/>
                <w:sz w:val="20"/>
                <w:szCs w:val="20"/>
                <w:lang w:eastAsia="en-US"/>
              </w:rPr>
            </w:pPr>
            <w:r w:rsidRPr="00371CFF">
              <w:rPr>
                <w:rFonts w:ascii="Calibri" w:hAnsi="Calibri"/>
                <w:b/>
                <w:bCs/>
                <w:sz w:val="20"/>
                <w:szCs w:val="20"/>
                <w:lang w:eastAsia="en-US"/>
              </w:rPr>
              <w:t>Estimate</w:t>
            </w:r>
          </w:p>
          <w:p w14:paraId="18B6C8CB" w14:textId="77777777" w:rsidR="00371CFF" w:rsidRPr="00371CFF" w:rsidRDefault="00371CFF" w:rsidP="00371CFF">
            <w:pPr>
              <w:jc w:val="right"/>
              <w:rPr>
                <w:rFonts w:ascii="Calibri" w:hAnsi="Calibri"/>
                <w:b/>
                <w:bCs/>
                <w:sz w:val="20"/>
                <w:szCs w:val="20"/>
                <w:lang w:eastAsia="en-US"/>
              </w:rPr>
            </w:pPr>
            <w:r w:rsidRPr="00371CFF">
              <w:rPr>
                <w:rFonts w:ascii="Calibri" w:hAnsi="Calibri"/>
                <w:b/>
                <w:bCs/>
                <w:sz w:val="20"/>
                <w:szCs w:val="20"/>
                <w:lang w:eastAsia="en-US"/>
              </w:rPr>
              <w:t>$’000</w:t>
            </w:r>
          </w:p>
        </w:tc>
        <w:tc>
          <w:tcPr>
            <w:tcW w:w="931" w:type="dxa"/>
            <w:tcBorders>
              <w:top w:val="single" w:sz="4" w:space="0" w:color="auto"/>
              <w:left w:val="nil"/>
              <w:bottom w:val="single" w:sz="4" w:space="0" w:color="auto"/>
              <w:right w:val="nil"/>
            </w:tcBorders>
            <w:shd w:val="clear" w:color="auto" w:fill="auto"/>
          </w:tcPr>
          <w:p w14:paraId="3741C520" w14:textId="77777777" w:rsidR="00371CFF" w:rsidRPr="00371CFF" w:rsidRDefault="00371CFF" w:rsidP="00371CFF">
            <w:pPr>
              <w:jc w:val="right"/>
              <w:rPr>
                <w:rFonts w:ascii="Calibri" w:hAnsi="Calibri"/>
                <w:b/>
                <w:bCs/>
                <w:sz w:val="20"/>
                <w:szCs w:val="20"/>
                <w:lang w:eastAsia="en-US"/>
              </w:rPr>
            </w:pPr>
            <w:r w:rsidRPr="00371CFF">
              <w:rPr>
                <w:rFonts w:ascii="Calibri" w:hAnsi="Calibri"/>
                <w:b/>
                <w:bCs/>
                <w:sz w:val="20"/>
                <w:szCs w:val="20"/>
                <w:lang w:eastAsia="en-US"/>
              </w:rPr>
              <w:t>2021-22</w:t>
            </w:r>
          </w:p>
          <w:p w14:paraId="71342AFF" w14:textId="77777777" w:rsidR="00371CFF" w:rsidRPr="00371CFF" w:rsidRDefault="00371CFF" w:rsidP="00371CFF">
            <w:pPr>
              <w:jc w:val="right"/>
              <w:rPr>
                <w:rFonts w:ascii="Calibri" w:hAnsi="Calibri"/>
                <w:b/>
                <w:bCs/>
                <w:sz w:val="20"/>
                <w:szCs w:val="20"/>
                <w:lang w:eastAsia="en-US"/>
              </w:rPr>
            </w:pPr>
            <w:r w:rsidRPr="00371CFF">
              <w:rPr>
                <w:rFonts w:ascii="Calibri" w:hAnsi="Calibri"/>
                <w:b/>
                <w:bCs/>
                <w:sz w:val="20"/>
                <w:szCs w:val="20"/>
                <w:lang w:eastAsia="en-US"/>
              </w:rPr>
              <w:t>Estimate</w:t>
            </w:r>
          </w:p>
          <w:p w14:paraId="796278B0" w14:textId="77777777" w:rsidR="00371CFF" w:rsidRPr="00371CFF" w:rsidRDefault="00371CFF" w:rsidP="00371CFF">
            <w:pPr>
              <w:jc w:val="right"/>
              <w:rPr>
                <w:rFonts w:ascii="Calibri" w:hAnsi="Calibri"/>
                <w:b/>
                <w:bCs/>
                <w:sz w:val="20"/>
                <w:szCs w:val="20"/>
                <w:lang w:eastAsia="en-US"/>
              </w:rPr>
            </w:pPr>
            <w:r w:rsidRPr="00371CFF">
              <w:rPr>
                <w:rFonts w:ascii="Calibri" w:hAnsi="Calibri"/>
                <w:b/>
                <w:bCs/>
                <w:sz w:val="20"/>
                <w:szCs w:val="20"/>
                <w:lang w:eastAsia="en-US"/>
              </w:rPr>
              <w:t>$’000</w:t>
            </w:r>
          </w:p>
        </w:tc>
        <w:tc>
          <w:tcPr>
            <w:tcW w:w="921" w:type="dxa"/>
            <w:tcBorders>
              <w:top w:val="single" w:sz="4" w:space="0" w:color="auto"/>
              <w:left w:val="nil"/>
              <w:bottom w:val="single" w:sz="4" w:space="0" w:color="auto"/>
              <w:right w:val="nil"/>
            </w:tcBorders>
          </w:tcPr>
          <w:p w14:paraId="51BCE21C" w14:textId="77777777" w:rsidR="00371CFF" w:rsidRPr="00371CFF" w:rsidRDefault="00371CFF" w:rsidP="00371CFF">
            <w:pPr>
              <w:jc w:val="right"/>
              <w:rPr>
                <w:rFonts w:ascii="Calibri" w:hAnsi="Calibri"/>
                <w:b/>
                <w:bCs/>
                <w:sz w:val="20"/>
                <w:szCs w:val="20"/>
                <w:lang w:eastAsia="en-US"/>
              </w:rPr>
            </w:pPr>
            <w:r w:rsidRPr="00371CFF">
              <w:rPr>
                <w:rFonts w:ascii="Calibri" w:hAnsi="Calibri"/>
                <w:b/>
                <w:bCs/>
                <w:sz w:val="20"/>
                <w:szCs w:val="20"/>
                <w:lang w:eastAsia="en-US"/>
              </w:rPr>
              <w:t>2022-23</w:t>
            </w:r>
          </w:p>
          <w:p w14:paraId="563B34D8" w14:textId="77777777" w:rsidR="00371CFF" w:rsidRPr="00371CFF" w:rsidRDefault="00371CFF" w:rsidP="00371CFF">
            <w:pPr>
              <w:jc w:val="right"/>
              <w:rPr>
                <w:rFonts w:ascii="Calibri" w:hAnsi="Calibri"/>
                <w:b/>
                <w:bCs/>
                <w:sz w:val="20"/>
                <w:szCs w:val="20"/>
                <w:lang w:eastAsia="en-US"/>
              </w:rPr>
            </w:pPr>
            <w:r w:rsidRPr="00371CFF">
              <w:rPr>
                <w:rFonts w:ascii="Calibri" w:hAnsi="Calibri"/>
                <w:b/>
                <w:bCs/>
                <w:sz w:val="20"/>
                <w:szCs w:val="20"/>
                <w:lang w:eastAsia="en-US"/>
              </w:rPr>
              <w:t>Estimate</w:t>
            </w:r>
          </w:p>
          <w:p w14:paraId="38673928" w14:textId="77777777" w:rsidR="00371CFF" w:rsidRPr="00371CFF" w:rsidRDefault="00371CFF" w:rsidP="00371CFF">
            <w:pPr>
              <w:jc w:val="right"/>
              <w:rPr>
                <w:rFonts w:ascii="Calibri" w:hAnsi="Calibri"/>
                <w:b/>
                <w:bCs/>
                <w:sz w:val="20"/>
                <w:szCs w:val="20"/>
                <w:lang w:eastAsia="en-US"/>
              </w:rPr>
            </w:pPr>
            <w:r w:rsidRPr="00371CFF">
              <w:rPr>
                <w:rFonts w:ascii="Calibri" w:hAnsi="Calibri"/>
                <w:b/>
                <w:bCs/>
                <w:sz w:val="20"/>
                <w:szCs w:val="20"/>
                <w:lang w:eastAsia="en-US"/>
              </w:rPr>
              <w:t>$’000</w:t>
            </w:r>
          </w:p>
        </w:tc>
        <w:tc>
          <w:tcPr>
            <w:tcW w:w="921" w:type="dxa"/>
            <w:tcBorders>
              <w:top w:val="single" w:sz="4" w:space="0" w:color="auto"/>
              <w:left w:val="nil"/>
              <w:bottom w:val="single" w:sz="4" w:space="0" w:color="auto"/>
              <w:right w:val="nil"/>
            </w:tcBorders>
          </w:tcPr>
          <w:p w14:paraId="6B088294" w14:textId="77777777" w:rsidR="00371CFF" w:rsidRPr="00371CFF" w:rsidRDefault="00371CFF" w:rsidP="00371CFF">
            <w:pPr>
              <w:jc w:val="right"/>
              <w:rPr>
                <w:rFonts w:ascii="Calibri" w:hAnsi="Calibri"/>
                <w:b/>
                <w:bCs/>
                <w:sz w:val="20"/>
                <w:szCs w:val="20"/>
                <w:lang w:eastAsia="en-US"/>
              </w:rPr>
            </w:pPr>
            <w:r w:rsidRPr="00371CFF">
              <w:rPr>
                <w:rFonts w:ascii="Calibri" w:hAnsi="Calibri"/>
                <w:b/>
                <w:bCs/>
                <w:sz w:val="20"/>
                <w:szCs w:val="20"/>
                <w:lang w:eastAsia="en-US"/>
              </w:rPr>
              <w:t xml:space="preserve">Total </w:t>
            </w:r>
          </w:p>
          <w:p w14:paraId="408659CF" w14:textId="77777777" w:rsidR="00371CFF" w:rsidRPr="00371CFF" w:rsidRDefault="00371CFF" w:rsidP="00371CFF">
            <w:pPr>
              <w:jc w:val="right"/>
              <w:rPr>
                <w:rFonts w:ascii="Calibri" w:hAnsi="Calibri"/>
                <w:b/>
                <w:bCs/>
                <w:sz w:val="20"/>
                <w:szCs w:val="20"/>
                <w:lang w:eastAsia="en-US"/>
              </w:rPr>
            </w:pPr>
          </w:p>
          <w:p w14:paraId="7D301F5B" w14:textId="77777777" w:rsidR="00371CFF" w:rsidRPr="00371CFF" w:rsidRDefault="00371CFF" w:rsidP="00371CFF">
            <w:pPr>
              <w:jc w:val="right"/>
              <w:rPr>
                <w:rFonts w:ascii="Calibri" w:hAnsi="Calibri"/>
                <w:b/>
                <w:bCs/>
                <w:sz w:val="20"/>
                <w:szCs w:val="20"/>
                <w:lang w:eastAsia="en-US"/>
              </w:rPr>
            </w:pPr>
            <w:r w:rsidRPr="00371CFF">
              <w:rPr>
                <w:rFonts w:ascii="Calibri" w:hAnsi="Calibri"/>
                <w:b/>
                <w:bCs/>
                <w:sz w:val="20"/>
                <w:szCs w:val="20"/>
                <w:lang w:eastAsia="en-US"/>
              </w:rPr>
              <w:t>$’000</w:t>
            </w:r>
          </w:p>
        </w:tc>
      </w:tr>
      <w:tr w:rsidR="00371CFF" w:rsidRPr="00371CFF" w14:paraId="54BFAEF8" w14:textId="77777777" w:rsidTr="00EE5AC4">
        <w:trPr>
          <w:trHeight w:val="227"/>
        </w:trPr>
        <w:tc>
          <w:tcPr>
            <w:tcW w:w="4844" w:type="dxa"/>
            <w:tcBorders>
              <w:top w:val="single" w:sz="4" w:space="0" w:color="auto"/>
              <w:left w:val="nil"/>
              <w:bottom w:val="nil"/>
              <w:right w:val="nil"/>
            </w:tcBorders>
          </w:tcPr>
          <w:p w14:paraId="58A4A10D" w14:textId="77777777" w:rsidR="00371CFF" w:rsidRPr="00371CFF" w:rsidRDefault="00371CFF" w:rsidP="00371CFF">
            <w:pPr>
              <w:ind w:left="227" w:hanging="227"/>
              <w:rPr>
                <w:rFonts w:ascii="Calibri" w:hAnsi="Calibri"/>
                <w:b/>
                <w:bCs/>
                <w:sz w:val="20"/>
                <w:szCs w:val="20"/>
                <w:lang w:val="x-none" w:eastAsia="en-US"/>
              </w:rPr>
            </w:pPr>
          </w:p>
        </w:tc>
        <w:tc>
          <w:tcPr>
            <w:tcW w:w="1095" w:type="dxa"/>
            <w:tcBorders>
              <w:top w:val="single" w:sz="4" w:space="0" w:color="auto"/>
              <w:left w:val="nil"/>
              <w:bottom w:val="nil"/>
              <w:right w:val="nil"/>
            </w:tcBorders>
          </w:tcPr>
          <w:p w14:paraId="3EC35793" w14:textId="77777777" w:rsidR="00371CFF" w:rsidRPr="00371CFF" w:rsidRDefault="00371CFF" w:rsidP="00371CFF">
            <w:pPr>
              <w:jc w:val="right"/>
              <w:rPr>
                <w:rFonts w:ascii="Calibri" w:hAnsi="Calibri" w:cs="Calibri"/>
                <w:color w:val="FFFFFF"/>
                <w:sz w:val="12"/>
                <w:szCs w:val="20"/>
                <w:lang w:eastAsia="en-US"/>
              </w:rPr>
            </w:pPr>
          </w:p>
        </w:tc>
        <w:tc>
          <w:tcPr>
            <w:tcW w:w="926" w:type="dxa"/>
            <w:tcBorders>
              <w:top w:val="single" w:sz="4" w:space="0" w:color="auto"/>
              <w:left w:val="nil"/>
              <w:bottom w:val="nil"/>
              <w:right w:val="nil"/>
            </w:tcBorders>
          </w:tcPr>
          <w:p w14:paraId="670372CC" w14:textId="77777777" w:rsidR="00371CFF" w:rsidRPr="00371CFF" w:rsidRDefault="00371CFF" w:rsidP="00371CFF">
            <w:pPr>
              <w:jc w:val="right"/>
              <w:rPr>
                <w:rFonts w:ascii="Calibri" w:hAnsi="Calibri" w:cs="Calibri"/>
                <w:color w:val="FFFFFF"/>
                <w:sz w:val="12"/>
                <w:szCs w:val="20"/>
                <w:lang w:eastAsia="en-US"/>
              </w:rPr>
            </w:pPr>
          </w:p>
        </w:tc>
        <w:tc>
          <w:tcPr>
            <w:tcW w:w="931" w:type="dxa"/>
            <w:tcBorders>
              <w:top w:val="single" w:sz="4" w:space="0" w:color="auto"/>
              <w:left w:val="nil"/>
              <w:bottom w:val="nil"/>
              <w:right w:val="nil"/>
            </w:tcBorders>
          </w:tcPr>
          <w:p w14:paraId="0A57F87E" w14:textId="77777777" w:rsidR="00371CFF" w:rsidRPr="00371CFF" w:rsidRDefault="00371CFF" w:rsidP="00371CFF">
            <w:pPr>
              <w:jc w:val="right"/>
              <w:rPr>
                <w:rFonts w:ascii="Calibri" w:hAnsi="Calibri" w:cs="Calibri"/>
                <w:color w:val="FFFFFF"/>
                <w:sz w:val="12"/>
                <w:szCs w:val="20"/>
                <w:lang w:eastAsia="en-US"/>
              </w:rPr>
            </w:pPr>
          </w:p>
        </w:tc>
        <w:tc>
          <w:tcPr>
            <w:tcW w:w="921" w:type="dxa"/>
            <w:tcBorders>
              <w:top w:val="single" w:sz="4" w:space="0" w:color="auto"/>
              <w:left w:val="nil"/>
              <w:bottom w:val="nil"/>
              <w:right w:val="nil"/>
            </w:tcBorders>
          </w:tcPr>
          <w:p w14:paraId="6BE4C154" w14:textId="77777777" w:rsidR="00371CFF" w:rsidRPr="00371CFF" w:rsidRDefault="00371CFF" w:rsidP="00371CFF">
            <w:pPr>
              <w:jc w:val="right"/>
              <w:rPr>
                <w:rFonts w:ascii="Calibri" w:hAnsi="Calibri" w:cs="Calibri"/>
                <w:color w:val="FFFFFF"/>
                <w:sz w:val="12"/>
                <w:szCs w:val="20"/>
                <w:lang w:eastAsia="en-US"/>
              </w:rPr>
            </w:pPr>
          </w:p>
        </w:tc>
        <w:tc>
          <w:tcPr>
            <w:tcW w:w="921" w:type="dxa"/>
            <w:tcBorders>
              <w:top w:val="single" w:sz="4" w:space="0" w:color="auto"/>
              <w:left w:val="nil"/>
              <w:bottom w:val="nil"/>
              <w:right w:val="nil"/>
            </w:tcBorders>
          </w:tcPr>
          <w:p w14:paraId="41D99F43" w14:textId="77777777" w:rsidR="00371CFF" w:rsidRPr="00371CFF" w:rsidRDefault="00371CFF" w:rsidP="00371CFF">
            <w:pPr>
              <w:jc w:val="right"/>
              <w:rPr>
                <w:rFonts w:ascii="Calibri" w:hAnsi="Calibri" w:cs="Calibri"/>
                <w:color w:val="FFFFFF"/>
                <w:sz w:val="12"/>
                <w:szCs w:val="20"/>
                <w:lang w:eastAsia="en-US"/>
              </w:rPr>
            </w:pPr>
          </w:p>
        </w:tc>
      </w:tr>
      <w:tr w:rsidR="00371CFF" w:rsidRPr="00371CFF" w14:paraId="6913AE59" w14:textId="77777777" w:rsidTr="00EE5AC4">
        <w:trPr>
          <w:trHeight w:val="227"/>
        </w:trPr>
        <w:tc>
          <w:tcPr>
            <w:tcW w:w="4844" w:type="dxa"/>
            <w:tcBorders>
              <w:left w:val="nil"/>
              <w:bottom w:val="nil"/>
              <w:right w:val="nil"/>
            </w:tcBorders>
          </w:tcPr>
          <w:p w14:paraId="58A853EF" w14:textId="77777777" w:rsidR="00371CFF" w:rsidRPr="00371CFF" w:rsidRDefault="00371CFF" w:rsidP="00371CFF">
            <w:pPr>
              <w:ind w:left="227" w:hanging="227"/>
              <w:rPr>
                <w:rFonts w:ascii="Calibri" w:hAnsi="Calibri"/>
                <w:b/>
                <w:bCs/>
                <w:sz w:val="20"/>
                <w:szCs w:val="20"/>
                <w:lang w:eastAsia="en-AU"/>
              </w:rPr>
            </w:pPr>
            <w:r w:rsidRPr="00371CFF">
              <w:rPr>
                <w:rFonts w:ascii="Calibri" w:hAnsi="Calibri"/>
                <w:b/>
                <w:bCs/>
                <w:sz w:val="20"/>
                <w:szCs w:val="20"/>
                <w:lang w:eastAsia="en-AU"/>
              </w:rPr>
              <w:t>Education Directorate</w:t>
            </w:r>
          </w:p>
        </w:tc>
        <w:tc>
          <w:tcPr>
            <w:tcW w:w="1095" w:type="dxa"/>
            <w:tcBorders>
              <w:left w:val="nil"/>
              <w:bottom w:val="nil"/>
              <w:right w:val="nil"/>
            </w:tcBorders>
          </w:tcPr>
          <w:p w14:paraId="4CA8CA9F" w14:textId="77777777" w:rsidR="00371CFF" w:rsidRPr="00371CFF" w:rsidRDefault="00371CFF" w:rsidP="00371CFF">
            <w:pPr>
              <w:ind w:left="227" w:hanging="227"/>
              <w:jc w:val="right"/>
              <w:rPr>
                <w:rFonts w:ascii="Calibri" w:hAnsi="Calibri"/>
                <w:b/>
                <w:sz w:val="20"/>
                <w:szCs w:val="20"/>
                <w:lang w:eastAsia="en-AU"/>
              </w:rPr>
            </w:pPr>
          </w:p>
        </w:tc>
        <w:tc>
          <w:tcPr>
            <w:tcW w:w="926" w:type="dxa"/>
            <w:tcBorders>
              <w:left w:val="nil"/>
              <w:bottom w:val="nil"/>
              <w:right w:val="nil"/>
            </w:tcBorders>
          </w:tcPr>
          <w:p w14:paraId="02720497" w14:textId="77777777" w:rsidR="00371CFF" w:rsidRPr="00371CFF" w:rsidRDefault="00371CFF" w:rsidP="00371CFF">
            <w:pPr>
              <w:ind w:left="227" w:hanging="227"/>
              <w:jc w:val="right"/>
              <w:rPr>
                <w:rFonts w:ascii="Calibri" w:hAnsi="Calibri"/>
                <w:b/>
                <w:sz w:val="20"/>
                <w:szCs w:val="20"/>
                <w:lang w:eastAsia="en-AU"/>
              </w:rPr>
            </w:pPr>
          </w:p>
        </w:tc>
        <w:tc>
          <w:tcPr>
            <w:tcW w:w="931" w:type="dxa"/>
            <w:tcBorders>
              <w:left w:val="nil"/>
              <w:bottom w:val="nil"/>
              <w:right w:val="nil"/>
            </w:tcBorders>
          </w:tcPr>
          <w:p w14:paraId="6B26CBA0" w14:textId="77777777" w:rsidR="00371CFF" w:rsidRPr="00371CFF" w:rsidRDefault="00371CFF" w:rsidP="00371CFF">
            <w:pPr>
              <w:ind w:left="227" w:hanging="227"/>
              <w:jc w:val="right"/>
              <w:rPr>
                <w:rFonts w:ascii="Calibri" w:hAnsi="Calibri"/>
                <w:b/>
                <w:sz w:val="20"/>
                <w:szCs w:val="20"/>
                <w:lang w:eastAsia="en-AU"/>
              </w:rPr>
            </w:pPr>
          </w:p>
        </w:tc>
        <w:tc>
          <w:tcPr>
            <w:tcW w:w="921" w:type="dxa"/>
            <w:tcBorders>
              <w:left w:val="nil"/>
              <w:bottom w:val="nil"/>
              <w:right w:val="nil"/>
            </w:tcBorders>
          </w:tcPr>
          <w:p w14:paraId="4A5EB0DD" w14:textId="77777777" w:rsidR="00371CFF" w:rsidRPr="00371CFF" w:rsidRDefault="00371CFF" w:rsidP="00371CFF">
            <w:pPr>
              <w:ind w:left="227" w:hanging="227"/>
              <w:jc w:val="right"/>
              <w:rPr>
                <w:rFonts w:ascii="Calibri" w:hAnsi="Calibri"/>
                <w:b/>
                <w:sz w:val="20"/>
                <w:szCs w:val="20"/>
                <w:lang w:eastAsia="en-AU"/>
              </w:rPr>
            </w:pPr>
          </w:p>
        </w:tc>
        <w:tc>
          <w:tcPr>
            <w:tcW w:w="921" w:type="dxa"/>
            <w:tcBorders>
              <w:left w:val="nil"/>
              <w:bottom w:val="nil"/>
              <w:right w:val="nil"/>
            </w:tcBorders>
          </w:tcPr>
          <w:p w14:paraId="2DB3E2E1" w14:textId="77777777" w:rsidR="00371CFF" w:rsidRPr="00371CFF" w:rsidRDefault="00371CFF" w:rsidP="00371CFF">
            <w:pPr>
              <w:ind w:left="227" w:hanging="227"/>
              <w:jc w:val="right"/>
              <w:rPr>
                <w:rFonts w:ascii="Calibri" w:hAnsi="Calibri"/>
                <w:b/>
                <w:sz w:val="20"/>
                <w:szCs w:val="20"/>
                <w:lang w:eastAsia="en-AU"/>
              </w:rPr>
            </w:pPr>
          </w:p>
        </w:tc>
      </w:tr>
      <w:tr w:rsidR="00371CFF" w:rsidRPr="00371CFF" w14:paraId="61C3EAB3" w14:textId="77777777" w:rsidTr="00EE5AC4">
        <w:trPr>
          <w:trHeight w:val="227"/>
        </w:trPr>
        <w:tc>
          <w:tcPr>
            <w:tcW w:w="4844" w:type="dxa"/>
            <w:tcBorders>
              <w:left w:val="nil"/>
              <w:bottom w:val="nil"/>
              <w:right w:val="nil"/>
            </w:tcBorders>
          </w:tcPr>
          <w:p w14:paraId="331479A7" w14:textId="77777777" w:rsidR="00371CFF" w:rsidRPr="00371CFF" w:rsidRDefault="00371CFF" w:rsidP="00371CFF">
            <w:pPr>
              <w:ind w:left="227" w:hanging="227"/>
              <w:rPr>
                <w:rFonts w:ascii="Calibri" w:hAnsi="Calibri"/>
                <w:bCs/>
                <w:color w:val="000000"/>
                <w:sz w:val="20"/>
                <w:szCs w:val="20"/>
                <w:vertAlign w:val="superscript"/>
                <w:lang w:eastAsia="en-AU"/>
              </w:rPr>
            </w:pPr>
            <w:r w:rsidRPr="00371CFF">
              <w:rPr>
                <w:rFonts w:ascii="Calibri" w:hAnsi="Calibri"/>
                <w:bCs/>
                <w:color w:val="000000"/>
                <w:sz w:val="20"/>
                <w:szCs w:val="20"/>
                <w:lang w:eastAsia="en-AU"/>
              </w:rPr>
              <w:t xml:space="preserve">Delivering a new high school at Kenny </w:t>
            </w:r>
            <w:r w:rsidRPr="00371CFF">
              <w:rPr>
                <w:rFonts w:ascii="Calibri" w:hAnsi="Calibri"/>
                <w:bCs/>
                <w:color w:val="000000"/>
                <w:sz w:val="20"/>
                <w:szCs w:val="20"/>
                <w:vertAlign w:val="superscript"/>
                <w:lang w:eastAsia="en-AU"/>
              </w:rPr>
              <w:t>2</w:t>
            </w:r>
          </w:p>
        </w:tc>
        <w:tc>
          <w:tcPr>
            <w:tcW w:w="1095" w:type="dxa"/>
            <w:tcBorders>
              <w:left w:val="nil"/>
              <w:bottom w:val="nil"/>
              <w:right w:val="nil"/>
            </w:tcBorders>
          </w:tcPr>
          <w:p w14:paraId="338BD608"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0</w:t>
            </w:r>
          </w:p>
        </w:tc>
        <w:tc>
          <w:tcPr>
            <w:tcW w:w="926" w:type="dxa"/>
            <w:tcBorders>
              <w:left w:val="nil"/>
              <w:bottom w:val="nil"/>
              <w:right w:val="nil"/>
            </w:tcBorders>
          </w:tcPr>
          <w:p w14:paraId="169ECCFF" w14:textId="77777777" w:rsidR="00371CFF" w:rsidRPr="00371CFF" w:rsidRDefault="00371CFF" w:rsidP="00371CFF">
            <w:pPr>
              <w:ind w:left="227" w:hanging="227"/>
              <w:jc w:val="right"/>
              <w:rPr>
                <w:rFonts w:ascii="Calibri" w:hAnsi="Calibri"/>
                <w:sz w:val="20"/>
                <w:szCs w:val="20"/>
                <w:lang w:eastAsia="en-AU"/>
              </w:rPr>
            </w:pPr>
            <w:proofErr w:type="spellStart"/>
            <w:r w:rsidRPr="00371CFF">
              <w:rPr>
                <w:rFonts w:ascii="Calibri" w:hAnsi="Calibri"/>
                <w:sz w:val="20"/>
                <w:szCs w:val="20"/>
                <w:lang w:eastAsia="en-AU"/>
              </w:rPr>
              <w:t>NFP</w:t>
            </w:r>
            <w:proofErr w:type="spellEnd"/>
          </w:p>
        </w:tc>
        <w:tc>
          <w:tcPr>
            <w:tcW w:w="931" w:type="dxa"/>
            <w:tcBorders>
              <w:left w:val="nil"/>
              <w:bottom w:val="nil"/>
              <w:right w:val="nil"/>
            </w:tcBorders>
          </w:tcPr>
          <w:p w14:paraId="652B0F2D" w14:textId="77777777" w:rsidR="00371CFF" w:rsidRPr="00371CFF" w:rsidRDefault="00371CFF" w:rsidP="00371CFF">
            <w:pPr>
              <w:ind w:left="227" w:hanging="227"/>
              <w:jc w:val="right"/>
              <w:rPr>
                <w:rFonts w:ascii="Calibri" w:hAnsi="Calibri"/>
                <w:sz w:val="20"/>
                <w:szCs w:val="20"/>
                <w:lang w:eastAsia="en-AU"/>
              </w:rPr>
            </w:pPr>
            <w:proofErr w:type="spellStart"/>
            <w:r w:rsidRPr="00371CFF">
              <w:rPr>
                <w:rFonts w:ascii="Calibri" w:hAnsi="Calibri"/>
                <w:sz w:val="20"/>
                <w:szCs w:val="20"/>
                <w:lang w:eastAsia="en-AU"/>
              </w:rPr>
              <w:t>NFP</w:t>
            </w:r>
            <w:proofErr w:type="spellEnd"/>
          </w:p>
        </w:tc>
        <w:tc>
          <w:tcPr>
            <w:tcW w:w="921" w:type="dxa"/>
            <w:tcBorders>
              <w:left w:val="nil"/>
              <w:bottom w:val="nil"/>
              <w:right w:val="nil"/>
            </w:tcBorders>
          </w:tcPr>
          <w:p w14:paraId="3FF2288F" w14:textId="77777777" w:rsidR="00371CFF" w:rsidRPr="00371CFF" w:rsidRDefault="00371CFF" w:rsidP="00371CFF">
            <w:pPr>
              <w:ind w:left="227" w:hanging="227"/>
              <w:jc w:val="right"/>
              <w:rPr>
                <w:rFonts w:ascii="Calibri" w:hAnsi="Calibri"/>
                <w:sz w:val="20"/>
                <w:szCs w:val="20"/>
                <w:lang w:eastAsia="en-AU"/>
              </w:rPr>
            </w:pPr>
            <w:proofErr w:type="spellStart"/>
            <w:r w:rsidRPr="00371CFF">
              <w:rPr>
                <w:rFonts w:ascii="Calibri" w:hAnsi="Calibri"/>
                <w:sz w:val="20"/>
                <w:szCs w:val="20"/>
                <w:lang w:eastAsia="en-AU"/>
              </w:rPr>
              <w:t>NFP</w:t>
            </w:r>
            <w:proofErr w:type="spellEnd"/>
          </w:p>
        </w:tc>
        <w:tc>
          <w:tcPr>
            <w:tcW w:w="921" w:type="dxa"/>
            <w:tcBorders>
              <w:left w:val="nil"/>
              <w:bottom w:val="nil"/>
              <w:right w:val="nil"/>
            </w:tcBorders>
          </w:tcPr>
          <w:p w14:paraId="480ACF6A" w14:textId="77777777" w:rsidR="00371CFF" w:rsidRPr="00371CFF" w:rsidRDefault="00371CFF" w:rsidP="00371CFF">
            <w:pPr>
              <w:ind w:left="227" w:hanging="227"/>
              <w:jc w:val="right"/>
              <w:rPr>
                <w:rFonts w:ascii="Calibri" w:hAnsi="Calibri"/>
                <w:sz w:val="20"/>
                <w:szCs w:val="20"/>
                <w:lang w:eastAsia="en-AU"/>
              </w:rPr>
            </w:pPr>
            <w:proofErr w:type="spellStart"/>
            <w:r w:rsidRPr="00371CFF">
              <w:rPr>
                <w:rFonts w:ascii="Calibri" w:hAnsi="Calibri"/>
                <w:sz w:val="20"/>
                <w:szCs w:val="20"/>
                <w:lang w:eastAsia="en-AU"/>
              </w:rPr>
              <w:t>NFP</w:t>
            </w:r>
            <w:proofErr w:type="spellEnd"/>
          </w:p>
        </w:tc>
      </w:tr>
      <w:tr w:rsidR="00371CFF" w:rsidRPr="00371CFF" w14:paraId="03D9CF5F" w14:textId="77777777" w:rsidTr="00EE5AC4">
        <w:trPr>
          <w:trHeight w:val="227"/>
        </w:trPr>
        <w:tc>
          <w:tcPr>
            <w:tcW w:w="4844" w:type="dxa"/>
            <w:tcBorders>
              <w:left w:val="nil"/>
              <w:bottom w:val="nil"/>
              <w:right w:val="nil"/>
            </w:tcBorders>
          </w:tcPr>
          <w:p w14:paraId="340FC306" w14:textId="77777777" w:rsidR="00371CFF" w:rsidRPr="00371CFF" w:rsidRDefault="00371CFF" w:rsidP="00371CFF">
            <w:pPr>
              <w:ind w:left="227" w:hanging="227"/>
              <w:rPr>
                <w:rFonts w:ascii="Calibri" w:hAnsi="Calibri"/>
                <w:bCs/>
                <w:color w:val="000000"/>
                <w:sz w:val="20"/>
                <w:szCs w:val="20"/>
                <w:lang w:eastAsia="en-AU"/>
              </w:rPr>
            </w:pPr>
            <w:r w:rsidRPr="00371CFF">
              <w:rPr>
                <w:rFonts w:ascii="Calibri" w:hAnsi="Calibri"/>
                <w:bCs/>
                <w:color w:val="000000"/>
                <w:sz w:val="20"/>
                <w:szCs w:val="20"/>
                <w:lang w:eastAsia="en-AU"/>
              </w:rPr>
              <w:t xml:space="preserve">Delivering a new primary school at Throsby </w:t>
            </w:r>
            <w:r w:rsidRPr="00371CFF">
              <w:rPr>
                <w:rFonts w:ascii="Calibri" w:hAnsi="Calibri"/>
                <w:bCs/>
                <w:color w:val="000000"/>
                <w:sz w:val="20"/>
                <w:szCs w:val="20"/>
                <w:vertAlign w:val="superscript"/>
                <w:lang w:eastAsia="en-AU"/>
              </w:rPr>
              <w:t>2</w:t>
            </w:r>
          </w:p>
        </w:tc>
        <w:tc>
          <w:tcPr>
            <w:tcW w:w="1095" w:type="dxa"/>
            <w:tcBorders>
              <w:left w:val="nil"/>
              <w:bottom w:val="nil"/>
              <w:right w:val="nil"/>
            </w:tcBorders>
          </w:tcPr>
          <w:p w14:paraId="5BB98988"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1,195</w:t>
            </w:r>
          </w:p>
        </w:tc>
        <w:tc>
          <w:tcPr>
            <w:tcW w:w="926" w:type="dxa"/>
            <w:tcBorders>
              <w:left w:val="nil"/>
              <w:bottom w:val="nil"/>
              <w:right w:val="nil"/>
            </w:tcBorders>
          </w:tcPr>
          <w:p w14:paraId="77DE03C4"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19,761</w:t>
            </w:r>
          </w:p>
        </w:tc>
        <w:tc>
          <w:tcPr>
            <w:tcW w:w="931" w:type="dxa"/>
            <w:tcBorders>
              <w:left w:val="nil"/>
              <w:bottom w:val="nil"/>
              <w:right w:val="nil"/>
            </w:tcBorders>
          </w:tcPr>
          <w:p w14:paraId="1B435C7C"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21,859</w:t>
            </w:r>
          </w:p>
        </w:tc>
        <w:tc>
          <w:tcPr>
            <w:tcW w:w="921" w:type="dxa"/>
            <w:tcBorders>
              <w:left w:val="nil"/>
              <w:bottom w:val="nil"/>
              <w:right w:val="nil"/>
            </w:tcBorders>
          </w:tcPr>
          <w:p w14:paraId="023FB247"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1,098</w:t>
            </w:r>
          </w:p>
        </w:tc>
        <w:tc>
          <w:tcPr>
            <w:tcW w:w="921" w:type="dxa"/>
            <w:tcBorders>
              <w:left w:val="nil"/>
              <w:bottom w:val="nil"/>
              <w:right w:val="nil"/>
            </w:tcBorders>
          </w:tcPr>
          <w:p w14:paraId="60A70E3B"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43,913</w:t>
            </w:r>
          </w:p>
        </w:tc>
      </w:tr>
      <w:tr w:rsidR="00371CFF" w:rsidRPr="00371CFF" w14:paraId="7CCB8342" w14:textId="77777777" w:rsidTr="00EE5AC4">
        <w:trPr>
          <w:trHeight w:val="182"/>
        </w:trPr>
        <w:tc>
          <w:tcPr>
            <w:tcW w:w="4844" w:type="dxa"/>
            <w:tcBorders>
              <w:left w:val="nil"/>
              <w:bottom w:val="nil"/>
              <w:right w:val="nil"/>
            </w:tcBorders>
          </w:tcPr>
          <w:p w14:paraId="55F52323" w14:textId="77777777" w:rsidR="00371CFF" w:rsidRPr="00371CFF" w:rsidRDefault="00371CFF" w:rsidP="00371CFF">
            <w:pPr>
              <w:ind w:left="227" w:hanging="227"/>
              <w:rPr>
                <w:rFonts w:ascii="Calibri" w:hAnsi="Calibri"/>
                <w:bCs/>
                <w:color w:val="000000"/>
                <w:sz w:val="20"/>
                <w:szCs w:val="20"/>
                <w:vertAlign w:val="superscript"/>
                <w:lang w:eastAsia="en-AU"/>
              </w:rPr>
            </w:pPr>
            <w:r w:rsidRPr="00371CFF">
              <w:rPr>
                <w:rFonts w:ascii="Calibri" w:hAnsi="Calibri"/>
                <w:bCs/>
                <w:color w:val="000000"/>
                <w:sz w:val="20"/>
                <w:szCs w:val="20"/>
                <w:lang w:eastAsia="en-AU"/>
              </w:rPr>
              <w:t xml:space="preserve">Delivering secure local jobs for school cleaners </w:t>
            </w:r>
            <w:r w:rsidRPr="00371CFF">
              <w:rPr>
                <w:rFonts w:ascii="Calibri" w:hAnsi="Calibri"/>
                <w:bCs/>
                <w:color w:val="000000"/>
                <w:sz w:val="20"/>
                <w:szCs w:val="20"/>
                <w:vertAlign w:val="superscript"/>
                <w:lang w:eastAsia="en-AU"/>
              </w:rPr>
              <w:t>2</w:t>
            </w:r>
          </w:p>
        </w:tc>
        <w:tc>
          <w:tcPr>
            <w:tcW w:w="1095" w:type="dxa"/>
            <w:tcBorders>
              <w:left w:val="nil"/>
              <w:bottom w:val="nil"/>
              <w:right w:val="nil"/>
            </w:tcBorders>
          </w:tcPr>
          <w:p w14:paraId="3851D553"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1,610</w:t>
            </w:r>
          </w:p>
        </w:tc>
        <w:tc>
          <w:tcPr>
            <w:tcW w:w="926" w:type="dxa"/>
            <w:tcBorders>
              <w:left w:val="nil"/>
              <w:bottom w:val="nil"/>
              <w:right w:val="nil"/>
            </w:tcBorders>
          </w:tcPr>
          <w:p w14:paraId="3671A24D"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0</w:t>
            </w:r>
          </w:p>
        </w:tc>
        <w:tc>
          <w:tcPr>
            <w:tcW w:w="931" w:type="dxa"/>
            <w:tcBorders>
              <w:left w:val="nil"/>
              <w:bottom w:val="nil"/>
              <w:right w:val="nil"/>
            </w:tcBorders>
          </w:tcPr>
          <w:p w14:paraId="406C32F3"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0</w:t>
            </w:r>
          </w:p>
        </w:tc>
        <w:tc>
          <w:tcPr>
            <w:tcW w:w="921" w:type="dxa"/>
            <w:tcBorders>
              <w:left w:val="nil"/>
              <w:bottom w:val="nil"/>
              <w:right w:val="nil"/>
            </w:tcBorders>
          </w:tcPr>
          <w:p w14:paraId="11EB58FD"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0</w:t>
            </w:r>
          </w:p>
        </w:tc>
        <w:tc>
          <w:tcPr>
            <w:tcW w:w="921" w:type="dxa"/>
            <w:tcBorders>
              <w:left w:val="nil"/>
              <w:bottom w:val="nil"/>
              <w:right w:val="nil"/>
            </w:tcBorders>
          </w:tcPr>
          <w:p w14:paraId="0CC1AB0B"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1,610</w:t>
            </w:r>
          </w:p>
        </w:tc>
      </w:tr>
      <w:tr w:rsidR="00371CFF" w:rsidRPr="00371CFF" w14:paraId="47EC3112" w14:textId="77777777" w:rsidTr="00EE5AC4">
        <w:trPr>
          <w:trHeight w:val="227"/>
        </w:trPr>
        <w:tc>
          <w:tcPr>
            <w:tcW w:w="4844" w:type="dxa"/>
            <w:tcBorders>
              <w:left w:val="nil"/>
              <w:bottom w:val="nil"/>
              <w:right w:val="nil"/>
            </w:tcBorders>
          </w:tcPr>
          <w:p w14:paraId="26777902" w14:textId="77777777" w:rsidR="00371CFF" w:rsidRPr="00371CFF" w:rsidRDefault="00371CFF" w:rsidP="00371CFF">
            <w:pPr>
              <w:ind w:left="227" w:hanging="227"/>
              <w:rPr>
                <w:rFonts w:ascii="Calibri" w:hAnsi="Calibri"/>
                <w:bCs/>
                <w:color w:val="000000"/>
                <w:sz w:val="20"/>
                <w:szCs w:val="20"/>
                <w:lang w:eastAsia="en-AU"/>
              </w:rPr>
            </w:pPr>
            <w:r w:rsidRPr="00371CFF">
              <w:rPr>
                <w:rFonts w:ascii="Calibri" w:hAnsi="Calibri"/>
                <w:bCs/>
                <w:color w:val="000000"/>
                <w:sz w:val="20"/>
                <w:szCs w:val="20"/>
                <w:lang w:eastAsia="en-AU"/>
              </w:rPr>
              <w:t xml:space="preserve">Expanded facilities for Gungahlin College </w:t>
            </w:r>
          </w:p>
        </w:tc>
        <w:tc>
          <w:tcPr>
            <w:tcW w:w="1095" w:type="dxa"/>
            <w:tcBorders>
              <w:left w:val="nil"/>
              <w:bottom w:val="nil"/>
              <w:right w:val="nil"/>
            </w:tcBorders>
          </w:tcPr>
          <w:p w14:paraId="506A0948"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1,269</w:t>
            </w:r>
          </w:p>
        </w:tc>
        <w:tc>
          <w:tcPr>
            <w:tcW w:w="926" w:type="dxa"/>
            <w:tcBorders>
              <w:left w:val="nil"/>
              <w:bottom w:val="nil"/>
              <w:right w:val="nil"/>
            </w:tcBorders>
          </w:tcPr>
          <w:p w14:paraId="0EF2FAE8"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0</w:t>
            </w:r>
          </w:p>
        </w:tc>
        <w:tc>
          <w:tcPr>
            <w:tcW w:w="931" w:type="dxa"/>
            <w:tcBorders>
              <w:left w:val="nil"/>
              <w:bottom w:val="nil"/>
              <w:right w:val="nil"/>
            </w:tcBorders>
          </w:tcPr>
          <w:p w14:paraId="1A905167"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0</w:t>
            </w:r>
          </w:p>
        </w:tc>
        <w:tc>
          <w:tcPr>
            <w:tcW w:w="921" w:type="dxa"/>
            <w:tcBorders>
              <w:left w:val="nil"/>
              <w:bottom w:val="nil"/>
              <w:right w:val="nil"/>
            </w:tcBorders>
          </w:tcPr>
          <w:p w14:paraId="2D8F9BF5"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0</w:t>
            </w:r>
          </w:p>
        </w:tc>
        <w:tc>
          <w:tcPr>
            <w:tcW w:w="921" w:type="dxa"/>
            <w:tcBorders>
              <w:left w:val="nil"/>
              <w:bottom w:val="nil"/>
              <w:right w:val="nil"/>
            </w:tcBorders>
          </w:tcPr>
          <w:p w14:paraId="795EE10A"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1,269</w:t>
            </w:r>
          </w:p>
        </w:tc>
      </w:tr>
      <w:tr w:rsidR="00371CFF" w:rsidRPr="00371CFF" w14:paraId="45A68836" w14:textId="77777777" w:rsidTr="00EE5AC4">
        <w:trPr>
          <w:trHeight w:val="227"/>
        </w:trPr>
        <w:tc>
          <w:tcPr>
            <w:tcW w:w="4844" w:type="dxa"/>
            <w:tcBorders>
              <w:left w:val="nil"/>
              <w:bottom w:val="nil"/>
              <w:right w:val="nil"/>
            </w:tcBorders>
          </w:tcPr>
          <w:p w14:paraId="4B2363DE" w14:textId="77777777" w:rsidR="00371CFF" w:rsidRPr="00371CFF" w:rsidRDefault="00371CFF" w:rsidP="00371CFF">
            <w:pPr>
              <w:ind w:left="227" w:hanging="227"/>
              <w:rPr>
                <w:rFonts w:ascii="Calibri" w:hAnsi="Calibri"/>
                <w:bCs/>
                <w:color w:val="000000"/>
                <w:sz w:val="20"/>
                <w:szCs w:val="20"/>
                <w:vertAlign w:val="superscript"/>
                <w:lang w:eastAsia="en-AU"/>
              </w:rPr>
            </w:pPr>
            <w:r w:rsidRPr="00371CFF">
              <w:rPr>
                <w:rFonts w:ascii="Calibri" w:hAnsi="Calibri"/>
                <w:bCs/>
                <w:color w:val="000000"/>
                <w:sz w:val="20"/>
                <w:szCs w:val="20"/>
                <w:lang w:eastAsia="en-AU"/>
              </w:rPr>
              <w:t xml:space="preserve">Expanding Franklin Early Childhood School </w:t>
            </w:r>
            <w:r w:rsidRPr="00371CFF">
              <w:rPr>
                <w:rFonts w:ascii="Calibri" w:hAnsi="Calibri"/>
                <w:bCs/>
                <w:color w:val="000000"/>
                <w:sz w:val="20"/>
                <w:szCs w:val="20"/>
                <w:vertAlign w:val="superscript"/>
                <w:lang w:eastAsia="en-AU"/>
              </w:rPr>
              <w:t>2</w:t>
            </w:r>
          </w:p>
        </w:tc>
        <w:tc>
          <w:tcPr>
            <w:tcW w:w="1095" w:type="dxa"/>
            <w:tcBorders>
              <w:left w:val="nil"/>
              <w:bottom w:val="nil"/>
              <w:right w:val="nil"/>
            </w:tcBorders>
          </w:tcPr>
          <w:p w14:paraId="27BB1DCE"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2,000</w:t>
            </w:r>
          </w:p>
        </w:tc>
        <w:tc>
          <w:tcPr>
            <w:tcW w:w="926" w:type="dxa"/>
            <w:tcBorders>
              <w:left w:val="nil"/>
              <w:bottom w:val="nil"/>
              <w:right w:val="nil"/>
            </w:tcBorders>
          </w:tcPr>
          <w:p w14:paraId="50733FBA"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24,000</w:t>
            </w:r>
          </w:p>
        </w:tc>
        <w:tc>
          <w:tcPr>
            <w:tcW w:w="931" w:type="dxa"/>
            <w:tcBorders>
              <w:left w:val="nil"/>
              <w:bottom w:val="nil"/>
              <w:right w:val="nil"/>
            </w:tcBorders>
          </w:tcPr>
          <w:p w14:paraId="70609EE1"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3,447</w:t>
            </w:r>
          </w:p>
        </w:tc>
        <w:tc>
          <w:tcPr>
            <w:tcW w:w="921" w:type="dxa"/>
            <w:tcBorders>
              <w:left w:val="nil"/>
              <w:bottom w:val="nil"/>
              <w:right w:val="nil"/>
            </w:tcBorders>
          </w:tcPr>
          <w:p w14:paraId="45BC158C"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0</w:t>
            </w:r>
          </w:p>
        </w:tc>
        <w:tc>
          <w:tcPr>
            <w:tcW w:w="921" w:type="dxa"/>
            <w:tcBorders>
              <w:left w:val="nil"/>
              <w:bottom w:val="nil"/>
              <w:right w:val="nil"/>
            </w:tcBorders>
          </w:tcPr>
          <w:p w14:paraId="5B9386C8"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29,447</w:t>
            </w:r>
          </w:p>
        </w:tc>
      </w:tr>
      <w:tr w:rsidR="00371CFF" w:rsidRPr="00371CFF" w14:paraId="189B4FB0" w14:textId="77777777" w:rsidTr="00EE5AC4">
        <w:trPr>
          <w:trHeight w:val="227"/>
        </w:trPr>
        <w:tc>
          <w:tcPr>
            <w:tcW w:w="4844" w:type="dxa"/>
            <w:tcBorders>
              <w:left w:val="nil"/>
              <w:bottom w:val="nil"/>
              <w:right w:val="nil"/>
            </w:tcBorders>
          </w:tcPr>
          <w:p w14:paraId="20C46C7D" w14:textId="77777777" w:rsidR="00371CFF" w:rsidRPr="00371CFF" w:rsidRDefault="00371CFF" w:rsidP="00371CFF">
            <w:pPr>
              <w:ind w:left="227" w:hanging="227"/>
              <w:rPr>
                <w:rFonts w:ascii="Calibri" w:hAnsi="Calibri"/>
                <w:bCs/>
                <w:color w:val="000000"/>
                <w:sz w:val="20"/>
                <w:szCs w:val="20"/>
                <w:vertAlign w:val="superscript"/>
                <w:lang w:eastAsia="en-AU"/>
              </w:rPr>
            </w:pPr>
            <w:r w:rsidRPr="00371CFF">
              <w:rPr>
                <w:rFonts w:ascii="Calibri" w:hAnsi="Calibri"/>
                <w:bCs/>
                <w:color w:val="000000"/>
                <w:sz w:val="20"/>
                <w:szCs w:val="20"/>
                <w:lang w:eastAsia="en-AU"/>
              </w:rPr>
              <w:t xml:space="preserve">More places for students at Gold Creek School’s senior campus </w:t>
            </w:r>
            <w:r w:rsidRPr="00371CFF">
              <w:rPr>
                <w:rFonts w:ascii="Calibri" w:hAnsi="Calibri"/>
                <w:bCs/>
                <w:color w:val="000000"/>
                <w:sz w:val="20"/>
                <w:szCs w:val="20"/>
                <w:vertAlign w:val="superscript"/>
                <w:lang w:eastAsia="en-AU"/>
              </w:rPr>
              <w:t>2</w:t>
            </w:r>
          </w:p>
        </w:tc>
        <w:tc>
          <w:tcPr>
            <w:tcW w:w="1095" w:type="dxa"/>
            <w:tcBorders>
              <w:left w:val="nil"/>
              <w:bottom w:val="nil"/>
              <w:right w:val="nil"/>
            </w:tcBorders>
          </w:tcPr>
          <w:p w14:paraId="2A82CE54"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750</w:t>
            </w:r>
          </w:p>
        </w:tc>
        <w:tc>
          <w:tcPr>
            <w:tcW w:w="926" w:type="dxa"/>
            <w:tcBorders>
              <w:left w:val="nil"/>
              <w:bottom w:val="nil"/>
              <w:right w:val="nil"/>
            </w:tcBorders>
          </w:tcPr>
          <w:p w14:paraId="77323AF6"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2,214</w:t>
            </w:r>
          </w:p>
        </w:tc>
        <w:tc>
          <w:tcPr>
            <w:tcW w:w="931" w:type="dxa"/>
            <w:tcBorders>
              <w:left w:val="nil"/>
              <w:bottom w:val="nil"/>
              <w:right w:val="nil"/>
            </w:tcBorders>
          </w:tcPr>
          <w:p w14:paraId="5D0CF663"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3,478</w:t>
            </w:r>
          </w:p>
        </w:tc>
        <w:tc>
          <w:tcPr>
            <w:tcW w:w="921" w:type="dxa"/>
            <w:tcBorders>
              <w:left w:val="nil"/>
              <w:bottom w:val="nil"/>
              <w:right w:val="nil"/>
            </w:tcBorders>
          </w:tcPr>
          <w:p w14:paraId="55551A17"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0</w:t>
            </w:r>
          </w:p>
        </w:tc>
        <w:tc>
          <w:tcPr>
            <w:tcW w:w="921" w:type="dxa"/>
            <w:tcBorders>
              <w:left w:val="nil"/>
              <w:bottom w:val="nil"/>
              <w:right w:val="nil"/>
            </w:tcBorders>
          </w:tcPr>
          <w:p w14:paraId="3CD6D44D"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6,442</w:t>
            </w:r>
          </w:p>
        </w:tc>
      </w:tr>
      <w:tr w:rsidR="00371CFF" w:rsidRPr="00371CFF" w14:paraId="2201603B" w14:textId="77777777" w:rsidTr="00EE5AC4">
        <w:trPr>
          <w:trHeight w:val="227"/>
        </w:trPr>
        <w:tc>
          <w:tcPr>
            <w:tcW w:w="4844" w:type="dxa"/>
            <w:tcBorders>
              <w:left w:val="nil"/>
              <w:bottom w:val="nil"/>
              <w:right w:val="nil"/>
            </w:tcBorders>
          </w:tcPr>
          <w:p w14:paraId="194CD1E1" w14:textId="77777777" w:rsidR="00371CFF" w:rsidRPr="00371CFF" w:rsidRDefault="00371CFF" w:rsidP="00371CFF">
            <w:pPr>
              <w:ind w:left="227" w:hanging="227"/>
              <w:rPr>
                <w:rFonts w:ascii="Calibri" w:hAnsi="Calibri"/>
                <w:bCs/>
                <w:color w:val="000000"/>
                <w:sz w:val="20"/>
                <w:szCs w:val="20"/>
                <w:lang w:eastAsia="en-AU"/>
              </w:rPr>
            </w:pPr>
            <w:r w:rsidRPr="00371CFF">
              <w:rPr>
                <w:rFonts w:ascii="Calibri" w:hAnsi="Calibri"/>
                <w:bCs/>
                <w:color w:val="000000"/>
                <w:sz w:val="20"/>
                <w:szCs w:val="20"/>
                <w:lang w:eastAsia="en-AU"/>
              </w:rPr>
              <w:t xml:space="preserve">More places for students at northside schools </w:t>
            </w:r>
            <w:r w:rsidRPr="00371CFF">
              <w:rPr>
                <w:rFonts w:ascii="Calibri" w:hAnsi="Calibri"/>
                <w:bCs/>
                <w:color w:val="000000"/>
                <w:sz w:val="20"/>
                <w:szCs w:val="20"/>
                <w:vertAlign w:val="superscript"/>
                <w:lang w:eastAsia="en-AU"/>
              </w:rPr>
              <w:t>2</w:t>
            </w:r>
          </w:p>
        </w:tc>
        <w:tc>
          <w:tcPr>
            <w:tcW w:w="1095" w:type="dxa"/>
            <w:tcBorders>
              <w:left w:val="nil"/>
              <w:bottom w:val="nil"/>
              <w:right w:val="nil"/>
            </w:tcBorders>
          </w:tcPr>
          <w:p w14:paraId="331C6E65"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4,404</w:t>
            </w:r>
          </w:p>
        </w:tc>
        <w:tc>
          <w:tcPr>
            <w:tcW w:w="926" w:type="dxa"/>
            <w:tcBorders>
              <w:left w:val="nil"/>
              <w:bottom w:val="nil"/>
              <w:right w:val="nil"/>
            </w:tcBorders>
          </w:tcPr>
          <w:p w14:paraId="64C3E15F"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4,100</w:t>
            </w:r>
          </w:p>
        </w:tc>
        <w:tc>
          <w:tcPr>
            <w:tcW w:w="931" w:type="dxa"/>
            <w:tcBorders>
              <w:left w:val="nil"/>
              <w:bottom w:val="nil"/>
              <w:right w:val="nil"/>
            </w:tcBorders>
          </w:tcPr>
          <w:p w14:paraId="49A9DAB2"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0</w:t>
            </w:r>
          </w:p>
        </w:tc>
        <w:tc>
          <w:tcPr>
            <w:tcW w:w="921" w:type="dxa"/>
            <w:tcBorders>
              <w:left w:val="nil"/>
              <w:bottom w:val="nil"/>
              <w:right w:val="nil"/>
            </w:tcBorders>
          </w:tcPr>
          <w:p w14:paraId="1437A8B2"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0</w:t>
            </w:r>
          </w:p>
        </w:tc>
        <w:tc>
          <w:tcPr>
            <w:tcW w:w="921" w:type="dxa"/>
            <w:tcBorders>
              <w:left w:val="nil"/>
              <w:bottom w:val="nil"/>
              <w:right w:val="nil"/>
            </w:tcBorders>
          </w:tcPr>
          <w:p w14:paraId="364F79D3"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8,504</w:t>
            </w:r>
          </w:p>
        </w:tc>
      </w:tr>
      <w:tr w:rsidR="00371CFF" w:rsidRPr="00371CFF" w14:paraId="0D943573" w14:textId="77777777" w:rsidTr="00EE5AC4">
        <w:trPr>
          <w:trHeight w:val="227"/>
        </w:trPr>
        <w:tc>
          <w:tcPr>
            <w:tcW w:w="4844" w:type="dxa"/>
            <w:tcBorders>
              <w:left w:val="nil"/>
              <w:bottom w:val="nil"/>
              <w:right w:val="nil"/>
            </w:tcBorders>
          </w:tcPr>
          <w:p w14:paraId="29D58356" w14:textId="77777777" w:rsidR="00371CFF" w:rsidRPr="00371CFF" w:rsidRDefault="00371CFF" w:rsidP="00371CFF">
            <w:pPr>
              <w:rPr>
                <w:rFonts w:ascii="Calibri" w:hAnsi="Calibri"/>
                <w:color w:val="000000"/>
                <w:sz w:val="20"/>
                <w:szCs w:val="20"/>
                <w:vertAlign w:val="superscript"/>
                <w:lang w:eastAsia="en-US"/>
              </w:rPr>
            </w:pPr>
            <w:r w:rsidRPr="00371CFF">
              <w:rPr>
                <w:rFonts w:ascii="Calibri" w:hAnsi="Calibri"/>
                <w:color w:val="000000"/>
                <w:sz w:val="20"/>
                <w:szCs w:val="20"/>
                <w:lang w:eastAsia="en-US"/>
              </w:rPr>
              <w:t xml:space="preserve">Planning for Canberra’s future school needs </w:t>
            </w:r>
            <w:r w:rsidRPr="00371CFF">
              <w:rPr>
                <w:rFonts w:ascii="Calibri" w:hAnsi="Calibri"/>
                <w:color w:val="000000"/>
                <w:sz w:val="20"/>
                <w:szCs w:val="20"/>
                <w:vertAlign w:val="superscript"/>
                <w:lang w:eastAsia="en-US"/>
              </w:rPr>
              <w:t>2</w:t>
            </w:r>
          </w:p>
        </w:tc>
        <w:tc>
          <w:tcPr>
            <w:tcW w:w="1095" w:type="dxa"/>
            <w:tcBorders>
              <w:left w:val="nil"/>
              <w:bottom w:val="nil"/>
              <w:right w:val="nil"/>
            </w:tcBorders>
          </w:tcPr>
          <w:p w14:paraId="7F1C5427"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883</w:t>
            </w:r>
          </w:p>
        </w:tc>
        <w:tc>
          <w:tcPr>
            <w:tcW w:w="926" w:type="dxa"/>
            <w:tcBorders>
              <w:left w:val="nil"/>
              <w:bottom w:val="nil"/>
              <w:right w:val="nil"/>
            </w:tcBorders>
          </w:tcPr>
          <w:p w14:paraId="7CD55B2B"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715</w:t>
            </w:r>
          </w:p>
        </w:tc>
        <w:tc>
          <w:tcPr>
            <w:tcW w:w="931" w:type="dxa"/>
            <w:tcBorders>
              <w:left w:val="nil"/>
              <w:bottom w:val="nil"/>
              <w:right w:val="nil"/>
            </w:tcBorders>
          </w:tcPr>
          <w:p w14:paraId="20177C54"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455</w:t>
            </w:r>
          </w:p>
        </w:tc>
        <w:tc>
          <w:tcPr>
            <w:tcW w:w="921" w:type="dxa"/>
            <w:tcBorders>
              <w:left w:val="nil"/>
              <w:bottom w:val="nil"/>
              <w:right w:val="nil"/>
            </w:tcBorders>
          </w:tcPr>
          <w:p w14:paraId="40097829"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0</w:t>
            </w:r>
          </w:p>
        </w:tc>
        <w:tc>
          <w:tcPr>
            <w:tcW w:w="921" w:type="dxa"/>
            <w:tcBorders>
              <w:left w:val="nil"/>
              <w:bottom w:val="nil"/>
              <w:right w:val="nil"/>
            </w:tcBorders>
          </w:tcPr>
          <w:p w14:paraId="465387F9"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2,053</w:t>
            </w:r>
          </w:p>
        </w:tc>
      </w:tr>
      <w:tr w:rsidR="00371CFF" w:rsidRPr="00371CFF" w14:paraId="1BAA5A7D" w14:textId="77777777" w:rsidTr="00EE5AC4">
        <w:trPr>
          <w:trHeight w:val="227"/>
        </w:trPr>
        <w:tc>
          <w:tcPr>
            <w:tcW w:w="4844" w:type="dxa"/>
            <w:tcBorders>
              <w:left w:val="nil"/>
              <w:bottom w:val="nil"/>
              <w:right w:val="nil"/>
            </w:tcBorders>
          </w:tcPr>
          <w:p w14:paraId="09D33607" w14:textId="77777777" w:rsidR="00371CFF" w:rsidRPr="00371CFF" w:rsidRDefault="00371CFF" w:rsidP="00371CFF">
            <w:pPr>
              <w:rPr>
                <w:rFonts w:ascii="Calibri" w:hAnsi="Calibri"/>
                <w:color w:val="000000"/>
                <w:sz w:val="20"/>
                <w:szCs w:val="20"/>
                <w:lang w:eastAsia="en-US"/>
              </w:rPr>
            </w:pPr>
          </w:p>
        </w:tc>
        <w:tc>
          <w:tcPr>
            <w:tcW w:w="1095" w:type="dxa"/>
            <w:tcBorders>
              <w:left w:val="nil"/>
              <w:bottom w:val="nil"/>
              <w:right w:val="nil"/>
            </w:tcBorders>
          </w:tcPr>
          <w:p w14:paraId="06CC5555" w14:textId="77777777" w:rsidR="00371CFF" w:rsidRPr="00371CFF" w:rsidRDefault="00371CFF" w:rsidP="00371CFF">
            <w:pPr>
              <w:ind w:left="227" w:hanging="227"/>
              <w:jc w:val="right"/>
              <w:rPr>
                <w:rFonts w:ascii="Calibri" w:hAnsi="Calibri"/>
                <w:sz w:val="20"/>
                <w:szCs w:val="20"/>
                <w:lang w:eastAsia="en-AU"/>
              </w:rPr>
            </w:pPr>
          </w:p>
        </w:tc>
        <w:tc>
          <w:tcPr>
            <w:tcW w:w="926" w:type="dxa"/>
            <w:tcBorders>
              <w:left w:val="nil"/>
              <w:bottom w:val="nil"/>
              <w:right w:val="nil"/>
            </w:tcBorders>
          </w:tcPr>
          <w:p w14:paraId="67F2467D" w14:textId="77777777" w:rsidR="00371CFF" w:rsidRPr="00371CFF" w:rsidRDefault="00371CFF" w:rsidP="00371CFF">
            <w:pPr>
              <w:ind w:left="227" w:hanging="227"/>
              <w:jc w:val="right"/>
              <w:rPr>
                <w:rFonts w:ascii="Calibri" w:hAnsi="Calibri"/>
                <w:sz w:val="20"/>
                <w:szCs w:val="20"/>
                <w:lang w:eastAsia="en-AU"/>
              </w:rPr>
            </w:pPr>
          </w:p>
        </w:tc>
        <w:tc>
          <w:tcPr>
            <w:tcW w:w="931" w:type="dxa"/>
            <w:tcBorders>
              <w:left w:val="nil"/>
              <w:bottom w:val="nil"/>
              <w:right w:val="nil"/>
            </w:tcBorders>
          </w:tcPr>
          <w:p w14:paraId="5487147B" w14:textId="77777777" w:rsidR="00371CFF" w:rsidRPr="00371CFF" w:rsidRDefault="00371CFF" w:rsidP="00371CFF">
            <w:pPr>
              <w:ind w:left="227" w:hanging="227"/>
              <w:jc w:val="right"/>
              <w:rPr>
                <w:rFonts w:ascii="Calibri" w:hAnsi="Calibri"/>
                <w:sz w:val="20"/>
                <w:szCs w:val="20"/>
                <w:lang w:eastAsia="en-AU"/>
              </w:rPr>
            </w:pPr>
          </w:p>
        </w:tc>
        <w:tc>
          <w:tcPr>
            <w:tcW w:w="921" w:type="dxa"/>
            <w:tcBorders>
              <w:left w:val="nil"/>
              <w:bottom w:val="nil"/>
              <w:right w:val="nil"/>
            </w:tcBorders>
          </w:tcPr>
          <w:p w14:paraId="5D29A22D" w14:textId="77777777" w:rsidR="00371CFF" w:rsidRPr="00371CFF" w:rsidRDefault="00371CFF" w:rsidP="00371CFF">
            <w:pPr>
              <w:ind w:left="227" w:hanging="227"/>
              <w:jc w:val="right"/>
              <w:rPr>
                <w:rFonts w:ascii="Calibri" w:hAnsi="Calibri"/>
                <w:sz w:val="20"/>
                <w:szCs w:val="20"/>
                <w:lang w:eastAsia="en-AU"/>
              </w:rPr>
            </w:pPr>
          </w:p>
        </w:tc>
        <w:tc>
          <w:tcPr>
            <w:tcW w:w="921" w:type="dxa"/>
            <w:tcBorders>
              <w:left w:val="nil"/>
              <w:bottom w:val="nil"/>
              <w:right w:val="nil"/>
            </w:tcBorders>
          </w:tcPr>
          <w:p w14:paraId="213F7CFB" w14:textId="77777777" w:rsidR="00371CFF" w:rsidRPr="00371CFF" w:rsidRDefault="00371CFF" w:rsidP="00371CFF">
            <w:pPr>
              <w:ind w:left="227" w:hanging="227"/>
              <w:jc w:val="right"/>
              <w:rPr>
                <w:rFonts w:ascii="Calibri" w:hAnsi="Calibri"/>
                <w:sz w:val="20"/>
                <w:szCs w:val="20"/>
                <w:lang w:eastAsia="en-AU"/>
              </w:rPr>
            </w:pPr>
          </w:p>
        </w:tc>
      </w:tr>
      <w:tr w:rsidR="00371CFF" w:rsidRPr="00371CFF" w14:paraId="163B5781" w14:textId="77777777" w:rsidTr="00EE5AC4">
        <w:trPr>
          <w:trHeight w:val="227"/>
        </w:trPr>
        <w:tc>
          <w:tcPr>
            <w:tcW w:w="4844" w:type="dxa"/>
            <w:tcBorders>
              <w:left w:val="nil"/>
              <w:bottom w:val="nil"/>
              <w:right w:val="nil"/>
            </w:tcBorders>
          </w:tcPr>
          <w:p w14:paraId="715E34D0" w14:textId="77777777" w:rsidR="00371CFF" w:rsidRPr="00371CFF" w:rsidRDefault="00371CFF" w:rsidP="00371CFF">
            <w:pPr>
              <w:ind w:left="227" w:hanging="227"/>
              <w:rPr>
                <w:rFonts w:ascii="Calibri" w:hAnsi="Calibri"/>
                <w:bCs/>
                <w:color w:val="000000"/>
                <w:sz w:val="20"/>
                <w:szCs w:val="20"/>
                <w:lang w:eastAsia="en-AU"/>
              </w:rPr>
            </w:pPr>
            <w:r w:rsidRPr="00371CFF">
              <w:rPr>
                <w:rFonts w:ascii="Calibri" w:hAnsi="Calibri"/>
                <w:bCs/>
                <w:i/>
                <w:sz w:val="20"/>
                <w:szCs w:val="20"/>
                <w:lang w:eastAsia="en-AU"/>
              </w:rPr>
              <w:t>Plant and equipment</w:t>
            </w:r>
          </w:p>
        </w:tc>
        <w:tc>
          <w:tcPr>
            <w:tcW w:w="1095" w:type="dxa"/>
            <w:tcBorders>
              <w:left w:val="nil"/>
              <w:bottom w:val="nil"/>
              <w:right w:val="nil"/>
            </w:tcBorders>
          </w:tcPr>
          <w:p w14:paraId="461D13BC" w14:textId="77777777" w:rsidR="00371CFF" w:rsidRPr="00371CFF" w:rsidRDefault="00371CFF" w:rsidP="00371CFF">
            <w:pPr>
              <w:ind w:left="227" w:hanging="227"/>
              <w:jc w:val="right"/>
              <w:rPr>
                <w:rFonts w:ascii="Calibri" w:hAnsi="Calibri"/>
                <w:sz w:val="20"/>
                <w:szCs w:val="20"/>
                <w:lang w:eastAsia="en-AU"/>
              </w:rPr>
            </w:pPr>
          </w:p>
        </w:tc>
        <w:tc>
          <w:tcPr>
            <w:tcW w:w="926" w:type="dxa"/>
            <w:tcBorders>
              <w:left w:val="nil"/>
              <w:bottom w:val="nil"/>
              <w:right w:val="nil"/>
            </w:tcBorders>
          </w:tcPr>
          <w:p w14:paraId="648AFD05" w14:textId="77777777" w:rsidR="00371CFF" w:rsidRPr="00371CFF" w:rsidRDefault="00371CFF" w:rsidP="00371CFF">
            <w:pPr>
              <w:ind w:left="227" w:hanging="227"/>
              <w:jc w:val="right"/>
              <w:rPr>
                <w:rFonts w:ascii="Calibri" w:hAnsi="Calibri"/>
                <w:sz w:val="20"/>
                <w:szCs w:val="20"/>
                <w:lang w:eastAsia="en-AU"/>
              </w:rPr>
            </w:pPr>
          </w:p>
        </w:tc>
        <w:tc>
          <w:tcPr>
            <w:tcW w:w="931" w:type="dxa"/>
            <w:tcBorders>
              <w:left w:val="nil"/>
              <w:bottom w:val="nil"/>
              <w:right w:val="nil"/>
            </w:tcBorders>
          </w:tcPr>
          <w:p w14:paraId="43198DF8" w14:textId="77777777" w:rsidR="00371CFF" w:rsidRPr="00371CFF" w:rsidRDefault="00371CFF" w:rsidP="00371CFF">
            <w:pPr>
              <w:ind w:left="227" w:hanging="227"/>
              <w:jc w:val="right"/>
              <w:rPr>
                <w:rFonts w:ascii="Calibri" w:hAnsi="Calibri"/>
                <w:sz w:val="20"/>
                <w:szCs w:val="20"/>
                <w:lang w:eastAsia="en-AU"/>
              </w:rPr>
            </w:pPr>
          </w:p>
        </w:tc>
        <w:tc>
          <w:tcPr>
            <w:tcW w:w="921" w:type="dxa"/>
            <w:tcBorders>
              <w:left w:val="nil"/>
              <w:bottom w:val="nil"/>
              <w:right w:val="nil"/>
            </w:tcBorders>
          </w:tcPr>
          <w:p w14:paraId="4668452D" w14:textId="77777777" w:rsidR="00371CFF" w:rsidRPr="00371CFF" w:rsidRDefault="00371CFF" w:rsidP="00371CFF">
            <w:pPr>
              <w:ind w:left="227" w:hanging="227"/>
              <w:jc w:val="right"/>
              <w:rPr>
                <w:rFonts w:ascii="Calibri" w:hAnsi="Calibri"/>
                <w:sz w:val="20"/>
                <w:szCs w:val="20"/>
                <w:lang w:eastAsia="en-AU"/>
              </w:rPr>
            </w:pPr>
          </w:p>
        </w:tc>
        <w:tc>
          <w:tcPr>
            <w:tcW w:w="921" w:type="dxa"/>
            <w:tcBorders>
              <w:left w:val="nil"/>
              <w:bottom w:val="nil"/>
              <w:right w:val="nil"/>
            </w:tcBorders>
          </w:tcPr>
          <w:p w14:paraId="2932A046" w14:textId="77777777" w:rsidR="00371CFF" w:rsidRPr="00371CFF" w:rsidRDefault="00371CFF" w:rsidP="00371CFF">
            <w:pPr>
              <w:ind w:left="227" w:hanging="227"/>
              <w:jc w:val="right"/>
              <w:rPr>
                <w:rFonts w:ascii="Calibri" w:hAnsi="Calibri"/>
                <w:sz w:val="20"/>
                <w:szCs w:val="20"/>
                <w:lang w:eastAsia="en-AU"/>
              </w:rPr>
            </w:pPr>
          </w:p>
        </w:tc>
      </w:tr>
      <w:tr w:rsidR="00371CFF" w:rsidRPr="00371CFF" w14:paraId="6AC9B109" w14:textId="77777777" w:rsidTr="00A402CC">
        <w:trPr>
          <w:trHeight w:val="227"/>
        </w:trPr>
        <w:tc>
          <w:tcPr>
            <w:tcW w:w="4844" w:type="dxa"/>
            <w:tcBorders>
              <w:left w:val="nil"/>
              <w:bottom w:val="single" w:sz="4" w:space="0" w:color="auto"/>
              <w:right w:val="nil"/>
            </w:tcBorders>
          </w:tcPr>
          <w:p w14:paraId="7D989A92" w14:textId="77777777" w:rsidR="00371CFF" w:rsidRPr="00371CFF" w:rsidRDefault="00371CFF" w:rsidP="00371CFF">
            <w:pPr>
              <w:ind w:left="227" w:hanging="227"/>
              <w:rPr>
                <w:rFonts w:ascii="Calibri" w:hAnsi="Calibri"/>
                <w:bCs/>
                <w:color w:val="000000"/>
                <w:sz w:val="20"/>
                <w:szCs w:val="20"/>
                <w:lang w:eastAsia="en-AU"/>
              </w:rPr>
            </w:pPr>
            <w:r w:rsidRPr="00371CFF">
              <w:rPr>
                <w:rFonts w:ascii="Calibri" w:hAnsi="Calibri"/>
                <w:bCs/>
                <w:color w:val="000000"/>
                <w:sz w:val="20"/>
                <w:szCs w:val="20"/>
                <w:lang w:eastAsia="en-AU"/>
              </w:rPr>
              <w:t xml:space="preserve">Delivering energy-efficient heating upgrades for ACT public schools </w:t>
            </w:r>
          </w:p>
        </w:tc>
        <w:tc>
          <w:tcPr>
            <w:tcW w:w="1095" w:type="dxa"/>
            <w:tcBorders>
              <w:left w:val="nil"/>
              <w:bottom w:val="single" w:sz="4" w:space="0" w:color="auto"/>
              <w:right w:val="nil"/>
            </w:tcBorders>
          </w:tcPr>
          <w:p w14:paraId="626EC168"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2,300</w:t>
            </w:r>
          </w:p>
        </w:tc>
        <w:tc>
          <w:tcPr>
            <w:tcW w:w="926" w:type="dxa"/>
            <w:tcBorders>
              <w:left w:val="nil"/>
              <w:bottom w:val="single" w:sz="4" w:space="0" w:color="auto"/>
              <w:right w:val="nil"/>
            </w:tcBorders>
          </w:tcPr>
          <w:p w14:paraId="4DFEA20D"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3,991</w:t>
            </w:r>
          </w:p>
        </w:tc>
        <w:tc>
          <w:tcPr>
            <w:tcW w:w="931" w:type="dxa"/>
            <w:tcBorders>
              <w:left w:val="nil"/>
              <w:bottom w:val="single" w:sz="4" w:space="0" w:color="auto"/>
              <w:right w:val="nil"/>
            </w:tcBorders>
          </w:tcPr>
          <w:p w14:paraId="3C9B9C72"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4,789</w:t>
            </w:r>
          </w:p>
        </w:tc>
        <w:tc>
          <w:tcPr>
            <w:tcW w:w="921" w:type="dxa"/>
            <w:tcBorders>
              <w:left w:val="nil"/>
              <w:bottom w:val="single" w:sz="4" w:space="0" w:color="auto"/>
              <w:right w:val="nil"/>
            </w:tcBorders>
          </w:tcPr>
          <w:p w14:paraId="38CDA572"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4,884</w:t>
            </w:r>
          </w:p>
        </w:tc>
        <w:tc>
          <w:tcPr>
            <w:tcW w:w="921" w:type="dxa"/>
            <w:tcBorders>
              <w:left w:val="nil"/>
              <w:bottom w:val="single" w:sz="4" w:space="0" w:color="auto"/>
              <w:right w:val="nil"/>
            </w:tcBorders>
          </w:tcPr>
          <w:p w14:paraId="4450CCB2" w14:textId="77777777" w:rsidR="00371CFF" w:rsidRPr="00371CFF" w:rsidRDefault="00371CFF" w:rsidP="00371CFF">
            <w:pPr>
              <w:ind w:left="227" w:hanging="227"/>
              <w:jc w:val="right"/>
              <w:rPr>
                <w:rFonts w:ascii="Calibri" w:hAnsi="Calibri"/>
                <w:sz w:val="20"/>
                <w:szCs w:val="20"/>
                <w:lang w:eastAsia="en-AU"/>
              </w:rPr>
            </w:pPr>
            <w:r w:rsidRPr="00371CFF">
              <w:rPr>
                <w:rFonts w:ascii="Calibri" w:hAnsi="Calibri"/>
                <w:sz w:val="20"/>
                <w:szCs w:val="20"/>
                <w:lang w:eastAsia="en-AU"/>
              </w:rPr>
              <w:t>15,964</w:t>
            </w:r>
          </w:p>
        </w:tc>
      </w:tr>
      <w:tr w:rsidR="00371CFF" w:rsidRPr="00371CFF" w14:paraId="0F47C5F7" w14:textId="77777777" w:rsidTr="00A402CC">
        <w:trPr>
          <w:trHeight w:val="227"/>
        </w:trPr>
        <w:tc>
          <w:tcPr>
            <w:tcW w:w="4844" w:type="dxa"/>
            <w:tcBorders>
              <w:top w:val="single" w:sz="4" w:space="0" w:color="auto"/>
              <w:left w:val="nil"/>
              <w:bottom w:val="single" w:sz="4" w:space="0" w:color="auto"/>
              <w:right w:val="nil"/>
            </w:tcBorders>
          </w:tcPr>
          <w:p w14:paraId="5699A772" w14:textId="77777777" w:rsidR="00371CFF" w:rsidRPr="00371CFF" w:rsidRDefault="00371CFF" w:rsidP="00371CFF">
            <w:pPr>
              <w:ind w:left="227" w:hanging="227"/>
              <w:jc w:val="right"/>
              <w:rPr>
                <w:rFonts w:ascii="Calibri" w:hAnsi="Calibri"/>
                <w:b/>
                <w:sz w:val="20"/>
                <w:szCs w:val="20"/>
                <w:lang w:eastAsia="en-AU"/>
              </w:rPr>
            </w:pPr>
            <w:r w:rsidRPr="00371CFF">
              <w:rPr>
                <w:rFonts w:ascii="Calibri" w:hAnsi="Calibri"/>
                <w:b/>
                <w:sz w:val="20"/>
                <w:szCs w:val="20"/>
                <w:lang w:eastAsia="en-AU"/>
              </w:rPr>
              <w:t>Total</w:t>
            </w:r>
          </w:p>
        </w:tc>
        <w:tc>
          <w:tcPr>
            <w:tcW w:w="1095" w:type="dxa"/>
            <w:tcBorders>
              <w:top w:val="single" w:sz="4" w:space="0" w:color="auto"/>
              <w:left w:val="nil"/>
              <w:bottom w:val="single" w:sz="4" w:space="0" w:color="auto"/>
              <w:right w:val="nil"/>
            </w:tcBorders>
          </w:tcPr>
          <w:p w14:paraId="5FB99FF2" w14:textId="77777777" w:rsidR="00371CFF" w:rsidRPr="00371CFF" w:rsidRDefault="00371CFF" w:rsidP="00371CFF">
            <w:pPr>
              <w:ind w:left="227" w:hanging="227"/>
              <w:jc w:val="right"/>
              <w:rPr>
                <w:rFonts w:ascii="Calibri" w:hAnsi="Calibri"/>
                <w:b/>
                <w:sz w:val="20"/>
                <w:szCs w:val="20"/>
                <w:lang w:eastAsia="en-AU"/>
              </w:rPr>
            </w:pPr>
            <w:r w:rsidRPr="00371CFF">
              <w:rPr>
                <w:rFonts w:ascii="Calibri" w:hAnsi="Calibri"/>
                <w:b/>
                <w:sz w:val="20"/>
                <w:szCs w:val="20"/>
                <w:lang w:eastAsia="en-AU"/>
              </w:rPr>
              <w:t>14,411</w:t>
            </w:r>
          </w:p>
        </w:tc>
        <w:tc>
          <w:tcPr>
            <w:tcW w:w="926" w:type="dxa"/>
            <w:tcBorders>
              <w:top w:val="single" w:sz="4" w:space="0" w:color="auto"/>
              <w:left w:val="nil"/>
              <w:bottom w:val="single" w:sz="4" w:space="0" w:color="auto"/>
              <w:right w:val="nil"/>
            </w:tcBorders>
          </w:tcPr>
          <w:p w14:paraId="6F39F774" w14:textId="77777777" w:rsidR="00371CFF" w:rsidRPr="00371CFF" w:rsidRDefault="00371CFF" w:rsidP="00371CFF">
            <w:pPr>
              <w:ind w:left="227" w:hanging="227"/>
              <w:jc w:val="right"/>
              <w:rPr>
                <w:rFonts w:ascii="Calibri" w:hAnsi="Calibri"/>
                <w:b/>
                <w:sz w:val="20"/>
                <w:szCs w:val="20"/>
                <w:lang w:eastAsia="en-AU"/>
              </w:rPr>
            </w:pPr>
            <w:r w:rsidRPr="00371CFF">
              <w:rPr>
                <w:rFonts w:ascii="Calibri" w:hAnsi="Calibri"/>
                <w:b/>
                <w:sz w:val="20"/>
                <w:szCs w:val="20"/>
                <w:lang w:eastAsia="en-AU"/>
              </w:rPr>
              <w:t>54,781</w:t>
            </w:r>
          </w:p>
        </w:tc>
        <w:tc>
          <w:tcPr>
            <w:tcW w:w="931" w:type="dxa"/>
            <w:tcBorders>
              <w:top w:val="single" w:sz="4" w:space="0" w:color="auto"/>
              <w:left w:val="nil"/>
              <w:bottom w:val="single" w:sz="4" w:space="0" w:color="auto"/>
              <w:right w:val="nil"/>
            </w:tcBorders>
          </w:tcPr>
          <w:p w14:paraId="1DD7169A" w14:textId="77777777" w:rsidR="00371CFF" w:rsidRPr="00371CFF" w:rsidRDefault="00371CFF" w:rsidP="00371CFF">
            <w:pPr>
              <w:ind w:left="227" w:hanging="227"/>
              <w:jc w:val="right"/>
              <w:rPr>
                <w:rFonts w:ascii="Calibri" w:hAnsi="Calibri"/>
                <w:b/>
                <w:sz w:val="20"/>
                <w:szCs w:val="20"/>
                <w:lang w:eastAsia="en-AU"/>
              </w:rPr>
            </w:pPr>
            <w:r w:rsidRPr="00371CFF">
              <w:rPr>
                <w:rFonts w:ascii="Calibri" w:hAnsi="Calibri"/>
                <w:b/>
                <w:sz w:val="20"/>
                <w:szCs w:val="20"/>
                <w:lang w:eastAsia="en-AU"/>
              </w:rPr>
              <w:t>34,028</w:t>
            </w:r>
          </w:p>
        </w:tc>
        <w:tc>
          <w:tcPr>
            <w:tcW w:w="921" w:type="dxa"/>
            <w:tcBorders>
              <w:top w:val="single" w:sz="4" w:space="0" w:color="auto"/>
              <w:left w:val="nil"/>
              <w:bottom w:val="single" w:sz="4" w:space="0" w:color="auto"/>
              <w:right w:val="nil"/>
            </w:tcBorders>
          </w:tcPr>
          <w:p w14:paraId="5F8AD65A" w14:textId="77777777" w:rsidR="00371CFF" w:rsidRPr="00371CFF" w:rsidRDefault="00371CFF" w:rsidP="00371CFF">
            <w:pPr>
              <w:ind w:left="227" w:hanging="227"/>
              <w:jc w:val="right"/>
              <w:rPr>
                <w:rFonts w:ascii="Calibri" w:hAnsi="Calibri"/>
                <w:b/>
                <w:sz w:val="20"/>
                <w:szCs w:val="20"/>
                <w:lang w:eastAsia="en-AU"/>
              </w:rPr>
            </w:pPr>
            <w:r w:rsidRPr="00371CFF">
              <w:rPr>
                <w:rFonts w:ascii="Calibri" w:hAnsi="Calibri"/>
                <w:b/>
                <w:sz w:val="20"/>
                <w:szCs w:val="20"/>
                <w:lang w:eastAsia="en-AU"/>
              </w:rPr>
              <w:t>5,982</w:t>
            </w:r>
          </w:p>
        </w:tc>
        <w:tc>
          <w:tcPr>
            <w:tcW w:w="921" w:type="dxa"/>
            <w:tcBorders>
              <w:top w:val="single" w:sz="4" w:space="0" w:color="auto"/>
              <w:left w:val="nil"/>
              <w:bottom w:val="single" w:sz="4" w:space="0" w:color="auto"/>
              <w:right w:val="nil"/>
            </w:tcBorders>
          </w:tcPr>
          <w:p w14:paraId="6C4E34AD" w14:textId="77777777" w:rsidR="00371CFF" w:rsidRPr="00371CFF" w:rsidRDefault="00371CFF" w:rsidP="00371CFF">
            <w:pPr>
              <w:ind w:left="227" w:hanging="227"/>
              <w:jc w:val="right"/>
              <w:rPr>
                <w:rFonts w:ascii="Calibri" w:hAnsi="Calibri"/>
                <w:b/>
                <w:sz w:val="20"/>
                <w:szCs w:val="20"/>
                <w:lang w:eastAsia="en-AU"/>
              </w:rPr>
            </w:pPr>
            <w:r w:rsidRPr="00371CFF">
              <w:rPr>
                <w:rFonts w:ascii="Calibri" w:hAnsi="Calibri"/>
                <w:b/>
                <w:sz w:val="20"/>
                <w:szCs w:val="20"/>
                <w:lang w:eastAsia="en-AU"/>
              </w:rPr>
              <w:t>109,902</w:t>
            </w:r>
          </w:p>
        </w:tc>
      </w:tr>
    </w:tbl>
    <w:p w14:paraId="4F82449C" w14:textId="77777777" w:rsidR="00371CFF" w:rsidRPr="00371CFF" w:rsidRDefault="00371CFF" w:rsidP="00EE5AC4">
      <w:pPr>
        <w:pStyle w:val="snapNotesheading"/>
        <w:rPr>
          <w:b w:val="0"/>
        </w:rPr>
      </w:pPr>
      <w:r w:rsidRPr="00371CFF">
        <w:t xml:space="preserve">Notes: </w:t>
      </w:r>
    </w:p>
    <w:p w14:paraId="538EF122" w14:textId="2F7A7E49" w:rsidR="00371CFF" w:rsidRPr="00371CFF" w:rsidRDefault="00371CFF" w:rsidP="00EE5AC4">
      <w:pPr>
        <w:pStyle w:val="snapNotesbody"/>
      </w:pPr>
      <w:r w:rsidRPr="00EE5AC4">
        <w:t>2</w:t>
      </w:r>
      <w:r w:rsidR="00EE5AC4">
        <w:rPr>
          <w:lang w:val="en-US"/>
        </w:rPr>
        <w:t>.</w:t>
      </w:r>
      <w:r w:rsidRPr="00EE5AC4">
        <w:t xml:space="preserve"> </w:t>
      </w:r>
      <w:r w:rsidRPr="00371CFF">
        <w:t>This initiative has an expense component; this is listed in the summary table in Expense initiatives (Chapter 3.2).</w:t>
      </w:r>
    </w:p>
    <w:p w14:paraId="2DC584BD" w14:textId="77777777" w:rsidR="00371CFF" w:rsidRPr="00371CFF" w:rsidRDefault="00371CFF" w:rsidP="00EE5AC4">
      <w:pPr>
        <w:pStyle w:val="Heading2"/>
        <w:rPr>
          <w:b w:val="0"/>
          <w:iCs w:val="0"/>
        </w:rPr>
      </w:pPr>
      <w:r w:rsidRPr="00371CFF">
        <w:t>Selected Initiatives</w:t>
      </w:r>
    </w:p>
    <w:p w14:paraId="0D8202E8" w14:textId="0359890D" w:rsidR="00371CFF" w:rsidRPr="007A3A72" w:rsidRDefault="00371CFF" w:rsidP="007A3A72">
      <w:pPr>
        <w:pStyle w:val="Heading3"/>
      </w:pPr>
      <w:r w:rsidRPr="007A3A72">
        <w:t xml:space="preserve">Expense </w:t>
      </w:r>
      <w:r w:rsidR="00B2594F">
        <w:t>I</w:t>
      </w:r>
      <w:r w:rsidRPr="007A3A72">
        <w:t>nitiatives</w:t>
      </w:r>
    </w:p>
    <w:p w14:paraId="4FB63341" w14:textId="77777777" w:rsidR="00371CFF" w:rsidRPr="000F30E1" w:rsidRDefault="00371CFF" w:rsidP="000F30E1">
      <w:pPr>
        <w:pStyle w:val="snapInittitles"/>
      </w:pPr>
      <w:r w:rsidRPr="000F30E1">
        <w:t xml:space="preserve">ACT Early Childhood Strategy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71CFF" w:rsidRPr="00866299" w14:paraId="65875B6C" w14:textId="77777777" w:rsidTr="00EE5AC4">
        <w:trPr>
          <w:cantSplit/>
        </w:trPr>
        <w:tc>
          <w:tcPr>
            <w:tcW w:w="3652" w:type="dxa"/>
            <w:tcBorders>
              <w:top w:val="single" w:sz="4" w:space="0" w:color="auto"/>
              <w:bottom w:val="single" w:sz="4" w:space="0" w:color="auto"/>
            </w:tcBorders>
          </w:tcPr>
          <w:p w14:paraId="1BD92E90" w14:textId="77777777" w:rsidR="00371CFF" w:rsidRPr="00866299" w:rsidRDefault="00371CFF" w:rsidP="00371CFF">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75DC1E01"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2019-20</w:t>
            </w:r>
          </w:p>
          <w:p w14:paraId="18780873"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4FE8CF76"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2020-21</w:t>
            </w:r>
          </w:p>
          <w:p w14:paraId="316BB7BC"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0C748749"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2021-22</w:t>
            </w:r>
          </w:p>
          <w:p w14:paraId="6D76A2C8"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B4FB363"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2022-23</w:t>
            </w:r>
          </w:p>
          <w:p w14:paraId="3BA1C9FC"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8CEAD7A"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Total</w:t>
            </w:r>
          </w:p>
          <w:p w14:paraId="3BE1EE7F"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$’000</w:t>
            </w:r>
          </w:p>
        </w:tc>
      </w:tr>
      <w:tr w:rsidR="00371CFF" w:rsidRPr="00866299" w14:paraId="76019D60" w14:textId="77777777" w:rsidTr="00EE5AC4">
        <w:trPr>
          <w:cantSplit/>
        </w:trPr>
        <w:tc>
          <w:tcPr>
            <w:tcW w:w="3652" w:type="dxa"/>
            <w:tcBorders>
              <w:top w:val="single" w:sz="4" w:space="0" w:color="auto"/>
            </w:tcBorders>
          </w:tcPr>
          <w:p w14:paraId="14CB1D8C" w14:textId="77777777" w:rsidR="00371CFF" w:rsidRPr="00866299" w:rsidRDefault="00371CFF" w:rsidP="00371CFF">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tcBorders>
          </w:tcPr>
          <w:p w14:paraId="4F393922"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2,166</w:t>
            </w:r>
          </w:p>
        </w:tc>
        <w:tc>
          <w:tcPr>
            <w:tcW w:w="1041" w:type="dxa"/>
            <w:tcBorders>
              <w:top w:val="single" w:sz="4" w:space="0" w:color="auto"/>
            </w:tcBorders>
          </w:tcPr>
          <w:p w14:paraId="6151ACCF"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3,360</w:t>
            </w:r>
          </w:p>
        </w:tc>
        <w:tc>
          <w:tcPr>
            <w:tcW w:w="1029" w:type="dxa"/>
            <w:tcBorders>
              <w:top w:val="single" w:sz="4" w:space="0" w:color="auto"/>
            </w:tcBorders>
          </w:tcPr>
          <w:p w14:paraId="155F6AC7"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2,652</w:t>
            </w:r>
          </w:p>
        </w:tc>
        <w:tc>
          <w:tcPr>
            <w:tcW w:w="1029" w:type="dxa"/>
            <w:tcBorders>
              <w:top w:val="single" w:sz="4" w:space="0" w:color="auto"/>
            </w:tcBorders>
          </w:tcPr>
          <w:p w14:paraId="08900526"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2,732</w:t>
            </w:r>
          </w:p>
        </w:tc>
        <w:tc>
          <w:tcPr>
            <w:tcW w:w="1029" w:type="dxa"/>
            <w:tcBorders>
              <w:top w:val="single" w:sz="4" w:space="0" w:color="auto"/>
            </w:tcBorders>
          </w:tcPr>
          <w:p w14:paraId="182246C4"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10,910</w:t>
            </w:r>
          </w:p>
        </w:tc>
      </w:tr>
      <w:tr w:rsidR="00371CFF" w:rsidRPr="00866299" w14:paraId="36E5D007" w14:textId="77777777" w:rsidTr="00EE5AC4">
        <w:trPr>
          <w:cantSplit/>
        </w:trPr>
        <w:tc>
          <w:tcPr>
            <w:tcW w:w="3652" w:type="dxa"/>
            <w:tcBorders>
              <w:bottom w:val="single" w:sz="4" w:space="0" w:color="auto"/>
            </w:tcBorders>
          </w:tcPr>
          <w:p w14:paraId="36FF535A" w14:textId="77777777" w:rsidR="00371CFF" w:rsidRPr="00866299" w:rsidRDefault="00371CFF" w:rsidP="00371CFF">
            <w:pPr>
              <w:ind w:left="284" w:hanging="284"/>
              <w:rPr>
                <w:rFonts w:ascii="Calibri" w:hAnsi="Calibri"/>
                <w:sz w:val="22"/>
                <w:lang w:eastAsia="en-US"/>
              </w:rPr>
            </w:pPr>
            <w:r w:rsidRPr="00866299">
              <w:rPr>
                <w:rFonts w:ascii="Calibri" w:hAnsi="Calibri"/>
                <w:sz w:val="22"/>
                <w:lang w:eastAsia="en-US"/>
              </w:rPr>
              <w:t>Offset</w:t>
            </w:r>
          </w:p>
        </w:tc>
        <w:tc>
          <w:tcPr>
            <w:tcW w:w="1179" w:type="dxa"/>
            <w:tcBorders>
              <w:bottom w:val="single" w:sz="4" w:space="0" w:color="auto"/>
            </w:tcBorders>
          </w:tcPr>
          <w:p w14:paraId="7C2D77B0"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-1,250</w:t>
            </w:r>
          </w:p>
        </w:tc>
        <w:tc>
          <w:tcPr>
            <w:tcW w:w="1041" w:type="dxa"/>
            <w:tcBorders>
              <w:bottom w:val="single" w:sz="4" w:space="0" w:color="auto"/>
            </w:tcBorders>
          </w:tcPr>
          <w:p w14:paraId="77558C87"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-2,575</w:t>
            </w:r>
          </w:p>
        </w:tc>
        <w:tc>
          <w:tcPr>
            <w:tcW w:w="1029" w:type="dxa"/>
            <w:tcBorders>
              <w:bottom w:val="single" w:sz="4" w:space="0" w:color="auto"/>
            </w:tcBorders>
          </w:tcPr>
          <w:p w14:paraId="27FCFEF8"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-2,652</w:t>
            </w:r>
          </w:p>
        </w:tc>
        <w:tc>
          <w:tcPr>
            <w:tcW w:w="1029" w:type="dxa"/>
            <w:tcBorders>
              <w:bottom w:val="single" w:sz="4" w:space="0" w:color="auto"/>
            </w:tcBorders>
          </w:tcPr>
          <w:p w14:paraId="2FCE4789"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-2,732</w:t>
            </w:r>
          </w:p>
        </w:tc>
        <w:tc>
          <w:tcPr>
            <w:tcW w:w="1029" w:type="dxa"/>
            <w:tcBorders>
              <w:bottom w:val="single" w:sz="4" w:space="0" w:color="auto"/>
            </w:tcBorders>
          </w:tcPr>
          <w:p w14:paraId="179B2BA3"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-9,209</w:t>
            </w:r>
          </w:p>
        </w:tc>
      </w:tr>
      <w:tr w:rsidR="00371CFF" w:rsidRPr="00866299" w14:paraId="668A4EBC" w14:textId="77777777" w:rsidTr="00EE5AC4">
        <w:trPr>
          <w:cantSplit/>
        </w:trPr>
        <w:tc>
          <w:tcPr>
            <w:tcW w:w="3652" w:type="dxa"/>
            <w:tcBorders>
              <w:top w:val="single" w:sz="4" w:space="0" w:color="auto"/>
              <w:bottom w:val="single" w:sz="4" w:space="0" w:color="auto"/>
            </w:tcBorders>
          </w:tcPr>
          <w:p w14:paraId="296A5EC8" w14:textId="77777777" w:rsidR="00371CFF" w:rsidRPr="00866299" w:rsidRDefault="00371CFF" w:rsidP="00371CFF">
            <w:pPr>
              <w:ind w:left="284" w:hanging="284"/>
              <w:rPr>
                <w:rFonts w:ascii="Calibri" w:hAnsi="Calibri"/>
                <w:b/>
                <w:sz w:val="22"/>
                <w:lang w:eastAsia="en-US"/>
              </w:rPr>
            </w:pPr>
            <w:r w:rsidRPr="00866299">
              <w:rPr>
                <w:rFonts w:ascii="Calibri" w:hAnsi="Calibri"/>
                <w:b/>
                <w:sz w:val="22"/>
                <w:lang w:eastAsia="en-US"/>
              </w:rPr>
              <w:t>Net Expenses</w:t>
            </w:r>
          </w:p>
        </w:tc>
        <w:tc>
          <w:tcPr>
            <w:tcW w:w="1179" w:type="dxa"/>
            <w:tcBorders>
              <w:top w:val="single" w:sz="4" w:space="0" w:color="auto"/>
              <w:bottom w:val="single" w:sz="4" w:space="0" w:color="auto"/>
            </w:tcBorders>
          </w:tcPr>
          <w:p w14:paraId="70C2E802"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916</w:t>
            </w:r>
          </w:p>
        </w:tc>
        <w:tc>
          <w:tcPr>
            <w:tcW w:w="1041" w:type="dxa"/>
            <w:tcBorders>
              <w:top w:val="single" w:sz="4" w:space="0" w:color="auto"/>
              <w:bottom w:val="single" w:sz="4" w:space="0" w:color="auto"/>
            </w:tcBorders>
          </w:tcPr>
          <w:p w14:paraId="004B8E44"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785</w:t>
            </w:r>
          </w:p>
        </w:tc>
        <w:tc>
          <w:tcPr>
            <w:tcW w:w="1029" w:type="dxa"/>
            <w:tcBorders>
              <w:top w:val="single" w:sz="4" w:space="0" w:color="auto"/>
              <w:bottom w:val="single" w:sz="4" w:space="0" w:color="auto"/>
            </w:tcBorders>
          </w:tcPr>
          <w:p w14:paraId="6D9D6BCA"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4B3D2137"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03301460"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1,701</w:t>
            </w:r>
          </w:p>
        </w:tc>
      </w:tr>
    </w:tbl>
    <w:p w14:paraId="62FB746A" w14:textId="77777777" w:rsidR="00371CFF" w:rsidRPr="00371CFF" w:rsidRDefault="00371CFF" w:rsidP="00EE5AC4">
      <w:pPr>
        <w:pStyle w:val="snapInitbody"/>
      </w:pPr>
      <w:r w:rsidRPr="00371CFF">
        <w:t xml:space="preserve">The Government will deliver the first phase of our Early Childhood Strategy, the first ACT strategy targeting early childhood education and care. </w:t>
      </w:r>
    </w:p>
    <w:p w14:paraId="24F0DE6A" w14:textId="2A577767" w:rsidR="00371CFF" w:rsidRPr="000F30E1" w:rsidRDefault="00371CFF" w:rsidP="000F30E1">
      <w:pPr>
        <w:pStyle w:val="snapInittitles"/>
      </w:pPr>
      <w:r w:rsidRPr="000F30E1">
        <w:t xml:space="preserve">Ensuring teachers and school staff are safe at work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71CFF" w:rsidRPr="00866299" w14:paraId="0141670F" w14:textId="77777777" w:rsidTr="00EE5AC4">
        <w:trPr>
          <w:cantSplit/>
        </w:trPr>
        <w:tc>
          <w:tcPr>
            <w:tcW w:w="3652" w:type="dxa"/>
            <w:tcBorders>
              <w:top w:val="single" w:sz="4" w:space="0" w:color="auto"/>
              <w:bottom w:val="single" w:sz="4" w:space="0" w:color="auto"/>
            </w:tcBorders>
          </w:tcPr>
          <w:p w14:paraId="47915E13" w14:textId="77777777" w:rsidR="00371CFF" w:rsidRPr="00866299" w:rsidRDefault="00371CFF" w:rsidP="00371CFF">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2ED2E960"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2019-20</w:t>
            </w:r>
          </w:p>
          <w:p w14:paraId="6C4FE5FC"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5036D3C8"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2020-21</w:t>
            </w:r>
          </w:p>
          <w:p w14:paraId="62677466"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35E9579B"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2021-22</w:t>
            </w:r>
          </w:p>
          <w:p w14:paraId="53D29406"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5085854B"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2022-23</w:t>
            </w:r>
          </w:p>
          <w:p w14:paraId="2D57634B"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0C88EDF2"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Total</w:t>
            </w:r>
          </w:p>
          <w:p w14:paraId="7C1D0B24"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$’000</w:t>
            </w:r>
          </w:p>
        </w:tc>
      </w:tr>
      <w:tr w:rsidR="00371CFF" w:rsidRPr="00866299" w14:paraId="0BEABED1" w14:textId="77777777" w:rsidTr="00EE5AC4">
        <w:trPr>
          <w:cantSplit/>
        </w:trPr>
        <w:tc>
          <w:tcPr>
            <w:tcW w:w="3652" w:type="dxa"/>
            <w:tcBorders>
              <w:top w:val="single" w:sz="4" w:space="0" w:color="auto"/>
              <w:bottom w:val="single" w:sz="4" w:space="0" w:color="auto"/>
            </w:tcBorders>
          </w:tcPr>
          <w:p w14:paraId="451B4B0B" w14:textId="77777777" w:rsidR="00371CFF" w:rsidRPr="00866299" w:rsidRDefault="00371CFF" w:rsidP="00371CFF">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tcPr>
          <w:p w14:paraId="431ABF5C"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1,034</w:t>
            </w:r>
          </w:p>
        </w:tc>
        <w:tc>
          <w:tcPr>
            <w:tcW w:w="1041" w:type="dxa"/>
            <w:tcBorders>
              <w:top w:val="single" w:sz="4" w:space="0" w:color="auto"/>
              <w:bottom w:val="single" w:sz="4" w:space="0" w:color="auto"/>
            </w:tcBorders>
          </w:tcPr>
          <w:p w14:paraId="742C13F8"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798</w:t>
            </w:r>
          </w:p>
        </w:tc>
        <w:tc>
          <w:tcPr>
            <w:tcW w:w="1029" w:type="dxa"/>
            <w:tcBorders>
              <w:top w:val="single" w:sz="4" w:space="0" w:color="auto"/>
              <w:bottom w:val="single" w:sz="4" w:space="0" w:color="auto"/>
            </w:tcBorders>
          </w:tcPr>
          <w:p w14:paraId="5A071258"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5C57A08B"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28B6E7E3"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1,832</w:t>
            </w:r>
          </w:p>
        </w:tc>
      </w:tr>
    </w:tbl>
    <w:p w14:paraId="47A7191D" w14:textId="77777777" w:rsidR="00371CFF" w:rsidRPr="00371CFF" w:rsidRDefault="00371CFF" w:rsidP="0053552F">
      <w:pPr>
        <w:pStyle w:val="snapInitbody"/>
      </w:pPr>
      <w:r w:rsidRPr="00371CFF">
        <w:t xml:space="preserve">The Government is committed to improving work health and safety and addressing occupational violence. In July 2017, the </w:t>
      </w:r>
      <w:r w:rsidRPr="0053552F">
        <w:t>Education</w:t>
      </w:r>
      <w:r w:rsidRPr="00371CFF">
        <w:t xml:space="preserve"> Directorate released its Occupational Violence Policy and Management Plan, developed in close consultation with the Australian Education Union. This additional funding will strengthen implementation of the Plan by providing further training to support staff, building on other initiatives and investment in this important area. </w:t>
      </w:r>
    </w:p>
    <w:p w14:paraId="707B486C" w14:textId="77777777" w:rsidR="00371CFF" w:rsidRPr="000F30E1" w:rsidRDefault="00371CFF" w:rsidP="000F30E1">
      <w:pPr>
        <w:pStyle w:val="snapInittitles"/>
      </w:pPr>
      <w:r w:rsidRPr="000F30E1">
        <w:t xml:space="preserve">More support to meet individual student needs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71CFF" w:rsidRPr="00866299" w14:paraId="2B3E12B7" w14:textId="77777777" w:rsidTr="00EE5AC4">
        <w:trPr>
          <w:cantSplit/>
        </w:trPr>
        <w:tc>
          <w:tcPr>
            <w:tcW w:w="3652" w:type="dxa"/>
            <w:tcBorders>
              <w:top w:val="single" w:sz="4" w:space="0" w:color="auto"/>
              <w:bottom w:val="single" w:sz="4" w:space="0" w:color="auto"/>
            </w:tcBorders>
          </w:tcPr>
          <w:p w14:paraId="44963DBC" w14:textId="77777777" w:rsidR="00371CFF" w:rsidRPr="00866299" w:rsidRDefault="00371CFF" w:rsidP="00371CFF">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52CB41B8"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2019-20</w:t>
            </w:r>
          </w:p>
          <w:p w14:paraId="5AA50350"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077CFB3E"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2020-21</w:t>
            </w:r>
          </w:p>
          <w:p w14:paraId="60BF3191"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1DD82C9"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2021-22</w:t>
            </w:r>
          </w:p>
          <w:p w14:paraId="49EF1D34"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54038F7"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2022-23</w:t>
            </w:r>
          </w:p>
          <w:p w14:paraId="3BD65D35"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9C28F4D"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Total</w:t>
            </w:r>
          </w:p>
          <w:p w14:paraId="280036AB"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$’000</w:t>
            </w:r>
          </w:p>
        </w:tc>
      </w:tr>
      <w:tr w:rsidR="00371CFF" w:rsidRPr="00866299" w14:paraId="6A23C60A" w14:textId="77777777" w:rsidTr="00EE5AC4">
        <w:trPr>
          <w:cantSplit/>
        </w:trPr>
        <w:tc>
          <w:tcPr>
            <w:tcW w:w="3652" w:type="dxa"/>
            <w:tcBorders>
              <w:top w:val="single" w:sz="4" w:space="0" w:color="auto"/>
              <w:bottom w:val="single" w:sz="4" w:space="0" w:color="auto"/>
            </w:tcBorders>
          </w:tcPr>
          <w:p w14:paraId="0760D318" w14:textId="77777777" w:rsidR="00371CFF" w:rsidRPr="00866299" w:rsidRDefault="00371CFF" w:rsidP="00371CFF">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tcPr>
          <w:p w14:paraId="288F06AD"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9,938</w:t>
            </w:r>
          </w:p>
        </w:tc>
        <w:tc>
          <w:tcPr>
            <w:tcW w:w="1041" w:type="dxa"/>
            <w:tcBorders>
              <w:top w:val="single" w:sz="4" w:space="0" w:color="auto"/>
              <w:bottom w:val="single" w:sz="4" w:space="0" w:color="auto"/>
            </w:tcBorders>
          </w:tcPr>
          <w:p w14:paraId="11FFF537"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10,236</w:t>
            </w:r>
          </w:p>
        </w:tc>
        <w:tc>
          <w:tcPr>
            <w:tcW w:w="1029" w:type="dxa"/>
            <w:tcBorders>
              <w:top w:val="single" w:sz="4" w:space="0" w:color="auto"/>
              <w:bottom w:val="single" w:sz="4" w:space="0" w:color="auto"/>
            </w:tcBorders>
          </w:tcPr>
          <w:p w14:paraId="236EF4B5"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10,543</w:t>
            </w:r>
          </w:p>
        </w:tc>
        <w:tc>
          <w:tcPr>
            <w:tcW w:w="1029" w:type="dxa"/>
            <w:tcBorders>
              <w:top w:val="single" w:sz="4" w:space="0" w:color="auto"/>
              <w:bottom w:val="single" w:sz="4" w:space="0" w:color="auto"/>
            </w:tcBorders>
          </w:tcPr>
          <w:p w14:paraId="72AE804B"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10,859</w:t>
            </w:r>
          </w:p>
        </w:tc>
        <w:tc>
          <w:tcPr>
            <w:tcW w:w="1029" w:type="dxa"/>
            <w:tcBorders>
              <w:top w:val="single" w:sz="4" w:space="0" w:color="auto"/>
              <w:bottom w:val="single" w:sz="4" w:space="0" w:color="auto"/>
            </w:tcBorders>
          </w:tcPr>
          <w:p w14:paraId="2B7CB475"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41,576</w:t>
            </w:r>
          </w:p>
        </w:tc>
      </w:tr>
    </w:tbl>
    <w:p w14:paraId="79717028" w14:textId="77777777" w:rsidR="00371CFF" w:rsidRPr="00371CFF" w:rsidRDefault="00371CFF" w:rsidP="00371CFF">
      <w:pPr>
        <w:spacing w:before="200" w:after="200"/>
        <w:rPr>
          <w:rFonts w:ascii="Calibri" w:hAnsi="Calibri"/>
          <w:szCs w:val="24"/>
          <w:lang w:eastAsia="en-US"/>
        </w:rPr>
      </w:pPr>
      <w:r w:rsidRPr="00371CFF">
        <w:rPr>
          <w:rFonts w:ascii="Calibri" w:hAnsi="Calibri"/>
          <w:szCs w:val="20"/>
          <w:lang w:eastAsia="en-US"/>
        </w:rPr>
        <w:t xml:space="preserve">The Government will support the educational needs of all students through funding the equivalent of 92 full-time learning professionals and support staff. This funding will support Canberra’s growing school population (P-12) including support and reasonable adjustments for students with additional needs such as students with a disability and other needs based supports. </w:t>
      </w:r>
    </w:p>
    <w:p w14:paraId="0FE89868" w14:textId="77777777" w:rsidR="00371CFF" w:rsidRPr="000F30E1" w:rsidRDefault="00371CFF" w:rsidP="000F30E1">
      <w:pPr>
        <w:pStyle w:val="snapInittitles"/>
      </w:pPr>
      <w:r w:rsidRPr="000F30E1">
        <w:t xml:space="preserve">Planning for a new college on Canberra’s northside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71CFF" w:rsidRPr="00866299" w14:paraId="7DB6251F" w14:textId="77777777" w:rsidTr="00EE5AC4">
        <w:trPr>
          <w:cantSplit/>
        </w:trPr>
        <w:tc>
          <w:tcPr>
            <w:tcW w:w="3652" w:type="dxa"/>
            <w:tcBorders>
              <w:top w:val="single" w:sz="4" w:space="0" w:color="auto"/>
              <w:bottom w:val="single" w:sz="4" w:space="0" w:color="auto"/>
            </w:tcBorders>
          </w:tcPr>
          <w:p w14:paraId="692B9A95" w14:textId="6A7502C8" w:rsidR="00371CFF" w:rsidRPr="00866299" w:rsidRDefault="00371CFF" w:rsidP="00371CFF">
            <w:pPr>
              <w:tabs>
                <w:tab w:val="left" w:pos="660"/>
                <w:tab w:val="right" w:pos="3436"/>
              </w:tabs>
              <w:rPr>
                <w:rFonts w:ascii="Calibri" w:hAnsi="Calibri" w:cs="Calibri"/>
                <w:i/>
                <w:sz w:val="22"/>
                <w:lang w:eastAsia="en-US"/>
              </w:rPr>
            </w:pPr>
          </w:p>
        </w:tc>
        <w:tc>
          <w:tcPr>
            <w:tcW w:w="1179" w:type="dxa"/>
            <w:tcBorders>
              <w:top w:val="single" w:sz="4" w:space="0" w:color="auto"/>
              <w:bottom w:val="single" w:sz="4" w:space="0" w:color="auto"/>
            </w:tcBorders>
          </w:tcPr>
          <w:p w14:paraId="48D626F0"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2019-20</w:t>
            </w:r>
          </w:p>
          <w:p w14:paraId="5AA092BD"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5D2A366C"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2020-21</w:t>
            </w:r>
          </w:p>
          <w:p w14:paraId="3776BE4D"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16F6D7B"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2021-22</w:t>
            </w:r>
          </w:p>
          <w:p w14:paraId="0AC7FBE7"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351775D4"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2022-23</w:t>
            </w:r>
          </w:p>
          <w:p w14:paraId="60102699"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6A59A97"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Total</w:t>
            </w:r>
          </w:p>
          <w:p w14:paraId="7A2878FB"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$’000</w:t>
            </w:r>
          </w:p>
        </w:tc>
      </w:tr>
      <w:tr w:rsidR="00371CFF" w:rsidRPr="00866299" w14:paraId="0F224A6F" w14:textId="77777777" w:rsidTr="00EE5AC4">
        <w:trPr>
          <w:cantSplit/>
        </w:trPr>
        <w:tc>
          <w:tcPr>
            <w:tcW w:w="3652" w:type="dxa"/>
            <w:tcBorders>
              <w:top w:val="single" w:sz="4" w:space="0" w:color="auto"/>
              <w:bottom w:val="single" w:sz="4" w:space="0" w:color="auto"/>
            </w:tcBorders>
          </w:tcPr>
          <w:p w14:paraId="4FBB24DA" w14:textId="77777777" w:rsidR="00371CFF" w:rsidRPr="00866299" w:rsidRDefault="00371CFF" w:rsidP="00371CFF">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shd w:val="clear" w:color="auto" w:fill="auto"/>
          </w:tcPr>
          <w:p w14:paraId="59818C25"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600</w:t>
            </w:r>
          </w:p>
        </w:tc>
        <w:tc>
          <w:tcPr>
            <w:tcW w:w="1041" w:type="dxa"/>
            <w:tcBorders>
              <w:top w:val="single" w:sz="4" w:space="0" w:color="auto"/>
              <w:bottom w:val="single" w:sz="4" w:space="0" w:color="auto"/>
            </w:tcBorders>
            <w:shd w:val="clear" w:color="auto" w:fill="auto"/>
          </w:tcPr>
          <w:p w14:paraId="59EA562F"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200</w:t>
            </w:r>
          </w:p>
        </w:tc>
        <w:tc>
          <w:tcPr>
            <w:tcW w:w="1029" w:type="dxa"/>
            <w:tcBorders>
              <w:top w:val="single" w:sz="4" w:space="0" w:color="auto"/>
              <w:bottom w:val="single" w:sz="4" w:space="0" w:color="auto"/>
            </w:tcBorders>
            <w:shd w:val="clear" w:color="auto" w:fill="auto"/>
          </w:tcPr>
          <w:p w14:paraId="0DF934C0"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shd w:val="clear" w:color="auto" w:fill="auto"/>
          </w:tcPr>
          <w:p w14:paraId="2C695DE7"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shd w:val="clear" w:color="auto" w:fill="auto"/>
          </w:tcPr>
          <w:p w14:paraId="61442A94"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800</w:t>
            </w:r>
          </w:p>
        </w:tc>
      </w:tr>
    </w:tbl>
    <w:p w14:paraId="318E2F8F" w14:textId="77777777" w:rsidR="00371CFF" w:rsidRPr="00371CFF" w:rsidRDefault="00371CFF" w:rsidP="00EE5AC4">
      <w:pPr>
        <w:pStyle w:val="snapInitbody"/>
      </w:pPr>
      <w:r w:rsidRPr="00371CFF">
        <w:t xml:space="preserve">The Government will undertake a feasibility and design study for a further college facility in North Canberra. This will </w:t>
      </w:r>
      <w:r w:rsidRPr="00371CFF">
        <w:rPr>
          <w:bCs/>
          <w:szCs w:val="24"/>
        </w:rPr>
        <w:t>cater for continuing growth in college enrolments</w:t>
      </w:r>
      <w:r w:rsidRPr="00371CFF">
        <w:t xml:space="preserve"> and respond to the changing demographics of Gungahlin and the Inner North. </w:t>
      </w:r>
    </w:p>
    <w:p w14:paraId="36C3535F" w14:textId="77777777" w:rsidR="00371CFF" w:rsidRPr="000F30E1" w:rsidRDefault="00371CFF" w:rsidP="000F30E1">
      <w:pPr>
        <w:pStyle w:val="snapInittitles"/>
      </w:pPr>
      <w:r w:rsidRPr="000F30E1">
        <w:t xml:space="preserve">Reforms arising from the Future of Education Strategy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71CFF" w:rsidRPr="00866299" w14:paraId="702494A8" w14:textId="77777777" w:rsidTr="00EE5AC4">
        <w:trPr>
          <w:cantSplit/>
        </w:trPr>
        <w:tc>
          <w:tcPr>
            <w:tcW w:w="3652" w:type="dxa"/>
            <w:tcBorders>
              <w:top w:val="single" w:sz="4" w:space="0" w:color="auto"/>
              <w:bottom w:val="single" w:sz="4" w:space="0" w:color="auto"/>
            </w:tcBorders>
          </w:tcPr>
          <w:p w14:paraId="7E6235DB" w14:textId="77777777" w:rsidR="00371CFF" w:rsidRPr="00866299" w:rsidRDefault="00371CFF" w:rsidP="00371CFF">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18B9044D"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2019-20</w:t>
            </w:r>
          </w:p>
          <w:p w14:paraId="0CE6CDA0"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0D6B29D3"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2020-21</w:t>
            </w:r>
          </w:p>
          <w:p w14:paraId="63304E0E"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F2F5716"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2021-22</w:t>
            </w:r>
          </w:p>
          <w:p w14:paraId="662CC553"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5E9AF54A"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2022-23</w:t>
            </w:r>
          </w:p>
          <w:p w14:paraId="79C1068C"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D2533EC"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Total</w:t>
            </w:r>
          </w:p>
          <w:p w14:paraId="1745E9BC"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$’000</w:t>
            </w:r>
          </w:p>
        </w:tc>
      </w:tr>
      <w:tr w:rsidR="00371CFF" w:rsidRPr="00866299" w14:paraId="2667B160" w14:textId="77777777" w:rsidTr="00EE5AC4">
        <w:trPr>
          <w:cantSplit/>
        </w:trPr>
        <w:tc>
          <w:tcPr>
            <w:tcW w:w="3652" w:type="dxa"/>
            <w:tcBorders>
              <w:top w:val="single" w:sz="4" w:space="0" w:color="auto"/>
              <w:bottom w:val="single" w:sz="4" w:space="0" w:color="auto"/>
            </w:tcBorders>
          </w:tcPr>
          <w:p w14:paraId="4667D62F" w14:textId="77777777" w:rsidR="00371CFF" w:rsidRPr="00866299" w:rsidRDefault="00371CFF" w:rsidP="00371CFF">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shd w:val="clear" w:color="auto" w:fill="auto"/>
          </w:tcPr>
          <w:p w14:paraId="1890AB4F"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989</w:t>
            </w:r>
          </w:p>
        </w:tc>
        <w:tc>
          <w:tcPr>
            <w:tcW w:w="1041" w:type="dxa"/>
            <w:tcBorders>
              <w:top w:val="single" w:sz="4" w:space="0" w:color="auto"/>
              <w:bottom w:val="single" w:sz="4" w:space="0" w:color="auto"/>
            </w:tcBorders>
            <w:shd w:val="clear" w:color="auto" w:fill="auto"/>
          </w:tcPr>
          <w:p w14:paraId="0108AE33"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814</w:t>
            </w:r>
          </w:p>
        </w:tc>
        <w:tc>
          <w:tcPr>
            <w:tcW w:w="1029" w:type="dxa"/>
            <w:tcBorders>
              <w:top w:val="single" w:sz="4" w:space="0" w:color="auto"/>
              <w:bottom w:val="single" w:sz="4" w:space="0" w:color="auto"/>
            </w:tcBorders>
            <w:shd w:val="clear" w:color="auto" w:fill="auto"/>
          </w:tcPr>
          <w:p w14:paraId="450F8C5B"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1,178</w:t>
            </w:r>
          </w:p>
        </w:tc>
        <w:tc>
          <w:tcPr>
            <w:tcW w:w="1029" w:type="dxa"/>
            <w:tcBorders>
              <w:top w:val="single" w:sz="4" w:space="0" w:color="auto"/>
              <w:bottom w:val="single" w:sz="4" w:space="0" w:color="auto"/>
            </w:tcBorders>
            <w:shd w:val="clear" w:color="auto" w:fill="auto"/>
          </w:tcPr>
          <w:p w14:paraId="008850E3"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1,212</w:t>
            </w:r>
          </w:p>
        </w:tc>
        <w:tc>
          <w:tcPr>
            <w:tcW w:w="1029" w:type="dxa"/>
            <w:tcBorders>
              <w:top w:val="single" w:sz="4" w:space="0" w:color="auto"/>
              <w:bottom w:val="single" w:sz="4" w:space="0" w:color="auto"/>
            </w:tcBorders>
            <w:shd w:val="clear" w:color="auto" w:fill="auto"/>
          </w:tcPr>
          <w:p w14:paraId="0893BA88"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4,193</w:t>
            </w:r>
          </w:p>
        </w:tc>
      </w:tr>
    </w:tbl>
    <w:p w14:paraId="730C772B" w14:textId="77777777" w:rsidR="00371CFF" w:rsidRPr="00371CFF" w:rsidRDefault="00371CFF" w:rsidP="00EE5AC4">
      <w:pPr>
        <w:pStyle w:val="snapInitbody"/>
        <w:rPr>
          <w:b/>
        </w:rPr>
      </w:pPr>
      <w:r w:rsidRPr="00371CFF">
        <w:t>The Government will progress implementation of the Future of Education Strategy by providing more support for students with complex needs and challenging behaviours.</w:t>
      </w:r>
    </w:p>
    <w:p w14:paraId="40449329" w14:textId="77777777" w:rsidR="00371CFF" w:rsidRPr="000F30E1" w:rsidRDefault="00371CFF" w:rsidP="000F30E1">
      <w:pPr>
        <w:pStyle w:val="snapInittitles"/>
      </w:pPr>
      <w:r w:rsidRPr="000F30E1">
        <w:t xml:space="preserve">Strengthening mental health care in ACT public schools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71CFF" w:rsidRPr="00866299" w14:paraId="59BAB2E3" w14:textId="77777777" w:rsidTr="00EE5AC4">
        <w:trPr>
          <w:cantSplit/>
        </w:trPr>
        <w:tc>
          <w:tcPr>
            <w:tcW w:w="3652" w:type="dxa"/>
            <w:tcBorders>
              <w:top w:val="single" w:sz="4" w:space="0" w:color="auto"/>
              <w:bottom w:val="single" w:sz="4" w:space="0" w:color="auto"/>
            </w:tcBorders>
          </w:tcPr>
          <w:p w14:paraId="21CE68BC" w14:textId="77777777" w:rsidR="00371CFF" w:rsidRPr="00866299" w:rsidRDefault="00371CFF" w:rsidP="00371CFF">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0694A9CD"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2019-20</w:t>
            </w:r>
          </w:p>
          <w:p w14:paraId="1042C51D"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6C90A061"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2020-21</w:t>
            </w:r>
          </w:p>
          <w:p w14:paraId="0365A7F2"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DE8A862"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2021-22</w:t>
            </w:r>
          </w:p>
          <w:p w14:paraId="11909DA8"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3FCF8CA"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2022-23</w:t>
            </w:r>
          </w:p>
          <w:p w14:paraId="4AE15784"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1E73FCA"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Total</w:t>
            </w:r>
          </w:p>
          <w:p w14:paraId="5F87043E"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$’000</w:t>
            </w:r>
          </w:p>
        </w:tc>
      </w:tr>
      <w:tr w:rsidR="00371CFF" w:rsidRPr="00866299" w14:paraId="2A707ED1" w14:textId="77777777" w:rsidTr="00EE5AC4">
        <w:trPr>
          <w:cantSplit/>
        </w:trPr>
        <w:tc>
          <w:tcPr>
            <w:tcW w:w="3652" w:type="dxa"/>
            <w:tcBorders>
              <w:top w:val="single" w:sz="4" w:space="0" w:color="auto"/>
              <w:bottom w:val="single" w:sz="4" w:space="0" w:color="auto"/>
            </w:tcBorders>
          </w:tcPr>
          <w:p w14:paraId="6A6D8BAC" w14:textId="77777777" w:rsidR="00371CFF" w:rsidRPr="00866299" w:rsidRDefault="00371CFF" w:rsidP="00371CFF">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shd w:val="clear" w:color="auto" w:fill="auto"/>
          </w:tcPr>
          <w:p w14:paraId="07944431"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720</w:t>
            </w:r>
          </w:p>
        </w:tc>
        <w:tc>
          <w:tcPr>
            <w:tcW w:w="1041" w:type="dxa"/>
            <w:tcBorders>
              <w:top w:val="single" w:sz="4" w:space="0" w:color="auto"/>
              <w:bottom w:val="single" w:sz="4" w:space="0" w:color="auto"/>
            </w:tcBorders>
            <w:shd w:val="clear" w:color="auto" w:fill="auto"/>
          </w:tcPr>
          <w:p w14:paraId="5E08C532"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740</w:t>
            </w:r>
          </w:p>
        </w:tc>
        <w:tc>
          <w:tcPr>
            <w:tcW w:w="1029" w:type="dxa"/>
            <w:tcBorders>
              <w:top w:val="single" w:sz="4" w:space="0" w:color="auto"/>
              <w:bottom w:val="single" w:sz="4" w:space="0" w:color="auto"/>
            </w:tcBorders>
            <w:shd w:val="clear" w:color="auto" w:fill="auto"/>
          </w:tcPr>
          <w:p w14:paraId="1181EE40"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762</w:t>
            </w:r>
          </w:p>
        </w:tc>
        <w:tc>
          <w:tcPr>
            <w:tcW w:w="1029" w:type="dxa"/>
            <w:tcBorders>
              <w:top w:val="single" w:sz="4" w:space="0" w:color="auto"/>
              <w:bottom w:val="single" w:sz="4" w:space="0" w:color="auto"/>
            </w:tcBorders>
            <w:shd w:val="clear" w:color="auto" w:fill="auto"/>
          </w:tcPr>
          <w:p w14:paraId="409DD3FC"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785</w:t>
            </w:r>
          </w:p>
        </w:tc>
        <w:tc>
          <w:tcPr>
            <w:tcW w:w="1029" w:type="dxa"/>
            <w:tcBorders>
              <w:top w:val="single" w:sz="4" w:space="0" w:color="auto"/>
              <w:bottom w:val="single" w:sz="4" w:space="0" w:color="auto"/>
            </w:tcBorders>
            <w:shd w:val="clear" w:color="auto" w:fill="auto"/>
          </w:tcPr>
          <w:p w14:paraId="01DA3002"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3,007</w:t>
            </w:r>
          </w:p>
        </w:tc>
      </w:tr>
    </w:tbl>
    <w:p w14:paraId="38BDD359" w14:textId="77777777" w:rsidR="00371CFF" w:rsidRPr="00371CFF" w:rsidRDefault="00371CFF" w:rsidP="00EE5AC4">
      <w:pPr>
        <w:pStyle w:val="snapInitbody"/>
      </w:pPr>
      <w:r w:rsidRPr="00371CFF">
        <w:t xml:space="preserve">The Government will permanently fund four full-time school psychologists and one administrative support worker to promote student wellbeing and better mental health among young Canberrans. </w:t>
      </w:r>
    </w:p>
    <w:p w14:paraId="6561C962" w14:textId="77777777" w:rsidR="00371CFF" w:rsidRPr="000F30E1" w:rsidRDefault="00371CFF" w:rsidP="000F30E1">
      <w:pPr>
        <w:pStyle w:val="snapInittitles"/>
      </w:pPr>
      <w:r w:rsidRPr="000F30E1">
        <w:t xml:space="preserve">Training ACT Government frontline workers to respond to family violence </w:t>
      </w:r>
    </w:p>
    <w:p w14:paraId="73779C73" w14:textId="77777777" w:rsidR="00371CFF" w:rsidRPr="00371CFF" w:rsidRDefault="00371CFF" w:rsidP="00EE5AC4">
      <w:pPr>
        <w:pStyle w:val="snapInitbody"/>
      </w:pPr>
      <w:r w:rsidRPr="00371CFF">
        <w:t xml:space="preserve">See the Community Services Directorate expense initiative </w:t>
      </w:r>
      <w:r w:rsidRPr="00371CFF">
        <w:rPr>
          <w:i/>
        </w:rPr>
        <w:t>Training ACT Government frontline workers to respond to family violence</w:t>
      </w:r>
      <w:r w:rsidRPr="00371CFF">
        <w:t xml:space="preserve"> for further details.</w:t>
      </w:r>
    </w:p>
    <w:p w14:paraId="4EB9DE8A" w14:textId="692FF897" w:rsidR="00371CFF" w:rsidRPr="007A3A72" w:rsidRDefault="00371CFF" w:rsidP="007A3A72">
      <w:pPr>
        <w:pStyle w:val="Heading3"/>
      </w:pPr>
      <w:r w:rsidRPr="007A3A72">
        <w:t xml:space="preserve">Infrastructure and </w:t>
      </w:r>
      <w:r w:rsidR="00B2594F">
        <w:t>C</w:t>
      </w:r>
      <w:r w:rsidRPr="007A3A72">
        <w:t xml:space="preserve">apital </w:t>
      </w:r>
      <w:r w:rsidR="00B2594F">
        <w:t>I</w:t>
      </w:r>
      <w:r w:rsidRPr="007A3A72">
        <w:t>nitiatives</w:t>
      </w:r>
    </w:p>
    <w:p w14:paraId="4B9B2A3A" w14:textId="77777777" w:rsidR="00371CFF" w:rsidRPr="000F30E1" w:rsidRDefault="00371CFF" w:rsidP="000F30E1">
      <w:pPr>
        <w:pStyle w:val="snapInittitles"/>
      </w:pPr>
      <w:r w:rsidRPr="000F30E1">
        <w:t xml:space="preserve">Delivering a new high school at Kenny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71CFF" w:rsidRPr="00866299" w14:paraId="3EAB220B" w14:textId="77777777" w:rsidTr="00EE5AC4">
        <w:trPr>
          <w:cantSplit/>
        </w:trPr>
        <w:tc>
          <w:tcPr>
            <w:tcW w:w="3652" w:type="dxa"/>
            <w:tcBorders>
              <w:top w:val="single" w:sz="4" w:space="0" w:color="auto"/>
              <w:bottom w:val="single" w:sz="4" w:space="0" w:color="auto"/>
            </w:tcBorders>
          </w:tcPr>
          <w:p w14:paraId="1AAFC199" w14:textId="77777777" w:rsidR="00371CFF" w:rsidRPr="00866299" w:rsidRDefault="00371CFF" w:rsidP="00371CFF">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63A2CBD8"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2019-20</w:t>
            </w:r>
          </w:p>
          <w:p w14:paraId="7772FF52"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11B9F589"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2020-21</w:t>
            </w:r>
          </w:p>
          <w:p w14:paraId="260D4F47"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7A72DB5"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2021-22</w:t>
            </w:r>
          </w:p>
          <w:p w14:paraId="13916D92"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D253455"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2022-23</w:t>
            </w:r>
          </w:p>
          <w:p w14:paraId="275586DC"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17236191"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Total</w:t>
            </w:r>
          </w:p>
          <w:p w14:paraId="4362C1A1"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$’000</w:t>
            </w:r>
          </w:p>
        </w:tc>
      </w:tr>
      <w:tr w:rsidR="00371CFF" w:rsidRPr="00866299" w14:paraId="5939EB80" w14:textId="77777777" w:rsidTr="00EE5AC4">
        <w:trPr>
          <w:cantSplit/>
        </w:trPr>
        <w:tc>
          <w:tcPr>
            <w:tcW w:w="3652" w:type="dxa"/>
            <w:tcBorders>
              <w:top w:val="single" w:sz="4" w:space="0" w:color="auto"/>
              <w:bottom w:val="single" w:sz="4" w:space="0" w:color="auto"/>
            </w:tcBorders>
          </w:tcPr>
          <w:p w14:paraId="4645D0B2" w14:textId="77777777" w:rsidR="00371CFF" w:rsidRPr="00866299" w:rsidRDefault="00371CFF" w:rsidP="00371CFF">
            <w:pPr>
              <w:ind w:left="284" w:hanging="284"/>
              <w:rPr>
                <w:rFonts w:ascii="Calibri" w:hAnsi="Calibri"/>
                <w:sz w:val="22"/>
                <w:lang w:eastAsia="en-US"/>
              </w:rPr>
            </w:pPr>
            <w:r w:rsidRPr="00866299">
              <w:rPr>
                <w:rFonts w:ascii="Calibri" w:hAnsi="Calibri"/>
                <w:sz w:val="22"/>
                <w:lang w:eastAsia="en-US"/>
              </w:rPr>
              <w:t>Capital – Provision</w:t>
            </w:r>
          </w:p>
        </w:tc>
        <w:tc>
          <w:tcPr>
            <w:tcW w:w="1179" w:type="dxa"/>
            <w:tcBorders>
              <w:top w:val="single" w:sz="4" w:space="0" w:color="auto"/>
              <w:bottom w:val="single" w:sz="4" w:space="0" w:color="auto"/>
            </w:tcBorders>
          </w:tcPr>
          <w:p w14:paraId="7F640830"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w:t>
            </w:r>
          </w:p>
        </w:tc>
        <w:tc>
          <w:tcPr>
            <w:tcW w:w="1041" w:type="dxa"/>
            <w:tcBorders>
              <w:top w:val="single" w:sz="4" w:space="0" w:color="auto"/>
              <w:bottom w:val="single" w:sz="4" w:space="0" w:color="auto"/>
            </w:tcBorders>
          </w:tcPr>
          <w:p w14:paraId="3B9B1D3D" w14:textId="77777777" w:rsidR="00371CFF" w:rsidRPr="00866299" w:rsidRDefault="00371CFF" w:rsidP="00371CFF">
            <w:pPr>
              <w:ind w:left="284" w:hanging="284"/>
              <w:jc w:val="right"/>
              <w:rPr>
                <w:rFonts w:ascii="Calibri" w:hAnsi="Calibri"/>
                <w:sz w:val="22"/>
                <w:lang w:eastAsia="en-US"/>
              </w:rPr>
            </w:pPr>
            <w:proofErr w:type="spellStart"/>
            <w:r w:rsidRPr="00866299">
              <w:rPr>
                <w:rFonts w:ascii="Calibri" w:hAnsi="Calibri"/>
                <w:sz w:val="22"/>
                <w:lang w:eastAsia="en-US"/>
              </w:rPr>
              <w:t>NFP</w:t>
            </w:r>
            <w:proofErr w:type="spellEnd"/>
          </w:p>
        </w:tc>
        <w:tc>
          <w:tcPr>
            <w:tcW w:w="1029" w:type="dxa"/>
            <w:tcBorders>
              <w:top w:val="single" w:sz="4" w:space="0" w:color="auto"/>
              <w:bottom w:val="single" w:sz="4" w:space="0" w:color="auto"/>
            </w:tcBorders>
          </w:tcPr>
          <w:p w14:paraId="48BD741E" w14:textId="77777777" w:rsidR="00371CFF" w:rsidRPr="00866299" w:rsidRDefault="00371CFF" w:rsidP="00371CFF">
            <w:pPr>
              <w:ind w:left="284" w:hanging="284"/>
              <w:jc w:val="right"/>
              <w:rPr>
                <w:rFonts w:ascii="Calibri" w:hAnsi="Calibri"/>
                <w:sz w:val="22"/>
                <w:lang w:eastAsia="en-US"/>
              </w:rPr>
            </w:pPr>
            <w:proofErr w:type="spellStart"/>
            <w:r w:rsidRPr="00866299">
              <w:rPr>
                <w:rFonts w:ascii="Calibri" w:hAnsi="Calibri"/>
                <w:sz w:val="22"/>
                <w:lang w:eastAsia="en-US"/>
              </w:rPr>
              <w:t>NFP</w:t>
            </w:r>
            <w:proofErr w:type="spellEnd"/>
          </w:p>
        </w:tc>
        <w:tc>
          <w:tcPr>
            <w:tcW w:w="1029" w:type="dxa"/>
            <w:tcBorders>
              <w:top w:val="single" w:sz="4" w:space="0" w:color="auto"/>
              <w:bottom w:val="single" w:sz="4" w:space="0" w:color="auto"/>
            </w:tcBorders>
          </w:tcPr>
          <w:p w14:paraId="271C7D44" w14:textId="77777777" w:rsidR="00371CFF" w:rsidRPr="00866299" w:rsidRDefault="00371CFF" w:rsidP="00371CFF">
            <w:pPr>
              <w:ind w:left="284" w:hanging="284"/>
              <w:jc w:val="right"/>
              <w:rPr>
                <w:rFonts w:ascii="Calibri" w:hAnsi="Calibri"/>
                <w:sz w:val="22"/>
                <w:lang w:eastAsia="en-US"/>
              </w:rPr>
            </w:pPr>
            <w:proofErr w:type="spellStart"/>
            <w:r w:rsidRPr="00866299">
              <w:rPr>
                <w:rFonts w:ascii="Calibri" w:hAnsi="Calibri"/>
                <w:sz w:val="22"/>
                <w:lang w:eastAsia="en-US"/>
              </w:rPr>
              <w:t>NFP</w:t>
            </w:r>
            <w:proofErr w:type="spellEnd"/>
          </w:p>
        </w:tc>
        <w:tc>
          <w:tcPr>
            <w:tcW w:w="1029" w:type="dxa"/>
            <w:tcBorders>
              <w:top w:val="single" w:sz="4" w:space="0" w:color="auto"/>
              <w:bottom w:val="single" w:sz="4" w:space="0" w:color="auto"/>
            </w:tcBorders>
          </w:tcPr>
          <w:p w14:paraId="0AFE4F6E" w14:textId="77777777" w:rsidR="00371CFF" w:rsidRPr="00866299" w:rsidRDefault="00371CFF" w:rsidP="00371CFF">
            <w:pPr>
              <w:ind w:left="284" w:hanging="284"/>
              <w:jc w:val="right"/>
              <w:rPr>
                <w:rFonts w:ascii="Calibri" w:hAnsi="Calibri"/>
                <w:b/>
                <w:sz w:val="22"/>
                <w:lang w:eastAsia="en-US"/>
              </w:rPr>
            </w:pPr>
            <w:proofErr w:type="spellStart"/>
            <w:r w:rsidRPr="00866299">
              <w:rPr>
                <w:rFonts w:ascii="Calibri" w:hAnsi="Calibri"/>
                <w:b/>
                <w:sz w:val="22"/>
                <w:lang w:eastAsia="en-US"/>
              </w:rPr>
              <w:t>NFP</w:t>
            </w:r>
            <w:proofErr w:type="spellEnd"/>
          </w:p>
        </w:tc>
      </w:tr>
      <w:tr w:rsidR="00371CFF" w:rsidRPr="00866299" w14:paraId="2AF90C4A" w14:textId="77777777" w:rsidTr="00EE5AC4">
        <w:trPr>
          <w:cantSplit/>
        </w:trPr>
        <w:tc>
          <w:tcPr>
            <w:tcW w:w="3652" w:type="dxa"/>
            <w:tcBorders>
              <w:top w:val="single" w:sz="4" w:space="0" w:color="auto"/>
            </w:tcBorders>
          </w:tcPr>
          <w:p w14:paraId="1E0C84B7" w14:textId="77777777" w:rsidR="00371CFF" w:rsidRPr="00866299" w:rsidRDefault="00371CFF" w:rsidP="00371CFF">
            <w:pPr>
              <w:ind w:left="284" w:hanging="284"/>
              <w:rPr>
                <w:rFonts w:ascii="Calibri" w:hAnsi="Calibri"/>
                <w:sz w:val="22"/>
                <w:lang w:eastAsia="en-US"/>
              </w:rPr>
            </w:pPr>
            <w:bookmarkStart w:id="11" w:name="_Hlk8833373"/>
            <w:r w:rsidRPr="00866299">
              <w:rPr>
                <w:rFonts w:ascii="Calibri" w:hAnsi="Calibri"/>
                <w:sz w:val="22"/>
                <w:lang w:eastAsia="en-US"/>
              </w:rPr>
              <w:t xml:space="preserve">Associated expenses </w:t>
            </w:r>
            <w:bookmarkEnd w:id="11"/>
          </w:p>
        </w:tc>
        <w:tc>
          <w:tcPr>
            <w:tcW w:w="1179" w:type="dxa"/>
            <w:tcBorders>
              <w:top w:val="single" w:sz="4" w:space="0" w:color="auto"/>
            </w:tcBorders>
          </w:tcPr>
          <w:p w14:paraId="614C1394"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500</w:t>
            </w:r>
          </w:p>
        </w:tc>
        <w:tc>
          <w:tcPr>
            <w:tcW w:w="1041" w:type="dxa"/>
            <w:tcBorders>
              <w:top w:val="single" w:sz="4" w:space="0" w:color="auto"/>
            </w:tcBorders>
          </w:tcPr>
          <w:p w14:paraId="3E981053"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6AB707C8"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0AB27660"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7B73F7DE"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500</w:t>
            </w:r>
          </w:p>
        </w:tc>
      </w:tr>
      <w:tr w:rsidR="00371CFF" w:rsidRPr="00866299" w14:paraId="359051AE" w14:textId="77777777" w:rsidTr="00EE5AC4">
        <w:trPr>
          <w:cantSplit/>
        </w:trPr>
        <w:tc>
          <w:tcPr>
            <w:tcW w:w="3652" w:type="dxa"/>
          </w:tcPr>
          <w:p w14:paraId="2F594A7A" w14:textId="77777777" w:rsidR="00371CFF" w:rsidRPr="00866299" w:rsidRDefault="00371CFF" w:rsidP="00371CFF">
            <w:pPr>
              <w:ind w:left="284" w:hanging="284"/>
              <w:rPr>
                <w:rFonts w:ascii="Calibri" w:hAnsi="Calibri"/>
                <w:sz w:val="22"/>
                <w:lang w:eastAsia="en-US"/>
              </w:rPr>
            </w:pPr>
            <w:r w:rsidRPr="00866299">
              <w:rPr>
                <w:rFonts w:ascii="Calibri" w:hAnsi="Calibri"/>
                <w:sz w:val="22"/>
                <w:lang w:eastAsia="en-US"/>
              </w:rPr>
              <w:t>Associated expenses – Transport Canberra and City Services Directorate</w:t>
            </w:r>
          </w:p>
        </w:tc>
        <w:tc>
          <w:tcPr>
            <w:tcW w:w="1179" w:type="dxa"/>
          </w:tcPr>
          <w:p w14:paraId="0F8AEAC3"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1,500</w:t>
            </w:r>
          </w:p>
        </w:tc>
        <w:tc>
          <w:tcPr>
            <w:tcW w:w="1041" w:type="dxa"/>
          </w:tcPr>
          <w:p w14:paraId="5F5CF668"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0C65DD22"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3AE123AA"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6A220114"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1,500</w:t>
            </w:r>
          </w:p>
        </w:tc>
      </w:tr>
      <w:tr w:rsidR="00371CFF" w:rsidRPr="00866299" w14:paraId="0D205DD8" w14:textId="77777777" w:rsidTr="00EE5AC4">
        <w:trPr>
          <w:cantSplit/>
        </w:trPr>
        <w:tc>
          <w:tcPr>
            <w:tcW w:w="3652" w:type="dxa"/>
            <w:tcBorders>
              <w:bottom w:val="single" w:sz="4" w:space="0" w:color="auto"/>
            </w:tcBorders>
          </w:tcPr>
          <w:p w14:paraId="7C9A4BE3" w14:textId="77777777" w:rsidR="00371CFF" w:rsidRPr="00866299" w:rsidRDefault="00371CFF" w:rsidP="00371CFF">
            <w:pPr>
              <w:ind w:left="284" w:hanging="284"/>
              <w:rPr>
                <w:rFonts w:ascii="Calibri" w:hAnsi="Calibri"/>
                <w:sz w:val="22"/>
                <w:lang w:eastAsia="en-US"/>
              </w:rPr>
            </w:pPr>
            <w:r w:rsidRPr="00866299">
              <w:rPr>
                <w:rFonts w:ascii="Calibri" w:hAnsi="Calibri"/>
                <w:sz w:val="22"/>
                <w:lang w:eastAsia="en-US"/>
              </w:rPr>
              <w:t>Associated expenses – Provision</w:t>
            </w:r>
          </w:p>
        </w:tc>
        <w:tc>
          <w:tcPr>
            <w:tcW w:w="1179" w:type="dxa"/>
            <w:tcBorders>
              <w:bottom w:val="single" w:sz="4" w:space="0" w:color="auto"/>
            </w:tcBorders>
          </w:tcPr>
          <w:p w14:paraId="465E2ED6"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w:t>
            </w:r>
          </w:p>
        </w:tc>
        <w:tc>
          <w:tcPr>
            <w:tcW w:w="1041" w:type="dxa"/>
            <w:tcBorders>
              <w:bottom w:val="single" w:sz="4" w:space="0" w:color="auto"/>
            </w:tcBorders>
          </w:tcPr>
          <w:p w14:paraId="2637ACD3"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bottom w:val="single" w:sz="4" w:space="0" w:color="auto"/>
            </w:tcBorders>
          </w:tcPr>
          <w:p w14:paraId="40EDCF67"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bottom w:val="single" w:sz="4" w:space="0" w:color="auto"/>
            </w:tcBorders>
          </w:tcPr>
          <w:p w14:paraId="7E3A7775" w14:textId="77777777" w:rsidR="00371CFF" w:rsidRPr="00866299" w:rsidRDefault="00371CFF" w:rsidP="00371CFF">
            <w:pPr>
              <w:ind w:left="284" w:hanging="284"/>
              <w:jc w:val="right"/>
              <w:rPr>
                <w:rFonts w:ascii="Calibri" w:hAnsi="Calibri"/>
                <w:sz w:val="22"/>
                <w:lang w:eastAsia="en-US"/>
              </w:rPr>
            </w:pPr>
            <w:proofErr w:type="spellStart"/>
            <w:r w:rsidRPr="00866299">
              <w:rPr>
                <w:rFonts w:ascii="Calibri" w:hAnsi="Calibri"/>
                <w:sz w:val="22"/>
                <w:lang w:eastAsia="en-US"/>
              </w:rPr>
              <w:t>NFP</w:t>
            </w:r>
            <w:proofErr w:type="spellEnd"/>
          </w:p>
        </w:tc>
        <w:tc>
          <w:tcPr>
            <w:tcW w:w="1029" w:type="dxa"/>
            <w:tcBorders>
              <w:bottom w:val="single" w:sz="4" w:space="0" w:color="auto"/>
            </w:tcBorders>
          </w:tcPr>
          <w:p w14:paraId="2405C9ED" w14:textId="77777777" w:rsidR="00371CFF" w:rsidRPr="00866299" w:rsidRDefault="00371CFF" w:rsidP="00371CFF">
            <w:pPr>
              <w:ind w:left="284" w:hanging="284"/>
              <w:jc w:val="right"/>
              <w:rPr>
                <w:rFonts w:ascii="Calibri" w:hAnsi="Calibri"/>
                <w:b/>
                <w:sz w:val="22"/>
                <w:lang w:eastAsia="en-US"/>
              </w:rPr>
            </w:pPr>
            <w:proofErr w:type="spellStart"/>
            <w:r w:rsidRPr="00866299">
              <w:rPr>
                <w:rFonts w:ascii="Calibri" w:hAnsi="Calibri"/>
                <w:b/>
                <w:sz w:val="22"/>
                <w:lang w:eastAsia="en-US"/>
              </w:rPr>
              <w:t>NFP</w:t>
            </w:r>
            <w:proofErr w:type="spellEnd"/>
          </w:p>
        </w:tc>
      </w:tr>
      <w:tr w:rsidR="00371CFF" w:rsidRPr="00866299" w14:paraId="63FC2C10" w14:textId="77777777" w:rsidTr="00EE5AC4">
        <w:trPr>
          <w:cantSplit/>
        </w:trPr>
        <w:tc>
          <w:tcPr>
            <w:tcW w:w="3652" w:type="dxa"/>
            <w:tcBorders>
              <w:top w:val="single" w:sz="4" w:space="0" w:color="auto"/>
              <w:bottom w:val="single" w:sz="4" w:space="0" w:color="auto"/>
            </w:tcBorders>
          </w:tcPr>
          <w:p w14:paraId="2DBCEBA8" w14:textId="77777777" w:rsidR="00371CFF" w:rsidRPr="00866299" w:rsidRDefault="00371CFF" w:rsidP="00371CFF">
            <w:pPr>
              <w:ind w:left="284" w:hanging="284"/>
              <w:rPr>
                <w:rFonts w:ascii="Calibri" w:hAnsi="Calibri"/>
                <w:b/>
                <w:sz w:val="22"/>
                <w:lang w:eastAsia="en-US"/>
              </w:rPr>
            </w:pPr>
            <w:r w:rsidRPr="00866299">
              <w:rPr>
                <w:rFonts w:ascii="Calibri" w:hAnsi="Calibri"/>
                <w:b/>
                <w:sz w:val="22"/>
                <w:lang w:eastAsia="en-US"/>
              </w:rPr>
              <w:t>Total expenses</w:t>
            </w:r>
          </w:p>
        </w:tc>
        <w:tc>
          <w:tcPr>
            <w:tcW w:w="1179" w:type="dxa"/>
            <w:tcBorders>
              <w:top w:val="single" w:sz="4" w:space="0" w:color="auto"/>
              <w:bottom w:val="single" w:sz="4" w:space="0" w:color="auto"/>
            </w:tcBorders>
          </w:tcPr>
          <w:p w14:paraId="43A94ABF"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2,000</w:t>
            </w:r>
          </w:p>
        </w:tc>
        <w:tc>
          <w:tcPr>
            <w:tcW w:w="1041" w:type="dxa"/>
            <w:tcBorders>
              <w:top w:val="single" w:sz="4" w:space="0" w:color="auto"/>
              <w:bottom w:val="single" w:sz="4" w:space="0" w:color="auto"/>
            </w:tcBorders>
          </w:tcPr>
          <w:p w14:paraId="50A55C80"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72DA6F8A"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40F6078E"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398CA755"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2,000</w:t>
            </w:r>
          </w:p>
        </w:tc>
      </w:tr>
    </w:tbl>
    <w:p w14:paraId="5C3346E4" w14:textId="77777777" w:rsidR="00371CFF" w:rsidRPr="00371CFF" w:rsidRDefault="00371CFF" w:rsidP="00EE5AC4">
      <w:pPr>
        <w:pStyle w:val="snapInitbody"/>
      </w:pPr>
      <w:r w:rsidRPr="00371CFF">
        <w:t xml:space="preserve">The Government will prepare to deliver a new high school in Kenny to provide places for around 1,000 students in years 7 to 10. The new high school will help provide more capacity as the Gungahlin community grows up and will open in 2023. </w:t>
      </w:r>
    </w:p>
    <w:p w14:paraId="363373F1" w14:textId="77777777" w:rsidR="00371CFF" w:rsidRPr="00371CFF" w:rsidRDefault="00371CFF" w:rsidP="00EE5AC4">
      <w:pPr>
        <w:pStyle w:val="snapInitbody"/>
        <w:rPr>
          <w:bCs/>
          <w:szCs w:val="24"/>
        </w:rPr>
      </w:pPr>
      <w:r w:rsidRPr="00371CFF">
        <w:t xml:space="preserve">The </w:t>
      </w:r>
      <w:r w:rsidRPr="00371CFF">
        <w:rPr>
          <w:bCs/>
          <w:szCs w:val="24"/>
        </w:rPr>
        <w:t>capital cost of this initiative has been withheld in order to secure value for money when the Government approaches the market.</w:t>
      </w:r>
    </w:p>
    <w:p w14:paraId="6EF3B998" w14:textId="77777777" w:rsidR="00371CFF" w:rsidRPr="000F30E1" w:rsidRDefault="00371CFF" w:rsidP="000F30E1">
      <w:pPr>
        <w:pStyle w:val="snapInittitles"/>
      </w:pPr>
      <w:r w:rsidRPr="000F30E1">
        <w:t xml:space="preserve">Delivering a new primary school at Throsby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71CFF" w:rsidRPr="00866299" w14:paraId="0B1A4E7A" w14:textId="77777777" w:rsidTr="00EE5AC4">
        <w:trPr>
          <w:cantSplit/>
        </w:trPr>
        <w:tc>
          <w:tcPr>
            <w:tcW w:w="3652" w:type="dxa"/>
            <w:tcBorders>
              <w:top w:val="single" w:sz="4" w:space="0" w:color="auto"/>
              <w:bottom w:val="single" w:sz="4" w:space="0" w:color="auto"/>
            </w:tcBorders>
          </w:tcPr>
          <w:p w14:paraId="1723DC48" w14:textId="77777777" w:rsidR="00371CFF" w:rsidRPr="00866299" w:rsidRDefault="00371CFF" w:rsidP="00371CFF">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55C66489"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2019-20</w:t>
            </w:r>
          </w:p>
          <w:p w14:paraId="370BC652"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59C3F681"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2020-21</w:t>
            </w:r>
          </w:p>
          <w:p w14:paraId="4DD48DFA"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E5784DD"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2021-22</w:t>
            </w:r>
          </w:p>
          <w:p w14:paraId="2E90F258"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09ADEEB7"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2022-23</w:t>
            </w:r>
          </w:p>
          <w:p w14:paraId="70ABA6AA"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0425ACD7"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Total</w:t>
            </w:r>
          </w:p>
          <w:p w14:paraId="346468EE"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$’000</w:t>
            </w:r>
          </w:p>
        </w:tc>
      </w:tr>
      <w:tr w:rsidR="00371CFF" w:rsidRPr="00866299" w14:paraId="5CEDA95D" w14:textId="77777777" w:rsidTr="00EE5AC4">
        <w:trPr>
          <w:cantSplit/>
        </w:trPr>
        <w:tc>
          <w:tcPr>
            <w:tcW w:w="3652" w:type="dxa"/>
            <w:tcBorders>
              <w:top w:val="single" w:sz="4" w:space="0" w:color="auto"/>
            </w:tcBorders>
          </w:tcPr>
          <w:p w14:paraId="0B4153E6" w14:textId="77777777" w:rsidR="00371CFF" w:rsidRPr="00866299" w:rsidRDefault="00371CFF" w:rsidP="00371CFF">
            <w:pPr>
              <w:ind w:left="284" w:hanging="284"/>
              <w:rPr>
                <w:rFonts w:ascii="Calibri" w:hAnsi="Calibri"/>
                <w:sz w:val="22"/>
                <w:lang w:eastAsia="en-US"/>
              </w:rPr>
            </w:pPr>
            <w:r w:rsidRPr="00866299">
              <w:rPr>
                <w:rFonts w:ascii="Calibri" w:hAnsi="Calibri"/>
                <w:sz w:val="22"/>
                <w:lang w:eastAsia="en-US"/>
              </w:rPr>
              <w:t>Capital</w:t>
            </w:r>
          </w:p>
        </w:tc>
        <w:tc>
          <w:tcPr>
            <w:tcW w:w="1179" w:type="dxa"/>
            <w:tcBorders>
              <w:top w:val="single" w:sz="4" w:space="0" w:color="auto"/>
            </w:tcBorders>
          </w:tcPr>
          <w:p w14:paraId="643C4D29"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1,195</w:t>
            </w:r>
          </w:p>
        </w:tc>
        <w:tc>
          <w:tcPr>
            <w:tcW w:w="1041" w:type="dxa"/>
            <w:tcBorders>
              <w:top w:val="single" w:sz="4" w:space="0" w:color="auto"/>
            </w:tcBorders>
          </w:tcPr>
          <w:p w14:paraId="7868F6FB"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19,761</w:t>
            </w:r>
          </w:p>
        </w:tc>
        <w:tc>
          <w:tcPr>
            <w:tcW w:w="1029" w:type="dxa"/>
            <w:tcBorders>
              <w:top w:val="single" w:sz="4" w:space="0" w:color="auto"/>
            </w:tcBorders>
          </w:tcPr>
          <w:p w14:paraId="6DD7FA42"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21,859</w:t>
            </w:r>
          </w:p>
        </w:tc>
        <w:tc>
          <w:tcPr>
            <w:tcW w:w="1029" w:type="dxa"/>
            <w:tcBorders>
              <w:top w:val="single" w:sz="4" w:space="0" w:color="auto"/>
            </w:tcBorders>
          </w:tcPr>
          <w:p w14:paraId="11A8B894"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1,098</w:t>
            </w:r>
          </w:p>
        </w:tc>
        <w:tc>
          <w:tcPr>
            <w:tcW w:w="1029" w:type="dxa"/>
            <w:tcBorders>
              <w:top w:val="single" w:sz="4" w:space="0" w:color="auto"/>
            </w:tcBorders>
          </w:tcPr>
          <w:p w14:paraId="10BDD053"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43,913</w:t>
            </w:r>
          </w:p>
        </w:tc>
      </w:tr>
      <w:tr w:rsidR="00371CFF" w:rsidRPr="00866299" w14:paraId="454D1E18" w14:textId="77777777" w:rsidTr="00EE5AC4">
        <w:trPr>
          <w:cantSplit/>
        </w:trPr>
        <w:tc>
          <w:tcPr>
            <w:tcW w:w="3652" w:type="dxa"/>
            <w:tcBorders>
              <w:top w:val="single" w:sz="4" w:space="0" w:color="auto"/>
            </w:tcBorders>
          </w:tcPr>
          <w:p w14:paraId="24872AE1" w14:textId="77777777" w:rsidR="00371CFF" w:rsidRPr="00866299" w:rsidRDefault="00371CFF" w:rsidP="00371CFF">
            <w:pPr>
              <w:ind w:left="284" w:hanging="284"/>
              <w:rPr>
                <w:rFonts w:ascii="Calibri" w:hAnsi="Calibri"/>
                <w:sz w:val="22"/>
                <w:lang w:eastAsia="en-US"/>
              </w:rPr>
            </w:pPr>
            <w:r w:rsidRPr="00866299">
              <w:rPr>
                <w:rFonts w:ascii="Calibri" w:hAnsi="Calibri"/>
                <w:sz w:val="22"/>
                <w:lang w:eastAsia="en-US"/>
              </w:rPr>
              <w:t>Depreciation</w:t>
            </w:r>
          </w:p>
        </w:tc>
        <w:tc>
          <w:tcPr>
            <w:tcW w:w="1179" w:type="dxa"/>
            <w:tcBorders>
              <w:top w:val="single" w:sz="4" w:space="0" w:color="auto"/>
            </w:tcBorders>
          </w:tcPr>
          <w:p w14:paraId="7084C843"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w:t>
            </w:r>
          </w:p>
        </w:tc>
        <w:tc>
          <w:tcPr>
            <w:tcW w:w="1041" w:type="dxa"/>
            <w:tcBorders>
              <w:top w:val="single" w:sz="4" w:space="0" w:color="auto"/>
            </w:tcBorders>
          </w:tcPr>
          <w:p w14:paraId="310399F8"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72367AA9"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438</w:t>
            </w:r>
          </w:p>
        </w:tc>
        <w:tc>
          <w:tcPr>
            <w:tcW w:w="1029" w:type="dxa"/>
            <w:tcBorders>
              <w:top w:val="single" w:sz="4" w:space="0" w:color="auto"/>
            </w:tcBorders>
          </w:tcPr>
          <w:p w14:paraId="2F0C8EBF"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878</w:t>
            </w:r>
          </w:p>
        </w:tc>
        <w:tc>
          <w:tcPr>
            <w:tcW w:w="1029" w:type="dxa"/>
            <w:tcBorders>
              <w:top w:val="single" w:sz="4" w:space="0" w:color="auto"/>
            </w:tcBorders>
          </w:tcPr>
          <w:p w14:paraId="0FCCF7DA"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1,316</w:t>
            </w:r>
          </w:p>
        </w:tc>
      </w:tr>
      <w:tr w:rsidR="00371CFF" w:rsidRPr="00866299" w14:paraId="02CF16EE" w14:textId="77777777" w:rsidTr="00EE5AC4">
        <w:trPr>
          <w:cantSplit/>
        </w:trPr>
        <w:tc>
          <w:tcPr>
            <w:tcW w:w="3652" w:type="dxa"/>
          </w:tcPr>
          <w:p w14:paraId="3A884587" w14:textId="77777777" w:rsidR="00371CFF" w:rsidRPr="00866299" w:rsidRDefault="00371CFF" w:rsidP="00371CFF">
            <w:pPr>
              <w:ind w:left="284" w:hanging="284"/>
              <w:rPr>
                <w:rFonts w:ascii="Calibri" w:hAnsi="Calibri"/>
                <w:sz w:val="22"/>
                <w:lang w:eastAsia="en-US"/>
              </w:rPr>
            </w:pPr>
            <w:r w:rsidRPr="00866299">
              <w:rPr>
                <w:rFonts w:ascii="Calibri" w:hAnsi="Calibri"/>
                <w:sz w:val="22"/>
                <w:lang w:eastAsia="en-US"/>
              </w:rPr>
              <w:t>Associated expenses</w:t>
            </w:r>
          </w:p>
        </w:tc>
        <w:tc>
          <w:tcPr>
            <w:tcW w:w="1179" w:type="dxa"/>
          </w:tcPr>
          <w:p w14:paraId="18E01879"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w:t>
            </w:r>
          </w:p>
        </w:tc>
        <w:tc>
          <w:tcPr>
            <w:tcW w:w="1041" w:type="dxa"/>
          </w:tcPr>
          <w:p w14:paraId="681797EC"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6C2C1AE3"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1,522</w:t>
            </w:r>
          </w:p>
        </w:tc>
        <w:tc>
          <w:tcPr>
            <w:tcW w:w="1029" w:type="dxa"/>
          </w:tcPr>
          <w:p w14:paraId="731074B7"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1,669</w:t>
            </w:r>
          </w:p>
        </w:tc>
        <w:tc>
          <w:tcPr>
            <w:tcW w:w="1029" w:type="dxa"/>
          </w:tcPr>
          <w:p w14:paraId="595A933B"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3,191</w:t>
            </w:r>
          </w:p>
        </w:tc>
      </w:tr>
      <w:tr w:rsidR="00371CFF" w:rsidRPr="00866299" w14:paraId="0232E2F8" w14:textId="77777777" w:rsidTr="00EE5AC4">
        <w:trPr>
          <w:cantSplit/>
        </w:trPr>
        <w:tc>
          <w:tcPr>
            <w:tcW w:w="3652" w:type="dxa"/>
            <w:tcBorders>
              <w:top w:val="single" w:sz="4" w:space="0" w:color="auto"/>
              <w:bottom w:val="single" w:sz="4" w:space="0" w:color="auto"/>
            </w:tcBorders>
          </w:tcPr>
          <w:p w14:paraId="5DAF496E" w14:textId="77777777" w:rsidR="00371CFF" w:rsidRPr="00866299" w:rsidRDefault="00371CFF" w:rsidP="00371CFF">
            <w:pPr>
              <w:ind w:left="284" w:hanging="284"/>
              <w:rPr>
                <w:rFonts w:ascii="Calibri" w:hAnsi="Calibri"/>
                <w:b/>
                <w:sz w:val="22"/>
                <w:lang w:eastAsia="en-US"/>
              </w:rPr>
            </w:pPr>
            <w:r w:rsidRPr="00866299">
              <w:rPr>
                <w:rFonts w:ascii="Calibri" w:hAnsi="Calibri"/>
                <w:b/>
                <w:sz w:val="22"/>
                <w:lang w:eastAsia="en-US"/>
              </w:rPr>
              <w:t>Total expenses</w:t>
            </w:r>
          </w:p>
        </w:tc>
        <w:tc>
          <w:tcPr>
            <w:tcW w:w="1179" w:type="dxa"/>
            <w:tcBorders>
              <w:top w:val="single" w:sz="4" w:space="0" w:color="auto"/>
              <w:bottom w:val="single" w:sz="4" w:space="0" w:color="auto"/>
            </w:tcBorders>
          </w:tcPr>
          <w:p w14:paraId="28A0D7CF"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0</w:t>
            </w:r>
          </w:p>
        </w:tc>
        <w:tc>
          <w:tcPr>
            <w:tcW w:w="1041" w:type="dxa"/>
            <w:tcBorders>
              <w:top w:val="single" w:sz="4" w:space="0" w:color="auto"/>
              <w:bottom w:val="single" w:sz="4" w:space="0" w:color="auto"/>
            </w:tcBorders>
          </w:tcPr>
          <w:p w14:paraId="3D83D852"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060E9D81"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1,960</w:t>
            </w:r>
          </w:p>
        </w:tc>
        <w:tc>
          <w:tcPr>
            <w:tcW w:w="1029" w:type="dxa"/>
            <w:tcBorders>
              <w:top w:val="single" w:sz="4" w:space="0" w:color="auto"/>
              <w:bottom w:val="single" w:sz="4" w:space="0" w:color="auto"/>
            </w:tcBorders>
          </w:tcPr>
          <w:p w14:paraId="79BD1DEC"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2,547</w:t>
            </w:r>
          </w:p>
        </w:tc>
        <w:tc>
          <w:tcPr>
            <w:tcW w:w="1029" w:type="dxa"/>
            <w:tcBorders>
              <w:top w:val="single" w:sz="4" w:space="0" w:color="auto"/>
              <w:bottom w:val="single" w:sz="4" w:space="0" w:color="auto"/>
            </w:tcBorders>
          </w:tcPr>
          <w:p w14:paraId="6731F28C"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4,507</w:t>
            </w:r>
          </w:p>
        </w:tc>
      </w:tr>
    </w:tbl>
    <w:p w14:paraId="7539EC1A" w14:textId="77777777" w:rsidR="00371CFF" w:rsidRPr="00371CFF" w:rsidRDefault="00371CFF" w:rsidP="00EE5AC4">
      <w:pPr>
        <w:pStyle w:val="snapInitbody"/>
        <w:rPr>
          <w:bCs/>
          <w:szCs w:val="24"/>
        </w:rPr>
      </w:pPr>
      <w:r w:rsidRPr="00371CFF">
        <w:t xml:space="preserve">The Government will construct a new primary school at Throsby to help meet continuing growth in </w:t>
      </w:r>
      <w:r w:rsidRPr="00371CFF">
        <w:rPr>
          <w:bCs/>
          <w:szCs w:val="24"/>
        </w:rPr>
        <w:t>public school enrolments in Gungahlin. The preschool to year 6 school will be ready to take students at the start of the 2022 school year.</w:t>
      </w:r>
    </w:p>
    <w:p w14:paraId="4A23A180" w14:textId="77777777" w:rsidR="00371CFF" w:rsidRPr="000F30E1" w:rsidRDefault="00371CFF" w:rsidP="000F30E1">
      <w:pPr>
        <w:pStyle w:val="snapInittitles"/>
      </w:pPr>
      <w:r w:rsidRPr="000F30E1">
        <w:t xml:space="preserve">Expanded facilities for Gungahlin College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71CFF" w:rsidRPr="00866299" w14:paraId="4C085CA0" w14:textId="77777777" w:rsidTr="00EE5AC4">
        <w:trPr>
          <w:cantSplit/>
        </w:trPr>
        <w:tc>
          <w:tcPr>
            <w:tcW w:w="3652" w:type="dxa"/>
            <w:tcBorders>
              <w:top w:val="single" w:sz="4" w:space="0" w:color="auto"/>
              <w:bottom w:val="single" w:sz="4" w:space="0" w:color="auto"/>
            </w:tcBorders>
          </w:tcPr>
          <w:p w14:paraId="53F7863D" w14:textId="77777777" w:rsidR="00371CFF" w:rsidRPr="00866299" w:rsidRDefault="00371CFF" w:rsidP="00371CFF">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59E5AAB9"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2019-20</w:t>
            </w:r>
          </w:p>
          <w:p w14:paraId="5AD36FDE"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7C7790BB"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2020-21</w:t>
            </w:r>
          </w:p>
          <w:p w14:paraId="11F84428"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C5B6D7F"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2021-22</w:t>
            </w:r>
          </w:p>
          <w:p w14:paraId="5A849F77"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CE67BA9"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2022-23</w:t>
            </w:r>
          </w:p>
          <w:p w14:paraId="2122DDA9"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519E5903"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Total</w:t>
            </w:r>
          </w:p>
          <w:p w14:paraId="42C99FE8"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$’000</w:t>
            </w:r>
          </w:p>
        </w:tc>
      </w:tr>
      <w:tr w:rsidR="00371CFF" w:rsidRPr="00866299" w14:paraId="25595623" w14:textId="77777777" w:rsidTr="00EE5AC4">
        <w:trPr>
          <w:cantSplit/>
        </w:trPr>
        <w:tc>
          <w:tcPr>
            <w:tcW w:w="3652" w:type="dxa"/>
            <w:tcBorders>
              <w:top w:val="single" w:sz="4" w:space="0" w:color="auto"/>
              <w:bottom w:val="single" w:sz="4" w:space="0" w:color="auto"/>
            </w:tcBorders>
          </w:tcPr>
          <w:p w14:paraId="77D63BB1" w14:textId="77777777" w:rsidR="00371CFF" w:rsidRPr="00866299" w:rsidRDefault="00371CFF" w:rsidP="00371CFF">
            <w:pPr>
              <w:ind w:left="284" w:hanging="284"/>
              <w:rPr>
                <w:rFonts w:ascii="Calibri" w:hAnsi="Calibri"/>
                <w:sz w:val="22"/>
                <w:lang w:eastAsia="en-US"/>
              </w:rPr>
            </w:pPr>
            <w:r w:rsidRPr="00866299">
              <w:rPr>
                <w:rFonts w:ascii="Calibri" w:hAnsi="Calibri"/>
                <w:sz w:val="22"/>
                <w:lang w:eastAsia="en-US"/>
              </w:rPr>
              <w:t>Capital</w:t>
            </w:r>
          </w:p>
        </w:tc>
        <w:tc>
          <w:tcPr>
            <w:tcW w:w="1179" w:type="dxa"/>
            <w:tcBorders>
              <w:top w:val="single" w:sz="4" w:space="0" w:color="auto"/>
              <w:bottom w:val="single" w:sz="4" w:space="0" w:color="auto"/>
            </w:tcBorders>
          </w:tcPr>
          <w:p w14:paraId="70BCDFC5"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1,269</w:t>
            </w:r>
          </w:p>
        </w:tc>
        <w:tc>
          <w:tcPr>
            <w:tcW w:w="1041" w:type="dxa"/>
            <w:tcBorders>
              <w:top w:val="single" w:sz="4" w:space="0" w:color="auto"/>
              <w:bottom w:val="single" w:sz="4" w:space="0" w:color="auto"/>
            </w:tcBorders>
          </w:tcPr>
          <w:p w14:paraId="18E18D1E"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1FEF77D1"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40D43E14"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295E651A"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1,269</w:t>
            </w:r>
          </w:p>
        </w:tc>
      </w:tr>
      <w:tr w:rsidR="00371CFF" w:rsidRPr="00866299" w14:paraId="050E2C3C" w14:textId="77777777" w:rsidTr="00EE5AC4">
        <w:trPr>
          <w:cantSplit/>
        </w:trPr>
        <w:tc>
          <w:tcPr>
            <w:tcW w:w="3652" w:type="dxa"/>
            <w:tcBorders>
              <w:top w:val="single" w:sz="4" w:space="0" w:color="auto"/>
              <w:bottom w:val="single" w:sz="4" w:space="0" w:color="auto"/>
            </w:tcBorders>
          </w:tcPr>
          <w:p w14:paraId="6F4A3F53" w14:textId="77777777" w:rsidR="00371CFF" w:rsidRPr="00866299" w:rsidRDefault="00371CFF" w:rsidP="00371CFF">
            <w:pPr>
              <w:ind w:left="284" w:hanging="284"/>
              <w:rPr>
                <w:rFonts w:ascii="Calibri" w:hAnsi="Calibri"/>
                <w:sz w:val="22"/>
                <w:lang w:eastAsia="en-US"/>
              </w:rPr>
            </w:pPr>
            <w:r w:rsidRPr="00866299">
              <w:rPr>
                <w:rFonts w:ascii="Calibri" w:hAnsi="Calibri"/>
                <w:sz w:val="22"/>
                <w:lang w:eastAsia="en-US"/>
              </w:rPr>
              <w:t>Depreciation</w:t>
            </w:r>
          </w:p>
        </w:tc>
        <w:tc>
          <w:tcPr>
            <w:tcW w:w="1179" w:type="dxa"/>
            <w:tcBorders>
              <w:top w:val="single" w:sz="4" w:space="0" w:color="auto"/>
              <w:bottom w:val="single" w:sz="4" w:space="0" w:color="auto"/>
            </w:tcBorders>
            <w:shd w:val="clear" w:color="auto" w:fill="auto"/>
          </w:tcPr>
          <w:p w14:paraId="0E6C3F5A"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w:t>
            </w:r>
          </w:p>
        </w:tc>
        <w:tc>
          <w:tcPr>
            <w:tcW w:w="1041" w:type="dxa"/>
            <w:tcBorders>
              <w:top w:val="single" w:sz="4" w:space="0" w:color="auto"/>
              <w:bottom w:val="single" w:sz="4" w:space="0" w:color="auto"/>
            </w:tcBorders>
            <w:shd w:val="clear" w:color="auto" w:fill="auto"/>
          </w:tcPr>
          <w:p w14:paraId="69C71E42"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25</w:t>
            </w:r>
          </w:p>
        </w:tc>
        <w:tc>
          <w:tcPr>
            <w:tcW w:w="1029" w:type="dxa"/>
            <w:tcBorders>
              <w:top w:val="single" w:sz="4" w:space="0" w:color="auto"/>
              <w:bottom w:val="single" w:sz="4" w:space="0" w:color="auto"/>
            </w:tcBorders>
            <w:shd w:val="clear" w:color="auto" w:fill="auto"/>
          </w:tcPr>
          <w:p w14:paraId="16E0BD85"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25</w:t>
            </w:r>
          </w:p>
        </w:tc>
        <w:tc>
          <w:tcPr>
            <w:tcW w:w="1029" w:type="dxa"/>
            <w:tcBorders>
              <w:top w:val="single" w:sz="4" w:space="0" w:color="auto"/>
              <w:bottom w:val="single" w:sz="4" w:space="0" w:color="auto"/>
            </w:tcBorders>
            <w:shd w:val="clear" w:color="auto" w:fill="auto"/>
          </w:tcPr>
          <w:p w14:paraId="46D34E3D"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25</w:t>
            </w:r>
          </w:p>
        </w:tc>
        <w:tc>
          <w:tcPr>
            <w:tcW w:w="1029" w:type="dxa"/>
            <w:tcBorders>
              <w:top w:val="single" w:sz="4" w:space="0" w:color="auto"/>
              <w:bottom w:val="single" w:sz="4" w:space="0" w:color="auto"/>
            </w:tcBorders>
            <w:shd w:val="clear" w:color="auto" w:fill="auto"/>
          </w:tcPr>
          <w:p w14:paraId="336D5978"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75</w:t>
            </w:r>
          </w:p>
        </w:tc>
      </w:tr>
    </w:tbl>
    <w:p w14:paraId="0BC3B2E5" w14:textId="77777777" w:rsidR="00371CFF" w:rsidRPr="00371CFF" w:rsidRDefault="00371CFF" w:rsidP="00EE5AC4">
      <w:pPr>
        <w:pStyle w:val="snapInitbody"/>
      </w:pPr>
      <w:r w:rsidRPr="00371CFF">
        <w:t>The Government will expand teaching and support facilities at Gungahlin College by adding teaching spaces, administration areas and a specialist science laboratory. These expansion works are scheduled for completion ahead of the 2020 school year.</w:t>
      </w:r>
    </w:p>
    <w:p w14:paraId="6DB2BE66" w14:textId="77777777" w:rsidR="00371CFF" w:rsidRPr="000F30E1" w:rsidRDefault="00371CFF" w:rsidP="000F30E1">
      <w:pPr>
        <w:pStyle w:val="snapInittitles"/>
      </w:pPr>
      <w:r w:rsidRPr="000F30E1">
        <w:t xml:space="preserve">Expanding Franklin Early Childhood School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71CFF" w:rsidRPr="00866299" w14:paraId="0D625580" w14:textId="77777777" w:rsidTr="00EE5AC4">
        <w:trPr>
          <w:cantSplit/>
        </w:trPr>
        <w:tc>
          <w:tcPr>
            <w:tcW w:w="3652" w:type="dxa"/>
            <w:tcBorders>
              <w:top w:val="single" w:sz="4" w:space="0" w:color="auto"/>
              <w:bottom w:val="single" w:sz="4" w:space="0" w:color="auto"/>
            </w:tcBorders>
          </w:tcPr>
          <w:p w14:paraId="7D3F4CA2" w14:textId="77777777" w:rsidR="00371CFF" w:rsidRPr="00866299" w:rsidRDefault="00371CFF" w:rsidP="00371CFF">
            <w:pPr>
              <w:jc w:val="right"/>
              <w:rPr>
                <w:rFonts w:ascii="Calibri" w:hAnsi="Calibri" w:cs="Calibri"/>
                <w:color w:val="FFFFFF"/>
                <w:sz w:val="22"/>
                <w:highlight w:val="yellow"/>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006BCD2E"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2019-20</w:t>
            </w:r>
          </w:p>
          <w:p w14:paraId="42AB0799"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364F40AA"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2020-21</w:t>
            </w:r>
          </w:p>
          <w:p w14:paraId="19709506"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0F11C3CD"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2021-22</w:t>
            </w:r>
          </w:p>
          <w:p w14:paraId="379140ED"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5A749971"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2022-23</w:t>
            </w:r>
          </w:p>
          <w:p w14:paraId="462F599E"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18DECE0"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Total</w:t>
            </w:r>
          </w:p>
          <w:p w14:paraId="5CC5051F"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$’000</w:t>
            </w:r>
          </w:p>
        </w:tc>
      </w:tr>
      <w:tr w:rsidR="00371CFF" w:rsidRPr="00866299" w14:paraId="1D2727BF" w14:textId="77777777" w:rsidTr="00EE5AC4">
        <w:trPr>
          <w:cantSplit/>
        </w:trPr>
        <w:tc>
          <w:tcPr>
            <w:tcW w:w="3652" w:type="dxa"/>
            <w:tcBorders>
              <w:top w:val="single" w:sz="4" w:space="0" w:color="auto"/>
            </w:tcBorders>
          </w:tcPr>
          <w:p w14:paraId="1076BDCF" w14:textId="77777777" w:rsidR="00371CFF" w:rsidRPr="00866299" w:rsidRDefault="00371CFF" w:rsidP="00371CFF">
            <w:pPr>
              <w:ind w:left="284" w:hanging="284"/>
              <w:rPr>
                <w:rFonts w:ascii="Calibri" w:hAnsi="Calibri"/>
                <w:sz w:val="22"/>
                <w:lang w:eastAsia="en-US"/>
              </w:rPr>
            </w:pPr>
            <w:r w:rsidRPr="00866299">
              <w:rPr>
                <w:rFonts w:ascii="Calibri" w:hAnsi="Calibri"/>
                <w:sz w:val="22"/>
                <w:lang w:eastAsia="en-US"/>
              </w:rPr>
              <w:t>Capital</w:t>
            </w:r>
          </w:p>
        </w:tc>
        <w:tc>
          <w:tcPr>
            <w:tcW w:w="1179" w:type="dxa"/>
            <w:tcBorders>
              <w:top w:val="single" w:sz="4" w:space="0" w:color="auto"/>
            </w:tcBorders>
          </w:tcPr>
          <w:p w14:paraId="365C6B6B"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2,000</w:t>
            </w:r>
          </w:p>
        </w:tc>
        <w:tc>
          <w:tcPr>
            <w:tcW w:w="1041" w:type="dxa"/>
            <w:tcBorders>
              <w:top w:val="single" w:sz="4" w:space="0" w:color="auto"/>
            </w:tcBorders>
          </w:tcPr>
          <w:p w14:paraId="1291AAB6"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24,000</w:t>
            </w:r>
          </w:p>
        </w:tc>
        <w:tc>
          <w:tcPr>
            <w:tcW w:w="1029" w:type="dxa"/>
            <w:tcBorders>
              <w:top w:val="single" w:sz="4" w:space="0" w:color="auto"/>
            </w:tcBorders>
          </w:tcPr>
          <w:p w14:paraId="794EBC7D"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3,447</w:t>
            </w:r>
          </w:p>
        </w:tc>
        <w:tc>
          <w:tcPr>
            <w:tcW w:w="1029" w:type="dxa"/>
            <w:tcBorders>
              <w:top w:val="single" w:sz="4" w:space="0" w:color="auto"/>
            </w:tcBorders>
          </w:tcPr>
          <w:p w14:paraId="5CA20656"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4EDA060E"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29,447</w:t>
            </w:r>
          </w:p>
        </w:tc>
      </w:tr>
      <w:tr w:rsidR="00371CFF" w:rsidRPr="00866299" w14:paraId="6303B13B" w14:textId="77777777" w:rsidTr="00EE5AC4">
        <w:trPr>
          <w:cantSplit/>
        </w:trPr>
        <w:tc>
          <w:tcPr>
            <w:tcW w:w="3652" w:type="dxa"/>
            <w:tcBorders>
              <w:top w:val="single" w:sz="4" w:space="0" w:color="auto"/>
            </w:tcBorders>
          </w:tcPr>
          <w:p w14:paraId="022C8A01" w14:textId="77777777" w:rsidR="00371CFF" w:rsidRPr="00866299" w:rsidRDefault="00371CFF" w:rsidP="00371CFF">
            <w:pPr>
              <w:ind w:left="284" w:hanging="284"/>
              <w:rPr>
                <w:rFonts w:ascii="Calibri" w:hAnsi="Calibri"/>
                <w:sz w:val="22"/>
                <w:lang w:eastAsia="en-US"/>
              </w:rPr>
            </w:pPr>
            <w:r w:rsidRPr="00866299">
              <w:rPr>
                <w:rFonts w:ascii="Calibri" w:hAnsi="Calibri"/>
                <w:sz w:val="22"/>
                <w:lang w:eastAsia="en-US"/>
              </w:rPr>
              <w:t>Depreciation</w:t>
            </w:r>
          </w:p>
        </w:tc>
        <w:tc>
          <w:tcPr>
            <w:tcW w:w="1179" w:type="dxa"/>
            <w:tcBorders>
              <w:top w:val="single" w:sz="4" w:space="0" w:color="auto"/>
            </w:tcBorders>
          </w:tcPr>
          <w:p w14:paraId="01B70403"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w:t>
            </w:r>
          </w:p>
        </w:tc>
        <w:tc>
          <w:tcPr>
            <w:tcW w:w="1041" w:type="dxa"/>
            <w:tcBorders>
              <w:top w:val="single" w:sz="4" w:space="0" w:color="auto"/>
            </w:tcBorders>
          </w:tcPr>
          <w:p w14:paraId="65218AAE"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253</w:t>
            </w:r>
          </w:p>
        </w:tc>
        <w:tc>
          <w:tcPr>
            <w:tcW w:w="1029" w:type="dxa"/>
            <w:tcBorders>
              <w:top w:val="single" w:sz="4" w:space="0" w:color="auto"/>
            </w:tcBorders>
          </w:tcPr>
          <w:p w14:paraId="52D230C3"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589</w:t>
            </w:r>
          </w:p>
        </w:tc>
        <w:tc>
          <w:tcPr>
            <w:tcW w:w="1029" w:type="dxa"/>
            <w:tcBorders>
              <w:top w:val="single" w:sz="4" w:space="0" w:color="auto"/>
            </w:tcBorders>
          </w:tcPr>
          <w:p w14:paraId="64A58F31"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589</w:t>
            </w:r>
          </w:p>
        </w:tc>
        <w:tc>
          <w:tcPr>
            <w:tcW w:w="1029" w:type="dxa"/>
            <w:tcBorders>
              <w:top w:val="single" w:sz="4" w:space="0" w:color="auto"/>
            </w:tcBorders>
          </w:tcPr>
          <w:p w14:paraId="3E732949"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1,431</w:t>
            </w:r>
          </w:p>
        </w:tc>
      </w:tr>
      <w:tr w:rsidR="00371CFF" w:rsidRPr="00866299" w14:paraId="5AE2D707" w14:textId="77777777" w:rsidTr="00EE5AC4">
        <w:trPr>
          <w:cantSplit/>
        </w:trPr>
        <w:tc>
          <w:tcPr>
            <w:tcW w:w="3652" w:type="dxa"/>
          </w:tcPr>
          <w:p w14:paraId="1FB30ADD" w14:textId="77777777" w:rsidR="00371CFF" w:rsidRPr="00866299" w:rsidRDefault="00371CFF" w:rsidP="00371CFF">
            <w:pPr>
              <w:ind w:left="284" w:hanging="284"/>
              <w:rPr>
                <w:rFonts w:ascii="Calibri" w:hAnsi="Calibri"/>
                <w:sz w:val="22"/>
                <w:lang w:eastAsia="en-US"/>
              </w:rPr>
            </w:pPr>
            <w:r w:rsidRPr="00866299">
              <w:rPr>
                <w:rFonts w:ascii="Calibri" w:hAnsi="Calibri"/>
                <w:sz w:val="22"/>
                <w:lang w:eastAsia="en-US"/>
              </w:rPr>
              <w:t>Associated expenses</w:t>
            </w:r>
          </w:p>
        </w:tc>
        <w:tc>
          <w:tcPr>
            <w:tcW w:w="1179" w:type="dxa"/>
            <w:shd w:val="clear" w:color="auto" w:fill="auto"/>
          </w:tcPr>
          <w:p w14:paraId="32B47F60"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w:t>
            </w:r>
          </w:p>
        </w:tc>
        <w:tc>
          <w:tcPr>
            <w:tcW w:w="1041" w:type="dxa"/>
            <w:shd w:val="clear" w:color="auto" w:fill="auto"/>
          </w:tcPr>
          <w:p w14:paraId="51875D77"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393</w:t>
            </w:r>
          </w:p>
        </w:tc>
        <w:tc>
          <w:tcPr>
            <w:tcW w:w="1029" w:type="dxa"/>
            <w:shd w:val="clear" w:color="auto" w:fill="auto"/>
          </w:tcPr>
          <w:p w14:paraId="51198508"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762</w:t>
            </w:r>
          </w:p>
        </w:tc>
        <w:tc>
          <w:tcPr>
            <w:tcW w:w="1029" w:type="dxa"/>
            <w:shd w:val="clear" w:color="auto" w:fill="auto"/>
          </w:tcPr>
          <w:p w14:paraId="5B1165D6"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869</w:t>
            </w:r>
          </w:p>
        </w:tc>
        <w:tc>
          <w:tcPr>
            <w:tcW w:w="1029" w:type="dxa"/>
            <w:shd w:val="clear" w:color="auto" w:fill="auto"/>
          </w:tcPr>
          <w:p w14:paraId="457CAC17"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2,024</w:t>
            </w:r>
          </w:p>
        </w:tc>
      </w:tr>
      <w:tr w:rsidR="00371CFF" w:rsidRPr="00866299" w14:paraId="7371DD48" w14:textId="77777777" w:rsidTr="00EE5AC4">
        <w:trPr>
          <w:cantSplit/>
        </w:trPr>
        <w:tc>
          <w:tcPr>
            <w:tcW w:w="3652" w:type="dxa"/>
            <w:tcBorders>
              <w:top w:val="single" w:sz="4" w:space="0" w:color="auto"/>
              <w:bottom w:val="single" w:sz="4" w:space="0" w:color="auto"/>
            </w:tcBorders>
          </w:tcPr>
          <w:p w14:paraId="4B601E3B" w14:textId="77777777" w:rsidR="00371CFF" w:rsidRPr="00866299" w:rsidRDefault="00371CFF" w:rsidP="00371CFF">
            <w:pPr>
              <w:ind w:left="284" w:hanging="284"/>
              <w:rPr>
                <w:rFonts w:ascii="Calibri" w:hAnsi="Calibri"/>
                <w:b/>
                <w:sz w:val="22"/>
                <w:lang w:eastAsia="en-US"/>
              </w:rPr>
            </w:pPr>
            <w:r w:rsidRPr="00866299">
              <w:rPr>
                <w:rFonts w:ascii="Calibri" w:hAnsi="Calibri"/>
                <w:b/>
                <w:sz w:val="22"/>
                <w:lang w:eastAsia="en-US"/>
              </w:rPr>
              <w:t>Total expenses</w:t>
            </w:r>
          </w:p>
        </w:tc>
        <w:tc>
          <w:tcPr>
            <w:tcW w:w="1179" w:type="dxa"/>
            <w:tcBorders>
              <w:top w:val="single" w:sz="4" w:space="0" w:color="auto"/>
              <w:bottom w:val="single" w:sz="4" w:space="0" w:color="auto"/>
            </w:tcBorders>
            <w:shd w:val="clear" w:color="auto" w:fill="auto"/>
          </w:tcPr>
          <w:p w14:paraId="41748C7C"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0</w:t>
            </w:r>
          </w:p>
        </w:tc>
        <w:tc>
          <w:tcPr>
            <w:tcW w:w="1041" w:type="dxa"/>
            <w:tcBorders>
              <w:top w:val="single" w:sz="4" w:space="0" w:color="auto"/>
              <w:bottom w:val="single" w:sz="4" w:space="0" w:color="auto"/>
            </w:tcBorders>
            <w:shd w:val="clear" w:color="auto" w:fill="auto"/>
          </w:tcPr>
          <w:p w14:paraId="2F3E3CBA"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646</w:t>
            </w:r>
          </w:p>
        </w:tc>
        <w:tc>
          <w:tcPr>
            <w:tcW w:w="1029" w:type="dxa"/>
            <w:tcBorders>
              <w:top w:val="single" w:sz="4" w:space="0" w:color="auto"/>
              <w:bottom w:val="single" w:sz="4" w:space="0" w:color="auto"/>
            </w:tcBorders>
            <w:shd w:val="clear" w:color="auto" w:fill="auto"/>
          </w:tcPr>
          <w:p w14:paraId="01AC7095"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1,351</w:t>
            </w:r>
          </w:p>
        </w:tc>
        <w:tc>
          <w:tcPr>
            <w:tcW w:w="1029" w:type="dxa"/>
            <w:tcBorders>
              <w:top w:val="single" w:sz="4" w:space="0" w:color="auto"/>
              <w:bottom w:val="single" w:sz="4" w:space="0" w:color="auto"/>
            </w:tcBorders>
            <w:shd w:val="clear" w:color="auto" w:fill="auto"/>
          </w:tcPr>
          <w:p w14:paraId="4F67C2C5"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1,458</w:t>
            </w:r>
          </w:p>
        </w:tc>
        <w:tc>
          <w:tcPr>
            <w:tcW w:w="1029" w:type="dxa"/>
            <w:tcBorders>
              <w:top w:val="single" w:sz="4" w:space="0" w:color="auto"/>
              <w:bottom w:val="single" w:sz="4" w:space="0" w:color="auto"/>
            </w:tcBorders>
            <w:shd w:val="clear" w:color="auto" w:fill="auto"/>
          </w:tcPr>
          <w:p w14:paraId="5AA7D3B6"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3,455</w:t>
            </w:r>
          </w:p>
        </w:tc>
      </w:tr>
    </w:tbl>
    <w:p w14:paraId="72431022" w14:textId="77777777" w:rsidR="00371CFF" w:rsidRPr="00371CFF" w:rsidRDefault="00371CFF" w:rsidP="00EE5AC4">
      <w:pPr>
        <w:pStyle w:val="snapInitbody"/>
      </w:pPr>
      <w:r w:rsidRPr="00371CFF">
        <w:t>The Government will expand the Franklin Early Childhood School from a P-2 school into a full P-6 school from 2021, ensuring students can stay on at this local school throughout their primary years.</w:t>
      </w:r>
    </w:p>
    <w:p w14:paraId="11CEE7A8" w14:textId="77777777" w:rsidR="00371CFF" w:rsidRPr="000F30E1" w:rsidRDefault="00371CFF" w:rsidP="000F30E1">
      <w:pPr>
        <w:pStyle w:val="snapInittitles"/>
      </w:pPr>
      <w:r w:rsidRPr="000F30E1">
        <w:t xml:space="preserve">More places for students at Gold Creek School’s senior campus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71CFF" w:rsidRPr="00866299" w14:paraId="5F090C60" w14:textId="77777777" w:rsidTr="00EE5AC4">
        <w:trPr>
          <w:cantSplit/>
        </w:trPr>
        <w:tc>
          <w:tcPr>
            <w:tcW w:w="3652" w:type="dxa"/>
            <w:tcBorders>
              <w:top w:val="single" w:sz="4" w:space="0" w:color="auto"/>
              <w:bottom w:val="single" w:sz="4" w:space="0" w:color="auto"/>
            </w:tcBorders>
          </w:tcPr>
          <w:p w14:paraId="4999E2E2" w14:textId="77777777" w:rsidR="00371CFF" w:rsidRPr="00866299" w:rsidRDefault="00371CFF" w:rsidP="00371CFF">
            <w:pPr>
              <w:jc w:val="right"/>
              <w:rPr>
                <w:rFonts w:ascii="Calibri" w:hAnsi="Calibri" w:cs="Calibri"/>
                <w:i/>
                <w:sz w:val="22"/>
                <w:highlight w:val="yellow"/>
                <w:lang w:eastAsia="en-US"/>
              </w:rPr>
            </w:pPr>
            <w:r w:rsidRPr="00866299">
              <w:rPr>
                <w:rFonts w:ascii="Calibri" w:hAnsi="Calibri" w:cs="Calibri"/>
                <w:i/>
                <w:sz w:val="22"/>
                <w:lang w:eastAsia="en-US"/>
              </w:rPr>
              <w:t>Empty Cell</w:t>
            </w:r>
          </w:p>
        </w:tc>
        <w:tc>
          <w:tcPr>
            <w:tcW w:w="1179" w:type="dxa"/>
            <w:tcBorders>
              <w:top w:val="single" w:sz="4" w:space="0" w:color="auto"/>
              <w:bottom w:val="single" w:sz="4" w:space="0" w:color="auto"/>
            </w:tcBorders>
          </w:tcPr>
          <w:p w14:paraId="2FA1E38D"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2019-20</w:t>
            </w:r>
          </w:p>
          <w:p w14:paraId="70A35DD4"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46538467"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2020-21</w:t>
            </w:r>
          </w:p>
          <w:p w14:paraId="0D0B3CF6"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032E5F2B"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2021-22</w:t>
            </w:r>
          </w:p>
          <w:p w14:paraId="2505B822"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775BD14"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2022-23</w:t>
            </w:r>
          </w:p>
          <w:p w14:paraId="2AE3991C"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8758FC6"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Total</w:t>
            </w:r>
          </w:p>
          <w:p w14:paraId="51199F82"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$’000</w:t>
            </w:r>
          </w:p>
        </w:tc>
      </w:tr>
      <w:tr w:rsidR="00371CFF" w:rsidRPr="00866299" w14:paraId="7EB2BD09" w14:textId="77777777" w:rsidTr="00EE5AC4">
        <w:trPr>
          <w:cantSplit/>
        </w:trPr>
        <w:tc>
          <w:tcPr>
            <w:tcW w:w="3652" w:type="dxa"/>
            <w:tcBorders>
              <w:top w:val="single" w:sz="4" w:space="0" w:color="auto"/>
            </w:tcBorders>
          </w:tcPr>
          <w:p w14:paraId="792CAA05" w14:textId="77777777" w:rsidR="00371CFF" w:rsidRPr="00866299" w:rsidRDefault="00371CFF" w:rsidP="00371CFF">
            <w:pPr>
              <w:ind w:left="284" w:hanging="284"/>
              <w:rPr>
                <w:rFonts w:ascii="Calibri" w:hAnsi="Calibri"/>
                <w:sz w:val="22"/>
                <w:lang w:eastAsia="en-US"/>
              </w:rPr>
            </w:pPr>
            <w:r w:rsidRPr="00866299">
              <w:rPr>
                <w:rFonts w:ascii="Calibri" w:hAnsi="Calibri"/>
                <w:sz w:val="22"/>
                <w:lang w:eastAsia="en-US"/>
              </w:rPr>
              <w:t>Capital</w:t>
            </w:r>
          </w:p>
        </w:tc>
        <w:tc>
          <w:tcPr>
            <w:tcW w:w="1179" w:type="dxa"/>
            <w:tcBorders>
              <w:top w:val="single" w:sz="4" w:space="0" w:color="auto"/>
            </w:tcBorders>
          </w:tcPr>
          <w:p w14:paraId="41837847"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750</w:t>
            </w:r>
          </w:p>
        </w:tc>
        <w:tc>
          <w:tcPr>
            <w:tcW w:w="1041" w:type="dxa"/>
            <w:tcBorders>
              <w:top w:val="single" w:sz="4" w:space="0" w:color="auto"/>
            </w:tcBorders>
          </w:tcPr>
          <w:p w14:paraId="6BAA1C60"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2,214</w:t>
            </w:r>
          </w:p>
        </w:tc>
        <w:tc>
          <w:tcPr>
            <w:tcW w:w="1029" w:type="dxa"/>
            <w:tcBorders>
              <w:top w:val="single" w:sz="4" w:space="0" w:color="auto"/>
            </w:tcBorders>
          </w:tcPr>
          <w:p w14:paraId="780F6DE2"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3,478</w:t>
            </w:r>
          </w:p>
        </w:tc>
        <w:tc>
          <w:tcPr>
            <w:tcW w:w="1029" w:type="dxa"/>
            <w:tcBorders>
              <w:top w:val="single" w:sz="4" w:space="0" w:color="auto"/>
            </w:tcBorders>
          </w:tcPr>
          <w:p w14:paraId="02F75D3C"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66C06A16"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6,442</w:t>
            </w:r>
          </w:p>
        </w:tc>
      </w:tr>
      <w:tr w:rsidR="00371CFF" w:rsidRPr="00866299" w14:paraId="3A8A421F" w14:textId="77777777" w:rsidTr="00EE5AC4">
        <w:trPr>
          <w:cantSplit/>
        </w:trPr>
        <w:tc>
          <w:tcPr>
            <w:tcW w:w="3652" w:type="dxa"/>
            <w:tcBorders>
              <w:top w:val="single" w:sz="4" w:space="0" w:color="auto"/>
            </w:tcBorders>
          </w:tcPr>
          <w:p w14:paraId="2A0AFA75" w14:textId="77777777" w:rsidR="00371CFF" w:rsidRPr="00866299" w:rsidRDefault="00371CFF" w:rsidP="00371CFF">
            <w:pPr>
              <w:ind w:left="284" w:hanging="284"/>
              <w:rPr>
                <w:rFonts w:ascii="Calibri" w:hAnsi="Calibri"/>
                <w:sz w:val="22"/>
                <w:lang w:eastAsia="en-US"/>
              </w:rPr>
            </w:pPr>
            <w:r w:rsidRPr="00866299">
              <w:rPr>
                <w:rFonts w:ascii="Calibri" w:hAnsi="Calibri"/>
                <w:sz w:val="22"/>
                <w:lang w:eastAsia="en-US"/>
              </w:rPr>
              <w:t>Depreciation</w:t>
            </w:r>
          </w:p>
        </w:tc>
        <w:tc>
          <w:tcPr>
            <w:tcW w:w="1179" w:type="dxa"/>
            <w:tcBorders>
              <w:top w:val="single" w:sz="4" w:space="0" w:color="auto"/>
            </w:tcBorders>
          </w:tcPr>
          <w:p w14:paraId="02371B79"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w:t>
            </w:r>
          </w:p>
        </w:tc>
        <w:tc>
          <w:tcPr>
            <w:tcW w:w="1041" w:type="dxa"/>
            <w:tcBorders>
              <w:top w:val="single" w:sz="4" w:space="0" w:color="auto"/>
            </w:tcBorders>
          </w:tcPr>
          <w:p w14:paraId="17259094"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17284A46"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64</w:t>
            </w:r>
          </w:p>
        </w:tc>
        <w:tc>
          <w:tcPr>
            <w:tcW w:w="1029" w:type="dxa"/>
            <w:tcBorders>
              <w:top w:val="single" w:sz="4" w:space="0" w:color="auto"/>
            </w:tcBorders>
          </w:tcPr>
          <w:p w14:paraId="7FB61500"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129</w:t>
            </w:r>
          </w:p>
        </w:tc>
        <w:tc>
          <w:tcPr>
            <w:tcW w:w="1029" w:type="dxa"/>
            <w:tcBorders>
              <w:top w:val="single" w:sz="4" w:space="0" w:color="auto"/>
            </w:tcBorders>
          </w:tcPr>
          <w:p w14:paraId="07509C56"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193</w:t>
            </w:r>
          </w:p>
        </w:tc>
      </w:tr>
      <w:tr w:rsidR="00371CFF" w:rsidRPr="00866299" w14:paraId="50D37F69" w14:textId="77777777" w:rsidTr="00EE5AC4">
        <w:trPr>
          <w:cantSplit/>
        </w:trPr>
        <w:tc>
          <w:tcPr>
            <w:tcW w:w="3652" w:type="dxa"/>
          </w:tcPr>
          <w:p w14:paraId="65175F8C" w14:textId="77777777" w:rsidR="00371CFF" w:rsidRPr="00866299" w:rsidRDefault="00371CFF" w:rsidP="00371CFF">
            <w:pPr>
              <w:ind w:left="284" w:hanging="284"/>
              <w:rPr>
                <w:rFonts w:ascii="Calibri" w:hAnsi="Calibri"/>
                <w:sz w:val="22"/>
                <w:lang w:eastAsia="en-US"/>
              </w:rPr>
            </w:pPr>
            <w:r w:rsidRPr="00866299">
              <w:rPr>
                <w:rFonts w:ascii="Calibri" w:hAnsi="Calibri"/>
                <w:sz w:val="22"/>
                <w:lang w:eastAsia="en-US"/>
              </w:rPr>
              <w:t>Associated expenses</w:t>
            </w:r>
          </w:p>
        </w:tc>
        <w:tc>
          <w:tcPr>
            <w:tcW w:w="1179" w:type="dxa"/>
          </w:tcPr>
          <w:p w14:paraId="4CB97838"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w:t>
            </w:r>
          </w:p>
        </w:tc>
        <w:tc>
          <w:tcPr>
            <w:tcW w:w="1041" w:type="dxa"/>
          </w:tcPr>
          <w:p w14:paraId="0245C793"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4A0613F7"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6638C219"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64</w:t>
            </w:r>
          </w:p>
        </w:tc>
        <w:tc>
          <w:tcPr>
            <w:tcW w:w="1029" w:type="dxa"/>
          </w:tcPr>
          <w:p w14:paraId="2A7B21FC"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64</w:t>
            </w:r>
          </w:p>
        </w:tc>
      </w:tr>
      <w:tr w:rsidR="00371CFF" w:rsidRPr="00866299" w14:paraId="34ABA21A" w14:textId="77777777" w:rsidTr="00EE5AC4">
        <w:trPr>
          <w:cantSplit/>
        </w:trPr>
        <w:tc>
          <w:tcPr>
            <w:tcW w:w="3652" w:type="dxa"/>
            <w:tcBorders>
              <w:top w:val="single" w:sz="4" w:space="0" w:color="auto"/>
              <w:bottom w:val="single" w:sz="4" w:space="0" w:color="auto"/>
            </w:tcBorders>
          </w:tcPr>
          <w:p w14:paraId="5CCBC831" w14:textId="77777777" w:rsidR="00371CFF" w:rsidRPr="00866299" w:rsidRDefault="00371CFF" w:rsidP="00371CFF">
            <w:pPr>
              <w:ind w:left="284" w:hanging="284"/>
              <w:rPr>
                <w:rFonts w:ascii="Calibri" w:hAnsi="Calibri"/>
                <w:b/>
                <w:sz w:val="22"/>
                <w:lang w:eastAsia="en-US"/>
              </w:rPr>
            </w:pPr>
            <w:r w:rsidRPr="00866299">
              <w:rPr>
                <w:rFonts w:ascii="Calibri" w:hAnsi="Calibri"/>
                <w:b/>
                <w:sz w:val="22"/>
                <w:lang w:eastAsia="en-US"/>
              </w:rPr>
              <w:t>Total expenses</w:t>
            </w:r>
          </w:p>
        </w:tc>
        <w:tc>
          <w:tcPr>
            <w:tcW w:w="1179" w:type="dxa"/>
            <w:tcBorders>
              <w:top w:val="single" w:sz="4" w:space="0" w:color="auto"/>
              <w:bottom w:val="single" w:sz="4" w:space="0" w:color="auto"/>
            </w:tcBorders>
          </w:tcPr>
          <w:p w14:paraId="10CBF2F8"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0</w:t>
            </w:r>
          </w:p>
        </w:tc>
        <w:tc>
          <w:tcPr>
            <w:tcW w:w="1041" w:type="dxa"/>
            <w:tcBorders>
              <w:top w:val="single" w:sz="4" w:space="0" w:color="auto"/>
              <w:bottom w:val="single" w:sz="4" w:space="0" w:color="auto"/>
            </w:tcBorders>
          </w:tcPr>
          <w:p w14:paraId="7B34CE89"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33E451AF"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64</w:t>
            </w:r>
          </w:p>
        </w:tc>
        <w:tc>
          <w:tcPr>
            <w:tcW w:w="1029" w:type="dxa"/>
            <w:tcBorders>
              <w:top w:val="single" w:sz="4" w:space="0" w:color="auto"/>
              <w:bottom w:val="single" w:sz="4" w:space="0" w:color="auto"/>
            </w:tcBorders>
          </w:tcPr>
          <w:p w14:paraId="591E8069"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193</w:t>
            </w:r>
          </w:p>
        </w:tc>
        <w:tc>
          <w:tcPr>
            <w:tcW w:w="1029" w:type="dxa"/>
            <w:tcBorders>
              <w:top w:val="single" w:sz="4" w:space="0" w:color="auto"/>
              <w:bottom w:val="single" w:sz="4" w:space="0" w:color="auto"/>
            </w:tcBorders>
          </w:tcPr>
          <w:p w14:paraId="0231342F"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257</w:t>
            </w:r>
          </w:p>
        </w:tc>
      </w:tr>
    </w:tbl>
    <w:p w14:paraId="37768DAC" w14:textId="77777777" w:rsidR="00371CFF" w:rsidRPr="00371CFF" w:rsidRDefault="00371CFF" w:rsidP="00EE5AC4">
      <w:pPr>
        <w:pStyle w:val="snapInitbody"/>
      </w:pPr>
      <w:r w:rsidRPr="00371CFF">
        <w:t>The</w:t>
      </w:r>
      <w:r w:rsidRPr="00371CFF" w:rsidDel="00E7296F">
        <w:t xml:space="preserve"> </w:t>
      </w:r>
      <w:r w:rsidRPr="00371CFF">
        <w:t xml:space="preserve">Government will add more capacity at Gold Creek School’s senior campus </w:t>
      </w:r>
      <w:r w:rsidRPr="00371CFF">
        <w:rPr>
          <w:bCs/>
          <w:szCs w:val="24"/>
        </w:rPr>
        <w:t xml:space="preserve">so more Gungahlin students can find a place at their local school. This expansion is scheduled for completion by the </w:t>
      </w:r>
      <w:r w:rsidRPr="00371CFF">
        <w:t>2020 school year.</w:t>
      </w:r>
    </w:p>
    <w:p w14:paraId="420C3F6B" w14:textId="77777777" w:rsidR="00627FC1" w:rsidRDefault="00627FC1">
      <w:pPr>
        <w:rPr>
          <w:rFonts w:ascii="Calibri" w:hAnsi="Calibri"/>
          <w:b/>
          <w:bCs/>
          <w:sz w:val="26"/>
          <w:szCs w:val="26"/>
          <w:lang w:val="x-none" w:eastAsia="en-US"/>
        </w:rPr>
      </w:pPr>
      <w:r>
        <w:br w:type="page"/>
      </w:r>
    </w:p>
    <w:p w14:paraId="5A25E23D" w14:textId="6CEFAEA7" w:rsidR="00371CFF" w:rsidRPr="000F30E1" w:rsidRDefault="00371CFF" w:rsidP="000F30E1">
      <w:pPr>
        <w:pStyle w:val="snapInittitles"/>
      </w:pPr>
      <w:r w:rsidRPr="000F30E1">
        <w:t xml:space="preserve">More places for students at northside schools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71CFF" w:rsidRPr="00866299" w14:paraId="2CD7E5DC" w14:textId="77777777" w:rsidTr="00EE5AC4">
        <w:trPr>
          <w:cantSplit/>
        </w:trPr>
        <w:tc>
          <w:tcPr>
            <w:tcW w:w="3652" w:type="dxa"/>
            <w:tcBorders>
              <w:top w:val="single" w:sz="4" w:space="0" w:color="auto"/>
              <w:bottom w:val="single" w:sz="4" w:space="0" w:color="auto"/>
            </w:tcBorders>
          </w:tcPr>
          <w:p w14:paraId="7A65276E" w14:textId="0C435F8D" w:rsidR="00371CFF" w:rsidRPr="00866299" w:rsidRDefault="00371CFF" w:rsidP="00371CFF">
            <w:pPr>
              <w:jc w:val="right"/>
              <w:rPr>
                <w:rFonts w:ascii="Calibri" w:hAnsi="Calibri" w:cs="Calibri"/>
                <w:i/>
                <w:sz w:val="22"/>
                <w:highlight w:val="yellow"/>
                <w:lang w:eastAsia="en-US"/>
              </w:rPr>
            </w:pPr>
          </w:p>
        </w:tc>
        <w:tc>
          <w:tcPr>
            <w:tcW w:w="1179" w:type="dxa"/>
            <w:tcBorders>
              <w:top w:val="single" w:sz="4" w:space="0" w:color="auto"/>
              <w:bottom w:val="single" w:sz="4" w:space="0" w:color="auto"/>
            </w:tcBorders>
          </w:tcPr>
          <w:p w14:paraId="15A6AF09"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2019-20</w:t>
            </w:r>
          </w:p>
          <w:p w14:paraId="36959A5A"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244F3D5F"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2020-21</w:t>
            </w:r>
          </w:p>
          <w:p w14:paraId="0EF234B7"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CDD03BA"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2021-22</w:t>
            </w:r>
          </w:p>
          <w:p w14:paraId="45E50010"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D404BA3"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2022-23</w:t>
            </w:r>
          </w:p>
          <w:p w14:paraId="26A2A6A6"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8E000A7"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Total</w:t>
            </w:r>
          </w:p>
          <w:p w14:paraId="5485D20B"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$’000</w:t>
            </w:r>
          </w:p>
        </w:tc>
      </w:tr>
      <w:tr w:rsidR="00371CFF" w:rsidRPr="00866299" w14:paraId="0131CA87" w14:textId="77777777" w:rsidTr="00EE5AC4">
        <w:trPr>
          <w:cantSplit/>
        </w:trPr>
        <w:tc>
          <w:tcPr>
            <w:tcW w:w="3652" w:type="dxa"/>
            <w:tcBorders>
              <w:top w:val="single" w:sz="4" w:space="0" w:color="auto"/>
              <w:bottom w:val="single" w:sz="4" w:space="0" w:color="auto"/>
            </w:tcBorders>
          </w:tcPr>
          <w:p w14:paraId="7199F80B" w14:textId="77777777" w:rsidR="00371CFF" w:rsidRPr="00866299" w:rsidRDefault="00371CFF" w:rsidP="00371CFF">
            <w:pPr>
              <w:ind w:left="284" w:hanging="284"/>
              <w:rPr>
                <w:rFonts w:ascii="Calibri" w:hAnsi="Calibri"/>
                <w:sz w:val="22"/>
                <w:lang w:eastAsia="en-US"/>
              </w:rPr>
            </w:pPr>
            <w:r w:rsidRPr="00866299">
              <w:rPr>
                <w:rFonts w:ascii="Calibri" w:hAnsi="Calibri"/>
                <w:sz w:val="22"/>
                <w:lang w:eastAsia="en-US"/>
              </w:rPr>
              <w:t>Capital</w:t>
            </w:r>
          </w:p>
        </w:tc>
        <w:tc>
          <w:tcPr>
            <w:tcW w:w="1179" w:type="dxa"/>
            <w:tcBorders>
              <w:top w:val="single" w:sz="4" w:space="0" w:color="auto"/>
              <w:bottom w:val="single" w:sz="4" w:space="0" w:color="auto"/>
            </w:tcBorders>
            <w:shd w:val="clear" w:color="auto" w:fill="auto"/>
          </w:tcPr>
          <w:p w14:paraId="3ACDB702"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4,404</w:t>
            </w:r>
          </w:p>
        </w:tc>
        <w:tc>
          <w:tcPr>
            <w:tcW w:w="1041" w:type="dxa"/>
            <w:tcBorders>
              <w:top w:val="single" w:sz="4" w:space="0" w:color="auto"/>
              <w:bottom w:val="single" w:sz="4" w:space="0" w:color="auto"/>
            </w:tcBorders>
            <w:shd w:val="clear" w:color="auto" w:fill="auto"/>
          </w:tcPr>
          <w:p w14:paraId="00F288B2"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4,100</w:t>
            </w:r>
          </w:p>
        </w:tc>
        <w:tc>
          <w:tcPr>
            <w:tcW w:w="1029" w:type="dxa"/>
            <w:tcBorders>
              <w:top w:val="single" w:sz="4" w:space="0" w:color="auto"/>
              <w:bottom w:val="single" w:sz="4" w:space="0" w:color="auto"/>
            </w:tcBorders>
            <w:shd w:val="clear" w:color="auto" w:fill="auto"/>
          </w:tcPr>
          <w:p w14:paraId="7372B448"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shd w:val="clear" w:color="auto" w:fill="auto"/>
          </w:tcPr>
          <w:p w14:paraId="127B2107"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shd w:val="clear" w:color="auto" w:fill="auto"/>
          </w:tcPr>
          <w:p w14:paraId="18AEB3BB"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8,504</w:t>
            </w:r>
          </w:p>
        </w:tc>
      </w:tr>
      <w:tr w:rsidR="00371CFF" w:rsidRPr="00866299" w14:paraId="64EB1C9C" w14:textId="77777777" w:rsidTr="00EE5AC4">
        <w:trPr>
          <w:cantSplit/>
        </w:trPr>
        <w:tc>
          <w:tcPr>
            <w:tcW w:w="3652" w:type="dxa"/>
            <w:tcBorders>
              <w:top w:val="single" w:sz="4" w:space="0" w:color="auto"/>
            </w:tcBorders>
          </w:tcPr>
          <w:p w14:paraId="6E335C5B" w14:textId="77777777" w:rsidR="00371CFF" w:rsidRPr="00866299" w:rsidRDefault="00371CFF" w:rsidP="00371CFF">
            <w:pPr>
              <w:ind w:left="284" w:hanging="284"/>
              <w:rPr>
                <w:rFonts w:ascii="Calibri" w:hAnsi="Calibri"/>
                <w:sz w:val="22"/>
                <w:lang w:eastAsia="en-US"/>
              </w:rPr>
            </w:pPr>
            <w:r w:rsidRPr="00866299">
              <w:rPr>
                <w:rFonts w:ascii="Calibri" w:hAnsi="Calibri"/>
                <w:sz w:val="22"/>
                <w:lang w:eastAsia="en-US"/>
              </w:rPr>
              <w:t>Depreciation</w:t>
            </w:r>
          </w:p>
        </w:tc>
        <w:tc>
          <w:tcPr>
            <w:tcW w:w="1179" w:type="dxa"/>
            <w:tcBorders>
              <w:top w:val="single" w:sz="4" w:space="0" w:color="auto"/>
            </w:tcBorders>
            <w:shd w:val="clear" w:color="auto" w:fill="auto"/>
          </w:tcPr>
          <w:p w14:paraId="436AFB8E"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w:t>
            </w:r>
          </w:p>
        </w:tc>
        <w:tc>
          <w:tcPr>
            <w:tcW w:w="1041" w:type="dxa"/>
            <w:tcBorders>
              <w:top w:val="single" w:sz="4" w:space="0" w:color="auto"/>
            </w:tcBorders>
            <w:shd w:val="clear" w:color="auto" w:fill="auto"/>
          </w:tcPr>
          <w:p w14:paraId="7A415C8F"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44</w:t>
            </w:r>
          </w:p>
        </w:tc>
        <w:tc>
          <w:tcPr>
            <w:tcW w:w="1029" w:type="dxa"/>
            <w:tcBorders>
              <w:top w:val="single" w:sz="4" w:space="0" w:color="auto"/>
            </w:tcBorders>
            <w:shd w:val="clear" w:color="auto" w:fill="auto"/>
          </w:tcPr>
          <w:p w14:paraId="3888E252"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129</w:t>
            </w:r>
          </w:p>
        </w:tc>
        <w:tc>
          <w:tcPr>
            <w:tcW w:w="1029" w:type="dxa"/>
            <w:tcBorders>
              <w:top w:val="single" w:sz="4" w:space="0" w:color="auto"/>
            </w:tcBorders>
            <w:shd w:val="clear" w:color="auto" w:fill="auto"/>
          </w:tcPr>
          <w:p w14:paraId="765F2DBE"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170</w:t>
            </w:r>
          </w:p>
        </w:tc>
        <w:tc>
          <w:tcPr>
            <w:tcW w:w="1029" w:type="dxa"/>
            <w:tcBorders>
              <w:top w:val="single" w:sz="4" w:space="0" w:color="auto"/>
            </w:tcBorders>
            <w:shd w:val="clear" w:color="auto" w:fill="auto"/>
          </w:tcPr>
          <w:p w14:paraId="3C6AB694"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343</w:t>
            </w:r>
          </w:p>
        </w:tc>
      </w:tr>
      <w:tr w:rsidR="00371CFF" w:rsidRPr="00866299" w14:paraId="22FC096D" w14:textId="77777777" w:rsidTr="00EE5AC4">
        <w:trPr>
          <w:cantSplit/>
        </w:trPr>
        <w:tc>
          <w:tcPr>
            <w:tcW w:w="3652" w:type="dxa"/>
            <w:tcBorders>
              <w:bottom w:val="single" w:sz="4" w:space="0" w:color="auto"/>
            </w:tcBorders>
          </w:tcPr>
          <w:p w14:paraId="2AB58C80" w14:textId="77777777" w:rsidR="00371CFF" w:rsidRPr="00866299" w:rsidRDefault="00371CFF" w:rsidP="00371CFF">
            <w:pPr>
              <w:ind w:left="284" w:hanging="284"/>
              <w:rPr>
                <w:rFonts w:ascii="Calibri" w:hAnsi="Calibri"/>
                <w:sz w:val="22"/>
                <w:lang w:eastAsia="en-US"/>
              </w:rPr>
            </w:pPr>
            <w:r w:rsidRPr="00866299">
              <w:rPr>
                <w:rFonts w:ascii="Calibri" w:hAnsi="Calibri"/>
                <w:sz w:val="22"/>
                <w:lang w:eastAsia="en-US"/>
              </w:rPr>
              <w:t>Expenses</w:t>
            </w:r>
          </w:p>
        </w:tc>
        <w:tc>
          <w:tcPr>
            <w:tcW w:w="1179" w:type="dxa"/>
            <w:tcBorders>
              <w:bottom w:val="single" w:sz="4" w:space="0" w:color="auto"/>
            </w:tcBorders>
            <w:shd w:val="clear" w:color="auto" w:fill="auto"/>
          </w:tcPr>
          <w:p w14:paraId="11DBDFB2"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w:t>
            </w:r>
          </w:p>
        </w:tc>
        <w:tc>
          <w:tcPr>
            <w:tcW w:w="1041" w:type="dxa"/>
            <w:tcBorders>
              <w:bottom w:val="single" w:sz="4" w:space="0" w:color="auto"/>
            </w:tcBorders>
            <w:shd w:val="clear" w:color="auto" w:fill="auto"/>
          </w:tcPr>
          <w:p w14:paraId="3B21774C"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bottom w:val="single" w:sz="4" w:space="0" w:color="auto"/>
            </w:tcBorders>
            <w:shd w:val="clear" w:color="auto" w:fill="auto"/>
          </w:tcPr>
          <w:p w14:paraId="0DEA6AF7"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44</w:t>
            </w:r>
          </w:p>
        </w:tc>
        <w:tc>
          <w:tcPr>
            <w:tcW w:w="1029" w:type="dxa"/>
            <w:tcBorders>
              <w:bottom w:val="single" w:sz="4" w:space="0" w:color="auto"/>
            </w:tcBorders>
            <w:shd w:val="clear" w:color="auto" w:fill="auto"/>
          </w:tcPr>
          <w:p w14:paraId="75163CBA"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129</w:t>
            </w:r>
          </w:p>
        </w:tc>
        <w:tc>
          <w:tcPr>
            <w:tcW w:w="1029" w:type="dxa"/>
            <w:tcBorders>
              <w:bottom w:val="single" w:sz="4" w:space="0" w:color="auto"/>
            </w:tcBorders>
            <w:shd w:val="clear" w:color="auto" w:fill="auto"/>
          </w:tcPr>
          <w:p w14:paraId="712491D8"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173</w:t>
            </w:r>
          </w:p>
        </w:tc>
      </w:tr>
      <w:tr w:rsidR="00371CFF" w:rsidRPr="00866299" w14:paraId="1175B2FB" w14:textId="77777777" w:rsidTr="00EE5AC4">
        <w:trPr>
          <w:cantSplit/>
        </w:trPr>
        <w:tc>
          <w:tcPr>
            <w:tcW w:w="3652" w:type="dxa"/>
            <w:tcBorders>
              <w:top w:val="single" w:sz="4" w:space="0" w:color="auto"/>
              <w:bottom w:val="single" w:sz="4" w:space="0" w:color="auto"/>
            </w:tcBorders>
          </w:tcPr>
          <w:p w14:paraId="3A025B1D" w14:textId="77777777" w:rsidR="00371CFF" w:rsidRPr="00866299" w:rsidRDefault="00371CFF" w:rsidP="00371CFF">
            <w:pPr>
              <w:ind w:left="284" w:hanging="284"/>
              <w:rPr>
                <w:rFonts w:ascii="Calibri" w:hAnsi="Calibri"/>
                <w:b/>
                <w:sz w:val="22"/>
                <w:lang w:eastAsia="en-US"/>
              </w:rPr>
            </w:pPr>
            <w:r w:rsidRPr="00866299">
              <w:rPr>
                <w:rFonts w:ascii="Calibri" w:hAnsi="Calibri"/>
                <w:b/>
                <w:sz w:val="22"/>
                <w:lang w:eastAsia="en-US"/>
              </w:rPr>
              <w:t>Total expenses</w:t>
            </w:r>
          </w:p>
        </w:tc>
        <w:tc>
          <w:tcPr>
            <w:tcW w:w="1179" w:type="dxa"/>
            <w:tcBorders>
              <w:top w:val="single" w:sz="4" w:space="0" w:color="auto"/>
              <w:bottom w:val="single" w:sz="4" w:space="0" w:color="auto"/>
            </w:tcBorders>
            <w:shd w:val="clear" w:color="auto" w:fill="auto"/>
          </w:tcPr>
          <w:p w14:paraId="076E2A13"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w:t>
            </w:r>
          </w:p>
        </w:tc>
        <w:tc>
          <w:tcPr>
            <w:tcW w:w="1041" w:type="dxa"/>
            <w:tcBorders>
              <w:top w:val="single" w:sz="4" w:space="0" w:color="auto"/>
              <w:bottom w:val="single" w:sz="4" w:space="0" w:color="auto"/>
            </w:tcBorders>
            <w:shd w:val="clear" w:color="auto" w:fill="auto"/>
          </w:tcPr>
          <w:p w14:paraId="2850D9C5"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44</w:t>
            </w:r>
          </w:p>
        </w:tc>
        <w:tc>
          <w:tcPr>
            <w:tcW w:w="1029" w:type="dxa"/>
            <w:tcBorders>
              <w:top w:val="single" w:sz="4" w:space="0" w:color="auto"/>
              <w:bottom w:val="single" w:sz="4" w:space="0" w:color="auto"/>
            </w:tcBorders>
            <w:shd w:val="clear" w:color="auto" w:fill="auto"/>
          </w:tcPr>
          <w:p w14:paraId="40BF1D41"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173</w:t>
            </w:r>
          </w:p>
        </w:tc>
        <w:tc>
          <w:tcPr>
            <w:tcW w:w="1029" w:type="dxa"/>
            <w:tcBorders>
              <w:top w:val="single" w:sz="4" w:space="0" w:color="auto"/>
              <w:bottom w:val="single" w:sz="4" w:space="0" w:color="auto"/>
            </w:tcBorders>
            <w:shd w:val="clear" w:color="auto" w:fill="auto"/>
          </w:tcPr>
          <w:p w14:paraId="7ED21369"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299</w:t>
            </w:r>
          </w:p>
        </w:tc>
        <w:tc>
          <w:tcPr>
            <w:tcW w:w="1029" w:type="dxa"/>
            <w:tcBorders>
              <w:top w:val="single" w:sz="4" w:space="0" w:color="auto"/>
              <w:bottom w:val="single" w:sz="4" w:space="0" w:color="auto"/>
            </w:tcBorders>
            <w:shd w:val="clear" w:color="auto" w:fill="auto"/>
          </w:tcPr>
          <w:p w14:paraId="5C3FAA50"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516</w:t>
            </w:r>
          </w:p>
        </w:tc>
      </w:tr>
    </w:tbl>
    <w:p w14:paraId="6B5FFA95" w14:textId="77777777" w:rsidR="00371CFF" w:rsidRPr="00371CFF" w:rsidRDefault="00371CFF" w:rsidP="00EE5AC4">
      <w:pPr>
        <w:pStyle w:val="snapInitbody"/>
      </w:pPr>
      <w:r w:rsidRPr="00371CFF">
        <w:t>The Government will provide additional transportable classrooms that can be deployed rapidly to respond to enrolment growth at individual ACT public schools. These transportable classrooms will initially be used to add capacity at North Gungahlin Primary School, Hawker Primary School, Lyneham High School and Gungahlin College.</w:t>
      </w:r>
    </w:p>
    <w:p w14:paraId="5C1D1732" w14:textId="77777777" w:rsidR="00371CFF" w:rsidRPr="000F30E1" w:rsidRDefault="00371CFF" w:rsidP="000F30E1">
      <w:pPr>
        <w:pStyle w:val="snapInittitles"/>
      </w:pPr>
      <w:r w:rsidRPr="000F30E1">
        <w:t xml:space="preserve">Planning for Canberra’s future school needs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71CFF" w:rsidRPr="00866299" w14:paraId="1B7A4D5D" w14:textId="77777777" w:rsidTr="00EE5AC4">
        <w:trPr>
          <w:cantSplit/>
        </w:trPr>
        <w:tc>
          <w:tcPr>
            <w:tcW w:w="3652" w:type="dxa"/>
            <w:tcBorders>
              <w:top w:val="single" w:sz="4" w:space="0" w:color="auto"/>
              <w:bottom w:val="single" w:sz="4" w:space="0" w:color="auto"/>
            </w:tcBorders>
          </w:tcPr>
          <w:p w14:paraId="630FB6BF" w14:textId="176B6118" w:rsidR="00371CFF" w:rsidRPr="00866299" w:rsidRDefault="00371CFF" w:rsidP="00371CFF">
            <w:pPr>
              <w:jc w:val="right"/>
              <w:rPr>
                <w:rFonts w:ascii="Calibri" w:hAnsi="Calibri" w:cs="Calibri"/>
                <w:i/>
                <w:sz w:val="22"/>
                <w:highlight w:val="yellow"/>
                <w:lang w:eastAsia="en-US"/>
              </w:rPr>
            </w:pPr>
          </w:p>
        </w:tc>
        <w:tc>
          <w:tcPr>
            <w:tcW w:w="1179" w:type="dxa"/>
            <w:tcBorders>
              <w:top w:val="single" w:sz="4" w:space="0" w:color="auto"/>
              <w:bottom w:val="single" w:sz="4" w:space="0" w:color="auto"/>
            </w:tcBorders>
          </w:tcPr>
          <w:p w14:paraId="6CE2B891"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2019-20</w:t>
            </w:r>
          </w:p>
          <w:p w14:paraId="50CF8431"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440F2CD5"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2020-21</w:t>
            </w:r>
          </w:p>
          <w:p w14:paraId="1537C9D6"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1846E425"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2021-22</w:t>
            </w:r>
          </w:p>
          <w:p w14:paraId="72AB2B44"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BA7C903"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2022-23</w:t>
            </w:r>
          </w:p>
          <w:p w14:paraId="5ED754ED"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05E1E3F7"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Total</w:t>
            </w:r>
          </w:p>
          <w:p w14:paraId="45F3225E"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$’000</w:t>
            </w:r>
          </w:p>
        </w:tc>
      </w:tr>
      <w:tr w:rsidR="00371CFF" w:rsidRPr="00866299" w14:paraId="0D0EB7B4" w14:textId="77777777" w:rsidTr="00EE5AC4">
        <w:trPr>
          <w:cantSplit/>
        </w:trPr>
        <w:tc>
          <w:tcPr>
            <w:tcW w:w="3652" w:type="dxa"/>
            <w:tcBorders>
              <w:top w:val="single" w:sz="4" w:space="0" w:color="auto"/>
              <w:bottom w:val="single" w:sz="4" w:space="0" w:color="auto"/>
            </w:tcBorders>
          </w:tcPr>
          <w:p w14:paraId="3DF69AC3" w14:textId="77777777" w:rsidR="00371CFF" w:rsidRPr="00866299" w:rsidRDefault="00371CFF" w:rsidP="00371CFF">
            <w:pPr>
              <w:ind w:left="284" w:hanging="284"/>
              <w:rPr>
                <w:rFonts w:ascii="Calibri" w:hAnsi="Calibri"/>
                <w:sz w:val="22"/>
                <w:lang w:eastAsia="en-US"/>
              </w:rPr>
            </w:pPr>
            <w:r w:rsidRPr="00866299">
              <w:rPr>
                <w:rFonts w:ascii="Calibri" w:hAnsi="Calibri"/>
                <w:sz w:val="22"/>
                <w:lang w:eastAsia="en-US"/>
              </w:rPr>
              <w:t>Capital</w:t>
            </w:r>
          </w:p>
        </w:tc>
        <w:tc>
          <w:tcPr>
            <w:tcW w:w="1179" w:type="dxa"/>
            <w:tcBorders>
              <w:top w:val="single" w:sz="4" w:space="0" w:color="auto"/>
              <w:bottom w:val="single" w:sz="4" w:space="0" w:color="auto"/>
            </w:tcBorders>
          </w:tcPr>
          <w:p w14:paraId="389C0A99"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883</w:t>
            </w:r>
          </w:p>
        </w:tc>
        <w:tc>
          <w:tcPr>
            <w:tcW w:w="1041" w:type="dxa"/>
            <w:tcBorders>
              <w:top w:val="single" w:sz="4" w:space="0" w:color="auto"/>
              <w:bottom w:val="single" w:sz="4" w:space="0" w:color="auto"/>
            </w:tcBorders>
          </w:tcPr>
          <w:p w14:paraId="554F6EAA"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715</w:t>
            </w:r>
          </w:p>
        </w:tc>
        <w:tc>
          <w:tcPr>
            <w:tcW w:w="1029" w:type="dxa"/>
            <w:tcBorders>
              <w:top w:val="single" w:sz="4" w:space="0" w:color="auto"/>
              <w:bottom w:val="single" w:sz="4" w:space="0" w:color="auto"/>
            </w:tcBorders>
          </w:tcPr>
          <w:p w14:paraId="63555CDA"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455</w:t>
            </w:r>
          </w:p>
        </w:tc>
        <w:tc>
          <w:tcPr>
            <w:tcW w:w="1029" w:type="dxa"/>
            <w:tcBorders>
              <w:top w:val="single" w:sz="4" w:space="0" w:color="auto"/>
              <w:bottom w:val="single" w:sz="4" w:space="0" w:color="auto"/>
            </w:tcBorders>
          </w:tcPr>
          <w:p w14:paraId="5CD80304"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65F898E7"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2,053</w:t>
            </w:r>
          </w:p>
        </w:tc>
      </w:tr>
      <w:tr w:rsidR="00371CFF" w:rsidRPr="00866299" w14:paraId="3A52EC8C" w14:textId="77777777" w:rsidTr="00EE5AC4">
        <w:trPr>
          <w:cantSplit/>
        </w:trPr>
        <w:tc>
          <w:tcPr>
            <w:tcW w:w="3652" w:type="dxa"/>
            <w:tcBorders>
              <w:top w:val="single" w:sz="4" w:space="0" w:color="auto"/>
              <w:bottom w:val="single" w:sz="4" w:space="0" w:color="auto"/>
            </w:tcBorders>
          </w:tcPr>
          <w:p w14:paraId="08AA2972" w14:textId="77777777" w:rsidR="00371CFF" w:rsidRPr="00866299" w:rsidRDefault="00371CFF" w:rsidP="00371CFF">
            <w:pPr>
              <w:ind w:left="284" w:hanging="284"/>
              <w:rPr>
                <w:rFonts w:ascii="Calibri" w:hAnsi="Calibri"/>
                <w:sz w:val="22"/>
                <w:lang w:eastAsia="en-US"/>
              </w:rPr>
            </w:pPr>
            <w:r w:rsidRPr="00866299">
              <w:rPr>
                <w:rFonts w:ascii="Calibri" w:hAnsi="Calibri"/>
                <w:sz w:val="22"/>
                <w:lang w:eastAsia="en-US"/>
              </w:rPr>
              <w:t>Associated expenses</w:t>
            </w:r>
          </w:p>
        </w:tc>
        <w:tc>
          <w:tcPr>
            <w:tcW w:w="1179" w:type="dxa"/>
            <w:tcBorders>
              <w:top w:val="single" w:sz="4" w:space="0" w:color="auto"/>
              <w:bottom w:val="single" w:sz="4" w:space="0" w:color="auto"/>
            </w:tcBorders>
          </w:tcPr>
          <w:p w14:paraId="03049E9C"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750</w:t>
            </w:r>
          </w:p>
        </w:tc>
        <w:tc>
          <w:tcPr>
            <w:tcW w:w="1041" w:type="dxa"/>
            <w:tcBorders>
              <w:top w:val="single" w:sz="4" w:space="0" w:color="auto"/>
              <w:bottom w:val="single" w:sz="4" w:space="0" w:color="auto"/>
            </w:tcBorders>
          </w:tcPr>
          <w:p w14:paraId="63456FE1"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750</w:t>
            </w:r>
          </w:p>
        </w:tc>
        <w:tc>
          <w:tcPr>
            <w:tcW w:w="1029" w:type="dxa"/>
            <w:tcBorders>
              <w:top w:val="single" w:sz="4" w:space="0" w:color="auto"/>
              <w:bottom w:val="single" w:sz="4" w:space="0" w:color="auto"/>
            </w:tcBorders>
          </w:tcPr>
          <w:p w14:paraId="79E20731"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6F3AEEB0" w14:textId="77777777" w:rsidR="00371CFF" w:rsidRPr="00866299" w:rsidRDefault="00371CFF" w:rsidP="00371CFF">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42E3DAEF" w14:textId="77777777" w:rsidR="00371CFF" w:rsidRPr="00866299" w:rsidRDefault="00371CFF" w:rsidP="00371CFF">
            <w:pPr>
              <w:ind w:left="284" w:hanging="284"/>
              <w:jc w:val="right"/>
              <w:rPr>
                <w:rFonts w:ascii="Calibri" w:hAnsi="Calibri"/>
                <w:b/>
                <w:sz w:val="22"/>
                <w:lang w:eastAsia="en-US"/>
              </w:rPr>
            </w:pPr>
            <w:r w:rsidRPr="00866299">
              <w:rPr>
                <w:rFonts w:ascii="Calibri" w:hAnsi="Calibri"/>
                <w:b/>
                <w:sz w:val="22"/>
                <w:lang w:eastAsia="en-US"/>
              </w:rPr>
              <w:t>1,500</w:t>
            </w:r>
          </w:p>
        </w:tc>
      </w:tr>
    </w:tbl>
    <w:p w14:paraId="5AC2981F" w14:textId="2CE057D0" w:rsidR="00445EB3" w:rsidRPr="002E6C28" w:rsidRDefault="00371CFF" w:rsidP="00EE5AC4">
      <w:pPr>
        <w:pStyle w:val="snapInitbody"/>
      </w:pPr>
      <w:r w:rsidRPr="00371CFF">
        <w:t>The Government will undertake feasibility studies for new and expanded school capacity in growth regions across Canberra. This will include consideration of capacity within existing school sites in the City and Gateway area, and mapping of future student demand in residential growth areas in west Belconnen, the Molonglo Valley, south-east Canberra and the Belconnen and Woden town centre areas.</w:t>
      </w:r>
    </w:p>
    <w:p w14:paraId="5AC29820" w14:textId="62BAB42C" w:rsidR="00982BA5" w:rsidRDefault="00705404" w:rsidP="00705404">
      <w:pPr>
        <w:pStyle w:val="Heading1-Pagebreakbefore"/>
      </w:pPr>
      <w:bookmarkStart w:id="12" w:name="_Toc10657544"/>
      <w:r w:rsidRPr="00705404">
        <w:t xml:space="preserve">Environment </w:t>
      </w:r>
      <w:r w:rsidR="00462CAD">
        <w:t>Planning</w:t>
      </w:r>
      <w:r w:rsidRPr="00705404">
        <w:t xml:space="preserve"> </w:t>
      </w:r>
      <w:r w:rsidR="00D21F05">
        <w:t>and Sustainable</w:t>
      </w:r>
      <w:r w:rsidR="00FD730E">
        <w:br/>
      </w:r>
      <w:r w:rsidR="009012DE">
        <w:t>Development</w:t>
      </w:r>
      <w:r w:rsidR="00D21F05">
        <w:t xml:space="preserve"> </w:t>
      </w:r>
      <w:r w:rsidRPr="00705404">
        <w:t>Directorate</w:t>
      </w:r>
      <w:bookmarkEnd w:id="12"/>
    </w:p>
    <w:p w14:paraId="7FDAF1AD" w14:textId="77777777" w:rsidR="00462CAD" w:rsidRDefault="00462CAD" w:rsidP="00462CAD">
      <w:pPr>
        <w:pStyle w:val="Heading2"/>
      </w:pPr>
      <w:r>
        <w:t xml:space="preserve">Overview </w:t>
      </w:r>
    </w:p>
    <w:p w14:paraId="0D76752F" w14:textId="11FA4438" w:rsidR="007D6A0A" w:rsidRDefault="007D6A0A" w:rsidP="00EE5AC4">
      <w:pPr>
        <w:pStyle w:val="Body"/>
      </w:pPr>
      <w:r w:rsidRPr="00E87FC1">
        <w:t xml:space="preserve">We have reviewed shared asks in the </w:t>
      </w:r>
      <w:r w:rsidRPr="00E87FC1">
        <w:rPr>
          <w:i/>
          <w:iCs/>
        </w:rPr>
        <w:t>Community Shared Statement</w:t>
      </w:r>
      <w:r w:rsidRPr="00E87FC1">
        <w:t xml:space="preserve"> which relate to the </w:t>
      </w:r>
      <w:r w:rsidRPr="008D0570">
        <w:t xml:space="preserve">Environment Planning </w:t>
      </w:r>
      <w:r>
        <w:t xml:space="preserve">and Sustainable Development </w:t>
      </w:r>
      <w:r w:rsidRPr="008D0570">
        <w:t>Directorate</w:t>
      </w:r>
      <w:r>
        <w:t xml:space="preserve"> (</w:t>
      </w:r>
      <w:proofErr w:type="spellStart"/>
      <w:r>
        <w:t>EPSDD</w:t>
      </w:r>
      <w:proofErr w:type="spellEnd"/>
      <w:r>
        <w:t>)</w:t>
      </w:r>
      <w:r w:rsidRPr="00E87FC1">
        <w:t>.</w:t>
      </w:r>
      <w:r w:rsidR="000F30E1">
        <w:t xml:space="preserve"> </w:t>
      </w:r>
      <w:r w:rsidRPr="00E87FC1">
        <w:t xml:space="preserve">These asks were endorsed by 19 community organisations </w:t>
      </w:r>
      <w:r w:rsidRPr="007B65A4">
        <w:t>as priority areas for action during the 2016-20 term of the ACT Government:</w:t>
      </w:r>
      <w:r w:rsidRPr="00E87FC1">
        <w:t xml:space="preserve"> </w:t>
      </w:r>
    </w:p>
    <w:p w14:paraId="147A3EF4" w14:textId="48DC3278" w:rsidR="007D6A0A" w:rsidRDefault="007D6A0A" w:rsidP="00EE5AC4">
      <w:pPr>
        <w:pStyle w:val="ListBullet"/>
        <w:rPr>
          <w:rFonts w:cs="Arial"/>
        </w:rPr>
      </w:pPr>
      <w:r w:rsidRPr="00050818">
        <w:t>Increase affordable housing for households in the bottom 40</w:t>
      </w:r>
      <w:r w:rsidR="00927277">
        <w:t>%</w:t>
      </w:r>
      <w:r w:rsidRPr="00050818">
        <w:t xml:space="preserve"> income quintiles and increase supply of housing which is accessible for and visitable by people with disabilities</w:t>
      </w:r>
    </w:p>
    <w:p w14:paraId="30CDD6EE" w14:textId="78781AEE" w:rsidR="007D6A0A" w:rsidRPr="00050818" w:rsidRDefault="007D6A0A" w:rsidP="00EE5AC4">
      <w:pPr>
        <w:pStyle w:val="ListBullet"/>
        <w:rPr>
          <w:rFonts w:cs="Arial"/>
        </w:rPr>
      </w:pPr>
      <w:r w:rsidRPr="00050818">
        <w:t xml:space="preserve">Share responsibility for funding and delivering improved </w:t>
      </w:r>
      <w:r w:rsidRPr="00050818">
        <w:rPr>
          <w:rFonts w:cs="Arial"/>
        </w:rPr>
        <w:t>outcomes for affordable housing, including social housing, and reducing homelessness across all ACT Government portfolios</w:t>
      </w:r>
    </w:p>
    <w:p w14:paraId="63BB3C74" w14:textId="5A720FD1" w:rsidR="007D6A0A" w:rsidRDefault="007D6A0A" w:rsidP="00EE5AC4">
      <w:pPr>
        <w:pStyle w:val="ListBullet"/>
        <w:rPr>
          <w:rFonts w:cs="Arial"/>
        </w:rPr>
      </w:pPr>
      <w:r w:rsidRPr="00050818">
        <w:t>Develop transport services that are accessible, affordable and fit for purpose, especially for people working outside 9-5 Monday-Frid</w:t>
      </w:r>
      <w:r w:rsidRPr="00050818">
        <w:rPr>
          <w:rFonts w:cs="Arial"/>
        </w:rPr>
        <w:t>ay jobs, for people with disabilities and for people who do not drive or have access to a private vehicle</w:t>
      </w:r>
    </w:p>
    <w:p w14:paraId="210B1FBC" w14:textId="2FDA8822" w:rsidR="007D6A0A" w:rsidRPr="00050818" w:rsidRDefault="007D6A0A" w:rsidP="00EE5AC4">
      <w:pPr>
        <w:pStyle w:val="ListBullet"/>
        <w:rPr>
          <w:rFonts w:cs="Arial"/>
        </w:rPr>
      </w:pPr>
      <w:r w:rsidRPr="00050818">
        <w:t>Ensure transport information is easily accessible, the services are accessible to people with mobility and/or cognitive barriers, and services offer</w:t>
      </w:r>
      <w:r w:rsidRPr="00050818">
        <w:rPr>
          <w:rFonts w:cs="Arial"/>
        </w:rPr>
        <w:t>ed enable people to complete activities of daily living and participate in their community</w:t>
      </w:r>
    </w:p>
    <w:p w14:paraId="42CD30DC" w14:textId="1E72D88C" w:rsidR="007D6A0A" w:rsidRDefault="007D6A0A" w:rsidP="00EE5AC4">
      <w:pPr>
        <w:pStyle w:val="ListBullet"/>
        <w:rPr>
          <w:rFonts w:cs="Arial"/>
        </w:rPr>
      </w:pPr>
      <w:r w:rsidRPr="00050818">
        <w:t xml:space="preserve">Ensure urban renewal increases affordability, accessibility, sustainability and inclusiveness for all ages, promoting a diverse economy, high amenity green spaces, </w:t>
      </w:r>
      <w:r w:rsidRPr="00050818">
        <w:rPr>
          <w:rFonts w:cs="Arial"/>
        </w:rPr>
        <w:t>enhancing biodiversity, maintaining natural spaces in urban settings, affordable community facilities, affordable fit</w:t>
      </w:r>
      <w:r w:rsidR="004513FB">
        <w:rPr>
          <w:rFonts w:cs="Arial"/>
        </w:rPr>
        <w:t>-</w:t>
      </w:r>
      <w:r w:rsidRPr="00050818">
        <w:rPr>
          <w:rFonts w:cs="Arial"/>
        </w:rPr>
        <w:t>for</w:t>
      </w:r>
      <w:r w:rsidR="004513FB">
        <w:rPr>
          <w:rFonts w:cs="Arial"/>
        </w:rPr>
        <w:t>-</w:t>
      </w:r>
      <w:r w:rsidRPr="00050818">
        <w:rPr>
          <w:rFonts w:cs="Arial"/>
        </w:rPr>
        <w:t>purpose accommodation for community organisations and a socially rich experience for all residents</w:t>
      </w:r>
    </w:p>
    <w:p w14:paraId="54D83F4A" w14:textId="77777777" w:rsidR="007D6A0A" w:rsidRPr="00050818" w:rsidRDefault="007D6A0A" w:rsidP="00EE5AC4">
      <w:pPr>
        <w:pStyle w:val="ListBullet"/>
        <w:rPr>
          <w:rFonts w:cs="Arial"/>
        </w:rPr>
      </w:pPr>
      <w:r w:rsidRPr="00050818">
        <w:t>Ensure that urban planning and c</w:t>
      </w:r>
      <w:r w:rsidRPr="00050818">
        <w:rPr>
          <w:rFonts w:cs="Arial"/>
        </w:rPr>
        <w:t>ity design decisions are made with genuine involvement and consultation with the communities that live, work and use those spaces, including residents, workers and local businesses.</w:t>
      </w:r>
    </w:p>
    <w:p w14:paraId="0700CBC9" w14:textId="36EA2596" w:rsidR="007D6A0A" w:rsidRPr="00E87FC1" w:rsidRDefault="007D6A0A" w:rsidP="00EE5AC4">
      <w:pPr>
        <w:pStyle w:val="Body"/>
      </w:pPr>
      <w:r w:rsidRPr="00E87FC1">
        <w:t>In December 2018</w:t>
      </w:r>
      <w:r w:rsidR="00671A59">
        <w:t>,</w:t>
      </w:r>
      <w:r w:rsidRPr="00E87FC1">
        <w:t xml:space="preserve"> the Chief Minister outlined the ACT Government’s agenda for the second half of its term of government, founded on the themes of making Canberra an inclusive, progressive and connected place to live. Priorities for investment outlined by the Chief Minister in his December 2018 mid-term statement of priorities that are relevant in this portfolio are:</w:t>
      </w:r>
    </w:p>
    <w:p w14:paraId="44967F96" w14:textId="77777777" w:rsidR="007D6A0A" w:rsidRDefault="007D6A0A" w:rsidP="00EE5AC4">
      <w:pPr>
        <w:pStyle w:val="ListBullet"/>
      </w:pPr>
      <w:r w:rsidRPr="00006937">
        <w:t>New public transport system that makes public transport a real option for more Canberrans</w:t>
      </w:r>
    </w:p>
    <w:p w14:paraId="5CA985B7" w14:textId="77777777" w:rsidR="007D6A0A" w:rsidRPr="00E87FC1" w:rsidRDefault="007D6A0A" w:rsidP="00EE5AC4">
      <w:pPr>
        <w:pStyle w:val="ListBullet"/>
      </w:pPr>
      <w:r w:rsidRPr="00006937">
        <w:t>Urban renewal in town centres and suburbs</w:t>
      </w:r>
    </w:p>
    <w:p w14:paraId="6E7BB0B8" w14:textId="77777777" w:rsidR="007D6A0A" w:rsidRPr="00E87FC1" w:rsidRDefault="007D6A0A" w:rsidP="00EE5AC4">
      <w:pPr>
        <w:pStyle w:val="ListBullet"/>
      </w:pPr>
      <w:r w:rsidRPr="00006937">
        <w:t>Equitable access to public and green spaces</w:t>
      </w:r>
    </w:p>
    <w:p w14:paraId="1A376A9F" w14:textId="2E02BDB3" w:rsidR="007D6A0A" w:rsidRPr="00E87FC1" w:rsidRDefault="007D6A0A" w:rsidP="00EE5AC4">
      <w:pPr>
        <w:pStyle w:val="ListBullet"/>
      </w:pPr>
      <w:r w:rsidRPr="00006937">
        <w:t>Helping households with their costs of living including via energy efficiency advice and subsidies</w:t>
      </w:r>
    </w:p>
    <w:p w14:paraId="5B021F44" w14:textId="0A54A1B9" w:rsidR="007D6A0A" w:rsidRPr="00006937" w:rsidRDefault="007D6A0A" w:rsidP="00EE5AC4">
      <w:pPr>
        <w:pStyle w:val="ListBullet"/>
      </w:pPr>
      <w:r>
        <w:t>L</w:t>
      </w:r>
      <w:r w:rsidRPr="00006937">
        <w:t xml:space="preserve">ight rail stage </w:t>
      </w:r>
      <w:r>
        <w:t>two</w:t>
      </w:r>
      <w:r w:rsidRPr="00006937">
        <w:t xml:space="preserve"> and </w:t>
      </w:r>
      <w:r>
        <w:t xml:space="preserve">a </w:t>
      </w:r>
      <w:r w:rsidRPr="00006937">
        <w:t>faster train to Sydney</w:t>
      </w:r>
      <w:r w:rsidR="0053552F">
        <w:t>.</w:t>
      </w:r>
    </w:p>
    <w:p w14:paraId="05A072A1" w14:textId="062A7090" w:rsidR="007D6A0A" w:rsidRPr="008C41EB" w:rsidRDefault="007D6A0A" w:rsidP="00EE5AC4">
      <w:pPr>
        <w:pStyle w:val="Body"/>
      </w:pPr>
      <w:r w:rsidRPr="008C41EB">
        <w:t>In ACTCOSS' submission to the 2019-20 ACT Budget, we identified priorities for investment including a long-term plan for sustaining biodiversity and protecting ecological values in addition to emissions reduction and climate change adaption measures; working to move beyond isolated short-term measures addressing weed control and invasive species; support for climate affected communities</w:t>
      </w:r>
      <w:r w:rsidR="00281DE9">
        <w:t>;</w:t>
      </w:r>
      <w:r w:rsidRPr="008C41EB">
        <w:t xml:space="preserve"> appropriate on</w:t>
      </w:r>
      <w:r w:rsidR="00281DE9">
        <w:t>-</w:t>
      </w:r>
      <w:r w:rsidRPr="008C41EB">
        <w:t>the</w:t>
      </w:r>
      <w:r w:rsidR="00281DE9">
        <w:t>-</w:t>
      </w:r>
      <w:r w:rsidRPr="008C41EB">
        <w:t>ground consultation and transition for workers; redevelopment and urban renewal prioritis</w:t>
      </w:r>
      <w:r w:rsidR="001E31D9">
        <w:t>ing</w:t>
      </w:r>
      <w:r w:rsidRPr="008C41EB">
        <w:t xml:space="preserve"> high value greenspace; appropriately recognising and resourcing the role of environmental workers, rangers and researchers; and ongoing support for low-income, small business and community organisation customers to participate in energy policy and regulatory decisions, and to contribute to development and implementation of the ACT Climate Change Mitigation Strategy and Action Plans. </w:t>
      </w:r>
    </w:p>
    <w:p w14:paraId="598F9ADA" w14:textId="113D136E" w:rsidR="007D6A0A" w:rsidRDefault="007D6A0A" w:rsidP="007D6A0A">
      <w:pPr>
        <w:pStyle w:val="Body"/>
      </w:pPr>
      <w:r w:rsidRPr="000C16BE">
        <w:t>A</w:t>
      </w:r>
      <w:r w:rsidRPr="000C16BE">
        <w:rPr>
          <w:iCs/>
        </w:rPr>
        <w:t>CTCOSS has consistently called for joined</w:t>
      </w:r>
      <w:r w:rsidR="00E06AE0">
        <w:rPr>
          <w:iCs/>
        </w:rPr>
        <w:t xml:space="preserve"> </w:t>
      </w:r>
      <w:r w:rsidRPr="000C16BE">
        <w:rPr>
          <w:iCs/>
        </w:rPr>
        <w:t>up work on planning, housing and transport integration and a focus on missing or neglected municipal</w:t>
      </w:r>
      <w:r w:rsidR="0038213A">
        <w:rPr>
          <w:iCs/>
        </w:rPr>
        <w:t>-</w:t>
      </w:r>
      <w:r w:rsidRPr="000C16BE">
        <w:rPr>
          <w:iCs/>
        </w:rPr>
        <w:t>level services</w:t>
      </w:r>
      <w:r w:rsidR="005A7029">
        <w:rPr>
          <w:iCs/>
        </w:rPr>
        <w:t xml:space="preserve"> with a proper focus on community assets</w:t>
      </w:r>
      <w:r w:rsidR="00C75BA8">
        <w:rPr>
          <w:iCs/>
        </w:rPr>
        <w:t>,</w:t>
      </w:r>
      <w:r w:rsidR="005A7029">
        <w:rPr>
          <w:iCs/>
        </w:rPr>
        <w:t xml:space="preserve"> needs </w:t>
      </w:r>
      <w:r w:rsidR="005A7029" w:rsidRPr="0038213A">
        <w:t xml:space="preserve">and </w:t>
      </w:r>
      <w:r w:rsidR="00C75BA8" w:rsidRPr="0038213A">
        <w:rPr>
          <w:iCs/>
        </w:rPr>
        <w:t>building social infrastructure</w:t>
      </w:r>
      <w:r w:rsidRPr="0038213A">
        <w:rPr>
          <w:iCs/>
        </w:rPr>
        <w:t>.</w:t>
      </w:r>
      <w:r w:rsidR="000F30E1">
        <w:rPr>
          <w:iCs/>
        </w:rPr>
        <w:t xml:space="preserve"> </w:t>
      </w:r>
      <w:r w:rsidRPr="000C16BE">
        <w:rPr>
          <w:iCs/>
        </w:rPr>
        <w:t xml:space="preserve">We have also stressed the need for properly resourced </w:t>
      </w:r>
      <w:r w:rsidRPr="000C16BE">
        <w:t>citizen engagement and resident consultation processes to manage the once in a generation renewal and re-imagining of our city</w:t>
      </w:r>
      <w:r>
        <w:t>.</w:t>
      </w:r>
      <w:r w:rsidRPr="00922A58">
        <w:t xml:space="preserve"> </w:t>
      </w:r>
      <w:r>
        <w:t>Community and neighbourhood voice organisations and peak bodies should be better resourced to support good engagement during this once in a lifetime transformational period for urban planning in our city.</w:t>
      </w:r>
      <w:r w:rsidR="000F30E1">
        <w:t xml:space="preserve"> </w:t>
      </w:r>
    </w:p>
    <w:p w14:paraId="75348F02" w14:textId="77777777" w:rsidR="007D6A0A" w:rsidRDefault="007D6A0A" w:rsidP="00EE5AC4">
      <w:pPr>
        <w:pStyle w:val="Body"/>
        <w:rPr>
          <w:b/>
          <w:iCs/>
        </w:rPr>
      </w:pPr>
      <w:r w:rsidRPr="0069629F">
        <w:t>We have emphasised that planning for a smart city should focus on interventions that support those who need the most support and should join up urban renewal, community facilities planning, transport and digital infrastructure. ACTCOSS advocates for an in-depth community needs assessment targeting specific communities, that would account for demographic characteristics including levels of disadvantage and the current availability and distribution of services.</w:t>
      </w:r>
    </w:p>
    <w:p w14:paraId="6CA3051A" w14:textId="77777777" w:rsidR="007D6A0A" w:rsidRPr="009A0395" w:rsidRDefault="007D6A0A" w:rsidP="00EE5AC4">
      <w:pPr>
        <w:pStyle w:val="Body"/>
        <w:rPr>
          <w:szCs w:val="23"/>
        </w:rPr>
      </w:pPr>
      <w:r w:rsidRPr="00281786">
        <w:t>ACTCOSS notes and welco</w:t>
      </w:r>
      <w:r w:rsidRPr="00281786">
        <w:rPr>
          <w:szCs w:val="23"/>
        </w:rPr>
        <w:t>mes 2019</w:t>
      </w:r>
      <w:r>
        <w:rPr>
          <w:szCs w:val="23"/>
        </w:rPr>
        <w:t>-</w:t>
      </w:r>
      <w:r w:rsidRPr="00281786">
        <w:rPr>
          <w:szCs w:val="23"/>
        </w:rPr>
        <w:t xml:space="preserve">20 Budget initiatives to start work on a new community centre for Woden and deliver upgrades to three other local community centres. The centre will provide a new home for Woden Community Service to deliver a range of integrated services, as well as a community space for activities and events including the arts. </w:t>
      </w:r>
      <w:r w:rsidRPr="009A0395">
        <w:rPr>
          <w:szCs w:val="23"/>
        </w:rPr>
        <w:t xml:space="preserve">The design and service offerings should be informed by ongoing engagement with residents and organisations that use – and are likely to use – the community centre. </w:t>
      </w:r>
    </w:p>
    <w:p w14:paraId="4507977A" w14:textId="3E1E92F2" w:rsidR="007D6A0A" w:rsidRDefault="007D6A0A" w:rsidP="007D6A0A">
      <w:pPr>
        <w:pStyle w:val="Body"/>
      </w:pPr>
      <w:r>
        <w:t>We note the commitment of funding for the feasibility and infrastructure planning for future Molonglo land releases at a cost on $1.27 million as well as $608,000 on the scoping of the East Lake urban renewal to continue early planning for future land development on Kingston Foreshore.</w:t>
      </w:r>
      <w:r w:rsidR="000F30E1">
        <w:t xml:space="preserve"> </w:t>
      </w:r>
      <w:r>
        <w:t>Both should include a focus on increasing the supply of affordable housing in Canberra along with community</w:t>
      </w:r>
      <w:r w:rsidR="00035A3E">
        <w:t>-</w:t>
      </w:r>
      <w:r>
        <w:t>led insights into the social, community and urban infrastructure qualities and greenspace needed to make these future releases inclusive and sustainable communities.</w:t>
      </w:r>
      <w:r w:rsidR="000F30E1">
        <w:t xml:space="preserve"> </w:t>
      </w:r>
    </w:p>
    <w:p w14:paraId="4F4B05DA" w14:textId="7C77A071" w:rsidR="007D6A0A" w:rsidRDefault="007D6A0A" w:rsidP="007D6A0A">
      <w:pPr>
        <w:pStyle w:val="Body"/>
      </w:pPr>
      <w:r>
        <w:t xml:space="preserve">Changes to the speed of </w:t>
      </w:r>
      <w:r w:rsidR="008E31E5">
        <w:t>the d</w:t>
      </w:r>
      <w:r>
        <w:t xml:space="preserve">evelopment </w:t>
      </w:r>
      <w:r w:rsidR="008E31E5">
        <w:t>a</w:t>
      </w:r>
      <w:r>
        <w:t>pplication (DA) process should not be achieved at the expense of adequate community engagement and quality development outcomes for suburbs and town centres.</w:t>
      </w:r>
      <w:r w:rsidR="000F30E1">
        <w:t xml:space="preserve"> </w:t>
      </w:r>
      <w:r>
        <w:t xml:space="preserve">A streamlined process should also not move ahead of the </w:t>
      </w:r>
      <w:r w:rsidR="00706073">
        <w:t>g</w:t>
      </w:r>
      <w:r>
        <w:t>overnment</w:t>
      </w:r>
      <w:r w:rsidR="00706073">
        <w:t>’</w:t>
      </w:r>
      <w:r>
        <w:t>s own community engagement process for the Territory Plan Review or pre-empt the outcomes of that review.</w:t>
      </w:r>
      <w:r w:rsidR="000F30E1">
        <w:t xml:space="preserve"> </w:t>
      </w:r>
      <w:r>
        <w:t>ACTCOSS notes the importance of residents and their representatives, including people on low incomes and with barriers to participation, being able to fully engage in the formation of their communities, and that any changes to the DA review process should widen access to this process and support improvements to the quality of development outcomes.</w:t>
      </w:r>
    </w:p>
    <w:p w14:paraId="0C2C5091" w14:textId="14530A03" w:rsidR="007D6A0A" w:rsidRDefault="007D6A0A" w:rsidP="007D6A0A">
      <w:pPr>
        <w:pStyle w:val="Body"/>
      </w:pPr>
      <w:r>
        <w:t xml:space="preserve">Faster processing of DAs should not come at the cost of good planning outcomes including adequate greenspace, affordable housing, access for older people and people with disabilities. Earlier and better consideration of social sustainability factors needs to </w:t>
      </w:r>
      <w:r w:rsidR="00725860">
        <w:t xml:space="preserve">be </w:t>
      </w:r>
      <w:r>
        <w:t>built into any revised DA process.</w:t>
      </w:r>
    </w:p>
    <w:p w14:paraId="1B1B9262" w14:textId="473A05F0" w:rsidR="007D6A0A" w:rsidRDefault="007D6A0A" w:rsidP="007D6A0A">
      <w:pPr>
        <w:pStyle w:val="Body"/>
      </w:pPr>
      <w:r>
        <w:t>We note the investment of $250,000 in the City Plan implementation.</w:t>
      </w:r>
      <w:r w:rsidR="000F30E1">
        <w:t xml:space="preserve"> </w:t>
      </w:r>
      <w:r>
        <w:t>It will be important that this work aligns with the community engagement processes for the Territory Plan Review, in addition to sustaining coherence with planning for integrated transport.</w:t>
      </w:r>
      <w:r w:rsidR="000F30E1">
        <w:t xml:space="preserve"> </w:t>
      </w:r>
      <w:r>
        <w:t>Many community services and communities of low</w:t>
      </w:r>
      <w:r w:rsidR="005B7830">
        <w:t>-</w:t>
      </w:r>
      <w:r>
        <w:t>income and homeless people live in the city and it will be important the implementation includes the people most affected by changes in the city.</w:t>
      </w:r>
      <w:r w:rsidR="000F30E1">
        <w:t xml:space="preserve"> </w:t>
      </w:r>
    </w:p>
    <w:p w14:paraId="584C824A" w14:textId="10199E40" w:rsidR="00656B15" w:rsidRPr="00656B15" w:rsidRDefault="00656B15" w:rsidP="00656B15">
      <w:pPr>
        <w:spacing w:after="180"/>
        <w:rPr>
          <w:rFonts w:eastAsia="Calibri" w:cs="Arial"/>
          <w:color w:val="000000"/>
          <w:sz w:val="23"/>
          <w:szCs w:val="23"/>
          <w:lang w:val="en-US" w:eastAsia="en-US"/>
        </w:rPr>
      </w:pPr>
      <w:r w:rsidRPr="00656B15">
        <w:rPr>
          <w:rFonts w:eastAsia="Calibri" w:cs="Arial"/>
          <w:color w:val="000000"/>
          <w:sz w:val="23"/>
          <w:szCs w:val="23"/>
          <w:lang w:val="en-US" w:eastAsia="en-US"/>
        </w:rPr>
        <w:t xml:space="preserve">ACTCOSS supports work towards a </w:t>
      </w:r>
      <w:r w:rsidR="00D844FA" w:rsidRPr="00656B15">
        <w:rPr>
          <w:rFonts w:eastAsia="Calibri" w:cs="Arial"/>
          <w:color w:val="000000"/>
          <w:sz w:val="23"/>
          <w:szCs w:val="23"/>
          <w:lang w:val="en-US" w:eastAsia="en-US"/>
        </w:rPr>
        <w:t>zero-carbon</w:t>
      </w:r>
      <w:r w:rsidRPr="00656B15">
        <w:rPr>
          <w:rFonts w:eastAsia="Calibri" w:cs="Arial"/>
          <w:color w:val="000000"/>
          <w:sz w:val="23"/>
          <w:szCs w:val="23"/>
          <w:lang w:val="en-US" w:eastAsia="en-US"/>
        </w:rPr>
        <w:t xml:space="preserve"> emission future, investment in the Climate Change Strategy 2019-2025 and the Living Infrastructure Plan at a cost of $12.03 million over four years. Zero emissions should be achieved through a just transition which focuses on those most impacted by changes in energy supply, costs, employment opportunities and the effects of more extreme weather events. It is also likely that the implementation of the Living Infrastructure Campaign will require additional funding, in particular in relation to meeting a canopy target that will restore and develop the urban </w:t>
      </w:r>
      <w:r w:rsidR="007B609B" w:rsidRPr="00656B15">
        <w:rPr>
          <w:rFonts w:eastAsia="Calibri" w:cs="Arial"/>
          <w:color w:val="000000"/>
          <w:sz w:val="23"/>
          <w:szCs w:val="23"/>
          <w:lang w:val="en-US" w:eastAsia="en-US"/>
        </w:rPr>
        <w:t>forest</w:t>
      </w:r>
      <w:r w:rsidRPr="00656B15">
        <w:rPr>
          <w:rFonts w:eastAsia="Calibri" w:cs="Arial"/>
          <w:color w:val="000000"/>
          <w:sz w:val="23"/>
          <w:szCs w:val="23"/>
          <w:lang w:val="en-US" w:eastAsia="en-US"/>
        </w:rPr>
        <w:t xml:space="preserve"> in Canberra. It will be especially important that tree cover is developed right across all suburbs as reducing urban heat improves </w:t>
      </w:r>
      <w:proofErr w:type="spellStart"/>
      <w:r w:rsidRPr="00656B15">
        <w:rPr>
          <w:rFonts w:eastAsia="Calibri" w:cs="Arial"/>
          <w:color w:val="000000"/>
          <w:sz w:val="23"/>
          <w:szCs w:val="23"/>
          <w:lang w:val="en-US" w:eastAsia="en-US"/>
        </w:rPr>
        <w:t>liveability</w:t>
      </w:r>
      <w:proofErr w:type="spellEnd"/>
      <w:r w:rsidRPr="00656B15">
        <w:rPr>
          <w:rFonts w:eastAsia="Calibri" w:cs="Arial"/>
          <w:color w:val="000000"/>
          <w:sz w:val="23"/>
          <w:szCs w:val="23"/>
          <w:lang w:val="en-US" w:eastAsia="en-US"/>
        </w:rPr>
        <w:t>, and currently it is Canberra</w:t>
      </w:r>
      <w:r w:rsidR="007B609B">
        <w:rPr>
          <w:rFonts w:eastAsia="Calibri" w:cs="Arial"/>
          <w:color w:val="000000"/>
          <w:sz w:val="23"/>
          <w:szCs w:val="23"/>
          <w:lang w:val="en-US" w:eastAsia="en-US"/>
        </w:rPr>
        <w:t>’s</w:t>
      </w:r>
      <w:r w:rsidRPr="00656B15">
        <w:rPr>
          <w:rFonts w:eastAsia="Calibri" w:cs="Arial"/>
          <w:color w:val="000000"/>
          <w:sz w:val="23"/>
          <w:szCs w:val="23"/>
          <w:lang w:val="en-US" w:eastAsia="en-US"/>
        </w:rPr>
        <w:t xml:space="preserve"> wealthier suburbs that have the highest tree cover.</w:t>
      </w:r>
    </w:p>
    <w:p w14:paraId="0A2F3537" w14:textId="656FAE6C" w:rsidR="00656B15" w:rsidRPr="00656B15" w:rsidRDefault="00656B15" w:rsidP="00656B15">
      <w:pPr>
        <w:spacing w:after="180"/>
        <w:rPr>
          <w:rFonts w:eastAsia="Calibri" w:cs="Arial"/>
          <w:color w:val="000000"/>
          <w:sz w:val="23"/>
          <w:szCs w:val="23"/>
          <w:lang w:val="en-US" w:eastAsia="en-US"/>
        </w:rPr>
      </w:pPr>
      <w:r w:rsidRPr="00656B15">
        <w:rPr>
          <w:rFonts w:eastAsia="Calibri" w:cs="Arial"/>
          <w:color w:val="000000"/>
          <w:sz w:val="23"/>
          <w:szCs w:val="23"/>
          <w:lang w:val="en-US" w:eastAsia="en-US"/>
        </w:rPr>
        <w:t xml:space="preserve">We welcome the ACT Government's contribution towards the </w:t>
      </w:r>
      <w:proofErr w:type="spellStart"/>
      <w:r w:rsidRPr="00656B15">
        <w:rPr>
          <w:rFonts w:eastAsia="Calibri" w:cs="Arial"/>
          <w:color w:val="000000"/>
          <w:sz w:val="23"/>
          <w:szCs w:val="23"/>
          <w:lang w:val="en-US" w:eastAsia="en-US"/>
        </w:rPr>
        <w:t>Ginninderry</w:t>
      </w:r>
      <w:proofErr w:type="spellEnd"/>
      <w:r w:rsidRPr="00656B15">
        <w:rPr>
          <w:rFonts w:eastAsia="Calibri" w:cs="Arial"/>
          <w:color w:val="000000"/>
          <w:sz w:val="23"/>
          <w:szCs w:val="23"/>
          <w:lang w:val="en-US" w:eastAsia="en-US"/>
        </w:rPr>
        <w:t xml:space="preserve"> conservation corridor, and the additional of new nature reserve areas. It will be important to continue the investment into maintaining and protecting significant grasslands and conservation areas, particularly as urban developments across our city continue.</w:t>
      </w:r>
      <w:r w:rsidR="000F30E1">
        <w:rPr>
          <w:rFonts w:eastAsia="Calibri" w:cs="Arial"/>
          <w:color w:val="000000"/>
          <w:sz w:val="23"/>
          <w:szCs w:val="23"/>
          <w:lang w:val="en-US" w:eastAsia="en-US"/>
        </w:rPr>
        <w:t xml:space="preserve"> </w:t>
      </w:r>
    </w:p>
    <w:p w14:paraId="50193AC6" w14:textId="31702709" w:rsidR="00656B15" w:rsidRPr="00656B15" w:rsidRDefault="00656B15" w:rsidP="00656B15">
      <w:pPr>
        <w:spacing w:after="180"/>
        <w:rPr>
          <w:rFonts w:ascii="Calibri" w:eastAsia="Calibri" w:hAnsi="Calibri" w:cs="Calibri"/>
          <w:sz w:val="22"/>
          <w:lang w:val="en-US" w:eastAsia="en-US"/>
        </w:rPr>
      </w:pPr>
      <w:r w:rsidRPr="00656B15">
        <w:rPr>
          <w:rFonts w:eastAsia="Calibri" w:cs="Arial"/>
          <w:color w:val="000000"/>
          <w:sz w:val="23"/>
          <w:szCs w:val="23"/>
          <w:lang w:val="en-US" w:eastAsia="en-US"/>
        </w:rPr>
        <w:t>We again note the need to appropriately recognise and resource the role of environmental workers, rangers and researchers to keep pace with an increase in high quality nature reserves.</w:t>
      </w:r>
      <w:r w:rsidR="000F30E1">
        <w:rPr>
          <w:rFonts w:eastAsia="Calibri" w:cs="Arial"/>
          <w:color w:val="000000"/>
          <w:sz w:val="23"/>
          <w:szCs w:val="23"/>
          <w:lang w:val="en-US" w:eastAsia="en-US"/>
        </w:rPr>
        <w:t xml:space="preserve"> </w:t>
      </w:r>
    </w:p>
    <w:p w14:paraId="4F8B232A" w14:textId="71EF2ACE" w:rsidR="007D6A0A" w:rsidRDefault="007D6A0A" w:rsidP="007D6A0A">
      <w:pPr>
        <w:pStyle w:val="Body"/>
      </w:pPr>
      <w:r>
        <w:t>The Budget includes funding for a framework to support the delivery of stage two of light rail to Woden.</w:t>
      </w:r>
      <w:r w:rsidR="000F30E1">
        <w:t xml:space="preserve"> </w:t>
      </w:r>
      <w:r>
        <w:t>We welcome commentary on this measure that it will build on the lessons learnt from the first stage of light rail.</w:t>
      </w:r>
      <w:r w:rsidR="000F30E1">
        <w:t xml:space="preserve"> </w:t>
      </w:r>
      <w:r>
        <w:t>This should include early and consistent engagement with communities of people living in the south of Canberra and deep consultation with different groups of potential users, to ensure that the framework canvasses a range of issues including the integration of stops with community preferences and patterns of travel.</w:t>
      </w:r>
      <w:r w:rsidR="000F30E1">
        <w:t xml:space="preserve"> </w:t>
      </w:r>
      <w:r>
        <w:t xml:space="preserve">This should include maximising opportunities for uptake by users of specialist services and people accessing healthcare facilities. Urban renewal around the second stage should be undertaken </w:t>
      </w:r>
      <w:r w:rsidRPr="00E317EC">
        <w:t>with community involvement and</w:t>
      </w:r>
      <w:r>
        <w:t xml:space="preserve"> some guiding principles for that renewal</w:t>
      </w:r>
      <w:r w:rsidR="00601017">
        <w:t>, f</w:t>
      </w:r>
      <w:r>
        <w:t>or example, increases in public and affordable housing in close proximity to the light rail corridor.</w:t>
      </w:r>
      <w:r w:rsidR="000F30E1">
        <w:t xml:space="preserve"> </w:t>
      </w:r>
    </w:p>
    <w:p w14:paraId="0C27F0D9" w14:textId="77777777" w:rsidR="007D6A0A" w:rsidRPr="00EE1425" w:rsidRDefault="007D6A0A" w:rsidP="00EE5AC4">
      <w:pPr>
        <w:pStyle w:val="snapTabletitle"/>
        <w:rPr>
          <w:b w:val="0"/>
          <w:bCs w:val="0"/>
        </w:rPr>
      </w:pPr>
      <w:r w:rsidRPr="00EE1425">
        <w:t>Table 3.2.2: Expense initiatives</w:t>
      </w:r>
    </w:p>
    <w:tbl>
      <w:tblPr>
        <w:tblW w:w="5000" w:type="pct"/>
        <w:tblLayout w:type="fixed"/>
        <w:tblCellMar>
          <w:left w:w="30" w:type="dxa"/>
          <w:right w:w="30" w:type="dxa"/>
        </w:tblCellMar>
        <w:tblLook w:val="0000" w:firstRow="0" w:lastRow="0" w:firstColumn="0" w:lastColumn="0" w:noHBand="0" w:noVBand="0"/>
      </w:tblPr>
      <w:tblGrid>
        <w:gridCol w:w="4844"/>
        <w:gridCol w:w="959"/>
        <w:gridCol w:w="959"/>
        <w:gridCol w:w="958"/>
        <w:gridCol w:w="959"/>
        <w:gridCol w:w="959"/>
      </w:tblGrid>
      <w:tr w:rsidR="007D6A0A" w:rsidRPr="00EE1425" w14:paraId="3C9D4CF3" w14:textId="77777777" w:rsidTr="0053552F">
        <w:trPr>
          <w:cantSplit/>
          <w:trHeight w:val="227"/>
          <w:tblHeader/>
        </w:trPr>
        <w:tc>
          <w:tcPr>
            <w:tcW w:w="4844" w:type="dxa"/>
            <w:tcBorders>
              <w:top w:val="single" w:sz="4" w:space="0" w:color="auto"/>
              <w:left w:val="nil"/>
              <w:bottom w:val="nil"/>
              <w:right w:val="nil"/>
            </w:tcBorders>
            <w:shd w:val="clear" w:color="auto" w:fill="auto"/>
            <w:vAlign w:val="center"/>
          </w:tcPr>
          <w:p w14:paraId="734F605D" w14:textId="77777777" w:rsidR="007D6A0A" w:rsidRPr="00EE1425" w:rsidRDefault="007D6A0A" w:rsidP="007D18CC">
            <w:pPr>
              <w:ind w:left="227" w:hanging="227"/>
              <w:rPr>
                <w:rFonts w:ascii="Calibri" w:hAnsi="Calibri"/>
                <w:b/>
                <w:bCs/>
                <w:sz w:val="20"/>
                <w:szCs w:val="20"/>
                <w:lang w:eastAsia="en-AU"/>
              </w:rPr>
            </w:pPr>
            <w:r w:rsidRPr="00EE1425">
              <w:rPr>
                <w:rFonts w:ascii="Calibri" w:hAnsi="Calibri"/>
                <w:b/>
                <w:bCs/>
                <w:sz w:val="20"/>
                <w:szCs w:val="20"/>
                <w:lang w:eastAsia="en-AU"/>
              </w:rPr>
              <w:t>Expense initiatives</w:t>
            </w:r>
          </w:p>
        </w:tc>
        <w:tc>
          <w:tcPr>
            <w:tcW w:w="959" w:type="dxa"/>
            <w:tcBorders>
              <w:top w:val="single" w:sz="4" w:space="0" w:color="auto"/>
              <w:left w:val="nil"/>
              <w:bottom w:val="nil"/>
              <w:right w:val="nil"/>
            </w:tcBorders>
            <w:shd w:val="clear" w:color="auto" w:fill="auto"/>
            <w:vAlign w:val="bottom"/>
          </w:tcPr>
          <w:p w14:paraId="4730BE14" w14:textId="77777777" w:rsidR="007D6A0A" w:rsidRPr="00EE1425" w:rsidRDefault="007D6A0A" w:rsidP="007D18CC">
            <w:pPr>
              <w:ind w:left="227" w:hanging="227"/>
              <w:jc w:val="right"/>
              <w:rPr>
                <w:rFonts w:ascii="Calibri" w:hAnsi="Calibri"/>
                <w:b/>
                <w:sz w:val="20"/>
                <w:szCs w:val="20"/>
                <w:lang w:eastAsia="en-AU"/>
              </w:rPr>
            </w:pPr>
            <w:r w:rsidRPr="00EE1425">
              <w:rPr>
                <w:rFonts w:ascii="Calibri" w:hAnsi="Calibri"/>
                <w:b/>
                <w:sz w:val="20"/>
                <w:szCs w:val="20"/>
                <w:lang w:eastAsia="en-AU"/>
              </w:rPr>
              <w:t>2019-20</w:t>
            </w:r>
          </w:p>
          <w:p w14:paraId="33F8ED7E" w14:textId="77777777" w:rsidR="007D6A0A" w:rsidRPr="00EE1425" w:rsidRDefault="007D6A0A" w:rsidP="007D18CC">
            <w:pPr>
              <w:ind w:left="227" w:hanging="227"/>
              <w:jc w:val="right"/>
              <w:rPr>
                <w:rFonts w:ascii="Calibri" w:hAnsi="Calibri"/>
                <w:b/>
                <w:sz w:val="20"/>
                <w:szCs w:val="20"/>
                <w:lang w:eastAsia="en-AU"/>
              </w:rPr>
            </w:pPr>
            <w:r w:rsidRPr="00EE1425">
              <w:rPr>
                <w:rFonts w:ascii="Calibri" w:hAnsi="Calibri"/>
                <w:b/>
                <w:sz w:val="20"/>
                <w:szCs w:val="20"/>
                <w:lang w:eastAsia="en-AU"/>
              </w:rPr>
              <w:t>Estimate</w:t>
            </w:r>
          </w:p>
          <w:p w14:paraId="6FBBC7A6" w14:textId="77777777" w:rsidR="007D6A0A" w:rsidRPr="00EE1425" w:rsidRDefault="007D6A0A" w:rsidP="007D18CC">
            <w:pPr>
              <w:ind w:left="227" w:hanging="227"/>
              <w:jc w:val="right"/>
              <w:rPr>
                <w:rFonts w:ascii="Calibri" w:hAnsi="Calibri"/>
                <w:b/>
                <w:sz w:val="20"/>
                <w:szCs w:val="20"/>
                <w:lang w:eastAsia="en-AU"/>
              </w:rPr>
            </w:pPr>
            <w:r w:rsidRPr="00EE1425">
              <w:rPr>
                <w:rFonts w:ascii="Calibri" w:hAnsi="Calibri"/>
                <w:b/>
                <w:sz w:val="20"/>
                <w:szCs w:val="20"/>
                <w:lang w:eastAsia="en-AU"/>
              </w:rPr>
              <w:t>$’000</w:t>
            </w:r>
          </w:p>
        </w:tc>
        <w:tc>
          <w:tcPr>
            <w:tcW w:w="959" w:type="dxa"/>
            <w:tcBorders>
              <w:top w:val="single" w:sz="4" w:space="0" w:color="auto"/>
              <w:left w:val="nil"/>
              <w:bottom w:val="nil"/>
              <w:right w:val="nil"/>
            </w:tcBorders>
            <w:shd w:val="clear" w:color="auto" w:fill="auto"/>
            <w:vAlign w:val="bottom"/>
          </w:tcPr>
          <w:p w14:paraId="11E71315" w14:textId="77777777" w:rsidR="007D6A0A" w:rsidRPr="00EE1425" w:rsidRDefault="007D6A0A" w:rsidP="007D18CC">
            <w:pPr>
              <w:ind w:left="227" w:hanging="227"/>
              <w:jc w:val="right"/>
              <w:rPr>
                <w:rFonts w:ascii="Calibri" w:hAnsi="Calibri"/>
                <w:b/>
                <w:sz w:val="20"/>
                <w:szCs w:val="20"/>
                <w:lang w:eastAsia="en-AU"/>
              </w:rPr>
            </w:pPr>
            <w:r w:rsidRPr="00EE1425">
              <w:rPr>
                <w:rFonts w:ascii="Calibri" w:hAnsi="Calibri"/>
                <w:b/>
                <w:sz w:val="20"/>
                <w:szCs w:val="20"/>
                <w:lang w:eastAsia="en-AU"/>
              </w:rPr>
              <w:t>2020-21</w:t>
            </w:r>
          </w:p>
          <w:p w14:paraId="68D3D622" w14:textId="77777777" w:rsidR="007D6A0A" w:rsidRPr="00EE1425" w:rsidRDefault="007D6A0A" w:rsidP="007D18CC">
            <w:pPr>
              <w:ind w:left="227" w:hanging="227"/>
              <w:jc w:val="right"/>
              <w:rPr>
                <w:rFonts w:ascii="Calibri" w:hAnsi="Calibri"/>
                <w:b/>
                <w:sz w:val="20"/>
                <w:szCs w:val="20"/>
                <w:lang w:eastAsia="en-AU"/>
              </w:rPr>
            </w:pPr>
            <w:r w:rsidRPr="00EE1425">
              <w:rPr>
                <w:rFonts w:ascii="Calibri" w:hAnsi="Calibri"/>
                <w:b/>
                <w:sz w:val="20"/>
                <w:szCs w:val="20"/>
                <w:lang w:eastAsia="en-AU"/>
              </w:rPr>
              <w:t>Estimate</w:t>
            </w:r>
          </w:p>
          <w:p w14:paraId="21CAB776" w14:textId="77777777" w:rsidR="007D6A0A" w:rsidRPr="00EE1425" w:rsidRDefault="007D6A0A" w:rsidP="007D18CC">
            <w:pPr>
              <w:ind w:left="227" w:hanging="227"/>
              <w:jc w:val="right"/>
              <w:rPr>
                <w:rFonts w:ascii="Calibri" w:hAnsi="Calibri"/>
                <w:b/>
                <w:sz w:val="20"/>
                <w:szCs w:val="20"/>
                <w:lang w:eastAsia="en-AU"/>
              </w:rPr>
            </w:pPr>
            <w:r w:rsidRPr="00EE1425">
              <w:rPr>
                <w:rFonts w:ascii="Calibri" w:hAnsi="Calibri"/>
                <w:b/>
                <w:sz w:val="20"/>
                <w:szCs w:val="20"/>
                <w:lang w:eastAsia="en-AU"/>
              </w:rPr>
              <w:t>$’000</w:t>
            </w:r>
          </w:p>
        </w:tc>
        <w:tc>
          <w:tcPr>
            <w:tcW w:w="958" w:type="dxa"/>
            <w:tcBorders>
              <w:top w:val="single" w:sz="4" w:space="0" w:color="auto"/>
              <w:left w:val="nil"/>
              <w:bottom w:val="nil"/>
              <w:right w:val="nil"/>
            </w:tcBorders>
            <w:shd w:val="clear" w:color="auto" w:fill="auto"/>
            <w:vAlign w:val="bottom"/>
          </w:tcPr>
          <w:p w14:paraId="78ECECED" w14:textId="77777777" w:rsidR="007D6A0A" w:rsidRPr="00EE1425" w:rsidRDefault="007D6A0A" w:rsidP="007D18CC">
            <w:pPr>
              <w:ind w:left="227" w:hanging="227"/>
              <w:jc w:val="right"/>
              <w:rPr>
                <w:rFonts w:ascii="Calibri" w:hAnsi="Calibri"/>
                <w:b/>
                <w:sz w:val="20"/>
                <w:szCs w:val="20"/>
                <w:lang w:eastAsia="en-AU"/>
              </w:rPr>
            </w:pPr>
            <w:r w:rsidRPr="00EE1425">
              <w:rPr>
                <w:rFonts w:ascii="Calibri" w:hAnsi="Calibri"/>
                <w:b/>
                <w:sz w:val="20"/>
                <w:szCs w:val="20"/>
                <w:lang w:eastAsia="en-AU"/>
              </w:rPr>
              <w:t>2021-22</w:t>
            </w:r>
          </w:p>
          <w:p w14:paraId="344A2FBE" w14:textId="77777777" w:rsidR="007D6A0A" w:rsidRPr="00EE1425" w:rsidRDefault="007D6A0A" w:rsidP="007D18CC">
            <w:pPr>
              <w:ind w:left="227" w:hanging="227"/>
              <w:jc w:val="right"/>
              <w:rPr>
                <w:rFonts w:ascii="Calibri" w:hAnsi="Calibri"/>
                <w:b/>
                <w:sz w:val="20"/>
                <w:szCs w:val="20"/>
                <w:lang w:eastAsia="en-AU"/>
              </w:rPr>
            </w:pPr>
            <w:r w:rsidRPr="00EE1425">
              <w:rPr>
                <w:rFonts w:ascii="Calibri" w:hAnsi="Calibri"/>
                <w:b/>
                <w:sz w:val="20"/>
                <w:szCs w:val="20"/>
                <w:lang w:eastAsia="en-AU"/>
              </w:rPr>
              <w:t>Estimate</w:t>
            </w:r>
          </w:p>
          <w:p w14:paraId="1D165861" w14:textId="77777777" w:rsidR="007D6A0A" w:rsidRPr="00EE1425" w:rsidRDefault="007D6A0A" w:rsidP="007D18CC">
            <w:pPr>
              <w:ind w:left="227" w:hanging="227"/>
              <w:jc w:val="right"/>
              <w:rPr>
                <w:rFonts w:ascii="Calibri" w:hAnsi="Calibri"/>
                <w:b/>
                <w:sz w:val="20"/>
                <w:szCs w:val="20"/>
                <w:lang w:eastAsia="en-AU"/>
              </w:rPr>
            </w:pPr>
            <w:r w:rsidRPr="00EE1425">
              <w:rPr>
                <w:rFonts w:ascii="Calibri" w:hAnsi="Calibri"/>
                <w:b/>
                <w:sz w:val="20"/>
                <w:szCs w:val="20"/>
                <w:lang w:eastAsia="en-AU"/>
              </w:rPr>
              <w:t>$’000</w:t>
            </w:r>
          </w:p>
        </w:tc>
        <w:tc>
          <w:tcPr>
            <w:tcW w:w="959" w:type="dxa"/>
            <w:tcBorders>
              <w:top w:val="single" w:sz="4" w:space="0" w:color="auto"/>
              <w:left w:val="nil"/>
              <w:bottom w:val="nil"/>
              <w:right w:val="nil"/>
            </w:tcBorders>
            <w:shd w:val="clear" w:color="auto" w:fill="auto"/>
            <w:vAlign w:val="bottom"/>
          </w:tcPr>
          <w:p w14:paraId="7D49383B" w14:textId="77777777" w:rsidR="007D6A0A" w:rsidRPr="00EE1425" w:rsidRDefault="007D6A0A" w:rsidP="007D18CC">
            <w:pPr>
              <w:ind w:left="227" w:hanging="227"/>
              <w:jc w:val="right"/>
              <w:rPr>
                <w:rFonts w:ascii="Calibri" w:hAnsi="Calibri"/>
                <w:b/>
                <w:sz w:val="20"/>
                <w:szCs w:val="20"/>
                <w:lang w:eastAsia="en-AU"/>
              </w:rPr>
            </w:pPr>
            <w:r w:rsidRPr="00EE1425">
              <w:rPr>
                <w:rFonts w:ascii="Calibri" w:hAnsi="Calibri"/>
                <w:b/>
                <w:sz w:val="20"/>
                <w:szCs w:val="20"/>
                <w:lang w:eastAsia="en-AU"/>
              </w:rPr>
              <w:t>2022-23</w:t>
            </w:r>
          </w:p>
          <w:p w14:paraId="7CFF3C12" w14:textId="77777777" w:rsidR="007D6A0A" w:rsidRPr="00EE1425" w:rsidRDefault="007D6A0A" w:rsidP="007D18CC">
            <w:pPr>
              <w:ind w:left="227" w:hanging="227"/>
              <w:jc w:val="right"/>
              <w:rPr>
                <w:rFonts w:ascii="Calibri" w:hAnsi="Calibri"/>
                <w:b/>
                <w:sz w:val="20"/>
                <w:szCs w:val="20"/>
                <w:lang w:eastAsia="en-AU"/>
              </w:rPr>
            </w:pPr>
            <w:r w:rsidRPr="00EE1425">
              <w:rPr>
                <w:rFonts w:ascii="Calibri" w:hAnsi="Calibri"/>
                <w:b/>
                <w:sz w:val="20"/>
                <w:szCs w:val="20"/>
                <w:lang w:eastAsia="en-AU"/>
              </w:rPr>
              <w:t>Estimate</w:t>
            </w:r>
          </w:p>
          <w:p w14:paraId="66B07C7E" w14:textId="77777777" w:rsidR="007D6A0A" w:rsidRPr="00EE1425" w:rsidRDefault="007D6A0A" w:rsidP="007D18CC">
            <w:pPr>
              <w:ind w:left="227" w:hanging="227"/>
              <w:jc w:val="right"/>
              <w:rPr>
                <w:rFonts w:ascii="Calibri" w:hAnsi="Calibri"/>
                <w:b/>
                <w:sz w:val="20"/>
                <w:szCs w:val="20"/>
                <w:lang w:eastAsia="en-AU"/>
              </w:rPr>
            </w:pPr>
            <w:r w:rsidRPr="00EE1425">
              <w:rPr>
                <w:rFonts w:ascii="Calibri" w:hAnsi="Calibri"/>
                <w:b/>
                <w:sz w:val="20"/>
                <w:szCs w:val="20"/>
                <w:lang w:eastAsia="en-AU"/>
              </w:rPr>
              <w:t>$’000</w:t>
            </w:r>
          </w:p>
        </w:tc>
        <w:tc>
          <w:tcPr>
            <w:tcW w:w="959" w:type="dxa"/>
            <w:tcBorders>
              <w:top w:val="single" w:sz="4" w:space="0" w:color="auto"/>
              <w:left w:val="nil"/>
              <w:bottom w:val="nil"/>
              <w:right w:val="nil"/>
            </w:tcBorders>
            <w:shd w:val="clear" w:color="auto" w:fill="auto"/>
          </w:tcPr>
          <w:p w14:paraId="1BA4D4A7" w14:textId="77777777" w:rsidR="007D6A0A" w:rsidRPr="00EE1425" w:rsidRDefault="007D6A0A" w:rsidP="007D18CC">
            <w:pPr>
              <w:ind w:left="227" w:hanging="227"/>
              <w:jc w:val="right"/>
              <w:rPr>
                <w:rFonts w:ascii="Calibri" w:hAnsi="Calibri"/>
                <w:b/>
                <w:snapToGrid w:val="0"/>
                <w:sz w:val="20"/>
                <w:szCs w:val="20"/>
                <w:lang w:eastAsia="en-AU"/>
              </w:rPr>
            </w:pPr>
            <w:r w:rsidRPr="00EE1425">
              <w:rPr>
                <w:rFonts w:ascii="Calibri" w:hAnsi="Calibri"/>
                <w:b/>
                <w:snapToGrid w:val="0"/>
                <w:sz w:val="20"/>
                <w:szCs w:val="20"/>
                <w:lang w:eastAsia="en-AU"/>
              </w:rPr>
              <w:t>Total</w:t>
            </w:r>
          </w:p>
          <w:p w14:paraId="1D7ECD35" w14:textId="77777777" w:rsidR="007D6A0A" w:rsidRPr="00EE1425" w:rsidRDefault="007D6A0A" w:rsidP="007D18CC">
            <w:pPr>
              <w:ind w:left="227" w:hanging="227"/>
              <w:jc w:val="right"/>
              <w:rPr>
                <w:rFonts w:ascii="Calibri" w:hAnsi="Calibri"/>
                <w:b/>
                <w:snapToGrid w:val="0"/>
                <w:sz w:val="20"/>
                <w:szCs w:val="20"/>
                <w:lang w:eastAsia="en-AU"/>
              </w:rPr>
            </w:pPr>
          </w:p>
          <w:p w14:paraId="2493291F" w14:textId="77777777" w:rsidR="007D6A0A" w:rsidRPr="00EE1425" w:rsidRDefault="007D6A0A" w:rsidP="007D18CC">
            <w:pPr>
              <w:ind w:left="227" w:hanging="227"/>
              <w:jc w:val="right"/>
              <w:rPr>
                <w:rFonts w:ascii="Calibri" w:hAnsi="Calibri"/>
                <w:b/>
                <w:snapToGrid w:val="0"/>
                <w:sz w:val="20"/>
                <w:szCs w:val="20"/>
                <w:lang w:eastAsia="en-AU"/>
              </w:rPr>
            </w:pPr>
            <w:r w:rsidRPr="00EE1425">
              <w:rPr>
                <w:rFonts w:ascii="Calibri" w:hAnsi="Calibri"/>
                <w:b/>
                <w:snapToGrid w:val="0"/>
                <w:sz w:val="20"/>
                <w:szCs w:val="20"/>
                <w:lang w:eastAsia="en-AU"/>
              </w:rPr>
              <w:t>$’000</w:t>
            </w:r>
          </w:p>
        </w:tc>
      </w:tr>
      <w:tr w:rsidR="007D6A0A" w:rsidRPr="00EE1425" w14:paraId="01D4902D" w14:textId="77777777" w:rsidTr="0053552F">
        <w:trPr>
          <w:cantSplit/>
          <w:trHeight w:val="227"/>
        </w:trPr>
        <w:tc>
          <w:tcPr>
            <w:tcW w:w="4844" w:type="dxa"/>
            <w:tcBorders>
              <w:top w:val="single" w:sz="4" w:space="0" w:color="auto"/>
            </w:tcBorders>
            <w:shd w:val="clear" w:color="auto" w:fill="auto"/>
          </w:tcPr>
          <w:p w14:paraId="799DD313" w14:textId="77777777" w:rsidR="007D6A0A" w:rsidRPr="00EE1425" w:rsidRDefault="007D6A0A" w:rsidP="007D18CC">
            <w:pPr>
              <w:jc w:val="right"/>
              <w:rPr>
                <w:rFonts w:ascii="Calibri" w:hAnsi="Calibri" w:cs="Calibri"/>
                <w:color w:val="FFFFFF"/>
                <w:sz w:val="12"/>
                <w:szCs w:val="20"/>
                <w:lang w:eastAsia="en-US"/>
              </w:rPr>
            </w:pPr>
            <w:r w:rsidRPr="00EE1425">
              <w:rPr>
                <w:rFonts w:ascii="Calibri" w:hAnsi="Calibri" w:cs="Calibri"/>
                <w:color w:val="FFFFFF"/>
                <w:sz w:val="12"/>
                <w:szCs w:val="20"/>
                <w:lang w:eastAsia="en-US"/>
              </w:rPr>
              <w:t xml:space="preserve"> </w:t>
            </w:r>
          </w:p>
        </w:tc>
        <w:tc>
          <w:tcPr>
            <w:tcW w:w="959" w:type="dxa"/>
            <w:tcBorders>
              <w:top w:val="single" w:sz="4" w:space="0" w:color="auto"/>
            </w:tcBorders>
            <w:shd w:val="clear" w:color="auto" w:fill="auto"/>
          </w:tcPr>
          <w:p w14:paraId="36B78713" w14:textId="77777777" w:rsidR="007D6A0A" w:rsidRPr="00EE1425" w:rsidRDefault="007D6A0A" w:rsidP="007D18CC">
            <w:pPr>
              <w:jc w:val="right"/>
              <w:rPr>
                <w:rFonts w:ascii="Calibri" w:hAnsi="Calibri" w:cs="Calibri"/>
                <w:color w:val="FFFFFF"/>
                <w:sz w:val="12"/>
                <w:szCs w:val="20"/>
                <w:lang w:eastAsia="en-US"/>
              </w:rPr>
            </w:pPr>
            <w:r w:rsidRPr="00EE1425">
              <w:rPr>
                <w:rFonts w:ascii="Calibri" w:hAnsi="Calibri" w:cs="Calibri"/>
                <w:color w:val="FFFFFF"/>
                <w:sz w:val="12"/>
                <w:szCs w:val="20"/>
                <w:lang w:eastAsia="en-US"/>
              </w:rPr>
              <w:t xml:space="preserve"> </w:t>
            </w:r>
          </w:p>
        </w:tc>
        <w:tc>
          <w:tcPr>
            <w:tcW w:w="959" w:type="dxa"/>
            <w:tcBorders>
              <w:top w:val="single" w:sz="4" w:space="0" w:color="auto"/>
            </w:tcBorders>
            <w:shd w:val="clear" w:color="auto" w:fill="auto"/>
          </w:tcPr>
          <w:p w14:paraId="39C5B174" w14:textId="77777777" w:rsidR="007D6A0A" w:rsidRPr="00EE1425" w:rsidRDefault="007D6A0A" w:rsidP="007D18CC">
            <w:pPr>
              <w:jc w:val="right"/>
              <w:rPr>
                <w:rFonts w:ascii="Calibri" w:hAnsi="Calibri" w:cs="Calibri"/>
                <w:color w:val="FFFFFF"/>
                <w:sz w:val="12"/>
                <w:szCs w:val="20"/>
                <w:lang w:eastAsia="en-US"/>
              </w:rPr>
            </w:pPr>
            <w:r w:rsidRPr="00EE1425">
              <w:rPr>
                <w:rFonts w:ascii="Calibri" w:hAnsi="Calibri" w:cs="Calibri"/>
                <w:color w:val="FFFFFF"/>
                <w:sz w:val="12"/>
                <w:szCs w:val="20"/>
                <w:lang w:eastAsia="en-US"/>
              </w:rPr>
              <w:t xml:space="preserve"> </w:t>
            </w:r>
          </w:p>
        </w:tc>
        <w:tc>
          <w:tcPr>
            <w:tcW w:w="958" w:type="dxa"/>
            <w:tcBorders>
              <w:top w:val="single" w:sz="4" w:space="0" w:color="auto"/>
            </w:tcBorders>
            <w:shd w:val="clear" w:color="auto" w:fill="auto"/>
          </w:tcPr>
          <w:p w14:paraId="703588E7" w14:textId="77777777" w:rsidR="007D6A0A" w:rsidRPr="00EE1425" w:rsidRDefault="007D6A0A" w:rsidP="007D18CC">
            <w:pPr>
              <w:jc w:val="right"/>
              <w:rPr>
                <w:rFonts w:ascii="Calibri" w:hAnsi="Calibri" w:cs="Calibri"/>
                <w:color w:val="FFFFFF"/>
                <w:sz w:val="12"/>
                <w:szCs w:val="20"/>
                <w:lang w:eastAsia="en-US"/>
              </w:rPr>
            </w:pPr>
            <w:r w:rsidRPr="00EE1425">
              <w:rPr>
                <w:rFonts w:ascii="Calibri" w:hAnsi="Calibri" w:cs="Calibri"/>
                <w:color w:val="FFFFFF"/>
                <w:sz w:val="12"/>
                <w:szCs w:val="20"/>
                <w:lang w:eastAsia="en-US"/>
              </w:rPr>
              <w:t xml:space="preserve"> </w:t>
            </w:r>
          </w:p>
        </w:tc>
        <w:tc>
          <w:tcPr>
            <w:tcW w:w="959" w:type="dxa"/>
            <w:tcBorders>
              <w:top w:val="single" w:sz="4" w:space="0" w:color="auto"/>
            </w:tcBorders>
            <w:shd w:val="clear" w:color="auto" w:fill="auto"/>
          </w:tcPr>
          <w:p w14:paraId="50D1F6FC" w14:textId="77777777" w:rsidR="007D6A0A" w:rsidRPr="00EE1425" w:rsidRDefault="007D6A0A" w:rsidP="007D18CC">
            <w:pPr>
              <w:jc w:val="right"/>
              <w:rPr>
                <w:rFonts w:ascii="Calibri" w:hAnsi="Calibri" w:cs="Calibri"/>
                <w:color w:val="FFFFFF"/>
                <w:sz w:val="12"/>
                <w:szCs w:val="20"/>
                <w:lang w:eastAsia="en-US"/>
              </w:rPr>
            </w:pPr>
            <w:r w:rsidRPr="00EE1425">
              <w:rPr>
                <w:rFonts w:ascii="Calibri" w:hAnsi="Calibri" w:cs="Calibri"/>
                <w:color w:val="FFFFFF"/>
                <w:sz w:val="12"/>
                <w:szCs w:val="20"/>
                <w:lang w:eastAsia="en-US"/>
              </w:rPr>
              <w:t xml:space="preserve"> </w:t>
            </w:r>
          </w:p>
        </w:tc>
        <w:tc>
          <w:tcPr>
            <w:tcW w:w="959" w:type="dxa"/>
            <w:tcBorders>
              <w:top w:val="single" w:sz="4" w:space="0" w:color="auto"/>
            </w:tcBorders>
            <w:shd w:val="clear" w:color="auto" w:fill="auto"/>
          </w:tcPr>
          <w:p w14:paraId="21FCFF22" w14:textId="77777777" w:rsidR="007D6A0A" w:rsidRPr="00EE1425" w:rsidRDefault="007D6A0A" w:rsidP="007D18CC">
            <w:pPr>
              <w:jc w:val="right"/>
              <w:rPr>
                <w:rFonts w:ascii="Calibri" w:hAnsi="Calibri" w:cs="Calibri"/>
                <w:color w:val="FFFFFF"/>
                <w:sz w:val="12"/>
                <w:szCs w:val="20"/>
                <w:lang w:eastAsia="en-US"/>
              </w:rPr>
            </w:pPr>
            <w:r w:rsidRPr="00EE1425">
              <w:rPr>
                <w:rFonts w:ascii="Calibri" w:hAnsi="Calibri" w:cs="Calibri"/>
                <w:color w:val="FFFFFF"/>
                <w:sz w:val="12"/>
                <w:szCs w:val="20"/>
                <w:lang w:eastAsia="en-US"/>
              </w:rPr>
              <w:t xml:space="preserve"> </w:t>
            </w:r>
          </w:p>
        </w:tc>
      </w:tr>
      <w:tr w:rsidR="007D6A0A" w:rsidRPr="00EE1425" w14:paraId="59B28DDC" w14:textId="77777777" w:rsidTr="0053552F">
        <w:trPr>
          <w:cantSplit/>
          <w:trHeight w:val="227"/>
        </w:trPr>
        <w:tc>
          <w:tcPr>
            <w:tcW w:w="4844" w:type="dxa"/>
            <w:shd w:val="clear" w:color="auto" w:fill="auto"/>
            <w:vAlign w:val="bottom"/>
          </w:tcPr>
          <w:p w14:paraId="52ABB323" w14:textId="77777777" w:rsidR="007D6A0A" w:rsidRPr="00EE1425" w:rsidRDefault="007D6A0A" w:rsidP="007D18CC">
            <w:pPr>
              <w:ind w:left="227" w:hanging="227"/>
              <w:jc w:val="right"/>
              <w:rPr>
                <w:rFonts w:ascii="Calibri" w:hAnsi="Calibri"/>
                <w:b/>
                <w:sz w:val="20"/>
                <w:szCs w:val="20"/>
                <w:lang w:eastAsia="en-AU"/>
              </w:rPr>
            </w:pPr>
          </w:p>
        </w:tc>
        <w:tc>
          <w:tcPr>
            <w:tcW w:w="959" w:type="dxa"/>
            <w:shd w:val="clear" w:color="auto" w:fill="auto"/>
          </w:tcPr>
          <w:p w14:paraId="200426AD" w14:textId="77777777" w:rsidR="007D6A0A" w:rsidRPr="00EE1425" w:rsidRDefault="007D6A0A" w:rsidP="007D18CC">
            <w:pPr>
              <w:jc w:val="right"/>
              <w:rPr>
                <w:rFonts w:ascii="Calibri" w:hAnsi="Calibri"/>
                <w:b/>
                <w:sz w:val="20"/>
                <w:szCs w:val="20"/>
                <w:lang w:eastAsia="en-US"/>
              </w:rPr>
            </w:pPr>
          </w:p>
        </w:tc>
        <w:tc>
          <w:tcPr>
            <w:tcW w:w="959" w:type="dxa"/>
            <w:shd w:val="clear" w:color="auto" w:fill="auto"/>
          </w:tcPr>
          <w:p w14:paraId="5A4C86F9" w14:textId="77777777" w:rsidR="007D6A0A" w:rsidRPr="00EE1425" w:rsidRDefault="007D6A0A" w:rsidP="007D18CC">
            <w:pPr>
              <w:jc w:val="right"/>
              <w:rPr>
                <w:rFonts w:ascii="Calibri" w:hAnsi="Calibri"/>
                <w:b/>
                <w:sz w:val="20"/>
                <w:szCs w:val="20"/>
                <w:lang w:eastAsia="en-US"/>
              </w:rPr>
            </w:pPr>
          </w:p>
        </w:tc>
        <w:tc>
          <w:tcPr>
            <w:tcW w:w="958" w:type="dxa"/>
            <w:shd w:val="clear" w:color="auto" w:fill="auto"/>
          </w:tcPr>
          <w:p w14:paraId="44E2ED47" w14:textId="77777777" w:rsidR="007D6A0A" w:rsidRPr="00EE1425" w:rsidRDefault="007D6A0A" w:rsidP="007D18CC">
            <w:pPr>
              <w:jc w:val="right"/>
              <w:rPr>
                <w:rFonts w:ascii="Calibri" w:hAnsi="Calibri"/>
                <w:b/>
                <w:sz w:val="20"/>
                <w:szCs w:val="20"/>
                <w:lang w:eastAsia="en-US"/>
              </w:rPr>
            </w:pPr>
          </w:p>
        </w:tc>
        <w:tc>
          <w:tcPr>
            <w:tcW w:w="959" w:type="dxa"/>
            <w:shd w:val="clear" w:color="auto" w:fill="auto"/>
          </w:tcPr>
          <w:p w14:paraId="50B58912" w14:textId="77777777" w:rsidR="007D6A0A" w:rsidRPr="00EE1425" w:rsidRDefault="007D6A0A" w:rsidP="007D18CC">
            <w:pPr>
              <w:jc w:val="right"/>
              <w:rPr>
                <w:rFonts w:ascii="Calibri" w:hAnsi="Calibri"/>
                <w:b/>
                <w:sz w:val="20"/>
                <w:szCs w:val="20"/>
                <w:lang w:eastAsia="en-US"/>
              </w:rPr>
            </w:pPr>
          </w:p>
        </w:tc>
        <w:tc>
          <w:tcPr>
            <w:tcW w:w="959" w:type="dxa"/>
            <w:shd w:val="clear" w:color="auto" w:fill="auto"/>
          </w:tcPr>
          <w:p w14:paraId="5F584DEE" w14:textId="77777777" w:rsidR="007D6A0A" w:rsidRPr="00EE1425" w:rsidRDefault="007D6A0A" w:rsidP="007D18CC">
            <w:pPr>
              <w:jc w:val="right"/>
              <w:rPr>
                <w:rFonts w:ascii="Calibri" w:hAnsi="Calibri"/>
                <w:b/>
                <w:sz w:val="20"/>
                <w:szCs w:val="20"/>
                <w:lang w:eastAsia="en-US"/>
              </w:rPr>
            </w:pPr>
          </w:p>
        </w:tc>
      </w:tr>
      <w:tr w:rsidR="007D6A0A" w:rsidRPr="00EE1425" w14:paraId="124A5F9A" w14:textId="77777777" w:rsidTr="0053552F">
        <w:trPr>
          <w:cantSplit/>
          <w:trHeight w:val="227"/>
        </w:trPr>
        <w:tc>
          <w:tcPr>
            <w:tcW w:w="4844" w:type="dxa"/>
            <w:shd w:val="clear" w:color="auto" w:fill="auto"/>
            <w:vAlign w:val="bottom"/>
          </w:tcPr>
          <w:p w14:paraId="31F90811" w14:textId="77777777" w:rsidR="007D6A0A" w:rsidRPr="00EE1425" w:rsidRDefault="007D6A0A" w:rsidP="007D18CC">
            <w:pPr>
              <w:ind w:left="227" w:hanging="227"/>
              <w:rPr>
                <w:rFonts w:ascii="Calibri" w:hAnsi="Calibri"/>
                <w:b/>
                <w:bCs/>
                <w:sz w:val="20"/>
                <w:szCs w:val="20"/>
                <w:lang w:eastAsia="en-AU"/>
              </w:rPr>
            </w:pPr>
            <w:r w:rsidRPr="00EE1425">
              <w:rPr>
                <w:rFonts w:ascii="Calibri" w:hAnsi="Calibri"/>
                <w:b/>
                <w:bCs/>
                <w:sz w:val="20"/>
                <w:szCs w:val="20"/>
                <w:lang w:eastAsia="en-AU"/>
              </w:rPr>
              <w:t>Environment, Planning and Sustainable Development Directorate</w:t>
            </w:r>
          </w:p>
        </w:tc>
        <w:tc>
          <w:tcPr>
            <w:tcW w:w="959" w:type="dxa"/>
            <w:shd w:val="clear" w:color="auto" w:fill="auto"/>
          </w:tcPr>
          <w:p w14:paraId="39B7312B" w14:textId="77777777" w:rsidR="007D6A0A" w:rsidRPr="00EE1425" w:rsidRDefault="007D6A0A" w:rsidP="007D18CC">
            <w:pPr>
              <w:framePr w:wrap="around" w:vAnchor="text" w:hAnchor="text" w:y="1"/>
              <w:jc w:val="right"/>
              <w:rPr>
                <w:rFonts w:ascii="Calibri" w:hAnsi="Calibri"/>
                <w:b/>
                <w:sz w:val="20"/>
                <w:szCs w:val="20"/>
                <w:lang w:eastAsia="en-US"/>
              </w:rPr>
            </w:pPr>
          </w:p>
        </w:tc>
        <w:tc>
          <w:tcPr>
            <w:tcW w:w="959" w:type="dxa"/>
            <w:shd w:val="clear" w:color="auto" w:fill="auto"/>
          </w:tcPr>
          <w:p w14:paraId="43E612EA" w14:textId="77777777" w:rsidR="007D6A0A" w:rsidRPr="00EE1425" w:rsidRDefault="007D6A0A" w:rsidP="007D18CC">
            <w:pPr>
              <w:framePr w:wrap="around" w:vAnchor="text" w:hAnchor="text" w:y="1"/>
              <w:jc w:val="right"/>
              <w:rPr>
                <w:rFonts w:ascii="Calibri" w:hAnsi="Calibri"/>
                <w:b/>
                <w:sz w:val="20"/>
                <w:szCs w:val="20"/>
                <w:lang w:eastAsia="en-US"/>
              </w:rPr>
            </w:pPr>
          </w:p>
        </w:tc>
        <w:tc>
          <w:tcPr>
            <w:tcW w:w="958" w:type="dxa"/>
            <w:shd w:val="clear" w:color="auto" w:fill="auto"/>
          </w:tcPr>
          <w:p w14:paraId="6C70821B" w14:textId="77777777" w:rsidR="007D6A0A" w:rsidRPr="00EE1425" w:rsidRDefault="007D6A0A" w:rsidP="007D18CC">
            <w:pPr>
              <w:framePr w:wrap="around" w:vAnchor="text" w:hAnchor="text" w:y="1"/>
              <w:jc w:val="right"/>
              <w:rPr>
                <w:rFonts w:ascii="Calibri" w:hAnsi="Calibri"/>
                <w:b/>
                <w:sz w:val="20"/>
                <w:szCs w:val="20"/>
                <w:lang w:eastAsia="en-US"/>
              </w:rPr>
            </w:pPr>
          </w:p>
        </w:tc>
        <w:tc>
          <w:tcPr>
            <w:tcW w:w="959" w:type="dxa"/>
            <w:shd w:val="clear" w:color="auto" w:fill="auto"/>
          </w:tcPr>
          <w:p w14:paraId="333C439D" w14:textId="77777777" w:rsidR="007D6A0A" w:rsidRPr="00EE1425" w:rsidRDefault="007D6A0A" w:rsidP="007D18CC">
            <w:pPr>
              <w:framePr w:wrap="around" w:vAnchor="text" w:hAnchor="text" w:y="1"/>
              <w:jc w:val="right"/>
              <w:rPr>
                <w:rFonts w:ascii="Calibri" w:hAnsi="Calibri"/>
                <w:b/>
                <w:sz w:val="20"/>
                <w:szCs w:val="20"/>
                <w:lang w:eastAsia="en-US"/>
              </w:rPr>
            </w:pPr>
          </w:p>
        </w:tc>
        <w:tc>
          <w:tcPr>
            <w:tcW w:w="959" w:type="dxa"/>
            <w:shd w:val="clear" w:color="auto" w:fill="auto"/>
          </w:tcPr>
          <w:p w14:paraId="29FAB6FA" w14:textId="77777777" w:rsidR="007D6A0A" w:rsidRPr="00EE1425" w:rsidRDefault="007D6A0A" w:rsidP="007D18CC">
            <w:pPr>
              <w:framePr w:wrap="around" w:vAnchor="text" w:hAnchor="text" w:y="1"/>
              <w:jc w:val="right"/>
              <w:rPr>
                <w:rFonts w:ascii="Calibri" w:hAnsi="Calibri"/>
                <w:b/>
                <w:sz w:val="20"/>
                <w:szCs w:val="20"/>
                <w:lang w:eastAsia="en-US"/>
              </w:rPr>
            </w:pPr>
          </w:p>
        </w:tc>
      </w:tr>
      <w:tr w:rsidR="007D6A0A" w:rsidRPr="00EE1425" w14:paraId="4BAEF2ED" w14:textId="77777777" w:rsidTr="0053552F">
        <w:trPr>
          <w:cantSplit/>
          <w:trHeight w:val="227"/>
        </w:trPr>
        <w:tc>
          <w:tcPr>
            <w:tcW w:w="4844" w:type="dxa"/>
            <w:shd w:val="clear" w:color="auto" w:fill="auto"/>
          </w:tcPr>
          <w:p w14:paraId="4A425510" w14:textId="77777777" w:rsidR="007D6A0A" w:rsidRPr="00EE1425" w:rsidRDefault="007D6A0A" w:rsidP="007D18CC">
            <w:pPr>
              <w:ind w:left="227" w:hanging="227"/>
              <w:rPr>
                <w:rFonts w:ascii="Calibri" w:hAnsi="Calibri"/>
                <w:bCs/>
                <w:color w:val="000000"/>
                <w:sz w:val="20"/>
                <w:szCs w:val="20"/>
                <w:lang w:eastAsia="en-AU"/>
              </w:rPr>
            </w:pPr>
            <w:r w:rsidRPr="00EE1425">
              <w:rPr>
                <w:rFonts w:ascii="Calibri" w:hAnsi="Calibri"/>
                <w:bCs/>
                <w:color w:val="000000"/>
                <w:sz w:val="20"/>
                <w:szCs w:val="20"/>
                <w:lang w:eastAsia="en-AU"/>
              </w:rPr>
              <w:t>Due diligence to deliver a strong housing pipeline</w:t>
            </w:r>
          </w:p>
        </w:tc>
        <w:tc>
          <w:tcPr>
            <w:tcW w:w="959" w:type="dxa"/>
            <w:tcBorders>
              <w:top w:val="nil"/>
              <w:left w:val="nil"/>
              <w:bottom w:val="nil"/>
              <w:right w:val="nil"/>
            </w:tcBorders>
            <w:shd w:val="clear" w:color="auto" w:fill="auto"/>
          </w:tcPr>
          <w:p w14:paraId="6DC6108A"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1,585</w:t>
            </w:r>
          </w:p>
        </w:tc>
        <w:tc>
          <w:tcPr>
            <w:tcW w:w="959" w:type="dxa"/>
            <w:tcBorders>
              <w:top w:val="nil"/>
              <w:left w:val="nil"/>
              <w:bottom w:val="nil"/>
              <w:right w:val="nil"/>
            </w:tcBorders>
            <w:shd w:val="clear" w:color="auto" w:fill="auto"/>
          </w:tcPr>
          <w:p w14:paraId="62757425"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500</w:t>
            </w:r>
          </w:p>
        </w:tc>
        <w:tc>
          <w:tcPr>
            <w:tcW w:w="958" w:type="dxa"/>
            <w:tcBorders>
              <w:top w:val="nil"/>
              <w:left w:val="nil"/>
              <w:bottom w:val="nil"/>
              <w:right w:val="nil"/>
            </w:tcBorders>
            <w:shd w:val="clear" w:color="auto" w:fill="auto"/>
          </w:tcPr>
          <w:p w14:paraId="4EF58C94"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0</w:t>
            </w:r>
          </w:p>
        </w:tc>
        <w:tc>
          <w:tcPr>
            <w:tcW w:w="959" w:type="dxa"/>
            <w:tcBorders>
              <w:top w:val="nil"/>
              <w:left w:val="nil"/>
              <w:bottom w:val="nil"/>
              <w:right w:val="nil"/>
            </w:tcBorders>
            <w:shd w:val="clear" w:color="auto" w:fill="auto"/>
          </w:tcPr>
          <w:p w14:paraId="3D1EDB23"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0</w:t>
            </w:r>
          </w:p>
        </w:tc>
        <w:tc>
          <w:tcPr>
            <w:tcW w:w="959" w:type="dxa"/>
            <w:tcBorders>
              <w:top w:val="nil"/>
              <w:left w:val="nil"/>
              <w:bottom w:val="nil"/>
            </w:tcBorders>
            <w:shd w:val="clear" w:color="auto" w:fill="auto"/>
          </w:tcPr>
          <w:p w14:paraId="63C9B198"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2,085</w:t>
            </w:r>
          </w:p>
        </w:tc>
      </w:tr>
      <w:tr w:rsidR="007D6A0A" w:rsidRPr="00EE1425" w14:paraId="083B3DA4" w14:textId="77777777" w:rsidTr="0053552F">
        <w:trPr>
          <w:cantSplit/>
          <w:trHeight w:val="227"/>
        </w:trPr>
        <w:tc>
          <w:tcPr>
            <w:tcW w:w="4844" w:type="dxa"/>
            <w:shd w:val="clear" w:color="auto" w:fill="auto"/>
          </w:tcPr>
          <w:p w14:paraId="11AA5EB8" w14:textId="77777777" w:rsidR="007D6A0A" w:rsidRPr="00EE1425" w:rsidRDefault="007D6A0A" w:rsidP="007D18CC">
            <w:pPr>
              <w:ind w:left="227" w:hanging="227"/>
              <w:rPr>
                <w:rFonts w:ascii="Calibri" w:hAnsi="Calibri"/>
                <w:bCs/>
                <w:color w:val="000000"/>
                <w:sz w:val="20"/>
                <w:szCs w:val="20"/>
                <w:vertAlign w:val="superscript"/>
                <w:lang w:eastAsia="en-AU"/>
              </w:rPr>
            </w:pPr>
            <w:r w:rsidRPr="00EE1425">
              <w:rPr>
                <w:rFonts w:ascii="Calibri" w:hAnsi="Calibri"/>
                <w:bCs/>
                <w:color w:val="000000"/>
                <w:sz w:val="20"/>
                <w:szCs w:val="20"/>
                <w:lang w:eastAsia="en-AU"/>
              </w:rPr>
              <w:t xml:space="preserve">Faster processing for development applications </w:t>
            </w:r>
            <w:r w:rsidRPr="00EE1425">
              <w:rPr>
                <w:rFonts w:ascii="Calibri" w:hAnsi="Calibri"/>
                <w:bCs/>
                <w:color w:val="000000"/>
                <w:sz w:val="20"/>
                <w:szCs w:val="20"/>
                <w:vertAlign w:val="superscript"/>
                <w:lang w:eastAsia="en-AU"/>
              </w:rPr>
              <w:t>1</w:t>
            </w:r>
          </w:p>
        </w:tc>
        <w:tc>
          <w:tcPr>
            <w:tcW w:w="959" w:type="dxa"/>
            <w:tcBorders>
              <w:top w:val="nil"/>
              <w:left w:val="nil"/>
              <w:bottom w:val="nil"/>
              <w:right w:val="nil"/>
            </w:tcBorders>
            <w:shd w:val="clear" w:color="auto" w:fill="auto"/>
          </w:tcPr>
          <w:p w14:paraId="50006C8B"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1,033</w:t>
            </w:r>
          </w:p>
        </w:tc>
        <w:tc>
          <w:tcPr>
            <w:tcW w:w="959" w:type="dxa"/>
            <w:tcBorders>
              <w:top w:val="nil"/>
              <w:left w:val="nil"/>
              <w:bottom w:val="nil"/>
              <w:right w:val="nil"/>
            </w:tcBorders>
            <w:shd w:val="clear" w:color="auto" w:fill="auto"/>
          </w:tcPr>
          <w:p w14:paraId="3B50F713"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898</w:t>
            </w:r>
          </w:p>
        </w:tc>
        <w:tc>
          <w:tcPr>
            <w:tcW w:w="958" w:type="dxa"/>
            <w:tcBorders>
              <w:top w:val="nil"/>
              <w:left w:val="nil"/>
              <w:bottom w:val="nil"/>
              <w:right w:val="nil"/>
            </w:tcBorders>
            <w:shd w:val="clear" w:color="auto" w:fill="auto"/>
          </w:tcPr>
          <w:p w14:paraId="2C2360EE"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922</w:t>
            </w:r>
          </w:p>
        </w:tc>
        <w:tc>
          <w:tcPr>
            <w:tcW w:w="959" w:type="dxa"/>
            <w:tcBorders>
              <w:top w:val="nil"/>
              <w:left w:val="nil"/>
              <w:bottom w:val="nil"/>
              <w:right w:val="nil"/>
            </w:tcBorders>
            <w:shd w:val="clear" w:color="auto" w:fill="auto"/>
          </w:tcPr>
          <w:p w14:paraId="644A59CF"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936</w:t>
            </w:r>
          </w:p>
        </w:tc>
        <w:tc>
          <w:tcPr>
            <w:tcW w:w="959" w:type="dxa"/>
            <w:tcBorders>
              <w:top w:val="nil"/>
              <w:left w:val="nil"/>
              <w:bottom w:val="nil"/>
              <w:right w:val="nil"/>
            </w:tcBorders>
            <w:shd w:val="clear" w:color="auto" w:fill="auto"/>
          </w:tcPr>
          <w:p w14:paraId="136441C1"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3,789</w:t>
            </w:r>
          </w:p>
        </w:tc>
      </w:tr>
      <w:tr w:rsidR="007D6A0A" w:rsidRPr="00EE1425" w14:paraId="52209D9B" w14:textId="77777777" w:rsidTr="0053552F">
        <w:trPr>
          <w:cantSplit/>
          <w:trHeight w:val="227"/>
        </w:trPr>
        <w:tc>
          <w:tcPr>
            <w:tcW w:w="4844" w:type="dxa"/>
            <w:shd w:val="clear" w:color="auto" w:fill="auto"/>
          </w:tcPr>
          <w:p w14:paraId="63B87CB7" w14:textId="77777777" w:rsidR="007D6A0A" w:rsidRPr="00EE1425" w:rsidRDefault="007D6A0A" w:rsidP="007D18CC">
            <w:pPr>
              <w:ind w:left="227" w:hanging="227"/>
              <w:rPr>
                <w:rFonts w:ascii="Calibri" w:hAnsi="Calibri"/>
                <w:bCs/>
                <w:color w:val="000000"/>
                <w:sz w:val="20"/>
                <w:szCs w:val="20"/>
                <w:vertAlign w:val="superscript"/>
                <w:lang w:eastAsia="en-AU"/>
              </w:rPr>
            </w:pPr>
            <w:r w:rsidRPr="00EE1425">
              <w:rPr>
                <w:rFonts w:ascii="Calibri" w:hAnsi="Calibri"/>
                <w:bCs/>
                <w:color w:val="000000"/>
                <w:sz w:val="20"/>
                <w:szCs w:val="20"/>
                <w:lang w:eastAsia="en-AU"/>
              </w:rPr>
              <w:t xml:space="preserve">Faster processing for heritage applications </w:t>
            </w:r>
            <w:r w:rsidRPr="00EE1425">
              <w:rPr>
                <w:rFonts w:ascii="Calibri" w:hAnsi="Calibri"/>
                <w:bCs/>
                <w:color w:val="000000"/>
                <w:sz w:val="20"/>
                <w:szCs w:val="20"/>
                <w:vertAlign w:val="superscript"/>
                <w:lang w:eastAsia="en-AU"/>
              </w:rPr>
              <w:t>1</w:t>
            </w:r>
          </w:p>
        </w:tc>
        <w:tc>
          <w:tcPr>
            <w:tcW w:w="959" w:type="dxa"/>
            <w:tcBorders>
              <w:top w:val="nil"/>
              <w:left w:val="nil"/>
              <w:bottom w:val="nil"/>
              <w:right w:val="nil"/>
            </w:tcBorders>
            <w:shd w:val="clear" w:color="auto" w:fill="auto"/>
          </w:tcPr>
          <w:p w14:paraId="379564E7"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121</w:t>
            </w:r>
          </w:p>
        </w:tc>
        <w:tc>
          <w:tcPr>
            <w:tcW w:w="959" w:type="dxa"/>
            <w:tcBorders>
              <w:top w:val="nil"/>
              <w:left w:val="nil"/>
              <w:bottom w:val="nil"/>
              <w:right w:val="nil"/>
            </w:tcBorders>
            <w:shd w:val="clear" w:color="auto" w:fill="auto"/>
          </w:tcPr>
          <w:p w14:paraId="794CC563"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125</w:t>
            </w:r>
          </w:p>
        </w:tc>
        <w:tc>
          <w:tcPr>
            <w:tcW w:w="958" w:type="dxa"/>
            <w:tcBorders>
              <w:top w:val="nil"/>
              <w:left w:val="nil"/>
              <w:bottom w:val="nil"/>
              <w:right w:val="nil"/>
            </w:tcBorders>
            <w:shd w:val="clear" w:color="auto" w:fill="auto"/>
          </w:tcPr>
          <w:p w14:paraId="113D4E25"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128</w:t>
            </w:r>
          </w:p>
        </w:tc>
        <w:tc>
          <w:tcPr>
            <w:tcW w:w="959" w:type="dxa"/>
            <w:tcBorders>
              <w:top w:val="nil"/>
              <w:left w:val="nil"/>
              <w:bottom w:val="nil"/>
              <w:right w:val="nil"/>
            </w:tcBorders>
            <w:shd w:val="clear" w:color="auto" w:fill="auto"/>
          </w:tcPr>
          <w:p w14:paraId="77EB998F"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130</w:t>
            </w:r>
          </w:p>
        </w:tc>
        <w:tc>
          <w:tcPr>
            <w:tcW w:w="959" w:type="dxa"/>
            <w:tcBorders>
              <w:top w:val="nil"/>
              <w:left w:val="nil"/>
              <w:bottom w:val="nil"/>
              <w:right w:val="nil"/>
            </w:tcBorders>
            <w:shd w:val="clear" w:color="auto" w:fill="auto"/>
          </w:tcPr>
          <w:p w14:paraId="246F0507"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504</w:t>
            </w:r>
          </w:p>
        </w:tc>
      </w:tr>
      <w:tr w:rsidR="007D6A0A" w:rsidRPr="00EE1425" w14:paraId="352618E6" w14:textId="77777777" w:rsidTr="0053552F">
        <w:trPr>
          <w:cantSplit/>
          <w:trHeight w:val="227"/>
        </w:trPr>
        <w:tc>
          <w:tcPr>
            <w:tcW w:w="4844" w:type="dxa"/>
            <w:shd w:val="clear" w:color="auto" w:fill="auto"/>
          </w:tcPr>
          <w:p w14:paraId="484B28C3" w14:textId="77777777" w:rsidR="007D6A0A" w:rsidRPr="00EE1425" w:rsidRDefault="007D6A0A" w:rsidP="007D18CC">
            <w:pPr>
              <w:ind w:left="227" w:hanging="227"/>
              <w:rPr>
                <w:rFonts w:ascii="Calibri" w:hAnsi="Calibri"/>
                <w:bCs/>
                <w:color w:val="000000"/>
                <w:sz w:val="20"/>
                <w:szCs w:val="20"/>
                <w:vertAlign w:val="superscript"/>
                <w:lang w:eastAsia="en-AU"/>
              </w:rPr>
            </w:pPr>
            <w:r w:rsidRPr="00EE1425">
              <w:rPr>
                <w:rFonts w:ascii="Calibri" w:hAnsi="Calibri"/>
                <w:bCs/>
                <w:color w:val="000000"/>
                <w:sz w:val="20"/>
                <w:szCs w:val="20"/>
                <w:lang w:eastAsia="en-AU"/>
              </w:rPr>
              <w:t xml:space="preserve">Feasibility and infrastructure planning for future Molonglo land releases </w:t>
            </w:r>
          </w:p>
        </w:tc>
        <w:tc>
          <w:tcPr>
            <w:tcW w:w="959" w:type="dxa"/>
            <w:tcBorders>
              <w:top w:val="nil"/>
              <w:left w:val="nil"/>
              <w:bottom w:val="nil"/>
              <w:right w:val="nil"/>
            </w:tcBorders>
            <w:shd w:val="clear" w:color="auto" w:fill="auto"/>
          </w:tcPr>
          <w:p w14:paraId="0667986F"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835</w:t>
            </w:r>
          </w:p>
        </w:tc>
        <w:tc>
          <w:tcPr>
            <w:tcW w:w="959" w:type="dxa"/>
            <w:tcBorders>
              <w:top w:val="nil"/>
              <w:left w:val="nil"/>
              <w:bottom w:val="nil"/>
              <w:right w:val="nil"/>
            </w:tcBorders>
            <w:shd w:val="clear" w:color="auto" w:fill="auto"/>
          </w:tcPr>
          <w:p w14:paraId="4F4F9AC3"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434</w:t>
            </w:r>
          </w:p>
        </w:tc>
        <w:tc>
          <w:tcPr>
            <w:tcW w:w="958" w:type="dxa"/>
            <w:tcBorders>
              <w:top w:val="nil"/>
              <w:left w:val="nil"/>
              <w:bottom w:val="nil"/>
              <w:right w:val="nil"/>
            </w:tcBorders>
            <w:shd w:val="clear" w:color="auto" w:fill="auto"/>
          </w:tcPr>
          <w:p w14:paraId="3BF10CC6"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0</w:t>
            </w:r>
          </w:p>
        </w:tc>
        <w:tc>
          <w:tcPr>
            <w:tcW w:w="959" w:type="dxa"/>
            <w:tcBorders>
              <w:top w:val="nil"/>
              <w:left w:val="nil"/>
              <w:bottom w:val="nil"/>
              <w:right w:val="nil"/>
            </w:tcBorders>
            <w:shd w:val="clear" w:color="auto" w:fill="auto"/>
          </w:tcPr>
          <w:p w14:paraId="2983CAEB"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0</w:t>
            </w:r>
          </w:p>
        </w:tc>
        <w:tc>
          <w:tcPr>
            <w:tcW w:w="959" w:type="dxa"/>
            <w:tcBorders>
              <w:top w:val="nil"/>
              <w:left w:val="nil"/>
              <w:bottom w:val="nil"/>
            </w:tcBorders>
            <w:shd w:val="clear" w:color="auto" w:fill="auto"/>
          </w:tcPr>
          <w:p w14:paraId="400C5BAF"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1,269</w:t>
            </w:r>
          </w:p>
        </w:tc>
      </w:tr>
      <w:tr w:rsidR="007D6A0A" w:rsidRPr="00EE1425" w14:paraId="6CE8ED04" w14:textId="77777777" w:rsidTr="0053552F">
        <w:trPr>
          <w:cantSplit/>
          <w:trHeight w:val="227"/>
        </w:trPr>
        <w:tc>
          <w:tcPr>
            <w:tcW w:w="4844" w:type="dxa"/>
            <w:shd w:val="clear" w:color="auto" w:fill="auto"/>
          </w:tcPr>
          <w:p w14:paraId="1195FE9B" w14:textId="77777777" w:rsidR="007D6A0A" w:rsidRPr="00EE1425" w:rsidRDefault="007D6A0A" w:rsidP="007D18CC">
            <w:pPr>
              <w:ind w:left="227" w:hanging="227"/>
              <w:rPr>
                <w:rFonts w:ascii="Calibri" w:hAnsi="Calibri"/>
                <w:bCs/>
                <w:color w:val="000000"/>
                <w:sz w:val="20"/>
                <w:szCs w:val="20"/>
                <w:lang w:eastAsia="en-AU"/>
              </w:rPr>
            </w:pPr>
            <w:proofErr w:type="spellStart"/>
            <w:r w:rsidRPr="00EE1425">
              <w:rPr>
                <w:rFonts w:ascii="Calibri" w:hAnsi="Calibri"/>
                <w:bCs/>
                <w:color w:val="000000"/>
                <w:sz w:val="20"/>
                <w:szCs w:val="20"/>
                <w:lang w:eastAsia="en-AU"/>
              </w:rPr>
              <w:t>Ginninderry</w:t>
            </w:r>
            <w:proofErr w:type="spellEnd"/>
            <w:r w:rsidRPr="00EE1425">
              <w:rPr>
                <w:rFonts w:ascii="Calibri" w:hAnsi="Calibri"/>
                <w:bCs/>
                <w:color w:val="000000"/>
                <w:sz w:val="20"/>
                <w:szCs w:val="20"/>
                <w:lang w:eastAsia="en-AU"/>
              </w:rPr>
              <w:t xml:space="preserve"> Environmental Management Trust</w:t>
            </w:r>
          </w:p>
        </w:tc>
        <w:tc>
          <w:tcPr>
            <w:tcW w:w="959" w:type="dxa"/>
            <w:tcBorders>
              <w:top w:val="nil"/>
              <w:left w:val="nil"/>
              <w:bottom w:val="nil"/>
              <w:right w:val="nil"/>
            </w:tcBorders>
            <w:shd w:val="clear" w:color="auto" w:fill="auto"/>
          </w:tcPr>
          <w:p w14:paraId="42554BFD"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465</w:t>
            </w:r>
          </w:p>
        </w:tc>
        <w:tc>
          <w:tcPr>
            <w:tcW w:w="959" w:type="dxa"/>
            <w:tcBorders>
              <w:top w:val="nil"/>
              <w:left w:val="nil"/>
              <w:bottom w:val="nil"/>
              <w:right w:val="nil"/>
            </w:tcBorders>
            <w:shd w:val="clear" w:color="auto" w:fill="auto"/>
          </w:tcPr>
          <w:p w14:paraId="5D50EDEB"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479</w:t>
            </w:r>
          </w:p>
        </w:tc>
        <w:tc>
          <w:tcPr>
            <w:tcW w:w="958" w:type="dxa"/>
            <w:tcBorders>
              <w:top w:val="nil"/>
              <w:left w:val="nil"/>
              <w:bottom w:val="nil"/>
              <w:right w:val="nil"/>
            </w:tcBorders>
            <w:shd w:val="clear" w:color="auto" w:fill="auto"/>
          </w:tcPr>
          <w:p w14:paraId="04C43561"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492</w:t>
            </w:r>
          </w:p>
        </w:tc>
        <w:tc>
          <w:tcPr>
            <w:tcW w:w="959" w:type="dxa"/>
            <w:tcBorders>
              <w:top w:val="nil"/>
              <w:left w:val="nil"/>
              <w:bottom w:val="nil"/>
              <w:right w:val="nil"/>
            </w:tcBorders>
            <w:shd w:val="clear" w:color="auto" w:fill="auto"/>
          </w:tcPr>
          <w:p w14:paraId="76407804"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507</w:t>
            </w:r>
          </w:p>
        </w:tc>
        <w:tc>
          <w:tcPr>
            <w:tcW w:w="959" w:type="dxa"/>
            <w:tcBorders>
              <w:top w:val="nil"/>
              <w:left w:val="nil"/>
              <w:bottom w:val="nil"/>
            </w:tcBorders>
            <w:shd w:val="clear" w:color="auto" w:fill="auto"/>
          </w:tcPr>
          <w:p w14:paraId="224930FC"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1,943</w:t>
            </w:r>
          </w:p>
        </w:tc>
      </w:tr>
      <w:tr w:rsidR="007D6A0A" w:rsidRPr="00EE1425" w14:paraId="27088AA3" w14:textId="77777777" w:rsidTr="0053552F">
        <w:trPr>
          <w:cantSplit/>
          <w:trHeight w:val="227"/>
        </w:trPr>
        <w:tc>
          <w:tcPr>
            <w:tcW w:w="4844" w:type="dxa"/>
            <w:shd w:val="clear" w:color="auto" w:fill="auto"/>
          </w:tcPr>
          <w:p w14:paraId="3ED99882" w14:textId="77777777" w:rsidR="007D6A0A" w:rsidRPr="00EE1425" w:rsidRDefault="007D6A0A" w:rsidP="007D18CC">
            <w:pPr>
              <w:ind w:left="227" w:hanging="227"/>
              <w:rPr>
                <w:rFonts w:ascii="Calibri" w:hAnsi="Calibri"/>
                <w:bCs/>
                <w:color w:val="000000"/>
                <w:sz w:val="20"/>
                <w:szCs w:val="20"/>
                <w:lang w:eastAsia="en-AU"/>
              </w:rPr>
            </w:pPr>
            <w:r w:rsidRPr="00EE1425">
              <w:rPr>
                <w:rFonts w:ascii="Calibri" w:hAnsi="Calibri"/>
                <w:bCs/>
                <w:color w:val="000000"/>
                <w:sz w:val="20"/>
                <w:szCs w:val="20"/>
                <w:lang w:eastAsia="en-AU"/>
              </w:rPr>
              <w:t xml:space="preserve">Implementing the City Plan </w:t>
            </w:r>
          </w:p>
        </w:tc>
        <w:tc>
          <w:tcPr>
            <w:tcW w:w="959" w:type="dxa"/>
            <w:tcBorders>
              <w:top w:val="nil"/>
              <w:left w:val="nil"/>
              <w:bottom w:val="nil"/>
              <w:right w:val="nil"/>
            </w:tcBorders>
            <w:shd w:val="clear" w:color="auto" w:fill="auto"/>
          </w:tcPr>
          <w:p w14:paraId="3CBC75FD"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250</w:t>
            </w:r>
          </w:p>
        </w:tc>
        <w:tc>
          <w:tcPr>
            <w:tcW w:w="959" w:type="dxa"/>
            <w:tcBorders>
              <w:top w:val="nil"/>
              <w:left w:val="nil"/>
              <w:bottom w:val="nil"/>
              <w:right w:val="nil"/>
            </w:tcBorders>
            <w:shd w:val="clear" w:color="auto" w:fill="auto"/>
          </w:tcPr>
          <w:p w14:paraId="25073EAF"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0</w:t>
            </w:r>
          </w:p>
        </w:tc>
        <w:tc>
          <w:tcPr>
            <w:tcW w:w="958" w:type="dxa"/>
            <w:tcBorders>
              <w:top w:val="nil"/>
              <w:left w:val="nil"/>
              <w:bottom w:val="nil"/>
              <w:right w:val="nil"/>
            </w:tcBorders>
            <w:shd w:val="clear" w:color="auto" w:fill="auto"/>
          </w:tcPr>
          <w:p w14:paraId="21FC75E6"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0</w:t>
            </w:r>
          </w:p>
        </w:tc>
        <w:tc>
          <w:tcPr>
            <w:tcW w:w="959" w:type="dxa"/>
            <w:tcBorders>
              <w:top w:val="nil"/>
              <w:left w:val="nil"/>
              <w:bottom w:val="nil"/>
              <w:right w:val="nil"/>
            </w:tcBorders>
            <w:shd w:val="clear" w:color="auto" w:fill="auto"/>
          </w:tcPr>
          <w:p w14:paraId="6D43C67A"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0</w:t>
            </w:r>
          </w:p>
        </w:tc>
        <w:tc>
          <w:tcPr>
            <w:tcW w:w="959" w:type="dxa"/>
            <w:tcBorders>
              <w:top w:val="nil"/>
              <w:left w:val="nil"/>
              <w:bottom w:val="nil"/>
            </w:tcBorders>
            <w:shd w:val="clear" w:color="auto" w:fill="auto"/>
          </w:tcPr>
          <w:p w14:paraId="5C2232ED"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250</w:t>
            </w:r>
          </w:p>
        </w:tc>
      </w:tr>
      <w:tr w:rsidR="007D6A0A" w:rsidRPr="00EE1425" w14:paraId="25CAB554" w14:textId="77777777" w:rsidTr="0053552F">
        <w:trPr>
          <w:cantSplit/>
          <w:trHeight w:val="227"/>
        </w:trPr>
        <w:tc>
          <w:tcPr>
            <w:tcW w:w="4844" w:type="dxa"/>
            <w:shd w:val="clear" w:color="auto" w:fill="auto"/>
            <w:vAlign w:val="bottom"/>
          </w:tcPr>
          <w:p w14:paraId="0DBB4F35" w14:textId="77777777" w:rsidR="007D6A0A" w:rsidRPr="00EE1425" w:rsidRDefault="007D6A0A" w:rsidP="007D18CC">
            <w:pPr>
              <w:ind w:left="227" w:hanging="227"/>
              <w:rPr>
                <w:rFonts w:ascii="Calibri" w:hAnsi="Calibri"/>
                <w:bCs/>
                <w:color w:val="000000"/>
                <w:sz w:val="20"/>
                <w:szCs w:val="20"/>
                <w:vertAlign w:val="superscript"/>
                <w:lang w:eastAsia="en-AU"/>
              </w:rPr>
            </w:pPr>
            <w:r w:rsidRPr="00EE1425">
              <w:rPr>
                <w:rFonts w:ascii="Calibri" w:hAnsi="Calibri"/>
                <w:bCs/>
                <w:color w:val="000000"/>
                <w:sz w:val="20"/>
                <w:szCs w:val="20"/>
                <w:lang w:eastAsia="en-AU"/>
              </w:rPr>
              <w:t xml:space="preserve">Leading the next phase of action towards a zero emissions future - ACT Climate Change Strategy 2019-2025 and Living Infrastructure Plan </w:t>
            </w:r>
            <w:r w:rsidRPr="00EE1425">
              <w:rPr>
                <w:rFonts w:ascii="Calibri" w:hAnsi="Calibri"/>
                <w:bCs/>
                <w:color w:val="000000"/>
                <w:sz w:val="20"/>
                <w:szCs w:val="20"/>
                <w:vertAlign w:val="superscript"/>
                <w:lang w:eastAsia="en-AU"/>
              </w:rPr>
              <w:t>4</w:t>
            </w:r>
          </w:p>
        </w:tc>
        <w:tc>
          <w:tcPr>
            <w:tcW w:w="959" w:type="dxa"/>
            <w:shd w:val="clear" w:color="auto" w:fill="auto"/>
          </w:tcPr>
          <w:p w14:paraId="65DA5C60"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2,474</w:t>
            </w:r>
          </w:p>
        </w:tc>
        <w:tc>
          <w:tcPr>
            <w:tcW w:w="959" w:type="dxa"/>
            <w:shd w:val="clear" w:color="auto" w:fill="auto"/>
          </w:tcPr>
          <w:p w14:paraId="0516AA97"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3,258</w:t>
            </w:r>
          </w:p>
        </w:tc>
        <w:tc>
          <w:tcPr>
            <w:tcW w:w="958" w:type="dxa"/>
            <w:shd w:val="clear" w:color="auto" w:fill="auto"/>
          </w:tcPr>
          <w:p w14:paraId="519B22EB"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3,186</w:t>
            </w:r>
          </w:p>
        </w:tc>
        <w:tc>
          <w:tcPr>
            <w:tcW w:w="959" w:type="dxa"/>
            <w:shd w:val="clear" w:color="auto" w:fill="auto"/>
          </w:tcPr>
          <w:p w14:paraId="479776D3"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3,114</w:t>
            </w:r>
          </w:p>
        </w:tc>
        <w:tc>
          <w:tcPr>
            <w:tcW w:w="959" w:type="dxa"/>
            <w:shd w:val="clear" w:color="auto" w:fill="auto"/>
          </w:tcPr>
          <w:p w14:paraId="18B6543F"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12,032</w:t>
            </w:r>
          </w:p>
        </w:tc>
      </w:tr>
      <w:tr w:rsidR="007D6A0A" w:rsidRPr="00EE1425" w14:paraId="57E11A57" w14:textId="77777777" w:rsidTr="0053552F">
        <w:trPr>
          <w:cantSplit/>
          <w:trHeight w:val="227"/>
        </w:trPr>
        <w:tc>
          <w:tcPr>
            <w:tcW w:w="4844" w:type="dxa"/>
            <w:shd w:val="clear" w:color="auto" w:fill="auto"/>
          </w:tcPr>
          <w:p w14:paraId="6C9B1315" w14:textId="77777777" w:rsidR="007D6A0A" w:rsidRPr="00EE1425" w:rsidRDefault="007D6A0A" w:rsidP="007D18CC">
            <w:pPr>
              <w:ind w:left="227" w:hanging="227"/>
              <w:rPr>
                <w:rFonts w:ascii="Calibri" w:hAnsi="Calibri"/>
                <w:bCs/>
                <w:color w:val="000000"/>
                <w:sz w:val="20"/>
                <w:szCs w:val="20"/>
                <w:vertAlign w:val="superscript"/>
                <w:lang w:eastAsia="en-AU"/>
              </w:rPr>
            </w:pPr>
            <w:r w:rsidRPr="00EE1425">
              <w:rPr>
                <w:rFonts w:ascii="Calibri" w:hAnsi="Calibri"/>
                <w:bCs/>
                <w:color w:val="000000"/>
                <w:sz w:val="20"/>
                <w:szCs w:val="20"/>
                <w:lang w:eastAsia="en-AU"/>
              </w:rPr>
              <w:t xml:space="preserve">Managing the </w:t>
            </w:r>
            <w:proofErr w:type="spellStart"/>
            <w:r w:rsidRPr="00EE1425">
              <w:rPr>
                <w:rFonts w:ascii="Calibri" w:hAnsi="Calibri"/>
                <w:bCs/>
                <w:color w:val="000000"/>
                <w:sz w:val="20"/>
                <w:szCs w:val="20"/>
                <w:lang w:eastAsia="en-AU"/>
              </w:rPr>
              <w:t>Sullivans</w:t>
            </w:r>
            <w:proofErr w:type="spellEnd"/>
            <w:r w:rsidRPr="00EE1425">
              <w:rPr>
                <w:rFonts w:ascii="Calibri" w:hAnsi="Calibri"/>
                <w:bCs/>
                <w:color w:val="000000"/>
                <w:sz w:val="20"/>
                <w:szCs w:val="20"/>
                <w:lang w:eastAsia="en-AU"/>
              </w:rPr>
              <w:t xml:space="preserve"> Creek floodplain </w:t>
            </w:r>
            <w:r w:rsidRPr="00EE1425">
              <w:rPr>
                <w:rFonts w:ascii="Calibri" w:hAnsi="Calibri"/>
                <w:bCs/>
                <w:color w:val="000000"/>
                <w:sz w:val="20"/>
                <w:szCs w:val="20"/>
                <w:vertAlign w:val="superscript"/>
                <w:lang w:eastAsia="en-AU"/>
              </w:rPr>
              <w:t>3</w:t>
            </w:r>
          </w:p>
        </w:tc>
        <w:tc>
          <w:tcPr>
            <w:tcW w:w="959" w:type="dxa"/>
            <w:tcBorders>
              <w:top w:val="nil"/>
              <w:left w:val="nil"/>
              <w:right w:val="nil"/>
            </w:tcBorders>
            <w:shd w:val="clear" w:color="auto" w:fill="auto"/>
          </w:tcPr>
          <w:p w14:paraId="1437F5FB"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0</w:t>
            </w:r>
          </w:p>
        </w:tc>
        <w:tc>
          <w:tcPr>
            <w:tcW w:w="959" w:type="dxa"/>
            <w:tcBorders>
              <w:top w:val="nil"/>
              <w:left w:val="nil"/>
              <w:right w:val="nil"/>
            </w:tcBorders>
            <w:shd w:val="clear" w:color="auto" w:fill="auto"/>
          </w:tcPr>
          <w:p w14:paraId="41E460A5"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0</w:t>
            </w:r>
          </w:p>
        </w:tc>
        <w:tc>
          <w:tcPr>
            <w:tcW w:w="958" w:type="dxa"/>
            <w:tcBorders>
              <w:top w:val="nil"/>
              <w:left w:val="nil"/>
              <w:right w:val="nil"/>
            </w:tcBorders>
            <w:shd w:val="clear" w:color="auto" w:fill="auto"/>
          </w:tcPr>
          <w:p w14:paraId="715C7833"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0</w:t>
            </w:r>
          </w:p>
        </w:tc>
        <w:tc>
          <w:tcPr>
            <w:tcW w:w="959" w:type="dxa"/>
            <w:tcBorders>
              <w:top w:val="nil"/>
              <w:left w:val="nil"/>
              <w:right w:val="nil"/>
            </w:tcBorders>
            <w:shd w:val="clear" w:color="auto" w:fill="auto"/>
          </w:tcPr>
          <w:p w14:paraId="037C29B4"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0</w:t>
            </w:r>
          </w:p>
        </w:tc>
        <w:tc>
          <w:tcPr>
            <w:tcW w:w="959" w:type="dxa"/>
            <w:tcBorders>
              <w:top w:val="nil"/>
              <w:left w:val="nil"/>
            </w:tcBorders>
            <w:shd w:val="clear" w:color="auto" w:fill="auto"/>
          </w:tcPr>
          <w:p w14:paraId="4D588487"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0</w:t>
            </w:r>
          </w:p>
        </w:tc>
      </w:tr>
      <w:tr w:rsidR="007D6A0A" w:rsidRPr="00EE1425" w14:paraId="02A9B7C5" w14:textId="77777777" w:rsidTr="0053552F">
        <w:trPr>
          <w:cantSplit/>
          <w:trHeight w:val="227"/>
        </w:trPr>
        <w:tc>
          <w:tcPr>
            <w:tcW w:w="4844" w:type="dxa"/>
            <w:shd w:val="clear" w:color="auto" w:fill="auto"/>
          </w:tcPr>
          <w:p w14:paraId="71BC59A3" w14:textId="77777777" w:rsidR="007D6A0A" w:rsidRPr="00EE1425" w:rsidRDefault="007D6A0A" w:rsidP="007D18CC">
            <w:pPr>
              <w:ind w:left="227" w:hanging="227"/>
              <w:rPr>
                <w:rFonts w:ascii="Calibri" w:hAnsi="Calibri"/>
                <w:bCs/>
                <w:color w:val="000000"/>
                <w:sz w:val="20"/>
                <w:szCs w:val="20"/>
                <w:lang w:eastAsia="en-AU"/>
              </w:rPr>
            </w:pPr>
            <w:r w:rsidRPr="00EE1425">
              <w:rPr>
                <w:rFonts w:ascii="Calibri" w:hAnsi="Calibri"/>
                <w:bCs/>
                <w:color w:val="000000"/>
                <w:sz w:val="20"/>
                <w:szCs w:val="20"/>
                <w:lang w:eastAsia="en-AU"/>
              </w:rPr>
              <w:t xml:space="preserve">Planning framework supporting delivery of Stage 2 of Light Rail to Woden </w:t>
            </w:r>
          </w:p>
        </w:tc>
        <w:tc>
          <w:tcPr>
            <w:tcW w:w="959" w:type="dxa"/>
            <w:shd w:val="clear" w:color="auto" w:fill="auto"/>
          </w:tcPr>
          <w:p w14:paraId="61C7C0D8"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200</w:t>
            </w:r>
          </w:p>
        </w:tc>
        <w:tc>
          <w:tcPr>
            <w:tcW w:w="959" w:type="dxa"/>
            <w:shd w:val="clear" w:color="auto" w:fill="auto"/>
          </w:tcPr>
          <w:p w14:paraId="473DF769"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150</w:t>
            </w:r>
          </w:p>
        </w:tc>
        <w:tc>
          <w:tcPr>
            <w:tcW w:w="958" w:type="dxa"/>
            <w:shd w:val="clear" w:color="auto" w:fill="auto"/>
          </w:tcPr>
          <w:p w14:paraId="2F4941ED"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0</w:t>
            </w:r>
          </w:p>
        </w:tc>
        <w:tc>
          <w:tcPr>
            <w:tcW w:w="959" w:type="dxa"/>
            <w:shd w:val="clear" w:color="auto" w:fill="auto"/>
          </w:tcPr>
          <w:p w14:paraId="2872DF37"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0</w:t>
            </w:r>
          </w:p>
        </w:tc>
        <w:tc>
          <w:tcPr>
            <w:tcW w:w="959" w:type="dxa"/>
            <w:shd w:val="clear" w:color="auto" w:fill="auto"/>
          </w:tcPr>
          <w:p w14:paraId="59EA0AB5"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350</w:t>
            </w:r>
          </w:p>
        </w:tc>
      </w:tr>
      <w:tr w:rsidR="007D6A0A" w:rsidRPr="00EE1425" w14:paraId="3EC61A3E" w14:textId="77777777" w:rsidTr="0053552F">
        <w:trPr>
          <w:cantSplit/>
          <w:trHeight w:val="227"/>
        </w:trPr>
        <w:tc>
          <w:tcPr>
            <w:tcW w:w="4844" w:type="dxa"/>
            <w:shd w:val="clear" w:color="auto" w:fill="auto"/>
          </w:tcPr>
          <w:p w14:paraId="43FBB744" w14:textId="77777777" w:rsidR="007D6A0A" w:rsidRPr="00EE1425" w:rsidRDefault="007D6A0A" w:rsidP="007D18CC">
            <w:pPr>
              <w:ind w:left="227" w:hanging="227"/>
              <w:rPr>
                <w:rFonts w:ascii="Calibri" w:hAnsi="Calibri"/>
                <w:bCs/>
                <w:color w:val="000000"/>
                <w:sz w:val="20"/>
                <w:szCs w:val="20"/>
                <w:vertAlign w:val="superscript"/>
                <w:lang w:eastAsia="en-AU"/>
              </w:rPr>
            </w:pPr>
            <w:r w:rsidRPr="00EE1425">
              <w:rPr>
                <w:rFonts w:ascii="Calibri" w:hAnsi="Calibri"/>
                <w:bCs/>
                <w:color w:val="000000"/>
                <w:sz w:val="20"/>
                <w:szCs w:val="20"/>
                <w:lang w:eastAsia="en-AU"/>
              </w:rPr>
              <w:t xml:space="preserve">Protecting grasslands and conservation areas </w:t>
            </w:r>
            <w:r w:rsidRPr="00EE1425">
              <w:rPr>
                <w:rFonts w:ascii="Calibri" w:hAnsi="Calibri"/>
                <w:bCs/>
                <w:color w:val="000000"/>
                <w:sz w:val="20"/>
                <w:szCs w:val="20"/>
                <w:vertAlign w:val="superscript"/>
                <w:lang w:eastAsia="en-AU"/>
              </w:rPr>
              <w:t>2</w:t>
            </w:r>
          </w:p>
        </w:tc>
        <w:tc>
          <w:tcPr>
            <w:tcW w:w="959" w:type="dxa"/>
            <w:tcBorders>
              <w:top w:val="nil"/>
              <w:left w:val="nil"/>
              <w:bottom w:val="nil"/>
              <w:right w:val="nil"/>
            </w:tcBorders>
            <w:shd w:val="clear" w:color="auto" w:fill="auto"/>
          </w:tcPr>
          <w:p w14:paraId="2AB2761C"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78</w:t>
            </w:r>
          </w:p>
        </w:tc>
        <w:tc>
          <w:tcPr>
            <w:tcW w:w="959" w:type="dxa"/>
            <w:tcBorders>
              <w:top w:val="nil"/>
              <w:left w:val="nil"/>
              <w:bottom w:val="nil"/>
              <w:right w:val="nil"/>
            </w:tcBorders>
            <w:shd w:val="clear" w:color="auto" w:fill="auto"/>
          </w:tcPr>
          <w:p w14:paraId="1B69E8D1"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0</w:t>
            </w:r>
          </w:p>
        </w:tc>
        <w:tc>
          <w:tcPr>
            <w:tcW w:w="958" w:type="dxa"/>
            <w:tcBorders>
              <w:top w:val="nil"/>
              <w:left w:val="nil"/>
              <w:bottom w:val="nil"/>
              <w:right w:val="nil"/>
            </w:tcBorders>
            <w:shd w:val="clear" w:color="auto" w:fill="auto"/>
          </w:tcPr>
          <w:p w14:paraId="491548D5"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0</w:t>
            </w:r>
          </w:p>
        </w:tc>
        <w:tc>
          <w:tcPr>
            <w:tcW w:w="959" w:type="dxa"/>
            <w:tcBorders>
              <w:top w:val="nil"/>
              <w:left w:val="nil"/>
              <w:bottom w:val="nil"/>
              <w:right w:val="nil"/>
            </w:tcBorders>
            <w:shd w:val="clear" w:color="auto" w:fill="auto"/>
          </w:tcPr>
          <w:p w14:paraId="5097E1FA"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0</w:t>
            </w:r>
          </w:p>
        </w:tc>
        <w:tc>
          <w:tcPr>
            <w:tcW w:w="959" w:type="dxa"/>
            <w:tcBorders>
              <w:top w:val="nil"/>
              <w:left w:val="nil"/>
              <w:bottom w:val="nil"/>
            </w:tcBorders>
            <w:shd w:val="clear" w:color="auto" w:fill="auto"/>
          </w:tcPr>
          <w:p w14:paraId="6DC52269"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78</w:t>
            </w:r>
          </w:p>
        </w:tc>
      </w:tr>
      <w:tr w:rsidR="007D6A0A" w:rsidRPr="00EE1425" w14:paraId="4C4BD23C" w14:textId="77777777" w:rsidTr="0053552F">
        <w:trPr>
          <w:cantSplit/>
          <w:trHeight w:val="227"/>
        </w:trPr>
        <w:tc>
          <w:tcPr>
            <w:tcW w:w="4844" w:type="dxa"/>
            <w:shd w:val="clear" w:color="auto" w:fill="auto"/>
          </w:tcPr>
          <w:p w14:paraId="50E99F5A" w14:textId="77777777" w:rsidR="007D6A0A" w:rsidRPr="00EE1425" w:rsidRDefault="007D6A0A" w:rsidP="007D18CC">
            <w:pPr>
              <w:ind w:left="227" w:hanging="227"/>
              <w:rPr>
                <w:rFonts w:ascii="Calibri" w:hAnsi="Calibri"/>
                <w:bCs/>
                <w:color w:val="000000"/>
                <w:sz w:val="20"/>
                <w:szCs w:val="20"/>
                <w:vertAlign w:val="superscript"/>
                <w:lang w:eastAsia="en-AU"/>
              </w:rPr>
            </w:pPr>
            <w:r w:rsidRPr="00EE1425">
              <w:rPr>
                <w:rFonts w:ascii="Calibri" w:hAnsi="Calibri"/>
                <w:bCs/>
                <w:color w:val="000000"/>
                <w:sz w:val="20"/>
                <w:szCs w:val="20"/>
                <w:lang w:eastAsia="en-AU"/>
              </w:rPr>
              <w:t xml:space="preserve">Remediating the former Molonglo sewerage treatment facility </w:t>
            </w:r>
            <w:r w:rsidRPr="00EE1425">
              <w:rPr>
                <w:rFonts w:ascii="Calibri" w:hAnsi="Calibri"/>
                <w:bCs/>
                <w:color w:val="000000"/>
                <w:sz w:val="20"/>
                <w:szCs w:val="20"/>
                <w:vertAlign w:val="superscript"/>
                <w:lang w:eastAsia="en-AU"/>
              </w:rPr>
              <w:t>2</w:t>
            </w:r>
          </w:p>
        </w:tc>
        <w:tc>
          <w:tcPr>
            <w:tcW w:w="959" w:type="dxa"/>
            <w:tcBorders>
              <w:top w:val="nil"/>
              <w:left w:val="nil"/>
              <w:bottom w:val="nil"/>
              <w:right w:val="nil"/>
            </w:tcBorders>
            <w:shd w:val="clear" w:color="auto" w:fill="auto"/>
          </w:tcPr>
          <w:p w14:paraId="2D932FF0"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408</w:t>
            </w:r>
          </w:p>
        </w:tc>
        <w:tc>
          <w:tcPr>
            <w:tcW w:w="959" w:type="dxa"/>
            <w:tcBorders>
              <w:top w:val="nil"/>
              <w:left w:val="nil"/>
              <w:bottom w:val="nil"/>
              <w:right w:val="nil"/>
            </w:tcBorders>
            <w:shd w:val="clear" w:color="auto" w:fill="auto"/>
          </w:tcPr>
          <w:p w14:paraId="02A2E7C7"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3,732</w:t>
            </w:r>
          </w:p>
        </w:tc>
        <w:tc>
          <w:tcPr>
            <w:tcW w:w="958" w:type="dxa"/>
            <w:tcBorders>
              <w:top w:val="nil"/>
              <w:left w:val="nil"/>
              <w:bottom w:val="nil"/>
              <w:right w:val="nil"/>
            </w:tcBorders>
            <w:shd w:val="clear" w:color="auto" w:fill="auto"/>
          </w:tcPr>
          <w:p w14:paraId="3EA26BC0"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2,633</w:t>
            </w:r>
          </w:p>
        </w:tc>
        <w:tc>
          <w:tcPr>
            <w:tcW w:w="959" w:type="dxa"/>
            <w:tcBorders>
              <w:top w:val="nil"/>
              <w:left w:val="nil"/>
              <w:bottom w:val="nil"/>
              <w:right w:val="nil"/>
            </w:tcBorders>
            <w:shd w:val="clear" w:color="auto" w:fill="auto"/>
          </w:tcPr>
          <w:p w14:paraId="780C6FE7"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392</w:t>
            </w:r>
          </w:p>
        </w:tc>
        <w:tc>
          <w:tcPr>
            <w:tcW w:w="959" w:type="dxa"/>
            <w:tcBorders>
              <w:top w:val="nil"/>
              <w:left w:val="nil"/>
              <w:bottom w:val="nil"/>
            </w:tcBorders>
            <w:shd w:val="clear" w:color="auto" w:fill="auto"/>
          </w:tcPr>
          <w:p w14:paraId="102DE8E2"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7,165</w:t>
            </w:r>
          </w:p>
        </w:tc>
      </w:tr>
      <w:tr w:rsidR="007D6A0A" w:rsidRPr="00EE1425" w14:paraId="464D8028" w14:textId="77777777" w:rsidTr="0053552F">
        <w:trPr>
          <w:cantSplit/>
          <w:trHeight w:val="227"/>
        </w:trPr>
        <w:tc>
          <w:tcPr>
            <w:tcW w:w="4844" w:type="dxa"/>
            <w:shd w:val="clear" w:color="auto" w:fill="auto"/>
          </w:tcPr>
          <w:p w14:paraId="13CD211D" w14:textId="4EC3CAF0" w:rsidR="007D6A0A" w:rsidRPr="00EE1425" w:rsidRDefault="007D6A0A" w:rsidP="007D18CC">
            <w:pPr>
              <w:ind w:left="227" w:hanging="227"/>
              <w:rPr>
                <w:rFonts w:ascii="Calibri" w:hAnsi="Calibri"/>
                <w:bCs/>
                <w:color w:val="000000"/>
                <w:sz w:val="20"/>
                <w:szCs w:val="20"/>
                <w:lang w:eastAsia="en-AU"/>
              </w:rPr>
            </w:pPr>
            <w:r w:rsidRPr="00EE1425">
              <w:rPr>
                <w:rFonts w:ascii="Calibri" w:hAnsi="Calibri"/>
                <w:bCs/>
                <w:color w:val="000000"/>
                <w:sz w:val="20"/>
                <w:szCs w:val="20"/>
                <w:lang w:eastAsia="en-AU"/>
              </w:rPr>
              <w:t>Scoping for East Lake urban renewal</w:t>
            </w:r>
            <w:r w:rsidR="000F30E1">
              <w:rPr>
                <w:rFonts w:ascii="Calibri" w:hAnsi="Calibri"/>
                <w:bCs/>
                <w:color w:val="000000"/>
                <w:sz w:val="20"/>
                <w:szCs w:val="20"/>
                <w:lang w:eastAsia="en-AU"/>
              </w:rPr>
              <w:t xml:space="preserve"> </w:t>
            </w:r>
          </w:p>
        </w:tc>
        <w:tc>
          <w:tcPr>
            <w:tcW w:w="959" w:type="dxa"/>
            <w:tcBorders>
              <w:top w:val="nil"/>
              <w:left w:val="nil"/>
              <w:bottom w:val="nil"/>
              <w:right w:val="nil"/>
            </w:tcBorders>
            <w:shd w:val="clear" w:color="auto" w:fill="auto"/>
          </w:tcPr>
          <w:p w14:paraId="3F7C1CCB"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441</w:t>
            </w:r>
          </w:p>
        </w:tc>
        <w:tc>
          <w:tcPr>
            <w:tcW w:w="959" w:type="dxa"/>
            <w:tcBorders>
              <w:top w:val="nil"/>
              <w:left w:val="nil"/>
              <w:bottom w:val="nil"/>
              <w:right w:val="nil"/>
            </w:tcBorders>
            <w:shd w:val="clear" w:color="auto" w:fill="auto"/>
          </w:tcPr>
          <w:p w14:paraId="1769679F"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167</w:t>
            </w:r>
          </w:p>
        </w:tc>
        <w:tc>
          <w:tcPr>
            <w:tcW w:w="958" w:type="dxa"/>
            <w:tcBorders>
              <w:top w:val="nil"/>
              <w:left w:val="nil"/>
              <w:bottom w:val="nil"/>
              <w:right w:val="nil"/>
            </w:tcBorders>
            <w:shd w:val="clear" w:color="auto" w:fill="auto"/>
          </w:tcPr>
          <w:p w14:paraId="41B90A5D"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0</w:t>
            </w:r>
          </w:p>
        </w:tc>
        <w:tc>
          <w:tcPr>
            <w:tcW w:w="959" w:type="dxa"/>
            <w:tcBorders>
              <w:top w:val="nil"/>
              <w:left w:val="nil"/>
              <w:bottom w:val="nil"/>
              <w:right w:val="nil"/>
            </w:tcBorders>
            <w:shd w:val="clear" w:color="auto" w:fill="auto"/>
          </w:tcPr>
          <w:p w14:paraId="72CF7630"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0</w:t>
            </w:r>
          </w:p>
        </w:tc>
        <w:tc>
          <w:tcPr>
            <w:tcW w:w="959" w:type="dxa"/>
            <w:tcBorders>
              <w:top w:val="nil"/>
              <w:left w:val="nil"/>
              <w:bottom w:val="nil"/>
            </w:tcBorders>
            <w:shd w:val="clear" w:color="auto" w:fill="auto"/>
          </w:tcPr>
          <w:p w14:paraId="1BF5F890"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608</w:t>
            </w:r>
          </w:p>
        </w:tc>
      </w:tr>
      <w:tr w:rsidR="007D6A0A" w:rsidRPr="00EE1425" w14:paraId="684C2DC1" w14:textId="77777777" w:rsidTr="0053552F">
        <w:trPr>
          <w:cantSplit/>
          <w:trHeight w:val="227"/>
        </w:trPr>
        <w:tc>
          <w:tcPr>
            <w:tcW w:w="4844" w:type="dxa"/>
            <w:shd w:val="clear" w:color="auto" w:fill="auto"/>
          </w:tcPr>
          <w:p w14:paraId="263A6230" w14:textId="77777777" w:rsidR="007D6A0A" w:rsidRPr="00EE1425" w:rsidRDefault="007D6A0A" w:rsidP="007D18CC">
            <w:pPr>
              <w:ind w:left="227" w:hanging="227"/>
              <w:rPr>
                <w:rFonts w:ascii="Calibri" w:hAnsi="Calibri"/>
                <w:bCs/>
                <w:color w:val="000000"/>
                <w:sz w:val="20"/>
                <w:szCs w:val="20"/>
                <w:vertAlign w:val="superscript"/>
                <w:lang w:eastAsia="en-AU"/>
              </w:rPr>
            </w:pPr>
            <w:r w:rsidRPr="00EE1425">
              <w:rPr>
                <w:rFonts w:ascii="Calibri" w:hAnsi="Calibri"/>
                <w:bCs/>
                <w:color w:val="000000"/>
                <w:sz w:val="20"/>
                <w:szCs w:val="20"/>
                <w:lang w:eastAsia="en-AU"/>
              </w:rPr>
              <w:t xml:space="preserve">Supporting smarter working in the new ACT Government office projects </w:t>
            </w:r>
            <w:r w:rsidRPr="00EE1425">
              <w:rPr>
                <w:rFonts w:ascii="Calibri" w:hAnsi="Calibri"/>
                <w:bCs/>
                <w:color w:val="000000"/>
                <w:sz w:val="20"/>
                <w:szCs w:val="20"/>
                <w:vertAlign w:val="superscript"/>
                <w:lang w:eastAsia="en-AU"/>
              </w:rPr>
              <w:t>2, 4</w:t>
            </w:r>
          </w:p>
        </w:tc>
        <w:tc>
          <w:tcPr>
            <w:tcW w:w="959" w:type="dxa"/>
            <w:tcBorders>
              <w:top w:val="nil"/>
              <w:left w:val="nil"/>
              <w:bottom w:val="nil"/>
              <w:right w:val="nil"/>
            </w:tcBorders>
            <w:shd w:val="clear" w:color="auto" w:fill="auto"/>
          </w:tcPr>
          <w:p w14:paraId="28D5953E"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934</w:t>
            </w:r>
          </w:p>
        </w:tc>
        <w:tc>
          <w:tcPr>
            <w:tcW w:w="959" w:type="dxa"/>
            <w:tcBorders>
              <w:top w:val="nil"/>
              <w:left w:val="nil"/>
              <w:bottom w:val="nil"/>
              <w:right w:val="nil"/>
            </w:tcBorders>
            <w:shd w:val="clear" w:color="auto" w:fill="auto"/>
          </w:tcPr>
          <w:p w14:paraId="24CB4224"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751</w:t>
            </w:r>
          </w:p>
        </w:tc>
        <w:tc>
          <w:tcPr>
            <w:tcW w:w="958" w:type="dxa"/>
            <w:tcBorders>
              <w:top w:val="nil"/>
              <w:left w:val="nil"/>
              <w:bottom w:val="nil"/>
              <w:right w:val="nil"/>
            </w:tcBorders>
            <w:shd w:val="clear" w:color="auto" w:fill="auto"/>
          </w:tcPr>
          <w:p w14:paraId="24B53805"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767</w:t>
            </w:r>
          </w:p>
        </w:tc>
        <w:tc>
          <w:tcPr>
            <w:tcW w:w="959" w:type="dxa"/>
            <w:tcBorders>
              <w:top w:val="nil"/>
              <w:left w:val="nil"/>
              <w:bottom w:val="nil"/>
              <w:right w:val="nil"/>
            </w:tcBorders>
            <w:shd w:val="clear" w:color="auto" w:fill="auto"/>
          </w:tcPr>
          <w:p w14:paraId="5732E298"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150</w:t>
            </w:r>
          </w:p>
        </w:tc>
        <w:tc>
          <w:tcPr>
            <w:tcW w:w="959" w:type="dxa"/>
            <w:tcBorders>
              <w:top w:val="nil"/>
              <w:left w:val="nil"/>
              <w:bottom w:val="nil"/>
            </w:tcBorders>
            <w:shd w:val="clear" w:color="auto" w:fill="auto"/>
          </w:tcPr>
          <w:p w14:paraId="562BC5B2"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2,602</w:t>
            </w:r>
          </w:p>
        </w:tc>
      </w:tr>
      <w:tr w:rsidR="007D6A0A" w:rsidRPr="00EE1425" w14:paraId="621E8826" w14:textId="77777777" w:rsidTr="00601017">
        <w:trPr>
          <w:cantSplit/>
          <w:trHeight w:val="227"/>
        </w:trPr>
        <w:tc>
          <w:tcPr>
            <w:tcW w:w="4844" w:type="dxa"/>
            <w:tcBorders>
              <w:bottom w:val="single" w:sz="4" w:space="0" w:color="auto"/>
            </w:tcBorders>
            <w:shd w:val="clear" w:color="auto" w:fill="auto"/>
          </w:tcPr>
          <w:p w14:paraId="4D843B20" w14:textId="77777777" w:rsidR="007D6A0A" w:rsidRPr="00EE1425" w:rsidRDefault="007D6A0A" w:rsidP="007D18CC">
            <w:pPr>
              <w:ind w:left="227" w:hanging="227"/>
              <w:rPr>
                <w:rFonts w:ascii="Calibri" w:hAnsi="Calibri"/>
                <w:bCs/>
                <w:color w:val="000000"/>
                <w:sz w:val="20"/>
                <w:szCs w:val="20"/>
                <w:vertAlign w:val="superscript"/>
                <w:lang w:eastAsia="en-AU"/>
              </w:rPr>
            </w:pPr>
            <w:r w:rsidRPr="00EE1425">
              <w:rPr>
                <w:rFonts w:ascii="Calibri" w:hAnsi="Calibri"/>
                <w:bCs/>
                <w:color w:val="000000"/>
                <w:sz w:val="20"/>
                <w:szCs w:val="20"/>
                <w:lang w:eastAsia="en-AU"/>
              </w:rPr>
              <w:t xml:space="preserve">Training ACT Government frontline workers to respond to family violence </w:t>
            </w:r>
            <w:r w:rsidRPr="00EE1425">
              <w:rPr>
                <w:rFonts w:ascii="Calibri" w:hAnsi="Calibri"/>
                <w:bCs/>
                <w:color w:val="000000"/>
                <w:sz w:val="20"/>
                <w:szCs w:val="20"/>
                <w:vertAlign w:val="superscript"/>
                <w:lang w:eastAsia="en-AU"/>
              </w:rPr>
              <w:t>6</w:t>
            </w:r>
          </w:p>
        </w:tc>
        <w:tc>
          <w:tcPr>
            <w:tcW w:w="959" w:type="dxa"/>
            <w:tcBorders>
              <w:top w:val="nil"/>
              <w:left w:val="nil"/>
              <w:bottom w:val="single" w:sz="4" w:space="0" w:color="auto"/>
              <w:right w:val="nil"/>
            </w:tcBorders>
            <w:shd w:val="clear" w:color="auto" w:fill="auto"/>
          </w:tcPr>
          <w:p w14:paraId="64DD17AF"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0</w:t>
            </w:r>
          </w:p>
        </w:tc>
        <w:tc>
          <w:tcPr>
            <w:tcW w:w="959" w:type="dxa"/>
            <w:tcBorders>
              <w:top w:val="nil"/>
              <w:left w:val="nil"/>
              <w:bottom w:val="single" w:sz="4" w:space="0" w:color="auto"/>
              <w:right w:val="nil"/>
            </w:tcBorders>
            <w:shd w:val="clear" w:color="auto" w:fill="auto"/>
          </w:tcPr>
          <w:p w14:paraId="10E28558"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0</w:t>
            </w:r>
          </w:p>
        </w:tc>
        <w:tc>
          <w:tcPr>
            <w:tcW w:w="958" w:type="dxa"/>
            <w:tcBorders>
              <w:top w:val="nil"/>
              <w:left w:val="nil"/>
              <w:bottom w:val="single" w:sz="4" w:space="0" w:color="auto"/>
              <w:right w:val="nil"/>
            </w:tcBorders>
            <w:shd w:val="clear" w:color="auto" w:fill="auto"/>
          </w:tcPr>
          <w:p w14:paraId="5D22429B"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0</w:t>
            </w:r>
          </w:p>
        </w:tc>
        <w:tc>
          <w:tcPr>
            <w:tcW w:w="959" w:type="dxa"/>
            <w:tcBorders>
              <w:top w:val="nil"/>
              <w:left w:val="nil"/>
              <w:bottom w:val="single" w:sz="4" w:space="0" w:color="auto"/>
              <w:right w:val="nil"/>
            </w:tcBorders>
            <w:shd w:val="clear" w:color="auto" w:fill="auto"/>
          </w:tcPr>
          <w:p w14:paraId="066212A6"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0</w:t>
            </w:r>
          </w:p>
        </w:tc>
        <w:tc>
          <w:tcPr>
            <w:tcW w:w="959" w:type="dxa"/>
            <w:tcBorders>
              <w:top w:val="nil"/>
              <w:left w:val="nil"/>
              <w:bottom w:val="single" w:sz="4" w:space="0" w:color="auto"/>
            </w:tcBorders>
            <w:shd w:val="clear" w:color="auto" w:fill="auto"/>
          </w:tcPr>
          <w:p w14:paraId="7B7211B7" w14:textId="77777777" w:rsidR="007D6A0A" w:rsidRPr="00EE1425" w:rsidRDefault="007D6A0A" w:rsidP="007D18CC">
            <w:pPr>
              <w:ind w:left="227" w:hanging="227"/>
              <w:jc w:val="right"/>
              <w:rPr>
                <w:rFonts w:ascii="Calibri" w:hAnsi="Calibri"/>
                <w:sz w:val="20"/>
                <w:szCs w:val="20"/>
                <w:lang w:eastAsia="en-AU"/>
              </w:rPr>
            </w:pPr>
            <w:r w:rsidRPr="00EE1425">
              <w:rPr>
                <w:rFonts w:ascii="Calibri" w:hAnsi="Calibri"/>
                <w:sz w:val="20"/>
                <w:szCs w:val="20"/>
                <w:lang w:eastAsia="en-AU"/>
              </w:rPr>
              <w:t>0</w:t>
            </w:r>
          </w:p>
        </w:tc>
      </w:tr>
      <w:tr w:rsidR="007D6A0A" w:rsidRPr="00EE1425" w14:paraId="71B02D8F" w14:textId="77777777" w:rsidTr="00601017">
        <w:trPr>
          <w:cantSplit/>
          <w:trHeight w:val="227"/>
        </w:trPr>
        <w:tc>
          <w:tcPr>
            <w:tcW w:w="4844" w:type="dxa"/>
            <w:tcBorders>
              <w:top w:val="single" w:sz="4" w:space="0" w:color="auto"/>
              <w:bottom w:val="single" w:sz="4" w:space="0" w:color="auto"/>
            </w:tcBorders>
            <w:shd w:val="clear" w:color="auto" w:fill="auto"/>
          </w:tcPr>
          <w:p w14:paraId="4859FE95" w14:textId="77777777" w:rsidR="007D6A0A" w:rsidRPr="00EE1425" w:rsidRDefault="007D6A0A" w:rsidP="007D18CC">
            <w:pPr>
              <w:ind w:left="227" w:hanging="227"/>
              <w:jc w:val="right"/>
              <w:rPr>
                <w:rFonts w:ascii="Calibri" w:hAnsi="Calibri"/>
                <w:b/>
                <w:sz w:val="20"/>
                <w:szCs w:val="20"/>
                <w:lang w:eastAsia="en-AU"/>
              </w:rPr>
            </w:pPr>
            <w:r w:rsidRPr="00EE1425">
              <w:rPr>
                <w:rFonts w:ascii="Calibri" w:hAnsi="Calibri"/>
                <w:b/>
                <w:sz w:val="20"/>
                <w:szCs w:val="20"/>
                <w:lang w:eastAsia="en-AU"/>
              </w:rPr>
              <w:t>Total</w:t>
            </w:r>
          </w:p>
        </w:tc>
        <w:tc>
          <w:tcPr>
            <w:tcW w:w="959" w:type="dxa"/>
            <w:tcBorders>
              <w:top w:val="single" w:sz="4" w:space="0" w:color="auto"/>
              <w:left w:val="nil"/>
              <w:bottom w:val="single" w:sz="4" w:space="0" w:color="auto"/>
              <w:right w:val="nil"/>
            </w:tcBorders>
            <w:shd w:val="clear" w:color="auto" w:fill="auto"/>
          </w:tcPr>
          <w:p w14:paraId="3F887FBB" w14:textId="77777777" w:rsidR="007D6A0A" w:rsidRPr="00EE1425" w:rsidRDefault="007D6A0A" w:rsidP="007D18CC">
            <w:pPr>
              <w:ind w:left="227" w:hanging="227"/>
              <w:jc w:val="right"/>
              <w:rPr>
                <w:rFonts w:ascii="Calibri" w:hAnsi="Calibri"/>
                <w:b/>
                <w:sz w:val="20"/>
                <w:szCs w:val="20"/>
                <w:lang w:eastAsia="en-AU"/>
              </w:rPr>
            </w:pPr>
            <w:r w:rsidRPr="00EE1425">
              <w:rPr>
                <w:rFonts w:ascii="Calibri" w:hAnsi="Calibri"/>
                <w:b/>
                <w:sz w:val="20"/>
                <w:szCs w:val="20"/>
                <w:lang w:eastAsia="en-AU"/>
              </w:rPr>
              <w:t>8,824</w:t>
            </w:r>
          </w:p>
        </w:tc>
        <w:tc>
          <w:tcPr>
            <w:tcW w:w="959" w:type="dxa"/>
            <w:tcBorders>
              <w:top w:val="single" w:sz="4" w:space="0" w:color="auto"/>
              <w:left w:val="nil"/>
              <w:bottom w:val="single" w:sz="4" w:space="0" w:color="auto"/>
              <w:right w:val="nil"/>
            </w:tcBorders>
            <w:shd w:val="clear" w:color="auto" w:fill="auto"/>
          </w:tcPr>
          <w:p w14:paraId="72990E75" w14:textId="77777777" w:rsidR="007D6A0A" w:rsidRPr="00EE1425" w:rsidRDefault="007D6A0A" w:rsidP="007D18CC">
            <w:pPr>
              <w:ind w:left="227" w:hanging="227"/>
              <w:jc w:val="right"/>
              <w:rPr>
                <w:rFonts w:ascii="Calibri" w:hAnsi="Calibri"/>
                <w:b/>
                <w:sz w:val="20"/>
                <w:szCs w:val="20"/>
                <w:lang w:eastAsia="en-AU"/>
              </w:rPr>
            </w:pPr>
            <w:r w:rsidRPr="00EE1425">
              <w:rPr>
                <w:rFonts w:ascii="Calibri" w:hAnsi="Calibri"/>
                <w:b/>
                <w:sz w:val="20"/>
                <w:szCs w:val="20"/>
                <w:lang w:eastAsia="en-AU"/>
              </w:rPr>
              <w:t>10,494</w:t>
            </w:r>
          </w:p>
        </w:tc>
        <w:tc>
          <w:tcPr>
            <w:tcW w:w="958" w:type="dxa"/>
            <w:tcBorders>
              <w:top w:val="single" w:sz="4" w:space="0" w:color="auto"/>
              <w:left w:val="nil"/>
              <w:bottom w:val="single" w:sz="4" w:space="0" w:color="auto"/>
              <w:right w:val="nil"/>
            </w:tcBorders>
            <w:shd w:val="clear" w:color="auto" w:fill="auto"/>
          </w:tcPr>
          <w:p w14:paraId="74CCA36C" w14:textId="77777777" w:rsidR="007D6A0A" w:rsidRPr="00EE1425" w:rsidRDefault="007D6A0A" w:rsidP="007D18CC">
            <w:pPr>
              <w:ind w:left="227" w:hanging="227"/>
              <w:jc w:val="right"/>
              <w:rPr>
                <w:rFonts w:ascii="Calibri" w:hAnsi="Calibri"/>
                <w:b/>
                <w:sz w:val="20"/>
                <w:szCs w:val="20"/>
                <w:lang w:eastAsia="en-AU"/>
              </w:rPr>
            </w:pPr>
            <w:r w:rsidRPr="00EE1425">
              <w:rPr>
                <w:rFonts w:ascii="Calibri" w:hAnsi="Calibri"/>
                <w:b/>
                <w:sz w:val="20"/>
                <w:szCs w:val="20"/>
                <w:lang w:eastAsia="en-AU"/>
              </w:rPr>
              <w:t>8,128</w:t>
            </w:r>
          </w:p>
        </w:tc>
        <w:tc>
          <w:tcPr>
            <w:tcW w:w="959" w:type="dxa"/>
            <w:tcBorders>
              <w:top w:val="single" w:sz="4" w:space="0" w:color="auto"/>
              <w:left w:val="nil"/>
              <w:bottom w:val="single" w:sz="4" w:space="0" w:color="auto"/>
              <w:right w:val="nil"/>
            </w:tcBorders>
            <w:shd w:val="clear" w:color="auto" w:fill="auto"/>
          </w:tcPr>
          <w:p w14:paraId="69A66F6D" w14:textId="77777777" w:rsidR="007D6A0A" w:rsidRPr="00EE1425" w:rsidRDefault="007D6A0A" w:rsidP="007D18CC">
            <w:pPr>
              <w:ind w:left="227" w:hanging="227"/>
              <w:jc w:val="right"/>
              <w:rPr>
                <w:rFonts w:ascii="Calibri" w:hAnsi="Calibri"/>
                <w:b/>
                <w:sz w:val="20"/>
                <w:szCs w:val="20"/>
                <w:lang w:eastAsia="en-AU"/>
              </w:rPr>
            </w:pPr>
            <w:r w:rsidRPr="00EE1425">
              <w:rPr>
                <w:rFonts w:ascii="Calibri" w:hAnsi="Calibri"/>
                <w:b/>
                <w:sz w:val="20"/>
                <w:szCs w:val="20"/>
                <w:lang w:eastAsia="en-AU"/>
              </w:rPr>
              <w:t>5,229</w:t>
            </w:r>
          </w:p>
        </w:tc>
        <w:tc>
          <w:tcPr>
            <w:tcW w:w="959" w:type="dxa"/>
            <w:tcBorders>
              <w:top w:val="single" w:sz="4" w:space="0" w:color="auto"/>
              <w:left w:val="nil"/>
              <w:bottom w:val="single" w:sz="4" w:space="0" w:color="auto"/>
            </w:tcBorders>
            <w:shd w:val="clear" w:color="auto" w:fill="auto"/>
          </w:tcPr>
          <w:p w14:paraId="310D98EB" w14:textId="77777777" w:rsidR="007D6A0A" w:rsidRPr="00EE1425" w:rsidRDefault="007D6A0A" w:rsidP="007D18CC">
            <w:pPr>
              <w:ind w:left="227" w:hanging="227"/>
              <w:jc w:val="right"/>
              <w:rPr>
                <w:rFonts w:ascii="Calibri" w:hAnsi="Calibri"/>
                <w:b/>
                <w:sz w:val="20"/>
                <w:szCs w:val="20"/>
                <w:lang w:eastAsia="en-AU"/>
              </w:rPr>
            </w:pPr>
            <w:r w:rsidRPr="00EE1425">
              <w:rPr>
                <w:rFonts w:ascii="Calibri" w:hAnsi="Calibri"/>
                <w:b/>
                <w:sz w:val="20"/>
                <w:szCs w:val="20"/>
                <w:lang w:eastAsia="en-AU"/>
              </w:rPr>
              <w:t>32,675</w:t>
            </w:r>
          </w:p>
        </w:tc>
      </w:tr>
    </w:tbl>
    <w:p w14:paraId="06A1E425" w14:textId="77777777" w:rsidR="007D6A0A" w:rsidRPr="00EE1425" w:rsidRDefault="007D6A0A" w:rsidP="00EE5AC4">
      <w:pPr>
        <w:pStyle w:val="snapNotesheading"/>
        <w:rPr>
          <w:b w:val="0"/>
        </w:rPr>
      </w:pPr>
      <w:r w:rsidRPr="00EE1425">
        <w:t xml:space="preserve">Notes: </w:t>
      </w:r>
    </w:p>
    <w:p w14:paraId="0BBA159E" w14:textId="7C30C79F" w:rsidR="007D6A0A" w:rsidRPr="00EE1425" w:rsidRDefault="007D6A0A" w:rsidP="00EE5AC4">
      <w:pPr>
        <w:pStyle w:val="snapNotesbody"/>
      </w:pPr>
      <w:r>
        <w:t>1</w:t>
      </w:r>
      <w:r w:rsidR="00EE5AC4">
        <w:rPr>
          <w:lang w:val="en-US"/>
        </w:rPr>
        <w:t>.</w:t>
      </w:r>
      <w:r>
        <w:t xml:space="preserve"> </w:t>
      </w:r>
      <w:r w:rsidRPr="00EE1425">
        <w:t>This initiative has a revenue component; this is listed in the summary table in Revenue initiatives (Chapter 3.4).</w:t>
      </w:r>
    </w:p>
    <w:p w14:paraId="7CDC0E62" w14:textId="76672854" w:rsidR="007D6A0A" w:rsidRPr="00EE1425" w:rsidRDefault="007D6A0A" w:rsidP="00EE5AC4">
      <w:pPr>
        <w:pStyle w:val="snapNotesbody"/>
      </w:pPr>
      <w:r>
        <w:t>2</w:t>
      </w:r>
      <w:r w:rsidR="00EE5AC4">
        <w:rPr>
          <w:lang w:val="en-US"/>
        </w:rPr>
        <w:t>.</w:t>
      </w:r>
      <w:r>
        <w:t xml:space="preserve"> </w:t>
      </w:r>
      <w:r w:rsidRPr="00EE1425">
        <w:t>This initiative has a capital component; this component (and depreciation if applicable) is listed in the summary</w:t>
      </w:r>
      <w:r>
        <w:t xml:space="preserve"> </w:t>
      </w:r>
      <w:r w:rsidRPr="00EE1425">
        <w:t>table in Infrastructure and capital initiatives (Chapter 3.3).</w:t>
      </w:r>
    </w:p>
    <w:p w14:paraId="2120CA74" w14:textId="6E830B3C" w:rsidR="007D6A0A" w:rsidRPr="00EE1425" w:rsidRDefault="007D6A0A" w:rsidP="00EE5AC4">
      <w:pPr>
        <w:pStyle w:val="snapNotesbody"/>
      </w:pPr>
      <w:r>
        <w:t>3</w:t>
      </w:r>
      <w:r w:rsidR="00EE5AC4">
        <w:rPr>
          <w:lang w:val="en-US"/>
        </w:rPr>
        <w:t>.</w:t>
      </w:r>
      <w:r>
        <w:t xml:space="preserve"> </w:t>
      </w:r>
      <w:r w:rsidRPr="00EE1425">
        <w:t>The funding of this initiative is to be absorbed by the agency.</w:t>
      </w:r>
    </w:p>
    <w:p w14:paraId="02037992" w14:textId="4B17C048" w:rsidR="007D6A0A" w:rsidRDefault="007D6A0A" w:rsidP="00EE5AC4">
      <w:pPr>
        <w:pStyle w:val="snapNotesbody"/>
      </w:pPr>
      <w:r>
        <w:t>4</w:t>
      </w:r>
      <w:r w:rsidR="00EE5AC4">
        <w:rPr>
          <w:lang w:val="en-US"/>
        </w:rPr>
        <w:t>.</w:t>
      </w:r>
      <w:r>
        <w:t xml:space="preserve"> </w:t>
      </w:r>
      <w:r w:rsidRPr="00EE1425">
        <w:t>This is a joint initiative, i.e. delivered by more than one agency.</w:t>
      </w:r>
    </w:p>
    <w:p w14:paraId="69386BEF" w14:textId="3F2C1637" w:rsidR="00D274BD" w:rsidRPr="00D274BD" w:rsidRDefault="00D274BD" w:rsidP="00EE5AC4">
      <w:pPr>
        <w:pStyle w:val="snapNotesbody"/>
        <w:rPr>
          <w:lang w:val="en-US"/>
        </w:rPr>
      </w:pPr>
      <w:r>
        <w:rPr>
          <w:lang w:val="en-US"/>
        </w:rPr>
        <w:t xml:space="preserve">6. </w:t>
      </w:r>
      <w:r w:rsidR="000C7E1C">
        <w:rPr>
          <w:lang w:val="en-US"/>
        </w:rPr>
        <w:t>This initiative forms part of the Safer Families package.</w:t>
      </w:r>
    </w:p>
    <w:p w14:paraId="5A5B76B5" w14:textId="77777777" w:rsidR="007D6A0A" w:rsidRPr="00FA3A3D" w:rsidRDefault="007D6A0A" w:rsidP="007F1E74">
      <w:pPr>
        <w:pStyle w:val="snapTabletitle"/>
        <w:rPr>
          <w:b w:val="0"/>
          <w:bCs w:val="0"/>
        </w:rPr>
      </w:pPr>
      <w:r w:rsidRPr="00FA3A3D">
        <w:t>Table 3.3.2: Infrastructure and capital initiatives</w:t>
      </w:r>
    </w:p>
    <w:tbl>
      <w:tblPr>
        <w:tblW w:w="5000" w:type="pct"/>
        <w:tblLayout w:type="fixed"/>
        <w:tblCellMar>
          <w:left w:w="30" w:type="dxa"/>
          <w:right w:w="30" w:type="dxa"/>
        </w:tblCellMar>
        <w:tblLook w:val="0000" w:firstRow="0" w:lastRow="0" w:firstColumn="0" w:lastColumn="0" w:noHBand="0" w:noVBand="0"/>
      </w:tblPr>
      <w:tblGrid>
        <w:gridCol w:w="4776"/>
        <w:gridCol w:w="7"/>
        <w:gridCol w:w="1156"/>
        <w:gridCol w:w="926"/>
        <w:gridCol w:w="931"/>
        <w:gridCol w:w="921"/>
        <w:gridCol w:w="921"/>
      </w:tblGrid>
      <w:tr w:rsidR="007D6A0A" w:rsidRPr="00FA3A3D" w14:paraId="64740C4D" w14:textId="77777777" w:rsidTr="00B3753F">
        <w:trPr>
          <w:trHeight w:val="227"/>
          <w:tblHeader/>
        </w:trPr>
        <w:tc>
          <w:tcPr>
            <w:tcW w:w="4776" w:type="dxa"/>
            <w:tcBorders>
              <w:top w:val="single" w:sz="4" w:space="0" w:color="auto"/>
              <w:left w:val="nil"/>
              <w:bottom w:val="single" w:sz="4" w:space="0" w:color="auto"/>
              <w:right w:val="nil"/>
            </w:tcBorders>
            <w:shd w:val="clear" w:color="auto" w:fill="auto"/>
            <w:vAlign w:val="center"/>
          </w:tcPr>
          <w:p w14:paraId="01E5DF18" w14:textId="77777777" w:rsidR="007D6A0A" w:rsidRPr="00FA3A3D" w:rsidRDefault="007D6A0A" w:rsidP="007D18CC">
            <w:pPr>
              <w:ind w:left="227" w:hanging="227"/>
              <w:rPr>
                <w:rFonts w:ascii="Calibri" w:hAnsi="Calibri"/>
                <w:b/>
                <w:bCs/>
                <w:sz w:val="20"/>
                <w:szCs w:val="20"/>
                <w:lang w:eastAsia="en-AU"/>
              </w:rPr>
            </w:pPr>
            <w:r w:rsidRPr="00FA3A3D">
              <w:rPr>
                <w:rFonts w:ascii="Calibri" w:hAnsi="Calibri"/>
                <w:b/>
                <w:bCs/>
                <w:sz w:val="20"/>
                <w:szCs w:val="20"/>
                <w:lang w:eastAsia="en-AU"/>
              </w:rPr>
              <w:t>Infrastructure and capital initiatives</w:t>
            </w:r>
          </w:p>
        </w:tc>
        <w:tc>
          <w:tcPr>
            <w:tcW w:w="1163" w:type="dxa"/>
            <w:gridSpan w:val="2"/>
            <w:tcBorders>
              <w:top w:val="single" w:sz="4" w:space="0" w:color="auto"/>
              <w:left w:val="nil"/>
              <w:bottom w:val="single" w:sz="4" w:space="0" w:color="auto"/>
              <w:right w:val="nil"/>
            </w:tcBorders>
            <w:shd w:val="clear" w:color="auto" w:fill="auto"/>
          </w:tcPr>
          <w:p w14:paraId="6AAC3DF5" w14:textId="77777777" w:rsidR="007D6A0A" w:rsidRPr="00FA3A3D" w:rsidRDefault="007D6A0A" w:rsidP="007D18CC">
            <w:pPr>
              <w:jc w:val="right"/>
              <w:rPr>
                <w:rFonts w:ascii="Calibri" w:hAnsi="Calibri"/>
                <w:b/>
                <w:bCs/>
                <w:sz w:val="20"/>
                <w:szCs w:val="20"/>
                <w:lang w:eastAsia="en-US"/>
              </w:rPr>
            </w:pPr>
            <w:r w:rsidRPr="00FA3A3D">
              <w:rPr>
                <w:rFonts w:ascii="Calibri" w:hAnsi="Calibri"/>
                <w:b/>
                <w:bCs/>
                <w:sz w:val="20"/>
                <w:szCs w:val="20"/>
                <w:lang w:eastAsia="en-US"/>
              </w:rPr>
              <w:t>2019-20</w:t>
            </w:r>
          </w:p>
          <w:p w14:paraId="6CD1E095" w14:textId="77777777" w:rsidR="007D6A0A" w:rsidRPr="00FA3A3D" w:rsidRDefault="007D6A0A" w:rsidP="007D18CC">
            <w:pPr>
              <w:jc w:val="right"/>
              <w:rPr>
                <w:rFonts w:ascii="Calibri" w:hAnsi="Calibri"/>
                <w:b/>
                <w:bCs/>
                <w:sz w:val="20"/>
                <w:szCs w:val="20"/>
                <w:lang w:eastAsia="en-US"/>
              </w:rPr>
            </w:pPr>
            <w:r w:rsidRPr="00FA3A3D">
              <w:rPr>
                <w:rFonts w:ascii="Calibri" w:hAnsi="Calibri"/>
                <w:b/>
                <w:bCs/>
                <w:sz w:val="20"/>
                <w:szCs w:val="20"/>
                <w:lang w:eastAsia="en-US"/>
              </w:rPr>
              <w:t>Estimate</w:t>
            </w:r>
          </w:p>
          <w:p w14:paraId="4AA19948" w14:textId="77777777" w:rsidR="007D6A0A" w:rsidRPr="00FA3A3D" w:rsidRDefault="007D6A0A" w:rsidP="007D18CC">
            <w:pPr>
              <w:jc w:val="right"/>
              <w:rPr>
                <w:rFonts w:ascii="Calibri" w:hAnsi="Calibri"/>
                <w:b/>
                <w:bCs/>
                <w:sz w:val="20"/>
                <w:szCs w:val="20"/>
                <w:lang w:eastAsia="en-US"/>
              </w:rPr>
            </w:pPr>
            <w:r w:rsidRPr="00FA3A3D">
              <w:rPr>
                <w:rFonts w:ascii="Calibri" w:hAnsi="Calibri"/>
                <w:b/>
                <w:bCs/>
                <w:sz w:val="20"/>
                <w:szCs w:val="20"/>
                <w:lang w:eastAsia="en-US"/>
              </w:rPr>
              <w:t>$’000</w:t>
            </w:r>
          </w:p>
        </w:tc>
        <w:tc>
          <w:tcPr>
            <w:tcW w:w="926" w:type="dxa"/>
            <w:tcBorders>
              <w:top w:val="single" w:sz="4" w:space="0" w:color="auto"/>
              <w:left w:val="nil"/>
              <w:bottom w:val="single" w:sz="4" w:space="0" w:color="auto"/>
              <w:right w:val="nil"/>
            </w:tcBorders>
            <w:shd w:val="clear" w:color="auto" w:fill="auto"/>
          </w:tcPr>
          <w:p w14:paraId="34824163" w14:textId="77777777" w:rsidR="007D6A0A" w:rsidRPr="00FA3A3D" w:rsidRDefault="007D6A0A" w:rsidP="007D18CC">
            <w:pPr>
              <w:jc w:val="right"/>
              <w:rPr>
                <w:rFonts w:ascii="Calibri" w:hAnsi="Calibri"/>
                <w:b/>
                <w:bCs/>
                <w:sz w:val="20"/>
                <w:szCs w:val="20"/>
                <w:lang w:eastAsia="en-US"/>
              </w:rPr>
            </w:pPr>
            <w:r w:rsidRPr="00FA3A3D">
              <w:rPr>
                <w:rFonts w:ascii="Calibri" w:hAnsi="Calibri"/>
                <w:b/>
                <w:bCs/>
                <w:sz w:val="20"/>
                <w:szCs w:val="20"/>
                <w:lang w:eastAsia="en-US"/>
              </w:rPr>
              <w:t>2020</w:t>
            </w:r>
            <w:r w:rsidRPr="00FA3A3D">
              <w:rPr>
                <w:rFonts w:ascii="Calibri" w:hAnsi="Calibri"/>
                <w:b/>
                <w:bCs/>
                <w:sz w:val="20"/>
                <w:szCs w:val="20"/>
                <w:lang w:eastAsia="en-US"/>
              </w:rPr>
              <w:noBreakHyphen/>
              <w:t>21</w:t>
            </w:r>
          </w:p>
          <w:p w14:paraId="041351D4" w14:textId="77777777" w:rsidR="007D6A0A" w:rsidRPr="00FA3A3D" w:rsidRDefault="007D6A0A" w:rsidP="007D18CC">
            <w:pPr>
              <w:jc w:val="right"/>
              <w:rPr>
                <w:rFonts w:ascii="Calibri" w:hAnsi="Calibri"/>
                <w:b/>
                <w:bCs/>
                <w:sz w:val="20"/>
                <w:szCs w:val="20"/>
                <w:lang w:eastAsia="en-US"/>
              </w:rPr>
            </w:pPr>
            <w:r w:rsidRPr="00FA3A3D">
              <w:rPr>
                <w:rFonts w:ascii="Calibri" w:hAnsi="Calibri"/>
                <w:b/>
                <w:bCs/>
                <w:sz w:val="20"/>
                <w:szCs w:val="20"/>
                <w:lang w:eastAsia="en-US"/>
              </w:rPr>
              <w:t>Estimate</w:t>
            </w:r>
          </w:p>
          <w:p w14:paraId="7436E3D7" w14:textId="77777777" w:rsidR="007D6A0A" w:rsidRPr="00FA3A3D" w:rsidRDefault="007D6A0A" w:rsidP="007D18CC">
            <w:pPr>
              <w:jc w:val="right"/>
              <w:rPr>
                <w:rFonts w:ascii="Calibri" w:hAnsi="Calibri"/>
                <w:b/>
                <w:bCs/>
                <w:sz w:val="20"/>
                <w:szCs w:val="20"/>
                <w:lang w:eastAsia="en-US"/>
              </w:rPr>
            </w:pPr>
            <w:r w:rsidRPr="00FA3A3D">
              <w:rPr>
                <w:rFonts w:ascii="Calibri" w:hAnsi="Calibri"/>
                <w:b/>
                <w:bCs/>
                <w:sz w:val="20"/>
                <w:szCs w:val="20"/>
                <w:lang w:eastAsia="en-US"/>
              </w:rPr>
              <w:t>$’000</w:t>
            </w:r>
          </w:p>
        </w:tc>
        <w:tc>
          <w:tcPr>
            <w:tcW w:w="931" w:type="dxa"/>
            <w:tcBorders>
              <w:top w:val="single" w:sz="4" w:space="0" w:color="auto"/>
              <w:left w:val="nil"/>
              <w:bottom w:val="single" w:sz="4" w:space="0" w:color="auto"/>
              <w:right w:val="nil"/>
            </w:tcBorders>
            <w:shd w:val="clear" w:color="auto" w:fill="auto"/>
          </w:tcPr>
          <w:p w14:paraId="78CFA74A" w14:textId="77777777" w:rsidR="007D6A0A" w:rsidRPr="00FA3A3D" w:rsidRDefault="007D6A0A" w:rsidP="007D18CC">
            <w:pPr>
              <w:jc w:val="right"/>
              <w:rPr>
                <w:rFonts w:ascii="Calibri" w:hAnsi="Calibri"/>
                <w:b/>
                <w:bCs/>
                <w:sz w:val="20"/>
                <w:szCs w:val="20"/>
                <w:lang w:eastAsia="en-US"/>
              </w:rPr>
            </w:pPr>
            <w:r w:rsidRPr="00FA3A3D">
              <w:rPr>
                <w:rFonts w:ascii="Calibri" w:hAnsi="Calibri"/>
                <w:b/>
                <w:bCs/>
                <w:sz w:val="20"/>
                <w:szCs w:val="20"/>
                <w:lang w:eastAsia="en-US"/>
              </w:rPr>
              <w:t>2021-22</w:t>
            </w:r>
          </w:p>
          <w:p w14:paraId="5151A935" w14:textId="77777777" w:rsidR="007D6A0A" w:rsidRPr="00FA3A3D" w:rsidRDefault="007D6A0A" w:rsidP="007D18CC">
            <w:pPr>
              <w:jc w:val="right"/>
              <w:rPr>
                <w:rFonts w:ascii="Calibri" w:hAnsi="Calibri"/>
                <w:b/>
                <w:bCs/>
                <w:sz w:val="20"/>
                <w:szCs w:val="20"/>
                <w:lang w:eastAsia="en-US"/>
              </w:rPr>
            </w:pPr>
            <w:r w:rsidRPr="00FA3A3D">
              <w:rPr>
                <w:rFonts w:ascii="Calibri" w:hAnsi="Calibri"/>
                <w:b/>
                <w:bCs/>
                <w:sz w:val="20"/>
                <w:szCs w:val="20"/>
                <w:lang w:eastAsia="en-US"/>
              </w:rPr>
              <w:t>Estimate</w:t>
            </w:r>
          </w:p>
          <w:p w14:paraId="44D542AD" w14:textId="77777777" w:rsidR="007D6A0A" w:rsidRPr="00FA3A3D" w:rsidRDefault="007D6A0A" w:rsidP="007D18CC">
            <w:pPr>
              <w:jc w:val="right"/>
              <w:rPr>
                <w:rFonts w:ascii="Calibri" w:hAnsi="Calibri"/>
                <w:b/>
                <w:bCs/>
                <w:sz w:val="20"/>
                <w:szCs w:val="20"/>
                <w:lang w:eastAsia="en-US"/>
              </w:rPr>
            </w:pPr>
            <w:r w:rsidRPr="00FA3A3D">
              <w:rPr>
                <w:rFonts w:ascii="Calibri" w:hAnsi="Calibri"/>
                <w:b/>
                <w:bCs/>
                <w:sz w:val="20"/>
                <w:szCs w:val="20"/>
                <w:lang w:eastAsia="en-US"/>
              </w:rPr>
              <w:t>$’000</w:t>
            </w:r>
          </w:p>
        </w:tc>
        <w:tc>
          <w:tcPr>
            <w:tcW w:w="921" w:type="dxa"/>
            <w:tcBorders>
              <w:top w:val="single" w:sz="4" w:space="0" w:color="auto"/>
              <w:left w:val="nil"/>
              <w:bottom w:val="single" w:sz="4" w:space="0" w:color="auto"/>
              <w:right w:val="nil"/>
            </w:tcBorders>
          </w:tcPr>
          <w:p w14:paraId="446BBA51" w14:textId="77777777" w:rsidR="007D6A0A" w:rsidRPr="00FA3A3D" w:rsidRDefault="007D6A0A" w:rsidP="007D18CC">
            <w:pPr>
              <w:jc w:val="right"/>
              <w:rPr>
                <w:rFonts w:ascii="Calibri" w:hAnsi="Calibri"/>
                <w:b/>
                <w:bCs/>
                <w:sz w:val="20"/>
                <w:szCs w:val="20"/>
                <w:lang w:eastAsia="en-US"/>
              </w:rPr>
            </w:pPr>
            <w:r w:rsidRPr="00FA3A3D">
              <w:rPr>
                <w:rFonts w:ascii="Calibri" w:hAnsi="Calibri"/>
                <w:b/>
                <w:bCs/>
                <w:sz w:val="20"/>
                <w:szCs w:val="20"/>
                <w:lang w:eastAsia="en-US"/>
              </w:rPr>
              <w:t>2022-23</w:t>
            </w:r>
          </w:p>
          <w:p w14:paraId="73D79C99" w14:textId="77777777" w:rsidR="007D6A0A" w:rsidRPr="00FA3A3D" w:rsidRDefault="007D6A0A" w:rsidP="007D18CC">
            <w:pPr>
              <w:jc w:val="right"/>
              <w:rPr>
                <w:rFonts w:ascii="Calibri" w:hAnsi="Calibri"/>
                <w:b/>
                <w:bCs/>
                <w:sz w:val="20"/>
                <w:szCs w:val="20"/>
                <w:lang w:eastAsia="en-US"/>
              </w:rPr>
            </w:pPr>
            <w:r w:rsidRPr="00FA3A3D">
              <w:rPr>
                <w:rFonts w:ascii="Calibri" w:hAnsi="Calibri"/>
                <w:b/>
                <w:bCs/>
                <w:sz w:val="20"/>
                <w:szCs w:val="20"/>
                <w:lang w:eastAsia="en-US"/>
              </w:rPr>
              <w:t>Estimate</w:t>
            </w:r>
          </w:p>
          <w:p w14:paraId="319F9E5B" w14:textId="77777777" w:rsidR="007D6A0A" w:rsidRPr="00FA3A3D" w:rsidRDefault="007D6A0A" w:rsidP="007D18CC">
            <w:pPr>
              <w:jc w:val="right"/>
              <w:rPr>
                <w:rFonts w:ascii="Calibri" w:hAnsi="Calibri"/>
                <w:b/>
                <w:bCs/>
                <w:sz w:val="20"/>
                <w:szCs w:val="20"/>
                <w:lang w:eastAsia="en-US"/>
              </w:rPr>
            </w:pPr>
            <w:r w:rsidRPr="00FA3A3D">
              <w:rPr>
                <w:rFonts w:ascii="Calibri" w:hAnsi="Calibri"/>
                <w:b/>
                <w:bCs/>
                <w:sz w:val="20"/>
                <w:szCs w:val="20"/>
                <w:lang w:eastAsia="en-US"/>
              </w:rPr>
              <w:t>$’000</w:t>
            </w:r>
          </w:p>
        </w:tc>
        <w:tc>
          <w:tcPr>
            <w:tcW w:w="921" w:type="dxa"/>
            <w:tcBorders>
              <w:top w:val="single" w:sz="4" w:space="0" w:color="auto"/>
              <w:left w:val="nil"/>
              <w:bottom w:val="single" w:sz="4" w:space="0" w:color="auto"/>
              <w:right w:val="nil"/>
            </w:tcBorders>
          </w:tcPr>
          <w:p w14:paraId="538ADDCD" w14:textId="77777777" w:rsidR="007D6A0A" w:rsidRPr="00FA3A3D" w:rsidRDefault="007D6A0A" w:rsidP="007D18CC">
            <w:pPr>
              <w:jc w:val="right"/>
              <w:rPr>
                <w:rFonts w:ascii="Calibri" w:hAnsi="Calibri"/>
                <w:b/>
                <w:bCs/>
                <w:sz w:val="20"/>
                <w:szCs w:val="20"/>
                <w:lang w:eastAsia="en-US"/>
              </w:rPr>
            </w:pPr>
            <w:r w:rsidRPr="00FA3A3D">
              <w:rPr>
                <w:rFonts w:ascii="Calibri" w:hAnsi="Calibri"/>
                <w:b/>
                <w:bCs/>
                <w:sz w:val="20"/>
                <w:szCs w:val="20"/>
                <w:lang w:eastAsia="en-US"/>
              </w:rPr>
              <w:t xml:space="preserve">Total </w:t>
            </w:r>
          </w:p>
          <w:p w14:paraId="116BEC06" w14:textId="77777777" w:rsidR="007D6A0A" w:rsidRPr="00FA3A3D" w:rsidRDefault="007D6A0A" w:rsidP="007D18CC">
            <w:pPr>
              <w:jc w:val="right"/>
              <w:rPr>
                <w:rFonts w:ascii="Calibri" w:hAnsi="Calibri"/>
                <w:b/>
                <w:bCs/>
                <w:sz w:val="20"/>
                <w:szCs w:val="20"/>
                <w:lang w:eastAsia="en-US"/>
              </w:rPr>
            </w:pPr>
          </w:p>
          <w:p w14:paraId="744A60E4" w14:textId="77777777" w:rsidR="007D6A0A" w:rsidRPr="00FA3A3D" w:rsidRDefault="007D6A0A" w:rsidP="007D18CC">
            <w:pPr>
              <w:jc w:val="right"/>
              <w:rPr>
                <w:rFonts w:ascii="Calibri" w:hAnsi="Calibri"/>
                <w:b/>
                <w:bCs/>
                <w:sz w:val="20"/>
                <w:szCs w:val="20"/>
                <w:lang w:eastAsia="en-US"/>
              </w:rPr>
            </w:pPr>
            <w:r w:rsidRPr="00FA3A3D">
              <w:rPr>
                <w:rFonts w:ascii="Calibri" w:hAnsi="Calibri"/>
                <w:b/>
                <w:bCs/>
                <w:sz w:val="20"/>
                <w:szCs w:val="20"/>
                <w:lang w:eastAsia="en-US"/>
              </w:rPr>
              <w:t>$’000</w:t>
            </w:r>
          </w:p>
        </w:tc>
      </w:tr>
      <w:tr w:rsidR="007D6A0A" w:rsidRPr="00FA3A3D" w14:paraId="2EE708E8" w14:textId="77777777" w:rsidTr="00B3753F">
        <w:trPr>
          <w:trHeight w:val="227"/>
        </w:trPr>
        <w:tc>
          <w:tcPr>
            <w:tcW w:w="4776" w:type="dxa"/>
            <w:tcBorders>
              <w:top w:val="single" w:sz="4" w:space="0" w:color="auto"/>
              <w:left w:val="nil"/>
              <w:bottom w:val="nil"/>
              <w:right w:val="nil"/>
            </w:tcBorders>
          </w:tcPr>
          <w:p w14:paraId="5308E161" w14:textId="77777777" w:rsidR="007D6A0A" w:rsidRPr="00FA3A3D" w:rsidRDefault="007D6A0A" w:rsidP="007D18CC">
            <w:pPr>
              <w:ind w:left="227" w:hanging="227"/>
              <w:rPr>
                <w:rFonts w:ascii="Calibri" w:hAnsi="Calibri"/>
                <w:b/>
                <w:bCs/>
                <w:sz w:val="20"/>
                <w:szCs w:val="20"/>
                <w:lang w:val="x-none" w:eastAsia="en-US"/>
              </w:rPr>
            </w:pPr>
          </w:p>
        </w:tc>
        <w:tc>
          <w:tcPr>
            <w:tcW w:w="1163" w:type="dxa"/>
            <w:gridSpan w:val="2"/>
            <w:tcBorders>
              <w:top w:val="single" w:sz="4" w:space="0" w:color="auto"/>
              <w:left w:val="nil"/>
              <w:bottom w:val="nil"/>
              <w:right w:val="nil"/>
            </w:tcBorders>
          </w:tcPr>
          <w:p w14:paraId="16BB264D" w14:textId="77777777" w:rsidR="007D6A0A" w:rsidRPr="00FA3A3D" w:rsidRDefault="007D6A0A" w:rsidP="007D18CC">
            <w:pPr>
              <w:jc w:val="right"/>
              <w:rPr>
                <w:rFonts w:ascii="Calibri" w:hAnsi="Calibri" w:cs="Calibri"/>
                <w:color w:val="FFFFFF"/>
                <w:sz w:val="12"/>
                <w:szCs w:val="20"/>
                <w:lang w:eastAsia="en-US"/>
              </w:rPr>
            </w:pPr>
          </w:p>
        </w:tc>
        <w:tc>
          <w:tcPr>
            <w:tcW w:w="926" w:type="dxa"/>
            <w:tcBorders>
              <w:top w:val="single" w:sz="4" w:space="0" w:color="auto"/>
              <w:left w:val="nil"/>
              <w:bottom w:val="nil"/>
              <w:right w:val="nil"/>
            </w:tcBorders>
          </w:tcPr>
          <w:p w14:paraId="24B90635" w14:textId="77777777" w:rsidR="007D6A0A" w:rsidRPr="00FA3A3D" w:rsidRDefault="007D6A0A" w:rsidP="007D18CC">
            <w:pPr>
              <w:jc w:val="right"/>
              <w:rPr>
                <w:rFonts w:ascii="Calibri" w:hAnsi="Calibri" w:cs="Calibri"/>
                <w:color w:val="FFFFFF"/>
                <w:sz w:val="12"/>
                <w:szCs w:val="20"/>
                <w:lang w:eastAsia="en-US"/>
              </w:rPr>
            </w:pPr>
          </w:p>
        </w:tc>
        <w:tc>
          <w:tcPr>
            <w:tcW w:w="931" w:type="dxa"/>
            <w:tcBorders>
              <w:top w:val="single" w:sz="4" w:space="0" w:color="auto"/>
              <w:left w:val="nil"/>
              <w:bottom w:val="nil"/>
              <w:right w:val="nil"/>
            </w:tcBorders>
          </w:tcPr>
          <w:p w14:paraId="692FD580" w14:textId="77777777" w:rsidR="007D6A0A" w:rsidRPr="00FA3A3D" w:rsidRDefault="007D6A0A" w:rsidP="007D18CC">
            <w:pPr>
              <w:jc w:val="right"/>
              <w:rPr>
                <w:rFonts w:ascii="Calibri" w:hAnsi="Calibri" w:cs="Calibri"/>
                <w:color w:val="FFFFFF"/>
                <w:sz w:val="12"/>
                <w:szCs w:val="20"/>
                <w:lang w:eastAsia="en-US"/>
              </w:rPr>
            </w:pPr>
          </w:p>
        </w:tc>
        <w:tc>
          <w:tcPr>
            <w:tcW w:w="921" w:type="dxa"/>
            <w:tcBorders>
              <w:top w:val="single" w:sz="4" w:space="0" w:color="auto"/>
              <w:left w:val="nil"/>
              <w:bottom w:val="nil"/>
              <w:right w:val="nil"/>
            </w:tcBorders>
          </w:tcPr>
          <w:p w14:paraId="6B1E7CD1" w14:textId="77777777" w:rsidR="007D6A0A" w:rsidRPr="00FA3A3D" w:rsidRDefault="007D6A0A" w:rsidP="007D18CC">
            <w:pPr>
              <w:jc w:val="right"/>
              <w:rPr>
                <w:rFonts w:ascii="Calibri" w:hAnsi="Calibri" w:cs="Calibri"/>
                <w:color w:val="FFFFFF"/>
                <w:sz w:val="12"/>
                <w:szCs w:val="20"/>
                <w:lang w:eastAsia="en-US"/>
              </w:rPr>
            </w:pPr>
          </w:p>
        </w:tc>
        <w:tc>
          <w:tcPr>
            <w:tcW w:w="921" w:type="dxa"/>
            <w:tcBorders>
              <w:top w:val="single" w:sz="4" w:space="0" w:color="auto"/>
              <w:left w:val="nil"/>
              <w:bottom w:val="nil"/>
              <w:right w:val="nil"/>
            </w:tcBorders>
          </w:tcPr>
          <w:p w14:paraId="0BA75EA8" w14:textId="77777777" w:rsidR="007D6A0A" w:rsidRPr="00FA3A3D" w:rsidRDefault="007D6A0A" w:rsidP="007D18CC">
            <w:pPr>
              <w:jc w:val="right"/>
              <w:rPr>
                <w:rFonts w:ascii="Calibri" w:hAnsi="Calibri" w:cs="Calibri"/>
                <w:color w:val="FFFFFF"/>
                <w:sz w:val="12"/>
                <w:szCs w:val="20"/>
                <w:lang w:eastAsia="en-US"/>
              </w:rPr>
            </w:pPr>
          </w:p>
        </w:tc>
      </w:tr>
      <w:tr w:rsidR="007D6A0A" w:rsidRPr="00FA3A3D" w14:paraId="797F28D8" w14:textId="77777777" w:rsidTr="00B3753F">
        <w:trPr>
          <w:trHeight w:val="227"/>
        </w:trPr>
        <w:tc>
          <w:tcPr>
            <w:tcW w:w="4783" w:type="dxa"/>
            <w:gridSpan w:val="2"/>
            <w:tcBorders>
              <w:left w:val="nil"/>
              <w:bottom w:val="nil"/>
              <w:right w:val="nil"/>
            </w:tcBorders>
          </w:tcPr>
          <w:p w14:paraId="704D76C2" w14:textId="77777777" w:rsidR="007D6A0A" w:rsidRPr="00FA3A3D" w:rsidRDefault="007D6A0A" w:rsidP="007D18CC">
            <w:pPr>
              <w:ind w:left="227" w:hanging="227"/>
              <w:rPr>
                <w:rFonts w:ascii="Calibri" w:hAnsi="Calibri"/>
                <w:b/>
                <w:bCs/>
                <w:sz w:val="20"/>
                <w:szCs w:val="20"/>
                <w:lang w:eastAsia="en-AU"/>
              </w:rPr>
            </w:pPr>
            <w:r w:rsidRPr="00FA3A3D">
              <w:rPr>
                <w:rFonts w:ascii="Calibri" w:hAnsi="Calibri"/>
                <w:b/>
                <w:bCs/>
                <w:sz w:val="20"/>
                <w:szCs w:val="20"/>
                <w:lang w:eastAsia="en-AU"/>
              </w:rPr>
              <w:t>Environment, Planning and Sustainable Development Directorate</w:t>
            </w:r>
          </w:p>
        </w:tc>
        <w:tc>
          <w:tcPr>
            <w:tcW w:w="1156" w:type="dxa"/>
            <w:tcBorders>
              <w:left w:val="nil"/>
              <w:bottom w:val="nil"/>
              <w:right w:val="nil"/>
            </w:tcBorders>
          </w:tcPr>
          <w:p w14:paraId="66D1DF71" w14:textId="77777777" w:rsidR="007D6A0A" w:rsidRPr="00FA3A3D" w:rsidRDefault="007D6A0A" w:rsidP="007D18CC">
            <w:pPr>
              <w:ind w:left="227" w:hanging="227"/>
              <w:jc w:val="right"/>
              <w:rPr>
                <w:rFonts w:ascii="Calibri" w:hAnsi="Calibri"/>
                <w:b/>
                <w:sz w:val="20"/>
                <w:szCs w:val="20"/>
                <w:lang w:eastAsia="en-AU"/>
              </w:rPr>
            </w:pPr>
          </w:p>
        </w:tc>
        <w:tc>
          <w:tcPr>
            <w:tcW w:w="926" w:type="dxa"/>
            <w:tcBorders>
              <w:left w:val="nil"/>
              <w:bottom w:val="nil"/>
              <w:right w:val="nil"/>
            </w:tcBorders>
          </w:tcPr>
          <w:p w14:paraId="1C75F2B5" w14:textId="77777777" w:rsidR="007D6A0A" w:rsidRPr="00FA3A3D" w:rsidRDefault="007D6A0A" w:rsidP="007D18CC">
            <w:pPr>
              <w:ind w:left="227" w:hanging="227"/>
              <w:jc w:val="right"/>
              <w:rPr>
                <w:rFonts w:ascii="Calibri" w:hAnsi="Calibri"/>
                <w:b/>
                <w:sz w:val="20"/>
                <w:szCs w:val="20"/>
                <w:lang w:eastAsia="en-AU"/>
              </w:rPr>
            </w:pPr>
          </w:p>
        </w:tc>
        <w:tc>
          <w:tcPr>
            <w:tcW w:w="931" w:type="dxa"/>
            <w:tcBorders>
              <w:left w:val="nil"/>
              <w:bottom w:val="nil"/>
              <w:right w:val="nil"/>
            </w:tcBorders>
          </w:tcPr>
          <w:p w14:paraId="73ECB882" w14:textId="77777777" w:rsidR="007D6A0A" w:rsidRPr="00FA3A3D" w:rsidRDefault="007D6A0A" w:rsidP="007D18CC">
            <w:pPr>
              <w:ind w:left="227" w:hanging="227"/>
              <w:jc w:val="right"/>
              <w:rPr>
                <w:rFonts w:ascii="Calibri" w:hAnsi="Calibri"/>
                <w:b/>
                <w:sz w:val="20"/>
                <w:szCs w:val="20"/>
                <w:lang w:eastAsia="en-AU"/>
              </w:rPr>
            </w:pPr>
          </w:p>
        </w:tc>
        <w:tc>
          <w:tcPr>
            <w:tcW w:w="921" w:type="dxa"/>
            <w:tcBorders>
              <w:left w:val="nil"/>
              <w:bottom w:val="nil"/>
              <w:right w:val="nil"/>
            </w:tcBorders>
          </w:tcPr>
          <w:p w14:paraId="5B6F3A40" w14:textId="77777777" w:rsidR="007D6A0A" w:rsidRPr="00FA3A3D" w:rsidRDefault="007D6A0A" w:rsidP="007D18CC">
            <w:pPr>
              <w:ind w:left="227" w:hanging="227"/>
              <w:jc w:val="right"/>
              <w:rPr>
                <w:rFonts w:ascii="Calibri" w:hAnsi="Calibri"/>
                <w:b/>
                <w:sz w:val="20"/>
                <w:szCs w:val="20"/>
                <w:lang w:eastAsia="en-AU"/>
              </w:rPr>
            </w:pPr>
          </w:p>
        </w:tc>
        <w:tc>
          <w:tcPr>
            <w:tcW w:w="921" w:type="dxa"/>
            <w:tcBorders>
              <w:left w:val="nil"/>
              <w:bottom w:val="nil"/>
              <w:right w:val="nil"/>
            </w:tcBorders>
          </w:tcPr>
          <w:p w14:paraId="551AA029" w14:textId="77777777" w:rsidR="007D6A0A" w:rsidRPr="00FA3A3D" w:rsidRDefault="007D6A0A" w:rsidP="007D18CC">
            <w:pPr>
              <w:ind w:left="227" w:hanging="227"/>
              <w:jc w:val="right"/>
              <w:rPr>
                <w:rFonts w:ascii="Calibri" w:hAnsi="Calibri"/>
                <w:b/>
                <w:sz w:val="20"/>
                <w:szCs w:val="20"/>
                <w:lang w:eastAsia="en-AU"/>
              </w:rPr>
            </w:pPr>
          </w:p>
        </w:tc>
      </w:tr>
      <w:tr w:rsidR="007D6A0A" w:rsidRPr="00FA3A3D" w14:paraId="63842A5A" w14:textId="77777777" w:rsidTr="00B3753F">
        <w:trPr>
          <w:trHeight w:val="227"/>
        </w:trPr>
        <w:tc>
          <w:tcPr>
            <w:tcW w:w="4783" w:type="dxa"/>
            <w:gridSpan w:val="2"/>
          </w:tcPr>
          <w:p w14:paraId="1E4EF283" w14:textId="77777777" w:rsidR="007D6A0A" w:rsidRPr="00FA3A3D" w:rsidRDefault="007D6A0A" w:rsidP="007D18CC">
            <w:pPr>
              <w:ind w:left="227" w:hanging="227"/>
              <w:rPr>
                <w:rFonts w:ascii="Calibri" w:hAnsi="Calibri"/>
                <w:bCs/>
                <w:color w:val="000000"/>
                <w:sz w:val="20"/>
                <w:szCs w:val="20"/>
                <w:lang w:eastAsia="en-AU"/>
              </w:rPr>
            </w:pPr>
            <w:r w:rsidRPr="00FA3A3D">
              <w:rPr>
                <w:rFonts w:ascii="Calibri" w:hAnsi="Calibri"/>
                <w:bCs/>
                <w:color w:val="000000"/>
                <w:sz w:val="20"/>
                <w:szCs w:val="20"/>
                <w:lang w:eastAsia="en-AU"/>
              </w:rPr>
              <w:t xml:space="preserve">Better toilet facilities – </w:t>
            </w:r>
            <w:proofErr w:type="spellStart"/>
            <w:r w:rsidRPr="00FA3A3D">
              <w:rPr>
                <w:rFonts w:ascii="Calibri" w:hAnsi="Calibri"/>
                <w:bCs/>
                <w:color w:val="000000"/>
                <w:sz w:val="20"/>
                <w:szCs w:val="20"/>
                <w:lang w:eastAsia="en-AU"/>
              </w:rPr>
              <w:t>Orroral</w:t>
            </w:r>
            <w:proofErr w:type="spellEnd"/>
            <w:r w:rsidRPr="00FA3A3D">
              <w:rPr>
                <w:rFonts w:ascii="Calibri" w:hAnsi="Calibri"/>
                <w:bCs/>
                <w:color w:val="000000"/>
                <w:sz w:val="20"/>
                <w:szCs w:val="20"/>
                <w:lang w:eastAsia="en-AU"/>
              </w:rPr>
              <w:t xml:space="preserve"> Valley Campground </w:t>
            </w:r>
          </w:p>
        </w:tc>
        <w:tc>
          <w:tcPr>
            <w:tcW w:w="1156" w:type="dxa"/>
          </w:tcPr>
          <w:p w14:paraId="55BA51CC" w14:textId="77777777" w:rsidR="007D6A0A" w:rsidRPr="00FA3A3D" w:rsidRDefault="007D6A0A" w:rsidP="007D18CC">
            <w:pPr>
              <w:ind w:left="227" w:hanging="227"/>
              <w:jc w:val="right"/>
              <w:rPr>
                <w:rFonts w:ascii="Calibri" w:hAnsi="Calibri"/>
                <w:sz w:val="20"/>
                <w:szCs w:val="20"/>
                <w:lang w:eastAsia="en-AU"/>
              </w:rPr>
            </w:pPr>
            <w:r w:rsidRPr="00FA3A3D">
              <w:rPr>
                <w:rFonts w:ascii="Calibri" w:hAnsi="Calibri"/>
                <w:sz w:val="20"/>
                <w:szCs w:val="20"/>
                <w:lang w:eastAsia="en-AU"/>
              </w:rPr>
              <w:t>185</w:t>
            </w:r>
          </w:p>
        </w:tc>
        <w:tc>
          <w:tcPr>
            <w:tcW w:w="926" w:type="dxa"/>
          </w:tcPr>
          <w:p w14:paraId="67E0E084" w14:textId="77777777" w:rsidR="007D6A0A" w:rsidRPr="00FA3A3D" w:rsidRDefault="007D6A0A" w:rsidP="007D18CC">
            <w:pPr>
              <w:ind w:left="227" w:hanging="227"/>
              <w:jc w:val="right"/>
              <w:rPr>
                <w:rFonts w:ascii="Calibri" w:hAnsi="Calibri"/>
                <w:sz w:val="20"/>
                <w:szCs w:val="20"/>
                <w:lang w:eastAsia="en-AU"/>
              </w:rPr>
            </w:pPr>
            <w:r w:rsidRPr="00FA3A3D">
              <w:rPr>
                <w:rFonts w:ascii="Calibri" w:hAnsi="Calibri"/>
                <w:sz w:val="20"/>
                <w:szCs w:val="20"/>
                <w:lang w:eastAsia="en-AU"/>
              </w:rPr>
              <w:t>0</w:t>
            </w:r>
          </w:p>
        </w:tc>
        <w:tc>
          <w:tcPr>
            <w:tcW w:w="931" w:type="dxa"/>
          </w:tcPr>
          <w:p w14:paraId="391206E3" w14:textId="77777777" w:rsidR="007D6A0A" w:rsidRPr="00FA3A3D" w:rsidRDefault="007D6A0A" w:rsidP="007D18CC">
            <w:pPr>
              <w:ind w:left="227" w:hanging="227"/>
              <w:jc w:val="right"/>
              <w:rPr>
                <w:rFonts w:ascii="Calibri" w:hAnsi="Calibri"/>
                <w:sz w:val="20"/>
                <w:szCs w:val="20"/>
                <w:lang w:eastAsia="en-AU"/>
              </w:rPr>
            </w:pPr>
            <w:r w:rsidRPr="00FA3A3D">
              <w:rPr>
                <w:rFonts w:ascii="Calibri" w:hAnsi="Calibri"/>
                <w:sz w:val="20"/>
                <w:szCs w:val="20"/>
                <w:lang w:eastAsia="en-AU"/>
              </w:rPr>
              <w:t>0</w:t>
            </w:r>
          </w:p>
        </w:tc>
        <w:tc>
          <w:tcPr>
            <w:tcW w:w="921" w:type="dxa"/>
          </w:tcPr>
          <w:p w14:paraId="039F11A1" w14:textId="77777777" w:rsidR="007D6A0A" w:rsidRPr="00FA3A3D" w:rsidRDefault="007D6A0A" w:rsidP="007D18CC">
            <w:pPr>
              <w:ind w:left="227" w:hanging="227"/>
              <w:jc w:val="right"/>
              <w:rPr>
                <w:rFonts w:ascii="Calibri" w:hAnsi="Calibri"/>
                <w:sz w:val="20"/>
                <w:szCs w:val="20"/>
                <w:lang w:eastAsia="en-AU"/>
              </w:rPr>
            </w:pPr>
            <w:r w:rsidRPr="00FA3A3D">
              <w:rPr>
                <w:rFonts w:ascii="Calibri" w:hAnsi="Calibri"/>
                <w:sz w:val="20"/>
                <w:szCs w:val="20"/>
                <w:lang w:eastAsia="en-AU"/>
              </w:rPr>
              <w:t>0</w:t>
            </w:r>
          </w:p>
        </w:tc>
        <w:tc>
          <w:tcPr>
            <w:tcW w:w="921" w:type="dxa"/>
          </w:tcPr>
          <w:p w14:paraId="0873F4D4" w14:textId="77777777" w:rsidR="007D6A0A" w:rsidRPr="00FA3A3D" w:rsidRDefault="007D6A0A" w:rsidP="007D18CC">
            <w:pPr>
              <w:ind w:left="227" w:hanging="227"/>
              <w:jc w:val="right"/>
              <w:rPr>
                <w:rFonts w:ascii="Calibri" w:hAnsi="Calibri"/>
                <w:sz w:val="20"/>
                <w:szCs w:val="20"/>
                <w:lang w:eastAsia="en-AU"/>
              </w:rPr>
            </w:pPr>
            <w:r w:rsidRPr="00FA3A3D">
              <w:rPr>
                <w:rFonts w:ascii="Calibri" w:hAnsi="Calibri"/>
                <w:sz w:val="20"/>
                <w:szCs w:val="20"/>
                <w:lang w:eastAsia="en-AU"/>
              </w:rPr>
              <w:t>185</w:t>
            </w:r>
          </w:p>
        </w:tc>
      </w:tr>
      <w:tr w:rsidR="007D6A0A" w:rsidRPr="00FA3A3D" w14:paraId="73E83C62" w14:textId="77777777" w:rsidTr="00B3753F">
        <w:trPr>
          <w:trHeight w:val="227"/>
        </w:trPr>
        <w:tc>
          <w:tcPr>
            <w:tcW w:w="4783" w:type="dxa"/>
            <w:gridSpan w:val="2"/>
            <w:tcBorders>
              <w:left w:val="nil"/>
              <w:bottom w:val="nil"/>
              <w:right w:val="nil"/>
            </w:tcBorders>
          </w:tcPr>
          <w:p w14:paraId="6059A785" w14:textId="57EA1FD7" w:rsidR="007D6A0A" w:rsidRPr="00FA3A3D" w:rsidRDefault="007D6A0A" w:rsidP="007D18CC">
            <w:pPr>
              <w:ind w:left="227" w:hanging="227"/>
              <w:rPr>
                <w:rFonts w:ascii="Calibri" w:hAnsi="Calibri"/>
                <w:bCs/>
                <w:color w:val="000000"/>
                <w:sz w:val="20"/>
                <w:szCs w:val="20"/>
                <w:lang w:eastAsia="en-AU"/>
              </w:rPr>
            </w:pPr>
            <w:r w:rsidRPr="00FA3A3D">
              <w:rPr>
                <w:rFonts w:ascii="Calibri" w:hAnsi="Calibri"/>
                <w:bCs/>
                <w:color w:val="000000"/>
                <w:sz w:val="20"/>
                <w:szCs w:val="20"/>
                <w:lang w:eastAsia="en-AU"/>
              </w:rPr>
              <w:t>Delivering better community facilities for Woden Town Centre</w:t>
            </w:r>
            <w:r w:rsidR="000F30E1">
              <w:rPr>
                <w:rFonts w:ascii="Calibri" w:hAnsi="Calibri"/>
                <w:bCs/>
                <w:color w:val="000000"/>
                <w:sz w:val="20"/>
                <w:szCs w:val="20"/>
                <w:lang w:eastAsia="en-AU"/>
              </w:rPr>
              <w:t xml:space="preserve"> </w:t>
            </w:r>
          </w:p>
        </w:tc>
        <w:tc>
          <w:tcPr>
            <w:tcW w:w="1156" w:type="dxa"/>
            <w:tcBorders>
              <w:top w:val="nil"/>
              <w:left w:val="nil"/>
              <w:bottom w:val="nil"/>
              <w:right w:val="nil"/>
            </w:tcBorders>
            <w:shd w:val="clear" w:color="auto" w:fill="auto"/>
          </w:tcPr>
          <w:p w14:paraId="6A7C7793" w14:textId="77777777" w:rsidR="007D6A0A" w:rsidRPr="00FA3A3D" w:rsidRDefault="007D6A0A" w:rsidP="007D18CC">
            <w:pPr>
              <w:ind w:left="227" w:hanging="227"/>
              <w:jc w:val="right"/>
              <w:rPr>
                <w:rFonts w:ascii="Calibri" w:hAnsi="Calibri"/>
                <w:sz w:val="20"/>
                <w:szCs w:val="20"/>
                <w:lang w:eastAsia="en-AU"/>
              </w:rPr>
            </w:pPr>
            <w:r w:rsidRPr="00FA3A3D">
              <w:rPr>
                <w:rFonts w:ascii="Calibri" w:hAnsi="Calibri"/>
                <w:sz w:val="20"/>
                <w:szCs w:val="20"/>
                <w:lang w:eastAsia="en-AU"/>
              </w:rPr>
              <w:t>300</w:t>
            </w:r>
          </w:p>
        </w:tc>
        <w:tc>
          <w:tcPr>
            <w:tcW w:w="926" w:type="dxa"/>
            <w:tcBorders>
              <w:top w:val="nil"/>
              <w:left w:val="nil"/>
              <w:bottom w:val="nil"/>
              <w:right w:val="nil"/>
            </w:tcBorders>
            <w:shd w:val="clear" w:color="auto" w:fill="auto"/>
          </w:tcPr>
          <w:p w14:paraId="44042F93" w14:textId="77777777" w:rsidR="007D6A0A" w:rsidRPr="00FA3A3D" w:rsidRDefault="007D6A0A" w:rsidP="007D18CC">
            <w:pPr>
              <w:ind w:left="227" w:hanging="227"/>
              <w:jc w:val="right"/>
              <w:rPr>
                <w:rFonts w:ascii="Calibri" w:hAnsi="Calibri"/>
                <w:sz w:val="20"/>
                <w:szCs w:val="20"/>
                <w:lang w:eastAsia="en-AU"/>
              </w:rPr>
            </w:pPr>
            <w:r w:rsidRPr="00FA3A3D">
              <w:rPr>
                <w:rFonts w:ascii="Calibri" w:hAnsi="Calibri"/>
                <w:sz w:val="20"/>
                <w:szCs w:val="20"/>
                <w:lang w:eastAsia="en-AU"/>
              </w:rPr>
              <w:t>1,450</w:t>
            </w:r>
          </w:p>
        </w:tc>
        <w:tc>
          <w:tcPr>
            <w:tcW w:w="931" w:type="dxa"/>
            <w:tcBorders>
              <w:top w:val="nil"/>
              <w:left w:val="nil"/>
              <w:bottom w:val="nil"/>
              <w:right w:val="nil"/>
            </w:tcBorders>
            <w:shd w:val="clear" w:color="auto" w:fill="auto"/>
          </w:tcPr>
          <w:p w14:paraId="6FA1E6D4" w14:textId="77777777" w:rsidR="007D6A0A" w:rsidRPr="00FA3A3D" w:rsidRDefault="007D6A0A" w:rsidP="007D18CC">
            <w:pPr>
              <w:ind w:left="227" w:hanging="227"/>
              <w:jc w:val="right"/>
              <w:rPr>
                <w:rFonts w:ascii="Calibri" w:hAnsi="Calibri"/>
                <w:sz w:val="20"/>
                <w:szCs w:val="20"/>
                <w:lang w:eastAsia="en-AU"/>
              </w:rPr>
            </w:pPr>
            <w:r w:rsidRPr="00FA3A3D">
              <w:rPr>
                <w:rFonts w:ascii="Calibri" w:hAnsi="Calibri"/>
                <w:sz w:val="20"/>
                <w:szCs w:val="20"/>
                <w:lang w:eastAsia="en-AU"/>
              </w:rPr>
              <w:t>0</w:t>
            </w:r>
          </w:p>
        </w:tc>
        <w:tc>
          <w:tcPr>
            <w:tcW w:w="921" w:type="dxa"/>
            <w:tcBorders>
              <w:top w:val="nil"/>
              <w:left w:val="nil"/>
              <w:bottom w:val="nil"/>
              <w:right w:val="nil"/>
            </w:tcBorders>
            <w:shd w:val="clear" w:color="auto" w:fill="auto"/>
          </w:tcPr>
          <w:p w14:paraId="31213759" w14:textId="77777777" w:rsidR="007D6A0A" w:rsidRPr="00FA3A3D" w:rsidRDefault="007D6A0A" w:rsidP="007D18CC">
            <w:pPr>
              <w:ind w:left="227" w:hanging="227"/>
              <w:jc w:val="right"/>
              <w:rPr>
                <w:rFonts w:ascii="Calibri" w:hAnsi="Calibri"/>
                <w:sz w:val="20"/>
                <w:szCs w:val="20"/>
                <w:lang w:eastAsia="en-AU"/>
              </w:rPr>
            </w:pPr>
            <w:r w:rsidRPr="00FA3A3D">
              <w:rPr>
                <w:rFonts w:ascii="Calibri" w:hAnsi="Calibri"/>
                <w:sz w:val="20"/>
                <w:szCs w:val="20"/>
                <w:lang w:eastAsia="en-AU"/>
              </w:rPr>
              <w:t>0</w:t>
            </w:r>
          </w:p>
        </w:tc>
        <w:tc>
          <w:tcPr>
            <w:tcW w:w="921" w:type="dxa"/>
            <w:tcBorders>
              <w:top w:val="nil"/>
              <w:left w:val="nil"/>
              <w:bottom w:val="nil"/>
              <w:right w:val="nil"/>
            </w:tcBorders>
            <w:shd w:val="clear" w:color="auto" w:fill="auto"/>
          </w:tcPr>
          <w:p w14:paraId="62550D33" w14:textId="77777777" w:rsidR="007D6A0A" w:rsidRPr="00FA3A3D" w:rsidRDefault="007D6A0A" w:rsidP="007D18CC">
            <w:pPr>
              <w:ind w:left="227" w:hanging="227"/>
              <w:jc w:val="right"/>
              <w:rPr>
                <w:rFonts w:ascii="Calibri" w:hAnsi="Calibri"/>
                <w:sz w:val="20"/>
                <w:szCs w:val="20"/>
                <w:lang w:eastAsia="en-AU"/>
              </w:rPr>
            </w:pPr>
            <w:r w:rsidRPr="00FA3A3D">
              <w:rPr>
                <w:rFonts w:ascii="Calibri" w:hAnsi="Calibri"/>
                <w:sz w:val="20"/>
                <w:szCs w:val="20"/>
                <w:lang w:eastAsia="en-AU"/>
              </w:rPr>
              <w:t>1,750</w:t>
            </w:r>
          </w:p>
        </w:tc>
      </w:tr>
      <w:tr w:rsidR="007D6A0A" w:rsidRPr="00FA3A3D" w14:paraId="1DD9A8C4" w14:textId="77777777" w:rsidTr="00B3753F">
        <w:trPr>
          <w:trHeight w:val="227"/>
        </w:trPr>
        <w:tc>
          <w:tcPr>
            <w:tcW w:w="4783" w:type="dxa"/>
            <w:gridSpan w:val="2"/>
            <w:tcBorders>
              <w:left w:val="nil"/>
              <w:bottom w:val="nil"/>
              <w:right w:val="nil"/>
            </w:tcBorders>
          </w:tcPr>
          <w:p w14:paraId="2F617A28" w14:textId="77777777" w:rsidR="007D6A0A" w:rsidRPr="00FA3A3D" w:rsidRDefault="007D6A0A" w:rsidP="007D18CC">
            <w:pPr>
              <w:ind w:left="227" w:hanging="227"/>
              <w:rPr>
                <w:rFonts w:ascii="Calibri" w:hAnsi="Calibri"/>
                <w:bCs/>
                <w:color w:val="000000"/>
                <w:sz w:val="20"/>
                <w:szCs w:val="20"/>
                <w:lang w:eastAsia="en-AU"/>
              </w:rPr>
            </w:pPr>
            <w:r w:rsidRPr="00FA3A3D">
              <w:rPr>
                <w:rFonts w:ascii="Calibri" w:hAnsi="Calibri"/>
                <w:bCs/>
                <w:color w:val="000000"/>
                <w:sz w:val="20"/>
                <w:szCs w:val="20"/>
                <w:lang w:eastAsia="en-AU"/>
              </w:rPr>
              <w:t>New walking trails – Tidbinbilla Nature Reserve</w:t>
            </w:r>
          </w:p>
        </w:tc>
        <w:tc>
          <w:tcPr>
            <w:tcW w:w="1156" w:type="dxa"/>
            <w:tcBorders>
              <w:top w:val="nil"/>
              <w:left w:val="nil"/>
              <w:bottom w:val="nil"/>
              <w:right w:val="nil"/>
            </w:tcBorders>
            <w:shd w:val="clear" w:color="auto" w:fill="auto"/>
          </w:tcPr>
          <w:p w14:paraId="4998226D" w14:textId="77777777" w:rsidR="007D6A0A" w:rsidRPr="00FA3A3D" w:rsidRDefault="007D6A0A" w:rsidP="007D18CC">
            <w:pPr>
              <w:ind w:left="227" w:hanging="227"/>
              <w:jc w:val="right"/>
              <w:rPr>
                <w:rFonts w:ascii="Calibri" w:hAnsi="Calibri"/>
                <w:sz w:val="20"/>
                <w:szCs w:val="20"/>
                <w:lang w:eastAsia="en-AU"/>
              </w:rPr>
            </w:pPr>
            <w:r w:rsidRPr="00FA3A3D">
              <w:rPr>
                <w:rFonts w:ascii="Calibri" w:hAnsi="Calibri"/>
                <w:sz w:val="20"/>
                <w:szCs w:val="20"/>
                <w:lang w:eastAsia="en-AU"/>
              </w:rPr>
              <w:t>60</w:t>
            </w:r>
          </w:p>
        </w:tc>
        <w:tc>
          <w:tcPr>
            <w:tcW w:w="926" w:type="dxa"/>
            <w:tcBorders>
              <w:top w:val="nil"/>
              <w:left w:val="nil"/>
              <w:bottom w:val="nil"/>
              <w:right w:val="nil"/>
            </w:tcBorders>
            <w:shd w:val="clear" w:color="auto" w:fill="auto"/>
          </w:tcPr>
          <w:p w14:paraId="6C6D9DE4" w14:textId="77777777" w:rsidR="007D6A0A" w:rsidRPr="00FA3A3D" w:rsidRDefault="007D6A0A" w:rsidP="007D18CC">
            <w:pPr>
              <w:ind w:left="227" w:hanging="227"/>
              <w:jc w:val="right"/>
              <w:rPr>
                <w:rFonts w:ascii="Calibri" w:hAnsi="Calibri"/>
                <w:sz w:val="20"/>
                <w:szCs w:val="20"/>
                <w:lang w:eastAsia="en-AU"/>
              </w:rPr>
            </w:pPr>
            <w:r w:rsidRPr="00FA3A3D">
              <w:rPr>
                <w:rFonts w:ascii="Calibri" w:hAnsi="Calibri"/>
                <w:sz w:val="20"/>
                <w:szCs w:val="20"/>
                <w:lang w:eastAsia="en-AU"/>
              </w:rPr>
              <w:t>0</w:t>
            </w:r>
          </w:p>
        </w:tc>
        <w:tc>
          <w:tcPr>
            <w:tcW w:w="931" w:type="dxa"/>
            <w:tcBorders>
              <w:top w:val="nil"/>
              <w:left w:val="nil"/>
              <w:bottom w:val="nil"/>
              <w:right w:val="nil"/>
            </w:tcBorders>
            <w:shd w:val="clear" w:color="auto" w:fill="auto"/>
          </w:tcPr>
          <w:p w14:paraId="444F1C0E" w14:textId="77777777" w:rsidR="007D6A0A" w:rsidRPr="00FA3A3D" w:rsidRDefault="007D6A0A" w:rsidP="007D18CC">
            <w:pPr>
              <w:ind w:left="227" w:hanging="227"/>
              <w:jc w:val="right"/>
              <w:rPr>
                <w:rFonts w:ascii="Calibri" w:hAnsi="Calibri"/>
                <w:sz w:val="20"/>
                <w:szCs w:val="20"/>
                <w:lang w:eastAsia="en-AU"/>
              </w:rPr>
            </w:pPr>
            <w:r w:rsidRPr="00FA3A3D">
              <w:rPr>
                <w:rFonts w:ascii="Calibri" w:hAnsi="Calibri"/>
                <w:sz w:val="20"/>
                <w:szCs w:val="20"/>
                <w:lang w:eastAsia="en-AU"/>
              </w:rPr>
              <w:t>0</w:t>
            </w:r>
          </w:p>
        </w:tc>
        <w:tc>
          <w:tcPr>
            <w:tcW w:w="921" w:type="dxa"/>
            <w:tcBorders>
              <w:top w:val="nil"/>
              <w:left w:val="nil"/>
              <w:bottom w:val="nil"/>
              <w:right w:val="nil"/>
            </w:tcBorders>
            <w:shd w:val="clear" w:color="auto" w:fill="auto"/>
          </w:tcPr>
          <w:p w14:paraId="29F4120A" w14:textId="77777777" w:rsidR="007D6A0A" w:rsidRPr="00FA3A3D" w:rsidRDefault="007D6A0A" w:rsidP="007D18CC">
            <w:pPr>
              <w:ind w:left="227" w:hanging="227"/>
              <w:jc w:val="right"/>
              <w:rPr>
                <w:rFonts w:ascii="Calibri" w:hAnsi="Calibri"/>
                <w:sz w:val="20"/>
                <w:szCs w:val="20"/>
                <w:lang w:eastAsia="en-AU"/>
              </w:rPr>
            </w:pPr>
            <w:r w:rsidRPr="00FA3A3D">
              <w:rPr>
                <w:rFonts w:ascii="Calibri" w:hAnsi="Calibri"/>
                <w:sz w:val="20"/>
                <w:szCs w:val="20"/>
                <w:lang w:eastAsia="en-AU"/>
              </w:rPr>
              <w:t>0</w:t>
            </w:r>
          </w:p>
        </w:tc>
        <w:tc>
          <w:tcPr>
            <w:tcW w:w="921" w:type="dxa"/>
            <w:tcBorders>
              <w:top w:val="nil"/>
              <w:left w:val="nil"/>
              <w:bottom w:val="nil"/>
              <w:right w:val="nil"/>
            </w:tcBorders>
            <w:shd w:val="clear" w:color="auto" w:fill="auto"/>
          </w:tcPr>
          <w:p w14:paraId="1364D204" w14:textId="77777777" w:rsidR="007D6A0A" w:rsidRPr="00FA3A3D" w:rsidRDefault="007D6A0A" w:rsidP="007D18CC">
            <w:pPr>
              <w:ind w:left="227" w:hanging="227"/>
              <w:jc w:val="right"/>
              <w:rPr>
                <w:rFonts w:ascii="Calibri" w:hAnsi="Calibri"/>
                <w:sz w:val="20"/>
                <w:szCs w:val="20"/>
                <w:lang w:eastAsia="en-AU"/>
              </w:rPr>
            </w:pPr>
            <w:r w:rsidRPr="00FA3A3D">
              <w:rPr>
                <w:rFonts w:ascii="Calibri" w:hAnsi="Calibri"/>
                <w:sz w:val="20"/>
                <w:szCs w:val="20"/>
                <w:lang w:eastAsia="en-AU"/>
              </w:rPr>
              <w:t>60</w:t>
            </w:r>
          </w:p>
        </w:tc>
      </w:tr>
      <w:tr w:rsidR="007D6A0A" w:rsidRPr="00FA3A3D" w14:paraId="4FEFC4A1" w14:textId="77777777" w:rsidTr="00B3753F">
        <w:trPr>
          <w:trHeight w:val="227"/>
        </w:trPr>
        <w:tc>
          <w:tcPr>
            <w:tcW w:w="4783" w:type="dxa"/>
            <w:gridSpan w:val="2"/>
            <w:tcBorders>
              <w:left w:val="nil"/>
              <w:bottom w:val="nil"/>
              <w:right w:val="nil"/>
            </w:tcBorders>
          </w:tcPr>
          <w:p w14:paraId="422C1B5A" w14:textId="77777777" w:rsidR="007D6A0A" w:rsidRPr="00FA3A3D" w:rsidRDefault="007D6A0A" w:rsidP="007D18CC">
            <w:pPr>
              <w:ind w:left="227" w:hanging="227"/>
              <w:rPr>
                <w:rFonts w:ascii="Calibri" w:hAnsi="Calibri"/>
                <w:bCs/>
                <w:color w:val="000000"/>
                <w:sz w:val="20"/>
                <w:szCs w:val="20"/>
                <w:lang w:eastAsia="en-AU"/>
              </w:rPr>
            </w:pPr>
            <w:r w:rsidRPr="00FA3A3D">
              <w:rPr>
                <w:rFonts w:ascii="Calibri" w:hAnsi="Calibri"/>
                <w:bCs/>
                <w:color w:val="000000"/>
                <w:sz w:val="20"/>
                <w:szCs w:val="20"/>
                <w:lang w:eastAsia="en-AU"/>
              </w:rPr>
              <w:t xml:space="preserve">Parks and Conservation Service visitor facilities upgrade </w:t>
            </w:r>
          </w:p>
        </w:tc>
        <w:tc>
          <w:tcPr>
            <w:tcW w:w="1156" w:type="dxa"/>
            <w:tcBorders>
              <w:top w:val="nil"/>
              <w:left w:val="nil"/>
              <w:bottom w:val="nil"/>
              <w:right w:val="nil"/>
            </w:tcBorders>
            <w:shd w:val="clear" w:color="auto" w:fill="auto"/>
          </w:tcPr>
          <w:p w14:paraId="312235B8" w14:textId="77777777" w:rsidR="007D6A0A" w:rsidRPr="00FA3A3D" w:rsidRDefault="007D6A0A" w:rsidP="007D18CC">
            <w:pPr>
              <w:ind w:left="227" w:hanging="227"/>
              <w:jc w:val="right"/>
              <w:rPr>
                <w:rFonts w:ascii="Calibri" w:hAnsi="Calibri"/>
                <w:sz w:val="20"/>
                <w:szCs w:val="20"/>
                <w:lang w:eastAsia="en-AU"/>
              </w:rPr>
            </w:pPr>
            <w:r w:rsidRPr="00FA3A3D">
              <w:rPr>
                <w:rFonts w:ascii="Calibri" w:hAnsi="Calibri"/>
                <w:sz w:val="20"/>
                <w:szCs w:val="20"/>
                <w:lang w:eastAsia="en-AU"/>
              </w:rPr>
              <w:t>80</w:t>
            </w:r>
          </w:p>
        </w:tc>
        <w:tc>
          <w:tcPr>
            <w:tcW w:w="926" w:type="dxa"/>
            <w:tcBorders>
              <w:top w:val="nil"/>
              <w:left w:val="nil"/>
              <w:bottom w:val="nil"/>
              <w:right w:val="nil"/>
            </w:tcBorders>
            <w:shd w:val="clear" w:color="auto" w:fill="auto"/>
          </w:tcPr>
          <w:p w14:paraId="0873AE83" w14:textId="77777777" w:rsidR="007D6A0A" w:rsidRPr="00FA3A3D" w:rsidRDefault="007D6A0A" w:rsidP="007D18CC">
            <w:pPr>
              <w:ind w:left="227" w:hanging="227"/>
              <w:jc w:val="right"/>
              <w:rPr>
                <w:rFonts w:ascii="Calibri" w:hAnsi="Calibri"/>
                <w:sz w:val="20"/>
                <w:szCs w:val="20"/>
                <w:lang w:eastAsia="en-AU"/>
              </w:rPr>
            </w:pPr>
            <w:r w:rsidRPr="00FA3A3D">
              <w:rPr>
                <w:rFonts w:ascii="Calibri" w:hAnsi="Calibri"/>
                <w:sz w:val="20"/>
                <w:szCs w:val="20"/>
                <w:lang w:eastAsia="en-AU"/>
              </w:rPr>
              <w:t>0</w:t>
            </w:r>
          </w:p>
        </w:tc>
        <w:tc>
          <w:tcPr>
            <w:tcW w:w="931" w:type="dxa"/>
            <w:tcBorders>
              <w:top w:val="nil"/>
              <w:left w:val="nil"/>
              <w:bottom w:val="nil"/>
              <w:right w:val="nil"/>
            </w:tcBorders>
            <w:shd w:val="clear" w:color="auto" w:fill="auto"/>
          </w:tcPr>
          <w:p w14:paraId="58FA82D3" w14:textId="77777777" w:rsidR="007D6A0A" w:rsidRPr="00FA3A3D" w:rsidRDefault="007D6A0A" w:rsidP="007D18CC">
            <w:pPr>
              <w:ind w:left="227" w:hanging="227"/>
              <w:jc w:val="right"/>
              <w:rPr>
                <w:rFonts w:ascii="Calibri" w:hAnsi="Calibri"/>
                <w:sz w:val="20"/>
                <w:szCs w:val="20"/>
                <w:lang w:eastAsia="en-AU"/>
              </w:rPr>
            </w:pPr>
            <w:r w:rsidRPr="00FA3A3D">
              <w:rPr>
                <w:rFonts w:ascii="Calibri" w:hAnsi="Calibri"/>
                <w:sz w:val="20"/>
                <w:szCs w:val="20"/>
                <w:lang w:eastAsia="en-AU"/>
              </w:rPr>
              <w:t>0</w:t>
            </w:r>
          </w:p>
        </w:tc>
        <w:tc>
          <w:tcPr>
            <w:tcW w:w="921" w:type="dxa"/>
            <w:tcBorders>
              <w:top w:val="nil"/>
              <w:left w:val="nil"/>
              <w:bottom w:val="nil"/>
              <w:right w:val="nil"/>
            </w:tcBorders>
            <w:shd w:val="clear" w:color="auto" w:fill="auto"/>
          </w:tcPr>
          <w:p w14:paraId="1D79AB13" w14:textId="77777777" w:rsidR="007D6A0A" w:rsidRPr="00FA3A3D" w:rsidRDefault="007D6A0A" w:rsidP="007D18CC">
            <w:pPr>
              <w:ind w:left="227" w:hanging="227"/>
              <w:jc w:val="right"/>
              <w:rPr>
                <w:rFonts w:ascii="Calibri" w:hAnsi="Calibri"/>
                <w:sz w:val="20"/>
                <w:szCs w:val="20"/>
                <w:lang w:eastAsia="en-AU"/>
              </w:rPr>
            </w:pPr>
            <w:r w:rsidRPr="00FA3A3D">
              <w:rPr>
                <w:rFonts w:ascii="Calibri" w:hAnsi="Calibri"/>
                <w:sz w:val="20"/>
                <w:szCs w:val="20"/>
                <w:lang w:eastAsia="en-AU"/>
              </w:rPr>
              <w:t>0</w:t>
            </w:r>
          </w:p>
        </w:tc>
        <w:tc>
          <w:tcPr>
            <w:tcW w:w="921" w:type="dxa"/>
            <w:tcBorders>
              <w:top w:val="nil"/>
              <w:left w:val="nil"/>
              <w:bottom w:val="nil"/>
              <w:right w:val="nil"/>
            </w:tcBorders>
            <w:shd w:val="clear" w:color="auto" w:fill="auto"/>
          </w:tcPr>
          <w:p w14:paraId="5FA4CA3F" w14:textId="77777777" w:rsidR="007D6A0A" w:rsidRPr="00FA3A3D" w:rsidRDefault="007D6A0A" w:rsidP="007D18CC">
            <w:pPr>
              <w:ind w:left="227" w:hanging="227"/>
              <w:jc w:val="right"/>
              <w:rPr>
                <w:rFonts w:ascii="Calibri" w:hAnsi="Calibri"/>
                <w:sz w:val="20"/>
                <w:szCs w:val="20"/>
                <w:lang w:eastAsia="en-AU"/>
              </w:rPr>
            </w:pPr>
            <w:r w:rsidRPr="00FA3A3D">
              <w:rPr>
                <w:rFonts w:ascii="Calibri" w:hAnsi="Calibri"/>
                <w:sz w:val="20"/>
                <w:szCs w:val="20"/>
                <w:lang w:eastAsia="en-AU"/>
              </w:rPr>
              <w:t>80</w:t>
            </w:r>
          </w:p>
        </w:tc>
      </w:tr>
      <w:tr w:rsidR="007D6A0A" w:rsidRPr="00FA3A3D" w14:paraId="11C14915" w14:textId="77777777" w:rsidTr="00B3753F">
        <w:trPr>
          <w:trHeight w:val="227"/>
        </w:trPr>
        <w:tc>
          <w:tcPr>
            <w:tcW w:w="4783" w:type="dxa"/>
            <w:gridSpan w:val="2"/>
            <w:tcBorders>
              <w:left w:val="nil"/>
              <w:bottom w:val="nil"/>
              <w:right w:val="nil"/>
            </w:tcBorders>
          </w:tcPr>
          <w:p w14:paraId="3C5723FD" w14:textId="77777777" w:rsidR="007D6A0A" w:rsidRPr="00FA3A3D" w:rsidRDefault="007D6A0A" w:rsidP="007D18CC">
            <w:pPr>
              <w:ind w:left="227" w:hanging="227"/>
              <w:rPr>
                <w:rFonts w:ascii="Calibri" w:hAnsi="Calibri"/>
                <w:bCs/>
                <w:color w:val="000000"/>
                <w:sz w:val="20"/>
                <w:szCs w:val="20"/>
                <w:vertAlign w:val="superscript"/>
                <w:lang w:eastAsia="en-AU"/>
              </w:rPr>
            </w:pPr>
            <w:r w:rsidRPr="00FA3A3D">
              <w:rPr>
                <w:rFonts w:ascii="Calibri" w:hAnsi="Calibri"/>
                <w:bCs/>
                <w:color w:val="000000"/>
                <w:sz w:val="20"/>
                <w:szCs w:val="20"/>
                <w:lang w:eastAsia="en-AU"/>
              </w:rPr>
              <w:t xml:space="preserve">Protecting grasslands and conservation areas </w:t>
            </w:r>
            <w:r w:rsidRPr="00FA3A3D">
              <w:rPr>
                <w:rFonts w:ascii="Calibri" w:hAnsi="Calibri"/>
                <w:bCs/>
                <w:color w:val="000000"/>
                <w:sz w:val="20"/>
                <w:szCs w:val="20"/>
                <w:vertAlign w:val="superscript"/>
                <w:lang w:eastAsia="en-AU"/>
              </w:rPr>
              <w:t>2</w:t>
            </w:r>
          </w:p>
        </w:tc>
        <w:tc>
          <w:tcPr>
            <w:tcW w:w="1156" w:type="dxa"/>
            <w:tcBorders>
              <w:top w:val="nil"/>
              <w:left w:val="nil"/>
              <w:bottom w:val="nil"/>
              <w:right w:val="nil"/>
            </w:tcBorders>
            <w:shd w:val="clear" w:color="auto" w:fill="auto"/>
          </w:tcPr>
          <w:p w14:paraId="760C7008" w14:textId="77777777" w:rsidR="007D6A0A" w:rsidRPr="00FA3A3D" w:rsidRDefault="007D6A0A" w:rsidP="007D18CC">
            <w:pPr>
              <w:ind w:left="227" w:hanging="227"/>
              <w:jc w:val="right"/>
              <w:rPr>
                <w:rFonts w:ascii="Calibri" w:hAnsi="Calibri"/>
                <w:sz w:val="20"/>
                <w:szCs w:val="20"/>
                <w:lang w:eastAsia="en-AU"/>
              </w:rPr>
            </w:pPr>
            <w:r w:rsidRPr="00FA3A3D">
              <w:rPr>
                <w:rFonts w:ascii="Calibri" w:hAnsi="Calibri"/>
                <w:sz w:val="20"/>
                <w:szCs w:val="20"/>
                <w:lang w:eastAsia="en-AU"/>
              </w:rPr>
              <w:t>199</w:t>
            </w:r>
          </w:p>
        </w:tc>
        <w:tc>
          <w:tcPr>
            <w:tcW w:w="926" w:type="dxa"/>
            <w:tcBorders>
              <w:top w:val="nil"/>
              <w:left w:val="nil"/>
              <w:bottom w:val="nil"/>
              <w:right w:val="nil"/>
            </w:tcBorders>
            <w:shd w:val="clear" w:color="auto" w:fill="auto"/>
          </w:tcPr>
          <w:p w14:paraId="5632DBEA" w14:textId="77777777" w:rsidR="007D6A0A" w:rsidRPr="00FA3A3D" w:rsidRDefault="007D6A0A" w:rsidP="007D18CC">
            <w:pPr>
              <w:ind w:left="227" w:hanging="227"/>
              <w:jc w:val="right"/>
              <w:rPr>
                <w:rFonts w:ascii="Calibri" w:hAnsi="Calibri"/>
                <w:sz w:val="20"/>
                <w:szCs w:val="20"/>
                <w:lang w:eastAsia="en-AU"/>
              </w:rPr>
            </w:pPr>
            <w:r w:rsidRPr="00FA3A3D">
              <w:rPr>
                <w:rFonts w:ascii="Calibri" w:hAnsi="Calibri"/>
                <w:sz w:val="20"/>
                <w:szCs w:val="20"/>
                <w:lang w:eastAsia="en-AU"/>
              </w:rPr>
              <w:t>399</w:t>
            </w:r>
          </w:p>
        </w:tc>
        <w:tc>
          <w:tcPr>
            <w:tcW w:w="931" w:type="dxa"/>
            <w:tcBorders>
              <w:top w:val="nil"/>
              <w:left w:val="nil"/>
              <w:bottom w:val="nil"/>
              <w:right w:val="nil"/>
            </w:tcBorders>
            <w:shd w:val="clear" w:color="auto" w:fill="auto"/>
          </w:tcPr>
          <w:p w14:paraId="782B8755" w14:textId="77777777" w:rsidR="007D6A0A" w:rsidRPr="00FA3A3D" w:rsidRDefault="007D6A0A" w:rsidP="007D18CC">
            <w:pPr>
              <w:ind w:left="227" w:hanging="227"/>
              <w:jc w:val="right"/>
              <w:rPr>
                <w:rFonts w:ascii="Calibri" w:hAnsi="Calibri"/>
                <w:sz w:val="20"/>
                <w:szCs w:val="20"/>
                <w:lang w:eastAsia="en-AU"/>
              </w:rPr>
            </w:pPr>
            <w:r w:rsidRPr="00FA3A3D">
              <w:rPr>
                <w:rFonts w:ascii="Calibri" w:hAnsi="Calibri"/>
                <w:sz w:val="20"/>
                <w:szCs w:val="20"/>
                <w:lang w:eastAsia="en-AU"/>
              </w:rPr>
              <w:t>200</w:t>
            </w:r>
          </w:p>
        </w:tc>
        <w:tc>
          <w:tcPr>
            <w:tcW w:w="921" w:type="dxa"/>
            <w:tcBorders>
              <w:top w:val="nil"/>
              <w:left w:val="nil"/>
              <w:bottom w:val="nil"/>
              <w:right w:val="nil"/>
            </w:tcBorders>
            <w:shd w:val="clear" w:color="auto" w:fill="auto"/>
          </w:tcPr>
          <w:p w14:paraId="38F3B43A" w14:textId="77777777" w:rsidR="007D6A0A" w:rsidRPr="00FA3A3D" w:rsidRDefault="007D6A0A" w:rsidP="007D18CC">
            <w:pPr>
              <w:ind w:left="227" w:hanging="227"/>
              <w:jc w:val="right"/>
              <w:rPr>
                <w:rFonts w:ascii="Calibri" w:hAnsi="Calibri"/>
                <w:sz w:val="20"/>
                <w:szCs w:val="20"/>
                <w:lang w:eastAsia="en-AU"/>
              </w:rPr>
            </w:pPr>
            <w:r w:rsidRPr="00FA3A3D">
              <w:rPr>
                <w:rFonts w:ascii="Calibri" w:hAnsi="Calibri"/>
                <w:sz w:val="20"/>
                <w:szCs w:val="20"/>
                <w:lang w:eastAsia="en-AU"/>
              </w:rPr>
              <w:t>0</w:t>
            </w:r>
          </w:p>
        </w:tc>
        <w:tc>
          <w:tcPr>
            <w:tcW w:w="921" w:type="dxa"/>
            <w:tcBorders>
              <w:top w:val="nil"/>
              <w:left w:val="nil"/>
              <w:bottom w:val="nil"/>
              <w:right w:val="nil"/>
            </w:tcBorders>
            <w:shd w:val="clear" w:color="auto" w:fill="auto"/>
          </w:tcPr>
          <w:p w14:paraId="7855E1B8" w14:textId="77777777" w:rsidR="007D6A0A" w:rsidRPr="00FA3A3D" w:rsidRDefault="007D6A0A" w:rsidP="007D18CC">
            <w:pPr>
              <w:ind w:left="227" w:hanging="227"/>
              <w:jc w:val="right"/>
              <w:rPr>
                <w:rFonts w:ascii="Calibri" w:hAnsi="Calibri"/>
                <w:sz w:val="20"/>
                <w:szCs w:val="20"/>
                <w:lang w:eastAsia="en-AU"/>
              </w:rPr>
            </w:pPr>
            <w:r w:rsidRPr="00FA3A3D">
              <w:rPr>
                <w:rFonts w:ascii="Calibri" w:hAnsi="Calibri"/>
                <w:sz w:val="20"/>
                <w:szCs w:val="20"/>
                <w:lang w:eastAsia="en-AU"/>
              </w:rPr>
              <w:t>798</w:t>
            </w:r>
          </w:p>
        </w:tc>
      </w:tr>
      <w:tr w:rsidR="007D6A0A" w:rsidRPr="00FA3A3D" w14:paraId="19F72101" w14:textId="77777777" w:rsidTr="00B3753F">
        <w:trPr>
          <w:trHeight w:val="227"/>
        </w:trPr>
        <w:tc>
          <w:tcPr>
            <w:tcW w:w="4783" w:type="dxa"/>
            <w:gridSpan w:val="2"/>
            <w:tcBorders>
              <w:left w:val="nil"/>
              <w:bottom w:val="nil"/>
              <w:right w:val="nil"/>
            </w:tcBorders>
          </w:tcPr>
          <w:p w14:paraId="3F1D5A35" w14:textId="77777777" w:rsidR="007D6A0A" w:rsidRPr="00FA3A3D" w:rsidRDefault="007D6A0A" w:rsidP="007D18CC">
            <w:pPr>
              <w:ind w:left="227" w:hanging="227"/>
              <w:rPr>
                <w:rFonts w:ascii="Calibri" w:hAnsi="Calibri"/>
                <w:bCs/>
                <w:color w:val="000000"/>
                <w:sz w:val="20"/>
                <w:szCs w:val="20"/>
                <w:vertAlign w:val="superscript"/>
                <w:lang w:eastAsia="en-AU"/>
              </w:rPr>
            </w:pPr>
            <w:r w:rsidRPr="00FA3A3D">
              <w:rPr>
                <w:rFonts w:ascii="Calibri" w:hAnsi="Calibri"/>
                <w:bCs/>
                <w:color w:val="000000"/>
                <w:sz w:val="20"/>
                <w:szCs w:val="20"/>
                <w:lang w:eastAsia="en-AU"/>
              </w:rPr>
              <w:t xml:space="preserve">Remediating the former Molonglo sewerage treatment facility </w:t>
            </w:r>
            <w:r w:rsidRPr="00FA3A3D">
              <w:rPr>
                <w:rFonts w:ascii="Calibri" w:hAnsi="Calibri"/>
                <w:bCs/>
                <w:color w:val="000000"/>
                <w:sz w:val="20"/>
                <w:szCs w:val="20"/>
                <w:vertAlign w:val="superscript"/>
                <w:lang w:eastAsia="en-AU"/>
              </w:rPr>
              <w:t>2</w:t>
            </w:r>
          </w:p>
        </w:tc>
        <w:tc>
          <w:tcPr>
            <w:tcW w:w="1156" w:type="dxa"/>
            <w:tcBorders>
              <w:top w:val="nil"/>
              <w:left w:val="nil"/>
              <w:bottom w:val="nil"/>
              <w:right w:val="nil"/>
            </w:tcBorders>
            <w:shd w:val="clear" w:color="auto" w:fill="auto"/>
          </w:tcPr>
          <w:p w14:paraId="641A8A34" w14:textId="77777777" w:rsidR="007D6A0A" w:rsidRPr="00FA3A3D" w:rsidRDefault="007D6A0A" w:rsidP="007D18CC">
            <w:pPr>
              <w:ind w:left="227" w:hanging="227"/>
              <w:jc w:val="right"/>
              <w:rPr>
                <w:rFonts w:ascii="Calibri" w:hAnsi="Calibri"/>
                <w:sz w:val="20"/>
                <w:szCs w:val="20"/>
                <w:lang w:eastAsia="en-AU"/>
              </w:rPr>
            </w:pPr>
            <w:r w:rsidRPr="00FA3A3D">
              <w:rPr>
                <w:rFonts w:ascii="Calibri" w:hAnsi="Calibri"/>
                <w:sz w:val="20"/>
                <w:szCs w:val="20"/>
                <w:lang w:eastAsia="en-AU"/>
              </w:rPr>
              <w:t>0</w:t>
            </w:r>
          </w:p>
        </w:tc>
        <w:tc>
          <w:tcPr>
            <w:tcW w:w="926" w:type="dxa"/>
            <w:tcBorders>
              <w:top w:val="nil"/>
              <w:left w:val="nil"/>
              <w:bottom w:val="nil"/>
              <w:right w:val="nil"/>
            </w:tcBorders>
            <w:shd w:val="clear" w:color="auto" w:fill="auto"/>
          </w:tcPr>
          <w:p w14:paraId="6934DCC2" w14:textId="77777777" w:rsidR="007D6A0A" w:rsidRPr="00FA3A3D" w:rsidRDefault="007D6A0A" w:rsidP="007D18CC">
            <w:pPr>
              <w:ind w:left="227" w:hanging="227"/>
              <w:jc w:val="right"/>
              <w:rPr>
                <w:rFonts w:ascii="Calibri" w:hAnsi="Calibri"/>
                <w:sz w:val="20"/>
                <w:szCs w:val="20"/>
                <w:lang w:eastAsia="en-AU"/>
              </w:rPr>
            </w:pPr>
            <w:r w:rsidRPr="00FA3A3D">
              <w:rPr>
                <w:rFonts w:ascii="Calibri" w:hAnsi="Calibri"/>
                <w:sz w:val="20"/>
                <w:szCs w:val="20"/>
                <w:lang w:eastAsia="en-AU"/>
              </w:rPr>
              <w:t>0</w:t>
            </w:r>
          </w:p>
        </w:tc>
        <w:tc>
          <w:tcPr>
            <w:tcW w:w="931" w:type="dxa"/>
            <w:tcBorders>
              <w:top w:val="nil"/>
              <w:left w:val="nil"/>
              <w:bottom w:val="nil"/>
              <w:right w:val="nil"/>
            </w:tcBorders>
            <w:shd w:val="clear" w:color="auto" w:fill="auto"/>
          </w:tcPr>
          <w:p w14:paraId="2C05DF96" w14:textId="77777777" w:rsidR="007D6A0A" w:rsidRPr="00FA3A3D" w:rsidRDefault="007D6A0A" w:rsidP="007D18CC">
            <w:pPr>
              <w:ind w:left="227" w:hanging="227"/>
              <w:jc w:val="right"/>
              <w:rPr>
                <w:rFonts w:ascii="Calibri" w:hAnsi="Calibri"/>
                <w:sz w:val="20"/>
                <w:szCs w:val="20"/>
                <w:lang w:eastAsia="en-AU"/>
              </w:rPr>
            </w:pPr>
            <w:r w:rsidRPr="00FA3A3D">
              <w:rPr>
                <w:rFonts w:ascii="Calibri" w:hAnsi="Calibri"/>
                <w:sz w:val="20"/>
                <w:szCs w:val="20"/>
                <w:lang w:eastAsia="en-AU"/>
              </w:rPr>
              <w:t>1,498</w:t>
            </w:r>
          </w:p>
        </w:tc>
        <w:tc>
          <w:tcPr>
            <w:tcW w:w="921" w:type="dxa"/>
            <w:tcBorders>
              <w:top w:val="nil"/>
              <w:left w:val="nil"/>
              <w:bottom w:val="nil"/>
              <w:right w:val="nil"/>
            </w:tcBorders>
            <w:shd w:val="clear" w:color="auto" w:fill="auto"/>
          </w:tcPr>
          <w:p w14:paraId="785F408D" w14:textId="77777777" w:rsidR="007D6A0A" w:rsidRPr="00FA3A3D" w:rsidRDefault="007D6A0A" w:rsidP="007D18CC">
            <w:pPr>
              <w:ind w:left="227" w:hanging="227"/>
              <w:jc w:val="right"/>
              <w:rPr>
                <w:rFonts w:ascii="Calibri" w:hAnsi="Calibri"/>
                <w:sz w:val="20"/>
                <w:szCs w:val="20"/>
                <w:lang w:eastAsia="en-AU"/>
              </w:rPr>
            </w:pPr>
            <w:r w:rsidRPr="00FA3A3D">
              <w:rPr>
                <w:rFonts w:ascii="Calibri" w:hAnsi="Calibri"/>
                <w:sz w:val="20"/>
                <w:szCs w:val="20"/>
                <w:lang w:eastAsia="en-AU"/>
              </w:rPr>
              <w:t>1,115</w:t>
            </w:r>
          </w:p>
        </w:tc>
        <w:tc>
          <w:tcPr>
            <w:tcW w:w="921" w:type="dxa"/>
            <w:tcBorders>
              <w:top w:val="nil"/>
              <w:left w:val="nil"/>
              <w:bottom w:val="nil"/>
              <w:right w:val="nil"/>
            </w:tcBorders>
            <w:shd w:val="clear" w:color="auto" w:fill="auto"/>
          </w:tcPr>
          <w:p w14:paraId="793C50DD" w14:textId="77777777" w:rsidR="007D6A0A" w:rsidRPr="00FA3A3D" w:rsidRDefault="007D6A0A" w:rsidP="007D18CC">
            <w:pPr>
              <w:ind w:left="227" w:hanging="227"/>
              <w:jc w:val="right"/>
              <w:rPr>
                <w:rFonts w:ascii="Calibri" w:hAnsi="Calibri"/>
                <w:sz w:val="20"/>
                <w:szCs w:val="20"/>
                <w:lang w:eastAsia="en-AU"/>
              </w:rPr>
            </w:pPr>
            <w:r w:rsidRPr="00FA3A3D">
              <w:rPr>
                <w:rFonts w:ascii="Calibri" w:hAnsi="Calibri"/>
                <w:sz w:val="20"/>
                <w:szCs w:val="20"/>
                <w:lang w:eastAsia="en-AU"/>
              </w:rPr>
              <w:t>2,613</w:t>
            </w:r>
          </w:p>
        </w:tc>
      </w:tr>
      <w:tr w:rsidR="007D6A0A" w:rsidRPr="00FA3A3D" w14:paraId="3A1EBAA8" w14:textId="77777777" w:rsidTr="00B3753F">
        <w:trPr>
          <w:trHeight w:val="227"/>
        </w:trPr>
        <w:tc>
          <w:tcPr>
            <w:tcW w:w="4783" w:type="dxa"/>
            <w:gridSpan w:val="2"/>
            <w:tcBorders>
              <w:left w:val="nil"/>
              <w:bottom w:val="nil"/>
              <w:right w:val="nil"/>
            </w:tcBorders>
          </w:tcPr>
          <w:p w14:paraId="38B9DA70" w14:textId="77777777" w:rsidR="007D6A0A" w:rsidRPr="00FA3A3D" w:rsidRDefault="007D6A0A" w:rsidP="007D18CC">
            <w:pPr>
              <w:ind w:left="227" w:hanging="227"/>
              <w:rPr>
                <w:rFonts w:ascii="Calibri" w:hAnsi="Calibri"/>
                <w:bCs/>
                <w:color w:val="000000"/>
                <w:sz w:val="20"/>
                <w:szCs w:val="20"/>
                <w:lang w:eastAsia="en-AU"/>
              </w:rPr>
            </w:pPr>
            <w:r w:rsidRPr="00FA3A3D">
              <w:rPr>
                <w:rFonts w:ascii="Calibri" w:hAnsi="Calibri"/>
                <w:bCs/>
                <w:color w:val="000000"/>
                <w:sz w:val="20"/>
                <w:szCs w:val="20"/>
                <w:lang w:eastAsia="en-AU"/>
              </w:rPr>
              <w:t xml:space="preserve">Replanting the </w:t>
            </w:r>
            <w:proofErr w:type="spellStart"/>
            <w:r w:rsidRPr="00FA3A3D">
              <w:rPr>
                <w:rFonts w:ascii="Calibri" w:hAnsi="Calibri"/>
                <w:bCs/>
                <w:color w:val="000000"/>
                <w:sz w:val="20"/>
                <w:szCs w:val="20"/>
                <w:lang w:eastAsia="en-AU"/>
              </w:rPr>
              <w:t>Ingledene</w:t>
            </w:r>
            <w:proofErr w:type="spellEnd"/>
            <w:r w:rsidRPr="00FA3A3D">
              <w:rPr>
                <w:rFonts w:ascii="Calibri" w:hAnsi="Calibri"/>
                <w:bCs/>
                <w:color w:val="000000"/>
                <w:sz w:val="20"/>
                <w:szCs w:val="20"/>
                <w:lang w:eastAsia="en-AU"/>
              </w:rPr>
              <w:t xml:space="preserve"> Forest </w:t>
            </w:r>
          </w:p>
        </w:tc>
        <w:tc>
          <w:tcPr>
            <w:tcW w:w="1156" w:type="dxa"/>
            <w:tcBorders>
              <w:top w:val="nil"/>
              <w:left w:val="nil"/>
              <w:bottom w:val="nil"/>
              <w:right w:val="nil"/>
            </w:tcBorders>
            <w:shd w:val="clear" w:color="auto" w:fill="auto"/>
          </w:tcPr>
          <w:p w14:paraId="4CFDC192" w14:textId="77777777" w:rsidR="007D6A0A" w:rsidRPr="00FA3A3D" w:rsidRDefault="007D6A0A" w:rsidP="007D18CC">
            <w:pPr>
              <w:ind w:left="227" w:hanging="227"/>
              <w:jc w:val="right"/>
              <w:rPr>
                <w:rFonts w:ascii="Calibri" w:hAnsi="Calibri"/>
                <w:sz w:val="20"/>
                <w:szCs w:val="20"/>
                <w:lang w:eastAsia="en-AU"/>
              </w:rPr>
            </w:pPr>
            <w:r w:rsidRPr="00FA3A3D">
              <w:rPr>
                <w:rFonts w:ascii="Calibri" w:hAnsi="Calibri"/>
                <w:sz w:val="20"/>
                <w:szCs w:val="20"/>
                <w:lang w:eastAsia="en-AU"/>
              </w:rPr>
              <w:t>186</w:t>
            </w:r>
          </w:p>
        </w:tc>
        <w:tc>
          <w:tcPr>
            <w:tcW w:w="926" w:type="dxa"/>
            <w:tcBorders>
              <w:top w:val="nil"/>
              <w:left w:val="nil"/>
              <w:bottom w:val="nil"/>
              <w:right w:val="nil"/>
            </w:tcBorders>
            <w:shd w:val="clear" w:color="auto" w:fill="auto"/>
          </w:tcPr>
          <w:p w14:paraId="3DF7D16F" w14:textId="77777777" w:rsidR="007D6A0A" w:rsidRPr="00FA3A3D" w:rsidRDefault="007D6A0A" w:rsidP="007D18CC">
            <w:pPr>
              <w:ind w:left="227" w:hanging="227"/>
              <w:jc w:val="right"/>
              <w:rPr>
                <w:rFonts w:ascii="Calibri" w:hAnsi="Calibri"/>
                <w:sz w:val="20"/>
                <w:szCs w:val="20"/>
                <w:lang w:eastAsia="en-AU"/>
              </w:rPr>
            </w:pPr>
            <w:r w:rsidRPr="00FA3A3D">
              <w:rPr>
                <w:rFonts w:ascii="Calibri" w:hAnsi="Calibri"/>
                <w:sz w:val="20"/>
                <w:szCs w:val="20"/>
                <w:lang w:eastAsia="en-AU"/>
              </w:rPr>
              <w:t>680</w:t>
            </w:r>
          </w:p>
        </w:tc>
        <w:tc>
          <w:tcPr>
            <w:tcW w:w="931" w:type="dxa"/>
            <w:tcBorders>
              <w:top w:val="nil"/>
              <w:left w:val="nil"/>
              <w:bottom w:val="nil"/>
              <w:right w:val="nil"/>
            </w:tcBorders>
            <w:shd w:val="clear" w:color="auto" w:fill="auto"/>
          </w:tcPr>
          <w:p w14:paraId="672A6F88" w14:textId="77777777" w:rsidR="007D6A0A" w:rsidRPr="00FA3A3D" w:rsidRDefault="007D6A0A" w:rsidP="007D18CC">
            <w:pPr>
              <w:ind w:left="227" w:hanging="227"/>
              <w:jc w:val="right"/>
              <w:rPr>
                <w:rFonts w:ascii="Calibri" w:hAnsi="Calibri"/>
                <w:sz w:val="20"/>
                <w:szCs w:val="20"/>
                <w:lang w:eastAsia="en-AU"/>
              </w:rPr>
            </w:pPr>
            <w:r w:rsidRPr="00FA3A3D">
              <w:rPr>
                <w:rFonts w:ascii="Calibri" w:hAnsi="Calibri"/>
                <w:sz w:val="20"/>
                <w:szCs w:val="20"/>
                <w:lang w:eastAsia="en-AU"/>
              </w:rPr>
              <w:t>454</w:t>
            </w:r>
          </w:p>
        </w:tc>
        <w:tc>
          <w:tcPr>
            <w:tcW w:w="921" w:type="dxa"/>
            <w:tcBorders>
              <w:top w:val="nil"/>
              <w:left w:val="nil"/>
              <w:bottom w:val="nil"/>
              <w:right w:val="nil"/>
            </w:tcBorders>
            <w:shd w:val="clear" w:color="auto" w:fill="auto"/>
          </w:tcPr>
          <w:p w14:paraId="620596EF" w14:textId="77777777" w:rsidR="007D6A0A" w:rsidRPr="00FA3A3D" w:rsidRDefault="007D6A0A" w:rsidP="007D18CC">
            <w:pPr>
              <w:ind w:left="227" w:hanging="227"/>
              <w:jc w:val="right"/>
              <w:rPr>
                <w:rFonts w:ascii="Calibri" w:hAnsi="Calibri"/>
                <w:sz w:val="20"/>
                <w:szCs w:val="20"/>
                <w:lang w:eastAsia="en-AU"/>
              </w:rPr>
            </w:pPr>
            <w:r w:rsidRPr="00FA3A3D">
              <w:rPr>
                <w:rFonts w:ascii="Calibri" w:hAnsi="Calibri"/>
                <w:sz w:val="20"/>
                <w:szCs w:val="20"/>
                <w:lang w:eastAsia="en-AU"/>
              </w:rPr>
              <w:t>414</w:t>
            </w:r>
          </w:p>
        </w:tc>
        <w:tc>
          <w:tcPr>
            <w:tcW w:w="921" w:type="dxa"/>
            <w:tcBorders>
              <w:top w:val="nil"/>
              <w:left w:val="nil"/>
              <w:bottom w:val="nil"/>
              <w:right w:val="nil"/>
            </w:tcBorders>
            <w:shd w:val="clear" w:color="auto" w:fill="auto"/>
          </w:tcPr>
          <w:p w14:paraId="0B7C498F" w14:textId="77777777" w:rsidR="007D6A0A" w:rsidRPr="00FA3A3D" w:rsidRDefault="007D6A0A" w:rsidP="007D18CC">
            <w:pPr>
              <w:ind w:left="227" w:hanging="227"/>
              <w:jc w:val="right"/>
              <w:rPr>
                <w:rFonts w:ascii="Calibri" w:hAnsi="Calibri"/>
                <w:sz w:val="20"/>
                <w:szCs w:val="20"/>
                <w:lang w:eastAsia="en-AU"/>
              </w:rPr>
            </w:pPr>
            <w:r w:rsidRPr="00FA3A3D">
              <w:rPr>
                <w:rFonts w:ascii="Calibri" w:hAnsi="Calibri"/>
                <w:sz w:val="20"/>
                <w:szCs w:val="20"/>
                <w:lang w:eastAsia="en-AU"/>
              </w:rPr>
              <w:t>1,734</w:t>
            </w:r>
          </w:p>
        </w:tc>
      </w:tr>
      <w:tr w:rsidR="007D6A0A" w:rsidRPr="00FA3A3D" w14:paraId="69D7D895" w14:textId="77777777" w:rsidTr="00B3753F">
        <w:trPr>
          <w:trHeight w:val="227"/>
        </w:trPr>
        <w:tc>
          <w:tcPr>
            <w:tcW w:w="4783" w:type="dxa"/>
            <w:gridSpan w:val="2"/>
            <w:tcBorders>
              <w:left w:val="nil"/>
              <w:bottom w:val="nil"/>
              <w:right w:val="nil"/>
            </w:tcBorders>
          </w:tcPr>
          <w:p w14:paraId="47EB925A" w14:textId="77777777" w:rsidR="007D6A0A" w:rsidRPr="00FA3A3D" w:rsidRDefault="007D6A0A" w:rsidP="007D18CC">
            <w:pPr>
              <w:ind w:left="227" w:hanging="227"/>
              <w:rPr>
                <w:rFonts w:ascii="Calibri" w:hAnsi="Calibri"/>
                <w:bCs/>
                <w:color w:val="000000"/>
                <w:sz w:val="20"/>
                <w:szCs w:val="20"/>
                <w:lang w:eastAsia="en-AU"/>
              </w:rPr>
            </w:pPr>
          </w:p>
        </w:tc>
        <w:tc>
          <w:tcPr>
            <w:tcW w:w="1156" w:type="dxa"/>
            <w:tcBorders>
              <w:top w:val="nil"/>
              <w:left w:val="nil"/>
              <w:bottom w:val="nil"/>
              <w:right w:val="nil"/>
            </w:tcBorders>
            <w:shd w:val="clear" w:color="auto" w:fill="auto"/>
          </w:tcPr>
          <w:p w14:paraId="335A5FF0" w14:textId="77777777" w:rsidR="007D6A0A" w:rsidRPr="00FA3A3D" w:rsidRDefault="007D6A0A" w:rsidP="007D18CC">
            <w:pPr>
              <w:ind w:left="227" w:hanging="227"/>
              <w:jc w:val="right"/>
              <w:rPr>
                <w:rFonts w:ascii="Calibri" w:hAnsi="Calibri"/>
                <w:sz w:val="20"/>
                <w:szCs w:val="20"/>
                <w:lang w:eastAsia="en-AU"/>
              </w:rPr>
            </w:pPr>
          </w:p>
        </w:tc>
        <w:tc>
          <w:tcPr>
            <w:tcW w:w="926" w:type="dxa"/>
            <w:tcBorders>
              <w:top w:val="nil"/>
              <w:left w:val="nil"/>
              <w:bottom w:val="nil"/>
              <w:right w:val="nil"/>
            </w:tcBorders>
            <w:shd w:val="clear" w:color="auto" w:fill="auto"/>
          </w:tcPr>
          <w:p w14:paraId="2D1F3A7A" w14:textId="77777777" w:rsidR="007D6A0A" w:rsidRPr="00FA3A3D" w:rsidRDefault="007D6A0A" w:rsidP="007D18CC">
            <w:pPr>
              <w:ind w:left="227" w:hanging="227"/>
              <w:jc w:val="right"/>
              <w:rPr>
                <w:rFonts w:ascii="Calibri" w:hAnsi="Calibri"/>
                <w:sz w:val="20"/>
                <w:szCs w:val="20"/>
                <w:lang w:eastAsia="en-AU"/>
              </w:rPr>
            </w:pPr>
          </w:p>
        </w:tc>
        <w:tc>
          <w:tcPr>
            <w:tcW w:w="931" w:type="dxa"/>
            <w:tcBorders>
              <w:top w:val="nil"/>
              <w:left w:val="nil"/>
              <w:bottom w:val="nil"/>
              <w:right w:val="nil"/>
            </w:tcBorders>
            <w:shd w:val="clear" w:color="auto" w:fill="auto"/>
          </w:tcPr>
          <w:p w14:paraId="22132E51" w14:textId="77777777" w:rsidR="007D6A0A" w:rsidRPr="00FA3A3D" w:rsidRDefault="007D6A0A" w:rsidP="007D18CC">
            <w:pPr>
              <w:ind w:left="227" w:hanging="227"/>
              <w:jc w:val="right"/>
              <w:rPr>
                <w:rFonts w:ascii="Calibri" w:hAnsi="Calibri"/>
                <w:sz w:val="20"/>
                <w:szCs w:val="20"/>
                <w:lang w:eastAsia="en-AU"/>
              </w:rPr>
            </w:pPr>
          </w:p>
        </w:tc>
        <w:tc>
          <w:tcPr>
            <w:tcW w:w="921" w:type="dxa"/>
            <w:tcBorders>
              <w:top w:val="nil"/>
              <w:left w:val="nil"/>
              <w:bottom w:val="nil"/>
              <w:right w:val="nil"/>
            </w:tcBorders>
            <w:shd w:val="clear" w:color="auto" w:fill="auto"/>
          </w:tcPr>
          <w:p w14:paraId="54E4A4A7" w14:textId="77777777" w:rsidR="007D6A0A" w:rsidRPr="00FA3A3D" w:rsidRDefault="007D6A0A" w:rsidP="007D18CC">
            <w:pPr>
              <w:ind w:left="227" w:hanging="227"/>
              <w:jc w:val="right"/>
              <w:rPr>
                <w:rFonts w:ascii="Calibri" w:hAnsi="Calibri"/>
                <w:sz w:val="20"/>
                <w:szCs w:val="20"/>
                <w:lang w:eastAsia="en-AU"/>
              </w:rPr>
            </w:pPr>
          </w:p>
        </w:tc>
        <w:tc>
          <w:tcPr>
            <w:tcW w:w="921" w:type="dxa"/>
            <w:tcBorders>
              <w:top w:val="nil"/>
              <w:left w:val="nil"/>
              <w:bottom w:val="nil"/>
              <w:right w:val="nil"/>
            </w:tcBorders>
            <w:shd w:val="clear" w:color="auto" w:fill="auto"/>
          </w:tcPr>
          <w:p w14:paraId="628D8297" w14:textId="77777777" w:rsidR="007D6A0A" w:rsidRPr="00FA3A3D" w:rsidRDefault="007D6A0A" w:rsidP="007D18CC">
            <w:pPr>
              <w:ind w:left="227" w:hanging="227"/>
              <w:jc w:val="right"/>
              <w:rPr>
                <w:rFonts w:ascii="Calibri" w:hAnsi="Calibri"/>
                <w:sz w:val="20"/>
                <w:szCs w:val="20"/>
                <w:lang w:eastAsia="en-AU"/>
              </w:rPr>
            </w:pPr>
          </w:p>
        </w:tc>
      </w:tr>
      <w:tr w:rsidR="007D6A0A" w:rsidRPr="00FA3A3D" w14:paraId="66B97C2C" w14:textId="77777777" w:rsidTr="00B3753F">
        <w:trPr>
          <w:trHeight w:val="227"/>
        </w:trPr>
        <w:tc>
          <w:tcPr>
            <w:tcW w:w="4783" w:type="dxa"/>
            <w:gridSpan w:val="2"/>
            <w:tcBorders>
              <w:left w:val="nil"/>
              <w:bottom w:val="nil"/>
              <w:right w:val="nil"/>
            </w:tcBorders>
          </w:tcPr>
          <w:p w14:paraId="189CC464" w14:textId="77777777" w:rsidR="007D6A0A" w:rsidRPr="00FA3A3D" w:rsidRDefault="007D6A0A" w:rsidP="007D18CC">
            <w:pPr>
              <w:rPr>
                <w:rFonts w:ascii="Calibri" w:hAnsi="Calibri"/>
                <w:color w:val="000000"/>
                <w:sz w:val="20"/>
                <w:szCs w:val="20"/>
                <w:lang w:eastAsia="en-US"/>
              </w:rPr>
            </w:pPr>
            <w:r w:rsidRPr="00FA3A3D">
              <w:rPr>
                <w:rFonts w:ascii="Calibri" w:hAnsi="Calibri"/>
                <w:bCs/>
                <w:i/>
                <w:sz w:val="20"/>
                <w:szCs w:val="20"/>
                <w:lang w:val="x-none" w:eastAsia="en-US"/>
              </w:rPr>
              <w:t>Information and communication technology</w:t>
            </w:r>
          </w:p>
        </w:tc>
        <w:tc>
          <w:tcPr>
            <w:tcW w:w="1156" w:type="dxa"/>
            <w:tcBorders>
              <w:top w:val="nil"/>
              <w:left w:val="nil"/>
              <w:bottom w:val="nil"/>
              <w:right w:val="nil"/>
            </w:tcBorders>
            <w:shd w:val="clear" w:color="auto" w:fill="auto"/>
          </w:tcPr>
          <w:p w14:paraId="5126F842" w14:textId="77777777" w:rsidR="007D6A0A" w:rsidRPr="00FA3A3D" w:rsidRDefault="007D6A0A" w:rsidP="007D18CC">
            <w:pPr>
              <w:ind w:left="227" w:hanging="227"/>
              <w:jc w:val="right"/>
              <w:rPr>
                <w:rFonts w:ascii="Calibri" w:hAnsi="Calibri"/>
                <w:sz w:val="20"/>
                <w:szCs w:val="20"/>
                <w:lang w:eastAsia="en-AU"/>
              </w:rPr>
            </w:pPr>
          </w:p>
        </w:tc>
        <w:tc>
          <w:tcPr>
            <w:tcW w:w="926" w:type="dxa"/>
            <w:tcBorders>
              <w:top w:val="nil"/>
              <w:left w:val="nil"/>
              <w:bottom w:val="nil"/>
              <w:right w:val="nil"/>
            </w:tcBorders>
            <w:shd w:val="clear" w:color="auto" w:fill="auto"/>
          </w:tcPr>
          <w:p w14:paraId="5F0EE433" w14:textId="77777777" w:rsidR="007D6A0A" w:rsidRPr="00FA3A3D" w:rsidRDefault="007D6A0A" w:rsidP="007D18CC">
            <w:pPr>
              <w:ind w:left="227" w:hanging="227"/>
              <w:jc w:val="right"/>
              <w:rPr>
                <w:rFonts w:ascii="Calibri" w:hAnsi="Calibri"/>
                <w:sz w:val="20"/>
                <w:szCs w:val="20"/>
                <w:lang w:eastAsia="en-AU"/>
              </w:rPr>
            </w:pPr>
          </w:p>
        </w:tc>
        <w:tc>
          <w:tcPr>
            <w:tcW w:w="931" w:type="dxa"/>
            <w:tcBorders>
              <w:top w:val="nil"/>
              <w:left w:val="nil"/>
              <w:bottom w:val="nil"/>
              <w:right w:val="nil"/>
            </w:tcBorders>
            <w:shd w:val="clear" w:color="auto" w:fill="auto"/>
          </w:tcPr>
          <w:p w14:paraId="59556BC4" w14:textId="77777777" w:rsidR="007D6A0A" w:rsidRPr="00FA3A3D" w:rsidRDefault="007D6A0A" w:rsidP="007D18CC">
            <w:pPr>
              <w:ind w:left="227" w:hanging="227"/>
              <w:jc w:val="right"/>
              <w:rPr>
                <w:rFonts w:ascii="Calibri" w:hAnsi="Calibri"/>
                <w:sz w:val="20"/>
                <w:szCs w:val="20"/>
                <w:lang w:eastAsia="en-AU"/>
              </w:rPr>
            </w:pPr>
          </w:p>
        </w:tc>
        <w:tc>
          <w:tcPr>
            <w:tcW w:w="921" w:type="dxa"/>
            <w:tcBorders>
              <w:top w:val="nil"/>
              <w:left w:val="nil"/>
              <w:bottom w:val="nil"/>
              <w:right w:val="nil"/>
            </w:tcBorders>
            <w:shd w:val="clear" w:color="auto" w:fill="auto"/>
          </w:tcPr>
          <w:p w14:paraId="3D1425FB" w14:textId="77777777" w:rsidR="007D6A0A" w:rsidRPr="00FA3A3D" w:rsidRDefault="007D6A0A" w:rsidP="007D18CC">
            <w:pPr>
              <w:ind w:left="227" w:hanging="227"/>
              <w:jc w:val="right"/>
              <w:rPr>
                <w:rFonts w:ascii="Calibri" w:hAnsi="Calibri"/>
                <w:sz w:val="20"/>
                <w:szCs w:val="20"/>
                <w:lang w:eastAsia="en-AU"/>
              </w:rPr>
            </w:pPr>
          </w:p>
        </w:tc>
        <w:tc>
          <w:tcPr>
            <w:tcW w:w="921" w:type="dxa"/>
            <w:tcBorders>
              <w:top w:val="nil"/>
              <w:left w:val="nil"/>
              <w:bottom w:val="nil"/>
              <w:right w:val="nil"/>
            </w:tcBorders>
            <w:shd w:val="clear" w:color="auto" w:fill="auto"/>
          </w:tcPr>
          <w:p w14:paraId="4901D79D" w14:textId="77777777" w:rsidR="007D6A0A" w:rsidRPr="00FA3A3D" w:rsidRDefault="007D6A0A" w:rsidP="007D18CC">
            <w:pPr>
              <w:ind w:left="227" w:hanging="227"/>
              <w:jc w:val="right"/>
              <w:rPr>
                <w:rFonts w:ascii="Calibri" w:hAnsi="Calibri"/>
                <w:sz w:val="20"/>
                <w:szCs w:val="20"/>
                <w:lang w:eastAsia="en-AU"/>
              </w:rPr>
            </w:pPr>
          </w:p>
        </w:tc>
      </w:tr>
      <w:tr w:rsidR="007D6A0A" w:rsidRPr="00FA3A3D" w14:paraId="0A8D520C" w14:textId="77777777" w:rsidTr="00B3753F">
        <w:trPr>
          <w:trHeight w:val="227"/>
        </w:trPr>
        <w:tc>
          <w:tcPr>
            <w:tcW w:w="4783" w:type="dxa"/>
            <w:gridSpan w:val="2"/>
            <w:tcBorders>
              <w:left w:val="nil"/>
              <w:bottom w:val="single" w:sz="4" w:space="0" w:color="auto"/>
              <w:right w:val="nil"/>
            </w:tcBorders>
          </w:tcPr>
          <w:p w14:paraId="74DD9187" w14:textId="77777777" w:rsidR="007D6A0A" w:rsidRPr="00FA3A3D" w:rsidRDefault="007D6A0A" w:rsidP="007D18CC">
            <w:pPr>
              <w:ind w:left="227" w:hanging="227"/>
              <w:rPr>
                <w:rFonts w:ascii="Calibri" w:hAnsi="Calibri"/>
                <w:bCs/>
                <w:color w:val="000000"/>
                <w:sz w:val="20"/>
                <w:szCs w:val="20"/>
                <w:lang w:eastAsia="en-AU"/>
              </w:rPr>
            </w:pPr>
            <w:r w:rsidRPr="00FA3A3D">
              <w:rPr>
                <w:rFonts w:ascii="Calibri" w:hAnsi="Calibri"/>
                <w:bCs/>
                <w:color w:val="000000"/>
                <w:sz w:val="20"/>
                <w:szCs w:val="20"/>
                <w:lang w:eastAsia="en-AU"/>
              </w:rPr>
              <w:t xml:space="preserve">Improving online lodgement for development applications </w:t>
            </w:r>
          </w:p>
        </w:tc>
        <w:tc>
          <w:tcPr>
            <w:tcW w:w="1156" w:type="dxa"/>
            <w:tcBorders>
              <w:top w:val="nil"/>
              <w:left w:val="nil"/>
              <w:bottom w:val="single" w:sz="4" w:space="0" w:color="auto"/>
              <w:right w:val="nil"/>
            </w:tcBorders>
            <w:shd w:val="clear" w:color="auto" w:fill="auto"/>
          </w:tcPr>
          <w:p w14:paraId="7324D74F" w14:textId="77777777" w:rsidR="007D6A0A" w:rsidRPr="00FA3A3D" w:rsidRDefault="007D6A0A" w:rsidP="007D18CC">
            <w:pPr>
              <w:ind w:left="227" w:hanging="227"/>
              <w:jc w:val="right"/>
              <w:rPr>
                <w:rFonts w:ascii="Calibri" w:hAnsi="Calibri"/>
                <w:sz w:val="20"/>
                <w:szCs w:val="20"/>
                <w:lang w:eastAsia="en-AU"/>
              </w:rPr>
            </w:pPr>
            <w:r w:rsidRPr="00FA3A3D">
              <w:rPr>
                <w:rFonts w:ascii="Calibri" w:hAnsi="Calibri"/>
                <w:sz w:val="20"/>
                <w:szCs w:val="20"/>
                <w:lang w:eastAsia="en-AU"/>
              </w:rPr>
              <w:t>600</w:t>
            </w:r>
          </w:p>
        </w:tc>
        <w:tc>
          <w:tcPr>
            <w:tcW w:w="926" w:type="dxa"/>
            <w:tcBorders>
              <w:top w:val="nil"/>
              <w:left w:val="nil"/>
              <w:bottom w:val="single" w:sz="4" w:space="0" w:color="auto"/>
              <w:right w:val="nil"/>
            </w:tcBorders>
            <w:shd w:val="clear" w:color="auto" w:fill="auto"/>
          </w:tcPr>
          <w:p w14:paraId="6764E7DC" w14:textId="77777777" w:rsidR="007D6A0A" w:rsidRPr="00FA3A3D" w:rsidRDefault="007D6A0A" w:rsidP="007D18CC">
            <w:pPr>
              <w:ind w:left="227" w:hanging="227"/>
              <w:jc w:val="right"/>
              <w:rPr>
                <w:rFonts w:ascii="Calibri" w:hAnsi="Calibri"/>
                <w:sz w:val="20"/>
                <w:szCs w:val="20"/>
                <w:lang w:eastAsia="en-AU"/>
              </w:rPr>
            </w:pPr>
            <w:r w:rsidRPr="00FA3A3D">
              <w:rPr>
                <w:rFonts w:ascii="Calibri" w:hAnsi="Calibri"/>
                <w:sz w:val="20"/>
                <w:szCs w:val="20"/>
                <w:lang w:eastAsia="en-AU"/>
              </w:rPr>
              <w:t>0</w:t>
            </w:r>
          </w:p>
        </w:tc>
        <w:tc>
          <w:tcPr>
            <w:tcW w:w="931" w:type="dxa"/>
            <w:tcBorders>
              <w:top w:val="nil"/>
              <w:left w:val="nil"/>
              <w:bottom w:val="single" w:sz="4" w:space="0" w:color="auto"/>
              <w:right w:val="nil"/>
            </w:tcBorders>
            <w:shd w:val="clear" w:color="auto" w:fill="auto"/>
          </w:tcPr>
          <w:p w14:paraId="251FCDFF" w14:textId="77777777" w:rsidR="007D6A0A" w:rsidRPr="00FA3A3D" w:rsidRDefault="007D6A0A" w:rsidP="007D18CC">
            <w:pPr>
              <w:ind w:left="227" w:hanging="227"/>
              <w:jc w:val="right"/>
              <w:rPr>
                <w:rFonts w:ascii="Calibri" w:hAnsi="Calibri"/>
                <w:sz w:val="20"/>
                <w:szCs w:val="20"/>
                <w:lang w:eastAsia="en-AU"/>
              </w:rPr>
            </w:pPr>
            <w:r w:rsidRPr="00FA3A3D">
              <w:rPr>
                <w:rFonts w:ascii="Calibri" w:hAnsi="Calibri"/>
                <w:sz w:val="20"/>
                <w:szCs w:val="20"/>
                <w:lang w:eastAsia="en-AU"/>
              </w:rPr>
              <w:t>0</w:t>
            </w:r>
          </w:p>
        </w:tc>
        <w:tc>
          <w:tcPr>
            <w:tcW w:w="921" w:type="dxa"/>
            <w:tcBorders>
              <w:top w:val="nil"/>
              <w:left w:val="nil"/>
              <w:bottom w:val="single" w:sz="4" w:space="0" w:color="auto"/>
              <w:right w:val="nil"/>
            </w:tcBorders>
            <w:shd w:val="clear" w:color="auto" w:fill="auto"/>
          </w:tcPr>
          <w:p w14:paraId="502E78C4" w14:textId="77777777" w:rsidR="007D6A0A" w:rsidRPr="00FA3A3D" w:rsidRDefault="007D6A0A" w:rsidP="007D18CC">
            <w:pPr>
              <w:ind w:left="227" w:hanging="227"/>
              <w:jc w:val="right"/>
              <w:rPr>
                <w:rFonts w:ascii="Calibri" w:hAnsi="Calibri"/>
                <w:sz w:val="20"/>
                <w:szCs w:val="20"/>
                <w:lang w:eastAsia="en-AU"/>
              </w:rPr>
            </w:pPr>
            <w:r w:rsidRPr="00FA3A3D">
              <w:rPr>
                <w:rFonts w:ascii="Calibri" w:hAnsi="Calibri"/>
                <w:sz w:val="20"/>
                <w:szCs w:val="20"/>
                <w:lang w:eastAsia="en-AU"/>
              </w:rPr>
              <w:t>0</w:t>
            </w:r>
          </w:p>
        </w:tc>
        <w:tc>
          <w:tcPr>
            <w:tcW w:w="921" w:type="dxa"/>
            <w:tcBorders>
              <w:top w:val="nil"/>
              <w:left w:val="nil"/>
              <w:bottom w:val="single" w:sz="4" w:space="0" w:color="auto"/>
              <w:right w:val="nil"/>
            </w:tcBorders>
            <w:shd w:val="clear" w:color="auto" w:fill="auto"/>
          </w:tcPr>
          <w:p w14:paraId="21DBDBD6" w14:textId="77777777" w:rsidR="007D6A0A" w:rsidRPr="00FA3A3D" w:rsidRDefault="007D6A0A" w:rsidP="007D18CC">
            <w:pPr>
              <w:ind w:left="227" w:hanging="227"/>
              <w:jc w:val="right"/>
              <w:rPr>
                <w:rFonts w:ascii="Calibri" w:hAnsi="Calibri"/>
                <w:sz w:val="20"/>
                <w:szCs w:val="20"/>
                <w:lang w:eastAsia="en-AU"/>
              </w:rPr>
            </w:pPr>
            <w:r w:rsidRPr="00FA3A3D">
              <w:rPr>
                <w:rFonts w:ascii="Calibri" w:hAnsi="Calibri"/>
                <w:sz w:val="20"/>
                <w:szCs w:val="20"/>
                <w:lang w:eastAsia="en-AU"/>
              </w:rPr>
              <w:t>600</w:t>
            </w:r>
          </w:p>
        </w:tc>
      </w:tr>
      <w:tr w:rsidR="007D6A0A" w:rsidRPr="00FA3A3D" w14:paraId="67BEC73A" w14:textId="77777777" w:rsidTr="00B3753F">
        <w:trPr>
          <w:trHeight w:val="227"/>
        </w:trPr>
        <w:tc>
          <w:tcPr>
            <w:tcW w:w="4783" w:type="dxa"/>
            <w:gridSpan w:val="2"/>
            <w:tcBorders>
              <w:top w:val="single" w:sz="4" w:space="0" w:color="auto"/>
              <w:left w:val="nil"/>
              <w:bottom w:val="single" w:sz="4" w:space="0" w:color="auto"/>
              <w:right w:val="nil"/>
            </w:tcBorders>
          </w:tcPr>
          <w:p w14:paraId="6A915DC4" w14:textId="77777777" w:rsidR="007D6A0A" w:rsidRPr="00FA3A3D" w:rsidRDefault="007D6A0A" w:rsidP="007D18CC">
            <w:pPr>
              <w:ind w:left="227" w:hanging="227"/>
              <w:jc w:val="right"/>
              <w:rPr>
                <w:rFonts w:ascii="Calibri" w:hAnsi="Calibri"/>
                <w:b/>
                <w:sz w:val="20"/>
                <w:szCs w:val="20"/>
                <w:lang w:eastAsia="en-AU"/>
              </w:rPr>
            </w:pPr>
            <w:r w:rsidRPr="00FA3A3D">
              <w:rPr>
                <w:rFonts w:ascii="Calibri" w:hAnsi="Calibri"/>
                <w:b/>
                <w:sz w:val="20"/>
                <w:szCs w:val="20"/>
                <w:lang w:eastAsia="en-AU"/>
              </w:rPr>
              <w:t>Total</w:t>
            </w:r>
          </w:p>
        </w:tc>
        <w:tc>
          <w:tcPr>
            <w:tcW w:w="1156" w:type="dxa"/>
            <w:tcBorders>
              <w:top w:val="single" w:sz="4" w:space="0" w:color="auto"/>
              <w:left w:val="nil"/>
              <w:bottom w:val="single" w:sz="4" w:space="0" w:color="auto"/>
              <w:right w:val="nil"/>
            </w:tcBorders>
            <w:shd w:val="clear" w:color="auto" w:fill="auto"/>
          </w:tcPr>
          <w:p w14:paraId="65C70603" w14:textId="77777777" w:rsidR="007D6A0A" w:rsidRPr="00FA3A3D" w:rsidRDefault="007D6A0A" w:rsidP="007D18CC">
            <w:pPr>
              <w:ind w:left="227" w:hanging="227"/>
              <w:jc w:val="right"/>
              <w:rPr>
                <w:rFonts w:ascii="Calibri" w:hAnsi="Calibri"/>
                <w:b/>
                <w:sz w:val="20"/>
                <w:szCs w:val="20"/>
                <w:lang w:eastAsia="en-AU"/>
              </w:rPr>
            </w:pPr>
            <w:r w:rsidRPr="00FA3A3D">
              <w:rPr>
                <w:rFonts w:ascii="Calibri" w:hAnsi="Calibri"/>
                <w:b/>
                <w:sz w:val="20"/>
                <w:szCs w:val="20"/>
                <w:lang w:eastAsia="en-AU"/>
              </w:rPr>
              <w:t>1,610</w:t>
            </w:r>
          </w:p>
        </w:tc>
        <w:tc>
          <w:tcPr>
            <w:tcW w:w="926" w:type="dxa"/>
            <w:tcBorders>
              <w:top w:val="single" w:sz="4" w:space="0" w:color="auto"/>
              <w:left w:val="nil"/>
              <w:bottom w:val="single" w:sz="4" w:space="0" w:color="auto"/>
              <w:right w:val="nil"/>
            </w:tcBorders>
            <w:shd w:val="clear" w:color="auto" w:fill="auto"/>
          </w:tcPr>
          <w:p w14:paraId="1F3E8AD1" w14:textId="77777777" w:rsidR="007D6A0A" w:rsidRPr="00FA3A3D" w:rsidRDefault="007D6A0A" w:rsidP="007D18CC">
            <w:pPr>
              <w:ind w:left="227" w:hanging="227"/>
              <w:jc w:val="right"/>
              <w:rPr>
                <w:rFonts w:ascii="Calibri" w:hAnsi="Calibri"/>
                <w:b/>
                <w:sz w:val="20"/>
                <w:szCs w:val="20"/>
                <w:lang w:eastAsia="en-AU"/>
              </w:rPr>
            </w:pPr>
            <w:r w:rsidRPr="00FA3A3D">
              <w:rPr>
                <w:rFonts w:ascii="Calibri" w:hAnsi="Calibri"/>
                <w:b/>
                <w:sz w:val="20"/>
                <w:szCs w:val="20"/>
                <w:lang w:eastAsia="en-AU"/>
              </w:rPr>
              <w:t>2,529</w:t>
            </w:r>
          </w:p>
        </w:tc>
        <w:tc>
          <w:tcPr>
            <w:tcW w:w="931" w:type="dxa"/>
            <w:tcBorders>
              <w:top w:val="single" w:sz="4" w:space="0" w:color="auto"/>
              <w:left w:val="nil"/>
              <w:bottom w:val="single" w:sz="4" w:space="0" w:color="auto"/>
              <w:right w:val="nil"/>
            </w:tcBorders>
            <w:shd w:val="clear" w:color="auto" w:fill="auto"/>
          </w:tcPr>
          <w:p w14:paraId="3D6032B7" w14:textId="77777777" w:rsidR="007D6A0A" w:rsidRPr="00FA3A3D" w:rsidRDefault="007D6A0A" w:rsidP="007D18CC">
            <w:pPr>
              <w:ind w:left="227" w:hanging="227"/>
              <w:jc w:val="right"/>
              <w:rPr>
                <w:rFonts w:ascii="Calibri" w:hAnsi="Calibri"/>
                <w:b/>
                <w:sz w:val="20"/>
                <w:szCs w:val="20"/>
                <w:lang w:eastAsia="en-AU"/>
              </w:rPr>
            </w:pPr>
            <w:r w:rsidRPr="00FA3A3D">
              <w:rPr>
                <w:rFonts w:ascii="Calibri" w:hAnsi="Calibri"/>
                <w:b/>
                <w:sz w:val="20"/>
                <w:szCs w:val="20"/>
                <w:lang w:eastAsia="en-AU"/>
              </w:rPr>
              <w:t>2,152</w:t>
            </w:r>
          </w:p>
        </w:tc>
        <w:tc>
          <w:tcPr>
            <w:tcW w:w="921" w:type="dxa"/>
            <w:tcBorders>
              <w:top w:val="single" w:sz="4" w:space="0" w:color="auto"/>
              <w:left w:val="nil"/>
              <w:bottom w:val="single" w:sz="4" w:space="0" w:color="auto"/>
              <w:right w:val="nil"/>
            </w:tcBorders>
            <w:shd w:val="clear" w:color="auto" w:fill="auto"/>
          </w:tcPr>
          <w:p w14:paraId="2E867890" w14:textId="77777777" w:rsidR="007D6A0A" w:rsidRPr="00FA3A3D" w:rsidRDefault="007D6A0A" w:rsidP="007D18CC">
            <w:pPr>
              <w:ind w:left="227" w:hanging="227"/>
              <w:jc w:val="right"/>
              <w:rPr>
                <w:rFonts w:ascii="Calibri" w:hAnsi="Calibri"/>
                <w:b/>
                <w:sz w:val="20"/>
                <w:szCs w:val="20"/>
                <w:lang w:eastAsia="en-AU"/>
              </w:rPr>
            </w:pPr>
            <w:r w:rsidRPr="00FA3A3D">
              <w:rPr>
                <w:rFonts w:ascii="Calibri" w:hAnsi="Calibri"/>
                <w:b/>
                <w:sz w:val="20"/>
                <w:szCs w:val="20"/>
                <w:lang w:eastAsia="en-AU"/>
              </w:rPr>
              <w:t>1,529</w:t>
            </w:r>
          </w:p>
        </w:tc>
        <w:tc>
          <w:tcPr>
            <w:tcW w:w="921" w:type="dxa"/>
            <w:tcBorders>
              <w:top w:val="single" w:sz="4" w:space="0" w:color="auto"/>
              <w:left w:val="nil"/>
              <w:bottom w:val="single" w:sz="4" w:space="0" w:color="auto"/>
              <w:right w:val="nil"/>
            </w:tcBorders>
            <w:shd w:val="clear" w:color="auto" w:fill="auto"/>
          </w:tcPr>
          <w:p w14:paraId="77CBFD3B" w14:textId="77777777" w:rsidR="007D6A0A" w:rsidRPr="00FA3A3D" w:rsidRDefault="007D6A0A" w:rsidP="007D18CC">
            <w:pPr>
              <w:ind w:left="227" w:hanging="227"/>
              <w:jc w:val="right"/>
              <w:rPr>
                <w:rFonts w:ascii="Calibri" w:hAnsi="Calibri"/>
                <w:b/>
                <w:sz w:val="20"/>
                <w:szCs w:val="20"/>
                <w:lang w:eastAsia="en-AU"/>
              </w:rPr>
            </w:pPr>
            <w:r w:rsidRPr="00FA3A3D">
              <w:rPr>
                <w:rFonts w:ascii="Calibri" w:hAnsi="Calibri"/>
                <w:b/>
                <w:sz w:val="20"/>
                <w:szCs w:val="20"/>
                <w:lang w:eastAsia="en-AU"/>
              </w:rPr>
              <w:t>7,820</w:t>
            </w:r>
          </w:p>
        </w:tc>
      </w:tr>
    </w:tbl>
    <w:p w14:paraId="06D5F571" w14:textId="77777777" w:rsidR="007D6A0A" w:rsidRPr="00FA3A3D" w:rsidRDefault="007D6A0A" w:rsidP="007F1E74">
      <w:pPr>
        <w:pStyle w:val="snapNotesheading"/>
        <w:rPr>
          <w:b w:val="0"/>
        </w:rPr>
      </w:pPr>
      <w:r w:rsidRPr="00FA3A3D">
        <w:t xml:space="preserve">Notes: </w:t>
      </w:r>
    </w:p>
    <w:p w14:paraId="791D0BBB" w14:textId="67CC330D" w:rsidR="007D6A0A" w:rsidRPr="002B0F94" w:rsidRDefault="007D6A0A" w:rsidP="002B0F94">
      <w:pPr>
        <w:pStyle w:val="snapNotesbody"/>
      </w:pPr>
      <w:r>
        <w:t>2</w:t>
      </w:r>
      <w:r w:rsidR="007F1E74">
        <w:rPr>
          <w:lang w:val="en-US"/>
        </w:rPr>
        <w:t>.</w:t>
      </w:r>
      <w:r>
        <w:t xml:space="preserve"> </w:t>
      </w:r>
      <w:r w:rsidRPr="00FA3A3D">
        <w:t>This initiative has an expense component; this is listed in the summary table in Expense initiatives (Chapter 3.2).</w:t>
      </w:r>
    </w:p>
    <w:p w14:paraId="6A57F7A6" w14:textId="77777777" w:rsidR="007D6A0A" w:rsidRPr="00961364" w:rsidRDefault="007D6A0A" w:rsidP="002B0F94">
      <w:pPr>
        <w:pStyle w:val="snapTabletitle"/>
      </w:pPr>
      <w:r w:rsidRPr="007F6A98">
        <w:rPr>
          <w:rFonts w:asciiTheme="minorHAnsi" w:hAnsiTheme="minorHAnsi" w:cstheme="minorHAnsi"/>
        </w:rPr>
        <w:t>Table 3.4.2: Summar</w:t>
      </w:r>
      <w:r w:rsidRPr="007F6A98">
        <w:t>y of revenue initiatives by agency</w:t>
      </w:r>
    </w:p>
    <w:tbl>
      <w:tblPr>
        <w:tblW w:w="5000" w:type="pct"/>
        <w:tblLayout w:type="fixed"/>
        <w:tblCellMar>
          <w:left w:w="30" w:type="dxa"/>
          <w:right w:w="30" w:type="dxa"/>
        </w:tblCellMar>
        <w:tblLook w:val="0000" w:firstRow="0" w:lastRow="0" w:firstColumn="0" w:lastColumn="0" w:noHBand="0" w:noVBand="0"/>
      </w:tblPr>
      <w:tblGrid>
        <w:gridCol w:w="3681"/>
        <w:gridCol w:w="1189"/>
        <w:gridCol w:w="1192"/>
        <w:gridCol w:w="1192"/>
        <w:gridCol w:w="1192"/>
        <w:gridCol w:w="1192"/>
      </w:tblGrid>
      <w:tr w:rsidR="007D6A0A" w:rsidRPr="00961364" w14:paraId="09D2E81E" w14:textId="77777777" w:rsidTr="0053552F">
        <w:trPr>
          <w:cantSplit/>
          <w:trHeight w:val="227"/>
          <w:tblHeader/>
        </w:trPr>
        <w:tc>
          <w:tcPr>
            <w:tcW w:w="3681" w:type="dxa"/>
            <w:tcBorders>
              <w:top w:val="single" w:sz="4" w:space="0" w:color="auto"/>
              <w:left w:val="nil"/>
              <w:bottom w:val="single" w:sz="4" w:space="0" w:color="auto"/>
              <w:right w:val="nil"/>
            </w:tcBorders>
            <w:shd w:val="clear" w:color="auto" w:fill="auto"/>
            <w:vAlign w:val="center"/>
          </w:tcPr>
          <w:p w14:paraId="4BC478BD" w14:textId="77777777" w:rsidR="007D6A0A" w:rsidRPr="00961364" w:rsidRDefault="007D6A0A" w:rsidP="007D18CC">
            <w:pPr>
              <w:ind w:left="227" w:hanging="227"/>
              <w:rPr>
                <w:rFonts w:ascii="Calibri" w:hAnsi="Calibri"/>
                <w:b/>
                <w:bCs/>
                <w:sz w:val="20"/>
                <w:szCs w:val="20"/>
                <w:lang w:eastAsia="en-AU"/>
              </w:rPr>
            </w:pPr>
            <w:r w:rsidRPr="00961364">
              <w:rPr>
                <w:rFonts w:ascii="Calibri" w:hAnsi="Calibri"/>
                <w:b/>
                <w:bCs/>
                <w:sz w:val="20"/>
                <w:szCs w:val="20"/>
                <w:lang w:eastAsia="en-AU"/>
              </w:rPr>
              <w:t xml:space="preserve">Revenue initiatives </w:t>
            </w:r>
          </w:p>
        </w:tc>
        <w:tc>
          <w:tcPr>
            <w:tcW w:w="1189" w:type="dxa"/>
            <w:tcBorders>
              <w:top w:val="single" w:sz="4" w:space="0" w:color="auto"/>
              <w:left w:val="nil"/>
              <w:bottom w:val="single" w:sz="4" w:space="0" w:color="auto"/>
              <w:right w:val="nil"/>
            </w:tcBorders>
            <w:shd w:val="clear" w:color="auto" w:fill="auto"/>
          </w:tcPr>
          <w:p w14:paraId="4B58D7E8" w14:textId="77777777" w:rsidR="007D6A0A" w:rsidRPr="00961364" w:rsidRDefault="007D6A0A" w:rsidP="007D18CC">
            <w:pPr>
              <w:jc w:val="right"/>
              <w:rPr>
                <w:rFonts w:ascii="Calibri" w:hAnsi="Calibri"/>
                <w:b/>
                <w:bCs/>
                <w:snapToGrid w:val="0"/>
                <w:sz w:val="20"/>
                <w:szCs w:val="20"/>
                <w:lang w:eastAsia="en-US"/>
              </w:rPr>
            </w:pPr>
            <w:r w:rsidRPr="00961364">
              <w:rPr>
                <w:rFonts w:ascii="Calibri" w:hAnsi="Calibri"/>
                <w:b/>
                <w:bCs/>
                <w:snapToGrid w:val="0"/>
                <w:sz w:val="20"/>
                <w:szCs w:val="20"/>
                <w:lang w:eastAsia="en-US"/>
              </w:rPr>
              <w:t>2019-20</w:t>
            </w:r>
          </w:p>
          <w:p w14:paraId="2A5FB2AE" w14:textId="77777777" w:rsidR="007D6A0A" w:rsidRPr="00961364" w:rsidRDefault="007D6A0A" w:rsidP="007D18CC">
            <w:pPr>
              <w:jc w:val="right"/>
              <w:rPr>
                <w:rFonts w:ascii="Calibri" w:hAnsi="Calibri"/>
                <w:b/>
                <w:bCs/>
                <w:sz w:val="20"/>
                <w:szCs w:val="20"/>
                <w:lang w:eastAsia="en-US"/>
              </w:rPr>
            </w:pPr>
            <w:r w:rsidRPr="00961364">
              <w:rPr>
                <w:rFonts w:ascii="Calibri" w:hAnsi="Calibri"/>
                <w:b/>
                <w:bCs/>
                <w:sz w:val="20"/>
                <w:szCs w:val="20"/>
                <w:lang w:eastAsia="en-US"/>
              </w:rPr>
              <w:t>Estimate</w:t>
            </w:r>
          </w:p>
          <w:p w14:paraId="3456770E" w14:textId="77777777" w:rsidR="007D6A0A" w:rsidRPr="00961364" w:rsidRDefault="007D6A0A" w:rsidP="007D18CC">
            <w:pPr>
              <w:jc w:val="right"/>
              <w:rPr>
                <w:rFonts w:ascii="Calibri" w:hAnsi="Calibri"/>
                <w:b/>
                <w:bCs/>
                <w:snapToGrid w:val="0"/>
                <w:sz w:val="20"/>
                <w:szCs w:val="20"/>
                <w:lang w:eastAsia="en-US"/>
              </w:rPr>
            </w:pPr>
            <w:r w:rsidRPr="00961364">
              <w:rPr>
                <w:rFonts w:ascii="Calibri" w:hAnsi="Calibri"/>
                <w:b/>
                <w:bCs/>
                <w:sz w:val="20"/>
                <w:szCs w:val="20"/>
                <w:lang w:eastAsia="en-US"/>
              </w:rPr>
              <w:t>$’000</w:t>
            </w:r>
          </w:p>
        </w:tc>
        <w:tc>
          <w:tcPr>
            <w:tcW w:w="1192" w:type="dxa"/>
            <w:tcBorders>
              <w:top w:val="single" w:sz="4" w:space="0" w:color="auto"/>
              <w:left w:val="nil"/>
              <w:bottom w:val="single" w:sz="4" w:space="0" w:color="auto"/>
              <w:right w:val="nil"/>
            </w:tcBorders>
            <w:shd w:val="clear" w:color="auto" w:fill="auto"/>
          </w:tcPr>
          <w:p w14:paraId="7422369D" w14:textId="77777777" w:rsidR="007D6A0A" w:rsidRPr="00961364" w:rsidRDefault="007D6A0A" w:rsidP="007D18CC">
            <w:pPr>
              <w:jc w:val="right"/>
              <w:rPr>
                <w:rFonts w:ascii="Calibri" w:hAnsi="Calibri"/>
                <w:b/>
                <w:bCs/>
                <w:snapToGrid w:val="0"/>
                <w:sz w:val="20"/>
                <w:szCs w:val="20"/>
                <w:lang w:eastAsia="en-US"/>
              </w:rPr>
            </w:pPr>
            <w:r w:rsidRPr="00961364">
              <w:rPr>
                <w:rFonts w:ascii="Calibri" w:hAnsi="Calibri"/>
                <w:b/>
                <w:bCs/>
                <w:snapToGrid w:val="0"/>
                <w:sz w:val="20"/>
                <w:szCs w:val="20"/>
                <w:lang w:eastAsia="en-US"/>
              </w:rPr>
              <w:t>2020-21</w:t>
            </w:r>
          </w:p>
          <w:p w14:paraId="5F961FC4" w14:textId="77777777" w:rsidR="007D6A0A" w:rsidRPr="00961364" w:rsidRDefault="007D6A0A" w:rsidP="007D18CC">
            <w:pPr>
              <w:jc w:val="right"/>
              <w:rPr>
                <w:rFonts w:ascii="Calibri" w:hAnsi="Calibri"/>
                <w:b/>
                <w:bCs/>
                <w:sz w:val="20"/>
                <w:szCs w:val="20"/>
                <w:lang w:eastAsia="en-US"/>
              </w:rPr>
            </w:pPr>
            <w:r w:rsidRPr="00961364">
              <w:rPr>
                <w:rFonts w:ascii="Calibri" w:hAnsi="Calibri"/>
                <w:b/>
                <w:bCs/>
                <w:sz w:val="20"/>
                <w:szCs w:val="20"/>
                <w:lang w:eastAsia="en-US"/>
              </w:rPr>
              <w:t>Estimate</w:t>
            </w:r>
          </w:p>
          <w:p w14:paraId="1D4D906D" w14:textId="77777777" w:rsidR="007D6A0A" w:rsidRPr="00961364" w:rsidRDefault="007D6A0A" w:rsidP="007D18CC">
            <w:pPr>
              <w:jc w:val="right"/>
              <w:rPr>
                <w:rFonts w:ascii="Calibri" w:hAnsi="Calibri"/>
                <w:b/>
                <w:bCs/>
                <w:snapToGrid w:val="0"/>
                <w:sz w:val="20"/>
                <w:szCs w:val="20"/>
                <w:lang w:eastAsia="en-US"/>
              </w:rPr>
            </w:pPr>
            <w:r w:rsidRPr="00961364">
              <w:rPr>
                <w:rFonts w:ascii="Calibri" w:hAnsi="Calibri"/>
                <w:b/>
                <w:bCs/>
                <w:sz w:val="20"/>
                <w:szCs w:val="20"/>
                <w:lang w:eastAsia="en-US"/>
              </w:rPr>
              <w:t>$’000</w:t>
            </w:r>
          </w:p>
        </w:tc>
        <w:tc>
          <w:tcPr>
            <w:tcW w:w="1192" w:type="dxa"/>
            <w:tcBorders>
              <w:top w:val="single" w:sz="4" w:space="0" w:color="auto"/>
              <w:left w:val="nil"/>
              <w:bottom w:val="single" w:sz="4" w:space="0" w:color="auto"/>
              <w:right w:val="nil"/>
            </w:tcBorders>
            <w:shd w:val="clear" w:color="auto" w:fill="auto"/>
          </w:tcPr>
          <w:p w14:paraId="43AA607E" w14:textId="77777777" w:rsidR="007D6A0A" w:rsidRPr="00961364" w:rsidRDefault="007D6A0A" w:rsidP="007D18CC">
            <w:pPr>
              <w:jc w:val="right"/>
              <w:rPr>
                <w:rFonts w:ascii="Calibri" w:hAnsi="Calibri"/>
                <w:b/>
                <w:bCs/>
                <w:snapToGrid w:val="0"/>
                <w:sz w:val="20"/>
                <w:szCs w:val="20"/>
                <w:lang w:eastAsia="en-US"/>
              </w:rPr>
            </w:pPr>
            <w:r w:rsidRPr="00961364">
              <w:rPr>
                <w:rFonts w:ascii="Calibri" w:hAnsi="Calibri"/>
                <w:b/>
                <w:bCs/>
                <w:snapToGrid w:val="0"/>
                <w:sz w:val="20"/>
                <w:szCs w:val="20"/>
                <w:lang w:eastAsia="en-US"/>
              </w:rPr>
              <w:t>2021-22</w:t>
            </w:r>
          </w:p>
          <w:p w14:paraId="7A4492C5" w14:textId="77777777" w:rsidR="007D6A0A" w:rsidRPr="00961364" w:rsidRDefault="007D6A0A" w:rsidP="007D18CC">
            <w:pPr>
              <w:jc w:val="right"/>
              <w:rPr>
                <w:rFonts w:ascii="Calibri" w:hAnsi="Calibri"/>
                <w:b/>
                <w:bCs/>
                <w:sz w:val="20"/>
                <w:szCs w:val="20"/>
                <w:lang w:eastAsia="en-US"/>
              </w:rPr>
            </w:pPr>
            <w:r w:rsidRPr="00961364">
              <w:rPr>
                <w:rFonts w:ascii="Calibri" w:hAnsi="Calibri"/>
                <w:b/>
                <w:bCs/>
                <w:sz w:val="20"/>
                <w:szCs w:val="20"/>
                <w:lang w:eastAsia="en-US"/>
              </w:rPr>
              <w:t>Estimate</w:t>
            </w:r>
          </w:p>
          <w:p w14:paraId="33BF76F8" w14:textId="77777777" w:rsidR="007D6A0A" w:rsidRPr="00961364" w:rsidRDefault="007D6A0A" w:rsidP="007D18CC">
            <w:pPr>
              <w:jc w:val="right"/>
              <w:rPr>
                <w:rFonts w:ascii="Calibri" w:hAnsi="Calibri"/>
                <w:b/>
                <w:bCs/>
                <w:snapToGrid w:val="0"/>
                <w:sz w:val="20"/>
                <w:szCs w:val="20"/>
                <w:lang w:eastAsia="en-US"/>
              </w:rPr>
            </w:pPr>
            <w:r w:rsidRPr="00961364">
              <w:rPr>
                <w:rFonts w:ascii="Calibri" w:hAnsi="Calibri"/>
                <w:b/>
                <w:bCs/>
                <w:sz w:val="20"/>
                <w:szCs w:val="20"/>
                <w:lang w:eastAsia="en-US"/>
              </w:rPr>
              <w:t>$’000</w:t>
            </w:r>
          </w:p>
        </w:tc>
        <w:tc>
          <w:tcPr>
            <w:tcW w:w="1192" w:type="dxa"/>
            <w:tcBorders>
              <w:top w:val="single" w:sz="4" w:space="0" w:color="auto"/>
              <w:left w:val="nil"/>
              <w:bottom w:val="single" w:sz="4" w:space="0" w:color="auto"/>
              <w:right w:val="nil"/>
            </w:tcBorders>
            <w:shd w:val="clear" w:color="auto" w:fill="auto"/>
          </w:tcPr>
          <w:p w14:paraId="5343D50B" w14:textId="77777777" w:rsidR="007D6A0A" w:rsidRPr="00961364" w:rsidRDefault="007D6A0A" w:rsidP="007D18CC">
            <w:pPr>
              <w:jc w:val="right"/>
              <w:rPr>
                <w:rFonts w:ascii="Calibri" w:hAnsi="Calibri"/>
                <w:b/>
                <w:bCs/>
                <w:snapToGrid w:val="0"/>
                <w:sz w:val="20"/>
                <w:szCs w:val="20"/>
                <w:lang w:eastAsia="en-US"/>
              </w:rPr>
            </w:pPr>
            <w:r w:rsidRPr="00961364">
              <w:rPr>
                <w:rFonts w:ascii="Calibri" w:hAnsi="Calibri"/>
                <w:b/>
                <w:bCs/>
                <w:snapToGrid w:val="0"/>
                <w:sz w:val="20"/>
                <w:szCs w:val="20"/>
                <w:lang w:eastAsia="en-US"/>
              </w:rPr>
              <w:t>2022-23</w:t>
            </w:r>
          </w:p>
          <w:p w14:paraId="6C50F5BD" w14:textId="77777777" w:rsidR="007D6A0A" w:rsidRPr="00961364" w:rsidRDefault="007D6A0A" w:rsidP="007D18CC">
            <w:pPr>
              <w:jc w:val="right"/>
              <w:rPr>
                <w:rFonts w:ascii="Calibri" w:hAnsi="Calibri"/>
                <w:b/>
                <w:bCs/>
                <w:sz w:val="20"/>
                <w:szCs w:val="20"/>
                <w:lang w:eastAsia="en-US"/>
              </w:rPr>
            </w:pPr>
            <w:r w:rsidRPr="00961364">
              <w:rPr>
                <w:rFonts w:ascii="Calibri" w:hAnsi="Calibri"/>
                <w:b/>
                <w:bCs/>
                <w:sz w:val="20"/>
                <w:szCs w:val="20"/>
                <w:lang w:eastAsia="en-US"/>
              </w:rPr>
              <w:t>Estimate</w:t>
            </w:r>
          </w:p>
          <w:p w14:paraId="78F03F54" w14:textId="77777777" w:rsidR="007D6A0A" w:rsidRPr="00961364" w:rsidRDefault="007D6A0A" w:rsidP="007D18CC">
            <w:pPr>
              <w:jc w:val="right"/>
              <w:rPr>
                <w:rFonts w:ascii="Calibri" w:hAnsi="Calibri"/>
                <w:b/>
                <w:bCs/>
                <w:snapToGrid w:val="0"/>
                <w:sz w:val="20"/>
                <w:szCs w:val="20"/>
                <w:lang w:eastAsia="en-US"/>
              </w:rPr>
            </w:pPr>
            <w:r w:rsidRPr="00961364">
              <w:rPr>
                <w:rFonts w:ascii="Calibri" w:hAnsi="Calibri"/>
                <w:b/>
                <w:bCs/>
                <w:sz w:val="20"/>
                <w:szCs w:val="20"/>
                <w:lang w:eastAsia="en-US"/>
              </w:rPr>
              <w:t>$’000</w:t>
            </w:r>
          </w:p>
        </w:tc>
        <w:tc>
          <w:tcPr>
            <w:tcW w:w="1192" w:type="dxa"/>
            <w:tcBorders>
              <w:top w:val="single" w:sz="4" w:space="0" w:color="auto"/>
              <w:left w:val="nil"/>
              <w:bottom w:val="single" w:sz="4" w:space="0" w:color="auto"/>
              <w:right w:val="nil"/>
            </w:tcBorders>
            <w:shd w:val="clear" w:color="auto" w:fill="auto"/>
          </w:tcPr>
          <w:p w14:paraId="33BA7A78" w14:textId="77777777" w:rsidR="007D6A0A" w:rsidRPr="00961364" w:rsidRDefault="007D6A0A" w:rsidP="007D18CC">
            <w:pPr>
              <w:jc w:val="right"/>
              <w:rPr>
                <w:rFonts w:ascii="Calibri" w:hAnsi="Calibri"/>
                <w:b/>
                <w:bCs/>
                <w:snapToGrid w:val="0"/>
                <w:sz w:val="20"/>
                <w:szCs w:val="20"/>
                <w:lang w:eastAsia="en-US"/>
              </w:rPr>
            </w:pPr>
            <w:r w:rsidRPr="00961364">
              <w:rPr>
                <w:rFonts w:ascii="Calibri" w:hAnsi="Calibri"/>
                <w:b/>
                <w:bCs/>
                <w:snapToGrid w:val="0"/>
                <w:sz w:val="20"/>
                <w:szCs w:val="20"/>
                <w:lang w:eastAsia="en-US"/>
              </w:rPr>
              <w:t>Total</w:t>
            </w:r>
          </w:p>
          <w:p w14:paraId="13F9184D" w14:textId="77777777" w:rsidR="007D6A0A" w:rsidRPr="00961364" w:rsidRDefault="007D6A0A" w:rsidP="007D18CC">
            <w:pPr>
              <w:jc w:val="right"/>
              <w:rPr>
                <w:rFonts w:ascii="Calibri" w:hAnsi="Calibri"/>
                <w:b/>
                <w:bCs/>
                <w:snapToGrid w:val="0"/>
                <w:sz w:val="20"/>
                <w:szCs w:val="20"/>
                <w:lang w:eastAsia="en-US"/>
              </w:rPr>
            </w:pPr>
          </w:p>
          <w:p w14:paraId="5625F91E" w14:textId="77777777" w:rsidR="007D6A0A" w:rsidRPr="00961364" w:rsidRDefault="007D6A0A" w:rsidP="007D18CC">
            <w:pPr>
              <w:jc w:val="right"/>
              <w:rPr>
                <w:rFonts w:ascii="Calibri" w:hAnsi="Calibri"/>
                <w:b/>
                <w:bCs/>
                <w:snapToGrid w:val="0"/>
                <w:sz w:val="20"/>
                <w:szCs w:val="20"/>
                <w:lang w:eastAsia="en-US"/>
              </w:rPr>
            </w:pPr>
            <w:r w:rsidRPr="00961364">
              <w:rPr>
                <w:rFonts w:ascii="Calibri" w:hAnsi="Calibri"/>
                <w:b/>
                <w:bCs/>
                <w:snapToGrid w:val="0"/>
                <w:sz w:val="20"/>
                <w:szCs w:val="20"/>
                <w:lang w:eastAsia="en-US"/>
              </w:rPr>
              <w:t>$’000</w:t>
            </w:r>
          </w:p>
        </w:tc>
      </w:tr>
      <w:tr w:rsidR="007D6A0A" w:rsidRPr="00961364" w14:paraId="7B76454F" w14:textId="77777777" w:rsidTr="0053552F">
        <w:trPr>
          <w:cantSplit/>
          <w:trHeight w:val="227"/>
        </w:trPr>
        <w:tc>
          <w:tcPr>
            <w:tcW w:w="3681" w:type="dxa"/>
            <w:tcBorders>
              <w:top w:val="single" w:sz="4" w:space="0" w:color="auto"/>
            </w:tcBorders>
            <w:shd w:val="clear" w:color="auto" w:fill="auto"/>
          </w:tcPr>
          <w:p w14:paraId="7B1F6FCE" w14:textId="77777777" w:rsidR="007D6A0A" w:rsidRPr="00961364" w:rsidRDefault="007D6A0A" w:rsidP="007D18CC">
            <w:pPr>
              <w:jc w:val="right"/>
              <w:rPr>
                <w:rFonts w:ascii="Calibri" w:hAnsi="Calibri" w:cs="Calibri"/>
                <w:color w:val="FFFFFF"/>
                <w:sz w:val="12"/>
                <w:szCs w:val="20"/>
                <w:lang w:eastAsia="en-US"/>
              </w:rPr>
            </w:pPr>
            <w:r w:rsidRPr="00961364">
              <w:rPr>
                <w:rFonts w:ascii="Calibri" w:hAnsi="Calibri" w:cs="Calibri"/>
                <w:color w:val="FFFFFF"/>
                <w:sz w:val="12"/>
                <w:szCs w:val="20"/>
                <w:lang w:eastAsia="en-US"/>
              </w:rPr>
              <w:t xml:space="preserve"> </w:t>
            </w:r>
          </w:p>
        </w:tc>
        <w:tc>
          <w:tcPr>
            <w:tcW w:w="1189" w:type="dxa"/>
            <w:tcBorders>
              <w:top w:val="single" w:sz="4" w:space="0" w:color="auto"/>
            </w:tcBorders>
            <w:shd w:val="clear" w:color="auto" w:fill="auto"/>
          </w:tcPr>
          <w:p w14:paraId="001138C9" w14:textId="77777777" w:rsidR="007D6A0A" w:rsidRPr="00961364" w:rsidRDefault="007D6A0A" w:rsidP="007D18CC">
            <w:pPr>
              <w:jc w:val="right"/>
              <w:rPr>
                <w:rFonts w:ascii="Calibri" w:hAnsi="Calibri" w:cs="Calibri"/>
                <w:color w:val="FFFFFF"/>
                <w:sz w:val="12"/>
                <w:szCs w:val="20"/>
                <w:lang w:eastAsia="en-US"/>
              </w:rPr>
            </w:pPr>
            <w:r w:rsidRPr="00961364">
              <w:rPr>
                <w:rFonts w:ascii="Calibri" w:hAnsi="Calibri" w:cs="Calibri"/>
                <w:color w:val="FFFFFF"/>
                <w:sz w:val="12"/>
                <w:szCs w:val="20"/>
                <w:lang w:eastAsia="en-US"/>
              </w:rPr>
              <w:t xml:space="preserve"> </w:t>
            </w:r>
          </w:p>
        </w:tc>
        <w:tc>
          <w:tcPr>
            <w:tcW w:w="1192" w:type="dxa"/>
            <w:tcBorders>
              <w:top w:val="single" w:sz="4" w:space="0" w:color="auto"/>
            </w:tcBorders>
            <w:shd w:val="clear" w:color="auto" w:fill="auto"/>
          </w:tcPr>
          <w:p w14:paraId="2FBC2FBE" w14:textId="77777777" w:rsidR="007D6A0A" w:rsidRPr="00961364" w:rsidRDefault="007D6A0A" w:rsidP="007D18CC">
            <w:pPr>
              <w:jc w:val="right"/>
              <w:rPr>
                <w:rFonts w:ascii="Calibri" w:hAnsi="Calibri" w:cs="Calibri"/>
                <w:color w:val="FFFFFF"/>
                <w:sz w:val="12"/>
                <w:szCs w:val="20"/>
                <w:lang w:eastAsia="en-US"/>
              </w:rPr>
            </w:pPr>
            <w:r w:rsidRPr="00961364">
              <w:rPr>
                <w:rFonts w:ascii="Calibri" w:hAnsi="Calibri" w:cs="Calibri"/>
                <w:color w:val="FFFFFF"/>
                <w:sz w:val="12"/>
                <w:szCs w:val="20"/>
                <w:lang w:eastAsia="en-US"/>
              </w:rPr>
              <w:t xml:space="preserve"> </w:t>
            </w:r>
          </w:p>
        </w:tc>
        <w:tc>
          <w:tcPr>
            <w:tcW w:w="1192" w:type="dxa"/>
            <w:tcBorders>
              <w:top w:val="single" w:sz="4" w:space="0" w:color="auto"/>
            </w:tcBorders>
            <w:shd w:val="clear" w:color="auto" w:fill="auto"/>
          </w:tcPr>
          <w:p w14:paraId="618052C1" w14:textId="77777777" w:rsidR="007D6A0A" w:rsidRPr="00961364" w:rsidRDefault="007D6A0A" w:rsidP="007D18CC">
            <w:pPr>
              <w:jc w:val="right"/>
              <w:rPr>
                <w:rFonts w:ascii="Calibri" w:hAnsi="Calibri" w:cs="Calibri"/>
                <w:color w:val="FFFFFF"/>
                <w:sz w:val="12"/>
                <w:szCs w:val="20"/>
                <w:lang w:eastAsia="en-US"/>
              </w:rPr>
            </w:pPr>
            <w:r w:rsidRPr="00961364">
              <w:rPr>
                <w:rFonts w:ascii="Calibri" w:hAnsi="Calibri" w:cs="Calibri"/>
                <w:color w:val="FFFFFF"/>
                <w:sz w:val="12"/>
                <w:szCs w:val="20"/>
                <w:lang w:eastAsia="en-US"/>
              </w:rPr>
              <w:t xml:space="preserve"> </w:t>
            </w:r>
          </w:p>
        </w:tc>
        <w:tc>
          <w:tcPr>
            <w:tcW w:w="1192" w:type="dxa"/>
            <w:tcBorders>
              <w:top w:val="single" w:sz="4" w:space="0" w:color="auto"/>
            </w:tcBorders>
            <w:shd w:val="clear" w:color="auto" w:fill="auto"/>
          </w:tcPr>
          <w:p w14:paraId="12F3AF93" w14:textId="77777777" w:rsidR="007D6A0A" w:rsidRPr="00961364" w:rsidRDefault="007D6A0A" w:rsidP="007D18CC">
            <w:pPr>
              <w:jc w:val="right"/>
              <w:rPr>
                <w:rFonts w:ascii="Calibri" w:hAnsi="Calibri" w:cs="Calibri"/>
                <w:color w:val="FFFFFF"/>
                <w:sz w:val="12"/>
                <w:szCs w:val="20"/>
                <w:lang w:eastAsia="en-US"/>
              </w:rPr>
            </w:pPr>
            <w:r w:rsidRPr="00961364">
              <w:rPr>
                <w:rFonts w:ascii="Calibri" w:hAnsi="Calibri" w:cs="Calibri"/>
                <w:color w:val="FFFFFF"/>
                <w:sz w:val="12"/>
                <w:szCs w:val="20"/>
                <w:lang w:eastAsia="en-US"/>
              </w:rPr>
              <w:t xml:space="preserve"> </w:t>
            </w:r>
          </w:p>
        </w:tc>
        <w:tc>
          <w:tcPr>
            <w:tcW w:w="1192" w:type="dxa"/>
            <w:tcBorders>
              <w:top w:val="single" w:sz="4" w:space="0" w:color="auto"/>
            </w:tcBorders>
            <w:shd w:val="clear" w:color="auto" w:fill="auto"/>
          </w:tcPr>
          <w:p w14:paraId="29A35EBD" w14:textId="77777777" w:rsidR="007D6A0A" w:rsidRPr="00961364" w:rsidRDefault="007D6A0A" w:rsidP="007D18CC">
            <w:pPr>
              <w:jc w:val="right"/>
              <w:rPr>
                <w:rFonts w:ascii="Calibri" w:hAnsi="Calibri" w:cs="Calibri"/>
                <w:color w:val="FFFFFF"/>
                <w:sz w:val="12"/>
                <w:szCs w:val="20"/>
                <w:lang w:eastAsia="en-US"/>
              </w:rPr>
            </w:pPr>
            <w:r w:rsidRPr="00961364">
              <w:rPr>
                <w:rFonts w:ascii="Calibri" w:hAnsi="Calibri" w:cs="Calibri"/>
                <w:color w:val="FFFFFF"/>
                <w:sz w:val="12"/>
                <w:szCs w:val="20"/>
                <w:lang w:eastAsia="en-US"/>
              </w:rPr>
              <w:t xml:space="preserve"> </w:t>
            </w:r>
          </w:p>
        </w:tc>
      </w:tr>
      <w:tr w:rsidR="007D6A0A" w:rsidRPr="00961364" w14:paraId="28A44381" w14:textId="77777777" w:rsidTr="0053552F">
        <w:trPr>
          <w:cantSplit/>
          <w:trHeight w:val="227"/>
        </w:trPr>
        <w:tc>
          <w:tcPr>
            <w:tcW w:w="3681" w:type="dxa"/>
            <w:shd w:val="clear" w:color="auto" w:fill="auto"/>
          </w:tcPr>
          <w:p w14:paraId="034DE0F0" w14:textId="77777777" w:rsidR="007D6A0A" w:rsidRPr="00961364" w:rsidRDefault="007D6A0A" w:rsidP="007D18CC">
            <w:pPr>
              <w:jc w:val="right"/>
              <w:rPr>
                <w:rFonts w:ascii="Calibri" w:hAnsi="Calibri" w:cs="Calibri"/>
                <w:color w:val="FFFFFF"/>
                <w:sz w:val="12"/>
                <w:szCs w:val="20"/>
                <w:lang w:eastAsia="en-US"/>
              </w:rPr>
            </w:pPr>
          </w:p>
        </w:tc>
        <w:tc>
          <w:tcPr>
            <w:tcW w:w="1189" w:type="dxa"/>
            <w:shd w:val="clear" w:color="auto" w:fill="auto"/>
          </w:tcPr>
          <w:p w14:paraId="5DBB06C4" w14:textId="77777777" w:rsidR="007D6A0A" w:rsidRPr="00961364" w:rsidRDefault="007D6A0A" w:rsidP="007D18CC">
            <w:pPr>
              <w:jc w:val="right"/>
              <w:rPr>
                <w:rFonts w:ascii="Calibri" w:hAnsi="Calibri" w:cs="Calibri"/>
                <w:color w:val="000000"/>
                <w:sz w:val="12"/>
                <w:szCs w:val="20"/>
                <w:lang w:eastAsia="en-US"/>
              </w:rPr>
            </w:pPr>
          </w:p>
        </w:tc>
        <w:tc>
          <w:tcPr>
            <w:tcW w:w="1192" w:type="dxa"/>
            <w:shd w:val="clear" w:color="auto" w:fill="auto"/>
          </w:tcPr>
          <w:p w14:paraId="6AFF7428" w14:textId="77777777" w:rsidR="007D6A0A" w:rsidRPr="00961364" w:rsidRDefault="007D6A0A" w:rsidP="007D18CC">
            <w:pPr>
              <w:jc w:val="right"/>
              <w:rPr>
                <w:rFonts w:ascii="Calibri" w:hAnsi="Calibri" w:cs="Calibri"/>
                <w:color w:val="000000"/>
                <w:sz w:val="12"/>
                <w:szCs w:val="20"/>
                <w:lang w:eastAsia="en-US"/>
              </w:rPr>
            </w:pPr>
          </w:p>
        </w:tc>
        <w:tc>
          <w:tcPr>
            <w:tcW w:w="1192" w:type="dxa"/>
            <w:shd w:val="clear" w:color="auto" w:fill="auto"/>
          </w:tcPr>
          <w:p w14:paraId="65180309" w14:textId="77777777" w:rsidR="007D6A0A" w:rsidRPr="00961364" w:rsidRDefault="007D6A0A" w:rsidP="007D18CC">
            <w:pPr>
              <w:jc w:val="right"/>
              <w:rPr>
                <w:rFonts w:ascii="Calibri" w:hAnsi="Calibri" w:cs="Calibri"/>
                <w:color w:val="000000"/>
                <w:sz w:val="12"/>
                <w:szCs w:val="20"/>
                <w:lang w:eastAsia="en-US"/>
              </w:rPr>
            </w:pPr>
          </w:p>
        </w:tc>
        <w:tc>
          <w:tcPr>
            <w:tcW w:w="1192" w:type="dxa"/>
            <w:shd w:val="clear" w:color="auto" w:fill="auto"/>
          </w:tcPr>
          <w:p w14:paraId="65396EAC" w14:textId="77777777" w:rsidR="007D6A0A" w:rsidRPr="00961364" w:rsidRDefault="007D6A0A" w:rsidP="007D18CC">
            <w:pPr>
              <w:jc w:val="right"/>
              <w:rPr>
                <w:rFonts w:ascii="Calibri" w:hAnsi="Calibri" w:cs="Calibri"/>
                <w:color w:val="000000"/>
                <w:sz w:val="12"/>
                <w:szCs w:val="20"/>
                <w:lang w:eastAsia="en-US"/>
              </w:rPr>
            </w:pPr>
          </w:p>
        </w:tc>
        <w:tc>
          <w:tcPr>
            <w:tcW w:w="1192" w:type="dxa"/>
            <w:shd w:val="clear" w:color="auto" w:fill="auto"/>
          </w:tcPr>
          <w:p w14:paraId="6757A6BB" w14:textId="77777777" w:rsidR="007D6A0A" w:rsidRPr="00961364" w:rsidRDefault="007D6A0A" w:rsidP="007D18CC">
            <w:pPr>
              <w:jc w:val="right"/>
              <w:rPr>
                <w:rFonts w:ascii="Calibri" w:hAnsi="Calibri" w:cs="Calibri"/>
                <w:color w:val="000000"/>
                <w:sz w:val="12"/>
                <w:szCs w:val="20"/>
                <w:lang w:eastAsia="en-US"/>
              </w:rPr>
            </w:pPr>
          </w:p>
        </w:tc>
      </w:tr>
      <w:tr w:rsidR="007D6A0A" w:rsidRPr="00961364" w14:paraId="7563882D" w14:textId="77777777" w:rsidTr="0053552F">
        <w:trPr>
          <w:cantSplit/>
          <w:trHeight w:val="227"/>
        </w:trPr>
        <w:tc>
          <w:tcPr>
            <w:tcW w:w="6062" w:type="dxa"/>
            <w:gridSpan w:val="3"/>
            <w:shd w:val="clear" w:color="auto" w:fill="auto"/>
          </w:tcPr>
          <w:p w14:paraId="40BE7119" w14:textId="77777777" w:rsidR="007D6A0A" w:rsidRPr="00961364" w:rsidRDefault="007D6A0A" w:rsidP="007D18CC">
            <w:pPr>
              <w:ind w:left="227" w:hanging="227"/>
              <w:rPr>
                <w:rFonts w:ascii="Calibri" w:hAnsi="Calibri"/>
                <w:b/>
                <w:bCs/>
                <w:sz w:val="20"/>
                <w:szCs w:val="20"/>
                <w:lang w:eastAsia="en-AU"/>
              </w:rPr>
            </w:pPr>
            <w:r w:rsidRPr="00961364">
              <w:rPr>
                <w:rFonts w:ascii="Calibri" w:hAnsi="Calibri"/>
                <w:b/>
                <w:bCs/>
                <w:sz w:val="20"/>
                <w:szCs w:val="20"/>
                <w:lang w:eastAsia="en-AU"/>
              </w:rPr>
              <w:t>Environment, Planning and Sustainable Development Directorate</w:t>
            </w:r>
          </w:p>
        </w:tc>
        <w:tc>
          <w:tcPr>
            <w:tcW w:w="1192" w:type="dxa"/>
            <w:shd w:val="clear" w:color="auto" w:fill="auto"/>
          </w:tcPr>
          <w:p w14:paraId="65059FA0" w14:textId="77777777" w:rsidR="007D6A0A" w:rsidRPr="00961364" w:rsidRDefault="007D6A0A" w:rsidP="007D18CC">
            <w:pPr>
              <w:jc w:val="right"/>
              <w:rPr>
                <w:rFonts w:ascii="Calibri" w:hAnsi="Calibri" w:cs="Calibri"/>
                <w:color w:val="FFFFFF"/>
                <w:sz w:val="12"/>
                <w:szCs w:val="20"/>
                <w:lang w:eastAsia="en-US"/>
              </w:rPr>
            </w:pPr>
          </w:p>
        </w:tc>
        <w:tc>
          <w:tcPr>
            <w:tcW w:w="1192" w:type="dxa"/>
            <w:shd w:val="clear" w:color="auto" w:fill="auto"/>
          </w:tcPr>
          <w:p w14:paraId="23C9AB46" w14:textId="77777777" w:rsidR="007D6A0A" w:rsidRPr="00961364" w:rsidRDefault="007D6A0A" w:rsidP="007D18CC">
            <w:pPr>
              <w:jc w:val="right"/>
              <w:rPr>
                <w:rFonts w:ascii="Calibri" w:hAnsi="Calibri" w:cs="Calibri"/>
                <w:color w:val="FFFFFF"/>
                <w:sz w:val="12"/>
                <w:szCs w:val="20"/>
                <w:lang w:eastAsia="en-US"/>
              </w:rPr>
            </w:pPr>
          </w:p>
        </w:tc>
        <w:tc>
          <w:tcPr>
            <w:tcW w:w="1192" w:type="dxa"/>
            <w:shd w:val="clear" w:color="auto" w:fill="auto"/>
          </w:tcPr>
          <w:p w14:paraId="0ABC505C" w14:textId="77777777" w:rsidR="007D6A0A" w:rsidRPr="00961364" w:rsidRDefault="007D6A0A" w:rsidP="007D18CC">
            <w:pPr>
              <w:jc w:val="right"/>
              <w:rPr>
                <w:rFonts w:ascii="Calibri" w:hAnsi="Calibri" w:cs="Calibri"/>
                <w:color w:val="FFFFFF"/>
                <w:sz w:val="12"/>
                <w:szCs w:val="20"/>
                <w:lang w:eastAsia="en-US"/>
              </w:rPr>
            </w:pPr>
          </w:p>
        </w:tc>
      </w:tr>
      <w:tr w:rsidR="007D6A0A" w:rsidRPr="00961364" w14:paraId="5473B784" w14:textId="77777777" w:rsidTr="0053552F">
        <w:trPr>
          <w:cantSplit/>
          <w:trHeight w:val="227"/>
        </w:trPr>
        <w:tc>
          <w:tcPr>
            <w:tcW w:w="3681" w:type="dxa"/>
            <w:shd w:val="clear" w:color="auto" w:fill="auto"/>
          </w:tcPr>
          <w:p w14:paraId="066C0D61" w14:textId="77777777" w:rsidR="007D6A0A" w:rsidRPr="00961364" w:rsidRDefault="007D6A0A" w:rsidP="007D18CC">
            <w:pPr>
              <w:ind w:left="227" w:hanging="227"/>
              <w:rPr>
                <w:rFonts w:ascii="Calibri" w:hAnsi="Calibri"/>
                <w:bCs/>
                <w:sz w:val="20"/>
                <w:szCs w:val="20"/>
                <w:vertAlign w:val="superscript"/>
                <w:lang w:eastAsia="en-AU"/>
              </w:rPr>
            </w:pPr>
            <w:r w:rsidRPr="00961364">
              <w:rPr>
                <w:rFonts w:ascii="Calibri" w:hAnsi="Calibri"/>
                <w:bCs/>
                <w:sz w:val="20"/>
                <w:szCs w:val="20"/>
                <w:lang w:eastAsia="en-AU"/>
              </w:rPr>
              <w:t xml:space="preserve">Faster processing for development applications </w:t>
            </w:r>
            <w:r w:rsidRPr="00961364">
              <w:rPr>
                <w:rFonts w:ascii="Calibri" w:hAnsi="Calibri"/>
                <w:bCs/>
                <w:sz w:val="20"/>
                <w:szCs w:val="20"/>
                <w:vertAlign w:val="superscript"/>
                <w:lang w:eastAsia="en-AU"/>
              </w:rPr>
              <w:t>1</w:t>
            </w:r>
          </w:p>
        </w:tc>
        <w:tc>
          <w:tcPr>
            <w:tcW w:w="1189" w:type="dxa"/>
            <w:shd w:val="clear" w:color="auto" w:fill="auto"/>
          </w:tcPr>
          <w:p w14:paraId="7A49EC6B" w14:textId="77777777" w:rsidR="007D6A0A" w:rsidRPr="00961364" w:rsidRDefault="007D6A0A" w:rsidP="007D18CC">
            <w:pPr>
              <w:ind w:left="227" w:hanging="227"/>
              <w:jc w:val="right"/>
              <w:rPr>
                <w:rFonts w:ascii="Calibri" w:hAnsi="Calibri"/>
                <w:sz w:val="20"/>
                <w:szCs w:val="20"/>
                <w:lang w:eastAsia="en-AU"/>
              </w:rPr>
            </w:pPr>
            <w:r w:rsidRPr="00961364">
              <w:rPr>
                <w:rFonts w:ascii="Calibri" w:hAnsi="Calibri"/>
                <w:sz w:val="20"/>
                <w:szCs w:val="20"/>
                <w:lang w:eastAsia="en-AU"/>
              </w:rPr>
              <w:t>923</w:t>
            </w:r>
          </w:p>
        </w:tc>
        <w:tc>
          <w:tcPr>
            <w:tcW w:w="1192" w:type="dxa"/>
            <w:shd w:val="clear" w:color="auto" w:fill="auto"/>
          </w:tcPr>
          <w:p w14:paraId="00FFCF31" w14:textId="77777777" w:rsidR="007D6A0A" w:rsidRPr="00961364" w:rsidRDefault="007D6A0A" w:rsidP="007D18CC">
            <w:pPr>
              <w:ind w:left="227" w:hanging="227"/>
              <w:jc w:val="right"/>
              <w:rPr>
                <w:rFonts w:ascii="Calibri" w:hAnsi="Calibri"/>
                <w:color w:val="000000"/>
                <w:sz w:val="20"/>
                <w:szCs w:val="20"/>
                <w:lang w:eastAsia="en-AU"/>
              </w:rPr>
            </w:pPr>
            <w:r w:rsidRPr="00961364">
              <w:rPr>
                <w:rFonts w:ascii="Calibri" w:hAnsi="Calibri"/>
                <w:color w:val="000000"/>
                <w:sz w:val="20"/>
                <w:szCs w:val="20"/>
                <w:lang w:eastAsia="en-AU"/>
              </w:rPr>
              <w:t>960</w:t>
            </w:r>
          </w:p>
        </w:tc>
        <w:tc>
          <w:tcPr>
            <w:tcW w:w="1192" w:type="dxa"/>
            <w:shd w:val="clear" w:color="auto" w:fill="auto"/>
          </w:tcPr>
          <w:p w14:paraId="70BC4A43" w14:textId="77777777" w:rsidR="007D6A0A" w:rsidRPr="00961364" w:rsidRDefault="007D6A0A" w:rsidP="007D18CC">
            <w:pPr>
              <w:ind w:left="227" w:hanging="227"/>
              <w:jc w:val="right"/>
              <w:rPr>
                <w:rFonts w:ascii="Calibri" w:hAnsi="Calibri"/>
                <w:color w:val="000000"/>
                <w:sz w:val="20"/>
                <w:szCs w:val="20"/>
                <w:lang w:eastAsia="en-AU"/>
              </w:rPr>
            </w:pPr>
            <w:r w:rsidRPr="00961364">
              <w:rPr>
                <w:rFonts w:ascii="Calibri" w:hAnsi="Calibri"/>
                <w:color w:val="000000"/>
                <w:sz w:val="20"/>
                <w:szCs w:val="20"/>
                <w:lang w:eastAsia="en-AU"/>
              </w:rPr>
              <w:t>998</w:t>
            </w:r>
          </w:p>
        </w:tc>
        <w:tc>
          <w:tcPr>
            <w:tcW w:w="1192" w:type="dxa"/>
            <w:shd w:val="clear" w:color="auto" w:fill="auto"/>
          </w:tcPr>
          <w:p w14:paraId="0279E6C7" w14:textId="77777777" w:rsidR="007D6A0A" w:rsidRPr="00961364" w:rsidRDefault="007D6A0A" w:rsidP="007D18CC">
            <w:pPr>
              <w:ind w:left="227" w:hanging="227"/>
              <w:jc w:val="right"/>
              <w:rPr>
                <w:rFonts w:ascii="Calibri" w:hAnsi="Calibri"/>
                <w:color w:val="000000"/>
                <w:sz w:val="20"/>
                <w:szCs w:val="20"/>
                <w:lang w:eastAsia="en-AU"/>
              </w:rPr>
            </w:pPr>
            <w:r w:rsidRPr="00961364">
              <w:rPr>
                <w:rFonts w:ascii="Calibri" w:hAnsi="Calibri"/>
                <w:color w:val="000000"/>
                <w:sz w:val="20"/>
                <w:szCs w:val="20"/>
                <w:lang w:eastAsia="en-AU"/>
              </w:rPr>
              <w:t>1,038</w:t>
            </w:r>
          </w:p>
        </w:tc>
        <w:tc>
          <w:tcPr>
            <w:tcW w:w="1192" w:type="dxa"/>
            <w:shd w:val="clear" w:color="auto" w:fill="auto"/>
          </w:tcPr>
          <w:p w14:paraId="199717AB" w14:textId="77777777" w:rsidR="007D6A0A" w:rsidRPr="00961364" w:rsidRDefault="007D6A0A" w:rsidP="007D18CC">
            <w:pPr>
              <w:ind w:left="227" w:hanging="227"/>
              <w:jc w:val="right"/>
              <w:rPr>
                <w:rFonts w:ascii="Calibri" w:hAnsi="Calibri"/>
                <w:color w:val="000000"/>
                <w:sz w:val="20"/>
                <w:szCs w:val="20"/>
                <w:lang w:eastAsia="en-AU"/>
              </w:rPr>
            </w:pPr>
            <w:r w:rsidRPr="00961364">
              <w:rPr>
                <w:rFonts w:ascii="Calibri" w:hAnsi="Calibri"/>
                <w:color w:val="000000"/>
                <w:sz w:val="20"/>
                <w:szCs w:val="20"/>
                <w:lang w:eastAsia="en-AU"/>
              </w:rPr>
              <w:t>3,919</w:t>
            </w:r>
          </w:p>
        </w:tc>
      </w:tr>
      <w:tr w:rsidR="007D6A0A" w:rsidRPr="00961364" w14:paraId="4C9B5F98" w14:textId="77777777" w:rsidTr="00B3753F">
        <w:trPr>
          <w:cantSplit/>
          <w:trHeight w:val="227"/>
        </w:trPr>
        <w:tc>
          <w:tcPr>
            <w:tcW w:w="3681" w:type="dxa"/>
            <w:tcBorders>
              <w:bottom w:val="single" w:sz="4" w:space="0" w:color="auto"/>
            </w:tcBorders>
            <w:shd w:val="clear" w:color="auto" w:fill="auto"/>
          </w:tcPr>
          <w:p w14:paraId="76541CDD" w14:textId="77777777" w:rsidR="007D6A0A" w:rsidRPr="00961364" w:rsidRDefault="007D6A0A" w:rsidP="007D18CC">
            <w:pPr>
              <w:ind w:left="227" w:hanging="227"/>
              <w:rPr>
                <w:rFonts w:ascii="Calibri" w:hAnsi="Calibri"/>
                <w:bCs/>
                <w:sz w:val="20"/>
                <w:szCs w:val="20"/>
                <w:vertAlign w:val="superscript"/>
                <w:lang w:eastAsia="en-AU"/>
              </w:rPr>
            </w:pPr>
            <w:r w:rsidRPr="00961364">
              <w:rPr>
                <w:rFonts w:ascii="Calibri" w:hAnsi="Calibri"/>
                <w:bCs/>
                <w:sz w:val="20"/>
                <w:szCs w:val="20"/>
                <w:lang w:eastAsia="en-AU"/>
              </w:rPr>
              <w:t xml:space="preserve">Faster processing for heritage applications </w:t>
            </w:r>
            <w:r w:rsidRPr="00961364">
              <w:rPr>
                <w:rFonts w:ascii="Calibri" w:hAnsi="Calibri"/>
                <w:bCs/>
                <w:sz w:val="20"/>
                <w:szCs w:val="20"/>
                <w:vertAlign w:val="superscript"/>
                <w:lang w:eastAsia="en-AU"/>
              </w:rPr>
              <w:t>1</w:t>
            </w:r>
          </w:p>
        </w:tc>
        <w:tc>
          <w:tcPr>
            <w:tcW w:w="1189" w:type="dxa"/>
            <w:tcBorders>
              <w:bottom w:val="single" w:sz="4" w:space="0" w:color="auto"/>
            </w:tcBorders>
            <w:shd w:val="clear" w:color="auto" w:fill="auto"/>
          </w:tcPr>
          <w:p w14:paraId="13E4494B" w14:textId="77777777" w:rsidR="007D6A0A" w:rsidRPr="00961364" w:rsidRDefault="007D6A0A" w:rsidP="007D18CC">
            <w:pPr>
              <w:ind w:left="227" w:hanging="227"/>
              <w:jc w:val="right"/>
              <w:rPr>
                <w:rFonts w:ascii="Calibri" w:hAnsi="Calibri"/>
                <w:color w:val="000000"/>
                <w:sz w:val="20"/>
                <w:szCs w:val="20"/>
                <w:lang w:eastAsia="en-AU"/>
              </w:rPr>
            </w:pPr>
            <w:r w:rsidRPr="00961364">
              <w:rPr>
                <w:rFonts w:ascii="Calibri" w:hAnsi="Calibri"/>
                <w:color w:val="000000"/>
                <w:sz w:val="20"/>
                <w:szCs w:val="20"/>
                <w:lang w:eastAsia="en-AU"/>
              </w:rPr>
              <w:t>138</w:t>
            </w:r>
          </w:p>
        </w:tc>
        <w:tc>
          <w:tcPr>
            <w:tcW w:w="1192" w:type="dxa"/>
            <w:tcBorders>
              <w:bottom w:val="single" w:sz="4" w:space="0" w:color="auto"/>
            </w:tcBorders>
            <w:shd w:val="clear" w:color="auto" w:fill="auto"/>
          </w:tcPr>
          <w:p w14:paraId="37DC713A" w14:textId="77777777" w:rsidR="007D6A0A" w:rsidRPr="00961364" w:rsidRDefault="007D6A0A" w:rsidP="007D18CC">
            <w:pPr>
              <w:ind w:left="227" w:hanging="227"/>
              <w:jc w:val="right"/>
              <w:rPr>
                <w:rFonts w:ascii="Calibri" w:hAnsi="Calibri"/>
                <w:color w:val="000000"/>
                <w:sz w:val="20"/>
                <w:szCs w:val="20"/>
                <w:lang w:eastAsia="en-AU"/>
              </w:rPr>
            </w:pPr>
            <w:r w:rsidRPr="00961364">
              <w:rPr>
                <w:rFonts w:ascii="Calibri" w:hAnsi="Calibri"/>
                <w:color w:val="000000"/>
                <w:sz w:val="20"/>
                <w:szCs w:val="20"/>
                <w:lang w:eastAsia="en-AU"/>
              </w:rPr>
              <w:t>138</w:t>
            </w:r>
          </w:p>
        </w:tc>
        <w:tc>
          <w:tcPr>
            <w:tcW w:w="1192" w:type="dxa"/>
            <w:tcBorders>
              <w:bottom w:val="single" w:sz="4" w:space="0" w:color="auto"/>
            </w:tcBorders>
            <w:shd w:val="clear" w:color="auto" w:fill="auto"/>
          </w:tcPr>
          <w:p w14:paraId="1EF093A4" w14:textId="77777777" w:rsidR="007D6A0A" w:rsidRPr="00961364" w:rsidRDefault="007D6A0A" w:rsidP="007D18CC">
            <w:pPr>
              <w:ind w:left="227" w:hanging="227"/>
              <w:jc w:val="right"/>
              <w:rPr>
                <w:rFonts w:ascii="Calibri" w:hAnsi="Calibri"/>
                <w:color w:val="000000"/>
                <w:sz w:val="20"/>
                <w:szCs w:val="20"/>
                <w:lang w:eastAsia="en-AU"/>
              </w:rPr>
            </w:pPr>
            <w:r w:rsidRPr="00961364">
              <w:rPr>
                <w:rFonts w:ascii="Calibri" w:hAnsi="Calibri"/>
                <w:color w:val="000000"/>
                <w:sz w:val="20"/>
                <w:szCs w:val="20"/>
                <w:lang w:eastAsia="en-AU"/>
              </w:rPr>
              <w:t>138</w:t>
            </w:r>
          </w:p>
        </w:tc>
        <w:tc>
          <w:tcPr>
            <w:tcW w:w="1192" w:type="dxa"/>
            <w:tcBorders>
              <w:bottom w:val="single" w:sz="4" w:space="0" w:color="auto"/>
            </w:tcBorders>
            <w:shd w:val="clear" w:color="auto" w:fill="auto"/>
          </w:tcPr>
          <w:p w14:paraId="0E5CBEB1" w14:textId="77777777" w:rsidR="007D6A0A" w:rsidRPr="00961364" w:rsidRDefault="007D6A0A" w:rsidP="007D18CC">
            <w:pPr>
              <w:ind w:left="227" w:hanging="227"/>
              <w:jc w:val="right"/>
              <w:rPr>
                <w:rFonts w:ascii="Calibri" w:hAnsi="Calibri"/>
                <w:color w:val="000000"/>
                <w:sz w:val="20"/>
                <w:szCs w:val="20"/>
                <w:lang w:eastAsia="en-AU"/>
              </w:rPr>
            </w:pPr>
            <w:r w:rsidRPr="00961364">
              <w:rPr>
                <w:rFonts w:ascii="Calibri" w:hAnsi="Calibri"/>
                <w:color w:val="000000"/>
                <w:sz w:val="20"/>
                <w:szCs w:val="20"/>
                <w:lang w:eastAsia="en-AU"/>
              </w:rPr>
              <w:t>138</w:t>
            </w:r>
          </w:p>
        </w:tc>
        <w:tc>
          <w:tcPr>
            <w:tcW w:w="1192" w:type="dxa"/>
            <w:tcBorders>
              <w:bottom w:val="single" w:sz="4" w:space="0" w:color="auto"/>
            </w:tcBorders>
            <w:shd w:val="clear" w:color="auto" w:fill="auto"/>
          </w:tcPr>
          <w:p w14:paraId="170C440D" w14:textId="77777777" w:rsidR="007D6A0A" w:rsidRPr="00961364" w:rsidRDefault="007D6A0A" w:rsidP="007D18CC">
            <w:pPr>
              <w:ind w:left="227" w:hanging="227"/>
              <w:jc w:val="right"/>
              <w:rPr>
                <w:rFonts w:ascii="Calibri" w:hAnsi="Calibri"/>
                <w:color w:val="000000"/>
                <w:sz w:val="20"/>
                <w:szCs w:val="20"/>
                <w:lang w:eastAsia="en-AU"/>
              </w:rPr>
            </w:pPr>
            <w:r w:rsidRPr="00961364">
              <w:rPr>
                <w:rFonts w:ascii="Calibri" w:hAnsi="Calibri"/>
                <w:color w:val="000000"/>
                <w:sz w:val="20"/>
                <w:szCs w:val="20"/>
                <w:lang w:eastAsia="en-AU"/>
              </w:rPr>
              <w:t>552</w:t>
            </w:r>
          </w:p>
        </w:tc>
      </w:tr>
      <w:tr w:rsidR="007D6A0A" w:rsidRPr="00961364" w14:paraId="7E5A1AB2" w14:textId="77777777" w:rsidTr="00B3753F">
        <w:trPr>
          <w:cantSplit/>
          <w:trHeight w:val="227"/>
        </w:trPr>
        <w:tc>
          <w:tcPr>
            <w:tcW w:w="3681" w:type="dxa"/>
            <w:tcBorders>
              <w:top w:val="single" w:sz="4" w:space="0" w:color="auto"/>
              <w:bottom w:val="single" w:sz="4" w:space="0" w:color="auto"/>
            </w:tcBorders>
            <w:shd w:val="clear" w:color="auto" w:fill="auto"/>
          </w:tcPr>
          <w:p w14:paraId="7FAF1EE2" w14:textId="77777777" w:rsidR="007D6A0A" w:rsidRPr="00961364" w:rsidRDefault="007D6A0A" w:rsidP="007D18CC">
            <w:pPr>
              <w:ind w:left="227" w:hanging="227"/>
              <w:jc w:val="right"/>
              <w:rPr>
                <w:rFonts w:ascii="Calibri" w:hAnsi="Calibri"/>
                <w:b/>
                <w:sz w:val="20"/>
                <w:szCs w:val="20"/>
                <w:lang w:eastAsia="en-AU"/>
              </w:rPr>
            </w:pPr>
            <w:r w:rsidRPr="00961364">
              <w:rPr>
                <w:rFonts w:ascii="Calibri" w:hAnsi="Calibri"/>
                <w:b/>
                <w:sz w:val="20"/>
                <w:szCs w:val="20"/>
                <w:lang w:eastAsia="en-AU"/>
              </w:rPr>
              <w:t>Total</w:t>
            </w:r>
          </w:p>
        </w:tc>
        <w:tc>
          <w:tcPr>
            <w:tcW w:w="1189" w:type="dxa"/>
            <w:tcBorders>
              <w:top w:val="single" w:sz="4" w:space="0" w:color="auto"/>
              <w:bottom w:val="single" w:sz="4" w:space="0" w:color="auto"/>
            </w:tcBorders>
            <w:shd w:val="clear" w:color="auto" w:fill="auto"/>
            <w:vAlign w:val="center"/>
          </w:tcPr>
          <w:p w14:paraId="7C40CE0B" w14:textId="77777777" w:rsidR="007D6A0A" w:rsidRPr="00961364" w:rsidRDefault="007D6A0A" w:rsidP="007D18CC">
            <w:pPr>
              <w:ind w:left="227" w:hanging="227"/>
              <w:jc w:val="right"/>
              <w:rPr>
                <w:rFonts w:ascii="Calibri" w:hAnsi="Calibri"/>
                <w:b/>
                <w:sz w:val="20"/>
                <w:szCs w:val="20"/>
                <w:lang w:eastAsia="en-AU"/>
              </w:rPr>
            </w:pPr>
            <w:r w:rsidRPr="00961364">
              <w:rPr>
                <w:rFonts w:ascii="Calibri" w:hAnsi="Calibri"/>
                <w:b/>
                <w:sz w:val="20"/>
                <w:szCs w:val="20"/>
                <w:lang w:eastAsia="en-AU"/>
              </w:rPr>
              <w:t>1,061</w:t>
            </w:r>
          </w:p>
        </w:tc>
        <w:tc>
          <w:tcPr>
            <w:tcW w:w="1192" w:type="dxa"/>
            <w:tcBorders>
              <w:top w:val="single" w:sz="4" w:space="0" w:color="auto"/>
              <w:bottom w:val="single" w:sz="4" w:space="0" w:color="auto"/>
            </w:tcBorders>
            <w:shd w:val="clear" w:color="auto" w:fill="auto"/>
            <w:vAlign w:val="center"/>
          </w:tcPr>
          <w:p w14:paraId="5D2D6545" w14:textId="77777777" w:rsidR="007D6A0A" w:rsidRPr="00961364" w:rsidRDefault="007D6A0A" w:rsidP="007D18CC">
            <w:pPr>
              <w:ind w:left="227" w:hanging="227"/>
              <w:jc w:val="right"/>
              <w:rPr>
                <w:rFonts w:ascii="Calibri" w:hAnsi="Calibri"/>
                <w:b/>
                <w:sz w:val="20"/>
                <w:szCs w:val="20"/>
                <w:lang w:eastAsia="en-AU"/>
              </w:rPr>
            </w:pPr>
            <w:r w:rsidRPr="00961364">
              <w:rPr>
                <w:rFonts w:ascii="Calibri" w:hAnsi="Calibri"/>
                <w:b/>
                <w:sz w:val="20"/>
                <w:szCs w:val="20"/>
                <w:lang w:eastAsia="en-AU"/>
              </w:rPr>
              <w:t>1,098</w:t>
            </w:r>
          </w:p>
        </w:tc>
        <w:tc>
          <w:tcPr>
            <w:tcW w:w="1192" w:type="dxa"/>
            <w:tcBorders>
              <w:top w:val="single" w:sz="4" w:space="0" w:color="auto"/>
              <w:bottom w:val="single" w:sz="4" w:space="0" w:color="auto"/>
            </w:tcBorders>
            <w:shd w:val="clear" w:color="auto" w:fill="auto"/>
            <w:vAlign w:val="center"/>
          </w:tcPr>
          <w:p w14:paraId="3192E9D9" w14:textId="77777777" w:rsidR="007D6A0A" w:rsidRPr="00961364" w:rsidRDefault="007D6A0A" w:rsidP="007D18CC">
            <w:pPr>
              <w:ind w:left="227" w:hanging="227"/>
              <w:jc w:val="right"/>
              <w:rPr>
                <w:rFonts w:ascii="Calibri" w:hAnsi="Calibri"/>
                <w:b/>
                <w:sz w:val="20"/>
                <w:szCs w:val="20"/>
                <w:lang w:eastAsia="en-AU"/>
              </w:rPr>
            </w:pPr>
            <w:r w:rsidRPr="00961364">
              <w:rPr>
                <w:rFonts w:ascii="Calibri" w:hAnsi="Calibri"/>
                <w:b/>
                <w:sz w:val="20"/>
                <w:szCs w:val="20"/>
                <w:lang w:eastAsia="en-AU"/>
              </w:rPr>
              <w:t>1,136</w:t>
            </w:r>
          </w:p>
        </w:tc>
        <w:tc>
          <w:tcPr>
            <w:tcW w:w="1192" w:type="dxa"/>
            <w:tcBorders>
              <w:top w:val="single" w:sz="4" w:space="0" w:color="auto"/>
              <w:bottom w:val="single" w:sz="4" w:space="0" w:color="auto"/>
            </w:tcBorders>
            <w:shd w:val="clear" w:color="auto" w:fill="auto"/>
            <w:vAlign w:val="center"/>
          </w:tcPr>
          <w:p w14:paraId="6C22053E" w14:textId="77777777" w:rsidR="007D6A0A" w:rsidRPr="00961364" w:rsidRDefault="007D6A0A" w:rsidP="007D18CC">
            <w:pPr>
              <w:ind w:left="227" w:hanging="227"/>
              <w:jc w:val="right"/>
              <w:rPr>
                <w:rFonts w:ascii="Calibri" w:hAnsi="Calibri"/>
                <w:b/>
                <w:sz w:val="20"/>
                <w:szCs w:val="20"/>
                <w:lang w:eastAsia="en-AU"/>
              </w:rPr>
            </w:pPr>
            <w:r w:rsidRPr="00961364">
              <w:rPr>
                <w:rFonts w:ascii="Calibri" w:hAnsi="Calibri"/>
                <w:b/>
                <w:sz w:val="20"/>
                <w:szCs w:val="20"/>
                <w:lang w:eastAsia="en-AU"/>
              </w:rPr>
              <w:t>1,176</w:t>
            </w:r>
          </w:p>
        </w:tc>
        <w:tc>
          <w:tcPr>
            <w:tcW w:w="1192" w:type="dxa"/>
            <w:tcBorders>
              <w:top w:val="single" w:sz="4" w:space="0" w:color="auto"/>
              <w:bottom w:val="single" w:sz="4" w:space="0" w:color="auto"/>
            </w:tcBorders>
            <w:shd w:val="clear" w:color="auto" w:fill="auto"/>
            <w:vAlign w:val="center"/>
          </w:tcPr>
          <w:p w14:paraId="70300C70" w14:textId="77777777" w:rsidR="007D6A0A" w:rsidRPr="00961364" w:rsidRDefault="007D6A0A" w:rsidP="007D18CC">
            <w:pPr>
              <w:ind w:left="227" w:hanging="227"/>
              <w:jc w:val="right"/>
              <w:rPr>
                <w:rFonts w:ascii="Calibri" w:hAnsi="Calibri"/>
                <w:b/>
                <w:sz w:val="20"/>
                <w:szCs w:val="20"/>
                <w:lang w:eastAsia="en-AU"/>
              </w:rPr>
            </w:pPr>
            <w:r w:rsidRPr="00961364">
              <w:rPr>
                <w:rFonts w:ascii="Calibri" w:hAnsi="Calibri"/>
                <w:b/>
                <w:sz w:val="20"/>
                <w:szCs w:val="20"/>
                <w:lang w:eastAsia="en-AU"/>
              </w:rPr>
              <w:t>4,471</w:t>
            </w:r>
          </w:p>
        </w:tc>
      </w:tr>
    </w:tbl>
    <w:p w14:paraId="2D41A866" w14:textId="77777777" w:rsidR="007D6A0A" w:rsidRPr="00961364" w:rsidRDefault="007D6A0A" w:rsidP="002B0F94">
      <w:pPr>
        <w:pStyle w:val="snapNotesheading"/>
        <w:rPr>
          <w:b w:val="0"/>
        </w:rPr>
      </w:pPr>
      <w:r w:rsidRPr="00961364">
        <w:t>Notes:</w:t>
      </w:r>
    </w:p>
    <w:p w14:paraId="20101D2C" w14:textId="0D6742B9" w:rsidR="007D6A0A" w:rsidRPr="002B0F94" w:rsidRDefault="007D6A0A" w:rsidP="002B0F94">
      <w:pPr>
        <w:pStyle w:val="snapNotesbody"/>
      </w:pPr>
      <w:r>
        <w:t>1</w:t>
      </w:r>
      <w:r w:rsidR="002B0F94">
        <w:rPr>
          <w:lang w:val="en-US"/>
        </w:rPr>
        <w:t>.</w:t>
      </w:r>
      <w:r>
        <w:t xml:space="preserve"> </w:t>
      </w:r>
      <w:r w:rsidRPr="007F6A98">
        <w:t>This initiative has an expense component; this is listed in the summary table in Expense initiatives (Chapter 3.2).</w:t>
      </w:r>
    </w:p>
    <w:p w14:paraId="253BD9B5" w14:textId="77777777" w:rsidR="00462CAD" w:rsidRPr="00D15C55" w:rsidRDefault="00462CAD" w:rsidP="00462CAD">
      <w:pPr>
        <w:pStyle w:val="Heading2"/>
      </w:pPr>
      <w:r w:rsidRPr="00D15C55">
        <w:t>Selected Initiatives</w:t>
      </w:r>
    </w:p>
    <w:p w14:paraId="041BBB7D" w14:textId="46D3E6B6" w:rsidR="007D6A0A" w:rsidRPr="007A3A72" w:rsidRDefault="007D6A0A" w:rsidP="007A3A72">
      <w:pPr>
        <w:pStyle w:val="Heading3"/>
      </w:pPr>
      <w:r w:rsidRPr="007A3A72">
        <w:t xml:space="preserve">Expense </w:t>
      </w:r>
      <w:r w:rsidR="00B2594F">
        <w:t>I</w:t>
      </w:r>
      <w:r w:rsidRPr="007A3A72">
        <w:t>nitiatives</w:t>
      </w:r>
    </w:p>
    <w:p w14:paraId="36F46FDF" w14:textId="77777777" w:rsidR="007D6A0A" w:rsidRPr="000F30E1" w:rsidRDefault="007D6A0A" w:rsidP="000F30E1">
      <w:pPr>
        <w:pStyle w:val="snapInittitles"/>
      </w:pPr>
      <w:bookmarkStart w:id="13" w:name="_Hlk10562815"/>
      <w:r w:rsidRPr="000F30E1">
        <w:t xml:space="preserve">Due diligence to deliver a strong housing pipeline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7D6A0A" w:rsidRPr="00866299" w14:paraId="2977CF83" w14:textId="77777777" w:rsidTr="002B0F94">
        <w:trPr>
          <w:cantSplit/>
        </w:trPr>
        <w:tc>
          <w:tcPr>
            <w:tcW w:w="3652" w:type="dxa"/>
            <w:tcBorders>
              <w:top w:val="single" w:sz="4" w:space="0" w:color="auto"/>
              <w:bottom w:val="single" w:sz="4" w:space="0" w:color="auto"/>
            </w:tcBorders>
          </w:tcPr>
          <w:p w14:paraId="5A748019" w14:textId="77777777" w:rsidR="007D6A0A" w:rsidRPr="00866299" w:rsidRDefault="007D6A0A" w:rsidP="007D18CC">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426320DD"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2019-20</w:t>
            </w:r>
          </w:p>
          <w:p w14:paraId="6FF099B2"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7C453294"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2020-21</w:t>
            </w:r>
          </w:p>
          <w:p w14:paraId="05B24DC8"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45EA86E"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2021-22</w:t>
            </w:r>
          </w:p>
          <w:p w14:paraId="5E705555"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168681C3"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2022-23</w:t>
            </w:r>
          </w:p>
          <w:p w14:paraId="412CCE30"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EEED1B0"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Total</w:t>
            </w:r>
          </w:p>
          <w:p w14:paraId="5AEF4D5D"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$’000</w:t>
            </w:r>
          </w:p>
        </w:tc>
      </w:tr>
      <w:tr w:rsidR="007D6A0A" w:rsidRPr="00866299" w14:paraId="1AFB8AAD" w14:textId="77777777" w:rsidTr="002B0F94">
        <w:trPr>
          <w:cantSplit/>
        </w:trPr>
        <w:tc>
          <w:tcPr>
            <w:tcW w:w="3652" w:type="dxa"/>
            <w:tcBorders>
              <w:top w:val="single" w:sz="4" w:space="0" w:color="auto"/>
              <w:bottom w:val="single" w:sz="4" w:space="0" w:color="auto"/>
            </w:tcBorders>
          </w:tcPr>
          <w:p w14:paraId="7460AF8D" w14:textId="77777777" w:rsidR="007D6A0A" w:rsidRPr="00866299" w:rsidRDefault="007D6A0A" w:rsidP="007D18CC">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shd w:val="clear" w:color="auto" w:fill="auto"/>
          </w:tcPr>
          <w:p w14:paraId="3C3BA1B2"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1,585</w:t>
            </w:r>
          </w:p>
        </w:tc>
        <w:tc>
          <w:tcPr>
            <w:tcW w:w="1041" w:type="dxa"/>
            <w:tcBorders>
              <w:top w:val="single" w:sz="4" w:space="0" w:color="auto"/>
              <w:bottom w:val="single" w:sz="4" w:space="0" w:color="auto"/>
            </w:tcBorders>
            <w:shd w:val="clear" w:color="auto" w:fill="auto"/>
          </w:tcPr>
          <w:p w14:paraId="56B6EBAD"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500</w:t>
            </w:r>
          </w:p>
        </w:tc>
        <w:tc>
          <w:tcPr>
            <w:tcW w:w="1029" w:type="dxa"/>
            <w:tcBorders>
              <w:top w:val="single" w:sz="4" w:space="0" w:color="auto"/>
              <w:bottom w:val="single" w:sz="4" w:space="0" w:color="auto"/>
            </w:tcBorders>
            <w:shd w:val="clear" w:color="auto" w:fill="auto"/>
          </w:tcPr>
          <w:p w14:paraId="427C26A9"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shd w:val="clear" w:color="auto" w:fill="auto"/>
          </w:tcPr>
          <w:p w14:paraId="2FE400EE"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shd w:val="clear" w:color="auto" w:fill="auto"/>
          </w:tcPr>
          <w:p w14:paraId="590474A4"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2,085</w:t>
            </w:r>
          </w:p>
        </w:tc>
      </w:tr>
    </w:tbl>
    <w:p w14:paraId="3F03D32F" w14:textId="77777777" w:rsidR="007D6A0A" w:rsidRPr="00E9735E" w:rsidRDefault="007D6A0A" w:rsidP="002B0F94">
      <w:pPr>
        <w:pStyle w:val="snapInitbody"/>
      </w:pPr>
      <w:r w:rsidRPr="00E9735E">
        <w:t>The Government will continue to undertake planning and due diligence to support the delivery of housing through new suburban estates and urban renewal as part of the Territory’s land release program.</w:t>
      </w:r>
    </w:p>
    <w:p w14:paraId="10C97EBB" w14:textId="77777777" w:rsidR="007D6A0A" w:rsidRPr="000F30E1" w:rsidRDefault="007D6A0A" w:rsidP="000F30E1">
      <w:pPr>
        <w:pStyle w:val="snapInittitles"/>
      </w:pPr>
      <w:r w:rsidRPr="000F30E1">
        <w:t xml:space="preserve">Faster processing for development applications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7D6A0A" w:rsidRPr="00866299" w14:paraId="11BD8DF8" w14:textId="77777777" w:rsidTr="002B0F94">
        <w:trPr>
          <w:cantSplit/>
        </w:trPr>
        <w:tc>
          <w:tcPr>
            <w:tcW w:w="3652" w:type="dxa"/>
            <w:tcBorders>
              <w:top w:val="single" w:sz="4" w:space="0" w:color="auto"/>
              <w:bottom w:val="single" w:sz="4" w:space="0" w:color="auto"/>
            </w:tcBorders>
          </w:tcPr>
          <w:p w14:paraId="1D0F7872" w14:textId="155D84D7" w:rsidR="007D6A0A" w:rsidRPr="00866299" w:rsidRDefault="007D6A0A" w:rsidP="007D18CC">
            <w:pPr>
              <w:jc w:val="right"/>
              <w:rPr>
                <w:rFonts w:ascii="Calibri" w:hAnsi="Calibri" w:cs="Calibri"/>
                <w:i/>
                <w:color w:val="FFFFFF"/>
                <w:sz w:val="22"/>
                <w:highlight w:val="yellow"/>
                <w:lang w:eastAsia="en-US"/>
              </w:rPr>
            </w:pPr>
          </w:p>
        </w:tc>
        <w:tc>
          <w:tcPr>
            <w:tcW w:w="1179" w:type="dxa"/>
            <w:tcBorders>
              <w:top w:val="single" w:sz="4" w:space="0" w:color="auto"/>
              <w:bottom w:val="single" w:sz="4" w:space="0" w:color="auto"/>
            </w:tcBorders>
          </w:tcPr>
          <w:p w14:paraId="758C5CD7"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2019-20</w:t>
            </w:r>
          </w:p>
          <w:p w14:paraId="24D2A37C"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3FD69DCB"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2020-21</w:t>
            </w:r>
          </w:p>
          <w:p w14:paraId="2770551B"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1B7DB6EA"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2021-22</w:t>
            </w:r>
          </w:p>
          <w:p w14:paraId="40DEFB23"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555362C"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2022-23</w:t>
            </w:r>
          </w:p>
          <w:p w14:paraId="710C0242"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4BF9ABB"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Total</w:t>
            </w:r>
          </w:p>
          <w:p w14:paraId="759FE267"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$’000</w:t>
            </w:r>
          </w:p>
        </w:tc>
      </w:tr>
      <w:tr w:rsidR="007D6A0A" w:rsidRPr="00866299" w14:paraId="1262C659" w14:textId="77777777" w:rsidTr="002B0F94">
        <w:trPr>
          <w:cantSplit/>
        </w:trPr>
        <w:tc>
          <w:tcPr>
            <w:tcW w:w="3652" w:type="dxa"/>
            <w:tcBorders>
              <w:top w:val="single" w:sz="4" w:space="0" w:color="auto"/>
              <w:bottom w:val="single" w:sz="4" w:space="0" w:color="auto"/>
            </w:tcBorders>
          </w:tcPr>
          <w:p w14:paraId="2FFC2302" w14:textId="77777777" w:rsidR="007D6A0A" w:rsidRPr="00866299" w:rsidRDefault="007D6A0A" w:rsidP="007D18CC">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tcPr>
          <w:p w14:paraId="76D7DB3D"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1,033</w:t>
            </w:r>
          </w:p>
        </w:tc>
        <w:tc>
          <w:tcPr>
            <w:tcW w:w="1041" w:type="dxa"/>
            <w:tcBorders>
              <w:top w:val="single" w:sz="4" w:space="0" w:color="auto"/>
              <w:bottom w:val="single" w:sz="4" w:space="0" w:color="auto"/>
            </w:tcBorders>
          </w:tcPr>
          <w:p w14:paraId="5202B95B"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898</w:t>
            </w:r>
          </w:p>
        </w:tc>
        <w:tc>
          <w:tcPr>
            <w:tcW w:w="1029" w:type="dxa"/>
            <w:tcBorders>
              <w:top w:val="single" w:sz="4" w:space="0" w:color="auto"/>
              <w:bottom w:val="single" w:sz="4" w:space="0" w:color="auto"/>
            </w:tcBorders>
          </w:tcPr>
          <w:p w14:paraId="4D8DBE2F"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922</w:t>
            </w:r>
          </w:p>
        </w:tc>
        <w:tc>
          <w:tcPr>
            <w:tcW w:w="1029" w:type="dxa"/>
            <w:tcBorders>
              <w:top w:val="single" w:sz="4" w:space="0" w:color="auto"/>
              <w:bottom w:val="single" w:sz="4" w:space="0" w:color="auto"/>
            </w:tcBorders>
          </w:tcPr>
          <w:p w14:paraId="51C60104"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936</w:t>
            </w:r>
          </w:p>
        </w:tc>
        <w:tc>
          <w:tcPr>
            <w:tcW w:w="1029" w:type="dxa"/>
            <w:tcBorders>
              <w:top w:val="single" w:sz="4" w:space="0" w:color="auto"/>
              <w:bottom w:val="single" w:sz="4" w:space="0" w:color="auto"/>
            </w:tcBorders>
          </w:tcPr>
          <w:p w14:paraId="3421DE88"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3,789</w:t>
            </w:r>
          </w:p>
        </w:tc>
      </w:tr>
      <w:tr w:rsidR="007D6A0A" w:rsidRPr="00866299" w14:paraId="3CE21BD9" w14:textId="77777777" w:rsidTr="002B0F94">
        <w:trPr>
          <w:cantSplit/>
        </w:trPr>
        <w:tc>
          <w:tcPr>
            <w:tcW w:w="3652" w:type="dxa"/>
            <w:tcBorders>
              <w:top w:val="single" w:sz="4" w:space="0" w:color="auto"/>
              <w:bottom w:val="single" w:sz="4" w:space="0" w:color="auto"/>
            </w:tcBorders>
          </w:tcPr>
          <w:p w14:paraId="72600DFC" w14:textId="77777777" w:rsidR="007D6A0A" w:rsidRPr="00866299" w:rsidRDefault="007D6A0A" w:rsidP="007D18CC">
            <w:pPr>
              <w:ind w:left="284" w:hanging="284"/>
              <w:rPr>
                <w:rFonts w:ascii="Calibri" w:hAnsi="Calibri"/>
                <w:sz w:val="22"/>
                <w:lang w:eastAsia="en-US"/>
              </w:rPr>
            </w:pPr>
            <w:r w:rsidRPr="00866299">
              <w:rPr>
                <w:rFonts w:ascii="Calibri" w:hAnsi="Calibri"/>
                <w:sz w:val="22"/>
                <w:lang w:eastAsia="en-US"/>
              </w:rPr>
              <w:t>Associated Revenue</w:t>
            </w:r>
          </w:p>
        </w:tc>
        <w:tc>
          <w:tcPr>
            <w:tcW w:w="1179" w:type="dxa"/>
            <w:tcBorders>
              <w:top w:val="single" w:sz="4" w:space="0" w:color="auto"/>
              <w:bottom w:val="single" w:sz="4" w:space="0" w:color="auto"/>
            </w:tcBorders>
          </w:tcPr>
          <w:p w14:paraId="6A056B97"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923</w:t>
            </w:r>
          </w:p>
        </w:tc>
        <w:tc>
          <w:tcPr>
            <w:tcW w:w="1041" w:type="dxa"/>
            <w:tcBorders>
              <w:top w:val="single" w:sz="4" w:space="0" w:color="auto"/>
              <w:bottom w:val="single" w:sz="4" w:space="0" w:color="auto"/>
            </w:tcBorders>
          </w:tcPr>
          <w:p w14:paraId="6CFD612F"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960</w:t>
            </w:r>
          </w:p>
        </w:tc>
        <w:tc>
          <w:tcPr>
            <w:tcW w:w="1029" w:type="dxa"/>
            <w:tcBorders>
              <w:top w:val="single" w:sz="4" w:space="0" w:color="auto"/>
              <w:bottom w:val="single" w:sz="4" w:space="0" w:color="auto"/>
            </w:tcBorders>
          </w:tcPr>
          <w:p w14:paraId="4F864667"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998</w:t>
            </w:r>
          </w:p>
        </w:tc>
        <w:tc>
          <w:tcPr>
            <w:tcW w:w="1029" w:type="dxa"/>
            <w:tcBorders>
              <w:top w:val="single" w:sz="4" w:space="0" w:color="auto"/>
              <w:bottom w:val="single" w:sz="4" w:space="0" w:color="auto"/>
            </w:tcBorders>
          </w:tcPr>
          <w:p w14:paraId="6D47C0D8"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1,038</w:t>
            </w:r>
          </w:p>
        </w:tc>
        <w:tc>
          <w:tcPr>
            <w:tcW w:w="1029" w:type="dxa"/>
            <w:tcBorders>
              <w:top w:val="single" w:sz="4" w:space="0" w:color="auto"/>
              <w:bottom w:val="single" w:sz="4" w:space="0" w:color="auto"/>
            </w:tcBorders>
          </w:tcPr>
          <w:p w14:paraId="74BE2018"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3,919</w:t>
            </w:r>
          </w:p>
        </w:tc>
      </w:tr>
    </w:tbl>
    <w:p w14:paraId="495339A9" w14:textId="11A55BB9" w:rsidR="007D6A0A" w:rsidRPr="00E9735E" w:rsidRDefault="007D6A0A" w:rsidP="002B0F94">
      <w:pPr>
        <w:pStyle w:val="snapInitbody"/>
      </w:pPr>
      <w:r w:rsidRPr="00E9735E">
        <w:t>The Government will deliver more frontline staff to process development applications, to help meet growing demand. The costs of this initiative will be funded by the development industry through an increase in development applications fees.</w:t>
      </w:r>
    </w:p>
    <w:p w14:paraId="18D7DC77" w14:textId="77777777" w:rsidR="007D6A0A" w:rsidRPr="000F30E1" w:rsidRDefault="007D6A0A" w:rsidP="000F30E1">
      <w:pPr>
        <w:pStyle w:val="snapInittitles"/>
      </w:pPr>
      <w:r w:rsidRPr="000F30E1">
        <w:t xml:space="preserve">Faster processing for heritage applications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7D6A0A" w:rsidRPr="00866299" w14:paraId="75B38C97" w14:textId="77777777" w:rsidTr="002B0F94">
        <w:trPr>
          <w:cantSplit/>
        </w:trPr>
        <w:tc>
          <w:tcPr>
            <w:tcW w:w="3652" w:type="dxa"/>
            <w:tcBorders>
              <w:top w:val="single" w:sz="4" w:space="0" w:color="auto"/>
              <w:bottom w:val="single" w:sz="4" w:space="0" w:color="auto"/>
            </w:tcBorders>
          </w:tcPr>
          <w:p w14:paraId="2C31936E" w14:textId="0FD46DB5" w:rsidR="007D6A0A" w:rsidRPr="00866299" w:rsidRDefault="007D6A0A" w:rsidP="007D18CC">
            <w:pPr>
              <w:jc w:val="right"/>
              <w:rPr>
                <w:rFonts w:ascii="Calibri" w:hAnsi="Calibri" w:cs="Calibri"/>
                <w:i/>
                <w:color w:val="FFFFFF"/>
                <w:sz w:val="22"/>
                <w:highlight w:val="yellow"/>
                <w:lang w:eastAsia="en-US"/>
              </w:rPr>
            </w:pPr>
          </w:p>
        </w:tc>
        <w:tc>
          <w:tcPr>
            <w:tcW w:w="1179" w:type="dxa"/>
            <w:tcBorders>
              <w:top w:val="single" w:sz="4" w:space="0" w:color="auto"/>
              <w:bottom w:val="single" w:sz="4" w:space="0" w:color="auto"/>
            </w:tcBorders>
          </w:tcPr>
          <w:p w14:paraId="04F1A068"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2019-20</w:t>
            </w:r>
          </w:p>
          <w:p w14:paraId="44A36729"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4BB95E45"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2020-21</w:t>
            </w:r>
          </w:p>
          <w:p w14:paraId="216256C2"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54A71436"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2021-22</w:t>
            </w:r>
          </w:p>
          <w:p w14:paraId="28BF3D40"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B9D8DBA"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2022-23</w:t>
            </w:r>
          </w:p>
          <w:p w14:paraId="7652EB5D"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61C43F9"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Total</w:t>
            </w:r>
          </w:p>
          <w:p w14:paraId="65688497"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$’000</w:t>
            </w:r>
          </w:p>
        </w:tc>
      </w:tr>
      <w:tr w:rsidR="007D6A0A" w:rsidRPr="00866299" w14:paraId="01A5F73C" w14:textId="77777777" w:rsidTr="002B0F94">
        <w:trPr>
          <w:cantSplit/>
        </w:trPr>
        <w:tc>
          <w:tcPr>
            <w:tcW w:w="3652" w:type="dxa"/>
            <w:tcBorders>
              <w:top w:val="single" w:sz="4" w:space="0" w:color="auto"/>
              <w:bottom w:val="single" w:sz="4" w:space="0" w:color="auto"/>
            </w:tcBorders>
          </w:tcPr>
          <w:p w14:paraId="042560BD" w14:textId="77777777" w:rsidR="007D6A0A" w:rsidRPr="00866299" w:rsidRDefault="007D6A0A" w:rsidP="007D18CC">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tcPr>
          <w:p w14:paraId="28FCEB15"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121</w:t>
            </w:r>
          </w:p>
        </w:tc>
        <w:tc>
          <w:tcPr>
            <w:tcW w:w="1041" w:type="dxa"/>
            <w:tcBorders>
              <w:top w:val="single" w:sz="4" w:space="0" w:color="auto"/>
              <w:bottom w:val="single" w:sz="4" w:space="0" w:color="auto"/>
            </w:tcBorders>
          </w:tcPr>
          <w:p w14:paraId="09D355DB"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125</w:t>
            </w:r>
          </w:p>
        </w:tc>
        <w:tc>
          <w:tcPr>
            <w:tcW w:w="1029" w:type="dxa"/>
            <w:tcBorders>
              <w:top w:val="single" w:sz="4" w:space="0" w:color="auto"/>
              <w:bottom w:val="single" w:sz="4" w:space="0" w:color="auto"/>
            </w:tcBorders>
          </w:tcPr>
          <w:p w14:paraId="0B916224"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128</w:t>
            </w:r>
          </w:p>
        </w:tc>
        <w:tc>
          <w:tcPr>
            <w:tcW w:w="1029" w:type="dxa"/>
            <w:tcBorders>
              <w:top w:val="single" w:sz="4" w:space="0" w:color="auto"/>
              <w:bottom w:val="single" w:sz="4" w:space="0" w:color="auto"/>
            </w:tcBorders>
          </w:tcPr>
          <w:p w14:paraId="636EBFAA"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130</w:t>
            </w:r>
          </w:p>
        </w:tc>
        <w:tc>
          <w:tcPr>
            <w:tcW w:w="1029" w:type="dxa"/>
            <w:tcBorders>
              <w:top w:val="single" w:sz="4" w:space="0" w:color="auto"/>
              <w:bottom w:val="single" w:sz="4" w:space="0" w:color="auto"/>
            </w:tcBorders>
          </w:tcPr>
          <w:p w14:paraId="2ABBCCA1"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504</w:t>
            </w:r>
          </w:p>
        </w:tc>
      </w:tr>
      <w:tr w:rsidR="007D6A0A" w:rsidRPr="00866299" w14:paraId="232B52AB" w14:textId="77777777" w:rsidTr="002B0F94">
        <w:trPr>
          <w:cantSplit/>
        </w:trPr>
        <w:tc>
          <w:tcPr>
            <w:tcW w:w="3652" w:type="dxa"/>
            <w:tcBorders>
              <w:top w:val="single" w:sz="4" w:space="0" w:color="auto"/>
              <w:bottom w:val="single" w:sz="4" w:space="0" w:color="auto"/>
            </w:tcBorders>
          </w:tcPr>
          <w:p w14:paraId="570A7BDB" w14:textId="77777777" w:rsidR="007D6A0A" w:rsidRPr="00866299" w:rsidRDefault="007D6A0A" w:rsidP="007D18CC">
            <w:pPr>
              <w:ind w:left="284" w:hanging="284"/>
              <w:rPr>
                <w:rFonts w:ascii="Calibri" w:hAnsi="Calibri"/>
                <w:sz w:val="22"/>
                <w:lang w:eastAsia="en-US"/>
              </w:rPr>
            </w:pPr>
            <w:r w:rsidRPr="00866299">
              <w:rPr>
                <w:rFonts w:ascii="Calibri" w:hAnsi="Calibri"/>
                <w:sz w:val="22"/>
                <w:lang w:eastAsia="en-US"/>
              </w:rPr>
              <w:t>Associated Revenue</w:t>
            </w:r>
          </w:p>
        </w:tc>
        <w:tc>
          <w:tcPr>
            <w:tcW w:w="1179" w:type="dxa"/>
            <w:tcBorders>
              <w:top w:val="single" w:sz="4" w:space="0" w:color="auto"/>
              <w:bottom w:val="single" w:sz="4" w:space="0" w:color="auto"/>
            </w:tcBorders>
          </w:tcPr>
          <w:p w14:paraId="483E7034"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138</w:t>
            </w:r>
          </w:p>
        </w:tc>
        <w:tc>
          <w:tcPr>
            <w:tcW w:w="1041" w:type="dxa"/>
            <w:tcBorders>
              <w:top w:val="single" w:sz="4" w:space="0" w:color="auto"/>
              <w:bottom w:val="single" w:sz="4" w:space="0" w:color="auto"/>
            </w:tcBorders>
          </w:tcPr>
          <w:p w14:paraId="1E63528F"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138</w:t>
            </w:r>
          </w:p>
        </w:tc>
        <w:tc>
          <w:tcPr>
            <w:tcW w:w="1029" w:type="dxa"/>
            <w:tcBorders>
              <w:top w:val="single" w:sz="4" w:space="0" w:color="auto"/>
              <w:bottom w:val="single" w:sz="4" w:space="0" w:color="auto"/>
            </w:tcBorders>
          </w:tcPr>
          <w:p w14:paraId="6362FF5B"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138</w:t>
            </w:r>
          </w:p>
        </w:tc>
        <w:tc>
          <w:tcPr>
            <w:tcW w:w="1029" w:type="dxa"/>
            <w:tcBorders>
              <w:top w:val="single" w:sz="4" w:space="0" w:color="auto"/>
              <w:bottom w:val="single" w:sz="4" w:space="0" w:color="auto"/>
            </w:tcBorders>
          </w:tcPr>
          <w:p w14:paraId="67EB23DE"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138</w:t>
            </w:r>
          </w:p>
        </w:tc>
        <w:tc>
          <w:tcPr>
            <w:tcW w:w="1029" w:type="dxa"/>
            <w:tcBorders>
              <w:top w:val="single" w:sz="4" w:space="0" w:color="auto"/>
              <w:bottom w:val="single" w:sz="4" w:space="0" w:color="auto"/>
            </w:tcBorders>
          </w:tcPr>
          <w:p w14:paraId="42CBE55F"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552</w:t>
            </w:r>
          </w:p>
        </w:tc>
      </w:tr>
    </w:tbl>
    <w:p w14:paraId="500F25D7" w14:textId="77777777" w:rsidR="007D6A0A" w:rsidRPr="00E9735E" w:rsidRDefault="007D6A0A" w:rsidP="002B0F94">
      <w:pPr>
        <w:pStyle w:val="snapInitbody"/>
      </w:pPr>
      <w:r w:rsidRPr="00E9735E">
        <w:t>The Government will provide additional resourcing to meet the growing demand for advice on heritage applications. Protecting Canberra’s heritage is an important part of maintaining our city’s unique character as we continue to grow and more development takes place on infill sites. The cost of this initiative will be met through additional revenue from heritage application fees.</w:t>
      </w:r>
    </w:p>
    <w:p w14:paraId="702B7A07" w14:textId="77777777" w:rsidR="007D6A0A" w:rsidRPr="000F30E1" w:rsidRDefault="007D6A0A" w:rsidP="000F30E1">
      <w:pPr>
        <w:pStyle w:val="snapInittitles"/>
      </w:pPr>
      <w:r w:rsidRPr="000F30E1">
        <w:t xml:space="preserve">Feasibility and infrastructure planning for future Molonglo land releases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7D6A0A" w:rsidRPr="00866299" w14:paraId="647CAF58" w14:textId="77777777" w:rsidTr="002B0F94">
        <w:trPr>
          <w:cantSplit/>
        </w:trPr>
        <w:tc>
          <w:tcPr>
            <w:tcW w:w="3652" w:type="dxa"/>
            <w:tcBorders>
              <w:top w:val="single" w:sz="4" w:space="0" w:color="auto"/>
              <w:bottom w:val="single" w:sz="4" w:space="0" w:color="auto"/>
            </w:tcBorders>
          </w:tcPr>
          <w:p w14:paraId="4EF53EFA" w14:textId="77777777" w:rsidR="007D6A0A" w:rsidRPr="00866299" w:rsidRDefault="007D6A0A" w:rsidP="007D18CC">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317DCDF8"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2019-20</w:t>
            </w:r>
          </w:p>
          <w:p w14:paraId="42537211"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164BE140"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2020-21</w:t>
            </w:r>
          </w:p>
          <w:p w14:paraId="780D1D60"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A2CF6DE"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2021-22</w:t>
            </w:r>
          </w:p>
          <w:p w14:paraId="1A077A64"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BEF1CB4"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2022-23</w:t>
            </w:r>
          </w:p>
          <w:p w14:paraId="0F2CFF15"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C428C5D"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Total</w:t>
            </w:r>
          </w:p>
          <w:p w14:paraId="300FAD6B"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$’000</w:t>
            </w:r>
          </w:p>
        </w:tc>
      </w:tr>
      <w:tr w:rsidR="007D6A0A" w:rsidRPr="00866299" w14:paraId="360128E5" w14:textId="77777777" w:rsidTr="002B0F94">
        <w:trPr>
          <w:cantSplit/>
        </w:trPr>
        <w:tc>
          <w:tcPr>
            <w:tcW w:w="3652" w:type="dxa"/>
            <w:tcBorders>
              <w:top w:val="single" w:sz="4" w:space="0" w:color="auto"/>
              <w:bottom w:val="single" w:sz="4" w:space="0" w:color="auto"/>
            </w:tcBorders>
          </w:tcPr>
          <w:p w14:paraId="1E5FBC21" w14:textId="77777777" w:rsidR="007D6A0A" w:rsidRPr="00866299" w:rsidRDefault="007D6A0A" w:rsidP="007D18CC">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shd w:val="clear" w:color="auto" w:fill="auto"/>
          </w:tcPr>
          <w:p w14:paraId="59C10CD0"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835</w:t>
            </w:r>
          </w:p>
        </w:tc>
        <w:tc>
          <w:tcPr>
            <w:tcW w:w="1041" w:type="dxa"/>
            <w:tcBorders>
              <w:top w:val="single" w:sz="4" w:space="0" w:color="auto"/>
              <w:bottom w:val="single" w:sz="4" w:space="0" w:color="auto"/>
            </w:tcBorders>
            <w:shd w:val="clear" w:color="auto" w:fill="auto"/>
          </w:tcPr>
          <w:p w14:paraId="5E1564B2"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434</w:t>
            </w:r>
          </w:p>
        </w:tc>
        <w:tc>
          <w:tcPr>
            <w:tcW w:w="1029" w:type="dxa"/>
            <w:tcBorders>
              <w:top w:val="single" w:sz="4" w:space="0" w:color="auto"/>
              <w:bottom w:val="single" w:sz="4" w:space="0" w:color="auto"/>
            </w:tcBorders>
            <w:shd w:val="clear" w:color="auto" w:fill="auto"/>
          </w:tcPr>
          <w:p w14:paraId="75C4F866"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shd w:val="clear" w:color="auto" w:fill="auto"/>
          </w:tcPr>
          <w:p w14:paraId="207A44F0"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shd w:val="clear" w:color="auto" w:fill="auto"/>
          </w:tcPr>
          <w:p w14:paraId="0DB3639D"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1,269</w:t>
            </w:r>
          </w:p>
        </w:tc>
      </w:tr>
    </w:tbl>
    <w:p w14:paraId="658AAF22" w14:textId="77777777" w:rsidR="007D6A0A" w:rsidRPr="00E9735E" w:rsidRDefault="007D6A0A" w:rsidP="002B0F94">
      <w:pPr>
        <w:pStyle w:val="snapInitbody"/>
      </w:pPr>
      <w:r w:rsidRPr="00E9735E">
        <w:t>The Government will complete feasibility and early planning for road, stormwater, sewer and water infrastructure to support future land releases in the Molonglo region.</w:t>
      </w:r>
    </w:p>
    <w:p w14:paraId="146D924E" w14:textId="77777777" w:rsidR="007D6A0A" w:rsidRPr="000F30E1" w:rsidRDefault="007D6A0A" w:rsidP="000F30E1">
      <w:pPr>
        <w:pStyle w:val="snapInittitles"/>
      </w:pPr>
      <w:proofErr w:type="spellStart"/>
      <w:r w:rsidRPr="000F30E1">
        <w:t>Ginninderry</w:t>
      </w:r>
      <w:proofErr w:type="spellEnd"/>
      <w:r w:rsidRPr="000F30E1">
        <w:t xml:space="preserve"> Environmental Management Trust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7D6A0A" w:rsidRPr="00866299" w14:paraId="775FF6FD" w14:textId="77777777" w:rsidTr="002B0F94">
        <w:trPr>
          <w:cantSplit/>
        </w:trPr>
        <w:tc>
          <w:tcPr>
            <w:tcW w:w="3652" w:type="dxa"/>
            <w:tcBorders>
              <w:top w:val="single" w:sz="4" w:space="0" w:color="auto"/>
              <w:bottom w:val="single" w:sz="4" w:space="0" w:color="auto"/>
            </w:tcBorders>
          </w:tcPr>
          <w:p w14:paraId="4A9283D7" w14:textId="77777777" w:rsidR="007D6A0A" w:rsidRPr="00866299" w:rsidRDefault="007D6A0A" w:rsidP="007D18CC">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71D8B036"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2019-20</w:t>
            </w:r>
          </w:p>
          <w:p w14:paraId="20ECF10B"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3CE7FC5A"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2020-21</w:t>
            </w:r>
          </w:p>
          <w:p w14:paraId="2AC8DBDE"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6A79EF3"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2021-22</w:t>
            </w:r>
          </w:p>
          <w:p w14:paraId="1789BF2D"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1A77CE3B"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2022-23</w:t>
            </w:r>
          </w:p>
          <w:p w14:paraId="012F7FB6"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1643072B"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Total</w:t>
            </w:r>
          </w:p>
          <w:p w14:paraId="2476A9E2"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$’000</w:t>
            </w:r>
          </w:p>
        </w:tc>
      </w:tr>
      <w:tr w:rsidR="007D6A0A" w:rsidRPr="00866299" w14:paraId="40F06C14" w14:textId="77777777" w:rsidTr="002B0F94">
        <w:trPr>
          <w:cantSplit/>
        </w:trPr>
        <w:tc>
          <w:tcPr>
            <w:tcW w:w="3652" w:type="dxa"/>
            <w:tcBorders>
              <w:top w:val="single" w:sz="4" w:space="0" w:color="auto"/>
              <w:bottom w:val="single" w:sz="4" w:space="0" w:color="auto"/>
            </w:tcBorders>
          </w:tcPr>
          <w:p w14:paraId="37932CBA" w14:textId="77777777" w:rsidR="007D6A0A" w:rsidRPr="00866299" w:rsidRDefault="007D6A0A" w:rsidP="007D18CC">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tcPr>
          <w:p w14:paraId="2427B184"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465</w:t>
            </w:r>
          </w:p>
        </w:tc>
        <w:tc>
          <w:tcPr>
            <w:tcW w:w="1041" w:type="dxa"/>
            <w:tcBorders>
              <w:top w:val="single" w:sz="4" w:space="0" w:color="auto"/>
              <w:bottom w:val="single" w:sz="4" w:space="0" w:color="auto"/>
            </w:tcBorders>
          </w:tcPr>
          <w:p w14:paraId="21D1D58B"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479</w:t>
            </w:r>
          </w:p>
        </w:tc>
        <w:tc>
          <w:tcPr>
            <w:tcW w:w="1029" w:type="dxa"/>
            <w:tcBorders>
              <w:top w:val="single" w:sz="4" w:space="0" w:color="auto"/>
              <w:bottom w:val="single" w:sz="4" w:space="0" w:color="auto"/>
            </w:tcBorders>
          </w:tcPr>
          <w:p w14:paraId="09F9FF01"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492</w:t>
            </w:r>
          </w:p>
        </w:tc>
        <w:tc>
          <w:tcPr>
            <w:tcW w:w="1029" w:type="dxa"/>
            <w:tcBorders>
              <w:top w:val="single" w:sz="4" w:space="0" w:color="auto"/>
              <w:bottom w:val="single" w:sz="4" w:space="0" w:color="auto"/>
            </w:tcBorders>
          </w:tcPr>
          <w:p w14:paraId="56B8841B"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507</w:t>
            </w:r>
          </w:p>
        </w:tc>
        <w:tc>
          <w:tcPr>
            <w:tcW w:w="1029" w:type="dxa"/>
            <w:tcBorders>
              <w:top w:val="single" w:sz="4" w:space="0" w:color="auto"/>
              <w:bottom w:val="single" w:sz="4" w:space="0" w:color="auto"/>
            </w:tcBorders>
          </w:tcPr>
          <w:p w14:paraId="7FB0E93B"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1,943</w:t>
            </w:r>
          </w:p>
        </w:tc>
      </w:tr>
    </w:tbl>
    <w:p w14:paraId="626F079E" w14:textId="77777777" w:rsidR="007D6A0A" w:rsidRPr="00E9735E" w:rsidRDefault="007D6A0A" w:rsidP="002B0F94">
      <w:pPr>
        <w:pStyle w:val="snapInitbody"/>
      </w:pPr>
      <w:r w:rsidRPr="00E9735E">
        <w:t xml:space="preserve">As a member of the </w:t>
      </w:r>
      <w:proofErr w:type="spellStart"/>
      <w:r w:rsidRPr="00E9735E">
        <w:t>Ginninderry</w:t>
      </w:r>
      <w:proofErr w:type="spellEnd"/>
      <w:r w:rsidRPr="00E9735E">
        <w:t xml:space="preserve"> Joint Venture, the Government will contribute to the </w:t>
      </w:r>
      <w:proofErr w:type="spellStart"/>
      <w:r w:rsidRPr="00E9735E">
        <w:t>Ginninderry</w:t>
      </w:r>
      <w:proofErr w:type="spellEnd"/>
      <w:r w:rsidRPr="00E9735E">
        <w:t xml:space="preserve"> Conservation Trust to maintain a conservation corridor along the Murrumbidgee River and Ginninderra Creek. The Government’s contributions will be reviewed every five years.</w:t>
      </w:r>
    </w:p>
    <w:p w14:paraId="508B8A39" w14:textId="77777777" w:rsidR="006A2A5B" w:rsidRDefault="006A2A5B">
      <w:pPr>
        <w:rPr>
          <w:rFonts w:ascii="Calibri" w:hAnsi="Calibri"/>
          <w:b/>
          <w:bCs/>
          <w:sz w:val="26"/>
          <w:szCs w:val="26"/>
          <w:lang w:val="x-none" w:eastAsia="en-US"/>
        </w:rPr>
      </w:pPr>
      <w:r>
        <w:br w:type="page"/>
      </w:r>
    </w:p>
    <w:p w14:paraId="588415C2" w14:textId="2B32A25D" w:rsidR="007D6A0A" w:rsidRPr="000F30E1" w:rsidRDefault="007D6A0A" w:rsidP="000F30E1">
      <w:pPr>
        <w:pStyle w:val="snapInittitles"/>
      </w:pPr>
      <w:r w:rsidRPr="000F30E1">
        <w:t xml:space="preserve">Implementing the City Plan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7D6A0A" w:rsidRPr="00866299" w14:paraId="29E46DBA" w14:textId="77777777" w:rsidTr="002B0F94">
        <w:trPr>
          <w:cantSplit/>
        </w:trPr>
        <w:tc>
          <w:tcPr>
            <w:tcW w:w="3652" w:type="dxa"/>
            <w:tcBorders>
              <w:top w:val="single" w:sz="4" w:space="0" w:color="auto"/>
              <w:bottom w:val="single" w:sz="4" w:space="0" w:color="auto"/>
            </w:tcBorders>
          </w:tcPr>
          <w:p w14:paraId="5E4399C1" w14:textId="7B71CDD8" w:rsidR="007D6A0A" w:rsidRPr="00866299" w:rsidRDefault="007D6A0A" w:rsidP="007D18CC">
            <w:pPr>
              <w:jc w:val="right"/>
              <w:rPr>
                <w:rFonts w:ascii="Calibri" w:hAnsi="Calibri" w:cs="Calibri"/>
                <w:i/>
                <w:color w:val="FFFFFF"/>
                <w:sz w:val="22"/>
                <w:highlight w:val="yellow"/>
                <w:lang w:eastAsia="en-US"/>
              </w:rPr>
            </w:pPr>
          </w:p>
        </w:tc>
        <w:tc>
          <w:tcPr>
            <w:tcW w:w="1179" w:type="dxa"/>
            <w:tcBorders>
              <w:top w:val="single" w:sz="4" w:space="0" w:color="auto"/>
              <w:bottom w:val="single" w:sz="4" w:space="0" w:color="auto"/>
            </w:tcBorders>
          </w:tcPr>
          <w:p w14:paraId="626E58A1"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2019-20</w:t>
            </w:r>
          </w:p>
          <w:p w14:paraId="3E4AF852"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5D2547D7"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2020-21</w:t>
            </w:r>
          </w:p>
          <w:p w14:paraId="7A41EC14"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E0AA776"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2021-22</w:t>
            </w:r>
          </w:p>
          <w:p w14:paraId="09C73ECD"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3BC0E549"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2022-23</w:t>
            </w:r>
          </w:p>
          <w:p w14:paraId="7228FECD"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9C40425"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Total</w:t>
            </w:r>
          </w:p>
          <w:p w14:paraId="5FDFDB14"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$’000</w:t>
            </w:r>
          </w:p>
        </w:tc>
      </w:tr>
      <w:tr w:rsidR="007D6A0A" w:rsidRPr="00866299" w14:paraId="23E4B5DB" w14:textId="77777777" w:rsidTr="002B0F94">
        <w:trPr>
          <w:cantSplit/>
        </w:trPr>
        <w:tc>
          <w:tcPr>
            <w:tcW w:w="3652" w:type="dxa"/>
            <w:tcBorders>
              <w:top w:val="single" w:sz="4" w:space="0" w:color="auto"/>
              <w:bottom w:val="single" w:sz="4" w:space="0" w:color="auto"/>
            </w:tcBorders>
          </w:tcPr>
          <w:p w14:paraId="3B523BC8" w14:textId="77777777" w:rsidR="007D6A0A" w:rsidRPr="00866299" w:rsidRDefault="007D6A0A" w:rsidP="007D18CC">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tcPr>
          <w:p w14:paraId="5CCC3EDF"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250</w:t>
            </w:r>
          </w:p>
        </w:tc>
        <w:tc>
          <w:tcPr>
            <w:tcW w:w="1041" w:type="dxa"/>
            <w:tcBorders>
              <w:top w:val="single" w:sz="4" w:space="0" w:color="auto"/>
              <w:bottom w:val="single" w:sz="4" w:space="0" w:color="auto"/>
            </w:tcBorders>
          </w:tcPr>
          <w:p w14:paraId="2294DB56"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43AF426A"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3593C3FC"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00D26E79"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250</w:t>
            </w:r>
          </w:p>
        </w:tc>
      </w:tr>
    </w:tbl>
    <w:p w14:paraId="1821583F" w14:textId="2B783D57" w:rsidR="007D6A0A" w:rsidRPr="00E9735E" w:rsidRDefault="007D6A0A" w:rsidP="002B0F94">
      <w:pPr>
        <w:pStyle w:val="snapInitbody"/>
      </w:pPr>
      <w:r w:rsidRPr="00E9735E">
        <w:t xml:space="preserve">The Government will update the urban design framework and guidelines to progress implementation of the </w:t>
      </w:r>
      <w:r w:rsidRPr="00E9735E">
        <w:rPr>
          <w:i/>
        </w:rPr>
        <w:t>City Plan (2014)</w:t>
      </w:r>
      <w:r w:rsidRPr="00E9735E">
        <w:t xml:space="preserve">. The </w:t>
      </w:r>
      <w:r w:rsidRPr="00E9735E">
        <w:rPr>
          <w:i/>
        </w:rPr>
        <w:t xml:space="preserve">City Plan </w:t>
      </w:r>
      <w:r w:rsidRPr="00E9735E">
        <w:t>is a strategic review of Canberra’s city centre, which outlines a range of activities to improve the liveability and useability of this area as Canberra continues to grow.</w:t>
      </w:r>
      <w:r w:rsidR="000F30E1">
        <w:t xml:space="preserve"> </w:t>
      </w:r>
    </w:p>
    <w:p w14:paraId="52432504" w14:textId="77777777" w:rsidR="007D6A0A" w:rsidRPr="000F30E1" w:rsidRDefault="007D6A0A" w:rsidP="000F30E1">
      <w:pPr>
        <w:pStyle w:val="snapInittitles"/>
      </w:pPr>
      <w:r w:rsidRPr="000F30E1">
        <w:t xml:space="preserve">Leading the next phase of action towards a zero emissions future - ACT Climate Change Strategy 2019-2025 and Living Infrastructure Plan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7D6A0A" w:rsidRPr="00866299" w14:paraId="57263EC5" w14:textId="77777777" w:rsidTr="002B0F94">
        <w:trPr>
          <w:cantSplit/>
        </w:trPr>
        <w:tc>
          <w:tcPr>
            <w:tcW w:w="3652" w:type="dxa"/>
            <w:tcBorders>
              <w:top w:val="single" w:sz="4" w:space="0" w:color="auto"/>
              <w:bottom w:val="single" w:sz="4" w:space="0" w:color="auto"/>
            </w:tcBorders>
          </w:tcPr>
          <w:p w14:paraId="74EFEE84" w14:textId="77777777" w:rsidR="007D6A0A" w:rsidRPr="00866299" w:rsidRDefault="007D6A0A" w:rsidP="007D18CC">
            <w:pPr>
              <w:jc w:val="right"/>
              <w:rPr>
                <w:rFonts w:ascii="Calibri" w:hAnsi="Calibri" w:cs="Calibri"/>
                <w:color w:val="FFFFFF"/>
                <w:sz w:val="22"/>
                <w:highlight w:val="yellow"/>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339E413B"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2019-20</w:t>
            </w:r>
          </w:p>
          <w:p w14:paraId="593930E6"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0215D7CD"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2020-21</w:t>
            </w:r>
          </w:p>
          <w:p w14:paraId="1B048AB3"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1849A37D"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2021-22</w:t>
            </w:r>
          </w:p>
          <w:p w14:paraId="5C11AE34"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D54D8C8"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2022-23</w:t>
            </w:r>
          </w:p>
          <w:p w14:paraId="2B0D4CF8"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384E978B"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Total</w:t>
            </w:r>
          </w:p>
          <w:p w14:paraId="3A1873FB"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$’000</w:t>
            </w:r>
          </w:p>
        </w:tc>
      </w:tr>
      <w:tr w:rsidR="007D6A0A" w:rsidRPr="00866299" w14:paraId="18018A48" w14:textId="77777777" w:rsidTr="002B0F94">
        <w:trPr>
          <w:cantSplit/>
        </w:trPr>
        <w:tc>
          <w:tcPr>
            <w:tcW w:w="3652" w:type="dxa"/>
            <w:tcBorders>
              <w:top w:val="single" w:sz="4" w:space="0" w:color="auto"/>
            </w:tcBorders>
          </w:tcPr>
          <w:p w14:paraId="7142FC8E" w14:textId="77777777" w:rsidR="007D6A0A" w:rsidRPr="00866299" w:rsidRDefault="007D6A0A" w:rsidP="007D18CC">
            <w:pPr>
              <w:ind w:left="284" w:hanging="284"/>
              <w:rPr>
                <w:rFonts w:ascii="Calibri" w:hAnsi="Calibri"/>
                <w:sz w:val="22"/>
                <w:lang w:eastAsia="en-US"/>
              </w:rPr>
            </w:pPr>
            <w:r w:rsidRPr="00866299">
              <w:rPr>
                <w:rFonts w:ascii="Calibri" w:hAnsi="Calibri"/>
                <w:sz w:val="22"/>
                <w:lang w:eastAsia="en-US"/>
              </w:rPr>
              <w:t>Expense</w:t>
            </w:r>
          </w:p>
        </w:tc>
        <w:tc>
          <w:tcPr>
            <w:tcW w:w="1179" w:type="dxa"/>
            <w:tcBorders>
              <w:top w:val="single" w:sz="4" w:space="0" w:color="auto"/>
            </w:tcBorders>
          </w:tcPr>
          <w:p w14:paraId="31DFD07E"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2,474</w:t>
            </w:r>
          </w:p>
        </w:tc>
        <w:tc>
          <w:tcPr>
            <w:tcW w:w="1041" w:type="dxa"/>
            <w:tcBorders>
              <w:top w:val="single" w:sz="4" w:space="0" w:color="auto"/>
            </w:tcBorders>
          </w:tcPr>
          <w:p w14:paraId="724E43D1"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3,258</w:t>
            </w:r>
          </w:p>
        </w:tc>
        <w:tc>
          <w:tcPr>
            <w:tcW w:w="1029" w:type="dxa"/>
            <w:tcBorders>
              <w:top w:val="single" w:sz="4" w:space="0" w:color="auto"/>
            </w:tcBorders>
          </w:tcPr>
          <w:p w14:paraId="3F8CA528"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3,186</w:t>
            </w:r>
          </w:p>
        </w:tc>
        <w:tc>
          <w:tcPr>
            <w:tcW w:w="1029" w:type="dxa"/>
            <w:tcBorders>
              <w:top w:val="single" w:sz="4" w:space="0" w:color="auto"/>
            </w:tcBorders>
          </w:tcPr>
          <w:p w14:paraId="11A8CFAB"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3,114</w:t>
            </w:r>
          </w:p>
        </w:tc>
        <w:tc>
          <w:tcPr>
            <w:tcW w:w="1029" w:type="dxa"/>
            <w:tcBorders>
              <w:top w:val="single" w:sz="4" w:space="0" w:color="auto"/>
            </w:tcBorders>
          </w:tcPr>
          <w:p w14:paraId="14338853"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12,032</w:t>
            </w:r>
          </w:p>
        </w:tc>
      </w:tr>
      <w:tr w:rsidR="007D6A0A" w:rsidRPr="00866299" w14:paraId="1E8D2800" w14:textId="77777777" w:rsidTr="002B0F94">
        <w:trPr>
          <w:cantSplit/>
        </w:trPr>
        <w:tc>
          <w:tcPr>
            <w:tcW w:w="3652" w:type="dxa"/>
            <w:tcBorders>
              <w:bottom w:val="single" w:sz="4" w:space="0" w:color="auto"/>
            </w:tcBorders>
          </w:tcPr>
          <w:p w14:paraId="0E22B37E" w14:textId="77777777" w:rsidR="007D6A0A" w:rsidRPr="00866299" w:rsidRDefault="007D6A0A" w:rsidP="007D18CC">
            <w:pPr>
              <w:ind w:left="284" w:hanging="284"/>
              <w:rPr>
                <w:rFonts w:ascii="Calibri" w:hAnsi="Calibri"/>
                <w:sz w:val="22"/>
                <w:lang w:eastAsia="en-US"/>
              </w:rPr>
            </w:pPr>
            <w:r w:rsidRPr="00866299">
              <w:rPr>
                <w:rFonts w:ascii="Calibri" w:hAnsi="Calibri"/>
                <w:sz w:val="22"/>
                <w:lang w:eastAsia="en-US"/>
              </w:rPr>
              <w:t>Offset – Chief Minister, Treasury and Economic Development Directorate</w:t>
            </w:r>
          </w:p>
        </w:tc>
        <w:tc>
          <w:tcPr>
            <w:tcW w:w="1179" w:type="dxa"/>
            <w:tcBorders>
              <w:bottom w:val="single" w:sz="4" w:space="0" w:color="auto"/>
            </w:tcBorders>
          </w:tcPr>
          <w:p w14:paraId="644C9940"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-445</w:t>
            </w:r>
          </w:p>
        </w:tc>
        <w:tc>
          <w:tcPr>
            <w:tcW w:w="1041" w:type="dxa"/>
            <w:tcBorders>
              <w:bottom w:val="single" w:sz="4" w:space="0" w:color="auto"/>
            </w:tcBorders>
          </w:tcPr>
          <w:p w14:paraId="69A01A18"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-457</w:t>
            </w:r>
          </w:p>
        </w:tc>
        <w:tc>
          <w:tcPr>
            <w:tcW w:w="1029" w:type="dxa"/>
            <w:tcBorders>
              <w:bottom w:val="single" w:sz="4" w:space="0" w:color="auto"/>
            </w:tcBorders>
          </w:tcPr>
          <w:p w14:paraId="3E15EF7F"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-468</w:t>
            </w:r>
          </w:p>
        </w:tc>
        <w:tc>
          <w:tcPr>
            <w:tcW w:w="1029" w:type="dxa"/>
            <w:tcBorders>
              <w:bottom w:val="single" w:sz="4" w:space="0" w:color="auto"/>
            </w:tcBorders>
          </w:tcPr>
          <w:p w14:paraId="6A91C0BD"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-480</w:t>
            </w:r>
          </w:p>
        </w:tc>
        <w:tc>
          <w:tcPr>
            <w:tcW w:w="1029" w:type="dxa"/>
            <w:tcBorders>
              <w:bottom w:val="single" w:sz="4" w:space="0" w:color="auto"/>
            </w:tcBorders>
          </w:tcPr>
          <w:p w14:paraId="749BF82F"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-1,850</w:t>
            </w:r>
          </w:p>
        </w:tc>
      </w:tr>
      <w:tr w:rsidR="007D6A0A" w:rsidRPr="00866299" w14:paraId="5AEC09B1" w14:textId="77777777" w:rsidTr="002B0F94">
        <w:trPr>
          <w:cantSplit/>
        </w:trPr>
        <w:tc>
          <w:tcPr>
            <w:tcW w:w="3652" w:type="dxa"/>
            <w:tcBorders>
              <w:top w:val="single" w:sz="4" w:space="0" w:color="auto"/>
              <w:bottom w:val="single" w:sz="4" w:space="0" w:color="auto"/>
            </w:tcBorders>
          </w:tcPr>
          <w:p w14:paraId="28444478" w14:textId="77777777" w:rsidR="007D6A0A" w:rsidRPr="00866299" w:rsidRDefault="007D6A0A" w:rsidP="007D18CC">
            <w:pPr>
              <w:ind w:left="284" w:hanging="284"/>
              <w:rPr>
                <w:rFonts w:ascii="Calibri" w:hAnsi="Calibri"/>
                <w:b/>
                <w:sz w:val="22"/>
                <w:lang w:eastAsia="en-US"/>
              </w:rPr>
            </w:pPr>
            <w:r w:rsidRPr="00866299">
              <w:rPr>
                <w:rFonts w:ascii="Calibri" w:hAnsi="Calibri"/>
                <w:b/>
                <w:sz w:val="22"/>
                <w:lang w:eastAsia="en-US"/>
              </w:rPr>
              <w:t>Net Expense</w:t>
            </w:r>
          </w:p>
        </w:tc>
        <w:tc>
          <w:tcPr>
            <w:tcW w:w="1179" w:type="dxa"/>
            <w:tcBorders>
              <w:top w:val="single" w:sz="4" w:space="0" w:color="auto"/>
              <w:bottom w:val="single" w:sz="4" w:space="0" w:color="auto"/>
            </w:tcBorders>
          </w:tcPr>
          <w:p w14:paraId="5E037979"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2,029</w:t>
            </w:r>
          </w:p>
        </w:tc>
        <w:tc>
          <w:tcPr>
            <w:tcW w:w="1041" w:type="dxa"/>
            <w:tcBorders>
              <w:top w:val="single" w:sz="4" w:space="0" w:color="auto"/>
              <w:bottom w:val="single" w:sz="4" w:space="0" w:color="auto"/>
            </w:tcBorders>
          </w:tcPr>
          <w:p w14:paraId="4657F48B"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2,801</w:t>
            </w:r>
          </w:p>
        </w:tc>
        <w:tc>
          <w:tcPr>
            <w:tcW w:w="1029" w:type="dxa"/>
            <w:tcBorders>
              <w:top w:val="single" w:sz="4" w:space="0" w:color="auto"/>
              <w:bottom w:val="single" w:sz="4" w:space="0" w:color="auto"/>
            </w:tcBorders>
          </w:tcPr>
          <w:p w14:paraId="374D4D51"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2,718</w:t>
            </w:r>
          </w:p>
        </w:tc>
        <w:tc>
          <w:tcPr>
            <w:tcW w:w="1029" w:type="dxa"/>
            <w:tcBorders>
              <w:top w:val="single" w:sz="4" w:space="0" w:color="auto"/>
              <w:bottom w:val="single" w:sz="4" w:space="0" w:color="auto"/>
            </w:tcBorders>
          </w:tcPr>
          <w:p w14:paraId="2B9BE795"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2,634</w:t>
            </w:r>
          </w:p>
        </w:tc>
        <w:tc>
          <w:tcPr>
            <w:tcW w:w="1029" w:type="dxa"/>
            <w:tcBorders>
              <w:top w:val="single" w:sz="4" w:space="0" w:color="auto"/>
              <w:bottom w:val="single" w:sz="4" w:space="0" w:color="auto"/>
            </w:tcBorders>
          </w:tcPr>
          <w:p w14:paraId="170FF9BA"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10,182</w:t>
            </w:r>
          </w:p>
        </w:tc>
      </w:tr>
    </w:tbl>
    <w:p w14:paraId="2C3CC330" w14:textId="77777777" w:rsidR="007D6A0A" w:rsidRPr="00E9735E" w:rsidRDefault="007D6A0A" w:rsidP="002B0F94">
      <w:pPr>
        <w:pStyle w:val="snapInitbody"/>
      </w:pPr>
      <w:r w:rsidRPr="00E9735E">
        <w:t xml:space="preserve">The Government will continue to develop policies and programs to achieve renewable electricity and emissions reductions targets, and continue increasing the Territory’s resilience to the impacts of climate change. In addition to finalising existing climate change and adaptation commitments, the Government will shortly release new Climate Change and Living Infrastructure plans, to achieve our first stage 2025 emissions reductions targets and address the growing challenges of a changing climate. This initiative delivers initial funding to implement the plans, with work to particularly focus on transport, reducing natural gas use, and mitigating the heat island effect by increasing Canberra’s tree canopy and other living infrastructure. </w:t>
      </w:r>
    </w:p>
    <w:p w14:paraId="3218D3E4" w14:textId="77777777" w:rsidR="007D6A0A" w:rsidRPr="000F30E1" w:rsidRDefault="007D6A0A" w:rsidP="000F30E1">
      <w:pPr>
        <w:pStyle w:val="snapInittitles"/>
      </w:pPr>
      <w:r w:rsidRPr="000F30E1">
        <w:t xml:space="preserve">Managing the </w:t>
      </w:r>
      <w:proofErr w:type="spellStart"/>
      <w:r w:rsidRPr="000F30E1">
        <w:t>Sullivans</w:t>
      </w:r>
      <w:proofErr w:type="spellEnd"/>
      <w:r w:rsidRPr="000F30E1">
        <w:t xml:space="preserve"> Creek floodplain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7D6A0A" w:rsidRPr="00866299" w14:paraId="156B6B14" w14:textId="77777777" w:rsidTr="002B0F94">
        <w:trPr>
          <w:cantSplit/>
        </w:trPr>
        <w:tc>
          <w:tcPr>
            <w:tcW w:w="3652" w:type="dxa"/>
            <w:tcBorders>
              <w:top w:val="single" w:sz="4" w:space="0" w:color="auto"/>
              <w:bottom w:val="single" w:sz="4" w:space="0" w:color="auto"/>
            </w:tcBorders>
          </w:tcPr>
          <w:p w14:paraId="7D85A84B" w14:textId="77777777" w:rsidR="007D6A0A" w:rsidRPr="00866299" w:rsidRDefault="007D6A0A" w:rsidP="007D18CC">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0B96369E"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2019-20</w:t>
            </w:r>
          </w:p>
          <w:p w14:paraId="1CB9F822"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2570F4B0"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2020-21</w:t>
            </w:r>
          </w:p>
          <w:p w14:paraId="7967D096"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1EBA03BB"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2021-22</w:t>
            </w:r>
          </w:p>
          <w:p w14:paraId="612DCC83"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350BA48B"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2022-23</w:t>
            </w:r>
          </w:p>
          <w:p w14:paraId="1AB43201"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0DEF0B1C"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Total</w:t>
            </w:r>
          </w:p>
          <w:p w14:paraId="2689F43C"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$’000</w:t>
            </w:r>
          </w:p>
        </w:tc>
      </w:tr>
      <w:tr w:rsidR="007D6A0A" w:rsidRPr="00866299" w14:paraId="436D2A8D" w14:textId="77777777" w:rsidTr="002B0F94">
        <w:trPr>
          <w:cantSplit/>
        </w:trPr>
        <w:tc>
          <w:tcPr>
            <w:tcW w:w="3652" w:type="dxa"/>
            <w:tcBorders>
              <w:top w:val="single" w:sz="4" w:space="0" w:color="auto"/>
            </w:tcBorders>
          </w:tcPr>
          <w:p w14:paraId="54F7AA77" w14:textId="77777777" w:rsidR="007D6A0A" w:rsidRPr="00866299" w:rsidRDefault="007D6A0A" w:rsidP="007D18CC">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tcBorders>
          </w:tcPr>
          <w:p w14:paraId="3C538D05"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117</w:t>
            </w:r>
          </w:p>
        </w:tc>
        <w:tc>
          <w:tcPr>
            <w:tcW w:w="1041" w:type="dxa"/>
            <w:tcBorders>
              <w:top w:val="single" w:sz="4" w:space="0" w:color="auto"/>
            </w:tcBorders>
          </w:tcPr>
          <w:p w14:paraId="6C55C0F8"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158</w:t>
            </w:r>
          </w:p>
        </w:tc>
        <w:tc>
          <w:tcPr>
            <w:tcW w:w="1029" w:type="dxa"/>
            <w:tcBorders>
              <w:top w:val="single" w:sz="4" w:space="0" w:color="auto"/>
            </w:tcBorders>
          </w:tcPr>
          <w:p w14:paraId="30D8E73A"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0C2B5CBD"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769168C4"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275</w:t>
            </w:r>
          </w:p>
        </w:tc>
      </w:tr>
      <w:tr w:rsidR="007D6A0A" w:rsidRPr="00866299" w14:paraId="38B49FDD" w14:textId="77777777" w:rsidTr="002B0F94">
        <w:trPr>
          <w:cantSplit/>
        </w:trPr>
        <w:tc>
          <w:tcPr>
            <w:tcW w:w="3652" w:type="dxa"/>
            <w:tcBorders>
              <w:bottom w:val="single" w:sz="4" w:space="0" w:color="auto"/>
            </w:tcBorders>
          </w:tcPr>
          <w:p w14:paraId="4E064D19" w14:textId="77777777" w:rsidR="007D6A0A" w:rsidRPr="00866299" w:rsidRDefault="007D6A0A" w:rsidP="007D18CC">
            <w:pPr>
              <w:ind w:left="284" w:hanging="284"/>
              <w:rPr>
                <w:rFonts w:ascii="Calibri" w:hAnsi="Calibri"/>
                <w:sz w:val="22"/>
                <w:lang w:eastAsia="en-US"/>
              </w:rPr>
            </w:pPr>
            <w:r w:rsidRPr="00866299">
              <w:rPr>
                <w:rFonts w:ascii="Calibri" w:hAnsi="Calibri"/>
                <w:sz w:val="22"/>
                <w:lang w:eastAsia="en-US"/>
              </w:rPr>
              <w:t>Offset – Expenses</w:t>
            </w:r>
          </w:p>
        </w:tc>
        <w:tc>
          <w:tcPr>
            <w:tcW w:w="1179" w:type="dxa"/>
            <w:tcBorders>
              <w:bottom w:val="single" w:sz="4" w:space="0" w:color="auto"/>
            </w:tcBorders>
          </w:tcPr>
          <w:p w14:paraId="62C884CF"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-117</w:t>
            </w:r>
          </w:p>
        </w:tc>
        <w:tc>
          <w:tcPr>
            <w:tcW w:w="1041" w:type="dxa"/>
            <w:tcBorders>
              <w:bottom w:val="single" w:sz="4" w:space="0" w:color="auto"/>
            </w:tcBorders>
          </w:tcPr>
          <w:p w14:paraId="419BD30A"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-158</w:t>
            </w:r>
          </w:p>
        </w:tc>
        <w:tc>
          <w:tcPr>
            <w:tcW w:w="1029" w:type="dxa"/>
            <w:tcBorders>
              <w:bottom w:val="single" w:sz="4" w:space="0" w:color="auto"/>
            </w:tcBorders>
          </w:tcPr>
          <w:p w14:paraId="11FBF84F"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bottom w:val="single" w:sz="4" w:space="0" w:color="auto"/>
            </w:tcBorders>
          </w:tcPr>
          <w:p w14:paraId="0A71A1BB"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bottom w:val="single" w:sz="4" w:space="0" w:color="auto"/>
            </w:tcBorders>
          </w:tcPr>
          <w:p w14:paraId="44562ACC"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-275</w:t>
            </w:r>
          </w:p>
        </w:tc>
      </w:tr>
      <w:tr w:rsidR="007D6A0A" w:rsidRPr="00866299" w14:paraId="75B3DBAF" w14:textId="77777777" w:rsidTr="002B0F94">
        <w:trPr>
          <w:cantSplit/>
        </w:trPr>
        <w:tc>
          <w:tcPr>
            <w:tcW w:w="3652" w:type="dxa"/>
            <w:tcBorders>
              <w:top w:val="single" w:sz="4" w:space="0" w:color="auto"/>
              <w:bottom w:val="single" w:sz="4" w:space="0" w:color="auto"/>
            </w:tcBorders>
          </w:tcPr>
          <w:p w14:paraId="0465AD44" w14:textId="77777777" w:rsidR="007D6A0A" w:rsidRPr="00866299" w:rsidRDefault="007D6A0A" w:rsidP="007D18CC">
            <w:pPr>
              <w:ind w:left="284" w:hanging="284"/>
              <w:rPr>
                <w:rFonts w:ascii="Calibri" w:hAnsi="Calibri"/>
                <w:b/>
                <w:sz w:val="22"/>
                <w:lang w:eastAsia="en-US"/>
              </w:rPr>
            </w:pPr>
            <w:r w:rsidRPr="00866299">
              <w:rPr>
                <w:rFonts w:ascii="Calibri" w:hAnsi="Calibri"/>
                <w:b/>
                <w:sz w:val="22"/>
                <w:lang w:eastAsia="en-US"/>
              </w:rPr>
              <w:t>Net Expenses</w:t>
            </w:r>
          </w:p>
        </w:tc>
        <w:tc>
          <w:tcPr>
            <w:tcW w:w="1179" w:type="dxa"/>
            <w:tcBorders>
              <w:top w:val="single" w:sz="4" w:space="0" w:color="auto"/>
              <w:bottom w:val="single" w:sz="4" w:space="0" w:color="auto"/>
            </w:tcBorders>
          </w:tcPr>
          <w:p w14:paraId="4BB4C439"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0</w:t>
            </w:r>
          </w:p>
        </w:tc>
        <w:tc>
          <w:tcPr>
            <w:tcW w:w="1041" w:type="dxa"/>
            <w:tcBorders>
              <w:top w:val="single" w:sz="4" w:space="0" w:color="auto"/>
              <w:bottom w:val="single" w:sz="4" w:space="0" w:color="auto"/>
            </w:tcBorders>
          </w:tcPr>
          <w:p w14:paraId="70D89339"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3F94EDB7"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4F7050A2"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22D237D0"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0</w:t>
            </w:r>
          </w:p>
        </w:tc>
      </w:tr>
    </w:tbl>
    <w:p w14:paraId="0FFFC076" w14:textId="77777777" w:rsidR="007D6A0A" w:rsidRPr="00E9735E" w:rsidRDefault="007D6A0A" w:rsidP="002B0F94">
      <w:pPr>
        <w:pStyle w:val="snapInitbody"/>
      </w:pPr>
      <w:r w:rsidRPr="00E9735E">
        <w:t xml:space="preserve">The Government will develop and implement a </w:t>
      </w:r>
      <w:proofErr w:type="spellStart"/>
      <w:r w:rsidRPr="00E9735E">
        <w:t>Sullivans</w:t>
      </w:r>
      <w:proofErr w:type="spellEnd"/>
      <w:r w:rsidRPr="00E9735E">
        <w:t xml:space="preserve"> Creek Floodplain Management Plan to minimise the impact of flooding in central Canberra, and prepare for ongoing changes in land use within the floodplain in the future. The cost of this initiative will be fully offset from within existing resources.</w:t>
      </w:r>
    </w:p>
    <w:p w14:paraId="61873A51" w14:textId="77777777" w:rsidR="007D6A0A" w:rsidRPr="00B3753F" w:rsidRDefault="007D6A0A" w:rsidP="00B3753F">
      <w:pPr>
        <w:pStyle w:val="snapInittitles"/>
      </w:pPr>
      <w:r w:rsidRPr="00B3753F">
        <w:t xml:space="preserve">Planning framework supporting delivery of Stage 2 of Light Rail to Woden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7D6A0A" w:rsidRPr="00866299" w14:paraId="21EBEB58" w14:textId="77777777" w:rsidTr="002B0F94">
        <w:trPr>
          <w:cantSplit/>
        </w:trPr>
        <w:tc>
          <w:tcPr>
            <w:tcW w:w="3652" w:type="dxa"/>
            <w:tcBorders>
              <w:top w:val="single" w:sz="4" w:space="0" w:color="auto"/>
              <w:bottom w:val="single" w:sz="4" w:space="0" w:color="auto"/>
            </w:tcBorders>
          </w:tcPr>
          <w:p w14:paraId="1BD53242" w14:textId="59CCD3BB" w:rsidR="007D6A0A" w:rsidRPr="00866299" w:rsidRDefault="007D6A0A" w:rsidP="007D18CC">
            <w:pPr>
              <w:jc w:val="right"/>
              <w:rPr>
                <w:rFonts w:ascii="Calibri" w:hAnsi="Calibri" w:cs="Calibri"/>
                <w:i/>
                <w:color w:val="FFFFFF"/>
                <w:sz w:val="22"/>
                <w:highlight w:val="yellow"/>
                <w:lang w:eastAsia="en-US"/>
              </w:rPr>
            </w:pPr>
          </w:p>
        </w:tc>
        <w:tc>
          <w:tcPr>
            <w:tcW w:w="1179" w:type="dxa"/>
            <w:tcBorders>
              <w:top w:val="single" w:sz="4" w:space="0" w:color="auto"/>
              <w:bottom w:val="single" w:sz="4" w:space="0" w:color="auto"/>
            </w:tcBorders>
          </w:tcPr>
          <w:p w14:paraId="5CF5D8FA"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2019-20</w:t>
            </w:r>
          </w:p>
          <w:p w14:paraId="5E91E834"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1E85F69F"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2020-21</w:t>
            </w:r>
          </w:p>
          <w:p w14:paraId="1453028A"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F951444"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2021-22</w:t>
            </w:r>
          </w:p>
          <w:p w14:paraId="25374E05"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55B8DD12"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2022-23</w:t>
            </w:r>
          </w:p>
          <w:p w14:paraId="3005F1C7"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F192AE5"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Total</w:t>
            </w:r>
          </w:p>
          <w:p w14:paraId="338F7799"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$’000</w:t>
            </w:r>
          </w:p>
        </w:tc>
      </w:tr>
      <w:tr w:rsidR="007D6A0A" w:rsidRPr="00866299" w14:paraId="2266195C" w14:textId="77777777" w:rsidTr="002B0F94">
        <w:trPr>
          <w:cantSplit/>
        </w:trPr>
        <w:tc>
          <w:tcPr>
            <w:tcW w:w="3652" w:type="dxa"/>
            <w:tcBorders>
              <w:top w:val="single" w:sz="4" w:space="0" w:color="auto"/>
              <w:bottom w:val="single" w:sz="4" w:space="0" w:color="auto"/>
            </w:tcBorders>
          </w:tcPr>
          <w:p w14:paraId="72B062BC" w14:textId="77777777" w:rsidR="007D6A0A" w:rsidRPr="00866299" w:rsidRDefault="007D6A0A" w:rsidP="007D18CC">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tcPr>
          <w:p w14:paraId="73C8C958"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200</w:t>
            </w:r>
          </w:p>
        </w:tc>
        <w:tc>
          <w:tcPr>
            <w:tcW w:w="1041" w:type="dxa"/>
            <w:tcBorders>
              <w:top w:val="single" w:sz="4" w:space="0" w:color="auto"/>
              <w:bottom w:val="single" w:sz="4" w:space="0" w:color="auto"/>
            </w:tcBorders>
          </w:tcPr>
          <w:p w14:paraId="78E12954"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150</w:t>
            </w:r>
          </w:p>
        </w:tc>
        <w:tc>
          <w:tcPr>
            <w:tcW w:w="1029" w:type="dxa"/>
            <w:tcBorders>
              <w:top w:val="single" w:sz="4" w:space="0" w:color="auto"/>
              <w:bottom w:val="single" w:sz="4" w:space="0" w:color="auto"/>
            </w:tcBorders>
          </w:tcPr>
          <w:p w14:paraId="70FB7F29"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7B4A4DA3"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6C916F42"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350</w:t>
            </w:r>
          </w:p>
        </w:tc>
      </w:tr>
    </w:tbl>
    <w:p w14:paraId="41E7A4EE" w14:textId="3410821D" w:rsidR="007D6A0A" w:rsidRPr="00E9735E" w:rsidRDefault="007D6A0A" w:rsidP="002B0F94">
      <w:pPr>
        <w:pStyle w:val="snapInitbody"/>
      </w:pPr>
      <w:r w:rsidRPr="00E9735E">
        <w:t>The Government will develop a planning framework to identify suitable opportunities for urban renewal surrounding the future City to Woden light rail corridor. This work will build on the lessons learned through the delivery of Stage 1 of light rail from Gungahlin to Civic, and ensure the right balance is maintained between urban renewal and protecting the special character of the suburbs and sites Stage 2 will pass through.</w:t>
      </w:r>
      <w:r w:rsidR="000F30E1">
        <w:t xml:space="preserve"> </w:t>
      </w:r>
    </w:p>
    <w:p w14:paraId="6EAF1560" w14:textId="14428EA4" w:rsidR="007D6A0A" w:rsidRPr="000F30E1" w:rsidRDefault="007D6A0A" w:rsidP="000F30E1">
      <w:pPr>
        <w:pStyle w:val="snapInittitles"/>
      </w:pPr>
      <w:r w:rsidRPr="000F30E1">
        <w:t xml:space="preserve">Scoping for East Lake urban renewal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7D6A0A" w:rsidRPr="00866299" w14:paraId="506732D7" w14:textId="77777777" w:rsidTr="002B0F94">
        <w:trPr>
          <w:cantSplit/>
        </w:trPr>
        <w:tc>
          <w:tcPr>
            <w:tcW w:w="3652" w:type="dxa"/>
            <w:tcBorders>
              <w:top w:val="single" w:sz="4" w:space="0" w:color="auto"/>
              <w:bottom w:val="single" w:sz="4" w:space="0" w:color="auto"/>
            </w:tcBorders>
          </w:tcPr>
          <w:p w14:paraId="4DD3F8B0" w14:textId="77777777" w:rsidR="007D6A0A" w:rsidRPr="00866299" w:rsidRDefault="007D6A0A" w:rsidP="007D18CC">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57F858AB"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2019-20</w:t>
            </w:r>
          </w:p>
          <w:p w14:paraId="6D6E8510"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43F3BB10"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2020-21</w:t>
            </w:r>
          </w:p>
          <w:p w14:paraId="785C1F37"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012668FC"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2021-22</w:t>
            </w:r>
          </w:p>
          <w:p w14:paraId="39964385"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54A91318"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2022-23</w:t>
            </w:r>
          </w:p>
          <w:p w14:paraId="754E537C"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58E5BF18"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Total</w:t>
            </w:r>
          </w:p>
          <w:p w14:paraId="00E0F016"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$’000</w:t>
            </w:r>
          </w:p>
        </w:tc>
      </w:tr>
      <w:tr w:rsidR="007D6A0A" w:rsidRPr="00866299" w14:paraId="34EC7C7A" w14:textId="77777777" w:rsidTr="002B0F94">
        <w:trPr>
          <w:cantSplit/>
        </w:trPr>
        <w:tc>
          <w:tcPr>
            <w:tcW w:w="3652" w:type="dxa"/>
            <w:tcBorders>
              <w:top w:val="single" w:sz="4" w:space="0" w:color="auto"/>
              <w:bottom w:val="single" w:sz="4" w:space="0" w:color="auto"/>
            </w:tcBorders>
          </w:tcPr>
          <w:p w14:paraId="22163A73" w14:textId="77777777" w:rsidR="007D6A0A" w:rsidRPr="00866299" w:rsidRDefault="007D6A0A" w:rsidP="007D18CC">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shd w:val="clear" w:color="auto" w:fill="auto"/>
          </w:tcPr>
          <w:p w14:paraId="49CD12A3"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441</w:t>
            </w:r>
          </w:p>
        </w:tc>
        <w:tc>
          <w:tcPr>
            <w:tcW w:w="1041" w:type="dxa"/>
            <w:tcBorders>
              <w:top w:val="single" w:sz="4" w:space="0" w:color="auto"/>
              <w:bottom w:val="single" w:sz="4" w:space="0" w:color="auto"/>
            </w:tcBorders>
            <w:shd w:val="clear" w:color="auto" w:fill="auto"/>
          </w:tcPr>
          <w:p w14:paraId="5B50CE48"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167</w:t>
            </w:r>
          </w:p>
        </w:tc>
        <w:tc>
          <w:tcPr>
            <w:tcW w:w="1029" w:type="dxa"/>
            <w:tcBorders>
              <w:top w:val="single" w:sz="4" w:space="0" w:color="auto"/>
              <w:bottom w:val="single" w:sz="4" w:space="0" w:color="auto"/>
            </w:tcBorders>
            <w:shd w:val="clear" w:color="auto" w:fill="auto"/>
          </w:tcPr>
          <w:p w14:paraId="46067C8B"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shd w:val="clear" w:color="auto" w:fill="auto"/>
          </w:tcPr>
          <w:p w14:paraId="01E4B8EA"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shd w:val="clear" w:color="auto" w:fill="auto"/>
          </w:tcPr>
          <w:p w14:paraId="3E96A95F"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608</w:t>
            </w:r>
          </w:p>
        </w:tc>
      </w:tr>
    </w:tbl>
    <w:p w14:paraId="6F70326D" w14:textId="77777777" w:rsidR="007D6A0A" w:rsidRPr="00E9735E" w:rsidRDefault="007D6A0A" w:rsidP="002B0F94">
      <w:pPr>
        <w:pStyle w:val="snapInitbody"/>
      </w:pPr>
      <w:r w:rsidRPr="00E9735E">
        <w:t>The Government will continue early planning for future land development on the Kingston Foreshore and surrounds to increase the supply of housing in Canberra.</w:t>
      </w:r>
    </w:p>
    <w:p w14:paraId="3E4B8532" w14:textId="77777777" w:rsidR="007D6A0A" w:rsidRPr="000F30E1" w:rsidRDefault="007D6A0A" w:rsidP="000F30E1">
      <w:pPr>
        <w:pStyle w:val="snapInittitles"/>
      </w:pPr>
      <w:r w:rsidRPr="000F30E1">
        <w:t xml:space="preserve">Training ACT Government frontline workers to respond to family violence </w:t>
      </w:r>
    </w:p>
    <w:p w14:paraId="7241A3E8" w14:textId="77777777" w:rsidR="007D6A0A" w:rsidRPr="00E9735E" w:rsidRDefault="007D6A0A" w:rsidP="002B0F94">
      <w:pPr>
        <w:pStyle w:val="snapInitbody"/>
      </w:pPr>
      <w:r w:rsidRPr="00E9735E">
        <w:t xml:space="preserve">See the Community Services Directorate expense initiative </w:t>
      </w:r>
      <w:r w:rsidRPr="00E9735E">
        <w:rPr>
          <w:i/>
        </w:rPr>
        <w:t>Training ACT Government frontline workers to respond to family violence</w:t>
      </w:r>
      <w:r w:rsidRPr="00E9735E">
        <w:t xml:space="preserve"> for further details.</w:t>
      </w:r>
    </w:p>
    <w:p w14:paraId="5B39E5D4" w14:textId="77777777" w:rsidR="007D6A0A" w:rsidRPr="00B3753F" w:rsidRDefault="007D6A0A" w:rsidP="00B3753F">
      <w:pPr>
        <w:pStyle w:val="snapInittitles"/>
      </w:pPr>
      <w:r w:rsidRPr="00B3753F">
        <w:t>Expenses associated with infrastructure and capital initiatives</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7D6A0A" w:rsidRPr="00866299" w14:paraId="1E16B73B" w14:textId="77777777" w:rsidTr="002B0F94">
        <w:trPr>
          <w:cantSplit/>
        </w:trPr>
        <w:tc>
          <w:tcPr>
            <w:tcW w:w="3652" w:type="dxa"/>
            <w:tcBorders>
              <w:top w:val="single" w:sz="4" w:space="0" w:color="auto"/>
              <w:bottom w:val="single" w:sz="4" w:space="0" w:color="auto"/>
            </w:tcBorders>
          </w:tcPr>
          <w:p w14:paraId="5732DB3E" w14:textId="77777777" w:rsidR="007D6A0A" w:rsidRPr="00866299" w:rsidRDefault="007D6A0A" w:rsidP="007D18CC">
            <w:pPr>
              <w:jc w:val="right"/>
              <w:rPr>
                <w:rFonts w:ascii="Calibri" w:hAnsi="Calibri" w:cs="Calibri"/>
                <w:color w:val="FFFFFF"/>
                <w:sz w:val="22"/>
                <w:lang w:eastAsia="en-US"/>
              </w:rPr>
            </w:pPr>
            <w:r w:rsidRPr="00866299">
              <w:rPr>
                <w:rFonts w:ascii="Calibri" w:hAnsi="Calibri" w:cs="Calibri"/>
                <w:color w:val="FFFFFF"/>
                <w:sz w:val="22"/>
                <w:lang w:eastAsia="en-US"/>
              </w:rPr>
              <w:t xml:space="preserve"> </w:t>
            </w:r>
          </w:p>
        </w:tc>
        <w:tc>
          <w:tcPr>
            <w:tcW w:w="1179" w:type="dxa"/>
            <w:tcBorders>
              <w:top w:val="single" w:sz="4" w:space="0" w:color="auto"/>
              <w:bottom w:val="single" w:sz="4" w:space="0" w:color="auto"/>
            </w:tcBorders>
          </w:tcPr>
          <w:p w14:paraId="5511C292"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2019-20</w:t>
            </w:r>
          </w:p>
          <w:p w14:paraId="25624E35"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475F01B3"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2020-21</w:t>
            </w:r>
          </w:p>
          <w:p w14:paraId="22D0FD95"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69CF088"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2021-22</w:t>
            </w:r>
          </w:p>
          <w:p w14:paraId="0DC45C1D"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10E7BAF"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2022-23</w:t>
            </w:r>
          </w:p>
          <w:p w14:paraId="63ABB66C"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D8242DF"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Total</w:t>
            </w:r>
          </w:p>
          <w:p w14:paraId="194C4599"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$’000</w:t>
            </w:r>
          </w:p>
        </w:tc>
      </w:tr>
      <w:tr w:rsidR="007D6A0A" w:rsidRPr="00866299" w14:paraId="7E30D18A" w14:textId="77777777" w:rsidTr="002B0F94">
        <w:trPr>
          <w:cantSplit/>
          <w:trHeight w:val="92"/>
        </w:trPr>
        <w:tc>
          <w:tcPr>
            <w:tcW w:w="3652" w:type="dxa"/>
            <w:tcBorders>
              <w:top w:val="single" w:sz="4" w:space="0" w:color="auto"/>
            </w:tcBorders>
          </w:tcPr>
          <w:p w14:paraId="68801232" w14:textId="77777777" w:rsidR="007D6A0A" w:rsidRPr="00866299" w:rsidRDefault="007D6A0A" w:rsidP="007D18CC">
            <w:pPr>
              <w:ind w:left="284" w:hanging="284"/>
              <w:rPr>
                <w:rFonts w:ascii="Calibri" w:hAnsi="Calibri"/>
                <w:sz w:val="22"/>
                <w:lang w:eastAsia="en-US"/>
              </w:rPr>
            </w:pPr>
            <w:r w:rsidRPr="00866299">
              <w:rPr>
                <w:rFonts w:ascii="Calibri" w:hAnsi="Calibri"/>
                <w:sz w:val="22"/>
                <w:lang w:eastAsia="en-US"/>
              </w:rPr>
              <w:t>Protecting grasslands and conservation areas</w:t>
            </w:r>
          </w:p>
        </w:tc>
        <w:tc>
          <w:tcPr>
            <w:tcW w:w="1179" w:type="dxa"/>
            <w:tcBorders>
              <w:top w:val="single" w:sz="4" w:space="0" w:color="auto"/>
            </w:tcBorders>
            <w:shd w:val="clear" w:color="auto" w:fill="auto"/>
          </w:tcPr>
          <w:p w14:paraId="1446F81C"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78</w:t>
            </w:r>
          </w:p>
        </w:tc>
        <w:tc>
          <w:tcPr>
            <w:tcW w:w="1041" w:type="dxa"/>
            <w:tcBorders>
              <w:top w:val="single" w:sz="4" w:space="0" w:color="auto"/>
            </w:tcBorders>
            <w:shd w:val="clear" w:color="auto" w:fill="auto"/>
          </w:tcPr>
          <w:p w14:paraId="01A90BE3"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shd w:val="clear" w:color="auto" w:fill="auto"/>
          </w:tcPr>
          <w:p w14:paraId="4D39C267"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shd w:val="clear" w:color="auto" w:fill="auto"/>
          </w:tcPr>
          <w:p w14:paraId="3BE3D970"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shd w:val="clear" w:color="auto" w:fill="auto"/>
          </w:tcPr>
          <w:p w14:paraId="2F1971D5"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78</w:t>
            </w:r>
          </w:p>
        </w:tc>
      </w:tr>
      <w:tr w:rsidR="007D6A0A" w:rsidRPr="00866299" w14:paraId="7DA9E298" w14:textId="77777777" w:rsidTr="002B0F94">
        <w:trPr>
          <w:cantSplit/>
          <w:trHeight w:val="92"/>
        </w:trPr>
        <w:tc>
          <w:tcPr>
            <w:tcW w:w="3652" w:type="dxa"/>
            <w:tcBorders>
              <w:bottom w:val="single" w:sz="4" w:space="0" w:color="auto"/>
            </w:tcBorders>
          </w:tcPr>
          <w:p w14:paraId="31E3A12E" w14:textId="77777777" w:rsidR="007D6A0A" w:rsidRPr="00866299" w:rsidRDefault="007D6A0A" w:rsidP="007D18CC">
            <w:pPr>
              <w:ind w:left="284" w:hanging="284"/>
              <w:rPr>
                <w:rFonts w:ascii="Calibri" w:hAnsi="Calibri"/>
                <w:sz w:val="22"/>
                <w:lang w:eastAsia="en-US"/>
              </w:rPr>
            </w:pPr>
            <w:r w:rsidRPr="00866299">
              <w:rPr>
                <w:rFonts w:ascii="Calibri" w:hAnsi="Calibri"/>
                <w:sz w:val="22"/>
                <w:lang w:eastAsia="en-US"/>
              </w:rPr>
              <w:t>Supporting smarter working in the new ACT Government office projects</w:t>
            </w:r>
          </w:p>
        </w:tc>
        <w:tc>
          <w:tcPr>
            <w:tcW w:w="1179" w:type="dxa"/>
            <w:tcBorders>
              <w:bottom w:val="single" w:sz="4" w:space="0" w:color="auto"/>
            </w:tcBorders>
            <w:shd w:val="clear" w:color="auto" w:fill="auto"/>
          </w:tcPr>
          <w:p w14:paraId="04AB39E8"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934</w:t>
            </w:r>
          </w:p>
        </w:tc>
        <w:tc>
          <w:tcPr>
            <w:tcW w:w="1041" w:type="dxa"/>
            <w:tcBorders>
              <w:bottom w:val="single" w:sz="4" w:space="0" w:color="auto"/>
            </w:tcBorders>
            <w:shd w:val="clear" w:color="auto" w:fill="auto"/>
          </w:tcPr>
          <w:p w14:paraId="37D924BE"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751</w:t>
            </w:r>
          </w:p>
        </w:tc>
        <w:tc>
          <w:tcPr>
            <w:tcW w:w="1029" w:type="dxa"/>
            <w:tcBorders>
              <w:bottom w:val="single" w:sz="4" w:space="0" w:color="auto"/>
            </w:tcBorders>
            <w:shd w:val="clear" w:color="auto" w:fill="auto"/>
          </w:tcPr>
          <w:p w14:paraId="20634DFD"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767</w:t>
            </w:r>
          </w:p>
        </w:tc>
        <w:tc>
          <w:tcPr>
            <w:tcW w:w="1029" w:type="dxa"/>
            <w:tcBorders>
              <w:bottom w:val="single" w:sz="4" w:space="0" w:color="auto"/>
            </w:tcBorders>
            <w:shd w:val="clear" w:color="auto" w:fill="auto"/>
          </w:tcPr>
          <w:p w14:paraId="1CB3A8E5"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150</w:t>
            </w:r>
          </w:p>
        </w:tc>
        <w:tc>
          <w:tcPr>
            <w:tcW w:w="1029" w:type="dxa"/>
            <w:tcBorders>
              <w:bottom w:val="single" w:sz="4" w:space="0" w:color="auto"/>
            </w:tcBorders>
            <w:shd w:val="clear" w:color="auto" w:fill="auto"/>
          </w:tcPr>
          <w:p w14:paraId="336325B2"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2,602</w:t>
            </w:r>
          </w:p>
        </w:tc>
      </w:tr>
    </w:tbl>
    <w:p w14:paraId="7966E59D" w14:textId="77777777" w:rsidR="007D6A0A" w:rsidRPr="00E9735E" w:rsidRDefault="007D6A0A" w:rsidP="002B0F94">
      <w:pPr>
        <w:pStyle w:val="snapInitbody"/>
      </w:pPr>
      <w:r w:rsidRPr="00E9735E">
        <w:t>Refer to Infrastructure and capital initiatives (Chapter 3.3) for more information.</w:t>
      </w:r>
    </w:p>
    <w:p w14:paraId="7B83B6BC" w14:textId="47EF0FE0" w:rsidR="007D6A0A" w:rsidRPr="007A3A72" w:rsidRDefault="007D6A0A" w:rsidP="007A3A72">
      <w:pPr>
        <w:pStyle w:val="Heading3"/>
      </w:pPr>
      <w:r w:rsidRPr="007A3A72">
        <w:t xml:space="preserve">Infrastructure and </w:t>
      </w:r>
      <w:r w:rsidR="00B2594F">
        <w:t>C</w:t>
      </w:r>
      <w:r w:rsidRPr="007A3A72">
        <w:t xml:space="preserve">apital </w:t>
      </w:r>
      <w:r w:rsidR="00B2594F">
        <w:t>I</w:t>
      </w:r>
      <w:r w:rsidRPr="007A3A72">
        <w:t xml:space="preserve">nitiatives </w:t>
      </w:r>
    </w:p>
    <w:bookmarkEnd w:id="13"/>
    <w:p w14:paraId="0706507F" w14:textId="77777777" w:rsidR="007D6A0A" w:rsidRPr="00487104" w:rsidRDefault="007D6A0A" w:rsidP="00487104">
      <w:pPr>
        <w:pStyle w:val="snapInittitles"/>
      </w:pPr>
      <w:r w:rsidRPr="00487104">
        <w:t xml:space="preserve">Better toilet facilities – </w:t>
      </w:r>
      <w:proofErr w:type="spellStart"/>
      <w:r w:rsidRPr="00487104">
        <w:t>Orroral</w:t>
      </w:r>
      <w:proofErr w:type="spellEnd"/>
      <w:r w:rsidRPr="00487104">
        <w:t xml:space="preserve"> Valley Campground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7D6A0A" w:rsidRPr="00866299" w14:paraId="08690772" w14:textId="77777777" w:rsidTr="002B0F94">
        <w:trPr>
          <w:cantSplit/>
        </w:trPr>
        <w:tc>
          <w:tcPr>
            <w:tcW w:w="3652" w:type="dxa"/>
            <w:tcBorders>
              <w:top w:val="single" w:sz="4" w:space="0" w:color="auto"/>
              <w:bottom w:val="single" w:sz="4" w:space="0" w:color="auto"/>
            </w:tcBorders>
          </w:tcPr>
          <w:p w14:paraId="184AD7E7" w14:textId="77777777" w:rsidR="007D6A0A" w:rsidRPr="00866299" w:rsidRDefault="007D6A0A" w:rsidP="007D18CC">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0A498280"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2019­20</w:t>
            </w:r>
          </w:p>
          <w:p w14:paraId="41202A36"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0A003EED"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2020­21</w:t>
            </w:r>
          </w:p>
          <w:p w14:paraId="467AAD64"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B5A9E02"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2021­22</w:t>
            </w:r>
          </w:p>
          <w:p w14:paraId="0E6C93E9"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6731BBF"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2022-23</w:t>
            </w:r>
          </w:p>
          <w:p w14:paraId="38FC60E1"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51D6032"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Total</w:t>
            </w:r>
          </w:p>
          <w:p w14:paraId="13002A72"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$’000</w:t>
            </w:r>
          </w:p>
        </w:tc>
      </w:tr>
      <w:tr w:rsidR="007D6A0A" w:rsidRPr="00866299" w14:paraId="6E195BA5" w14:textId="77777777" w:rsidTr="002B0F94">
        <w:trPr>
          <w:cantSplit/>
        </w:trPr>
        <w:tc>
          <w:tcPr>
            <w:tcW w:w="3652" w:type="dxa"/>
            <w:tcBorders>
              <w:top w:val="single" w:sz="4" w:space="0" w:color="auto"/>
              <w:bottom w:val="single" w:sz="4" w:space="0" w:color="auto"/>
            </w:tcBorders>
          </w:tcPr>
          <w:p w14:paraId="404F6473" w14:textId="77777777" w:rsidR="007D6A0A" w:rsidRPr="00866299" w:rsidRDefault="007D6A0A" w:rsidP="007D18CC">
            <w:pPr>
              <w:ind w:left="284" w:hanging="284"/>
              <w:rPr>
                <w:rFonts w:ascii="Calibri" w:hAnsi="Calibri"/>
                <w:sz w:val="22"/>
                <w:lang w:eastAsia="en-US"/>
              </w:rPr>
            </w:pPr>
            <w:r w:rsidRPr="00866299">
              <w:rPr>
                <w:rFonts w:ascii="Calibri" w:hAnsi="Calibri"/>
                <w:sz w:val="22"/>
                <w:lang w:eastAsia="en-US"/>
              </w:rPr>
              <w:t>Capital</w:t>
            </w:r>
          </w:p>
        </w:tc>
        <w:tc>
          <w:tcPr>
            <w:tcW w:w="1179" w:type="dxa"/>
            <w:tcBorders>
              <w:top w:val="single" w:sz="4" w:space="0" w:color="auto"/>
              <w:bottom w:val="single" w:sz="4" w:space="0" w:color="auto"/>
            </w:tcBorders>
          </w:tcPr>
          <w:p w14:paraId="40CD66EB"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185</w:t>
            </w:r>
          </w:p>
        </w:tc>
        <w:tc>
          <w:tcPr>
            <w:tcW w:w="1041" w:type="dxa"/>
            <w:tcBorders>
              <w:top w:val="single" w:sz="4" w:space="0" w:color="auto"/>
              <w:bottom w:val="single" w:sz="4" w:space="0" w:color="auto"/>
            </w:tcBorders>
          </w:tcPr>
          <w:p w14:paraId="22F228BA"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3F113BDD"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13327464"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11A7D169"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185</w:t>
            </w:r>
          </w:p>
        </w:tc>
      </w:tr>
    </w:tbl>
    <w:p w14:paraId="5DDDB31D" w14:textId="77777777" w:rsidR="007D6A0A" w:rsidRPr="00666842" w:rsidRDefault="007D6A0A" w:rsidP="002B0F94">
      <w:pPr>
        <w:pStyle w:val="snapInitbody"/>
      </w:pPr>
      <w:r w:rsidRPr="00666842">
        <w:t xml:space="preserve">The Government will upgrade the toilets at the </w:t>
      </w:r>
      <w:proofErr w:type="spellStart"/>
      <w:r w:rsidRPr="00666842">
        <w:t>Orroral</w:t>
      </w:r>
      <w:proofErr w:type="spellEnd"/>
      <w:r w:rsidRPr="00666842">
        <w:t xml:space="preserve"> Valley campground to improve facilities for visitors. This initiative is funded through the </w:t>
      </w:r>
      <w:r w:rsidRPr="00666842">
        <w:rPr>
          <w:i/>
        </w:rPr>
        <w:t>Better Infrastructure Fund</w:t>
      </w:r>
      <w:r w:rsidRPr="00666842">
        <w:t>.</w:t>
      </w:r>
    </w:p>
    <w:p w14:paraId="1D2D4836" w14:textId="77777777" w:rsidR="007D6A0A" w:rsidRPr="00202E81" w:rsidRDefault="007D6A0A" w:rsidP="00202E81">
      <w:pPr>
        <w:pStyle w:val="snapInittitles"/>
      </w:pPr>
      <w:r w:rsidRPr="00202E81">
        <w:t xml:space="preserve">Delivering better community facilities for Woden Town Centre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7D6A0A" w:rsidRPr="00866299" w14:paraId="542D9571" w14:textId="77777777" w:rsidTr="002B0F94">
        <w:trPr>
          <w:cantSplit/>
        </w:trPr>
        <w:tc>
          <w:tcPr>
            <w:tcW w:w="3652" w:type="dxa"/>
            <w:tcBorders>
              <w:top w:val="single" w:sz="4" w:space="0" w:color="auto"/>
              <w:bottom w:val="single" w:sz="4" w:space="0" w:color="auto"/>
            </w:tcBorders>
          </w:tcPr>
          <w:p w14:paraId="6D380FF0" w14:textId="77C608A5" w:rsidR="007D6A0A" w:rsidRPr="00866299" w:rsidRDefault="007D6A0A" w:rsidP="007D18CC">
            <w:pPr>
              <w:jc w:val="right"/>
              <w:rPr>
                <w:rFonts w:ascii="Calibri" w:hAnsi="Calibri" w:cs="Calibri"/>
                <w:i/>
                <w:color w:val="FFFFFF"/>
                <w:sz w:val="22"/>
                <w:highlight w:val="yellow"/>
                <w:lang w:eastAsia="en-US"/>
              </w:rPr>
            </w:pPr>
          </w:p>
        </w:tc>
        <w:tc>
          <w:tcPr>
            <w:tcW w:w="1179" w:type="dxa"/>
            <w:tcBorders>
              <w:top w:val="single" w:sz="4" w:space="0" w:color="auto"/>
              <w:bottom w:val="single" w:sz="4" w:space="0" w:color="auto"/>
            </w:tcBorders>
          </w:tcPr>
          <w:p w14:paraId="1AC85F9A"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2019-20</w:t>
            </w:r>
          </w:p>
          <w:p w14:paraId="140862B3"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20BF3902"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2020-21</w:t>
            </w:r>
          </w:p>
          <w:p w14:paraId="62FABC3E"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8149168"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2021-22</w:t>
            </w:r>
          </w:p>
          <w:p w14:paraId="581B186C"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284D8AE"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2022-23</w:t>
            </w:r>
          </w:p>
          <w:p w14:paraId="5D793ED6"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0F6C775B"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Total</w:t>
            </w:r>
          </w:p>
          <w:p w14:paraId="4F2B88D8"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$’000</w:t>
            </w:r>
          </w:p>
        </w:tc>
      </w:tr>
      <w:tr w:rsidR="007D6A0A" w:rsidRPr="00866299" w14:paraId="20C5C30A" w14:textId="77777777" w:rsidTr="002B0F94">
        <w:trPr>
          <w:cantSplit/>
        </w:trPr>
        <w:tc>
          <w:tcPr>
            <w:tcW w:w="3652" w:type="dxa"/>
            <w:tcBorders>
              <w:top w:val="single" w:sz="4" w:space="0" w:color="auto"/>
              <w:bottom w:val="single" w:sz="4" w:space="0" w:color="auto"/>
            </w:tcBorders>
          </w:tcPr>
          <w:p w14:paraId="73CAFB1F" w14:textId="77777777" w:rsidR="007D6A0A" w:rsidRPr="00866299" w:rsidRDefault="007D6A0A" w:rsidP="007D18CC">
            <w:pPr>
              <w:ind w:left="284" w:hanging="284"/>
              <w:rPr>
                <w:rFonts w:ascii="Calibri" w:hAnsi="Calibri"/>
                <w:sz w:val="22"/>
                <w:lang w:eastAsia="en-US"/>
              </w:rPr>
            </w:pPr>
            <w:r w:rsidRPr="00866299">
              <w:rPr>
                <w:rFonts w:ascii="Calibri" w:hAnsi="Calibri"/>
                <w:sz w:val="22"/>
                <w:lang w:eastAsia="en-US"/>
              </w:rPr>
              <w:t>Capital</w:t>
            </w:r>
          </w:p>
        </w:tc>
        <w:tc>
          <w:tcPr>
            <w:tcW w:w="1179" w:type="dxa"/>
            <w:tcBorders>
              <w:top w:val="single" w:sz="4" w:space="0" w:color="auto"/>
              <w:bottom w:val="single" w:sz="4" w:space="0" w:color="auto"/>
            </w:tcBorders>
          </w:tcPr>
          <w:p w14:paraId="4D10C3C1"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300</w:t>
            </w:r>
          </w:p>
        </w:tc>
        <w:tc>
          <w:tcPr>
            <w:tcW w:w="1041" w:type="dxa"/>
            <w:tcBorders>
              <w:top w:val="single" w:sz="4" w:space="0" w:color="auto"/>
              <w:bottom w:val="single" w:sz="4" w:space="0" w:color="auto"/>
            </w:tcBorders>
          </w:tcPr>
          <w:p w14:paraId="1732A7BF"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1,450</w:t>
            </w:r>
          </w:p>
        </w:tc>
        <w:tc>
          <w:tcPr>
            <w:tcW w:w="1029" w:type="dxa"/>
            <w:tcBorders>
              <w:top w:val="single" w:sz="4" w:space="0" w:color="auto"/>
              <w:bottom w:val="single" w:sz="4" w:space="0" w:color="auto"/>
            </w:tcBorders>
          </w:tcPr>
          <w:p w14:paraId="0D59FBB1"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50197CB5"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7CD20990"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1,750</w:t>
            </w:r>
          </w:p>
        </w:tc>
      </w:tr>
    </w:tbl>
    <w:p w14:paraId="5DD8157F" w14:textId="77777777" w:rsidR="007D6A0A" w:rsidRPr="00666842" w:rsidRDefault="007D6A0A" w:rsidP="002B0F94">
      <w:pPr>
        <w:pStyle w:val="snapInitbody"/>
      </w:pPr>
      <w:r w:rsidRPr="00666842">
        <w:t>The Government will design a new community centre to be located in the Woden Town Centre. The centre will provide a new home for Woden Community Service to deliver a range of integrated services, as well as a community space with the design and service offerings to be informed by ongoing engagement with the Woden community.</w:t>
      </w:r>
    </w:p>
    <w:p w14:paraId="45BD9230" w14:textId="77777777" w:rsidR="007D6A0A" w:rsidRPr="00202E81" w:rsidRDefault="007D6A0A" w:rsidP="00202E81">
      <w:pPr>
        <w:pStyle w:val="snapInittitles"/>
      </w:pPr>
      <w:r w:rsidRPr="00202E81">
        <w:t xml:space="preserve">New walking trails – Tidbinbilla Nature Reserve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7D6A0A" w:rsidRPr="00866299" w14:paraId="3E3B3CB1" w14:textId="77777777" w:rsidTr="002B0F94">
        <w:trPr>
          <w:cantSplit/>
        </w:trPr>
        <w:tc>
          <w:tcPr>
            <w:tcW w:w="3652" w:type="dxa"/>
            <w:tcBorders>
              <w:top w:val="single" w:sz="4" w:space="0" w:color="auto"/>
              <w:bottom w:val="single" w:sz="4" w:space="0" w:color="auto"/>
            </w:tcBorders>
          </w:tcPr>
          <w:p w14:paraId="149E083E" w14:textId="77777777" w:rsidR="007D6A0A" w:rsidRPr="00866299" w:rsidRDefault="007D6A0A" w:rsidP="007D18CC">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0DAEECF9"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2019­20</w:t>
            </w:r>
          </w:p>
          <w:p w14:paraId="0AC5B3A6"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5D899AB4"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2020­21</w:t>
            </w:r>
          </w:p>
          <w:p w14:paraId="0300DC76"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53165203"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2021­22</w:t>
            </w:r>
          </w:p>
          <w:p w14:paraId="1A55314F"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5151639D"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2022-23</w:t>
            </w:r>
          </w:p>
          <w:p w14:paraId="3A67558D"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949E20F"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Total</w:t>
            </w:r>
          </w:p>
          <w:p w14:paraId="12721924"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$’000</w:t>
            </w:r>
          </w:p>
        </w:tc>
      </w:tr>
      <w:tr w:rsidR="007D6A0A" w:rsidRPr="00866299" w14:paraId="3178D5B6" w14:textId="77777777" w:rsidTr="002B0F94">
        <w:trPr>
          <w:cantSplit/>
        </w:trPr>
        <w:tc>
          <w:tcPr>
            <w:tcW w:w="3652" w:type="dxa"/>
            <w:tcBorders>
              <w:top w:val="single" w:sz="4" w:space="0" w:color="auto"/>
              <w:bottom w:val="single" w:sz="4" w:space="0" w:color="auto"/>
            </w:tcBorders>
          </w:tcPr>
          <w:p w14:paraId="01941823" w14:textId="77777777" w:rsidR="007D6A0A" w:rsidRPr="00866299" w:rsidRDefault="007D6A0A" w:rsidP="007D18CC">
            <w:pPr>
              <w:ind w:left="284" w:hanging="284"/>
              <w:rPr>
                <w:rFonts w:ascii="Calibri" w:hAnsi="Calibri"/>
                <w:sz w:val="22"/>
                <w:lang w:eastAsia="en-US"/>
              </w:rPr>
            </w:pPr>
            <w:r w:rsidRPr="00866299">
              <w:rPr>
                <w:rFonts w:ascii="Calibri" w:hAnsi="Calibri"/>
                <w:sz w:val="22"/>
                <w:lang w:eastAsia="en-US"/>
              </w:rPr>
              <w:t>Capital</w:t>
            </w:r>
          </w:p>
        </w:tc>
        <w:tc>
          <w:tcPr>
            <w:tcW w:w="1179" w:type="dxa"/>
            <w:tcBorders>
              <w:top w:val="single" w:sz="4" w:space="0" w:color="auto"/>
              <w:bottom w:val="single" w:sz="4" w:space="0" w:color="auto"/>
            </w:tcBorders>
          </w:tcPr>
          <w:p w14:paraId="296EB548"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60</w:t>
            </w:r>
          </w:p>
        </w:tc>
        <w:tc>
          <w:tcPr>
            <w:tcW w:w="1041" w:type="dxa"/>
            <w:tcBorders>
              <w:top w:val="single" w:sz="4" w:space="0" w:color="auto"/>
              <w:bottom w:val="single" w:sz="4" w:space="0" w:color="auto"/>
            </w:tcBorders>
          </w:tcPr>
          <w:p w14:paraId="172D5856"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41A29DAB"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168770B8"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64FBF87E"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60</w:t>
            </w:r>
          </w:p>
        </w:tc>
      </w:tr>
    </w:tbl>
    <w:p w14:paraId="03AB7C17" w14:textId="77777777" w:rsidR="007D6A0A" w:rsidRPr="00666842" w:rsidRDefault="007D6A0A" w:rsidP="002B0F94">
      <w:pPr>
        <w:pStyle w:val="snapInitbody"/>
      </w:pPr>
      <w:r w:rsidRPr="00666842">
        <w:t xml:space="preserve">The Government will construct two new trails through the Tidbinbilla Nature Reserve to improve the experience for visitors. This initiative is funded through the </w:t>
      </w:r>
      <w:r w:rsidRPr="00666842">
        <w:rPr>
          <w:i/>
        </w:rPr>
        <w:t>Better Infrastructure Fund</w:t>
      </w:r>
      <w:r w:rsidRPr="00666842">
        <w:t>.</w:t>
      </w:r>
    </w:p>
    <w:p w14:paraId="64C43114" w14:textId="7F8E38FC" w:rsidR="007D6A0A" w:rsidRPr="00202E81" w:rsidRDefault="007D6A0A" w:rsidP="00202E81">
      <w:pPr>
        <w:pStyle w:val="snapInittitles"/>
      </w:pPr>
      <w:r w:rsidRPr="00202E81">
        <w:t xml:space="preserve">Parks and Conservation Service visitor facilities upgrade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7D6A0A" w:rsidRPr="00866299" w14:paraId="56BBB45A" w14:textId="77777777" w:rsidTr="002B0F94">
        <w:trPr>
          <w:cantSplit/>
        </w:trPr>
        <w:tc>
          <w:tcPr>
            <w:tcW w:w="3652" w:type="dxa"/>
            <w:tcBorders>
              <w:top w:val="single" w:sz="4" w:space="0" w:color="auto"/>
              <w:bottom w:val="single" w:sz="4" w:space="0" w:color="auto"/>
            </w:tcBorders>
          </w:tcPr>
          <w:p w14:paraId="559BCB58" w14:textId="77777777" w:rsidR="007D6A0A" w:rsidRPr="00866299" w:rsidRDefault="007D6A0A" w:rsidP="007D18CC">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54D4CB34"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2019­20</w:t>
            </w:r>
          </w:p>
          <w:p w14:paraId="02847ABD"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2F6546E7"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2020­21</w:t>
            </w:r>
          </w:p>
          <w:p w14:paraId="5B5DE622"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3C528B81"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2021­22</w:t>
            </w:r>
          </w:p>
          <w:p w14:paraId="45BEB5F2"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056D5D6"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2022-23</w:t>
            </w:r>
          </w:p>
          <w:p w14:paraId="5E56532C"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30C1B66C"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Total</w:t>
            </w:r>
          </w:p>
          <w:p w14:paraId="1280153E"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$’000</w:t>
            </w:r>
          </w:p>
        </w:tc>
      </w:tr>
      <w:tr w:rsidR="007D6A0A" w:rsidRPr="00866299" w14:paraId="7B1A6A3A" w14:textId="77777777" w:rsidTr="002B0F94">
        <w:trPr>
          <w:cantSplit/>
        </w:trPr>
        <w:tc>
          <w:tcPr>
            <w:tcW w:w="3652" w:type="dxa"/>
            <w:tcBorders>
              <w:top w:val="single" w:sz="4" w:space="0" w:color="auto"/>
              <w:bottom w:val="single" w:sz="4" w:space="0" w:color="auto"/>
            </w:tcBorders>
          </w:tcPr>
          <w:p w14:paraId="7A02CFD0" w14:textId="77777777" w:rsidR="007D6A0A" w:rsidRPr="00866299" w:rsidRDefault="007D6A0A" w:rsidP="007D18CC">
            <w:pPr>
              <w:ind w:left="284" w:hanging="284"/>
              <w:rPr>
                <w:rFonts w:ascii="Calibri" w:hAnsi="Calibri"/>
                <w:sz w:val="22"/>
                <w:lang w:eastAsia="en-US"/>
              </w:rPr>
            </w:pPr>
            <w:r w:rsidRPr="00866299">
              <w:rPr>
                <w:rFonts w:ascii="Calibri" w:hAnsi="Calibri"/>
                <w:sz w:val="22"/>
                <w:lang w:eastAsia="en-US"/>
              </w:rPr>
              <w:t>Capital</w:t>
            </w:r>
          </w:p>
        </w:tc>
        <w:tc>
          <w:tcPr>
            <w:tcW w:w="1179" w:type="dxa"/>
            <w:tcBorders>
              <w:top w:val="single" w:sz="4" w:space="0" w:color="auto"/>
              <w:bottom w:val="single" w:sz="4" w:space="0" w:color="auto"/>
            </w:tcBorders>
          </w:tcPr>
          <w:p w14:paraId="58EB46B6"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80</w:t>
            </w:r>
          </w:p>
        </w:tc>
        <w:tc>
          <w:tcPr>
            <w:tcW w:w="1041" w:type="dxa"/>
            <w:tcBorders>
              <w:top w:val="single" w:sz="4" w:space="0" w:color="auto"/>
              <w:bottom w:val="single" w:sz="4" w:space="0" w:color="auto"/>
            </w:tcBorders>
          </w:tcPr>
          <w:p w14:paraId="5504A08A"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2D8FA19B"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7A37781E"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3D081BAC"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80</w:t>
            </w:r>
          </w:p>
        </w:tc>
      </w:tr>
    </w:tbl>
    <w:p w14:paraId="3F6A1D9E" w14:textId="77777777" w:rsidR="007D6A0A" w:rsidRPr="00666842" w:rsidRDefault="007D6A0A" w:rsidP="002B0F94">
      <w:pPr>
        <w:pStyle w:val="snapInitbody"/>
      </w:pPr>
      <w:r w:rsidRPr="00666842">
        <w:t xml:space="preserve">The Government will undertake an audit of Parks and Conservation-managed visitor facilities, as well as conduct early planning and design for upgrades that will improve amenity for visitors. This initiative is funded through the </w:t>
      </w:r>
      <w:r w:rsidRPr="00666842">
        <w:rPr>
          <w:i/>
        </w:rPr>
        <w:t>Better Infrastructure Fund</w:t>
      </w:r>
      <w:r w:rsidRPr="00666842">
        <w:t>.</w:t>
      </w:r>
    </w:p>
    <w:p w14:paraId="726E5EC3" w14:textId="77777777" w:rsidR="005F04A6" w:rsidRDefault="005F04A6">
      <w:pPr>
        <w:rPr>
          <w:rFonts w:ascii="Calibri" w:hAnsi="Calibri"/>
          <w:b/>
          <w:bCs/>
          <w:szCs w:val="26"/>
          <w:lang w:val="x-none" w:eastAsia="en-US"/>
        </w:rPr>
      </w:pPr>
      <w:r>
        <w:br w:type="page"/>
      </w:r>
    </w:p>
    <w:p w14:paraId="64FF1BA0" w14:textId="6C32C2F7" w:rsidR="007D6A0A" w:rsidRPr="00202E81" w:rsidRDefault="007D6A0A" w:rsidP="00202E81">
      <w:pPr>
        <w:pStyle w:val="snapInittitles"/>
      </w:pPr>
      <w:r w:rsidRPr="00202E81">
        <w:t xml:space="preserve">Protecting grasslands and conservation areas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7D6A0A" w:rsidRPr="00866299" w14:paraId="360CBDBC" w14:textId="77777777" w:rsidTr="002B0F94">
        <w:trPr>
          <w:cantSplit/>
        </w:trPr>
        <w:tc>
          <w:tcPr>
            <w:tcW w:w="3652" w:type="dxa"/>
            <w:tcBorders>
              <w:top w:val="single" w:sz="4" w:space="0" w:color="auto"/>
              <w:bottom w:val="single" w:sz="4" w:space="0" w:color="auto"/>
            </w:tcBorders>
          </w:tcPr>
          <w:p w14:paraId="29D3B22D" w14:textId="77777777" w:rsidR="007D6A0A" w:rsidRPr="00866299" w:rsidRDefault="007D6A0A" w:rsidP="007D18CC">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39673526"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2019-20</w:t>
            </w:r>
          </w:p>
          <w:p w14:paraId="476ED39D"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01B8FB97"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2020-21</w:t>
            </w:r>
          </w:p>
          <w:p w14:paraId="30988342"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5F045AE"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2021-22</w:t>
            </w:r>
          </w:p>
          <w:p w14:paraId="4DAE18B9"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AF75C5B"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2022-23</w:t>
            </w:r>
          </w:p>
          <w:p w14:paraId="6E9EDF28"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5FE3E20A"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Total</w:t>
            </w:r>
          </w:p>
          <w:p w14:paraId="446371AC"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$’000</w:t>
            </w:r>
          </w:p>
        </w:tc>
      </w:tr>
      <w:tr w:rsidR="007D6A0A" w:rsidRPr="00866299" w14:paraId="5D5FF05F" w14:textId="77777777" w:rsidTr="002B0F94">
        <w:trPr>
          <w:cantSplit/>
        </w:trPr>
        <w:tc>
          <w:tcPr>
            <w:tcW w:w="3652" w:type="dxa"/>
            <w:tcBorders>
              <w:top w:val="single" w:sz="4" w:space="0" w:color="auto"/>
            </w:tcBorders>
          </w:tcPr>
          <w:p w14:paraId="21D79E81" w14:textId="77777777" w:rsidR="007D6A0A" w:rsidRPr="00866299" w:rsidRDefault="007D6A0A" w:rsidP="007D18CC">
            <w:pPr>
              <w:ind w:left="284" w:hanging="284"/>
              <w:rPr>
                <w:rFonts w:ascii="Calibri" w:hAnsi="Calibri"/>
                <w:sz w:val="22"/>
                <w:lang w:eastAsia="en-US"/>
              </w:rPr>
            </w:pPr>
            <w:r w:rsidRPr="00866299">
              <w:rPr>
                <w:rFonts w:ascii="Calibri" w:hAnsi="Calibri"/>
                <w:sz w:val="22"/>
                <w:lang w:eastAsia="en-US"/>
              </w:rPr>
              <w:t>Capital</w:t>
            </w:r>
          </w:p>
        </w:tc>
        <w:tc>
          <w:tcPr>
            <w:tcW w:w="1179" w:type="dxa"/>
            <w:tcBorders>
              <w:top w:val="single" w:sz="4" w:space="0" w:color="auto"/>
            </w:tcBorders>
          </w:tcPr>
          <w:p w14:paraId="67E88018"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199</w:t>
            </w:r>
          </w:p>
        </w:tc>
        <w:tc>
          <w:tcPr>
            <w:tcW w:w="1041" w:type="dxa"/>
            <w:tcBorders>
              <w:top w:val="single" w:sz="4" w:space="0" w:color="auto"/>
            </w:tcBorders>
          </w:tcPr>
          <w:p w14:paraId="5D8712A0"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399</w:t>
            </w:r>
          </w:p>
        </w:tc>
        <w:tc>
          <w:tcPr>
            <w:tcW w:w="1029" w:type="dxa"/>
            <w:tcBorders>
              <w:top w:val="single" w:sz="4" w:space="0" w:color="auto"/>
            </w:tcBorders>
          </w:tcPr>
          <w:p w14:paraId="21E27246"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200</w:t>
            </w:r>
          </w:p>
        </w:tc>
        <w:tc>
          <w:tcPr>
            <w:tcW w:w="1029" w:type="dxa"/>
            <w:tcBorders>
              <w:top w:val="single" w:sz="4" w:space="0" w:color="auto"/>
            </w:tcBorders>
          </w:tcPr>
          <w:p w14:paraId="07469B5C"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3AC2C72E"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798</w:t>
            </w:r>
          </w:p>
        </w:tc>
      </w:tr>
      <w:tr w:rsidR="007D6A0A" w:rsidRPr="00866299" w14:paraId="7CB6428C" w14:textId="77777777" w:rsidTr="002B0F94">
        <w:trPr>
          <w:cantSplit/>
        </w:trPr>
        <w:tc>
          <w:tcPr>
            <w:tcW w:w="3652" w:type="dxa"/>
            <w:tcBorders>
              <w:top w:val="single" w:sz="4" w:space="0" w:color="auto"/>
            </w:tcBorders>
          </w:tcPr>
          <w:p w14:paraId="44956359" w14:textId="77777777" w:rsidR="007D6A0A" w:rsidRPr="00866299" w:rsidRDefault="007D6A0A" w:rsidP="007D18CC">
            <w:pPr>
              <w:ind w:left="284" w:hanging="284"/>
              <w:rPr>
                <w:rFonts w:ascii="Calibri" w:hAnsi="Calibri"/>
                <w:sz w:val="22"/>
                <w:lang w:eastAsia="en-US"/>
              </w:rPr>
            </w:pPr>
            <w:r w:rsidRPr="00866299">
              <w:rPr>
                <w:rFonts w:ascii="Calibri" w:hAnsi="Calibri"/>
                <w:sz w:val="22"/>
                <w:lang w:eastAsia="en-US"/>
              </w:rPr>
              <w:t>Associated expenses</w:t>
            </w:r>
          </w:p>
        </w:tc>
        <w:tc>
          <w:tcPr>
            <w:tcW w:w="1179" w:type="dxa"/>
            <w:tcBorders>
              <w:top w:val="single" w:sz="4" w:space="0" w:color="auto"/>
            </w:tcBorders>
          </w:tcPr>
          <w:p w14:paraId="32112A52"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78</w:t>
            </w:r>
          </w:p>
        </w:tc>
        <w:tc>
          <w:tcPr>
            <w:tcW w:w="1041" w:type="dxa"/>
            <w:tcBorders>
              <w:top w:val="single" w:sz="4" w:space="0" w:color="auto"/>
            </w:tcBorders>
          </w:tcPr>
          <w:p w14:paraId="57914F39"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7C9929D3"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1AE687FA"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18FB5345"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78</w:t>
            </w:r>
          </w:p>
        </w:tc>
      </w:tr>
      <w:tr w:rsidR="007D6A0A" w:rsidRPr="00866299" w14:paraId="349992A1" w14:textId="77777777" w:rsidTr="002B0F94">
        <w:trPr>
          <w:cantSplit/>
        </w:trPr>
        <w:tc>
          <w:tcPr>
            <w:tcW w:w="3652" w:type="dxa"/>
          </w:tcPr>
          <w:p w14:paraId="7723F5CF" w14:textId="77777777" w:rsidR="007D6A0A" w:rsidRPr="00866299" w:rsidRDefault="007D6A0A" w:rsidP="007D18CC">
            <w:pPr>
              <w:ind w:left="284" w:hanging="284"/>
              <w:rPr>
                <w:rFonts w:ascii="Calibri" w:hAnsi="Calibri"/>
                <w:sz w:val="22"/>
                <w:lang w:eastAsia="en-US"/>
              </w:rPr>
            </w:pPr>
            <w:r w:rsidRPr="00866299">
              <w:rPr>
                <w:rFonts w:ascii="Calibri" w:hAnsi="Calibri"/>
                <w:sz w:val="22"/>
                <w:lang w:eastAsia="en-US"/>
              </w:rPr>
              <w:t>Depreciation</w:t>
            </w:r>
          </w:p>
        </w:tc>
        <w:tc>
          <w:tcPr>
            <w:tcW w:w="1179" w:type="dxa"/>
          </w:tcPr>
          <w:p w14:paraId="3999F744"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w:t>
            </w:r>
          </w:p>
        </w:tc>
        <w:tc>
          <w:tcPr>
            <w:tcW w:w="1041" w:type="dxa"/>
          </w:tcPr>
          <w:p w14:paraId="62AFC949"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0CC9F0B5"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3</w:t>
            </w:r>
          </w:p>
        </w:tc>
        <w:tc>
          <w:tcPr>
            <w:tcW w:w="1029" w:type="dxa"/>
          </w:tcPr>
          <w:p w14:paraId="3A23F48B"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6</w:t>
            </w:r>
          </w:p>
        </w:tc>
        <w:tc>
          <w:tcPr>
            <w:tcW w:w="1029" w:type="dxa"/>
          </w:tcPr>
          <w:p w14:paraId="10695975"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9</w:t>
            </w:r>
          </w:p>
        </w:tc>
      </w:tr>
      <w:tr w:rsidR="007D6A0A" w:rsidRPr="00866299" w14:paraId="26A3918E" w14:textId="77777777" w:rsidTr="002B0F94">
        <w:trPr>
          <w:cantSplit/>
        </w:trPr>
        <w:tc>
          <w:tcPr>
            <w:tcW w:w="3652" w:type="dxa"/>
            <w:tcBorders>
              <w:top w:val="single" w:sz="4" w:space="0" w:color="auto"/>
              <w:bottom w:val="single" w:sz="4" w:space="0" w:color="auto"/>
            </w:tcBorders>
          </w:tcPr>
          <w:p w14:paraId="029AFC04" w14:textId="77777777" w:rsidR="007D6A0A" w:rsidRPr="00866299" w:rsidRDefault="007D6A0A" w:rsidP="007D18CC">
            <w:pPr>
              <w:ind w:left="284" w:hanging="284"/>
              <w:rPr>
                <w:rFonts w:ascii="Calibri" w:hAnsi="Calibri"/>
                <w:b/>
                <w:sz w:val="22"/>
                <w:lang w:eastAsia="en-US"/>
              </w:rPr>
            </w:pPr>
            <w:r w:rsidRPr="00866299">
              <w:rPr>
                <w:rFonts w:ascii="Calibri" w:hAnsi="Calibri"/>
                <w:b/>
                <w:sz w:val="22"/>
                <w:lang w:eastAsia="en-US"/>
              </w:rPr>
              <w:t>Total expenses</w:t>
            </w:r>
          </w:p>
        </w:tc>
        <w:tc>
          <w:tcPr>
            <w:tcW w:w="1179" w:type="dxa"/>
            <w:tcBorders>
              <w:top w:val="single" w:sz="4" w:space="0" w:color="auto"/>
              <w:bottom w:val="single" w:sz="4" w:space="0" w:color="auto"/>
            </w:tcBorders>
          </w:tcPr>
          <w:p w14:paraId="0EC2CA8C"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78</w:t>
            </w:r>
          </w:p>
        </w:tc>
        <w:tc>
          <w:tcPr>
            <w:tcW w:w="1041" w:type="dxa"/>
            <w:tcBorders>
              <w:top w:val="single" w:sz="4" w:space="0" w:color="auto"/>
              <w:bottom w:val="single" w:sz="4" w:space="0" w:color="auto"/>
            </w:tcBorders>
          </w:tcPr>
          <w:p w14:paraId="61E10CF7"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11BB41BD"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3</w:t>
            </w:r>
          </w:p>
        </w:tc>
        <w:tc>
          <w:tcPr>
            <w:tcW w:w="1029" w:type="dxa"/>
            <w:tcBorders>
              <w:top w:val="single" w:sz="4" w:space="0" w:color="auto"/>
              <w:bottom w:val="single" w:sz="4" w:space="0" w:color="auto"/>
            </w:tcBorders>
          </w:tcPr>
          <w:p w14:paraId="57D5B99D"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6</w:t>
            </w:r>
          </w:p>
        </w:tc>
        <w:tc>
          <w:tcPr>
            <w:tcW w:w="1029" w:type="dxa"/>
            <w:tcBorders>
              <w:top w:val="single" w:sz="4" w:space="0" w:color="auto"/>
              <w:bottom w:val="single" w:sz="4" w:space="0" w:color="auto"/>
            </w:tcBorders>
          </w:tcPr>
          <w:p w14:paraId="3D3EA097"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87</w:t>
            </w:r>
          </w:p>
        </w:tc>
      </w:tr>
    </w:tbl>
    <w:p w14:paraId="6C13C01C" w14:textId="77777777" w:rsidR="007D6A0A" w:rsidRPr="00666842" w:rsidRDefault="007D6A0A" w:rsidP="002B0F94">
      <w:pPr>
        <w:pStyle w:val="snapInitbody"/>
      </w:pPr>
      <w:r w:rsidRPr="00666842">
        <w:t xml:space="preserve">The Government will protect native species and their habitats in the </w:t>
      </w:r>
      <w:proofErr w:type="spellStart"/>
      <w:r w:rsidRPr="00666842">
        <w:t>Gooromon</w:t>
      </w:r>
      <w:proofErr w:type="spellEnd"/>
      <w:r w:rsidRPr="00666842">
        <w:t xml:space="preserve"> Grasslands and Kenny nature reserves to ensure we maintain Canberra’s unique natural environment as land release continues in Gungahlin and Lawson.</w:t>
      </w:r>
    </w:p>
    <w:p w14:paraId="4CBDF5F8" w14:textId="77777777" w:rsidR="007D6A0A" w:rsidRPr="00202E81" w:rsidRDefault="007D6A0A" w:rsidP="00B6149F">
      <w:pPr>
        <w:pStyle w:val="snapInittitles"/>
        <w:spacing w:before="120"/>
      </w:pPr>
      <w:r w:rsidRPr="00202E81">
        <w:t xml:space="preserve">Replanting the </w:t>
      </w:r>
      <w:proofErr w:type="spellStart"/>
      <w:r w:rsidRPr="00202E81">
        <w:t>Ingledene</w:t>
      </w:r>
      <w:proofErr w:type="spellEnd"/>
      <w:r w:rsidRPr="00202E81">
        <w:t xml:space="preserve"> Forest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7D6A0A" w:rsidRPr="00866299" w14:paraId="64EEAD89" w14:textId="77777777" w:rsidTr="002B0F94">
        <w:trPr>
          <w:cantSplit/>
        </w:trPr>
        <w:tc>
          <w:tcPr>
            <w:tcW w:w="3652" w:type="dxa"/>
            <w:tcBorders>
              <w:top w:val="single" w:sz="4" w:space="0" w:color="auto"/>
              <w:bottom w:val="single" w:sz="4" w:space="0" w:color="auto"/>
            </w:tcBorders>
          </w:tcPr>
          <w:p w14:paraId="2E92186A" w14:textId="3E86BC04" w:rsidR="007D6A0A" w:rsidRPr="00866299" w:rsidRDefault="007D6A0A" w:rsidP="007D18CC">
            <w:pPr>
              <w:jc w:val="right"/>
              <w:rPr>
                <w:rFonts w:ascii="Calibri" w:hAnsi="Calibri" w:cs="Calibri"/>
                <w:i/>
                <w:color w:val="FFFFFF"/>
                <w:sz w:val="22"/>
                <w:highlight w:val="yellow"/>
                <w:lang w:eastAsia="en-US"/>
              </w:rPr>
            </w:pPr>
          </w:p>
        </w:tc>
        <w:tc>
          <w:tcPr>
            <w:tcW w:w="1179" w:type="dxa"/>
            <w:tcBorders>
              <w:top w:val="single" w:sz="4" w:space="0" w:color="auto"/>
              <w:bottom w:val="single" w:sz="4" w:space="0" w:color="auto"/>
            </w:tcBorders>
          </w:tcPr>
          <w:p w14:paraId="35BF74DF"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2019-20</w:t>
            </w:r>
          </w:p>
          <w:p w14:paraId="0CF36B1A"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716080FC"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2020-21</w:t>
            </w:r>
          </w:p>
          <w:p w14:paraId="1E413AC3"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777FE04"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2021-22</w:t>
            </w:r>
          </w:p>
          <w:p w14:paraId="6158BB9D"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4225FE9"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2022-23</w:t>
            </w:r>
          </w:p>
          <w:p w14:paraId="55C63A5F"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30BA285A"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Total</w:t>
            </w:r>
          </w:p>
          <w:p w14:paraId="70AAD65D"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$’000</w:t>
            </w:r>
          </w:p>
        </w:tc>
      </w:tr>
      <w:tr w:rsidR="007D6A0A" w:rsidRPr="00866299" w14:paraId="08B888FB" w14:textId="77777777" w:rsidTr="002B0F94">
        <w:trPr>
          <w:cantSplit/>
        </w:trPr>
        <w:tc>
          <w:tcPr>
            <w:tcW w:w="3652" w:type="dxa"/>
            <w:tcBorders>
              <w:top w:val="single" w:sz="4" w:space="0" w:color="auto"/>
              <w:bottom w:val="single" w:sz="4" w:space="0" w:color="auto"/>
            </w:tcBorders>
          </w:tcPr>
          <w:p w14:paraId="3384556F" w14:textId="77777777" w:rsidR="007D6A0A" w:rsidRPr="00866299" w:rsidRDefault="007D6A0A" w:rsidP="007D18CC">
            <w:pPr>
              <w:ind w:left="284" w:hanging="284"/>
              <w:rPr>
                <w:rFonts w:ascii="Calibri" w:hAnsi="Calibri"/>
                <w:sz w:val="22"/>
                <w:lang w:eastAsia="en-US"/>
              </w:rPr>
            </w:pPr>
            <w:r w:rsidRPr="00866299">
              <w:rPr>
                <w:rFonts w:ascii="Calibri" w:hAnsi="Calibri"/>
                <w:sz w:val="22"/>
                <w:lang w:eastAsia="en-US"/>
              </w:rPr>
              <w:t>Capital</w:t>
            </w:r>
          </w:p>
        </w:tc>
        <w:tc>
          <w:tcPr>
            <w:tcW w:w="1179" w:type="dxa"/>
            <w:tcBorders>
              <w:top w:val="single" w:sz="4" w:space="0" w:color="auto"/>
              <w:bottom w:val="single" w:sz="4" w:space="0" w:color="auto"/>
            </w:tcBorders>
          </w:tcPr>
          <w:p w14:paraId="76CE560B"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186</w:t>
            </w:r>
          </w:p>
        </w:tc>
        <w:tc>
          <w:tcPr>
            <w:tcW w:w="1041" w:type="dxa"/>
            <w:tcBorders>
              <w:top w:val="single" w:sz="4" w:space="0" w:color="auto"/>
              <w:bottom w:val="single" w:sz="4" w:space="0" w:color="auto"/>
            </w:tcBorders>
          </w:tcPr>
          <w:p w14:paraId="64C7D237"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680</w:t>
            </w:r>
          </w:p>
        </w:tc>
        <w:tc>
          <w:tcPr>
            <w:tcW w:w="1029" w:type="dxa"/>
            <w:tcBorders>
              <w:top w:val="single" w:sz="4" w:space="0" w:color="auto"/>
              <w:bottom w:val="single" w:sz="4" w:space="0" w:color="auto"/>
            </w:tcBorders>
          </w:tcPr>
          <w:p w14:paraId="60D86950"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454</w:t>
            </w:r>
          </w:p>
        </w:tc>
        <w:tc>
          <w:tcPr>
            <w:tcW w:w="1029" w:type="dxa"/>
            <w:tcBorders>
              <w:top w:val="single" w:sz="4" w:space="0" w:color="auto"/>
              <w:bottom w:val="single" w:sz="4" w:space="0" w:color="auto"/>
            </w:tcBorders>
          </w:tcPr>
          <w:p w14:paraId="694CFA07"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414</w:t>
            </w:r>
          </w:p>
        </w:tc>
        <w:tc>
          <w:tcPr>
            <w:tcW w:w="1029" w:type="dxa"/>
            <w:tcBorders>
              <w:top w:val="single" w:sz="4" w:space="0" w:color="auto"/>
              <w:bottom w:val="single" w:sz="4" w:space="0" w:color="auto"/>
            </w:tcBorders>
          </w:tcPr>
          <w:p w14:paraId="4920C1D3" w14:textId="77777777" w:rsidR="007D6A0A" w:rsidRPr="00866299" w:rsidRDefault="007D6A0A" w:rsidP="007D18CC">
            <w:pPr>
              <w:ind w:left="284" w:hanging="284"/>
              <w:jc w:val="right"/>
              <w:rPr>
                <w:rFonts w:ascii="Calibri" w:hAnsi="Calibri"/>
                <w:b/>
                <w:sz w:val="22"/>
                <w:highlight w:val="yellow"/>
                <w:lang w:eastAsia="en-US"/>
              </w:rPr>
            </w:pPr>
            <w:r w:rsidRPr="00866299">
              <w:rPr>
                <w:rFonts w:ascii="Calibri" w:hAnsi="Calibri"/>
                <w:b/>
                <w:sz w:val="22"/>
                <w:lang w:eastAsia="en-US"/>
              </w:rPr>
              <w:t>1,734</w:t>
            </w:r>
          </w:p>
        </w:tc>
      </w:tr>
    </w:tbl>
    <w:p w14:paraId="2A6BCA0B" w14:textId="77777777" w:rsidR="007D6A0A" w:rsidRPr="00666842" w:rsidRDefault="007D6A0A" w:rsidP="002B0F94">
      <w:pPr>
        <w:pStyle w:val="snapInitbody"/>
        <w:rPr>
          <w:iCs/>
        </w:rPr>
      </w:pPr>
      <w:r w:rsidRPr="00666842">
        <w:t xml:space="preserve">The Government will re-establish the </w:t>
      </w:r>
      <w:proofErr w:type="spellStart"/>
      <w:r w:rsidRPr="00666842">
        <w:t>Ingledene</w:t>
      </w:r>
      <w:proofErr w:type="spellEnd"/>
      <w:r w:rsidRPr="00666842">
        <w:rPr>
          <w:iCs/>
        </w:rPr>
        <w:t xml:space="preserve"> Forest to provide a new recreational area in the ACT’s south. Replanting the </w:t>
      </w:r>
      <w:proofErr w:type="spellStart"/>
      <w:r w:rsidRPr="00666842">
        <w:rPr>
          <w:iCs/>
        </w:rPr>
        <w:t>Ingledene</w:t>
      </w:r>
      <w:proofErr w:type="spellEnd"/>
      <w:r w:rsidRPr="00666842">
        <w:rPr>
          <w:iCs/>
        </w:rPr>
        <w:t xml:space="preserve"> Forest with softwood trees will provide for recreational uses while also creating a demonstration of the potential for carbon sequestration in recreational areas. The Government will work with stakeholders to help shape the recreational potential of the area. </w:t>
      </w:r>
      <w:proofErr w:type="spellStart"/>
      <w:r w:rsidRPr="00666842">
        <w:rPr>
          <w:iCs/>
        </w:rPr>
        <w:t>Ingledene</w:t>
      </w:r>
      <w:proofErr w:type="spellEnd"/>
      <w:r w:rsidRPr="00666842">
        <w:rPr>
          <w:iCs/>
        </w:rPr>
        <w:t xml:space="preserve"> Forest was destroyed by bushfire in 2003 and this replanting will help restore an important part of Canberra’s landscape. </w:t>
      </w:r>
    </w:p>
    <w:p w14:paraId="0432DF11" w14:textId="77777777" w:rsidR="007D6A0A" w:rsidRPr="00202E81" w:rsidRDefault="007D6A0A" w:rsidP="00B6149F">
      <w:pPr>
        <w:pStyle w:val="snapInittitles"/>
        <w:spacing w:before="120"/>
      </w:pPr>
      <w:r w:rsidRPr="00202E81">
        <w:t xml:space="preserve">Supporting smarter working in the new ACT Government office projects </w:t>
      </w:r>
    </w:p>
    <w:p w14:paraId="2EA44533" w14:textId="77777777" w:rsidR="007D6A0A" w:rsidRPr="00666842" w:rsidRDefault="007D6A0A" w:rsidP="002B0F94">
      <w:pPr>
        <w:pStyle w:val="snapInitbody"/>
        <w:rPr>
          <w:iCs/>
        </w:rPr>
      </w:pPr>
      <w:r w:rsidRPr="00666842">
        <w:t xml:space="preserve">See the Chief Minister, Treasury and Economic Directorate capital initiative </w:t>
      </w:r>
      <w:r w:rsidRPr="00666842">
        <w:rPr>
          <w:i/>
        </w:rPr>
        <w:t xml:space="preserve">Supporting smarter working in the new ACT Government office projects </w:t>
      </w:r>
      <w:r w:rsidRPr="00666842">
        <w:t>for further details.</w:t>
      </w:r>
    </w:p>
    <w:p w14:paraId="6EFF8DF1" w14:textId="5AE0AB0B" w:rsidR="007D6A0A" w:rsidRPr="007A3A72" w:rsidRDefault="007D6A0A" w:rsidP="00B6149F">
      <w:pPr>
        <w:pStyle w:val="Heading4"/>
        <w:spacing w:after="120"/>
      </w:pPr>
      <w:r w:rsidRPr="007A3A72">
        <w:t xml:space="preserve">Information and </w:t>
      </w:r>
      <w:r w:rsidR="00B2594F">
        <w:t>C</w:t>
      </w:r>
      <w:r w:rsidRPr="007A3A72">
        <w:t xml:space="preserve">ommunication </w:t>
      </w:r>
      <w:r w:rsidR="00B2594F">
        <w:t>T</w:t>
      </w:r>
      <w:r w:rsidRPr="007A3A72">
        <w:t>echnology</w:t>
      </w:r>
    </w:p>
    <w:p w14:paraId="5CF53D47" w14:textId="77777777" w:rsidR="007D6A0A" w:rsidRPr="00202E81" w:rsidRDefault="007D6A0A" w:rsidP="00B6149F">
      <w:pPr>
        <w:pStyle w:val="snapInittitles"/>
        <w:spacing w:before="120"/>
      </w:pPr>
      <w:r w:rsidRPr="00202E81">
        <w:t xml:space="preserve">Improving online lodgement for development applications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7D6A0A" w:rsidRPr="00866299" w14:paraId="1B1C7691" w14:textId="77777777" w:rsidTr="002B0F94">
        <w:trPr>
          <w:cantSplit/>
        </w:trPr>
        <w:tc>
          <w:tcPr>
            <w:tcW w:w="3652" w:type="dxa"/>
            <w:tcBorders>
              <w:top w:val="single" w:sz="4" w:space="0" w:color="auto"/>
              <w:bottom w:val="single" w:sz="4" w:space="0" w:color="auto"/>
            </w:tcBorders>
          </w:tcPr>
          <w:p w14:paraId="473CA7D5" w14:textId="3919BE66" w:rsidR="007D6A0A" w:rsidRPr="00866299" w:rsidRDefault="007D6A0A" w:rsidP="007D18CC">
            <w:pPr>
              <w:jc w:val="right"/>
              <w:rPr>
                <w:rFonts w:ascii="Calibri" w:hAnsi="Calibri" w:cs="Calibri"/>
                <w:i/>
                <w:color w:val="FFFFFF"/>
                <w:sz w:val="22"/>
                <w:highlight w:val="yellow"/>
                <w:lang w:eastAsia="en-US"/>
              </w:rPr>
            </w:pPr>
          </w:p>
        </w:tc>
        <w:tc>
          <w:tcPr>
            <w:tcW w:w="1179" w:type="dxa"/>
            <w:tcBorders>
              <w:top w:val="single" w:sz="4" w:space="0" w:color="auto"/>
              <w:bottom w:val="single" w:sz="4" w:space="0" w:color="auto"/>
            </w:tcBorders>
          </w:tcPr>
          <w:p w14:paraId="7CFF6473"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2019-20</w:t>
            </w:r>
          </w:p>
          <w:p w14:paraId="6CBD9A51"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40D61015"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2020-21</w:t>
            </w:r>
          </w:p>
          <w:p w14:paraId="6F33DCCD"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33AAA93F"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2021-22</w:t>
            </w:r>
          </w:p>
          <w:p w14:paraId="352BAAA2"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73DCD09"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2022-23</w:t>
            </w:r>
          </w:p>
          <w:p w14:paraId="48EFB759"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F59AC72"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Total</w:t>
            </w:r>
          </w:p>
          <w:p w14:paraId="1E396676"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$’000</w:t>
            </w:r>
          </w:p>
        </w:tc>
      </w:tr>
      <w:tr w:rsidR="007D6A0A" w:rsidRPr="00866299" w14:paraId="74059D3D" w14:textId="77777777" w:rsidTr="002B0F94">
        <w:trPr>
          <w:cantSplit/>
        </w:trPr>
        <w:tc>
          <w:tcPr>
            <w:tcW w:w="3652" w:type="dxa"/>
            <w:tcBorders>
              <w:top w:val="single" w:sz="4" w:space="0" w:color="auto"/>
              <w:bottom w:val="single" w:sz="4" w:space="0" w:color="auto"/>
            </w:tcBorders>
          </w:tcPr>
          <w:p w14:paraId="2DFD46E8" w14:textId="77777777" w:rsidR="007D6A0A" w:rsidRPr="00866299" w:rsidRDefault="007D6A0A" w:rsidP="007D18CC">
            <w:pPr>
              <w:ind w:left="284" w:hanging="284"/>
              <w:rPr>
                <w:rFonts w:ascii="Calibri" w:hAnsi="Calibri"/>
                <w:sz w:val="22"/>
                <w:lang w:eastAsia="en-US"/>
              </w:rPr>
            </w:pPr>
            <w:r w:rsidRPr="00866299">
              <w:rPr>
                <w:rFonts w:ascii="Calibri" w:hAnsi="Calibri"/>
                <w:sz w:val="22"/>
                <w:lang w:eastAsia="en-US"/>
              </w:rPr>
              <w:t>Capital</w:t>
            </w:r>
          </w:p>
        </w:tc>
        <w:tc>
          <w:tcPr>
            <w:tcW w:w="1179" w:type="dxa"/>
            <w:tcBorders>
              <w:top w:val="single" w:sz="4" w:space="0" w:color="auto"/>
              <w:bottom w:val="single" w:sz="4" w:space="0" w:color="auto"/>
            </w:tcBorders>
          </w:tcPr>
          <w:p w14:paraId="68960EE4"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600</w:t>
            </w:r>
          </w:p>
        </w:tc>
        <w:tc>
          <w:tcPr>
            <w:tcW w:w="1041" w:type="dxa"/>
            <w:tcBorders>
              <w:top w:val="single" w:sz="4" w:space="0" w:color="auto"/>
              <w:bottom w:val="single" w:sz="4" w:space="0" w:color="auto"/>
            </w:tcBorders>
          </w:tcPr>
          <w:p w14:paraId="5FC62E26"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50E5422B"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062847B6"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5253CDA9"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600</w:t>
            </w:r>
          </w:p>
        </w:tc>
      </w:tr>
      <w:tr w:rsidR="007D6A0A" w:rsidRPr="00866299" w14:paraId="3826CB5E" w14:textId="77777777" w:rsidTr="002B0F94">
        <w:trPr>
          <w:cantSplit/>
        </w:trPr>
        <w:tc>
          <w:tcPr>
            <w:tcW w:w="3652" w:type="dxa"/>
            <w:tcBorders>
              <w:top w:val="single" w:sz="4" w:space="0" w:color="auto"/>
              <w:bottom w:val="single" w:sz="4" w:space="0" w:color="auto"/>
            </w:tcBorders>
          </w:tcPr>
          <w:p w14:paraId="166E2CFE" w14:textId="77777777" w:rsidR="007D6A0A" w:rsidRPr="00866299" w:rsidRDefault="007D6A0A" w:rsidP="007D18CC">
            <w:pPr>
              <w:ind w:left="284" w:hanging="284"/>
              <w:rPr>
                <w:rFonts w:ascii="Calibri" w:hAnsi="Calibri"/>
                <w:sz w:val="22"/>
                <w:lang w:eastAsia="en-US"/>
              </w:rPr>
            </w:pPr>
            <w:r w:rsidRPr="00866299">
              <w:rPr>
                <w:rFonts w:ascii="Calibri" w:hAnsi="Calibri"/>
                <w:sz w:val="22"/>
                <w:lang w:eastAsia="en-US"/>
              </w:rPr>
              <w:t>Depreciation</w:t>
            </w:r>
          </w:p>
        </w:tc>
        <w:tc>
          <w:tcPr>
            <w:tcW w:w="1179" w:type="dxa"/>
            <w:tcBorders>
              <w:top w:val="single" w:sz="4" w:space="0" w:color="auto"/>
              <w:bottom w:val="single" w:sz="4" w:space="0" w:color="auto"/>
            </w:tcBorders>
          </w:tcPr>
          <w:p w14:paraId="1BC0BB42"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w:t>
            </w:r>
          </w:p>
        </w:tc>
        <w:tc>
          <w:tcPr>
            <w:tcW w:w="1041" w:type="dxa"/>
            <w:tcBorders>
              <w:top w:val="single" w:sz="4" w:space="0" w:color="auto"/>
              <w:bottom w:val="single" w:sz="4" w:space="0" w:color="auto"/>
            </w:tcBorders>
          </w:tcPr>
          <w:p w14:paraId="4BDC822E"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100</w:t>
            </w:r>
          </w:p>
        </w:tc>
        <w:tc>
          <w:tcPr>
            <w:tcW w:w="1029" w:type="dxa"/>
            <w:tcBorders>
              <w:top w:val="single" w:sz="4" w:space="0" w:color="auto"/>
              <w:bottom w:val="single" w:sz="4" w:space="0" w:color="auto"/>
            </w:tcBorders>
          </w:tcPr>
          <w:p w14:paraId="657B092F"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100</w:t>
            </w:r>
          </w:p>
        </w:tc>
        <w:tc>
          <w:tcPr>
            <w:tcW w:w="1029" w:type="dxa"/>
            <w:tcBorders>
              <w:top w:val="single" w:sz="4" w:space="0" w:color="auto"/>
              <w:bottom w:val="single" w:sz="4" w:space="0" w:color="auto"/>
            </w:tcBorders>
          </w:tcPr>
          <w:p w14:paraId="3C1C2E2F"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100</w:t>
            </w:r>
          </w:p>
        </w:tc>
        <w:tc>
          <w:tcPr>
            <w:tcW w:w="1029" w:type="dxa"/>
            <w:tcBorders>
              <w:top w:val="single" w:sz="4" w:space="0" w:color="auto"/>
              <w:bottom w:val="single" w:sz="4" w:space="0" w:color="auto"/>
            </w:tcBorders>
          </w:tcPr>
          <w:p w14:paraId="2024A04F"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300</w:t>
            </w:r>
          </w:p>
        </w:tc>
      </w:tr>
    </w:tbl>
    <w:p w14:paraId="4354B8BA" w14:textId="77777777" w:rsidR="007D6A0A" w:rsidRPr="00666842" w:rsidRDefault="007D6A0A" w:rsidP="000D6166">
      <w:pPr>
        <w:pStyle w:val="snapInitbody"/>
      </w:pPr>
      <w:r w:rsidRPr="00666842">
        <w:t xml:space="preserve">The Government will support continued modernisation of the </w:t>
      </w:r>
      <w:proofErr w:type="spellStart"/>
      <w:r w:rsidRPr="00666842">
        <w:t>eDevelopment</w:t>
      </w:r>
      <w:proofErr w:type="spellEnd"/>
      <w:r w:rsidRPr="00666842">
        <w:t xml:space="preserve"> platform which supports the timely and efficient processing of development applications.</w:t>
      </w:r>
    </w:p>
    <w:p w14:paraId="243FA0C6" w14:textId="6E4C21DB" w:rsidR="007D6A0A" w:rsidRPr="00202E81" w:rsidRDefault="007D6A0A" w:rsidP="00B6149F">
      <w:pPr>
        <w:pStyle w:val="snapInittitles"/>
        <w:spacing w:before="120"/>
        <w:rPr>
          <w:snapToGrid w:val="0"/>
        </w:rPr>
      </w:pPr>
      <w:r w:rsidRPr="00202E81">
        <w:rPr>
          <w:snapToGrid w:val="0"/>
        </w:rPr>
        <w:t>Expense initiatives with associated capital</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7D6A0A" w:rsidRPr="00866299" w14:paraId="0FC14531" w14:textId="77777777" w:rsidTr="006D713F">
        <w:trPr>
          <w:cantSplit/>
        </w:trPr>
        <w:tc>
          <w:tcPr>
            <w:tcW w:w="3652" w:type="dxa"/>
            <w:tcBorders>
              <w:top w:val="single" w:sz="4" w:space="0" w:color="auto"/>
              <w:bottom w:val="single" w:sz="4" w:space="0" w:color="auto"/>
            </w:tcBorders>
          </w:tcPr>
          <w:p w14:paraId="3807804E" w14:textId="77777777" w:rsidR="007D6A0A" w:rsidRPr="00866299" w:rsidRDefault="007D6A0A" w:rsidP="007D18CC">
            <w:pPr>
              <w:jc w:val="right"/>
              <w:rPr>
                <w:rFonts w:ascii="Cambria" w:hAnsi="Cambria" w:cs="Calibri"/>
                <w:i/>
                <w:iCs/>
                <w:color w:val="404040"/>
                <w:sz w:val="22"/>
                <w:lang w:eastAsia="en-US"/>
              </w:rPr>
            </w:pPr>
            <w:r w:rsidRPr="00866299">
              <w:rPr>
                <w:rFonts w:ascii="Calibri" w:hAnsi="Calibri" w:cs="Calibri"/>
                <w:color w:val="FFFFFF"/>
                <w:sz w:val="22"/>
                <w:lang w:eastAsia="en-US"/>
              </w:rPr>
              <w:t xml:space="preserve"> </w:t>
            </w:r>
          </w:p>
        </w:tc>
        <w:tc>
          <w:tcPr>
            <w:tcW w:w="1179" w:type="dxa"/>
            <w:tcBorders>
              <w:top w:val="single" w:sz="4" w:space="0" w:color="auto"/>
              <w:bottom w:val="single" w:sz="4" w:space="0" w:color="auto"/>
            </w:tcBorders>
          </w:tcPr>
          <w:p w14:paraId="12D208E7"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2019-20</w:t>
            </w:r>
          </w:p>
          <w:p w14:paraId="1EAC5438"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5427BB10"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2020-21</w:t>
            </w:r>
          </w:p>
          <w:p w14:paraId="13404309"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3586B2A"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2021-22</w:t>
            </w:r>
          </w:p>
          <w:p w14:paraId="1213FB42"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39AD404"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2022-23</w:t>
            </w:r>
          </w:p>
          <w:p w14:paraId="05C46A69"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5B32E029"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Total</w:t>
            </w:r>
          </w:p>
          <w:p w14:paraId="49CE7091"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$’000</w:t>
            </w:r>
          </w:p>
        </w:tc>
      </w:tr>
      <w:tr w:rsidR="007D6A0A" w:rsidRPr="00866299" w14:paraId="55C8ECBF" w14:textId="77777777" w:rsidTr="006D713F">
        <w:trPr>
          <w:cantSplit/>
        </w:trPr>
        <w:tc>
          <w:tcPr>
            <w:tcW w:w="3652" w:type="dxa"/>
            <w:tcBorders>
              <w:top w:val="single" w:sz="4" w:space="0" w:color="auto"/>
              <w:bottom w:val="single" w:sz="4" w:space="0" w:color="auto"/>
            </w:tcBorders>
          </w:tcPr>
          <w:p w14:paraId="04882C77" w14:textId="77777777" w:rsidR="007D6A0A" w:rsidRPr="00866299" w:rsidRDefault="007D6A0A" w:rsidP="007D18CC">
            <w:pPr>
              <w:ind w:left="284" w:hanging="284"/>
              <w:rPr>
                <w:rFonts w:ascii="Calibri" w:hAnsi="Calibri"/>
                <w:sz w:val="22"/>
                <w:lang w:eastAsia="en-US"/>
              </w:rPr>
            </w:pPr>
            <w:r w:rsidRPr="00866299">
              <w:rPr>
                <w:rFonts w:ascii="Calibri" w:hAnsi="Calibri"/>
                <w:sz w:val="22"/>
                <w:lang w:eastAsia="en-US"/>
              </w:rPr>
              <w:t>Remediating the former Molonglo sewerage treatment facility</w:t>
            </w:r>
          </w:p>
        </w:tc>
        <w:tc>
          <w:tcPr>
            <w:tcW w:w="1179" w:type="dxa"/>
            <w:tcBorders>
              <w:top w:val="single" w:sz="4" w:space="0" w:color="auto"/>
              <w:bottom w:val="single" w:sz="4" w:space="0" w:color="auto"/>
            </w:tcBorders>
          </w:tcPr>
          <w:p w14:paraId="771E8587"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w:t>
            </w:r>
          </w:p>
        </w:tc>
        <w:tc>
          <w:tcPr>
            <w:tcW w:w="1041" w:type="dxa"/>
            <w:tcBorders>
              <w:top w:val="single" w:sz="4" w:space="0" w:color="auto"/>
              <w:bottom w:val="single" w:sz="4" w:space="0" w:color="auto"/>
            </w:tcBorders>
          </w:tcPr>
          <w:p w14:paraId="68F58400"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2DD5ECDC"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1,498</w:t>
            </w:r>
          </w:p>
        </w:tc>
        <w:tc>
          <w:tcPr>
            <w:tcW w:w="1029" w:type="dxa"/>
            <w:tcBorders>
              <w:top w:val="single" w:sz="4" w:space="0" w:color="auto"/>
              <w:bottom w:val="single" w:sz="4" w:space="0" w:color="auto"/>
            </w:tcBorders>
          </w:tcPr>
          <w:p w14:paraId="02EC8D3E"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1,115</w:t>
            </w:r>
          </w:p>
        </w:tc>
        <w:tc>
          <w:tcPr>
            <w:tcW w:w="1029" w:type="dxa"/>
            <w:tcBorders>
              <w:top w:val="single" w:sz="4" w:space="0" w:color="auto"/>
              <w:bottom w:val="single" w:sz="4" w:space="0" w:color="auto"/>
            </w:tcBorders>
          </w:tcPr>
          <w:p w14:paraId="47F3246B"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2,613</w:t>
            </w:r>
          </w:p>
        </w:tc>
      </w:tr>
    </w:tbl>
    <w:p w14:paraId="182F3DFF" w14:textId="77777777" w:rsidR="007D6A0A" w:rsidRPr="00666842" w:rsidRDefault="007D6A0A" w:rsidP="006D713F">
      <w:pPr>
        <w:pStyle w:val="snapInitbody"/>
      </w:pPr>
      <w:r w:rsidRPr="00666842">
        <w:t>Refer to Expense initiatives (Chapter 3.2) for more information.</w:t>
      </w:r>
    </w:p>
    <w:p w14:paraId="676A149C" w14:textId="63AB4C84" w:rsidR="007D6A0A" w:rsidRPr="007A3A72" w:rsidRDefault="007D6A0A" w:rsidP="00B6149F">
      <w:pPr>
        <w:pStyle w:val="Heading3"/>
        <w:spacing w:after="120"/>
      </w:pPr>
      <w:r w:rsidRPr="007A3A72">
        <w:t xml:space="preserve">Revenue </w:t>
      </w:r>
      <w:r w:rsidR="00B2594F">
        <w:t>I</w:t>
      </w:r>
      <w:r w:rsidRPr="007A3A72">
        <w:t>nitiatives</w:t>
      </w:r>
    </w:p>
    <w:p w14:paraId="6BA58E9E" w14:textId="77777777" w:rsidR="007D6A0A" w:rsidRPr="00202E81" w:rsidRDefault="007D6A0A" w:rsidP="00B6149F">
      <w:pPr>
        <w:pStyle w:val="snapInittitles"/>
        <w:spacing w:before="120"/>
      </w:pPr>
      <w:r w:rsidRPr="00202E81">
        <w:t>Revenue associated with expense initiatives</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7D6A0A" w:rsidRPr="00866299" w14:paraId="6D3B93DA" w14:textId="77777777" w:rsidTr="006D713F">
        <w:trPr>
          <w:cantSplit/>
        </w:trPr>
        <w:tc>
          <w:tcPr>
            <w:tcW w:w="3652" w:type="dxa"/>
            <w:tcBorders>
              <w:top w:val="single" w:sz="4" w:space="0" w:color="auto"/>
              <w:bottom w:val="single" w:sz="4" w:space="0" w:color="auto"/>
            </w:tcBorders>
          </w:tcPr>
          <w:p w14:paraId="495D3D75" w14:textId="77777777" w:rsidR="007D6A0A" w:rsidRPr="00866299" w:rsidRDefault="007D6A0A" w:rsidP="007D18CC">
            <w:pPr>
              <w:jc w:val="right"/>
              <w:rPr>
                <w:rFonts w:ascii="Cambria" w:hAnsi="Cambria" w:cs="Calibri"/>
                <w:i/>
                <w:iCs/>
                <w:color w:val="404040"/>
                <w:sz w:val="22"/>
                <w:lang w:eastAsia="en-US"/>
              </w:rPr>
            </w:pPr>
            <w:r w:rsidRPr="00866299">
              <w:rPr>
                <w:rFonts w:ascii="Calibri" w:hAnsi="Calibri" w:cs="Calibri"/>
                <w:color w:val="FFFFFF"/>
                <w:sz w:val="22"/>
                <w:lang w:eastAsia="en-US"/>
              </w:rPr>
              <w:t xml:space="preserve"> </w:t>
            </w:r>
          </w:p>
        </w:tc>
        <w:tc>
          <w:tcPr>
            <w:tcW w:w="1179" w:type="dxa"/>
            <w:tcBorders>
              <w:top w:val="single" w:sz="4" w:space="0" w:color="auto"/>
              <w:bottom w:val="single" w:sz="4" w:space="0" w:color="auto"/>
            </w:tcBorders>
          </w:tcPr>
          <w:p w14:paraId="190B874D"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2019-20</w:t>
            </w:r>
          </w:p>
          <w:p w14:paraId="6A52479F"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719296DE"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2020-21</w:t>
            </w:r>
          </w:p>
          <w:p w14:paraId="1FB2C95F"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8E40BC4"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2021-22</w:t>
            </w:r>
          </w:p>
          <w:p w14:paraId="4FA43844"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A0F6F47"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2022-23</w:t>
            </w:r>
          </w:p>
          <w:p w14:paraId="6D2CEA2E"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F20DC6C"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Total</w:t>
            </w:r>
          </w:p>
          <w:p w14:paraId="5AB502DC"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$’000</w:t>
            </w:r>
          </w:p>
        </w:tc>
      </w:tr>
      <w:tr w:rsidR="007D6A0A" w:rsidRPr="00866299" w14:paraId="07DD4AEA" w14:textId="77777777" w:rsidTr="00B2594F">
        <w:trPr>
          <w:cantSplit/>
        </w:trPr>
        <w:tc>
          <w:tcPr>
            <w:tcW w:w="3652" w:type="dxa"/>
            <w:tcBorders>
              <w:top w:val="single" w:sz="4" w:space="0" w:color="auto"/>
            </w:tcBorders>
          </w:tcPr>
          <w:p w14:paraId="21A3FB8C" w14:textId="77777777" w:rsidR="007D6A0A" w:rsidRPr="00866299" w:rsidRDefault="007D6A0A" w:rsidP="007D18CC">
            <w:pPr>
              <w:ind w:left="284" w:hanging="284"/>
              <w:rPr>
                <w:rFonts w:ascii="Calibri" w:hAnsi="Calibri"/>
                <w:sz w:val="22"/>
                <w:lang w:eastAsia="en-US"/>
              </w:rPr>
            </w:pPr>
            <w:r w:rsidRPr="00866299">
              <w:rPr>
                <w:rFonts w:ascii="Calibri" w:hAnsi="Calibri"/>
                <w:sz w:val="22"/>
                <w:lang w:eastAsia="en-US"/>
              </w:rPr>
              <w:t>Faster processing for development applications</w:t>
            </w:r>
          </w:p>
        </w:tc>
        <w:tc>
          <w:tcPr>
            <w:tcW w:w="1179" w:type="dxa"/>
            <w:tcBorders>
              <w:top w:val="single" w:sz="4" w:space="0" w:color="auto"/>
            </w:tcBorders>
          </w:tcPr>
          <w:p w14:paraId="2AF5EC53"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923</w:t>
            </w:r>
          </w:p>
        </w:tc>
        <w:tc>
          <w:tcPr>
            <w:tcW w:w="1041" w:type="dxa"/>
            <w:tcBorders>
              <w:top w:val="single" w:sz="4" w:space="0" w:color="auto"/>
            </w:tcBorders>
          </w:tcPr>
          <w:p w14:paraId="3777E40D"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960</w:t>
            </w:r>
          </w:p>
        </w:tc>
        <w:tc>
          <w:tcPr>
            <w:tcW w:w="1029" w:type="dxa"/>
            <w:tcBorders>
              <w:top w:val="single" w:sz="4" w:space="0" w:color="auto"/>
            </w:tcBorders>
          </w:tcPr>
          <w:p w14:paraId="0D748D89"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998</w:t>
            </w:r>
          </w:p>
        </w:tc>
        <w:tc>
          <w:tcPr>
            <w:tcW w:w="1029" w:type="dxa"/>
            <w:tcBorders>
              <w:top w:val="single" w:sz="4" w:space="0" w:color="auto"/>
            </w:tcBorders>
          </w:tcPr>
          <w:p w14:paraId="4B6666D5"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1,038</w:t>
            </w:r>
          </w:p>
        </w:tc>
        <w:tc>
          <w:tcPr>
            <w:tcW w:w="1029" w:type="dxa"/>
            <w:tcBorders>
              <w:top w:val="single" w:sz="4" w:space="0" w:color="auto"/>
            </w:tcBorders>
          </w:tcPr>
          <w:p w14:paraId="3283DDB6"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3,919</w:t>
            </w:r>
          </w:p>
        </w:tc>
      </w:tr>
      <w:tr w:rsidR="007D6A0A" w:rsidRPr="00866299" w14:paraId="766F8656" w14:textId="77777777" w:rsidTr="00B2594F">
        <w:trPr>
          <w:cantSplit/>
        </w:trPr>
        <w:tc>
          <w:tcPr>
            <w:tcW w:w="3652" w:type="dxa"/>
            <w:tcBorders>
              <w:bottom w:val="single" w:sz="4" w:space="0" w:color="auto"/>
            </w:tcBorders>
          </w:tcPr>
          <w:p w14:paraId="4F8FA489" w14:textId="77777777" w:rsidR="007D6A0A" w:rsidRPr="00866299" w:rsidRDefault="007D6A0A" w:rsidP="007D18CC">
            <w:pPr>
              <w:ind w:left="284" w:hanging="284"/>
              <w:rPr>
                <w:rFonts w:ascii="Calibri" w:hAnsi="Calibri"/>
                <w:sz w:val="22"/>
                <w:lang w:eastAsia="en-US"/>
              </w:rPr>
            </w:pPr>
            <w:r w:rsidRPr="00866299">
              <w:rPr>
                <w:rFonts w:ascii="Calibri" w:hAnsi="Calibri"/>
                <w:sz w:val="22"/>
                <w:lang w:eastAsia="en-US"/>
              </w:rPr>
              <w:t xml:space="preserve">Faster processing for heritage applications </w:t>
            </w:r>
          </w:p>
        </w:tc>
        <w:tc>
          <w:tcPr>
            <w:tcW w:w="1179" w:type="dxa"/>
            <w:tcBorders>
              <w:bottom w:val="single" w:sz="4" w:space="0" w:color="auto"/>
            </w:tcBorders>
          </w:tcPr>
          <w:p w14:paraId="54A7F815"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138</w:t>
            </w:r>
          </w:p>
        </w:tc>
        <w:tc>
          <w:tcPr>
            <w:tcW w:w="1041" w:type="dxa"/>
            <w:tcBorders>
              <w:bottom w:val="single" w:sz="4" w:space="0" w:color="auto"/>
            </w:tcBorders>
          </w:tcPr>
          <w:p w14:paraId="4AE50F13"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138</w:t>
            </w:r>
          </w:p>
        </w:tc>
        <w:tc>
          <w:tcPr>
            <w:tcW w:w="1029" w:type="dxa"/>
            <w:tcBorders>
              <w:bottom w:val="single" w:sz="4" w:space="0" w:color="auto"/>
            </w:tcBorders>
          </w:tcPr>
          <w:p w14:paraId="508036C0"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138</w:t>
            </w:r>
          </w:p>
        </w:tc>
        <w:tc>
          <w:tcPr>
            <w:tcW w:w="1029" w:type="dxa"/>
            <w:tcBorders>
              <w:bottom w:val="single" w:sz="4" w:space="0" w:color="auto"/>
            </w:tcBorders>
          </w:tcPr>
          <w:p w14:paraId="61C13E56" w14:textId="77777777" w:rsidR="007D6A0A" w:rsidRPr="00866299" w:rsidRDefault="007D6A0A" w:rsidP="007D18CC">
            <w:pPr>
              <w:ind w:left="284" w:hanging="284"/>
              <w:jc w:val="right"/>
              <w:rPr>
                <w:rFonts w:ascii="Calibri" w:hAnsi="Calibri"/>
                <w:sz w:val="22"/>
                <w:lang w:eastAsia="en-US"/>
              </w:rPr>
            </w:pPr>
            <w:r w:rsidRPr="00866299">
              <w:rPr>
                <w:rFonts w:ascii="Calibri" w:hAnsi="Calibri"/>
                <w:sz w:val="22"/>
                <w:lang w:eastAsia="en-US"/>
              </w:rPr>
              <w:t>138</w:t>
            </w:r>
          </w:p>
        </w:tc>
        <w:tc>
          <w:tcPr>
            <w:tcW w:w="1029" w:type="dxa"/>
            <w:tcBorders>
              <w:bottom w:val="single" w:sz="4" w:space="0" w:color="auto"/>
            </w:tcBorders>
          </w:tcPr>
          <w:p w14:paraId="4D815A3C" w14:textId="77777777" w:rsidR="007D6A0A" w:rsidRPr="00866299" w:rsidRDefault="007D6A0A" w:rsidP="007D18CC">
            <w:pPr>
              <w:ind w:left="284" w:hanging="284"/>
              <w:jc w:val="right"/>
              <w:rPr>
                <w:rFonts w:ascii="Calibri" w:hAnsi="Calibri"/>
                <w:b/>
                <w:sz w:val="22"/>
                <w:lang w:eastAsia="en-US"/>
              </w:rPr>
            </w:pPr>
            <w:r w:rsidRPr="00866299">
              <w:rPr>
                <w:rFonts w:ascii="Calibri" w:hAnsi="Calibri"/>
                <w:b/>
                <w:sz w:val="22"/>
                <w:lang w:eastAsia="en-US"/>
              </w:rPr>
              <w:t>552</w:t>
            </w:r>
          </w:p>
        </w:tc>
      </w:tr>
    </w:tbl>
    <w:p w14:paraId="2F818994" w14:textId="77777777" w:rsidR="007D6A0A" w:rsidRPr="00743BF0" w:rsidRDefault="007D6A0A" w:rsidP="006D713F">
      <w:pPr>
        <w:pStyle w:val="snapInitbody"/>
      </w:pPr>
      <w:r w:rsidRPr="00743BF0">
        <w:t>Refer to Expense initiatives (Chapter 3.2) for more information.</w:t>
      </w:r>
    </w:p>
    <w:p w14:paraId="5AC29832" w14:textId="1CA061B9" w:rsidR="00A0717B" w:rsidRDefault="00A0717B" w:rsidP="00A0717B">
      <w:pPr>
        <w:pStyle w:val="Heading1-Pagebreakbefore"/>
      </w:pPr>
      <w:bookmarkStart w:id="14" w:name="_Toc10657545"/>
      <w:r w:rsidRPr="00705404">
        <w:t>Health</w:t>
      </w:r>
      <w:r w:rsidR="008318DE">
        <w:t xml:space="preserve"> </w:t>
      </w:r>
      <w:r w:rsidR="00410A67">
        <w:t>Portfolio</w:t>
      </w:r>
      <w:bookmarkEnd w:id="14"/>
    </w:p>
    <w:p w14:paraId="77B203F0" w14:textId="77777777" w:rsidR="000757EE" w:rsidRPr="003F5788" w:rsidRDefault="000757EE" w:rsidP="006D713F">
      <w:pPr>
        <w:pStyle w:val="Heading2"/>
        <w:rPr>
          <w:b w:val="0"/>
        </w:rPr>
      </w:pPr>
      <w:r w:rsidRPr="003F5788">
        <w:t xml:space="preserve">Overview </w:t>
      </w:r>
    </w:p>
    <w:p w14:paraId="034E0A59" w14:textId="5D31E85E" w:rsidR="003F5788" w:rsidRPr="003F5788" w:rsidRDefault="003F5788" w:rsidP="006D713F">
      <w:pPr>
        <w:pStyle w:val="Body"/>
      </w:pPr>
      <w:r w:rsidRPr="003F5788">
        <w:t xml:space="preserve">We have reviewed shared asks in the </w:t>
      </w:r>
      <w:r w:rsidRPr="003F5788">
        <w:rPr>
          <w:i/>
          <w:iCs/>
        </w:rPr>
        <w:t>Community Shared Statement</w:t>
      </w:r>
      <w:r w:rsidRPr="003F5788">
        <w:t xml:space="preserve"> which relate to the </w:t>
      </w:r>
      <w:r w:rsidR="00AB5294">
        <w:t>h</w:t>
      </w:r>
      <w:r w:rsidRPr="003F5788">
        <w:t xml:space="preserve">ealth </w:t>
      </w:r>
      <w:r w:rsidR="00AB5294">
        <w:t>p</w:t>
      </w:r>
      <w:r w:rsidR="00410A67">
        <w:t>ortfolio</w:t>
      </w:r>
      <w:r w:rsidRPr="003F5788">
        <w:t xml:space="preserve">. These asks were endorsed by 19 community organisations as priority areas for action during the 2016-20 term of the ACT Government: </w:t>
      </w:r>
    </w:p>
    <w:p w14:paraId="63EFAB0E" w14:textId="7910F17B" w:rsidR="003F5788" w:rsidRPr="003F5788" w:rsidRDefault="003F5788" w:rsidP="008F5C02">
      <w:pPr>
        <w:pStyle w:val="ListBullet"/>
      </w:pPr>
      <w:r w:rsidRPr="003F5788">
        <w:t>Increase access to services, especially mental health, sexual and reproductive health, drug and alcohol, chronic disease, and aged care services</w:t>
      </w:r>
    </w:p>
    <w:p w14:paraId="7C82372A" w14:textId="7E420F8E" w:rsidR="003F5788" w:rsidRPr="003F5788" w:rsidRDefault="003F5788" w:rsidP="008F5C02">
      <w:pPr>
        <w:pStyle w:val="ListBullet"/>
      </w:pPr>
      <w:r w:rsidRPr="003F5788">
        <w:t>Promote and amplify consumer control in service design and delivery and amplify the broader consumer advocacy voice</w:t>
      </w:r>
    </w:p>
    <w:p w14:paraId="2A8B3980" w14:textId="637506DD" w:rsidR="003F5788" w:rsidRPr="003F5788" w:rsidRDefault="003F5788" w:rsidP="008F5C02">
      <w:pPr>
        <w:pStyle w:val="ListBullet"/>
      </w:pPr>
      <w:r w:rsidRPr="003F5788">
        <w:t>Expand access to services for people with the poorest health status and outcomes by providing health services in diverse stings, increasing the cultural appropriateness, cultural competence, and quality of services.</w:t>
      </w:r>
    </w:p>
    <w:p w14:paraId="3A29A510" w14:textId="65257D22" w:rsidR="003F5788" w:rsidRPr="003F5788" w:rsidRDefault="003F5788" w:rsidP="008F5C02">
      <w:pPr>
        <w:pStyle w:val="Body"/>
      </w:pPr>
      <w:r w:rsidRPr="003F5788">
        <w:t>In December 2018</w:t>
      </w:r>
      <w:r w:rsidR="00AB5294">
        <w:t>,</w:t>
      </w:r>
      <w:r w:rsidRPr="003F5788">
        <w:t xml:space="preserve"> the Chief Minister delivered a headline address that outlined the agenda for the second half of this term of </w:t>
      </w:r>
      <w:r w:rsidR="00142C7E">
        <w:t>g</w:t>
      </w:r>
      <w:r w:rsidRPr="003F5788">
        <w:t>overnment founded on the themes of making Canberra an inclusive, progressive and connected place to live. Improved accessibility, affordability and quality of health services were key priorities for action. Priorities for investment outlined by the Chief Minister that are relevant in this portfolio include:</w:t>
      </w:r>
    </w:p>
    <w:p w14:paraId="6AAE2E2D" w14:textId="77777777" w:rsidR="003F5788" w:rsidRPr="003F5788" w:rsidRDefault="003F5788" w:rsidP="008F5C02">
      <w:pPr>
        <w:pStyle w:val="ListBullet"/>
      </w:pPr>
      <w:r w:rsidRPr="003F5788">
        <w:t>Hiring more doctors and nurses to cut Emergency Department and elective surgery wait times</w:t>
      </w:r>
    </w:p>
    <w:p w14:paraId="372E6C9C" w14:textId="2D6643A2" w:rsidR="003F5788" w:rsidRPr="003F5788" w:rsidRDefault="003F5788" w:rsidP="008F5C02">
      <w:pPr>
        <w:pStyle w:val="ListBullet"/>
      </w:pPr>
      <w:r w:rsidRPr="003F5788">
        <w:t xml:space="preserve">Delivering new </w:t>
      </w:r>
      <w:r w:rsidR="00142C7E">
        <w:t>w</w:t>
      </w:r>
      <w:r w:rsidRPr="003F5788">
        <w:t xml:space="preserve">alk-in </w:t>
      </w:r>
      <w:r w:rsidR="00142C7E">
        <w:t>c</w:t>
      </w:r>
      <w:r w:rsidRPr="003F5788">
        <w:t>entres in Gunga</w:t>
      </w:r>
      <w:r w:rsidR="00C3515F">
        <w:t>h</w:t>
      </w:r>
      <w:r w:rsidRPr="003F5788">
        <w:t>lin, Weston Creek and the Inner North</w:t>
      </w:r>
    </w:p>
    <w:p w14:paraId="0B09649B" w14:textId="1C0034A8" w:rsidR="003F5788" w:rsidRPr="003F5788" w:rsidRDefault="003F5788" w:rsidP="008F5C02">
      <w:pPr>
        <w:pStyle w:val="ListBullet"/>
      </w:pPr>
      <w:r w:rsidRPr="003F5788">
        <w:t xml:space="preserve">Supporting more local </w:t>
      </w:r>
      <w:r w:rsidR="00142C7E" w:rsidRPr="003F5788">
        <w:t xml:space="preserve">general practitioners </w:t>
      </w:r>
      <w:r w:rsidRPr="003F5788">
        <w:t>to bulk-bill</w:t>
      </w:r>
    </w:p>
    <w:p w14:paraId="0265502D" w14:textId="05D4E609" w:rsidR="003F5788" w:rsidRPr="003F5788" w:rsidRDefault="003F5788" w:rsidP="008F5C02">
      <w:pPr>
        <w:pStyle w:val="ListBullet"/>
      </w:pPr>
      <w:r w:rsidRPr="003F5788">
        <w:t>Recognising and responding to the needs of people struggling with their mental health – new mental health beds and supported accommodation, and targeted support services for young people, new parents, and older Canberrans.</w:t>
      </w:r>
    </w:p>
    <w:p w14:paraId="03C174DD" w14:textId="4EF0D344" w:rsidR="003F5788" w:rsidRPr="003F5788" w:rsidRDefault="003F5788" w:rsidP="008F5C02">
      <w:pPr>
        <w:pStyle w:val="Body"/>
      </w:pPr>
      <w:r w:rsidRPr="003F5788">
        <w:t>In ACTCOSS' submission to the 2019-20 ACT Budget, we identified priorities for investment to support the emerging health reform agenda and to ensure adequate investment to address the clinical and non-clinical factors (such as the social determinants of health) that impact on health status and influence access to and effectiveness of publicly funded health services.</w:t>
      </w:r>
      <w:r w:rsidR="000F30E1">
        <w:t xml:space="preserve"> </w:t>
      </w:r>
    </w:p>
    <w:p w14:paraId="2FAD03B4" w14:textId="546ECB51" w:rsidR="003F5788" w:rsidRPr="003F5788" w:rsidRDefault="003F5788" w:rsidP="008F5C02">
      <w:pPr>
        <w:pStyle w:val="Body"/>
      </w:pPr>
      <w:r w:rsidRPr="003F5788">
        <w:t>A cornerstone</w:t>
      </w:r>
      <w:r w:rsidR="00AC67D4">
        <w:t xml:space="preserve"> of these</w:t>
      </w:r>
      <w:r w:rsidR="005B1B9F">
        <w:t xml:space="preserve"> investment priorities</w:t>
      </w:r>
      <w:r w:rsidR="00AC67D4">
        <w:t xml:space="preserve"> </w:t>
      </w:r>
      <w:r w:rsidR="00D344BD">
        <w:t>is</w:t>
      </w:r>
      <w:r w:rsidRPr="003F5788">
        <w:t xml:space="preserve"> long-term funding certainty for organisations delivering services contracted by ACT Health, and investment in responding to the recommendations in the ACT Health workplace culture inquiry.</w:t>
      </w:r>
      <w:r w:rsidR="000F30E1">
        <w:t xml:space="preserve"> </w:t>
      </w:r>
      <w:r w:rsidRPr="003F5788">
        <w:t>This further included a focus on preventative health interventions, and patient-centred models of care such as trauma</w:t>
      </w:r>
      <w:r w:rsidR="005B1B9F">
        <w:t>-</w:t>
      </w:r>
      <w:r w:rsidRPr="003F5788">
        <w:t>informed practice and relevant workforce development training for government and non-government workers.</w:t>
      </w:r>
      <w:r w:rsidR="000F30E1">
        <w:t xml:space="preserve"> </w:t>
      </w:r>
    </w:p>
    <w:p w14:paraId="1B73CA74" w14:textId="222A0099" w:rsidR="003F5788" w:rsidRPr="003F5788" w:rsidRDefault="003F5788" w:rsidP="008F5C02">
      <w:pPr>
        <w:pStyle w:val="Body"/>
      </w:pPr>
      <w:r w:rsidRPr="003F5788">
        <w:t xml:space="preserve">Also emphasised was investment in the affordability and publicly available reproductive and sexual health services through to meeting specific palliative care needs in the </w:t>
      </w:r>
      <w:r w:rsidR="00D33285">
        <w:t>T</w:t>
      </w:r>
      <w:r w:rsidRPr="003F5788">
        <w:t>erritory.</w:t>
      </w:r>
      <w:r w:rsidR="000F30E1">
        <w:t xml:space="preserve"> </w:t>
      </w:r>
      <w:r w:rsidRPr="003F5788">
        <w:t xml:space="preserve">A need for increased investment in </w:t>
      </w:r>
      <w:r w:rsidR="00D33285">
        <w:t>alcohol and other drug (</w:t>
      </w:r>
      <w:proofErr w:type="spellStart"/>
      <w:r w:rsidRPr="003F5788">
        <w:t>AOD</w:t>
      </w:r>
      <w:proofErr w:type="spellEnd"/>
      <w:r w:rsidR="00D33285">
        <w:t>)</w:t>
      </w:r>
      <w:r w:rsidRPr="003F5788">
        <w:t xml:space="preserve"> treatment, rehabilitation, and adult mental health day services is also highlighted, and investment for patients with complex chronic conditions for improved quality of support and management through a patient navigation service.</w:t>
      </w:r>
      <w:r w:rsidR="000F30E1">
        <w:t xml:space="preserve"> </w:t>
      </w:r>
    </w:p>
    <w:p w14:paraId="442A85F7" w14:textId="2FBDFCD3" w:rsidR="003F5788" w:rsidRPr="003F5788" w:rsidRDefault="003F5788" w:rsidP="008F5C02">
      <w:pPr>
        <w:pStyle w:val="Body"/>
      </w:pPr>
      <w:r w:rsidRPr="003F5788">
        <w:t xml:space="preserve">There was also a recognition for investment in responding to the non-clinical needs of people with poor social determinants of health and lower health status, and specific asks regarding increased investment in specialist </w:t>
      </w:r>
      <w:r w:rsidR="009A4151">
        <w:t>t</w:t>
      </w:r>
      <w:r w:rsidRPr="003F5788">
        <w:t xml:space="preserve">ransvaginal </w:t>
      </w:r>
      <w:r w:rsidR="009A4151">
        <w:t>m</w:t>
      </w:r>
      <w:r w:rsidRPr="003F5788">
        <w:t>esh services, the central Canberra Walk-in Centre, and a National Code of Conduct for healthcare workers.</w:t>
      </w:r>
      <w:r w:rsidR="000F30E1">
        <w:t xml:space="preserve"> </w:t>
      </w:r>
    </w:p>
    <w:p w14:paraId="2E62314E" w14:textId="2698F894" w:rsidR="003F5788" w:rsidRPr="003F5788" w:rsidRDefault="003F5788" w:rsidP="008F5C02">
      <w:pPr>
        <w:pStyle w:val="Body"/>
      </w:pPr>
      <w:r w:rsidRPr="003F5788">
        <w:t>In 2019-20</w:t>
      </w:r>
      <w:r w:rsidR="009A4151">
        <w:t>,</w:t>
      </w:r>
      <w:r w:rsidRPr="003F5788">
        <w:t xml:space="preserve"> health continues to be the largest area of expenditure in the Budget, at $1.8 billion (31%).</w:t>
      </w:r>
      <w:r w:rsidR="000F30E1">
        <w:t xml:space="preserve"> </w:t>
      </w:r>
      <w:r w:rsidRPr="003F5788">
        <w:t>This year’s new initiatives have a significant focus on infrastructure and ACT Government led health services.</w:t>
      </w:r>
      <w:r w:rsidR="000F30E1">
        <w:t xml:space="preserve"> </w:t>
      </w:r>
      <w:r w:rsidRPr="003F5788">
        <w:t xml:space="preserve">We welcome many of the investments and have provided commentary below. </w:t>
      </w:r>
    </w:p>
    <w:p w14:paraId="0F439095" w14:textId="4BA28A5B" w:rsidR="003F5788" w:rsidRPr="003F5788" w:rsidRDefault="003F5788" w:rsidP="008F5C02">
      <w:pPr>
        <w:pStyle w:val="Body"/>
      </w:pPr>
      <w:r w:rsidRPr="003F5788">
        <w:rPr>
          <w:iCs/>
        </w:rPr>
        <w:t>However, c</w:t>
      </w:r>
      <w:r w:rsidRPr="003F5788">
        <w:t xml:space="preserve">ontinuing to respond to growing demand for inpatient hospital services must be balanced with investments in preventative health services, primary care (including but not limited to </w:t>
      </w:r>
      <w:r w:rsidR="00396EE7" w:rsidRPr="003F5788">
        <w:t xml:space="preserve">general practitioner provided </w:t>
      </w:r>
      <w:r w:rsidRPr="003F5788">
        <w:t>services) and community-based health care and wellbeing services, including peer</w:t>
      </w:r>
      <w:r w:rsidR="00396EE7">
        <w:t>-</w:t>
      </w:r>
      <w:r w:rsidRPr="003F5788">
        <w:t xml:space="preserve">led services. </w:t>
      </w:r>
    </w:p>
    <w:p w14:paraId="2E0E6EE9" w14:textId="32EEF53A" w:rsidR="003F5788" w:rsidRPr="003F5788" w:rsidRDefault="003F5788" w:rsidP="008F5C02">
      <w:pPr>
        <w:pStyle w:val="Body"/>
      </w:pPr>
      <w:r w:rsidRPr="003F5788">
        <w:t>To fulfil the community sector’s vision of a fair, prosperous and sustainable Canberra for all, we call on the ACT Government to implement health initiatives that facilitate better consumer control in service design and delivery and further expand access to services for people with the poorest health status and outcomes.</w:t>
      </w:r>
    </w:p>
    <w:p w14:paraId="7AC19EC2" w14:textId="40A3EC78" w:rsidR="003F5788" w:rsidRPr="003F5788" w:rsidRDefault="003F5788" w:rsidP="008F5C02">
      <w:pPr>
        <w:pStyle w:val="Body"/>
      </w:pPr>
      <w:r w:rsidRPr="003F5788">
        <w:t xml:space="preserve">ACTCOSS welcomes the investments in hospitals to urgently address wait times and meet increasing needs due to population growth </w:t>
      </w:r>
      <w:r w:rsidR="002E0D2F" w:rsidRPr="003F5788">
        <w:t>including:</w:t>
      </w:r>
      <w:r w:rsidR="000F30E1">
        <w:t xml:space="preserve"> </w:t>
      </w:r>
    </w:p>
    <w:p w14:paraId="3206B7CA" w14:textId="75D59AF7" w:rsidR="00116FBD" w:rsidRDefault="00116FBD" w:rsidP="008F5C02">
      <w:pPr>
        <w:pStyle w:val="ListBullet"/>
        <w:rPr>
          <w:rFonts w:cs="Arial"/>
          <w:szCs w:val="24"/>
          <w:lang w:val="x-none" w:eastAsia="en-US"/>
        </w:rPr>
      </w:pPr>
      <w:r>
        <w:rPr>
          <w:lang w:eastAsia="en-US"/>
        </w:rPr>
        <w:t>$53.7 million in 2019-20 to continue to deliver the Surgical Procedures, Interventional Radiology an</w:t>
      </w:r>
      <w:r>
        <w:rPr>
          <w:rFonts w:cs="Arial"/>
          <w:szCs w:val="24"/>
          <w:lang w:eastAsia="en-US"/>
        </w:rPr>
        <w:t xml:space="preserve">d Emergency (SPIRE) Centre at </w:t>
      </w:r>
      <w:r w:rsidR="00D32770">
        <w:rPr>
          <w:rFonts w:cs="Arial"/>
          <w:szCs w:val="24"/>
          <w:lang w:eastAsia="en-US"/>
        </w:rPr>
        <w:t>The Canberra Hospital</w:t>
      </w:r>
      <w:r>
        <w:rPr>
          <w:rFonts w:cs="Arial"/>
          <w:szCs w:val="24"/>
          <w:lang w:eastAsia="en-US"/>
        </w:rPr>
        <w:t>.</w:t>
      </w:r>
      <w:r w:rsidR="000F30E1">
        <w:rPr>
          <w:rFonts w:cs="Arial"/>
          <w:szCs w:val="24"/>
          <w:lang w:eastAsia="en-US"/>
        </w:rPr>
        <w:t xml:space="preserve"> </w:t>
      </w:r>
      <w:r>
        <w:rPr>
          <w:rFonts w:cs="Arial"/>
          <w:szCs w:val="24"/>
          <w:lang w:eastAsia="en-US"/>
        </w:rPr>
        <w:t xml:space="preserve">ACTCOSS notes the future estimated construction costs of SPIRE are not published to ensure value for money in the </w:t>
      </w:r>
      <w:r w:rsidR="00D24DC9">
        <w:rPr>
          <w:rFonts w:cs="Arial"/>
          <w:szCs w:val="24"/>
          <w:lang w:eastAsia="en-US"/>
        </w:rPr>
        <w:t>g</w:t>
      </w:r>
      <w:r>
        <w:rPr>
          <w:rFonts w:cs="Arial"/>
          <w:szCs w:val="24"/>
          <w:lang w:eastAsia="en-US"/>
        </w:rPr>
        <w:t>overnment’s approach to market</w:t>
      </w:r>
    </w:p>
    <w:p w14:paraId="70F46891" w14:textId="05BA0910" w:rsidR="003F5788" w:rsidRPr="003F5788" w:rsidRDefault="003F5788" w:rsidP="008F5C02">
      <w:pPr>
        <w:pStyle w:val="ListBullet"/>
        <w:rPr>
          <w:rFonts w:cs="Arial"/>
          <w:szCs w:val="24"/>
          <w:lang w:val="x-none" w:eastAsia="en-US"/>
        </w:rPr>
      </w:pPr>
      <w:r w:rsidRPr="003F5788">
        <w:rPr>
          <w:lang w:val="x-none" w:eastAsia="en-US"/>
        </w:rPr>
        <w:t xml:space="preserve">$47.1 million over the next </w:t>
      </w:r>
      <w:r w:rsidR="00D32770">
        <w:rPr>
          <w:lang w:val="en-US" w:eastAsia="en-US"/>
        </w:rPr>
        <w:t>four year</w:t>
      </w:r>
      <w:r w:rsidRPr="003F5788">
        <w:rPr>
          <w:lang w:val="x-none" w:eastAsia="en-US"/>
        </w:rPr>
        <w:t>s to add 12 beds to</w:t>
      </w:r>
      <w:r w:rsidRPr="003F5788">
        <w:rPr>
          <w:rFonts w:cs="Arial"/>
          <w:szCs w:val="24"/>
          <w:lang w:val="x-none" w:eastAsia="en-US"/>
        </w:rPr>
        <w:t xml:space="preserve"> </w:t>
      </w:r>
      <w:r w:rsidR="00D32770">
        <w:rPr>
          <w:rFonts w:cs="Arial"/>
          <w:szCs w:val="24"/>
          <w:lang w:val="en-US" w:eastAsia="en-US"/>
        </w:rPr>
        <w:t>The Canberra Hospital</w:t>
      </w:r>
      <w:r w:rsidRPr="003F5788">
        <w:rPr>
          <w:rFonts w:cs="Arial"/>
          <w:szCs w:val="24"/>
          <w:lang w:val="x-none" w:eastAsia="en-US"/>
        </w:rPr>
        <w:t xml:space="preserve"> to meet demand for acute inpatient services in medicine, surgery, and aged care, 4 Intensive Care Unit beds, and an additional 2 Senior Staff specialists in the Emergency Department</w:t>
      </w:r>
    </w:p>
    <w:p w14:paraId="0A4E80B3" w14:textId="6377BAA5" w:rsidR="003F5788" w:rsidRDefault="003F5788" w:rsidP="008F5C02">
      <w:pPr>
        <w:pStyle w:val="ListBullet"/>
        <w:rPr>
          <w:rFonts w:cs="Arial"/>
          <w:szCs w:val="24"/>
          <w:lang w:val="x-none" w:eastAsia="en-US"/>
        </w:rPr>
      </w:pPr>
      <w:r w:rsidRPr="003F5788">
        <w:rPr>
          <w:lang w:val="x-none" w:eastAsia="en-US"/>
        </w:rPr>
        <w:t xml:space="preserve">$12.5 million over the next </w:t>
      </w:r>
      <w:r w:rsidR="00D32770">
        <w:rPr>
          <w:lang w:val="x-none" w:eastAsia="en-US"/>
        </w:rPr>
        <w:t>four year</w:t>
      </w:r>
      <w:r w:rsidRPr="003F5788">
        <w:rPr>
          <w:lang w:val="x-none" w:eastAsia="en-US"/>
        </w:rPr>
        <w:t xml:space="preserve">s to expand </w:t>
      </w:r>
      <w:r w:rsidRPr="003F5788">
        <w:rPr>
          <w:rFonts w:cs="Arial"/>
          <w:szCs w:val="24"/>
          <w:lang w:val="x-none" w:eastAsia="en-US"/>
        </w:rPr>
        <w:t>elective surgery capacity at Calvary Public Hospital providing resources to support 250 more surgeries a year being delivered here</w:t>
      </w:r>
    </w:p>
    <w:p w14:paraId="4C3BF1E5" w14:textId="509FA830" w:rsidR="00D66A3F" w:rsidRPr="00850940" w:rsidRDefault="00D66A3F" w:rsidP="008F5C02">
      <w:pPr>
        <w:pStyle w:val="ListBullet"/>
        <w:rPr>
          <w:lang w:eastAsia="en-US"/>
        </w:rPr>
      </w:pPr>
      <w:r>
        <w:rPr>
          <w:lang w:eastAsia="en-US"/>
        </w:rPr>
        <w:t>$</w:t>
      </w:r>
      <w:r w:rsidR="00D9306E">
        <w:rPr>
          <w:lang w:eastAsia="en-US"/>
        </w:rPr>
        <w:t xml:space="preserve">46.8 million over the next </w:t>
      </w:r>
      <w:r w:rsidR="00D32770">
        <w:rPr>
          <w:lang w:eastAsia="en-US"/>
        </w:rPr>
        <w:t>four year</w:t>
      </w:r>
      <w:r w:rsidR="00D9306E">
        <w:rPr>
          <w:lang w:eastAsia="en-US"/>
        </w:rPr>
        <w:t xml:space="preserve">s to expand </w:t>
      </w:r>
      <w:r w:rsidR="00F1696C">
        <w:rPr>
          <w:lang w:eastAsia="en-US"/>
        </w:rPr>
        <w:t>the Centenary Hospital for Women and Children</w:t>
      </w:r>
      <w:r w:rsidR="000378E5">
        <w:rPr>
          <w:lang w:eastAsia="en-US"/>
        </w:rPr>
        <w:t xml:space="preserve"> in more neonatology services including more special care beds and increased support for families; more post-natal beds; an expanded Maternity Assessment Unit; more family support and education services; an adolescent gynaecology service</w:t>
      </w:r>
      <w:r w:rsidR="00AF2D3D">
        <w:rPr>
          <w:lang w:eastAsia="en-US"/>
        </w:rPr>
        <w:t>;</w:t>
      </w:r>
      <w:r w:rsidR="000378E5">
        <w:rPr>
          <w:lang w:eastAsia="en-US"/>
        </w:rPr>
        <w:t xml:space="preserve"> and </w:t>
      </w:r>
      <w:r w:rsidR="00D1276D">
        <w:rPr>
          <w:lang w:eastAsia="en-US"/>
        </w:rPr>
        <w:t>a new adolescent mental health inpatient unit</w:t>
      </w:r>
      <w:r w:rsidR="000378E5">
        <w:rPr>
          <w:lang w:eastAsia="en-US"/>
        </w:rPr>
        <w:t>.</w:t>
      </w:r>
      <w:r w:rsidR="000F30E1">
        <w:rPr>
          <w:lang w:eastAsia="en-US"/>
        </w:rPr>
        <w:t xml:space="preserve"> </w:t>
      </w:r>
      <w:r w:rsidR="000378E5">
        <w:rPr>
          <w:lang w:eastAsia="en-US"/>
        </w:rPr>
        <w:t xml:space="preserve">ACTCOSS </w:t>
      </w:r>
      <w:r w:rsidR="009A5C76">
        <w:rPr>
          <w:lang w:eastAsia="en-US"/>
        </w:rPr>
        <w:t xml:space="preserve">particularly </w:t>
      </w:r>
      <w:r w:rsidR="00D90F30">
        <w:rPr>
          <w:lang w:eastAsia="en-US"/>
        </w:rPr>
        <w:t>notes</w:t>
      </w:r>
      <w:r w:rsidR="009A5C76">
        <w:rPr>
          <w:lang w:eastAsia="en-US"/>
        </w:rPr>
        <w:t xml:space="preserve"> the investment in an inpatient unit for adolescent mental health patients</w:t>
      </w:r>
      <w:r w:rsidR="005809D0">
        <w:rPr>
          <w:lang w:eastAsia="en-US"/>
        </w:rPr>
        <w:t>. W</w:t>
      </w:r>
      <w:r w:rsidR="009A5C76">
        <w:rPr>
          <w:lang w:eastAsia="en-US"/>
        </w:rPr>
        <w:t xml:space="preserve">hile </w:t>
      </w:r>
      <w:r w:rsidR="0064523B">
        <w:rPr>
          <w:lang w:eastAsia="en-US"/>
        </w:rPr>
        <w:t xml:space="preserve">better models exist to inpatient care in this space, </w:t>
      </w:r>
      <w:r w:rsidR="00D90F30">
        <w:rPr>
          <w:lang w:eastAsia="en-US"/>
        </w:rPr>
        <w:t>it is an overdue yet welcome huge step forward.</w:t>
      </w:r>
      <w:r w:rsidR="000F30E1">
        <w:rPr>
          <w:lang w:eastAsia="en-US"/>
        </w:rPr>
        <w:t xml:space="preserve"> </w:t>
      </w:r>
      <w:r w:rsidR="002D59ED">
        <w:rPr>
          <w:lang w:eastAsia="en-US"/>
        </w:rPr>
        <w:t xml:space="preserve">ACTCOSS also notes </w:t>
      </w:r>
      <w:r w:rsidR="00201AFE">
        <w:rPr>
          <w:lang w:eastAsia="en-US"/>
        </w:rPr>
        <w:t xml:space="preserve">that inpatient </w:t>
      </w:r>
      <w:r w:rsidR="00FE62AC">
        <w:rPr>
          <w:lang w:eastAsia="en-US"/>
        </w:rPr>
        <w:t xml:space="preserve">adult mental health beds with relevant </w:t>
      </w:r>
      <w:r w:rsidR="00201AFE">
        <w:rPr>
          <w:lang w:eastAsia="en-US"/>
        </w:rPr>
        <w:t>facilities that enable mothers to have their babies with them</w:t>
      </w:r>
      <w:r w:rsidR="00FE62AC">
        <w:rPr>
          <w:lang w:eastAsia="en-US"/>
        </w:rPr>
        <w:t xml:space="preserve"> is a gap in the ACT.</w:t>
      </w:r>
    </w:p>
    <w:p w14:paraId="558ED513" w14:textId="6FE8AD84" w:rsidR="003F5788" w:rsidRPr="003F5788" w:rsidRDefault="003F5788" w:rsidP="008F5C02">
      <w:pPr>
        <w:pStyle w:val="Body"/>
      </w:pPr>
      <w:r w:rsidRPr="003F5788">
        <w:t xml:space="preserve">ACTCOSS recognises the need for strong data infrastructure and data integrity that supports the planning and implementation of an integrated health system that encompasses preventative and early intervention care. To this note, we welcome $37.2 million in capital spending over the next </w:t>
      </w:r>
      <w:r w:rsidR="00D32770">
        <w:t>four year</w:t>
      </w:r>
      <w:r w:rsidRPr="003F5788">
        <w:t>s to align ACT Health core IT systems with the Digital Health Strategy, including procurement and implementation of a Digital Health Record for ACT Government</w:t>
      </w:r>
      <w:r w:rsidR="00C971A3">
        <w:t xml:space="preserve"> </w:t>
      </w:r>
      <w:r w:rsidRPr="003F5788">
        <w:t>funded public health services.</w:t>
      </w:r>
      <w:r w:rsidR="000F30E1">
        <w:t xml:space="preserve"> </w:t>
      </w:r>
      <w:r w:rsidRPr="003F5788">
        <w:t>However, ACTCOSS notes the lack of further detail regarding what this spending entails, and how this Digital Health Record might intersect with My Health Record.</w:t>
      </w:r>
    </w:p>
    <w:p w14:paraId="4E6D402E" w14:textId="0AFD79E7" w:rsidR="003F5788" w:rsidRPr="003F5788" w:rsidRDefault="003F5788" w:rsidP="008F5C02">
      <w:pPr>
        <w:pStyle w:val="Body"/>
      </w:pPr>
      <w:r w:rsidRPr="003F5788">
        <w:t xml:space="preserve">ACTCOSS welcomes investment of $1.1 million over the next </w:t>
      </w:r>
      <w:r w:rsidR="00D32770">
        <w:t>four year</w:t>
      </w:r>
      <w:r w:rsidRPr="003F5788">
        <w:t>s to implement the ACT Strategic Priorities for Aboriginal and Torres Strait Islander Health 2019-2028.</w:t>
      </w:r>
      <w:r w:rsidR="000F30E1">
        <w:t xml:space="preserve"> </w:t>
      </w:r>
      <w:r w:rsidRPr="003F5788">
        <w:t xml:space="preserve">We also welcome $300,000 in 2019-20 to co-design and plan the Aboriginal and Torres Strait Islander Alcohol and Drug Residential </w:t>
      </w:r>
      <w:r w:rsidRPr="008F5C02">
        <w:t>Rehabilitation</w:t>
      </w:r>
      <w:r w:rsidRPr="003F5788">
        <w:t xml:space="preserve"> Facility, to complement existing services including the Ngunnawal Bush Healing Farm.</w:t>
      </w:r>
      <w:r w:rsidR="000F30E1">
        <w:t xml:space="preserve"> </w:t>
      </w:r>
      <w:r w:rsidR="00917611">
        <w:t>ACTCOSS</w:t>
      </w:r>
      <w:r w:rsidR="00183D51">
        <w:t xml:space="preserve"> highlights</w:t>
      </w:r>
      <w:r w:rsidR="00882802">
        <w:t>,</w:t>
      </w:r>
      <w:r w:rsidR="00183D51">
        <w:t xml:space="preserve"> however</w:t>
      </w:r>
      <w:r w:rsidR="00882802">
        <w:t>,</w:t>
      </w:r>
      <w:r w:rsidR="00183D51">
        <w:t xml:space="preserve"> </w:t>
      </w:r>
      <w:r w:rsidR="0079679A">
        <w:t xml:space="preserve">that it is pivotal the co-design and planning </w:t>
      </w:r>
      <w:r w:rsidR="005A3322">
        <w:t xml:space="preserve">is in tandem with broader health service planning, and the process provides </w:t>
      </w:r>
      <w:r w:rsidR="009A6399">
        <w:t>Aboriginal and</w:t>
      </w:r>
      <w:r w:rsidR="00882802">
        <w:t>/or</w:t>
      </w:r>
      <w:r w:rsidR="009A6399">
        <w:t xml:space="preserve"> Torres Strait Islander community</w:t>
      </w:r>
      <w:r w:rsidR="00882802">
        <w:t>-</w:t>
      </w:r>
      <w:r w:rsidR="009A6399">
        <w:t xml:space="preserve">controlled organisations and </w:t>
      </w:r>
      <w:r w:rsidR="003A4D80">
        <w:t>other stakeholders</w:t>
      </w:r>
      <w:r w:rsidR="00D743C6">
        <w:t xml:space="preserve"> with the</w:t>
      </w:r>
      <w:r w:rsidR="0029503D">
        <w:t xml:space="preserve"> relevant</w:t>
      </w:r>
      <w:r w:rsidR="00D743C6">
        <w:t xml:space="preserve"> technical </w:t>
      </w:r>
      <w:r w:rsidR="003C5D79">
        <w:t xml:space="preserve">information and access to </w:t>
      </w:r>
      <w:r w:rsidR="003A4D80">
        <w:t>data</w:t>
      </w:r>
      <w:r w:rsidR="003C5D79">
        <w:t xml:space="preserve"> so as </w:t>
      </w:r>
      <w:r w:rsidR="00D743C6">
        <w:t xml:space="preserve">to </w:t>
      </w:r>
      <w:r w:rsidR="003A4D80">
        <w:t xml:space="preserve">engage on </w:t>
      </w:r>
      <w:r w:rsidR="003C5D79">
        <w:t xml:space="preserve">an </w:t>
      </w:r>
      <w:r w:rsidR="003A4D80">
        <w:t>equal footing with government on developing</w:t>
      </w:r>
      <w:r w:rsidR="0029503D">
        <w:t xml:space="preserve"> this initiative.</w:t>
      </w:r>
      <w:r w:rsidRPr="003F5788">
        <w:t xml:space="preserve"> ACTCOSS is deeply concerned that the long process to establish an Aboriginal and/or Torres Strait Islander community</w:t>
      </w:r>
      <w:r w:rsidR="00F45B01">
        <w:t>-</w:t>
      </w:r>
      <w:r w:rsidRPr="003F5788">
        <w:t>led residential rehabilitation facility at the Ngunnawal Bush Healing Farm has floundered and we call on the ACT Government to advance this project as a matter of urgency</w:t>
      </w:r>
      <w:r w:rsidR="00E71754">
        <w:t>, but with a timeline and resourcing that ensures authentic community control</w:t>
      </w:r>
      <w:r w:rsidRPr="003F5788">
        <w:t>.</w:t>
      </w:r>
    </w:p>
    <w:p w14:paraId="5BA5F79A" w14:textId="6B5982E3" w:rsidR="003F5788" w:rsidRPr="003F5788" w:rsidRDefault="003F5788" w:rsidP="008F5C02">
      <w:pPr>
        <w:pStyle w:val="Body"/>
      </w:pPr>
      <w:r w:rsidRPr="003F5788">
        <w:t xml:space="preserve">We welcome the investment of $87,000 in 2019-20 to undertake a </w:t>
      </w:r>
      <w:r w:rsidR="000F30E1" w:rsidRPr="003F5788">
        <w:t>12-month</w:t>
      </w:r>
      <w:r w:rsidRPr="003F5788">
        <w:t xml:space="preserve"> scoping study to consider the ACT Government LGBTIQ Strategy and its implications for health services in the Territory.</w:t>
      </w:r>
      <w:r w:rsidR="000F30E1">
        <w:t xml:space="preserve"> </w:t>
      </w:r>
      <w:r w:rsidRPr="003F5788">
        <w:t xml:space="preserve">ACTCOSS is eager </w:t>
      </w:r>
      <w:r w:rsidR="00105761">
        <w:t xml:space="preserve">for </w:t>
      </w:r>
      <w:r w:rsidRPr="003F5788">
        <w:t xml:space="preserve">this </w:t>
      </w:r>
      <w:r w:rsidR="00105761">
        <w:t xml:space="preserve">to </w:t>
      </w:r>
      <w:r w:rsidRPr="003F5788">
        <w:t>deliver better access, more affordable and improved competency in providing health services relevant to the LGBTIQ community.</w:t>
      </w:r>
    </w:p>
    <w:p w14:paraId="11917E63" w14:textId="39BE488D" w:rsidR="003F5788" w:rsidRDefault="003F5788" w:rsidP="008F5C02">
      <w:pPr>
        <w:pStyle w:val="Body"/>
      </w:pPr>
      <w:r w:rsidRPr="003F5788">
        <w:t xml:space="preserve">The 2019-20 Budget provides $1.6 million over the next </w:t>
      </w:r>
      <w:r w:rsidR="00D32770">
        <w:t>four year</w:t>
      </w:r>
      <w:r w:rsidRPr="003F5788">
        <w:t xml:space="preserve">s to strengthen care for chronic diseases through increasing the capacity of rheumatology services at </w:t>
      </w:r>
      <w:r w:rsidR="00D32770">
        <w:t>The Canberra Hospital</w:t>
      </w:r>
      <w:r w:rsidRPr="003F5788">
        <w:t>.</w:t>
      </w:r>
      <w:r w:rsidR="000F30E1">
        <w:t xml:space="preserve"> </w:t>
      </w:r>
      <w:r w:rsidRPr="003F5788">
        <w:t xml:space="preserve">This is expected to fund 2 </w:t>
      </w:r>
      <w:r w:rsidR="00105761">
        <w:t>full-time equivalent (</w:t>
      </w:r>
      <w:r w:rsidRPr="003F5788">
        <w:t>FTE</w:t>
      </w:r>
      <w:r w:rsidR="00105761">
        <w:t>)</w:t>
      </w:r>
      <w:r w:rsidRPr="003F5788">
        <w:t xml:space="preserve"> staff – a specialist and a registrar – which is expected to address concerns around the current waitlist of 1,800.</w:t>
      </w:r>
      <w:r w:rsidR="000F30E1">
        <w:t xml:space="preserve"> </w:t>
      </w:r>
      <w:r w:rsidRPr="003F5788">
        <w:t>ACTCOSS welcomes this investment but notes the lack of a Patient Navigation Service for patients with complex chronic conditions, despite a model being developed by the community sector with funding from ACT Health.</w:t>
      </w:r>
    </w:p>
    <w:p w14:paraId="1559E3CA" w14:textId="1B609CD0" w:rsidR="005A3BDB" w:rsidRPr="003F5788" w:rsidRDefault="00A259F5" w:rsidP="008F5C02">
      <w:pPr>
        <w:pStyle w:val="Body"/>
      </w:pPr>
      <w:r>
        <w:t xml:space="preserve">Also related to complex and ongoing chronic health conditions, </w:t>
      </w:r>
      <w:r w:rsidR="00D42BA2">
        <w:t xml:space="preserve">there is </w:t>
      </w:r>
      <w:r w:rsidR="005A3BDB" w:rsidRPr="003F5788">
        <w:t xml:space="preserve">$2.5 million over the next </w:t>
      </w:r>
      <w:r w:rsidR="00D32770">
        <w:t>three year</w:t>
      </w:r>
      <w:r w:rsidR="005A3BDB" w:rsidRPr="003F5788">
        <w:t xml:space="preserve">s to co-design a program with </w:t>
      </w:r>
      <w:r w:rsidR="00105761">
        <w:t>general practitioner (GP)</w:t>
      </w:r>
      <w:r w:rsidR="005A3BDB" w:rsidRPr="003F5788">
        <w:t xml:space="preserve"> practices to develop better integrated care pathways and improve health outcomes.</w:t>
      </w:r>
      <w:r w:rsidR="00D42BA2">
        <w:t xml:space="preserve"> </w:t>
      </w:r>
      <w:r w:rsidR="005A3BDB" w:rsidRPr="003F5788">
        <w:t>ACTCOSS notes the lack of detail regarding this investment and highlights the need that better integrated care pathways for people with ongoing chronic health conditions also encompass input from consumers.</w:t>
      </w:r>
    </w:p>
    <w:p w14:paraId="4012C69B" w14:textId="08CDEA4B" w:rsidR="003F5788" w:rsidRDefault="003F5788" w:rsidP="008F5C02">
      <w:pPr>
        <w:pStyle w:val="Body"/>
      </w:pPr>
      <w:r w:rsidRPr="003F5788">
        <w:t xml:space="preserve">ACTCOSS welcomes the $1.6 million investment over the next </w:t>
      </w:r>
      <w:r w:rsidR="00D32770">
        <w:t>four year</w:t>
      </w:r>
      <w:r w:rsidRPr="003F5788">
        <w:t>s to support the expansion of palliative care in ACT residential aged care facilities, but notes that it is an investment in just one setting, and does not meet broader palliative care needs</w:t>
      </w:r>
      <w:r w:rsidR="00704724">
        <w:t xml:space="preserve">, </w:t>
      </w:r>
      <w:r w:rsidRPr="003F5788">
        <w:t xml:space="preserve">namely, a </w:t>
      </w:r>
      <w:r w:rsidR="006B02B3">
        <w:t>T</w:t>
      </w:r>
      <w:r w:rsidRPr="003F5788">
        <w:t>erritory</w:t>
      </w:r>
      <w:r w:rsidR="00704724">
        <w:t>-</w:t>
      </w:r>
      <w:r w:rsidRPr="003F5788">
        <w:t xml:space="preserve">wide palliative care service with a single point of entry and patient record, a dedicated palliative care unit at </w:t>
      </w:r>
      <w:r w:rsidR="00D32770">
        <w:t>The Canberra Hospital</w:t>
      </w:r>
      <w:r w:rsidRPr="003F5788">
        <w:t>, and the training of more staff in the palliative approach.</w:t>
      </w:r>
      <w:r w:rsidR="000F30E1">
        <w:t xml:space="preserve"> </w:t>
      </w:r>
    </w:p>
    <w:p w14:paraId="3BA213B2" w14:textId="0AEAB875" w:rsidR="00B9325F" w:rsidRPr="003F5788" w:rsidRDefault="004A2EFE" w:rsidP="008F5C02">
      <w:pPr>
        <w:pStyle w:val="Body"/>
        <w:rPr>
          <w:b/>
        </w:rPr>
      </w:pPr>
      <w:r>
        <w:t>In the maternity services space, the</w:t>
      </w:r>
      <w:r w:rsidR="00B9325F">
        <w:t xml:space="preserve"> $2 million investment over the next </w:t>
      </w:r>
      <w:r w:rsidR="00D32770">
        <w:t>four year</w:t>
      </w:r>
      <w:r w:rsidR="00B9325F">
        <w:t xml:space="preserve">s </w:t>
      </w:r>
      <w:r w:rsidR="00395EFB">
        <w:t>for community-based perinatal services</w:t>
      </w:r>
      <w:r>
        <w:t xml:space="preserve"> and a Territory-wide single intake phone line for maternity services is welcomed in</w:t>
      </w:r>
      <w:r w:rsidR="006B02B3">
        <w:t xml:space="preserve"> </w:t>
      </w:r>
      <w:r>
        <w:t>principle.</w:t>
      </w:r>
      <w:r w:rsidR="000F30E1">
        <w:t xml:space="preserve"> </w:t>
      </w:r>
      <w:r w:rsidR="007840D9">
        <w:t xml:space="preserve">Regarding the community-based services, </w:t>
      </w:r>
      <w:r w:rsidR="00974FF4">
        <w:t xml:space="preserve">ACTCOSS </w:t>
      </w:r>
      <w:r w:rsidR="003816E2">
        <w:t>encourages</w:t>
      </w:r>
      <w:r w:rsidR="00FF0C82">
        <w:t xml:space="preserve"> close collaboration with specialist service providers and consumers in this space to develop a holistic </w:t>
      </w:r>
      <w:r w:rsidR="003816E2">
        <w:t xml:space="preserve">focus </w:t>
      </w:r>
      <w:r w:rsidR="00624CC5">
        <w:t xml:space="preserve">to this service beyond </w:t>
      </w:r>
      <w:r w:rsidR="00974FF4">
        <w:t>just physical changes and birth.</w:t>
      </w:r>
      <w:r w:rsidR="000F30E1">
        <w:t xml:space="preserve"> </w:t>
      </w:r>
      <w:r w:rsidR="00654146">
        <w:t xml:space="preserve">ACTCOSS </w:t>
      </w:r>
      <w:r w:rsidR="007840D9">
        <w:t>highlights the need that a single phone line access point should</w:t>
      </w:r>
      <w:r w:rsidR="00C7601E">
        <w:t xml:space="preserve"> provide direct access to relevant services and departments, and</w:t>
      </w:r>
      <w:r w:rsidR="00477261">
        <w:t xml:space="preserve"> may be better managed by </w:t>
      </w:r>
      <w:r w:rsidR="00B9350D">
        <w:t>existing community sector organisations</w:t>
      </w:r>
      <w:r w:rsidR="00477261">
        <w:t xml:space="preserve"> with </w:t>
      </w:r>
      <w:r w:rsidR="003D00C7">
        <w:t>experience and expertise in providing information about birthing in the ACT.</w:t>
      </w:r>
      <w:r w:rsidR="000F30E1">
        <w:t xml:space="preserve"> </w:t>
      </w:r>
    </w:p>
    <w:p w14:paraId="352E5334" w14:textId="18C716B1" w:rsidR="003F5788" w:rsidRPr="003F5788" w:rsidRDefault="003F5788" w:rsidP="008F5C02">
      <w:pPr>
        <w:pStyle w:val="Body"/>
        <w:rPr>
          <w:bCs/>
        </w:rPr>
      </w:pPr>
      <w:r w:rsidRPr="003F5788">
        <w:t xml:space="preserve">We welcome the $1.8 million investment over the next </w:t>
      </w:r>
      <w:r w:rsidR="00D32770">
        <w:t>four year</w:t>
      </w:r>
      <w:r w:rsidRPr="003F5788">
        <w:t xml:space="preserve">s to support families of paediatric patients travel interstate to access specialist healthcare. </w:t>
      </w:r>
      <w:r w:rsidRPr="003F5788">
        <w:rPr>
          <w:bCs/>
        </w:rPr>
        <w:t>This initiative will expand the Interstate Patient Travel Assistance Scheme so that two people can travel with a sick child and increases the subsidies available for accommodation and parking.</w:t>
      </w:r>
      <w:r w:rsidR="000F30E1">
        <w:rPr>
          <w:bCs/>
        </w:rPr>
        <w:t xml:space="preserve"> </w:t>
      </w:r>
    </w:p>
    <w:p w14:paraId="63DA5447" w14:textId="2501385F" w:rsidR="003F5788" w:rsidRDefault="003F5788" w:rsidP="008F5C02">
      <w:pPr>
        <w:pStyle w:val="Body"/>
      </w:pPr>
      <w:r w:rsidRPr="003F5788">
        <w:t xml:space="preserve">ACTCOSS welcomes the investment of $1.2 million over the next </w:t>
      </w:r>
      <w:r w:rsidR="00D32770">
        <w:t>four year</w:t>
      </w:r>
      <w:r w:rsidRPr="003F5788">
        <w:t>s for dedicated investment to respond to the recommendations from the Royal Commission into Institutional Responses to Child Sexual Abuse in the health sector.</w:t>
      </w:r>
      <w:r w:rsidR="000F30E1">
        <w:t xml:space="preserve"> </w:t>
      </w:r>
      <w:r w:rsidRPr="003F5788">
        <w:t xml:space="preserve">ACTCOSS supports the implementation of the </w:t>
      </w:r>
      <w:r w:rsidRPr="00F4264B">
        <w:t>Child-Safe, Child-Friendly and Child-Aware Framework and</w:t>
      </w:r>
      <w:r w:rsidRPr="003F5788">
        <w:t xml:space="preserve"> welcomes this investment in the health sector, however</w:t>
      </w:r>
      <w:r w:rsidR="00F4264B">
        <w:t>,</w:t>
      </w:r>
      <w:r w:rsidRPr="003F5788">
        <w:t xml:space="preserve"> we note the Royal Commission’s recommendations include keeping child</w:t>
      </w:r>
      <w:r w:rsidR="000B2405">
        <w:t>ren</w:t>
      </w:r>
      <w:r w:rsidRPr="003F5788">
        <w:t xml:space="preserve"> safe in all institutional contexts including and beyond the government</w:t>
      </w:r>
      <w:r w:rsidR="00F4264B">
        <w:t>-</w:t>
      </w:r>
      <w:r w:rsidRPr="003F5788">
        <w:t>provided health sector</w:t>
      </w:r>
      <w:r w:rsidR="00D43C54">
        <w:t xml:space="preserve"> – this extends</w:t>
      </w:r>
      <w:r w:rsidR="00D43C54" w:rsidRPr="00D43C54">
        <w:t xml:space="preserve"> beyond both government and </w:t>
      </w:r>
      <w:r w:rsidR="00D43C54">
        <w:t>non-government</w:t>
      </w:r>
      <w:r w:rsidR="00BA073C">
        <w:t xml:space="preserve"> organisations</w:t>
      </w:r>
      <w:r w:rsidR="00D43C54" w:rsidRPr="00D43C54">
        <w:t xml:space="preserve"> to all agencies who engage with children and young people</w:t>
      </w:r>
      <w:r w:rsidRPr="003F5788">
        <w:t>.</w:t>
      </w:r>
      <w:r w:rsidR="000F30E1">
        <w:t xml:space="preserve"> </w:t>
      </w:r>
    </w:p>
    <w:p w14:paraId="216149FE" w14:textId="32B0C4D4" w:rsidR="005A3BEF" w:rsidRPr="003F5788" w:rsidRDefault="001873C8" w:rsidP="008F5C02">
      <w:pPr>
        <w:pStyle w:val="Body"/>
      </w:pPr>
      <w:r>
        <w:t xml:space="preserve">While there is $1.4 million over the next </w:t>
      </w:r>
      <w:r w:rsidR="00D32770">
        <w:t>four year</w:t>
      </w:r>
      <w:r>
        <w:t>s to deliver the ACT Drug Strategy Action Plan, ACTCOSS</w:t>
      </w:r>
      <w:r w:rsidR="005A3BEF">
        <w:t xml:space="preserve"> note</w:t>
      </w:r>
      <w:r>
        <w:t>s</w:t>
      </w:r>
      <w:r w:rsidR="005A3BEF">
        <w:t xml:space="preserve"> that the governance structures that underpin the ACT Drug Strategy were not convened to develop this initiative, and that questions remain regarding the prioritisation </w:t>
      </w:r>
      <w:r w:rsidR="004223E3">
        <w:t xml:space="preserve">of the two </w:t>
      </w:r>
      <w:r w:rsidR="00D162F3">
        <w:t>action</w:t>
      </w:r>
      <w:r w:rsidR="00973D33">
        <w:t>s</w:t>
      </w:r>
      <w:r w:rsidR="00D162F3">
        <w:t xml:space="preserve">, namely the </w:t>
      </w:r>
      <w:r w:rsidR="005A3BEF">
        <w:t>scoping of a medically supervised injecting facility and increasing the availability of naloxone training</w:t>
      </w:r>
      <w:r w:rsidR="000A7034">
        <w:t>, versus other actions.</w:t>
      </w:r>
    </w:p>
    <w:p w14:paraId="31FBF1E7" w14:textId="230D1077" w:rsidR="003F5788" w:rsidRPr="003F5788" w:rsidRDefault="003F5788" w:rsidP="008F5C02">
      <w:pPr>
        <w:pStyle w:val="Body"/>
        <w:rPr>
          <w:b/>
        </w:rPr>
      </w:pPr>
      <w:r w:rsidRPr="003F5788">
        <w:t xml:space="preserve">The Budget provides for $1 million over the next </w:t>
      </w:r>
      <w:r w:rsidR="00D32770">
        <w:t>four year</w:t>
      </w:r>
      <w:r w:rsidRPr="003F5788">
        <w:t xml:space="preserve">s to </w:t>
      </w:r>
      <w:r w:rsidR="00FB78AF">
        <w:t>extend the existing</w:t>
      </w:r>
      <w:r w:rsidRPr="003F5788">
        <w:t xml:space="preserve"> opiate replacement treatment service and provide additional drug and alcohol services at the Alexander Maconochie Centre.</w:t>
      </w:r>
      <w:r w:rsidR="000F30E1">
        <w:t xml:space="preserve"> </w:t>
      </w:r>
      <w:r w:rsidRPr="003F5788">
        <w:t xml:space="preserve">ACTCOSS welcomes this investment as a positive service </w:t>
      </w:r>
      <w:r w:rsidR="00917DE4" w:rsidRPr="003F5788">
        <w:t>improvement but</w:t>
      </w:r>
      <w:r w:rsidRPr="003F5788">
        <w:t xml:space="preserve"> highlights the need for a needle and syringe program which is essential to achieving human rights compliancy, and a recommendation from the Health Service Commissioner’s report into opioid replacement treatment.</w:t>
      </w:r>
      <w:r w:rsidR="000F30E1">
        <w:t xml:space="preserve"> </w:t>
      </w:r>
    </w:p>
    <w:p w14:paraId="15B29972" w14:textId="09908E08" w:rsidR="003F5788" w:rsidRPr="003F5788" w:rsidRDefault="003F5788" w:rsidP="008F5C02">
      <w:pPr>
        <w:pStyle w:val="Body"/>
        <w:rPr>
          <w:b/>
        </w:rPr>
      </w:pPr>
      <w:r w:rsidRPr="003F5788">
        <w:t xml:space="preserve">ACTCOSS welcomes the investment of $24.2 million in mental health funding over the next </w:t>
      </w:r>
      <w:r w:rsidR="00D32770">
        <w:t>four year</w:t>
      </w:r>
      <w:r w:rsidRPr="003F5788">
        <w:t>s.</w:t>
      </w:r>
      <w:r w:rsidR="000F30E1">
        <w:t xml:space="preserve"> </w:t>
      </w:r>
      <w:r w:rsidRPr="003F5788">
        <w:t>These investments will target known gaps and challenges</w:t>
      </w:r>
      <w:r w:rsidR="00C66BA6">
        <w:t>,</w:t>
      </w:r>
      <w:r w:rsidRPr="003F5788">
        <w:t xml:space="preserve"> however</w:t>
      </w:r>
      <w:r w:rsidR="00C66BA6">
        <w:t>,</w:t>
      </w:r>
      <w:r w:rsidRPr="003F5788">
        <w:t xml:space="preserve"> we highlight that more of the investments in clinical supports should also be complemented by investments in much</w:t>
      </w:r>
      <w:r w:rsidR="00C66BA6">
        <w:t>-</w:t>
      </w:r>
      <w:r w:rsidRPr="003F5788">
        <w:t>needed community-based psycho</w:t>
      </w:r>
      <w:r w:rsidR="00C66BA6">
        <w:t>-</w:t>
      </w:r>
      <w:r w:rsidRPr="003F5788">
        <w:t>social supports.</w:t>
      </w:r>
      <w:r w:rsidR="000F30E1">
        <w:t xml:space="preserve"> </w:t>
      </w:r>
      <w:r w:rsidRPr="003F5788">
        <w:t xml:space="preserve">This includes low threshold community-based supports available over a reasonable time period. </w:t>
      </w:r>
    </w:p>
    <w:p w14:paraId="6C3BC15C" w14:textId="4846E9F6" w:rsidR="003F5788" w:rsidRPr="003F5788" w:rsidRDefault="003F5788" w:rsidP="008F5C02">
      <w:pPr>
        <w:pStyle w:val="Body"/>
      </w:pPr>
      <w:r w:rsidRPr="003F5788">
        <w:t>More specifically</w:t>
      </w:r>
      <w:r w:rsidR="00C66BA6">
        <w:t>,</w:t>
      </w:r>
      <w:r w:rsidRPr="003F5788">
        <w:t xml:space="preserve"> the mental health funding initiatives include:</w:t>
      </w:r>
    </w:p>
    <w:p w14:paraId="4B75D58A" w14:textId="06650F52" w:rsidR="003F5788" w:rsidRPr="003F5788" w:rsidRDefault="003F5788" w:rsidP="008F5C02">
      <w:pPr>
        <w:pStyle w:val="ListBullet"/>
        <w:rPr>
          <w:b/>
          <w:lang w:eastAsia="en-US"/>
        </w:rPr>
      </w:pPr>
      <w:r w:rsidRPr="003F5788">
        <w:rPr>
          <w:lang w:eastAsia="en-US"/>
        </w:rPr>
        <w:t xml:space="preserve">$1.8 million infrastructure spending in 2019-20 and $5.1 million over </w:t>
      </w:r>
      <w:r w:rsidR="00D32770">
        <w:rPr>
          <w:lang w:eastAsia="en-US"/>
        </w:rPr>
        <w:t>four year</w:t>
      </w:r>
      <w:r w:rsidRPr="003F5788">
        <w:rPr>
          <w:lang w:eastAsia="en-US"/>
        </w:rPr>
        <w:t>s for a dedicated electroconvulsive therapy (</w:t>
      </w:r>
      <w:proofErr w:type="spellStart"/>
      <w:r w:rsidRPr="003F5788">
        <w:rPr>
          <w:lang w:eastAsia="en-US"/>
        </w:rPr>
        <w:t>ECT</w:t>
      </w:r>
      <w:proofErr w:type="spellEnd"/>
      <w:r w:rsidRPr="003F5788">
        <w:rPr>
          <w:lang w:eastAsia="en-US"/>
        </w:rPr>
        <w:t xml:space="preserve">) service for </w:t>
      </w:r>
      <w:r w:rsidR="00D32770">
        <w:rPr>
          <w:lang w:eastAsia="en-US"/>
        </w:rPr>
        <w:t>The Canberra Hospital</w:t>
      </w:r>
      <w:r w:rsidRPr="003F5788">
        <w:rPr>
          <w:lang w:eastAsia="en-US"/>
        </w:rPr>
        <w:t>’s adult mental health unit.</w:t>
      </w:r>
      <w:r w:rsidR="000F30E1">
        <w:rPr>
          <w:lang w:eastAsia="en-US"/>
        </w:rPr>
        <w:t xml:space="preserve"> </w:t>
      </w:r>
      <w:r w:rsidRPr="003F5788">
        <w:rPr>
          <w:lang w:eastAsia="en-US"/>
        </w:rPr>
        <w:t>ACTCOSS is concerned</w:t>
      </w:r>
      <w:r w:rsidR="00495E61">
        <w:rPr>
          <w:lang w:eastAsia="en-US"/>
        </w:rPr>
        <w:t xml:space="preserve"> </w:t>
      </w:r>
      <w:r w:rsidR="008558B6">
        <w:rPr>
          <w:lang w:eastAsia="en-US"/>
        </w:rPr>
        <w:t>regarding</w:t>
      </w:r>
      <w:r w:rsidRPr="003F5788">
        <w:rPr>
          <w:lang w:eastAsia="en-US"/>
        </w:rPr>
        <w:t xml:space="preserve"> this commitment. While </w:t>
      </w:r>
      <w:proofErr w:type="spellStart"/>
      <w:r w:rsidRPr="003F5788">
        <w:rPr>
          <w:lang w:eastAsia="en-US"/>
        </w:rPr>
        <w:t>ECT</w:t>
      </w:r>
      <w:proofErr w:type="spellEnd"/>
      <w:r w:rsidRPr="003F5788">
        <w:rPr>
          <w:lang w:eastAsia="en-US"/>
        </w:rPr>
        <w:t xml:space="preserve"> remains an effective last option treatment for some people, there has been no indication that consumers have been asking for better access to this treatment.</w:t>
      </w:r>
      <w:r w:rsidR="000F30E1">
        <w:rPr>
          <w:lang w:eastAsia="en-US"/>
        </w:rPr>
        <w:t xml:space="preserve"> </w:t>
      </w:r>
      <w:r w:rsidRPr="003F5788">
        <w:rPr>
          <w:lang w:eastAsia="en-US"/>
        </w:rPr>
        <w:t xml:space="preserve">It is positive that inpatient clients who want to access </w:t>
      </w:r>
      <w:proofErr w:type="spellStart"/>
      <w:r w:rsidRPr="003F5788">
        <w:rPr>
          <w:lang w:eastAsia="en-US"/>
        </w:rPr>
        <w:t>ECT</w:t>
      </w:r>
      <w:proofErr w:type="spellEnd"/>
      <w:r w:rsidRPr="003F5788">
        <w:rPr>
          <w:lang w:eastAsia="en-US"/>
        </w:rPr>
        <w:t xml:space="preserve"> will not have to be transported to Calvary Hospital, but we are sceptical of the need for a large expansion of the capacity to deliver </w:t>
      </w:r>
      <w:proofErr w:type="spellStart"/>
      <w:r w:rsidRPr="003F5788">
        <w:rPr>
          <w:lang w:eastAsia="en-US"/>
        </w:rPr>
        <w:t>ECT</w:t>
      </w:r>
      <w:proofErr w:type="spellEnd"/>
    </w:p>
    <w:p w14:paraId="028DF75D" w14:textId="039CA39A" w:rsidR="003F5788" w:rsidRPr="003F5788" w:rsidRDefault="003F5788" w:rsidP="008F5C02">
      <w:pPr>
        <w:pStyle w:val="ListBullet"/>
        <w:rPr>
          <w:b/>
          <w:lang w:eastAsia="en-US"/>
        </w:rPr>
      </w:pPr>
      <w:r w:rsidRPr="003F5788">
        <w:rPr>
          <w:bCs/>
          <w:lang w:eastAsia="en-US"/>
        </w:rPr>
        <w:t xml:space="preserve">$6.9 million over the next </w:t>
      </w:r>
      <w:r w:rsidR="00D32770">
        <w:rPr>
          <w:bCs/>
          <w:lang w:eastAsia="en-US"/>
        </w:rPr>
        <w:t>four year</w:t>
      </w:r>
      <w:r w:rsidRPr="003F5788">
        <w:rPr>
          <w:bCs/>
          <w:lang w:eastAsia="en-US"/>
        </w:rPr>
        <w:t>s to boost allied health and nursing staff in the Adult Mental Health Unit (</w:t>
      </w:r>
      <w:proofErr w:type="spellStart"/>
      <w:r w:rsidRPr="003F5788">
        <w:rPr>
          <w:bCs/>
          <w:lang w:eastAsia="en-US"/>
        </w:rPr>
        <w:t>AMHU</w:t>
      </w:r>
      <w:proofErr w:type="spellEnd"/>
      <w:r w:rsidRPr="003F5788">
        <w:rPr>
          <w:bCs/>
          <w:lang w:eastAsia="en-US"/>
        </w:rPr>
        <w:t>).</w:t>
      </w:r>
      <w:r w:rsidR="000F30E1">
        <w:rPr>
          <w:bCs/>
          <w:lang w:eastAsia="en-US"/>
        </w:rPr>
        <w:t xml:space="preserve"> </w:t>
      </w:r>
      <w:r w:rsidRPr="003F5788">
        <w:rPr>
          <w:bCs/>
          <w:lang w:eastAsia="en-US"/>
        </w:rPr>
        <w:t xml:space="preserve">ACTCOSS recognises that this increased staffing allocation highlights that the </w:t>
      </w:r>
      <w:proofErr w:type="spellStart"/>
      <w:r w:rsidRPr="003F5788">
        <w:rPr>
          <w:bCs/>
          <w:lang w:eastAsia="en-US"/>
        </w:rPr>
        <w:t>AMHU</w:t>
      </w:r>
      <w:proofErr w:type="spellEnd"/>
      <w:r w:rsidRPr="003F5788">
        <w:rPr>
          <w:bCs/>
          <w:lang w:eastAsia="en-US"/>
        </w:rPr>
        <w:t xml:space="preserve"> effectively operates as a 40-bed unit, with a staffing allocation for 37 beds.</w:t>
      </w:r>
      <w:r w:rsidR="000F30E1">
        <w:rPr>
          <w:bCs/>
          <w:lang w:eastAsia="en-US"/>
        </w:rPr>
        <w:t xml:space="preserve"> </w:t>
      </w:r>
      <w:r w:rsidRPr="003F5788">
        <w:rPr>
          <w:bCs/>
          <w:lang w:eastAsia="en-US"/>
        </w:rPr>
        <w:t>Bringing the staffing allocation levels up to the level of de</w:t>
      </w:r>
      <w:r w:rsidR="00983CAD">
        <w:rPr>
          <w:bCs/>
          <w:lang w:eastAsia="en-US"/>
        </w:rPr>
        <w:t xml:space="preserve"> </w:t>
      </w:r>
      <w:r w:rsidRPr="003F5788">
        <w:rPr>
          <w:bCs/>
          <w:lang w:eastAsia="en-US"/>
        </w:rPr>
        <w:t>facto bed occupancy doesn’t deliver more service but should hopefully improve the quality of service</w:t>
      </w:r>
    </w:p>
    <w:p w14:paraId="7FD6B862" w14:textId="7D43F9EE" w:rsidR="003F5788" w:rsidRPr="008F5C02" w:rsidRDefault="003F5788" w:rsidP="008F5C02">
      <w:pPr>
        <w:pStyle w:val="ListBullet"/>
        <w:rPr>
          <w:bCs/>
        </w:rPr>
      </w:pPr>
      <w:r w:rsidRPr="003F5788">
        <w:rPr>
          <w:bCs/>
        </w:rPr>
        <w:t xml:space="preserve">$4.5 million over the next </w:t>
      </w:r>
      <w:r w:rsidR="00D32770">
        <w:rPr>
          <w:bCs/>
        </w:rPr>
        <w:t>four year</w:t>
      </w:r>
      <w:r w:rsidRPr="003F5788">
        <w:rPr>
          <w:bCs/>
        </w:rPr>
        <w:t xml:space="preserve">s to expand the Mental </w:t>
      </w:r>
      <w:r w:rsidR="00983CAD">
        <w:rPr>
          <w:bCs/>
        </w:rPr>
        <w:t>H</w:t>
      </w:r>
      <w:r w:rsidRPr="003F5788">
        <w:rPr>
          <w:bCs/>
        </w:rPr>
        <w:t xml:space="preserve">ealth Consultation Liaison service to operate at </w:t>
      </w:r>
      <w:r w:rsidR="00D32770">
        <w:rPr>
          <w:bCs/>
        </w:rPr>
        <w:t>The Canberra Hospital</w:t>
      </w:r>
      <w:r w:rsidRPr="003F5788">
        <w:rPr>
          <w:bCs/>
        </w:rPr>
        <w:t xml:space="preserve"> 7</w:t>
      </w:r>
      <w:r w:rsidR="00983CAD">
        <w:rPr>
          <w:bCs/>
        </w:rPr>
        <w:t xml:space="preserve"> </w:t>
      </w:r>
      <w:r w:rsidRPr="003F5788">
        <w:rPr>
          <w:bCs/>
        </w:rPr>
        <w:t>days a week. ACTCOSS welcomes this as a positive service improvement as limited access to mental health services out of ordinary business hours continues to be a problem area in the ACT.</w:t>
      </w:r>
      <w:r w:rsidR="000F30E1">
        <w:rPr>
          <w:bCs/>
        </w:rPr>
        <w:t xml:space="preserve"> </w:t>
      </w:r>
      <w:r w:rsidRPr="003F5788">
        <w:rPr>
          <w:bCs/>
        </w:rPr>
        <w:t>ACTCOSS does</w:t>
      </w:r>
      <w:r w:rsidR="00A96219">
        <w:rPr>
          <w:bCs/>
        </w:rPr>
        <w:t>,</w:t>
      </w:r>
      <w:r w:rsidRPr="003F5788">
        <w:rPr>
          <w:bCs/>
        </w:rPr>
        <w:t xml:space="preserve"> however</w:t>
      </w:r>
      <w:r w:rsidR="00A96219">
        <w:rPr>
          <w:bCs/>
        </w:rPr>
        <w:t>,</w:t>
      </w:r>
      <w:r w:rsidRPr="003F5788">
        <w:rPr>
          <w:bCs/>
        </w:rPr>
        <w:t xml:space="preserve"> recognise it is a crisis</w:t>
      </w:r>
      <w:r w:rsidR="00A96219">
        <w:rPr>
          <w:bCs/>
        </w:rPr>
        <w:t>-</w:t>
      </w:r>
      <w:r w:rsidRPr="003F5788">
        <w:rPr>
          <w:bCs/>
        </w:rPr>
        <w:t>focused response and would like to see this matched by an expansion of early intervention and prevention supports designed to keep people well and out of hospital</w:t>
      </w:r>
    </w:p>
    <w:p w14:paraId="3E9FB034" w14:textId="44724ED3" w:rsidR="003F5788" w:rsidRPr="008F5C02" w:rsidRDefault="003F5788" w:rsidP="008F5C02">
      <w:pPr>
        <w:pStyle w:val="ListBullet"/>
        <w:rPr>
          <w:bCs/>
        </w:rPr>
      </w:pPr>
      <w:r w:rsidRPr="003F5788">
        <w:rPr>
          <w:bCs/>
        </w:rPr>
        <w:t xml:space="preserve">$3 million over the next </w:t>
      </w:r>
      <w:r w:rsidR="00D32770">
        <w:rPr>
          <w:bCs/>
        </w:rPr>
        <w:t>four year</w:t>
      </w:r>
      <w:r w:rsidRPr="003F5788">
        <w:rPr>
          <w:bCs/>
        </w:rPr>
        <w:t>s to expand the Mental Health Justice Health and Alcohol and Drug Service. ACTCOSS welcomes this as a positive service improvement as the overrepresentation of people with mental health issues in the justice system is well</w:t>
      </w:r>
      <w:r w:rsidR="003B5F1D">
        <w:rPr>
          <w:bCs/>
        </w:rPr>
        <w:t xml:space="preserve"> </w:t>
      </w:r>
      <w:r w:rsidRPr="003F5788">
        <w:rPr>
          <w:bCs/>
        </w:rPr>
        <w:t>known and receives too little attention.</w:t>
      </w:r>
      <w:r w:rsidR="000F30E1">
        <w:rPr>
          <w:bCs/>
        </w:rPr>
        <w:t xml:space="preserve"> </w:t>
      </w:r>
      <w:r w:rsidRPr="003F5788">
        <w:rPr>
          <w:bCs/>
        </w:rPr>
        <w:t>ACTCOSS</w:t>
      </w:r>
      <w:r w:rsidR="006045DE">
        <w:rPr>
          <w:bCs/>
        </w:rPr>
        <w:t xml:space="preserve"> notes that </w:t>
      </w:r>
      <w:r w:rsidR="00286F91">
        <w:rPr>
          <w:bCs/>
        </w:rPr>
        <w:t xml:space="preserve">90% of clinical </w:t>
      </w:r>
      <w:proofErr w:type="spellStart"/>
      <w:r w:rsidR="00286F91">
        <w:rPr>
          <w:bCs/>
        </w:rPr>
        <w:t>AOD</w:t>
      </w:r>
      <w:proofErr w:type="spellEnd"/>
      <w:r w:rsidR="00286F91">
        <w:rPr>
          <w:bCs/>
        </w:rPr>
        <w:t xml:space="preserve"> providers are from the NGO sector</w:t>
      </w:r>
      <w:r w:rsidR="00065FB9">
        <w:rPr>
          <w:bCs/>
        </w:rPr>
        <w:t>,</w:t>
      </w:r>
      <w:r w:rsidR="00A17450">
        <w:rPr>
          <w:bCs/>
        </w:rPr>
        <w:t xml:space="preserve"> including the most intensive </w:t>
      </w:r>
      <w:r w:rsidR="003F60D6">
        <w:rPr>
          <w:bCs/>
        </w:rPr>
        <w:t>intervention</w:t>
      </w:r>
      <w:r w:rsidR="00AE29E3">
        <w:rPr>
          <w:bCs/>
        </w:rPr>
        <w:t>s</w:t>
      </w:r>
      <w:r w:rsidR="00E2141D">
        <w:rPr>
          <w:bCs/>
        </w:rPr>
        <w:t>, hence</w:t>
      </w:r>
      <w:r w:rsidRPr="003F5788">
        <w:rPr>
          <w:bCs/>
        </w:rPr>
        <w:t xml:space="preserve"> would like to see these investments in government services matched by investment in community</w:t>
      </w:r>
      <w:r w:rsidR="003E7860">
        <w:rPr>
          <w:bCs/>
        </w:rPr>
        <w:t>-</w:t>
      </w:r>
      <w:r w:rsidRPr="003F5788">
        <w:rPr>
          <w:bCs/>
        </w:rPr>
        <w:t>managed services that could potentially deliver better value for money</w:t>
      </w:r>
    </w:p>
    <w:p w14:paraId="60B3AE3A" w14:textId="5BC8BDF1" w:rsidR="003F5788" w:rsidRPr="008F5C02" w:rsidRDefault="003F5788" w:rsidP="008F5C02">
      <w:pPr>
        <w:pStyle w:val="ListBullet"/>
        <w:rPr>
          <w:b/>
        </w:rPr>
      </w:pPr>
      <w:r w:rsidRPr="003F5788">
        <w:rPr>
          <w:bCs/>
        </w:rPr>
        <w:t>$323,000 in 2019-20 to undertake planning and design work for a Police, Ambulance and Clinician Early Response (PACER) model which can provide better integrated support for people experiencing acute mental health incidents</w:t>
      </w:r>
      <w:r w:rsidR="003B2034">
        <w:rPr>
          <w:bCs/>
        </w:rPr>
        <w:t>.</w:t>
      </w:r>
      <w:r w:rsidR="000F30E1">
        <w:rPr>
          <w:bCs/>
        </w:rPr>
        <w:t xml:space="preserve"> </w:t>
      </w:r>
      <w:r w:rsidRPr="003F5788">
        <w:rPr>
          <w:bCs/>
        </w:rPr>
        <w:t>ACTCOSS welcomes this initiative</w:t>
      </w:r>
      <w:r w:rsidR="003E7860">
        <w:rPr>
          <w:bCs/>
        </w:rPr>
        <w:t>,</w:t>
      </w:r>
      <w:r w:rsidRPr="003F5788">
        <w:rPr>
          <w:bCs/>
        </w:rPr>
        <w:t xml:space="preserve"> as enabling ambulances to transport people exhibiting signs of mental illness to hospital was one of the positive developments in the </w:t>
      </w:r>
      <w:r w:rsidRPr="00A14ACC">
        <w:rPr>
          <w:rStyle w:val="Emphasis"/>
        </w:rPr>
        <w:t>Mental Health Act 2015</w:t>
      </w:r>
      <w:r w:rsidRPr="003F5788">
        <w:rPr>
          <w:bCs/>
        </w:rPr>
        <w:t xml:space="preserve"> </w:t>
      </w:r>
      <w:r w:rsidR="00A14ACC">
        <w:rPr>
          <w:bCs/>
        </w:rPr>
        <w:t xml:space="preserve">(ACT) </w:t>
      </w:r>
      <w:r w:rsidRPr="003F5788">
        <w:rPr>
          <w:bCs/>
        </w:rPr>
        <w:t>and an integrated early response model would be a positive addition to current responses to people in crisis.</w:t>
      </w:r>
      <w:r w:rsidR="000F30E1">
        <w:rPr>
          <w:bCs/>
        </w:rPr>
        <w:t xml:space="preserve"> </w:t>
      </w:r>
      <w:r w:rsidRPr="003F5788">
        <w:rPr>
          <w:bCs/>
        </w:rPr>
        <w:t>ACTCOSS</w:t>
      </w:r>
      <w:r w:rsidR="00D12203">
        <w:rPr>
          <w:bCs/>
        </w:rPr>
        <w:t xml:space="preserve"> </w:t>
      </w:r>
      <w:r w:rsidRPr="003F5788">
        <w:rPr>
          <w:bCs/>
        </w:rPr>
        <w:t xml:space="preserve">supports in-principle funding of this service in the next </w:t>
      </w:r>
      <w:r w:rsidR="00ED78BC">
        <w:rPr>
          <w:bCs/>
        </w:rPr>
        <w:t>B</w:t>
      </w:r>
      <w:r w:rsidRPr="003F5788">
        <w:rPr>
          <w:bCs/>
        </w:rPr>
        <w:t>udget</w:t>
      </w:r>
    </w:p>
    <w:p w14:paraId="0DA91E0F" w14:textId="67EDE3A0" w:rsidR="003F5788" w:rsidRPr="008F5C02" w:rsidRDefault="003F5788" w:rsidP="008F5C02">
      <w:pPr>
        <w:pStyle w:val="ListBullet"/>
        <w:rPr>
          <w:b/>
        </w:rPr>
      </w:pPr>
      <w:r w:rsidRPr="003F5788">
        <w:rPr>
          <w:bCs/>
        </w:rPr>
        <w:t xml:space="preserve">$2.2 million over the next </w:t>
      </w:r>
      <w:r w:rsidR="00D32770">
        <w:rPr>
          <w:bCs/>
        </w:rPr>
        <w:t>four year</w:t>
      </w:r>
      <w:r w:rsidRPr="003F5788">
        <w:rPr>
          <w:bCs/>
        </w:rPr>
        <w:t>s to establish an Eating Disorders Specialist Clinical Hub and a community-based intervention support service. ACTCOSS recognises that individuals and families have been advocating for more and better services to address eating disorders, while past focus has mostly been on inpatient care.</w:t>
      </w:r>
      <w:r w:rsidR="006221A0">
        <w:rPr>
          <w:bCs/>
        </w:rPr>
        <w:t xml:space="preserve"> </w:t>
      </w:r>
      <w:r w:rsidR="006221A0" w:rsidRPr="003F5788">
        <w:rPr>
          <w:bCs/>
        </w:rPr>
        <w:t>ACTCOSS</w:t>
      </w:r>
      <w:r w:rsidR="006221A0">
        <w:rPr>
          <w:bCs/>
        </w:rPr>
        <w:t xml:space="preserve"> notes the lack of information regarding where this service would sit, whether within ACT Government or community-based, but</w:t>
      </w:r>
      <w:r w:rsidR="006221A0" w:rsidRPr="003F5788">
        <w:rPr>
          <w:bCs/>
        </w:rPr>
        <w:t xml:space="preserve"> </w:t>
      </w:r>
      <w:r w:rsidRPr="003F5788">
        <w:rPr>
          <w:bCs/>
        </w:rPr>
        <w:t xml:space="preserve">looks forward to seeing what this service will deliver in practice and are </w:t>
      </w:r>
      <w:r w:rsidR="00F767C2">
        <w:rPr>
          <w:bCs/>
        </w:rPr>
        <w:t>supportive in</w:t>
      </w:r>
      <w:r w:rsidR="00DA31A1">
        <w:rPr>
          <w:bCs/>
        </w:rPr>
        <w:t xml:space="preserve"> </w:t>
      </w:r>
      <w:r w:rsidR="00F767C2">
        <w:rPr>
          <w:bCs/>
        </w:rPr>
        <w:t>principle</w:t>
      </w:r>
    </w:p>
    <w:p w14:paraId="1D9E579A" w14:textId="54FCEA75" w:rsidR="003F5788" w:rsidRPr="008F5C02" w:rsidRDefault="003F5788" w:rsidP="008F5C02">
      <w:pPr>
        <w:pStyle w:val="ListBullet"/>
        <w:rPr>
          <w:bCs/>
        </w:rPr>
      </w:pPr>
      <w:r w:rsidRPr="003F5788">
        <w:rPr>
          <w:bCs/>
        </w:rPr>
        <w:t xml:space="preserve">$457,000 over the next </w:t>
      </w:r>
      <w:r w:rsidR="00DA31A1">
        <w:rPr>
          <w:bCs/>
        </w:rPr>
        <w:t xml:space="preserve">two </w:t>
      </w:r>
      <w:r w:rsidRPr="003F5788">
        <w:rPr>
          <w:bCs/>
        </w:rPr>
        <w:t>years to recruit two Carer Engagement Clinicians to pilot a range of support and psycho</w:t>
      </w:r>
      <w:r w:rsidR="00DA31A1">
        <w:rPr>
          <w:bCs/>
        </w:rPr>
        <w:t>-</w:t>
      </w:r>
      <w:r w:rsidRPr="003F5788">
        <w:rPr>
          <w:bCs/>
        </w:rPr>
        <w:t>social education activities to build capacity for the families and carers of people with mental health conditions.</w:t>
      </w:r>
      <w:r w:rsidR="000F30E1">
        <w:rPr>
          <w:bCs/>
        </w:rPr>
        <w:t xml:space="preserve"> </w:t>
      </w:r>
      <w:r w:rsidRPr="003F5788">
        <w:rPr>
          <w:bCs/>
        </w:rPr>
        <w:t>ACTCOSS recognises that clinician engagement with carers and families has long been a problematic area of mental health services, particularly in acute and inpatient services.</w:t>
      </w:r>
      <w:r w:rsidR="000F30E1">
        <w:rPr>
          <w:bCs/>
        </w:rPr>
        <w:t xml:space="preserve"> </w:t>
      </w:r>
      <w:r w:rsidRPr="003F5788">
        <w:rPr>
          <w:bCs/>
        </w:rPr>
        <w:t>ACTCOSS emphasises that this initiative must focus on building sustainable capacity and capability for carer engagement within the clinical service and looks forward to seeing what this service will deliver in practice.</w:t>
      </w:r>
    </w:p>
    <w:p w14:paraId="5E936844" w14:textId="77777777" w:rsidR="003F5788" w:rsidRPr="003F5788" w:rsidRDefault="003F5788" w:rsidP="008F5C02">
      <w:pPr>
        <w:pStyle w:val="Body"/>
      </w:pPr>
      <w:r w:rsidRPr="003F5788">
        <w:t>The other services which the community sector prioritised for investment that have been included in the Budget are:</w:t>
      </w:r>
    </w:p>
    <w:p w14:paraId="0B3ED325" w14:textId="4B8C411B" w:rsidR="003F5788" w:rsidRPr="003F5788" w:rsidRDefault="003F5788" w:rsidP="008F5C02">
      <w:pPr>
        <w:pStyle w:val="ListBullet"/>
      </w:pPr>
      <w:r w:rsidRPr="003F5788">
        <w:t>$771,000 over the next</w:t>
      </w:r>
      <w:r w:rsidR="0041717C">
        <w:t xml:space="preserve"> four </w:t>
      </w:r>
      <w:r w:rsidRPr="003F5788">
        <w:t>years to establish a dedicated multidisciplinary Transvaginal Mesh Service.</w:t>
      </w:r>
      <w:r w:rsidR="000F30E1">
        <w:t xml:space="preserve"> </w:t>
      </w:r>
      <w:r w:rsidRPr="003F5788">
        <w:t>ACTCOSS welcomes this investment and emphasises the importance that future services offered are co-designed with consumers</w:t>
      </w:r>
    </w:p>
    <w:p w14:paraId="5A9DF0D7" w14:textId="6CB9D716" w:rsidR="003F5788" w:rsidRPr="008F5C02" w:rsidRDefault="003F5788" w:rsidP="008F5C02">
      <w:pPr>
        <w:pStyle w:val="ListBullet"/>
      </w:pPr>
      <w:r w:rsidRPr="003F5788">
        <w:t xml:space="preserve">$10.5 million over the next </w:t>
      </w:r>
      <w:r w:rsidR="00122FB0">
        <w:t xml:space="preserve">three </w:t>
      </w:r>
      <w:r w:rsidRPr="003F5788">
        <w:t xml:space="preserve">years to implement all 20 recommendations from the </w:t>
      </w:r>
      <w:r w:rsidRPr="003F5788">
        <w:rPr>
          <w:i/>
          <w:iCs/>
        </w:rPr>
        <w:t>Independent Review into the Workplace Culture within ACT Public Health Services</w:t>
      </w:r>
      <w:r w:rsidRPr="003F5788">
        <w:t>.</w:t>
      </w:r>
      <w:r w:rsidR="000F30E1">
        <w:t xml:space="preserve"> </w:t>
      </w:r>
      <w:r w:rsidRPr="003F5788">
        <w:t xml:space="preserve">ACTCOSS welcomes this investment and </w:t>
      </w:r>
      <w:r w:rsidRPr="00122FB0">
        <w:t>highlights Recommendation 6</w:t>
      </w:r>
      <w:r w:rsidRPr="003F5788">
        <w:t xml:space="preserve"> that states ACT Health should re-</w:t>
      </w:r>
      <w:r w:rsidR="00122FB0">
        <w:t>e</w:t>
      </w:r>
      <w:r w:rsidRPr="003F5788">
        <w:t>stablish open lines of communication with the NGO sector and other external stakeholders, and to support the proposal by Alcohol Tobacco and Other Drug Association ACT and the Mental Health Community Coalition ACT to establish a peak NGO Leadership Group to facilitate this new partnership</w:t>
      </w:r>
    </w:p>
    <w:p w14:paraId="6321D091" w14:textId="483BBC35" w:rsidR="003F5788" w:rsidRPr="003F5788" w:rsidRDefault="003F5788" w:rsidP="008F5C02">
      <w:pPr>
        <w:pStyle w:val="ListBullet"/>
      </w:pPr>
      <w:r w:rsidRPr="003F5788">
        <w:t xml:space="preserve">$8.4 million over the next </w:t>
      </w:r>
      <w:r w:rsidR="00A74E34">
        <w:t xml:space="preserve">four </w:t>
      </w:r>
      <w:r w:rsidRPr="003F5788">
        <w:t xml:space="preserve">years in capital spending to establish the Dickson Walk-in Centre, and $10.4 million over the next </w:t>
      </w:r>
      <w:r w:rsidR="00A74E34">
        <w:t xml:space="preserve">four </w:t>
      </w:r>
      <w:r w:rsidRPr="003F5788">
        <w:t>years to support the operations at the Weston Creek Walk-in Centre due to open in 2019-20.</w:t>
      </w:r>
      <w:r w:rsidR="000F30E1">
        <w:t xml:space="preserve"> </w:t>
      </w:r>
      <w:r w:rsidRPr="00B80AFF">
        <w:t xml:space="preserve">ACTCOSS welcomes the investment in the Dickson Walk-in Centre which was highlighted in our 2018-19 </w:t>
      </w:r>
      <w:r w:rsidR="00EB7C85">
        <w:t>B</w:t>
      </w:r>
      <w:r w:rsidRPr="00B80AFF">
        <w:t>udget submission</w:t>
      </w:r>
    </w:p>
    <w:p w14:paraId="15D2E179" w14:textId="0377A333" w:rsidR="003F5788" w:rsidRPr="003F5788" w:rsidRDefault="003F5788" w:rsidP="008F5C02">
      <w:pPr>
        <w:pStyle w:val="ListBullet"/>
      </w:pPr>
      <w:r w:rsidRPr="006179B9">
        <w:t xml:space="preserve">$2.4 million beginning in 2020-21 for </w:t>
      </w:r>
      <w:r w:rsidR="00EB7C85">
        <w:t xml:space="preserve">three </w:t>
      </w:r>
      <w:r w:rsidRPr="006179B9">
        <w:t>years to establish an opioid maintenance treatment clinic in Canberra’s north.</w:t>
      </w:r>
      <w:r w:rsidR="000F30E1">
        <w:t xml:space="preserve"> </w:t>
      </w:r>
      <w:r w:rsidRPr="006179B9">
        <w:t xml:space="preserve">ACTCOSS </w:t>
      </w:r>
      <w:r w:rsidR="002573CE" w:rsidRPr="006179B9">
        <w:t xml:space="preserve">cautiously </w:t>
      </w:r>
      <w:r w:rsidRPr="006179B9">
        <w:t>welcomes this investment</w:t>
      </w:r>
      <w:r w:rsidR="000050BB" w:rsidRPr="006179B9">
        <w:t>,</w:t>
      </w:r>
      <w:r w:rsidR="006179B9">
        <w:t xml:space="preserve"> the need for which was first flagged in 2011,</w:t>
      </w:r>
      <w:r w:rsidR="000050BB" w:rsidRPr="006179B9">
        <w:t xml:space="preserve"> however</w:t>
      </w:r>
      <w:r w:rsidR="00EB7C85">
        <w:t>, we</w:t>
      </w:r>
      <w:r w:rsidR="000050BB" w:rsidRPr="006179B9">
        <w:t xml:space="preserve"> note </w:t>
      </w:r>
      <w:r w:rsidR="00654CC7">
        <w:t xml:space="preserve">it </w:t>
      </w:r>
      <w:r w:rsidR="006179B9">
        <w:t xml:space="preserve">will </w:t>
      </w:r>
      <w:r w:rsidR="003359DA">
        <w:t xml:space="preserve">be administered directly by Canberra Health Services mirroring the Tier 1 services at </w:t>
      </w:r>
      <w:r w:rsidR="00D32770">
        <w:t>The Canberra Hospital</w:t>
      </w:r>
      <w:r w:rsidR="003359DA">
        <w:t>.</w:t>
      </w:r>
      <w:r w:rsidR="000F30E1">
        <w:t xml:space="preserve"> </w:t>
      </w:r>
      <w:r w:rsidR="003359DA">
        <w:t xml:space="preserve">ACTCOSS particularly notes this new initiative does not address the </w:t>
      </w:r>
      <w:r w:rsidR="00B1542B">
        <w:t>crisis the ACT is experiencing where 300 Canberrans on Tier 2 and Tier 3 of opioid maintenance treatment will not be able to access opioid replacement therapy via bulk-billed primary care in Canberra city from July 2019</w:t>
      </w:r>
    </w:p>
    <w:p w14:paraId="39FD853D" w14:textId="263F36AD" w:rsidR="003F5788" w:rsidRPr="008F5C02" w:rsidRDefault="003F5788" w:rsidP="008F5C02">
      <w:pPr>
        <w:pStyle w:val="ListBullet"/>
      </w:pPr>
      <w:r w:rsidRPr="003F5788">
        <w:t xml:space="preserve">$2.9 million over the next </w:t>
      </w:r>
      <w:r w:rsidR="00B71D92">
        <w:t xml:space="preserve">four </w:t>
      </w:r>
      <w:r w:rsidRPr="003F5788">
        <w:t>years to expand early intervention and diversion programs for people experiencing alcohol and drug dependence in contact</w:t>
      </w:r>
      <w:r w:rsidR="00B71D92">
        <w:t>,</w:t>
      </w:r>
      <w:r w:rsidRPr="003F5788">
        <w:t xml:space="preserve"> or at risk of contact, with the justice system.</w:t>
      </w:r>
      <w:r w:rsidR="000F30E1">
        <w:t xml:space="preserve"> </w:t>
      </w:r>
      <w:r w:rsidRPr="003F5788">
        <w:t xml:space="preserve">ACTCOSS </w:t>
      </w:r>
      <w:r w:rsidR="00B71D92">
        <w:t xml:space="preserve">notes </w:t>
      </w:r>
      <w:r w:rsidRPr="003F5788">
        <w:t>there is little information regarding how this may complement existing diversion programs, and strongly urges that community sector specialist services in this space are consulted regarding this initiative.</w:t>
      </w:r>
      <w:r w:rsidR="000F30E1">
        <w:t xml:space="preserve"> </w:t>
      </w:r>
    </w:p>
    <w:p w14:paraId="4DED4F26" w14:textId="77777777" w:rsidR="003F5788" w:rsidRPr="003F5788" w:rsidRDefault="003F5788" w:rsidP="008F5C02">
      <w:pPr>
        <w:pStyle w:val="Body"/>
      </w:pPr>
      <w:r w:rsidRPr="003F5788">
        <w:t>ACTCOSS notes the following gaps have not been addressed in this Budget:</w:t>
      </w:r>
    </w:p>
    <w:p w14:paraId="060767A9" w14:textId="3EB35273" w:rsidR="003F5788" w:rsidRPr="003F5788" w:rsidRDefault="003F5788" w:rsidP="008F5C02">
      <w:pPr>
        <w:pStyle w:val="ListBullet"/>
      </w:pPr>
      <w:r w:rsidRPr="003F5788">
        <w:t>A lack of explicit reference to trauma-informed care and practice, despite such an approach constituting an ideal consumer-centred care model</w:t>
      </w:r>
    </w:p>
    <w:p w14:paraId="271C7C70" w14:textId="018943A8" w:rsidR="003F5788" w:rsidRPr="008F5C02" w:rsidRDefault="003F5788" w:rsidP="003F5788">
      <w:pPr>
        <w:pStyle w:val="ListBullet"/>
      </w:pPr>
      <w:r w:rsidRPr="003F5788">
        <w:t xml:space="preserve">A lack of information regarding any changes to the location and continuity of services provided by the Canberra Sexual Health Centre currently located in Building 5 at </w:t>
      </w:r>
      <w:r w:rsidR="00D32770">
        <w:t>The Canberra Hospital</w:t>
      </w:r>
      <w:r w:rsidRPr="003F5788">
        <w:t xml:space="preserve"> – land currently slated for the new SPIRE Centre.</w:t>
      </w:r>
      <w:r w:rsidR="000F30E1">
        <w:t xml:space="preserve"> </w:t>
      </w:r>
      <w:r w:rsidRPr="003F5788">
        <w:t xml:space="preserve">Also missing </w:t>
      </w:r>
      <w:r w:rsidR="0000165C">
        <w:t>is</w:t>
      </w:r>
      <w:r w:rsidRPr="003F5788">
        <w:t xml:space="preserve"> information regarding plans for a sexual health centre in the </w:t>
      </w:r>
      <w:r w:rsidR="00C0657A">
        <w:t>n</w:t>
      </w:r>
      <w:r w:rsidRPr="003F5788">
        <w:t>orthside to meet needs borne out of population growth.</w:t>
      </w:r>
    </w:p>
    <w:p w14:paraId="0ADE9DD2" w14:textId="77777777" w:rsidR="003F5788" w:rsidRPr="003F5788" w:rsidRDefault="003F5788" w:rsidP="008F5C02">
      <w:pPr>
        <w:pStyle w:val="snapTabletitle"/>
        <w:rPr>
          <w:b w:val="0"/>
        </w:rPr>
      </w:pPr>
      <w:r w:rsidRPr="003F5788">
        <w:t>Table 3.2.2: Expense initiatives</w:t>
      </w:r>
    </w:p>
    <w:tbl>
      <w:tblPr>
        <w:tblW w:w="5000" w:type="pct"/>
        <w:tblLayout w:type="fixed"/>
        <w:tblCellMar>
          <w:left w:w="30" w:type="dxa"/>
          <w:right w:w="30" w:type="dxa"/>
        </w:tblCellMar>
        <w:tblLook w:val="0000" w:firstRow="0" w:lastRow="0" w:firstColumn="0" w:lastColumn="0" w:noHBand="0" w:noVBand="0"/>
      </w:tblPr>
      <w:tblGrid>
        <w:gridCol w:w="4844"/>
        <w:gridCol w:w="959"/>
        <w:gridCol w:w="959"/>
        <w:gridCol w:w="958"/>
        <w:gridCol w:w="959"/>
        <w:gridCol w:w="959"/>
      </w:tblGrid>
      <w:tr w:rsidR="003F5788" w:rsidRPr="003F5788" w14:paraId="27CEDFDE" w14:textId="77777777" w:rsidTr="008F5C02">
        <w:trPr>
          <w:cantSplit/>
          <w:trHeight w:val="227"/>
          <w:tblHeader/>
        </w:trPr>
        <w:tc>
          <w:tcPr>
            <w:tcW w:w="4559" w:type="dxa"/>
            <w:tcBorders>
              <w:top w:val="single" w:sz="4" w:space="0" w:color="auto"/>
              <w:left w:val="nil"/>
              <w:bottom w:val="nil"/>
              <w:right w:val="nil"/>
            </w:tcBorders>
            <w:shd w:val="clear" w:color="auto" w:fill="auto"/>
            <w:vAlign w:val="center"/>
          </w:tcPr>
          <w:p w14:paraId="19593F8F" w14:textId="77777777" w:rsidR="003F5788" w:rsidRPr="003F5788" w:rsidRDefault="003F5788" w:rsidP="003F5788">
            <w:pPr>
              <w:ind w:left="227" w:hanging="227"/>
              <w:rPr>
                <w:rFonts w:ascii="Calibri" w:hAnsi="Calibri"/>
                <w:b/>
                <w:bCs/>
                <w:sz w:val="20"/>
                <w:szCs w:val="20"/>
                <w:lang w:eastAsia="en-AU"/>
              </w:rPr>
            </w:pPr>
            <w:r w:rsidRPr="003F5788">
              <w:rPr>
                <w:rFonts w:ascii="Calibri" w:hAnsi="Calibri"/>
                <w:b/>
                <w:bCs/>
                <w:sz w:val="20"/>
                <w:szCs w:val="20"/>
                <w:lang w:eastAsia="en-AU"/>
              </w:rPr>
              <w:t>Expense initiatives</w:t>
            </w:r>
          </w:p>
        </w:tc>
        <w:tc>
          <w:tcPr>
            <w:tcW w:w="902" w:type="dxa"/>
            <w:tcBorders>
              <w:top w:val="single" w:sz="4" w:space="0" w:color="auto"/>
              <w:left w:val="nil"/>
              <w:bottom w:val="nil"/>
              <w:right w:val="nil"/>
            </w:tcBorders>
            <w:shd w:val="clear" w:color="auto" w:fill="auto"/>
            <w:vAlign w:val="bottom"/>
          </w:tcPr>
          <w:p w14:paraId="0FE80241" w14:textId="77777777" w:rsidR="003F5788" w:rsidRPr="003F5788" w:rsidRDefault="003F5788" w:rsidP="003F5788">
            <w:pPr>
              <w:ind w:left="227" w:hanging="227"/>
              <w:jc w:val="right"/>
              <w:rPr>
                <w:rFonts w:ascii="Calibri" w:hAnsi="Calibri"/>
                <w:b/>
                <w:sz w:val="20"/>
                <w:szCs w:val="20"/>
                <w:lang w:eastAsia="en-AU"/>
              </w:rPr>
            </w:pPr>
            <w:r w:rsidRPr="003F5788">
              <w:rPr>
                <w:rFonts w:ascii="Calibri" w:hAnsi="Calibri"/>
                <w:b/>
                <w:sz w:val="20"/>
                <w:szCs w:val="20"/>
                <w:lang w:eastAsia="en-AU"/>
              </w:rPr>
              <w:t>2019-20</w:t>
            </w:r>
          </w:p>
          <w:p w14:paraId="52AB3F05" w14:textId="77777777" w:rsidR="003F5788" w:rsidRPr="003F5788" w:rsidRDefault="003F5788" w:rsidP="003F5788">
            <w:pPr>
              <w:ind w:left="227" w:hanging="227"/>
              <w:jc w:val="right"/>
              <w:rPr>
                <w:rFonts w:ascii="Calibri" w:hAnsi="Calibri"/>
                <w:b/>
                <w:sz w:val="20"/>
                <w:szCs w:val="20"/>
                <w:lang w:eastAsia="en-AU"/>
              </w:rPr>
            </w:pPr>
            <w:r w:rsidRPr="003F5788">
              <w:rPr>
                <w:rFonts w:ascii="Calibri" w:hAnsi="Calibri"/>
                <w:b/>
                <w:sz w:val="20"/>
                <w:szCs w:val="20"/>
                <w:lang w:eastAsia="en-AU"/>
              </w:rPr>
              <w:t>Estimate</w:t>
            </w:r>
          </w:p>
          <w:p w14:paraId="0E9D80A1" w14:textId="77777777" w:rsidR="003F5788" w:rsidRPr="003F5788" w:rsidRDefault="003F5788" w:rsidP="003F5788">
            <w:pPr>
              <w:ind w:left="227" w:hanging="227"/>
              <w:jc w:val="right"/>
              <w:rPr>
                <w:rFonts w:ascii="Calibri" w:hAnsi="Calibri"/>
                <w:b/>
                <w:sz w:val="20"/>
                <w:szCs w:val="20"/>
                <w:lang w:eastAsia="en-AU"/>
              </w:rPr>
            </w:pPr>
            <w:r w:rsidRPr="003F5788">
              <w:rPr>
                <w:rFonts w:ascii="Calibri" w:hAnsi="Calibri"/>
                <w:b/>
                <w:sz w:val="20"/>
                <w:szCs w:val="20"/>
                <w:lang w:eastAsia="en-AU"/>
              </w:rPr>
              <w:t>$’000</w:t>
            </w:r>
          </w:p>
        </w:tc>
        <w:tc>
          <w:tcPr>
            <w:tcW w:w="903" w:type="dxa"/>
            <w:tcBorders>
              <w:top w:val="single" w:sz="4" w:space="0" w:color="auto"/>
              <w:left w:val="nil"/>
              <w:bottom w:val="nil"/>
              <w:right w:val="nil"/>
            </w:tcBorders>
            <w:shd w:val="clear" w:color="auto" w:fill="auto"/>
            <w:vAlign w:val="bottom"/>
          </w:tcPr>
          <w:p w14:paraId="4B5C63D9" w14:textId="77777777" w:rsidR="003F5788" w:rsidRPr="003F5788" w:rsidRDefault="003F5788" w:rsidP="003F5788">
            <w:pPr>
              <w:ind w:left="227" w:hanging="227"/>
              <w:jc w:val="right"/>
              <w:rPr>
                <w:rFonts w:ascii="Calibri" w:hAnsi="Calibri"/>
                <w:b/>
                <w:sz w:val="20"/>
                <w:szCs w:val="20"/>
                <w:lang w:eastAsia="en-AU"/>
              </w:rPr>
            </w:pPr>
            <w:r w:rsidRPr="003F5788">
              <w:rPr>
                <w:rFonts w:ascii="Calibri" w:hAnsi="Calibri"/>
                <w:b/>
                <w:sz w:val="20"/>
                <w:szCs w:val="20"/>
                <w:lang w:eastAsia="en-AU"/>
              </w:rPr>
              <w:t>2020-21</w:t>
            </w:r>
          </w:p>
          <w:p w14:paraId="326F60FD" w14:textId="77777777" w:rsidR="003F5788" w:rsidRPr="003F5788" w:rsidRDefault="003F5788" w:rsidP="003F5788">
            <w:pPr>
              <w:ind w:left="227" w:hanging="227"/>
              <w:jc w:val="right"/>
              <w:rPr>
                <w:rFonts w:ascii="Calibri" w:hAnsi="Calibri"/>
                <w:b/>
                <w:sz w:val="20"/>
                <w:szCs w:val="20"/>
                <w:lang w:eastAsia="en-AU"/>
              </w:rPr>
            </w:pPr>
            <w:r w:rsidRPr="003F5788">
              <w:rPr>
                <w:rFonts w:ascii="Calibri" w:hAnsi="Calibri"/>
                <w:b/>
                <w:sz w:val="20"/>
                <w:szCs w:val="20"/>
                <w:lang w:eastAsia="en-AU"/>
              </w:rPr>
              <w:t>Estimate</w:t>
            </w:r>
          </w:p>
          <w:p w14:paraId="75E885A0" w14:textId="77777777" w:rsidR="003F5788" w:rsidRPr="003F5788" w:rsidRDefault="003F5788" w:rsidP="003F5788">
            <w:pPr>
              <w:ind w:left="227" w:hanging="227"/>
              <w:jc w:val="right"/>
              <w:rPr>
                <w:rFonts w:ascii="Calibri" w:hAnsi="Calibri"/>
                <w:b/>
                <w:sz w:val="20"/>
                <w:szCs w:val="20"/>
                <w:lang w:eastAsia="en-AU"/>
              </w:rPr>
            </w:pPr>
            <w:r w:rsidRPr="003F5788">
              <w:rPr>
                <w:rFonts w:ascii="Calibri" w:hAnsi="Calibri"/>
                <w:b/>
                <w:sz w:val="20"/>
                <w:szCs w:val="20"/>
                <w:lang w:eastAsia="en-AU"/>
              </w:rPr>
              <w:t>$’000</w:t>
            </w:r>
          </w:p>
        </w:tc>
        <w:tc>
          <w:tcPr>
            <w:tcW w:w="902" w:type="dxa"/>
            <w:tcBorders>
              <w:top w:val="single" w:sz="4" w:space="0" w:color="auto"/>
              <w:left w:val="nil"/>
              <w:bottom w:val="nil"/>
              <w:right w:val="nil"/>
            </w:tcBorders>
            <w:shd w:val="clear" w:color="auto" w:fill="auto"/>
            <w:vAlign w:val="bottom"/>
          </w:tcPr>
          <w:p w14:paraId="745B4268" w14:textId="77777777" w:rsidR="003F5788" w:rsidRPr="003F5788" w:rsidRDefault="003F5788" w:rsidP="003F5788">
            <w:pPr>
              <w:ind w:left="227" w:hanging="227"/>
              <w:jc w:val="right"/>
              <w:rPr>
                <w:rFonts w:ascii="Calibri" w:hAnsi="Calibri"/>
                <w:b/>
                <w:sz w:val="20"/>
                <w:szCs w:val="20"/>
                <w:lang w:eastAsia="en-AU"/>
              </w:rPr>
            </w:pPr>
            <w:r w:rsidRPr="003F5788">
              <w:rPr>
                <w:rFonts w:ascii="Calibri" w:hAnsi="Calibri"/>
                <w:b/>
                <w:sz w:val="20"/>
                <w:szCs w:val="20"/>
                <w:lang w:eastAsia="en-AU"/>
              </w:rPr>
              <w:t>2021-22</w:t>
            </w:r>
          </w:p>
          <w:p w14:paraId="6C0F9693" w14:textId="77777777" w:rsidR="003F5788" w:rsidRPr="003F5788" w:rsidRDefault="003F5788" w:rsidP="003F5788">
            <w:pPr>
              <w:ind w:left="227" w:hanging="227"/>
              <w:jc w:val="right"/>
              <w:rPr>
                <w:rFonts w:ascii="Calibri" w:hAnsi="Calibri"/>
                <w:b/>
                <w:sz w:val="20"/>
                <w:szCs w:val="20"/>
                <w:lang w:eastAsia="en-AU"/>
              </w:rPr>
            </w:pPr>
            <w:r w:rsidRPr="003F5788">
              <w:rPr>
                <w:rFonts w:ascii="Calibri" w:hAnsi="Calibri"/>
                <w:b/>
                <w:sz w:val="20"/>
                <w:szCs w:val="20"/>
                <w:lang w:eastAsia="en-AU"/>
              </w:rPr>
              <w:t>Estimate</w:t>
            </w:r>
          </w:p>
          <w:p w14:paraId="2D107CEA" w14:textId="77777777" w:rsidR="003F5788" w:rsidRPr="003F5788" w:rsidRDefault="003F5788" w:rsidP="003F5788">
            <w:pPr>
              <w:ind w:left="227" w:hanging="227"/>
              <w:jc w:val="right"/>
              <w:rPr>
                <w:rFonts w:ascii="Calibri" w:hAnsi="Calibri"/>
                <w:b/>
                <w:sz w:val="20"/>
                <w:szCs w:val="20"/>
                <w:lang w:eastAsia="en-AU"/>
              </w:rPr>
            </w:pPr>
            <w:r w:rsidRPr="003F5788">
              <w:rPr>
                <w:rFonts w:ascii="Calibri" w:hAnsi="Calibri"/>
                <w:b/>
                <w:sz w:val="20"/>
                <w:szCs w:val="20"/>
                <w:lang w:eastAsia="en-AU"/>
              </w:rPr>
              <w:t>$’000</w:t>
            </w:r>
          </w:p>
        </w:tc>
        <w:tc>
          <w:tcPr>
            <w:tcW w:w="903" w:type="dxa"/>
            <w:tcBorders>
              <w:top w:val="single" w:sz="4" w:space="0" w:color="auto"/>
              <w:left w:val="nil"/>
              <w:bottom w:val="nil"/>
              <w:right w:val="nil"/>
            </w:tcBorders>
            <w:shd w:val="clear" w:color="auto" w:fill="auto"/>
            <w:vAlign w:val="bottom"/>
          </w:tcPr>
          <w:p w14:paraId="6C94EC0E" w14:textId="77777777" w:rsidR="003F5788" w:rsidRPr="003F5788" w:rsidRDefault="003F5788" w:rsidP="003F5788">
            <w:pPr>
              <w:ind w:left="227" w:hanging="227"/>
              <w:jc w:val="right"/>
              <w:rPr>
                <w:rFonts w:ascii="Calibri" w:hAnsi="Calibri"/>
                <w:b/>
                <w:sz w:val="20"/>
                <w:szCs w:val="20"/>
                <w:lang w:eastAsia="en-AU"/>
              </w:rPr>
            </w:pPr>
            <w:r w:rsidRPr="003F5788">
              <w:rPr>
                <w:rFonts w:ascii="Calibri" w:hAnsi="Calibri"/>
                <w:b/>
                <w:sz w:val="20"/>
                <w:szCs w:val="20"/>
                <w:lang w:eastAsia="en-AU"/>
              </w:rPr>
              <w:t>2022-23</w:t>
            </w:r>
          </w:p>
          <w:p w14:paraId="2830C721" w14:textId="77777777" w:rsidR="003F5788" w:rsidRPr="003F5788" w:rsidRDefault="003F5788" w:rsidP="003F5788">
            <w:pPr>
              <w:ind w:left="227" w:hanging="227"/>
              <w:jc w:val="right"/>
              <w:rPr>
                <w:rFonts w:ascii="Calibri" w:hAnsi="Calibri"/>
                <w:b/>
                <w:sz w:val="20"/>
                <w:szCs w:val="20"/>
                <w:lang w:eastAsia="en-AU"/>
              </w:rPr>
            </w:pPr>
            <w:r w:rsidRPr="003F5788">
              <w:rPr>
                <w:rFonts w:ascii="Calibri" w:hAnsi="Calibri"/>
                <w:b/>
                <w:sz w:val="20"/>
                <w:szCs w:val="20"/>
                <w:lang w:eastAsia="en-AU"/>
              </w:rPr>
              <w:t>Estimate</w:t>
            </w:r>
          </w:p>
          <w:p w14:paraId="72540225" w14:textId="77777777" w:rsidR="003F5788" w:rsidRPr="003F5788" w:rsidRDefault="003F5788" w:rsidP="003F5788">
            <w:pPr>
              <w:ind w:left="227" w:hanging="227"/>
              <w:jc w:val="right"/>
              <w:rPr>
                <w:rFonts w:ascii="Calibri" w:hAnsi="Calibri"/>
                <w:b/>
                <w:sz w:val="20"/>
                <w:szCs w:val="20"/>
                <w:lang w:eastAsia="en-AU"/>
              </w:rPr>
            </w:pPr>
            <w:r w:rsidRPr="003F5788">
              <w:rPr>
                <w:rFonts w:ascii="Calibri" w:hAnsi="Calibri"/>
                <w:b/>
                <w:sz w:val="20"/>
                <w:szCs w:val="20"/>
                <w:lang w:eastAsia="en-AU"/>
              </w:rPr>
              <w:t>$’000</w:t>
            </w:r>
          </w:p>
        </w:tc>
        <w:tc>
          <w:tcPr>
            <w:tcW w:w="903" w:type="dxa"/>
            <w:tcBorders>
              <w:top w:val="single" w:sz="4" w:space="0" w:color="auto"/>
              <w:left w:val="nil"/>
              <w:bottom w:val="nil"/>
              <w:right w:val="nil"/>
            </w:tcBorders>
            <w:shd w:val="clear" w:color="auto" w:fill="auto"/>
          </w:tcPr>
          <w:p w14:paraId="1BE33862" w14:textId="77777777" w:rsidR="003F5788" w:rsidRPr="003F5788" w:rsidRDefault="003F5788" w:rsidP="003F5788">
            <w:pPr>
              <w:ind w:left="227" w:hanging="227"/>
              <w:jc w:val="right"/>
              <w:rPr>
                <w:rFonts w:ascii="Calibri" w:hAnsi="Calibri"/>
                <w:b/>
                <w:snapToGrid w:val="0"/>
                <w:sz w:val="20"/>
                <w:szCs w:val="20"/>
                <w:lang w:eastAsia="en-AU"/>
              </w:rPr>
            </w:pPr>
            <w:r w:rsidRPr="003F5788">
              <w:rPr>
                <w:rFonts w:ascii="Calibri" w:hAnsi="Calibri"/>
                <w:b/>
                <w:snapToGrid w:val="0"/>
                <w:sz w:val="20"/>
                <w:szCs w:val="20"/>
                <w:lang w:eastAsia="en-AU"/>
              </w:rPr>
              <w:t>Total</w:t>
            </w:r>
          </w:p>
          <w:p w14:paraId="76F6D3A7" w14:textId="77777777" w:rsidR="003F5788" w:rsidRPr="003F5788" w:rsidRDefault="003F5788" w:rsidP="003F5788">
            <w:pPr>
              <w:ind w:left="227" w:hanging="227"/>
              <w:jc w:val="right"/>
              <w:rPr>
                <w:rFonts w:ascii="Calibri" w:hAnsi="Calibri"/>
                <w:b/>
                <w:snapToGrid w:val="0"/>
                <w:sz w:val="20"/>
                <w:szCs w:val="20"/>
                <w:lang w:eastAsia="en-AU"/>
              </w:rPr>
            </w:pPr>
          </w:p>
          <w:p w14:paraId="76229584" w14:textId="77777777" w:rsidR="003F5788" w:rsidRPr="003F5788" w:rsidRDefault="003F5788" w:rsidP="003F5788">
            <w:pPr>
              <w:ind w:left="227" w:hanging="227"/>
              <w:jc w:val="right"/>
              <w:rPr>
                <w:rFonts w:ascii="Calibri" w:hAnsi="Calibri"/>
                <w:b/>
                <w:snapToGrid w:val="0"/>
                <w:sz w:val="20"/>
                <w:szCs w:val="20"/>
                <w:lang w:eastAsia="en-AU"/>
              </w:rPr>
            </w:pPr>
            <w:r w:rsidRPr="003F5788">
              <w:rPr>
                <w:rFonts w:ascii="Calibri" w:hAnsi="Calibri"/>
                <w:b/>
                <w:snapToGrid w:val="0"/>
                <w:sz w:val="20"/>
                <w:szCs w:val="20"/>
                <w:lang w:eastAsia="en-AU"/>
              </w:rPr>
              <w:t>$’000</w:t>
            </w:r>
          </w:p>
        </w:tc>
      </w:tr>
      <w:tr w:rsidR="003F5788" w:rsidRPr="003F5788" w14:paraId="1359A361" w14:textId="77777777" w:rsidTr="008F5C02">
        <w:trPr>
          <w:cantSplit/>
          <w:trHeight w:val="227"/>
        </w:trPr>
        <w:tc>
          <w:tcPr>
            <w:tcW w:w="4559" w:type="dxa"/>
            <w:shd w:val="clear" w:color="auto" w:fill="auto"/>
            <w:vAlign w:val="bottom"/>
          </w:tcPr>
          <w:p w14:paraId="466F0550" w14:textId="77777777" w:rsidR="003F5788" w:rsidRPr="003F5788" w:rsidRDefault="003F5788" w:rsidP="003F5788">
            <w:pPr>
              <w:ind w:left="227" w:hanging="227"/>
              <w:jc w:val="right"/>
              <w:rPr>
                <w:rFonts w:ascii="Calibri" w:hAnsi="Calibri"/>
                <w:sz w:val="20"/>
                <w:szCs w:val="20"/>
                <w:lang w:eastAsia="en-AU"/>
              </w:rPr>
            </w:pPr>
          </w:p>
        </w:tc>
        <w:tc>
          <w:tcPr>
            <w:tcW w:w="902" w:type="dxa"/>
            <w:shd w:val="clear" w:color="auto" w:fill="auto"/>
          </w:tcPr>
          <w:p w14:paraId="2C2BBAB6" w14:textId="77777777" w:rsidR="003F5788" w:rsidRPr="003F5788" w:rsidRDefault="003F5788" w:rsidP="003F5788">
            <w:pPr>
              <w:framePr w:wrap="around" w:vAnchor="text" w:hAnchor="text" w:y="1"/>
              <w:jc w:val="right"/>
              <w:rPr>
                <w:rFonts w:ascii="Calibri" w:hAnsi="Calibri"/>
                <w:b/>
                <w:sz w:val="20"/>
                <w:szCs w:val="20"/>
                <w:lang w:eastAsia="en-US"/>
              </w:rPr>
            </w:pPr>
          </w:p>
        </w:tc>
        <w:tc>
          <w:tcPr>
            <w:tcW w:w="903" w:type="dxa"/>
            <w:shd w:val="clear" w:color="auto" w:fill="auto"/>
          </w:tcPr>
          <w:p w14:paraId="24A69A22" w14:textId="77777777" w:rsidR="003F5788" w:rsidRPr="003F5788" w:rsidRDefault="003F5788" w:rsidP="003F5788">
            <w:pPr>
              <w:framePr w:wrap="around" w:vAnchor="text" w:hAnchor="text" w:y="1"/>
              <w:jc w:val="right"/>
              <w:rPr>
                <w:rFonts w:ascii="Calibri" w:hAnsi="Calibri"/>
                <w:b/>
                <w:sz w:val="20"/>
                <w:szCs w:val="20"/>
                <w:lang w:eastAsia="en-US"/>
              </w:rPr>
            </w:pPr>
          </w:p>
        </w:tc>
        <w:tc>
          <w:tcPr>
            <w:tcW w:w="902" w:type="dxa"/>
            <w:shd w:val="clear" w:color="auto" w:fill="auto"/>
          </w:tcPr>
          <w:p w14:paraId="2673BECE" w14:textId="77777777" w:rsidR="003F5788" w:rsidRPr="003F5788" w:rsidRDefault="003F5788" w:rsidP="003F5788">
            <w:pPr>
              <w:framePr w:wrap="around" w:vAnchor="text" w:hAnchor="text" w:y="1"/>
              <w:jc w:val="right"/>
              <w:rPr>
                <w:rFonts w:ascii="Calibri" w:hAnsi="Calibri"/>
                <w:b/>
                <w:sz w:val="20"/>
                <w:szCs w:val="20"/>
                <w:lang w:eastAsia="en-US"/>
              </w:rPr>
            </w:pPr>
          </w:p>
        </w:tc>
        <w:tc>
          <w:tcPr>
            <w:tcW w:w="903" w:type="dxa"/>
            <w:shd w:val="clear" w:color="auto" w:fill="auto"/>
          </w:tcPr>
          <w:p w14:paraId="416B9E02" w14:textId="77777777" w:rsidR="003F5788" w:rsidRPr="003F5788" w:rsidRDefault="003F5788" w:rsidP="003F5788">
            <w:pPr>
              <w:framePr w:wrap="around" w:vAnchor="text" w:hAnchor="text" w:y="1"/>
              <w:jc w:val="right"/>
              <w:rPr>
                <w:rFonts w:ascii="Calibri" w:hAnsi="Calibri"/>
                <w:b/>
                <w:sz w:val="20"/>
                <w:szCs w:val="20"/>
                <w:lang w:eastAsia="en-US"/>
              </w:rPr>
            </w:pPr>
          </w:p>
        </w:tc>
        <w:tc>
          <w:tcPr>
            <w:tcW w:w="903" w:type="dxa"/>
            <w:shd w:val="clear" w:color="auto" w:fill="auto"/>
          </w:tcPr>
          <w:p w14:paraId="58997CE8" w14:textId="77777777" w:rsidR="003F5788" w:rsidRPr="003F5788" w:rsidRDefault="003F5788" w:rsidP="003F5788">
            <w:pPr>
              <w:framePr w:wrap="around" w:vAnchor="text" w:hAnchor="text" w:y="1"/>
              <w:jc w:val="right"/>
              <w:rPr>
                <w:rFonts w:ascii="Calibri" w:hAnsi="Calibri"/>
                <w:b/>
                <w:sz w:val="20"/>
                <w:szCs w:val="20"/>
                <w:lang w:eastAsia="en-US"/>
              </w:rPr>
            </w:pPr>
          </w:p>
        </w:tc>
      </w:tr>
      <w:tr w:rsidR="003F5788" w:rsidRPr="003F5788" w14:paraId="48B50F71" w14:textId="77777777" w:rsidTr="008F5C02">
        <w:trPr>
          <w:cantSplit/>
          <w:trHeight w:val="227"/>
        </w:trPr>
        <w:tc>
          <w:tcPr>
            <w:tcW w:w="4559" w:type="dxa"/>
            <w:shd w:val="clear" w:color="auto" w:fill="auto"/>
            <w:vAlign w:val="bottom"/>
          </w:tcPr>
          <w:p w14:paraId="70DD8492" w14:textId="77777777" w:rsidR="003F5788" w:rsidRPr="003F5788" w:rsidRDefault="003F5788" w:rsidP="003F5788">
            <w:pPr>
              <w:ind w:left="227" w:hanging="227"/>
              <w:rPr>
                <w:rFonts w:ascii="Calibri" w:hAnsi="Calibri"/>
                <w:b/>
                <w:bCs/>
                <w:sz w:val="20"/>
                <w:szCs w:val="20"/>
                <w:lang w:eastAsia="en-AU"/>
              </w:rPr>
            </w:pPr>
            <w:r w:rsidRPr="003F5788">
              <w:rPr>
                <w:rFonts w:ascii="Calibri" w:hAnsi="Calibri"/>
                <w:b/>
                <w:bCs/>
                <w:sz w:val="20"/>
                <w:szCs w:val="20"/>
                <w:lang w:eastAsia="en-AU"/>
              </w:rPr>
              <w:t>Health Portfolio</w:t>
            </w:r>
          </w:p>
        </w:tc>
        <w:tc>
          <w:tcPr>
            <w:tcW w:w="902" w:type="dxa"/>
            <w:shd w:val="clear" w:color="auto" w:fill="auto"/>
          </w:tcPr>
          <w:p w14:paraId="7D33C80D" w14:textId="77777777" w:rsidR="003F5788" w:rsidRPr="003F5788" w:rsidRDefault="003F5788" w:rsidP="003F5788">
            <w:pPr>
              <w:framePr w:wrap="around" w:vAnchor="text" w:hAnchor="text" w:y="1"/>
              <w:jc w:val="right"/>
              <w:rPr>
                <w:rFonts w:ascii="Calibri" w:hAnsi="Calibri"/>
                <w:b/>
                <w:sz w:val="20"/>
                <w:szCs w:val="20"/>
                <w:lang w:eastAsia="en-US"/>
              </w:rPr>
            </w:pPr>
          </w:p>
        </w:tc>
        <w:tc>
          <w:tcPr>
            <w:tcW w:w="903" w:type="dxa"/>
            <w:shd w:val="clear" w:color="auto" w:fill="auto"/>
          </w:tcPr>
          <w:p w14:paraId="468E9408" w14:textId="77777777" w:rsidR="003F5788" w:rsidRPr="003F5788" w:rsidRDefault="003F5788" w:rsidP="003F5788">
            <w:pPr>
              <w:framePr w:wrap="around" w:vAnchor="text" w:hAnchor="text" w:y="1"/>
              <w:jc w:val="right"/>
              <w:rPr>
                <w:rFonts w:ascii="Calibri" w:hAnsi="Calibri"/>
                <w:b/>
                <w:sz w:val="20"/>
                <w:szCs w:val="20"/>
                <w:lang w:eastAsia="en-US"/>
              </w:rPr>
            </w:pPr>
          </w:p>
        </w:tc>
        <w:tc>
          <w:tcPr>
            <w:tcW w:w="902" w:type="dxa"/>
            <w:shd w:val="clear" w:color="auto" w:fill="auto"/>
          </w:tcPr>
          <w:p w14:paraId="66D1D3BE" w14:textId="77777777" w:rsidR="003F5788" w:rsidRPr="003F5788" w:rsidRDefault="003F5788" w:rsidP="003F5788">
            <w:pPr>
              <w:framePr w:wrap="around" w:vAnchor="text" w:hAnchor="text" w:y="1"/>
              <w:jc w:val="right"/>
              <w:rPr>
                <w:rFonts w:ascii="Calibri" w:hAnsi="Calibri"/>
                <w:b/>
                <w:sz w:val="20"/>
                <w:szCs w:val="20"/>
                <w:lang w:eastAsia="en-US"/>
              </w:rPr>
            </w:pPr>
          </w:p>
        </w:tc>
        <w:tc>
          <w:tcPr>
            <w:tcW w:w="903" w:type="dxa"/>
            <w:shd w:val="clear" w:color="auto" w:fill="auto"/>
          </w:tcPr>
          <w:p w14:paraId="1AB4FBE3" w14:textId="77777777" w:rsidR="003F5788" w:rsidRPr="003F5788" w:rsidRDefault="003F5788" w:rsidP="003F5788">
            <w:pPr>
              <w:framePr w:wrap="around" w:vAnchor="text" w:hAnchor="text" w:y="1"/>
              <w:jc w:val="right"/>
              <w:rPr>
                <w:rFonts w:ascii="Calibri" w:hAnsi="Calibri"/>
                <w:b/>
                <w:sz w:val="20"/>
                <w:szCs w:val="20"/>
                <w:lang w:eastAsia="en-US"/>
              </w:rPr>
            </w:pPr>
          </w:p>
        </w:tc>
        <w:tc>
          <w:tcPr>
            <w:tcW w:w="903" w:type="dxa"/>
            <w:shd w:val="clear" w:color="auto" w:fill="auto"/>
          </w:tcPr>
          <w:p w14:paraId="2C300177" w14:textId="77777777" w:rsidR="003F5788" w:rsidRPr="003F5788" w:rsidRDefault="003F5788" w:rsidP="003F5788">
            <w:pPr>
              <w:framePr w:wrap="around" w:vAnchor="text" w:hAnchor="text" w:y="1"/>
              <w:jc w:val="right"/>
              <w:rPr>
                <w:rFonts w:ascii="Calibri" w:hAnsi="Calibri"/>
                <w:b/>
                <w:sz w:val="20"/>
                <w:szCs w:val="20"/>
                <w:lang w:eastAsia="en-US"/>
              </w:rPr>
            </w:pPr>
          </w:p>
        </w:tc>
      </w:tr>
      <w:tr w:rsidR="003F5788" w:rsidRPr="003F5788" w14:paraId="4C451E6C" w14:textId="77777777" w:rsidTr="008F5C02">
        <w:trPr>
          <w:cantSplit/>
          <w:trHeight w:val="227"/>
        </w:trPr>
        <w:tc>
          <w:tcPr>
            <w:tcW w:w="4559" w:type="dxa"/>
            <w:shd w:val="clear" w:color="auto" w:fill="auto"/>
          </w:tcPr>
          <w:p w14:paraId="651E3A64" w14:textId="77777777" w:rsidR="003F5788" w:rsidRPr="003F5788" w:rsidRDefault="003F5788" w:rsidP="003F5788">
            <w:pPr>
              <w:ind w:left="227" w:hanging="227"/>
              <w:rPr>
                <w:rFonts w:ascii="Calibri" w:hAnsi="Calibri"/>
                <w:bCs/>
                <w:color w:val="000000"/>
                <w:sz w:val="20"/>
                <w:szCs w:val="20"/>
                <w:lang w:eastAsia="en-AU"/>
              </w:rPr>
            </w:pPr>
            <w:r w:rsidRPr="003F5788">
              <w:rPr>
                <w:rFonts w:ascii="Calibri" w:hAnsi="Calibri"/>
                <w:bCs/>
                <w:color w:val="000000"/>
                <w:sz w:val="20"/>
                <w:szCs w:val="20"/>
                <w:lang w:eastAsia="en-AU"/>
              </w:rPr>
              <w:t xml:space="preserve">7-day-a-week Mental Health Consultation Liaison service </w:t>
            </w:r>
          </w:p>
        </w:tc>
        <w:tc>
          <w:tcPr>
            <w:tcW w:w="902" w:type="dxa"/>
            <w:shd w:val="clear" w:color="auto" w:fill="auto"/>
          </w:tcPr>
          <w:p w14:paraId="53B2EE16"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800</w:t>
            </w:r>
          </w:p>
        </w:tc>
        <w:tc>
          <w:tcPr>
            <w:tcW w:w="903" w:type="dxa"/>
            <w:shd w:val="clear" w:color="auto" w:fill="auto"/>
          </w:tcPr>
          <w:p w14:paraId="1264A114"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1,234</w:t>
            </w:r>
          </w:p>
        </w:tc>
        <w:tc>
          <w:tcPr>
            <w:tcW w:w="902" w:type="dxa"/>
            <w:shd w:val="clear" w:color="auto" w:fill="auto"/>
          </w:tcPr>
          <w:p w14:paraId="39844300"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1,266</w:t>
            </w:r>
          </w:p>
        </w:tc>
        <w:tc>
          <w:tcPr>
            <w:tcW w:w="903" w:type="dxa"/>
            <w:shd w:val="clear" w:color="auto" w:fill="auto"/>
          </w:tcPr>
          <w:p w14:paraId="220B1C76"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1,292</w:t>
            </w:r>
          </w:p>
        </w:tc>
        <w:tc>
          <w:tcPr>
            <w:tcW w:w="903" w:type="dxa"/>
            <w:shd w:val="clear" w:color="auto" w:fill="auto"/>
          </w:tcPr>
          <w:p w14:paraId="1F4F9CF5"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4,592</w:t>
            </w:r>
          </w:p>
        </w:tc>
      </w:tr>
      <w:tr w:rsidR="003F5788" w:rsidRPr="003F5788" w14:paraId="60CEFE3C" w14:textId="77777777" w:rsidTr="008F5C02">
        <w:trPr>
          <w:cantSplit/>
          <w:trHeight w:val="227"/>
        </w:trPr>
        <w:tc>
          <w:tcPr>
            <w:tcW w:w="4559" w:type="dxa"/>
            <w:shd w:val="clear" w:color="auto" w:fill="auto"/>
          </w:tcPr>
          <w:p w14:paraId="12ACF0A6" w14:textId="77777777" w:rsidR="003F5788" w:rsidRPr="003F5788" w:rsidRDefault="003F5788" w:rsidP="003F5788">
            <w:pPr>
              <w:ind w:left="227" w:hanging="227"/>
              <w:rPr>
                <w:rFonts w:ascii="Calibri" w:hAnsi="Calibri"/>
                <w:bCs/>
                <w:color w:val="000000"/>
                <w:sz w:val="20"/>
                <w:szCs w:val="20"/>
                <w:lang w:eastAsia="en-AU"/>
              </w:rPr>
            </w:pPr>
            <w:r w:rsidRPr="003F5788">
              <w:rPr>
                <w:rFonts w:ascii="Calibri" w:hAnsi="Calibri"/>
                <w:bCs/>
                <w:color w:val="000000"/>
                <w:sz w:val="20"/>
                <w:szCs w:val="20"/>
                <w:lang w:eastAsia="en-AU"/>
              </w:rPr>
              <w:t xml:space="preserve">ACT Health Core IT Systems to align with the Digital Health Strategy </w:t>
            </w:r>
          </w:p>
        </w:tc>
        <w:tc>
          <w:tcPr>
            <w:tcW w:w="902" w:type="dxa"/>
            <w:shd w:val="clear" w:color="auto" w:fill="auto"/>
          </w:tcPr>
          <w:p w14:paraId="0F98DADD"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2,860</w:t>
            </w:r>
          </w:p>
        </w:tc>
        <w:tc>
          <w:tcPr>
            <w:tcW w:w="903" w:type="dxa"/>
            <w:shd w:val="clear" w:color="auto" w:fill="auto"/>
          </w:tcPr>
          <w:p w14:paraId="7610F97E"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4,625</w:t>
            </w:r>
          </w:p>
        </w:tc>
        <w:tc>
          <w:tcPr>
            <w:tcW w:w="902" w:type="dxa"/>
            <w:shd w:val="clear" w:color="auto" w:fill="auto"/>
          </w:tcPr>
          <w:p w14:paraId="0440533C"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7,975</w:t>
            </w:r>
          </w:p>
        </w:tc>
        <w:tc>
          <w:tcPr>
            <w:tcW w:w="903" w:type="dxa"/>
            <w:shd w:val="clear" w:color="auto" w:fill="auto"/>
          </w:tcPr>
          <w:p w14:paraId="32C5CD09"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4,487</w:t>
            </w:r>
          </w:p>
        </w:tc>
        <w:tc>
          <w:tcPr>
            <w:tcW w:w="903" w:type="dxa"/>
            <w:shd w:val="clear" w:color="auto" w:fill="auto"/>
          </w:tcPr>
          <w:p w14:paraId="69579A80"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19,947</w:t>
            </w:r>
          </w:p>
        </w:tc>
      </w:tr>
      <w:tr w:rsidR="003F5788" w:rsidRPr="003F5788" w14:paraId="0DEDFF37" w14:textId="77777777" w:rsidTr="008F5C02">
        <w:trPr>
          <w:cantSplit/>
          <w:trHeight w:val="227"/>
        </w:trPr>
        <w:tc>
          <w:tcPr>
            <w:tcW w:w="4559" w:type="dxa"/>
            <w:shd w:val="clear" w:color="auto" w:fill="auto"/>
          </w:tcPr>
          <w:p w14:paraId="7FFC268C" w14:textId="77777777" w:rsidR="003F5788" w:rsidRPr="003F5788" w:rsidRDefault="003F5788" w:rsidP="003F5788">
            <w:pPr>
              <w:ind w:left="227" w:hanging="227"/>
              <w:rPr>
                <w:rFonts w:ascii="Calibri" w:hAnsi="Calibri"/>
                <w:bCs/>
                <w:color w:val="000000"/>
                <w:sz w:val="20"/>
                <w:szCs w:val="20"/>
                <w:lang w:eastAsia="en-AU"/>
              </w:rPr>
            </w:pPr>
            <w:r w:rsidRPr="003F5788">
              <w:rPr>
                <w:rFonts w:ascii="Calibri" w:hAnsi="Calibri"/>
                <w:bCs/>
                <w:color w:val="000000"/>
                <w:sz w:val="20"/>
                <w:szCs w:val="20"/>
                <w:lang w:eastAsia="en-AU"/>
              </w:rPr>
              <w:t xml:space="preserve">Alternative justice pathways for people with mental illness </w:t>
            </w:r>
          </w:p>
        </w:tc>
        <w:tc>
          <w:tcPr>
            <w:tcW w:w="902" w:type="dxa"/>
            <w:shd w:val="clear" w:color="auto" w:fill="auto"/>
          </w:tcPr>
          <w:p w14:paraId="075FD880"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731</w:t>
            </w:r>
          </w:p>
        </w:tc>
        <w:tc>
          <w:tcPr>
            <w:tcW w:w="903" w:type="dxa"/>
            <w:shd w:val="clear" w:color="auto" w:fill="auto"/>
          </w:tcPr>
          <w:p w14:paraId="030161EC"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749</w:t>
            </w:r>
          </w:p>
        </w:tc>
        <w:tc>
          <w:tcPr>
            <w:tcW w:w="902" w:type="dxa"/>
            <w:shd w:val="clear" w:color="auto" w:fill="auto"/>
          </w:tcPr>
          <w:p w14:paraId="67164FC8"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768</w:t>
            </w:r>
          </w:p>
        </w:tc>
        <w:tc>
          <w:tcPr>
            <w:tcW w:w="903" w:type="dxa"/>
            <w:shd w:val="clear" w:color="auto" w:fill="auto"/>
          </w:tcPr>
          <w:p w14:paraId="5DFF9C93"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787</w:t>
            </w:r>
          </w:p>
        </w:tc>
        <w:tc>
          <w:tcPr>
            <w:tcW w:w="903" w:type="dxa"/>
            <w:shd w:val="clear" w:color="auto" w:fill="auto"/>
          </w:tcPr>
          <w:p w14:paraId="322699FB"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3,035</w:t>
            </w:r>
          </w:p>
        </w:tc>
      </w:tr>
      <w:tr w:rsidR="003F5788" w:rsidRPr="003F5788" w14:paraId="5A4840BA" w14:textId="77777777" w:rsidTr="008F5C02">
        <w:trPr>
          <w:cantSplit/>
          <w:trHeight w:val="227"/>
        </w:trPr>
        <w:tc>
          <w:tcPr>
            <w:tcW w:w="4559" w:type="dxa"/>
            <w:shd w:val="clear" w:color="auto" w:fill="auto"/>
          </w:tcPr>
          <w:p w14:paraId="7E6489F6" w14:textId="77777777" w:rsidR="003F5788" w:rsidRPr="003F5788" w:rsidRDefault="003F5788" w:rsidP="003F5788">
            <w:pPr>
              <w:ind w:left="227" w:hanging="227"/>
              <w:rPr>
                <w:rFonts w:ascii="Calibri" w:hAnsi="Calibri"/>
                <w:bCs/>
                <w:color w:val="000000"/>
                <w:sz w:val="20"/>
                <w:szCs w:val="20"/>
                <w:vertAlign w:val="superscript"/>
                <w:lang w:eastAsia="en-AU"/>
              </w:rPr>
            </w:pPr>
            <w:r w:rsidRPr="003F5788">
              <w:rPr>
                <w:rFonts w:ascii="Calibri" w:hAnsi="Calibri"/>
                <w:bCs/>
                <w:color w:val="000000"/>
                <w:sz w:val="20"/>
                <w:szCs w:val="20"/>
                <w:lang w:eastAsia="en-AU"/>
              </w:rPr>
              <w:t xml:space="preserve">Boosting police for a growing city </w:t>
            </w:r>
            <w:r w:rsidRPr="003F5788">
              <w:rPr>
                <w:rFonts w:ascii="Calibri" w:hAnsi="Calibri"/>
                <w:bCs/>
                <w:color w:val="000000"/>
                <w:sz w:val="20"/>
                <w:szCs w:val="20"/>
                <w:vertAlign w:val="superscript"/>
                <w:lang w:eastAsia="en-AU"/>
              </w:rPr>
              <w:t>4</w:t>
            </w:r>
          </w:p>
        </w:tc>
        <w:tc>
          <w:tcPr>
            <w:tcW w:w="902" w:type="dxa"/>
            <w:shd w:val="clear" w:color="auto" w:fill="auto"/>
          </w:tcPr>
          <w:p w14:paraId="720DB047"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82</w:t>
            </w:r>
          </w:p>
        </w:tc>
        <w:tc>
          <w:tcPr>
            <w:tcW w:w="903" w:type="dxa"/>
            <w:shd w:val="clear" w:color="auto" w:fill="auto"/>
          </w:tcPr>
          <w:p w14:paraId="12309532"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277</w:t>
            </w:r>
          </w:p>
        </w:tc>
        <w:tc>
          <w:tcPr>
            <w:tcW w:w="902" w:type="dxa"/>
            <w:shd w:val="clear" w:color="auto" w:fill="auto"/>
          </w:tcPr>
          <w:p w14:paraId="6CD86D50"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285</w:t>
            </w:r>
          </w:p>
        </w:tc>
        <w:tc>
          <w:tcPr>
            <w:tcW w:w="903" w:type="dxa"/>
            <w:shd w:val="clear" w:color="auto" w:fill="auto"/>
          </w:tcPr>
          <w:p w14:paraId="45E68136"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0</w:t>
            </w:r>
          </w:p>
        </w:tc>
        <w:tc>
          <w:tcPr>
            <w:tcW w:w="903" w:type="dxa"/>
            <w:shd w:val="clear" w:color="auto" w:fill="auto"/>
          </w:tcPr>
          <w:p w14:paraId="36F7C4DE"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644</w:t>
            </w:r>
          </w:p>
        </w:tc>
      </w:tr>
      <w:tr w:rsidR="003F5788" w:rsidRPr="003F5788" w14:paraId="17C16A52" w14:textId="77777777" w:rsidTr="008F5C02">
        <w:trPr>
          <w:cantSplit/>
          <w:trHeight w:val="227"/>
        </w:trPr>
        <w:tc>
          <w:tcPr>
            <w:tcW w:w="4559" w:type="dxa"/>
            <w:shd w:val="clear" w:color="auto" w:fill="auto"/>
          </w:tcPr>
          <w:p w14:paraId="20E815BC" w14:textId="77777777" w:rsidR="003F5788" w:rsidRPr="003F5788" w:rsidRDefault="003F5788" w:rsidP="003F5788">
            <w:pPr>
              <w:ind w:left="227" w:hanging="227"/>
              <w:rPr>
                <w:rFonts w:ascii="Calibri" w:hAnsi="Calibri"/>
                <w:bCs/>
                <w:color w:val="000000"/>
                <w:sz w:val="20"/>
                <w:szCs w:val="20"/>
                <w:lang w:eastAsia="en-AU"/>
              </w:rPr>
            </w:pPr>
            <w:r w:rsidRPr="003F5788">
              <w:rPr>
                <w:rFonts w:ascii="Calibri" w:hAnsi="Calibri"/>
                <w:bCs/>
                <w:color w:val="000000"/>
                <w:sz w:val="20"/>
                <w:szCs w:val="20"/>
                <w:lang w:eastAsia="en-AU"/>
              </w:rPr>
              <w:t xml:space="preserve">Co-design and planning: Aboriginal and Torres Strait Islander Alcohol and Drug Residential Rehabilitation Facility </w:t>
            </w:r>
          </w:p>
        </w:tc>
        <w:tc>
          <w:tcPr>
            <w:tcW w:w="902" w:type="dxa"/>
            <w:shd w:val="clear" w:color="auto" w:fill="auto"/>
          </w:tcPr>
          <w:p w14:paraId="029691EF"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300</w:t>
            </w:r>
          </w:p>
        </w:tc>
        <w:tc>
          <w:tcPr>
            <w:tcW w:w="903" w:type="dxa"/>
            <w:shd w:val="clear" w:color="auto" w:fill="auto"/>
          </w:tcPr>
          <w:p w14:paraId="65693FFC"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0</w:t>
            </w:r>
          </w:p>
        </w:tc>
        <w:tc>
          <w:tcPr>
            <w:tcW w:w="902" w:type="dxa"/>
            <w:shd w:val="clear" w:color="auto" w:fill="auto"/>
          </w:tcPr>
          <w:p w14:paraId="11C88F4D"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0</w:t>
            </w:r>
          </w:p>
        </w:tc>
        <w:tc>
          <w:tcPr>
            <w:tcW w:w="903" w:type="dxa"/>
            <w:shd w:val="clear" w:color="auto" w:fill="auto"/>
          </w:tcPr>
          <w:p w14:paraId="562E44E7"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0</w:t>
            </w:r>
          </w:p>
        </w:tc>
        <w:tc>
          <w:tcPr>
            <w:tcW w:w="903" w:type="dxa"/>
            <w:shd w:val="clear" w:color="auto" w:fill="auto"/>
          </w:tcPr>
          <w:p w14:paraId="48163A25"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300</w:t>
            </w:r>
          </w:p>
        </w:tc>
      </w:tr>
      <w:tr w:rsidR="003F5788" w:rsidRPr="003F5788" w14:paraId="7306529D" w14:textId="77777777" w:rsidTr="008F5C02">
        <w:trPr>
          <w:cantSplit/>
          <w:trHeight w:val="227"/>
        </w:trPr>
        <w:tc>
          <w:tcPr>
            <w:tcW w:w="4559" w:type="dxa"/>
            <w:shd w:val="clear" w:color="auto" w:fill="auto"/>
          </w:tcPr>
          <w:p w14:paraId="72188D33" w14:textId="77777777" w:rsidR="003F5788" w:rsidRPr="003F5788" w:rsidRDefault="003F5788" w:rsidP="003F5788">
            <w:pPr>
              <w:ind w:left="227" w:hanging="227"/>
              <w:rPr>
                <w:rFonts w:ascii="Calibri" w:hAnsi="Calibri"/>
                <w:bCs/>
                <w:color w:val="000000"/>
                <w:sz w:val="20"/>
                <w:szCs w:val="20"/>
                <w:lang w:eastAsia="en-AU"/>
              </w:rPr>
            </w:pPr>
            <w:r w:rsidRPr="003F5788">
              <w:rPr>
                <w:rFonts w:ascii="Calibri" w:hAnsi="Calibri"/>
                <w:bCs/>
                <w:color w:val="000000"/>
                <w:sz w:val="20"/>
                <w:szCs w:val="20"/>
                <w:lang w:eastAsia="en-AU"/>
              </w:rPr>
              <w:t xml:space="preserve">Delivering better care for Canberrans with complex needs through general practice </w:t>
            </w:r>
          </w:p>
        </w:tc>
        <w:tc>
          <w:tcPr>
            <w:tcW w:w="902" w:type="dxa"/>
            <w:shd w:val="clear" w:color="auto" w:fill="auto"/>
          </w:tcPr>
          <w:p w14:paraId="32EDCD52"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500</w:t>
            </w:r>
          </w:p>
        </w:tc>
        <w:tc>
          <w:tcPr>
            <w:tcW w:w="903" w:type="dxa"/>
            <w:shd w:val="clear" w:color="auto" w:fill="auto"/>
          </w:tcPr>
          <w:p w14:paraId="67EA9CED"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1,000</w:t>
            </w:r>
          </w:p>
        </w:tc>
        <w:tc>
          <w:tcPr>
            <w:tcW w:w="902" w:type="dxa"/>
            <w:shd w:val="clear" w:color="auto" w:fill="auto"/>
          </w:tcPr>
          <w:p w14:paraId="2E931DA5"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1,000</w:t>
            </w:r>
          </w:p>
        </w:tc>
        <w:tc>
          <w:tcPr>
            <w:tcW w:w="903" w:type="dxa"/>
            <w:shd w:val="clear" w:color="auto" w:fill="auto"/>
          </w:tcPr>
          <w:p w14:paraId="5CE50BD8"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0</w:t>
            </w:r>
          </w:p>
        </w:tc>
        <w:tc>
          <w:tcPr>
            <w:tcW w:w="903" w:type="dxa"/>
            <w:shd w:val="clear" w:color="auto" w:fill="auto"/>
          </w:tcPr>
          <w:p w14:paraId="5A04538E"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2,500</w:t>
            </w:r>
          </w:p>
        </w:tc>
      </w:tr>
      <w:tr w:rsidR="003F5788" w:rsidRPr="003F5788" w14:paraId="566E24B3" w14:textId="77777777" w:rsidTr="008F5C02">
        <w:trPr>
          <w:cantSplit/>
          <w:trHeight w:val="227"/>
        </w:trPr>
        <w:tc>
          <w:tcPr>
            <w:tcW w:w="4559" w:type="dxa"/>
            <w:shd w:val="clear" w:color="auto" w:fill="auto"/>
          </w:tcPr>
          <w:p w14:paraId="549C3DAE" w14:textId="77777777" w:rsidR="003F5788" w:rsidRPr="003F5788" w:rsidRDefault="003F5788" w:rsidP="003F5788">
            <w:pPr>
              <w:ind w:left="227" w:hanging="227"/>
              <w:rPr>
                <w:rFonts w:ascii="Calibri" w:hAnsi="Calibri"/>
                <w:bCs/>
                <w:color w:val="000000"/>
                <w:sz w:val="20"/>
                <w:szCs w:val="20"/>
                <w:lang w:eastAsia="en-AU"/>
              </w:rPr>
            </w:pPr>
            <w:r w:rsidRPr="003F5788">
              <w:rPr>
                <w:rFonts w:ascii="Calibri" w:hAnsi="Calibri"/>
                <w:bCs/>
                <w:color w:val="000000"/>
                <w:sz w:val="20"/>
                <w:szCs w:val="20"/>
                <w:lang w:eastAsia="en-AU"/>
              </w:rPr>
              <w:t>Delivering better mental health care for people in crisis </w:t>
            </w:r>
            <w:r w:rsidRPr="003F5788">
              <w:rPr>
                <w:rFonts w:ascii="Calibri" w:hAnsi="Calibri"/>
                <w:bCs/>
                <w:color w:val="000000"/>
                <w:sz w:val="20"/>
                <w:szCs w:val="20"/>
                <w:vertAlign w:val="superscript"/>
                <w:lang w:eastAsia="en-AU"/>
              </w:rPr>
              <w:t>4</w:t>
            </w:r>
            <w:r w:rsidRPr="003F5788">
              <w:rPr>
                <w:rFonts w:ascii="Calibri" w:hAnsi="Calibri"/>
                <w:bCs/>
                <w:color w:val="000000"/>
                <w:sz w:val="20"/>
                <w:szCs w:val="20"/>
                <w:lang w:eastAsia="en-AU"/>
              </w:rPr>
              <w:t xml:space="preserve"> </w:t>
            </w:r>
          </w:p>
        </w:tc>
        <w:tc>
          <w:tcPr>
            <w:tcW w:w="902" w:type="dxa"/>
            <w:shd w:val="clear" w:color="auto" w:fill="auto"/>
          </w:tcPr>
          <w:p w14:paraId="08F724BD"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147</w:t>
            </w:r>
          </w:p>
        </w:tc>
        <w:tc>
          <w:tcPr>
            <w:tcW w:w="903" w:type="dxa"/>
            <w:shd w:val="clear" w:color="auto" w:fill="auto"/>
          </w:tcPr>
          <w:p w14:paraId="0C49290D"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0</w:t>
            </w:r>
          </w:p>
        </w:tc>
        <w:tc>
          <w:tcPr>
            <w:tcW w:w="902" w:type="dxa"/>
            <w:shd w:val="clear" w:color="auto" w:fill="auto"/>
          </w:tcPr>
          <w:p w14:paraId="6DB888A6"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0</w:t>
            </w:r>
          </w:p>
        </w:tc>
        <w:tc>
          <w:tcPr>
            <w:tcW w:w="903" w:type="dxa"/>
            <w:shd w:val="clear" w:color="auto" w:fill="auto"/>
          </w:tcPr>
          <w:p w14:paraId="5B5F3998"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0</w:t>
            </w:r>
          </w:p>
        </w:tc>
        <w:tc>
          <w:tcPr>
            <w:tcW w:w="903" w:type="dxa"/>
            <w:shd w:val="clear" w:color="auto" w:fill="auto"/>
          </w:tcPr>
          <w:p w14:paraId="6F316EA2"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147</w:t>
            </w:r>
          </w:p>
        </w:tc>
      </w:tr>
      <w:tr w:rsidR="003F5788" w:rsidRPr="003F5788" w14:paraId="661579DA" w14:textId="77777777" w:rsidTr="008F5C02">
        <w:trPr>
          <w:cantSplit/>
          <w:trHeight w:val="227"/>
        </w:trPr>
        <w:tc>
          <w:tcPr>
            <w:tcW w:w="4559" w:type="dxa"/>
            <w:shd w:val="clear" w:color="auto" w:fill="auto"/>
          </w:tcPr>
          <w:p w14:paraId="5A82DDF0" w14:textId="77777777" w:rsidR="003F5788" w:rsidRPr="003F5788" w:rsidRDefault="003F5788" w:rsidP="003F5788">
            <w:pPr>
              <w:ind w:left="227" w:hanging="227"/>
              <w:rPr>
                <w:rFonts w:ascii="Calibri" w:hAnsi="Calibri"/>
                <w:bCs/>
                <w:color w:val="000000"/>
                <w:sz w:val="20"/>
                <w:szCs w:val="20"/>
                <w:lang w:eastAsia="en-AU"/>
              </w:rPr>
            </w:pPr>
            <w:r w:rsidRPr="003F5788">
              <w:rPr>
                <w:rFonts w:ascii="Calibri" w:hAnsi="Calibri"/>
                <w:bCs/>
                <w:color w:val="000000"/>
                <w:sz w:val="20"/>
                <w:szCs w:val="20"/>
                <w:lang w:eastAsia="en-AU"/>
              </w:rPr>
              <w:t xml:space="preserve">Delivering the ACT Drug Strategy Action Plan </w:t>
            </w:r>
          </w:p>
        </w:tc>
        <w:tc>
          <w:tcPr>
            <w:tcW w:w="902" w:type="dxa"/>
            <w:shd w:val="clear" w:color="auto" w:fill="auto"/>
          </w:tcPr>
          <w:p w14:paraId="69892424"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500</w:t>
            </w:r>
          </w:p>
        </w:tc>
        <w:tc>
          <w:tcPr>
            <w:tcW w:w="903" w:type="dxa"/>
            <w:shd w:val="clear" w:color="auto" w:fill="auto"/>
          </w:tcPr>
          <w:p w14:paraId="4D3C5EC1"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308</w:t>
            </w:r>
          </w:p>
        </w:tc>
        <w:tc>
          <w:tcPr>
            <w:tcW w:w="902" w:type="dxa"/>
            <w:shd w:val="clear" w:color="auto" w:fill="auto"/>
          </w:tcPr>
          <w:p w14:paraId="200BFE9D"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315</w:t>
            </w:r>
          </w:p>
        </w:tc>
        <w:tc>
          <w:tcPr>
            <w:tcW w:w="903" w:type="dxa"/>
            <w:shd w:val="clear" w:color="auto" w:fill="auto"/>
          </w:tcPr>
          <w:p w14:paraId="0733811D"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323</w:t>
            </w:r>
          </w:p>
        </w:tc>
        <w:tc>
          <w:tcPr>
            <w:tcW w:w="903" w:type="dxa"/>
            <w:shd w:val="clear" w:color="auto" w:fill="auto"/>
          </w:tcPr>
          <w:p w14:paraId="5DECF23A"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1,446</w:t>
            </w:r>
          </w:p>
        </w:tc>
      </w:tr>
      <w:tr w:rsidR="003F5788" w:rsidRPr="003F5788" w14:paraId="78514084" w14:textId="77777777" w:rsidTr="008F5C02">
        <w:trPr>
          <w:cantSplit/>
          <w:trHeight w:val="227"/>
        </w:trPr>
        <w:tc>
          <w:tcPr>
            <w:tcW w:w="4559" w:type="dxa"/>
            <w:shd w:val="clear" w:color="auto" w:fill="auto"/>
          </w:tcPr>
          <w:p w14:paraId="60F097C7" w14:textId="77777777" w:rsidR="003F5788" w:rsidRPr="003F5788" w:rsidRDefault="003F5788" w:rsidP="003F5788">
            <w:pPr>
              <w:ind w:left="227" w:hanging="227"/>
              <w:rPr>
                <w:rFonts w:ascii="Calibri" w:hAnsi="Calibri"/>
                <w:bCs/>
                <w:color w:val="000000"/>
                <w:sz w:val="20"/>
                <w:szCs w:val="20"/>
                <w:lang w:eastAsia="en-AU"/>
              </w:rPr>
            </w:pPr>
            <w:r w:rsidRPr="003F5788">
              <w:rPr>
                <w:rFonts w:ascii="Calibri" w:hAnsi="Calibri"/>
                <w:bCs/>
                <w:color w:val="000000"/>
                <w:sz w:val="20"/>
                <w:szCs w:val="20"/>
                <w:lang w:eastAsia="en-AU"/>
              </w:rPr>
              <w:t xml:space="preserve">Delivering the ACT Strategic Priorities for Aboriginal and Torres Strait Islander Health 2019-2028 </w:t>
            </w:r>
          </w:p>
        </w:tc>
        <w:tc>
          <w:tcPr>
            <w:tcW w:w="902" w:type="dxa"/>
            <w:shd w:val="clear" w:color="auto" w:fill="auto"/>
          </w:tcPr>
          <w:p w14:paraId="08FBA99A"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180</w:t>
            </w:r>
          </w:p>
        </w:tc>
        <w:tc>
          <w:tcPr>
            <w:tcW w:w="903" w:type="dxa"/>
            <w:shd w:val="clear" w:color="auto" w:fill="auto"/>
          </w:tcPr>
          <w:p w14:paraId="39A63989"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310</w:t>
            </w:r>
          </w:p>
        </w:tc>
        <w:tc>
          <w:tcPr>
            <w:tcW w:w="902" w:type="dxa"/>
            <w:shd w:val="clear" w:color="auto" w:fill="auto"/>
          </w:tcPr>
          <w:p w14:paraId="38FA0646"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310</w:t>
            </w:r>
          </w:p>
        </w:tc>
        <w:tc>
          <w:tcPr>
            <w:tcW w:w="903" w:type="dxa"/>
            <w:shd w:val="clear" w:color="auto" w:fill="auto"/>
          </w:tcPr>
          <w:p w14:paraId="6ACF8C89"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315</w:t>
            </w:r>
          </w:p>
        </w:tc>
        <w:tc>
          <w:tcPr>
            <w:tcW w:w="903" w:type="dxa"/>
            <w:shd w:val="clear" w:color="auto" w:fill="auto"/>
          </w:tcPr>
          <w:p w14:paraId="374F4D32"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1,115</w:t>
            </w:r>
          </w:p>
        </w:tc>
      </w:tr>
      <w:tr w:rsidR="003F5788" w:rsidRPr="003F5788" w14:paraId="096F0C39" w14:textId="77777777" w:rsidTr="008F5C02">
        <w:trPr>
          <w:cantSplit/>
          <w:trHeight w:val="227"/>
        </w:trPr>
        <w:tc>
          <w:tcPr>
            <w:tcW w:w="4559" w:type="dxa"/>
            <w:shd w:val="clear" w:color="auto" w:fill="auto"/>
          </w:tcPr>
          <w:p w14:paraId="6025017C" w14:textId="77777777" w:rsidR="003F5788" w:rsidRPr="003F5788" w:rsidRDefault="003F5788" w:rsidP="003F5788">
            <w:pPr>
              <w:ind w:left="227" w:hanging="227"/>
              <w:rPr>
                <w:rFonts w:ascii="Calibri" w:hAnsi="Calibri"/>
                <w:bCs/>
                <w:color w:val="000000"/>
                <w:sz w:val="20"/>
                <w:szCs w:val="20"/>
                <w:vertAlign w:val="superscript"/>
                <w:lang w:eastAsia="en-AU"/>
              </w:rPr>
            </w:pPr>
            <w:r w:rsidRPr="003F5788">
              <w:rPr>
                <w:rFonts w:ascii="Calibri" w:hAnsi="Calibri"/>
                <w:bCs/>
                <w:color w:val="000000"/>
                <w:sz w:val="20"/>
                <w:szCs w:val="20"/>
                <w:lang w:eastAsia="en-AU"/>
              </w:rPr>
              <w:t xml:space="preserve">Delivering the Inner North Walk in Centre </w:t>
            </w:r>
            <w:r w:rsidRPr="003F5788">
              <w:rPr>
                <w:rFonts w:ascii="Calibri" w:hAnsi="Calibri"/>
                <w:bCs/>
                <w:color w:val="000000"/>
                <w:sz w:val="20"/>
                <w:szCs w:val="20"/>
                <w:vertAlign w:val="superscript"/>
                <w:lang w:eastAsia="en-AU"/>
              </w:rPr>
              <w:t>2</w:t>
            </w:r>
          </w:p>
        </w:tc>
        <w:tc>
          <w:tcPr>
            <w:tcW w:w="902" w:type="dxa"/>
            <w:tcBorders>
              <w:top w:val="nil"/>
              <w:left w:val="nil"/>
              <w:right w:val="nil"/>
            </w:tcBorders>
            <w:shd w:val="clear" w:color="auto" w:fill="auto"/>
          </w:tcPr>
          <w:p w14:paraId="06B6E3DE"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0</w:t>
            </w:r>
          </w:p>
        </w:tc>
        <w:tc>
          <w:tcPr>
            <w:tcW w:w="903" w:type="dxa"/>
            <w:tcBorders>
              <w:top w:val="nil"/>
              <w:left w:val="nil"/>
              <w:right w:val="nil"/>
            </w:tcBorders>
            <w:shd w:val="clear" w:color="auto" w:fill="auto"/>
          </w:tcPr>
          <w:p w14:paraId="31506BC1"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2,648</w:t>
            </w:r>
          </w:p>
        </w:tc>
        <w:tc>
          <w:tcPr>
            <w:tcW w:w="902" w:type="dxa"/>
            <w:tcBorders>
              <w:top w:val="nil"/>
              <w:left w:val="nil"/>
              <w:right w:val="nil"/>
            </w:tcBorders>
            <w:shd w:val="clear" w:color="auto" w:fill="auto"/>
          </w:tcPr>
          <w:p w14:paraId="7542961D"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2,687</w:t>
            </w:r>
          </w:p>
        </w:tc>
        <w:tc>
          <w:tcPr>
            <w:tcW w:w="903" w:type="dxa"/>
            <w:tcBorders>
              <w:top w:val="nil"/>
              <w:left w:val="nil"/>
              <w:right w:val="nil"/>
            </w:tcBorders>
            <w:shd w:val="clear" w:color="auto" w:fill="auto"/>
          </w:tcPr>
          <w:p w14:paraId="1685CFEC"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2,744</w:t>
            </w:r>
          </w:p>
        </w:tc>
        <w:tc>
          <w:tcPr>
            <w:tcW w:w="903" w:type="dxa"/>
            <w:tcBorders>
              <w:top w:val="nil"/>
              <w:left w:val="nil"/>
            </w:tcBorders>
            <w:shd w:val="clear" w:color="auto" w:fill="auto"/>
          </w:tcPr>
          <w:p w14:paraId="26864E1A"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8,079</w:t>
            </w:r>
          </w:p>
        </w:tc>
      </w:tr>
      <w:tr w:rsidR="003F5788" w:rsidRPr="003F5788" w14:paraId="460207FA" w14:textId="77777777" w:rsidTr="008F5C02">
        <w:trPr>
          <w:cantSplit/>
          <w:trHeight w:val="227"/>
        </w:trPr>
        <w:tc>
          <w:tcPr>
            <w:tcW w:w="4559" w:type="dxa"/>
            <w:tcBorders>
              <w:bottom w:val="nil"/>
              <w:right w:val="nil"/>
            </w:tcBorders>
            <w:shd w:val="clear" w:color="auto" w:fill="auto"/>
          </w:tcPr>
          <w:p w14:paraId="043492D8" w14:textId="77777777" w:rsidR="003F5788" w:rsidRPr="003F5788" w:rsidRDefault="003F5788" w:rsidP="003F5788">
            <w:pPr>
              <w:ind w:left="227" w:hanging="227"/>
              <w:rPr>
                <w:rFonts w:ascii="Calibri" w:hAnsi="Calibri"/>
                <w:bCs/>
                <w:color w:val="000000"/>
                <w:sz w:val="20"/>
                <w:szCs w:val="20"/>
                <w:vertAlign w:val="superscript"/>
                <w:lang w:eastAsia="en-AU"/>
              </w:rPr>
            </w:pPr>
            <w:r w:rsidRPr="003F5788">
              <w:rPr>
                <w:rFonts w:ascii="Calibri" w:hAnsi="Calibri"/>
                <w:bCs/>
                <w:color w:val="000000"/>
                <w:sz w:val="20"/>
                <w:szCs w:val="20"/>
                <w:lang w:eastAsia="en-AU"/>
              </w:rPr>
              <w:t xml:space="preserve">Delivering the SPIRE Centre at Canberra Hospital </w:t>
            </w:r>
            <w:r w:rsidRPr="003F5788">
              <w:rPr>
                <w:rFonts w:ascii="Calibri" w:hAnsi="Calibri"/>
                <w:bCs/>
                <w:color w:val="000000"/>
                <w:sz w:val="20"/>
                <w:szCs w:val="20"/>
                <w:vertAlign w:val="superscript"/>
                <w:lang w:eastAsia="en-AU"/>
              </w:rPr>
              <w:t>2</w:t>
            </w:r>
          </w:p>
        </w:tc>
        <w:tc>
          <w:tcPr>
            <w:tcW w:w="902" w:type="dxa"/>
            <w:shd w:val="clear" w:color="auto" w:fill="auto"/>
          </w:tcPr>
          <w:p w14:paraId="6FF21B6B"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0</w:t>
            </w:r>
          </w:p>
        </w:tc>
        <w:tc>
          <w:tcPr>
            <w:tcW w:w="903" w:type="dxa"/>
            <w:shd w:val="clear" w:color="auto" w:fill="auto"/>
          </w:tcPr>
          <w:p w14:paraId="3612C57E"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200</w:t>
            </w:r>
          </w:p>
        </w:tc>
        <w:tc>
          <w:tcPr>
            <w:tcW w:w="902" w:type="dxa"/>
            <w:shd w:val="clear" w:color="auto" w:fill="auto"/>
          </w:tcPr>
          <w:p w14:paraId="092F42BA"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400</w:t>
            </w:r>
          </w:p>
        </w:tc>
        <w:tc>
          <w:tcPr>
            <w:tcW w:w="903" w:type="dxa"/>
            <w:shd w:val="clear" w:color="auto" w:fill="auto"/>
          </w:tcPr>
          <w:p w14:paraId="751F85C6"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500</w:t>
            </w:r>
          </w:p>
        </w:tc>
        <w:tc>
          <w:tcPr>
            <w:tcW w:w="903" w:type="dxa"/>
            <w:shd w:val="clear" w:color="auto" w:fill="auto"/>
          </w:tcPr>
          <w:p w14:paraId="555C0393"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1,100</w:t>
            </w:r>
          </w:p>
        </w:tc>
      </w:tr>
      <w:tr w:rsidR="003F5788" w:rsidRPr="003F5788" w14:paraId="41D9D02E" w14:textId="77777777" w:rsidTr="008F5C02">
        <w:trPr>
          <w:cantSplit/>
          <w:trHeight w:val="227"/>
        </w:trPr>
        <w:tc>
          <w:tcPr>
            <w:tcW w:w="4559" w:type="dxa"/>
            <w:tcBorders>
              <w:top w:val="nil"/>
              <w:bottom w:val="nil"/>
              <w:right w:val="nil"/>
            </w:tcBorders>
            <w:shd w:val="clear" w:color="auto" w:fill="auto"/>
          </w:tcPr>
          <w:p w14:paraId="56F8D909" w14:textId="77777777" w:rsidR="003F5788" w:rsidRPr="003F5788" w:rsidRDefault="003F5788" w:rsidP="003F5788">
            <w:pPr>
              <w:ind w:left="227" w:hanging="227"/>
              <w:rPr>
                <w:rFonts w:ascii="Calibri" w:hAnsi="Calibri"/>
                <w:bCs/>
                <w:color w:val="000000"/>
                <w:sz w:val="20"/>
                <w:szCs w:val="20"/>
                <w:lang w:eastAsia="en-AU"/>
              </w:rPr>
            </w:pPr>
            <w:r w:rsidRPr="003F5788">
              <w:rPr>
                <w:rFonts w:ascii="Calibri" w:hAnsi="Calibri"/>
                <w:bCs/>
                <w:color w:val="000000"/>
                <w:sz w:val="20"/>
                <w:szCs w:val="20"/>
                <w:lang w:eastAsia="en-AU"/>
              </w:rPr>
              <w:t xml:space="preserve">Delivering the Weston Creek Walk in Centre </w:t>
            </w:r>
          </w:p>
        </w:tc>
        <w:tc>
          <w:tcPr>
            <w:tcW w:w="902" w:type="dxa"/>
            <w:shd w:val="clear" w:color="auto" w:fill="auto"/>
          </w:tcPr>
          <w:p w14:paraId="23AB1898"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1,946</w:t>
            </w:r>
          </w:p>
        </w:tc>
        <w:tc>
          <w:tcPr>
            <w:tcW w:w="903" w:type="dxa"/>
            <w:shd w:val="clear" w:color="auto" w:fill="auto"/>
          </w:tcPr>
          <w:p w14:paraId="75DB4F64"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2,705</w:t>
            </w:r>
          </w:p>
        </w:tc>
        <w:tc>
          <w:tcPr>
            <w:tcW w:w="902" w:type="dxa"/>
            <w:shd w:val="clear" w:color="auto" w:fill="auto"/>
          </w:tcPr>
          <w:p w14:paraId="798196CD"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2,887</w:t>
            </w:r>
          </w:p>
        </w:tc>
        <w:tc>
          <w:tcPr>
            <w:tcW w:w="903" w:type="dxa"/>
            <w:shd w:val="clear" w:color="auto" w:fill="auto"/>
          </w:tcPr>
          <w:p w14:paraId="7B8330D4"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2,933</w:t>
            </w:r>
          </w:p>
        </w:tc>
        <w:tc>
          <w:tcPr>
            <w:tcW w:w="903" w:type="dxa"/>
            <w:shd w:val="clear" w:color="auto" w:fill="auto"/>
          </w:tcPr>
          <w:p w14:paraId="72F526AE"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10,471</w:t>
            </w:r>
          </w:p>
        </w:tc>
      </w:tr>
      <w:tr w:rsidR="003F5788" w:rsidRPr="003F5788" w14:paraId="3761A4E3" w14:textId="77777777" w:rsidTr="008F5C02">
        <w:trPr>
          <w:cantSplit/>
          <w:trHeight w:val="227"/>
        </w:trPr>
        <w:tc>
          <w:tcPr>
            <w:tcW w:w="4559" w:type="dxa"/>
            <w:tcBorders>
              <w:top w:val="nil"/>
              <w:bottom w:val="nil"/>
              <w:right w:val="nil"/>
            </w:tcBorders>
            <w:shd w:val="clear" w:color="auto" w:fill="auto"/>
          </w:tcPr>
          <w:p w14:paraId="5C144F00" w14:textId="77777777" w:rsidR="003F5788" w:rsidRPr="003F5788" w:rsidRDefault="003F5788" w:rsidP="003F5788">
            <w:pPr>
              <w:ind w:left="227" w:hanging="227"/>
              <w:rPr>
                <w:rFonts w:ascii="Calibri" w:hAnsi="Calibri"/>
                <w:bCs/>
                <w:color w:val="000000"/>
                <w:sz w:val="20"/>
                <w:szCs w:val="20"/>
                <w:vertAlign w:val="superscript"/>
                <w:lang w:eastAsia="en-AU"/>
              </w:rPr>
            </w:pPr>
            <w:r w:rsidRPr="003F5788">
              <w:rPr>
                <w:rFonts w:ascii="Calibri" w:hAnsi="Calibri"/>
                <w:bCs/>
                <w:color w:val="000000"/>
                <w:sz w:val="20"/>
                <w:szCs w:val="20"/>
                <w:lang w:eastAsia="en-AU"/>
              </w:rPr>
              <w:t xml:space="preserve">Expanding Clare Holland House to strengthen palliative care </w:t>
            </w:r>
            <w:r w:rsidRPr="003F5788">
              <w:rPr>
                <w:rFonts w:ascii="Calibri" w:hAnsi="Calibri"/>
                <w:bCs/>
                <w:color w:val="000000"/>
                <w:sz w:val="20"/>
                <w:szCs w:val="20"/>
                <w:vertAlign w:val="superscript"/>
                <w:lang w:eastAsia="en-AU"/>
              </w:rPr>
              <w:t>2</w:t>
            </w:r>
          </w:p>
        </w:tc>
        <w:tc>
          <w:tcPr>
            <w:tcW w:w="902" w:type="dxa"/>
            <w:shd w:val="clear" w:color="auto" w:fill="auto"/>
          </w:tcPr>
          <w:p w14:paraId="1227881F"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0</w:t>
            </w:r>
          </w:p>
        </w:tc>
        <w:tc>
          <w:tcPr>
            <w:tcW w:w="903" w:type="dxa"/>
            <w:shd w:val="clear" w:color="auto" w:fill="auto"/>
          </w:tcPr>
          <w:p w14:paraId="119DCDEE"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0</w:t>
            </w:r>
          </w:p>
        </w:tc>
        <w:tc>
          <w:tcPr>
            <w:tcW w:w="902" w:type="dxa"/>
            <w:shd w:val="clear" w:color="auto" w:fill="auto"/>
          </w:tcPr>
          <w:p w14:paraId="6DF1CD91"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60</w:t>
            </w:r>
          </w:p>
        </w:tc>
        <w:tc>
          <w:tcPr>
            <w:tcW w:w="903" w:type="dxa"/>
            <w:shd w:val="clear" w:color="auto" w:fill="auto"/>
          </w:tcPr>
          <w:p w14:paraId="70683706"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120</w:t>
            </w:r>
          </w:p>
        </w:tc>
        <w:tc>
          <w:tcPr>
            <w:tcW w:w="903" w:type="dxa"/>
            <w:shd w:val="clear" w:color="auto" w:fill="auto"/>
          </w:tcPr>
          <w:p w14:paraId="6913CB0D"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180</w:t>
            </w:r>
          </w:p>
        </w:tc>
      </w:tr>
      <w:tr w:rsidR="003F5788" w:rsidRPr="003F5788" w14:paraId="71B46039" w14:textId="77777777" w:rsidTr="008F5C02">
        <w:trPr>
          <w:cantSplit/>
          <w:trHeight w:val="227"/>
        </w:trPr>
        <w:tc>
          <w:tcPr>
            <w:tcW w:w="4559" w:type="dxa"/>
            <w:tcBorders>
              <w:top w:val="nil"/>
              <w:bottom w:val="nil"/>
              <w:right w:val="nil"/>
            </w:tcBorders>
            <w:shd w:val="clear" w:color="auto" w:fill="auto"/>
          </w:tcPr>
          <w:p w14:paraId="37FF7946" w14:textId="77777777" w:rsidR="003F5788" w:rsidRPr="003F5788" w:rsidRDefault="003F5788" w:rsidP="003F5788">
            <w:pPr>
              <w:ind w:left="227" w:hanging="227"/>
              <w:rPr>
                <w:rFonts w:ascii="Calibri" w:hAnsi="Calibri"/>
                <w:bCs/>
                <w:color w:val="000000"/>
                <w:sz w:val="20"/>
                <w:szCs w:val="20"/>
                <w:lang w:eastAsia="en-AU"/>
              </w:rPr>
            </w:pPr>
            <w:r w:rsidRPr="003F5788">
              <w:rPr>
                <w:rFonts w:ascii="Calibri" w:hAnsi="Calibri"/>
                <w:bCs/>
                <w:color w:val="000000"/>
                <w:sz w:val="20"/>
                <w:szCs w:val="20"/>
                <w:lang w:eastAsia="en-AU"/>
              </w:rPr>
              <w:t xml:space="preserve">Expanding early intervention and diversion programs for people experiencing alcohol and drug dependence </w:t>
            </w:r>
          </w:p>
        </w:tc>
        <w:tc>
          <w:tcPr>
            <w:tcW w:w="902" w:type="dxa"/>
            <w:shd w:val="clear" w:color="auto" w:fill="auto"/>
          </w:tcPr>
          <w:p w14:paraId="5EDC3FFB"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949</w:t>
            </w:r>
          </w:p>
        </w:tc>
        <w:tc>
          <w:tcPr>
            <w:tcW w:w="903" w:type="dxa"/>
            <w:shd w:val="clear" w:color="auto" w:fill="auto"/>
          </w:tcPr>
          <w:p w14:paraId="428F59F3"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644</w:t>
            </w:r>
          </w:p>
        </w:tc>
        <w:tc>
          <w:tcPr>
            <w:tcW w:w="902" w:type="dxa"/>
            <w:shd w:val="clear" w:color="auto" w:fill="auto"/>
          </w:tcPr>
          <w:p w14:paraId="107A89FC"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660</w:t>
            </w:r>
          </w:p>
        </w:tc>
        <w:tc>
          <w:tcPr>
            <w:tcW w:w="903" w:type="dxa"/>
            <w:shd w:val="clear" w:color="auto" w:fill="auto"/>
          </w:tcPr>
          <w:p w14:paraId="480C3FB2"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677</w:t>
            </w:r>
          </w:p>
        </w:tc>
        <w:tc>
          <w:tcPr>
            <w:tcW w:w="903" w:type="dxa"/>
            <w:shd w:val="clear" w:color="auto" w:fill="auto"/>
          </w:tcPr>
          <w:p w14:paraId="18F45D84"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2,930</w:t>
            </w:r>
          </w:p>
        </w:tc>
      </w:tr>
      <w:tr w:rsidR="003F5788" w:rsidRPr="003F5788" w14:paraId="33F599CF" w14:textId="77777777" w:rsidTr="008F5C02">
        <w:trPr>
          <w:cantSplit/>
          <w:trHeight w:val="227"/>
        </w:trPr>
        <w:tc>
          <w:tcPr>
            <w:tcW w:w="4559" w:type="dxa"/>
            <w:shd w:val="clear" w:color="auto" w:fill="auto"/>
          </w:tcPr>
          <w:p w14:paraId="2FDC71A7" w14:textId="77777777" w:rsidR="003F5788" w:rsidRPr="003F5788" w:rsidRDefault="003F5788" w:rsidP="003F5788">
            <w:pPr>
              <w:ind w:left="227" w:hanging="227"/>
              <w:rPr>
                <w:rFonts w:ascii="Calibri" w:hAnsi="Calibri"/>
                <w:bCs/>
                <w:color w:val="000000"/>
                <w:sz w:val="20"/>
                <w:szCs w:val="20"/>
                <w:lang w:eastAsia="en-AU"/>
              </w:rPr>
            </w:pPr>
            <w:r w:rsidRPr="003F5788">
              <w:rPr>
                <w:rFonts w:ascii="Calibri" w:hAnsi="Calibri"/>
                <w:bCs/>
                <w:color w:val="000000"/>
                <w:sz w:val="20"/>
                <w:szCs w:val="20"/>
                <w:lang w:eastAsia="en-AU"/>
              </w:rPr>
              <w:t>Expanding frontline services at The Canberra Hospital</w:t>
            </w:r>
          </w:p>
        </w:tc>
        <w:tc>
          <w:tcPr>
            <w:tcW w:w="902" w:type="dxa"/>
            <w:shd w:val="clear" w:color="auto" w:fill="auto"/>
          </w:tcPr>
          <w:p w14:paraId="3700F2C1"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11,448</w:t>
            </w:r>
          </w:p>
        </w:tc>
        <w:tc>
          <w:tcPr>
            <w:tcW w:w="903" w:type="dxa"/>
            <w:shd w:val="clear" w:color="auto" w:fill="auto"/>
          </w:tcPr>
          <w:p w14:paraId="3A6D9CD9"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11,614</w:t>
            </w:r>
          </w:p>
        </w:tc>
        <w:tc>
          <w:tcPr>
            <w:tcW w:w="902" w:type="dxa"/>
            <w:shd w:val="clear" w:color="auto" w:fill="auto"/>
          </w:tcPr>
          <w:p w14:paraId="1A26F64B"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11,934</w:t>
            </w:r>
          </w:p>
        </w:tc>
        <w:tc>
          <w:tcPr>
            <w:tcW w:w="903" w:type="dxa"/>
            <w:shd w:val="clear" w:color="auto" w:fill="auto"/>
          </w:tcPr>
          <w:p w14:paraId="63C35D55"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12,106</w:t>
            </w:r>
          </w:p>
        </w:tc>
        <w:tc>
          <w:tcPr>
            <w:tcW w:w="903" w:type="dxa"/>
            <w:shd w:val="clear" w:color="auto" w:fill="auto"/>
          </w:tcPr>
          <w:p w14:paraId="58E067A9"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47,102</w:t>
            </w:r>
          </w:p>
        </w:tc>
      </w:tr>
      <w:tr w:rsidR="003F5788" w:rsidRPr="003F5788" w14:paraId="569B0C73" w14:textId="77777777" w:rsidTr="008F5C02">
        <w:trPr>
          <w:cantSplit/>
          <w:trHeight w:val="227"/>
        </w:trPr>
        <w:tc>
          <w:tcPr>
            <w:tcW w:w="4559" w:type="dxa"/>
            <w:shd w:val="clear" w:color="auto" w:fill="auto"/>
          </w:tcPr>
          <w:p w14:paraId="701A64C0" w14:textId="77777777" w:rsidR="003F5788" w:rsidRPr="003F5788" w:rsidRDefault="003F5788" w:rsidP="003F5788">
            <w:pPr>
              <w:ind w:left="227" w:hanging="227"/>
              <w:rPr>
                <w:rFonts w:ascii="Calibri" w:hAnsi="Calibri"/>
                <w:bCs/>
                <w:color w:val="000000"/>
                <w:sz w:val="20"/>
                <w:szCs w:val="20"/>
                <w:lang w:eastAsia="en-AU"/>
              </w:rPr>
            </w:pPr>
            <w:r w:rsidRPr="003F5788">
              <w:rPr>
                <w:rFonts w:ascii="Calibri" w:hAnsi="Calibri"/>
                <w:bCs/>
                <w:color w:val="000000"/>
                <w:sz w:val="20"/>
                <w:szCs w:val="20"/>
                <w:lang w:eastAsia="en-AU"/>
              </w:rPr>
              <w:t xml:space="preserve">Expanding health services at the Alexander Maconochie Centre </w:t>
            </w:r>
          </w:p>
        </w:tc>
        <w:tc>
          <w:tcPr>
            <w:tcW w:w="902" w:type="dxa"/>
            <w:shd w:val="clear" w:color="auto" w:fill="auto"/>
          </w:tcPr>
          <w:p w14:paraId="3F980FB0"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259</w:t>
            </w:r>
          </w:p>
        </w:tc>
        <w:tc>
          <w:tcPr>
            <w:tcW w:w="903" w:type="dxa"/>
            <w:shd w:val="clear" w:color="auto" w:fill="auto"/>
          </w:tcPr>
          <w:p w14:paraId="479EA92E"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266</w:t>
            </w:r>
          </w:p>
        </w:tc>
        <w:tc>
          <w:tcPr>
            <w:tcW w:w="902" w:type="dxa"/>
            <w:shd w:val="clear" w:color="auto" w:fill="auto"/>
          </w:tcPr>
          <w:p w14:paraId="2CCD262D"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273</w:t>
            </w:r>
          </w:p>
        </w:tc>
        <w:tc>
          <w:tcPr>
            <w:tcW w:w="903" w:type="dxa"/>
            <w:shd w:val="clear" w:color="auto" w:fill="auto"/>
          </w:tcPr>
          <w:p w14:paraId="553E455E"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277</w:t>
            </w:r>
          </w:p>
        </w:tc>
        <w:tc>
          <w:tcPr>
            <w:tcW w:w="903" w:type="dxa"/>
            <w:shd w:val="clear" w:color="auto" w:fill="auto"/>
          </w:tcPr>
          <w:p w14:paraId="50F809C1"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1,075</w:t>
            </w:r>
          </w:p>
        </w:tc>
      </w:tr>
      <w:tr w:rsidR="003F5788" w:rsidRPr="003F5788" w14:paraId="3848A1B3" w14:textId="77777777" w:rsidTr="008F5C02">
        <w:trPr>
          <w:cantSplit/>
          <w:trHeight w:val="227"/>
        </w:trPr>
        <w:tc>
          <w:tcPr>
            <w:tcW w:w="4559" w:type="dxa"/>
            <w:shd w:val="clear" w:color="auto" w:fill="auto"/>
          </w:tcPr>
          <w:p w14:paraId="153981BB" w14:textId="77777777" w:rsidR="003F5788" w:rsidRPr="003F5788" w:rsidRDefault="003F5788" w:rsidP="003F5788">
            <w:pPr>
              <w:ind w:left="227" w:hanging="227"/>
              <w:rPr>
                <w:rFonts w:ascii="Calibri" w:hAnsi="Calibri"/>
                <w:bCs/>
                <w:color w:val="000000"/>
                <w:sz w:val="20"/>
                <w:szCs w:val="20"/>
                <w:lang w:eastAsia="en-AU"/>
              </w:rPr>
            </w:pPr>
            <w:r w:rsidRPr="003F5788">
              <w:rPr>
                <w:rFonts w:ascii="Calibri" w:hAnsi="Calibri"/>
                <w:bCs/>
                <w:color w:val="000000"/>
                <w:sz w:val="20"/>
                <w:szCs w:val="20"/>
                <w:lang w:eastAsia="en-AU"/>
              </w:rPr>
              <w:t xml:space="preserve">Expanding palliative care for older Canberrans </w:t>
            </w:r>
          </w:p>
        </w:tc>
        <w:tc>
          <w:tcPr>
            <w:tcW w:w="902" w:type="dxa"/>
            <w:shd w:val="clear" w:color="auto" w:fill="auto"/>
          </w:tcPr>
          <w:p w14:paraId="5A329044"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408</w:t>
            </w:r>
          </w:p>
        </w:tc>
        <w:tc>
          <w:tcPr>
            <w:tcW w:w="903" w:type="dxa"/>
            <w:shd w:val="clear" w:color="auto" w:fill="auto"/>
          </w:tcPr>
          <w:p w14:paraId="60D5566B"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363</w:t>
            </w:r>
          </w:p>
        </w:tc>
        <w:tc>
          <w:tcPr>
            <w:tcW w:w="902" w:type="dxa"/>
            <w:shd w:val="clear" w:color="auto" w:fill="auto"/>
          </w:tcPr>
          <w:p w14:paraId="73613F47"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373</w:t>
            </w:r>
          </w:p>
        </w:tc>
        <w:tc>
          <w:tcPr>
            <w:tcW w:w="903" w:type="dxa"/>
            <w:shd w:val="clear" w:color="auto" w:fill="auto"/>
          </w:tcPr>
          <w:p w14:paraId="74C58305"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519</w:t>
            </w:r>
          </w:p>
        </w:tc>
        <w:tc>
          <w:tcPr>
            <w:tcW w:w="903" w:type="dxa"/>
            <w:shd w:val="clear" w:color="auto" w:fill="auto"/>
          </w:tcPr>
          <w:p w14:paraId="58405D50"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1,663</w:t>
            </w:r>
          </w:p>
        </w:tc>
      </w:tr>
      <w:tr w:rsidR="003F5788" w:rsidRPr="003F5788" w14:paraId="5D35CA95" w14:textId="77777777" w:rsidTr="008F5C02">
        <w:trPr>
          <w:cantSplit/>
          <w:trHeight w:val="227"/>
        </w:trPr>
        <w:tc>
          <w:tcPr>
            <w:tcW w:w="4559" w:type="dxa"/>
            <w:shd w:val="clear" w:color="auto" w:fill="auto"/>
          </w:tcPr>
          <w:p w14:paraId="55702F7C" w14:textId="77777777" w:rsidR="003F5788" w:rsidRPr="003F5788" w:rsidRDefault="003F5788" w:rsidP="003F5788">
            <w:pPr>
              <w:ind w:left="227" w:hanging="227"/>
              <w:rPr>
                <w:rFonts w:ascii="Calibri" w:hAnsi="Calibri"/>
                <w:bCs/>
                <w:color w:val="000000"/>
                <w:sz w:val="20"/>
                <w:szCs w:val="20"/>
                <w:lang w:eastAsia="en-AU"/>
              </w:rPr>
            </w:pPr>
            <w:r w:rsidRPr="003F5788">
              <w:rPr>
                <w:rFonts w:ascii="Calibri" w:hAnsi="Calibri"/>
                <w:bCs/>
                <w:color w:val="000000"/>
                <w:sz w:val="20"/>
                <w:szCs w:val="20"/>
                <w:lang w:eastAsia="en-AU"/>
              </w:rPr>
              <w:t>Expanding pharmacy services at The Canberra Hospital </w:t>
            </w:r>
            <w:r w:rsidRPr="003F5788">
              <w:rPr>
                <w:rFonts w:ascii="Calibri" w:hAnsi="Calibri"/>
                <w:bCs/>
                <w:color w:val="000000"/>
                <w:sz w:val="20"/>
                <w:szCs w:val="20"/>
                <w:vertAlign w:val="superscript"/>
                <w:lang w:eastAsia="en-AU"/>
              </w:rPr>
              <w:t>2</w:t>
            </w:r>
          </w:p>
        </w:tc>
        <w:tc>
          <w:tcPr>
            <w:tcW w:w="902" w:type="dxa"/>
            <w:shd w:val="clear" w:color="auto" w:fill="auto"/>
          </w:tcPr>
          <w:p w14:paraId="4BDA919F"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302</w:t>
            </w:r>
          </w:p>
        </w:tc>
        <w:tc>
          <w:tcPr>
            <w:tcW w:w="903" w:type="dxa"/>
            <w:shd w:val="clear" w:color="auto" w:fill="auto"/>
          </w:tcPr>
          <w:p w14:paraId="1B1157FB"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545</w:t>
            </w:r>
          </w:p>
        </w:tc>
        <w:tc>
          <w:tcPr>
            <w:tcW w:w="902" w:type="dxa"/>
            <w:shd w:val="clear" w:color="auto" w:fill="auto"/>
          </w:tcPr>
          <w:p w14:paraId="0368FC26"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749</w:t>
            </w:r>
          </w:p>
        </w:tc>
        <w:tc>
          <w:tcPr>
            <w:tcW w:w="903" w:type="dxa"/>
            <w:shd w:val="clear" w:color="auto" w:fill="auto"/>
          </w:tcPr>
          <w:p w14:paraId="6D9DE79D"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813</w:t>
            </w:r>
          </w:p>
        </w:tc>
        <w:tc>
          <w:tcPr>
            <w:tcW w:w="903" w:type="dxa"/>
            <w:shd w:val="clear" w:color="auto" w:fill="auto"/>
          </w:tcPr>
          <w:p w14:paraId="5DCB5982"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2,409</w:t>
            </w:r>
          </w:p>
        </w:tc>
      </w:tr>
      <w:tr w:rsidR="003F5788" w:rsidRPr="003F5788" w14:paraId="17893FAB" w14:textId="77777777" w:rsidTr="008F5C02">
        <w:trPr>
          <w:cantSplit/>
          <w:trHeight w:val="227"/>
        </w:trPr>
        <w:tc>
          <w:tcPr>
            <w:tcW w:w="4559" w:type="dxa"/>
            <w:shd w:val="clear" w:color="auto" w:fill="auto"/>
          </w:tcPr>
          <w:p w14:paraId="73A9A7B8" w14:textId="77777777" w:rsidR="003F5788" w:rsidRPr="003F5788" w:rsidRDefault="003F5788" w:rsidP="003F5788">
            <w:pPr>
              <w:ind w:left="227" w:hanging="227"/>
              <w:rPr>
                <w:rFonts w:ascii="Calibri" w:hAnsi="Calibri"/>
                <w:bCs/>
                <w:color w:val="000000"/>
                <w:sz w:val="20"/>
                <w:szCs w:val="20"/>
                <w:highlight w:val="yellow"/>
                <w:lang w:eastAsia="en-AU"/>
              </w:rPr>
            </w:pPr>
            <w:r w:rsidRPr="003F5788">
              <w:rPr>
                <w:rFonts w:ascii="Calibri" w:hAnsi="Calibri"/>
                <w:bCs/>
                <w:color w:val="000000"/>
                <w:sz w:val="20"/>
                <w:szCs w:val="20"/>
                <w:lang w:eastAsia="en-AU"/>
              </w:rPr>
              <w:t>Expanding public dermatology services</w:t>
            </w:r>
          </w:p>
        </w:tc>
        <w:tc>
          <w:tcPr>
            <w:tcW w:w="902" w:type="dxa"/>
            <w:shd w:val="clear" w:color="auto" w:fill="auto"/>
          </w:tcPr>
          <w:p w14:paraId="4E9425C5"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175</w:t>
            </w:r>
          </w:p>
        </w:tc>
        <w:tc>
          <w:tcPr>
            <w:tcW w:w="903" w:type="dxa"/>
            <w:shd w:val="clear" w:color="auto" w:fill="auto"/>
          </w:tcPr>
          <w:p w14:paraId="2479CE02"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180</w:t>
            </w:r>
          </w:p>
        </w:tc>
        <w:tc>
          <w:tcPr>
            <w:tcW w:w="902" w:type="dxa"/>
            <w:shd w:val="clear" w:color="auto" w:fill="auto"/>
          </w:tcPr>
          <w:p w14:paraId="6FE0FB97"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185</w:t>
            </w:r>
          </w:p>
        </w:tc>
        <w:tc>
          <w:tcPr>
            <w:tcW w:w="903" w:type="dxa"/>
            <w:shd w:val="clear" w:color="auto" w:fill="auto"/>
          </w:tcPr>
          <w:p w14:paraId="2520BA08"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188</w:t>
            </w:r>
          </w:p>
        </w:tc>
        <w:tc>
          <w:tcPr>
            <w:tcW w:w="903" w:type="dxa"/>
            <w:shd w:val="clear" w:color="auto" w:fill="auto"/>
          </w:tcPr>
          <w:p w14:paraId="738D8737"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728</w:t>
            </w:r>
          </w:p>
        </w:tc>
      </w:tr>
      <w:tr w:rsidR="003F5788" w:rsidRPr="003F5788" w14:paraId="79177FFD" w14:textId="77777777" w:rsidTr="008F5C02">
        <w:trPr>
          <w:cantSplit/>
          <w:trHeight w:val="227"/>
        </w:trPr>
        <w:tc>
          <w:tcPr>
            <w:tcW w:w="4559" w:type="dxa"/>
            <w:shd w:val="clear" w:color="auto" w:fill="auto"/>
          </w:tcPr>
          <w:p w14:paraId="075C522D" w14:textId="77777777" w:rsidR="003F5788" w:rsidRPr="003F5788" w:rsidRDefault="003F5788" w:rsidP="003F5788">
            <w:pPr>
              <w:ind w:left="227" w:hanging="227"/>
              <w:rPr>
                <w:rFonts w:ascii="Calibri" w:hAnsi="Calibri"/>
                <w:bCs/>
                <w:color w:val="000000"/>
                <w:sz w:val="20"/>
                <w:szCs w:val="20"/>
                <w:lang w:eastAsia="en-AU"/>
              </w:rPr>
            </w:pPr>
            <w:r w:rsidRPr="003F5788">
              <w:rPr>
                <w:rFonts w:ascii="Calibri" w:hAnsi="Calibri"/>
                <w:bCs/>
                <w:color w:val="000000"/>
                <w:sz w:val="20"/>
                <w:szCs w:val="20"/>
                <w:lang w:eastAsia="en-AU"/>
              </w:rPr>
              <w:t xml:space="preserve">Expanding public Fracture Clinic services </w:t>
            </w:r>
          </w:p>
        </w:tc>
        <w:tc>
          <w:tcPr>
            <w:tcW w:w="902" w:type="dxa"/>
            <w:shd w:val="clear" w:color="auto" w:fill="auto"/>
          </w:tcPr>
          <w:p w14:paraId="7BC92DA9"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556</w:t>
            </w:r>
          </w:p>
        </w:tc>
        <w:tc>
          <w:tcPr>
            <w:tcW w:w="903" w:type="dxa"/>
            <w:shd w:val="clear" w:color="auto" w:fill="auto"/>
          </w:tcPr>
          <w:p w14:paraId="6FE997C4"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1,139</w:t>
            </w:r>
          </w:p>
        </w:tc>
        <w:tc>
          <w:tcPr>
            <w:tcW w:w="902" w:type="dxa"/>
            <w:shd w:val="clear" w:color="auto" w:fill="auto"/>
          </w:tcPr>
          <w:p w14:paraId="6F701F47"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1,167</w:t>
            </w:r>
          </w:p>
        </w:tc>
        <w:tc>
          <w:tcPr>
            <w:tcW w:w="903" w:type="dxa"/>
            <w:shd w:val="clear" w:color="auto" w:fill="auto"/>
          </w:tcPr>
          <w:p w14:paraId="3B6CE858"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1,197</w:t>
            </w:r>
          </w:p>
        </w:tc>
        <w:tc>
          <w:tcPr>
            <w:tcW w:w="903" w:type="dxa"/>
            <w:shd w:val="clear" w:color="auto" w:fill="auto"/>
          </w:tcPr>
          <w:p w14:paraId="5C1A540E"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4,059</w:t>
            </w:r>
          </w:p>
        </w:tc>
      </w:tr>
      <w:tr w:rsidR="003F5788" w:rsidRPr="003F5788" w14:paraId="34DF1086" w14:textId="77777777" w:rsidTr="008F5C02">
        <w:trPr>
          <w:cantSplit/>
          <w:trHeight w:val="227"/>
        </w:trPr>
        <w:tc>
          <w:tcPr>
            <w:tcW w:w="4559" w:type="dxa"/>
            <w:shd w:val="clear" w:color="auto" w:fill="auto"/>
          </w:tcPr>
          <w:p w14:paraId="15960420" w14:textId="77777777" w:rsidR="003F5788" w:rsidRPr="003F5788" w:rsidRDefault="003F5788" w:rsidP="003F5788">
            <w:pPr>
              <w:ind w:left="227" w:hanging="227"/>
              <w:rPr>
                <w:rFonts w:ascii="Calibri" w:hAnsi="Calibri"/>
                <w:bCs/>
                <w:color w:val="000000"/>
                <w:sz w:val="20"/>
                <w:szCs w:val="20"/>
                <w:lang w:eastAsia="en-AU"/>
              </w:rPr>
            </w:pPr>
            <w:r w:rsidRPr="003F5788">
              <w:rPr>
                <w:rFonts w:ascii="Calibri" w:hAnsi="Calibri"/>
                <w:bCs/>
                <w:color w:val="000000"/>
                <w:sz w:val="20"/>
                <w:szCs w:val="20"/>
                <w:lang w:eastAsia="en-AU"/>
              </w:rPr>
              <w:t xml:space="preserve">Expanding public healthcare services for eating disorders </w:t>
            </w:r>
          </w:p>
        </w:tc>
        <w:tc>
          <w:tcPr>
            <w:tcW w:w="902" w:type="dxa"/>
            <w:shd w:val="clear" w:color="auto" w:fill="auto"/>
          </w:tcPr>
          <w:p w14:paraId="3728F2CD"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179</w:t>
            </w:r>
          </w:p>
        </w:tc>
        <w:tc>
          <w:tcPr>
            <w:tcW w:w="903" w:type="dxa"/>
            <w:shd w:val="clear" w:color="auto" w:fill="auto"/>
          </w:tcPr>
          <w:p w14:paraId="38F77EA3"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442</w:t>
            </w:r>
          </w:p>
        </w:tc>
        <w:tc>
          <w:tcPr>
            <w:tcW w:w="902" w:type="dxa"/>
            <w:shd w:val="clear" w:color="auto" w:fill="auto"/>
          </w:tcPr>
          <w:p w14:paraId="09C1F6BB"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683</w:t>
            </w:r>
          </w:p>
        </w:tc>
        <w:tc>
          <w:tcPr>
            <w:tcW w:w="903" w:type="dxa"/>
            <w:shd w:val="clear" w:color="auto" w:fill="auto"/>
          </w:tcPr>
          <w:p w14:paraId="71230A4B"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913</w:t>
            </w:r>
          </w:p>
        </w:tc>
        <w:tc>
          <w:tcPr>
            <w:tcW w:w="903" w:type="dxa"/>
            <w:shd w:val="clear" w:color="auto" w:fill="auto"/>
          </w:tcPr>
          <w:p w14:paraId="684EDF72"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2,217</w:t>
            </w:r>
          </w:p>
        </w:tc>
      </w:tr>
      <w:tr w:rsidR="003F5788" w:rsidRPr="003F5788" w14:paraId="736F7200" w14:textId="77777777" w:rsidTr="008F5C02">
        <w:trPr>
          <w:cantSplit/>
          <w:trHeight w:val="227"/>
        </w:trPr>
        <w:tc>
          <w:tcPr>
            <w:tcW w:w="4559" w:type="dxa"/>
            <w:shd w:val="clear" w:color="auto" w:fill="auto"/>
          </w:tcPr>
          <w:p w14:paraId="6C89C509" w14:textId="77777777" w:rsidR="003F5788" w:rsidRPr="003F5788" w:rsidRDefault="003F5788" w:rsidP="003F5788">
            <w:pPr>
              <w:ind w:left="227" w:hanging="227"/>
              <w:rPr>
                <w:rFonts w:ascii="Calibri" w:hAnsi="Calibri"/>
                <w:bCs/>
                <w:color w:val="000000"/>
                <w:sz w:val="20"/>
                <w:szCs w:val="20"/>
                <w:lang w:eastAsia="en-AU"/>
              </w:rPr>
            </w:pPr>
            <w:r w:rsidRPr="003F5788">
              <w:rPr>
                <w:rFonts w:ascii="Calibri" w:hAnsi="Calibri"/>
                <w:bCs/>
                <w:color w:val="000000"/>
                <w:sz w:val="20"/>
                <w:szCs w:val="20"/>
                <w:lang w:eastAsia="en-AU"/>
              </w:rPr>
              <w:t xml:space="preserve">Expanding public inpatient mental health care </w:t>
            </w:r>
          </w:p>
        </w:tc>
        <w:tc>
          <w:tcPr>
            <w:tcW w:w="902" w:type="dxa"/>
            <w:shd w:val="clear" w:color="auto" w:fill="auto"/>
          </w:tcPr>
          <w:p w14:paraId="7C58DABC"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1,680</w:t>
            </w:r>
          </w:p>
        </w:tc>
        <w:tc>
          <w:tcPr>
            <w:tcW w:w="903" w:type="dxa"/>
            <w:shd w:val="clear" w:color="auto" w:fill="auto"/>
          </w:tcPr>
          <w:p w14:paraId="77CC50DC"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1,722</w:t>
            </w:r>
          </w:p>
        </w:tc>
        <w:tc>
          <w:tcPr>
            <w:tcW w:w="902" w:type="dxa"/>
            <w:shd w:val="clear" w:color="auto" w:fill="auto"/>
          </w:tcPr>
          <w:p w14:paraId="7446FDC8"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1,765</w:t>
            </w:r>
          </w:p>
        </w:tc>
        <w:tc>
          <w:tcPr>
            <w:tcW w:w="903" w:type="dxa"/>
            <w:shd w:val="clear" w:color="auto" w:fill="auto"/>
          </w:tcPr>
          <w:p w14:paraId="6282D738"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1,809</w:t>
            </w:r>
          </w:p>
        </w:tc>
        <w:tc>
          <w:tcPr>
            <w:tcW w:w="903" w:type="dxa"/>
            <w:shd w:val="clear" w:color="auto" w:fill="auto"/>
          </w:tcPr>
          <w:p w14:paraId="50875908"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6,976</w:t>
            </w:r>
          </w:p>
        </w:tc>
      </w:tr>
      <w:tr w:rsidR="003F5788" w:rsidRPr="003F5788" w14:paraId="7EB3642E" w14:textId="77777777" w:rsidTr="008F5C02">
        <w:trPr>
          <w:cantSplit/>
          <w:trHeight w:val="227"/>
        </w:trPr>
        <w:tc>
          <w:tcPr>
            <w:tcW w:w="4559" w:type="dxa"/>
            <w:shd w:val="clear" w:color="auto" w:fill="auto"/>
          </w:tcPr>
          <w:p w14:paraId="157571FF" w14:textId="77777777" w:rsidR="003F5788" w:rsidRPr="003F5788" w:rsidRDefault="003F5788" w:rsidP="003F5788">
            <w:pPr>
              <w:ind w:left="227" w:hanging="227"/>
              <w:rPr>
                <w:rFonts w:ascii="Calibri" w:hAnsi="Calibri"/>
                <w:bCs/>
                <w:color w:val="000000"/>
                <w:sz w:val="20"/>
                <w:szCs w:val="20"/>
                <w:lang w:eastAsia="en-AU"/>
              </w:rPr>
            </w:pPr>
            <w:r w:rsidRPr="003F5788">
              <w:rPr>
                <w:rFonts w:ascii="Calibri" w:hAnsi="Calibri"/>
                <w:bCs/>
                <w:color w:val="000000"/>
                <w:sz w:val="20"/>
                <w:szCs w:val="20"/>
                <w:lang w:eastAsia="en-AU"/>
              </w:rPr>
              <w:t xml:space="preserve">Expanding public ophthalmology services </w:t>
            </w:r>
          </w:p>
        </w:tc>
        <w:tc>
          <w:tcPr>
            <w:tcW w:w="902" w:type="dxa"/>
            <w:shd w:val="clear" w:color="auto" w:fill="auto"/>
          </w:tcPr>
          <w:p w14:paraId="55A31130"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250</w:t>
            </w:r>
          </w:p>
        </w:tc>
        <w:tc>
          <w:tcPr>
            <w:tcW w:w="903" w:type="dxa"/>
            <w:shd w:val="clear" w:color="auto" w:fill="auto"/>
          </w:tcPr>
          <w:p w14:paraId="6BD73833"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0</w:t>
            </w:r>
          </w:p>
        </w:tc>
        <w:tc>
          <w:tcPr>
            <w:tcW w:w="902" w:type="dxa"/>
            <w:shd w:val="clear" w:color="auto" w:fill="auto"/>
          </w:tcPr>
          <w:p w14:paraId="3A93ED98"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0</w:t>
            </w:r>
          </w:p>
        </w:tc>
        <w:tc>
          <w:tcPr>
            <w:tcW w:w="903" w:type="dxa"/>
            <w:shd w:val="clear" w:color="auto" w:fill="auto"/>
          </w:tcPr>
          <w:p w14:paraId="580EBDCE"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0</w:t>
            </w:r>
          </w:p>
        </w:tc>
        <w:tc>
          <w:tcPr>
            <w:tcW w:w="903" w:type="dxa"/>
            <w:shd w:val="clear" w:color="auto" w:fill="auto"/>
          </w:tcPr>
          <w:p w14:paraId="48945CA8"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250</w:t>
            </w:r>
          </w:p>
        </w:tc>
      </w:tr>
      <w:tr w:rsidR="003F5788" w:rsidRPr="003F5788" w14:paraId="65002BFD" w14:textId="77777777" w:rsidTr="008F5C02">
        <w:trPr>
          <w:cantSplit/>
          <w:trHeight w:val="227"/>
        </w:trPr>
        <w:tc>
          <w:tcPr>
            <w:tcW w:w="4559" w:type="dxa"/>
            <w:shd w:val="clear" w:color="auto" w:fill="auto"/>
          </w:tcPr>
          <w:p w14:paraId="43174008" w14:textId="77777777" w:rsidR="003F5788" w:rsidRPr="003F5788" w:rsidRDefault="003F5788" w:rsidP="003F5788">
            <w:pPr>
              <w:ind w:left="227" w:hanging="227"/>
              <w:rPr>
                <w:rFonts w:ascii="Calibri" w:hAnsi="Calibri"/>
                <w:bCs/>
                <w:color w:val="000000"/>
                <w:sz w:val="20"/>
                <w:szCs w:val="20"/>
                <w:vertAlign w:val="superscript"/>
                <w:lang w:eastAsia="en-AU"/>
              </w:rPr>
            </w:pPr>
            <w:r w:rsidRPr="003F5788">
              <w:rPr>
                <w:rFonts w:ascii="Calibri" w:hAnsi="Calibri"/>
                <w:bCs/>
                <w:color w:val="000000"/>
                <w:sz w:val="20"/>
                <w:szCs w:val="20"/>
                <w:lang w:eastAsia="en-AU"/>
              </w:rPr>
              <w:t xml:space="preserve">Expanding the Centenary Hospital for Women and Children </w:t>
            </w:r>
            <w:r w:rsidRPr="003F5788">
              <w:rPr>
                <w:rFonts w:ascii="Calibri" w:hAnsi="Calibri"/>
                <w:bCs/>
                <w:color w:val="000000"/>
                <w:sz w:val="20"/>
                <w:szCs w:val="20"/>
                <w:vertAlign w:val="superscript"/>
                <w:lang w:eastAsia="en-AU"/>
              </w:rPr>
              <w:t>2</w:t>
            </w:r>
          </w:p>
        </w:tc>
        <w:tc>
          <w:tcPr>
            <w:tcW w:w="902" w:type="dxa"/>
            <w:shd w:val="clear" w:color="auto" w:fill="auto"/>
          </w:tcPr>
          <w:p w14:paraId="6E004E8B"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3,000</w:t>
            </w:r>
          </w:p>
        </w:tc>
        <w:tc>
          <w:tcPr>
            <w:tcW w:w="903" w:type="dxa"/>
            <w:shd w:val="clear" w:color="auto" w:fill="auto"/>
          </w:tcPr>
          <w:p w14:paraId="1CD209F5"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3,990</w:t>
            </w:r>
          </w:p>
        </w:tc>
        <w:tc>
          <w:tcPr>
            <w:tcW w:w="902" w:type="dxa"/>
            <w:shd w:val="clear" w:color="auto" w:fill="auto"/>
          </w:tcPr>
          <w:p w14:paraId="40D4BF5D"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14,990</w:t>
            </w:r>
          </w:p>
        </w:tc>
        <w:tc>
          <w:tcPr>
            <w:tcW w:w="903" w:type="dxa"/>
            <w:shd w:val="clear" w:color="auto" w:fill="auto"/>
          </w:tcPr>
          <w:p w14:paraId="3CBE37F0"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20,510</w:t>
            </w:r>
          </w:p>
        </w:tc>
        <w:tc>
          <w:tcPr>
            <w:tcW w:w="903" w:type="dxa"/>
            <w:shd w:val="clear" w:color="auto" w:fill="auto"/>
          </w:tcPr>
          <w:p w14:paraId="6874D444"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42,490</w:t>
            </w:r>
          </w:p>
        </w:tc>
      </w:tr>
      <w:tr w:rsidR="003F5788" w:rsidRPr="003F5788" w14:paraId="6AFEBA96" w14:textId="77777777" w:rsidTr="008F5C02">
        <w:trPr>
          <w:cantSplit/>
          <w:trHeight w:val="227"/>
        </w:trPr>
        <w:tc>
          <w:tcPr>
            <w:tcW w:w="4559" w:type="dxa"/>
            <w:shd w:val="clear" w:color="auto" w:fill="auto"/>
          </w:tcPr>
          <w:p w14:paraId="52A46958" w14:textId="77777777" w:rsidR="003F5788" w:rsidRPr="003F5788" w:rsidRDefault="003F5788" w:rsidP="003F5788">
            <w:pPr>
              <w:ind w:left="227" w:hanging="227"/>
              <w:rPr>
                <w:rFonts w:ascii="Calibri" w:hAnsi="Calibri"/>
                <w:bCs/>
                <w:color w:val="000000"/>
                <w:sz w:val="20"/>
                <w:szCs w:val="20"/>
                <w:lang w:eastAsia="en-AU"/>
              </w:rPr>
            </w:pPr>
            <w:r w:rsidRPr="003F5788">
              <w:rPr>
                <w:rFonts w:ascii="Calibri" w:hAnsi="Calibri"/>
                <w:bCs/>
                <w:color w:val="000000"/>
                <w:sz w:val="20"/>
                <w:szCs w:val="20"/>
                <w:lang w:eastAsia="en-AU"/>
              </w:rPr>
              <w:t xml:space="preserve">Expanding the emergency department at Calvary Public Hospital </w:t>
            </w:r>
          </w:p>
        </w:tc>
        <w:tc>
          <w:tcPr>
            <w:tcW w:w="902" w:type="dxa"/>
            <w:shd w:val="clear" w:color="auto" w:fill="auto"/>
          </w:tcPr>
          <w:p w14:paraId="086A260B"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3,021</w:t>
            </w:r>
          </w:p>
        </w:tc>
        <w:tc>
          <w:tcPr>
            <w:tcW w:w="903" w:type="dxa"/>
            <w:shd w:val="clear" w:color="auto" w:fill="auto"/>
          </w:tcPr>
          <w:p w14:paraId="6B423C00"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6,143</w:t>
            </w:r>
          </w:p>
        </w:tc>
        <w:tc>
          <w:tcPr>
            <w:tcW w:w="902" w:type="dxa"/>
            <w:shd w:val="clear" w:color="auto" w:fill="auto"/>
          </w:tcPr>
          <w:p w14:paraId="6704BB31"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6,352</w:t>
            </w:r>
          </w:p>
        </w:tc>
        <w:tc>
          <w:tcPr>
            <w:tcW w:w="903" w:type="dxa"/>
            <w:shd w:val="clear" w:color="auto" w:fill="auto"/>
          </w:tcPr>
          <w:p w14:paraId="3B8E35EC"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6,475</w:t>
            </w:r>
          </w:p>
        </w:tc>
        <w:tc>
          <w:tcPr>
            <w:tcW w:w="903" w:type="dxa"/>
            <w:shd w:val="clear" w:color="auto" w:fill="auto"/>
          </w:tcPr>
          <w:p w14:paraId="59B76085"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21,991</w:t>
            </w:r>
          </w:p>
        </w:tc>
      </w:tr>
      <w:tr w:rsidR="003F5788" w:rsidRPr="003F5788" w14:paraId="53C87BD8" w14:textId="77777777" w:rsidTr="008F5C02">
        <w:trPr>
          <w:cantSplit/>
          <w:trHeight w:val="227"/>
        </w:trPr>
        <w:tc>
          <w:tcPr>
            <w:tcW w:w="4559" w:type="dxa"/>
            <w:shd w:val="clear" w:color="auto" w:fill="auto"/>
          </w:tcPr>
          <w:p w14:paraId="4948F864" w14:textId="77777777" w:rsidR="003F5788" w:rsidRPr="003F5788" w:rsidRDefault="003F5788" w:rsidP="003F5788">
            <w:pPr>
              <w:ind w:left="227" w:hanging="227"/>
              <w:rPr>
                <w:rFonts w:ascii="Calibri" w:hAnsi="Calibri"/>
                <w:bCs/>
                <w:color w:val="000000"/>
                <w:sz w:val="20"/>
                <w:szCs w:val="20"/>
                <w:lang w:eastAsia="en-AU"/>
              </w:rPr>
            </w:pPr>
            <w:r w:rsidRPr="003F5788">
              <w:rPr>
                <w:rFonts w:ascii="Calibri" w:hAnsi="Calibri"/>
                <w:bCs/>
                <w:color w:val="000000"/>
                <w:sz w:val="20"/>
                <w:szCs w:val="20"/>
                <w:lang w:eastAsia="en-AU"/>
              </w:rPr>
              <w:t xml:space="preserve">Implementing the Independent Review into the Workplace Culture within ACT Public Health Services </w:t>
            </w:r>
          </w:p>
        </w:tc>
        <w:tc>
          <w:tcPr>
            <w:tcW w:w="902" w:type="dxa"/>
            <w:shd w:val="clear" w:color="auto" w:fill="auto"/>
          </w:tcPr>
          <w:p w14:paraId="0F6DDD63"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2,500</w:t>
            </w:r>
          </w:p>
        </w:tc>
        <w:tc>
          <w:tcPr>
            <w:tcW w:w="903" w:type="dxa"/>
            <w:shd w:val="clear" w:color="auto" w:fill="auto"/>
          </w:tcPr>
          <w:p w14:paraId="04D2D644"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4,000</w:t>
            </w:r>
          </w:p>
        </w:tc>
        <w:tc>
          <w:tcPr>
            <w:tcW w:w="902" w:type="dxa"/>
            <w:shd w:val="clear" w:color="auto" w:fill="auto"/>
          </w:tcPr>
          <w:p w14:paraId="2772A421"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4,000</w:t>
            </w:r>
          </w:p>
        </w:tc>
        <w:tc>
          <w:tcPr>
            <w:tcW w:w="903" w:type="dxa"/>
            <w:shd w:val="clear" w:color="auto" w:fill="auto"/>
          </w:tcPr>
          <w:p w14:paraId="740F4D04"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0</w:t>
            </w:r>
          </w:p>
        </w:tc>
        <w:tc>
          <w:tcPr>
            <w:tcW w:w="903" w:type="dxa"/>
            <w:shd w:val="clear" w:color="auto" w:fill="auto"/>
          </w:tcPr>
          <w:p w14:paraId="0A0A9A27"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10,500</w:t>
            </w:r>
          </w:p>
        </w:tc>
      </w:tr>
      <w:tr w:rsidR="003F5788" w:rsidRPr="003F5788" w14:paraId="4E3030C9" w14:textId="77777777" w:rsidTr="008F5C02">
        <w:trPr>
          <w:cantSplit/>
          <w:trHeight w:val="227"/>
        </w:trPr>
        <w:tc>
          <w:tcPr>
            <w:tcW w:w="4559" w:type="dxa"/>
            <w:shd w:val="clear" w:color="auto" w:fill="auto"/>
          </w:tcPr>
          <w:p w14:paraId="4D43F7B7" w14:textId="77777777" w:rsidR="003F5788" w:rsidRPr="003F5788" w:rsidRDefault="003F5788" w:rsidP="003F5788">
            <w:pPr>
              <w:ind w:left="227" w:hanging="227"/>
              <w:rPr>
                <w:rFonts w:ascii="Calibri" w:hAnsi="Calibri"/>
                <w:bCs/>
                <w:color w:val="000000"/>
                <w:sz w:val="20"/>
                <w:szCs w:val="20"/>
                <w:lang w:eastAsia="en-AU"/>
              </w:rPr>
            </w:pPr>
            <w:r w:rsidRPr="003F5788">
              <w:rPr>
                <w:rFonts w:ascii="Calibri" w:hAnsi="Calibri"/>
                <w:bCs/>
                <w:color w:val="000000"/>
                <w:sz w:val="20"/>
                <w:szCs w:val="20"/>
                <w:lang w:eastAsia="en-AU"/>
              </w:rPr>
              <w:t xml:space="preserve">Implementing the Nurses and Midwives: Towards a Safer Culture – The First Step strategy </w:t>
            </w:r>
          </w:p>
        </w:tc>
        <w:tc>
          <w:tcPr>
            <w:tcW w:w="902" w:type="dxa"/>
            <w:shd w:val="clear" w:color="auto" w:fill="auto"/>
          </w:tcPr>
          <w:p w14:paraId="4383170C"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560</w:t>
            </w:r>
          </w:p>
        </w:tc>
        <w:tc>
          <w:tcPr>
            <w:tcW w:w="903" w:type="dxa"/>
            <w:shd w:val="clear" w:color="auto" w:fill="auto"/>
          </w:tcPr>
          <w:p w14:paraId="171812F6"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588</w:t>
            </w:r>
          </w:p>
        </w:tc>
        <w:tc>
          <w:tcPr>
            <w:tcW w:w="902" w:type="dxa"/>
            <w:shd w:val="clear" w:color="auto" w:fill="auto"/>
          </w:tcPr>
          <w:p w14:paraId="119C148D"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144</w:t>
            </w:r>
          </w:p>
        </w:tc>
        <w:tc>
          <w:tcPr>
            <w:tcW w:w="903" w:type="dxa"/>
            <w:shd w:val="clear" w:color="auto" w:fill="auto"/>
          </w:tcPr>
          <w:p w14:paraId="2BCD2D01"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0</w:t>
            </w:r>
          </w:p>
        </w:tc>
        <w:tc>
          <w:tcPr>
            <w:tcW w:w="903" w:type="dxa"/>
            <w:shd w:val="clear" w:color="auto" w:fill="auto"/>
          </w:tcPr>
          <w:p w14:paraId="794459A6"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1,292</w:t>
            </w:r>
          </w:p>
        </w:tc>
      </w:tr>
      <w:tr w:rsidR="003F5788" w:rsidRPr="003F5788" w14:paraId="3E8C20EA" w14:textId="77777777" w:rsidTr="008F5C02">
        <w:trPr>
          <w:cantSplit/>
          <w:trHeight w:val="227"/>
        </w:trPr>
        <w:tc>
          <w:tcPr>
            <w:tcW w:w="4559" w:type="dxa"/>
            <w:shd w:val="clear" w:color="auto" w:fill="auto"/>
          </w:tcPr>
          <w:p w14:paraId="29CC760C" w14:textId="77777777" w:rsidR="003F5788" w:rsidRPr="003F5788" w:rsidRDefault="003F5788" w:rsidP="003F5788">
            <w:pPr>
              <w:ind w:left="227" w:hanging="227"/>
              <w:rPr>
                <w:rFonts w:ascii="Calibri" w:hAnsi="Calibri"/>
                <w:bCs/>
                <w:color w:val="000000"/>
                <w:sz w:val="20"/>
                <w:szCs w:val="20"/>
                <w:lang w:eastAsia="en-AU"/>
              </w:rPr>
            </w:pPr>
            <w:r w:rsidRPr="003F5788">
              <w:rPr>
                <w:rFonts w:ascii="Calibri" w:hAnsi="Calibri"/>
                <w:bCs/>
                <w:color w:val="000000"/>
                <w:sz w:val="20"/>
                <w:szCs w:val="20"/>
                <w:lang w:eastAsia="en-AU"/>
              </w:rPr>
              <w:t xml:space="preserve">Implementing the recommendations of the Royal Commission into Institutional Responses to Child Sexual Abuse </w:t>
            </w:r>
          </w:p>
        </w:tc>
        <w:tc>
          <w:tcPr>
            <w:tcW w:w="902" w:type="dxa"/>
            <w:shd w:val="clear" w:color="auto" w:fill="auto"/>
          </w:tcPr>
          <w:p w14:paraId="23D97AD6"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321</w:t>
            </w:r>
          </w:p>
        </w:tc>
        <w:tc>
          <w:tcPr>
            <w:tcW w:w="903" w:type="dxa"/>
            <w:shd w:val="clear" w:color="auto" w:fill="auto"/>
          </w:tcPr>
          <w:p w14:paraId="694A1A5D"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377</w:t>
            </w:r>
          </w:p>
        </w:tc>
        <w:tc>
          <w:tcPr>
            <w:tcW w:w="902" w:type="dxa"/>
            <w:shd w:val="clear" w:color="auto" w:fill="auto"/>
          </w:tcPr>
          <w:p w14:paraId="5AE24B95"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285</w:t>
            </w:r>
          </w:p>
        </w:tc>
        <w:tc>
          <w:tcPr>
            <w:tcW w:w="903" w:type="dxa"/>
            <w:shd w:val="clear" w:color="auto" w:fill="auto"/>
          </w:tcPr>
          <w:p w14:paraId="367A7F40"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289</w:t>
            </w:r>
          </w:p>
        </w:tc>
        <w:tc>
          <w:tcPr>
            <w:tcW w:w="903" w:type="dxa"/>
            <w:shd w:val="clear" w:color="auto" w:fill="auto"/>
          </w:tcPr>
          <w:p w14:paraId="14709837"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1,272</w:t>
            </w:r>
          </w:p>
        </w:tc>
      </w:tr>
      <w:tr w:rsidR="003F5788" w:rsidRPr="003F5788" w14:paraId="46BFC4C6" w14:textId="77777777" w:rsidTr="008F5C02">
        <w:trPr>
          <w:cantSplit/>
          <w:trHeight w:val="227"/>
        </w:trPr>
        <w:tc>
          <w:tcPr>
            <w:tcW w:w="4559" w:type="dxa"/>
            <w:shd w:val="clear" w:color="auto" w:fill="auto"/>
          </w:tcPr>
          <w:p w14:paraId="20D78DEC" w14:textId="77777777" w:rsidR="003F5788" w:rsidRPr="003F5788" w:rsidRDefault="003F5788" w:rsidP="003F5788">
            <w:pPr>
              <w:ind w:left="227" w:hanging="227"/>
              <w:rPr>
                <w:rFonts w:ascii="Calibri" w:hAnsi="Calibri"/>
                <w:bCs/>
                <w:color w:val="000000"/>
                <w:sz w:val="20"/>
                <w:szCs w:val="20"/>
                <w:lang w:eastAsia="en-AU"/>
              </w:rPr>
            </w:pPr>
            <w:r w:rsidRPr="003F5788">
              <w:rPr>
                <w:rFonts w:ascii="Calibri" w:hAnsi="Calibri"/>
                <w:bCs/>
                <w:color w:val="000000"/>
                <w:sz w:val="20"/>
                <w:szCs w:val="20"/>
                <w:lang w:eastAsia="en-AU"/>
              </w:rPr>
              <w:t xml:space="preserve">Improving access to maternity services across Canberra </w:t>
            </w:r>
          </w:p>
        </w:tc>
        <w:tc>
          <w:tcPr>
            <w:tcW w:w="902" w:type="dxa"/>
            <w:shd w:val="clear" w:color="auto" w:fill="auto"/>
          </w:tcPr>
          <w:p w14:paraId="086C5335"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513</w:t>
            </w:r>
          </w:p>
        </w:tc>
        <w:tc>
          <w:tcPr>
            <w:tcW w:w="903" w:type="dxa"/>
            <w:shd w:val="clear" w:color="auto" w:fill="auto"/>
          </w:tcPr>
          <w:p w14:paraId="3EC0BBC5"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515</w:t>
            </w:r>
          </w:p>
        </w:tc>
        <w:tc>
          <w:tcPr>
            <w:tcW w:w="902" w:type="dxa"/>
            <w:shd w:val="clear" w:color="auto" w:fill="auto"/>
          </w:tcPr>
          <w:p w14:paraId="02F05228"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529</w:t>
            </w:r>
          </w:p>
        </w:tc>
        <w:tc>
          <w:tcPr>
            <w:tcW w:w="903" w:type="dxa"/>
            <w:shd w:val="clear" w:color="auto" w:fill="auto"/>
          </w:tcPr>
          <w:p w14:paraId="588C76FC"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537</w:t>
            </w:r>
          </w:p>
        </w:tc>
        <w:tc>
          <w:tcPr>
            <w:tcW w:w="903" w:type="dxa"/>
            <w:shd w:val="clear" w:color="auto" w:fill="auto"/>
          </w:tcPr>
          <w:p w14:paraId="1FBD9311"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2,094</w:t>
            </w:r>
          </w:p>
        </w:tc>
      </w:tr>
      <w:tr w:rsidR="003F5788" w:rsidRPr="003F5788" w14:paraId="3D33ED45" w14:textId="77777777" w:rsidTr="008F5C02">
        <w:trPr>
          <w:cantSplit/>
          <w:trHeight w:val="227"/>
        </w:trPr>
        <w:tc>
          <w:tcPr>
            <w:tcW w:w="4559" w:type="dxa"/>
            <w:shd w:val="clear" w:color="auto" w:fill="auto"/>
          </w:tcPr>
          <w:p w14:paraId="45ECB25A" w14:textId="77777777" w:rsidR="003F5788" w:rsidRPr="003F5788" w:rsidRDefault="003F5788" w:rsidP="003F5788">
            <w:pPr>
              <w:ind w:left="227" w:hanging="227"/>
              <w:rPr>
                <w:rFonts w:ascii="Calibri" w:hAnsi="Calibri"/>
                <w:bCs/>
                <w:color w:val="000000"/>
                <w:sz w:val="20"/>
                <w:szCs w:val="20"/>
                <w:vertAlign w:val="superscript"/>
                <w:lang w:eastAsia="en-AU"/>
              </w:rPr>
            </w:pPr>
            <w:r w:rsidRPr="003F5788">
              <w:rPr>
                <w:rFonts w:ascii="Calibri" w:hAnsi="Calibri"/>
                <w:bCs/>
                <w:color w:val="000000"/>
                <w:sz w:val="20"/>
                <w:szCs w:val="20"/>
                <w:lang w:eastAsia="en-AU"/>
              </w:rPr>
              <w:t xml:space="preserve">Improving frontline services through the Safer Families Levy </w:t>
            </w:r>
            <w:r w:rsidRPr="003F5788">
              <w:rPr>
                <w:rFonts w:ascii="Calibri" w:hAnsi="Calibri"/>
                <w:bCs/>
                <w:color w:val="000000"/>
                <w:sz w:val="20"/>
                <w:szCs w:val="20"/>
                <w:vertAlign w:val="superscript"/>
                <w:lang w:eastAsia="en-AU"/>
              </w:rPr>
              <w:t>6</w:t>
            </w:r>
          </w:p>
        </w:tc>
        <w:tc>
          <w:tcPr>
            <w:tcW w:w="902" w:type="dxa"/>
            <w:shd w:val="clear" w:color="auto" w:fill="auto"/>
          </w:tcPr>
          <w:p w14:paraId="2482F90B"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-500</w:t>
            </w:r>
          </w:p>
        </w:tc>
        <w:tc>
          <w:tcPr>
            <w:tcW w:w="903" w:type="dxa"/>
            <w:shd w:val="clear" w:color="auto" w:fill="auto"/>
          </w:tcPr>
          <w:p w14:paraId="4F98E660"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-513</w:t>
            </w:r>
          </w:p>
        </w:tc>
        <w:tc>
          <w:tcPr>
            <w:tcW w:w="902" w:type="dxa"/>
            <w:shd w:val="clear" w:color="auto" w:fill="auto"/>
          </w:tcPr>
          <w:p w14:paraId="37CAC060"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-526</w:t>
            </w:r>
          </w:p>
        </w:tc>
        <w:tc>
          <w:tcPr>
            <w:tcW w:w="903" w:type="dxa"/>
            <w:shd w:val="clear" w:color="auto" w:fill="auto"/>
          </w:tcPr>
          <w:p w14:paraId="7842F1FF"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-539</w:t>
            </w:r>
          </w:p>
        </w:tc>
        <w:tc>
          <w:tcPr>
            <w:tcW w:w="903" w:type="dxa"/>
            <w:shd w:val="clear" w:color="auto" w:fill="auto"/>
          </w:tcPr>
          <w:p w14:paraId="3B4ABCA6"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-2,078</w:t>
            </w:r>
          </w:p>
        </w:tc>
      </w:tr>
      <w:tr w:rsidR="003F5788" w:rsidRPr="003F5788" w14:paraId="1445D6F9" w14:textId="77777777" w:rsidTr="008F5C02">
        <w:trPr>
          <w:cantSplit/>
          <w:trHeight w:val="227"/>
        </w:trPr>
        <w:tc>
          <w:tcPr>
            <w:tcW w:w="4559" w:type="dxa"/>
            <w:shd w:val="clear" w:color="auto" w:fill="auto"/>
          </w:tcPr>
          <w:p w14:paraId="0C22360E" w14:textId="77777777" w:rsidR="003F5788" w:rsidRPr="003F5788" w:rsidRDefault="003F5788" w:rsidP="003F5788">
            <w:pPr>
              <w:ind w:left="227" w:hanging="227"/>
              <w:rPr>
                <w:rFonts w:ascii="Calibri" w:hAnsi="Calibri"/>
                <w:bCs/>
                <w:color w:val="000000"/>
                <w:sz w:val="20"/>
                <w:szCs w:val="20"/>
                <w:lang w:eastAsia="en-AU"/>
              </w:rPr>
            </w:pPr>
            <w:r w:rsidRPr="003F5788">
              <w:rPr>
                <w:rFonts w:ascii="Calibri" w:hAnsi="Calibri"/>
                <w:bCs/>
                <w:color w:val="000000"/>
                <w:sz w:val="20"/>
                <w:szCs w:val="20"/>
                <w:lang w:eastAsia="en-AU"/>
              </w:rPr>
              <w:t xml:space="preserve">Investing in medical and health research </w:t>
            </w:r>
          </w:p>
        </w:tc>
        <w:tc>
          <w:tcPr>
            <w:tcW w:w="902" w:type="dxa"/>
            <w:shd w:val="clear" w:color="auto" w:fill="auto"/>
          </w:tcPr>
          <w:p w14:paraId="17805D3A"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1,000</w:t>
            </w:r>
          </w:p>
        </w:tc>
        <w:tc>
          <w:tcPr>
            <w:tcW w:w="903" w:type="dxa"/>
            <w:shd w:val="clear" w:color="auto" w:fill="auto"/>
          </w:tcPr>
          <w:p w14:paraId="32853F01"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1,000</w:t>
            </w:r>
          </w:p>
        </w:tc>
        <w:tc>
          <w:tcPr>
            <w:tcW w:w="902" w:type="dxa"/>
            <w:shd w:val="clear" w:color="auto" w:fill="auto"/>
          </w:tcPr>
          <w:p w14:paraId="3CCEE766"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1,000</w:t>
            </w:r>
          </w:p>
        </w:tc>
        <w:tc>
          <w:tcPr>
            <w:tcW w:w="903" w:type="dxa"/>
            <w:shd w:val="clear" w:color="auto" w:fill="auto"/>
          </w:tcPr>
          <w:p w14:paraId="68900C51"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0</w:t>
            </w:r>
          </w:p>
        </w:tc>
        <w:tc>
          <w:tcPr>
            <w:tcW w:w="903" w:type="dxa"/>
            <w:shd w:val="clear" w:color="auto" w:fill="auto"/>
          </w:tcPr>
          <w:p w14:paraId="79357E93"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3,000</w:t>
            </w:r>
          </w:p>
        </w:tc>
      </w:tr>
      <w:tr w:rsidR="003F5788" w:rsidRPr="003F5788" w14:paraId="55444F82" w14:textId="77777777" w:rsidTr="008F5C02">
        <w:trPr>
          <w:cantSplit/>
          <w:trHeight w:val="227"/>
        </w:trPr>
        <w:tc>
          <w:tcPr>
            <w:tcW w:w="4559" w:type="dxa"/>
            <w:shd w:val="clear" w:color="auto" w:fill="auto"/>
          </w:tcPr>
          <w:p w14:paraId="5654D4D0" w14:textId="77777777" w:rsidR="003F5788" w:rsidRPr="003F5788" w:rsidRDefault="003F5788" w:rsidP="003F5788">
            <w:pPr>
              <w:ind w:left="227" w:hanging="227"/>
              <w:rPr>
                <w:rFonts w:ascii="Calibri" w:hAnsi="Calibri"/>
                <w:bCs/>
                <w:color w:val="000000"/>
                <w:sz w:val="20"/>
                <w:szCs w:val="20"/>
                <w:vertAlign w:val="superscript"/>
                <w:lang w:eastAsia="en-AU"/>
              </w:rPr>
            </w:pPr>
            <w:r w:rsidRPr="003F5788">
              <w:rPr>
                <w:rFonts w:ascii="Calibri" w:hAnsi="Calibri"/>
                <w:bCs/>
                <w:color w:val="000000"/>
                <w:sz w:val="20"/>
                <w:szCs w:val="20"/>
                <w:lang w:eastAsia="en-AU"/>
              </w:rPr>
              <w:t xml:space="preserve">Maintaining support for disability services in the transition to the full scheme National Disability Insurance Scheme </w:t>
            </w:r>
            <w:r w:rsidRPr="003F5788">
              <w:rPr>
                <w:rFonts w:ascii="Calibri" w:hAnsi="Calibri"/>
                <w:bCs/>
                <w:color w:val="000000"/>
                <w:sz w:val="20"/>
                <w:szCs w:val="20"/>
                <w:vertAlign w:val="superscript"/>
                <w:lang w:eastAsia="en-AU"/>
              </w:rPr>
              <w:t>1, 4</w:t>
            </w:r>
          </w:p>
        </w:tc>
        <w:tc>
          <w:tcPr>
            <w:tcW w:w="902" w:type="dxa"/>
            <w:shd w:val="clear" w:color="auto" w:fill="auto"/>
          </w:tcPr>
          <w:p w14:paraId="0F751EE9"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2,854</w:t>
            </w:r>
          </w:p>
        </w:tc>
        <w:tc>
          <w:tcPr>
            <w:tcW w:w="903" w:type="dxa"/>
            <w:shd w:val="clear" w:color="auto" w:fill="auto"/>
          </w:tcPr>
          <w:p w14:paraId="1B2F80FA"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2,925</w:t>
            </w:r>
          </w:p>
        </w:tc>
        <w:tc>
          <w:tcPr>
            <w:tcW w:w="902" w:type="dxa"/>
            <w:shd w:val="clear" w:color="auto" w:fill="auto"/>
          </w:tcPr>
          <w:p w14:paraId="0873B05E"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2,998</w:t>
            </w:r>
          </w:p>
        </w:tc>
        <w:tc>
          <w:tcPr>
            <w:tcW w:w="903" w:type="dxa"/>
            <w:shd w:val="clear" w:color="auto" w:fill="auto"/>
          </w:tcPr>
          <w:p w14:paraId="5941CCCE"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3,073</w:t>
            </w:r>
          </w:p>
        </w:tc>
        <w:tc>
          <w:tcPr>
            <w:tcW w:w="903" w:type="dxa"/>
            <w:shd w:val="clear" w:color="auto" w:fill="auto"/>
          </w:tcPr>
          <w:p w14:paraId="4C5ADFB0"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11,850</w:t>
            </w:r>
          </w:p>
        </w:tc>
      </w:tr>
      <w:tr w:rsidR="003F5788" w:rsidRPr="003F5788" w14:paraId="655FDB65" w14:textId="77777777" w:rsidTr="008F5C02">
        <w:trPr>
          <w:cantSplit/>
          <w:trHeight w:val="227"/>
        </w:trPr>
        <w:tc>
          <w:tcPr>
            <w:tcW w:w="4559" w:type="dxa"/>
            <w:shd w:val="clear" w:color="auto" w:fill="auto"/>
          </w:tcPr>
          <w:p w14:paraId="38AB0FA2" w14:textId="77777777" w:rsidR="003F5788" w:rsidRPr="003F5788" w:rsidRDefault="003F5788" w:rsidP="003F5788">
            <w:pPr>
              <w:ind w:left="227" w:hanging="227"/>
              <w:rPr>
                <w:rFonts w:ascii="Calibri" w:hAnsi="Calibri"/>
                <w:bCs/>
                <w:color w:val="000000"/>
                <w:sz w:val="20"/>
                <w:szCs w:val="20"/>
                <w:lang w:eastAsia="en-AU"/>
              </w:rPr>
            </w:pPr>
            <w:r w:rsidRPr="003F5788">
              <w:rPr>
                <w:rFonts w:ascii="Calibri" w:hAnsi="Calibri"/>
                <w:bCs/>
                <w:color w:val="000000"/>
                <w:sz w:val="20"/>
                <w:szCs w:val="20"/>
                <w:lang w:eastAsia="en-AU"/>
              </w:rPr>
              <w:t xml:space="preserve">More mental health services at The Canberra Hospital </w:t>
            </w:r>
            <w:r w:rsidRPr="003F5788">
              <w:rPr>
                <w:rFonts w:ascii="Calibri" w:hAnsi="Calibri"/>
                <w:bCs/>
                <w:color w:val="000000"/>
                <w:sz w:val="20"/>
                <w:szCs w:val="20"/>
                <w:vertAlign w:val="superscript"/>
                <w:lang w:eastAsia="en-AU"/>
              </w:rPr>
              <w:t>2</w:t>
            </w:r>
            <w:r w:rsidRPr="003F5788">
              <w:rPr>
                <w:rFonts w:ascii="Calibri" w:hAnsi="Calibri"/>
                <w:bCs/>
                <w:color w:val="000000"/>
                <w:sz w:val="20"/>
                <w:szCs w:val="20"/>
                <w:lang w:eastAsia="en-AU"/>
              </w:rPr>
              <w:t xml:space="preserve"> </w:t>
            </w:r>
          </w:p>
        </w:tc>
        <w:tc>
          <w:tcPr>
            <w:tcW w:w="902" w:type="dxa"/>
            <w:shd w:val="clear" w:color="auto" w:fill="auto"/>
          </w:tcPr>
          <w:p w14:paraId="158398CA"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0</w:t>
            </w:r>
          </w:p>
        </w:tc>
        <w:tc>
          <w:tcPr>
            <w:tcW w:w="903" w:type="dxa"/>
            <w:shd w:val="clear" w:color="auto" w:fill="auto"/>
          </w:tcPr>
          <w:p w14:paraId="7489362D"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488</w:t>
            </w:r>
          </w:p>
        </w:tc>
        <w:tc>
          <w:tcPr>
            <w:tcW w:w="902" w:type="dxa"/>
            <w:shd w:val="clear" w:color="auto" w:fill="auto"/>
          </w:tcPr>
          <w:p w14:paraId="4EF05069"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999</w:t>
            </w:r>
          </w:p>
        </w:tc>
        <w:tc>
          <w:tcPr>
            <w:tcW w:w="903" w:type="dxa"/>
            <w:shd w:val="clear" w:color="auto" w:fill="auto"/>
          </w:tcPr>
          <w:p w14:paraId="7449B3EB"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1,078</w:t>
            </w:r>
          </w:p>
        </w:tc>
        <w:tc>
          <w:tcPr>
            <w:tcW w:w="903" w:type="dxa"/>
            <w:shd w:val="clear" w:color="auto" w:fill="auto"/>
          </w:tcPr>
          <w:p w14:paraId="4A882E2A"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2,565</w:t>
            </w:r>
          </w:p>
        </w:tc>
      </w:tr>
      <w:tr w:rsidR="003F5788" w:rsidRPr="003F5788" w14:paraId="7C9B0972" w14:textId="77777777" w:rsidTr="008F5C02">
        <w:trPr>
          <w:cantSplit/>
          <w:trHeight w:val="227"/>
        </w:trPr>
        <w:tc>
          <w:tcPr>
            <w:tcW w:w="4559" w:type="dxa"/>
            <w:shd w:val="clear" w:color="auto" w:fill="auto"/>
          </w:tcPr>
          <w:p w14:paraId="29709F3D" w14:textId="77777777" w:rsidR="003F5788" w:rsidRPr="003F5788" w:rsidRDefault="003F5788" w:rsidP="003F5788">
            <w:pPr>
              <w:ind w:left="227" w:hanging="227"/>
              <w:rPr>
                <w:rFonts w:ascii="Calibri" w:hAnsi="Calibri"/>
                <w:bCs/>
                <w:color w:val="000000"/>
                <w:sz w:val="20"/>
                <w:szCs w:val="20"/>
                <w:vertAlign w:val="superscript"/>
                <w:lang w:eastAsia="en-AU"/>
              </w:rPr>
            </w:pPr>
            <w:r w:rsidRPr="003F5788">
              <w:rPr>
                <w:rFonts w:ascii="Calibri" w:hAnsi="Calibri"/>
                <w:bCs/>
                <w:color w:val="000000"/>
                <w:sz w:val="20"/>
                <w:szCs w:val="20"/>
                <w:lang w:eastAsia="en-AU"/>
              </w:rPr>
              <w:t xml:space="preserve">More public medical imaging services for Canberra Hospital </w:t>
            </w:r>
            <w:r w:rsidRPr="003F5788">
              <w:rPr>
                <w:rFonts w:ascii="Calibri" w:hAnsi="Calibri"/>
                <w:bCs/>
                <w:color w:val="000000"/>
                <w:sz w:val="20"/>
                <w:szCs w:val="20"/>
                <w:vertAlign w:val="superscript"/>
                <w:lang w:eastAsia="en-AU"/>
              </w:rPr>
              <w:t>2</w:t>
            </w:r>
          </w:p>
        </w:tc>
        <w:tc>
          <w:tcPr>
            <w:tcW w:w="902" w:type="dxa"/>
            <w:shd w:val="clear" w:color="auto" w:fill="auto"/>
          </w:tcPr>
          <w:p w14:paraId="6099B010"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100</w:t>
            </w:r>
          </w:p>
        </w:tc>
        <w:tc>
          <w:tcPr>
            <w:tcW w:w="903" w:type="dxa"/>
            <w:shd w:val="clear" w:color="auto" w:fill="auto"/>
          </w:tcPr>
          <w:p w14:paraId="03044BE7"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677</w:t>
            </w:r>
          </w:p>
        </w:tc>
        <w:tc>
          <w:tcPr>
            <w:tcW w:w="902" w:type="dxa"/>
            <w:shd w:val="clear" w:color="auto" w:fill="auto"/>
          </w:tcPr>
          <w:p w14:paraId="56E09A95"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1,217</w:t>
            </w:r>
          </w:p>
        </w:tc>
        <w:tc>
          <w:tcPr>
            <w:tcW w:w="903" w:type="dxa"/>
            <w:shd w:val="clear" w:color="auto" w:fill="auto"/>
          </w:tcPr>
          <w:p w14:paraId="019732C8"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1,458</w:t>
            </w:r>
          </w:p>
        </w:tc>
        <w:tc>
          <w:tcPr>
            <w:tcW w:w="903" w:type="dxa"/>
            <w:shd w:val="clear" w:color="auto" w:fill="auto"/>
          </w:tcPr>
          <w:p w14:paraId="2083D54F"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3,452</w:t>
            </w:r>
          </w:p>
        </w:tc>
      </w:tr>
      <w:tr w:rsidR="003F5788" w:rsidRPr="003F5788" w14:paraId="12999932" w14:textId="77777777" w:rsidTr="008F5C02">
        <w:trPr>
          <w:cantSplit/>
          <w:trHeight w:val="227"/>
        </w:trPr>
        <w:tc>
          <w:tcPr>
            <w:tcW w:w="4559" w:type="dxa"/>
            <w:shd w:val="clear" w:color="auto" w:fill="auto"/>
          </w:tcPr>
          <w:p w14:paraId="62C64646" w14:textId="77777777" w:rsidR="003F5788" w:rsidRPr="003F5788" w:rsidRDefault="003F5788" w:rsidP="003F5788">
            <w:pPr>
              <w:ind w:left="227" w:hanging="227"/>
              <w:rPr>
                <w:rFonts w:ascii="Calibri" w:hAnsi="Calibri"/>
                <w:bCs/>
                <w:color w:val="000000"/>
                <w:sz w:val="20"/>
                <w:szCs w:val="20"/>
                <w:lang w:eastAsia="en-AU"/>
              </w:rPr>
            </w:pPr>
            <w:r w:rsidRPr="003F5788">
              <w:rPr>
                <w:rFonts w:ascii="Calibri" w:hAnsi="Calibri"/>
                <w:bCs/>
                <w:color w:val="000000"/>
                <w:sz w:val="20"/>
                <w:szCs w:val="20"/>
                <w:lang w:eastAsia="en-AU"/>
              </w:rPr>
              <w:t xml:space="preserve">More specialised women’s health care </w:t>
            </w:r>
          </w:p>
        </w:tc>
        <w:tc>
          <w:tcPr>
            <w:tcW w:w="902" w:type="dxa"/>
            <w:shd w:val="clear" w:color="auto" w:fill="auto"/>
          </w:tcPr>
          <w:p w14:paraId="6B82C438"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114</w:t>
            </w:r>
          </w:p>
        </w:tc>
        <w:tc>
          <w:tcPr>
            <w:tcW w:w="903" w:type="dxa"/>
            <w:shd w:val="clear" w:color="auto" w:fill="auto"/>
          </w:tcPr>
          <w:p w14:paraId="12AE7B8D"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214</w:t>
            </w:r>
          </w:p>
        </w:tc>
        <w:tc>
          <w:tcPr>
            <w:tcW w:w="902" w:type="dxa"/>
            <w:shd w:val="clear" w:color="auto" w:fill="auto"/>
          </w:tcPr>
          <w:p w14:paraId="4AC69694"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220</w:t>
            </w:r>
          </w:p>
        </w:tc>
        <w:tc>
          <w:tcPr>
            <w:tcW w:w="903" w:type="dxa"/>
            <w:shd w:val="clear" w:color="auto" w:fill="auto"/>
          </w:tcPr>
          <w:p w14:paraId="3F8B9B1C"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223</w:t>
            </w:r>
          </w:p>
        </w:tc>
        <w:tc>
          <w:tcPr>
            <w:tcW w:w="903" w:type="dxa"/>
            <w:shd w:val="clear" w:color="auto" w:fill="auto"/>
          </w:tcPr>
          <w:p w14:paraId="69CA57DD"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771</w:t>
            </w:r>
          </w:p>
        </w:tc>
      </w:tr>
      <w:tr w:rsidR="003F5788" w:rsidRPr="003F5788" w14:paraId="34E5D5CE" w14:textId="77777777" w:rsidTr="008F5C02">
        <w:trPr>
          <w:cantSplit/>
          <w:trHeight w:val="227"/>
        </w:trPr>
        <w:tc>
          <w:tcPr>
            <w:tcW w:w="4559" w:type="dxa"/>
            <w:shd w:val="clear" w:color="auto" w:fill="auto"/>
          </w:tcPr>
          <w:p w14:paraId="2996D9D3" w14:textId="77777777" w:rsidR="003F5788" w:rsidRPr="003F5788" w:rsidRDefault="003F5788" w:rsidP="003F5788">
            <w:pPr>
              <w:ind w:left="227" w:hanging="227"/>
              <w:rPr>
                <w:rFonts w:ascii="Calibri" w:hAnsi="Calibri"/>
                <w:bCs/>
                <w:color w:val="000000"/>
                <w:sz w:val="20"/>
                <w:szCs w:val="20"/>
                <w:lang w:eastAsia="en-AU"/>
              </w:rPr>
            </w:pPr>
            <w:r w:rsidRPr="003F5788">
              <w:rPr>
                <w:rFonts w:ascii="Calibri" w:hAnsi="Calibri"/>
                <w:bCs/>
                <w:color w:val="000000"/>
                <w:sz w:val="20"/>
                <w:szCs w:val="20"/>
                <w:lang w:eastAsia="en-AU"/>
              </w:rPr>
              <w:t xml:space="preserve">More support for families travelling for healthcare </w:t>
            </w:r>
          </w:p>
        </w:tc>
        <w:tc>
          <w:tcPr>
            <w:tcW w:w="902" w:type="dxa"/>
            <w:shd w:val="clear" w:color="auto" w:fill="auto"/>
          </w:tcPr>
          <w:p w14:paraId="1B2F3225"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250</w:t>
            </w:r>
          </w:p>
        </w:tc>
        <w:tc>
          <w:tcPr>
            <w:tcW w:w="903" w:type="dxa"/>
            <w:shd w:val="clear" w:color="auto" w:fill="auto"/>
          </w:tcPr>
          <w:p w14:paraId="7CA37BA5"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512</w:t>
            </w:r>
          </w:p>
        </w:tc>
        <w:tc>
          <w:tcPr>
            <w:tcW w:w="902" w:type="dxa"/>
            <w:shd w:val="clear" w:color="auto" w:fill="auto"/>
          </w:tcPr>
          <w:p w14:paraId="26CB70B7"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525</w:t>
            </w:r>
          </w:p>
        </w:tc>
        <w:tc>
          <w:tcPr>
            <w:tcW w:w="903" w:type="dxa"/>
            <w:shd w:val="clear" w:color="auto" w:fill="auto"/>
          </w:tcPr>
          <w:p w14:paraId="65AFD50D"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538</w:t>
            </w:r>
          </w:p>
        </w:tc>
        <w:tc>
          <w:tcPr>
            <w:tcW w:w="903" w:type="dxa"/>
            <w:shd w:val="clear" w:color="auto" w:fill="auto"/>
          </w:tcPr>
          <w:p w14:paraId="258D32E2"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1,825</w:t>
            </w:r>
          </w:p>
        </w:tc>
      </w:tr>
      <w:tr w:rsidR="003F5788" w:rsidRPr="003F5788" w14:paraId="39BD5EDF" w14:textId="77777777" w:rsidTr="008F5C02">
        <w:trPr>
          <w:cantSplit/>
          <w:trHeight w:val="227"/>
        </w:trPr>
        <w:tc>
          <w:tcPr>
            <w:tcW w:w="4559" w:type="dxa"/>
            <w:shd w:val="clear" w:color="auto" w:fill="auto"/>
          </w:tcPr>
          <w:p w14:paraId="7048012C" w14:textId="77777777" w:rsidR="003F5788" w:rsidRPr="003F5788" w:rsidRDefault="003F5788" w:rsidP="003F5788">
            <w:pPr>
              <w:ind w:left="227" w:hanging="227"/>
              <w:rPr>
                <w:rFonts w:ascii="Calibri" w:hAnsi="Calibri"/>
                <w:bCs/>
                <w:color w:val="000000"/>
                <w:sz w:val="20"/>
                <w:szCs w:val="20"/>
                <w:lang w:eastAsia="en-AU"/>
              </w:rPr>
            </w:pPr>
            <w:r w:rsidRPr="003F5788">
              <w:rPr>
                <w:rFonts w:ascii="Calibri" w:hAnsi="Calibri"/>
                <w:bCs/>
                <w:color w:val="000000"/>
                <w:sz w:val="20"/>
                <w:szCs w:val="20"/>
                <w:lang w:eastAsia="en-AU"/>
              </w:rPr>
              <w:t xml:space="preserve">More surgical theatres at Calvary Public Hospital </w:t>
            </w:r>
          </w:p>
        </w:tc>
        <w:tc>
          <w:tcPr>
            <w:tcW w:w="902" w:type="dxa"/>
            <w:shd w:val="clear" w:color="auto" w:fill="auto"/>
          </w:tcPr>
          <w:p w14:paraId="1561DDD0"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2,179</w:t>
            </w:r>
          </w:p>
        </w:tc>
        <w:tc>
          <w:tcPr>
            <w:tcW w:w="903" w:type="dxa"/>
            <w:shd w:val="clear" w:color="auto" w:fill="auto"/>
          </w:tcPr>
          <w:p w14:paraId="66872C88"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3,316</w:t>
            </w:r>
          </w:p>
        </w:tc>
        <w:tc>
          <w:tcPr>
            <w:tcW w:w="902" w:type="dxa"/>
            <w:shd w:val="clear" w:color="auto" w:fill="auto"/>
          </w:tcPr>
          <w:p w14:paraId="6AC4518B"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3,461</w:t>
            </w:r>
          </w:p>
        </w:tc>
        <w:tc>
          <w:tcPr>
            <w:tcW w:w="903" w:type="dxa"/>
            <w:shd w:val="clear" w:color="auto" w:fill="auto"/>
          </w:tcPr>
          <w:p w14:paraId="0879302B"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3,625</w:t>
            </w:r>
          </w:p>
        </w:tc>
        <w:tc>
          <w:tcPr>
            <w:tcW w:w="903" w:type="dxa"/>
            <w:shd w:val="clear" w:color="auto" w:fill="auto"/>
          </w:tcPr>
          <w:p w14:paraId="2C39A00A"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12,581</w:t>
            </w:r>
          </w:p>
        </w:tc>
      </w:tr>
      <w:tr w:rsidR="003F5788" w:rsidRPr="003F5788" w14:paraId="15BAAFA2" w14:textId="77777777" w:rsidTr="008F5C02">
        <w:trPr>
          <w:cantSplit/>
          <w:trHeight w:val="227"/>
        </w:trPr>
        <w:tc>
          <w:tcPr>
            <w:tcW w:w="4559" w:type="dxa"/>
            <w:shd w:val="clear" w:color="auto" w:fill="auto"/>
          </w:tcPr>
          <w:p w14:paraId="30ED768A" w14:textId="77777777" w:rsidR="003F5788" w:rsidRPr="003F5788" w:rsidRDefault="003F5788" w:rsidP="003F5788">
            <w:pPr>
              <w:ind w:left="227" w:hanging="227"/>
              <w:rPr>
                <w:rFonts w:ascii="Calibri" w:hAnsi="Calibri"/>
                <w:bCs/>
                <w:color w:val="000000"/>
                <w:sz w:val="20"/>
                <w:szCs w:val="20"/>
                <w:lang w:eastAsia="en-AU"/>
              </w:rPr>
            </w:pPr>
            <w:r w:rsidRPr="003F5788">
              <w:rPr>
                <w:rFonts w:ascii="Calibri" w:hAnsi="Calibri"/>
                <w:bCs/>
                <w:color w:val="000000"/>
                <w:sz w:val="20"/>
                <w:szCs w:val="20"/>
                <w:lang w:eastAsia="en-AU"/>
              </w:rPr>
              <w:t xml:space="preserve">More urology services at Calvary Public Hospital </w:t>
            </w:r>
          </w:p>
        </w:tc>
        <w:tc>
          <w:tcPr>
            <w:tcW w:w="902" w:type="dxa"/>
            <w:shd w:val="clear" w:color="auto" w:fill="auto"/>
          </w:tcPr>
          <w:p w14:paraId="20E96AB2"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2,932</w:t>
            </w:r>
          </w:p>
        </w:tc>
        <w:tc>
          <w:tcPr>
            <w:tcW w:w="903" w:type="dxa"/>
            <w:shd w:val="clear" w:color="auto" w:fill="auto"/>
          </w:tcPr>
          <w:p w14:paraId="35AEEAFB"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962</w:t>
            </w:r>
          </w:p>
        </w:tc>
        <w:tc>
          <w:tcPr>
            <w:tcW w:w="902" w:type="dxa"/>
            <w:shd w:val="clear" w:color="auto" w:fill="auto"/>
          </w:tcPr>
          <w:p w14:paraId="1279817E"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991</w:t>
            </w:r>
          </w:p>
        </w:tc>
        <w:tc>
          <w:tcPr>
            <w:tcW w:w="903" w:type="dxa"/>
            <w:shd w:val="clear" w:color="auto" w:fill="auto"/>
          </w:tcPr>
          <w:p w14:paraId="5A697E3D"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1,021</w:t>
            </w:r>
          </w:p>
        </w:tc>
        <w:tc>
          <w:tcPr>
            <w:tcW w:w="903" w:type="dxa"/>
            <w:shd w:val="clear" w:color="auto" w:fill="auto"/>
          </w:tcPr>
          <w:p w14:paraId="1C1CBE3B"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5,906</w:t>
            </w:r>
          </w:p>
        </w:tc>
      </w:tr>
      <w:tr w:rsidR="003F5788" w:rsidRPr="003F5788" w14:paraId="3190E9FE" w14:textId="77777777" w:rsidTr="008F5C02">
        <w:trPr>
          <w:cantSplit/>
          <w:trHeight w:val="80"/>
        </w:trPr>
        <w:tc>
          <w:tcPr>
            <w:tcW w:w="4559" w:type="dxa"/>
            <w:shd w:val="clear" w:color="auto" w:fill="auto"/>
          </w:tcPr>
          <w:p w14:paraId="35F0974B" w14:textId="77777777" w:rsidR="003F5788" w:rsidRPr="003F5788" w:rsidRDefault="003F5788" w:rsidP="003F5788">
            <w:pPr>
              <w:ind w:left="227" w:hanging="227"/>
              <w:rPr>
                <w:rFonts w:ascii="Calibri" w:hAnsi="Calibri"/>
                <w:bCs/>
                <w:color w:val="000000"/>
                <w:sz w:val="20"/>
                <w:szCs w:val="20"/>
                <w:vertAlign w:val="superscript"/>
                <w:lang w:eastAsia="en-AU"/>
              </w:rPr>
            </w:pPr>
            <w:r w:rsidRPr="003F5788">
              <w:rPr>
                <w:rFonts w:ascii="Calibri" w:hAnsi="Calibri"/>
                <w:bCs/>
                <w:color w:val="000000"/>
                <w:sz w:val="20"/>
                <w:szCs w:val="20"/>
                <w:lang w:eastAsia="en-AU"/>
              </w:rPr>
              <w:t xml:space="preserve">Opioid treatment services on Canberra’s northside </w:t>
            </w:r>
            <w:r w:rsidRPr="003F5788">
              <w:rPr>
                <w:rFonts w:ascii="Calibri" w:hAnsi="Calibri"/>
                <w:bCs/>
                <w:color w:val="000000"/>
                <w:sz w:val="20"/>
                <w:szCs w:val="20"/>
                <w:vertAlign w:val="superscript"/>
                <w:lang w:eastAsia="en-AU"/>
              </w:rPr>
              <w:t>2</w:t>
            </w:r>
          </w:p>
        </w:tc>
        <w:tc>
          <w:tcPr>
            <w:tcW w:w="902" w:type="dxa"/>
            <w:shd w:val="clear" w:color="auto" w:fill="auto"/>
          </w:tcPr>
          <w:p w14:paraId="69E8EFFC"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0</w:t>
            </w:r>
          </w:p>
        </w:tc>
        <w:tc>
          <w:tcPr>
            <w:tcW w:w="903" w:type="dxa"/>
            <w:shd w:val="clear" w:color="auto" w:fill="auto"/>
          </w:tcPr>
          <w:p w14:paraId="284B8B49"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750</w:t>
            </w:r>
          </w:p>
        </w:tc>
        <w:tc>
          <w:tcPr>
            <w:tcW w:w="902" w:type="dxa"/>
            <w:shd w:val="clear" w:color="auto" w:fill="auto"/>
          </w:tcPr>
          <w:p w14:paraId="752B4935"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770</w:t>
            </w:r>
          </w:p>
        </w:tc>
        <w:tc>
          <w:tcPr>
            <w:tcW w:w="903" w:type="dxa"/>
            <w:shd w:val="clear" w:color="auto" w:fill="auto"/>
          </w:tcPr>
          <w:p w14:paraId="18A4605B"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790</w:t>
            </w:r>
          </w:p>
        </w:tc>
        <w:tc>
          <w:tcPr>
            <w:tcW w:w="903" w:type="dxa"/>
            <w:shd w:val="clear" w:color="auto" w:fill="auto"/>
          </w:tcPr>
          <w:p w14:paraId="75113E53"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2,310</w:t>
            </w:r>
          </w:p>
        </w:tc>
      </w:tr>
      <w:tr w:rsidR="003F5788" w:rsidRPr="003F5788" w14:paraId="7C6983DD" w14:textId="77777777" w:rsidTr="008F5C02">
        <w:trPr>
          <w:cantSplit/>
          <w:trHeight w:val="227"/>
        </w:trPr>
        <w:tc>
          <w:tcPr>
            <w:tcW w:w="4559" w:type="dxa"/>
            <w:shd w:val="clear" w:color="auto" w:fill="auto"/>
          </w:tcPr>
          <w:p w14:paraId="1F6D8839" w14:textId="77777777" w:rsidR="003F5788" w:rsidRPr="003F5788" w:rsidRDefault="003F5788" w:rsidP="003F5788">
            <w:pPr>
              <w:ind w:left="227" w:hanging="227"/>
              <w:rPr>
                <w:rFonts w:ascii="Calibri" w:hAnsi="Calibri"/>
                <w:bCs/>
                <w:color w:val="000000"/>
                <w:sz w:val="20"/>
                <w:szCs w:val="20"/>
                <w:lang w:eastAsia="en-AU"/>
              </w:rPr>
            </w:pPr>
            <w:r w:rsidRPr="003F5788">
              <w:rPr>
                <w:rFonts w:ascii="Calibri" w:hAnsi="Calibri"/>
                <w:bCs/>
                <w:color w:val="000000"/>
                <w:sz w:val="20"/>
                <w:szCs w:val="20"/>
                <w:lang w:eastAsia="en-AU"/>
              </w:rPr>
              <w:t xml:space="preserve">Protecting teens with meningococcal </w:t>
            </w:r>
            <w:proofErr w:type="spellStart"/>
            <w:r w:rsidRPr="003F5788">
              <w:rPr>
                <w:rFonts w:ascii="Calibri" w:hAnsi="Calibri"/>
                <w:bCs/>
                <w:color w:val="000000"/>
                <w:sz w:val="20"/>
                <w:szCs w:val="20"/>
                <w:lang w:eastAsia="en-AU"/>
              </w:rPr>
              <w:t>ACWY</w:t>
            </w:r>
            <w:proofErr w:type="spellEnd"/>
            <w:r w:rsidRPr="003F5788">
              <w:rPr>
                <w:rFonts w:ascii="Calibri" w:hAnsi="Calibri"/>
                <w:bCs/>
                <w:color w:val="000000"/>
                <w:sz w:val="20"/>
                <w:szCs w:val="20"/>
                <w:lang w:eastAsia="en-AU"/>
              </w:rPr>
              <w:t xml:space="preserve"> vaccinations </w:t>
            </w:r>
          </w:p>
        </w:tc>
        <w:tc>
          <w:tcPr>
            <w:tcW w:w="902" w:type="dxa"/>
            <w:shd w:val="clear" w:color="auto" w:fill="auto"/>
          </w:tcPr>
          <w:p w14:paraId="480FA91B"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320</w:t>
            </w:r>
          </w:p>
        </w:tc>
        <w:tc>
          <w:tcPr>
            <w:tcW w:w="903" w:type="dxa"/>
            <w:shd w:val="clear" w:color="auto" w:fill="auto"/>
          </w:tcPr>
          <w:p w14:paraId="1BD745B4"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327</w:t>
            </w:r>
          </w:p>
        </w:tc>
        <w:tc>
          <w:tcPr>
            <w:tcW w:w="902" w:type="dxa"/>
            <w:shd w:val="clear" w:color="auto" w:fill="auto"/>
          </w:tcPr>
          <w:p w14:paraId="2C99DC83"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337</w:t>
            </w:r>
          </w:p>
        </w:tc>
        <w:tc>
          <w:tcPr>
            <w:tcW w:w="903" w:type="dxa"/>
            <w:shd w:val="clear" w:color="auto" w:fill="auto"/>
          </w:tcPr>
          <w:p w14:paraId="25AD6A6E"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342</w:t>
            </w:r>
          </w:p>
        </w:tc>
        <w:tc>
          <w:tcPr>
            <w:tcW w:w="903" w:type="dxa"/>
            <w:shd w:val="clear" w:color="auto" w:fill="auto"/>
          </w:tcPr>
          <w:p w14:paraId="08D8B377"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1,326</w:t>
            </w:r>
          </w:p>
        </w:tc>
      </w:tr>
      <w:tr w:rsidR="003F5788" w:rsidRPr="003F5788" w14:paraId="2C65EFC6" w14:textId="77777777" w:rsidTr="008F5C02">
        <w:trPr>
          <w:cantSplit/>
          <w:trHeight w:val="227"/>
        </w:trPr>
        <w:tc>
          <w:tcPr>
            <w:tcW w:w="4559" w:type="dxa"/>
            <w:shd w:val="clear" w:color="auto" w:fill="auto"/>
          </w:tcPr>
          <w:p w14:paraId="76F4B8DB" w14:textId="77777777" w:rsidR="003F5788" w:rsidRPr="003F5788" w:rsidRDefault="003F5788" w:rsidP="003F5788">
            <w:pPr>
              <w:ind w:left="227" w:hanging="227"/>
              <w:rPr>
                <w:rFonts w:ascii="Calibri" w:hAnsi="Calibri"/>
                <w:bCs/>
                <w:color w:val="000000"/>
                <w:sz w:val="20"/>
                <w:szCs w:val="20"/>
                <w:lang w:eastAsia="en-AU"/>
              </w:rPr>
            </w:pPr>
            <w:r w:rsidRPr="003F5788">
              <w:rPr>
                <w:rFonts w:ascii="Calibri" w:hAnsi="Calibri"/>
                <w:bCs/>
                <w:color w:val="000000"/>
                <w:sz w:val="20"/>
                <w:szCs w:val="20"/>
                <w:lang w:eastAsia="en-AU"/>
              </w:rPr>
              <w:t xml:space="preserve">Strengthening capacity for mental health carers </w:t>
            </w:r>
          </w:p>
        </w:tc>
        <w:tc>
          <w:tcPr>
            <w:tcW w:w="902" w:type="dxa"/>
            <w:shd w:val="clear" w:color="auto" w:fill="auto"/>
          </w:tcPr>
          <w:p w14:paraId="2564A844"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226</w:t>
            </w:r>
          </w:p>
        </w:tc>
        <w:tc>
          <w:tcPr>
            <w:tcW w:w="903" w:type="dxa"/>
            <w:shd w:val="clear" w:color="auto" w:fill="auto"/>
          </w:tcPr>
          <w:p w14:paraId="2197F22D"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231</w:t>
            </w:r>
          </w:p>
        </w:tc>
        <w:tc>
          <w:tcPr>
            <w:tcW w:w="902" w:type="dxa"/>
            <w:shd w:val="clear" w:color="auto" w:fill="auto"/>
          </w:tcPr>
          <w:p w14:paraId="5D326809"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0</w:t>
            </w:r>
          </w:p>
        </w:tc>
        <w:tc>
          <w:tcPr>
            <w:tcW w:w="903" w:type="dxa"/>
            <w:shd w:val="clear" w:color="auto" w:fill="auto"/>
          </w:tcPr>
          <w:p w14:paraId="71CE0A3E"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0</w:t>
            </w:r>
          </w:p>
        </w:tc>
        <w:tc>
          <w:tcPr>
            <w:tcW w:w="903" w:type="dxa"/>
            <w:shd w:val="clear" w:color="auto" w:fill="auto"/>
          </w:tcPr>
          <w:p w14:paraId="086BD8B9"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457</w:t>
            </w:r>
          </w:p>
        </w:tc>
      </w:tr>
      <w:tr w:rsidR="003F5788" w:rsidRPr="003F5788" w14:paraId="336DE962" w14:textId="77777777" w:rsidTr="008F5C02">
        <w:trPr>
          <w:cantSplit/>
          <w:trHeight w:val="227"/>
        </w:trPr>
        <w:tc>
          <w:tcPr>
            <w:tcW w:w="4559" w:type="dxa"/>
            <w:shd w:val="clear" w:color="auto" w:fill="auto"/>
          </w:tcPr>
          <w:p w14:paraId="5DAC4C1B" w14:textId="77777777" w:rsidR="003F5788" w:rsidRPr="003F5788" w:rsidRDefault="003F5788" w:rsidP="003F5788">
            <w:pPr>
              <w:ind w:left="227" w:hanging="227"/>
              <w:rPr>
                <w:rFonts w:ascii="Calibri" w:hAnsi="Calibri"/>
                <w:bCs/>
                <w:color w:val="000000"/>
                <w:sz w:val="20"/>
                <w:szCs w:val="20"/>
                <w:lang w:eastAsia="en-AU"/>
              </w:rPr>
            </w:pPr>
            <w:r w:rsidRPr="003F5788">
              <w:rPr>
                <w:rFonts w:ascii="Calibri" w:hAnsi="Calibri"/>
                <w:bCs/>
                <w:color w:val="000000"/>
                <w:sz w:val="20"/>
                <w:szCs w:val="20"/>
                <w:lang w:eastAsia="en-AU"/>
              </w:rPr>
              <w:t xml:space="preserve">Strengthening care for childhood and gestational diabetes </w:t>
            </w:r>
          </w:p>
        </w:tc>
        <w:tc>
          <w:tcPr>
            <w:tcW w:w="902" w:type="dxa"/>
            <w:shd w:val="clear" w:color="auto" w:fill="auto"/>
          </w:tcPr>
          <w:p w14:paraId="35F08518"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567</w:t>
            </w:r>
          </w:p>
        </w:tc>
        <w:tc>
          <w:tcPr>
            <w:tcW w:w="903" w:type="dxa"/>
            <w:shd w:val="clear" w:color="auto" w:fill="auto"/>
          </w:tcPr>
          <w:p w14:paraId="672EC907"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765</w:t>
            </w:r>
          </w:p>
        </w:tc>
        <w:tc>
          <w:tcPr>
            <w:tcW w:w="902" w:type="dxa"/>
            <w:shd w:val="clear" w:color="auto" w:fill="auto"/>
          </w:tcPr>
          <w:p w14:paraId="08E2ED2F"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784</w:t>
            </w:r>
          </w:p>
        </w:tc>
        <w:tc>
          <w:tcPr>
            <w:tcW w:w="903" w:type="dxa"/>
            <w:shd w:val="clear" w:color="auto" w:fill="auto"/>
          </w:tcPr>
          <w:p w14:paraId="04B1DD2C"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796</w:t>
            </w:r>
          </w:p>
        </w:tc>
        <w:tc>
          <w:tcPr>
            <w:tcW w:w="903" w:type="dxa"/>
            <w:shd w:val="clear" w:color="auto" w:fill="auto"/>
          </w:tcPr>
          <w:p w14:paraId="367EA432"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2,912</w:t>
            </w:r>
          </w:p>
        </w:tc>
      </w:tr>
      <w:tr w:rsidR="003F5788" w:rsidRPr="003F5788" w14:paraId="64243454" w14:textId="77777777" w:rsidTr="008F5C02">
        <w:trPr>
          <w:cantSplit/>
          <w:trHeight w:val="227"/>
        </w:trPr>
        <w:tc>
          <w:tcPr>
            <w:tcW w:w="4559" w:type="dxa"/>
            <w:shd w:val="clear" w:color="auto" w:fill="auto"/>
          </w:tcPr>
          <w:p w14:paraId="1A9F1890" w14:textId="77777777" w:rsidR="003F5788" w:rsidRPr="003F5788" w:rsidRDefault="003F5788" w:rsidP="003F5788">
            <w:pPr>
              <w:ind w:left="227" w:hanging="227"/>
              <w:rPr>
                <w:rFonts w:ascii="Calibri" w:hAnsi="Calibri"/>
                <w:bCs/>
                <w:color w:val="000000"/>
                <w:sz w:val="20"/>
                <w:szCs w:val="20"/>
                <w:lang w:eastAsia="en-AU"/>
              </w:rPr>
            </w:pPr>
            <w:r w:rsidRPr="003F5788">
              <w:rPr>
                <w:rFonts w:ascii="Calibri" w:hAnsi="Calibri"/>
                <w:bCs/>
                <w:color w:val="000000"/>
                <w:sz w:val="20"/>
                <w:szCs w:val="20"/>
                <w:lang w:eastAsia="en-AU"/>
              </w:rPr>
              <w:t>Strengthening care for chronic disease</w:t>
            </w:r>
          </w:p>
        </w:tc>
        <w:tc>
          <w:tcPr>
            <w:tcW w:w="902" w:type="dxa"/>
            <w:shd w:val="clear" w:color="auto" w:fill="auto"/>
          </w:tcPr>
          <w:p w14:paraId="647E1C7C"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240</w:t>
            </w:r>
          </w:p>
        </w:tc>
        <w:tc>
          <w:tcPr>
            <w:tcW w:w="903" w:type="dxa"/>
            <w:shd w:val="clear" w:color="auto" w:fill="auto"/>
          </w:tcPr>
          <w:p w14:paraId="5517A886"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462</w:t>
            </w:r>
          </w:p>
        </w:tc>
        <w:tc>
          <w:tcPr>
            <w:tcW w:w="902" w:type="dxa"/>
            <w:shd w:val="clear" w:color="auto" w:fill="auto"/>
          </w:tcPr>
          <w:p w14:paraId="07A8F09A"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474</w:t>
            </w:r>
          </w:p>
        </w:tc>
        <w:tc>
          <w:tcPr>
            <w:tcW w:w="903" w:type="dxa"/>
            <w:shd w:val="clear" w:color="auto" w:fill="auto"/>
          </w:tcPr>
          <w:p w14:paraId="77230834"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481</w:t>
            </w:r>
          </w:p>
        </w:tc>
        <w:tc>
          <w:tcPr>
            <w:tcW w:w="903" w:type="dxa"/>
            <w:shd w:val="clear" w:color="auto" w:fill="auto"/>
          </w:tcPr>
          <w:p w14:paraId="15FE9EF1"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1,657</w:t>
            </w:r>
          </w:p>
        </w:tc>
      </w:tr>
      <w:tr w:rsidR="003F5788" w:rsidRPr="003F5788" w14:paraId="522F88BF" w14:textId="77777777" w:rsidTr="008F5C02">
        <w:trPr>
          <w:cantSplit/>
          <w:trHeight w:val="227"/>
        </w:trPr>
        <w:tc>
          <w:tcPr>
            <w:tcW w:w="4559" w:type="dxa"/>
            <w:shd w:val="clear" w:color="auto" w:fill="auto"/>
          </w:tcPr>
          <w:p w14:paraId="5BF85DDF" w14:textId="77777777" w:rsidR="003F5788" w:rsidRPr="003F5788" w:rsidRDefault="003F5788" w:rsidP="003F5788">
            <w:pPr>
              <w:ind w:left="227" w:hanging="227"/>
              <w:rPr>
                <w:rFonts w:ascii="Calibri" w:hAnsi="Calibri"/>
                <w:bCs/>
                <w:color w:val="000000"/>
                <w:sz w:val="20"/>
                <w:szCs w:val="20"/>
                <w:lang w:eastAsia="en-AU"/>
              </w:rPr>
            </w:pPr>
            <w:r w:rsidRPr="003F5788">
              <w:rPr>
                <w:rFonts w:ascii="Calibri" w:hAnsi="Calibri"/>
                <w:bCs/>
                <w:color w:val="000000"/>
                <w:sz w:val="20"/>
                <w:szCs w:val="20"/>
                <w:lang w:eastAsia="en-AU"/>
              </w:rPr>
              <w:t xml:space="preserve">Strengthening care for older Canberrans </w:t>
            </w:r>
          </w:p>
        </w:tc>
        <w:tc>
          <w:tcPr>
            <w:tcW w:w="902" w:type="dxa"/>
            <w:shd w:val="clear" w:color="auto" w:fill="auto"/>
          </w:tcPr>
          <w:p w14:paraId="6236084E"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470</w:t>
            </w:r>
          </w:p>
        </w:tc>
        <w:tc>
          <w:tcPr>
            <w:tcW w:w="903" w:type="dxa"/>
            <w:shd w:val="clear" w:color="auto" w:fill="auto"/>
          </w:tcPr>
          <w:p w14:paraId="4DE97F70"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482</w:t>
            </w:r>
          </w:p>
        </w:tc>
        <w:tc>
          <w:tcPr>
            <w:tcW w:w="902" w:type="dxa"/>
            <w:shd w:val="clear" w:color="auto" w:fill="auto"/>
          </w:tcPr>
          <w:p w14:paraId="11CAC322"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494</w:t>
            </w:r>
          </w:p>
        </w:tc>
        <w:tc>
          <w:tcPr>
            <w:tcW w:w="903" w:type="dxa"/>
            <w:shd w:val="clear" w:color="auto" w:fill="auto"/>
          </w:tcPr>
          <w:p w14:paraId="2AACA1DB"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506</w:t>
            </w:r>
          </w:p>
        </w:tc>
        <w:tc>
          <w:tcPr>
            <w:tcW w:w="903" w:type="dxa"/>
            <w:shd w:val="clear" w:color="auto" w:fill="auto"/>
          </w:tcPr>
          <w:p w14:paraId="3BCA125F"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1,952</w:t>
            </w:r>
          </w:p>
        </w:tc>
      </w:tr>
      <w:tr w:rsidR="003F5788" w:rsidRPr="003F5788" w14:paraId="050A5404" w14:textId="77777777" w:rsidTr="008F5C02">
        <w:trPr>
          <w:cantSplit/>
          <w:trHeight w:val="227"/>
        </w:trPr>
        <w:tc>
          <w:tcPr>
            <w:tcW w:w="4559" w:type="dxa"/>
            <w:tcBorders>
              <w:bottom w:val="single" w:sz="4" w:space="0" w:color="auto"/>
            </w:tcBorders>
            <w:shd w:val="clear" w:color="auto" w:fill="auto"/>
          </w:tcPr>
          <w:p w14:paraId="049DF71C" w14:textId="77777777" w:rsidR="003F5788" w:rsidRPr="003F5788" w:rsidRDefault="003F5788" w:rsidP="003F5788">
            <w:pPr>
              <w:ind w:left="227" w:hanging="227"/>
              <w:rPr>
                <w:rFonts w:ascii="Calibri" w:hAnsi="Calibri"/>
                <w:bCs/>
                <w:color w:val="000000"/>
                <w:sz w:val="20"/>
                <w:szCs w:val="20"/>
                <w:lang w:eastAsia="en-AU"/>
              </w:rPr>
            </w:pPr>
            <w:r w:rsidRPr="003F5788">
              <w:rPr>
                <w:rFonts w:ascii="Calibri" w:hAnsi="Calibri"/>
                <w:bCs/>
                <w:color w:val="000000"/>
                <w:sz w:val="20"/>
                <w:szCs w:val="20"/>
                <w:lang w:eastAsia="en-AU"/>
              </w:rPr>
              <w:t xml:space="preserve">Supporting better healthcare for lesbian, gay, bisexual, transgender, intersex and queer Canberrans </w:t>
            </w:r>
          </w:p>
        </w:tc>
        <w:tc>
          <w:tcPr>
            <w:tcW w:w="902" w:type="dxa"/>
            <w:tcBorders>
              <w:bottom w:val="single" w:sz="4" w:space="0" w:color="auto"/>
            </w:tcBorders>
            <w:shd w:val="clear" w:color="auto" w:fill="auto"/>
          </w:tcPr>
          <w:p w14:paraId="3B1D99FB"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87</w:t>
            </w:r>
          </w:p>
        </w:tc>
        <w:tc>
          <w:tcPr>
            <w:tcW w:w="903" w:type="dxa"/>
            <w:tcBorders>
              <w:bottom w:val="single" w:sz="4" w:space="0" w:color="auto"/>
            </w:tcBorders>
            <w:shd w:val="clear" w:color="auto" w:fill="auto"/>
          </w:tcPr>
          <w:p w14:paraId="79A8FD7C"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0</w:t>
            </w:r>
          </w:p>
        </w:tc>
        <w:tc>
          <w:tcPr>
            <w:tcW w:w="902" w:type="dxa"/>
            <w:tcBorders>
              <w:bottom w:val="single" w:sz="4" w:space="0" w:color="auto"/>
            </w:tcBorders>
            <w:shd w:val="clear" w:color="auto" w:fill="auto"/>
          </w:tcPr>
          <w:p w14:paraId="63116CF0"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0</w:t>
            </w:r>
          </w:p>
        </w:tc>
        <w:tc>
          <w:tcPr>
            <w:tcW w:w="903" w:type="dxa"/>
            <w:tcBorders>
              <w:bottom w:val="single" w:sz="4" w:space="0" w:color="auto"/>
            </w:tcBorders>
            <w:shd w:val="clear" w:color="auto" w:fill="auto"/>
          </w:tcPr>
          <w:p w14:paraId="2E8D2CCC"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0</w:t>
            </w:r>
          </w:p>
        </w:tc>
        <w:tc>
          <w:tcPr>
            <w:tcW w:w="903" w:type="dxa"/>
            <w:tcBorders>
              <w:bottom w:val="single" w:sz="4" w:space="0" w:color="auto"/>
            </w:tcBorders>
            <w:shd w:val="clear" w:color="auto" w:fill="auto"/>
          </w:tcPr>
          <w:p w14:paraId="78FC6061"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87</w:t>
            </w:r>
          </w:p>
        </w:tc>
      </w:tr>
      <w:tr w:rsidR="003F5788" w:rsidRPr="003F5788" w14:paraId="6B6642D2" w14:textId="77777777" w:rsidTr="00D32770">
        <w:trPr>
          <w:cantSplit/>
          <w:trHeight w:val="227"/>
        </w:trPr>
        <w:tc>
          <w:tcPr>
            <w:tcW w:w="4559" w:type="dxa"/>
            <w:tcBorders>
              <w:top w:val="single" w:sz="4" w:space="0" w:color="auto"/>
              <w:bottom w:val="single" w:sz="4" w:space="0" w:color="auto"/>
            </w:tcBorders>
            <w:shd w:val="clear" w:color="auto" w:fill="auto"/>
          </w:tcPr>
          <w:p w14:paraId="7845CAC8" w14:textId="77777777" w:rsidR="003F5788" w:rsidRPr="003F5788" w:rsidRDefault="003F5788" w:rsidP="003F5788">
            <w:pPr>
              <w:ind w:left="227" w:hanging="227"/>
              <w:rPr>
                <w:rFonts w:ascii="Calibri" w:hAnsi="Calibri"/>
                <w:bCs/>
                <w:color w:val="000000"/>
                <w:sz w:val="20"/>
                <w:szCs w:val="20"/>
                <w:vertAlign w:val="superscript"/>
                <w:lang w:eastAsia="en-AU"/>
              </w:rPr>
            </w:pPr>
            <w:r w:rsidRPr="003F5788">
              <w:rPr>
                <w:rFonts w:ascii="Calibri" w:hAnsi="Calibri"/>
                <w:bCs/>
                <w:color w:val="000000"/>
                <w:sz w:val="20"/>
                <w:szCs w:val="20"/>
                <w:lang w:eastAsia="en-AU"/>
              </w:rPr>
              <w:t xml:space="preserve">Training ACT Government frontline workers to respond to family violence </w:t>
            </w:r>
            <w:r w:rsidRPr="003F5788">
              <w:rPr>
                <w:rFonts w:ascii="Calibri" w:hAnsi="Calibri"/>
                <w:bCs/>
                <w:color w:val="000000"/>
                <w:sz w:val="20"/>
                <w:szCs w:val="20"/>
                <w:vertAlign w:val="superscript"/>
                <w:lang w:eastAsia="en-AU"/>
              </w:rPr>
              <w:t>6</w:t>
            </w:r>
          </w:p>
        </w:tc>
        <w:tc>
          <w:tcPr>
            <w:tcW w:w="902" w:type="dxa"/>
            <w:tcBorders>
              <w:top w:val="single" w:sz="4" w:space="0" w:color="auto"/>
              <w:bottom w:val="single" w:sz="4" w:space="0" w:color="auto"/>
            </w:tcBorders>
            <w:shd w:val="clear" w:color="auto" w:fill="auto"/>
          </w:tcPr>
          <w:p w14:paraId="288156BD"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0</w:t>
            </w:r>
          </w:p>
        </w:tc>
        <w:tc>
          <w:tcPr>
            <w:tcW w:w="903" w:type="dxa"/>
            <w:tcBorders>
              <w:top w:val="single" w:sz="4" w:space="0" w:color="auto"/>
              <w:bottom w:val="single" w:sz="4" w:space="0" w:color="auto"/>
            </w:tcBorders>
            <w:shd w:val="clear" w:color="auto" w:fill="auto"/>
          </w:tcPr>
          <w:p w14:paraId="04E962B6"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0</w:t>
            </w:r>
          </w:p>
        </w:tc>
        <w:tc>
          <w:tcPr>
            <w:tcW w:w="902" w:type="dxa"/>
            <w:tcBorders>
              <w:top w:val="single" w:sz="4" w:space="0" w:color="auto"/>
              <w:bottom w:val="single" w:sz="4" w:space="0" w:color="auto"/>
            </w:tcBorders>
            <w:shd w:val="clear" w:color="auto" w:fill="auto"/>
          </w:tcPr>
          <w:p w14:paraId="087C8FA0"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0</w:t>
            </w:r>
          </w:p>
        </w:tc>
        <w:tc>
          <w:tcPr>
            <w:tcW w:w="903" w:type="dxa"/>
            <w:tcBorders>
              <w:top w:val="single" w:sz="4" w:space="0" w:color="auto"/>
              <w:bottom w:val="single" w:sz="4" w:space="0" w:color="auto"/>
            </w:tcBorders>
            <w:shd w:val="clear" w:color="auto" w:fill="auto"/>
          </w:tcPr>
          <w:p w14:paraId="2D9EA6BF"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0</w:t>
            </w:r>
          </w:p>
        </w:tc>
        <w:tc>
          <w:tcPr>
            <w:tcW w:w="903" w:type="dxa"/>
            <w:tcBorders>
              <w:top w:val="single" w:sz="4" w:space="0" w:color="auto"/>
              <w:bottom w:val="single" w:sz="4" w:space="0" w:color="auto"/>
            </w:tcBorders>
            <w:shd w:val="clear" w:color="auto" w:fill="auto"/>
          </w:tcPr>
          <w:p w14:paraId="3A6FBB03" w14:textId="77777777" w:rsidR="003F5788" w:rsidRPr="003F5788" w:rsidRDefault="003F5788" w:rsidP="003F5788">
            <w:pPr>
              <w:ind w:left="227" w:hanging="227"/>
              <w:jc w:val="right"/>
              <w:rPr>
                <w:rFonts w:ascii="Calibri" w:hAnsi="Calibri"/>
                <w:sz w:val="20"/>
                <w:szCs w:val="20"/>
                <w:lang w:eastAsia="en-AU"/>
              </w:rPr>
            </w:pPr>
            <w:r w:rsidRPr="003F5788">
              <w:rPr>
                <w:rFonts w:ascii="Calibri" w:hAnsi="Calibri"/>
                <w:sz w:val="20"/>
                <w:szCs w:val="20"/>
                <w:lang w:eastAsia="en-AU"/>
              </w:rPr>
              <w:t>0</w:t>
            </w:r>
          </w:p>
        </w:tc>
      </w:tr>
      <w:tr w:rsidR="003F5788" w:rsidRPr="003F5788" w14:paraId="554034AB" w14:textId="77777777" w:rsidTr="00D32770">
        <w:trPr>
          <w:cantSplit/>
          <w:trHeight w:val="227"/>
        </w:trPr>
        <w:tc>
          <w:tcPr>
            <w:tcW w:w="4559" w:type="dxa"/>
            <w:tcBorders>
              <w:top w:val="single" w:sz="4" w:space="0" w:color="auto"/>
              <w:bottom w:val="single" w:sz="4" w:space="0" w:color="auto"/>
            </w:tcBorders>
            <w:shd w:val="clear" w:color="auto" w:fill="auto"/>
            <w:vAlign w:val="bottom"/>
          </w:tcPr>
          <w:p w14:paraId="4D1E5F3C" w14:textId="77777777" w:rsidR="003F5788" w:rsidRPr="003F5788" w:rsidRDefault="003F5788" w:rsidP="003F5788">
            <w:pPr>
              <w:ind w:left="227" w:hanging="227"/>
              <w:jc w:val="right"/>
              <w:rPr>
                <w:rFonts w:ascii="Calibri" w:hAnsi="Calibri"/>
                <w:b/>
                <w:sz w:val="20"/>
                <w:szCs w:val="20"/>
                <w:lang w:eastAsia="en-AU"/>
              </w:rPr>
            </w:pPr>
            <w:r w:rsidRPr="003F5788">
              <w:rPr>
                <w:rFonts w:ascii="Calibri" w:hAnsi="Calibri"/>
                <w:b/>
                <w:sz w:val="20"/>
                <w:szCs w:val="20"/>
                <w:lang w:eastAsia="en-AU"/>
              </w:rPr>
              <w:t>Total</w:t>
            </w:r>
          </w:p>
        </w:tc>
        <w:tc>
          <w:tcPr>
            <w:tcW w:w="902" w:type="dxa"/>
            <w:tcBorders>
              <w:top w:val="single" w:sz="4" w:space="0" w:color="auto"/>
              <w:left w:val="nil"/>
              <w:bottom w:val="single" w:sz="4" w:space="0" w:color="auto"/>
              <w:right w:val="nil"/>
            </w:tcBorders>
            <w:shd w:val="clear" w:color="auto" w:fill="auto"/>
          </w:tcPr>
          <w:p w14:paraId="21385ED6" w14:textId="77777777" w:rsidR="003F5788" w:rsidRPr="003F5788" w:rsidRDefault="003F5788" w:rsidP="003F5788">
            <w:pPr>
              <w:ind w:left="227" w:hanging="227"/>
              <w:jc w:val="right"/>
              <w:rPr>
                <w:rFonts w:ascii="Calibri" w:hAnsi="Calibri"/>
                <w:b/>
                <w:sz w:val="20"/>
                <w:szCs w:val="20"/>
                <w:lang w:eastAsia="en-AU"/>
              </w:rPr>
            </w:pPr>
            <w:r w:rsidRPr="003F5788">
              <w:rPr>
                <w:rFonts w:ascii="Calibri" w:hAnsi="Calibri"/>
                <w:b/>
                <w:sz w:val="20"/>
                <w:szCs w:val="20"/>
                <w:lang w:eastAsia="en-AU"/>
              </w:rPr>
              <w:t>45,006</w:t>
            </w:r>
          </w:p>
        </w:tc>
        <w:tc>
          <w:tcPr>
            <w:tcW w:w="903" w:type="dxa"/>
            <w:tcBorders>
              <w:top w:val="single" w:sz="4" w:space="0" w:color="auto"/>
              <w:left w:val="nil"/>
              <w:bottom w:val="single" w:sz="4" w:space="0" w:color="auto"/>
              <w:right w:val="nil"/>
            </w:tcBorders>
            <w:shd w:val="clear" w:color="auto" w:fill="auto"/>
          </w:tcPr>
          <w:p w14:paraId="0A9AE9A6" w14:textId="77777777" w:rsidR="003F5788" w:rsidRPr="003F5788" w:rsidRDefault="003F5788" w:rsidP="003F5788">
            <w:pPr>
              <w:ind w:left="227" w:hanging="227"/>
              <w:jc w:val="right"/>
              <w:rPr>
                <w:rFonts w:ascii="Calibri" w:hAnsi="Calibri"/>
                <w:b/>
                <w:sz w:val="20"/>
                <w:szCs w:val="20"/>
                <w:lang w:eastAsia="en-AU"/>
              </w:rPr>
            </w:pPr>
            <w:r w:rsidRPr="003F5788">
              <w:rPr>
                <w:rFonts w:ascii="Calibri" w:hAnsi="Calibri"/>
                <w:b/>
                <w:sz w:val="20"/>
                <w:szCs w:val="20"/>
                <w:lang w:eastAsia="en-AU"/>
              </w:rPr>
              <w:t>59,182</w:t>
            </w:r>
          </w:p>
        </w:tc>
        <w:tc>
          <w:tcPr>
            <w:tcW w:w="902" w:type="dxa"/>
            <w:tcBorders>
              <w:top w:val="single" w:sz="4" w:space="0" w:color="auto"/>
              <w:left w:val="nil"/>
              <w:bottom w:val="single" w:sz="4" w:space="0" w:color="auto"/>
              <w:right w:val="nil"/>
            </w:tcBorders>
            <w:shd w:val="clear" w:color="auto" w:fill="auto"/>
          </w:tcPr>
          <w:p w14:paraId="740237BB" w14:textId="77777777" w:rsidR="003F5788" w:rsidRPr="003F5788" w:rsidRDefault="003F5788" w:rsidP="003F5788">
            <w:pPr>
              <w:ind w:left="227" w:hanging="227"/>
              <w:jc w:val="right"/>
              <w:rPr>
                <w:rFonts w:ascii="Calibri" w:hAnsi="Calibri"/>
                <w:b/>
                <w:sz w:val="20"/>
                <w:szCs w:val="20"/>
                <w:lang w:eastAsia="en-AU"/>
              </w:rPr>
            </w:pPr>
            <w:r w:rsidRPr="003F5788">
              <w:rPr>
                <w:rFonts w:ascii="Calibri" w:hAnsi="Calibri"/>
                <w:b/>
                <w:sz w:val="20"/>
                <w:szCs w:val="20"/>
                <w:lang w:eastAsia="en-AU"/>
              </w:rPr>
              <w:t>75,786</w:t>
            </w:r>
          </w:p>
        </w:tc>
        <w:tc>
          <w:tcPr>
            <w:tcW w:w="903" w:type="dxa"/>
            <w:tcBorders>
              <w:top w:val="single" w:sz="4" w:space="0" w:color="auto"/>
              <w:left w:val="nil"/>
              <w:bottom w:val="single" w:sz="4" w:space="0" w:color="auto"/>
              <w:right w:val="nil"/>
            </w:tcBorders>
            <w:shd w:val="clear" w:color="auto" w:fill="auto"/>
          </w:tcPr>
          <w:p w14:paraId="1420E424" w14:textId="77777777" w:rsidR="003F5788" w:rsidRPr="003F5788" w:rsidRDefault="003F5788" w:rsidP="003F5788">
            <w:pPr>
              <w:ind w:left="227" w:hanging="227"/>
              <w:jc w:val="right"/>
              <w:rPr>
                <w:rFonts w:ascii="Calibri" w:hAnsi="Calibri"/>
                <w:b/>
                <w:sz w:val="20"/>
                <w:szCs w:val="20"/>
                <w:lang w:eastAsia="en-AU"/>
              </w:rPr>
            </w:pPr>
            <w:r w:rsidRPr="003F5788">
              <w:rPr>
                <w:rFonts w:ascii="Calibri" w:hAnsi="Calibri"/>
                <w:b/>
                <w:sz w:val="20"/>
                <w:szCs w:val="20"/>
                <w:lang w:eastAsia="en-AU"/>
              </w:rPr>
              <w:t>73,203</w:t>
            </w:r>
          </w:p>
        </w:tc>
        <w:tc>
          <w:tcPr>
            <w:tcW w:w="903" w:type="dxa"/>
            <w:tcBorders>
              <w:top w:val="single" w:sz="4" w:space="0" w:color="auto"/>
              <w:left w:val="nil"/>
              <w:bottom w:val="single" w:sz="4" w:space="0" w:color="auto"/>
            </w:tcBorders>
            <w:shd w:val="clear" w:color="auto" w:fill="auto"/>
          </w:tcPr>
          <w:p w14:paraId="4CDCFF6F" w14:textId="77777777" w:rsidR="003F5788" w:rsidRPr="003F5788" w:rsidRDefault="003F5788" w:rsidP="003F5788">
            <w:pPr>
              <w:ind w:left="227" w:hanging="227"/>
              <w:jc w:val="right"/>
              <w:rPr>
                <w:rFonts w:ascii="Calibri" w:hAnsi="Calibri"/>
                <w:b/>
                <w:sz w:val="20"/>
                <w:szCs w:val="20"/>
                <w:lang w:eastAsia="en-AU"/>
              </w:rPr>
            </w:pPr>
            <w:r w:rsidRPr="003F5788">
              <w:rPr>
                <w:rFonts w:ascii="Calibri" w:hAnsi="Calibri"/>
                <w:b/>
                <w:sz w:val="20"/>
                <w:szCs w:val="20"/>
                <w:lang w:eastAsia="en-AU"/>
              </w:rPr>
              <w:t>253,177</w:t>
            </w:r>
          </w:p>
        </w:tc>
      </w:tr>
    </w:tbl>
    <w:p w14:paraId="1B315AD1" w14:textId="77777777" w:rsidR="003F5788" w:rsidRPr="003F5788" w:rsidRDefault="003F5788" w:rsidP="008F5C02">
      <w:pPr>
        <w:pStyle w:val="snapNotesheading"/>
        <w:rPr>
          <w:b w:val="0"/>
        </w:rPr>
      </w:pPr>
      <w:r w:rsidRPr="003F5788">
        <w:t xml:space="preserve">Notes: </w:t>
      </w:r>
    </w:p>
    <w:p w14:paraId="4F75BD78" w14:textId="2F90DBC4" w:rsidR="003F5788" w:rsidRPr="003F5788" w:rsidRDefault="003F5788" w:rsidP="008F5C02">
      <w:pPr>
        <w:pStyle w:val="snapNotesbody"/>
      </w:pPr>
      <w:r w:rsidRPr="003F5788">
        <w:rPr>
          <w:lang w:val="en-US"/>
        </w:rPr>
        <w:t xml:space="preserve">1. </w:t>
      </w:r>
      <w:r w:rsidRPr="003F5788">
        <w:t>This initiative has a revenue component; this is listed in the summary table in Revenue initiatives (Chapter 3.4).</w:t>
      </w:r>
    </w:p>
    <w:p w14:paraId="72F2919D" w14:textId="634BB5C2" w:rsidR="003F5788" w:rsidRPr="003F5788" w:rsidRDefault="003F5788" w:rsidP="008F5C02">
      <w:pPr>
        <w:pStyle w:val="snapNotesbody"/>
      </w:pPr>
      <w:r w:rsidRPr="003F5788">
        <w:rPr>
          <w:lang w:val="en-US"/>
        </w:rPr>
        <w:t xml:space="preserve">2. </w:t>
      </w:r>
      <w:r w:rsidRPr="003F5788">
        <w:t>This initiative has a capital component; this component (and depreciation if applicable) is listed in the summary table in Infrastructure and capital initiatives (Chapter 3.3).</w:t>
      </w:r>
    </w:p>
    <w:p w14:paraId="5EC918E3" w14:textId="6A88BF39" w:rsidR="003F5788" w:rsidRPr="003F5788" w:rsidRDefault="003F5788" w:rsidP="008F5C02">
      <w:pPr>
        <w:pStyle w:val="snapNotesbody"/>
      </w:pPr>
      <w:r w:rsidRPr="003F5788">
        <w:rPr>
          <w:lang w:val="en-US"/>
        </w:rPr>
        <w:t xml:space="preserve">3. </w:t>
      </w:r>
      <w:r w:rsidRPr="003F5788">
        <w:t>The funding of this initiative is to be absorbed by the agency.</w:t>
      </w:r>
    </w:p>
    <w:p w14:paraId="63CCA92F" w14:textId="1B1CCF31" w:rsidR="003F5788" w:rsidRPr="003F5788" w:rsidRDefault="003F5788" w:rsidP="008F5C02">
      <w:pPr>
        <w:pStyle w:val="snapNotesbody"/>
      </w:pPr>
      <w:r w:rsidRPr="003F5788">
        <w:rPr>
          <w:lang w:val="en-US"/>
        </w:rPr>
        <w:t xml:space="preserve">4. </w:t>
      </w:r>
      <w:r w:rsidRPr="003F5788">
        <w:t>This is a joint initiative, i.e. delivered by more than one agency.</w:t>
      </w:r>
    </w:p>
    <w:p w14:paraId="3D835F6B" w14:textId="1E49167D" w:rsidR="003F5788" w:rsidRPr="003F5788" w:rsidRDefault="003F5788" w:rsidP="008F5C02">
      <w:pPr>
        <w:pStyle w:val="snapNotesbody"/>
      </w:pPr>
      <w:r w:rsidRPr="003F5788">
        <w:rPr>
          <w:lang w:val="en-US"/>
        </w:rPr>
        <w:t xml:space="preserve">5. </w:t>
      </w:r>
      <w:proofErr w:type="spellStart"/>
      <w:r w:rsidRPr="003F5788">
        <w:t>NFP</w:t>
      </w:r>
      <w:proofErr w:type="spellEnd"/>
      <w:r w:rsidRPr="003F5788">
        <w:t xml:space="preserve"> indicates not for publication.</w:t>
      </w:r>
      <w:r w:rsidR="000F30E1">
        <w:t xml:space="preserve"> </w:t>
      </w:r>
      <w:r w:rsidRPr="003F5788">
        <w:t>A provision has been included in the budget in the years indicated.</w:t>
      </w:r>
    </w:p>
    <w:p w14:paraId="73F0628F" w14:textId="6C41C6A4" w:rsidR="003F5788" w:rsidRPr="003F5788" w:rsidRDefault="003F5788" w:rsidP="008F5C02">
      <w:pPr>
        <w:pStyle w:val="snapNotesbody"/>
      </w:pPr>
      <w:r w:rsidRPr="003F5788">
        <w:t>6. This initiative forms part of the Safer Families package.</w:t>
      </w:r>
    </w:p>
    <w:p w14:paraId="31E8675E" w14:textId="77777777" w:rsidR="000757EE" w:rsidRPr="003F5788" w:rsidRDefault="000757EE" w:rsidP="008F5C02">
      <w:pPr>
        <w:pStyle w:val="Heading2"/>
        <w:rPr>
          <w:b w:val="0"/>
        </w:rPr>
      </w:pPr>
      <w:r w:rsidRPr="003F5788">
        <w:t>Selected Initiatives</w:t>
      </w:r>
    </w:p>
    <w:p w14:paraId="3BD23FA4" w14:textId="77777777" w:rsidR="003F5788" w:rsidRPr="007A3A72" w:rsidRDefault="003F5788" w:rsidP="007A3A72">
      <w:pPr>
        <w:pStyle w:val="Heading3"/>
      </w:pPr>
      <w:r w:rsidRPr="007A3A72">
        <w:t xml:space="preserve">Health Directorate - Expense Initiatives </w:t>
      </w:r>
    </w:p>
    <w:p w14:paraId="0BE03CCA" w14:textId="77777777" w:rsidR="003F5788" w:rsidRPr="00202E81" w:rsidRDefault="003F5788" w:rsidP="00202E81">
      <w:pPr>
        <w:pStyle w:val="snapInittitles"/>
      </w:pPr>
      <w:r w:rsidRPr="00202E81">
        <w:t xml:space="preserve">Expanding frontline services at The Canberra Hospital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F5788" w:rsidRPr="00866299" w14:paraId="0EA9FBCA" w14:textId="77777777" w:rsidTr="008F5C02">
        <w:trPr>
          <w:cantSplit/>
        </w:trPr>
        <w:tc>
          <w:tcPr>
            <w:tcW w:w="3652" w:type="dxa"/>
            <w:tcBorders>
              <w:top w:val="single" w:sz="4" w:space="0" w:color="auto"/>
              <w:bottom w:val="single" w:sz="4" w:space="0" w:color="auto"/>
            </w:tcBorders>
          </w:tcPr>
          <w:p w14:paraId="3488CC6D" w14:textId="77777777" w:rsidR="003F5788" w:rsidRPr="00866299" w:rsidRDefault="003F5788" w:rsidP="003F5788">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7F175087" w14:textId="77777777" w:rsidR="003F5788" w:rsidRPr="00866299" w:rsidRDefault="003F5788" w:rsidP="003F5788">
            <w:pPr>
              <w:jc w:val="right"/>
              <w:rPr>
                <w:rFonts w:ascii="Calibri" w:hAnsi="Calibri"/>
                <w:sz w:val="22"/>
                <w:lang w:eastAsia="en-US"/>
              </w:rPr>
            </w:pPr>
            <w:r w:rsidRPr="00866299">
              <w:rPr>
                <w:rFonts w:ascii="Calibri" w:hAnsi="Calibri"/>
                <w:sz w:val="22"/>
                <w:lang w:eastAsia="en-US"/>
              </w:rPr>
              <w:t>2019-20</w:t>
            </w:r>
          </w:p>
          <w:p w14:paraId="3C795091" w14:textId="77777777" w:rsidR="003F5788" w:rsidRPr="00866299" w:rsidRDefault="003F5788" w:rsidP="003F5788">
            <w:pPr>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15149887" w14:textId="77777777" w:rsidR="003F5788" w:rsidRPr="00866299" w:rsidRDefault="003F5788" w:rsidP="003F5788">
            <w:pPr>
              <w:jc w:val="right"/>
              <w:rPr>
                <w:rFonts w:ascii="Calibri" w:hAnsi="Calibri"/>
                <w:sz w:val="22"/>
                <w:lang w:eastAsia="en-US"/>
              </w:rPr>
            </w:pPr>
            <w:r w:rsidRPr="00866299">
              <w:rPr>
                <w:rFonts w:ascii="Calibri" w:hAnsi="Calibri"/>
                <w:sz w:val="22"/>
                <w:lang w:eastAsia="en-US"/>
              </w:rPr>
              <w:t>2020-21</w:t>
            </w:r>
          </w:p>
          <w:p w14:paraId="522C4251" w14:textId="77777777" w:rsidR="003F5788" w:rsidRPr="00866299" w:rsidRDefault="003F5788" w:rsidP="003F5788">
            <w:pPr>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06F8FE03" w14:textId="77777777" w:rsidR="003F5788" w:rsidRPr="00866299" w:rsidRDefault="003F5788" w:rsidP="003F5788">
            <w:pPr>
              <w:jc w:val="right"/>
              <w:rPr>
                <w:rFonts w:ascii="Calibri" w:hAnsi="Calibri"/>
                <w:sz w:val="22"/>
                <w:lang w:eastAsia="en-US"/>
              </w:rPr>
            </w:pPr>
            <w:r w:rsidRPr="00866299">
              <w:rPr>
                <w:rFonts w:ascii="Calibri" w:hAnsi="Calibri"/>
                <w:sz w:val="22"/>
                <w:lang w:eastAsia="en-US"/>
              </w:rPr>
              <w:t>2021-22</w:t>
            </w:r>
          </w:p>
          <w:p w14:paraId="193571BD" w14:textId="77777777" w:rsidR="003F5788" w:rsidRPr="00866299" w:rsidRDefault="003F5788" w:rsidP="003F5788">
            <w:pPr>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32591F6D" w14:textId="77777777" w:rsidR="003F5788" w:rsidRPr="00866299" w:rsidRDefault="003F5788" w:rsidP="003F5788">
            <w:pPr>
              <w:jc w:val="right"/>
              <w:rPr>
                <w:rFonts w:ascii="Calibri" w:hAnsi="Calibri"/>
                <w:sz w:val="22"/>
                <w:lang w:eastAsia="en-US"/>
              </w:rPr>
            </w:pPr>
            <w:r w:rsidRPr="00866299">
              <w:rPr>
                <w:rFonts w:ascii="Calibri" w:hAnsi="Calibri"/>
                <w:sz w:val="22"/>
                <w:lang w:eastAsia="en-US"/>
              </w:rPr>
              <w:t>2022-23</w:t>
            </w:r>
          </w:p>
          <w:p w14:paraId="2017622E" w14:textId="77777777" w:rsidR="003F5788" w:rsidRPr="00866299" w:rsidRDefault="003F5788" w:rsidP="003F5788">
            <w:pPr>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3C1E406C" w14:textId="77777777" w:rsidR="003F5788" w:rsidRPr="00866299" w:rsidRDefault="003F5788" w:rsidP="003F5788">
            <w:pPr>
              <w:jc w:val="right"/>
              <w:rPr>
                <w:rFonts w:ascii="Calibri" w:hAnsi="Calibri"/>
                <w:b/>
                <w:sz w:val="22"/>
                <w:lang w:eastAsia="en-US"/>
              </w:rPr>
            </w:pPr>
            <w:r w:rsidRPr="00866299">
              <w:rPr>
                <w:rFonts w:ascii="Calibri" w:hAnsi="Calibri"/>
                <w:b/>
                <w:sz w:val="22"/>
                <w:lang w:eastAsia="en-US"/>
              </w:rPr>
              <w:t>Total</w:t>
            </w:r>
          </w:p>
          <w:p w14:paraId="6F9A5489" w14:textId="77777777" w:rsidR="003F5788" w:rsidRPr="00866299" w:rsidRDefault="003F5788" w:rsidP="003F5788">
            <w:pPr>
              <w:jc w:val="right"/>
              <w:rPr>
                <w:rFonts w:ascii="Calibri" w:hAnsi="Calibri"/>
                <w:b/>
                <w:sz w:val="22"/>
                <w:lang w:eastAsia="en-US"/>
              </w:rPr>
            </w:pPr>
            <w:r w:rsidRPr="00866299">
              <w:rPr>
                <w:rFonts w:ascii="Calibri" w:hAnsi="Calibri"/>
                <w:b/>
                <w:sz w:val="22"/>
                <w:lang w:eastAsia="en-US"/>
              </w:rPr>
              <w:t>$’000</w:t>
            </w:r>
          </w:p>
        </w:tc>
      </w:tr>
      <w:tr w:rsidR="003F5788" w:rsidRPr="00866299" w14:paraId="0AEFD899" w14:textId="77777777" w:rsidTr="008F5C02">
        <w:trPr>
          <w:cantSplit/>
        </w:trPr>
        <w:tc>
          <w:tcPr>
            <w:tcW w:w="3652" w:type="dxa"/>
            <w:tcBorders>
              <w:top w:val="single" w:sz="4" w:space="0" w:color="auto"/>
              <w:bottom w:val="single" w:sz="4" w:space="0" w:color="auto"/>
            </w:tcBorders>
          </w:tcPr>
          <w:p w14:paraId="2A2D3D24" w14:textId="77777777" w:rsidR="003F5788" w:rsidRPr="00866299" w:rsidRDefault="003F5788" w:rsidP="003F5788">
            <w:pPr>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tcPr>
          <w:p w14:paraId="248F4FDE" w14:textId="77777777" w:rsidR="003F5788" w:rsidRPr="00866299" w:rsidRDefault="003F5788" w:rsidP="003F5788">
            <w:pPr>
              <w:jc w:val="right"/>
              <w:rPr>
                <w:rFonts w:ascii="Calibri" w:hAnsi="Calibri"/>
                <w:sz w:val="22"/>
                <w:lang w:eastAsia="en-US"/>
              </w:rPr>
            </w:pPr>
            <w:r w:rsidRPr="00866299">
              <w:rPr>
                <w:rFonts w:ascii="Calibri" w:hAnsi="Calibri"/>
                <w:sz w:val="22"/>
                <w:lang w:eastAsia="en-US"/>
              </w:rPr>
              <w:t>11,448</w:t>
            </w:r>
          </w:p>
        </w:tc>
        <w:tc>
          <w:tcPr>
            <w:tcW w:w="1041" w:type="dxa"/>
            <w:tcBorders>
              <w:top w:val="single" w:sz="4" w:space="0" w:color="auto"/>
              <w:bottom w:val="single" w:sz="4" w:space="0" w:color="auto"/>
            </w:tcBorders>
          </w:tcPr>
          <w:p w14:paraId="28F7BD8F" w14:textId="77777777" w:rsidR="003F5788" w:rsidRPr="00866299" w:rsidRDefault="003F5788" w:rsidP="003F5788">
            <w:pPr>
              <w:jc w:val="right"/>
              <w:rPr>
                <w:rFonts w:ascii="Calibri" w:hAnsi="Calibri"/>
                <w:sz w:val="22"/>
                <w:lang w:eastAsia="en-US"/>
              </w:rPr>
            </w:pPr>
            <w:r w:rsidRPr="00866299">
              <w:rPr>
                <w:rFonts w:ascii="Calibri" w:hAnsi="Calibri"/>
                <w:sz w:val="22"/>
                <w:lang w:eastAsia="en-US"/>
              </w:rPr>
              <w:t>11,614</w:t>
            </w:r>
          </w:p>
        </w:tc>
        <w:tc>
          <w:tcPr>
            <w:tcW w:w="1029" w:type="dxa"/>
            <w:tcBorders>
              <w:top w:val="single" w:sz="4" w:space="0" w:color="auto"/>
              <w:bottom w:val="single" w:sz="4" w:space="0" w:color="auto"/>
            </w:tcBorders>
          </w:tcPr>
          <w:p w14:paraId="432FDC7C" w14:textId="77777777" w:rsidR="003F5788" w:rsidRPr="00866299" w:rsidRDefault="003F5788" w:rsidP="003F5788">
            <w:pPr>
              <w:jc w:val="right"/>
              <w:rPr>
                <w:rFonts w:ascii="Calibri" w:hAnsi="Calibri"/>
                <w:sz w:val="22"/>
                <w:lang w:eastAsia="en-US"/>
              </w:rPr>
            </w:pPr>
            <w:r w:rsidRPr="00866299">
              <w:rPr>
                <w:rFonts w:ascii="Calibri" w:hAnsi="Calibri"/>
                <w:sz w:val="22"/>
                <w:lang w:eastAsia="en-US"/>
              </w:rPr>
              <w:t>11,934</w:t>
            </w:r>
          </w:p>
        </w:tc>
        <w:tc>
          <w:tcPr>
            <w:tcW w:w="1029" w:type="dxa"/>
            <w:tcBorders>
              <w:top w:val="single" w:sz="4" w:space="0" w:color="auto"/>
              <w:bottom w:val="single" w:sz="4" w:space="0" w:color="auto"/>
            </w:tcBorders>
          </w:tcPr>
          <w:p w14:paraId="1E2A4A1B" w14:textId="77777777" w:rsidR="003F5788" w:rsidRPr="00866299" w:rsidRDefault="003F5788" w:rsidP="003F5788">
            <w:pPr>
              <w:jc w:val="right"/>
              <w:rPr>
                <w:rFonts w:ascii="Calibri" w:hAnsi="Calibri"/>
                <w:sz w:val="22"/>
                <w:lang w:eastAsia="en-US"/>
              </w:rPr>
            </w:pPr>
            <w:r w:rsidRPr="00866299">
              <w:rPr>
                <w:rFonts w:ascii="Calibri" w:hAnsi="Calibri"/>
                <w:sz w:val="22"/>
                <w:lang w:eastAsia="en-US"/>
              </w:rPr>
              <w:t>12,106</w:t>
            </w:r>
          </w:p>
        </w:tc>
        <w:tc>
          <w:tcPr>
            <w:tcW w:w="1029" w:type="dxa"/>
            <w:tcBorders>
              <w:top w:val="single" w:sz="4" w:space="0" w:color="auto"/>
              <w:bottom w:val="single" w:sz="4" w:space="0" w:color="auto"/>
            </w:tcBorders>
          </w:tcPr>
          <w:p w14:paraId="5769A51B" w14:textId="77777777" w:rsidR="003F5788" w:rsidRPr="00866299" w:rsidRDefault="003F5788" w:rsidP="003F5788">
            <w:pPr>
              <w:jc w:val="right"/>
              <w:rPr>
                <w:rFonts w:ascii="Calibri" w:hAnsi="Calibri"/>
                <w:b/>
                <w:sz w:val="22"/>
                <w:lang w:eastAsia="en-US"/>
              </w:rPr>
            </w:pPr>
            <w:r w:rsidRPr="00866299">
              <w:rPr>
                <w:rFonts w:ascii="Calibri" w:hAnsi="Calibri"/>
                <w:b/>
                <w:sz w:val="22"/>
                <w:lang w:eastAsia="en-US"/>
              </w:rPr>
              <w:t>47,102</w:t>
            </w:r>
          </w:p>
        </w:tc>
      </w:tr>
    </w:tbl>
    <w:p w14:paraId="2E552C9E" w14:textId="77777777" w:rsidR="003F5788" w:rsidRPr="003F5788" w:rsidRDefault="003F5788" w:rsidP="008F5C02">
      <w:pPr>
        <w:pStyle w:val="snapInitbody"/>
      </w:pPr>
      <w:r w:rsidRPr="003F5788">
        <w:t xml:space="preserve">The Government will add 12 beds at The Canberra Hospital to meet demand for acute inpatient services. The new beds will be added in medicine, surgery, and aged care. This builds on the additional 68 beds to be added this year as a result of the Government’s investments through the 2018-19 Budget. </w:t>
      </w:r>
    </w:p>
    <w:p w14:paraId="149D645F" w14:textId="48FDD613" w:rsidR="003F5788" w:rsidRPr="003F5788" w:rsidRDefault="003F5788" w:rsidP="008F5C02">
      <w:pPr>
        <w:pStyle w:val="snapInitbody"/>
      </w:pPr>
      <w:r w:rsidRPr="003F5788">
        <w:t>Further to the beds above, the Government will bring online four additional Intensive Care Unit beds at The Canberra Hospital to meet growing demand for intensive care services.</w:t>
      </w:r>
      <w:r w:rsidR="000F30E1">
        <w:t xml:space="preserve"> </w:t>
      </w:r>
    </w:p>
    <w:p w14:paraId="7520421D" w14:textId="22BC8FE8" w:rsidR="003F5788" w:rsidRPr="003F5788" w:rsidRDefault="003F5788" w:rsidP="008F5C02">
      <w:pPr>
        <w:pStyle w:val="snapInitbody"/>
      </w:pPr>
      <w:r w:rsidRPr="003F5788">
        <w:t>An additional two Senior Staff specialists will be recruited within The Canberra Hospital Emergency Department, responding to increasing demand. This builds on the increase to emergency department staff delivered through the 2018-19 Budget which has grown frontline resourcing by 14 staff.</w:t>
      </w:r>
      <w:r w:rsidR="000F30E1">
        <w:t xml:space="preserve"> </w:t>
      </w:r>
    </w:p>
    <w:p w14:paraId="040D8E83" w14:textId="77777777" w:rsidR="006A2A5B" w:rsidRDefault="006A2A5B">
      <w:pPr>
        <w:rPr>
          <w:rFonts w:ascii="Calibri" w:hAnsi="Calibri"/>
          <w:b/>
          <w:bCs/>
          <w:sz w:val="26"/>
          <w:szCs w:val="26"/>
          <w:lang w:val="x-none" w:eastAsia="en-US"/>
        </w:rPr>
      </w:pPr>
      <w:r>
        <w:br w:type="page"/>
      </w:r>
    </w:p>
    <w:p w14:paraId="719535D0" w14:textId="722156D8" w:rsidR="003F5788" w:rsidRPr="00202E81" w:rsidRDefault="003F5788" w:rsidP="00202E81">
      <w:pPr>
        <w:pStyle w:val="snapInittitles"/>
      </w:pPr>
      <w:r w:rsidRPr="00202E81">
        <w:t xml:space="preserve">Expanding pharmacy services at The Canberra Hospital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F5788" w:rsidRPr="00866299" w14:paraId="02E2463A" w14:textId="77777777" w:rsidTr="008F5C02">
        <w:trPr>
          <w:cantSplit/>
        </w:trPr>
        <w:tc>
          <w:tcPr>
            <w:tcW w:w="3652" w:type="dxa"/>
            <w:tcBorders>
              <w:top w:val="single" w:sz="4" w:space="0" w:color="auto"/>
              <w:bottom w:val="single" w:sz="4" w:space="0" w:color="auto"/>
            </w:tcBorders>
          </w:tcPr>
          <w:p w14:paraId="043E6055" w14:textId="77777777" w:rsidR="003F5788" w:rsidRPr="00866299" w:rsidRDefault="003F5788" w:rsidP="003F5788">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6802426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2019-20</w:t>
            </w:r>
          </w:p>
          <w:p w14:paraId="39BADCC9"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50B4E3A9"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2020-21</w:t>
            </w:r>
          </w:p>
          <w:p w14:paraId="468E9FA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8900B5B"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2021-22</w:t>
            </w:r>
          </w:p>
          <w:p w14:paraId="791090A6"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0B8A3468"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2022-23</w:t>
            </w:r>
          </w:p>
          <w:p w14:paraId="5009363F"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0C72FF22"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Total</w:t>
            </w:r>
          </w:p>
          <w:p w14:paraId="32B27293"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$’000</w:t>
            </w:r>
          </w:p>
        </w:tc>
      </w:tr>
      <w:tr w:rsidR="003F5788" w:rsidRPr="00866299" w14:paraId="46807FED" w14:textId="77777777" w:rsidTr="008F5C02">
        <w:trPr>
          <w:cantSplit/>
        </w:trPr>
        <w:tc>
          <w:tcPr>
            <w:tcW w:w="3652" w:type="dxa"/>
            <w:tcBorders>
              <w:top w:val="single" w:sz="4" w:space="0" w:color="auto"/>
            </w:tcBorders>
          </w:tcPr>
          <w:p w14:paraId="3DACC3DC"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tcBorders>
            <w:shd w:val="clear" w:color="auto" w:fill="auto"/>
          </w:tcPr>
          <w:p w14:paraId="27E2AFE2"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302</w:t>
            </w:r>
          </w:p>
        </w:tc>
        <w:tc>
          <w:tcPr>
            <w:tcW w:w="1041" w:type="dxa"/>
            <w:tcBorders>
              <w:top w:val="single" w:sz="4" w:space="0" w:color="auto"/>
            </w:tcBorders>
            <w:shd w:val="clear" w:color="auto" w:fill="auto"/>
          </w:tcPr>
          <w:p w14:paraId="3E823D3B"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545</w:t>
            </w:r>
          </w:p>
        </w:tc>
        <w:tc>
          <w:tcPr>
            <w:tcW w:w="1029" w:type="dxa"/>
            <w:tcBorders>
              <w:top w:val="single" w:sz="4" w:space="0" w:color="auto"/>
            </w:tcBorders>
            <w:shd w:val="clear" w:color="auto" w:fill="auto"/>
          </w:tcPr>
          <w:p w14:paraId="2573C8E4"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749</w:t>
            </w:r>
          </w:p>
        </w:tc>
        <w:tc>
          <w:tcPr>
            <w:tcW w:w="1029" w:type="dxa"/>
            <w:tcBorders>
              <w:top w:val="single" w:sz="4" w:space="0" w:color="auto"/>
            </w:tcBorders>
            <w:shd w:val="clear" w:color="auto" w:fill="auto"/>
          </w:tcPr>
          <w:p w14:paraId="65EE9F1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813</w:t>
            </w:r>
          </w:p>
        </w:tc>
        <w:tc>
          <w:tcPr>
            <w:tcW w:w="1029" w:type="dxa"/>
            <w:tcBorders>
              <w:top w:val="single" w:sz="4" w:space="0" w:color="auto"/>
            </w:tcBorders>
            <w:shd w:val="clear" w:color="auto" w:fill="auto"/>
          </w:tcPr>
          <w:p w14:paraId="0E5AA534"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2,409</w:t>
            </w:r>
          </w:p>
        </w:tc>
      </w:tr>
      <w:tr w:rsidR="003F5788" w:rsidRPr="00866299" w14:paraId="4E6279FE" w14:textId="77777777" w:rsidTr="008F5C02">
        <w:trPr>
          <w:cantSplit/>
        </w:trPr>
        <w:tc>
          <w:tcPr>
            <w:tcW w:w="3652" w:type="dxa"/>
          </w:tcPr>
          <w:p w14:paraId="4AB87E3D"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Associated Depreciation</w:t>
            </w:r>
          </w:p>
        </w:tc>
        <w:tc>
          <w:tcPr>
            <w:tcW w:w="1179" w:type="dxa"/>
            <w:shd w:val="clear" w:color="auto" w:fill="auto"/>
          </w:tcPr>
          <w:p w14:paraId="22CFCD84"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41" w:type="dxa"/>
            <w:shd w:val="clear" w:color="auto" w:fill="auto"/>
          </w:tcPr>
          <w:p w14:paraId="190C1540"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shd w:val="clear" w:color="auto" w:fill="auto"/>
          </w:tcPr>
          <w:p w14:paraId="7F97F8FC"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318</w:t>
            </w:r>
          </w:p>
        </w:tc>
        <w:tc>
          <w:tcPr>
            <w:tcW w:w="1029" w:type="dxa"/>
            <w:shd w:val="clear" w:color="auto" w:fill="auto"/>
          </w:tcPr>
          <w:p w14:paraId="0437D95B"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318</w:t>
            </w:r>
          </w:p>
        </w:tc>
        <w:tc>
          <w:tcPr>
            <w:tcW w:w="1029" w:type="dxa"/>
            <w:shd w:val="clear" w:color="auto" w:fill="auto"/>
          </w:tcPr>
          <w:p w14:paraId="6D9A2AA2"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636</w:t>
            </w:r>
          </w:p>
        </w:tc>
      </w:tr>
      <w:tr w:rsidR="003F5788" w:rsidRPr="00866299" w14:paraId="7C2B7851" w14:textId="77777777" w:rsidTr="008F5C02">
        <w:trPr>
          <w:cantSplit/>
        </w:trPr>
        <w:tc>
          <w:tcPr>
            <w:tcW w:w="3652" w:type="dxa"/>
            <w:tcBorders>
              <w:top w:val="single" w:sz="4" w:space="0" w:color="auto"/>
              <w:bottom w:val="single" w:sz="4" w:space="0" w:color="auto"/>
            </w:tcBorders>
          </w:tcPr>
          <w:p w14:paraId="32EEE9E7" w14:textId="77777777" w:rsidR="003F5788" w:rsidRPr="00866299" w:rsidRDefault="003F5788" w:rsidP="003F5788">
            <w:pPr>
              <w:rPr>
                <w:rFonts w:ascii="Calibri" w:hAnsi="Calibri"/>
                <w:b/>
                <w:sz w:val="22"/>
                <w:lang w:eastAsia="en-US"/>
              </w:rPr>
            </w:pPr>
            <w:r w:rsidRPr="00866299">
              <w:rPr>
                <w:rFonts w:ascii="Calibri" w:hAnsi="Calibri"/>
                <w:b/>
                <w:sz w:val="22"/>
                <w:lang w:eastAsia="en-US"/>
              </w:rPr>
              <w:t>Total Expenses</w:t>
            </w:r>
          </w:p>
        </w:tc>
        <w:tc>
          <w:tcPr>
            <w:tcW w:w="1179" w:type="dxa"/>
            <w:tcBorders>
              <w:top w:val="single" w:sz="4" w:space="0" w:color="auto"/>
              <w:bottom w:val="single" w:sz="4" w:space="0" w:color="auto"/>
            </w:tcBorders>
            <w:shd w:val="clear" w:color="auto" w:fill="auto"/>
          </w:tcPr>
          <w:p w14:paraId="12901A96"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302</w:t>
            </w:r>
          </w:p>
        </w:tc>
        <w:tc>
          <w:tcPr>
            <w:tcW w:w="1041" w:type="dxa"/>
            <w:tcBorders>
              <w:top w:val="single" w:sz="4" w:space="0" w:color="auto"/>
              <w:bottom w:val="single" w:sz="4" w:space="0" w:color="auto"/>
            </w:tcBorders>
            <w:shd w:val="clear" w:color="auto" w:fill="auto"/>
          </w:tcPr>
          <w:p w14:paraId="3D58B3E6"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545</w:t>
            </w:r>
          </w:p>
        </w:tc>
        <w:tc>
          <w:tcPr>
            <w:tcW w:w="1029" w:type="dxa"/>
            <w:tcBorders>
              <w:top w:val="single" w:sz="4" w:space="0" w:color="auto"/>
              <w:bottom w:val="single" w:sz="4" w:space="0" w:color="auto"/>
            </w:tcBorders>
            <w:shd w:val="clear" w:color="auto" w:fill="auto"/>
          </w:tcPr>
          <w:p w14:paraId="0EFA5C5E"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1,067</w:t>
            </w:r>
          </w:p>
        </w:tc>
        <w:tc>
          <w:tcPr>
            <w:tcW w:w="1029" w:type="dxa"/>
            <w:tcBorders>
              <w:top w:val="single" w:sz="4" w:space="0" w:color="auto"/>
              <w:bottom w:val="single" w:sz="4" w:space="0" w:color="auto"/>
            </w:tcBorders>
            <w:shd w:val="clear" w:color="auto" w:fill="auto"/>
          </w:tcPr>
          <w:p w14:paraId="35B64583"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1,131</w:t>
            </w:r>
          </w:p>
        </w:tc>
        <w:tc>
          <w:tcPr>
            <w:tcW w:w="1029" w:type="dxa"/>
            <w:tcBorders>
              <w:top w:val="single" w:sz="4" w:space="0" w:color="auto"/>
              <w:bottom w:val="single" w:sz="4" w:space="0" w:color="auto"/>
            </w:tcBorders>
            <w:shd w:val="clear" w:color="auto" w:fill="auto"/>
          </w:tcPr>
          <w:p w14:paraId="2C957162"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3,045</w:t>
            </w:r>
          </w:p>
        </w:tc>
      </w:tr>
      <w:tr w:rsidR="003F5788" w:rsidRPr="00866299" w14:paraId="5E19427A" w14:textId="77777777" w:rsidTr="008F5C02">
        <w:trPr>
          <w:cantSplit/>
        </w:trPr>
        <w:tc>
          <w:tcPr>
            <w:tcW w:w="3652" w:type="dxa"/>
            <w:tcBorders>
              <w:bottom w:val="single" w:sz="4" w:space="0" w:color="auto"/>
            </w:tcBorders>
          </w:tcPr>
          <w:p w14:paraId="2AB3B2B7"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 xml:space="preserve">Associated Capital </w:t>
            </w:r>
          </w:p>
        </w:tc>
        <w:tc>
          <w:tcPr>
            <w:tcW w:w="1179" w:type="dxa"/>
            <w:tcBorders>
              <w:bottom w:val="single" w:sz="4" w:space="0" w:color="auto"/>
            </w:tcBorders>
            <w:shd w:val="clear" w:color="auto" w:fill="auto"/>
          </w:tcPr>
          <w:p w14:paraId="4ADBD08D"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2,212</w:t>
            </w:r>
          </w:p>
        </w:tc>
        <w:tc>
          <w:tcPr>
            <w:tcW w:w="1041" w:type="dxa"/>
            <w:tcBorders>
              <w:bottom w:val="single" w:sz="4" w:space="0" w:color="auto"/>
            </w:tcBorders>
            <w:shd w:val="clear" w:color="auto" w:fill="auto"/>
          </w:tcPr>
          <w:p w14:paraId="6DDC824B"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3,318</w:t>
            </w:r>
          </w:p>
        </w:tc>
        <w:tc>
          <w:tcPr>
            <w:tcW w:w="1029" w:type="dxa"/>
            <w:tcBorders>
              <w:bottom w:val="single" w:sz="4" w:space="0" w:color="auto"/>
            </w:tcBorders>
            <w:shd w:val="clear" w:color="auto" w:fill="auto"/>
          </w:tcPr>
          <w:p w14:paraId="3F7F659E"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bottom w:val="single" w:sz="4" w:space="0" w:color="auto"/>
            </w:tcBorders>
            <w:shd w:val="clear" w:color="auto" w:fill="auto"/>
          </w:tcPr>
          <w:p w14:paraId="156A274E"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bottom w:val="single" w:sz="4" w:space="0" w:color="auto"/>
            </w:tcBorders>
            <w:shd w:val="clear" w:color="auto" w:fill="auto"/>
          </w:tcPr>
          <w:p w14:paraId="2472AB10"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5,530</w:t>
            </w:r>
          </w:p>
        </w:tc>
      </w:tr>
    </w:tbl>
    <w:p w14:paraId="0A182EF8" w14:textId="77777777" w:rsidR="003F5788" w:rsidRPr="003F5788" w:rsidRDefault="003F5788" w:rsidP="003C7B39">
      <w:pPr>
        <w:pStyle w:val="snapInitbody"/>
      </w:pPr>
      <w:r w:rsidRPr="003F5788">
        <w:t xml:space="preserve">The Government will boost services at The Canberra Hospital Pharmacy to reduce waiting times for dispensed medications and improve medication safety, helping Canberrans who are treated at the hospital to get access to necessary medications more quickly and easily. </w:t>
      </w:r>
    </w:p>
    <w:p w14:paraId="5CCEA21B" w14:textId="77777777" w:rsidR="003F5788" w:rsidRPr="00202E81" w:rsidRDefault="003F5788" w:rsidP="00202E81">
      <w:pPr>
        <w:pStyle w:val="snapInittitles"/>
      </w:pPr>
      <w:r w:rsidRPr="00202E81">
        <w:t xml:space="preserve">Expanding public inpatient mental health care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F5788" w:rsidRPr="00866299" w14:paraId="1FC11583" w14:textId="77777777" w:rsidTr="003C7B39">
        <w:trPr>
          <w:cantSplit/>
        </w:trPr>
        <w:tc>
          <w:tcPr>
            <w:tcW w:w="3652" w:type="dxa"/>
            <w:tcBorders>
              <w:top w:val="single" w:sz="4" w:space="0" w:color="auto"/>
              <w:bottom w:val="single" w:sz="4" w:space="0" w:color="auto"/>
            </w:tcBorders>
          </w:tcPr>
          <w:p w14:paraId="7E2DC09E" w14:textId="77777777" w:rsidR="003F5788" w:rsidRPr="00866299" w:rsidRDefault="003F5788" w:rsidP="003F5788">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3C43734C"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2019-20</w:t>
            </w:r>
          </w:p>
          <w:p w14:paraId="02AAF4DE"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73809C59"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2020-21</w:t>
            </w:r>
          </w:p>
          <w:p w14:paraId="27FAE8E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5FC616AC"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2021-22</w:t>
            </w:r>
          </w:p>
          <w:p w14:paraId="4D60B121"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1178275E"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2022-23</w:t>
            </w:r>
          </w:p>
          <w:p w14:paraId="498AF599"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2FCCE1D"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Total</w:t>
            </w:r>
          </w:p>
          <w:p w14:paraId="677C1F13"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$’000</w:t>
            </w:r>
          </w:p>
        </w:tc>
      </w:tr>
      <w:tr w:rsidR="003F5788" w:rsidRPr="00866299" w14:paraId="1F905F64" w14:textId="77777777" w:rsidTr="003C7B39">
        <w:trPr>
          <w:cantSplit/>
        </w:trPr>
        <w:tc>
          <w:tcPr>
            <w:tcW w:w="3652" w:type="dxa"/>
            <w:tcBorders>
              <w:top w:val="single" w:sz="4" w:space="0" w:color="auto"/>
              <w:bottom w:val="single" w:sz="4" w:space="0" w:color="auto"/>
            </w:tcBorders>
          </w:tcPr>
          <w:p w14:paraId="4D6314DC"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tcPr>
          <w:p w14:paraId="6D2426B1"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1,680</w:t>
            </w:r>
          </w:p>
        </w:tc>
        <w:tc>
          <w:tcPr>
            <w:tcW w:w="1041" w:type="dxa"/>
            <w:tcBorders>
              <w:top w:val="single" w:sz="4" w:space="0" w:color="auto"/>
              <w:bottom w:val="single" w:sz="4" w:space="0" w:color="auto"/>
            </w:tcBorders>
          </w:tcPr>
          <w:p w14:paraId="1EED4E49"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1,722</w:t>
            </w:r>
          </w:p>
        </w:tc>
        <w:tc>
          <w:tcPr>
            <w:tcW w:w="1029" w:type="dxa"/>
            <w:tcBorders>
              <w:top w:val="single" w:sz="4" w:space="0" w:color="auto"/>
              <w:bottom w:val="single" w:sz="4" w:space="0" w:color="auto"/>
            </w:tcBorders>
          </w:tcPr>
          <w:p w14:paraId="10E11546"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1,765</w:t>
            </w:r>
          </w:p>
        </w:tc>
        <w:tc>
          <w:tcPr>
            <w:tcW w:w="1029" w:type="dxa"/>
            <w:tcBorders>
              <w:top w:val="single" w:sz="4" w:space="0" w:color="auto"/>
              <w:bottom w:val="single" w:sz="4" w:space="0" w:color="auto"/>
            </w:tcBorders>
          </w:tcPr>
          <w:p w14:paraId="25F9CE3C"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1,809</w:t>
            </w:r>
          </w:p>
        </w:tc>
        <w:tc>
          <w:tcPr>
            <w:tcW w:w="1029" w:type="dxa"/>
            <w:tcBorders>
              <w:top w:val="single" w:sz="4" w:space="0" w:color="auto"/>
              <w:bottom w:val="single" w:sz="4" w:space="0" w:color="auto"/>
            </w:tcBorders>
          </w:tcPr>
          <w:p w14:paraId="7B69A949"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6,976</w:t>
            </w:r>
          </w:p>
        </w:tc>
      </w:tr>
    </w:tbl>
    <w:p w14:paraId="00A83B33" w14:textId="77777777" w:rsidR="003F5788" w:rsidRPr="003F5788" w:rsidRDefault="003F5788" w:rsidP="003C7B39">
      <w:pPr>
        <w:pStyle w:val="snapInitbody"/>
      </w:pPr>
      <w:r w:rsidRPr="003F5788">
        <w:t xml:space="preserve">The Government will boost allied health and nursing staff in the Adult Mental Health Unit, as well as supporting administration staff. This will ensure inpatients are provided more comprehensive psychosocial care, while supporting improved clinical care standards and stronger workforce development. </w:t>
      </w:r>
    </w:p>
    <w:p w14:paraId="33E6DA5F" w14:textId="77777777" w:rsidR="003F5788" w:rsidRPr="00202E81" w:rsidRDefault="003F5788" w:rsidP="00202E81">
      <w:pPr>
        <w:pStyle w:val="snapInittitles"/>
      </w:pPr>
      <w:r w:rsidRPr="00202E81">
        <w:t xml:space="preserve">Expanding the emergency department at Calvary Public Hospital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F5788" w:rsidRPr="00866299" w14:paraId="3B072A69" w14:textId="77777777" w:rsidTr="003C7B39">
        <w:trPr>
          <w:cantSplit/>
        </w:trPr>
        <w:tc>
          <w:tcPr>
            <w:tcW w:w="3652" w:type="dxa"/>
            <w:tcBorders>
              <w:top w:val="single" w:sz="4" w:space="0" w:color="auto"/>
              <w:bottom w:val="single" w:sz="4" w:space="0" w:color="auto"/>
            </w:tcBorders>
          </w:tcPr>
          <w:p w14:paraId="3A544BCC" w14:textId="77777777" w:rsidR="003F5788" w:rsidRPr="00866299" w:rsidRDefault="003F5788" w:rsidP="003F5788">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4EECB06B"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2019-20</w:t>
            </w:r>
          </w:p>
          <w:p w14:paraId="6938D482"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443D5EAF"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2020-21</w:t>
            </w:r>
          </w:p>
          <w:p w14:paraId="01664927"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C110E05"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2021-22</w:t>
            </w:r>
          </w:p>
          <w:p w14:paraId="4553C024"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38FF00B7"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2022-23</w:t>
            </w:r>
          </w:p>
          <w:p w14:paraId="29CB4BF1"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72D1FC2"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Total</w:t>
            </w:r>
          </w:p>
          <w:p w14:paraId="1928530F"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$’000</w:t>
            </w:r>
          </w:p>
        </w:tc>
      </w:tr>
      <w:tr w:rsidR="003F5788" w:rsidRPr="00866299" w14:paraId="4F7E0BEE" w14:textId="77777777" w:rsidTr="003C7B39">
        <w:trPr>
          <w:cantSplit/>
        </w:trPr>
        <w:tc>
          <w:tcPr>
            <w:tcW w:w="3652" w:type="dxa"/>
            <w:tcBorders>
              <w:top w:val="single" w:sz="4" w:space="0" w:color="auto"/>
              <w:bottom w:val="single" w:sz="4" w:space="0" w:color="auto"/>
            </w:tcBorders>
          </w:tcPr>
          <w:p w14:paraId="1CF2CE52"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tcPr>
          <w:p w14:paraId="29E1E0E7"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3,021</w:t>
            </w:r>
          </w:p>
        </w:tc>
        <w:tc>
          <w:tcPr>
            <w:tcW w:w="1041" w:type="dxa"/>
            <w:tcBorders>
              <w:top w:val="single" w:sz="4" w:space="0" w:color="auto"/>
              <w:bottom w:val="single" w:sz="4" w:space="0" w:color="auto"/>
            </w:tcBorders>
          </w:tcPr>
          <w:p w14:paraId="597DD1D6"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6,143</w:t>
            </w:r>
          </w:p>
        </w:tc>
        <w:tc>
          <w:tcPr>
            <w:tcW w:w="1029" w:type="dxa"/>
            <w:tcBorders>
              <w:top w:val="single" w:sz="4" w:space="0" w:color="auto"/>
              <w:bottom w:val="single" w:sz="4" w:space="0" w:color="auto"/>
            </w:tcBorders>
          </w:tcPr>
          <w:p w14:paraId="4AE7E95D"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6,352</w:t>
            </w:r>
          </w:p>
        </w:tc>
        <w:tc>
          <w:tcPr>
            <w:tcW w:w="1029" w:type="dxa"/>
            <w:tcBorders>
              <w:top w:val="single" w:sz="4" w:space="0" w:color="auto"/>
              <w:bottom w:val="single" w:sz="4" w:space="0" w:color="auto"/>
            </w:tcBorders>
          </w:tcPr>
          <w:p w14:paraId="3DF080D5"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6,475</w:t>
            </w:r>
          </w:p>
        </w:tc>
        <w:tc>
          <w:tcPr>
            <w:tcW w:w="1029" w:type="dxa"/>
            <w:tcBorders>
              <w:top w:val="single" w:sz="4" w:space="0" w:color="auto"/>
              <w:bottom w:val="single" w:sz="4" w:space="0" w:color="auto"/>
            </w:tcBorders>
          </w:tcPr>
          <w:p w14:paraId="4E8B425F"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21,991</w:t>
            </w:r>
          </w:p>
        </w:tc>
      </w:tr>
    </w:tbl>
    <w:p w14:paraId="319C8600" w14:textId="77777777" w:rsidR="003F5788" w:rsidRPr="003F5788" w:rsidRDefault="003F5788" w:rsidP="003C7B39">
      <w:pPr>
        <w:pStyle w:val="snapInitbody"/>
      </w:pPr>
      <w:r w:rsidRPr="003F5788">
        <w:t xml:space="preserve">The Government will add more staff to Calvary Public Hospital’s Emergency Department, following the completion of Emergency Department expansion works delivered through the 2018-19 Budget. This investment will support faster access to care for people on Canberra’s </w:t>
      </w:r>
      <w:proofErr w:type="spellStart"/>
      <w:r w:rsidRPr="003F5788">
        <w:t>Northside</w:t>
      </w:r>
      <w:proofErr w:type="spellEnd"/>
      <w:r w:rsidRPr="003F5788">
        <w:t xml:space="preserve"> and continue to help reduce waiting times Territory-wide. </w:t>
      </w:r>
    </w:p>
    <w:p w14:paraId="5CCD6DFD" w14:textId="77777777" w:rsidR="003F5788" w:rsidRPr="00202E81" w:rsidRDefault="003F5788" w:rsidP="00202E81">
      <w:pPr>
        <w:pStyle w:val="snapInittitles"/>
      </w:pPr>
      <w:r w:rsidRPr="00202E81">
        <w:t xml:space="preserve">More surgical theatres at Calvary Public Hospital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F5788" w:rsidRPr="00866299" w14:paraId="0EECACC6" w14:textId="77777777" w:rsidTr="003C7B39">
        <w:trPr>
          <w:cantSplit/>
        </w:trPr>
        <w:tc>
          <w:tcPr>
            <w:tcW w:w="3652" w:type="dxa"/>
            <w:tcBorders>
              <w:top w:val="single" w:sz="4" w:space="0" w:color="auto"/>
              <w:bottom w:val="single" w:sz="4" w:space="0" w:color="auto"/>
            </w:tcBorders>
          </w:tcPr>
          <w:p w14:paraId="50016165" w14:textId="77777777" w:rsidR="003F5788" w:rsidRPr="00866299" w:rsidRDefault="003F5788" w:rsidP="003F5788">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60023B67"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2019-20</w:t>
            </w:r>
          </w:p>
          <w:p w14:paraId="50ADC4D8"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356577EC"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2020-21</w:t>
            </w:r>
          </w:p>
          <w:p w14:paraId="10B67054"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20006F4"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2021-22</w:t>
            </w:r>
          </w:p>
          <w:p w14:paraId="1617A093"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377EA64"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2022-23</w:t>
            </w:r>
          </w:p>
          <w:p w14:paraId="4A67C0A4"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095623E8"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Total</w:t>
            </w:r>
          </w:p>
          <w:p w14:paraId="48AC23F8"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$’000</w:t>
            </w:r>
          </w:p>
        </w:tc>
      </w:tr>
      <w:tr w:rsidR="003F5788" w:rsidRPr="00866299" w14:paraId="74F8998B" w14:textId="77777777" w:rsidTr="003C7B39">
        <w:trPr>
          <w:cantSplit/>
        </w:trPr>
        <w:tc>
          <w:tcPr>
            <w:tcW w:w="3652" w:type="dxa"/>
            <w:tcBorders>
              <w:top w:val="single" w:sz="4" w:space="0" w:color="auto"/>
            </w:tcBorders>
          </w:tcPr>
          <w:p w14:paraId="28ACECF1"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tcBorders>
          </w:tcPr>
          <w:p w14:paraId="0D0A9832"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3,039</w:t>
            </w:r>
          </w:p>
        </w:tc>
        <w:tc>
          <w:tcPr>
            <w:tcW w:w="1041" w:type="dxa"/>
            <w:tcBorders>
              <w:top w:val="single" w:sz="4" w:space="0" w:color="auto"/>
            </w:tcBorders>
          </w:tcPr>
          <w:p w14:paraId="6A7D63F1"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5,302</w:t>
            </w:r>
          </w:p>
        </w:tc>
        <w:tc>
          <w:tcPr>
            <w:tcW w:w="1029" w:type="dxa"/>
            <w:tcBorders>
              <w:top w:val="single" w:sz="4" w:space="0" w:color="auto"/>
            </w:tcBorders>
          </w:tcPr>
          <w:p w14:paraId="67701414"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5,461</w:t>
            </w:r>
          </w:p>
        </w:tc>
        <w:tc>
          <w:tcPr>
            <w:tcW w:w="1029" w:type="dxa"/>
            <w:tcBorders>
              <w:top w:val="single" w:sz="4" w:space="0" w:color="auto"/>
            </w:tcBorders>
          </w:tcPr>
          <w:p w14:paraId="51BF22F3"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5,625</w:t>
            </w:r>
          </w:p>
        </w:tc>
        <w:tc>
          <w:tcPr>
            <w:tcW w:w="1029" w:type="dxa"/>
            <w:tcBorders>
              <w:top w:val="single" w:sz="4" w:space="0" w:color="auto"/>
            </w:tcBorders>
          </w:tcPr>
          <w:p w14:paraId="2CAC9C65"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19,427</w:t>
            </w:r>
          </w:p>
        </w:tc>
      </w:tr>
      <w:tr w:rsidR="003F5788" w:rsidRPr="00866299" w14:paraId="20218CB0" w14:textId="77777777" w:rsidTr="003C7B39">
        <w:trPr>
          <w:cantSplit/>
        </w:trPr>
        <w:tc>
          <w:tcPr>
            <w:tcW w:w="3652" w:type="dxa"/>
          </w:tcPr>
          <w:p w14:paraId="002754F3"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Expenses – Capital Grant</w:t>
            </w:r>
          </w:p>
        </w:tc>
        <w:tc>
          <w:tcPr>
            <w:tcW w:w="1179" w:type="dxa"/>
          </w:tcPr>
          <w:p w14:paraId="7FF28DAB"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640</w:t>
            </w:r>
          </w:p>
        </w:tc>
        <w:tc>
          <w:tcPr>
            <w:tcW w:w="1041" w:type="dxa"/>
          </w:tcPr>
          <w:p w14:paraId="1731DD73"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14</w:t>
            </w:r>
          </w:p>
        </w:tc>
        <w:tc>
          <w:tcPr>
            <w:tcW w:w="1029" w:type="dxa"/>
          </w:tcPr>
          <w:p w14:paraId="6F093E18"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50A01D32"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298CF862"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654</w:t>
            </w:r>
          </w:p>
        </w:tc>
      </w:tr>
      <w:tr w:rsidR="003F5788" w:rsidRPr="00866299" w14:paraId="770E2EF9" w14:textId="77777777" w:rsidTr="003C7B39">
        <w:trPr>
          <w:cantSplit/>
        </w:trPr>
        <w:tc>
          <w:tcPr>
            <w:tcW w:w="3652" w:type="dxa"/>
          </w:tcPr>
          <w:p w14:paraId="421F018C"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Offset – Expenses</w:t>
            </w:r>
          </w:p>
        </w:tc>
        <w:tc>
          <w:tcPr>
            <w:tcW w:w="1179" w:type="dxa"/>
          </w:tcPr>
          <w:p w14:paraId="3A8B27E2"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-1,500</w:t>
            </w:r>
          </w:p>
        </w:tc>
        <w:tc>
          <w:tcPr>
            <w:tcW w:w="1041" w:type="dxa"/>
          </w:tcPr>
          <w:p w14:paraId="0785E2A5"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-2,000</w:t>
            </w:r>
          </w:p>
        </w:tc>
        <w:tc>
          <w:tcPr>
            <w:tcW w:w="1029" w:type="dxa"/>
          </w:tcPr>
          <w:p w14:paraId="365489BE"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-2,000</w:t>
            </w:r>
          </w:p>
        </w:tc>
        <w:tc>
          <w:tcPr>
            <w:tcW w:w="1029" w:type="dxa"/>
          </w:tcPr>
          <w:p w14:paraId="64350188"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-2,000</w:t>
            </w:r>
          </w:p>
        </w:tc>
        <w:tc>
          <w:tcPr>
            <w:tcW w:w="1029" w:type="dxa"/>
          </w:tcPr>
          <w:p w14:paraId="6088B17F"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-7,500</w:t>
            </w:r>
          </w:p>
        </w:tc>
      </w:tr>
      <w:tr w:rsidR="003F5788" w:rsidRPr="00866299" w14:paraId="1D068B19" w14:textId="77777777" w:rsidTr="003C7B39">
        <w:trPr>
          <w:cantSplit/>
        </w:trPr>
        <w:tc>
          <w:tcPr>
            <w:tcW w:w="3652" w:type="dxa"/>
            <w:tcBorders>
              <w:top w:val="single" w:sz="4" w:space="0" w:color="auto"/>
              <w:bottom w:val="single" w:sz="4" w:space="0" w:color="auto"/>
            </w:tcBorders>
          </w:tcPr>
          <w:p w14:paraId="762CFE7D" w14:textId="77777777" w:rsidR="003F5788" w:rsidRPr="00866299" w:rsidRDefault="003F5788" w:rsidP="003F5788">
            <w:pPr>
              <w:ind w:left="284" w:hanging="284"/>
              <w:rPr>
                <w:rFonts w:ascii="Calibri" w:hAnsi="Calibri"/>
                <w:b/>
                <w:sz w:val="22"/>
                <w:lang w:eastAsia="en-US"/>
              </w:rPr>
            </w:pPr>
            <w:r w:rsidRPr="00866299">
              <w:rPr>
                <w:rFonts w:ascii="Calibri" w:hAnsi="Calibri"/>
                <w:b/>
                <w:sz w:val="22"/>
                <w:lang w:eastAsia="en-US"/>
              </w:rPr>
              <w:t>Net Expenses</w:t>
            </w:r>
          </w:p>
        </w:tc>
        <w:tc>
          <w:tcPr>
            <w:tcW w:w="1179" w:type="dxa"/>
            <w:tcBorders>
              <w:top w:val="single" w:sz="4" w:space="0" w:color="auto"/>
              <w:bottom w:val="single" w:sz="4" w:space="0" w:color="auto"/>
            </w:tcBorders>
          </w:tcPr>
          <w:p w14:paraId="372C0150"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2,179</w:t>
            </w:r>
          </w:p>
        </w:tc>
        <w:tc>
          <w:tcPr>
            <w:tcW w:w="1041" w:type="dxa"/>
            <w:tcBorders>
              <w:top w:val="single" w:sz="4" w:space="0" w:color="auto"/>
              <w:bottom w:val="single" w:sz="4" w:space="0" w:color="auto"/>
            </w:tcBorders>
          </w:tcPr>
          <w:p w14:paraId="2E3B364D"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3,316</w:t>
            </w:r>
          </w:p>
        </w:tc>
        <w:tc>
          <w:tcPr>
            <w:tcW w:w="1029" w:type="dxa"/>
            <w:tcBorders>
              <w:top w:val="single" w:sz="4" w:space="0" w:color="auto"/>
              <w:bottom w:val="single" w:sz="4" w:space="0" w:color="auto"/>
            </w:tcBorders>
          </w:tcPr>
          <w:p w14:paraId="309EF274"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3,461</w:t>
            </w:r>
          </w:p>
        </w:tc>
        <w:tc>
          <w:tcPr>
            <w:tcW w:w="1029" w:type="dxa"/>
            <w:tcBorders>
              <w:top w:val="single" w:sz="4" w:space="0" w:color="auto"/>
              <w:bottom w:val="single" w:sz="4" w:space="0" w:color="auto"/>
            </w:tcBorders>
          </w:tcPr>
          <w:p w14:paraId="5CC814BF"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3,625</w:t>
            </w:r>
          </w:p>
        </w:tc>
        <w:tc>
          <w:tcPr>
            <w:tcW w:w="1029" w:type="dxa"/>
            <w:tcBorders>
              <w:top w:val="single" w:sz="4" w:space="0" w:color="auto"/>
              <w:bottom w:val="single" w:sz="4" w:space="0" w:color="auto"/>
            </w:tcBorders>
          </w:tcPr>
          <w:p w14:paraId="02D0BD9B"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12,581</w:t>
            </w:r>
          </w:p>
        </w:tc>
      </w:tr>
    </w:tbl>
    <w:p w14:paraId="1F1302DF" w14:textId="77777777" w:rsidR="003F5788" w:rsidRPr="003F5788" w:rsidRDefault="003F5788" w:rsidP="007E0FD2">
      <w:pPr>
        <w:pStyle w:val="snapInitbody"/>
      </w:pPr>
      <w:r w:rsidRPr="003F5788">
        <w:t>The Government will expand elective surgery capacity at Calvary Public Hospital by providing resources to support up to 250 more surgeries a year being delivered there. This is in line with Territory-wide work to distribute surgical activity more appropriately across the ACT to improve timely access to care.</w:t>
      </w:r>
    </w:p>
    <w:p w14:paraId="3761E5C0" w14:textId="77777777" w:rsidR="003F5788" w:rsidRPr="00202E81" w:rsidRDefault="003F5788" w:rsidP="00202E81">
      <w:pPr>
        <w:pStyle w:val="snapInittitles"/>
      </w:pPr>
      <w:r w:rsidRPr="00202E81">
        <w:t xml:space="preserve">More urology services at Calvary Public Hospital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F5788" w:rsidRPr="00866299" w14:paraId="4E9619E9" w14:textId="77777777" w:rsidTr="007E0FD2">
        <w:trPr>
          <w:cantSplit/>
        </w:trPr>
        <w:tc>
          <w:tcPr>
            <w:tcW w:w="3652" w:type="dxa"/>
            <w:tcBorders>
              <w:top w:val="single" w:sz="4" w:space="0" w:color="auto"/>
              <w:bottom w:val="single" w:sz="4" w:space="0" w:color="auto"/>
            </w:tcBorders>
          </w:tcPr>
          <w:p w14:paraId="41B7CE31" w14:textId="77777777" w:rsidR="003F5788" w:rsidRPr="00866299" w:rsidRDefault="003F5788" w:rsidP="003F5788">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436E06A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2019-20</w:t>
            </w:r>
          </w:p>
          <w:p w14:paraId="6F0291EE"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50A5400F"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2020-21</w:t>
            </w:r>
          </w:p>
          <w:p w14:paraId="6E976F2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29097CB"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2021-22</w:t>
            </w:r>
          </w:p>
          <w:p w14:paraId="401C1233"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0FF304FF"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2022-23</w:t>
            </w:r>
          </w:p>
          <w:p w14:paraId="791375A3"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A94E798"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Total</w:t>
            </w:r>
          </w:p>
          <w:p w14:paraId="3D85BC50"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$’000</w:t>
            </w:r>
          </w:p>
        </w:tc>
      </w:tr>
      <w:tr w:rsidR="003F5788" w:rsidRPr="00866299" w14:paraId="6ACE1BF3" w14:textId="77777777" w:rsidTr="007E0FD2">
        <w:trPr>
          <w:cantSplit/>
        </w:trPr>
        <w:tc>
          <w:tcPr>
            <w:tcW w:w="3652" w:type="dxa"/>
            <w:tcBorders>
              <w:top w:val="single" w:sz="4" w:space="0" w:color="auto"/>
            </w:tcBorders>
          </w:tcPr>
          <w:p w14:paraId="6F6CD91B"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tcBorders>
          </w:tcPr>
          <w:p w14:paraId="3DD1DC5E"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432</w:t>
            </w:r>
          </w:p>
        </w:tc>
        <w:tc>
          <w:tcPr>
            <w:tcW w:w="1041" w:type="dxa"/>
            <w:tcBorders>
              <w:top w:val="single" w:sz="4" w:space="0" w:color="auto"/>
            </w:tcBorders>
          </w:tcPr>
          <w:p w14:paraId="36FFC9DB"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962</w:t>
            </w:r>
          </w:p>
        </w:tc>
        <w:tc>
          <w:tcPr>
            <w:tcW w:w="1029" w:type="dxa"/>
            <w:tcBorders>
              <w:top w:val="single" w:sz="4" w:space="0" w:color="auto"/>
            </w:tcBorders>
          </w:tcPr>
          <w:p w14:paraId="0DEFA9E2"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991</w:t>
            </w:r>
          </w:p>
        </w:tc>
        <w:tc>
          <w:tcPr>
            <w:tcW w:w="1029" w:type="dxa"/>
            <w:tcBorders>
              <w:top w:val="single" w:sz="4" w:space="0" w:color="auto"/>
            </w:tcBorders>
          </w:tcPr>
          <w:p w14:paraId="3E54F5F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1,021</w:t>
            </w:r>
          </w:p>
        </w:tc>
        <w:tc>
          <w:tcPr>
            <w:tcW w:w="1029" w:type="dxa"/>
            <w:tcBorders>
              <w:top w:val="single" w:sz="4" w:space="0" w:color="auto"/>
            </w:tcBorders>
          </w:tcPr>
          <w:p w14:paraId="5C6D5E78"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3,406</w:t>
            </w:r>
          </w:p>
        </w:tc>
      </w:tr>
      <w:tr w:rsidR="003F5788" w:rsidRPr="00866299" w14:paraId="4B59DC72" w14:textId="77777777" w:rsidTr="007E0FD2">
        <w:trPr>
          <w:cantSplit/>
        </w:trPr>
        <w:tc>
          <w:tcPr>
            <w:tcW w:w="3652" w:type="dxa"/>
          </w:tcPr>
          <w:p w14:paraId="00132ADF"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Expenses – Capital Grant</w:t>
            </w:r>
          </w:p>
        </w:tc>
        <w:tc>
          <w:tcPr>
            <w:tcW w:w="1179" w:type="dxa"/>
          </w:tcPr>
          <w:p w14:paraId="7A606E92"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2,500</w:t>
            </w:r>
          </w:p>
        </w:tc>
        <w:tc>
          <w:tcPr>
            <w:tcW w:w="1041" w:type="dxa"/>
          </w:tcPr>
          <w:p w14:paraId="607ED4C5"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7CB5693F"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5693945D"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76AFA500"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2,500</w:t>
            </w:r>
          </w:p>
        </w:tc>
      </w:tr>
      <w:tr w:rsidR="003F5788" w:rsidRPr="00866299" w14:paraId="75F36747" w14:textId="77777777" w:rsidTr="007E0FD2">
        <w:trPr>
          <w:cantSplit/>
        </w:trPr>
        <w:tc>
          <w:tcPr>
            <w:tcW w:w="3652" w:type="dxa"/>
            <w:tcBorders>
              <w:top w:val="single" w:sz="4" w:space="0" w:color="auto"/>
              <w:bottom w:val="single" w:sz="4" w:space="0" w:color="auto"/>
            </w:tcBorders>
          </w:tcPr>
          <w:p w14:paraId="516AED89" w14:textId="77777777" w:rsidR="003F5788" w:rsidRPr="00866299" w:rsidRDefault="003F5788" w:rsidP="003F5788">
            <w:pPr>
              <w:ind w:left="284" w:hanging="284"/>
              <w:rPr>
                <w:rFonts w:ascii="Calibri" w:hAnsi="Calibri"/>
                <w:b/>
                <w:sz w:val="22"/>
                <w:lang w:eastAsia="en-US"/>
              </w:rPr>
            </w:pPr>
            <w:r w:rsidRPr="00866299">
              <w:rPr>
                <w:rFonts w:ascii="Calibri" w:hAnsi="Calibri"/>
                <w:b/>
                <w:sz w:val="22"/>
                <w:lang w:eastAsia="en-US"/>
              </w:rPr>
              <w:t>Total Expenses</w:t>
            </w:r>
          </w:p>
        </w:tc>
        <w:tc>
          <w:tcPr>
            <w:tcW w:w="1179" w:type="dxa"/>
            <w:tcBorders>
              <w:top w:val="single" w:sz="4" w:space="0" w:color="auto"/>
              <w:bottom w:val="single" w:sz="4" w:space="0" w:color="auto"/>
            </w:tcBorders>
          </w:tcPr>
          <w:p w14:paraId="0E277EBC"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2,932</w:t>
            </w:r>
          </w:p>
        </w:tc>
        <w:tc>
          <w:tcPr>
            <w:tcW w:w="1041" w:type="dxa"/>
            <w:tcBorders>
              <w:top w:val="single" w:sz="4" w:space="0" w:color="auto"/>
              <w:bottom w:val="single" w:sz="4" w:space="0" w:color="auto"/>
            </w:tcBorders>
          </w:tcPr>
          <w:p w14:paraId="1C359D3C"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962</w:t>
            </w:r>
          </w:p>
        </w:tc>
        <w:tc>
          <w:tcPr>
            <w:tcW w:w="1029" w:type="dxa"/>
            <w:tcBorders>
              <w:top w:val="single" w:sz="4" w:space="0" w:color="auto"/>
              <w:bottom w:val="single" w:sz="4" w:space="0" w:color="auto"/>
            </w:tcBorders>
          </w:tcPr>
          <w:p w14:paraId="4FDDBD58"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991</w:t>
            </w:r>
          </w:p>
        </w:tc>
        <w:tc>
          <w:tcPr>
            <w:tcW w:w="1029" w:type="dxa"/>
            <w:tcBorders>
              <w:top w:val="single" w:sz="4" w:space="0" w:color="auto"/>
              <w:bottom w:val="single" w:sz="4" w:space="0" w:color="auto"/>
            </w:tcBorders>
          </w:tcPr>
          <w:p w14:paraId="08B5BBCE"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1,021</w:t>
            </w:r>
          </w:p>
        </w:tc>
        <w:tc>
          <w:tcPr>
            <w:tcW w:w="1029" w:type="dxa"/>
            <w:tcBorders>
              <w:top w:val="single" w:sz="4" w:space="0" w:color="auto"/>
              <w:bottom w:val="single" w:sz="4" w:space="0" w:color="auto"/>
            </w:tcBorders>
          </w:tcPr>
          <w:p w14:paraId="3EF2715A"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5,906</w:t>
            </w:r>
          </w:p>
        </w:tc>
      </w:tr>
    </w:tbl>
    <w:p w14:paraId="15CE09FA" w14:textId="77777777" w:rsidR="003F5788" w:rsidRPr="003F5788" w:rsidRDefault="003F5788" w:rsidP="007E0FD2">
      <w:pPr>
        <w:pStyle w:val="snapInitbody"/>
      </w:pPr>
      <w:r w:rsidRPr="003F5788">
        <w:t xml:space="preserve">The Government will expand urology services at Calvary Public Hospital and implement a new urology model of care. This will provide capacity for additional minor day procedures and provide co-located outpatient services. </w:t>
      </w:r>
    </w:p>
    <w:p w14:paraId="1C6186FA" w14:textId="6E7B8E9E" w:rsidR="003F5788" w:rsidRPr="007A3A72" w:rsidRDefault="003F5788" w:rsidP="007A3A72">
      <w:pPr>
        <w:pStyle w:val="Heading3"/>
      </w:pPr>
      <w:r w:rsidRPr="007A3A72">
        <w:t xml:space="preserve">Investing in </w:t>
      </w:r>
      <w:r w:rsidR="00B2594F">
        <w:t>M</w:t>
      </w:r>
      <w:r w:rsidRPr="007A3A72">
        <w:t xml:space="preserve">ental </w:t>
      </w:r>
      <w:r w:rsidR="00B2594F">
        <w:t>H</w:t>
      </w:r>
      <w:r w:rsidRPr="007A3A72">
        <w:t>ealth</w:t>
      </w:r>
    </w:p>
    <w:p w14:paraId="6483DF6A" w14:textId="77777777" w:rsidR="003F5788" w:rsidRPr="00202E81" w:rsidRDefault="003F5788" w:rsidP="00202E81">
      <w:pPr>
        <w:pStyle w:val="snapInittitles"/>
      </w:pPr>
      <w:r w:rsidRPr="00202E81">
        <w:t xml:space="preserve">7-day-a-week Mental Health Consultation Liaison service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F5788" w:rsidRPr="00866299" w14:paraId="249B42CA" w14:textId="77777777" w:rsidTr="00D92B44">
        <w:trPr>
          <w:cantSplit/>
        </w:trPr>
        <w:tc>
          <w:tcPr>
            <w:tcW w:w="3652" w:type="dxa"/>
            <w:tcBorders>
              <w:top w:val="single" w:sz="4" w:space="0" w:color="auto"/>
              <w:bottom w:val="single" w:sz="4" w:space="0" w:color="auto"/>
            </w:tcBorders>
          </w:tcPr>
          <w:p w14:paraId="321EC0FF" w14:textId="77777777" w:rsidR="003F5788" w:rsidRPr="00866299" w:rsidRDefault="003F5788" w:rsidP="003F5788">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60DEC828"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2019-20</w:t>
            </w:r>
          </w:p>
          <w:p w14:paraId="5DB19859"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012E64CE"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2020-21</w:t>
            </w:r>
          </w:p>
          <w:p w14:paraId="6BDDD779"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38A03658"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2021-22</w:t>
            </w:r>
          </w:p>
          <w:p w14:paraId="755196DF"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5615DF19"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2022-23</w:t>
            </w:r>
          </w:p>
          <w:p w14:paraId="201CA61D"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061D6CD2"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Total</w:t>
            </w:r>
          </w:p>
          <w:p w14:paraId="31E4764D"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$’000</w:t>
            </w:r>
          </w:p>
        </w:tc>
      </w:tr>
      <w:tr w:rsidR="003F5788" w:rsidRPr="00866299" w14:paraId="5FCAE293" w14:textId="77777777" w:rsidTr="00D92B44">
        <w:trPr>
          <w:cantSplit/>
        </w:trPr>
        <w:tc>
          <w:tcPr>
            <w:tcW w:w="3652" w:type="dxa"/>
            <w:tcBorders>
              <w:top w:val="single" w:sz="4" w:space="0" w:color="auto"/>
              <w:bottom w:val="single" w:sz="4" w:space="0" w:color="auto"/>
            </w:tcBorders>
          </w:tcPr>
          <w:p w14:paraId="735DF88D"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tcPr>
          <w:p w14:paraId="771529C3"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800</w:t>
            </w:r>
          </w:p>
        </w:tc>
        <w:tc>
          <w:tcPr>
            <w:tcW w:w="1041" w:type="dxa"/>
            <w:tcBorders>
              <w:top w:val="single" w:sz="4" w:space="0" w:color="auto"/>
              <w:bottom w:val="single" w:sz="4" w:space="0" w:color="auto"/>
            </w:tcBorders>
          </w:tcPr>
          <w:p w14:paraId="01F01774"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1,234</w:t>
            </w:r>
          </w:p>
        </w:tc>
        <w:tc>
          <w:tcPr>
            <w:tcW w:w="1029" w:type="dxa"/>
            <w:tcBorders>
              <w:top w:val="single" w:sz="4" w:space="0" w:color="auto"/>
              <w:bottom w:val="single" w:sz="4" w:space="0" w:color="auto"/>
            </w:tcBorders>
          </w:tcPr>
          <w:p w14:paraId="72C0691F"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1,266</w:t>
            </w:r>
          </w:p>
        </w:tc>
        <w:tc>
          <w:tcPr>
            <w:tcW w:w="1029" w:type="dxa"/>
            <w:tcBorders>
              <w:top w:val="single" w:sz="4" w:space="0" w:color="auto"/>
              <w:bottom w:val="single" w:sz="4" w:space="0" w:color="auto"/>
            </w:tcBorders>
          </w:tcPr>
          <w:p w14:paraId="5A8DBC01"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1,292</w:t>
            </w:r>
          </w:p>
        </w:tc>
        <w:tc>
          <w:tcPr>
            <w:tcW w:w="1029" w:type="dxa"/>
            <w:tcBorders>
              <w:top w:val="single" w:sz="4" w:space="0" w:color="auto"/>
              <w:bottom w:val="single" w:sz="4" w:space="0" w:color="auto"/>
            </w:tcBorders>
          </w:tcPr>
          <w:p w14:paraId="0A7258F2"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4,592</w:t>
            </w:r>
          </w:p>
        </w:tc>
      </w:tr>
    </w:tbl>
    <w:p w14:paraId="61C04A70" w14:textId="77777777" w:rsidR="00D92B44" w:rsidRDefault="003F5788" w:rsidP="00D92B44">
      <w:pPr>
        <w:pStyle w:val="snapInitbody"/>
      </w:pPr>
      <w:r w:rsidRPr="003F5788">
        <w:t>The Government will expand the Mental Health Consultation Liaison service to operate at The Canberra Hospital seven days a week, increasing the support available for people with mental illness.</w:t>
      </w:r>
    </w:p>
    <w:p w14:paraId="457A9B16" w14:textId="0F6CF359" w:rsidR="003F5788" w:rsidRPr="00202E81" w:rsidRDefault="003F5788" w:rsidP="00202E81">
      <w:pPr>
        <w:pStyle w:val="snapInittitles"/>
      </w:pPr>
      <w:r w:rsidRPr="00202E81">
        <w:t xml:space="preserve">Alternative justice pathways for people with mental illness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F5788" w:rsidRPr="00866299" w14:paraId="3751DED1" w14:textId="77777777" w:rsidTr="00D92B44">
        <w:trPr>
          <w:cantSplit/>
        </w:trPr>
        <w:tc>
          <w:tcPr>
            <w:tcW w:w="3652" w:type="dxa"/>
            <w:tcBorders>
              <w:top w:val="single" w:sz="4" w:space="0" w:color="auto"/>
              <w:bottom w:val="single" w:sz="4" w:space="0" w:color="auto"/>
            </w:tcBorders>
          </w:tcPr>
          <w:p w14:paraId="0B9C75E2" w14:textId="77777777" w:rsidR="003F5788" w:rsidRPr="00866299" w:rsidRDefault="003F5788" w:rsidP="003F5788">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0C631F3E"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2019-20</w:t>
            </w:r>
          </w:p>
          <w:p w14:paraId="51B25395"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413D4E99"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2020-21</w:t>
            </w:r>
          </w:p>
          <w:p w14:paraId="67FD2AC2"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65E32E2"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2021-22</w:t>
            </w:r>
          </w:p>
          <w:p w14:paraId="16D30336"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382EF2E1"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2022-23</w:t>
            </w:r>
          </w:p>
          <w:p w14:paraId="7C28676B"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3514713A"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Total</w:t>
            </w:r>
          </w:p>
          <w:p w14:paraId="6C489390"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$’000</w:t>
            </w:r>
          </w:p>
        </w:tc>
      </w:tr>
      <w:tr w:rsidR="003F5788" w:rsidRPr="00866299" w14:paraId="49D6B5A1" w14:textId="77777777" w:rsidTr="00D92B44">
        <w:trPr>
          <w:cantSplit/>
        </w:trPr>
        <w:tc>
          <w:tcPr>
            <w:tcW w:w="3652" w:type="dxa"/>
            <w:tcBorders>
              <w:top w:val="single" w:sz="4" w:space="0" w:color="auto"/>
              <w:bottom w:val="single" w:sz="4" w:space="0" w:color="auto"/>
            </w:tcBorders>
          </w:tcPr>
          <w:p w14:paraId="5ADDDA28"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tcPr>
          <w:p w14:paraId="0C070F65"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731</w:t>
            </w:r>
          </w:p>
        </w:tc>
        <w:tc>
          <w:tcPr>
            <w:tcW w:w="1041" w:type="dxa"/>
            <w:tcBorders>
              <w:top w:val="single" w:sz="4" w:space="0" w:color="auto"/>
              <w:bottom w:val="single" w:sz="4" w:space="0" w:color="auto"/>
            </w:tcBorders>
          </w:tcPr>
          <w:p w14:paraId="05E64786"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749</w:t>
            </w:r>
          </w:p>
        </w:tc>
        <w:tc>
          <w:tcPr>
            <w:tcW w:w="1029" w:type="dxa"/>
            <w:tcBorders>
              <w:top w:val="single" w:sz="4" w:space="0" w:color="auto"/>
              <w:bottom w:val="single" w:sz="4" w:space="0" w:color="auto"/>
            </w:tcBorders>
          </w:tcPr>
          <w:p w14:paraId="6E528B23"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768</w:t>
            </w:r>
          </w:p>
        </w:tc>
        <w:tc>
          <w:tcPr>
            <w:tcW w:w="1029" w:type="dxa"/>
            <w:tcBorders>
              <w:top w:val="single" w:sz="4" w:space="0" w:color="auto"/>
              <w:bottom w:val="single" w:sz="4" w:space="0" w:color="auto"/>
            </w:tcBorders>
          </w:tcPr>
          <w:p w14:paraId="6FB0A50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787</w:t>
            </w:r>
          </w:p>
        </w:tc>
        <w:tc>
          <w:tcPr>
            <w:tcW w:w="1029" w:type="dxa"/>
            <w:tcBorders>
              <w:top w:val="single" w:sz="4" w:space="0" w:color="auto"/>
              <w:bottom w:val="single" w:sz="4" w:space="0" w:color="auto"/>
            </w:tcBorders>
          </w:tcPr>
          <w:p w14:paraId="66B85D0D"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3,035</w:t>
            </w:r>
          </w:p>
        </w:tc>
      </w:tr>
    </w:tbl>
    <w:p w14:paraId="4D02CFA2" w14:textId="77777777" w:rsidR="003F5788" w:rsidRPr="003F5788" w:rsidRDefault="003F5788" w:rsidP="00D92B44">
      <w:pPr>
        <w:pStyle w:val="snapInitbody"/>
      </w:pPr>
      <w:r w:rsidRPr="003F5788">
        <w:t xml:space="preserve">The Government will expand the Mental Health Justice Health and Alcohol and Drug Service to better support people with mental illness who are on bail and help reduce reoffending. This investment aims to address the over-representation of people with mental health challenges who are in contact with the justice system. </w:t>
      </w:r>
    </w:p>
    <w:p w14:paraId="7FE45423" w14:textId="77777777" w:rsidR="003F5788" w:rsidRPr="00202E81" w:rsidRDefault="003F5788" w:rsidP="00202E81">
      <w:pPr>
        <w:pStyle w:val="snapInittitles"/>
      </w:pPr>
      <w:r w:rsidRPr="00202E81">
        <w:t xml:space="preserve">Delivering better mental health care for people in crisis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F5788" w:rsidRPr="00866299" w14:paraId="5E9B89F5" w14:textId="77777777" w:rsidTr="00D92B44">
        <w:trPr>
          <w:cantSplit/>
        </w:trPr>
        <w:tc>
          <w:tcPr>
            <w:tcW w:w="3652" w:type="dxa"/>
            <w:tcBorders>
              <w:top w:val="single" w:sz="4" w:space="0" w:color="auto"/>
              <w:bottom w:val="single" w:sz="4" w:space="0" w:color="auto"/>
            </w:tcBorders>
          </w:tcPr>
          <w:p w14:paraId="757CBE32" w14:textId="77777777" w:rsidR="003F5788" w:rsidRPr="00866299" w:rsidRDefault="003F5788" w:rsidP="003F5788">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4D996B31"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2019-20</w:t>
            </w:r>
          </w:p>
          <w:p w14:paraId="11B2075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75D0C549"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2020-21</w:t>
            </w:r>
          </w:p>
          <w:p w14:paraId="652D6732"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19DCD5BD"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2021-22</w:t>
            </w:r>
          </w:p>
          <w:p w14:paraId="48006EB4"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53A3CE53"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2022-23</w:t>
            </w:r>
          </w:p>
          <w:p w14:paraId="4E2F2550"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01B73BC4"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Total</w:t>
            </w:r>
          </w:p>
          <w:p w14:paraId="6D7C8F8A"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$’000</w:t>
            </w:r>
          </w:p>
        </w:tc>
      </w:tr>
      <w:tr w:rsidR="003F5788" w:rsidRPr="00866299" w14:paraId="34FD6F29" w14:textId="77777777" w:rsidTr="00D92B44">
        <w:trPr>
          <w:cantSplit/>
        </w:trPr>
        <w:tc>
          <w:tcPr>
            <w:tcW w:w="3652" w:type="dxa"/>
            <w:tcBorders>
              <w:top w:val="single" w:sz="4" w:space="0" w:color="auto"/>
            </w:tcBorders>
          </w:tcPr>
          <w:p w14:paraId="10087145"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tcBorders>
          </w:tcPr>
          <w:p w14:paraId="2EEE21CF"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147</w:t>
            </w:r>
          </w:p>
        </w:tc>
        <w:tc>
          <w:tcPr>
            <w:tcW w:w="1041" w:type="dxa"/>
            <w:tcBorders>
              <w:top w:val="single" w:sz="4" w:space="0" w:color="auto"/>
            </w:tcBorders>
          </w:tcPr>
          <w:p w14:paraId="0093CF74"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418A5308"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72A03518"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0721C133"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147</w:t>
            </w:r>
          </w:p>
        </w:tc>
      </w:tr>
      <w:tr w:rsidR="003F5788" w:rsidRPr="00866299" w14:paraId="3B303CDB" w14:textId="77777777" w:rsidTr="00D92B44">
        <w:trPr>
          <w:cantSplit/>
        </w:trPr>
        <w:tc>
          <w:tcPr>
            <w:tcW w:w="3652" w:type="dxa"/>
          </w:tcPr>
          <w:p w14:paraId="799E431F"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Justice and Community Safety Directorate – Expenses</w:t>
            </w:r>
          </w:p>
        </w:tc>
        <w:tc>
          <w:tcPr>
            <w:tcW w:w="1179" w:type="dxa"/>
          </w:tcPr>
          <w:p w14:paraId="4781E430"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176</w:t>
            </w:r>
          </w:p>
        </w:tc>
        <w:tc>
          <w:tcPr>
            <w:tcW w:w="1041" w:type="dxa"/>
          </w:tcPr>
          <w:p w14:paraId="5D1BDCE1"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10F57C9B"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34BA0A1F"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6023097F"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176</w:t>
            </w:r>
          </w:p>
        </w:tc>
      </w:tr>
      <w:tr w:rsidR="003F5788" w:rsidRPr="00866299" w14:paraId="35CBC376" w14:textId="77777777" w:rsidTr="00D92B44">
        <w:trPr>
          <w:cantSplit/>
        </w:trPr>
        <w:tc>
          <w:tcPr>
            <w:tcW w:w="3652" w:type="dxa"/>
            <w:tcBorders>
              <w:top w:val="single" w:sz="4" w:space="0" w:color="auto"/>
              <w:bottom w:val="single" w:sz="4" w:space="0" w:color="auto"/>
            </w:tcBorders>
          </w:tcPr>
          <w:p w14:paraId="449B70BB" w14:textId="77777777" w:rsidR="003F5788" w:rsidRPr="00866299" w:rsidRDefault="003F5788" w:rsidP="003F5788">
            <w:pPr>
              <w:ind w:left="284" w:hanging="284"/>
              <w:rPr>
                <w:rFonts w:ascii="Calibri" w:hAnsi="Calibri"/>
                <w:b/>
                <w:sz w:val="22"/>
                <w:lang w:eastAsia="en-US"/>
              </w:rPr>
            </w:pPr>
            <w:r w:rsidRPr="00866299">
              <w:rPr>
                <w:rFonts w:ascii="Calibri" w:hAnsi="Calibri"/>
                <w:b/>
                <w:sz w:val="22"/>
                <w:lang w:eastAsia="en-US"/>
              </w:rPr>
              <w:t>Total Expenses</w:t>
            </w:r>
          </w:p>
        </w:tc>
        <w:tc>
          <w:tcPr>
            <w:tcW w:w="1179" w:type="dxa"/>
            <w:tcBorders>
              <w:top w:val="single" w:sz="4" w:space="0" w:color="auto"/>
              <w:bottom w:val="single" w:sz="4" w:space="0" w:color="auto"/>
            </w:tcBorders>
          </w:tcPr>
          <w:p w14:paraId="1A40813D"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323</w:t>
            </w:r>
          </w:p>
        </w:tc>
        <w:tc>
          <w:tcPr>
            <w:tcW w:w="1041" w:type="dxa"/>
            <w:tcBorders>
              <w:top w:val="single" w:sz="4" w:space="0" w:color="auto"/>
              <w:bottom w:val="single" w:sz="4" w:space="0" w:color="auto"/>
            </w:tcBorders>
          </w:tcPr>
          <w:p w14:paraId="37AAC9B1"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2E085E8C"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121FF322"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6EBF23C2"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323</w:t>
            </w:r>
          </w:p>
        </w:tc>
      </w:tr>
    </w:tbl>
    <w:p w14:paraId="6516549D" w14:textId="04D20E55" w:rsidR="003F5788" w:rsidRPr="003F5788" w:rsidRDefault="003F5788" w:rsidP="00D92B44">
      <w:pPr>
        <w:pStyle w:val="snapInitbody"/>
      </w:pPr>
      <w:r w:rsidRPr="003F5788">
        <w:t>The Government will undertake planning and design work for a Police, Ambulance and Clinician Early Response (PACER) model which can provide better support for people experiencing acute mental health incidents. This will examine the delivery of an integrated service model which brings together police, ambulance paramedics and mental health clinicians to support the safe assessment and treatment of people experiencing acute mental health episodes without the need for admission to hospital.</w:t>
      </w:r>
    </w:p>
    <w:p w14:paraId="24B90791" w14:textId="77777777" w:rsidR="003F5788" w:rsidRPr="00202E81" w:rsidRDefault="003F5788" w:rsidP="00202E81">
      <w:pPr>
        <w:pStyle w:val="snapInittitles"/>
      </w:pPr>
      <w:r w:rsidRPr="00202E81">
        <w:t xml:space="preserve">Expanding public healthcare services for eating disorders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F5788" w:rsidRPr="00866299" w14:paraId="68D42899" w14:textId="77777777" w:rsidTr="00D92B44">
        <w:trPr>
          <w:cantSplit/>
        </w:trPr>
        <w:tc>
          <w:tcPr>
            <w:tcW w:w="3652" w:type="dxa"/>
            <w:tcBorders>
              <w:top w:val="single" w:sz="4" w:space="0" w:color="auto"/>
              <w:bottom w:val="single" w:sz="4" w:space="0" w:color="auto"/>
            </w:tcBorders>
          </w:tcPr>
          <w:p w14:paraId="69641B2B" w14:textId="77777777" w:rsidR="003F5788" w:rsidRPr="00866299" w:rsidRDefault="003F5788" w:rsidP="003F5788">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40732420"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2019-20</w:t>
            </w:r>
          </w:p>
          <w:p w14:paraId="1C3DC1DC"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0842CD6C"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2020-21</w:t>
            </w:r>
          </w:p>
          <w:p w14:paraId="05CF5A11"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EBEE9A1"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2021-22</w:t>
            </w:r>
          </w:p>
          <w:p w14:paraId="7D15D32D"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95351C5"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2022-23</w:t>
            </w:r>
          </w:p>
          <w:p w14:paraId="1C74C61D"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6E10E51"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Total</w:t>
            </w:r>
          </w:p>
          <w:p w14:paraId="42EF13B7"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$’000</w:t>
            </w:r>
          </w:p>
        </w:tc>
      </w:tr>
      <w:tr w:rsidR="003F5788" w:rsidRPr="00866299" w14:paraId="3F7B84D9" w14:textId="77777777" w:rsidTr="00D92B44">
        <w:trPr>
          <w:cantSplit/>
        </w:trPr>
        <w:tc>
          <w:tcPr>
            <w:tcW w:w="3652" w:type="dxa"/>
            <w:tcBorders>
              <w:top w:val="single" w:sz="4" w:space="0" w:color="auto"/>
              <w:bottom w:val="single" w:sz="4" w:space="0" w:color="auto"/>
            </w:tcBorders>
          </w:tcPr>
          <w:p w14:paraId="2E265C9C"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shd w:val="clear" w:color="auto" w:fill="auto"/>
          </w:tcPr>
          <w:p w14:paraId="10BB9D26"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179</w:t>
            </w:r>
          </w:p>
        </w:tc>
        <w:tc>
          <w:tcPr>
            <w:tcW w:w="1041" w:type="dxa"/>
            <w:tcBorders>
              <w:top w:val="single" w:sz="4" w:space="0" w:color="auto"/>
              <w:bottom w:val="single" w:sz="4" w:space="0" w:color="auto"/>
            </w:tcBorders>
            <w:shd w:val="clear" w:color="auto" w:fill="auto"/>
          </w:tcPr>
          <w:p w14:paraId="0888716E"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442</w:t>
            </w:r>
          </w:p>
        </w:tc>
        <w:tc>
          <w:tcPr>
            <w:tcW w:w="1029" w:type="dxa"/>
            <w:tcBorders>
              <w:top w:val="single" w:sz="4" w:space="0" w:color="auto"/>
              <w:bottom w:val="single" w:sz="4" w:space="0" w:color="auto"/>
            </w:tcBorders>
            <w:shd w:val="clear" w:color="auto" w:fill="auto"/>
          </w:tcPr>
          <w:p w14:paraId="75744C65"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683</w:t>
            </w:r>
          </w:p>
        </w:tc>
        <w:tc>
          <w:tcPr>
            <w:tcW w:w="1029" w:type="dxa"/>
            <w:tcBorders>
              <w:top w:val="single" w:sz="4" w:space="0" w:color="auto"/>
              <w:bottom w:val="single" w:sz="4" w:space="0" w:color="auto"/>
            </w:tcBorders>
            <w:shd w:val="clear" w:color="auto" w:fill="auto"/>
          </w:tcPr>
          <w:p w14:paraId="09A3AAD1"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913</w:t>
            </w:r>
          </w:p>
        </w:tc>
        <w:tc>
          <w:tcPr>
            <w:tcW w:w="1029" w:type="dxa"/>
            <w:tcBorders>
              <w:top w:val="single" w:sz="4" w:space="0" w:color="auto"/>
              <w:bottom w:val="single" w:sz="4" w:space="0" w:color="auto"/>
            </w:tcBorders>
            <w:shd w:val="clear" w:color="auto" w:fill="auto"/>
          </w:tcPr>
          <w:p w14:paraId="66DCCB98"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2,217</w:t>
            </w:r>
          </w:p>
        </w:tc>
      </w:tr>
    </w:tbl>
    <w:p w14:paraId="00A451A0" w14:textId="77777777" w:rsidR="003F5788" w:rsidRPr="003F5788" w:rsidRDefault="003F5788" w:rsidP="00D92B44">
      <w:pPr>
        <w:pStyle w:val="snapInitbody"/>
      </w:pPr>
      <w:r w:rsidRPr="003F5788">
        <w:t>The Government will establish an Eating Disorders Specialist Clinical Hub and a community</w:t>
      </w:r>
      <w:r w:rsidRPr="003F5788">
        <w:noBreakHyphen/>
        <w:t xml:space="preserve">based intervention support service to expand the range of eating disorder services available in the ACT and make these available to more Canberrans. </w:t>
      </w:r>
    </w:p>
    <w:p w14:paraId="3ADC23F8" w14:textId="77777777" w:rsidR="003F5788" w:rsidRPr="00202E81" w:rsidRDefault="003F5788" w:rsidP="00202E81">
      <w:pPr>
        <w:pStyle w:val="snapInittitles"/>
      </w:pPr>
      <w:r w:rsidRPr="00202E81">
        <w:t xml:space="preserve">More mental health services at The Canberra Hospital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F5788" w:rsidRPr="00866299" w14:paraId="585A9BF4" w14:textId="77777777" w:rsidTr="00D92B44">
        <w:trPr>
          <w:cantSplit/>
        </w:trPr>
        <w:tc>
          <w:tcPr>
            <w:tcW w:w="3652" w:type="dxa"/>
            <w:tcBorders>
              <w:top w:val="single" w:sz="4" w:space="0" w:color="auto"/>
              <w:bottom w:val="single" w:sz="4" w:space="0" w:color="auto"/>
            </w:tcBorders>
          </w:tcPr>
          <w:p w14:paraId="2A5CA774" w14:textId="77777777" w:rsidR="003F5788" w:rsidRPr="00866299" w:rsidRDefault="003F5788" w:rsidP="003F5788">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3F90E196"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2019-20</w:t>
            </w:r>
          </w:p>
          <w:p w14:paraId="342B062B"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71986ED1"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2020-21</w:t>
            </w:r>
          </w:p>
          <w:p w14:paraId="7FE047E6"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5A334C0C"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2021-22</w:t>
            </w:r>
          </w:p>
          <w:p w14:paraId="7CF94E2F"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03395B83"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2022-23</w:t>
            </w:r>
          </w:p>
          <w:p w14:paraId="4A785C93"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06843EC9"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Total</w:t>
            </w:r>
          </w:p>
          <w:p w14:paraId="1A696529"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$’000</w:t>
            </w:r>
          </w:p>
        </w:tc>
      </w:tr>
      <w:tr w:rsidR="003F5788" w:rsidRPr="00866299" w14:paraId="27714821" w14:textId="77777777" w:rsidTr="00D92B44">
        <w:trPr>
          <w:cantSplit/>
        </w:trPr>
        <w:tc>
          <w:tcPr>
            <w:tcW w:w="3652" w:type="dxa"/>
            <w:tcBorders>
              <w:top w:val="single" w:sz="4" w:space="0" w:color="auto"/>
            </w:tcBorders>
          </w:tcPr>
          <w:p w14:paraId="271DB31D"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tcBorders>
          </w:tcPr>
          <w:p w14:paraId="396D2059"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41" w:type="dxa"/>
            <w:tcBorders>
              <w:top w:val="single" w:sz="4" w:space="0" w:color="auto"/>
            </w:tcBorders>
          </w:tcPr>
          <w:p w14:paraId="2A7ED4BE"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488</w:t>
            </w:r>
          </w:p>
        </w:tc>
        <w:tc>
          <w:tcPr>
            <w:tcW w:w="1029" w:type="dxa"/>
            <w:tcBorders>
              <w:top w:val="single" w:sz="4" w:space="0" w:color="auto"/>
            </w:tcBorders>
          </w:tcPr>
          <w:p w14:paraId="5EB451C4"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999</w:t>
            </w:r>
          </w:p>
        </w:tc>
        <w:tc>
          <w:tcPr>
            <w:tcW w:w="1029" w:type="dxa"/>
            <w:tcBorders>
              <w:top w:val="single" w:sz="4" w:space="0" w:color="auto"/>
            </w:tcBorders>
          </w:tcPr>
          <w:p w14:paraId="46B1B6C0"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1,078</w:t>
            </w:r>
          </w:p>
        </w:tc>
        <w:tc>
          <w:tcPr>
            <w:tcW w:w="1029" w:type="dxa"/>
            <w:tcBorders>
              <w:top w:val="single" w:sz="4" w:space="0" w:color="auto"/>
            </w:tcBorders>
          </w:tcPr>
          <w:p w14:paraId="2ABCC8D4"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2,565</w:t>
            </w:r>
          </w:p>
        </w:tc>
      </w:tr>
      <w:tr w:rsidR="003F5788" w:rsidRPr="00866299" w14:paraId="07A30E11" w14:textId="77777777" w:rsidTr="00D92B44">
        <w:trPr>
          <w:cantSplit/>
        </w:trPr>
        <w:tc>
          <w:tcPr>
            <w:tcW w:w="3652" w:type="dxa"/>
          </w:tcPr>
          <w:p w14:paraId="3FE8EF08"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Associated Depreciation</w:t>
            </w:r>
          </w:p>
        </w:tc>
        <w:tc>
          <w:tcPr>
            <w:tcW w:w="1179" w:type="dxa"/>
          </w:tcPr>
          <w:p w14:paraId="6626E5F6"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41" w:type="dxa"/>
          </w:tcPr>
          <w:p w14:paraId="7D510952"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28DF91C4"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126</w:t>
            </w:r>
          </w:p>
        </w:tc>
        <w:tc>
          <w:tcPr>
            <w:tcW w:w="1029" w:type="dxa"/>
          </w:tcPr>
          <w:p w14:paraId="23E7D32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126</w:t>
            </w:r>
          </w:p>
        </w:tc>
        <w:tc>
          <w:tcPr>
            <w:tcW w:w="1029" w:type="dxa"/>
          </w:tcPr>
          <w:p w14:paraId="0F9CA643"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252</w:t>
            </w:r>
          </w:p>
        </w:tc>
      </w:tr>
      <w:tr w:rsidR="003F5788" w:rsidRPr="00866299" w14:paraId="784BE83E" w14:textId="77777777" w:rsidTr="00D92B44">
        <w:trPr>
          <w:cantSplit/>
        </w:trPr>
        <w:tc>
          <w:tcPr>
            <w:tcW w:w="3652" w:type="dxa"/>
            <w:tcBorders>
              <w:top w:val="single" w:sz="4" w:space="0" w:color="auto"/>
              <w:bottom w:val="single" w:sz="4" w:space="0" w:color="auto"/>
            </w:tcBorders>
          </w:tcPr>
          <w:p w14:paraId="155F5EB9" w14:textId="77777777" w:rsidR="003F5788" w:rsidRPr="00866299" w:rsidRDefault="003F5788" w:rsidP="003F5788">
            <w:pPr>
              <w:ind w:left="284" w:hanging="284"/>
              <w:rPr>
                <w:rFonts w:ascii="Calibri" w:hAnsi="Calibri"/>
                <w:b/>
                <w:sz w:val="22"/>
                <w:lang w:eastAsia="en-US"/>
              </w:rPr>
            </w:pPr>
            <w:r w:rsidRPr="00866299">
              <w:rPr>
                <w:rFonts w:ascii="Calibri" w:hAnsi="Calibri"/>
                <w:b/>
                <w:sz w:val="22"/>
                <w:lang w:eastAsia="en-US"/>
              </w:rPr>
              <w:t>Total Expenses</w:t>
            </w:r>
          </w:p>
        </w:tc>
        <w:tc>
          <w:tcPr>
            <w:tcW w:w="1179" w:type="dxa"/>
            <w:tcBorders>
              <w:top w:val="single" w:sz="4" w:space="0" w:color="auto"/>
              <w:bottom w:val="single" w:sz="4" w:space="0" w:color="auto"/>
            </w:tcBorders>
          </w:tcPr>
          <w:p w14:paraId="06C189B2"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41" w:type="dxa"/>
            <w:tcBorders>
              <w:top w:val="single" w:sz="4" w:space="0" w:color="auto"/>
              <w:bottom w:val="single" w:sz="4" w:space="0" w:color="auto"/>
            </w:tcBorders>
          </w:tcPr>
          <w:p w14:paraId="49CC24C4"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488</w:t>
            </w:r>
          </w:p>
        </w:tc>
        <w:tc>
          <w:tcPr>
            <w:tcW w:w="1029" w:type="dxa"/>
            <w:tcBorders>
              <w:top w:val="single" w:sz="4" w:space="0" w:color="auto"/>
              <w:bottom w:val="single" w:sz="4" w:space="0" w:color="auto"/>
            </w:tcBorders>
          </w:tcPr>
          <w:p w14:paraId="37AB4866"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1,125</w:t>
            </w:r>
          </w:p>
        </w:tc>
        <w:tc>
          <w:tcPr>
            <w:tcW w:w="1029" w:type="dxa"/>
            <w:tcBorders>
              <w:top w:val="single" w:sz="4" w:space="0" w:color="auto"/>
              <w:bottom w:val="single" w:sz="4" w:space="0" w:color="auto"/>
            </w:tcBorders>
          </w:tcPr>
          <w:p w14:paraId="410538B0"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1,204</w:t>
            </w:r>
          </w:p>
        </w:tc>
        <w:tc>
          <w:tcPr>
            <w:tcW w:w="1029" w:type="dxa"/>
            <w:tcBorders>
              <w:top w:val="single" w:sz="4" w:space="0" w:color="auto"/>
              <w:bottom w:val="single" w:sz="4" w:space="0" w:color="auto"/>
            </w:tcBorders>
          </w:tcPr>
          <w:p w14:paraId="005C844B"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2,817</w:t>
            </w:r>
          </w:p>
        </w:tc>
      </w:tr>
      <w:tr w:rsidR="003F5788" w:rsidRPr="00866299" w14:paraId="7E3837E8" w14:textId="77777777" w:rsidTr="00D92B44">
        <w:trPr>
          <w:cantSplit/>
        </w:trPr>
        <w:tc>
          <w:tcPr>
            <w:tcW w:w="3652" w:type="dxa"/>
            <w:tcBorders>
              <w:bottom w:val="single" w:sz="4" w:space="0" w:color="auto"/>
            </w:tcBorders>
          </w:tcPr>
          <w:p w14:paraId="131978CE"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 xml:space="preserve">Associated Capital </w:t>
            </w:r>
          </w:p>
        </w:tc>
        <w:tc>
          <w:tcPr>
            <w:tcW w:w="1179" w:type="dxa"/>
            <w:tcBorders>
              <w:bottom w:val="single" w:sz="4" w:space="0" w:color="auto"/>
            </w:tcBorders>
          </w:tcPr>
          <w:p w14:paraId="533C3673"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1,764</w:t>
            </w:r>
          </w:p>
        </w:tc>
        <w:tc>
          <w:tcPr>
            <w:tcW w:w="1041" w:type="dxa"/>
            <w:tcBorders>
              <w:bottom w:val="single" w:sz="4" w:space="0" w:color="auto"/>
            </w:tcBorders>
          </w:tcPr>
          <w:p w14:paraId="4801BBC9"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756</w:t>
            </w:r>
          </w:p>
        </w:tc>
        <w:tc>
          <w:tcPr>
            <w:tcW w:w="1029" w:type="dxa"/>
            <w:tcBorders>
              <w:bottom w:val="single" w:sz="4" w:space="0" w:color="auto"/>
            </w:tcBorders>
          </w:tcPr>
          <w:p w14:paraId="058DD7F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bottom w:val="single" w:sz="4" w:space="0" w:color="auto"/>
            </w:tcBorders>
          </w:tcPr>
          <w:p w14:paraId="2DA35003"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bottom w:val="single" w:sz="4" w:space="0" w:color="auto"/>
            </w:tcBorders>
          </w:tcPr>
          <w:p w14:paraId="6D4153C9"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2,520</w:t>
            </w:r>
          </w:p>
        </w:tc>
      </w:tr>
    </w:tbl>
    <w:p w14:paraId="4DC5C314" w14:textId="77777777" w:rsidR="003F5788" w:rsidRPr="003F5788" w:rsidRDefault="003F5788" w:rsidP="00D92B44">
      <w:pPr>
        <w:pStyle w:val="snapInitbody"/>
      </w:pPr>
      <w:r w:rsidRPr="003F5788">
        <w:t xml:space="preserve">The Government will establish an electroconvulsive therapy service within the Adult Mental Health Unit at The Canberra Hospital, building on the services currently offered at Calvary Hospital. This new service will provide better access on Canberra’s Southside to necessary therapy for patients experiencing mental health concerns like depression and psychosis. </w:t>
      </w:r>
    </w:p>
    <w:p w14:paraId="5B312BDB" w14:textId="77777777" w:rsidR="003F5788" w:rsidRPr="00202E81" w:rsidRDefault="003F5788" w:rsidP="00202E81">
      <w:pPr>
        <w:pStyle w:val="snapInittitles"/>
      </w:pPr>
      <w:r w:rsidRPr="00202E81">
        <w:t xml:space="preserve">Strengthening capacity for mental health carers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F5788" w:rsidRPr="00866299" w14:paraId="3CE3CDB0" w14:textId="77777777" w:rsidTr="00D92B44">
        <w:trPr>
          <w:cantSplit/>
        </w:trPr>
        <w:tc>
          <w:tcPr>
            <w:tcW w:w="3652" w:type="dxa"/>
            <w:tcBorders>
              <w:top w:val="single" w:sz="4" w:space="0" w:color="auto"/>
              <w:bottom w:val="single" w:sz="4" w:space="0" w:color="auto"/>
            </w:tcBorders>
          </w:tcPr>
          <w:p w14:paraId="086C4CA6" w14:textId="77777777" w:rsidR="003F5788" w:rsidRPr="00866299" w:rsidRDefault="003F5788" w:rsidP="003F5788">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3DC538D9"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2019-20</w:t>
            </w:r>
          </w:p>
          <w:p w14:paraId="5222ADAE"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176DC5AE"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2020-21</w:t>
            </w:r>
          </w:p>
          <w:p w14:paraId="6945530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38F94A1"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2021-22</w:t>
            </w:r>
          </w:p>
          <w:p w14:paraId="5645B0D7"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A9E0577"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2022-23</w:t>
            </w:r>
          </w:p>
          <w:p w14:paraId="2B448C82"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FCF2EBD"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Total</w:t>
            </w:r>
          </w:p>
          <w:p w14:paraId="4A410EDB"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$’000</w:t>
            </w:r>
          </w:p>
        </w:tc>
      </w:tr>
      <w:tr w:rsidR="003F5788" w:rsidRPr="00866299" w14:paraId="40584C2A" w14:textId="77777777" w:rsidTr="00D92B44">
        <w:trPr>
          <w:cantSplit/>
        </w:trPr>
        <w:tc>
          <w:tcPr>
            <w:tcW w:w="3652" w:type="dxa"/>
            <w:tcBorders>
              <w:top w:val="single" w:sz="4" w:space="0" w:color="auto"/>
              <w:bottom w:val="single" w:sz="4" w:space="0" w:color="auto"/>
            </w:tcBorders>
          </w:tcPr>
          <w:p w14:paraId="0A56A285"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tcPr>
          <w:p w14:paraId="38A58A07"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226</w:t>
            </w:r>
          </w:p>
        </w:tc>
        <w:tc>
          <w:tcPr>
            <w:tcW w:w="1041" w:type="dxa"/>
            <w:tcBorders>
              <w:top w:val="single" w:sz="4" w:space="0" w:color="auto"/>
              <w:bottom w:val="single" w:sz="4" w:space="0" w:color="auto"/>
            </w:tcBorders>
          </w:tcPr>
          <w:p w14:paraId="41AD13D9"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231</w:t>
            </w:r>
          </w:p>
        </w:tc>
        <w:tc>
          <w:tcPr>
            <w:tcW w:w="1029" w:type="dxa"/>
            <w:tcBorders>
              <w:top w:val="single" w:sz="4" w:space="0" w:color="auto"/>
              <w:bottom w:val="single" w:sz="4" w:space="0" w:color="auto"/>
            </w:tcBorders>
          </w:tcPr>
          <w:p w14:paraId="27DF357D"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3913C517"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467CE48A"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457</w:t>
            </w:r>
          </w:p>
        </w:tc>
      </w:tr>
    </w:tbl>
    <w:p w14:paraId="166EAC6B" w14:textId="77777777" w:rsidR="003F5788" w:rsidRPr="003F5788" w:rsidRDefault="003F5788" w:rsidP="00D92B44">
      <w:pPr>
        <w:pStyle w:val="snapInitbody"/>
      </w:pPr>
      <w:r w:rsidRPr="003F5788">
        <w:t xml:space="preserve">The Government will recruit two Carer Engagement Clinicians to pilot a range of support and psychosocial education activities to build capacity for the families and carers of people with mental health conditions. </w:t>
      </w:r>
    </w:p>
    <w:p w14:paraId="2ED95173" w14:textId="3B78AD82" w:rsidR="003F5788" w:rsidRPr="007A3A72" w:rsidRDefault="003F5788" w:rsidP="007A3A72">
      <w:pPr>
        <w:pStyle w:val="Heading3"/>
      </w:pPr>
      <w:r w:rsidRPr="007A3A72">
        <w:t xml:space="preserve">Strengthening </w:t>
      </w:r>
      <w:r w:rsidR="00B2594F">
        <w:t>O</w:t>
      </w:r>
      <w:r w:rsidRPr="007A3A72">
        <w:t xml:space="preserve">utpatient </w:t>
      </w:r>
      <w:r w:rsidR="00B2594F">
        <w:t>S</w:t>
      </w:r>
      <w:r w:rsidRPr="007A3A72">
        <w:t>ervices</w:t>
      </w:r>
    </w:p>
    <w:p w14:paraId="621674AE" w14:textId="77777777" w:rsidR="003F5788" w:rsidRPr="00211DD9" w:rsidRDefault="003F5788" w:rsidP="00202E81">
      <w:pPr>
        <w:pStyle w:val="snapInittitles"/>
      </w:pPr>
      <w:r w:rsidRPr="00211DD9">
        <w:t xml:space="preserve">Expanding public dermatology services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F5788" w:rsidRPr="00866299" w14:paraId="3E1A7AA9" w14:textId="77777777" w:rsidTr="00D92B44">
        <w:trPr>
          <w:cantSplit/>
        </w:trPr>
        <w:tc>
          <w:tcPr>
            <w:tcW w:w="3652" w:type="dxa"/>
            <w:tcBorders>
              <w:top w:val="single" w:sz="4" w:space="0" w:color="auto"/>
              <w:bottom w:val="single" w:sz="4" w:space="0" w:color="auto"/>
            </w:tcBorders>
          </w:tcPr>
          <w:p w14:paraId="12871121" w14:textId="77777777" w:rsidR="003F5788" w:rsidRPr="00866299" w:rsidRDefault="003F5788" w:rsidP="003F5788">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62A8D143"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2019-20</w:t>
            </w:r>
          </w:p>
          <w:p w14:paraId="0170F2F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6526090E"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2020-21</w:t>
            </w:r>
          </w:p>
          <w:p w14:paraId="7F364CAD"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1289869"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2021-22</w:t>
            </w:r>
          </w:p>
          <w:p w14:paraId="6D6BCEE1"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5BEC8CA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2022-23</w:t>
            </w:r>
          </w:p>
          <w:p w14:paraId="1CDD4A93"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082A3B2"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Total</w:t>
            </w:r>
          </w:p>
          <w:p w14:paraId="5ECEC9A4"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$’000</w:t>
            </w:r>
          </w:p>
        </w:tc>
      </w:tr>
      <w:tr w:rsidR="003F5788" w:rsidRPr="00866299" w14:paraId="2985ED06" w14:textId="77777777" w:rsidTr="00D92B44">
        <w:trPr>
          <w:cantSplit/>
        </w:trPr>
        <w:tc>
          <w:tcPr>
            <w:tcW w:w="3652" w:type="dxa"/>
            <w:tcBorders>
              <w:top w:val="single" w:sz="4" w:space="0" w:color="auto"/>
              <w:bottom w:val="single" w:sz="4" w:space="0" w:color="auto"/>
            </w:tcBorders>
          </w:tcPr>
          <w:p w14:paraId="18E07652"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tcPr>
          <w:p w14:paraId="7627E1DB"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175</w:t>
            </w:r>
          </w:p>
        </w:tc>
        <w:tc>
          <w:tcPr>
            <w:tcW w:w="1041" w:type="dxa"/>
            <w:tcBorders>
              <w:top w:val="single" w:sz="4" w:space="0" w:color="auto"/>
              <w:bottom w:val="single" w:sz="4" w:space="0" w:color="auto"/>
            </w:tcBorders>
          </w:tcPr>
          <w:p w14:paraId="731085FE"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180</w:t>
            </w:r>
          </w:p>
        </w:tc>
        <w:tc>
          <w:tcPr>
            <w:tcW w:w="1029" w:type="dxa"/>
            <w:tcBorders>
              <w:top w:val="single" w:sz="4" w:space="0" w:color="auto"/>
              <w:bottom w:val="single" w:sz="4" w:space="0" w:color="auto"/>
            </w:tcBorders>
          </w:tcPr>
          <w:p w14:paraId="5BF14FCB"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185</w:t>
            </w:r>
          </w:p>
        </w:tc>
        <w:tc>
          <w:tcPr>
            <w:tcW w:w="1029" w:type="dxa"/>
            <w:tcBorders>
              <w:top w:val="single" w:sz="4" w:space="0" w:color="auto"/>
              <w:bottom w:val="single" w:sz="4" w:space="0" w:color="auto"/>
            </w:tcBorders>
          </w:tcPr>
          <w:p w14:paraId="538EF596"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188</w:t>
            </w:r>
          </w:p>
        </w:tc>
        <w:tc>
          <w:tcPr>
            <w:tcW w:w="1029" w:type="dxa"/>
            <w:tcBorders>
              <w:top w:val="single" w:sz="4" w:space="0" w:color="auto"/>
              <w:bottom w:val="single" w:sz="4" w:space="0" w:color="auto"/>
            </w:tcBorders>
          </w:tcPr>
          <w:p w14:paraId="2E706957"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728</w:t>
            </w:r>
          </w:p>
        </w:tc>
      </w:tr>
    </w:tbl>
    <w:p w14:paraId="11E2BE6C" w14:textId="77777777" w:rsidR="003F5788" w:rsidRPr="003F5788" w:rsidRDefault="003F5788" w:rsidP="00D92B44">
      <w:pPr>
        <w:pStyle w:val="snapInitbody"/>
      </w:pPr>
      <w:r w:rsidRPr="003F5788">
        <w:t>The Government will increase the capacity of dermatology services at The Canberra Hospital, to help respond to growing demand and ensure patients can receive more timely care.</w:t>
      </w:r>
    </w:p>
    <w:p w14:paraId="42AFF466" w14:textId="77777777" w:rsidR="003F5788" w:rsidRPr="00202E81" w:rsidRDefault="003F5788" w:rsidP="00202E81">
      <w:pPr>
        <w:pStyle w:val="snapInittitles"/>
      </w:pPr>
      <w:r w:rsidRPr="00202E81">
        <w:t xml:space="preserve">Expanding public Fracture Clinic services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F5788" w:rsidRPr="00866299" w14:paraId="14426573" w14:textId="77777777" w:rsidTr="00D92B44">
        <w:trPr>
          <w:cantSplit/>
        </w:trPr>
        <w:tc>
          <w:tcPr>
            <w:tcW w:w="3652" w:type="dxa"/>
            <w:tcBorders>
              <w:top w:val="single" w:sz="4" w:space="0" w:color="auto"/>
              <w:bottom w:val="single" w:sz="4" w:space="0" w:color="auto"/>
            </w:tcBorders>
          </w:tcPr>
          <w:p w14:paraId="733FCB9D" w14:textId="77777777" w:rsidR="003F5788" w:rsidRPr="00866299" w:rsidRDefault="003F5788" w:rsidP="003F5788">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717328B7"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2019-20</w:t>
            </w:r>
          </w:p>
          <w:p w14:paraId="69EDD6DC"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6458A2C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2020-21</w:t>
            </w:r>
          </w:p>
          <w:p w14:paraId="376A1CA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CDA7434"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2021-22</w:t>
            </w:r>
          </w:p>
          <w:p w14:paraId="63A8F5E9"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3EED1C5"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2022-23</w:t>
            </w:r>
          </w:p>
          <w:p w14:paraId="5BF26282"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CB9FD4C"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Total</w:t>
            </w:r>
          </w:p>
          <w:p w14:paraId="06375848"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$’000</w:t>
            </w:r>
          </w:p>
        </w:tc>
      </w:tr>
      <w:tr w:rsidR="003F5788" w:rsidRPr="00866299" w14:paraId="61BD5458" w14:textId="77777777" w:rsidTr="00D92B44">
        <w:trPr>
          <w:cantSplit/>
        </w:trPr>
        <w:tc>
          <w:tcPr>
            <w:tcW w:w="3652" w:type="dxa"/>
            <w:tcBorders>
              <w:top w:val="single" w:sz="4" w:space="0" w:color="auto"/>
              <w:bottom w:val="single" w:sz="4" w:space="0" w:color="auto"/>
            </w:tcBorders>
          </w:tcPr>
          <w:p w14:paraId="523AB575"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tcPr>
          <w:p w14:paraId="31502AB0"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556</w:t>
            </w:r>
          </w:p>
        </w:tc>
        <w:tc>
          <w:tcPr>
            <w:tcW w:w="1041" w:type="dxa"/>
            <w:tcBorders>
              <w:top w:val="single" w:sz="4" w:space="0" w:color="auto"/>
              <w:bottom w:val="single" w:sz="4" w:space="0" w:color="auto"/>
            </w:tcBorders>
          </w:tcPr>
          <w:p w14:paraId="6B826BF7"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1,139</w:t>
            </w:r>
          </w:p>
        </w:tc>
        <w:tc>
          <w:tcPr>
            <w:tcW w:w="1029" w:type="dxa"/>
            <w:tcBorders>
              <w:top w:val="single" w:sz="4" w:space="0" w:color="auto"/>
              <w:bottom w:val="single" w:sz="4" w:space="0" w:color="auto"/>
            </w:tcBorders>
          </w:tcPr>
          <w:p w14:paraId="0574CE42"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1,167</w:t>
            </w:r>
          </w:p>
        </w:tc>
        <w:tc>
          <w:tcPr>
            <w:tcW w:w="1029" w:type="dxa"/>
            <w:tcBorders>
              <w:top w:val="single" w:sz="4" w:space="0" w:color="auto"/>
              <w:bottom w:val="single" w:sz="4" w:space="0" w:color="auto"/>
            </w:tcBorders>
          </w:tcPr>
          <w:p w14:paraId="6D196043"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1,197</w:t>
            </w:r>
          </w:p>
        </w:tc>
        <w:tc>
          <w:tcPr>
            <w:tcW w:w="1029" w:type="dxa"/>
            <w:tcBorders>
              <w:top w:val="single" w:sz="4" w:space="0" w:color="auto"/>
              <w:bottom w:val="single" w:sz="4" w:space="0" w:color="auto"/>
            </w:tcBorders>
          </w:tcPr>
          <w:p w14:paraId="018EE394"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4,059</w:t>
            </w:r>
          </w:p>
        </w:tc>
      </w:tr>
    </w:tbl>
    <w:p w14:paraId="37599AEC" w14:textId="77777777" w:rsidR="003F5788" w:rsidRPr="003F5788" w:rsidRDefault="003F5788" w:rsidP="00D92B44">
      <w:pPr>
        <w:pStyle w:val="snapInitbody"/>
      </w:pPr>
      <w:r w:rsidRPr="003F5788">
        <w:t xml:space="preserve">The Government will increase staffing for the Fracture Clinic at The Canberra Hospital to help reduce waiting times and respond to increased demand. </w:t>
      </w:r>
    </w:p>
    <w:p w14:paraId="039924B5" w14:textId="77777777" w:rsidR="003F5788" w:rsidRPr="00202E81" w:rsidRDefault="003F5788" w:rsidP="00202E81">
      <w:pPr>
        <w:pStyle w:val="snapInittitles"/>
      </w:pPr>
      <w:r w:rsidRPr="00202E81">
        <w:t xml:space="preserve">Expanding public ophthalmology services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F5788" w:rsidRPr="00866299" w14:paraId="4EA5CDCD" w14:textId="77777777" w:rsidTr="00D92B44">
        <w:trPr>
          <w:cantSplit/>
        </w:trPr>
        <w:tc>
          <w:tcPr>
            <w:tcW w:w="3652" w:type="dxa"/>
            <w:tcBorders>
              <w:top w:val="single" w:sz="4" w:space="0" w:color="auto"/>
              <w:bottom w:val="single" w:sz="4" w:space="0" w:color="auto"/>
            </w:tcBorders>
          </w:tcPr>
          <w:p w14:paraId="2521E67B" w14:textId="77777777" w:rsidR="003F5788" w:rsidRPr="00866299" w:rsidRDefault="003F5788" w:rsidP="003F5788">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2093D567"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2019-20</w:t>
            </w:r>
          </w:p>
          <w:p w14:paraId="626E864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4522B5B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2020-21</w:t>
            </w:r>
          </w:p>
          <w:p w14:paraId="5FA2692D"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4A9BD8F"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2021-22</w:t>
            </w:r>
          </w:p>
          <w:p w14:paraId="2EDA0B77"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DF69916"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2022-23</w:t>
            </w:r>
          </w:p>
          <w:p w14:paraId="785BDE6B"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770B1C5"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Total</w:t>
            </w:r>
          </w:p>
          <w:p w14:paraId="3960B8FE"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$’000</w:t>
            </w:r>
          </w:p>
        </w:tc>
      </w:tr>
      <w:tr w:rsidR="003F5788" w:rsidRPr="00866299" w14:paraId="657D6CC9" w14:textId="77777777" w:rsidTr="00D92B44">
        <w:trPr>
          <w:cantSplit/>
        </w:trPr>
        <w:tc>
          <w:tcPr>
            <w:tcW w:w="3652" w:type="dxa"/>
            <w:tcBorders>
              <w:top w:val="single" w:sz="4" w:space="0" w:color="auto"/>
              <w:bottom w:val="single" w:sz="4" w:space="0" w:color="auto"/>
            </w:tcBorders>
          </w:tcPr>
          <w:p w14:paraId="49D51008"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tcPr>
          <w:p w14:paraId="0DD4E597"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250</w:t>
            </w:r>
          </w:p>
        </w:tc>
        <w:tc>
          <w:tcPr>
            <w:tcW w:w="1041" w:type="dxa"/>
            <w:tcBorders>
              <w:top w:val="single" w:sz="4" w:space="0" w:color="auto"/>
              <w:bottom w:val="single" w:sz="4" w:space="0" w:color="auto"/>
            </w:tcBorders>
          </w:tcPr>
          <w:p w14:paraId="3B788DCC"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1AE4B0F1"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5264BB42"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7D70A52B"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250</w:t>
            </w:r>
          </w:p>
        </w:tc>
      </w:tr>
    </w:tbl>
    <w:p w14:paraId="17C35920" w14:textId="77777777" w:rsidR="003F5788" w:rsidRPr="003F5788" w:rsidRDefault="003F5788" w:rsidP="00D92B44">
      <w:pPr>
        <w:pStyle w:val="snapInitbody"/>
      </w:pPr>
      <w:r w:rsidRPr="003F5788">
        <w:t xml:space="preserve">The Government will undertake a feasibility study for the relocation of the Canberra Health Services Eye Clinic. The study will seek to identify a suitable and accessible location to meet the future expansion needs of this public outpatient service. </w:t>
      </w:r>
    </w:p>
    <w:p w14:paraId="3C3EEF00" w14:textId="77777777" w:rsidR="003F5788" w:rsidRPr="00202E81" w:rsidRDefault="003F5788" w:rsidP="00202E81">
      <w:pPr>
        <w:pStyle w:val="snapInittitles"/>
      </w:pPr>
      <w:r w:rsidRPr="00202E81">
        <w:t xml:space="preserve">More specialised women’s health care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F5788" w:rsidRPr="00866299" w14:paraId="380BF676" w14:textId="77777777" w:rsidTr="00D92B44">
        <w:trPr>
          <w:cantSplit/>
        </w:trPr>
        <w:tc>
          <w:tcPr>
            <w:tcW w:w="3652" w:type="dxa"/>
            <w:tcBorders>
              <w:top w:val="single" w:sz="4" w:space="0" w:color="auto"/>
              <w:bottom w:val="single" w:sz="4" w:space="0" w:color="auto"/>
            </w:tcBorders>
          </w:tcPr>
          <w:p w14:paraId="5563ACB0" w14:textId="77777777" w:rsidR="003F5788" w:rsidRPr="00866299" w:rsidRDefault="003F5788" w:rsidP="003F5788">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6BE4C609"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2019-20</w:t>
            </w:r>
          </w:p>
          <w:p w14:paraId="428E28E7"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62C3F378"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2020-21</w:t>
            </w:r>
          </w:p>
          <w:p w14:paraId="12601C5C"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0C2CC021"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2021-22</w:t>
            </w:r>
          </w:p>
          <w:p w14:paraId="2BD36923"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8753190"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2022-23</w:t>
            </w:r>
          </w:p>
          <w:p w14:paraId="72FB56F2"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F4388DC"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Total</w:t>
            </w:r>
          </w:p>
          <w:p w14:paraId="4CE63F01"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$’000</w:t>
            </w:r>
          </w:p>
        </w:tc>
      </w:tr>
      <w:tr w:rsidR="003F5788" w:rsidRPr="00866299" w14:paraId="66C375E8" w14:textId="77777777" w:rsidTr="00D92B44">
        <w:trPr>
          <w:cantSplit/>
        </w:trPr>
        <w:tc>
          <w:tcPr>
            <w:tcW w:w="3652" w:type="dxa"/>
            <w:tcBorders>
              <w:top w:val="single" w:sz="4" w:space="0" w:color="auto"/>
              <w:bottom w:val="single" w:sz="4" w:space="0" w:color="auto"/>
            </w:tcBorders>
          </w:tcPr>
          <w:p w14:paraId="3DFAD253"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tcPr>
          <w:p w14:paraId="5A63A29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114</w:t>
            </w:r>
          </w:p>
        </w:tc>
        <w:tc>
          <w:tcPr>
            <w:tcW w:w="1041" w:type="dxa"/>
            <w:tcBorders>
              <w:top w:val="single" w:sz="4" w:space="0" w:color="auto"/>
              <w:bottom w:val="single" w:sz="4" w:space="0" w:color="auto"/>
            </w:tcBorders>
          </w:tcPr>
          <w:p w14:paraId="3B61CFB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214</w:t>
            </w:r>
          </w:p>
        </w:tc>
        <w:tc>
          <w:tcPr>
            <w:tcW w:w="1029" w:type="dxa"/>
            <w:tcBorders>
              <w:top w:val="single" w:sz="4" w:space="0" w:color="auto"/>
              <w:bottom w:val="single" w:sz="4" w:space="0" w:color="auto"/>
            </w:tcBorders>
          </w:tcPr>
          <w:p w14:paraId="326AEDFC"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220</w:t>
            </w:r>
          </w:p>
        </w:tc>
        <w:tc>
          <w:tcPr>
            <w:tcW w:w="1029" w:type="dxa"/>
            <w:tcBorders>
              <w:top w:val="single" w:sz="4" w:space="0" w:color="auto"/>
              <w:bottom w:val="single" w:sz="4" w:space="0" w:color="auto"/>
            </w:tcBorders>
          </w:tcPr>
          <w:p w14:paraId="4B38A71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223</w:t>
            </w:r>
          </w:p>
        </w:tc>
        <w:tc>
          <w:tcPr>
            <w:tcW w:w="1029" w:type="dxa"/>
            <w:tcBorders>
              <w:top w:val="single" w:sz="4" w:space="0" w:color="auto"/>
              <w:bottom w:val="single" w:sz="4" w:space="0" w:color="auto"/>
            </w:tcBorders>
          </w:tcPr>
          <w:p w14:paraId="576F6005"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771</w:t>
            </w:r>
          </w:p>
        </w:tc>
      </w:tr>
    </w:tbl>
    <w:p w14:paraId="738F3A2B" w14:textId="77777777" w:rsidR="003F5788" w:rsidRPr="003F5788" w:rsidRDefault="003F5788" w:rsidP="00D92B44">
      <w:pPr>
        <w:pStyle w:val="snapInitbody"/>
      </w:pPr>
      <w:r w:rsidRPr="003F5788">
        <w:t>The Government will establish a dedicated multidisciplinary Transvaginal Mesh Service. This service will provide ongoing support and clinical care for women affected by transvaginal mesh procedures, strengthening sensitive and specialist care for women’s health matters.</w:t>
      </w:r>
    </w:p>
    <w:p w14:paraId="0F9A31D2" w14:textId="77777777" w:rsidR="003F5788" w:rsidRPr="00202E81" w:rsidRDefault="003F5788" w:rsidP="00202E81">
      <w:pPr>
        <w:pStyle w:val="snapInittitles"/>
      </w:pPr>
      <w:r w:rsidRPr="00202E81">
        <w:t xml:space="preserve">Strengthening care for childhood and gestational diabetes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F5788" w:rsidRPr="00866299" w14:paraId="06E5743A" w14:textId="77777777" w:rsidTr="00D92B44">
        <w:trPr>
          <w:cantSplit/>
        </w:trPr>
        <w:tc>
          <w:tcPr>
            <w:tcW w:w="3652" w:type="dxa"/>
            <w:tcBorders>
              <w:top w:val="single" w:sz="4" w:space="0" w:color="auto"/>
              <w:bottom w:val="single" w:sz="4" w:space="0" w:color="auto"/>
            </w:tcBorders>
          </w:tcPr>
          <w:p w14:paraId="29760847" w14:textId="77777777" w:rsidR="003F5788" w:rsidRPr="00866299" w:rsidRDefault="003F5788" w:rsidP="003F5788">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30284E1B"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2019-20</w:t>
            </w:r>
          </w:p>
          <w:p w14:paraId="15493222"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34151167"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2020-21</w:t>
            </w:r>
          </w:p>
          <w:p w14:paraId="27496819"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62B4C17"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2021-22</w:t>
            </w:r>
          </w:p>
          <w:p w14:paraId="0612F35D"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00EE492"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2022-23</w:t>
            </w:r>
          </w:p>
          <w:p w14:paraId="766367D6"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5E9382CA"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Total</w:t>
            </w:r>
          </w:p>
          <w:p w14:paraId="5C0D5792"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$’000</w:t>
            </w:r>
          </w:p>
        </w:tc>
      </w:tr>
      <w:tr w:rsidR="003F5788" w:rsidRPr="00866299" w14:paraId="6CD989EC" w14:textId="77777777" w:rsidTr="00D92B44">
        <w:trPr>
          <w:cantSplit/>
        </w:trPr>
        <w:tc>
          <w:tcPr>
            <w:tcW w:w="3652" w:type="dxa"/>
            <w:tcBorders>
              <w:top w:val="single" w:sz="4" w:space="0" w:color="auto"/>
              <w:bottom w:val="single" w:sz="4" w:space="0" w:color="auto"/>
            </w:tcBorders>
          </w:tcPr>
          <w:p w14:paraId="2BA89609"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tcPr>
          <w:p w14:paraId="7D909D40"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567</w:t>
            </w:r>
          </w:p>
        </w:tc>
        <w:tc>
          <w:tcPr>
            <w:tcW w:w="1041" w:type="dxa"/>
            <w:tcBorders>
              <w:top w:val="single" w:sz="4" w:space="0" w:color="auto"/>
              <w:bottom w:val="single" w:sz="4" w:space="0" w:color="auto"/>
            </w:tcBorders>
          </w:tcPr>
          <w:p w14:paraId="2FED931E"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765</w:t>
            </w:r>
          </w:p>
        </w:tc>
        <w:tc>
          <w:tcPr>
            <w:tcW w:w="1029" w:type="dxa"/>
            <w:tcBorders>
              <w:top w:val="single" w:sz="4" w:space="0" w:color="auto"/>
              <w:bottom w:val="single" w:sz="4" w:space="0" w:color="auto"/>
            </w:tcBorders>
          </w:tcPr>
          <w:p w14:paraId="4831AAE8"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784</w:t>
            </w:r>
          </w:p>
        </w:tc>
        <w:tc>
          <w:tcPr>
            <w:tcW w:w="1029" w:type="dxa"/>
            <w:tcBorders>
              <w:top w:val="single" w:sz="4" w:space="0" w:color="auto"/>
              <w:bottom w:val="single" w:sz="4" w:space="0" w:color="auto"/>
            </w:tcBorders>
          </w:tcPr>
          <w:p w14:paraId="34766B49"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796</w:t>
            </w:r>
          </w:p>
        </w:tc>
        <w:tc>
          <w:tcPr>
            <w:tcW w:w="1029" w:type="dxa"/>
            <w:tcBorders>
              <w:top w:val="single" w:sz="4" w:space="0" w:color="auto"/>
              <w:bottom w:val="single" w:sz="4" w:space="0" w:color="auto"/>
            </w:tcBorders>
          </w:tcPr>
          <w:p w14:paraId="3DFEA3AA"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2,912</w:t>
            </w:r>
          </w:p>
        </w:tc>
      </w:tr>
    </w:tbl>
    <w:p w14:paraId="708D026A" w14:textId="77777777" w:rsidR="003F5788" w:rsidRPr="003F5788" w:rsidRDefault="003F5788" w:rsidP="00D92B44">
      <w:pPr>
        <w:pStyle w:val="snapInitbody"/>
      </w:pPr>
      <w:r w:rsidRPr="003F5788">
        <w:t xml:space="preserve">The Government will expand the capacity of childhood and gestational diabetes services at The Canberra Hospital to provide faster access to care and support for people with this chronic illness. </w:t>
      </w:r>
    </w:p>
    <w:p w14:paraId="678D1E53" w14:textId="77777777" w:rsidR="006A2A5B" w:rsidRDefault="006A2A5B">
      <w:pPr>
        <w:rPr>
          <w:rFonts w:ascii="Calibri" w:hAnsi="Calibri"/>
          <w:b/>
          <w:bCs/>
          <w:sz w:val="26"/>
          <w:szCs w:val="26"/>
          <w:lang w:val="x-none" w:eastAsia="en-US"/>
        </w:rPr>
      </w:pPr>
      <w:r>
        <w:br w:type="page"/>
      </w:r>
    </w:p>
    <w:p w14:paraId="6CA29B0F" w14:textId="1720FCC0" w:rsidR="003F5788" w:rsidRPr="00202E81" w:rsidRDefault="003F5788" w:rsidP="00202E81">
      <w:pPr>
        <w:pStyle w:val="snapInittitles"/>
      </w:pPr>
      <w:r w:rsidRPr="00202E81">
        <w:t xml:space="preserve">Strengthening care for chronic disease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F5788" w:rsidRPr="00866299" w14:paraId="05DD93DE" w14:textId="77777777" w:rsidTr="00D92B44">
        <w:trPr>
          <w:cantSplit/>
        </w:trPr>
        <w:tc>
          <w:tcPr>
            <w:tcW w:w="3652" w:type="dxa"/>
            <w:tcBorders>
              <w:top w:val="single" w:sz="4" w:space="0" w:color="auto"/>
              <w:bottom w:val="single" w:sz="4" w:space="0" w:color="auto"/>
            </w:tcBorders>
          </w:tcPr>
          <w:p w14:paraId="352386B6" w14:textId="77777777" w:rsidR="003F5788" w:rsidRPr="00866299" w:rsidRDefault="003F5788" w:rsidP="003F5788">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2EF3BC20"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2019-20</w:t>
            </w:r>
          </w:p>
          <w:p w14:paraId="5784E074"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1FA3B143"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2020-21</w:t>
            </w:r>
          </w:p>
          <w:p w14:paraId="65D41920"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14D4CCE6"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2021-22</w:t>
            </w:r>
          </w:p>
          <w:p w14:paraId="42C55917"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7F7906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2022-23</w:t>
            </w:r>
          </w:p>
          <w:p w14:paraId="5F6BE9CE"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9F55F9F"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Total</w:t>
            </w:r>
          </w:p>
          <w:p w14:paraId="65624428"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$’000</w:t>
            </w:r>
          </w:p>
        </w:tc>
      </w:tr>
      <w:tr w:rsidR="003F5788" w:rsidRPr="00866299" w14:paraId="5A53F866" w14:textId="77777777" w:rsidTr="00D92B44">
        <w:trPr>
          <w:cantSplit/>
        </w:trPr>
        <w:tc>
          <w:tcPr>
            <w:tcW w:w="3652" w:type="dxa"/>
            <w:tcBorders>
              <w:top w:val="single" w:sz="4" w:space="0" w:color="auto"/>
              <w:bottom w:val="single" w:sz="4" w:space="0" w:color="auto"/>
            </w:tcBorders>
          </w:tcPr>
          <w:p w14:paraId="207E5D41"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tcPr>
          <w:p w14:paraId="2ACC4388"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240</w:t>
            </w:r>
          </w:p>
        </w:tc>
        <w:tc>
          <w:tcPr>
            <w:tcW w:w="1041" w:type="dxa"/>
            <w:tcBorders>
              <w:top w:val="single" w:sz="4" w:space="0" w:color="auto"/>
              <w:bottom w:val="single" w:sz="4" w:space="0" w:color="auto"/>
            </w:tcBorders>
          </w:tcPr>
          <w:p w14:paraId="794785BB"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462</w:t>
            </w:r>
          </w:p>
        </w:tc>
        <w:tc>
          <w:tcPr>
            <w:tcW w:w="1029" w:type="dxa"/>
            <w:tcBorders>
              <w:top w:val="single" w:sz="4" w:space="0" w:color="auto"/>
              <w:bottom w:val="single" w:sz="4" w:space="0" w:color="auto"/>
            </w:tcBorders>
          </w:tcPr>
          <w:p w14:paraId="47E24228"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474</w:t>
            </w:r>
          </w:p>
        </w:tc>
        <w:tc>
          <w:tcPr>
            <w:tcW w:w="1029" w:type="dxa"/>
            <w:tcBorders>
              <w:top w:val="single" w:sz="4" w:space="0" w:color="auto"/>
              <w:bottom w:val="single" w:sz="4" w:space="0" w:color="auto"/>
            </w:tcBorders>
          </w:tcPr>
          <w:p w14:paraId="4E10CFAC"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481</w:t>
            </w:r>
          </w:p>
        </w:tc>
        <w:tc>
          <w:tcPr>
            <w:tcW w:w="1029" w:type="dxa"/>
            <w:tcBorders>
              <w:top w:val="single" w:sz="4" w:space="0" w:color="auto"/>
              <w:bottom w:val="single" w:sz="4" w:space="0" w:color="auto"/>
            </w:tcBorders>
          </w:tcPr>
          <w:p w14:paraId="75FBDCD6"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1,657</w:t>
            </w:r>
          </w:p>
        </w:tc>
      </w:tr>
    </w:tbl>
    <w:p w14:paraId="626D483B" w14:textId="77777777" w:rsidR="003F5788" w:rsidRPr="003F5788" w:rsidRDefault="003F5788" w:rsidP="00D92B44">
      <w:pPr>
        <w:pStyle w:val="snapInitbody"/>
      </w:pPr>
      <w:r w:rsidRPr="003F5788">
        <w:t xml:space="preserve">The Government will increase the capacity of rheumatology services at The Canberra Hospital. This will help meet demand and reduce waiting times, as well as providing alternative care pathways to prevent avoidable Emergency Department presentations. </w:t>
      </w:r>
    </w:p>
    <w:p w14:paraId="1578DDD9" w14:textId="00A35905" w:rsidR="003F5788" w:rsidRPr="007A3A72" w:rsidRDefault="003F5788" w:rsidP="007A3A72">
      <w:pPr>
        <w:pStyle w:val="Heading3"/>
      </w:pPr>
      <w:r w:rsidRPr="007A3A72">
        <w:t>Supporting Aboriginal and</w:t>
      </w:r>
      <w:r w:rsidR="00B2594F">
        <w:t>/or</w:t>
      </w:r>
      <w:r w:rsidRPr="007A3A72">
        <w:t xml:space="preserve"> Torres Strait Islander Canberrans</w:t>
      </w:r>
    </w:p>
    <w:p w14:paraId="58E37C36" w14:textId="77777777" w:rsidR="003F5788" w:rsidRPr="00202E81" w:rsidRDefault="003F5788" w:rsidP="00202E81">
      <w:pPr>
        <w:pStyle w:val="snapInittitles"/>
      </w:pPr>
      <w:r w:rsidRPr="00202E81">
        <w:t xml:space="preserve">Co-design and planning: Aboriginal and Torres Strait Islander Alcohol and Drug Residential Rehabilitation Facility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F5788" w:rsidRPr="00866299" w14:paraId="7FF9ACEA" w14:textId="77777777" w:rsidTr="00507DA8">
        <w:trPr>
          <w:cantSplit/>
        </w:trPr>
        <w:tc>
          <w:tcPr>
            <w:tcW w:w="3652" w:type="dxa"/>
            <w:tcBorders>
              <w:top w:val="single" w:sz="4" w:space="0" w:color="auto"/>
              <w:bottom w:val="single" w:sz="4" w:space="0" w:color="auto"/>
            </w:tcBorders>
          </w:tcPr>
          <w:p w14:paraId="2A210E2B" w14:textId="77777777" w:rsidR="003F5788" w:rsidRPr="00866299" w:rsidRDefault="003F5788" w:rsidP="003F5788">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51294656"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2019-20</w:t>
            </w:r>
          </w:p>
          <w:p w14:paraId="377C2C5B"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31BE741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2020-21</w:t>
            </w:r>
          </w:p>
          <w:p w14:paraId="7278E980"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3A2CE76"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2021-22</w:t>
            </w:r>
          </w:p>
          <w:p w14:paraId="37D73B31"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570694B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2022-23</w:t>
            </w:r>
          </w:p>
          <w:p w14:paraId="328479D0"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1F41FD07"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Total</w:t>
            </w:r>
          </w:p>
          <w:p w14:paraId="4194AE90"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$’000</w:t>
            </w:r>
          </w:p>
        </w:tc>
      </w:tr>
      <w:tr w:rsidR="003F5788" w:rsidRPr="00866299" w14:paraId="4E4ADFAF" w14:textId="77777777" w:rsidTr="00507DA8">
        <w:trPr>
          <w:cantSplit/>
        </w:trPr>
        <w:tc>
          <w:tcPr>
            <w:tcW w:w="3652" w:type="dxa"/>
            <w:tcBorders>
              <w:top w:val="single" w:sz="4" w:space="0" w:color="auto"/>
              <w:bottom w:val="single" w:sz="4" w:space="0" w:color="auto"/>
            </w:tcBorders>
          </w:tcPr>
          <w:p w14:paraId="286B8EB6"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tcPr>
          <w:p w14:paraId="414E9FC7"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300</w:t>
            </w:r>
          </w:p>
        </w:tc>
        <w:tc>
          <w:tcPr>
            <w:tcW w:w="1041" w:type="dxa"/>
            <w:tcBorders>
              <w:top w:val="single" w:sz="4" w:space="0" w:color="auto"/>
              <w:bottom w:val="single" w:sz="4" w:space="0" w:color="auto"/>
            </w:tcBorders>
          </w:tcPr>
          <w:p w14:paraId="00546FF6"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4257DB9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3F90755E"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23F377E2"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300</w:t>
            </w:r>
          </w:p>
        </w:tc>
      </w:tr>
    </w:tbl>
    <w:p w14:paraId="29741A76" w14:textId="77777777" w:rsidR="003F5788" w:rsidRPr="003F5788" w:rsidRDefault="003F5788" w:rsidP="00B11693">
      <w:pPr>
        <w:pStyle w:val="snapInitbody"/>
      </w:pPr>
      <w:r w:rsidRPr="003F5788">
        <w:t xml:space="preserve">The Government will partner with the Aboriginal and Torres Strait Islander community to inform the development of a culturally appropriate residential service supporting drug and alcohol rehabilitation for Aboriginal and Torres Strait Islander people in the ACT to complement existing services, including the Ngunnawal Bush Healing Farm. </w:t>
      </w:r>
    </w:p>
    <w:p w14:paraId="6627EB32" w14:textId="77777777" w:rsidR="003F5788" w:rsidRPr="00202E81" w:rsidRDefault="003F5788" w:rsidP="00202E81">
      <w:pPr>
        <w:pStyle w:val="snapInittitles"/>
      </w:pPr>
      <w:r w:rsidRPr="00202E81">
        <w:t xml:space="preserve">Delivering the ACT Strategic Priorities for Aboriginal and Torres Strait Islander Health 2019-2028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F5788" w:rsidRPr="00866299" w14:paraId="38EDADC0" w14:textId="77777777" w:rsidTr="00B11693">
        <w:trPr>
          <w:cantSplit/>
        </w:trPr>
        <w:tc>
          <w:tcPr>
            <w:tcW w:w="3652" w:type="dxa"/>
            <w:tcBorders>
              <w:top w:val="single" w:sz="4" w:space="0" w:color="auto"/>
              <w:bottom w:val="single" w:sz="4" w:space="0" w:color="auto"/>
            </w:tcBorders>
          </w:tcPr>
          <w:p w14:paraId="2476BE33" w14:textId="77777777" w:rsidR="003F5788" w:rsidRPr="00866299" w:rsidRDefault="003F5788" w:rsidP="003F5788">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7A6B669E"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2019-20</w:t>
            </w:r>
          </w:p>
          <w:p w14:paraId="054CAF2B"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69E8AA28"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2020-21</w:t>
            </w:r>
          </w:p>
          <w:p w14:paraId="1DD4C0D0"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05F59DD8"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2021-22</w:t>
            </w:r>
          </w:p>
          <w:p w14:paraId="3AB51660"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50282F79"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2022-23</w:t>
            </w:r>
          </w:p>
          <w:p w14:paraId="30B2238D"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3D0AB5F5"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Total</w:t>
            </w:r>
          </w:p>
          <w:p w14:paraId="5EF35AC2"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$’000</w:t>
            </w:r>
          </w:p>
        </w:tc>
      </w:tr>
      <w:tr w:rsidR="003F5788" w:rsidRPr="00866299" w14:paraId="61664F48" w14:textId="77777777" w:rsidTr="00B11693">
        <w:trPr>
          <w:cantSplit/>
        </w:trPr>
        <w:tc>
          <w:tcPr>
            <w:tcW w:w="3652" w:type="dxa"/>
            <w:tcBorders>
              <w:top w:val="single" w:sz="4" w:space="0" w:color="auto"/>
              <w:bottom w:val="single" w:sz="4" w:space="0" w:color="auto"/>
            </w:tcBorders>
          </w:tcPr>
          <w:p w14:paraId="112F8076"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tcPr>
          <w:p w14:paraId="665FDCF2"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180</w:t>
            </w:r>
          </w:p>
        </w:tc>
        <w:tc>
          <w:tcPr>
            <w:tcW w:w="1041" w:type="dxa"/>
            <w:tcBorders>
              <w:top w:val="single" w:sz="4" w:space="0" w:color="auto"/>
              <w:bottom w:val="single" w:sz="4" w:space="0" w:color="auto"/>
            </w:tcBorders>
          </w:tcPr>
          <w:p w14:paraId="06AC24F5"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310</w:t>
            </w:r>
          </w:p>
        </w:tc>
        <w:tc>
          <w:tcPr>
            <w:tcW w:w="1029" w:type="dxa"/>
            <w:tcBorders>
              <w:top w:val="single" w:sz="4" w:space="0" w:color="auto"/>
              <w:bottom w:val="single" w:sz="4" w:space="0" w:color="auto"/>
            </w:tcBorders>
          </w:tcPr>
          <w:p w14:paraId="151273D8"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310</w:t>
            </w:r>
          </w:p>
        </w:tc>
        <w:tc>
          <w:tcPr>
            <w:tcW w:w="1029" w:type="dxa"/>
            <w:tcBorders>
              <w:top w:val="single" w:sz="4" w:space="0" w:color="auto"/>
              <w:bottom w:val="single" w:sz="4" w:space="0" w:color="auto"/>
            </w:tcBorders>
          </w:tcPr>
          <w:p w14:paraId="7FF2D8B7"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315</w:t>
            </w:r>
          </w:p>
        </w:tc>
        <w:tc>
          <w:tcPr>
            <w:tcW w:w="1029" w:type="dxa"/>
            <w:tcBorders>
              <w:top w:val="single" w:sz="4" w:space="0" w:color="auto"/>
              <w:bottom w:val="single" w:sz="4" w:space="0" w:color="auto"/>
            </w:tcBorders>
          </w:tcPr>
          <w:p w14:paraId="2270EDFA"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1,115</w:t>
            </w:r>
          </w:p>
        </w:tc>
      </w:tr>
    </w:tbl>
    <w:p w14:paraId="2CFC7797" w14:textId="77777777" w:rsidR="003F5788" w:rsidRPr="003F5788" w:rsidRDefault="003F5788" w:rsidP="00B11693">
      <w:pPr>
        <w:pStyle w:val="snapInitbody"/>
      </w:pPr>
      <w:r w:rsidRPr="003F5788">
        <w:t xml:space="preserve">In partnership with the Aboriginal and Torres Strait Islander community the Government will implement the </w:t>
      </w:r>
      <w:r w:rsidRPr="003F5788">
        <w:rPr>
          <w:i/>
        </w:rPr>
        <w:t>ACT Strategic Priorities for Aboriginal and Torres Strait Islander Health 2019­2028</w:t>
      </w:r>
      <w:r w:rsidRPr="003F5788">
        <w:t xml:space="preserve">. These priorities aim to drive better health, well-being and quality of life outcomes addressing health inequalities between Aboriginal and Torres Strait Islander Canberrans and other Australians. </w:t>
      </w:r>
    </w:p>
    <w:p w14:paraId="39160C87" w14:textId="78D646AC" w:rsidR="003F5788" w:rsidRPr="007A3A72" w:rsidRDefault="003F5788" w:rsidP="007A3A72">
      <w:pPr>
        <w:pStyle w:val="Heading3"/>
      </w:pPr>
      <w:r w:rsidRPr="007A3A72">
        <w:t xml:space="preserve">Supporting Canberrans with </w:t>
      </w:r>
      <w:r w:rsidR="00B2594F">
        <w:t>A</w:t>
      </w:r>
      <w:r w:rsidRPr="007A3A72">
        <w:t xml:space="preserve">lcohol and </w:t>
      </w:r>
      <w:r w:rsidR="00B2594F">
        <w:t>O</w:t>
      </w:r>
      <w:r w:rsidRPr="007A3A72">
        <w:t xml:space="preserve">ther </w:t>
      </w:r>
      <w:r w:rsidR="00B2594F">
        <w:t>D</w:t>
      </w:r>
      <w:r w:rsidRPr="007A3A72">
        <w:t xml:space="preserve">rug </w:t>
      </w:r>
      <w:r w:rsidR="00B2594F">
        <w:t>D</w:t>
      </w:r>
      <w:r w:rsidRPr="007A3A72">
        <w:t>ependence</w:t>
      </w:r>
    </w:p>
    <w:p w14:paraId="1DEB6EC9" w14:textId="77777777" w:rsidR="003F5788" w:rsidRPr="00202E81" w:rsidRDefault="003F5788" w:rsidP="00202E81">
      <w:pPr>
        <w:pStyle w:val="snapInittitles"/>
      </w:pPr>
      <w:r w:rsidRPr="00202E81">
        <w:t xml:space="preserve">Delivering the ACT Drug Strategy Action Plan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F5788" w:rsidRPr="00866299" w14:paraId="0E909FD3" w14:textId="77777777" w:rsidTr="00B11693">
        <w:trPr>
          <w:cantSplit/>
        </w:trPr>
        <w:tc>
          <w:tcPr>
            <w:tcW w:w="3652" w:type="dxa"/>
            <w:tcBorders>
              <w:top w:val="single" w:sz="4" w:space="0" w:color="auto"/>
              <w:bottom w:val="single" w:sz="4" w:space="0" w:color="auto"/>
            </w:tcBorders>
          </w:tcPr>
          <w:p w14:paraId="6C05E364" w14:textId="77777777" w:rsidR="003F5788" w:rsidRPr="00866299" w:rsidRDefault="003F5788" w:rsidP="003F5788">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38F17362"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2019-20</w:t>
            </w:r>
          </w:p>
          <w:p w14:paraId="21E43A6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4BA1B6BE"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2020-21</w:t>
            </w:r>
          </w:p>
          <w:p w14:paraId="15EC86BF"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DF9FA32"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2021-22</w:t>
            </w:r>
          </w:p>
          <w:p w14:paraId="6A001B77"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12A9320"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2022-23</w:t>
            </w:r>
          </w:p>
          <w:p w14:paraId="795B05DE"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33FD0E49"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Total</w:t>
            </w:r>
          </w:p>
          <w:p w14:paraId="0E19CB15"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$’000</w:t>
            </w:r>
          </w:p>
        </w:tc>
      </w:tr>
      <w:tr w:rsidR="003F5788" w:rsidRPr="00866299" w14:paraId="3E8E6F92" w14:textId="77777777" w:rsidTr="00B11693">
        <w:trPr>
          <w:cantSplit/>
        </w:trPr>
        <w:tc>
          <w:tcPr>
            <w:tcW w:w="3652" w:type="dxa"/>
            <w:tcBorders>
              <w:top w:val="single" w:sz="4" w:space="0" w:color="auto"/>
              <w:bottom w:val="single" w:sz="4" w:space="0" w:color="auto"/>
            </w:tcBorders>
          </w:tcPr>
          <w:p w14:paraId="5D502829"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tcPr>
          <w:p w14:paraId="672183CF"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500</w:t>
            </w:r>
          </w:p>
        </w:tc>
        <w:tc>
          <w:tcPr>
            <w:tcW w:w="1041" w:type="dxa"/>
            <w:tcBorders>
              <w:top w:val="single" w:sz="4" w:space="0" w:color="auto"/>
              <w:bottom w:val="single" w:sz="4" w:space="0" w:color="auto"/>
            </w:tcBorders>
          </w:tcPr>
          <w:p w14:paraId="0BCA9104"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308</w:t>
            </w:r>
          </w:p>
        </w:tc>
        <w:tc>
          <w:tcPr>
            <w:tcW w:w="1029" w:type="dxa"/>
            <w:tcBorders>
              <w:top w:val="single" w:sz="4" w:space="0" w:color="auto"/>
              <w:bottom w:val="single" w:sz="4" w:space="0" w:color="auto"/>
            </w:tcBorders>
          </w:tcPr>
          <w:p w14:paraId="752A00BF"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315</w:t>
            </w:r>
          </w:p>
        </w:tc>
        <w:tc>
          <w:tcPr>
            <w:tcW w:w="1029" w:type="dxa"/>
            <w:tcBorders>
              <w:top w:val="single" w:sz="4" w:space="0" w:color="auto"/>
              <w:bottom w:val="single" w:sz="4" w:space="0" w:color="auto"/>
            </w:tcBorders>
          </w:tcPr>
          <w:p w14:paraId="676B855D"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323</w:t>
            </w:r>
          </w:p>
        </w:tc>
        <w:tc>
          <w:tcPr>
            <w:tcW w:w="1029" w:type="dxa"/>
            <w:tcBorders>
              <w:top w:val="single" w:sz="4" w:space="0" w:color="auto"/>
              <w:bottom w:val="single" w:sz="4" w:space="0" w:color="auto"/>
            </w:tcBorders>
          </w:tcPr>
          <w:p w14:paraId="22E822DE"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1,446</w:t>
            </w:r>
          </w:p>
        </w:tc>
      </w:tr>
    </w:tbl>
    <w:p w14:paraId="795B1478" w14:textId="77777777" w:rsidR="003F5788" w:rsidRPr="003F5788" w:rsidRDefault="003F5788" w:rsidP="00B11693">
      <w:pPr>
        <w:pStyle w:val="snapInitbody"/>
      </w:pPr>
      <w:r w:rsidRPr="003F5788">
        <w:t xml:space="preserve">The Government will undertake a feasibility and needs assessment for a medically supervised injecting facility in the ACT, and increase the availability of naloxone training. These actions align with the </w:t>
      </w:r>
      <w:r w:rsidRPr="003F5788">
        <w:rPr>
          <w:i/>
        </w:rPr>
        <w:t>National Drug Strategy 2017-2026</w:t>
      </w:r>
      <w:r w:rsidRPr="003F5788">
        <w:t xml:space="preserve">, and the </w:t>
      </w:r>
      <w:r w:rsidRPr="003F5788">
        <w:rPr>
          <w:i/>
        </w:rPr>
        <w:t>ACT Drug Strategy Action Plan 2018-2021</w:t>
      </w:r>
      <w:r w:rsidRPr="003F5788">
        <w:t xml:space="preserve">. </w:t>
      </w:r>
    </w:p>
    <w:p w14:paraId="362D3708" w14:textId="77777777" w:rsidR="003F5788" w:rsidRPr="00202E81" w:rsidRDefault="003F5788" w:rsidP="00202E81">
      <w:pPr>
        <w:pStyle w:val="snapInittitles"/>
      </w:pPr>
      <w:r w:rsidRPr="00202E81">
        <w:t xml:space="preserve">Expanding early intervention and diversion programs for people experiencing alcohol and drug dependence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F5788" w:rsidRPr="00866299" w14:paraId="220CB6D5" w14:textId="77777777" w:rsidTr="00B11693">
        <w:trPr>
          <w:cantSplit/>
        </w:trPr>
        <w:tc>
          <w:tcPr>
            <w:tcW w:w="3652" w:type="dxa"/>
            <w:tcBorders>
              <w:top w:val="single" w:sz="4" w:space="0" w:color="auto"/>
              <w:bottom w:val="single" w:sz="4" w:space="0" w:color="auto"/>
            </w:tcBorders>
          </w:tcPr>
          <w:p w14:paraId="7FA4F60F" w14:textId="77777777" w:rsidR="003F5788" w:rsidRPr="00866299" w:rsidRDefault="003F5788" w:rsidP="003F5788">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76809A94"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2019-20</w:t>
            </w:r>
          </w:p>
          <w:p w14:paraId="3EB706CB"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0E8C6A4C"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2020-21</w:t>
            </w:r>
          </w:p>
          <w:p w14:paraId="3BD6A333"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343FC135"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2021-22</w:t>
            </w:r>
          </w:p>
          <w:p w14:paraId="0CE3D464"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1B57B468"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2022-23</w:t>
            </w:r>
          </w:p>
          <w:p w14:paraId="0EB0B67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C551EBE"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Total</w:t>
            </w:r>
          </w:p>
          <w:p w14:paraId="5889303F"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$’000</w:t>
            </w:r>
          </w:p>
        </w:tc>
      </w:tr>
      <w:tr w:rsidR="003F5788" w:rsidRPr="00866299" w14:paraId="7A6BC4A9" w14:textId="77777777" w:rsidTr="00B11693">
        <w:trPr>
          <w:cantSplit/>
        </w:trPr>
        <w:tc>
          <w:tcPr>
            <w:tcW w:w="3652" w:type="dxa"/>
            <w:tcBorders>
              <w:top w:val="single" w:sz="4" w:space="0" w:color="auto"/>
              <w:bottom w:val="single" w:sz="4" w:space="0" w:color="auto"/>
            </w:tcBorders>
          </w:tcPr>
          <w:p w14:paraId="5CCEC9F7"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tcPr>
          <w:p w14:paraId="0426F89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949</w:t>
            </w:r>
          </w:p>
        </w:tc>
        <w:tc>
          <w:tcPr>
            <w:tcW w:w="1041" w:type="dxa"/>
            <w:tcBorders>
              <w:top w:val="single" w:sz="4" w:space="0" w:color="auto"/>
              <w:bottom w:val="single" w:sz="4" w:space="0" w:color="auto"/>
            </w:tcBorders>
          </w:tcPr>
          <w:p w14:paraId="661BE6B0"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644</w:t>
            </w:r>
          </w:p>
        </w:tc>
        <w:tc>
          <w:tcPr>
            <w:tcW w:w="1029" w:type="dxa"/>
            <w:tcBorders>
              <w:top w:val="single" w:sz="4" w:space="0" w:color="auto"/>
              <w:bottom w:val="single" w:sz="4" w:space="0" w:color="auto"/>
            </w:tcBorders>
          </w:tcPr>
          <w:p w14:paraId="576DD75C"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660</w:t>
            </w:r>
          </w:p>
        </w:tc>
        <w:tc>
          <w:tcPr>
            <w:tcW w:w="1029" w:type="dxa"/>
            <w:tcBorders>
              <w:top w:val="single" w:sz="4" w:space="0" w:color="auto"/>
              <w:bottom w:val="single" w:sz="4" w:space="0" w:color="auto"/>
            </w:tcBorders>
          </w:tcPr>
          <w:p w14:paraId="2BEBD411"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677</w:t>
            </w:r>
          </w:p>
        </w:tc>
        <w:tc>
          <w:tcPr>
            <w:tcW w:w="1029" w:type="dxa"/>
            <w:tcBorders>
              <w:top w:val="single" w:sz="4" w:space="0" w:color="auto"/>
              <w:bottom w:val="single" w:sz="4" w:space="0" w:color="auto"/>
            </w:tcBorders>
          </w:tcPr>
          <w:p w14:paraId="11335C62"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2,930</w:t>
            </w:r>
          </w:p>
        </w:tc>
      </w:tr>
    </w:tbl>
    <w:p w14:paraId="136475EB" w14:textId="77777777" w:rsidR="003F5788" w:rsidRPr="003F5788" w:rsidRDefault="003F5788" w:rsidP="00B11693">
      <w:pPr>
        <w:pStyle w:val="snapInitbody"/>
      </w:pPr>
      <w:r w:rsidRPr="003F5788">
        <w:t xml:space="preserve">The Government will improve drug and alcohol services for individuals who are in contact, or at risk of contact, with the justice system. This will help respond to community need and allow for more responsive early intervention services. </w:t>
      </w:r>
    </w:p>
    <w:p w14:paraId="10AD3674" w14:textId="77777777" w:rsidR="00B6149F" w:rsidRDefault="00B6149F">
      <w:pPr>
        <w:rPr>
          <w:rFonts w:ascii="Calibri" w:hAnsi="Calibri"/>
          <w:b/>
          <w:bCs/>
          <w:szCs w:val="26"/>
          <w:lang w:val="x-none" w:eastAsia="en-US"/>
        </w:rPr>
      </w:pPr>
      <w:r>
        <w:br w:type="page"/>
      </w:r>
    </w:p>
    <w:p w14:paraId="100C68DA" w14:textId="63D8D696" w:rsidR="003F5788" w:rsidRPr="00202E81" w:rsidRDefault="003F5788" w:rsidP="00202E81">
      <w:pPr>
        <w:pStyle w:val="snapInittitles"/>
      </w:pPr>
      <w:r w:rsidRPr="00202E81">
        <w:t xml:space="preserve">Opioid treatment services on Canberra’s northside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F5788" w:rsidRPr="00866299" w14:paraId="3046618B" w14:textId="77777777" w:rsidTr="00B11693">
        <w:trPr>
          <w:cantSplit/>
        </w:trPr>
        <w:tc>
          <w:tcPr>
            <w:tcW w:w="3652" w:type="dxa"/>
            <w:tcBorders>
              <w:top w:val="single" w:sz="4" w:space="0" w:color="auto"/>
              <w:bottom w:val="single" w:sz="4" w:space="0" w:color="auto"/>
            </w:tcBorders>
          </w:tcPr>
          <w:p w14:paraId="471F3AAD" w14:textId="77777777" w:rsidR="003F5788" w:rsidRPr="00866299" w:rsidRDefault="003F5788" w:rsidP="003F5788">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141AE3A1"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2019-20</w:t>
            </w:r>
          </w:p>
          <w:p w14:paraId="669B56B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705B0318"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2020-21</w:t>
            </w:r>
          </w:p>
          <w:p w14:paraId="6E92B4A4"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0D28DA69"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2021-22</w:t>
            </w:r>
          </w:p>
          <w:p w14:paraId="734FB819"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54567BA3"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2022-23</w:t>
            </w:r>
          </w:p>
          <w:p w14:paraId="14D1ED11"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54805847"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Total</w:t>
            </w:r>
          </w:p>
          <w:p w14:paraId="5AC770FC"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$’000</w:t>
            </w:r>
          </w:p>
        </w:tc>
      </w:tr>
      <w:tr w:rsidR="003F5788" w:rsidRPr="00866299" w14:paraId="6D91A7C9" w14:textId="77777777" w:rsidTr="00B11693">
        <w:trPr>
          <w:cantSplit/>
        </w:trPr>
        <w:tc>
          <w:tcPr>
            <w:tcW w:w="3652" w:type="dxa"/>
            <w:tcBorders>
              <w:top w:val="single" w:sz="4" w:space="0" w:color="auto"/>
            </w:tcBorders>
          </w:tcPr>
          <w:p w14:paraId="1718DDDA"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tcBorders>
            <w:shd w:val="clear" w:color="auto" w:fill="auto"/>
          </w:tcPr>
          <w:p w14:paraId="3003AB32"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41" w:type="dxa"/>
            <w:tcBorders>
              <w:top w:val="single" w:sz="4" w:space="0" w:color="auto"/>
            </w:tcBorders>
            <w:shd w:val="clear" w:color="auto" w:fill="auto"/>
          </w:tcPr>
          <w:p w14:paraId="17CB5D15"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750</w:t>
            </w:r>
          </w:p>
        </w:tc>
        <w:tc>
          <w:tcPr>
            <w:tcW w:w="1029" w:type="dxa"/>
            <w:tcBorders>
              <w:top w:val="single" w:sz="4" w:space="0" w:color="auto"/>
            </w:tcBorders>
            <w:shd w:val="clear" w:color="auto" w:fill="auto"/>
          </w:tcPr>
          <w:p w14:paraId="6FBE9FC7"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770</w:t>
            </w:r>
          </w:p>
        </w:tc>
        <w:tc>
          <w:tcPr>
            <w:tcW w:w="1029" w:type="dxa"/>
            <w:tcBorders>
              <w:top w:val="single" w:sz="4" w:space="0" w:color="auto"/>
            </w:tcBorders>
            <w:shd w:val="clear" w:color="auto" w:fill="auto"/>
          </w:tcPr>
          <w:p w14:paraId="7F049B7C"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790</w:t>
            </w:r>
          </w:p>
        </w:tc>
        <w:tc>
          <w:tcPr>
            <w:tcW w:w="1029" w:type="dxa"/>
            <w:tcBorders>
              <w:top w:val="single" w:sz="4" w:space="0" w:color="auto"/>
            </w:tcBorders>
            <w:shd w:val="clear" w:color="auto" w:fill="auto"/>
          </w:tcPr>
          <w:p w14:paraId="6ECDF089"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2,310</w:t>
            </w:r>
          </w:p>
        </w:tc>
      </w:tr>
      <w:tr w:rsidR="003F5788" w:rsidRPr="00866299" w14:paraId="1A6B3781" w14:textId="77777777" w:rsidTr="00B11693">
        <w:trPr>
          <w:cantSplit/>
          <w:trHeight w:val="304"/>
        </w:trPr>
        <w:tc>
          <w:tcPr>
            <w:tcW w:w="3652" w:type="dxa"/>
          </w:tcPr>
          <w:p w14:paraId="07DEB924"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Associated Depreciation</w:t>
            </w:r>
          </w:p>
        </w:tc>
        <w:tc>
          <w:tcPr>
            <w:tcW w:w="1179" w:type="dxa"/>
            <w:shd w:val="clear" w:color="auto" w:fill="auto"/>
          </w:tcPr>
          <w:p w14:paraId="06715BF2"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41" w:type="dxa"/>
            <w:shd w:val="clear" w:color="auto" w:fill="auto"/>
          </w:tcPr>
          <w:p w14:paraId="45E0F96D"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31</w:t>
            </w:r>
          </w:p>
        </w:tc>
        <w:tc>
          <w:tcPr>
            <w:tcW w:w="1029" w:type="dxa"/>
            <w:shd w:val="clear" w:color="auto" w:fill="auto"/>
          </w:tcPr>
          <w:p w14:paraId="62CDB25F"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31</w:t>
            </w:r>
          </w:p>
        </w:tc>
        <w:tc>
          <w:tcPr>
            <w:tcW w:w="1029" w:type="dxa"/>
            <w:shd w:val="clear" w:color="auto" w:fill="auto"/>
          </w:tcPr>
          <w:p w14:paraId="0840D64F"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31</w:t>
            </w:r>
          </w:p>
        </w:tc>
        <w:tc>
          <w:tcPr>
            <w:tcW w:w="1029" w:type="dxa"/>
            <w:shd w:val="clear" w:color="auto" w:fill="auto"/>
          </w:tcPr>
          <w:p w14:paraId="3A6A487A"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93</w:t>
            </w:r>
          </w:p>
        </w:tc>
      </w:tr>
      <w:tr w:rsidR="003F5788" w:rsidRPr="00866299" w14:paraId="47533037" w14:textId="77777777" w:rsidTr="00B11693">
        <w:trPr>
          <w:cantSplit/>
        </w:trPr>
        <w:tc>
          <w:tcPr>
            <w:tcW w:w="3652" w:type="dxa"/>
            <w:tcBorders>
              <w:top w:val="single" w:sz="4" w:space="0" w:color="auto"/>
              <w:bottom w:val="single" w:sz="4" w:space="0" w:color="auto"/>
            </w:tcBorders>
          </w:tcPr>
          <w:p w14:paraId="1E3D18C5" w14:textId="77777777" w:rsidR="003F5788" w:rsidRPr="00866299" w:rsidRDefault="003F5788" w:rsidP="003F5788">
            <w:pPr>
              <w:ind w:left="284" w:hanging="284"/>
              <w:rPr>
                <w:rFonts w:ascii="Calibri" w:hAnsi="Calibri"/>
                <w:b/>
                <w:sz w:val="22"/>
                <w:lang w:eastAsia="en-US"/>
              </w:rPr>
            </w:pPr>
            <w:r w:rsidRPr="00866299">
              <w:rPr>
                <w:rFonts w:ascii="Calibri" w:hAnsi="Calibri"/>
                <w:b/>
                <w:sz w:val="22"/>
                <w:lang w:eastAsia="en-US"/>
              </w:rPr>
              <w:t>Total Expenses</w:t>
            </w:r>
          </w:p>
        </w:tc>
        <w:tc>
          <w:tcPr>
            <w:tcW w:w="1179" w:type="dxa"/>
            <w:tcBorders>
              <w:top w:val="single" w:sz="4" w:space="0" w:color="auto"/>
              <w:bottom w:val="single" w:sz="4" w:space="0" w:color="auto"/>
            </w:tcBorders>
            <w:shd w:val="clear" w:color="auto" w:fill="auto"/>
          </w:tcPr>
          <w:p w14:paraId="28EC0D4B"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41" w:type="dxa"/>
            <w:tcBorders>
              <w:top w:val="single" w:sz="4" w:space="0" w:color="auto"/>
              <w:bottom w:val="single" w:sz="4" w:space="0" w:color="auto"/>
            </w:tcBorders>
            <w:shd w:val="clear" w:color="auto" w:fill="auto"/>
          </w:tcPr>
          <w:p w14:paraId="02C6B3EB"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781</w:t>
            </w:r>
          </w:p>
        </w:tc>
        <w:tc>
          <w:tcPr>
            <w:tcW w:w="1029" w:type="dxa"/>
            <w:tcBorders>
              <w:top w:val="single" w:sz="4" w:space="0" w:color="auto"/>
              <w:bottom w:val="single" w:sz="4" w:space="0" w:color="auto"/>
            </w:tcBorders>
            <w:shd w:val="clear" w:color="auto" w:fill="auto"/>
          </w:tcPr>
          <w:p w14:paraId="1BF0DE4B"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801</w:t>
            </w:r>
          </w:p>
        </w:tc>
        <w:tc>
          <w:tcPr>
            <w:tcW w:w="1029" w:type="dxa"/>
            <w:tcBorders>
              <w:top w:val="single" w:sz="4" w:space="0" w:color="auto"/>
              <w:bottom w:val="single" w:sz="4" w:space="0" w:color="auto"/>
            </w:tcBorders>
            <w:shd w:val="clear" w:color="auto" w:fill="auto"/>
          </w:tcPr>
          <w:p w14:paraId="028CA544"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821</w:t>
            </w:r>
          </w:p>
        </w:tc>
        <w:tc>
          <w:tcPr>
            <w:tcW w:w="1029" w:type="dxa"/>
            <w:tcBorders>
              <w:top w:val="single" w:sz="4" w:space="0" w:color="auto"/>
              <w:bottom w:val="single" w:sz="4" w:space="0" w:color="auto"/>
            </w:tcBorders>
            <w:shd w:val="clear" w:color="auto" w:fill="auto"/>
          </w:tcPr>
          <w:p w14:paraId="68ACC6CA"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2,403</w:t>
            </w:r>
          </w:p>
        </w:tc>
      </w:tr>
      <w:tr w:rsidR="003F5788" w:rsidRPr="00866299" w14:paraId="0819065B" w14:textId="77777777" w:rsidTr="00B11693">
        <w:trPr>
          <w:cantSplit/>
        </w:trPr>
        <w:tc>
          <w:tcPr>
            <w:tcW w:w="3652" w:type="dxa"/>
            <w:tcBorders>
              <w:bottom w:val="single" w:sz="4" w:space="0" w:color="auto"/>
            </w:tcBorders>
          </w:tcPr>
          <w:p w14:paraId="5D6D8FFC"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 xml:space="preserve">Associated Capital </w:t>
            </w:r>
          </w:p>
        </w:tc>
        <w:tc>
          <w:tcPr>
            <w:tcW w:w="1179" w:type="dxa"/>
            <w:tcBorders>
              <w:bottom w:val="single" w:sz="4" w:space="0" w:color="auto"/>
            </w:tcBorders>
            <w:shd w:val="clear" w:color="auto" w:fill="auto"/>
          </w:tcPr>
          <w:p w14:paraId="4F39A6DD"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611</w:t>
            </w:r>
          </w:p>
        </w:tc>
        <w:tc>
          <w:tcPr>
            <w:tcW w:w="1041" w:type="dxa"/>
            <w:tcBorders>
              <w:bottom w:val="single" w:sz="4" w:space="0" w:color="auto"/>
            </w:tcBorders>
            <w:shd w:val="clear" w:color="auto" w:fill="auto"/>
          </w:tcPr>
          <w:p w14:paraId="71C350D6"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bottom w:val="single" w:sz="4" w:space="0" w:color="auto"/>
            </w:tcBorders>
            <w:shd w:val="clear" w:color="auto" w:fill="auto"/>
          </w:tcPr>
          <w:p w14:paraId="6D0118CD"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bottom w:val="single" w:sz="4" w:space="0" w:color="auto"/>
            </w:tcBorders>
            <w:shd w:val="clear" w:color="auto" w:fill="auto"/>
          </w:tcPr>
          <w:p w14:paraId="5E216270"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bottom w:val="single" w:sz="4" w:space="0" w:color="auto"/>
            </w:tcBorders>
            <w:shd w:val="clear" w:color="auto" w:fill="auto"/>
          </w:tcPr>
          <w:p w14:paraId="41CA472B"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611</w:t>
            </w:r>
          </w:p>
        </w:tc>
      </w:tr>
    </w:tbl>
    <w:p w14:paraId="43157A58" w14:textId="77777777" w:rsidR="003F5788" w:rsidRPr="003F5788" w:rsidRDefault="003F5788" w:rsidP="00B11693">
      <w:pPr>
        <w:pStyle w:val="snapInitbody"/>
      </w:pPr>
      <w:r w:rsidRPr="003F5788">
        <w:rPr>
          <w:snapToGrid w:val="0"/>
        </w:rPr>
        <w:t xml:space="preserve">The Government will establish an opioid maintenance treatment clinic in Canberra’s north. This will deliver more timely access to treatment for Canberrans living on the </w:t>
      </w:r>
      <w:proofErr w:type="spellStart"/>
      <w:r w:rsidRPr="003F5788">
        <w:rPr>
          <w:snapToGrid w:val="0"/>
        </w:rPr>
        <w:t>Northside</w:t>
      </w:r>
      <w:proofErr w:type="spellEnd"/>
      <w:r w:rsidRPr="003F5788">
        <w:rPr>
          <w:snapToGrid w:val="0"/>
        </w:rPr>
        <w:t>, and better support patients to complete the program.</w:t>
      </w:r>
      <w:r w:rsidRPr="003F5788">
        <w:t xml:space="preserve"> </w:t>
      </w:r>
    </w:p>
    <w:p w14:paraId="2A035F08" w14:textId="59CF540D" w:rsidR="003F5788" w:rsidRPr="007A3A72" w:rsidRDefault="003F5788" w:rsidP="007A3A72">
      <w:pPr>
        <w:pStyle w:val="Heading3"/>
      </w:pPr>
      <w:r w:rsidRPr="007A3A72">
        <w:t xml:space="preserve">Supporting </w:t>
      </w:r>
      <w:r w:rsidR="00B2594F">
        <w:t>C</w:t>
      </w:r>
      <w:r w:rsidRPr="007A3A72">
        <w:t xml:space="preserve">ommunity </w:t>
      </w:r>
      <w:r w:rsidR="00B2594F">
        <w:t>H</w:t>
      </w:r>
      <w:r w:rsidRPr="007A3A72">
        <w:t>ealth</w:t>
      </w:r>
    </w:p>
    <w:p w14:paraId="5E61804F" w14:textId="77777777" w:rsidR="003F5788" w:rsidRPr="00202E81" w:rsidRDefault="003F5788" w:rsidP="00202E81">
      <w:pPr>
        <w:pStyle w:val="snapInittitles"/>
      </w:pPr>
      <w:r w:rsidRPr="00202E81">
        <w:t xml:space="preserve">Boosting police for a growing city </w:t>
      </w:r>
    </w:p>
    <w:p w14:paraId="5D843EB3" w14:textId="77777777" w:rsidR="003F5788" w:rsidRPr="003F5788" w:rsidRDefault="003F5788" w:rsidP="00B11693">
      <w:pPr>
        <w:pStyle w:val="snapInitbody"/>
        <w:rPr>
          <w:lang w:val="x-none"/>
        </w:rPr>
      </w:pPr>
      <w:r w:rsidRPr="003F5788">
        <w:t xml:space="preserve">See the Justice and Community Safety Directorate expense initiative </w:t>
      </w:r>
      <w:r w:rsidRPr="003F5788">
        <w:rPr>
          <w:i/>
        </w:rPr>
        <w:t>Boosting Police for a growing city</w:t>
      </w:r>
      <w:r w:rsidRPr="003F5788">
        <w:t xml:space="preserve"> for further details.</w:t>
      </w:r>
    </w:p>
    <w:p w14:paraId="3566375D" w14:textId="77777777" w:rsidR="003F5788" w:rsidRPr="00866299" w:rsidRDefault="003F5788" w:rsidP="00866299">
      <w:pPr>
        <w:pStyle w:val="snapInittitles"/>
      </w:pPr>
      <w:r w:rsidRPr="00866299">
        <w:t xml:space="preserve">Delivering better care for Canberrans with complex needs through general practice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F5788" w:rsidRPr="00866299" w14:paraId="49B43AB4" w14:textId="77777777" w:rsidTr="00B11693">
        <w:trPr>
          <w:cantSplit/>
        </w:trPr>
        <w:tc>
          <w:tcPr>
            <w:tcW w:w="3652" w:type="dxa"/>
            <w:tcBorders>
              <w:top w:val="single" w:sz="4" w:space="0" w:color="auto"/>
              <w:bottom w:val="single" w:sz="4" w:space="0" w:color="auto"/>
            </w:tcBorders>
          </w:tcPr>
          <w:p w14:paraId="2D66B890" w14:textId="77777777" w:rsidR="003F5788" w:rsidRPr="00866299" w:rsidRDefault="003F5788" w:rsidP="003F5788">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58C3349E"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2019-20</w:t>
            </w:r>
          </w:p>
          <w:p w14:paraId="53C6761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7FADA214"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2020-21</w:t>
            </w:r>
          </w:p>
          <w:p w14:paraId="432FC2E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1A556958"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2021-22</w:t>
            </w:r>
          </w:p>
          <w:p w14:paraId="59B722BE"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1BCC1B1"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2022-23</w:t>
            </w:r>
          </w:p>
          <w:p w14:paraId="215F8802"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8F16CFF"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Total</w:t>
            </w:r>
          </w:p>
          <w:p w14:paraId="10EF5C4A"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$’000</w:t>
            </w:r>
          </w:p>
        </w:tc>
      </w:tr>
      <w:tr w:rsidR="003F5788" w:rsidRPr="00866299" w14:paraId="5C529E62" w14:textId="77777777" w:rsidTr="00B11693">
        <w:trPr>
          <w:cantSplit/>
        </w:trPr>
        <w:tc>
          <w:tcPr>
            <w:tcW w:w="3652" w:type="dxa"/>
            <w:tcBorders>
              <w:top w:val="single" w:sz="4" w:space="0" w:color="auto"/>
              <w:bottom w:val="single" w:sz="4" w:space="0" w:color="auto"/>
            </w:tcBorders>
          </w:tcPr>
          <w:p w14:paraId="223CF198"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tcPr>
          <w:p w14:paraId="170D24C5"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500</w:t>
            </w:r>
          </w:p>
        </w:tc>
        <w:tc>
          <w:tcPr>
            <w:tcW w:w="1041" w:type="dxa"/>
            <w:tcBorders>
              <w:top w:val="single" w:sz="4" w:space="0" w:color="auto"/>
              <w:bottom w:val="single" w:sz="4" w:space="0" w:color="auto"/>
            </w:tcBorders>
          </w:tcPr>
          <w:p w14:paraId="6E485728"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1,000</w:t>
            </w:r>
          </w:p>
        </w:tc>
        <w:tc>
          <w:tcPr>
            <w:tcW w:w="1029" w:type="dxa"/>
            <w:tcBorders>
              <w:top w:val="single" w:sz="4" w:space="0" w:color="auto"/>
              <w:bottom w:val="single" w:sz="4" w:space="0" w:color="auto"/>
            </w:tcBorders>
          </w:tcPr>
          <w:p w14:paraId="68447F35"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1,000</w:t>
            </w:r>
          </w:p>
        </w:tc>
        <w:tc>
          <w:tcPr>
            <w:tcW w:w="1029" w:type="dxa"/>
            <w:tcBorders>
              <w:top w:val="single" w:sz="4" w:space="0" w:color="auto"/>
              <w:bottom w:val="single" w:sz="4" w:space="0" w:color="auto"/>
            </w:tcBorders>
          </w:tcPr>
          <w:p w14:paraId="26D100D4"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3B19800F"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2,500</w:t>
            </w:r>
          </w:p>
        </w:tc>
      </w:tr>
    </w:tbl>
    <w:p w14:paraId="6892F4C2" w14:textId="77777777" w:rsidR="003F5788" w:rsidRPr="003F5788" w:rsidRDefault="003F5788" w:rsidP="00B11693">
      <w:pPr>
        <w:pStyle w:val="snapInitbody"/>
      </w:pPr>
      <w:r w:rsidRPr="003F5788">
        <w:t xml:space="preserve">The Government will co-design a program with GP practices to develop better integrated care pathways and improve health outcomes for people with complex and ongoing chronic health conditions. </w:t>
      </w:r>
    </w:p>
    <w:p w14:paraId="68C4AA8A" w14:textId="77777777" w:rsidR="003F5788" w:rsidRPr="00202E81" w:rsidRDefault="003F5788" w:rsidP="00202E81">
      <w:pPr>
        <w:pStyle w:val="snapInittitles"/>
      </w:pPr>
      <w:r w:rsidRPr="00202E81">
        <w:t xml:space="preserve">Delivering the Weston Creek Walk in Centre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F5788" w:rsidRPr="00866299" w14:paraId="738E7308" w14:textId="77777777" w:rsidTr="00B11693">
        <w:trPr>
          <w:cantSplit/>
        </w:trPr>
        <w:tc>
          <w:tcPr>
            <w:tcW w:w="3652" w:type="dxa"/>
            <w:tcBorders>
              <w:top w:val="single" w:sz="4" w:space="0" w:color="auto"/>
              <w:bottom w:val="single" w:sz="4" w:space="0" w:color="auto"/>
            </w:tcBorders>
          </w:tcPr>
          <w:p w14:paraId="5BCF57D5" w14:textId="77777777" w:rsidR="003F5788" w:rsidRPr="00866299" w:rsidRDefault="003F5788" w:rsidP="003F5788">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3C696F34"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2019-20</w:t>
            </w:r>
          </w:p>
          <w:p w14:paraId="33DBFC27"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19652AF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2020-21</w:t>
            </w:r>
          </w:p>
          <w:p w14:paraId="592E853F"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8BAA637"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2021-22</w:t>
            </w:r>
          </w:p>
          <w:p w14:paraId="5B876E23"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5990C9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2022-23</w:t>
            </w:r>
          </w:p>
          <w:p w14:paraId="0B8572A0"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198B0F36"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Total</w:t>
            </w:r>
          </w:p>
          <w:p w14:paraId="06D34F1B"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$’000</w:t>
            </w:r>
          </w:p>
        </w:tc>
      </w:tr>
      <w:tr w:rsidR="003F5788" w:rsidRPr="00866299" w14:paraId="0E00D5B4" w14:textId="77777777" w:rsidTr="00B11693">
        <w:trPr>
          <w:cantSplit/>
        </w:trPr>
        <w:tc>
          <w:tcPr>
            <w:tcW w:w="3652" w:type="dxa"/>
            <w:tcBorders>
              <w:top w:val="single" w:sz="4" w:space="0" w:color="auto"/>
              <w:bottom w:val="single" w:sz="4" w:space="0" w:color="auto"/>
            </w:tcBorders>
          </w:tcPr>
          <w:p w14:paraId="3ADFEAE6"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tcPr>
          <w:p w14:paraId="3B435019"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1,946</w:t>
            </w:r>
          </w:p>
        </w:tc>
        <w:tc>
          <w:tcPr>
            <w:tcW w:w="1041" w:type="dxa"/>
            <w:tcBorders>
              <w:top w:val="single" w:sz="4" w:space="0" w:color="auto"/>
              <w:bottom w:val="single" w:sz="4" w:space="0" w:color="auto"/>
            </w:tcBorders>
          </w:tcPr>
          <w:p w14:paraId="2064A10E"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2,705</w:t>
            </w:r>
          </w:p>
        </w:tc>
        <w:tc>
          <w:tcPr>
            <w:tcW w:w="1029" w:type="dxa"/>
            <w:tcBorders>
              <w:top w:val="single" w:sz="4" w:space="0" w:color="auto"/>
              <w:bottom w:val="single" w:sz="4" w:space="0" w:color="auto"/>
            </w:tcBorders>
          </w:tcPr>
          <w:p w14:paraId="4F8364FC"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2,887</w:t>
            </w:r>
          </w:p>
        </w:tc>
        <w:tc>
          <w:tcPr>
            <w:tcW w:w="1029" w:type="dxa"/>
            <w:tcBorders>
              <w:top w:val="single" w:sz="4" w:space="0" w:color="auto"/>
              <w:bottom w:val="single" w:sz="4" w:space="0" w:color="auto"/>
            </w:tcBorders>
          </w:tcPr>
          <w:p w14:paraId="7EC5FBA6"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2,933</w:t>
            </w:r>
          </w:p>
        </w:tc>
        <w:tc>
          <w:tcPr>
            <w:tcW w:w="1029" w:type="dxa"/>
            <w:tcBorders>
              <w:top w:val="single" w:sz="4" w:space="0" w:color="auto"/>
              <w:bottom w:val="single" w:sz="4" w:space="0" w:color="auto"/>
            </w:tcBorders>
          </w:tcPr>
          <w:p w14:paraId="0C5402EC"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10,471</w:t>
            </w:r>
          </w:p>
        </w:tc>
      </w:tr>
    </w:tbl>
    <w:p w14:paraId="5113162F" w14:textId="77777777" w:rsidR="003F5788" w:rsidRPr="003F5788" w:rsidRDefault="003F5788" w:rsidP="00B11693">
      <w:pPr>
        <w:pStyle w:val="snapInitbody"/>
      </w:pPr>
      <w:r w:rsidRPr="003F5788">
        <w:t xml:space="preserve">The Government will commence operations at the Weston Creek Walk in Centre, which is being delivered as part of the broader Weston Creek Region Community Health Infrastructure project. The Weston Creek Walk in Centre will provide faster access to care for minor injury and illnesses, and forms part of our newly-expanded network of five Walk in Centres across Canberra. </w:t>
      </w:r>
    </w:p>
    <w:p w14:paraId="6446E0F7" w14:textId="71B99003" w:rsidR="003F5788" w:rsidRPr="00202E81" w:rsidRDefault="003F5788" w:rsidP="00202E81">
      <w:pPr>
        <w:pStyle w:val="snapInittitles"/>
      </w:pPr>
      <w:r w:rsidRPr="00202E81">
        <w:t xml:space="preserve">Expanding health services at the Alexander Maconochie Centre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F5788" w:rsidRPr="00866299" w14:paraId="14652AED" w14:textId="77777777" w:rsidTr="00B11693">
        <w:trPr>
          <w:cantSplit/>
        </w:trPr>
        <w:tc>
          <w:tcPr>
            <w:tcW w:w="3652" w:type="dxa"/>
            <w:tcBorders>
              <w:top w:val="single" w:sz="4" w:space="0" w:color="auto"/>
              <w:bottom w:val="single" w:sz="4" w:space="0" w:color="auto"/>
            </w:tcBorders>
          </w:tcPr>
          <w:p w14:paraId="0E31400C" w14:textId="77777777" w:rsidR="003F5788" w:rsidRPr="00866299" w:rsidRDefault="003F5788" w:rsidP="003F5788">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1272B772"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2019-20</w:t>
            </w:r>
          </w:p>
          <w:p w14:paraId="55F454E6"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1969D625"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2020-21</w:t>
            </w:r>
          </w:p>
          <w:p w14:paraId="0C491413"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A93CD14"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2021-22</w:t>
            </w:r>
          </w:p>
          <w:p w14:paraId="432F709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0DFF92D9"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2022-23</w:t>
            </w:r>
          </w:p>
          <w:p w14:paraId="20B14C93"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CD370A7"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Total</w:t>
            </w:r>
          </w:p>
          <w:p w14:paraId="66959AEC"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$’000</w:t>
            </w:r>
          </w:p>
        </w:tc>
      </w:tr>
      <w:tr w:rsidR="003F5788" w:rsidRPr="00866299" w14:paraId="59AB1C14" w14:textId="77777777" w:rsidTr="00B11693">
        <w:trPr>
          <w:cantSplit/>
        </w:trPr>
        <w:tc>
          <w:tcPr>
            <w:tcW w:w="3652" w:type="dxa"/>
            <w:tcBorders>
              <w:top w:val="single" w:sz="4" w:space="0" w:color="auto"/>
              <w:bottom w:val="single" w:sz="4" w:space="0" w:color="auto"/>
            </w:tcBorders>
          </w:tcPr>
          <w:p w14:paraId="082C7BC0"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tcPr>
          <w:p w14:paraId="2D942A53"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259</w:t>
            </w:r>
          </w:p>
        </w:tc>
        <w:tc>
          <w:tcPr>
            <w:tcW w:w="1041" w:type="dxa"/>
            <w:tcBorders>
              <w:top w:val="single" w:sz="4" w:space="0" w:color="auto"/>
              <w:bottom w:val="single" w:sz="4" w:space="0" w:color="auto"/>
            </w:tcBorders>
          </w:tcPr>
          <w:p w14:paraId="2828871F"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266</w:t>
            </w:r>
          </w:p>
        </w:tc>
        <w:tc>
          <w:tcPr>
            <w:tcW w:w="1029" w:type="dxa"/>
            <w:tcBorders>
              <w:top w:val="single" w:sz="4" w:space="0" w:color="auto"/>
              <w:bottom w:val="single" w:sz="4" w:space="0" w:color="auto"/>
            </w:tcBorders>
          </w:tcPr>
          <w:p w14:paraId="35D4895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273</w:t>
            </w:r>
          </w:p>
        </w:tc>
        <w:tc>
          <w:tcPr>
            <w:tcW w:w="1029" w:type="dxa"/>
            <w:tcBorders>
              <w:top w:val="single" w:sz="4" w:space="0" w:color="auto"/>
              <w:bottom w:val="single" w:sz="4" w:space="0" w:color="auto"/>
            </w:tcBorders>
          </w:tcPr>
          <w:p w14:paraId="35A61A69"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277</w:t>
            </w:r>
          </w:p>
        </w:tc>
        <w:tc>
          <w:tcPr>
            <w:tcW w:w="1029" w:type="dxa"/>
            <w:tcBorders>
              <w:top w:val="single" w:sz="4" w:space="0" w:color="auto"/>
              <w:bottom w:val="single" w:sz="4" w:space="0" w:color="auto"/>
            </w:tcBorders>
          </w:tcPr>
          <w:p w14:paraId="40500A62"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1,075</w:t>
            </w:r>
          </w:p>
        </w:tc>
      </w:tr>
    </w:tbl>
    <w:p w14:paraId="14611A3D" w14:textId="77777777" w:rsidR="003F5788" w:rsidRPr="003F5788" w:rsidRDefault="003F5788" w:rsidP="00B11693">
      <w:pPr>
        <w:pStyle w:val="snapInitbody"/>
      </w:pPr>
      <w:r w:rsidRPr="003F5788">
        <w:t xml:space="preserve">The Government will expand the opiate replacement treatment service and provide a range of additional drug and alcohol services at the Alexander Maconochie Centre. This will help reduce waiting times for alcohol and drug consultations, and provide earlier access to interventions for detainees to support their treatment and recovery from addiction while in custody. </w:t>
      </w:r>
    </w:p>
    <w:p w14:paraId="6C384A02" w14:textId="77777777" w:rsidR="003F5788" w:rsidRPr="00202E81" w:rsidRDefault="003F5788" w:rsidP="00202E81">
      <w:pPr>
        <w:pStyle w:val="snapInittitles"/>
      </w:pPr>
      <w:r w:rsidRPr="00202E81">
        <w:t xml:space="preserve">Expanding palliative care for older Canberrans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F5788" w:rsidRPr="00866299" w14:paraId="29A53143" w14:textId="77777777" w:rsidTr="00B11693">
        <w:trPr>
          <w:cantSplit/>
        </w:trPr>
        <w:tc>
          <w:tcPr>
            <w:tcW w:w="3652" w:type="dxa"/>
            <w:tcBorders>
              <w:top w:val="single" w:sz="4" w:space="0" w:color="auto"/>
              <w:bottom w:val="single" w:sz="4" w:space="0" w:color="auto"/>
            </w:tcBorders>
          </w:tcPr>
          <w:p w14:paraId="467C233D" w14:textId="77777777" w:rsidR="003F5788" w:rsidRPr="00866299" w:rsidRDefault="003F5788" w:rsidP="003F5788">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2360C662"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2019-20</w:t>
            </w:r>
          </w:p>
          <w:p w14:paraId="52A774AB"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7D33A081"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2020-21</w:t>
            </w:r>
          </w:p>
          <w:p w14:paraId="40A173A4"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0CDE414F"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2021-22</w:t>
            </w:r>
          </w:p>
          <w:p w14:paraId="457C284D"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722D914"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2022-23</w:t>
            </w:r>
          </w:p>
          <w:p w14:paraId="1EEEBC91"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7C4DA85"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Total</w:t>
            </w:r>
          </w:p>
          <w:p w14:paraId="660003F8"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$’000</w:t>
            </w:r>
          </w:p>
        </w:tc>
      </w:tr>
      <w:tr w:rsidR="003F5788" w:rsidRPr="00866299" w14:paraId="568A8619" w14:textId="77777777" w:rsidTr="00B11693">
        <w:trPr>
          <w:cantSplit/>
        </w:trPr>
        <w:tc>
          <w:tcPr>
            <w:tcW w:w="3652" w:type="dxa"/>
            <w:tcBorders>
              <w:top w:val="single" w:sz="4" w:space="0" w:color="auto"/>
              <w:bottom w:val="single" w:sz="4" w:space="0" w:color="auto"/>
            </w:tcBorders>
          </w:tcPr>
          <w:p w14:paraId="415FADF5"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tcPr>
          <w:p w14:paraId="0EA168F2"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408</w:t>
            </w:r>
          </w:p>
        </w:tc>
        <w:tc>
          <w:tcPr>
            <w:tcW w:w="1041" w:type="dxa"/>
            <w:tcBorders>
              <w:top w:val="single" w:sz="4" w:space="0" w:color="auto"/>
              <w:bottom w:val="single" w:sz="4" w:space="0" w:color="auto"/>
            </w:tcBorders>
          </w:tcPr>
          <w:p w14:paraId="6143D6B1"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363</w:t>
            </w:r>
          </w:p>
        </w:tc>
        <w:tc>
          <w:tcPr>
            <w:tcW w:w="1029" w:type="dxa"/>
            <w:tcBorders>
              <w:top w:val="single" w:sz="4" w:space="0" w:color="auto"/>
              <w:bottom w:val="single" w:sz="4" w:space="0" w:color="auto"/>
            </w:tcBorders>
          </w:tcPr>
          <w:p w14:paraId="029028C9"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373</w:t>
            </w:r>
          </w:p>
        </w:tc>
        <w:tc>
          <w:tcPr>
            <w:tcW w:w="1029" w:type="dxa"/>
            <w:tcBorders>
              <w:top w:val="single" w:sz="4" w:space="0" w:color="auto"/>
              <w:bottom w:val="single" w:sz="4" w:space="0" w:color="auto"/>
            </w:tcBorders>
          </w:tcPr>
          <w:p w14:paraId="6F794A62"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519</w:t>
            </w:r>
          </w:p>
        </w:tc>
        <w:tc>
          <w:tcPr>
            <w:tcW w:w="1029" w:type="dxa"/>
            <w:tcBorders>
              <w:top w:val="single" w:sz="4" w:space="0" w:color="auto"/>
              <w:bottom w:val="single" w:sz="4" w:space="0" w:color="auto"/>
            </w:tcBorders>
          </w:tcPr>
          <w:p w14:paraId="1B27879E"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1,663</w:t>
            </w:r>
          </w:p>
        </w:tc>
      </w:tr>
    </w:tbl>
    <w:p w14:paraId="1B4754C9" w14:textId="5590609C" w:rsidR="003F5788" w:rsidRPr="003F5788" w:rsidRDefault="003F5788" w:rsidP="00B11693">
      <w:pPr>
        <w:pStyle w:val="snapInitbody"/>
      </w:pPr>
      <w:r w:rsidRPr="003F5788">
        <w:t>The Government will support the delivery of the INSPIRED program in all ACT residential aged care facilities. The program supports residential facility staff to integrate specialist palliative care into their practices, and will respond to growing demand for services that sensitively and respectfully support older Canberrans with their end of life needs.</w:t>
      </w:r>
      <w:r w:rsidR="000F30E1">
        <w:t xml:space="preserve"> </w:t>
      </w:r>
    </w:p>
    <w:p w14:paraId="1A8C657C" w14:textId="77777777" w:rsidR="003F5788" w:rsidRPr="00202E81" w:rsidRDefault="003F5788" w:rsidP="00202E81">
      <w:pPr>
        <w:pStyle w:val="snapInittitles"/>
      </w:pPr>
      <w:r w:rsidRPr="00202E81">
        <w:t xml:space="preserve">Implementing the recommendations of the Royal Commission into Institutional Responses to Child Sexual Abuse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F5788" w:rsidRPr="00866299" w14:paraId="7AF8F36F" w14:textId="77777777" w:rsidTr="00B11693">
        <w:trPr>
          <w:cantSplit/>
        </w:trPr>
        <w:tc>
          <w:tcPr>
            <w:tcW w:w="3652" w:type="dxa"/>
            <w:tcBorders>
              <w:top w:val="single" w:sz="4" w:space="0" w:color="auto"/>
              <w:bottom w:val="single" w:sz="4" w:space="0" w:color="auto"/>
            </w:tcBorders>
          </w:tcPr>
          <w:p w14:paraId="171DFDF2" w14:textId="77777777" w:rsidR="003F5788" w:rsidRPr="00866299" w:rsidRDefault="003F5788" w:rsidP="003F5788">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74A3F3B8"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2019-20</w:t>
            </w:r>
          </w:p>
          <w:p w14:paraId="50C9CCA2"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68BC472E"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2020-21</w:t>
            </w:r>
          </w:p>
          <w:p w14:paraId="1A0391DF"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15FFC98B"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2021-22</w:t>
            </w:r>
          </w:p>
          <w:p w14:paraId="10E38F73"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0502D9DD"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2022-23</w:t>
            </w:r>
          </w:p>
          <w:p w14:paraId="596CB7C5"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3AD2DB28"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Total</w:t>
            </w:r>
          </w:p>
          <w:p w14:paraId="462E5829"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$’000</w:t>
            </w:r>
          </w:p>
        </w:tc>
      </w:tr>
      <w:tr w:rsidR="003F5788" w:rsidRPr="00866299" w14:paraId="6F33DC6D" w14:textId="77777777" w:rsidTr="00B11693">
        <w:trPr>
          <w:cantSplit/>
        </w:trPr>
        <w:tc>
          <w:tcPr>
            <w:tcW w:w="3652" w:type="dxa"/>
            <w:tcBorders>
              <w:top w:val="single" w:sz="4" w:space="0" w:color="auto"/>
              <w:bottom w:val="single" w:sz="4" w:space="0" w:color="auto"/>
            </w:tcBorders>
          </w:tcPr>
          <w:p w14:paraId="3B9FE1A9"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tcPr>
          <w:p w14:paraId="7FA0DF71"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321</w:t>
            </w:r>
          </w:p>
        </w:tc>
        <w:tc>
          <w:tcPr>
            <w:tcW w:w="1041" w:type="dxa"/>
            <w:tcBorders>
              <w:top w:val="single" w:sz="4" w:space="0" w:color="auto"/>
              <w:bottom w:val="single" w:sz="4" w:space="0" w:color="auto"/>
            </w:tcBorders>
          </w:tcPr>
          <w:p w14:paraId="59A8E417"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377</w:t>
            </w:r>
          </w:p>
        </w:tc>
        <w:tc>
          <w:tcPr>
            <w:tcW w:w="1029" w:type="dxa"/>
            <w:tcBorders>
              <w:top w:val="single" w:sz="4" w:space="0" w:color="auto"/>
              <w:bottom w:val="single" w:sz="4" w:space="0" w:color="auto"/>
            </w:tcBorders>
          </w:tcPr>
          <w:p w14:paraId="3F4331E1"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285</w:t>
            </w:r>
          </w:p>
        </w:tc>
        <w:tc>
          <w:tcPr>
            <w:tcW w:w="1029" w:type="dxa"/>
            <w:tcBorders>
              <w:top w:val="single" w:sz="4" w:space="0" w:color="auto"/>
              <w:bottom w:val="single" w:sz="4" w:space="0" w:color="auto"/>
            </w:tcBorders>
          </w:tcPr>
          <w:p w14:paraId="0FDD5151"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289</w:t>
            </w:r>
          </w:p>
        </w:tc>
        <w:tc>
          <w:tcPr>
            <w:tcW w:w="1029" w:type="dxa"/>
            <w:tcBorders>
              <w:top w:val="single" w:sz="4" w:space="0" w:color="auto"/>
              <w:bottom w:val="single" w:sz="4" w:space="0" w:color="auto"/>
            </w:tcBorders>
          </w:tcPr>
          <w:p w14:paraId="38855C54"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1,272</w:t>
            </w:r>
          </w:p>
        </w:tc>
      </w:tr>
    </w:tbl>
    <w:p w14:paraId="339C409A" w14:textId="77777777" w:rsidR="003F5788" w:rsidRPr="003F5788" w:rsidRDefault="003F5788" w:rsidP="00B11693">
      <w:pPr>
        <w:pStyle w:val="snapInitbody"/>
      </w:pPr>
      <w:r w:rsidRPr="003F5788">
        <w:t xml:space="preserve">The Government will make a dedicated investment to respond to the recommendations from the Royal Commission into Institutional Responses to Child Sexual Abuse relating to the health sector. This will support the implementation of the </w:t>
      </w:r>
      <w:r w:rsidRPr="003F5788">
        <w:rPr>
          <w:i/>
        </w:rPr>
        <w:t>Child Safe, Child Friendly and Child Aware Framework</w:t>
      </w:r>
      <w:r w:rsidRPr="003F5788">
        <w:t xml:space="preserve"> across all ACT hospitals and health services, in response to the Royal Commission’s recommendations on keeping children safe in all institutional contexts. </w:t>
      </w:r>
    </w:p>
    <w:p w14:paraId="0C67294B" w14:textId="77777777" w:rsidR="003F5788" w:rsidRPr="00202E81" w:rsidRDefault="003F5788" w:rsidP="00202E81">
      <w:pPr>
        <w:pStyle w:val="snapInittitles"/>
      </w:pPr>
      <w:r w:rsidRPr="00202E81">
        <w:t xml:space="preserve">Improving access to maternity services across Canberra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F5788" w:rsidRPr="00866299" w14:paraId="0AC61927" w14:textId="77777777" w:rsidTr="00B11693">
        <w:trPr>
          <w:cantSplit/>
        </w:trPr>
        <w:tc>
          <w:tcPr>
            <w:tcW w:w="3652" w:type="dxa"/>
            <w:tcBorders>
              <w:top w:val="single" w:sz="4" w:space="0" w:color="auto"/>
              <w:bottom w:val="single" w:sz="4" w:space="0" w:color="auto"/>
            </w:tcBorders>
          </w:tcPr>
          <w:p w14:paraId="6CA7D173" w14:textId="77777777" w:rsidR="003F5788" w:rsidRPr="00866299" w:rsidRDefault="003F5788" w:rsidP="003F5788">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7D1B133F"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2019-20</w:t>
            </w:r>
          </w:p>
          <w:p w14:paraId="12BE5C70"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2BECF49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2020-21</w:t>
            </w:r>
          </w:p>
          <w:p w14:paraId="3C708F76"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53C81B3"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2021-22</w:t>
            </w:r>
          </w:p>
          <w:p w14:paraId="3D489615"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4B2663E"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2022-23</w:t>
            </w:r>
          </w:p>
          <w:p w14:paraId="6B091E5B"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57DE6DFC"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Total</w:t>
            </w:r>
          </w:p>
          <w:p w14:paraId="0B2E502A"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$’000</w:t>
            </w:r>
          </w:p>
        </w:tc>
      </w:tr>
      <w:tr w:rsidR="003F5788" w:rsidRPr="00866299" w14:paraId="163E4B24" w14:textId="77777777" w:rsidTr="00B11693">
        <w:trPr>
          <w:cantSplit/>
        </w:trPr>
        <w:tc>
          <w:tcPr>
            <w:tcW w:w="3652" w:type="dxa"/>
            <w:tcBorders>
              <w:top w:val="single" w:sz="4" w:space="0" w:color="auto"/>
              <w:bottom w:val="single" w:sz="4" w:space="0" w:color="auto"/>
            </w:tcBorders>
          </w:tcPr>
          <w:p w14:paraId="6CBFA1FD"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tcPr>
          <w:p w14:paraId="0EB6694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513</w:t>
            </w:r>
          </w:p>
        </w:tc>
        <w:tc>
          <w:tcPr>
            <w:tcW w:w="1041" w:type="dxa"/>
            <w:tcBorders>
              <w:top w:val="single" w:sz="4" w:space="0" w:color="auto"/>
              <w:bottom w:val="single" w:sz="4" w:space="0" w:color="auto"/>
            </w:tcBorders>
          </w:tcPr>
          <w:p w14:paraId="06F1F176"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515</w:t>
            </w:r>
          </w:p>
        </w:tc>
        <w:tc>
          <w:tcPr>
            <w:tcW w:w="1029" w:type="dxa"/>
            <w:tcBorders>
              <w:top w:val="single" w:sz="4" w:space="0" w:color="auto"/>
              <w:bottom w:val="single" w:sz="4" w:space="0" w:color="auto"/>
            </w:tcBorders>
          </w:tcPr>
          <w:p w14:paraId="0AC8EA7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529</w:t>
            </w:r>
          </w:p>
        </w:tc>
        <w:tc>
          <w:tcPr>
            <w:tcW w:w="1029" w:type="dxa"/>
            <w:tcBorders>
              <w:top w:val="single" w:sz="4" w:space="0" w:color="auto"/>
              <w:bottom w:val="single" w:sz="4" w:space="0" w:color="auto"/>
            </w:tcBorders>
          </w:tcPr>
          <w:p w14:paraId="58D7FD0C"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537</w:t>
            </w:r>
          </w:p>
        </w:tc>
        <w:tc>
          <w:tcPr>
            <w:tcW w:w="1029" w:type="dxa"/>
            <w:tcBorders>
              <w:top w:val="single" w:sz="4" w:space="0" w:color="auto"/>
              <w:bottom w:val="single" w:sz="4" w:space="0" w:color="auto"/>
            </w:tcBorders>
          </w:tcPr>
          <w:p w14:paraId="71138E12"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2,094</w:t>
            </w:r>
          </w:p>
        </w:tc>
      </w:tr>
    </w:tbl>
    <w:p w14:paraId="6ED56EA1" w14:textId="77777777" w:rsidR="003F5788" w:rsidRPr="003F5788" w:rsidRDefault="003F5788" w:rsidP="00B11693">
      <w:pPr>
        <w:pStyle w:val="snapInitbody"/>
      </w:pPr>
      <w:r w:rsidRPr="003F5788">
        <w:t xml:space="preserve">The Government will establish a single Territory-wide intake phone line for maternity services, as well as a community-based early pregnancy and parenting service. These services will support access to models of maternity care which match each woman’s individual needs, and promote service choices closer to home where this is safe and suitable for new mothers. </w:t>
      </w:r>
    </w:p>
    <w:p w14:paraId="0D020C6E" w14:textId="77777777" w:rsidR="003F5788" w:rsidRPr="00202E81" w:rsidRDefault="003F5788" w:rsidP="00202E81">
      <w:pPr>
        <w:pStyle w:val="snapInittitles"/>
      </w:pPr>
      <w:r w:rsidRPr="00202E81">
        <w:t>Improving frontline services through the Safer Families Levy</w:t>
      </w:r>
    </w:p>
    <w:p w14:paraId="22A387D8" w14:textId="77777777" w:rsidR="003F5788" w:rsidRPr="003F5788" w:rsidRDefault="003F5788" w:rsidP="00B11693">
      <w:pPr>
        <w:pStyle w:val="snapInitbody"/>
      </w:pPr>
      <w:r w:rsidRPr="003F5788">
        <w:t xml:space="preserve">See the Community Services Directorate expense initiative </w:t>
      </w:r>
      <w:r w:rsidRPr="003F5788">
        <w:rPr>
          <w:i/>
        </w:rPr>
        <w:t>Improving frontline services through the Safer Families Levy</w:t>
      </w:r>
      <w:r w:rsidRPr="003F5788">
        <w:t xml:space="preserve"> for further details.</w:t>
      </w:r>
    </w:p>
    <w:p w14:paraId="769F1F90" w14:textId="77777777" w:rsidR="003F5788" w:rsidRPr="000F30E1" w:rsidRDefault="003F5788" w:rsidP="00202E81">
      <w:pPr>
        <w:pStyle w:val="snapInittitles"/>
        <w:rPr>
          <w:szCs w:val="20"/>
        </w:rPr>
      </w:pPr>
      <w:r w:rsidRPr="00202E81">
        <w:t xml:space="preserve">Investing in medical and health research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F5788" w:rsidRPr="00866299" w14:paraId="4BAC9A01" w14:textId="77777777" w:rsidTr="00B11693">
        <w:trPr>
          <w:cantSplit/>
        </w:trPr>
        <w:tc>
          <w:tcPr>
            <w:tcW w:w="3652" w:type="dxa"/>
            <w:tcBorders>
              <w:top w:val="single" w:sz="4" w:space="0" w:color="auto"/>
              <w:bottom w:val="single" w:sz="4" w:space="0" w:color="auto"/>
            </w:tcBorders>
          </w:tcPr>
          <w:p w14:paraId="518ADD0F" w14:textId="77777777" w:rsidR="003F5788" w:rsidRPr="00866299" w:rsidRDefault="003F5788" w:rsidP="003F5788">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574F6B21"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2019-20</w:t>
            </w:r>
          </w:p>
          <w:p w14:paraId="1CCDB34C"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1A642A14"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2020-21</w:t>
            </w:r>
          </w:p>
          <w:p w14:paraId="0FAEEEF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51298A7"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2021-22</w:t>
            </w:r>
          </w:p>
          <w:p w14:paraId="75772278"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67253B2"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2022-23</w:t>
            </w:r>
          </w:p>
          <w:p w14:paraId="1B01C87B"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E74D10E"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Total</w:t>
            </w:r>
          </w:p>
          <w:p w14:paraId="5284CCAB"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$’000</w:t>
            </w:r>
          </w:p>
        </w:tc>
      </w:tr>
      <w:tr w:rsidR="003F5788" w:rsidRPr="00866299" w14:paraId="75F44852" w14:textId="77777777" w:rsidTr="00B11693">
        <w:trPr>
          <w:cantSplit/>
        </w:trPr>
        <w:tc>
          <w:tcPr>
            <w:tcW w:w="3652" w:type="dxa"/>
            <w:tcBorders>
              <w:top w:val="single" w:sz="4" w:space="0" w:color="auto"/>
              <w:bottom w:val="single" w:sz="4" w:space="0" w:color="auto"/>
            </w:tcBorders>
          </w:tcPr>
          <w:p w14:paraId="379D090E"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tcPr>
          <w:p w14:paraId="1E713F1F"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1,000</w:t>
            </w:r>
          </w:p>
        </w:tc>
        <w:tc>
          <w:tcPr>
            <w:tcW w:w="1041" w:type="dxa"/>
            <w:tcBorders>
              <w:top w:val="single" w:sz="4" w:space="0" w:color="auto"/>
              <w:bottom w:val="single" w:sz="4" w:space="0" w:color="auto"/>
            </w:tcBorders>
          </w:tcPr>
          <w:p w14:paraId="798F445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1,000</w:t>
            </w:r>
          </w:p>
        </w:tc>
        <w:tc>
          <w:tcPr>
            <w:tcW w:w="1029" w:type="dxa"/>
            <w:tcBorders>
              <w:top w:val="single" w:sz="4" w:space="0" w:color="auto"/>
              <w:bottom w:val="single" w:sz="4" w:space="0" w:color="auto"/>
            </w:tcBorders>
          </w:tcPr>
          <w:p w14:paraId="083E2477"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1,000</w:t>
            </w:r>
          </w:p>
        </w:tc>
        <w:tc>
          <w:tcPr>
            <w:tcW w:w="1029" w:type="dxa"/>
            <w:tcBorders>
              <w:top w:val="single" w:sz="4" w:space="0" w:color="auto"/>
              <w:bottom w:val="single" w:sz="4" w:space="0" w:color="auto"/>
            </w:tcBorders>
          </w:tcPr>
          <w:p w14:paraId="53098EC5"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30B6F57B"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3,000</w:t>
            </w:r>
          </w:p>
        </w:tc>
      </w:tr>
    </w:tbl>
    <w:p w14:paraId="37876D6C" w14:textId="77777777" w:rsidR="003F5788" w:rsidRPr="003F5788" w:rsidRDefault="003F5788" w:rsidP="00B11693">
      <w:pPr>
        <w:pStyle w:val="snapInitbody"/>
      </w:pPr>
      <w:r w:rsidRPr="003F5788">
        <w:t xml:space="preserve">The Government will boost investment in clinical research in priority health areas including cancer, type 2 diabetes, cardiology, nursing, mental health, women and children, dementia, palliative care and population health. This investment will support the delivery of high quality and appropriate health care for Canberrans in the future. It will also continue strengthening partnerships between the ACT’s health care services and leading tertiary research institutions. </w:t>
      </w:r>
    </w:p>
    <w:p w14:paraId="617D96FB" w14:textId="77777777" w:rsidR="003F5788" w:rsidRPr="00202E81" w:rsidRDefault="003F5788" w:rsidP="00202E81">
      <w:pPr>
        <w:pStyle w:val="snapInittitles"/>
      </w:pPr>
      <w:r w:rsidRPr="00202E81">
        <w:t xml:space="preserve">Maintaining support for disability services in the transition to the full scheme National Disability Insurance Scheme </w:t>
      </w:r>
    </w:p>
    <w:p w14:paraId="2A1617B7" w14:textId="77777777" w:rsidR="003F5788" w:rsidRPr="003F5788" w:rsidRDefault="003F5788" w:rsidP="00B11693">
      <w:pPr>
        <w:pStyle w:val="snapInitbody"/>
      </w:pPr>
      <w:r w:rsidRPr="003F5788">
        <w:t xml:space="preserve">See the Community Services Directorate expense initiative </w:t>
      </w:r>
      <w:r w:rsidRPr="003F5788">
        <w:rPr>
          <w:i/>
        </w:rPr>
        <w:t>Maintaining support for disability services in the transition to the full scheme National Disability Insurance Scheme</w:t>
      </w:r>
      <w:r w:rsidRPr="003F5788">
        <w:t xml:space="preserve"> for further details.</w:t>
      </w:r>
    </w:p>
    <w:p w14:paraId="2C989CFA" w14:textId="77777777" w:rsidR="003F5788" w:rsidRPr="00202E81" w:rsidRDefault="003F5788" w:rsidP="00202E81">
      <w:pPr>
        <w:pStyle w:val="snapInittitles"/>
      </w:pPr>
      <w:r w:rsidRPr="00202E81">
        <w:t xml:space="preserve">More support for families travelling for healthcare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F5788" w:rsidRPr="00866299" w14:paraId="64D9B79A" w14:textId="77777777" w:rsidTr="00B11693">
        <w:trPr>
          <w:cantSplit/>
        </w:trPr>
        <w:tc>
          <w:tcPr>
            <w:tcW w:w="3652" w:type="dxa"/>
            <w:tcBorders>
              <w:top w:val="single" w:sz="4" w:space="0" w:color="auto"/>
              <w:bottom w:val="single" w:sz="4" w:space="0" w:color="auto"/>
            </w:tcBorders>
          </w:tcPr>
          <w:p w14:paraId="75CADFF5" w14:textId="77777777" w:rsidR="003F5788" w:rsidRPr="00866299" w:rsidRDefault="003F5788" w:rsidP="003F5788">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02FEC29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2019-20</w:t>
            </w:r>
          </w:p>
          <w:p w14:paraId="027C4685"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74AA151D"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2020-21</w:t>
            </w:r>
          </w:p>
          <w:p w14:paraId="3BF8DE3C"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55727AF0"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2021-22</w:t>
            </w:r>
          </w:p>
          <w:p w14:paraId="23E32C8B"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5D30A4C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2022-23</w:t>
            </w:r>
          </w:p>
          <w:p w14:paraId="2E2EC07C"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529B2C7D"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Total</w:t>
            </w:r>
          </w:p>
          <w:p w14:paraId="26069047"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$’000</w:t>
            </w:r>
          </w:p>
        </w:tc>
      </w:tr>
      <w:tr w:rsidR="003F5788" w:rsidRPr="00866299" w14:paraId="65427260" w14:textId="77777777" w:rsidTr="00B11693">
        <w:trPr>
          <w:cantSplit/>
        </w:trPr>
        <w:tc>
          <w:tcPr>
            <w:tcW w:w="3652" w:type="dxa"/>
            <w:tcBorders>
              <w:top w:val="single" w:sz="4" w:space="0" w:color="auto"/>
              <w:bottom w:val="single" w:sz="4" w:space="0" w:color="auto"/>
            </w:tcBorders>
          </w:tcPr>
          <w:p w14:paraId="0F65778C"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tcPr>
          <w:p w14:paraId="42A7FF37"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250</w:t>
            </w:r>
          </w:p>
        </w:tc>
        <w:tc>
          <w:tcPr>
            <w:tcW w:w="1041" w:type="dxa"/>
            <w:tcBorders>
              <w:top w:val="single" w:sz="4" w:space="0" w:color="auto"/>
              <w:bottom w:val="single" w:sz="4" w:space="0" w:color="auto"/>
            </w:tcBorders>
          </w:tcPr>
          <w:p w14:paraId="41F6B427"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512</w:t>
            </w:r>
          </w:p>
        </w:tc>
        <w:tc>
          <w:tcPr>
            <w:tcW w:w="1029" w:type="dxa"/>
            <w:tcBorders>
              <w:top w:val="single" w:sz="4" w:space="0" w:color="auto"/>
              <w:bottom w:val="single" w:sz="4" w:space="0" w:color="auto"/>
            </w:tcBorders>
          </w:tcPr>
          <w:p w14:paraId="306A0779"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525</w:t>
            </w:r>
          </w:p>
        </w:tc>
        <w:tc>
          <w:tcPr>
            <w:tcW w:w="1029" w:type="dxa"/>
            <w:tcBorders>
              <w:top w:val="single" w:sz="4" w:space="0" w:color="auto"/>
              <w:bottom w:val="single" w:sz="4" w:space="0" w:color="auto"/>
            </w:tcBorders>
          </w:tcPr>
          <w:p w14:paraId="6EAD757C"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538</w:t>
            </w:r>
          </w:p>
        </w:tc>
        <w:tc>
          <w:tcPr>
            <w:tcW w:w="1029" w:type="dxa"/>
            <w:tcBorders>
              <w:top w:val="single" w:sz="4" w:space="0" w:color="auto"/>
              <w:bottom w:val="single" w:sz="4" w:space="0" w:color="auto"/>
            </w:tcBorders>
          </w:tcPr>
          <w:p w14:paraId="0F810FA9"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1,825</w:t>
            </w:r>
          </w:p>
        </w:tc>
      </w:tr>
    </w:tbl>
    <w:p w14:paraId="412ABE9E" w14:textId="77777777" w:rsidR="003F5788" w:rsidRPr="003F5788" w:rsidRDefault="003F5788" w:rsidP="003F5788">
      <w:pPr>
        <w:spacing w:before="200" w:after="200"/>
        <w:rPr>
          <w:rFonts w:ascii="Calibri" w:hAnsi="Calibri"/>
          <w:szCs w:val="20"/>
          <w:lang w:eastAsia="en-US"/>
        </w:rPr>
      </w:pPr>
      <w:r w:rsidRPr="003F5788">
        <w:rPr>
          <w:rFonts w:ascii="Calibri" w:hAnsi="Calibri"/>
          <w:szCs w:val="20"/>
          <w:lang w:eastAsia="en-US"/>
        </w:rPr>
        <w:t xml:space="preserve">The Government will provide more support for families of paediatric patients who must travel interstate to access specialist healthcare. We will expand the support provided through the Interstate Patient Travel Assistance Scheme so that two people can travel with a sick child, and increase the subsidies available for accommodation and parking. </w:t>
      </w:r>
    </w:p>
    <w:p w14:paraId="2EB18A36" w14:textId="77777777" w:rsidR="00B6149F" w:rsidRDefault="00B6149F">
      <w:pPr>
        <w:rPr>
          <w:rFonts w:ascii="Calibri" w:hAnsi="Calibri"/>
          <w:b/>
          <w:bCs/>
          <w:szCs w:val="26"/>
          <w:lang w:val="x-none" w:eastAsia="en-US"/>
        </w:rPr>
      </w:pPr>
      <w:r>
        <w:br w:type="page"/>
      </w:r>
    </w:p>
    <w:p w14:paraId="1FDF82E6" w14:textId="600EB138" w:rsidR="003F5788" w:rsidRPr="00202E81" w:rsidRDefault="003F5788" w:rsidP="00202E81">
      <w:pPr>
        <w:pStyle w:val="snapInittitles"/>
      </w:pPr>
      <w:r w:rsidRPr="00202E81">
        <w:t xml:space="preserve">Protecting teens with meningococcal </w:t>
      </w:r>
      <w:proofErr w:type="spellStart"/>
      <w:r w:rsidRPr="00202E81">
        <w:t>ACWY</w:t>
      </w:r>
      <w:proofErr w:type="spellEnd"/>
      <w:r w:rsidRPr="00202E81">
        <w:t xml:space="preserve"> vaccinations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F5788" w:rsidRPr="00866299" w14:paraId="06D49F84" w14:textId="77777777" w:rsidTr="00B11693">
        <w:trPr>
          <w:cantSplit/>
        </w:trPr>
        <w:tc>
          <w:tcPr>
            <w:tcW w:w="3652" w:type="dxa"/>
            <w:tcBorders>
              <w:top w:val="single" w:sz="4" w:space="0" w:color="auto"/>
              <w:bottom w:val="single" w:sz="4" w:space="0" w:color="auto"/>
            </w:tcBorders>
          </w:tcPr>
          <w:p w14:paraId="5CAD80AD" w14:textId="77777777" w:rsidR="003F5788" w:rsidRPr="00866299" w:rsidRDefault="003F5788" w:rsidP="003F5788">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072E65DC"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2019-20</w:t>
            </w:r>
          </w:p>
          <w:p w14:paraId="1A0669D0"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03160F95"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2020-21</w:t>
            </w:r>
          </w:p>
          <w:p w14:paraId="00607165"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0EEACDE5"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2021-22</w:t>
            </w:r>
          </w:p>
          <w:p w14:paraId="60E97604"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761715C"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2022-23</w:t>
            </w:r>
          </w:p>
          <w:p w14:paraId="7046C490"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5EFC91D"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Total</w:t>
            </w:r>
          </w:p>
          <w:p w14:paraId="3B0340AA"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$’000</w:t>
            </w:r>
          </w:p>
        </w:tc>
      </w:tr>
      <w:tr w:rsidR="003F5788" w:rsidRPr="00866299" w14:paraId="4BB89A75" w14:textId="77777777" w:rsidTr="00B11693">
        <w:trPr>
          <w:cantSplit/>
        </w:trPr>
        <w:tc>
          <w:tcPr>
            <w:tcW w:w="3652" w:type="dxa"/>
            <w:tcBorders>
              <w:top w:val="single" w:sz="4" w:space="0" w:color="auto"/>
              <w:bottom w:val="single" w:sz="4" w:space="0" w:color="auto"/>
            </w:tcBorders>
          </w:tcPr>
          <w:p w14:paraId="25F831B1"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tcPr>
          <w:p w14:paraId="3D97299E"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320</w:t>
            </w:r>
          </w:p>
        </w:tc>
        <w:tc>
          <w:tcPr>
            <w:tcW w:w="1041" w:type="dxa"/>
            <w:tcBorders>
              <w:top w:val="single" w:sz="4" w:space="0" w:color="auto"/>
              <w:bottom w:val="single" w:sz="4" w:space="0" w:color="auto"/>
            </w:tcBorders>
          </w:tcPr>
          <w:p w14:paraId="6B2475D3"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327</w:t>
            </w:r>
          </w:p>
        </w:tc>
        <w:tc>
          <w:tcPr>
            <w:tcW w:w="1029" w:type="dxa"/>
            <w:tcBorders>
              <w:top w:val="single" w:sz="4" w:space="0" w:color="auto"/>
              <w:bottom w:val="single" w:sz="4" w:space="0" w:color="auto"/>
            </w:tcBorders>
          </w:tcPr>
          <w:p w14:paraId="70C92147"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337</w:t>
            </w:r>
          </w:p>
        </w:tc>
        <w:tc>
          <w:tcPr>
            <w:tcW w:w="1029" w:type="dxa"/>
            <w:tcBorders>
              <w:top w:val="single" w:sz="4" w:space="0" w:color="auto"/>
              <w:bottom w:val="single" w:sz="4" w:space="0" w:color="auto"/>
            </w:tcBorders>
          </w:tcPr>
          <w:p w14:paraId="6F0E83EC"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342</w:t>
            </w:r>
          </w:p>
        </w:tc>
        <w:tc>
          <w:tcPr>
            <w:tcW w:w="1029" w:type="dxa"/>
            <w:tcBorders>
              <w:top w:val="single" w:sz="4" w:space="0" w:color="auto"/>
              <w:bottom w:val="single" w:sz="4" w:space="0" w:color="auto"/>
            </w:tcBorders>
          </w:tcPr>
          <w:p w14:paraId="1AE7DA91"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1,326</w:t>
            </w:r>
          </w:p>
        </w:tc>
      </w:tr>
    </w:tbl>
    <w:p w14:paraId="040A53AC" w14:textId="77777777" w:rsidR="003F5788" w:rsidRPr="003F5788" w:rsidRDefault="003F5788" w:rsidP="00B11693">
      <w:pPr>
        <w:pStyle w:val="snapInitbody"/>
      </w:pPr>
      <w:r w:rsidRPr="003F5788">
        <w:t xml:space="preserve">The Government will make the Meningococcal </w:t>
      </w:r>
      <w:proofErr w:type="spellStart"/>
      <w:r w:rsidRPr="003F5788">
        <w:t>ACWY</w:t>
      </w:r>
      <w:proofErr w:type="spellEnd"/>
      <w:r w:rsidRPr="003F5788">
        <w:t xml:space="preserve"> vaccination a permanent part of the vaccination schedule for the ACT, protecting young people and the community from the more common strains of the meningococcal diseases. </w:t>
      </w:r>
    </w:p>
    <w:p w14:paraId="1B38A6CF" w14:textId="77777777" w:rsidR="003F5788" w:rsidRPr="00202E81" w:rsidRDefault="003F5788" w:rsidP="00202E81">
      <w:pPr>
        <w:pStyle w:val="snapInittitles"/>
      </w:pPr>
      <w:r w:rsidRPr="00202E81">
        <w:t xml:space="preserve">Strengthening care for older Canberrans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F5788" w:rsidRPr="00866299" w14:paraId="2C4324A2" w14:textId="77777777" w:rsidTr="00B11693">
        <w:trPr>
          <w:cantSplit/>
        </w:trPr>
        <w:tc>
          <w:tcPr>
            <w:tcW w:w="3652" w:type="dxa"/>
            <w:tcBorders>
              <w:top w:val="single" w:sz="4" w:space="0" w:color="auto"/>
              <w:bottom w:val="single" w:sz="4" w:space="0" w:color="auto"/>
            </w:tcBorders>
          </w:tcPr>
          <w:p w14:paraId="676404F3" w14:textId="77777777" w:rsidR="003F5788" w:rsidRPr="00866299" w:rsidRDefault="003F5788" w:rsidP="003F5788">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031ECF7F"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2019-20</w:t>
            </w:r>
          </w:p>
          <w:p w14:paraId="500B0038"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51145051"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2020-21</w:t>
            </w:r>
          </w:p>
          <w:p w14:paraId="135A1A75"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02B5A49E"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2021-22</w:t>
            </w:r>
          </w:p>
          <w:p w14:paraId="0D78F806"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4CFC19D"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2022-23</w:t>
            </w:r>
          </w:p>
          <w:p w14:paraId="6143A728"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B70A4EF"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Total</w:t>
            </w:r>
          </w:p>
          <w:p w14:paraId="2B746B3F"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$’000</w:t>
            </w:r>
          </w:p>
        </w:tc>
      </w:tr>
      <w:tr w:rsidR="003F5788" w:rsidRPr="00866299" w14:paraId="6C2910E4" w14:textId="77777777" w:rsidTr="00B11693">
        <w:trPr>
          <w:cantSplit/>
        </w:trPr>
        <w:tc>
          <w:tcPr>
            <w:tcW w:w="3652" w:type="dxa"/>
            <w:tcBorders>
              <w:top w:val="single" w:sz="4" w:space="0" w:color="auto"/>
              <w:bottom w:val="single" w:sz="4" w:space="0" w:color="auto"/>
            </w:tcBorders>
          </w:tcPr>
          <w:p w14:paraId="26E11F0A"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tcPr>
          <w:p w14:paraId="2570815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470</w:t>
            </w:r>
          </w:p>
        </w:tc>
        <w:tc>
          <w:tcPr>
            <w:tcW w:w="1041" w:type="dxa"/>
            <w:tcBorders>
              <w:top w:val="single" w:sz="4" w:space="0" w:color="auto"/>
              <w:bottom w:val="single" w:sz="4" w:space="0" w:color="auto"/>
            </w:tcBorders>
          </w:tcPr>
          <w:p w14:paraId="681F0E71"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482</w:t>
            </w:r>
          </w:p>
        </w:tc>
        <w:tc>
          <w:tcPr>
            <w:tcW w:w="1029" w:type="dxa"/>
            <w:tcBorders>
              <w:top w:val="single" w:sz="4" w:space="0" w:color="auto"/>
              <w:bottom w:val="single" w:sz="4" w:space="0" w:color="auto"/>
            </w:tcBorders>
          </w:tcPr>
          <w:p w14:paraId="0A7A0076"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494</w:t>
            </w:r>
          </w:p>
        </w:tc>
        <w:tc>
          <w:tcPr>
            <w:tcW w:w="1029" w:type="dxa"/>
            <w:tcBorders>
              <w:top w:val="single" w:sz="4" w:space="0" w:color="auto"/>
              <w:bottom w:val="single" w:sz="4" w:space="0" w:color="auto"/>
            </w:tcBorders>
          </w:tcPr>
          <w:p w14:paraId="05706891"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506</w:t>
            </w:r>
          </w:p>
        </w:tc>
        <w:tc>
          <w:tcPr>
            <w:tcW w:w="1029" w:type="dxa"/>
            <w:tcBorders>
              <w:top w:val="single" w:sz="4" w:space="0" w:color="auto"/>
              <w:bottom w:val="single" w:sz="4" w:space="0" w:color="auto"/>
            </w:tcBorders>
          </w:tcPr>
          <w:p w14:paraId="446830E8"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1,952</w:t>
            </w:r>
          </w:p>
        </w:tc>
      </w:tr>
    </w:tbl>
    <w:p w14:paraId="7E79E825" w14:textId="77777777" w:rsidR="003F5788" w:rsidRPr="003F5788" w:rsidRDefault="003F5788" w:rsidP="00B11693">
      <w:pPr>
        <w:pStyle w:val="snapInitbody"/>
      </w:pPr>
      <w:r w:rsidRPr="003F5788">
        <w:t xml:space="preserve">The Government will increase staffing for aged care services within the Rehabilitation, Aged and Community Services Division. This investment will help meet growing demand, and maintain the safety and wellbeing of patients in geriatric units at The Canberra Hospital to the highest standard. </w:t>
      </w:r>
    </w:p>
    <w:p w14:paraId="25CBD43F" w14:textId="77777777" w:rsidR="003F5788" w:rsidRPr="00202E81" w:rsidRDefault="003F5788" w:rsidP="00202E81">
      <w:pPr>
        <w:pStyle w:val="snapInittitles"/>
      </w:pPr>
      <w:r w:rsidRPr="00202E81">
        <w:t xml:space="preserve">Supporting better healthcare for lesbian, gay, bisexual, transgender, intersex and queer Canberrans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F5788" w:rsidRPr="00866299" w14:paraId="4F99337D" w14:textId="77777777" w:rsidTr="00B11693">
        <w:trPr>
          <w:cantSplit/>
        </w:trPr>
        <w:tc>
          <w:tcPr>
            <w:tcW w:w="3652" w:type="dxa"/>
            <w:tcBorders>
              <w:top w:val="single" w:sz="4" w:space="0" w:color="auto"/>
              <w:bottom w:val="single" w:sz="4" w:space="0" w:color="auto"/>
            </w:tcBorders>
          </w:tcPr>
          <w:p w14:paraId="179A31A8" w14:textId="77777777" w:rsidR="003F5788" w:rsidRPr="00866299" w:rsidRDefault="003F5788" w:rsidP="003F5788">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116FB96C"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2019-20</w:t>
            </w:r>
          </w:p>
          <w:p w14:paraId="06293157"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7556868F"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2020-21</w:t>
            </w:r>
          </w:p>
          <w:p w14:paraId="1374FF62"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0A760794"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2021-22</w:t>
            </w:r>
          </w:p>
          <w:p w14:paraId="6D0D7C59"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39685C64"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2022-23</w:t>
            </w:r>
          </w:p>
          <w:p w14:paraId="73AD3E1E"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58350446"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Total</w:t>
            </w:r>
          </w:p>
          <w:p w14:paraId="04F1E98B"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$’000</w:t>
            </w:r>
          </w:p>
        </w:tc>
      </w:tr>
      <w:tr w:rsidR="003F5788" w:rsidRPr="00866299" w14:paraId="62C52CDE" w14:textId="77777777" w:rsidTr="00B11693">
        <w:trPr>
          <w:cantSplit/>
        </w:trPr>
        <w:tc>
          <w:tcPr>
            <w:tcW w:w="3652" w:type="dxa"/>
            <w:tcBorders>
              <w:top w:val="single" w:sz="4" w:space="0" w:color="auto"/>
              <w:bottom w:val="single" w:sz="4" w:space="0" w:color="auto"/>
            </w:tcBorders>
          </w:tcPr>
          <w:p w14:paraId="435932E1"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tcPr>
          <w:p w14:paraId="5001ADDD"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87</w:t>
            </w:r>
          </w:p>
        </w:tc>
        <w:tc>
          <w:tcPr>
            <w:tcW w:w="1041" w:type="dxa"/>
            <w:tcBorders>
              <w:top w:val="single" w:sz="4" w:space="0" w:color="auto"/>
              <w:bottom w:val="single" w:sz="4" w:space="0" w:color="auto"/>
            </w:tcBorders>
          </w:tcPr>
          <w:p w14:paraId="6B77E61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71C36615"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70303088"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03C2C9D2"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87</w:t>
            </w:r>
          </w:p>
        </w:tc>
      </w:tr>
    </w:tbl>
    <w:p w14:paraId="4157279A" w14:textId="77777777" w:rsidR="003F5788" w:rsidRPr="003F5788" w:rsidRDefault="003F5788" w:rsidP="00B11693">
      <w:pPr>
        <w:pStyle w:val="snapInitbody"/>
      </w:pPr>
      <w:r w:rsidRPr="003F5788">
        <w:t xml:space="preserve">The Government will undertake a 12-month scoping study to consider the ACT Government LGBTIQ Strategy and its implications for health services in the Territory. This is part of the Government’s commitment to being the most LGBTIQ-friendly city in Australia and delivering on the principles outlined in the Darlington Statement. </w:t>
      </w:r>
    </w:p>
    <w:p w14:paraId="47970873" w14:textId="63974A79" w:rsidR="003F5788" w:rsidRPr="007A3A72" w:rsidRDefault="003F5788" w:rsidP="007A3A72">
      <w:pPr>
        <w:pStyle w:val="Heading3"/>
      </w:pPr>
      <w:r w:rsidRPr="007A3A72">
        <w:t xml:space="preserve">Supporting our </w:t>
      </w:r>
      <w:r w:rsidR="00B2594F">
        <w:t>S</w:t>
      </w:r>
      <w:r w:rsidRPr="007A3A72">
        <w:t>taff</w:t>
      </w:r>
    </w:p>
    <w:p w14:paraId="082C04E3" w14:textId="77777777" w:rsidR="003F5788" w:rsidRPr="00202E81" w:rsidRDefault="003F5788" w:rsidP="00202E81">
      <w:pPr>
        <w:pStyle w:val="snapInittitles"/>
      </w:pPr>
      <w:r w:rsidRPr="00202E81">
        <w:t xml:space="preserve">Implementing the Independent Review into the Workplace Culture within ACT Public Health Services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F5788" w:rsidRPr="00866299" w14:paraId="56F1122C" w14:textId="77777777" w:rsidTr="00B11693">
        <w:trPr>
          <w:cantSplit/>
        </w:trPr>
        <w:tc>
          <w:tcPr>
            <w:tcW w:w="3652" w:type="dxa"/>
            <w:tcBorders>
              <w:top w:val="single" w:sz="4" w:space="0" w:color="auto"/>
              <w:bottom w:val="single" w:sz="4" w:space="0" w:color="auto"/>
            </w:tcBorders>
          </w:tcPr>
          <w:p w14:paraId="1BC43B87" w14:textId="77777777" w:rsidR="003F5788" w:rsidRPr="00866299" w:rsidRDefault="003F5788" w:rsidP="003F5788">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522C7352"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2019-20</w:t>
            </w:r>
          </w:p>
          <w:p w14:paraId="0E51035C"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54FA897B"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2020-21</w:t>
            </w:r>
          </w:p>
          <w:p w14:paraId="2A792234"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0421FBA9"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2021-22</w:t>
            </w:r>
          </w:p>
          <w:p w14:paraId="26C042E9"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38D3A72E"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2022-23</w:t>
            </w:r>
          </w:p>
          <w:p w14:paraId="2AC174F1"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5AB0043C"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Total</w:t>
            </w:r>
          </w:p>
          <w:p w14:paraId="2D9F64F7"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$’000</w:t>
            </w:r>
          </w:p>
        </w:tc>
      </w:tr>
      <w:tr w:rsidR="003F5788" w:rsidRPr="00866299" w14:paraId="47A1D436" w14:textId="77777777" w:rsidTr="00B11693">
        <w:trPr>
          <w:cantSplit/>
        </w:trPr>
        <w:tc>
          <w:tcPr>
            <w:tcW w:w="3652" w:type="dxa"/>
            <w:tcBorders>
              <w:top w:val="single" w:sz="4" w:space="0" w:color="auto"/>
            </w:tcBorders>
          </w:tcPr>
          <w:p w14:paraId="795315E5"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tcBorders>
          </w:tcPr>
          <w:p w14:paraId="037BF253"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4,000</w:t>
            </w:r>
          </w:p>
        </w:tc>
        <w:tc>
          <w:tcPr>
            <w:tcW w:w="1041" w:type="dxa"/>
            <w:tcBorders>
              <w:top w:val="single" w:sz="4" w:space="0" w:color="auto"/>
            </w:tcBorders>
          </w:tcPr>
          <w:p w14:paraId="450BFEA4"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4,000</w:t>
            </w:r>
          </w:p>
        </w:tc>
        <w:tc>
          <w:tcPr>
            <w:tcW w:w="1029" w:type="dxa"/>
            <w:tcBorders>
              <w:top w:val="single" w:sz="4" w:space="0" w:color="auto"/>
            </w:tcBorders>
          </w:tcPr>
          <w:p w14:paraId="7834C506"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4,000</w:t>
            </w:r>
          </w:p>
        </w:tc>
        <w:tc>
          <w:tcPr>
            <w:tcW w:w="1029" w:type="dxa"/>
            <w:tcBorders>
              <w:top w:val="single" w:sz="4" w:space="0" w:color="auto"/>
            </w:tcBorders>
          </w:tcPr>
          <w:p w14:paraId="1B776327"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4E239F44"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12,000</w:t>
            </w:r>
          </w:p>
        </w:tc>
      </w:tr>
      <w:tr w:rsidR="003F5788" w:rsidRPr="00866299" w14:paraId="4CE3742B" w14:textId="77777777" w:rsidTr="00B11693">
        <w:trPr>
          <w:cantSplit/>
        </w:trPr>
        <w:tc>
          <w:tcPr>
            <w:tcW w:w="3652" w:type="dxa"/>
          </w:tcPr>
          <w:p w14:paraId="2656F3A9"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Expenses – Offset</w:t>
            </w:r>
          </w:p>
        </w:tc>
        <w:tc>
          <w:tcPr>
            <w:tcW w:w="1179" w:type="dxa"/>
          </w:tcPr>
          <w:p w14:paraId="70CE5E47"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-1,500</w:t>
            </w:r>
          </w:p>
        </w:tc>
        <w:tc>
          <w:tcPr>
            <w:tcW w:w="1041" w:type="dxa"/>
          </w:tcPr>
          <w:p w14:paraId="3803B95D"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01EAEA19"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2C23753C"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67554275"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-1,500</w:t>
            </w:r>
          </w:p>
        </w:tc>
      </w:tr>
      <w:tr w:rsidR="003F5788" w:rsidRPr="00866299" w14:paraId="538EB62C" w14:textId="77777777" w:rsidTr="00B11693">
        <w:trPr>
          <w:cantSplit/>
        </w:trPr>
        <w:tc>
          <w:tcPr>
            <w:tcW w:w="3652" w:type="dxa"/>
            <w:tcBorders>
              <w:top w:val="single" w:sz="4" w:space="0" w:color="auto"/>
              <w:bottom w:val="single" w:sz="4" w:space="0" w:color="auto"/>
            </w:tcBorders>
          </w:tcPr>
          <w:p w14:paraId="4CEC8484" w14:textId="77777777" w:rsidR="003F5788" w:rsidRPr="00866299" w:rsidRDefault="003F5788" w:rsidP="003F5788">
            <w:pPr>
              <w:ind w:left="284" w:hanging="284"/>
              <w:rPr>
                <w:rFonts w:ascii="Calibri" w:hAnsi="Calibri"/>
                <w:b/>
                <w:sz w:val="22"/>
                <w:lang w:eastAsia="en-US"/>
              </w:rPr>
            </w:pPr>
            <w:r w:rsidRPr="00866299">
              <w:rPr>
                <w:rFonts w:ascii="Calibri" w:hAnsi="Calibri"/>
                <w:b/>
                <w:sz w:val="22"/>
                <w:lang w:eastAsia="en-US"/>
              </w:rPr>
              <w:t>Net Expenses</w:t>
            </w:r>
          </w:p>
        </w:tc>
        <w:tc>
          <w:tcPr>
            <w:tcW w:w="1179" w:type="dxa"/>
            <w:tcBorders>
              <w:top w:val="single" w:sz="4" w:space="0" w:color="auto"/>
              <w:bottom w:val="single" w:sz="4" w:space="0" w:color="auto"/>
            </w:tcBorders>
          </w:tcPr>
          <w:p w14:paraId="28A48F33"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2,500</w:t>
            </w:r>
          </w:p>
        </w:tc>
        <w:tc>
          <w:tcPr>
            <w:tcW w:w="1041" w:type="dxa"/>
            <w:tcBorders>
              <w:top w:val="single" w:sz="4" w:space="0" w:color="auto"/>
              <w:bottom w:val="single" w:sz="4" w:space="0" w:color="auto"/>
            </w:tcBorders>
          </w:tcPr>
          <w:p w14:paraId="4C1669CC"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4,000</w:t>
            </w:r>
          </w:p>
        </w:tc>
        <w:tc>
          <w:tcPr>
            <w:tcW w:w="1029" w:type="dxa"/>
            <w:tcBorders>
              <w:top w:val="single" w:sz="4" w:space="0" w:color="auto"/>
              <w:bottom w:val="single" w:sz="4" w:space="0" w:color="auto"/>
            </w:tcBorders>
          </w:tcPr>
          <w:p w14:paraId="12E5A1E3"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4,000</w:t>
            </w:r>
          </w:p>
        </w:tc>
        <w:tc>
          <w:tcPr>
            <w:tcW w:w="1029" w:type="dxa"/>
            <w:tcBorders>
              <w:top w:val="single" w:sz="4" w:space="0" w:color="auto"/>
              <w:bottom w:val="single" w:sz="4" w:space="0" w:color="auto"/>
            </w:tcBorders>
          </w:tcPr>
          <w:p w14:paraId="0E802EBA"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668D3DF4"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10,500</w:t>
            </w:r>
          </w:p>
        </w:tc>
      </w:tr>
    </w:tbl>
    <w:p w14:paraId="24EF8B7B" w14:textId="77777777" w:rsidR="003F5788" w:rsidRPr="003F5788" w:rsidRDefault="003F5788" w:rsidP="00B11693">
      <w:pPr>
        <w:pStyle w:val="snapInitbody"/>
      </w:pPr>
      <w:r w:rsidRPr="003F5788">
        <w:t xml:space="preserve">The Government will implement all 20 recommendations from the </w:t>
      </w:r>
      <w:r w:rsidRPr="003F5788">
        <w:rPr>
          <w:i/>
        </w:rPr>
        <w:t>Independent Review into the Workplace Culture within ACT Public Health Services</w:t>
      </w:r>
      <w:r w:rsidRPr="003F5788">
        <w:t xml:space="preserve">. This will commence a comprehensive process to promote a healthier culture, reduce inappropriate workplace behaviour, bullying and harassment, and re-engage staff in ensuring our positive vision and values are lived and embraced at all levels. </w:t>
      </w:r>
    </w:p>
    <w:p w14:paraId="14C6AAD4" w14:textId="77777777" w:rsidR="003F5788" w:rsidRPr="00202E81" w:rsidRDefault="003F5788" w:rsidP="00202E81">
      <w:pPr>
        <w:pStyle w:val="snapInittitles"/>
      </w:pPr>
      <w:r w:rsidRPr="00202E81">
        <w:t xml:space="preserve">Implementing the Nurses and Midwives: Towards a Safer Culture – The First Step strategy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F5788" w:rsidRPr="00866299" w14:paraId="7AA68357" w14:textId="77777777" w:rsidTr="00B11693">
        <w:trPr>
          <w:cantSplit/>
        </w:trPr>
        <w:tc>
          <w:tcPr>
            <w:tcW w:w="3652" w:type="dxa"/>
            <w:tcBorders>
              <w:top w:val="single" w:sz="4" w:space="0" w:color="auto"/>
              <w:bottom w:val="single" w:sz="4" w:space="0" w:color="auto"/>
            </w:tcBorders>
          </w:tcPr>
          <w:p w14:paraId="249442E3" w14:textId="77777777" w:rsidR="003F5788" w:rsidRPr="00866299" w:rsidRDefault="003F5788" w:rsidP="003F5788">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66D6B6F5"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2019-20</w:t>
            </w:r>
          </w:p>
          <w:p w14:paraId="5635D38F"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6A01E6C5"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2020-21</w:t>
            </w:r>
          </w:p>
          <w:p w14:paraId="65FEFAE4"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01EBE92E"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2021-22</w:t>
            </w:r>
          </w:p>
          <w:p w14:paraId="525D2FD9"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5C018321"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2022-23</w:t>
            </w:r>
          </w:p>
          <w:p w14:paraId="41107E07"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30BFA1BE"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Total</w:t>
            </w:r>
          </w:p>
          <w:p w14:paraId="42ACCFA3"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$’000</w:t>
            </w:r>
          </w:p>
        </w:tc>
      </w:tr>
      <w:tr w:rsidR="003F5788" w:rsidRPr="00866299" w14:paraId="7AA6CAD4" w14:textId="77777777" w:rsidTr="00B11693">
        <w:trPr>
          <w:cantSplit/>
        </w:trPr>
        <w:tc>
          <w:tcPr>
            <w:tcW w:w="3652" w:type="dxa"/>
            <w:tcBorders>
              <w:top w:val="single" w:sz="4" w:space="0" w:color="auto"/>
              <w:bottom w:val="single" w:sz="4" w:space="0" w:color="auto"/>
            </w:tcBorders>
          </w:tcPr>
          <w:p w14:paraId="6109ACB8"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tcPr>
          <w:p w14:paraId="4B340275"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560</w:t>
            </w:r>
          </w:p>
        </w:tc>
        <w:tc>
          <w:tcPr>
            <w:tcW w:w="1041" w:type="dxa"/>
            <w:tcBorders>
              <w:top w:val="single" w:sz="4" w:space="0" w:color="auto"/>
              <w:bottom w:val="single" w:sz="4" w:space="0" w:color="auto"/>
            </w:tcBorders>
          </w:tcPr>
          <w:p w14:paraId="254F26C3"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588</w:t>
            </w:r>
          </w:p>
        </w:tc>
        <w:tc>
          <w:tcPr>
            <w:tcW w:w="1029" w:type="dxa"/>
            <w:tcBorders>
              <w:top w:val="single" w:sz="4" w:space="0" w:color="auto"/>
              <w:bottom w:val="single" w:sz="4" w:space="0" w:color="auto"/>
            </w:tcBorders>
          </w:tcPr>
          <w:p w14:paraId="688EBBA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144</w:t>
            </w:r>
          </w:p>
        </w:tc>
        <w:tc>
          <w:tcPr>
            <w:tcW w:w="1029" w:type="dxa"/>
            <w:tcBorders>
              <w:top w:val="single" w:sz="4" w:space="0" w:color="auto"/>
              <w:bottom w:val="single" w:sz="4" w:space="0" w:color="auto"/>
            </w:tcBorders>
          </w:tcPr>
          <w:p w14:paraId="46C244C5"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25D51581"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1,292</w:t>
            </w:r>
          </w:p>
        </w:tc>
      </w:tr>
    </w:tbl>
    <w:p w14:paraId="6BC02677" w14:textId="02252978" w:rsidR="003F5788" w:rsidRPr="003F5788" w:rsidRDefault="003F5788" w:rsidP="00B11693">
      <w:pPr>
        <w:pStyle w:val="snapInitbody"/>
      </w:pPr>
      <w:r w:rsidRPr="003F5788">
        <w:t xml:space="preserve">The Government will recruit three full-time equivalent project officers to implement the </w:t>
      </w:r>
      <w:r w:rsidRPr="003F5788">
        <w:rPr>
          <w:i/>
        </w:rPr>
        <w:t>Nurses and Midwives: Towards a Safer Culture – The First Step</w:t>
      </w:r>
      <w:r w:rsidRPr="003F5788">
        <w:t xml:space="preserve"> strategy to better support nurses in the workplace.</w:t>
      </w:r>
    </w:p>
    <w:p w14:paraId="4590A262" w14:textId="77777777" w:rsidR="003F5788" w:rsidRPr="00202E81" w:rsidRDefault="003F5788" w:rsidP="00202E81">
      <w:pPr>
        <w:pStyle w:val="snapInittitles"/>
      </w:pPr>
      <w:r w:rsidRPr="00202E81">
        <w:t xml:space="preserve">Training ACT Government frontline workers to respond to family violence </w:t>
      </w:r>
    </w:p>
    <w:p w14:paraId="58B26CE1" w14:textId="77777777" w:rsidR="003F5788" w:rsidRPr="003F5788" w:rsidRDefault="003F5788" w:rsidP="00B11693">
      <w:pPr>
        <w:pStyle w:val="snapInitbody"/>
      </w:pPr>
      <w:r w:rsidRPr="003F5788">
        <w:t xml:space="preserve">See the Community Services Directorate expense initiative </w:t>
      </w:r>
      <w:r w:rsidRPr="003F5788">
        <w:rPr>
          <w:i/>
        </w:rPr>
        <w:t>Training ACT Government frontline workers to respond to family violence</w:t>
      </w:r>
      <w:r w:rsidRPr="003F5788">
        <w:t xml:space="preserve"> for further details.</w:t>
      </w:r>
    </w:p>
    <w:p w14:paraId="5007E76D" w14:textId="77777777" w:rsidR="003F5788" w:rsidRPr="007A3A72" w:rsidRDefault="003F5788" w:rsidP="007A3A72">
      <w:pPr>
        <w:pStyle w:val="Heading3"/>
      </w:pPr>
      <w:r w:rsidRPr="007A3A72">
        <w:t xml:space="preserve">Health Directorate - Capital and Infrastructure Initiatives </w:t>
      </w:r>
    </w:p>
    <w:p w14:paraId="5A462BD2" w14:textId="77777777" w:rsidR="003F5788" w:rsidRPr="00202E81" w:rsidRDefault="003F5788" w:rsidP="00202E81">
      <w:pPr>
        <w:pStyle w:val="snapInittitles"/>
      </w:pPr>
      <w:r w:rsidRPr="00202E81">
        <w:t xml:space="preserve">Delivering the Inner North Walk in Centre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F5788" w:rsidRPr="00866299" w14:paraId="0BFB29A9" w14:textId="77777777" w:rsidTr="00B11693">
        <w:trPr>
          <w:cantSplit/>
        </w:trPr>
        <w:tc>
          <w:tcPr>
            <w:tcW w:w="3652" w:type="dxa"/>
            <w:tcBorders>
              <w:top w:val="single" w:sz="4" w:space="0" w:color="auto"/>
              <w:bottom w:val="single" w:sz="4" w:space="0" w:color="auto"/>
            </w:tcBorders>
          </w:tcPr>
          <w:p w14:paraId="510BEE5B" w14:textId="6359148A" w:rsidR="003F5788" w:rsidRPr="00866299" w:rsidRDefault="003F5788" w:rsidP="003F5788">
            <w:pPr>
              <w:jc w:val="right"/>
              <w:rPr>
                <w:rFonts w:ascii="Calibri" w:hAnsi="Calibri" w:cs="Calibri"/>
                <w:i/>
                <w:color w:val="FFFFFF"/>
                <w:sz w:val="22"/>
                <w:highlight w:val="yellow"/>
                <w:lang w:eastAsia="en-US"/>
              </w:rPr>
            </w:pPr>
          </w:p>
        </w:tc>
        <w:tc>
          <w:tcPr>
            <w:tcW w:w="1179" w:type="dxa"/>
            <w:tcBorders>
              <w:top w:val="single" w:sz="4" w:space="0" w:color="auto"/>
              <w:bottom w:val="single" w:sz="4" w:space="0" w:color="auto"/>
            </w:tcBorders>
          </w:tcPr>
          <w:p w14:paraId="51C3F572"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2019-20</w:t>
            </w:r>
          </w:p>
          <w:p w14:paraId="65ABEED4"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0FF621BF"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2020-21</w:t>
            </w:r>
          </w:p>
          <w:p w14:paraId="707950FC"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924C104"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2021-22</w:t>
            </w:r>
          </w:p>
          <w:p w14:paraId="120D9ED5"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F9305E8"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2022-23</w:t>
            </w:r>
          </w:p>
          <w:p w14:paraId="3656556C"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917D64B"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Total</w:t>
            </w:r>
          </w:p>
          <w:p w14:paraId="1284CEB8"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$’000</w:t>
            </w:r>
          </w:p>
        </w:tc>
      </w:tr>
      <w:tr w:rsidR="003F5788" w:rsidRPr="00866299" w14:paraId="4F2D0A72" w14:textId="77777777" w:rsidTr="00B11693">
        <w:trPr>
          <w:cantSplit/>
        </w:trPr>
        <w:tc>
          <w:tcPr>
            <w:tcW w:w="3652" w:type="dxa"/>
            <w:tcBorders>
              <w:top w:val="single" w:sz="4" w:space="0" w:color="auto"/>
            </w:tcBorders>
          </w:tcPr>
          <w:p w14:paraId="3D79F071"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Capital</w:t>
            </w:r>
          </w:p>
        </w:tc>
        <w:tc>
          <w:tcPr>
            <w:tcW w:w="1179" w:type="dxa"/>
            <w:tcBorders>
              <w:top w:val="single" w:sz="4" w:space="0" w:color="auto"/>
            </w:tcBorders>
          </w:tcPr>
          <w:p w14:paraId="0A09F3CC"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1,100</w:t>
            </w:r>
          </w:p>
        </w:tc>
        <w:tc>
          <w:tcPr>
            <w:tcW w:w="1041" w:type="dxa"/>
            <w:tcBorders>
              <w:top w:val="single" w:sz="4" w:space="0" w:color="auto"/>
            </w:tcBorders>
          </w:tcPr>
          <w:p w14:paraId="3ADA9D4B"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614</w:t>
            </w:r>
          </w:p>
        </w:tc>
        <w:tc>
          <w:tcPr>
            <w:tcW w:w="1029" w:type="dxa"/>
            <w:tcBorders>
              <w:top w:val="single" w:sz="4" w:space="0" w:color="auto"/>
            </w:tcBorders>
          </w:tcPr>
          <w:p w14:paraId="6FD12B52"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4677EA44"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016307C0"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1,714</w:t>
            </w:r>
          </w:p>
        </w:tc>
      </w:tr>
      <w:tr w:rsidR="003F5788" w:rsidRPr="00866299" w14:paraId="3F229078" w14:textId="77777777" w:rsidTr="00B11693">
        <w:trPr>
          <w:cantSplit/>
        </w:trPr>
        <w:tc>
          <w:tcPr>
            <w:tcW w:w="3652" w:type="dxa"/>
            <w:tcBorders>
              <w:top w:val="single" w:sz="4" w:space="0" w:color="auto"/>
            </w:tcBorders>
          </w:tcPr>
          <w:p w14:paraId="0DF68C03"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Depreciation</w:t>
            </w:r>
          </w:p>
        </w:tc>
        <w:tc>
          <w:tcPr>
            <w:tcW w:w="1179" w:type="dxa"/>
            <w:tcBorders>
              <w:top w:val="single" w:sz="4" w:space="0" w:color="auto"/>
            </w:tcBorders>
          </w:tcPr>
          <w:p w14:paraId="466610CD"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41" w:type="dxa"/>
            <w:tcBorders>
              <w:top w:val="single" w:sz="4" w:space="0" w:color="auto"/>
            </w:tcBorders>
          </w:tcPr>
          <w:p w14:paraId="549F6DC6"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105</w:t>
            </w:r>
          </w:p>
        </w:tc>
        <w:tc>
          <w:tcPr>
            <w:tcW w:w="1029" w:type="dxa"/>
            <w:tcBorders>
              <w:top w:val="single" w:sz="4" w:space="0" w:color="auto"/>
            </w:tcBorders>
          </w:tcPr>
          <w:p w14:paraId="034334F4"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114</w:t>
            </w:r>
          </w:p>
        </w:tc>
        <w:tc>
          <w:tcPr>
            <w:tcW w:w="1029" w:type="dxa"/>
            <w:tcBorders>
              <w:top w:val="single" w:sz="4" w:space="0" w:color="auto"/>
            </w:tcBorders>
          </w:tcPr>
          <w:p w14:paraId="445316F5"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114</w:t>
            </w:r>
          </w:p>
        </w:tc>
        <w:tc>
          <w:tcPr>
            <w:tcW w:w="1029" w:type="dxa"/>
            <w:tcBorders>
              <w:top w:val="single" w:sz="4" w:space="0" w:color="auto"/>
            </w:tcBorders>
          </w:tcPr>
          <w:p w14:paraId="42A49630"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333</w:t>
            </w:r>
          </w:p>
        </w:tc>
      </w:tr>
      <w:tr w:rsidR="003F5788" w:rsidRPr="00866299" w14:paraId="58833D59" w14:textId="77777777" w:rsidTr="00B11693">
        <w:trPr>
          <w:cantSplit/>
          <w:trHeight w:val="412"/>
        </w:trPr>
        <w:tc>
          <w:tcPr>
            <w:tcW w:w="3652" w:type="dxa"/>
          </w:tcPr>
          <w:p w14:paraId="2C0D2E0D"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Associated expenses</w:t>
            </w:r>
          </w:p>
        </w:tc>
        <w:tc>
          <w:tcPr>
            <w:tcW w:w="1179" w:type="dxa"/>
          </w:tcPr>
          <w:p w14:paraId="10AC7620"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41" w:type="dxa"/>
          </w:tcPr>
          <w:p w14:paraId="433C7574"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2,648</w:t>
            </w:r>
          </w:p>
        </w:tc>
        <w:tc>
          <w:tcPr>
            <w:tcW w:w="1029" w:type="dxa"/>
          </w:tcPr>
          <w:p w14:paraId="0172B617"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2,687</w:t>
            </w:r>
          </w:p>
        </w:tc>
        <w:tc>
          <w:tcPr>
            <w:tcW w:w="1029" w:type="dxa"/>
          </w:tcPr>
          <w:p w14:paraId="28C046C1"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2,744</w:t>
            </w:r>
          </w:p>
        </w:tc>
        <w:tc>
          <w:tcPr>
            <w:tcW w:w="1029" w:type="dxa"/>
          </w:tcPr>
          <w:p w14:paraId="73672F01"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8,079</w:t>
            </w:r>
          </w:p>
        </w:tc>
      </w:tr>
      <w:tr w:rsidR="003F5788" w:rsidRPr="00866299" w14:paraId="6919A1FE" w14:textId="77777777" w:rsidTr="00B11693">
        <w:trPr>
          <w:cantSplit/>
        </w:trPr>
        <w:tc>
          <w:tcPr>
            <w:tcW w:w="3652" w:type="dxa"/>
            <w:tcBorders>
              <w:top w:val="single" w:sz="4" w:space="0" w:color="auto"/>
              <w:bottom w:val="single" w:sz="4" w:space="0" w:color="auto"/>
            </w:tcBorders>
          </w:tcPr>
          <w:p w14:paraId="3DD56ADB" w14:textId="77777777" w:rsidR="003F5788" w:rsidRPr="00866299" w:rsidRDefault="003F5788" w:rsidP="003F5788">
            <w:pPr>
              <w:ind w:left="284" w:hanging="284"/>
              <w:rPr>
                <w:rFonts w:ascii="Calibri" w:hAnsi="Calibri"/>
                <w:b/>
                <w:sz w:val="22"/>
                <w:lang w:eastAsia="en-US"/>
              </w:rPr>
            </w:pPr>
            <w:r w:rsidRPr="00866299">
              <w:rPr>
                <w:rFonts w:ascii="Calibri" w:hAnsi="Calibri"/>
                <w:b/>
                <w:sz w:val="22"/>
                <w:lang w:eastAsia="en-US"/>
              </w:rPr>
              <w:t>Net expenses</w:t>
            </w:r>
          </w:p>
        </w:tc>
        <w:tc>
          <w:tcPr>
            <w:tcW w:w="1179" w:type="dxa"/>
            <w:tcBorders>
              <w:top w:val="single" w:sz="4" w:space="0" w:color="auto"/>
              <w:bottom w:val="single" w:sz="4" w:space="0" w:color="auto"/>
            </w:tcBorders>
          </w:tcPr>
          <w:p w14:paraId="3F712023"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w:t>
            </w:r>
          </w:p>
        </w:tc>
        <w:tc>
          <w:tcPr>
            <w:tcW w:w="1041" w:type="dxa"/>
            <w:tcBorders>
              <w:top w:val="single" w:sz="4" w:space="0" w:color="auto"/>
              <w:bottom w:val="single" w:sz="4" w:space="0" w:color="auto"/>
            </w:tcBorders>
          </w:tcPr>
          <w:p w14:paraId="71EAAA9D"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2,753</w:t>
            </w:r>
          </w:p>
        </w:tc>
        <w:tc>
          <w:tcPr>
            <w:tcW w:w="1029" w:type="dxa"/>
            <w:tcBorders>
              <w:top w:val="single" w:sz="4" w:space="0" w:color="auto"/>
              <w:bottom w:val="single" w:sz="4" w:space="0" w:color="auto"/>
            </w:tcBorders>
          </w:tcPr>
          <w:p w14:paraId="52A04950"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2,801</w:t>
            </w:r>
          </w:p>
        </w:tc>
        <w:tc>
          <w:tcPr>
            <w:tcW w:w="1029" w:type="dxa"/>
            <w:tcBorders>
              <w:top w:val="single" w:sz="4" w:space="0" w:color="auto"/>
              <w:bottom w:val="single" w:sz="4" w:space="0" w:color="auto"/>
            </w:tcBorders>
          </w:tcPr>
          <w:p w14:paraId="6A295AB3"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2,858</w:t>
            </w:r>
          </w:p>
        </w:tc>
        <w:tc>
          <w:tcPr>
            <w:tcW w:w="1029" w:type="dxa"/>
            <w:tcBorders>
              <w:top w:val="single" w:sz="4" w:space="0" w:color="auto"/>
              <w:bottom w:val="single" w:sz="4" w:space="0" w:color="auto"/>
            </w:tcBorders>
          </w:tcPr>
          <w:p w14:paraId="4F8980A9"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8,412</w:t>
            </w:r>
          </w:p>
        </w:tc>
      </w:tr>
    </w:tbl>
    <w:p w14:paraId="17687BDF" w14:textId="77777777" w:rsidR="003F5788" w:rsidRPr="003F5788" w:rsidRDefault="003F5788" w:rsidP="00B11693">
      <w:pPr>
        <w:pStyle w:val="snapInitbody"/>
      </w:pPr>
      <w:r w:rsidRPr="003F5788">
        <w:t xml:space="preserve">The Government will establish a new Walk in Centre at Dickson, providing faster access to care for minor injuries and illnesses for people in Canberra’s Inner North. This new facility will bring Canberra’s network of Walk in Centres to five, following the recent delivery of new centres in Gungahlin and the Centre which will open soon in Weston Creek. </w:t>
      </w:r>
    </w:p>
    <w:p w14:paraId="1E64D163" w14:textId="77777777" w:rsidR="003F5788" w:rsidRPr="00202E81" w:rsidRDefault="003F5788" w:rsidP="00202E81">
      <w:pPr>
        <w:pStyle w:val="snapInittitles"/>
      </w:pPr>
      <w:r w:rsidRPr="00202E81">
        <w:t xml:space="preserve">Delivering the SPIRE Centre at Canberra Hospital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F5788" w:rsidRPr="00866299" w14:paraId="5F23EBB6" w14:textId="77777777" w:rsidTr="00FD1D5C">
        <w:trPr>
          <w:cantSplit/>
        </w:trPr>
        <w:tc>
          <w:tcPr>
            <w:tcW w:w="3652" w:type="dxa"/>
            <w:tcBorders>
              <w:top w:val="single" w:sz="4" w:space="0" w:color="auto"/>
              <w:bottom w:val="single" w:sz="4" w:space="0" w:color="auto"/>
            </w:tcBorders>
          </w:tcPr>
          <w:p w14:paraId="1CC17F5C" w14:textId="77777777" w:rsidR="003F5788" w:rsidRPr="00866299" w:rsidRDefault="003F5788" w:rsidP="003F5788">
            <w:pPr>
              <w:jc w:val="right"/>
              <w:rPr>
                <w:rFonts w:ascii="Calibri" w:hAnsi="Calibri" w:cs="Calibri"/>
                <w:i/>
                <w:color w:val="FFFFFF"/>
                <w:sz w:val="22"/>
                <w:lang w:eastAsia="en-US"/>
              </w:rPr>
            </w:pPr>
            <w:r w:rsidRPr="00866299">
              <w:rPr>
                <w:rFonts w:ascii="Calibri" w:hAnsi="Calibri" w:cs="Calibri"/>
                <w:i/>
                <w:color w:val="FFFFFF"/>
                <w:sz w:val="22"/>
                <w:lang w:eastAsia="en-US"/>
              </w:rPr>
              <w:t>Empty Cell</w:t>
            </w:r>
          </w:p>
        </w:tc>
        <w:tc>
          <w:tcPr>
            <w:tcW w:w="1179" w:type="dxa"/>
            <w:tcBorders>
              <w:top w:val="single" w:sz="4" w:space="0" w:color="auto"/>
              <w:bottom w:val="single" w:sz="4" w:space="0" w:color="auto"/>
            </w:tcBorders>
          </w:tcPr>
          <w:p w14:paraId="463FAF55"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2019-20</w:t>
            </w:r>
          </w:p>
          <w:p w14:paraId="14363197"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7E191BEF"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2020-21</w:t>
            </w:r>
          </w:p>
          <w:p w14:paraId="245194DD"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8C8B1A2"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2021-22</w:t>
            </w:r>
          </w:p>
          <w:p w14:paraId="76537B66"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BB1F94D"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2022-23</w:t>
            </w:r>
          </w:p>
          <w:p w14:paraId="75B60BE9"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3F3DD1B"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Total</w:t>
            </w:r>
          </w:p>
          <w:p w14:paraId="1D765191"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$’000</w:t>
            </w:r>
          </w:p>
        </w:tc>
      </w:tr>
      <w:tr w:rsidR="003F5788" w:rsidRPr="00866299" w14:paraId="368A4604" w14:textId="77777777" w:rsidTr="00FD1D5C">
        <w:trPr>
          <w:cantSplit/>
        </w:trPr>
        <w:tc>
          <w:tcPr>
            <w:tcW w:w="3652" w:type="dxa"/>
            <w:tcBorders>
              <w:top w:val="single" w:sz="4" w:space="0" w:color="auto"/>
            </w:tcBorders>
          </w:tcPr>
          <w:p w14:paraId="00167C43"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Capital</w:t>
            </w:r>
          </w:p>
        </w:tc>
        <w:tc>
          <w:tcPr>
            <w:tcW w:w="1179" w:type="dxa"/>
            <w:tcBorders>
              <w:top w:val="single" w:sz="4" w:space="0" w:color="auto"/>
            </w:tcBorders>
          </w:tcPr>
          <w:p w14:paraId="79A9D354"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60,200</w:t>
            </w:r>
          </w:p>
        </w:tc>
        <w:tc>
          <w:tcPr>
            <w:tcW w:w="1041" w:type="dxa"/>
            <w:tcBorders>
              <w:top w:val="single" w:sz="4" w:space="0" w:color="auto"/>
            </w:tcBorders>
          </w:tcPr>
          <w:p w14:paraId="031D382E" w14:textId="77777777" w:rsidR="003F5788" w:rsidRPr="00866299" w:rsidRDefault="003F5788" w:rsidP="003F5788">
            <w:pPr>
              <w:ind w:left="284" w:hanging="284"/>
              <w:jc w:val="right"/>
              <w:rPr>
                <w:rFonts w:ascii="Calibri" w:hAnsi="Calibri"/>
                <w:sz w:val="22"/>
                <w:lang w:eastAsia="en-US"/>
              </w:rPr>
            </w:pPr>
            <w:proofErr w:type="spellStart"/>
            <w:r w:rsidRPr="00866299">
              <w:rPr>
                <w:rFonts w:ascii="Calibri" w:hAnsi="Calibri"/>
                <w:sz w:val="22"/>
                <w:lang w:eastAsia="en-US"/>
              </w:rPr>
              <w:t>NFP</w:t>
            </w:r>
            <w:proofErr w:type="spellEnd"/>
          </w:p>
        </w:tc>
        <w:tc>
          <w:tcPr>
            <w:tcW w:w="1029" w:type="dxa"/>
            <w:tcBorders>
              <w:top w:val="single" w:sz="4" w:space="0" w:color="auto"/>
            </w:tcBorders>
          </w:tcPr>
          <w:p w14:paraId="1300E4CD" w14:textId="77777777" w:rsidR="003F5788" w:rsidRPr="00866299" w:rsidRDefault="003F5788" w:rsidP="003F5788">
            <w:pPr>
              <w:ind w:left="284" w:hanging="284"/>
              <w:jc w:val="right"/>
              <w:rPr>
                <w:rFonts w:ascii="Calibri" w:hAnsi="Calibri"/>
                <w:sz w:val="22"/>
                <w:lang w:eastAsia="en-US"/>
              </w:rPr>
            </w:pPr>
            <w:proofErr w:type="spellStart"/>
            <w:r w:rsidRPr="00866299">
              <w:rPr>
                <w:rFonts w:ascii="Calibri" w:hAnsi="Calibri"/>
                <w:sz w:val="22"/>
                <w:lang w:eastAsia="en-US"/>
              </w:rPr>
              <w:t>NFP</w:t>
            </w:r>
            <w:proofErr w:type="spellEnd"/>
          </w:p>
        </w:tc>
        <w:tc>
          <w:tcPr>
            <w:tcW w:w="1029" w:type="dxa"/>
            <w:tcBorders>
              <w:top w:val="single" w:sz="4" w:space="0" w:color="auto"/>
            </w:tcBorders>
          </w:tcPr>
          <w:p w14:paraId="245646C5" w14:textId="77777777" w:rsidR="003F5788" w:rsidRPr="00866299" w:rsidRDefault="003F5788" w:rsidP="003F5788">
            <w:pPr>
              <w:ind w:left="284" w:hanging="284"/>
              <w:jc w:val="right"/>
              <w:rPr>
                <w:rFonts w:ascii="Calibri" w:hAnsi="Calibri"/>
                <w:sz w:val="22"/>
                <w:lang w:eastAsia="en-US"/>
              </w:rPr>
            </w:pPr>
            <w:proofErr w:type="spellStart"/>
            <w:r w:rsidRPr="00866299">
              <w:rPr>
                <w:rFonts w:ascii="Calibri" w:hAnsi="Calibri"/>
                <w:sz w:val="22"/>
                <w:lang w:eastAsia="en-US"/>
              </w:rPr>
              <w:t>NFP</w:t>
            </w:r>
            <w:proofErr w:type="spellEnd"/>
          </w:p>
        </w:tc>
        <w:tc>
          <w:tcPr>
            <w:tcW w:w="1029" w:type="dxa"/>
            <w:tcBorders>
              <w:top w:val="single" w:sz="4" w:space="0" w:color="auto"/>
            </w:tcBorders>
          </w:tcPr>
          <w:p w14:paraId="1CE5CA30" w14:textId="77777777" w:rsidR="003F5788" w:rsidRPr="00866299" w:rsidRDefault="003F5788" w:rsidP="003F5788">
            <w:pPr>
              <w:ind w:left="284" w:hanging="284"/>
              <w:jc w:val="right"/>
              <w:rPr>
                <w:rFonts w:ascii="Calibri" w:hAnsi="Calibri"/>
                <w:b/>
                <w:sz w:val="22"/>
                <w:lang w:eastAsia="en-US"/>
              </w:rPr>
            </w:pPr>
            <w:proofErr w:type="spellStart"/>
            <w:r w:rsidRPr="00866299">
              <w:rPr>
                <w:rFonts w:ascii="Calibri" w:hAnsi="Calibri"/>
                <w:b/>
                <w:sz w:val="22"/>
                <w:lang w:eastAsia="en-US"/>
              </w:rPr>
              <w:t>NFP</w:t>
            </w:r>
            <w:proofErr w:type="spellEnd"/>
          </w:p>
        </w:tc>
      </w:tr>
      <w:tr w:rsidR="003F5788" w:rsidRPr="00866299" w14:paraId="700EF0E4" w14:textId="77777777" w:rsidTr="00FD1D5C">
        <w:trPr>
          <w:cantSplit/>
        </w:trPr>
        <w:tc>
          <w:tcPr>
            <w:tcW w:w="3652" w:type="dxa"/>
            <w:tcBorders>
              <w:top w:val="single" w:sz="4" w:space="0" w:color="auto"/>
            </w:tcBorders>
          </w:tcPr>
          <w:p w14:paraId="71ACD23B"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Offset – Capital</w:t>
            </w:r>
          </w:p>
        </w:tc>
        <w:tc>
          <w:tcPr>
            <w:tcW w:w="1179" w:type="dxa"/>
            <w:tcBorders>
              <w:top w:val="single" w:sz="4" w:space="0" w:color="auto"/>
            </w:tcBorders>
          </w:tcPr>
          <w:p w14:paraId="0E0A05E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-6,500</w:t>
            </w:r>
          </w:p>
        </w:tc>
        <w:tc>
          <w:tcPr>
            <w:tcW w:w="1041" w:type="dxa"/>
            <w:tcBorders>
              <w:top w:val="single" w:sz="4" w:space="0" w:color="auto"/>
            </w:tcBorders>
          </w:tcPr>
          <w:p w14:paraId="3191ABD0"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3C79212E"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0DFABAA7"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66D76372"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-6,500</w:t>
            </w:r>
          </w:p>
        </w:tc>
      </w:tr>
      <w:tr w:rsidR="003F5788" w:rsidRPr="00866299" w14:paraId="50690AD1" w14:textId="77777777" w:rsidTr="00FD1D5C">
        <w:trPr>
          <w:cantSplit/>
        </w:trPr>
        <w:tc>
          <w:tcPr>
            <w:tcW w:w="3652" w:type="dxa"/>
            <w:tcBorders>
              <w:top w:val="single" w:sz="4" w:space="0" w:color="auto"/>
            </w:tcBorders>
          </w:tcPr>
          <w:p w14:paraId="083C4AED" w14:textId="77777777" w:rsidR="003F5788" w:rsidRPr="00866299" w:rsidRDefault="003F5788" w:rsidP="003F5788">
            <w:pPr>
              <w:ind w:left="284" w:hanging="284"/>
              <w:rPr>
                <w:rFonts w:ascii="Calibri" w:hAnsi="Calibri"/>
                <w:b/>
                <w:sz w:val="22"/>
                <w:lang w:eastAsia="en-US"/>
              </w:rPr>
            </w:pPr>
            <w:r w:rsidRPr="00866299">
              <w:rPr>
                <w:rFonts w:ascii="Calibri" w:hAnsi="Calibri"/>
                <w:b/>
                <w:sz w:val="22"/>
                <w:lang w:eastAsia="en-US"/>
              </w:rPr>
              <w:t>Net capital</w:t>
            </w:r>
          </w:p>
        </w:tc>
        <w:tc>
          <w:tcPr>
            <w:tcW w:w="1179" w:type="dxa"/>
            <w:tcBorders>
              <w:top w:val="single" w:sz="4" w:space="0" w:color="auto"/>
            </w:tcBorders>
          </w:tcPr>
          <w:p w14:paraId="0C130F63"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53,700</w:t>
            </w:r>
          </w:p>
        </w:tc>
        <w:tc>
          <w:tcPr>
            <w:tcW w:w="1041" w:type="dxa"/>
            <w:tcBorders>
              <w:top w:val="single" w:sz="4" w:space="0" w:color="auto"/>
            </w:tcBorders>
          </w:tcPr>
          <w:p w14:paraId="5241FFA9" w14:textId="77777777" w:rsidR="003F5788" w:rsidRPr="00866299" w:rsidRDefault="003F5788" w:rsidP="003F5788">
            <w:pPr>
              <w:ind w:left="284" w:hanging="284"/>
              <w:jc w:val="right"/>
              <w:rPr>
                <w:rFonts w:ascii="Calibri" w:hAnsi="Calibri"/>
                <w:b/>
                <w:sz w:val="22"/>
                <w:lang w:eastAsia="en-US"/>
              </w:rPr>
            </w:pPr>
            <w:proofErr w:type="spellStart"/>
            <w:r w:rsidRPr="00866299">
              <w:rPr>
                <w:rFonts w:ascii="Calibri" w:hAnsi="Calibri"/>
                <w:b/>
                <w:sz w:val="22"/>
                <w:lang w:eastAsia="en-US"/>
              </w:rPr>
              <w:t>NFP</w:t>
            </w:r>
            <w:proofErr w:type="spellEnd"/>
          </w:p>
        </w:tc>
        <w:tc>
          <w:tcPr>
            <w:tcW w:w="1029" w:type="dxa"/>
            <w:tcBorders>
              <w:top w:val="single" w:sz="4" w:space="0" w:color="auto"/>
            </w:tcBorders>
          </w:tcPr>
          <w:p w14:paraId="48F9E729" w14:textId="77777777" w:rsidR="003F5788" w:rsidRPr="00866299" w:rsidRDefault="003F5788" w:rsidP="003F5788">
            <w:pPr>
              <w:ind w:left="284" w:hanging="284"/>
              <w:jc w:val="right"/>
              <w:rPr>
                <w:rFonts w:ascii="Calibri" w:hAnsi="Calibri"/>
                <w:b/>
                <w:sz w:val="22"/>
                <w:lang w:eastAsia="en-US"/>
              </w:rPr>
            </w:pPr>
            <w:proofErr w:type="spellStart"/>
            <w:r w:rsidRPr="00866299">
              <w:rPr>
                <w:rFonts w:ascii="Calibri" w:hAnsi="Calibri"/>
                <w:b/>
                <w:sz w:val="22"/>
                <w:lang w:eastAsia="en-US"/>
              </w:rPr>
              <w:t>NFP</w:t>
            </w:r>
            <w:proofErr w:type="spellEnd"/>
          </w:p>
        </w:tc>
        <w:tc>
          <w:tcPr>
            <w:tcW w:w="1029" w:type="dxa"/>
            <w:tcBorders>
              <w:top w:val="single" w:sz="4" w:space="0" w:color="auto"/>
            </w:tcBorders>
          </w:tcPr>
          <w:p w14:paraId="3625F7E5" w14:textId="77777777" w:rsidR="003F5788" w:rsidRPr="00866299" w:rsidRDefault="003F5788" w:rsidP="003F5788">
            <w:pPr>
              <w:ind w:left="284" w:hanging="284"/>
              <w:jc w:val="right"/>
              <w:rPr>
                <w:rFonts w:ascii="Calibri" w:hAnsi="Calibri"/>
                <w:b/>
                <w:sz w:val="22"/>
                <w:lang w:eastAsia="en-US"/>
              </w:rPr>
            </w:pPr>
            <w:proofErr w:type="spellStart"/>
            <w:r w:rsidRPr="00866299">
              <w:rPr>
                <w:rFonts w:ascii="Calibri" w:hAnsi="Calibri"/>
                <w:b/>
                <w:sz w:val="22"/>
                <w:lang w:eastAsia="en-US"/>
              </w:rPr>
              <w:t>NFP</w:t>
            </w:r>
            <w:proofErr w:type="spellEnd"/>
          </w:p>
        </w:tc>
        <w:tc>
          <w:tcPr>
            <w:tcW w:w="1029" w:type="dxa"/>
            <w:tcBorders>
              <w:top w:val="single" w:sz="4" w:space="0" w:color="auto"/>
            </w:tcBorders>
          </w:tcPr>
          <w:p w14:paraId="69A3EA86" w14:textId="77777777" w:rsidR="003F5788" w:rsidRPr="00866299" w:rsidRDefault="003F5788" w:rsidP="003F5788">
            <w:pPr>
              <w:ind w:left="284" w:hanging="284"/>
              <w:jc w:val="right"/>
              <w:rPr>
                <w:rFonts w:ascii="Calibri" w:hAnsi="Calibri"/>
                <w:b/>
                <w:sz w:val="22"/>
                <w:lang w:eastAsia="en-US"/>
              </w:rPr>
            </w:pPr>
            <w:proofErr w:type="spellStart"/>
            <w:r w:rsidRPr="00866299">
              <w:rPr>
                <w:rFonts w:ascii="Calibri" w:hAnsi="Calibri"/>
                <w:b/>
                <w:sz w:val="22"/>
                <w:lang w:eastAsia="en-US"/>
              </w:rPr>
              <w:t>NFP</w:t>
            </w:r>
            <w:proofErr w:type="spellEnd"/>
          </w:p>
        </w:tc>
      </w:tr>
      <w:tr w:rsidR="003F5788" w:rsidRPr="00866299" w14:paraId="4EC30B53" w14:textId="77777777" w:rsidTr="00FD1D5C">
        <w:trPr>
          <w:cantSplit/>
        </w:trPr>
        <w:tc>
          <w:tcPr>
            <w:tcW w:w="3652" w:type="dxa"/>
            <w:tcBorders>
              <w:top w:val="single" w:sz="4" w:space="0" w:color="auto"/>
            </w:tcBorders>
          </w:tcPr>
          <w:p w14:paraId="68D0E298"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Depreciation</w:t>
            </w:r>
          </w:p>
        </w:tc>
        <w:tc>
          <w:tcPr>
            <w:tcW w:w="1179" w:type="dxa"/>
            <w:tcBorders>
              <w:top w:val="single" w:sz="4" w:space="0" w:color="auto"/>
            </w:tcBorders>
          </w:tcPr>
          <w:p w14:paraId="3091C5EC" w14:textId="77777777" w:rsidR="003F5788" w:rsidRPr="00866299" w:rsidRDefault="003F5788" w:rsidP="003F5788">
            <w:pPr>
              <w:ind w:left="284" w:hanging="284"/>
              <w:jc w:val="right"/>
              <w:rPr>
                <w:rFonts w:ascii="Calibri" w:hAnsi="Calibri"/>
                <w:sz w:val="22"/>
                <w:lang w:eastAsia="en-US"/>
              </w:rPr>
            </w:pPr>
            <w:proofErr w:type="spellStart"/>
            <w:r w:rsidRPr="00866299">
              <w:rPr>
                <w:rFonts w:ascii="Calibri" w:hAnsi="Calibri"/>
                <w:sz w:val="22"/>
                <w:lang w:eastAsia="en-US"/>
              </w:rPr>
              <w:t>NFP</w:t>
            </w:r>
            <w:proofErr w:type="spellEnd"/>
          </w:p>
        </w:tc>
        <w:tc>
          <w:tcPr>
            <w:tcW w:w="1041" w:type="dxa"/>
            <w:tcBorders>
              <w:top w:val="single" w:sz="4" w:space="0" w:color="auto"/>
            </w:tcBorders>
          </w:tcPr>
          <w:p w14:paraId="6362CD5E" w14:textId="77777777" w:rsidR="003F5788" w:rsidRPr="00866299" w:rsidRDefault="003F5788" w:rsidP="003F5788">
            <w:pPr>
              <w:ind w:left="284" w:hanging="284"/>
              <w:jc w:val="right"/>
              <w:rPr>
                <w:rFonts w:ascii="Calibri" w:hAnsi="Calibri"/>
                <w:sz w:val="22"/>
                <w:lang w:eastAsia="en-US"/>
              </w:rPr>
            </w:pPr>
            <w:proofErr w:type="spellStart"/>
            <w:r w:rsidRPr="00866299">
              <w:rPr>
                <w:rFonts w:ascii="Calibri" w:hAnsi="Calibri"/>
                <w:sz w:val="22"/>
                <w:lang w:eastAsia="en-US"/>
              </w:rPr>
              <w:t>NFP</w:t>
            </w:r>
            <w:proofErr w:type="spellEnd"/>
          </w:p>
        </w:tc>
        <w:tc>
          <w:tcPr>
            <w:tcW w:w="1029" w:type="dxa"/>
            <w:tcBorders>
              <w:top w:val="single" w:sz="4" w:space="0" w:color="auto"/>
            </w:tcBorders>
          </w:tcPr>
          <w:p w14:paraId="606D78CC" w14:textId="77777777" w:rsidR="003F5788" w:rsidRPr="00866299" w:rsidRDefault="003F5788" w:rsidP="003F5788">
            <w:pPr>
              <w:ind w:left="284" w:hanging="284"/>
              <w:jc w:val="right"/>
              <w:rPr>
                <w:rFonts w:ascii="Calibri" w:hAnsi="Calibri"/>
                <w:sz w:val="22"/>
                <w:lang w:eastAsia="en-US"/>
              </w:rPr>
            </w:pPr>
            <w:proofErr w:type="spellStart"/>
            <w:r w:rsidRPr="00866299">
              <w:rPr>
                <w:rFonts w:ascii="Calibri" w:hAnsi="Calibri"/>
                <w:sz w:val="22"/>
                <w:lang w:eastAsia="en-US"/>
              </w:rPr>
              <w:t>NFP</w:t>
            </w:r>
            <w:proofErr w:type="spellEnd"/>
          </w:p>
        </w:tc>
        <w:tc>
          <w:tcPr>
            <w:tcW w:w="1029" w:type="dxa"/>
            <w:tcBorders>
              <w:top w:val="single" w:sz="4" w:space="0" w:color="auto"/>
            </w:tcBorders>
          </w:tcPr>
          <w:p w14:paraId="62C0084B" w14:textId="77777777" w:rsidR="003F5788" w:rsidRPr="00866299" w:rsidRDefault="003F5788" w:rsidP="003F5788">
            <w:pPr>
              <w:ind w:left="284" w:hanging="284"/>
              <w:jc w:val="right"/>
              <w:rPr>
                <w:rFonts w:ascii="Calibri" w:hAnsi="Calibri"/>
                <w:sz w:val="22"/>
                <w:lang w:eastAsia="en-US"/>
              </w:rPr>
            </w:pPr>
            <w:proofErr w:type="spellStart"/>
            <w:r w:rsidRPr="00866299">
              <w:rPr>
                <w:rFonts w:ascii="Calibri" w:hAnsi="Calibri"/>
                <w:sz w:val="22"/>
                <w:lang w:eastAsia="en-US"/>
              </w:rPr>
              <w:t>NFP</w:t>
            </w:r>
            <w:proofErr w:type="spellEnd"/>
          </w:p>
        </w:tc>
        <w:tc>
          <w:tcPr>
            <w:tcW w:w="1029" w:type="dxa"/>
            <w:tcBorders>
              <w:top w:val="single" w:sz="4" w:space="0" w:color="auto"/>
            </w:tcBorders>
          </w:tcPr>
          <w:p w14:paraId="7C0B0B72" w14:textId="77777777" w:rsidR="003F5788" w:rsidRPr="00866299" w:rsidRDefault="003F5788" w:rsidP="003F5788">
            <w:pPr>
              <w:ind w:left="284" w:hanging="284"/>
              <w:jc w:val="right"/>
              <w:rPr>
                <w:rFonts w:ascii="Calibri" w:hAnsi="Calibri"/>
                <w:b/>
                <w:sz w:val="22"/>
                <w:lang w:eastAsia="en-US"/>
              </w:rPr>
            </w:pPr>
            <w:proofErr w:type="spellStart"/>
            <w:r w:rsidRPr="00866299">
              <w:rPr>
                <w:rFonts w:ascii="Calibri" w:hAnsi="Calibri"/>
                <w:b/>
                <w:sz w:val="22"/>
                <w:lang w:eastAsia="en-US"/>
              </w:rPr>
              <w:t>NFP</w:t>
            </w:r>
            <w:proofErr w:type="spellEnd"/>
          </w:p>
        </w:tc>
      </w:tr>
      <w:tr w:rsidR="003F5788" w:rsidRPr="00866299" w14:paraId="3FCD7DED" w14:textId="77777777" w:rsidTr="00FD1D5C">
        <w:trPr>
          <w:cantSplit/>
        </w:trPr>
        <w:tc>
          <w:tcPr>
            <w:tcW w:w="3652" w:type="dxa"/>
          </w:tcPr>
          <w:p w14:paraId="2B96532F"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Associated expenses</w:t>
            </w:r>
          </w:p>
        </w:tc>
        <w:tc>
          <w:tcPr>
            <w:tcW w:w="1179" w:type="dxa"/>
          </w:tcPr>
          <w:p w14:paraId="4101F85B"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41" w:type="dxa"/>
          </w:tcPr>
          <w:p w14:paraId="03A1A370"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200</w:t>
            </w:r>
          </w:p>
        </w:tc>
        <w:tc>
          <w:tcPr>
            <w:tcW w:w="1029" w:type="dxa"/>
          </w:tcPr>
          <w:p w14:paraId="6B07B423"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400</w:t>
            </w:r>
          </w:p>
        </w:tc>
        <w:tc>
          <w:tcPr>
            <w:tcW w:w="1029" w:type="dxa"/>
          </w:tcPr>
          <w:p w14:paraId="21968240"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500</w:t>
            </w:r>
          </w:p>
        </w:tc>
        <w:tc>
          <w:tcPr>
            <w:tcW w:w="1029" w:type="dxa"/>
          </w:tcPr>
          <w:p w14:paraId="260F9B81"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1,100</w:t>
            </w:r>
          </w:p>
        </w:tc>
      </w:tr>
      <w:tr w:rsidR="003F5788" w:rsidRPr="00866299" w14:paraId="0EC50FF2" w14:textId="77777777" w:rsidTr="00FD1D5C">
        <w:trPr>
          <w:cantSplit/>
        </w:trPr>
        <w:tc>
          <w:tcPr>
            <w:tcW w:w="3652" w:type="dxa"/>
            <w:tcBorders>
              <w:top w:val="single" w:sz="4" w:space="0" w:color="auto"/>
              <w:bottom w:val="single" w:sz="4" w:space="0" w:color="auto"/>
            </w:tcBorders>
          </w:tcPr>
          <w:p w14:paraId="4964D3AD" w14:textId="77777777" w:rsidR="003F5788" w:rsidRPr="00866299" w:rsidRDefault="003F5788" w:rsidP="003F5788">
            <w:pPr>
              <w:ind w:left="284" w:hanging="284"/>
              <w:rPr>
                <w:rFonts w:ascii="Calibri" w:hAnsi="Calibri"/>
                <w:b/>
                <w:sz w:val="22"/>
                <w:lang w:eastAsia="en-US"/>
              </w:rPr>
            </w:pPr>
            <w:r w:rsidRPr="00866299">
              <w:rPr>
                <w:rFonts w:ascii="Calibri" w:hAnsi="Calibri"/>
                <w:b/>
                <w:sz w:val="22"/>
                <w:lang w:eastAsia="en-US"/>
              </w:rPr>
              <w:t>Net expenses</w:t>
            </w:r>
          </w:p>
        </w:tc>
        <w:tc>
          <w:tcPr>
            <w:tcW w:w="1179" w:type="dxa"/>
            <w:tcBorders>
              <w:top w:val="single" w:sz="4" w:space="0" w:color="auto"/>
              <w:bottom w:val="single" w:sz="4" w:space="0" w:color="auto"/>
            </w:tcBorders>
          </w:tcPr>
          <w:p w14:paraId="3C1960E0" w14:textId="77777777" w:rsidR="003F5788" w:rsidRPr="00866299" w:rsidRDefault="003F5788" w:rsidP="003F5788">
            <w:pPr>
              <w:ind w:left="284" w:hanging="284"/>
              <w:jc w:val="right"/>
              <w:rPr>
                <w:rFonts w:ascii="Calibri" w:hAnsi="Calibri"/>
                <w:b/>
                <w:sz w:val="22"/>
                <w:lang w:eastAsia="en-US"/>
              </w:rPr>
            </w:pPr>
            <w:proofErr w:type="spellStart"/>
            <w:r w:rsidRPr="00866299">
              <w:rPr>
                <w:rFonts w:ascii="Calibri" w:hAnsi="Calibri"/>
                <w:b/>
                <w:sz w:val="22"/>
                <w:lang w:eastAsia="en-US"/>
              </w:rPr>
              <w:t>NFP</w:t>
            </w:r>
            <w:proofErr w:type="spellEnd"/>
          </w:p>
        </w:tc>
        <w:tc>
          <w:tcPr>
            <w:tcW w:w="1041" w:type="dxa"/>
            <w:tcBorders>
              <w:top w:val="single" w:sz="4" w:space="0" w:color="auto"/>
              <w:bottom w:val="single" w:sz="4" w:space="0" w:color="auto"/>
            </w:tcBorders>
          </w:tcPr>
          <w:p w14:paraId="34A640BA" w14:textId="77777777" w:rsidR="003F5788" w:rsidRPr="00866299" w:rsidRDefault="003F5788" w:rsidP="003F5788">
            <w:pPr>
              <w:ind w:left="284" w:hanging="284"/>
              <w:jc w:val="right"/>
              <w:rPr>
                <w:rFonts w:ascii="Calibri" w:hAnsi="Calibri"/>
                <w:b/>
                <w:sz w:val="22"/>
                <w:lang w:eastAsia="en-US"/>
              </w:rPr>
            </w:pPr>
            <w:proofErr w:type="spellStart"/>
            <w:r w:rsidRPr="00866299">
              <w:rPr>
                <w:rFonts w:ascii="Calibri" w:hAnsi="Calibri"/>
                <w:b/>
                <w:sz w:val="22"/>
                <w:lang w:eastAsia="en-US"/>
              </w:rPr>
              <w:t>NFP</w:t>
            </w:r>
            <w:proofErr w:type="spellEnd"/>
          </w:p>
        </w:tc>
        <w:tc>
          <w:tcPr>
            <w:tcW w:w="1029" w:type="dxa"/>
            <w:tcBorders>
              <w:top w:val="single" w:sz="4" w:space="0" w:color="auto"/>
              <w:bottom w:val="single" w:sz="4" w:space="0" w:color="auto"/>
            </w:tcBorders>
          </w:tcPr>
          <w:p w14:paraId="690DE0C1" w14:textId="77777777" w:rsidR="003F5788" w:rsidRPr="00866299" w:rsidRDefault="003F5788" w:rsidP="003F5788">
            <w:pPr>
              <w:ind w:left="284" w:hanging="284"/>
              <w:jc w:val="right"/>
              <w:rPr>
                <w:rFonts w:ascii="Calibri" w:hAnsi="Calibri"/>
                <w:b/>
                <w:sz w:val="22"/>
                <w:lang w:eastAsia="en-US"/>
              </w:rPr>
            </w:pPr>
            <w:proofErr w:type="spellStart"/>
            <w:r w:rsidRPr="00866299">
              <w:rPr>
                <w:rFonts w:ascii="Calibri" w:hAnsi="Calibri"/>
                <w:b/>
                <w:sz w:val="22"/>
                <w:lang w:eastAsia="en-US"/>
              </w:rPr>
              <w:t>NFP</w:t>
            </w:r>
            <w:proofErr w:type="spellEnd"/>
          </w:p>
        </w:tc>
        <w:tc>
          <w:tcPr>
            <w:tcW w:w="1029" w:type="dxa"/>
            <w:tcBorders>
              <w:top w:val="single" w:sz="4" w:space="0" w:color="auto"/>
              <w:bottom w:val="single" w:sz="4" w:space="0" w:color="auto"/>
            </w:tcBorders>
          </w:tcPr>
          <w:p w14:paraId="54744D5D" w14:textId="77777777" w:rsidR="003F5788" w:rsidRPr="00866299" w:rsidRDefault="003F5788" w:rsidP="003F5788">
            <w:pPr>
              <w:ind w:left="284" w:hanging="284"/>
              <w:jc w:val="right"/>
              <w:rPr>
                <w:rFonts w:ascii="Calibri" w:hAnsi="Calibri"/>
                <w:b/>
                <w:sz w:val="22"/>
                <w:lang w:eastAsia="en-US"/>
              </w:rPr>
            </w:pPr>
            <w:proofErr w:type="spellStart"/>
            <w:r w:rsidRPr="00866299">
              <w:rPr>
                <w:rFonts w:ascii="Calibri" w:hAnsi="Calibri"/>
                <w:b/>
                <w:sz w:val="22"/>
                <w:lang w:eastAsia="en-US"/>
              </w:rPr>
              <w:t>NFP</w:t>
            </w:r>
            <w:proofErr w:type="spellEnd"/>
          </w:p>
        </w:tc>
        <w:tc>
          <w:tcPr>
            <w:tcW w:w="1029" w:type="dxa"/>
            <w:tcBorders>
              <w:top w:val="single" w:sz="4" w:space="0" w:color="auto"/>
              <w:bottom w:val="single" w:sz="4" w:space="0" w:color="auto"/>
            </w:tcBorders>
          </w:tcPr>
          <w:p w14:paraId="0CC8CF4A" w14:textId="77777777" w:rsidR="003F5788" w:rsidRPr="00866299" w:rsidRDefault="003F5788" w:rsidP="003F5788">
            <w:pPr>
              <w:ind w:left="284" w:hanging="284"/>
              <w:jc w:val="right"/>
              <w:rPr>
                <w:rFonts w:ascii="Calibri" w:hAnsi="Calibri"/>
                <w:b/>
                <w:sz w:val="22"/>
                <w:lang w:eastAsia="en-US"/>
              </w:rPr>
            </w:pPr>
            <w:proofErr w:type="spellStart"/>
            <w:r w:rsidRPr="00866299">
              <w:rPr>
                <w:rFonts w:ascii="Calibri" w:hAnsi="Calibri"/>
                <w:b/>
                <w:sz w:val="22"/>
                <w:lang w:eastAsia="en-US"/>
              </w:rPr>
              <w:t>NFP</w:t>
            </w:r>
            <w:proofErr w:type="spellEnd"/>
          </w:p>
        </w:tc>
      </w:tr>
    </w:tbl>
    <w:p w14:paraId="39016406" w14:textId="77777777" w:rsidR="003F5788" w:rsidRPr="003F5788" w:rsidRDefault="003F5788" w:rsidP="00FD1D5C">
      <w:pPr>
        <w:pStyle w:val="snapInitbody"/>
      </w:pPr>
      <w:r w:rsidRPr="003F5788">
        <w:t xml:space="preserve">The Government will deliver a major upgrade and expansion of Canberra Hospital by delivering the Surgical Procedures, Interventional Radiology and Emergency (SPIRE) Centre. SPIRE will deliver a state-of-the-art critical care and surgical facility to meet acute healthcare demand into the future by providing: additional inpatient beds; new and more operating theatres; a new and expanded intensive care unit including a paediatric intensive care unit; a rehabilitation gymnasium; and a family zone to support family centred care. It will also feature an expanded coronary care unit including interventional cardiology; interventional radiology suites; a new and expanded emergency department; a mental health short-stay unit; integrated radiology and medical imaging capability; and associated storage and clinical support services. </w:t>
      </w:r>
    </w:p>
    <w:p w14:paraId="0566FAFF" w14:textId="77777777" w:rsidR="003F5788" w:rsidRPr="003F5788" w:rsidRDefault="003F5788" w:rsidP="00FD1D5C">
      <w:pPr>
        <w:pStyle w:val="snapInitbody"/>
      </w:pPr>
      <w:r w:rsidRPr="003F5788">
        <w:t>The budget includes a provision for the estimated construction costs of SPIRE, which will not yet be published to ensure value for money in the Government’s approach to market.</w:t>
      </w:r>
    </w:p>
    <w:p w14:paraId="5AB7C0AF" w14:textId="77777777" w:rsidR="003F5788" w:rsidRPr="00202E81" w:rsidRDefault="003F5788" w:rsidP="00202E81">
      <w:pPr>
        <w:pStyle w:val="snapInittitles"/>
      </w:pPr>
      <w:r w:rsidRPr="00202E81">
        <w:t xml:space="preserve">Expanding Clare Holland House to strengthen palliative care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F5788" w:rsidRPr="00866299" w14:paraId="4D2674FD" w14:textId="77777777" w:rsidTr="00FD1D5C">
        <w:trPr>
          <w:cantSplit/>
        </w:trPr>
        <w:tc>
          <w:tcPr>
            <w:tcW w:w="3652" w:type="dxa"/>
            <w:tcBorders>
              <w:top w:val="single" w:sz="4" w:space="0" w:color="auto"/>
              <w:bottom w:val="single" w:sz="4" w:space="0" w:color="auto"/>
            </w:tcBorders>
          </w:tcPr>
          <w:p w14:paraId="5667CE51" w14:textId="226C0F02" w:rsidR="003F5788" w:rsidRPr="00866299" w:rsidRDefault="003F5788" w:rsidP="003F5788">
            <w:pPr>
              <w:jc w:val="right"/>
              <w:rPr>
                <w:rFonts w:ascii="Calibri" w:hAnsi="Calibri" w:cs="Calibri"/>
                <w:i/>
                <w:color w:val="FFFFFF"/>
                <w:sz w:val="22"/>
                <w:highlight w:val="yellow"/>
                <w:lang w:eastAsia="en-US"/>
              </w:rPr>
            </w:pPr>
          </w:p>
        </w:tc>
        <w:tc>
          <w:tcPr>
            <w:tcW w:w="1179" w:type="dxa"/>
            <w:tcBorders>
              <w:top w:val="single" w:sz="4" w:space="0" w:color="auto"/>
              <w:bottom w:val="single" w:sz="4" w:space="0" w:color="auto"/>
            </w:tcBorders>
          </w:tcPr>
          <w:p w14:paraId="6762E3F9"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2019-20</w:t>
            </w:r>
          </w:p>
          <w:p w14:paraId="57D0AC89"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7B77DEE1"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2020-21</w:t>
            </w:r>
          </w:p>
          <w:p w14:paraId="40AE5925"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B9EC092"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2021-22</w:t>
            </w:r>
          </w:p>
          <w:p w14:paraId="144EA2F8"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7CEB65F"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2022-23</w:t>
            </w:r>
          </w:p>
          <w:p w14:paraId="40372FC8"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030DA42"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Total</w:t>
            </w:r>
          </w:p>
          <w:p w14:paraId="0D31DE36"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$’000</w:t>
            </w:r>
          </w:p>
        </w:tc>
      </w:tr>
      <w:tr w:rsidR="003F5788" w:rsidRPr="00866299" w14:paraId="2E2CFC61" w14:textId="77777777" w:rsidTr="00FD1D5C">
        <w:trPr>
          <w:cantSplit/>
        </w:trPr>
        <w:tc>
          <w:tcPr>
            <w:tcW w:w="3652" w:type="dxa"/>
            <w:tcBorders>
              <w:top w:val="single" w:sz="4" w:space="0" w:color="auto"/>
            </w:tcBorders>
          </w:tcPr>
          <w:p w14:paraId="5762F0AA"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Capital</w:t>
            </w:r>
          </w:p>
        </w:tc>
        <w:tc>
          <w:tcPr>
            <w:tcW w:w="1179" w:type="dxa"/>
            <w:tcBorders>
              <w:top w:val="single" w:sz="4" w:space="0" w:color="auto"/>
            </w:tcBorders>
          </w:tcPr>
          <w:p w14:paraId="09B79309"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2,000</w:t>
            </w:r>
          </w:p>
        </w:tc>
        <w:tc>
          <w:tcPr>
            <w:tcW w:w="1041" w:type="dxa"/>
            <w:tcBorders>
              <w:top w:val="single" w:sz="4" w:space="0" w:color="auto"/>
            </w:tcBorders>
          </w:tcPr>
          <w:p w14:paraId="62907B9C"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2,000</w:t>
            </w:r>
          </w:p>
        </w:tc>
        <w:tc>
          <w:tcPr>
            <w:tcW w:w="1029" w:type="dxa"/>
            <w:tcBorders>
              <w:top w:val="single" w:sz="4" w:space="0" w:color="auto"/>
            </w:tcBorders>
          </w:tcPr>
          <w:p w14:paraId="5BE30A7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2,000</w:t>
            </w:r>
          </w:p>
        </w:tc>
        <w:tc>
          <w:tcPr>
            <w:tcW w:w="1029" w:type="dxa"/>
            <w:tcBorders>
              <w:top w:val="single" w:sz="4" w:space="0" w:color="auto"/>
            </w:tcBorders>
          </w:tcPr>
          <w:p w14:paraId="3015DF5C"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52269B9F"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6,000</w:t>
            </w:r>
          </w:p>
        </w:tc>
      </w:tr>
      <w:tr w:rsidR="003F5788" w:rsidRPr="00866299" w14:paraId="1EB1B579" w14:textId="77777777" w:rsidTr="00FD1D5C">
        <w:trPr>
          <w:cantSplit/>
        </w:trPr>
        <w:tc>
          <w:tcPr>
            <w:tcW w:w="3652" w:type="dxa"/>
            <w:tcBorders>
              <w:bottom w:val="single" w:sz="4" w:space="0" w:color="auto"/>
            </w:tcBorders>
          </w:tcPr>
          <w:p w14:paraId="0EDAD202"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Offset – Capital</w:t>
            </w:r>
          </w:p>
        </w:tc>
        <w:tc>
          <w:tcPr>
            <w:tcW w:w="1179" w:type="dxa"/>
            <w:tcBorders>
              <w:bottom w:val="single" w:sz="4" w:space="0" w:color="auto"/>
            </w:tcBorders>
          </w:tcPr>
          <w:p w14:paraId="7BB7561D"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-2,000</w:t>
            </w:r>
          </w:p>
        </w:tc>
        <w:tc>
          <w:tcPr>
            <w:tcW w:w="1041" w:type="dxa"/>
            <w:tcBorders>
              <w:bottom w:val="single" w:sz="4" w:space="0" w:color="auto"/>
            </w:tcBorders>
          </w:tcPr>
          <w:p w14:paraId="436F8A00"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-2,000</w:t>
            </w:r>
          </w:p>
        </w:tc>
        <w:tc>
          <w:tcPr>
            <w:tcW w:w="1029" w:type="dxa"/>
            <w:tcBorders>
              <w:bottom w:val="single" w:sz="4" w:space="0" w:color="auto"/>
            </w:tcBorders>
          </w:tcPr>
          <w:p w14:paraId="290DF865"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-2,000</w:t>
            </w:r>
          </w:p>
        </w:tc>
        <w:tc>
          <w:tcPr>
            <w:tcW w:w="1029" w:type="dxa"/>
            <w:tcBorders>
              <w:bottom w:val="single" w:sz="4" w:space="0" w:color="auto"/>
            </w:tcBorders>
          </w:tcPr>
          <w:p w14:paraId="17FEFEBB"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bottom w:val="single" w:sz="4" w:space="0" w:color="auto"/>
            </w:tcBorders>
          </w:tcPr>
          <w:p w14:paraId="2C7EFCB7"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-6,000</w:t>
            </w:r>
          </w:p>
        </w:tc>
      </w:tr>
      <w:tr w:rsidR="003F5788" w:rsidRPr="00866299" w14:paraId="26DAACBD" w14:textId="77777777" w:rsidTr="00FD1D5C">
        <w:trPr>
          <w:cantSplit/>
        </w:trPr>
        <w:tc>
          <w:tcPr>
            <w:tcW w:w="3652" w:type="dxa"/>
            <w:tcBorders>
              <w:top w:val="single" w:sz="4" w:space="0" w:color="auto"/>
              <w:bottom w:val="single" w:sz="4" w:space="0" w:color="auto"/>
            </w:tcBorders>
          </w:tcPr>
          <w:p w14:paraId="228BB741" w14:textId="77777777" w:rsidR="003F5788" w:rsidRPr="00866299" w:rsidRDefault="003F5788" w:rsidP="003F5788">
            <w:pPr>
              <w:ind w:left="284" w:hanging="284"/>
              <w:rPr>
                <w:rFonts w:ascii="Calibri" w:hAnsi="Calibri"/>
                <w:b/>
                <w:sz w:val="22"/>
                <w:lang w:eastAsia="en-US"/>
              </w:rPr>
            </w:pPr>
            <w:r w:rsidRPr="00866299">
              <w:rPr>
                <w:rFonts w:ascii="Calibri" w:hAnsi="Calibri"/>
                <w:b/>
                <w:sz w:val="22"/>
                <w:lang w:eastAsia="en-US"/>
              </w:rPr>
              <w:t>Net capital</w:t>
            </w:r>
          </w:p>
        </w:tc>
        <w:tc>
          <w:tcPr>
            <w:tcW w:w="1179" w:type="dxa"/>
            <w:tcBorders>
              <w:top w:val="single" w:sz="4" w:space="0" w:color="auto"/>
              <w:bottom w:val="single" w:sz="4" w:space="0" w:color="auto"/>
            </w:tcBorders>
          </w:tcPr>
          <w:p w14:paraId="6501F959"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w:t>
            </w:r>
          </w:p>
        </w:tc>
        <w:tc>
          <w:tcPr>
            <w:tcW w:w="1041" w:type="dxa"/>
            <w:tcBorders>
              <w:top w:val="single" w:sz="4" w:space="0" w:color="auto"/>
              <w:bottom w:val="single" w:sz="4" w:space="0" w:color="auto"/>
            </w:tcBorders>
          </w:tcPr>
          <w:p w14:paraId="17C7C924"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667C1C94"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426143F0"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287836CA"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w:t>
            </w:r>
          </w:p>
        </w:tc>
      </w:tr>
      <w:tr w:rsidR="003F5788" w:rsidRPr="00866299" w14:paraId="464DAF00" w14:textId="77777777" w:rsidTr="00FD1D5C">
        <w:trPr>
          <w:cantSplit/>
        </w:trPr>
        <w:tc>
          <w:tcPr>
            <w:tcW w:w="3652" w:type="dxa"/>
            <w:tcBorders>
              <w:top w:val="single" w:sz="4" w:space="0" w:color="auto"/>
            </w:tcBorders>
          </w:tcPr>
          <w:p w14:paraId="2E21A1D5"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Depreciation</w:t>
            </w:r>
          </w:p>
        </w:tc>
        <w:tc>
          <w:tcPr>
            <w:tcW w:w="1179" w:type="dxa"/>
            <w:tcBorders>
              <w:top w:val="single" w:sz="4" w:space="0" w:color="auto"/>
            </w:tcBorders>
          </w:tcPr>
          <w:p w14:paraId="5B4A33AE"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41" w:type="dxa"/>
            <w:tcBorders>
              <w:top w:val="single" w:sz="4" w:space="0" w:color="auto"/>
            </w:tcBorders>
          </w:tcPr>
          <w:p w14:paraId="48AD891B"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4471A40E"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56AF7F5B"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120</w:t>
            </w:r>
          </w:p>
        </w:tc>
        <w:tc>
          <w:tcPr>
            <w:tcW w:w="1029" w:type="dxa"/>
            <w:tcBorders>
              <w:top w:val="single" w:sz="4" w:space="0" w:color="auto"/>
            </w:tcBorders>
          </w:tcPr>
          <w:p w14:paraId="25B5B0D5"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120</w:t>
            </w:r>
          </w:p>
        </w:tc>
      </w:tr>
      <w:tr w:rsidR="003F5788" w:rsidRPr="00866299" w14:paraId="5A7392A9" w14:textId="77777777" w:rsidTr="00FD1D5C">
        <w:trPr>
          <w:cantSplit/>
        </w:trPr>
        <w:tc>
          <w:tcPr>
            <w:tcW w:w="3652" w:type="dxa"/>
          </w:tcPr>
          <w:p w14:paraId="2D3F61C0"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Associated expenses</w:t>
            </w:r>
          </w:p>
        </w:tc>
        <w:tc>
          <w:tcPr>
            <w:tcW w:w="1179" w:type="dxa"/>
          </w:tcPr>
          <w:p w14:paraId="7395D8E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41" w:type="dxa"/>
          </w:tcPr>
          <w:p w14:paraId="56AF84DD"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2688F5DE"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60</w:t>
            </w:r>
          </w:p>
        </w:tc>
        <w:tc>
          <w:tcPr>
            <w:tcW w:w="1029" w:type="dxa"/>
          </w:tcPr>
          <w:p w14:paraId="6F4D087B"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120</w:t>
            </w:r>
          </w:p>
        </w:tc>
        <w:tc>
          <w:tcPr>
            <w:tcW w:w="1029" w:type="dxa"/>
          </w:tcPr>
          <w:p w14:paraId="794B57C8"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180</w:t>
            </w:r>
          </w:p>
        </w:tc>
      </w:tr>
      <w:tr w:rsidR="003F5788" w:rsidRPr="00866299" w14:paraId="642623D6" w14:textId="77777777" w:rsidTr="00FD1D5C">
        <w:trPr>
          <w:cantSplit/>
        </w:trPr>
        <w:tc>
          <w:tcPr>
            <w:tcW w:w="3652" w:type="dxa"/>
            <w:tcBorders>
              <w:top w:val="single" w:sz="4" w:space="0" w:color="auto"/>
              <w:bottom w:val="single" w:sz="4" w:space="0" w:color="auto"/>
            </w:tcBorders>
          </w:tcPr>
          <w:p w14:paraId="1ECE32BD" w14:textId="77777777" w:rsidR="003F5788" w:rsidRPr="00866299" w:rsidRDefault="003F5788" w:rsidP="003F5788">
            <w:pPr>
              <w:ind w:left="284" w:hanging="284"/>
              <w:rPr>
                <w:rFonts w:ascii="Calibri" w:hAnsi="Calibri"/>
                <w:b/>
                <w:sz w:val="22"/>
                <w:lang w:eastAsia="en-US"/>
              </w:rPr>
            </w:pPr>
            <w:r w:rsidRPr="00866299">
              <w:rPr>
                <w:rFonts w:ascii="Calibri" w:hAnsi="Calibri"/>
                <w:b/>
                <w:sz w:val="22"/>
                <w:lang w:eastAsia="en-US"/>
              </w:rPr>
              <w:t>Total expenses</w:t>
            </w:r>
          </w:p>
        </w:tc>
        <w:tc>
          <w:tcPr>
            <w:tcW w:w="1179" w:type="dxa"/>
            <w:tcBorders>
              <w:top w:val="single" w:sz="4" w:space="0" w:color="auto"/>
              <w:bottom w:val="single" w:sz="4" w:space="0" w:color="auto"/>
            </w:tcBorders>
          </w:tcPr>
          <w:p w14:paraId="677D523A"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w:t>
            </w:r>
          </w:p>
        </w:tc>
        <w:tc>
          <w:tcPr>
            <w:tcW w:w="1041" w:type="dxa"/>
            <w:tcBorders>
              <w:top w:val="single" w:sz="4" w:space="0" w:color="auto"/>
              <w:bottom w:val="single" w:sz="4" w:space="0" w:color="auto"/>
            </w:tcBorders>
          </w:tcPr>
          <w:p w14:paraId="4DC8658B"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1BEC639C"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60</w:t>
            </w:r>
          </w:p>
        </w:tc>
        <w:tc>
          <w:tcPr>
            <w:tcW w:w="1029" w:type="dxa"/>
            <w:tcBorders>
              <w:top w:val="single" w:sz="4" w:space="0" w:color="auto"/>
              <w:bottom w:val="single" w:sz="4" w:space="0" w:color="auto"/>
            </w:tcBorders>
          </w:tcPr>
          <w:p w14:paraId="56B6108B"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240</w:t>
            </w:r>
          </w:p>
        </w:tc>
        <w:tc>
          <w:tcPr>
            <w:tcW w:w="1029" w:type="dxa"/>
            <w:tcBorders>
              <w:top w:val="single" w:sz="4" w:space="0" w:color="auto"/>
              <w:bottom w:val="single" w:sz="4" w:space="0" w:color="auto"/>
            </w:tcBorders>
          </w:tcPr>
          <w:p w14:paraId="21A5792B"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300</w:t>
            </w:r>
          </w:p>
        </w:tc>
      </w:tr>
    </w:tbl>
    <w:p w14:paraId="2639B1F2" w14:textId="77777777" w:rsidR="003F5788" w:rsidRPr="003F5788" w:rsidRDefault="003F5788" w:rsidP="00FD1D5C">
      <w:pPr>
        <w:pStyle w:val="snapInitbody"/>
      </w:pPr>
      <w:r w:rsidRPr="003F5788">
        <w:t>With the support of the Australian Government and The Snow Foundation, the Government will expand Clare Holland House to continue to provide high quality care with dignity and respect</w:t>
      </w:r>
      <w:r w:rsidRPr="003F5788" w:rsidDel="003C4BAA">
        <w:t xml:space="preserve"> </w:t>
      </w:r>
      <w:r w:rsidRPr="003F5788">
        <w:t xml:space="preserve">for more Canberrans at the end of their lives. The expansion will deliver more inpatient beds as well as improved administration and clinical support spaces. </w:t>
      </w:r>
    </w:p>
    <w:p w14:paraId="3C7A2733" w14:textId="77777777" w:rsidR="00B6149F" w:rsidRDefault="00B6149F">
      <w:pPr>
        <w:rPr>
          <w:rFonts w:ascii="Calibri" w:hAnsi="Calibri"/>
          <w:b/>
          <w:bCs/>
          <w:szCs w:val="26"/>
          <w:lang w:val="x-none" w:eastAsia="en-US"/>
        </w:rPr>
      </w:pPr>
      <w:r>
        <w:br w:type="page"/>
      </w:r>
    </w:p>
    <w:p w14:paraId="0E6C454B" w14:textId="6C0FFD6D" w:rsidR="003F5788" w:rsidRPr="00202E81" w:rsidRDefault="003F5788" w:rsidP="00202E81">
      <w:pPr>
        <w:pStyle w:val="snapInittitles"/>
      </w:pPr>
      <w:r w:rsidRPr="00202E81">
        <w:t xml:space="preserve">Expanding the Centenary Hospital for Women and Children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F5788" w:rsidRPr="00866299" w14:paraId="7188DAAD" w14:textId="77777777" w:rsidTr="00FD1D5C">
        <w:trPr>
          <w:cantSplit/>
        </w:trPr>
        <w:tc>
          <w:tcPr>
            <w:tcW w:w="3652" w:type="dxa"/>
            <w:tcBorders>
              <w:top w:val="single" w:sz="4" w:space="0" w:color="auto"/>
              <w:bottom w:val="single" w:sz="4" w:space="0" w:color="auto"/>
            </w:tcBorders>
          </w:tcPr>
          <w:p w14:paraId="6AAB0072" w14:textId="7AD12D71" w:rsidR="003F5788" w:rsidRPr="00866299" w:rsidRDefault="003F5788" w:rsidP="003F5788">
            <w:pPr>
              <w:jc w:val="right"/>
              <w:rPr>
                <w:rFonts w:ascii="Calibri" w:hAnsi="Calibri" w:cs="Calibri"/>
                <w:i/>
                <w:color w:val="FFFFFF"/>
                <w:sz w:val="22"/>
                <w:highlight w:val="yellow"/>
                <w:lang w:eastAsia="en-US"/>
              </w:rPr>
            </w:pPr>
          </w:p>
        </w:tc>
        <w:tc>
          <w:tcPr>
            <w:tcW w:w="1179" w:type="dxa"/>
            <w:tcBorders>
              <w:top w:val="single" w:sz="4" w:space="0" w:color="auto"/>
              <w:bottom w:val="single" w:sz="4" w:space="0" w:color="auto"/>
            </w:tcBorders>
          </w:tcPr>
          <w:p w14:paraId="3D3D0A14"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2019-20</w:t>
            </w:r>
          </w:p>
          <w:p w14:paraId="69B873FC"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644678C4"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2020-21</w:t>
            </w:r>
          </w:p>
          <w:p w14:paraId="7E93D875"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08E3F7DE"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2021-22</w:t>
            </w:r>
          </w:p>
          <w:p w14:paraId="2CA8C0C3"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0F7CCC2"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2022-23</w:t>
            </w:r>
          </w:p>
          <w:p w14:paraId="1D77191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D0AC020"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Total</w:t>
            </w:r>
          </w:p>
          <w:p w14:paraId="207988FB"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$’000</w:t>
            </w:r>
          </w:p>
        </w:tc>
      </w:tr>
      <w:tr w:rsidR="003F5788" w:rsidRPr="00866299" w14:paraId="5E70255B" w14:textId="77777777" w:rsidTr="00FD1D5C">
        <w:trPr>
          <w:cantSplit/>
        </w:trPr>
        <w:tc>
          <w:tcPr>
            <w:tcW w:w="3652" w:type="dxa"/>
            <w:tcBorders>
              <w:top w:val="single" w:sz="4" w:space="0" w:color="auto"/>
            </w:tcBorders>
          </w:tcPr>
          <w:p w14:paraId="2A3A025B"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Capital</w:t>
            </w:r>
          </w:p>
        </w:tc>
        <w:tc>
          <w:tcPr>
            <w:tcW w:w="1179" w:type="dxa"/>
            <w:tcBorders>
              <w:top w:val="single" w:sz="4" w:space="0" w:color="auto"/>
            </w:tcBorders>
          </w:tcPr>
          <w:p w14:paraId="0E7918EE"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41" w:type="dxa"/>
            <w:tcBorders>
              <w:top w:val="single" w:sz="4" w:space="0" w:color="auto"/>
            </w:tcBorders>
          </w:tcPr>
          <w:p w14:paraId="56BE1AF5"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30,000</w:t>
            </w:r>
          </w:p>
        </w:tc>
        <w:tc>
          <w:tcPr>
            <w:tcW w:w="1029" w:type="dxa"/>
            <w:tcBorders>
              <w:top w:val="single" w:sz="4" w:space="0" w:color="auto"/>
            </w:tcBorders>
          </w:tcPr>
          <w:p w14:paraId="561D0132"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10,550</w:t>
            </w:r>
          </w:p>
        </w:tc>
        <w:tc>
          <w:tcPr>
            <w:tcW w:w="1029" w:type="dxa"/>
            <w:tcBorders>
              <w:top w:val="single" w:sz="4" w:space="0" w:color="auto"/>
            </w:tcBorders>
          </w:tcPr>
          <w:p w14:paraId="31C3ACFD"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3AD026E0"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40,550</w:t>
            </w:r>
          </w:p>
        </w:tc>
      </w:tr>
      <w:tr w:rsidR="003F5788" w:rsidRPr="00866299" w14:paraId="7564E73D" w14:textId="77777777" w:rsidTr="00FD1D5C">
        <w:trPr>
          <w:cantSplit/>
        </w:trPr>
        <w:tc>
          <w:tcPr>
            <w:tcW w:w="3652" w:type="dxa"/>
            <w:tcBorders>
              <w:top w:val="single" w:sz="4" w:space="0" w:color="auto"/>
            </w:tcBorders>
          </w:tcPr>
          <w:p w14:paraId="0F5606ED" w14:textId="77777777" w:rsidR="003F5788" w:rsidRPr="00866299" w:rsidRDefault="003F5788" w:rsidP="003F5788">
            <w:pPr>
              <w:ind w:left="284" w:hanging="284"/>
              <w:rPr>
                <w:rFonts w:ascii="Calibri" w:hAnsi="Calibri"/>
                <w:sz w:val="22"/>
                <w:highlight w:val="yellow"/>
                <w:lang w:eastAsia="en-US"/>
              </w:rPr>
            </w:pPr>
            <w:r w:rsidRPr="00866299">
              <w:rPr>
                <w:rFonts w:ascii="Calibri" w:hAnsi="Calibri"/>
                <w:sz w:val="22"/>
                <w:lang w:eastAsia="en-US"/>
              </w:rPr>
              <w:t>Depreciation</w:t>
            </w:r>
          </w:p>
        </w:tc>
        <w:tc>
          <w:tcPr>
            <w:tcW w:w="1179" w:type="dxa"/>
            <w:tcBorders>
              <w:top w:val="single" w:sz="4" w:space="0" w:color="auto"/>
            </w:tcBorders>
          </w:tcPr>
          <w:p w14:paraId="72547707"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41" w:type="dxa"/>
            <w:tcBorders>
              <w:top w:val="single" w:sz="4" w:space="0" w:color="auto"/>
            </w:tcBorders>
          </w:tcPr>
          <w:p w14:paraId="2D674BF1"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294</w:t>
            </w:r>
          </w:p>
        </w:tc>
        <w:tc>
          <w:tcPr>
            <w:tcW w:w="1029" w:type="dxa"/>
            <w:tcBorders>
              <w:top w:val="single" w:sz="4" w:space="0" w:color="auto"/>
            </w:tcBorders>
          </w:tcPr>
          <w:p w14:paraId="6ED934E4"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1,717</w:t>
            </w:r>
          </w:p>
        </w:tc>
        <w:tc>
          <w:tcPr>
            <w:tcW w:w="1029" w:type="dxa"/>
            <w:tcBorders>
              <w:top w:val="single" w:sz="4" w:space="0" w:color="auto"/>
            </w:tcBorders>
          </w:tcPr>
          <w:p w14:paraId="1DCEEE97"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2,370</w:t>
            </w:r>
          </w:p>
        </w:tc>
        <w:tc>
          <w:tcPr>
            <w:tcW w:w="1029" w:type="dxa"/>
            <w:tcBorders>
              <w:top w:val="single" w:sz="4" w:space="0" w:color="auto"/>
            </w:tcBorders>
          </w:tcPr>
          <w:p w14:paraId="26A3CFBA"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4,381</w:t>
            </w:r>
          </w:p>
        </w:tc>
      </w:tr>
      <w:tr w:rsidR="003F5788" w:rsidRPr="00866299" w14:paraId="32D8A03C" w14:textId="77777777" w:rsidTr="00FD1D5C">
        <w:trPr>
          <w:cantSplit/>
        </w:trPr>
        <w:tc>
          <w:tcPr>
            <w:tcW w:w="3652" w:type="dxa"/>
          </w:tcPr>
          <w:p w14:paraId="3B07F2BE"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Associated expenses</w:t>
            </w:r>
          </w:p>
        </w:tc>
        <w:tc>
          <w:tcPr>
            <w:tcW w:w="1179" w:type="dxa"/>
          </w:tcPr>
          <w:p w14:paraId="3AF825EF"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41" w:type="dxa"/>
          </w:tcPr>
          <w:p w14:paraId="5CD42387"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3,990</w:t>
            </w:r>
          </w:p>
        </w:tc>
        <w:tc>
          <w:tcPr>
            <w:tcW w:w="1029" w:type="dxa"/>
          </w:tcPr>
          <w:p w14:paraId="5163ECD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14,990</w:t>
            </w:r>
          </w:p>
        </w:tc>
        <w:tc>
          <w:tcPr>
            <w:tcW w:w="1029" w:type="dxa"/>
          </w:tcPr>
          <w:p w14:paraId="018235E0"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20,510</w:t>
            </w:r>
          </w:p>
        </w:tc>
        <w:tc>
          <w:tcPr>
            <w:tcW w:w="1029" w:type="dxa"/>
          </w:tcPr>
          <w:p w14:paraId="7B597B35"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39,490</w:t>
            </w:r>
          </w:p>
        </w:tc>
      </w:tr>
      <w:tr w:rsidR="003F5788" w:rsidRPr="00866299" w14:paraId="0008E2F8" w14:textId="77777777" w:rsidTr="00FD1D5C">
        <w:trPr>
          <w:cantSplit/>
        </w:trPr>
        <w:tc>
          <w:tcPr>
            <w:tcW w:w="3652" w:type="dxa"/>
          </w:tcPr>
          <w:p w14:paraId="3B87E61A"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Associated expenses – Capital grant</w:t>
            </w:r>
          </w:p>
        </w:tc>
        <w:tc>
          <w:tcPr>
            <w:tcW w:w="1179" w:type="dxa"/>
          </w:tcPr>
          <w:p w14:paraId="67935826"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3,000</w:t>
            </w:r>
          </w:p>
        </w:tc>
        <w:tc>
          <w:tcPr>
            <w:tcW w:w="1041" w:type="dxa"/>
          </w:tcPr>
          <w:p w14:paraId="1AA98871"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74E41A55"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6DD3336D"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5A68C2E0"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3,000</w:t>
            </w:r>
          </w:p>
        </w:tc>
      </w:tr>
      <w:tr w:rsidR="003F5788" w:rsidRPr="00866299" w14:paraId="750AA4BF" w14:textId="77777777" w:rsidTr="00FD1D5C">
        <w:trPr>
          <w:cantSplit/>
        </w:trPr>
        <w:tc>
          <w:tcPr>
            <w:tcW w:w="3652" w:type="dxa"/>
            <w:tcBorders>
              <w:top w:val="single" w:sz="4" w:space="0" w:color="auto"/>
              <w:bottom w:val="single" w:sz="4" w:space="0" w:color="auto"/>
            </w:tcBorders>
          </w:tcPr>
          <w:p w14:paraId="6FF80488" w14:textId="77777777" w:rsidR="003F5788" w:rsidRPr="00866299" w:rsidRDefault="003F5788" w:rsidP="003F5788">
            <w:pPr>
              <w:ind w:left="284" w:hanging="284"/>
              <w:rPr>
                <w:rFonts w:ascii="Calibri" w:hAnsi="Calibri"/>
                <w:b/>
                <w:sz w:val="22"/>
                <w:lang w:eastAsia="en-US"/>
              </w:rPr>
            </w:pPr>
            <w:r w:rsidRPr="00866299">
              <w:rPr>
                <w:rFonts w:ascii="Calibri" w:hAnsi="Calibri"/>
                <w:b/>
                <w:sz w:val="22"/>
                <w:lang w:eastAsia="en-US"/>
              </w:rPr>
              <w:t>Net expenses</w:t>
            </w:r>
          </w:p>
        </w:tc>
        <w:tc>
          <w:tcPr>
            <w:tcW w:w="1179" w:type="dxa"/>
            <w:tcBorders>
              <w:top w:val="single" w:sz="4" w:space="0" w:color="auto"/>
              <w:bottom w:val="single" w:sz="4" w:space="0" w:color="auto"/>
            </w:tcBorders>
          </w:tcPr>
          <w:p w14:paraId="18D2B757"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3,000</w:t>
            </w:r>
          </w:p>
        </w:tc>
        <w:tc>
          <w:tcPr>
            <w:tcW w:w="1041" w:type="dxa"/>
            <w:tcBorders>
              <w:top w:val="single" w:sz="4" w:space="0" w:color="auto"/>
              <w:bottom w:val="single" w:sz="4" w:space="0" w:color="auto"/>
            </w:tcBorders>
          </w:tcPr>
          <w:p w14:paraId="66D0554D"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4,284</w:t>
            </w:r>
          </w:p>
        </w:tc>
        <w:tc>
          <w:tcPr>
            <w:tcW w:w="1029" w:type="dxa"/>
            <w:tcBorders>
              <w:top w:val="single" w:sz="4" w:space="0" w:color="auto"/>
              <w:bottom w:val="single" w:sz="4" w:space="0" w:color="auto"/>
            </w:tcBorders>
          </w:tcPr>
          <w:p w14:paraId="61655CDD"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16,707</w:t>
            </w:r>
          </w:p>
        </w:tc>
        <w:tc>
          <w:tcPr>
            <w:tcW w:w="1029" w:type="dxa"/>
            <w:tcBorders>
              <w:top w:val="single" w:sz="4" w:space="0" w:color="auto"/>
              <w:bottom w:val="single" w:sz="4" w:space="0" w:color="auto"/>
            </w:tcBorders>
          </w:tcPr>
          <w:p w14:paraId="08A867B9"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22,880</w:t>
            </w:r>
          </w:p>
        </w:tc>
        <w:tc>
          <w:tcPr>
            <w:tcW w:w="1029" w:type="dxa"/>
            <w:tcBorders>
              <w:top w:val="single" w:sz="4" w:space="0" w:color="auto"/>
              <w:bottom w:val="single" w:sz="4" w:space="0" w:color="auto"/>
            </w:tcBorders>
          </w:tcPr>
          <w:p w14:paraId="3F9FEB17"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46,871</w:t>
            </w:r>
          </w:p>
        </w:tc>
      </w:tr>
    </w:tbl>
    <w:p w14:paraId="345F39F5" w14:textId="77777777" w:rsidR="003F5788" w:rsidRPr="003F5788" w:rsidRDefault="003F5788" w:rsidP="00FD1D5C">
      <w:pPr>
        <w:pStyle w:val="snapInitbody"/>
      </w:pPr>
      <w:r w:rsidRPr="003F5788">
        <w:t xml:space="preserve">The Government will deliver a significant expansion to the Centenary Hospital for Women and Children. The expanded Centenary Hospital will include: more neonatology services including more special care beds and increased support for families; more post-natal beds; an expanded Maternity Assessment Unit; more family </w:t>
      </w:r>
      <w:r w:rsidRPr="00FD1D5C">
        <w:t>support</w:t>
      </w:r>
      <w:r w:rsidRPr="003F5788">
        <w:t xml:space="preserve"> and education services; a new adolescent mental health inpatient unit and day services; and an adolescent gynaecology service. </w:t>
      </w:r>
    </w:p>
    <w:p w14:paraId="443F4E89" w14:textId="77777777" w:rsidR="003F5788" w:rsidRPr="003F5788" w:rsidRDefault="003F5788" w:rsidP="00FD1D5C">
      <w:pPr>
        <w:pStyle w:val="snapInitbody"/>
      </w:pPr>
      <w:r w:rsidRPr="003F5788">
        <w:t>The capital cost of this project was provisioned in the 2017-18 Budget.</w:t>
      </w:r>
    </w:p>
    <w:p w14:paraId="4BB4B223" w14:textId="77777777" w:rsidR="003F5788" w:rsidRPr="007A3A72" w:rsidRDefault="003F5788" w:rsidP="007A3A72">
      <w:pPr>
        <w:pStyle w:val="Heading3"/>
      </w:pPr>
      <w:r w:rsidRPr="007A3A72">
        <w:t>Health Directorate - Information and Communication Technology</w:t>
      </w:r>
    </w:p>
    <w:p w14:paraId="6E22D6C8" w14:textId="77777777" w:rsidR="003F5788" w:rsidRPr="00202E81" w:rsidRDefault="003F5788" w:rsidP="00202E81">
      <w:pPr>
        <w:pStyle w:val="snapInittitles"/>
      </w:pPr>
      <w:r w:rsidRPr="00202E81">
        <w:t xml:space="preserve">ACT Health Core IT Systems to align with the Digital Health Strategy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F5788" w:rsidRPr="00866299" w14:paraId="1A342A01" w14:textId="77777777" w:rsidTr="00FD1D5C">
        <w:trPr>
          <w:cantSplit/>
        </w:trPr>
        <w:tc>
          <w:tcPr>
            <w:tcW w:w="3652" w:type="dxa"/>
            <w:tcBorders>
              <w:top w:val="single" w:sz="4" w:space="0" w:color="auto"/>
              <w:bottom w:val="single" w:sz="4" w:space="0" w:color="auto"/>
            </w:tcBorders>
          </w:tcPr>
          <w:p w14:paraId="4996B057" w14:textId="47F7E8B0" w:rsidR="003F5788" w:rsidRPr="00866299" w:rsidRDefault="003F5788" w:rsidP="003F5788">
            <w:pPr>
              <w:jc w:val="right"/>
              <w:rPr>
                <w:rFonts w:ascii="Calibri" w:hAnsi="Calibri" w:cs="Calibri"/>
                <w:i/>
                <w:color w:val="FFFFFF"/>
                <w:sz w:val="22"/>
                <w:highlight w:val="yellow"/>
                <w:lang w:eastAsia="en-US"/>
              </w:rPr>
            </w:pPr>
          </w:p>
        </w:tc>
        <w:tc>
          <w:tcPr>
            <w:tcW w:w="1179" w:type="dxa"/>
            <w:tcBorders>
              <w:top w:val="single" w:sz="4" w:space="0" w:color="auto"/>
              <w:bottom w:val="single" w:sz="4" w:space="0" w:color="auto"/>
            </w:tcBorders>
          </w:tcPr>
          <w:p w14:paraId="34F7D2D9"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2019-20</w:t>
            </w:r>
          </w:p>
          <w:p w14:paraId="22608F1F"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6D5F6C41"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2020-21</w:t>
            </w:r>
          </w:p>
          <w:p w14:paraId="00C8EB35"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36F411D1"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2021-22</w:t>
            </w:r>
          </w:p>
          <w:p w14:paraId="4C5C564B"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0D67589C"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2022-23</w:t>
            </w:r>
          </w:p>
          <w:p w14:paraId="50BF1896"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E1F0A02"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Total</w:t>
            </w:r>
          </w:p>
          <w:p w14:paraId="17CFCE90"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$’000</w:t>
            </w:r>
          </w:p>
        </w:tc>
      </w:tr>
      <w:tr w:rsidR="003F5788" w:rsidRPr="00866299" w14:paraId="1F630F72" w14:textId="77777777" w:rsidTr="00FD1D5C">
        <w:trPr>
          <w:cantSplit/>
        </w:trPr>
        <w:tc>
          <w:tcPr>
            <w:tcW w:w="3652" w:type="dxa"/>
            <w:tcBorders>
              <w:top w:val="single" w:sz="4" w:space="0" w:color="auto"/>
            </w:tcBorders>
          </w:tcPr>
          <w:p w14:paraId="5E3C2AF9"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Capital</w:t>
            </w:r>
          </w:p>
        </w:tc>
        <w:tc>
          <w:tcPr>
            <w:tcW w:w="1179" w:type="dxa"/>
            <w:tcBorders>
              <w:top w:val="single" w:sz="4" w:space="0" w:color="auto"/>
            </w:tcBorders>
          </w:tcPr>
          <w:p w14:paraId="45497EA7"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3,920</w:t>
            </w:r>
          </w:p>
        </w:tc>
        <w:tc>
          <w:tcPr>
            <w:tcW w:w="1041" w:type="dxa"/>
            <w:tcBorders>
              <w:top w:val="single" w:sz="4" w:space="0" w:color="auto"/>
            </w:tcBorders>
          </w:tcPr>
          <w:p w14:paraId="2F8CB199"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24,574</w:t>
            </w:r>
          </w:p>
        </w:tc>
        <w:tc>
          <w:tcPr>
            <w:tcW w:w="1029" w:type="dxa"/>
            <w:tcBorders>
              <w:top w:val="single" w:sz="4" w:space="0" w:color="auto"/>
            </w:tcBorders>
          </w:tcPr>
          <w:p w14:paraId="438607C2"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25,504</w:t>
            </w:r>
          </w:p>
        </w:tc>
        <w:tc>
          <w:tcPr>
            <w:tcW w:w="1029" w:type="dxa"/>
            <w:tcBorders>
              <w:top w:val="single" w:sz="4" w:space="0" w:color="auto"/>
            </w:tcBorders>
          </w:tcPr>
          <w:p w14:paraId="07E47AC4"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16,380</w:t>
            </w:r>
          </w:p>
        </w:tc>
        <w:tc>
          <w:tcPr>
            <w:tcW w:w="1029" w:type="dxa"/>
            <w:tcBorders>
              <w:top w:val="single" w:sz="4" w:space="0" w:color="auto"/>
            </w:tcBorders>
          </w:tcPr>
          <w:p w14:paraId="63466A26"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70,378</w:t>
            </w:r>
          </w:p>
        </w:tc>
      </w:tr>
      <w:tr w:rsidR="003F5788" w:rsidRPr="00866299" w14:paraId="473E6D18" w14:textId="77777777" w:rsidTr="00FD1D5C">
        <w:trPr>
          <w:cantSplit/>
        </w:trPr>
        <w:tc>
          <w:tcPr>
            <w:tcW w:w="3652" w:type="dxa"/>
            <w:tcBorders>
              <w:top w:val="single" w:sz="4" w:space="0" w:color="auto"/>
            </w:tcBorders>
          </w:tcPr>
          <w:p w14:paraId="36544183"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Depreciation</w:t>
            </w:r>
          </w:p>
        </w:tc>
        <w:tc>
          <w:tcPr>
            <w:tcW w:w="1179" w:type="dxa"/>
            <w:tcBorders>
              <w:top w:val="single" w:sz="4" w:space="0" w:color="auto"/>
            </w:tcBorders>
          </w:tcPr>
          <w:p w14:paraId="596201CD"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41" w:type="dxa"/>
            <w:tcBorders>
              <w:top w:val="single" w:sz="4" w:space="0" w:color="auto"/>
            </w:tcBorders>
          </w:tcPr>
          <w:p w14:paraId="1FEBECB1"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784</w:t>
            </w:r>
          </w:p>
        </w:tc>
        <w:tc>
          <w:tcPr>
            <w:tcW w:w="1029" w:type="dxa"/>
            <w:tcBorders>
              <w:top w:val="single" w:sz="4" w:space="0" w:color="auto"/>
            </w:tcBorders>
          </w:tcPr>
          <w:p w14:paraId="38E40643"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5,699</w:t>
            </w:r>
          </w:p>
        </w:tc>
        <w:tc>
          <w:tcPr>
            <w:tcW w:w="1029" w:type="dxa"/>
            <w:tcBorders>
              <w:top w:val="single" w:sz="4" w:space="0" w:color="auto"/>
            </w:tcBorders>
          </w:tcPr>
          <w:p w14:paraId="1ED10884"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10,800</w:t>
            </w:r>
          </w:p>
        </w:tc>
        <w:tc>
          <w:tcPr>
            <w:tcW w:w="1029" w:type="dxa"/>
            <w:tcBorders>
              <w:top w:val="single" w:sz="4" w:space="0" w:color="auto"/>
            </w:tcBorders>
          </w:tcPr>
          <w:p w14:paraId="54407111"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17,283</w:t>
            </w:r>
          </w:p>
        </w:tc>
      </w:tr>
      <w:tr w:rsidR="003F5788" w:rsidRPr="00866299" w14:paraId="73B77BCE" w14:textId="77777777" w:rsidTr="00FD1D5C">
        <w:trPr>
          <w:cantSplit/>
        </w:trPr>
        <w:tc>
          <w:tcPr>
            <w:tcW w:w="3652" w:type="dxa"/>
          </w:tcPr>
          <w:p w14:paraId="40EC1C58"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Associated expenses</w:t>
            </w:r>
          </w:p>
        </w:tc>
        <w:tc>
          <w:tcPr>
            <w:tcW w:w="1179" w:type="dxa"/>
          </w:tcPr>
          <w:p w14:paraId="3D0821A7"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2,860</w:t>
            </w:r>
          </w:p>
        </w:tc>
        <w:tc>
          <w:tcPr>
            <w:tcW w:w="1041" w:type="dxa"/>
          </w:tcPr>
          <w:p w14:paraId="7BFFDAA8"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4,625</w:t>
            </w:r>
          </w:p>
        </w:tc>
        <w:tc>
          <w:tcPr>
            <w:tcW w:w="1029" w:type="dxa"/>
          </w:tcPr>
          <w:p w14:paraId="21745AD1"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7,975</w:t>
            </w:r>
          </w:p>
        </w:tc>
        <w:tc>
          <w:tcPr>
            <w:tcW w:w="1029" w:type="dxa"/>
          </w:tcPr>
          <w:p w14:paraId="07CCBA1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10,825</w:t>
            </w:r>
          </w:p>
        </w:tc>
        <w:tc>
          <w:tcPr>
            <w:tcW w:w="1029" w:type="dxa"/>
          </w:tcPr>
          <w:p w14:paraId="540C376F"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26,285</w:t>
            </w:r>
          </w:p>
        </w:tc>
      </w:tr>
      <w:tr w:rsidR="003F5788" w:rsidRPr="00866299" w14:paraId="728ECB28" w14:textId="77777777" w:rsidTr="00FD1D5C">
        <w:trPr>
          <w:cantSplit/>
        </w:trPr>
        <w:tc>
          <w:tcPr>
            <w:tcW w:w="3652" w:type="dxa"/>
          </w:tcPr>
          <w:p w14:paraId="61158FE9"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Offset – Savings</w:t>
            </w:r>
          </w:p>
        </w:tc>
        <w:tc>
          <w:tcPr>
            <w:tcW w:w="1179" w:type="dxa"/>
            <w:shd w:val="clear" w:color="auto" w:fill="auto"/>
          </w:tcPr>
          <w:p w14:paraId="133EC413"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41" w:type="dxa"/>
            <w:shd w:val="clear" w:color="auto" w:fill="auto"/>
          </w:tcPr>
          <w:p w14:paraId="69F4CBFD"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shd w:val="clear" w:color="auto" w:fill="auto"/>
          </w:tcPr>
          <w:p w14:paraId="6F42A6DD"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shd w:val="clear" w:color="auto" w:fill="auto"/>
          </w:tcPr>
          <w:p w14:paraId="6B085316"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-6,338</w:t>
            </w:r>
          </w:p>
        </w:tc>
        <w:tc>
          <w:tcPr>
            <w:tcW w:w="1029" w:type="dxa"/>
            <w:shd w:val="clear" w:color="auto" w:fill="auto"/>
          </w:tcPr>
          <w:p w14:paraId="396854ED"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-6,338</w:t>
            </w:r>
          </w:p>
        </w:tc>
      </w:tr>
      <w:tr w:rsidR="003F5788" w:rsidRPr="00866299" w14:paraId="3431CAA7" w14:textId="77777777" w:rsidTr="00FD1D5C">
        <w:trPr>
          <w:cantSplit/>
        </w:trPr>
        <w:tc>
          <w:tcPr>
            <w:tcW w:w="3652" w:type="dxa"/>
            <w:tcBorders>
              <w:top w:val="single" w:sz="4" w:space="0" w:color="auto"/>
              <w:bottom w:val="single" w:sz="4" w:space="0" w:color="auto"/>
            </w:tcBorders>
          </w:tcPr>
          <w:p w14:paraId="6B14AD2C" w14:textId="77777777" w:rsidR="003F5788" w:rsidRPr="00866299" w:rsidRDefault="003F5788" w:rsidP="003F5788">
            <w:pPr>
              <w:ind w:left="284" w:hanging="284"/>
              <w:rPr>
                <w:rFonts w:ascii="Calibri" w:hAnsi="Calibri"/>
                <w:b/>
                <w:sz w:val="22"/>
                <w:lang w:eastAsia="en-US"/>
              </w:rPr>
            </w:pPr>
            <w:r w:rsidRPr="00866299">
              <w:rPr>
                <w:rFonts w:ascii="Calibri" w:hAnsi="Calibri"/>
                <w:b/>
                <w:sz w:val="22"/>
                <w:lang w:eastAsia="en-US"/>
              </w:rPr>
              <w:t>Net expenses</w:t>
            </w:r>
          </w:p>
        </w:tc>
        <w:tc>
          <w:tcPr>
            <w:tcW w:w="1179" w:type="dxa"/>
            <w:tcBorders>
              <w:top w:val="single" w:sz="4" w:space="0" w:color="auto"/>
              <w:bottom w:val="single" w:sz="4" w:space="0" w:color="auto"/>
            </w:tcBorders>
          </w:tcPr>
          <w:p w14:paraId="134463B4"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2,860</w:t>
            </w:r>
          </w:p>
        </w:tc>
        <w:tc>
          <w:tcPr>
            <w:tcW w:w="1041" w:type="dxa"/>
            <w:tcBorders>
              <w:top w:val="single" w:sz="4" w:space="0" w:color="auto"/>
              <w:bottom w:val="single" w:sz="4" w:space="0" w:color="auto"/>
            </w:tcBorders>
          </w:tcPr>
          <w:p w14:paraId="41B1A777"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5,409</w:t>
            </w:r>
          </w:p>
        </w:tc>
        <w:tc>
          <w:tcPr>
            <w:tcW w:w="1029" w:type="dxa"/>
            <w:tcBorders>
              <w:top w:val="single" w:sz="4" w:space="0" w:color="auto"/>
              <w:bottom w:val="single" w:sz="4" w:space="0" w:color="auto"/>
            </w:tcBorders>
          </w:tcPr>
          <w:p w14:paraId="5772471D"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13,674</w:t>
            </w:r>
          </w:p>
        </w:tc>
        <w:tc>
          <w:tcPr>
            <w:tcW w:w="1029" w:type="dxa"/>
            <w:tcBorders>
              <w:top w:val="single" w:sz="4" w:space="0" w:color="auto"/>
              <w:bottom w:val="single" w:sz="4" w:space="0" w:color="auto"/>
            </w:tcBorders>
          </w:tcPr>
          <w:p w14:paraId="561EF6EE"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15,287</w:t>
            </w:r>
          </w:p>
        </w:tc>
        <w:tc>
          <w:tcPr>
            <w:tcW w:w="1029" w:type="dxa"/>
            <w:tcBorders>
              <w:top w:val="single" w:sz="4" w:space="0" w:color="auto"/>
              <w:bottom w:val="single" w:sz="4" w:space="0" w:color="auto"/>
            </w:tcBorders>
          </w:tcPr>
          <w:p w14:paraId="7CF3E8AA"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37,230</w:t>
            </w:r>
          </w:p>
        </w:tc>
      </w:tr>
    </w:tbl>
    <w:p w14:paraId="75383D1C" w14:textId="77777777" w:rsidR="003F5788" w:rsidRPr="003F5788" w:rsidRDefault="003F5788" w:rsidP="00FD1D5C">
      <w:pPr>
        <w:pStyle w:val="snapInitbody"/>
        <w:rPr>
          <w:rFonts w:cs="Calibri"/>
          <w:sz w:val="23"/>
          <w:szCs w:val="23"/>
        </w:rPr>
      </w:pPr>
      <w:r w:rsidRPr="003F5788">
        <w:t xml:space="preserve">The Government will </w:t>
      </w:r>
      <w:r w:rsidRPr="003F5788">
        <w:rPr>
          <w:rFonts w:cs="Calibri"/>
          <w:sz w:val="23"/>
          <w:szCs w:val="23"/>
        </w:rPr>
        <w:t xml:space="preserve">procure and implement a Digital Health Record for ACT </w:t>
      </w:r>
      <w:proofErr w:type="spellStart"/>
      <w:r w:rsidRPr="003F5788">
        <w:rPr>
          <w:rFonts w:cs="Calibri"/>
          <w:sz w:val="23"/>
          <w:szCs w:val="23"/>
        </w:rPr>
        <w:t>Government­funded</w:t>
      </w:r>
      <w:proofErr w:type="spellEnd"/>
      <w:r w:rsidRPr="003F5788">
        <w:rPr>
          <w:rFonts w:cs="Calibri"/>
          <w:sz w:val="23"/>
          <w:szCs w:val="23"/>
        </w:rPr>
        <w:t xml:space="preserve"> public health services. The Digital Health Record will provide a single point of reference for patient clinical records, supporting more consistent care and effective case management by replacing current electronic and paper-based systems.</w:t>
      </w:r>
    </w:p>
    <w:p w14:paraId="098D5037" w14:textId="77777777" w:rsidR="003F5788" w:rsidRPr="00202E81" w:rsidRDefault="003F5788" w:rsidP="00202E81">
      <w:pPr>
        <w:pStyle w:val="snapInittitles"/>
      </w:pPr>
      <w:r w:rsidRPr="00202E81">
        <w:t xml:space="preserve">Implementing real time prescription monitoring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F5788" w:rsidRPr="00866299" w14:paraId="263F9BEE" w14:textId="77777777" w:rsidTr="00FD1D5C">
        <w:trPr>
          <w:cantSplit/>
        </w:trPr>
        <w:tc>
          <w:tcPr>
            <w:tcW w:w="3652" w:type="dxa"/>
            <w:tcBorders>
              <w:top w:val="single" w:sz="4" w:space="0" w:color="auto"/>
              <w:bottom w:val="single" w:sz="4" w:space="0" w:color="auto"/>
            </w:tcBorders>
          </w:tcPr>
          <w:p w14:paraId="0D4AF6F8" w14:textId="612CA0A6" w:rsidR="003F5788" w:rsidRPr="00866299" w:rsidRDefault="003F5788" w:rsidP="003F5788">
            <w:pPr>
              <w:jc w:val="right"/>
              <w:rPr>
                <w:rFonts w:ascii="Calibri" w:hAnsi="Calibri" w:cs="Calibri"/>
                <w:i/>
                <w:color w:val="FFFFFF"/>
                <w:sz w:val="22"/>
                <w:highlight w:val="yellow"/>
                <w:lang w:eastAsia="en-US"/>
              </w:rPr>
            </w:pPr>
          </w:p>
        </w:tc>
        <w:tc>
          <w:tcPr>
            <w:tcW w:w="1179" w:type="dxa"/>
            <w:tcBorders>
              <w:top w:val="single" w:sz="4" w:space="0" w:color="auto"/>
              <w:bottom w:val="single" w:sz="4" w:space="0" w:color="auto"/>
            </w:tcBorders>
          </w:tcPr>
          <w:p w14:paraId="0FF14949"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2019-20</w:t>
            </w:r>
          </w:p>
          <w:p w14:paraId="36952A0C"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137ACE80"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2020-21</w:t>
            </w:r>
          </w:p>
          <w:p w14:paraId="6950CA8E"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5B77A36B"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2021-22</w:t>
            </w:r>
          </w:p>
          <w:p w14:paraId="17C5270D"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0177D5C6"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2022-23</w:t>
            </w:r>
          </w:p>
          <w:p w14:paraId="6D50BB4F"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D2EB03F"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Total</w:t>
            </w:r>
          </w:p>
          <w:p w14:paraId="132C5182"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$’000</w:t>
            </w:r>
          </w:p>
        </w:tc>
      </w:tr>
      <w:tr w:rsidR="003F5788" w:rsidRPr="00866299" w14:paraId="2D6385F1" w14:textId="77777777" w:rsidTr="00FD1D5C">
        <w:trPr>
          <w:cantSplit/>
        </w:trPr>
        <w:tc>
          <w:tcPr>
            <w:tcW w:w="3652" w:type="dxa"/>
            <w:tcBorders>
              <w:top w:val="single" w:sz="4" w:space="0" w:color="auto"/>
              <w:bottom w:val="single" w:sz="4" w:space="0" w:color="auto"/>
            </w:tcBorders>
          </w:tcPr>
          <w:p w14:paraId="714DB9AC"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Capital</w:t>
            </w:r>
          </w:p>
        </w:tc>
        <w:tc>
          <w:tcPr>
            <w:tcW w:w="1179" w:type="dxa"/>
            <w:tcBorders>
              <w:top w:val="single" w:sz="4" w:space="0" w:color="auto"/>
              <w:bottom w:val="single" w:sz="4" w:space="0" w:color="auto"/>
            </w:tcBorders>
          </w:tcPr>
          <w:p w14:paraId="4DD8EEE0"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788</w:t>
            </w:r>
          </w:p>
        </w:tc>
        <w:tc>
          <w:tcPr>
            <w:tcW w:w="1041" w:type="dxa"/>
            <w:tcBorders>
              <w:top w:val="single" w:sz="4" w:space="0" w:color="auto"/>
              <w:bottom w:val="single" w:sz="4" w:space="0" w:color="auto"/>
            </w:tcBorders>
          </w:tcPr>
          <w:p w14:paraId="1650D6B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1,326</w:t>
            </w:r>
          </w:p>
        </w:tc>
        <w:tc>
          <w:tcPr>
            <w:tcW w:w="1029" w:type="dxa"/>
            <w:tcBorders>
              <w:top w:val="single" w:sz="4" w:space="0" w:color="auto"/>
              <w:bottom w:val="single" w:sz="4" w:space="0" w:color="auto"/>
            </w:tcBorders>
          </w:tcPr>
          <w:p w14:paraId="364A5EC2"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5E22135D"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5C4DBD49"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2,114</w:t>
            </w:r>
          </w:p>
        </w:tc>
      </w:tr>
      <w:tr w:rsidR="003F5788" w:rsidRPr="00866299" w14:paraId="6854052D" w14:textId="77777777" w:rsidTr="00FD1D5C">
        <w:trPr>
          <w:cantSplit/>
        </w:trPr>
        <w:tc>
          <w:tcPr>
            <w:tcW w:w="3652" w:type="dxa"/>
            <w:tcBorders>
              <w:top w:val="single" w:sz="4" w:space="0" w:color="auto"/>
              <w:bottom w:val="single" w:sz="4" w:space="0" w:color="auto"/>
            </w:tcBorders>
          </w:tcPr>
          <w:p w14:paraId="5E164205"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Depreciation</w:t>
            </w:r>
          </w:p>
        </w:tc>
        <w:tc>
          <w:tcPr>
            <w:tcW w:w="1179" w:type="dxa"/>
            <w:tcBorders>
              <w:top w:val="single" w:sz="4" w:space="0" w:color="auto"/>
              <w:bottom w:val="single" w:sz="4" w:space="0" w:color="auto"/>
            </w:tcBorders>
          </w:tcPr>
          <w:p w14:paraId="16EFA0FF"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41" w:type="dxa"/>
            <w:tcBorders>
              <w:top w:val="single" w:sz="4" w:space="0" w:color="auto"/>
              <w:bottom w:val="single" w:sz="4" w:space="0" w:color="auto"/>
            </w:tcBorders>
          </w:tcPr>
          <w:p w14:paraId="02000EB0"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57402451"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423</w:t>
            </w:r>
          </w:p>
        </w:tc>
        <w:tc>
          <w:tcPr>
            <w:tcW w:w="1029" w:type="dxa"/>
            <w:tcBorders>
              <w:top w:val="single" w:sz="4" w:space="0" w:color="auto"/>
              <w:bottom w:val="single" w:sz="4" w:space="0" w:color="auto"/>
            </w:tcBorders>
          </w:tcPr>
          <w:p w14:paraId="52BE21F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423</w:t>
            </w:r>
          </w:p>
        </w:tc>
        <w:tc>
          <w:tcPr>
            <w:tcW w:w="1029" w:type="dxa"/>
            <w:tcBorders>
              <w:top w:val="single" w:sz="4" w:space="0" w:color="auto"/>
              <w:bottom w:val="single" w:sz="4" w:space="0" w:color="auto"/>
            </w:tcBorders>
          </w:tcPr>
          <w:p w14:paraId="632A4989"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846</w:t>
            </w:r>
          </w:p>
        </w:tc>
      </w:tr>
    </w:tbl>
    <w:p w14:paraId="7A578B93" w14:textId="77777777" w:rsidR="003F5788" w:rsidRPr="003F5788" w:rsidRDefault="003F5788" w:rsidP="00FD1D5C">
      <w:pPr>
        <w:pStyle w:val="snapInitbody"/>
      </w:pPr>
      <w:r w:rsidRPr="003F5788">
        <w:t xml:space="preserve">The Government will upgrade the Drugs and Poisons Information System to provide </w:t>
      </w:r>
      <w:proofErr w:type="spellStart"/>
      <w:r w:rsidRPr="003F5788">
        <w:t>real­time</w:t>
      </w:r>
      <w:proofErr w:type="spellEnd"/>
      <w:r w:rsidRPr="003F5788">
        <w:t xml:space="preserve"> prescription monitoring. This will help prevent individuals from accessing dangerous quantities of addictive prescription drugs and move the ACT towards alignment with monitoring becoming available in other jurisdictions around Australia.</w:t>
      </w:r>
    </w:p>
    <w:p w14:paraId="0B928CC1" w14:textId="2BD1486B" w:rsidR="003F5788" w:rsidRPr="007A3A72" w:rsidRDefault="003F5788" w:rsidP="007A3A72">
      <w:pPr>
        <w:pStyle w:val="Heading3"/>
      </w:pPr>
      <w:r w:rsidRPr="007A3A72">
        <w:t>Plant and Equipment</w:t>
      </w:r>
    </w:p>
    <w:p w14:paraId="102E6F74" w14:textId="77777777" w:rsidR="003F5788" w:rsidRPr="00202E81" w:rsidRDefault="003F5788" w:rsidP="00202E81">
      <w:pPr>
        <w:pStyle w:val="snapInittitles"/>
      </w:pPr>
      <w:r w:rsidRPr="00202E81">
        <w:t xml:space="preserve">More public medical imaging services for Canberra Hospital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F5788" w:rsidRPr="00866299" w14:paraId="33E6946B" w14:textId="77777777" w:rsidTr="00FD1D5C">
        <w:trPr>
          <w:cantSplit/>
        </w:trPr>
        <w:tc>
          <w:tcPr>
            <w:tcW w:w="3652" w:type="dxa"/>
            <w:tcBorders>
              <w:top w:val="single" w:sz="4" w:space="0" w:color="auto"/>
              <w:bottom w:val="single" w:sz="4" w:space="0" w:color="auto"/>
            </w:tcBorders>
          </w:tcPr>
          <w:p w14:paraId="6076767A" w14:textId="77777777" w:rsidR="003F5788" w:rsidRPr="00866299" w:rsidRDefault="003F5788" w:rsidP="003F5788">
            <w:pPr>
              <w:jc w:val="right"/>
              <w:rPr>
                <w:rFonts w:ascii="Calibri" w:hAnsi="Calibri" w:cs="Calibri"/>
                <w:i/>
                <w:color w:val="FFFFFF"/>
                <w:sz w:val="22"/>
                <w:lang w:eastAsia="en-US"/>
              </w:rPr>
            </w:pPr>
            <w:r w:rsidRPr="00866299">
              <w:rPr>
                <w:rFonts w:ascii="Calibri" w:hAnsi="Calibri" w:cs="Calibri"/>
                <w:i/>
                <w:color w:val="FFFFFF"/>
                <w:sz w:val="22"/>
                <w:lang w:eastAsia="en-US"/>
              </w:rPr>
              <w:t>Empty Cell</w:t>
            </w:r>
          </w:p>
        </w:tc>
        <w:tc>
          <w:tcPr>
            <w:tcW w:w="1179" w:type="dxa"/>
            <w:tcBorders>
              <w:top w:val="single" w:sz="4" w:space="0" w:color="auto"/>
              <w:bottom w:val="single" w:sz="4" w:space="0" w:color="auto"/>
            </w:tcBorders>
          </w:tcPr>
          <w:p w14:paraId="3BAC0F25"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2019-20</w:t>
            </w:r>
          </w:p>
          <w:p w14:paraId="52CDDCB3"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3E98AC33"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2020-21</w:t>
            </w:r>
          </w:p>
          <w:p w14:paraId="0212ECF5"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B1930F9"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2021-22</w:t>
            </w:r>
          </w:p>
          <w:p w14:paraId="00787C42"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9439225"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2022-23</w:t>
            </w:r>
          </w:p>
          <w:p w14:paraId="204A68B1"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19F05B5"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Total</w:t>
            </w:r>
          </w:p>
          <w:p w14:paraId="2CAAEA2D"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$’000</w:t>
            </w:r>
          </w:p>
        </w:tc>
      </w:tr>
      <w:tr w:rsidR="003F5788" w:rsidRPr="00866299" w14:paraId="79B8A043" w14:textId="77777777" w:rsidTr="00FD1D5C">
        <w:trPr>
          <w:cantSplit/>
        </w:trPr>
        <w:tc>
          <w:tcPr>
            <w:tcW w:w="3652" w:type="dxa"/>
            <w:tcBorders>
              <w:top w:val="single" w:sz="4" w:space="0" w:color="auto"/>
            </w:tcBorders>
          </w:tcPr>
          <w:p w14:paraId="2FD89F12"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Capital</w:t>
            </w:r>
          </w:p>
        </w:tc>
        <w:tc>
          <w:tcPr>
            <w:tcW w:w="1179" w:type="dxa"/>
            <w:tcBorders>
              <w:top w:val="single" w:sz="4" w:space="0" w:color="auto"/>
            </w:tcBorders>
          </w:tcPr>
          <w:p w14:paraId="245B32FB"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41" w:type="dxa"/>
            <w:tcBorders>
              <w:top w:val="single" w:sz="4" w:space="0" w:color="auto"/>
            </w:tcBorders>
          </w:tcPr>
          <w:p w14:paraId="59BF9EEC"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2,800</w:t>
            </w:r>
          </w:p>
        </w:tc>
        <w:tc>
          <w:tcPr>
            <w:tcW w:w="1029" w:type="dxa"/>
            <w:tcBorders>
              <w:top w:val="single" w:sz="4" w:space="0" w:color="auto"/>
            </w:tcBorders>
          </w:tcPr>
          <w:p w14:paraId="2740B879"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6,100</w:t>
            </w:r>
          </w:p>
        </w:tc>
        <w:tc>
          <w:tcPr>
            <w:tcW w:w="1029" w:type="dxa"/>
            <w:tcBorders>
              <w:top w:val="single" w:sz="4" w:space="0" w:color="auto"/>
            </w:tcBorders>
          </w:tcPr>
          <w:p w14:paraId="78F1D3A5"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2,300</w:t>
            </w:r>
          </w:p>
        </w:tc>
        <w:tc>
          <w:tcPr>
            <w:tcW w:w="1029" w:type="dxa"/>
            <w:tcBorders>
              <w:top w:val="single" w:sz="4" w:space="0" w:color="auto"/>
            </w:tcBorders>
          </w:tcPr>
          <w:p w14:paraId="70514B0A"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11,200</w:t>
            </w:r>
          </w:p>
        </w:tc>
      </w:tr>
      <w:tr w:rsidR="003F5788" w:rsidRPr="00866299" w14:paraId="2C7B4979" w14:textId="77777777" w:rsidTr="00FD1D5C">
        <w:trPr>
          <w:cantSplit/>
        </w:trPr>
        <w:tc>
          <w:tcPr>
            <w:tcW w:w="3652" w:type="dxa"/>
            <w:tcBorders>
              <w:top w:val="single" w:sz="4" w:space="0" w:color="auto"/>
            </w:tcBorders>
          </w:tcPr>
          <w:p w14:paraId="3AE91E41"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Depreciation</w:t>
            </w:r>
          </w:p>
        </w:tc>
        <w:tc>
          <w:tcPr>
            <w:tcW w:w="1179" w:type="dxa"/>
            <w:tcBorders>
              <w:top w:val="single" w:sz="4" w:space="0" w:color="auto"/>
            </w:tcBorders>
          </w:tcPr>
          <w:p w14:paraId="1C3A7D74"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41" w:type="dxa"/>
            <w:tcBorders>
              <w:top w:val="single" w:sz="4" w:space="0" w:color="auto"/>
            </w:tcBorders>
          </w:tcPr>
          <w:p w14:paraId="0AEB9CD1"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0BEBB0F5"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6BF04EDD"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1,120</w:t>
            </w:r>
          </w:p>
        </w:tc>
        <w:tc>
          <w:tcPr>
            <w:tcW w:w="1029" w:type="dxa"/>
            <w:tcBorders>
              <w:top w:val="single" w:sz="4" w:space="0" w:color="auto"/>
            </w:tcBorders>
          </w:tcPr>
          <w:p w14:paraId="7D0E6666"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1,120</w:t>
            </w:r>
          </w:p>
        </w:tc>
      </w:tr>
      <w:tr w:rsidR="003F5788" w:rsidRPr="00866299" w14:paraId="4E187A53" w14:textId="77777777" w:rsidTr="00FD1D5C">
        <w:trPr>
          <w:cantSplit/>
        </w:trPr>
        <w:tc>
          <w:tcPr>
            <w:tcW w:w="3652" w:type="dxa"/>
            <w:tcBorders>
              <w:bottom w:val="single" w:sz="4" w:space="0" w:color="auto"/>
            </w:tcBorders>
          </w:tcPr>
          <w:p w14:paraId="10BE6886"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Associated expenses</w:t>
            </w:r>
          </w:p>
        </w:tc>
        <w:tc>
          <w:tcPr>
            <w:tcW w:w="1179" w:type="dxa"/>
            <w:tcBorders>
              <w:bottom w:val="single" w:sz="4" w:space="0" w:color="auto"/>
            </w:tcBorders>
          </w:tcPr>
          <w:p w14:paraId="73BC8DAE"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100</w:t>
            </w:r>
          </w:p>
        </w:tc>
        <w:tc>
          <w:tcPr>
            <w:tcW w:w="1041" w:type="dxa"/>
            <w:tcBorders>
              <w:bottom w:val="single" w:sz="4" w:space="0" w:color="auto"/>
            </w:tcBorders>
          </w:tcPr>
          <w:p w14:paraId="23944479"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677</w:t>
            </w:r>
          </w:p>
        </w:tc>
        <w:tc>
          <w:tcPr>
            <w:tcW w:w="1029" w:type="dxa"/>
            <w:tcBorders>
              <w:bottom w:val="single" w:sz="4" w:space="0" w:color="auto"/>
            </w:tcBorders>
          </w:tcPr>
          <w:p w14:paraId="0A139DF7"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1,217</w:t>
            </w:r>
          </w:p>
        </w:tc>
        <w:tc>
          <w:tcPr>
            <w:tcW w:w="1029" w:type="dxa"/>
            <w:tcBorders>
              <w:bottom w:val="single" w:sz="4" w:space="0" w:color="auto"/>
            </w:tcBorders>
          </w:tcPr>
          <w:p w14:paraId="2D9FD590"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1,458</w:t>
            </w:r>
          </w:p>
        </w:tc>
        <w:tc>
          <w:tcPr>
            <w:tcW w:w="1029" w:type="dxa"/>
            <w:tcBorders>
              <w:bottom w:val="single" w:sz="4" w:space="0" w:color="auto"/>
            </w:tcBorders>
          </w:tcPr>
          <w:p w14:paraId="67D0BE11"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3,452</w:t>
            </w:r>
          </w:p>
        </w:tc>
      </w:tr>
      <w:tr w:rsidR="003F5788" w:rsidRPr="00866299" w14:paraId="71F84A0B" w14:textId="77777777" w:rsidTr="00FD1D5C">
        <w:trPr>
          <w:cantSplit/>
        </w:trPr>
        <w:tc>
          <w:tcPr>
            <w:tcW w:w="3652" w:type="dxa"/>
            <w:tcBorders>
              <w:top w:val="single" w:sz="4" w:space="0" w:color="auto"/>
              <w:bottom w:val="single" w:sz="4" w:space="0" w:color="auto"/>
            </w:tcBorders>
          </w:tcPr>
          <w:p w14:paraId="1C19AE6D" w14:textId="77777777" w:rsidR="003F5788" w:rsidRPr="00866299" w:rsidRDefault="003F5788" w:rsidP="003F5788">
            <w:pPr>
              <w:ind w:left="284" w:hanging="284"/>
              <w:rPr>
                <w:rFonts w:ascii="Calibri" w:hAnsi="Calibri"/>
                <w:b/>
                <w:sz w:val="22"/>
                <w:lang w:eastAsia="en-US"/>
              </w:rPr>
            </w:pPr>
            <w:r w:rsidRPr="00866299">
              <w:rPr>
                <w:rFonts w:ascii="Calibri" w:hAnsi="Calibri"/>
                <w:b/>
                <w:sz w:val="22"/>
                <w:lang w:eastAsia="en-US"/>
              </w:rPr>
              <w:t>Total expenses</w:t>
            </w:r>
          </w:p>
        </w:tc>
        <w:tc>
          <w:tcPr>
            <w:tcW w:w="1179" w:type="dxa"/>
            <w:tcBorders>
              <w:top w:val="single" w:sz="4" w:space="0" w:color="auto"/>
              <w:bottom w:val="single" w:sz="4" w:space="0" w:color="auto"/>
            </w:tcBorders>
          </w:tcPr>
          <w:p w14:paraId="20455122"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100</w:t>
            </w:r>
          </w:p>
        </w:tc>
        <w:tc>
          <w:tcPr>
            <w:tcW w:w="1041" w:type="dxa"/>
            <w:tcBorders>
              <w:top w:val="single" w:sz="4" w:space="0" w:color="auto"/>
              <w:bottom w:val="single" w:sz="4" w:space="0" w:color="auto"/>
            </w:tcBorders>
          </w:tcPr>
          <w:p w14:paraId="1E464E69"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677</w:t>
            </w:r>
          </w:p>
        </w:tc>
        <w:tc>
          <w:tcPr>
            <w:tcW w:w="1029" w:type="dxa"/>
            <w:tcBorders>
              <w:top w:val="single" w:sz="4" w:space="0" w:color="auto"/>
              <w:bottom w:val="single" w:sz="4" w:space="0" w:color="auto"/>
            </w:tcBorders>
          </w:tcPr>
          <w:p w14:paraId="0A3AC972"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1,217</w:t>
            </w:r>
          </w:p>
        </w:tc>
        <w:tc>
          <w:tcPr>
            <w:tcW w:w="1029" w:type="dxa"/>
            <w:tcBorders>
              <w:top w:val="single" w:sz="4" w:space="0" w:color="auto"/>
              <w:bottom w:val="single" w:sz="4" w:space="0" w:color="auto"/>
            </w:tcBorders>
          </w:tcPr>
          <w:p w14:paraId="0C4ECFD7"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2,578</w:t>
            </w:r>
          </w:p>
        </w:tc>
        <w:tc>
          <w:tcPr>
            <w:tcW w:w="1029" w:type="dxa"/>
            <w:tcBorders>
              <w:top w:val="single" w:sz="4" w:space="0" w:color="auto"/>
              <w:bottom w:val="single" w:sz="4" w:space="0" w:color="auto"/>
            </w:tcBorders>
          </w:tcPr>
          <w:p w14:paraId="46883223"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4,572</w:t>
            </w:r>
          </w:p>
        </w:tc>
      </w:tr>
    </w:tbl>
    <w:p w14:paraId="5D3D8653" w14:textId="5873003F" w:rsidR="003F5788" w:rsidRPr="003F5788" w:rsidRDefault="003F5788" w:rsidP="00FD1D5C">
      <w:pPr>
        <w:pStyle w:val="snapInitbody"/>
      </w:pPr>
      <w:r w:rsidRPr="003F5788">
        <w:t>The Government will provide more public medical imaging services by delivering an additional interventional radiology suite at The Canberra Hospital and replacing existing MRI devices. This will reduce pressure on existing theatres, allow for more complex procedures to be undertaken, and produce better patient outcomes by reducing scanning times and improving image quality.</w:t>
      </w:r>
      <w:r w:rsidR="000F30E1">
        <w:t xml:space="preserve"> </w:t>
      </w:r>
    </w:p>
    <w:p w14:paraId="1C570196" w14:textId="77777777" w:rsidR="003F5788" w:rsidRPr="00202E81" w:rsidRDefault="003F5788" w:rsidP="00202E81">
      <w:pPr>
        <w:pStyle w:val="snapInittitles"/>
      </w:pPr>
      <w:r w:rsidRPr="00202E81">
        <w:t>Expense initiatives with associated capital</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3F5788" w:rsidRPr="00866299" w14:paraId="33059A39" w14:textId="77777777" w:rsidTr="00FD1D5C">
        <w:trPr>
          <w:cantSplit/>
        </w:trPr>
        <w:tc>
          <w:tcPr>
            <w:tcW w:w="3652" w:type="dxa"/>
            <w:tcBorders>
              <w:top w:val="single" w:sz="4" w:space="0" w:color="auto"/>
              <w:bottom w:val="single" w:sz="4" w:space="0" w:color="auto"/>
            </w:tcBorders>
          </w:tcPr>
          <w:p w14:paraId="50E48C64" w14:textId="77777777" w:rsidR="003F5788" w:rsidRPr="00866299" w:rsidRDefault="003F5788" w:rsidP="003F5788">
            <w:pPr>
              <w:jc w:val="right"/>
              <w:rPr>
                <w:rFonts w:ascii="Cambria" w:hAnsi="Cambria" w:cs="Calibri"/>
                <w:i/>
                <w:iCs/>
                <w:color w:val="404040"/>
                <w:sz w:val="22"/>
                <w:lang w:eastAsia="en-US"/>
              </w:rPr>
            </w:pPr>
            <w:r w:rsidRPr="00866299">
              <w:rPr>
                <w:rFonts w:ascii="Calibri" w:hAnsi="Calibri" w:cs="Calibri"/>
                <w:color w:val="FFFFFF"/>
                <w:sz w:val="22"/>
                <w:lang w:eastAsia="en-US"/>
              </w:rPr>
              <w:t xml:space="preserve"> </w:t>
            </w:r>
          </w:p>
        </w:tc>
        <w:tc>
          <w:tcPr>
            <w:tcW w:w="1179" w:type="dxa"/>
            <w:tcBorders>
              <w:top w:val="single" w:sz="4" w:space="0" w:color="auto"/>
              <w:bottom w:val="single" w:sz="4" w:space="0" w:color="auto"/>
            </w:tcBorders>
          </w:tcPr>
          <w:p w14:paraId="6AEABB4E"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2019-20</w:t>
            </w:r>
          </w:p>
          <w:p w14:paraId="4A209D84"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6047A64B"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2020-21</w:t>
            </w:r>
          </w:p>
          <w:p w14:paraId="37C3872E"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325B3D2"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2021-22</w:t>
            </w:r>
          </w:p>
          <w:p w14:paraId="38705D66"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9BBF14A"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2022-23</w:t>
            </w:r>
          </w:p>
          <w:p w14:paraId="4A24788D"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4319CCD"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Total</w:t>
            </w:r>
          </w:p>
          <w:p w14:paraId="2E594DAC"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$’000</w:t>
            </w:r>
          </w:p>
        </w:tc>
      </w:tr>
      <w:tr w:rsidR="003F5788" w:rsidRPr="00866299" w14:paraId="43963088" w14:textId="77777777" w:rsidTr="00FD1D5C">
        <w:trPr>
          <w:cantSplit/>
        </w:trPr>
        <w:tc>
          <w:tcPr>
            <w:tcW w:w="3652" w:type="dxa"/>
            <w:tcBorders>
              <w:top w:val="single" w:sz="4" w:space="0" w:color="auto"/>
            </w:tcBorders>
          </w:tcPr>
          <w:p w14:paraId="78FA5545"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Expanding pharmacy services at The Canberra Hospital</w:t>
            </w:r>
          </w:p>
        </w:tc>
        <w:tc>
          <w:tcPr>
            <w:tcW w:w="1179" w:type="dxa"/>
            <w:tcBorders>
              <w:top w:val="single" w:sz="4" w:space="0" w:color="auto"/>
            </w:tcBorders>
          </w:tcPr>
          <w:p w14:paraId="36A62CBB"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2,212</w:t>
            </w:r>
          </w:p>
        </w:tc>
        <w:tc>
          <w:tcPr>
            <w:tcW w:w="1041" w:type="dxa"/>
            <w:tcBorders>
              <w:top w:val="single" w:sz="4" w:space="0" w:color="auto"/>
            </w:tcBorders>
          </w:tcPr>
          <w:p w14:paraId="200ED4BB"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3,318</w:t>
            </w:r>
          </w:p>
        </w:tc>
        <w:tc>
          <w:tcPr>
            <w:tcW w:w="1029" w:type="dxa"/>
            <w:tcBorders>
              <w:top w:val="single" w:sz="4" w:space="0" w:color="auto"/>
            </w:tcBorders>
          </w:tcPr>
          <w:p w14:paraId="7403D8C1"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529F679D"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4856C37B"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5,530</w:t>
            </w:r>
          </w:p>
        </w:tc>
      </w:tr>
      <w:tr w:rsidR="003F5788" w:rsidRPr="00866299" w14:paraId="00E172F2" w14:textId="77777777" w:rsidTr="00FD1D5C">
        <w:trPr>
          <w:cantSplit/>
        </w:trPr>
        <w:tc>
          <w:tcPr>
            <w:tcW w:w="3652" w:type="dxa"/>
          </w:tcPr>
          <w:p w14:paraId="73D0ABFE"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More mental health services at The Canberra Hospital</w:t>
            </w:r>
          </w:p>
        </w:tc>
        <w:tc>
          <w:tcPr>
            <w:tcW w:w="1179" w:type="dxa"/>
          </w:tcPr>
          <w:p w14:paraId="27632044"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1,764</w:t>
            </w:r>
          </w:p>
        </w:tc>
        <w:tc>
          <w:tcPr>
            <w:tcW w:w="1041" w:type="dxa"/>
          </w:tcPr>
          <w:p w14:paraId="20D9A73F"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756</w:t>
            </w:r>
          </w:p>
        </w:tc>
        <w:tc>
          <w:tcPr>
            <w:tcW w:w="1029" w:type="dxa"/>
          </w:tcPr>
          <w:p w14:paraId="58F1EDDB"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543EDFD2"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0B1D5F66"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2,520</w:t>
            </w:r>
          </w:p>
        </w:tc>
      </w:tr>
      <w:tr w:rsidR="003F5788" w:rsidRPr="00866299" w14:paraId="45EE2824" w14:textId="77777777" w:rsidTr="00FD1D5C">
        <w:trPr>
          <w:cantSplit/>
        </w:trPr>
        <w:tc>
          <w:tcPr>
            <w:tcW w:w="3652" w:type="dxa"/>
            <w:tcBorders>
              <w:bottom w:val="single" w:sz="4" w:space="0" w:color="auto"/>
            </w:tcBorders>
          </w:tcPr>
          <w:p w14:paraId="64036BCE" w14:textId="77777777" w:rsidR="003F5788" w:rsidRPr="00866299" w:rsidRDefault="003F5788" w:rsidP="003F5788">
            <w:pPr>
              <w:ind w:left="284" w:hanging="284"/>
              <w:rPr>
                <w:rFonts w:ascii="Calibri" w:hAnsi="Calibri"/>
                <w:sz w:val="22"/>
                <w:lang w:eastAsia="en-US"/>
              </w:rPr>
            </w:pPr>
            <w:r w:rsidRPr="00866299">
              <w:rPr>
                <w:rFonts w:ascii="Calibri" w:hAnsi="Calibri"/>
                <w:sz w:val="22"/>
                <w:lang w:eastAsia="en-US"/>
              </w:rPr>
              <w:t>Opioid treatment services on Canberra’s northside</w:t>
            </w:r>
          </w:p>
        </w:tc>
        <w:tc>
          <w:tcPr>
            <w:tcW w:w="1179" w:type="dxa"/>
            <w:tcBorders>
              <w:bottom w:val="single" w:sz="4" w:space="0" w:color="auto"/>
            </w:tcBorders>
          </w:tcPr>
          <w:p w14:paraId="724B9906"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611</w:t>
            </w:r>
          </w:p>
        </w:tc>
        <w:tc>
          <w:tcPr>
            <w:tcW w:w="1041" w:type="dxa"/>
            <w:tcBorders>
              <w:bottom w:val="single" w:sz="4" w:space="0" w:color="auto"/>
            </w:tcBorders>
          </w:tcPr>
          <w:p w14:paraId="593A62A8"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bottom w:val="single" w:sz="4" w:space="0" w:color="auto"/>
            </w:tcBorders>
          </w:tcPr>
          <w:p w14:paraId="2FE79B07"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bottom w:val="single" w:sz="4" w:space="0" w:color="auto"/>
            </w:tcBorders>
          </w:tcPr>
          <w:p w14:paraId="633326C5" w14:textId="77777777" w:rsidR="003F5788" w:rsidRPr="00866299" w:rsidRDefault="003F5788" w:rsidP="003F5788">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bottom w:val="single" w:sz="4" w:space="0" w:color="auto"/>
            </w:tcBorders>
          </w:tcPr>
          <w:p w14:paraId="3C633B7E" w14:textId="77777777" w:rsidR="003F5788" w:rsidRPr="00866299" w:rsidRDefault="003F5788" w:rsidP="003F5788">
            <w:pPr>
              <w:ind w:left="284" w:hanging="284"/>
              <w:jc w:val="right"/>
              <w:rPr>
                <w:rFonts w:ascii="Calibri" w:hAnsi="Calibri"/>
                <w:b/>
                <w:sz w:val="22"/>
                <w:lang w:eastAsia="en-US"/>
              </w:rPr>
            </w:pPr>
            <w:r w:rsidRPr="00866299">
              <w:rPr>
                <w:rFonts w:ascii="Calibri" w:hAnsi="Calibri"/>
                <w:b/>
                <w:sz w:val="22"/>
                <w:lang w:eastAsia="en-US"/>
              </w:rPr>
              <w:t>611</w:t>
            </w:r>
          </w:p>
        </w:tc>
      </w:tr>
    </w:tbl>
    <w:p w14:paraId="5AC29845" w14:textId="77777777" w:rsidR="00982BA5" w:rsidRDefault="00752C56" w:rsidP="00705404">
      <w:pPr>
        <w:pStyle w:val="Heading1-Pagebreakbefore"/>
      </w:pPr>
      <w:bookmarkStart w:id="15" w:name="_Toc10657546"/>
      <w:r w:rsidRPr="00752C56">
        <w:t>Justice and Community Safety Directorate and Legal Aid Commission (ACT)</w:t>
      </w:r>
      <w:bookmarkEnd w:id="15"/>
    </w:p>
    <w:p w14:paraId="1794631A" w14:textId="77777777" w:rsidR="000757EE" w:rsidRPr="00FB3EAB" w:rsidRDefault="000757EE" w:rsidP="00FD1D5C">
      <w:pPr>
        <w:pStyle w:val="Heading2"/>
        <w:rPr>
          <w:b w:val="0"/>
        </w:rPr>
      </w:pPr>
      <w:r w:rsidRPr="00FB3EAB">
        <w:t xml:space="preserve">Overview </w:t>
      </w:r>
    </w:p>
    <w:p w14:paraId="32AAA534" w14:textId="774E581D" w:rsidR="00FB3EAB" w:rsidRPr="00FB3EAB" w:rsidRDefault="00FB3EAB" w:rsidP="00FD1D5C">
      <w:pPr>
        <w:pStyle w:val="Body"/>
      </w:pPr>
      <w:r w:rsidRPr="00FB3EAB">
        <w:t xml:space="preserve">ACTCOSS has identified investments which address social determinants of interactions with the criminal justice system as a key priority for reform in the ACT. The </w:t>
      </w:r>
      <w:r w:rsidRPr="00FB3EAB">
        <w:rPr>
          <w:i/>
          <w:iCs/>
        </w:rPr>
        <w:t>Community Shared Statement,</w:t>
      </w:r>
      <w:r w:rsidRPr="00FB3EAB">
        <w:t xml:space="preserve"> signed by 19 community organisations, outlined priorities for the 2016-20 term of the ACT Government.</w:t>
      </w:r>
      <w:r w:rsidRPr="00FB3EAB">
        <w:rPr>
          <w:i/>
          <w:iCs/>
        </w:rPr>
        <w:t xml:space="preserve"> </w:t>
      </w:r>
      <w:r w:rsidRPr="00FB3EAB">
        <w:t>We asked the ACT Government to:</w:t>
      </w:r>
    </w:p>
    <w:p w14:paraId="57907DAD" w14:textId="1BEC4C31" w:rsidR="00FB3EAB" w:rsidRPr="00FB3EAB" w:rsidRDefault="00FB3EAB" w:rsidP="00FD1D5C">
      <w:pPr>
        <w:pStyle w:val="ListBullet"/>
      </w:pPr>
      <w:r w:rsidRPr="00FB3EAB">
        <w:t xml:space="preserve">Reduce violence and improve support for people recovering from trauma </w:t>
      </w:r>
      <w:r w:rsidR="00B80E81">
        <w:t>–</w:t>
      </w:r>
      <w:r w:rsidRPr="00FB3EAB">
        <w:t xml:space="preserve"> especially women and children experiencing domestic, family and/or sexual violence</w:t>
      </w:r>
    </w:p>
    <w:p w14:paraId="5D32421E" w14:textId="4213D97E" w:rsidR="00FB3EAB" w:rsidRPr="00FB3EAB" w:rsidRDefault="00FB3EAB" w:rsidP="00FD1D5C">
      <w:pPr>
        <w:pStyle w:val="ListBullet"/>
      </w:pPr>
      <w:r w:rsidRPr="00FB3EAB">
        <w:t>Ensure actions and investments were guided by the voices of people who experience violence, reflect the evidence</w:t>
      </w:r>
      <w:r w:rsidR="009A329C">
        <w:t>-</w:t>
      </w:r>
      <w:r w:rsidRPr="00FB3EAB">
        <w:t>based approaches that have been recommended by the Domestic Violence Prevention Council and respond to the recommendations from the three reports on the impact of family violence on the ACT community and service system responses to this serious issue</w:t>
      </w:r>
    </w:p>
    <w:p w14:paraId="6C1F64CB" w14:textId="1CDE35B3" w:rsidR="00FB3EAB" w:rsidRPr="00FB3EAB" w:rsidRDefault="00FB3EAB" w:rsidP="00FD1D5C">
      <w:pPr>
        <w:pStyle w:val="ListBullet"/>
      </w:pPr>
      <w:r w:rsidRPr="00FB3EAB">
        <w:t>Sustain and expand access to specialist legal information, advice and representation, including through community</w:t>
      </w:r>
      <w:r w:rsidR="009A329C">
        <w:t>-</w:t>
      </w:r>
      <w:r w:rsidRPr="00FB3EAB">
        <w:t>based legal assistance services</w:t>
      </w:r>
    </w:p>
    <w:p w14:paraId="0B6AAF2B" w14:textId="77777777" w:rsidR="00FB3EAB" w:rsidRPr="00FB3EAB" w:rsidRDefault="00FB3EAB" w:rsidP="00FD1D5C">
      <w:pPr>
        <w:pStyle w:val="ListBullet"/>
      </w:pPr>
      <w:r w:rsidRPr="00FB3EAB">
        <w:t>Engage with community advocates on reducing the social determinants of contact with the legal and criminal justice system.</w:t>
      </w:r>
    </w:p>
    <w:p w14:paraId="16CEBBFF" w14:textId="77777777" w:rsidR="00FB3EAB" w:rsidRPr="00FB3EAB" w:rsidRDefault="00FB3EAB" w:rsidP="00FD1D5C">
      <w:pPr>
        <w:pStyle w:val="Body"/>
      </w:pPr>
      <w:r w:rsidRPr="00FB3EAB">
        <w:t xml:space="preserve">Key asks also included in the </w:t>
      </w:r>
      <w:r w:rsidRPr="00FB3EAB">
        <w:rPr>
          <w:i/>
          <w:iCs/>
        </w:rPr>
        <w:t>Community Shared Statement</w:t>
      </w:r>
      <w:r w:rsidRPr="00FB3EAB">
        <w:t xml:space="preserve"> that contribute towards reducing social determinants of contact with the criminal justice system include investment in: </w:t>
      </w:r>
    </w:p>
    <w:p w14:paraId="140EE208" w14:textId="0D328D9A" w:rsidR="00FB3EAB" w:rsidRPr="00FB3EAB" w:rsidRDefault="009A329C" w:rsidP="00FD1D5C">
      <w:pPr>
        <w:pStyle w:val="ListBullet"/>
      </w:pPr>
      <w:r>
        <w:t>A</w:t>
      </w:r>
      <w:r w:rsidR="00FB3EAB" w:rsidRPr="00FB3EAB">
        <w:t>ffordable housing</w:t>
      </w:r>
    </w:p>
    <w:p w14:paraId="1A020FD2" w14:textId="1CC22372" w:rsidR="00FB3EAB" w:rsidRPr="00FB3EAB" w:rsidRDefault="009A329C" w:rsidP="00FD1D5C">
      <w:pPr>
        <w:pStyle w:val="ListBullet"/>
      </w:pPr>
      <w:r>
        <w:t>A</w:t>
      </w:r>
      <w:r w:rsidR="00FB3EAB" w:rsidRPr="00FB3EAB">
        <w:t xml:space="preserve">ccess to specialist legal information </w:t>
      </w:r>
    </w:p>
    <w:p w14:paraId="5C25A6A2" w14:textId="66E72A1B" w:rsidR="00FB3EAB" w:rsidRPr="00FB3EAB" w:rsidRDefault="009A329C" w:rsidP="00FD1D5C">
      <w:pPr>
        <w:pStyle w:val="ListBullet"/>
      </w:pPr>
      <w:r>
        <w:t>S</w:t>
      </w:r>
      <w:r w:rsidR="00FB3EAB" w:rsidRPr="00FB3EAB">
        <w:t>elf-determination and community control for Aboriginal and</w:t>
      </w:r>
      <w:r>
        <w:t>/or</w:t>
      </w:r>
      <w:r w:rsidR="00FB3EAB" w:rsidRPr="00FB3EAB">
        <w:t xml:space="preserve"> Torres Strait Islander </w:t>
      </w:r>
      <w:r>
        <w:t>c</w:t>
      </w:r>
      <w:r w:rsidR="00FB3EAB" w:rsidRPr="00FB3EAB">
        <w:t>ommunity</w:t>
      </w:r>
      <w:r>
        <w:t>-c</w:t>
      </w:r>
      <w:r w:rsidR="00FB3EAB" w:rsidRPr="00FB3EAB">
        <w:t xml:space="preserve">ontrolled </w:t>
      </w:r>
      <w:r>
        <w:t>o</w:t>
      </w:r>
      <w:r w:rsidR="00FB3EAB" w:rsidRPr="00FB3EAB">
        <w:t>rganisations.</w:t>
      </w:r>
    </w:p>
    <w:p w14:paraId="2B76694C" w14:textId="5DDF48E2" w:rsidR="00FB3EAB" w:rsidRPr="00FB3EAB" w:rsidRDefault="00FB3EAB" w:rsidP="00FD1D5C">
      <w:pPr>
        <w:pStyle w:val="Body"/>
      </w:pPr>
      <w:r w:rsidRPr="00FB3EAB">
        <w:t xml:space="preserve">In ACTCOSS’ </w:t>
      </w:r>
      <w:r w:rsidR="00151F3D">
        <w:t>s</w:t>
      </w:r>
      <w:r w:rsidRPr="00151F3D">
        <w:t xml:space="preserve">ubmission on </w:t>
      </w:r>
      <w:r w:rsidR="00151F3D">
        <w:t>c</w:t>
      </w:r>
      <w:r w:rsidRPr="00151F3D">
        <w:t xml:space="preserve">ommunity </w:t>
      </w:r>
      <w:r w:rsidR="00151F3D">
        <w:t>s</w:t>
      </w:r>
      <w:r w:rsidRPr="00151F3D">
        <w:t xml:space="preserve">ector </w:t>
      </w:r>
      <w:r w:rsidR="00151F3D">
        <w:t>p</w:t>
      </w:r>
      <w:r w:rsidRPr="00151F3D">
        <w:t>riorities for the ACT Budget 2019-20</w:t>
      </w:r>
      <w:r w:rsidRPr="00FB3EAB">
        <w:t>, ACTCOSS members identified that justice system investments in the ACT should build on the current justice reinvestment programs, further Canberra’s goal of becoming a restorative city, and respond to problems, gaps and transition issues out of the Alexander Maconochie Centre (AMC). These were seen as fundamental to reducing recidivism and overrepresentation of population groups in the criminal justice system. Our submission said investment was needed in:</w:t>
      </w:r>
    </w:p>
    <w:p w14:paraId="78B25748" w14:textId="2EB3F342" w:rsidR="00FB3EAB" w:rsidRPr="00FB3EAB" w:rsidRDefault="00546D49" w:rsidP="00FD1D5C">
      <w:pPr>
        <w:pStyle w:val="ListBullet"/>
        <w:rPr>
          <w:rFonts w:eastAsiaTheme="minorHAnsi"/>
        </w:rPr>
      </w:pPr>
      <w:r>
        <w:rPr>
          <w:rFonts w:eastAsiaTheme="minorHAnsi"/>
        </w:rPr>
        <w:t>F</w:t>
      </w:r>
      <w:r w:rsidR="00FB3EAB" w:rsidRPr="00FB3EAB">
        <w:rPr>
          <w:rFonts w:eastAsiaTheme="minorHAnsi"/>
        </w:rPr>
        <w:t>ully funding implementation of the recommendations from the Moss Review</w:t>
      </w:r>
    </w:p>
    <w:p w14:paraId="6CCB5AB7" w14:textId="2DEF1512" w:rsidR="00FB3EAB" w:rsidRPr="00FB3EAB" w:rsidRDefault="00546D49" w:rsidP="00FD1D5C">
      <w:pPr>
        <w:pStyle w:val="ListBullet"/>
        <w:rPr>
          <w:rFonts w:eastAsiaTheme="minorHAnsi"/>
        </w:rPr>
      </w:pPr>
      <w:r>
        <w:rPr>
          <w:rFonts w:eastAsiaTheme="minorHAnsi"/>
        </w:rPr>
        <w:t>R</w:t>
      </w:r>
      <w:r w:rsidR="00FB3EAB" w:rsidRPr="00FB3EAB">
        <w:rPr>
          <w:rFonts w:eastAsiaTheme="minorHAnsi"/>
        </w:rPr>
        <w:t>enewal of the ACT Aboriginal and Torres Strait Islander Justice Partnership</w:t>
      </w:r>
    </w:p>
    <w:p w14:paraId="50641E88" w14:textId="7A4F101A" w:rsidR="00FB3EAB" w:rsidRPr="00FB3EAB" w:rsidRDefault="00546D49" w:rsidP="00FD1D5C">
      <w:pPr>
        <w:pStyle w:val="ListBullet"/>
      </w:pPr>
      <w:r>
        <w:t>S</w:t>
      </w:r>
      <w:r w:rsidR="00FB3EAB" w:rsidRPr="00FB3EAB">
        <w:t>ystemic change and education to address racism and inherent bias in the justice system</w:t>
      </w:r>
    </w:p>
    <w:p w14:paraId="2BF43195" w14:textId="45C09A5E" w:rsidR="00FB3EAB" w:rsidRPr="00FB3EAB" w:rsidRDefault="00546D49" w:rsidP="00FD1D5C">
      <w:pPr>
        <w:pStyle w:val="ListBullet"/>
      </w:pPr>
      <w:r>
        <w:t>P</w:t>
      </w:r>
      <w:r w:rsidR="00FB3EAB" w:rsidRPr="00FB3EAB">
        <w:t>reventing children and young people being removed from their families, placed in foster care and, as is too often the case, ending up in detention</w:t>
      </w:r>
    </w:p>
    <w:p w14:paraId="521EE35D" w14:textId="6C83F53F" w:rsidR="00FB3EAB" w:rsidRPr="00FB3EAB" w:rsidRDefault="00546D49" w:rsidP="00FD1D5C">
      <w:pPr>
        <w:pStyle w:val="ListBullet"/>
      </w:pPr>
      <w:r>
        <w:t>C</w:t>
      </w:r>
      <w:r w:rsidR="00FB3EAB" w:rsidRPr="00FB3EAB">
        <w:t>ommitting resources to support families and providing 'safety-nets' to counteract the impacts of negative childhood experiences</w:t>
      </w:r>
    </w:p>
    <w:p w14:paraId="06055682" w14:textId="307CB97C" w:rsidR="00FB3EAB" w:rsidRPr="00FB3EAB" w:rsidRDefault="00546D49" w:rsidP="00FD1D5C">
      <w:pPr>
        <w:pStyle w:val="ListBullet"/>
      </w:pPr>
      <w:r>
        <w:t>S</w:t>
      </w:r>
      <w:r w:rsidR="00FB3EAB" w:rsidRPr="00FB3EAB">
        <w:t>ocial support and health services to address underlying causes of victimisation and offending</w:t>
      </w:r>
    </w:p>
    <w:p w14:paraId="15D46609" w14:textId="3BE4956D" w:rsidR="00FB3EAB" w:rsidRPr="00FB3EAB" w:rsidRDefault="00546D49" w:rsidP="00FD1D5C">
      <w:pPr>
        <w:pStyle w:val="ListBullet"/>
        <w:rPr>
          <w:rFonts w:eastAsiaTheme="minorHAnsi"/>
        </w:rPr>
      </w:pPr>
      <w:r>
        <w:rPr>
          <w:rFonts w:eastAsiaTheme="minorHAnsi"/>
        </w:rPr>
        <w:t>O</w:t>
      </w:r>
      <w:r w:rsidR="00FB3EAB" w:rsidRPr="00FB3EAB">
        <w:rPr>
          <w:rFonts w:eastAsiaTheme="minorHAnsi"/>
        </w:rPr>
        <w:t>ngoing, recurrent funding of the Disability Justice Strategy to cover both criminal and civil justice, from the commencement of legal processes, to minimise the risk of people with disabilities being further marginalised by the justice system</w:t>
      </w:r>
    </w:p>
    <w:p w14:paraId="105B3293" w14:textId="000890B4" w:rsidR="00FB3EAB" w:rsidRPr="00FB3EAB" w:rsidRDefault="00546D49" w:rsidP="00FD1D5C">
      <w:pPr>
        <w:pStyle w:val="ListBullet"/>
        <w:rPr>
          <w:rFonts w:eastAsiaTheme="minorHAnsi"/>
        </w:rPr>
      </w:pPr>
      <w:r>
        <w:rPr>
          <w:rFonts w:eastAsiaTheme="minorHAnsi"/>
        </w:rPr>
        <w:t>C</w:t>
      </w:r>
      <w:r w:rsidR="00FB3EAB" w:rsidRPr="00FB3EAB">
        <w:rPr>
          <w:rFonts w:eastAsiaTheme="minorHAnsi"/>
        </w:rPr>
        <w:t>ontinuation of the Socio-Legal Practice Clinic that provides combined legal and social worker services to people who face a high degree of vulnerability and have significant barriers to achieving a successful resolution of their legal matter. The Socio-Legal Practice Clinic has addressed gaps in access to justice for people experiencing homelessness, especially women and children affected by family violence. The program also assists clients with other legal problems including social security and disability discrimination matters</w:t>
      </w:r>
    </w:p>
    <w:p w14:paraId="15AFF9F0" w14:textId="63A3F05A" w:rsidR="00FB3EAB" w:rsidRPr="00FB3EAB" w:rsidRDefault="00546D49" w:rsidP="00FD1D5C">
      <w:pPr>
        <w:pStyle w:val="ListBullet"/>
        <w:rPr>
          <w:rFonts w:eastAsiaTheme="minorHAnsi"/>
        </w:rPr>
      </w:pPr>
      <w:r>
        <w:rPr>
          <w:rFonts w:eastAsiaTheme="minorHAnsi"/>
        </w:rPr>
        <w:t>G</w:t>
      </w:r>
      <w:r w:rsidR="00FB3EAB" w:rsidRPr="00FB3EAB">
        <w:rPr>
          <w:rFonts w:eastAsiaTheme="minorHAnsi"/>
        </w:rPr>
        <w:t>rowth funding to conflict resolution services to respond to growing demand for interventions in community and neighbourhood disputes</w:t>
      </w:r>
    </w:p>
    <w:p w14:paraId="1B141912" w14:textId="60102B46" w:rsidR="00FB3EAB" w:rsidRPr="00FB3EAB" w:rsidRDefault="00546D49" w:rsidP="00FD1D5C">
      <w:pPr>
        <w:pStyle w:val="ListBullet"/>
        <w:rPr>
          <w:rFonts w:eastAsiaTheme="minorHAnsi"/>
        </w:rPr>
      </w:pPr>
      <w:r>
        <w:rPr>
          <w:rFonts w:eastAsiaTheme="minorHAnsi"/>
        </w:rPr>
        <w:t>T</w:t>
      </w:r>
      <w:r w:rsidR="00FB3EAB" w:rsidRPr="00FB3EAB">
        <w:rPr>
          <w:rFonts w:eastAsiaTheme="minorHAnsi"/>
        </w:rPr>
        <w:t>he capability and engagement of community organisations to contribute to law reform, review of human rights issues, reform in the criminal justice system (including courts, law enforcement and corrections systems), legislative reform in the justice and community safety portfolio and improving access to civil and criminal justice.</w:t>
      </w:r>
      <w:r w:rsidR="000F30E1">
        <w:rPr>
          <w:rFonts w:eastAsiaTheme="minorHAnsi"/>
        </w:rPr>
        <w:t xml:space="preserve"> </w:t>
      </w:r>
      <w:r w:rsidR="00FB3EAB" w:rsidRPr="00FB3EAB">
        <w:rPr>
          <w:rFonts w:eastAsiaTheme="minorHAnsi"/>
        </w:rPr>
        <w:t>These contributions are sought regularly but there is no specific funding to facilitate collection, analysis and presentation of insights from community legal services or from non-legal services working with people who are overrepresented as victims and perpetrators of crime</w:t>
      </w:r>
    </w:p>
    <w:p w14:paraId="6D1299CF" w14:textId="75EE2CA7" w:rsidR="00FB3EAB" w:rsidRPr="00FB3EAB" w:rsidRDefault="00546D49" w:rsidP="00FD1D5C">
      <w:pPr>
        <w:pStyle w:val="ListBullet"/>
      </w:pPr>
      <w:r>
        <w:t>A</w:t>
      </w:r>
      <w:r w:rsidR="00FB3EAB" w:rsidRPr="00FB3EAB">
        <w:t>dequate resourcing and support for Aboriginal and/or Torres Strait Islander led initiatives such as diversionary programs or ongoing help for people who have been in prison to reintegrate back into the community.</w:t>
      </w:r>
    </w:p>
    <w:p w14:paraId="7DA384F8" w14:textId="00996816" w:rsidR="00FB3EAB" w:rsidRPr="00FB3EAB" w:rsidRDefault="00FB3EAB" w:rsidP="00FD1D5C">
      <w:pPr>
        <w:pStyle w:val="Body"/>
      </w:pPr>
      <w:r w:rsidRPr="00FB3EAB">
        <w:t xml:space="preserve">As well as the significant need for increased justice reinvestment funding, services and advocacy organisations working in the justice space have also noted the need for increased investment in early intervention and prevention programs, especially for families with previous or current contact with the criminal justice system. Justice reinvestment programs that deter and divert from prison are essential to addressing what we know </w:t>
      </w:r>
      <w:r w:rsidR="004805F1">
        <w:t>–</w:t>
      </w:r>
      <w:r w:rsidRPr="00FB3EAB">
        <w:t xml:space="preserve"> that</w:t>
      </w:r>
      <w:r w:rsidR="004805F1">
        <w:t xml:space="preserve"> </w:t>
      </w:r>
      <w:r w:rsidRPr="00FB3EAB">
        <w:t>crime rates in the ACT are declining yet numbers in the overcrowded AMC are increasing. ACTCOSS has been clear in stating that funding should be centred on improving responses to offending, rather than expanding the capacity of the AMC.</w:t>
      </w:r>
    </w:p>
    <w:p w14:paraId="05311828" w14:textId="433F79D1" w:rsidR="00FB3EAB" w:rsidRPr="00FB3EAB" w:rsidRDefault="00FB3EAB" w:rsidP="00FD1D5C">
      <w:pPr>
        <w:pStyle w:val="Body"/>
      </w:pPr>
      <w:r w:rsidRPr="00FB3EAB">
        <w:t xml:space="preserve">For this reason, ACTCOSS strongly welcomes the announcement in this </w:t>
      </w:r>
      <w:r w:rsidR="00EC1F9C">
        <w:t>B</w:t>
      </w:r>
      <w:r w:rsidRPr="00FB3EAB">
        <w:t xml:space="preserve">udget that the ACT’s justice reinvestment program Building Communities, Not Prisons has received funding for several community and in-prison programs. The Justice and Community Safety Directorate is clearly focused on resourcing justice reinvestment programs that work to reduce </w:t>
      </w:r>
      <w:r>
        <w:t>u</w:t>
      </w:r>
      <w:r w:rsidRPr="00FB3EAB">
        <w:t>nnecessary contact with the justice system and the ACT’s high rates of recidivism.</w:t>
      </w:r>
    </w:p>
    <w:p w14:paraId="477865F6" w14:textId="3345DDFD" w:rsidR="00FB3EAB" w:rsidRPr="00FB3EAB" w:rsidRDefault="00FB3EAB" w:rsidP="00FD1D5C">
      <w:pPr>
        <w:pStyle w:val="Body"/>
      </w:pPr>
      <w:r w:rsidRPr="00FB3EAB">
        <w:t xml:space="preserve">The </w:t>
      </w:r>
      <w:r w:rsidR="00EC1F9C">
        <w:t>g</w:t>
      </w:r>
      <w:r w:rsidRPr="00FB3EAB">
        <w:t xml:space="preserve">overnment has delivered a strong Justice and Community Safety </w:t>
      </w:r>
      <w:r w:rsidR="00EC1F9C">
        <w:t>b</w:t>
      </w:r>
      <w:r w:rsidRPr="00FB3EAB">
        <w:t xml:space="preserve">udget that delivers on its commitment to </w:t>
      </w:r>
      <w:r w:rsidR="00EC1F9C">
        <w:t>j</w:t>
      </w:r>
      <w:r w:rsidRPr="00FB3EAB">
        <w:t xml:space="preserve">ustice </w:t>
      </w:r>
      <w:r w:rsidR="00EC1F9C">
        <w:t>r</w:t>
      </w:r>
      <w:r w:rsidRPr="00FB3EAB">
        <w:t xml:space="preserve">einvestment in the ACT. ACTCOSS welcomes many of the investments, and we are glad to see a shift from resourcing imprisonment, to resourcing programs that focus on diversion, prevention, and reducing recidivism. The </w:t>
      </w:r>
      <w:r w:rsidR="00124546">
        <w:t>g</w:t>
      </w:r>
      <w:r w:rsidRPr="00FB3EAB">
        <w:t xml:space="preserve">overnment’s decision to focus on reducing numbers in the AMC rather than expanding the prison walls was the right decision. It is encouraging to note this </w:t>
      </w:r>
      <w:r w:rsidR="00124546">
        <w:t>B</w:t>
      </w:r>
      <w:r w:rsidRPr="00FB3EAB">
        <w:t xml:space="preserve">udget’s focus on a policing model that can </w:t>
      </w:r>
      <w:r w:rsidR="008151C9">
        <w:t>contribute to</w:t>
      </w:r>
      <w:r w:rsidRPr="00FB3EAB">
        <w:t xml:space="preserve"> this goal, with a greater focus on prevention rather than widening the pipeline to imprisonment. </w:t>
      </w:r>
    </w:p>
    <w:p w14:paraId="70EC6761" w14:textId="37090CE7" w:rsidR="00FB3EAB" w:rsidRPr="00FB3EAB" w:rsidRDefault="00FB3EAB" w:rsidP="00FD1D5C">
      <w:pPr>
        <w:pStyle w:val="Body"/>
      </w:pPr>
      <w:r w:rsidRPr="00FB3EAB">
        <w:t>ACTCOSS is pleased to see that the ACT Government has committed to investing $5.91 million over the next three years for housing for women and Aboriginal and</w:t>
      </w:r>
      <w:r w:rsidR="00124546">
        <w:t>/or</w:t>
      </w:r>
      <w:r w:rsidRPr="00FB3EAB">
        <w:t xml:space="preserve"> Torres Strait Islander people involved with the criminal justice system. This is in addition to the $6.8 million announcement earlier in 2019 for a Bail Accommodation Transition Support Service. This Justice Housing Program will provide short-term accommodation options as a diversion away from the AMC. The issue of bail accommodation is important to reducing numbers in the AMC, as without approved accommodation the presumption of bail for all minor offences cannot be met. This results in unnecessary time in prison and can sever connections between family, community and employment. We strongly welcome this </w:t>
      </w:r>
      <w:r w:rsidR="00D62B9A">
        <w:t>B</w:t>
      </w:r>
      <w:r w:rsidRPr="00FB3EAB">
        <w:t>udget’s acknowledgment that bail support accommodation should be an option for all detainees in the AMC, and we restate our position that bail accommodation should be an effective transitional solution, with clear exit pathways and not subject to over-securitisation.</w:t>
      </w:r>
    </w:p>
    <w:p w14:paraId="3846EC59" w14:textId="5E0B9687" w:rsidR="00FB3EAB" w:rsidRPr="00FB3EAB" w:rsidRDefault="00FB3EAB" w:rsidP="00FD1D5C">
      <w:pPr>
        <w:pStyle w:val="Body"/>
      </w:pPr>
      <w:r w:rsidRPr="00FB3EAB">
        <w:t xml:space="preserve">We do note that housing supports should be accompanied with social supports, including mental health and </w:t>
      </w:r>
      <w:proofErr w:type="spellStart"/>
      <w:r w:rsidRPr="00FB3EAB">
        <w:t>AOD</w:t>
      </w:r>
      <w:proofErr w:type="spellEnd"/>
      <w:r w:rsidRPr="00FB3EAB">
        <w:t xml:space="preserve"> treatment and employment supports. Particularly in relation to accessing bail for alleged offences, housing is a fundamental element of ensuring that people do not spend unnecessary time in prison. Wrap-around supports go towards responding to people’s needs and support diversion and less sustained contact with the criminal justice system. Particularly for women, housing options should allow them to continue to be primary caretakers of their children, a necessary step to decreasing the number of children who are removed from their mother’s care due to incarceration. </w:t>
      </w:r>
    </w:p>
    <w:p w14:paraId="13E5F2C5" w14:textId="7E11561E" w:rsidR="00FB3EAB" w:rsidRPr="00FB3EAB" w:rsidRDefault="00FB3EAB" w:rsidP="00FD1D5C">
      <w:pPr>
        <w:pStyle w:val="Body"/>
      </w:pPr>
      <w:r w:rsidRPr="00FB3EAB">
        <w:t xml:space="preserve">The construction, staffing and delivery of programs in the Reintegration Centre announced earlier this year has been allocated $12.82 million and $35 million. ACTCOSS commended the announcement of the Reintegration Centre, and we are pleased it has received such significant investment. The Reintegration Centre is an expansion of the current Transitional Release Centre, with 80 extra beds, that will focus on rehabilitation and participation in work. We note that community sector organisations should be adequately resourced for the delivery of complementary support programs in the Reintegration Centre, to ensure expansion of the breadth of services offered – such as financial literacy and advocacy services – and good continuity of care from entry into the </w:t>
      </w:r>
      <w:r w:rsidR="006160D7">
        <w:t>c</w:t>
      </w:r>
      <w:r w:rsidRPr="00FB3EAB">
        <w:t xml:space="preserve">entre to release. </w:t>
      </w:r>
    </w:p>
    <w:p w14:paraId="779F1A46" w14:textId="3BBBAF14" w:rsidR="00FB3EAB" w:rsidRPr="00FB3EAB" w:rsidRDefault="00FB3EAB" w:rsidP="00FD1D5C">
      <w:pPr>
        <w:pStyle w:val="Body"/>
      </w:pPr>
      <w:r w:rsidRPr="00FB3EAB">
        <w:t xml:space="preserve">We restate our view that women should be allowed entry into the Reintegration Centre, to benefit from its rehabilitation programs, work release, and opportunities for community engagement. Many women in the AMC are serving short sentences for minor offences and should not be disadvantaged due relatively small numbers within the AMC population. We hope to see work that progresses their practical access and entry into the </w:t>
      </w:r>
      <w:r w:rsidR="00E6289D">
        <w:t>c</w:t>
      </w:r>
      <w:r w:rsidRPr="00FB3EAB">
        <w:t>entre.</w:t>
      </w:r>
    </w:p>
    <w:p w14:paraId="2DBFDDCD" w14:textId="04B68D16" w:rsidR="00FB3EAB" w:rsidRPr="00FB3EAB" w:rsidRDefault="00FB3EAB" w:rsidP="00FD1D5C">
      <w:pPr>
        <w:pStyle w:val="Body"/>
      </w:pPr>
      <w:r w:rsidRPr="00FB3EAB">
        <w:t>ACTCOSS welcomes $4.51 million investment allocated to increasing staff capacity at the AMC. Overcrowding in the AMC is a significant issue of concern, and although ACTCOSS focuses on diversion and prevention from prison, we note that overcrowding does decrease safety</w:t>
      </w:r>
      <w:r w:rsidR="008F293B">
        <w:t>,</w:t>
      </w:r>
      <w:r w:rsidRPr="00FB3EAB">
        <w:t xml:space="preserve"> and we recognise the need for custodial staff and detainees to feel safe and secure, to provide for an overall more secure prison environment. This is in addition to $2.23 million over four years for safety and security services such as the Fire Services Systems and the Detainee Telephone System.</w:t>
      </w:r>
    </w:p>
    <w:p w14:paraId="34ACCA61" w14:textId="097AA4FE" w:rsidR="00FB3EAB" w:rsidRPr="00FB3EAB" w:rsidRDefault="00FB3EAB" w:rsidP="00FD1D5C">
      <w:pPr>
        <w:pStyle w:val="Body"/>
      </w:pPr>
      <w:r w:rsidRPr="00FB3EAB">
        <w:t xml:space="preserve">The announcement for $6.44 million over four years to employ additional case and program managers at the AMC to deliver rehabilitation programs is particularly welcome and responds to our concerns that detainees should have greater access to therapeutic and reintegration programs. We note that women in the AMC currently have limited access to these criminogenic and rehabilitation programs, and we stress that some of this investment should go towards delivering services that facilitate women’s safe and successful re-entry into the community. There is also an ongoing need to invest in </w:t>
      </w:r>
      <w:proofErr w:type="spellStart"/>
      <w:r w:rsidRPr="00FB3EAB">
        <w:t>AOD</w:t>
      </w:r>
      <w:proofErr w:type="spellEnd"/>
      <w:r w:rsidRPr="00FB3EAB">
        <w:t xml:space="preserve"> treatment supports not located within the criminal justice system. We need to ensure that people can access treatment services that may divert them from encountering the AMC at all. Some measures included in the </w:t>
      </w:r>
      <w:r w:rsidR="00296C53">
        <w:t>h</w:t>
      </w:r>
      <w:r w:rsidRPr="00FB3EAB">
        <w:t xml:space="preserve">ealth </w:t>
      </w:r>
      <w:r w:rsidR="00AF62AC">
        <w:t>b</w:t>
      </w:r>
      <w:r w:rsidRPr="00FB3EAB">
        <w:t>udget will go towards this, but there is a continued need for investment in community-based and peer support services.</w:t>
      </w:r>
    </w:p>
    <w:p w14:paraId="63DCBAF6" w14:textId="77777777" w:rsidR="00FB3EAB" w:rsidRPr="00FB3EAB" w:rsidRDefault="00FB3EAB" w:rsidP="00FD1D5C">
      <w:pPr>
        <w:pStyle w:val="Body"/>
      </w:pPr>
      <w:r w:rsidRPr="00FB3EAB">
        <w:t>We also note that all current and new AMC staff should receive diversity training from community sector organisations, particularly in respect to working with detainees with a disability.</w:t>
      </w:r>
    </w:p>
    <w:p w14:paraId="25FD5366" w14:textId="01466B13" w:rsidR="00FB3EAB" w:rsidRPr="00FB3EAB" w:rsidRDefault="00FB3EAB" w:rsidP="00FD1D5C">
      <w:pPr>
        <w:pStyle w:val="Body"/>
      </w:pPr>
      <w:r w:rsidRPr="00FB3EAB">
        <w:t xml:space="preserve">The </w:t>
      </w:r>
      <w:r w:rsidR="00AF62AC">
        <w:t>g</w:t>
      </w:r>
      <w:r w:rsidRPr="00FB3EAB">
        <w:t xml:space="preserve">overnment has stated that this </w:t>
      </w:r>
      <w:r w:rsidR="00AF62AC">
        <w:t>B</w:t>
      </w:r>
      <w:r w:rsidRPr="00FB3EAB">
        <w:t>udget provides for the largest investment in policing in the last decade. $34.3 million has been allocated to over 60 new ACT Policing personnel. This investment is directed towards a new model of policing focused on prevention and reducing recidivism. ACTCOSS understand that this model has not been finalised, but that community engagement and community policing is a key element, feeding into the Building Communities, Not Prisons work. ACTCOSS sees this is a positive step towards a less punitive and reactive policing model, and we are keen to contribute to designing, implementing and evaluation criteria for this new policing model.</w:t>
      </w:r>
    </w:p>
    <w:p w14:paraId="02753657" w14:textId="272CDC8D" w:rsidR="00FB3EAB" w:rsidRPr="00FB3EAB" w:rsidRDefault="00FB3EAB" w:rsidP="00FD1D5C">
      <w:pPr>
        <w:pStyle w:val="Body"/>
      </w:pPr>
      <w:r w:rsidRPr="00FB3EAB">
        <w:t xml:space="preserve">We also acknowledge the funding of $5.81 million to establish an intermediary scheme as a part of the </w:t>
      </w:r>
      <w:r w:rsidR="00181851">
        <w:t>g</w:t>
      </w:r>
      <w:r w:rsidRPr="00FB3EAB">
        <w:t xml:space="preserve">overnment’s commitment to implementing the recommendations arising from the Royal Commission into Institutional Responses to Child Sexual Abuse. </w:t>
      </w:r>
    </w:p>
    <w:p w14:paraId="65B2699E" w14:textId="77777777" w:rsidR="00185719" w:rsidRPr="00185719" w:rsidRDefault="00FB3EAB" w:rsidP="00FD1D5C">
      <w:pPr>
        <w:pStyle w:val="Body"/>
      </w:pPr>
      <w:r w:rsidRPr="00FB3EAB">
        <w:t>$949,000 has also been allocated to funding the ACT Ombudsman over four years to continue its work as the Principal Officer for the ACT Judicial Commission.</w:t>
      </w:r>
    </w:p>
    <w:p w14:paraId="25E45336" w14:textId="350F033E" w:rsidR="00FC42ED" w:rsidRPr="00FB3EAB" w:rsidRDefault="00FC42ED" w:rsidP="00FD1D5C">
      <w:pPr>
        <w:pStyle w:val="Body"/>
      </w:pPr>
      <w:r>
        <w:t xml:space="preserve">We welcome </w:t>
      </w:r>
      <w:r w:rsidR="001547D1">
        <w:t xml:space="preserve">funding of $1.89 million to establish a </w:t>
      </w:r>
      <w:r w:rsidR="00330A3C">
        <w:t>Therapeutic</w:t>
      </w:r>
      <w:r w:rsidR="00B44CDA">
        <w:t xml:space="preserve"> Care Court for care and protection matters heard within the ACT </w:t>
      </w:r>
      <w:r w:rsidR="00330A3C">
        <w:t>Children’s</w:t>
      </w:r>
      <w:r w:rsidR="00B44CDA">
        <w:t xml:space="preserve"> Court.</w:t>
      </w:r>
      <w:r w:rsidR="000F30E1">
        <w:t xml:space="preserve"> </w:t>
      </w:r>
      <w:r w:rsidR="00B44CDA">
        <w:t xml:space="preserve">We also welcome funding to Legal Aid ACT to deliver a new duty solicitor </w:t>
      </w:r>
      <w:r w:rsidR="00330A3C">
        <w:t xml:space="preserve">service </w:t>
      </w:r>
      <w:r w:rsidR="00B44CDA">
        <w:t xml:space="preserve">within the </w:t>
      </w:r>
      <w:r w:rsidR="001350DB">
        <w:t>Children’s</w:t>
      </w:r>
      <w:r w:rsidR="00330A3C">
        <w:t xml:space="preserve"> </w:t>
      </w:r>
      <w:r w:rsidR="00E30C68">
        <w:t>C</w:t>
      </w:r>
      <w:r w:rsidR="00330A3C">
        <w:t>ourt.</w:t>
      </w:r>
      <w:r w:rsidR="000F30E1">
        <w:t xml:space="preserve"> </w:t>
      </w:r>
      <w:r w:rsidR="00330A3C">
        <w:t xml:space="preserve">This is a modest but significant package of measures </w:t>
      </w:r>
      <w:r w:rsidR="001350DB">
        <w:t xml:space="preserve">with a therapeutic focus </w:t>
      </w:r>
      <w:r w:rsidR="00330A3C">
        <w:t>to support families whose children are in care or are at risk of being removed</w:t>
      </w:r>
      <w:r w:rsidR="001350DB">
        <w:t>.</w:t>
      </w:r>
    </w:p>
    <w:p w14:paraId="32A6EB13" w14:textId="77777777" w:rsidR="00FD1D5C" w:rsidRDefault="00400EBB" w:rsidP="00FD1D5C">
      <w:pPr>
        <w:pStyle w:val="Body"/>
      </w:pPr>
      <w:r w:rsidRPr="002A0C98">
        <w:t xml:space="preserve">The </w:t>
      </w:r>
      <w:r w:rsidR="00FD1D5C">
        <w:t>20</w:t>
      </w:r>
      <w:r w:rsidR="003126F2" w:rsidRPr="002A0C98">
        <w:t>19</w:t>
      </w:r>
      <w:r w:rsidR="00FD1D5C">
        <w:t>-</w:t>
      </w:r>
      <w:r w:rsidRPr="002A0C98">
        <w:t xml:space="preserve">20 Budget was a mixed </w:t>
      </w:r>
      <w:r w:rsidR="003126F2" w:rsidRPr="002A0C98">
        <w:t>bag</w:t>
      </w:r>
      <w:r w:rsidRPr="002A0C98">
        <w:t xml:space="preserve"> for Community Legal Centres in the ACT.</w:t>
      </w:r>
    </w:p>
    <w:p w14:paraId="32C76BFB" w14:textId="7CC80F38" w:rsidR="00FD1D5C" w:rsidRDefault="00400EBB" w:rsidP="00FD1D5C">
      <w:pPr>
        <w:pStyle w:val="Body"/>
      </w:pPr>
      <w:r w:rsidRPr="002A0C98">
        <w:t>Care Financial (Consumer Law Centre) and the Women’s Legal Centre received additional funding from the ACT Government (</w:t>
      </w:r>
      <w:proofErr w:type="spellStart"/>
      <w:r w:rsidRPr="002A0C98">
        <w:t>JaCS</w:t>
      </w:r>
      <w:proofErr w:type="spellEnd"/>
      <w:r w:rsidRPr="002A0C98">
        <w:t xml:space="preserve">) to maintain current service levels in </w:t>
      </w:r>
      <w:r w:rsidR="003126F2" w:rsidRPr="002A0C98">
        <w:t>2019</w:t>
      </w:r>
      <w:r w:rsidR="00E353D6">
        <w:t>-</w:t>
      </w:r>
      <w:r w:rsidRPr="002A0C98">
        <w:t xml:space="preserve">20. This funding will allow the </w:t>
      </w:r>
      <w:r w:rsidRPr="00FD1D5C">
        <w:t>Consumer</w:t>
      </w:r>
      <w:r w:rsidRPr="002A0C98">
        <w:t xml:space="preserve"> Law Centre to ensure clients who are receiving legal assistance with regards to debt and other consumer issues </w:t>
      </w:r>
      <w:r w:rsidR="00F45034">
        <w:t>will</w:t>
      </w:r>
      <w:r w:rsidRPr="002A0C98">
        <w:t xml:space="preserve"> also be able to access financial counselling to support more sustainable outcomes. The funding to the Women’s Legal Centre will also allow the </w:t>
      </w:r>
      <w:r w:rsidR="00B715C0">
        <w:t>c</w:t>
      </w:r>
      <w:r w:rsidRPr="002A0C98">
        <w:t>entre to maintain current assistance levels to women experiencing family and domestic violence, including collaboration with the Consumer Law Centre to assist women experiencing economic abuse.</w:t>
      </w:r>
    </w:p>
    <w:p w14:paraId="6C4B3538" w14:textId="67C18D2B" w:rsidR="00FD1D5C" w:rsidRDefault="00400EBB" w:rsidP="00FD1D5C">
      <w:pPr>
        <w:pStyle w:val="Body"/>
      </w:pPr>
      <w:r w:rsidRPr="002A0C98">
        <w:t xml:space="preserve">The Women’s Legal Centre also welcomed funding to extend the successful Health Justice Partnerships with Calvary Public </w:t>
      </w:r>
      <w:r w:rsidRPr="00FD1D5C">
        <w:t>Hospital</w:t>
      </w:r>
      <w:r w:rsidRPr="002A0C98">
        <w:t xml:space="preserve"> and Gungahlin Child and Family Centre as part of the Family Safety Hub’s </w:t>
      </w:r>
      <w:r w:rsidR="00B73A94">
        <w:t>‘</w:t>
      </w:r>
      <w:r w:rsidRPr="002A0C98">
        <w:t>pilot, learn, refine</w:t>
      </w:r>
      <w:r w:rsidR="00B73A94">
        <w:t>’</w:t>
      </w:r>
      <w:r w:rsidRPr="002A0C98">
        <w:t xml:space="preserve"> approach to improving the ACT’s response to domestic and family violence.</w:t>
      </w:r>
    </w:p>
    <w:p w14:paraId="4B23E727" w14:textId="1274143B" w:rsidR="00FB3EAB" w:rsidRPr="00FB3EAB" w:rsidRDefault="00400EBB" w:rsidP="00FD1D5C">
      <w:pPr>
        <w:pStyle w:val="Body"/>
      </w:pPr>
      <w:r w:rsidRPr="002A0C98">
        <w:t>The Environmental Defender’s Office</w:t>
      </w:r>
      <w:r w:rsidR="003174E7">
        <w:t xml:space="preserve"> (EDO)</w:t>
      </w:r>
      <w:r w:rsidRPr="002A0C98">
        <w:t xml:space="preserve"> received $</w:t>
      </w:r>
      <w:r w:rsidR="003126F2" w:rsidRPr="002A0C98">
        <w:rPr>
          <w:szCs w:val="23"/>
        </w:rPr>
        <w:t>75,000</w:t>
      </w:r>
      <w:r w:rsidRPr="002A0C98">
        <w:rPr>
          <w:szCs w:val="23"/>
        </w:rPr>
        <w:t xml:space="preserve"> to fund core services in </w:t>
      </w:r>
      <w:r w:rsidR="00E353D6">
        <w:rPr>
          <w:szCs w:val="23"/>
        </w:rPr>
        <w:t>20</w:t>
      </w:r>
      <w:r w:rsidRPr="002A0C98">
        <w:rPr>
          <w:szCs w:val="23"/>
        </w:rPr>
        <w:t>19</w:t>
      </w:r>
      <w:r w:rsidR="00E353D6">
        <w:rPr>
          <w:szCs w:val="23"/>
        </w:rPr>
        <w:t>-</w:t>
      </w:r>
      <w:r w:rsidRPr="002A0C98">
        <w:rPr>
          <w:szCs w:val="23"/>
        </w:rPr>
        <w:t xml:space="preserve">20. This is approximately half of the </w:t>
      </w:r>
      <w:proofErr w:type="spellStart"/>
      <w:r w:rsidRPr="002A0C98">
        <w:rPr>
          <w:szCs w:val="23"/>
        </w:rPr>
        <w:t>EDO’s</w:t>
      </w:r>
      <w:proofErr w:type="spellEnd"/>
      <w:r w:rsidRPr="002A0C98">
        <w:rPr>
          <w:szCs w:val="23"/>
        </w:rPr>
        <w:t xml:space="preserve"> </w:t>
      </w:r>
      <w:r w:rsidR="00E353D6">
        <w:rPr>
          <w:szCs w:val="23"/>
        </w:rPr>
        <w:t>20</w:t>
      </w:r>
      <w:r w:rsidRPr="002A0C98">
        <w:rPr>
          <w:szCs w:val="23"/>
        </w:rPr>
        <w:t>18</w:t>
      </w:r>
      <w:r w:rsidR="00E353D6">
        <w:rPr>
          <w:szCs w:val="23"/>
        </w:rPr>
        <w:t>-</w:t>
      </w:r>
      <w:r w:rsidRPr="002A0C98">
        <w:rPr>
          <w:szCs w:val="23"/>
        </w:rPr>
        <w:t xml:space="preserve">19 funding levels. This means the EDO will reduce services (they will lose one staff member in </w:t>
      </w:r>
      <w:r w:rsidR="00E353D6">
        <w:rPr>
          <w:szCs w:val="23"/>
        </w:rPr>
        <w:t>20</w:t>
      </w:r>
      <w:r w:rsidRPr="002A0C98">
        <w:rPr>
          <w:szCs w:val="23"/>
        </w:rPr>
        <w:t>19</w:t>
      </w:r>
      <w:r w:rsidR="00E353D6">
        <w:rPr>
          <w:szCs w:val="23"/>
        </w:rPr>
        <w:t>-</w:t>
      </w:r>
      <w:r w:rsidRPr="002A0C98">
        <w:rPr>
          <w:szCs w:val="23"/>
        </w:rPr>
        <w:t>20).</w:t>
      </w:r>
      <w:r w:rsidR="000F30E1">
        <w:rPr>
          <w:szCs w:val="23"/>
        </w:rPr>
        <w:t xml:space="preserve"> </w:t>
      </w:r>
      <w:r w:rsidRPr="002A0C98">
        <w:rPr>
          <w:szCs w:val="23"/>
        </w:rPr>
        <w:t xml:space="preserve">The EDO supports the Canberra community to protect the environment using planning, development and biodiversity law. These services will be significantly reduced in </w:t>
      </w:r>
      <w:r w:rsidR="00E353D6">
        <w:rPr>
          <w:szCs w:val="23"/>
        </w:rPr>
        <w:t>20</w:t>
      </w:r>
      <w:r w:rsidRPr="002A0C98">
        <w:rPr>
          <w:szCs w:val="23"/>
        </w:rPr>
        <w:t>19</w:t>
      </w:r>
      <w:r w:rsidR="00E353D6">
        <w:rPr>
          <w:szCs w:val="23"/>
        </w:rPr>
        <w:t>-</w:t>
      </w:r>
      <w:r w:rsidRPr="002A0C98">
        <w:rPr>
          <w:szCs w:val="23"/>
        </w:rPr>
        <w:t>20, even though the ACT Government has recently declared a climate emergency.</w:t>
      </w:r>
    </w:p>
    <w:p w14:paraId="3B67AAA5" w14:textId="77777777" w:rsidR="00FB3EAB" w:rsidRPr="0064087C" w:rsidRDefault="00FB3EAB" w:rsidP="0064087C">
      <w:pPr>
        <w:pStyle w:val="snapTabletitle"/>
      </w:pPr>
      <w:r w:rsidRPr="0064087C">
        <w:t>Table 3.2.2: Expense initiatives</w:t>
      </w:r>
    </w:p>
    <w:tbl>
      <w:tblPr>
        <w:tblW w:w="5000" w:type="pct"/>
        <w:tblLayout w:type="fixed"/>
        <w:tblCellMar>
          <w:left w:w="30" w:type="dxa"/>
          <w:right w:w="30" w:type="dxa"/>
        </w:tblCellMar>
        <w:tblLook w:val="0000" w:firstRow="0" w:lastRow="0" w:firstColumn="0" w:lastColumn="0" w:noHBand="0" w:noVBand="0"/>
      </w:tblPr>
      <w:tblGrid>
        <w:gridCol w:w="4844"/>
        <w:gridCol w:w="959"/>
        <w:gridCol w:w="959"/>
        <w:gridCol w:w="958"/>
        <w:gridCol w:w="959"/>
        <w:gridCol w:w="959"/>
      </w:tblGrid>
      <w:tr w:rsidR="00FB3EAB" w:rsidRPr="00FB3EAB" w14:paraId="27E4A16D" w14:textId="77777777" w:rsidTr="00546D49">
        <w:trPr>
          <w:cantSplit/>
          <w:trHeight w:val="227"/>
          <w:tblHeader/>
        </w:trPr>
        <w:tc>
          <w:tcPr>
            <w:tcW w:w="4844" w:type="dxa"/>
            <w:tcBorders>
              <w:top w:val="single" w:sz="4" w:space="0" w:color="auto"/>
              <w:left w:val="nil"/>
              <w:bottom w:val="nil"/>
              <w:right w:val="nil"/>
            </w:tcBorders>
            <w:shd w:val="clear" w:color="auto" w:fill="auto"/>
            <w:vAlign w:val="center"/>
          </w:tcPr>
          <w:p w14:paraId="130A4FDD" w14:textId="77777777" w:rsidR="00FB3EAB" w:rsidRPr="00FB3EAB" w:rsidRDefault="00FB3EAB" w:rsidP="00C4458C">
            <w:pPr>
              <w:rPr>
                <w:rFonts w:ascii="Calibri" w:hAnsi="Calibri"/>
                <w:b/>
                <w:bCs/>
                <w:sz w:val="20"/>
                <w:szCs w:val="20"/>
                <w:lang w:eastAsia="en-AU"/>
              </w:rPr>
            </w:pPr>
            <w:r w:rsidRPr="00FB3EAB">
              <w:rPr>
                <w:rFonts w:ascii="Calibri" w:hAnsi="Calibri"/>
                <w:b/>
                <w:bCs/>
                <w:sz w:val="20"/>
                <w:szCs w:val="20"/>
                <w:lang w:eastAsia="en-AU"/>
              </w:rPr>
              <w:t>Expense initiatives</w:t>
            </w:r>
          </w:p>
        </w:tc>
        <w:tc>
          <w:tcPr>
            <w:tcW w:w="959" w:type="dxa"/>
            <w:tcBorders>
              <w:top w:val="single" w:sz="4" w:space="0" w:color="auto"/>
              <w:left w:val="nil"/>
              <w:bottom w:val="nil"/>
              <w:right w:val="nil"/>
            </w:tcBorders>
            <w:shd w:val="clear" w:color="auto" w:fill="auto"/>
            <w:vAlign w:val="bottom"/>
          </w:tcPr>
          <w:p w14:paraId="0DA6958C" w14:textId="77777777" w:rsidR="00FB3EAB" w:rsidRPr="00FB3EAB" w:rsidRDefault="00FB3EAB" w:rsidP="00FB3EAB">
            <w:pPr>
              <w:ind w:left="227" w:hanging="227"/>
              <w:jc w:val="right"/>
              <w:rPr>
                <w:rFonts w:ascii="Calibri" w:hAnsi="Calibri"/>
                <w:b/>
                <w:sz w:val="20"/>
                <w:szCs w:val="24"/>
                <w:lang w:val="x-none" w:eastAsia="en-US"/>
              </w:rPr>
            </w:pPr>
            <w:r w:rsidRPr="00FB3EAB">
              <w:rPr>
                <w:rFonts w:ascii="Calibri" w:hAnsi="Calibri"/>
                <w:b/>
                <w:sz w:val="20"/>
                <w:szCs w:val="24"/>
                <w:lang w:val="x-none" w:eastAsia="en-US"/>
              </w:rPr>
              <w:t>2019-20</w:t>
            </w:r>
          </w:p>
          <w:p w14:paraId="4AC3E18B" w14:textId="77777777" w:rsidR="00FB3EAB" w:rsidRPr="00FB3EAB" w:rsidRDefault="00FB3EAB" w:rsidP="00FB3EAB">
            <w:pPr>
              <w:ind w:left="227" w:hanging="227"/>
              <w:jc w:val="right"/>
              <w:rPr>
                <w:rFonts w:ascii="Calibri" w:hAnsi="Calibri"/>
                <w:b/>
                <w:sz w:val="20"/>
                <w:szCs w:val="24"/>
                <w:lang w:val="x-none" w:eastAsia="en-US"/>
              </w:rPr>
            </w:pPr>
            <w:r w:rsidRPr="00FB3EAB">
              <w:rPr>
                <w:rFonts w:ascii="Calibri" w:hAnsi="Calibri"/>
                <w:b/>
                <w:sz w:val="20"/>
                <w:szCs w:val="24"/>
                <w:lang w:val="x-none" w:eastAsia="en-US"/>
              </w:rPr>
              <w:t>Estimate</w:t>
            </w:r>
          </w:p>
          <w:p w14:paraId="57B0687D" w14:textId="77777777" w:rsidR="00FB3EAB" w:rsidRPr="00FB3EAB" w:rsidRDefault="00FB3EAB" w:rsidP="00FB3EAB">
            <w:pPr>
              <w:ind w:left="227" w:hanging="227"/>
              <w:jc w:val="right"/>
              <w:rPr>
                <w:rFonts w:ascii="Calibri" w:hAnsi="Calibri"/>
                <w:b/>
                <w:sz w:val="20"/>
                <w:szCs w:val="24"/>
                <w:lang w:val="x-none" w:eastAsia="en-US"/>
              </w:rPr>
            </w:pPr>
            <w:r w:rsidRPr="00FB3EAB">
              <w:rPr>
                <w:rFonts w:ascii="Calibri" w:hAnsi="Calibri"/>
                <w:b/>
                <w:sz w:val="20"/>
                <w:szCs w:val="24"/>
                <w:lang w:val="x-none" w:eastAsia="en-US"/>
              </w:rPr>
              <w:t>$’000</w:t>
            </w:r>
          </w:p>
        </w:tc>
        <w:tc>
          <w:tcPr>
            <w:tcW w:w="959" w:type="dxa"/>
            <w:tcBorders>
              <w:top w:val="single" w:sz="4" w:space="0" w:color="auto"/>
              <w:left w:val="nil"/>
              <w:bottom w:val="nil"/>
              <w:right w:val="nil"/>
            </w:tcBorders>
            <w:shd w:val="clear" w:color="auto" w:fill="auto"/>
            <w:vAlign w:val="bottom"/>
          </w:tcPr>
          <w:p w14:paraId="25A558D5" w14:textId="77777777" w:rsidR="00FB3EAB" w:rsidRPr="00FB3EAB" w:rsidRDefault="00FB3EAB" w:rsidP="00FB3EAB">
            <w:pPr>
              <w:ind w:left="227" w:hanging="227"/>
              <w:jc w:val="right"/>
              <w:rPr>
                <w:rFonts w:ascii="Calibri" w:hAnsi="Calibri"/>
                <w:b/>
                <w:sz w:val="20"/>
                <w:szCs w:val="24"/>
                <w:lang w:val="x-none" w:eastAsia="en-US"/>
              </w:rPr>
            </w:pPr>
            <w:r w:rsidRPr="00FB3EAB">
              <w:rPr>
                <w:rFonts w:ascii="Calibri" w:hAnsi="Calibri"/>
                <w:b/>
                <w:sz w:val="20"/>
                <w:szCs w:val="24"/>
                <w:lang w:val="x-none" w:eastAsia="en-US"/>
              </w:rPr>
              <w:t>2020-21</w:t>
            </w:r>
          </w:p>
          <w:p w14:paraId="534D998D" w14:textId="77777777" w:rsidR="00FB3EAB" w:rsidRPr="00FB3EAB" w:rsidRDefault="00FB3EAB" w:rsidP="00FB3EAB">
            <w:pPr>
              <w:ind w:left="227" w:hanging="227"/>
              <w:jc w:val="right"/>
              <w:rPr>
                <w:rFonts w:ascii="Calibri" w:hAnsi="Calibri"/>
                <w:b/>
                <w:sz w:val="20"/>
                <w:szCs w:val="24"/>
                <w:lang w:val="x-none" w:eastAsia="en-US"/>
              </w:rPr>
            </w:pPr>
            <w:r w:rsidRPr="00FB3EAB">
              <w:rPr>
                <w:rFonts w:ascii="Calibri" w:hAnsi="Calibri"/>
                <w:b/>
                <w:sz w:val="20"/>
                <w:szCs w:val="24"/>
                <w:lang w:val="x-none" w:eastAsia="en-US"/>
              </w:rPr>
              <w:t>Estimate</w:t>
            </w:r>
          </w:p>
          <w:p w14:paraId="63089C93" w14:textId="77777777" w:rsidR="00FB3EAB" w:rsidRPr="00FB3EAB" w:rsidRDefault="00FB3EAB" w:rsidP="00FB3EAB">
            <w:pPr>
              <w:ind w:left="227" w:hanging="227"/>
              <w:jc w:val="right"/>
              <w:rPr>
                <w:rFonts w:ascii="Calibri" w:hAnsi="Calibri"/>
                <w:b/>
                <w:sz w:val="20"/>
                <w:szCs w:val="24"/>
                <w:lang w:val="x-none" w:eastAsia="en-US"/>
              </w:rPr>
            </w:pPr>
            <w:r w:rsidRPr="00FB3EAB">
              <w:rPr>
                <w:rFonts w:ascii="Calibri" w:hAnsi="Calibri"/>
                <w:b/>
                <w:sz w:val="20"/>
                <w:szCs w:val="24"/>
                <w:lang w:val="x-none" w:eastAsia="en-US"/>
              </w:rPr>
              <w:t>$’000</w:t>
            </w:r>
          </w:p>
        </w:tc>
        <w:tc>
          <w:tcPr>
            <w:tcW w:w="958" w:type="dxa"/>
            <w:tcBorders>
              <w:top w:val="single" w:sz="4" w:space="0" w:color="auto"/>
              <w:left w:val="nil"/>
              <w:bottom w:val="nil"/>
              <w:right w:val="nil"/>
            </w:tcBorders>
            <w:shd w:val="clear" w:color="auto" w:fill="auto"/>
            <w:vAlign w:val="bottom"/>
          </w:tcPr>
          <w:p w14:paraId="5C6B91E3" w14:textId="77777777" w:rsidR="00FB3EAB" w:rsidRPr="00FB3EAB" w:rsidRDefault="00FB3EAB" w:rsidP="00FB3EAB">
            <w:pPr>
              <w:ind w:left="227" w:hanging="227"/>
              <w:jc w:val="right"/>
              <w:rPr>
                <w:rFonts w:ascii="Calibri" w:hAnsi="Calibri"/>
                <w:b/>
                <w:sz w:val="20"/>
                <w:szCs w:val="24"/>
                <w:lang w:val="x-none" w:eastAsia="en-US"/>
              </w:rPr>
            </w:pPr>
            <w:r w:rsidRPr="00FB3EAB">
              <w:rPr>
                <w:rFonts w:ascii="Calibri" w:hAnsi="Calibri"/>
                <w:b/>
                <w:sz w:val="20"/>
                <w:szCs w:val="24"/>
                <w:lang w:val="x-none" w:eastAsia="en-US"/>
              </w:rPr>
              <w:t>2021-22</w:t>
            </w:r>
          </w:p>
          <w:p w14:paraId="25C88D2E" w14:textId="77777777" w:rsidR="00FB3EAB" w:rsidRPr="00FB3EAB" w:rsidRDefault="00FB3EAB" w:rsidP="00FB3EAB">
            <w:pPr>
              <w:ind w:left="227" w:hanging="227"/>
              <w:jc w:val="right"/>
              <w:rPr>
                <w:rFonts w:ascii="Calibri" w:hAnsi="Calibri"/>
                <w:b/>
                <w:sz w:val="20"/>
                <w:szCs w:val="24"/>
                <w:lang w:val="x-none" w:eastAsia="en-US"/>
              </w:rPr>
            </w:pPr>
            <w:r w:rsidRPr="00FB3EAB">
              <w:rPr>
                <w:rFonts w:ascii="Calibri" w:hAnsi="Calibri"/>
                <w:b/>
                <w:sz w:val="20"/>
                <w:szCs w:val="24"/>
                <w:lang w:val="x-none" w:eastAsia="en-US"/>
              </w:rPr>
              <w:t>Estimate</w:t>
            </w:r>
          </w:p>
          <w:p w14:paraId="19DCDDC7" w14:textId="77777777" w:rsidR="00FB3EAB" w:rsidRPr="00FB3EAB" w:rsidRDefault="00FB3EAB" w:rsidP="00FB3EAB">
            <w:pPr>
              <w:ind w:left="227" w:hanging="227"/>
              <w:jc w:val="right"/>
              <w:rPr>
                <w:rFonts w:ascii="Calibri" w:hAnsi="Calibri"/>
                <w:b/>
                <w:sz w:val="20"/>
                <w:szCs w:val="24"/>
                <w:lang w:val="x-none" w:eastAsia="en-US"/>
              </w:rPr>
            </w:pPr>
            <w:r w:rsidRPr="00FB3EAB">
              <w:rPr>
                <w:rFonts w:ascii="Calibri" w:hAnsi="Calibri"/>
                <w:b/>
                <w:sz w:val="20"/>
                <w:szCs w:val="24"/>
                <w:lang w:val="x-none" w:eastAsia="en-US"/>
              </w:rPr>
              <w:t>$’000</w:t>
            </w:r>
          </w:p>
        </w:tc>
        <w:tc>
          <w:tcPr>
            <w:tcW w:w="959" w:type="dxa"/>
            <w:tcBorders>
              <w:top w:val="single" w:sz="4" w:space="0" w:color="auto"/>
              <w:left w:val="nil"/>
              <w:bottom w:val="nil"/>
              <w:right w:val="nil"/>
            </w:tcBorders>
            <w:shd w:val="clear" w:color="auto" w:fill="auto"/>
            <w:vAlign w:val="bottom"/>
          </w:tcPr>
          <w:p w14:paraId="4934DA62" w14:textId="77777777" w:rsidR="00FB3EAB" w:rsidRPr="00FB3EAB" w:rsidRDefault="00FB3EAB" w:rsidP="00FB3EAB">
            <w:pPr>
              <w:ind w:left="227" w:hanging="227"/>
              <w:jc w:val="right"/>
              <w:rPr>
                <w:rFonts w:ascii="Calibri" w:hAnsi="Calibri"/>
                <w:b/>
                <w:sz w:val="20"/>
                <w:szCs w:val="24"/>
                <w:lang w:val="x-none" w:eastAsia="en-US"/>
              </w:rPr>
            </w:pPr>
            <w:r w:rsidRPr="00FB3EAB">
              <w:rPr>
                <w:rFonts w:ascii="Calibri" w:hAnsi="Calibri"/>
                <w:b/>
                <w:sz w:val="20"/>
                <w:szCs w:val="24"/>
                <w:lang w:val="x-none" w:eastAsia="en-US"/>
              </w:rPr>
              <w:t>2022-23</w:t>
            </w:r>
          </w:p>
          <w:p w14:paraId="0BAAB932" w14:textId="77777777" w:rsidR="00FB3EAB" w:rsidRPr="00FB3EAB" w:rsidRDefault="00FB3EAB" w:rsidP="00FB3EAB">
            <w:pPr>
              <w:ind w:left="227" w:hanging="227"/>
              <w:jc w:val="right"/>
              <w:rPr>
                <w:rFonts w:ascii="Calibri" w:hAnsi="Calibri"/>
                <w:b/>
                <w:sz w:val="20"/>
                <w:szCs w:val="24"/>
                <w:lang w:val="x-none" w:eastAsia="en-US"/>
              </w:rPr>
            </w:pPr>
            <w:r w:rsidRPr="00FB3EAB">
              <w:rPr>
                <w:rFonts w:ascii="Calibri" w:hAnsi="Calibri"/>
                <w:b/>
                <w:sz w:val="20"/>
                <w:szCs w:val="24"/>
                <w:lang w:val="x-none" w:eastAsia="en-US"/>
              </w:rPr>
              <w:t>Estimate</w:t>
            </w:r>
          </w:p>
          <w:p w14:paraId="2F8F739B" w14:textId="77777777" w:rsidR="00FB3EAB" w:rsidRPr="00FB3EAB" w:rsidRDefault="00FB3EAB" w:rsidP="00FB3EAB">
            <w:pPr>
              <w:ind w:left="227" w:hanging="227"/>
              <w:jc w:val="right"/>
              <w:rPr>
                <w:rFonts w:ascii="Calibri" w:hAnsi="Calibri"/>
                <w:b/>
                <w:sz w:val="20"/>
                <w:szCs w:val="24"/>
                <w:lang w:val="x-none" w:eastAsia="en-US"/>
              </w:rPr>
            </w:pPr>
            <w:r w:rsidRPr="00FB3EAB">
              <w:rPr>
                <w:rFonts w:ascii="Calibri" w:hAnsi="Calibri"/>
                <w:b/>
                <w:sz w:val="20"/>
                <w:szCs w:val="24"/>
                <w:lang w:val="x-none" w:eastAsia="en-US"/>
              </w:rPr>
              <w:t>$’000</w:t>
            </w:r>
          </w:p>
        </w:tc>
        <w:tc>
          <w:tcPr>
            <w:tcW w:w="959" w:type="dxa"/>
            <w:tcBorders>
              <w:top w:val="single" w:sz="4" w:space="0" w:color="auto"/>
              <w:left w:val="nil"/>
              <w:bottom w:val="nil"/>
              <w:right w:val="nil"/>
            </w:tcBorders>
            <w:shd w:val="clear" w:color="auto" w:fill="auto"/>
          </w:tcPr>
          <w:p w14:paraId="2D52BCE1" w14:textId="77777777" w:rsidR="00FB3EAB" w:rsidRPr="00FB3EAB" w:rsidRDefault="00FB3EAB" w:rsidP="00FB3EAB">
            <w:pPr>
              <w:ind w:left="227" w:hanging="227"/>
              <w:jc w:val="right"/>
              <w:rPr>
                <w:rFonts w:ascii="Calibri" w:hAnsi="Calibri"/>
                <w:b/>
                <w:snapToGrid w:val="0"/>
                <w:sz w:val="20"/>
                <w:szCs w:val="24"/>
                <w:lang w:val="x-none" w:eastAsia="en-US"/>
              </w:rPr>
            </w:pPr>
            <w:r w:rsidRPr="00FB3EAB">
              <w:rPr>
                <w:rFonts w:ascii="Calibri" w:hAnsi="Calibri"/>
                <w:b/>
                <w:snapToGrid w:val="0"/>
                <w:sz w:val="20"/>
                <w:szCs w:val="24"/>
                <w:lang w:val="x-none" w:eastAsia="en-US"/>
              </w:rPr>
              <w:t>Total</w:t>
            </w:r>
          </w:p>
          <w:p w14:paraId="5A24C6B9" w14:textId="77777777" w:rsidR="00FB3EAB" w:rsidRPr="00FB3EAB" w:rsidRDefault="00FB3EAB" w:rsidP="00FB3EAB">
            <w:pPr>
              <w:ind w:left="227" w:hanging="227"/>
              <w:jc w:val="right"/>
              <w:rPr>
                <w:rFonts w:ascii="Calibri" w:hAnsi="Calibri"/>
                <w:b/>
                <w:snapToGrid w:val="0"/>
                <w:sz w:val="20"/>
                <w:szCs w:val="24"/>
                <w:lang w:val="x-none" w:eastAsia="en-US"/>
              </w:rPr>
            </w:pPr>
          </w:p>
          <w:p w14:paraId="4FE88FE2" w14:textId="77777777" w:rsidR="00FB3EAB" w:rsidRPr="00FB3EAB" w:rsidRDefault="00FB3EAB" w:rsidP="00FB3EAB">
            <w:pPr>
              <w:ind w:left="227" w:hanging="227"/>
              <w:jc w:val="right"/>
              <w:rPr>
                <w:rFonts w:ascii="Calibri" w:hAnsi="Calibri"/>
                <w:b/>
                <w:snapToGrid w:val="0"/>
                <w:sz w:val="20"/>
                <w:szCs w:val="24"/>
                <w:lang w:val="x-none" w:eastAsia="en-US"/>
              </w:rPr>
            </w:pPr>
            <w:r w:rsidRPr="00FB3EAB">
              <w:rPr>
                <w:rFonts w:ascii="Calibri" w:hAnsi="Calibri"/>
                <w:b/>
                <w:snapToGrid w:val="0"/>
                <w:sz w:val="20"/>
                <w:szCs w:val="24"/>
                <w:lang w:val="x-none" w:eastAsia="en-US"/>
              </w:rPr>
              <w:t>$’000</w:t>
            </w:r>
          </w:p>
        </w:tc>
      </w:tr>
      <w:tr w:rsidR="00FB3EAB" w:rsidRPr="00FB3EAB" w14:paraId="052BC8F2" w14:textId="77777777" w:rsidTr="00546D49">
        <w:trPr>
          <w:cantSplit/>
          <w:trHeight w:val="227"/>
        </w:trPr>
        <w:tc>
          <w:tcPr>
            <w:tcW w:w="4844" w:type="dxa"/>
            <w:tcBorders>
              <w:top w:val="single" w:sz="4" w:space="0" w:color="auto"/>
            </w:tcBorders>
            <w:shd w:val="clear" w:color="auto" w:fill="auto"/>
          </w:tcPr>
          <w:p w14:paraId="0911A1A7" w14:textId="77777777" w:rsidR="00FB3EAB" w:rsidRPr="00FB3EAB" w:rsidRDefault="00FB3EAB" w:rsidP="00FB3EAB">
            <w:pPr>
              <w:jc w:val="right"/>
              <w:rPr>
                <w:rFonts w:cs="Calibri"/>
                <w:color w:val="FFFFFF"/>
                <w:sz w:val="12"/>
              </w:rPr>
            </w:pPr>
            <w:r w:rsidRPr="00FB3EAB">
              <w:rPr>
                <w:rFonts w:cs="Calibri"/>
                <w:color w:val="FFFFFF"/>
                <w:sz w:val="12"/>
              </w:rPr>
              <w:t xml:space="preserve"> </w:t>
            </w:r>
          </w:p>
        </w:tc>
        <w:tc>
          <w:tcPr>
            <w:tcW w:w="959" w:type="dxa"/>
            <w:tcBorders>
              <w:top w:val="single" w:sz="4" w:space="0" w:color="auto"/>
            </w:tcBorders>
            <w:shd w:val="clear" w:color="auto" w:fill="auto"/>
          </w:tcPr>
          <w:p w14:paraId="047328FC" w14:textId="77777777" w:rsidR="00FB3EAB" w:rsidRPr="00FB3EAB" w:rsidRDefault="00FB3EAB" w:rsidP="00FB3EAB">
            <w:pPr>
              <w:jc w:val="right"/>
              <w:rPr>
                <w:rFonts w:cs="Calibri"/>
                <w:color w:val="FFFFFF"/>
                <w:sz w:val="12"/>
              </w:rPr>
            </w:pPr>
            <w:r w:rsidRPr="00FB3EAB">
              <w:rPr>
                <w:rFonts w:cs="Calibri"/>
                <w:color w:val="FFFFFF"/>
                <w:sz w:val="12"/>
              </w:rPr>
              <w:t xml:space="preserve"> </w:t>
            </w:r>
          </w:p>
        </w:tc>
        <w:tc>
          <w:tcPr>
            <w:tcW w:w="959" w:type="dxa"/>
            <w:tcBorders>
              <w:top w:val="single" w:sz="4" w:space="0" w:color="auto"/>
            </w:tcBorders>
            <w:shd w:val="clear" w:color="auto" w:fill="auto"/>
          </w:tcPr>
          <w:p w14:paraId="50F8108E" w14:textId="77777777" w:rsidR="00FB3EAB" w:rsidRPr="00FB3EAB" w:rsidRDefault="00FB3EAB" w:rsidP="00FB3EAB">
            <w:pPr>
              <w:jc w:val="right"/>
              <w:rPr>
                <w:rFonts w:cs="Calibri"/>
                <w:color w:val="FFFFFF"/>
                <w:sz w:val="12"/>
              </w:rPr>
            </w:pPr>
            <w:r w:rsidRPr="00FB3EAB">
              <w:rPr>
                <w:rFonts w:cs="Calibri"/>
                <w:color w:val="FFFFFF"/>
                <w:sz w:val="12"/>
              </w:rPr>
              <w:t xml:space="preserve"> </w:t>
            </w:r>
          </w:p>
        </w:tc>
        <w:tc>
          <w:tcPr>
            <w:tcW w:w="958" w:type="dxa"/>
            <w:tcBorders>
              <w:top w:val="single" w:sz="4" w:space="0" w:color="auto"/>
            </w:tcBorders>
            <w:shd w:val="clear" w:color="auto" w:fill="auto"/>
          </w:tcPr>
          <w:p w14:paraId="579FFC97" w14:textId="77777777" w:rsidR="00FB3EAB" w:rsidRPr="00FB3EAB" w:rsidRDefault="00FB3EAB" w:rsidP="00FB3EAB">
            <w:pPr>
              <w:jc w:val="right"/>
              <w:rPr>
                <w:rFonts w:cs="Calibri"/>
                <w:color w:val="FFFFFF"/>
                <w:sz w:val="12"/>
              </w:rPr>
            </w:pPr>
            <w:r w:rsidRPr="00FB3EAB">
              <w:rPr>
                <w:rFonts w:cs="Calibri"/>
                <w:color w:val="FFFFFF"/>
                <w:sz w:val="12"/>
              </w:rPr>
              <w:t xml:space="preserve"> </w:t>
            </w:r>
          </w:p>
        </w:tc>
        <w:tc>
          <w:tcPr>
            <w:tcW w:w="959" w:type="dxa"/>
            <w:tcBorders>
              <w:top w:val="single" w:sz="4" w:space="0" w:color="auto"/>
            </w:tcBorders>
            <w:shd w:val="clear" w:color="auto" w:fill="auto"/>
          </w:tcPr>
          <w:p w14:paraId="2FAA0100" w14:textId="77777777" w:rsidR="00FB3EAB" w:rsidRPr="00FB3EAB" w:rsidRDefault="00FB3EAB" w:rsidP="00FB3EAB">
            <w:pPr>
              <w:jc w:val="right"/>
              <w:rPr>
                <w:rFonts w:cs="Calibri"/>
                <w:color w:val="FFFFFF"/>
                <w:sz w:val="12"/>
              </w:rPr>
            </w:pPr>
            <w:r w:rsidRPr="00FB3EAB">
              <w:rPr>
                <w:rFonts w:cs="Calibri"/>
                <w:color w:val="FFFFFF"/>
                <w:sz w:val="12"/>
              </w:rPr>
              <w:t xml:space="preserve"> </w:t>
            </w:r>
          </w:p>
        </w:tc>
        <w:tc>
          <w:tcPr>
            <w:tcW w:w="959" w:type="dxa"/>
            <w:tcBorders>
              <w:top w:val="single" w:sz="4" w:space="0" w:color="auto"/>
            </w:tcBorders>
            <w:shd w:val="clear" w:color="auto" w:fill="auto"/>
          </w:tcPr>
          <w:p w14:paraId="27F5362B" w14:textId="77777777" w:rsidR="00FB3EAB" w:rsidRPr="00FB3EAB" w:rsidRDefault="00FB3EAB" w:rsidP="00FB3EAB">
            <w:pPr>
              <w:jc w:val="right"/>
              <w:rPr>
                <w:rFonts w:cs="Calibri"/>
                <w:color w:val="FFFFFF"/>
                <w:sz w:val="12"/>
              </w:rPr>
            </w:pPr>
            <w:r w:rsidRPr="00FB3EAB">
              <w:rPr>
                <w:rFonts w:cs="Calibri"/>
                <w:color w:val="FFFFFF"/>
                <w:sz w:val="12"/>
              </w:rPr>
              <w:t xml:space="preserve"> </w:t>
            </w:r>
          </w:p>
        </w:tc>
      </w:tr>
      <w:tr w:rsidR="00FB3EAB" w:rsidRPr="00FB3EAB" w14:paraId="2A92D649" w14:textId="77777777" w:rsidTr="00546D49">
        <w:trPr>
          <w:cantSplit/>
          <w:trHeight w:val="227"/>
        </w:trPr>
        <w:tc>
          <w:tcPr>
            <w:tcW w:w="4844" w:type="dxa"/>
            <w:shd w:val="clear" w:color="auto" w:fill="auto"/>
            <w:vAlign w:val="bottom"/>
          </w:tcPr>
          <w:p w14:paraId="7BC89DAA" w14:textId="77777777" w:rsidR="00FB3EAB" w:rsidRPr="00FB3EAB" w:rsidRDefault="00FB3EAB" w:rsidP="00C4458C">
            <w:pPr>
              <w:rPr>
                <w:rFonts w:ascii="Calibri" w:hAnsi="Calibri"/>
                <w:b/>
                <w:bCs/>
                <w:sz w:val="20"/>
                <w:szCs w:val="20"/>
                <w:lang w:eastAsia="en-AU"/>
              </w:rPr>
            </w:pPr>
            <w:r w:rsidRPr="00FB3EAB">
              <w:rPr>
                <w:rFonts w:ascii="Calibri" w:hAnsi="Calibri"/>
                <w:b/>
                <w:bCs/>
                <w:sz w:val="20"/>
                <w:szCs w:val="20"/>
                <w:lang w:eastAsia="en-AU"/>
              </w:rPr>
              <w:t>Justice</w:t>
            </w:r>
          </w:p>
          <w:p w14:paraId="5A5573F9" w14:textId="5D0576AA" w:rsidR="00FB3EAB" w:rsidRPr="00FB3EAB" w:rsidRDefault="00FB3EAB" w:rsidP="00C4458C">
            <w:pPr>
              <w:rPr>
                <w:rFonts w:ascii="Calibri" w:hAnsi="Calibri"/>
                <w:b/>
                <w:bCs/>
                <w:sz w:val="20"/>
                <w:szCs w:val="20"/>
                <w:lang w:eastAsia="en-AU"/>
              </w:rPr>
            </w:pPr>
            <w:r w:rsidRPr="00FB3EAB">
              <w:rPr>
                <w:rFonts w:ascii="Calibri" w:hAnsi="Calibri"/>
                <w:b/>
                <w:bCs/>
                <w:sz w:val="20"/>
                <w:szCs w:val="20"/>
                <w:lang w:eastAsia="en-AU"/>
              </w:rPr>
              <w:t>and Community Safety Directorate</w:t>
            </w:r>
          </w:p>
        </w:tc>
        <w:tc>
          <w:tcPr>
            <w:tcW w:w="959" w:type="dxa"/>
            <w:shd w:val="clear" w:color="auto" w:fill="auto"/>
          </w:tcPr>
          <w:p w14:paraId="1B4F02FB" w14:textId="77777777" w:rsidR="00FB3EAB" w:rsidRPr="00FB3EAB" w:rsidRDefault="00FB3EAB" w:rsidP="00FB3EAB">
            <w:pPr>
              <w:framePr w:wrap="around" w:vAnchor="text" w:hAnchor="text" w:y="1"/>
              <w:jc w:val="right"/>
              <w:rPr>
                <w:rFonts w:ascii="Calibri" w:hAnsi="Calibri"/>
                <w:b/>
                <w:sz w:val="20"/>
                <w:szCs w:val="20"/>
                <w:lang w:eastAsia="en-US"/>
              </w:rPr>
            </w:pPr>
          </w:p>
        </w:tc>
        <w:tc>
          <w:tcPr>
            <w:tcW w:w="959" w:type="dxa"/>
            <w:shd w:val="clear" w:color="auto" w:fill="auto"/>
          </w:tcPr>
          <w:p w14:paraId="413223C3" w14:textId="77777777" w:rsidR="00FB3EAB" w:rsidRPr="00FB3EAB" w:rsidRDefault="00FB3EAB" w:rsidP="00FB3EAB">
            <w:pPr>
              <w:framePr w:wrap="around" w:vAnchor="text" w:hAnchor="text" w:y="1"/>
              <w:jc w:val="right"/>
              <w:rPr>
                <w:rFonts w:ascii="Calibri" w:hAnsi="Calibri"/>
                <w:b/>
                <w:sz w:val="20"/>
                <w:szCs w:val="20"/>
                <w:lang w:eastAsia="en-US"/>
              </w:rPr>
            </w:pPr>
          </w:p>
        </w:tc>
        <w:tc>
          <w:tcPr>
            <w:tcW w:w="958" w:type="dxa"/>
            <w:shd w:val="clear" w:color="auto" w:fill="auto"/>
          </w:tcPr>
          <w:p w14:paraId="3B92BBBE" w14:textId="77777777" w:rsidR="00FB3EAB" w:rsidRPr="00FB3EAB" w:rsidRDefault="00FB3EAB" w:rsidP="00FB3EAB">
            <w:pPr>
              <w:framePr w:wrap="around" w:vAnchor="text" w:hAnchor="text" w:y="1"/>
              <w:jc w:val="right"/>
              <w:rPr>
                <w:rFonts w:ascii="Calibri" w:hAnsi="Calibri"/>
                <w:b/>
                <w:sz w:val="20"/>
                <w:szCs w:val="20"/>
                <w:lang w:eastAsia="en-US"/>
              </w:rPr>
            </w:pPr>
          </w:p>
        </w:tc>
        <w:tc>
          <w:tcPr>
            <w:tcW w:w="959" w:type="dxa"/>
            <w:shd w:val="clear" w:color="auto" w:fill="auto"/>
          </w:tcPr>
          <w:p w14:paraId="073941F1" w14:textId="77777777" w:rsidR="00FB3EAB" w:rsidRPr="00FB3EAB" w:rsidRDefault="00FB3EAB" w:rsidP="00FB3EAB">
            <w:pPr>
              <w:framePr w:wrap="around" w:vAnchor="text" w:hAnchor="text" w:y="1"/>
              <w:jc w:val="right"/>
              <w:rPr>
                <w:rFonts w:ascii="Calibri" w:hAnsi="Calibri"/>
                <w:b/>
                <w:sz w:val="20"/>
                <w:szCs w:val="20"/>
                <w:lang w:eastAsia="en-US"/>
              </w:rPr>
            </w:pPr>
          </w:p>
        </w:tc>
        <w:tc>
          <w:tcPr>
            <w:tcW w:w="959" w:type="dxa"/>
            <w:shd w:val="clear" w:color="auto" w:fill="auto"/>
          </w:tcPr>
          <w:p w14:paraId="3AA36CD4" w14:textId="77777777" w:rsidR="00FB3EAB" w:rsidRPr="00FB3EAB" w:rsidRDefault="00FB3EAB" w:rsidP="00FB3EAB">
            <w:pPr>
              <w:framePr w:wrap="around" w:vAnchor="text" w:hAnchor="text" w:y="1"/>
              <w:jc w:val="right"/>
              <w:rPr>
                <w:rFonts w:ascii="Calibri" w:hAnsi="Calibri"/>
                <w:b/>
                <w:sz w:val="20"/>
                <w:szCs w:val="20"/>
                <w:lang w:eastAsia="en-US"/>
              </w:rPr>
            </w:pPr>
          </w:p>
        </w:tc>
      </w:tr>
      <w:tr w:rsidR="00FB3EAB" w:rsidRPr="00FB3EAB" w14:paraId="4A95D244" w14:textId="77777777" w:rsidTr="00546D49">
        <w:trPr>
          <w:cantSplit/>
          <w:trHeight w:val="227"/>
        </w:trPr>
        <w:tc>
          <w:tcPr>
            <w:tcW w:w="4844" w:type="dxa"/>
            <w:shd w:val="clear" w:color="auto" w:fill="auto"/>
          </w:tcPr>
          <w:p w14:paraId="5E337D1E" w14:textId="77777777" w:rsidR="00FB3EAB" w:rsidRPr="00FB3EAB" w:rsidRDefault="00FB3EAB" w:rsidP="00FB3EAB">
            <w:pPr>
              <w:ind w:left="227" w:hanging="227"/>
              <w:rPr>
                <w:rFonts w:ascii="Calibri" w:hAnsi="Calibri"/>
                <w:bCs/>
                <w:color w:val="000000"/>
                <w:sz w:val="20"/>
                <w:szCs w:val="20"/>
                <w:vertAlign w:val="superscript"/>
                <w:lang w:eastAsia="en-AU"/>
              </w:rPr>
            </w:pPr>
            <w:r w:rsidRPr="00FB3EAB">
              <w:rPr>
                <w:rFonts w:ascii="Calibri" w:hAnsi="Calibri"/>
                <w:bCs/>
                <w:color w:val="000000"/>
                <w:sz w:val="20"/>
                <w:szCs w:val="20"/>
                <w:lang w:eastAsia="en-AU"/>
              </w:rPr>
              <w:t xml:space="preserve">Better supporting vulnerable witnesses </w:t>
            </w:r>
            <w:r w:rsidRPr="00FB3EAB">
              <w:rPr>
                <w:rFonts w:ascii="Calibri" w:hAnsi="Calibri"/>
                <w:bCs/>
                <w:color w:val="000000"/>
                <w:sz w:val="20"/>
                <w:szCs w:val="20"/>
                <w:vertAlign w:val="superscript"/>
                <w:lang w:eastAsia="en-AU"/>
              </w:rPr>
              <w:t>2</w:t>
            </w:r>
          </w:p>
        </w:tc>
        <w:tc>
          <w:tcPr>
            <w:tcW w:w="959" w:type="dxa"/>
            <w:shd w:val="clear" w:color="auto" w:fill="auto"/>
          </w:tcPr>
          <w:p w14:paraId="7853D67D"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929</w:t>
            </w:r>
          </w:p>
        </w:tc>
        <w:tc>
          <w:tcPr>
            <w:tcW w:w="959" w:type="dxa"/>
            <w:shd w:val="clear" w:color="auto" w:fill="auto"/>
          </w:tcPr>
          <w:p w14:paraId="43587D82"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1,337</w:t>
            </w:r>
          </w:p>
        </w:tc>
        <w:tc>
          <w:tcPr>
            <w:tcW w:w="958" w:type="dxa"/>
            <w:shd w:val="clear" w:color="auto" w:fill="auto"/>
          </w:tcPr>
          <w:p w14:paraId="34D3C70F"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1,543</w:t>
            </w:r>
          </w:p>
        </w:tc>
        <w:tc>
          <w:tcPr>
            <w:tcW w:w="959" w:type="dxa"/>
            <w:shd w:val="clear" w:color="auto" w:fill="auto"/>
          </w:tcPr>
          <w:p w14:paraId="3B885454"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1,967</w:t>
            </w:r>
          </w:p>
        </w:tc>
        <w:tc>
          <w:tcPr>
            <w:tcW w:w="959" w:type="dxa"/>
            <w:shd w:val="clear" w:color="auto" w:fill="auto"/>
          </w:tcPr>
          <w:p w14:paraId="7817F819"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5,776</w:t>
            </w:r>
          </w:p>
        </w:tc>
      </w:tr>
      <w:tr w:rsidR="00FB3EAB" w:rsidRPr="00FB3EAB" w14:paraId="7354AA27" w14:textId="77777777" w:rsidTr="00546D49">
        <w:trPr>
          <w:cantSplit/>
          <w:trHeight w:val="227"/>
        </w:trPr>
        <w:tc>
          <w:tcPr>
            <w:tcW w:w="4844" w:type="dxa"/>
            <w:shd w:val="clear" w:color="auto" w:fill="auto"/>
          </w:tcPr>
          <w:p w14:paraId="70B045DB" w14:textId="77777777" w:rsidR="00FB3EAB" w:rsidRPr="00FB3EAB" w:rsidRDefault="00FB3EAB" w:rsidP="00FB3EAB">
            <w:pPr>
              <w:ind w:left="227" w:hanging="227"/>
              <w:rPr>
                <w:rFonts w:ascii="Calibri" w:hAnsi="Calibri"/>
                <w:bCs/>
                <w:color w:val="000000"/>
                <w:sz w:val="20"/>
                <w:szCs w:val="20"/>
                <w:vertAlign w:val="superscript"/>
                <w:lang w:eastAsia="en-AU"/>
              </w:rPr>
            </w:pPr>
            <w:r w:rsidRPr="00FB3EAB">
              <w:rPr>
                <w:rFonts w:ascii="Calibri" w:hAnsi="Calibri"/>
                <w:bCs/>
                <w:color w:val="000000"/>
                <w:sz w:val="20"/>
                <w:szCs w:val="20"/>
                <w:lang w:eastAsia="en-AU"/>
              </w:rPr>
              <w:t xml:space="preserve">Boosting police for a growing city </w:t>
            </w:r>
            <w:r w:rsidRPr="00FB3EAB">
              <w:rPr>
                <w:rFonts w:ascii="Calibri" w:hAnsi="Calibri"/>
                <w:bCs/>
                <w:color w:val="000000"/>
                <w:sz w:val="20"/>
                <w:szCs w:val="20"/>
                <w:vertAlign w:val="superscript"/>
                <w:lang w:eastAsia="en-AU"/>
              </w:rPr>
              <w:t>4</w:t>
            </w:r>
          </w:p>
        </w:tc>
        <w:tc>
          <w:tcPr>
            <w:tcW w:w="959" w:type="dxa"/>
            <w:shd w:val="clear" w:color="auto" w:fill="auto"/>
          </w:tcPr>
          <w:p w14:paraId="3574C384"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2,311</w:t>
            </w:r>
          </w:p>
        </w:tc>
        <w:tc>
          <w:tcPr>
            <w:tcW w:w="959" w:type="dxa"/>
            <w:shd w:val="clear" w:color="auto" w:fill="auto"/>
          </w:tcPr>
          <w:p w14:paraId="5B7D7A97"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7,761</w:t>
            </w:r>
          </w:p>
        </w:tc>
        <w:tc>
          <w:tcPr>
            <w:tcW w:w="958" w:type="dxa"/>
            <w:shd w:val="clear" w:color="auto" w:fill="auto"/>
          </w:tcPr>
          <w:p w14:paraId="77D4D250"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9,377</w:t>
            </w:r>
          </w:p>
        </w:tc>
        <w:tc>
          <w:tcPr>
            <w:tcW w:w="959" w:type="dxa"/>
            <w:shd w:val="clear" w:color="auto" w:fill="auto"/>
          </w:tcPr>
          <w:p w14:paraId="3A9530A3"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14,855</w:t>
            </w:r>
          </w:p>
        </w:tc>
        <w:tc>
          <w:tcPr>
            <w:tcW w:w="959" w:type="dxa"/>
            <w:shd w:val="clear" w:color="auto" w:fill="auto"/>
          </w:tcPr>
          <w:p w14:paraId="0877B483"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34,304</w:t>
            </w:r>
          </w:p>
        </w:tc>
      </w:tr>
      <w:tr w:rsidR="00FB3EAB" w:rsidRPr="00FB3EAB" w14:paraId="25B67203" w14:textId="77777777" w:rsidTr="00546D49">
        <w:trPr>
          <w:cantSplit/>
          <w:trHeight w:val="227"/>
        </w:trPr>
        <w:tc>
          <w:tcPr>
            <w:tcW w:w="4844" w:type="dxa"/>
            <w:shd w:val="clear" w:color="auto" w:fill="auto"/>
          </w:tcPr>
          <w:p w14:paraId="12108C96" w14:textId="77777777" w:rsidR="00FB3EAB" w:rsidRPr="00FB3EAB" w:rsidRDefault="00FB3EAB" w:rsidP="00FB3EAB">
            <w:pPr>
              <w:ind w:left="227" w:hanging="227"/>
              <w:rPr>
                <w:rFonts w:ascii="Calibri" w:hAnsi="Calibri"/>
                <w:bCs/>
                <w:color w:val="000000"/>
                <w:sz w:val="20"/>
                <w:szCs w:val="20"/>
                <w:lang w:eastAsia="en-AU"/>
              </w:rPr>
            </w:pPr>
            <w:r w:rsidRPr="00FB3EAB">
              <w:rPr>
                <w:rFonts w:ascii="Calibri" w:hAnsi="Calibri"/>
                <w:bCs/>
                <w:color w:val="000000"/>
                <w:sz w:val="20"/>
                <w:szCs w:val="20"/>
                <w:lang w:eastAsia="en-AU"/>
              </w:rPr>
              <w:t xml:space="preserve">Building communities not prisons </w:t>
            </w:r>
          </w:p>
        </w:tc>
        <w:tc>
          <w:tcPr>
            <w:tcW w:w="959" w:type="dxa"/>
            <w:shd w:val="clear" w:color="auto" w:fill="auto"/>
          </w:tcPr>
          <w:p w14:paraId="1FEE180F"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1,089</w:t>
            </w:r>
          </w:p>
        </w:tc>
        <w:tc>
          <w:tcPr>
            <w:tcW w:w="959" w:type="dxa"/>
            <w:shd w:val="clear" w:color="auto" w:fill="auto"/>
          </w:tcPr>
          <w:p w14:paraId="0C1DA875"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1,478</w:t>
            </w:r>
          </w:p>
        </w:tc>
        <w:tc>
          <w:tcPr>
            <w:tcW w:w="958" w:type="dxa"/>
            <w:shd w:val="clear" w:color="auto" w:fill="auto"/>
          </w:tcPr>
          <w:p w14:paraId="68D43C09"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1,489</w:t>
            </w:r>
          </w:p>
        </w:tc>
        <w:tc>
          <w:tcPr>
            <w:tcW w:w="959" w:type="dxa"/>
            <w:shd w:val="clear" w:color="auto" w:fill="auto"/>
          </w:tcPr>
          <w:p w14:paraId="31101391"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1,024</w:t>
            </w:r>
          </w:p>
        </w:tc>
        <w:tc>
          <w:tcPr>
            <w:tcW w:w="959" w:type="dxa"/>
            <w:shd w:val="clear" w:color="auto" w:fill="auto"/>
          </w:tcPr>
          <w:p w14:paraId="50CB6389"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5,080</w:t>
            </w:r>
          </w:p>
        </w:tc>
      </w:tr>
      <w:tr w:rsidR="00FB3EAB" w:rsidRPr="00FB3EAB" w14:paraId="66FF9322" w14:textId="77777777" w:rsidTr="00546D49">
        <w:trPr>
          <w:cantSplit/>
          <w:trHeight w:val="227"/>
        </w:trPr>
        <w:tc>
          <w:tcPr>
            <w:tcW w:w="4844" w:type="dxa"/>
            <w:shd w:val="clear" w:color="auto" w:fill="auto"/>
          </w:tcPr>
          <w:p w14:paraId="63409E80" w14:textId="77777777" w:rsidR="00FB3EAB" w:rsidRPr="00FB3EAB" w:rsidRDefault="00FB3EAB" w:rsidP="00FB3EAB">
            <w:pPr>
              <w:ind w:left="227" w:hanging="227"/>
              <w:rPr>
                <w:rFonts w:ascii="Calibri" w:hAnsi="Calibri"/>
                <w:bCs/>
                <w:color w:val="000000"/>
                <w:sz w:val="20"/>
                <w:szCs w:val="20"/>
                <w:vertAlign w:val="superscript"/>
                <w:lang w:eastAsia="en-AU"/>
              </w:rPr>
            </w:pPr>
            <w:r w:rsidRPr="00FB3EAB">
              <w:rPr>
                <w:rFonts w:ascii="Calibri" w:hAnsi="Calibri"/>
                <w:bCs/>
                <w:color w:val="000000"/>
                <w:sz w:val="20"/>
                <w:szCs w:val="20"/>
                <w:lang w:eastAsia="en-AU"/>
              </w:rPr>
              <w:t xml:space="preserve">Creating a Reintegration Centre to support pathways out of the justice system </w:t>
            </w:r>
            <w:r w:rsidRPr="00FB3EAB">
              <w:rPr>
                <w:rFonts w:ascii="Calibri" w:hAnsi="Calibri"/>
                <w:bCs/>
                <w:color w:val="000000"/>
                <w:sz w:val="20"/>
                <w:szCs w:val="20"/>
                <w:vertAlign w:val="superscript"/>
                <w:lang w:eastAsia="en-AU"/>
              </w:rPr>
              <w:t>2</w:t>
            </w:r>
          </w:p>
        </w:tc>
        <w:tc>
          <w:tcPr>
            <w:tcW w:w="959" w:type="dxa"/>
            <w:shd w:val="clear" w:color="auto" w:fill="auto"/>
          </w:tcPr>
          <w:p w14:paraId="410D844B"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0</w:t>
            </w:r>
          </w:p>
        </w:tc>
        <w:tc>
          <w:tcPr>
            <w:tcW w:w="959" w:type="dxa"/>
            <w:shd w:val="clear" w:color="auto" w:fill="auto"/>
          </w:tcPr>
          <w:p w14:paraId="3E990B63"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0</w:t>
            </w:r>
          </w:p>
        </w:tc>
        <w:tc>
          <w:tcPr>
            <w:tcW w:w="958" w:type="dxa"/>
            <w:shd w:val="clear" w:color="auto" w:fill="auto"/>
          </w:tcPr>
          <w:p w14:paraId="10569C26"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6,000</w:t>
            </w:r>
          </w:p>
        </w:tc>
        <w:tc>
          <w:tcPr>
            <w:tcW w:w="959" w:type="dxa"/>
            <w:shd w:val="clear" w:color="auto" w:fill="auto"/>
          </w:tcPr>
          <w:p w14:paraId="65B126B5"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6,000</w:t>
            </w:r>
          </w:p>
        </w:tc>
        <w:tc>
          <w:tcPr>
            <w:tcW w:w="959" w:type="dxa"/>
            <w:shd w:val="clear" w:color="auto" w:fill="auto"/>
          </w:tcPr>
          <w:p w14:paraId="5826E3D7"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12,000</w:t>
            </w:r>
          </w:p>
        </w:tc>
      </w:tr>
      <w:tr w:rsidR="00FB3EAB" w:rsidRPr="00FB3EAB" w14:paraId="4A1DCC2B" w14:textId="77777777" w:rsidTr="00546D49">
        <w:trPr>
          <w:cantSplit/>
          <w:trHeight w:val="227"/>
        </w:trPr>
        <w:tc>
          <w:tcPr>
            <w:tcW w:w="4844" w:type="dxa"/>
            <w:shd w:val="clear" w:color="auto" w:fill="auto"/>
          </w:tcPr>
          <w:p w14:paraId="75BC6BFF" w14:textId="77777777" w:rsidR="00FB3EAB" w:rsidRPr="00FB3EAB" w:rsidRDefault="00FB3EAB" w:rsidP="00FB3EAB">
            <w:pPr>
              <w:ind w:left="227" w:hanging="227"/>
              <w:rPr>
                <w:rFonts w:ascii="Calibri" w:hAnsi="Calibri"/>
                <w:bCs/>
                <w:color w:val="000000"/>
                <w:sz w:val="20"/>
                <w:szCs w:val="20"/>
                <w:lang w:eastAsia="en-AU"/>
              </w:rPr>
            </w:pPr>
            <w:r w:rsidRPr="00FB3EAB">
              <w:rPr>
                <w:rFonts w:ascii="Calibri" w:hAnsi="Calibri"/>
                <w:bCs/>
                <w:color w:val="000000"/>
                <w:sz w:val="20"/>
                <w:szCs w:val="20"/>
                <w:lang w:eastAsia="en-AU"/>
              </w:rPr>
              <w:t xml:space="preserve">Delivering a safe and secure Alexander Maconochie Centre </w:t>
            </w:r>
          </w:p>
        </w:tc>
        <w:tc>
          <w:tcPr>
            <w:tcW w:w="959" w:type="dxa"/>
            <w:shd w:val="clear" w:color="auto" w:fill="auto"/>
          </w:tcPr>
          <w:p w14:paraId="5887FE03"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1,087</w:t>
            </w:r>
          </w:p>
        </w:tc>
        <w:tc>
          <w:tcPr>
            <w:tcW w:w="959" w:type="dxa"/>
            <w:shd w:val="clear" w:color="auto" w:fill="auto"/>
          </w:tcPr>
          <w:p w14:paraId="742893FA"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1,114</w:t>
            </w:r>
          </w:p>
        </w:tc>
        <w:tc>
          <w:tcPr>
            <w:tcW w:w="958" w:type="dxa"/>
            <w:shd w:val="clear" w:color="auto" w:fill="auto"/>
          </w:tcPr>
          <w:p w14:paraId="53C1C452"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1,142</w:t>
            </w:r>
          </w:p>
        </w:tc>
        <w:tc>
          <w:tcPr>
            <w:tcW w:w="959" w:type="dxa"/>
            <w:shd w:val="clear" w:color="auto" w:fill="auto"/>
          </w:tcPr>
          <w:p w14:paraId="4B956A36"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1,171</w:t>
            </w:r>
          </w:p>
        </w:tc>
        <w:tc>
          <w:tcPr>
            <w:tcW w:w="959" w:type="dxa"/>
            <w:shd w:val="clear" w:color="auto" w:fill="auto"/>
          </w:tcPr>
          <w:p w14:paraId="3E186D16"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4,514</w:t>
            </w:r>
          </w:p>
        </w:tc>
      </w:tr>
      <w:tr w:rsidR="00FB3EAB" w:rsidRPr="00FB3EAB" w14:paraId="5B4E836E" w14:textId="77777777" w:rsidTr="00546D49">
        <w:trPr>
          <w:cantSplit/>
          <w:trHeight w:val="227"/>
        </w:trPr>
        <w:tc>
          <w:tcPr>
            <w:tcW w:w="4844" w:type="dxa"/>
            <w:shd w:val="clear" w:color="auto" w:fill="auto"/>
          </w:tcPr>
          <w:p w14:paraId="742E6C07" w14:textId="77777777" w:rsidR="00FB3EAB" w:rsidRPr="00FB3EAB" w:rsidRDefault="00FB3EAB" w:rsidP="00FB3EAB">
            <w:pPr>
              <w:ind w:left="227" w:hanging="227"/>
              <w:rPr>
                <w:rFonts w:ascii="Calibri" w:hAnsi="Calibri"/>
                <w:bCs/>
                <w:color w:val="000000"/>
                <w:sz w:val="20"/>
                <w:szCs w:val="20"/>
                <w:vertAlign w:val="superscript"/>
                <w:lang w:eastAsia="en-AU"/>
              </w:rPr>
            </w:pPr>
            <w:r w:rsidRPr="00FB3EAB">
              <w:rPr>
                <w:rFonts w:ascii="Calibri" w:hAnsi="Calibri"/>
                <w:bCs/>
                <w:color w:val="000000"/>
                <w:sz w:val="20"/>
                <w:szCs w:val="20"/>
                <w:lang w:eastAsia="en-AU"/>
              </w:rPr>
              <w:t xml:space="preserve">Delivering better facilities for ACT Policing </w:t>
            </w:r>
            <w:r w:rsidRPr="00FB3EAB">
              <w:rPr>
                <w:rFonts w:ascii="Calibri" w:hAnsi="Calibri"/>
                <w:bCs/>
                <w:color w:val="000000"/>
                <w:sz w:val="20"/>
                <w:szCs w:val="20"/>
                <w:vertAlign w:val="superscript"/>
                <w:lang w:eastAsia="en-AU"/>
              </w:rPr>
              <w:t>2</w:t>
            </w:r>
          </w:p>
        </w:tc>
        <w:tc>
          <w:tcPr>
            <w:tcW w:w="959" w:type="dxa"/>
            <w:shd w:val="clear" w:color="auto" w:fill="auto"/>
          </w:tcPr>
          <w:p w14:paraId="33F343A7"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34</w:t>
            </w:r>
          </w:p>
        </w:tc>
        <w:tc>
          <w:tcPr>
            <w:tcW w:w="959" w:type="dxa"/>
            <w:shd w:val="clear" w:color="auto" w:fill="auto"/>
          </w:tcPr>
          <w:p w14:paraId="167721EE"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55</w:t>
            </w:r>
          </w:p>
        </w:tc>
        <w:tc>
          <w:tcPr>
            <w:tcW w:w="958" w:type="dxa"/>
            <w:shd w:val="clear" w:color="auto" w:fill="auto"/>
          </w:tcPr>
          <w:p w14:paraId="735D6D24"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55</w:t>
            </w:r>
          </w:p>
        </w:tc>
        <w:tc>
          <w:tcPr>
            <w:tcW w:w="959" w:type="dxa"/>
            <w:shd w:val="clear" w:color="auto" w:fill="auto"/>
          </w:tcPr>
          <w:p w14:paraId="6230FB6E"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27</w:t>
            </w:r>
          </w:p>
        </w:tc>
        <w:tc>
          <w:tcPr>
            <w:tcW w:w="959" w:type="dxa"/>
            <w:shd w:val="clear" w:color="auto" w:fill="auto"/>
          </w:tcPr>
          <w:p w14:paraId="0C2AA6D2"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171</w:t>
            </w:r>
          </w:p>
        </w:tc>
      </w:tr>
      <w:tr w:rsidR="00FB3EAB" w:rsidRPr="00FB3EAB" w14:paraId="351B784E" w14:textId="77777777" w:rsidTr="00546D49">
        <w:trPr>
          <w:cantSplit/>
          <w:trHeight w:val="227"/>
        </w:trPr>
        <w:tc>
          <w:tcPr>
            <w:tcW w:w="4844" w:type="dxa"/>
            <w:shd w:val="clear" w:color="auto" w:fill="auto"/>
          </w:tcPr>
          <w:p w14:paraId="6E14F530" w14:textId="77777777" w:rsidR="00FB3EAB" w:rsidRPr="00FB3EAB" w:rsidRDefault="00FB3EAB" w:rsidP="00FB3EAB">
            <w:pPr>
              <w:ind w:left="227" w:hanging="227"/>
              <w:rPr>
                <w:rFonts w:ascii="Calibri" w:hAnsi="Calibri"/>
                <w:bCs/>
                <w:color w:val="000000"/>
                <w:sz w:val="20"/>
                <w:szCs w:val="20"/>
                <w:lang w:eastAsia="en-AU"/>
              </w:rPr>
            </w:pPr>
            <w:r w:rsidRPr="00FB3EAB">
              <w:rPr>
                <w:rFonts w:ascii="Calibri" w:hAnsi="Calibri"/>
                <w:bCs/>
                <w:color w:val="000000"/>
                <w:sz w:val="20"/>
                <w:szCs w:val="20"/>
                <w:lang w:eastAsia="en-AU"/>
              </w:rPr>
              <w:t>Delivering better mental health care for people in crisis </w:t>
            </w:r>
            <w:r w:rsidRPr="00FB3EAB">
              <w:rPr>
                <w:rFonts w:ascii="Calibri" w:hAnsi="Calibri"/>
                <w:bCs/>
                <w:color w:val="000000"/>
                <w:sz w:val="20"/>
                <w:szCs w:val="20"/>
                <w:vertAlign w:val="superscript"/>
                <w:lang w:eastAsia="en-AU"/>
              </w:rPr>
              <w:t>4</w:t>
            </w:r>
            <w:r w:rsidRPr="00FB3EAB">
              <w:rPr>
                <w:rFonts w:ascii="Calibri" w:hAnsi="Calibri"/>
                <w:bCs/>
                <w:color w:val="000000"/>
                <w:sz w:val="20"/>
                <w:szCs w:val="20"/>
                <w:lang w:eastAsia="en-AU"/>
              </w:rPr>
              <w:t xml:space="preserve"> </w:t>
            </w:r>
          </w:p>
        </w:tc>
        <w:tc>
          <w:tcPr>
            <w:tcW w:w="959" w:type="dxa"/>
            <w:shd w:val="clear" w:color="auto" w:fill="auto"/>
          </w:tcPr>
          <w:p w14:paraId="350F37A9"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176</w:t>
            </w:r>
          </w:p>
        </w:tc>
        <w:tc>
          <w:tcPr>
            <w:tcW w:w="959" w:type="dxa"/>
            <w:shd w:val="clear" w:color="auto" w:fill="auto"/>
          </w:tcPr>
          <w:p w14:paraId="23D726BD"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0</w:t>
            </w:r>
          </w:p>
        </w:tc>
        <w:tc>
          <w:tcPr>
            <w:tcW w:w="958" w:type="dxa"/>
            <w:shd w:val="clear" w:color="auto" w:fill="auto"/>
          </w:tcPr>
          <w:p w14:paraId="0FF5DA0F"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0</w:t>
            </w:r>
          </w:p>
        </w:tc>
        <w:tc>
          <w:tcPr>
            <w:tcW w:w="959" w:type="dxa"/>
            <w:shd w:val="clear" w:color="auto" w:fill="auto"/>
          </w:tcPr>
          <w:p w14:paraId="65BB2A2B"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0</w:t>
            </w:r>
          </w:p>
        </w:tc>
        <w:tc>
          <w:tcPr>
            <w:tcW w:w="959" w:type="dxa"/>
            <w:shd w:val="clear" w:color="auto" w:fill="auto"/>
          </w:tcPr>
          <w:p w14:paraId="584DA0B7"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176</w:t>
            </w:r>
          </w:p>
        </w:tc>
      </w:tr>
      <w:tr w:rsidR="00FB3EAB" w:rsidRPr="00FB3EAB" w14:paraId="5A15D50C" w14:textId="77777777" w:rsidTr="00546D49">
        <w:trPr>
          <w:cantSplit/>
          <w:trHeight w:val="227"/>
        </w:trPr>
        <w:tc>
          <w:tcPr>
            <w:tcW w:w="4844" w:type="dxa"/>
            <w:shd w:val="clear" w:color="auto" w:fill="auto"/>
          </w:tcPr>
          <w:p w14:paraId="79E30A6B" w14:textId="77777777" w:rsidR="00FB3EAB" w:rsidRPr="00FB3EAB" w:rsidRDefault="00FB3EAB" w:rsidP="00FB3EAB">
            <w:pPr>
              <w:ind w:left="227" w:hanging="227"/>
              <w:rPr>
                <w:rFonts w:ascii="Calibri" w:hAnsi="Calibri"/>
                <w:bCs/>
                <w:color w:val="000000"/>
                <w:sz w:val="20"/>
                <w:szCs w:val="20"/>
                <w:lang w:eastAsia="en-AU"/>
              </w:rPr>
            </w:pPr>
            <w:r w:rsidRPr="00FB3EAB">
              <w:rPr>
                <w:rFonts w:ascii="Calibri" w:hAnsi="Calibri"/>
                <w:bCs/>
                <w:color w:val="000000"/>
                <w:sz w:val="20"/>
                <w:szCs w:val="20"/>
                <w:lang w:eastAsia="en-AU"/>
              </w:rPr>
              <w:t xml:space="preserve">Delivering the Motor Accident Injuries Scheme </w:t>
            </w:r>
          </w:p>
        </w:tc>
        <w:tc>
          <w:tcPr>
            <w:tcW w:w="959" w:type="dxa"/>
            <w:shd w:val="clear" w:color="auto" w:fill="auto"/>
          </w:tcPr>
          <w:p w14:paraId="1613B305"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496</w:t>
            </w:r>
          </w:p>
        </w:tc>
        <w:tc>
          <w:tcPr>
            <w:tcW w:w="959" w:type="dxa"/>
            <w:shd w:val="clear" w:color="auto" w:fill="auto"/>
          </w:tcPr>
          <w:p w14:paraId="0CC77BF2"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865</w:t>
            </w:r>
          </w:p>
        </w:tc>
        <w:tc>
          <w:tcPr>
            <w:tcW w:w="958" w:type="dxa"/>
            <w:shd w:val="clear" w:color="auto" w:fill="auto"/>
          </w:tcPr>
          <w:p w14:paraId="5BEA9E12"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1,472</w:t>
            </w:r>
          </w:p>
        </w:tc>
        <w:tc>
          <w:tcPr>
            <w:tcW w:w="959" w:type="dxa"/>
            <w:shd w:val="clear" w:color="auto" w:fill="auto"/>
          </w:tcPr>
          <w:p w14:paraId="52BF0A5B"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1,493</w:t>
            </w:r>
          </w:p>
        </w:tc>
        <w:tc>
          <w:tcPr>
            <w:tcW w:w="959" w:type="dxa"/>
            <w:shd w:val="clear" w:color="auto" w:fill="auto"/>
          </w:tcPr>
          <w:p w14:paraId="05FD1B88"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4,326</w:t>
            </w:r>
          </w:p>
        </w:tc>
      </w:tr>
      <w:tr w:rsidR="00FB3EAB" w:rsidRPr="00FB3EAB" w14:paraId="13EEDE2C" w14:textId="77777777" w:rsidTr="00546D49">
        <w:trPr>
          <w:cantSplit/>
          <w:trHeight w:val="227"/>
        </w:trPr>
        <w:tc>
          <w:tcPr>
            <w:tcW w:w="4844" w:type="dxa"/>
            <w:shd w:val="clear" w:color="auto" w:fill="auto"/>
          </w:tcPr>
          <w:p w14:paraId="129B0062" w14:textId="77777777" w:rsidR="00FB3EAB" w:rsidRPr="00FB3EAB" w:rsidRDefault="00FB3EAB" w:rsidP="00FB3EAB">
            <w:pPr>
              <w:ind w:left="227" w:hanging="227"/>
              <w:rPr>
                <w:rFonts w:ascii="Calibri" w:hAnsi="Calibri"/>
                <w:bCs/>
                <w:color w:val="000000"/>
                <w:sz w:val="20"/>
                <w:szCs w:val="20"/>
                <w:lang w:eastAsia="en-AU"/>
              </w:rPr>
            </w:pPr>
            <w:r w:rsidRPr="00FB3EAB">
              <w:rPr>
                <w:rFonts w:ascii="Calibri" w:hAnsi="Calibri"/>
                <w:bCs/>
                <w:color w:val="000000"/>
                <w:sz w:val="20"/>
                <w:szCs w:val="20"/>
                <w:lang w:eastAsia="en-AU"/>
              </w:rPr>
              <w:t xml:space="preserve">Establishing a Therapeutic Care Court within the ACT Children’s Court </w:t>
            </w:r>
          </w:p>
        </w:tc>
        <w:tc>
          <w:tcPr>
            <w:tcW w:w="959" w:type="dxa"/>
            <w:shd w:val="clear" w:color="auto" w:fill="auto"/>
          </w:tcPr>
          <w:p w14:paraId="5F6A6CF7"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0</w:t>
            </w:r>
          </w:p>
        </w:tc>
        <w:tc>
          <w:tcPr>
            <w:tcW w:w="959" w:type="dxa"/>
            <w:shd w:val="clear" w:color="auto" w:fill="auto"/>
          </w:tcPr>
          <w:p w14:paraId="10E336DF"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612</w:t>
            </w:r>
          </w:p>
        </w:tc>
        <w:tc>
          <w:tcPr>
            <w:tcW w:w="958" w:type="dxa"/>
            <w:shd w:val="clear" w:color="auto" w:fill="auto"/>
          </w:tcPr>
          <w:p w14:paraId="77BCB524"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636</w:t>
            </w:r>
          </w:p>
        </w:tc>
        <w:tc>
          <w:tcPr>
            <w:tcW w:w="959" w:type="dxa"/>
            <w:shd w:val="clear" w:color="auto" w:fill="auto"/>
          </w:tcPr>
          <w:p w14:paraId="1D7E25C2"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649</w:t>
            </w:r>
          </w:p>
        </w:tc>
        <w:tc>
          <w:tcPr>
            <w:tcW w:w="959" w:type="dxa"/>
            <w:shd w:val="clear" w:color="auto" w:fill="auto"/>
          </w:tcPr>
          <w:p w14:paraId="0B7B4ABD"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1,897</w:t>
            </w:r>
          </w:p>
        </w:tc>
      </w:tr>
      <w:tr w:rsidR="00FB3EAB" w:rsidRPr="00FB3EAB" w14:paraId="66D93E72" w14:textId="77777777" w:rsidTr="00546D49">
        <w:trPr>
          <w:cantSplit/>
          <w:trHeight w:val="227"/>
        </w:trPr>
        <w:tc>
          <w:tcPr>
            <w:tcW w:w="4844" w:type="dxa"/>
            <w:shd w:val="clear" w:color="auto" w:fill="auto"/>
          </w:tcPr>
          <w:p w14:paraId="4DCE0996" w14:textId="77777777" w:rsidR="00FB3EAB" w:rsidRPr="00FB3EAB" w:rsidRDefault="00FB3EAB" w:rsidP="00FB3EAB">
            <w:pPr>
              <w:ind w:left="227" w:hanging="227"/>
              <w:rPr>
                <w:rFonts w:ascii="Calibri" w:hAnsi="Calibri"/>
                <w:bCs/>
                <w:color w:val="000000"/>
                <w:sz w:val="20"/>
                <w:szCs w:val="20"/>
                <w:vertAlign w:val="superscript"/>
                <w:lang w:eastAsia="en-AU"/>
              </w:rPr>
            </w:pPr>
            <w:r w:rsidRPr="00FB3EAB">
              <w:rPr>
                <w:rFonts w:ascii="Calibri" w:hAnsi="Calibri"/>
                <w:bCs/>
                <w:color w:val="000000"/>
                <w:sz w:val="20"/>
                <w:szCs w:val="20"/>
                <w:lang w:eastAsia="en-AU"/>
              </w:rPr>
              <w:t xml:space="preserve">Improving frontline services through the Safer Families Levy </w:t>
            </w:r>
            <w:r w:rsidRPr="00FB3EAB">
              <w:rPr>
                <w:rFonts w:ascii="Calibri" w:hAnsi="Calibri"/>
                <w:bCs/>
                <w:color w:val="000000"/>
                <w:sz w:val="20"/>
                <w:szCs w:val="20"/>
                <w:vertAlign w:val="superscript"/>
                <w:lang w:eastAsia="en-AU"/>
              </w:rPr>
              <w:t>6</w:t>
            </w:r>
          </w:p>
        </w:tc>
        <w:tc>
          <w:tcPr>
            <w:tcW w:w="959" w:type="dxa"/>
            <w:shd w:val="clear" w:color="auto" w:fill="auto"/>
          </w:tcPr>
          <w:p w14:paraId="7452A3E5"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-562</w:t>
            </w:r>
          </w:p>
        </w:tc>
        <w:tc>
          <w:tcPr>
            <w:tcW w:w="959" w:type="dxa"/>
            <w:shd w:val="clear" w:color="auto" w:fill="auto"/>
          </w:tcPr>
          <w:p w14:paraId="21667151"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-1,574</w:t>
            </w:r>
          </w:p>
        </w:tc>
        <w:tc>
          <w:tcPr>
            <w:tcW w:w="958" w:type="dxa"/>
            <w:shd w:val="clear" w:color="auto" w:fill="auto"/>
          </w:tcPr>
          <w:p w14:paraId="72160445"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-1,615</w:t>
            </w:r>
          </w:p>
        </w:tc>
        <w:tc>
          <w:tcPr>
            <w:tcW w:w="959" w:type="dxa"/>
            <w:shd w:val="clear" w:color="auto" w:fill="auto"/>
          </w:tcPr>
          <w:p w14:paraId="51AEAEB8"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-1,659</w:t>
            </w:r>
          </w:p>
        </w:tc>
        <w:tc>
          <w:tcPr>
            <w:tcW w:w="959" w:type="dxa"/>
            <w:shd w:val="clear" w:color="auto" w:fill="auto"/>
          </w:tcPr>
          <w:p w14:paraId="3571B92A"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-5,410</w:t>
            </w:r>
          </w:p>
        </w:tc>
      </w:tr>
      <w:tr w:rsidR="00FB3EAB" w:rsidRPr="00FB3EAB" w14:paraId="387A07D5" w14:textId="77777777" w:rsidTr="00546D49">
        <w:trPr>
          <w:cantSplit/>
          <w:trHeight w:val="227"/>
        </w:trPr>
        <w:tc>
          <w:tcPr>
            <w:tcW w:w="4844" w:type="dxa"/>
            <w:shd w:val="clear" w:color="auto" w:fill="auto"/>
          </w:tcPr>
          <w:p w14:paraId="373D927A" w14:textId="77777777" w:rsidR="00FB3EAB" w:rsidRPr="00FB3EAB" w:rsidRDefault="00FB3EAB" w:rsidP="00FB3EAB">
            <w:pPr>
              <w:ind w:left="227" w:hanging="227"/>
              <w:rPr>
                <w:rFonts w:ascii="Calibri" w:hAnsi="Calibri"/>
                <w:bCs/>
                <w:color w:val="000000"/>
                <w:sz w:val="20"/>
                <w:szCs w:val="20"/>
                <w:lang w:eastAsia="en-AU"/>
              </w:rPr>
            </w:pPr>
            <w:r w:rsidRPr="00FB3EAB">
              <w:rPr>
                <w:rFonts w:ascii="Calibri" w:hAnsi="Calibri"/>
                <w:bCs/>
                <w:color w:val="000000"/>
                <w:sz w:val="20"/>
                <w:szCs w:val="20"/>
                <w:lang w:eastAsia="en-AU"/>
              </w:rPr>
              <w:t xml:space="preserve">Providing alternatives to jail through the Justice Housing Program </w:t>
            </w:r>
          </w:p>
        </w:tc>
        <w:tc>
          <w:tcPr>
            <w:tcW w:w="959" w:type="dxa"/>
            <w:shd w:val="clear" w:color="auto" w:fill="auto"/>
          </w:tcPr>
          <w:p w14:paraId="50291DD9"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708</w:t>
            </w:r>
          </w:p>
        </w:tc>
        <w:tc>
          <w:tcPr>
            <w:tcW w:w="959" w:type="dxa"/>
            <w:shd w:val="clear" w:color="auto" w:fill="auto"/>
          </w:tcPr>
          <w:p w14:paraId="546AEB44"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2,049</w:t>
            </w:r>
          </w:p>
        </w:tc>
        <w:tc>
          <w:tcPr>
            <w:tcW w:w="958" w:type="dxa"/>
            <w:shd w:val="clear" w:color="auto" w:fill="auto"/>
          </w:tcPr>
          <w:p w14:paraId="24D07CF3"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2,242</w:t>
            </w:r>
          </w:p>
        </w:tc>
        <w:tc>
          <w:tcPr>
            <w:tcW w:w="959" w:type="dxa"/>
            <w:shd w:val="clear" w:color="auto" w:fill="auto"/>
          </w:tcPr>
          <w:p w14:paraId="6D5649AC"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0</w:t>
            </w:r>
          </w:p>
        </w:tc>
        <w:tc>
          <w:tcPr>
            <w:tcW w:w="959" w:type="dxa"/>
            <w:shd w:val="clear" w:color="auto" w:fill="auto"/>
          </w:tcPr>
          <w:p w14:paraId="22552BB2"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4,999</w:t>
            </w:r>
          </w:p>
        </w:tc>
      </w:tr>
      <w:tr w:rsidR="00FB3EAB" w:rsidRPr="00FB3EAB" w14:paraId="7AC89270" w14:textId="77777777" w:rsidTr="00546D49">
        <w:trPr>
          <w:cantSplit/>
          <w:trHeight w:val="227"/>
        </w:trPr>
        <w:tc>
          <w:tcPr>
            <w:tcW w:w="4844" w:type="dxa"/>
            <w:shd w:val="clear" w:color="auto" w:fill="auto"/>
          </w:tcPr>
          <w:p w14:paraId="3C8B4AC0" w14:textId="77777777" w:rsidR="00FB3EAB" w:rsidRPr="00FB3EAB" w:rsidRDefault="00FB3EAB" w:rsidP="00FB3EAB">
            <w:pPr>
              <w:ind w:left="227" w:hanging="227"/>
              <w:rPr>
                <w:rFonts w:ascii="Calibri" w:hAnsi="Calibri"/>
                <w:bCs/>
                <w:color w:val="000000"/>
                <w:sz w:val="20"/>
                <w:szCs w:val="20"/>
                <w:lang w:eastAsia="en-AU"/>
              </w:rPr>
            </w:pPr>
            <w:r w:rsidRPr="00FB3EAB">
              <w:rPr>
                <w:rFonts w:ascii="Calibri" w:hAnsi="Calibri"/>
                <w:bCs/>
                <w:color w:val="000000"/>
                <w:sz w:val="20"/>
                <w:szCs w:val="20"/>
                <w:lang w:eastAsia="en-AU"/>
              </w:rPr>
              <w:t xml:space="preserve">Recruiting more firefighters for ACT Fire &amp; Rescue </w:t>
            </w:r>
          </w:p>
        </w:tc>
        <w:tc>
          <w:tcPr>
            <w:tcW w:w="959" w:type="dxa"/>
            <w:shd w:val="clear" w:color="auto" w:fill="auto"/>
          </w:tcPr>
          <w:p w14:paraId="46BF6F75"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678</w:t>
            </w:r>
          </w:p>
        </w:tc>
        <w:tc>
          <w:tcPr>
            <w:tcW w:w="959" w:type="dxa"/>
            <w:shd w:val="clear" w:color="auto" w:fill="auto"/>
          </w:tcPr>
          <w:p w14:paraId="3923AED3"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0</w:t>
            </w:r>
          </w:p>
        </w:tc>
        <w:tc>
          <w:tcPr>
            <w:tcW w:w="958" w:type="dxa"/>
            <w:shd w:val="clear" w:color="auto" w:fill="auto"/>
          </w:tcPr>
          <w:p w14:paraId="28F6ADE5"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0</w:t>
            </w:r>
          </w:p>
        </w:tc>
        <w:tc>
          <w:tcPr>
            <w:tcW w:w="959" w:type="dxa"/>
            <w:shd w:val="clear" w:color="auto" w:fill="auto"/>
          </w:tcPr>
          <w:p w14:paraId="1A79EA7C"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0</w:t>
            </w:r>
          </w:p>
        </w:tc>
        <w:tc>
          <w:tcPr>
            <w:tcW w:w="959" w:type="dxa"/>
            <w:shd w:val="clear" w:color="auto" w:fill="auto"/>
          </w:tcPr>
          <w:p w14:paraId="522544AD"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678</w:t>
            </w:r>
          </w:p>
        </w:tc>
      </w:tr>
      <w:tr w:rsidR="00FB3EAB" w:rsidRPr="00FB3EAB" w14:paraId="13AEC8BF" w14:textId="77777777" w:rsidTr="00546D49">
        <w:trPr>
          <w:cantSplit/>
          <w:trHeight w:val="227"/>
        </w:trPr>
        <w:tc>
          <w:tcPr>
            <w:tcW w:w="4844" w:type="dxa"/>
            <w:shd w:val="clear" w:color="auto" w:fill="auto"/>
          </w:tcPr>
          <w:p w14:paraId="7BA6BA9C" w14:textId="77777777" w:rsidR="00FB3EAB" w:rsidRPr="00FB3EAB" w:rsidRDefault="00FB3EAB" w:rsidP="00FB3EAB">
            <w:pPr>
              <w:ind w:left="227" w:hanging="227"/>
              <w:rPr>
                <w:rFonts w:ascii="Calibri" w:hAnsi="Calibri"/>
                <w:bCs/>
                <w:color w:val="000000"/>
                <w:sz w:val="20"/>
                <w:szCs w:val="20"/>
                <w:lang w:eastAsia="en-AU"/>
              </w:rPr>
            </w:pPr>
            <w:r w:rsidRPr="00FB3EAB">
              <w:rPr>
                <w:rFonts w:ascii="Calibri" w:hAnsi="Calibri"/>
                <w:bCs/>
                <w:color w:val="000000"/>
                <w:sz w:val="20"/>
                <w:szCs w:val="20"/>
                <w:lang w:eastAsia="en-AU"/>
              </w:rPr>
              <w:t xml:space="preserve">Strengthening bushfire preparedness and ACT Rural Fire Service partnerships </w:t>
            </w:r>
          </w:p>
        </w:tc>
        <w:tc>
          <w:tcPr>
            <w:tcW w:w="959" w:type="dxa"/>
            <w:shd w:val="clear" w:color="auto" w:fill="auto"/>
          </w:tcPr>
          <w:p w14:paraId="4651F07A"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526</w:t>
            </w:r>
          </w:p>
        </w:tc>
        <w:tc>
          <w:tcPr>
            <w:tcW w:w="959" w:type="dxa"/>
            <w:shd w:val="clear" w:color="auto" w:fill="auto"/>
          </w:tcPr>
          <w:p w14:paraId="50835142"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948</w:t>
            </w:r>
          </w:p>
        </w:tc>
        <w:tc>
          <w:tcPr>
            <w:tcW w:w="958" w:type="dxa"/>
            <w:shd w:val="clear" w:color="auto" w:fill="auto"/>
          </w:tcPr>
          <w:p w14:paraId="58D1421E"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610</w:t>
            </w:r>
          </w:p>
        </w:tc>
        <w:tc>
          <w:tcPr>
            <w:tcW w:w="959" w:type="dxa"/>
            <w:shd w:val="clear" w:color="auto" w:fill="auto"/>
          </w:tcPr>
          <w:p w14:paraId="6EE25D60"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566</w:t>
            </w:r>
          </w:p>
        </w:tc>
        <w:tc>
          <w:tcPr>
            <w:tcW w:w="959" w:type="dxa"/>
            <w:shd w:val="clear" w:color="auto" w:fill="auto"/>
          </w:tcPr>
          <w:p w14:paraId="7D251BF7"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2,650</w:t>
            </w:r>
          </w:p>
        </w:tc>
      </w:tr>
      <w:tr w:rsidR="00FB3EAB" w:rsidRPr="00FB3EAB" w14:paraId="43A01EA0" w14:textId="77777777" w:rsidTr="00546D49">
        <w:trPr>
          <w:cantSplit/>
          <w:trHeight w:val="227"/>
        </w:trPr>
        <w:tc>
          <w:tcPr>
            <w:tcW w:w="4844" w:type="dxa"/>
            <w:shd w:val="clear" w:color="auto" w:fill="auto"/>
          </w:tcPr>
          <w:p w14:paraId="3357FE29" w14:textId="77777777" w:rsidR="00FB3EAB" w:rsidRPr="00FB3EAB" w:rsidRDefault="00FB3EAB" w:rsidP="00FB3EAB">
            <w:pPr>
              <w:ind w:left="227" w:hanging="227"/>
              <w:rPr>
                <w:rFonts w:ascii="Calibri" w:hAnsi="Calibri"/>
                <w:bCs/>
                <w:color w:val="000000"/>
                <w:sz w:val="20"/>
                <w:szCs w:val="20"/>
                <w:lang w:eastAsia="en-AU"/>
              </w:rPr>
            </w:pPr>
            <w:r w:rsidRPr="00FB3EAB">
              <w:rPr>
                <w:rFonts w:ascii="Calibri" w:hAnsi="Calibri"/>
                <w:bCs/>
                <w:color w:val="000000"/>
                <w:sz w:val="20"/>
                <w:szCs w:val="20"/>
                <w:lang w:eastAsia="en-AU"/>
              </w:rPr>
              <w:t xml:space="preserve">Strengthening oversight for health workers </w:t>
            </w:r>
          </w:p>
        </w:tc>
        <w:tc>
          <w:tcPr>
            <w:tcW w:w="959" w:type="dxa"/>
            <w:shd w:val="clear" w:color="auto" w:fill="auto"/>
          </w:tcPr>
          <w:p w14:paraId="51BE3C44"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190</w:t>
            </w:r>
          </w:p>
        </w:tc>
        <w:tc>
          <w:tcPr>
            <w:tcW w:w="959" w:type="dxa"/>
            <w:shd w:val="clear" w:color="auto" w:fill="auto"/>
          </w:tcPr>
          <w:p w14:paraId="0A1AE096"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194</w:t>
            </w:r>
          </w:p>
        </w:tc>
        <w:tc>
          <w:tcPr>
            <w:tcW w:w="958" w:type="dxa"/>
            <w:shd w:val="clear" w:color="auto" w:fill="auto"/>
          </w:tcPr>
          <w:p w14:paraId="442692D7"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148</w:t>
            </w:r>
          </w:p>
        </w:tc>
        <w:tc>
          <w:tcPr>
            <w:tcW w:w="959" w:type="dxa"/>
            <w:shd w:val="clear" w:color="auto" w:fill="auto"/>
          </w:tcPr>
          <w:p w14:paraId="16DC0C5D"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150</w:t>
            </w:r>
          </w:p>
        </w:tc>
        <w:tc>
          <w:tcPr>
            <w:tcW w:w="959" w:type="dxa"/>
            <w:shd w:val="clear" w:color="auto" w:fill="auto"/>
          </w:tcPr>
          <w:p w14:paraId="12D2FF7D"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682</w:t>
            </w:r>
          </w:p>
        </w:tc>
      </w:tr>
      <w:tr w:rsidR="00FB3EAB" w:rsidRPr="00FB3EAB" w14:paraId="77205E52" w14:textId="77777777" w:rsidTr="00546D49">
        <w:trPr>
          <w:cantSplit/>
          <w:trHeight w:val="227"/>
        </w:trPr>
        <w:tc>
          <w:tcPr>
            <w:tcW w:w="4844" w:type="dxa"/>
            <w:shd w:val="clear" w:color="auto" w:fill="auto"/>
          </w:tcPr>
          <w:p w14:paraId="70C3AD26" w14:textId="77777777" w:rsidR="00FB3EAB" w:rsidRPr="00FB3EAB" w:rsidRDefault="00FB3EAB" w:rsidP="00FB3EAB">
            <w:pPr>
              <w:ind w:left="227" w:hanging="227"/>
              <w:rPr>
                <w:rFonts w:ascii="Calibri" w:hAnsi="Calibri"/>
                <w:bCs/>
                <w:color w:val="000000"/>
                <w:sz w:val="20"/>
                <w:szCs w:val="20"/>
                <w:lang w:eastAsia="en-AU"/>
              </w:rPr>
            </w:pPr>
            <w:r w:rsidRPr="00FB3EAB">
              <w:rPr>
                <w:rFonts w:ascii="Calibri" w:hAnsi="Calibri"/>
                <w:bCs/>
                <w:color w:val="000000"/>
                <w:sz w:val="20"/>
                <w:szCs w:val="20"/>
                <w:lang w:eastAsia="en-AU"/>
              </w:rPr>
              <w:t xml:space="preserve">Strengthening rehabilitation programs at the Alexander Maconochie Centre </w:t>
            </w:r>
          </w:p>
        </w:tc>
        <w:tc>
          <w:tcPr>
            <w:tcW w:w="959" w:type="dxa"/>
            <w:shd w:val="clear" w:color="auto" w:fill="auto"/>
          </w:tcPr>
          <w:p w14:paraId="1DD68085"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330</w:t>
            </w:r>
          </w:p>
        </w:tc>
        <w:tc>
          <w:tcPr>
            <w:tcW w:w="959" w:type="dxa"/>
            <w:shd w:val="clear" w:color="auto" w:fill="auto"/>
          </w:tcPr>
          <w:p w14:paraId="490D2F94"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1,881</w:t>
            </w:r>
          </w:p>
        </w:tc>
        <w:tc>
          <w:tcPr>
            <w:tcW w:w="958" w:type="dxa"/>
            <w:shd w:val="clear" w:color="auto" w:fill="auto"/>
          </w:tcPr>
          <w:p w14:paraId="19E722A0"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2,094</w:t>
            </w:r>
          </w:p>
        </w:tc>
        <w:tc>
          <w:tcPr>
            <w:tcW w:w="959" w:type="dxa"/>
            <w:shd w:val="clear" w:color="auto" w:fill="auto"/>
          </w:tcPr>
          <w:p w14:paraId="53281024"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2,136</w:t>
            </w:r>
          </w:p>
        </w:tc>
        <w:tc>
          <w:tcPr>
            <w:tcW w:w="959" w:type="dxa"/>
            <w:shd w:val="clear" w:color="auto" w:fill="auto"/>
          </w:tcPr>
          <w:p w14:paraId="430021E0"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6,441</w:t>
            </w:r>
          </w:p>
        </w:tc>
      </w:tr>
      <w:tr w:rsidR="00FB3EAB" w:rsidRPr="00FB3EAB" w14:paraId="66F90EF4" w14:textId="77777777" w:rsidTr="00546D49">
        <w:trPr>
          <w:cantSplit/>
          <w:trHeight w:val="227"/>
        </w:trPr>
        <w:tc>
          <w:tcPr>
            <w:tcW w:w="4844" w:type="dxa"/>
            <w:shd w:val="clear" w:color="auto" w:fill="auto"/>
          </w:tcPr>
          <w:p w14:paraId="2FCF68BA" w14:textId="77777777" w:rsidR="00FB3EAB" w:rsidRPr="00FB3EAB" w:rsidRDefault="00FB3EAB" w:rsidP="00FB3EAB">
            <w:pPr>
              <w:ind w:left="227" w:hanging="227"/>
              <w:rPr>
                <w:rFonts w:ascii="Calibri" w:hAnsi="Calibri"/>
                <w:bCs/>
                <w:color w:val="000000"/>
                <w:sz w:val="20"/>
                <w:szCs w:val="20"/>
                <w:lang w:eastAsia="en-AU"/>
              </w:rPr>
            </w:pPr>
            <w:r w:rsidRPr="00FB3EAB">
              <w:rPr>
                <w:rFonts w:ascii="Calibri" w:hAnsi="Calibri"/>
                <w:bCs/>
                <w:color w:val="000000"/>
                <w:sz w:val="20"/>
                <w:szCs w:val="20"/>
                <w:lang w:eastAsia="en-AU"/>
              </w:rPr>
              <w:t>Strengthening the ACT Ombudsman for more transparent government</w:t>
            </w:r>
          </w:p>
        </w:tc>
        <w:tc>
          <w:tcPr>
            <w:tcW w:w="959" w:type="dxa"/>
            <w:shd w:val="clear" w:color="auto" w:fill="auto"/>
          </w:tcPr>
          <w:p w14:paraId="42F161A4"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399</w:t>
            </w:r>
          </w:p>
        </w:tc>
        <w:tc>
          <w:tcPr>
            <w:tcW w:w="959" w:type="dxa"/>
            <w:shd w:val="clear" w:color="auto" w:fill="auto"/>
          </w:tcPr>
          <w:p w14:paraId="413BA1A7"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422</w:t>
            </w:r>
          </w:p>
        </w:tc>
        <w:tc>
          <w:tcPr>
            <w:tcW w:w="958" w:type="dxa"/>
            <w:shd w:val="clear" w:color="auto" w:fill="auto"/>
          </w:tcPr>
          <w:p w14:paraId="27B54BAD"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63</w:t>
            </w:r>
          </w:p>
        </w:tc>
        <w:tc>
          <w:tcPr>
            <w:tcW w:w="959" w:type="dxa"/>
            <w:shd w:val="clear" w:color="auto" w:fill="auto"/>
          </w:tcPr>
          <w:p w14:paraId="7124F4AD"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65</w:t>
            </w:r>
          </w:p>
        </w:tc>
        <w:tc>
          <w:tcPr>
            <w:tcW w:w="959" w:type="dxa"/>
            <w:shd w:val="clear" w:color="auto" w:fill="auto"/>
          </w:tcPr>
          <w:p w14:paraId="31CB7FF8"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949</w:t>
            </w:r>
          </w:p>
        </w:tc>
      </w:tr>
      <w:tr w:rsidR="00FB3EAB" w:rsidRPr="00FB3EAB" w14:paraId="4026BE24" w14:textId="77777777" w:rsidTr="00546D49">
        <w:trPr>
          <w:cantSplit/>
          <w:trHeight w:val="227"/>
        </w:trPr>
        <w:tc>
          <w:tcPr>
            <w:tcW w:w="4844" w:type="dxa"/>
            <w:shd w:val="clear" w:color="auto" w:fill="auto"/>
          </w:tcPr>
          <w:p w14:paraId="7BBF99E1" w14:textId="77777777" w:rsidR="00FB3EAB" w:rsidRPr="00FB3EAB" w:rsidRDefault="00FB3EAB" w:rsidP="00FB3EAB">
            <w:pPr>
              <w:ind w:left="227" w:hanging="227"/>
              <w:rPr>
                <w:rFonts w:ascii="Calibri" w:hAnsi="Calibri"/>
                <w:bCs/>
                <w:color w:val="000000"/>
                <w:sz w:val="20"/>
                <w:szCs w:val="20"/>
                <w:lang w:eastAsia="en-AU"/>
              </w:rPr>
            </w:pPr>
            <w:r w:rsidRPr="00FB3EAB">
              <w:rPr>
                <w:rFonts w:ascii="Calibri" w:hAnsi="Calibri"/>
                <w:bCs/>
                <w:color w:val="000000"/>
                <w:sz w:val="20"/>
                <w:szCs w:val="20"/>
                <w:lang w:eastAsia="en-AU"/>
              </w:rPr>
              <w:t xml:space="preserve">Strengthening the Office of the Director of Public Prosecutions </w:t>
            </w:r>
          </w:p>
        </w:tc>
        <w:tc>
          <w:tcPr>
            <w:tcW w:w="959" w:type="dxa"/>
            <w:shd w:val="clear" w:color="auto" w:fill="auto"/>
          </w:tcPr>
          <w:p w14:paraId="007F3485"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670</w:t>
            </w:r>
          </w:p>
        </w:tc>
        <w:tc>
          <w:tcPr>
            <w:tcW w:w="959" w:type="dxa"/>
            <w:shd w:val="clear" w:color="auto" w:fill="auto"/>
          </w:tcPr>
          <w:p w14:paraId="2B0E7576"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688</w:t>
            </w:r>
          </w:p>
        </w:tc>
        <w:tc>
          <w:tcPr>
            <w:tcW w:w="958" w:type="dxa"/>
            <w:shd w:val="clear" w:color="auto" w:fill="auto"/>
          </w:tcPr>
          <w:p w14:paraId="64BCEA9C"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707</w:t>
            </w:r>
          </w:p>
        </w:tc>
        <w:tc>
          <w:tcPr>
            <w:tcW w:w="959" w:type="dxa"/>
            <w:shd w:val="clear" w:color="auto" w:fill="auto"/>
          </w:tcPr>
          <w:p w14:paraId="3E815799"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716</w:t>
            </w:r>
          </w:p>
        </w:tc>
        <w:tc>
          <w:tcPr>
            <w:tcW w:w="959" w:type="dxa"/>
            <w:shd w:val="clear" w:color="auto" w:fill="auto"/>
          </w:tcPr>
          <w:p w14:paraId="030A608D"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2,781</w:t>
            </w:r>
          </w:p>
        </w:tc>
      </w:tr>
      <w:tr w:rsidR="00FB3EAB" w:rsidRPr="00FB3EAB" w14:paraId="57B995AD" w14:textId="77777777" w:rsidTr="00546D49">
        <w:trPr>
          <w:cantSplit/>
          <w:trHeight w:val="227"/>
        </w:trPr>
        <w:tc>
          <w:tcPr>
            <w:tcW w:w="4844" w:type="dxa"/>
            <w:shd w:val="clear" w:color="auto" w:fill="auto"/>
          </w:tcPr>
          <w:p w14:paraId="29593868" w14:textId="77777777" w:rsidR="00FB3EAB" w:rsidRPr="00FB3EAB" w:rsidRDefault="00FB3EAB" w:rsidP="00FB3EAB">
            <w:pPr>
              <w:ind w:left="227" w:hanging="227"/>
              <w:rPr>
                <w:rFonts w:ascii="Calibri" w:hAnsi="Calibri"/>
                <w:bCs/>
                <w:color w:val="000000"/>
                <w:sz w:val="20"/>
                <w:szCs w:val="20"/>
                <w:vertAlign w:val="superscript"/>
                <w:lang w:eastAsia="en-AU"/>
              </w:rPr>
            </w:pPr>
            <w:r w:rsidRPr="00FB3EAB">
              <w:rPr>
                <w:rFonts w:ascii="Calibri" w:hAnsi="Calibri"/>
                <w:bCs/>
                <w:color w:val="000000"/>
                <w:sz w:val="20"/>
                <w:szCs w:val="20"/>
                <w:lang w:eastAsia="en-AU"/>
              </w:rPr>
              <w:t xml:space="preserve">Supporting ACT Ambulance Service to meet the needs of a growing city </w:t>
            </w:r>
          </w:p>
        </w:tc>
        <w:tc>
          <w:tcPr>
            <w:tcW w:w="959" w:type="dxa"/>
            <w:shd w:val="clear" w:color="auto" w:fill="auto"/>
          </w:tcPr>
          <w:p w14:paraId="5ED5C9A4"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65</w:t>
            </w:r>
          </w:p>
        </w:tc>
        <w:tc>
          <w:tcPr>
            <w:tcW w:w="959" w:type="dxa"/>
            <w:shd w:val="clear" w:color="auto" w:fill="auto"/>
          </w:tcPr>
          <w:p w14:paraId="4AA58CF1"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0</w:t>
            </w:r>
          </w:p>
        </w:tc>
        <w:tc>
          <w:tcPr>
            <w:tcW w:w="958" w:type="dxa"/>
            <w:shd w:val="clear" w:color="auto" w:fill="auto"/>
          </w:tcPr>
          <w:p w14:paraId="4C1CD6C3"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0</w:t>
            </w:r>
          </w:p>
        </w:tc>
        <w:tc>
          <w:tcPr>
            <w:tcW w:w="959" w:type="dxa"/>
            <w:shd w:val="clear" w:color="auto" w:fill="auto"/>
          </w:tcPr>
          <w:p w14:paraId="0967CF2F"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0</w:t>
            </w:r>
          </w:p>
        </w:tc>
        <w:tc>
          <w:tcPr>
            <w:tcW w:w="959" w:type="dxa"/>
            <w:shd w:val="clear" w:color="auto" w:fill="auto"/>
          </w:tcPr>
          <w:p w14:paraId="6E83F777"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65</w:t>
            </w:r>
          </w:p>
        </w:tc>
      </w:tr>
      <w:tr w:rsidR="00FB3EAB" w:rsidRPr="00FB3EAB" w14:paraId="4F995048" w14:textId="77777777" w:rsidTr="00546D49">
        <w:trPr>
          <w:cantSplit/>
          <w:trHeight w:val="227"/>
        </w:trPr>
        <w:tc>
          <w:tcPr>
            <w:tcW w:w="4844" w:type="dxa"/>
            <w:shd w:val="clear" w:color="auto" w:fill="auto"/>
          </w:tcPr>
          <w:p w14:paraId="05AFFB06" w14:textId="77777777" w:rsidR="00FB3EAB" w:rsidRPr="00FB3EAB" w:rsidRDefault="00FB3EAB" w:rsidP="00FB3EAB">
            <w:pPr>
              <w:ind w:left="227" w:hanging="227"/>
              <w:rPr>
                <w:rFonts w:ascii="Calibri" w:hAnsi="Calibri"/>
                <w:bCs/>
                <w:color w:val="000000"/>
                <w:sz w:val="20"/>
                <w:szCs w:val="20"/>
                <w:lang w:eastAsia="en-AU"/>
              </w:rPr>
            </w:pPr>
            <w:r w:rsidRPr="00FB3EAB">
              <w:rPr>
                <w:rFonts w:ascii="Calibri" w:hAnsi="Calibri"/>
                <w:bCs/>
                <w:color w:val="000000"/>
                <w:sz w:val="20"/>
                <w:szCs w:val="20"/>
                <w:lang w:eastAsia="en-AU"/>
              </w:rPr>
              <w:t xml:space="preserve">Supporting community legal centres </w:t>
            </w:r>
          </w:p>
        </w:tc>
        <w:tc>
          <w:tcPr>
            <w:tcW w:w="959" w:type="dxa"/>
            <w:shd w:val="clear" w:color="auto" w:fill="auto"/>
          </w:tcPr>
          <w:p w14:paraId="4B3DBB3E"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265</w:t>
            </w:r>
          </w:p>
        </w:tc>
        <w:tc>
          <w:tcPr>
            <w:tcW w:w="959" w:type="dxa"/>
            <w:shd w:val="clear" w:color="auto" w:fill="auto"/>
          </w:tcPr>
          <w:p w14:paraId="1A451DDB"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0</w:t>
            </w:r>
          </w:p>
        </w:tc>
        <w:tc>
          <w:tcPr>
            <w:tcW w:w="958" w:type="dxa"/>
            <w:shd w:val="clear" w:color="auto" w:fill="auto"/>
          </w:tcPr>
          <w:p w14:paraId="68971659"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0</w:t>
            </w:r>
          </w:p>
        </w:tc>
        <w:tc>
          <w:tcPr>
            <w:tcW w:w="959" w:type="dxa"/>
            <w:shd w:val="clear" w:color="auto" w:fill="auto"/>
          </w:tcPr>
          <w:p w14:paraId="07415297"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0</w:t>
            </w:r>
          </w:p>
        </w:tc>
        <w:tc>
          <w:tcPr>
            <w:tcW w:w="959" w:type="dxa"/>
            <w:shd w:val="clear" w:color="auto" w:fill="auto"/>
          </w:tcPr>
          <w:p w14:paraId="700A20CD"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265</w:t>
            </w:r>
          </w:p>
        </w:tc>
      </w:tr>
      <w:tr w:rsidR="00FB3EAB" w:rsidRPr="00FB3EAB" w14:paraId="639AEF5D" w14:textId="77777777" w:rsidTr="00546D49">
        <w:trPr>
          <w:cantSplit/>
          <w:trHeight w:val="227"/>
        </w:trPr>
        <w:tc>
          <w:tcPr>
            <w:tcW w:w="4844" w:type="dxa"/>
            <w:shd w:val="clear" w:color="auto" w:fill="auto"/>
          </w:tcPr>
          <w:p w14:paraId="47A9C514" w14:textId="77777777" w:rsidR="00FB3EAB" w:rsidRPr="00FB3EAB" w:rsidRDefault="00FB3EAB" w:rsidP="00FB3EAB">
            <w:pPr>
              <w:ind w:left="227" w:hanging="227"/>
              <w:rPr>
                <w:rFonts w:ascii="Calibri" w:hAnsi="Calibri"/>
                <w:bCs/>
                <w:color w:val="000000"/>
                <w:sz w:val="20"/>
                <w:szCs w:val="20"/>
                <w:vertAlign w:val="superscript"/>
                <w:lang w:eastAsia="en-AU"/>
              </w:rPr>
            </w:pPr>
            <w:r w:rsidRPr="00FB3EAB">
              <w:rPr>
                <w:rFonts w:ascii="Calibri" w:hAnsi="Calibri"/>
                <w:bCs/>
                <w:color w:val="000000"/>
                <w:sz w:val="20"/>
                <w:szCs w:val="20"/>
                <w:lang w:eastAsia="en-AU"/>
              </w:rPr>
              <w:t xml:space="preserve">Supporting smarter working in the new ACT Government office projects </w:t>
            </w:r>
            <w:r w:rsidRPr="00FB3EAB">
              <w:rPr>
                <w:rFonts w:ascii="Calibri" w:hAnsi="Calibri"/>
                <w:bCs/>
                <w:color w:val="000000"/>
                <w:sz w:val="20"/>
                <w:szCs w:val="20"/>
                <w:vertAlign w:val="superscript"/>
                <w:lang w:eastAsia="en-AU"/>
              </w:rPr>
              <w:t>4</w:t>
            </w:r>
          </w:p>
        </w:tc>
        <w:tc>
          <w:tcPr>
            <w:tcW w:w="959" w:type="dxa"/>
            <w:shd w:val="clear" w:color="auto" w:fill="auto"/>
          </w:tcPr>
          <w:p w14:paraId="56FA71D2"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703</w:t>
            </w:r>
          </w:p>
        </w:tc>
        <w:tc>
          <w:tcPr>
            <w:tcW w:w="959" w:type="dxa"/>
            <w:shd w:val="clear" w:color="auto" w:fill="auto"/>
          </w:tcPr>
          <w:p w14:paraId="60ED7228"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0</w:t>
            </w:r>
          </w:p>
        </w:tc>
        <w:tc>
          <w:tcPr>
            <w:tcW w:w="958" w:type="dxa"/>
            <w:shd w:val="clear" w:color="auto" w:fill="auto"/>
          </w:tcPr>
          <w:p w14:paraId="104165D1"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0</w:t>
            </w:r>
          </w:p>
        </w:tc>
        <w:tc>
          <w:tcPr>
            <w:tcW w:w="959" w:type="dxa"/>
            <w:shd w:val="clear" w:color="auto" w:fill="auto"/>
          </w:tcPr>
          <w:p w14:paraId="37EBAB03"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0</w:t>
            </w:r>
          </w:p>
        </w:tc>
        <w:tc>
          <w:tcPr>
            <w:tcW w:w="959" w:type="dxa"/>
            <w:shd w:val="clear" w:color="auto" w:fill="auto"/>
          </w:tcPr>
          <w:p w14:paraId="670C72BF"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703</w:t>
            </w:r>
          </w:p>
        </w:tc>
      </w:tr>
      <w:tr w:rsidR="00FB3EAB" w:rsidRPr="00FB3EAB" w14:paraId="38AF24B5" w14:textId="77777777" w:rsidTr="00546D49">
        <w:trPr>
          <w:cantSplit/>
          <w:trHeight w:val="227"/>
        </w:trPr>
        <w:tc>
          <w:tcPr>
            <w:tcW w:w="4844" w:type="dxa"/>
            <w:shd w:val="clear" w:color="auto" w:fill="auto"/>
            <w:vAlign w:val="bottom"/>
          </w:tcPr>
          <w:p w14:paraId="49DDA4CB" w14:textId="77777777" w:rsidR="00FB3EAB" w:rsidRPr="00FB3EAB" w:rsidRDefault="00FB3EAB" w:rsidP="00FB3EAB">
            <w:pPr>
              <w:ind w:left="227" w:hanging="227"/>
              <w:rPr>
                <w:rFonts w:ascii="Calibri" w:hAnsi="Calibri"/>
                <w:bCs/>
                <w:color w:val="000000"/>
                <w:sz w:val="20"/>
                <w:szCs w:val="20"/>
                <w:vertAlign w:val="superscript"/>
                <w:lang w:eastAsia="en-AU"/>
              </w:rPr>
            </w:pPr>
            <w:r w:rsidRPr="00FB3EAB">
              <w:rPr>
                <w:rFonts w:ascii="Calibri" w:hAnsi="Calibri"/>
                <w:bCs/>
                <w:color w:val="000000"/>
                <w:sz w:val="20"/>
                <w:szCs w:val="20"/>
                <w:lang w:eastAsia="en-AU"/>
              </w:rPr>
              <w:t xml:space="preserve">Training ACT Government frontline workers to respond to family violence </w:t>
            </w:r>
            <w:r w:rsidRPr="00FB3EAB">
              <w:rPr>
                <w:rFonts w:ascii="Calibri" w:hAnsi="Calibri"/>
                <w:bCs/>
                <w:color w:val="000000"/>
                <w:sz w:val="20"/>
                <w:szCs w:val="20"/>
                <w:vertAlign w:val="superscript"/>
                <w:lang w:eastAsia="en-AU"/>
              </w:rPr>
              <w:t>6</w:t>
            </w:r>
          </w:p>
        </w:tc>
        <w:tc>
          <w:tcPr>
            <w:tcW w:w="959" w:type="dxa"/>
            <w:shd w:val="clear" w:color="auto" w:fill="auto"/>
          </w:tcPr>
          <w:p w14:paraId="5707C9B3"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0</w:t>
            </w:r>
          </w:p>
        </w:tc>
        <w:tc>
          <w:tcPr>
            <w:tcW w:w="959" w:type="dxa"/>
            <w:shd w:val="clear" w:color="auto" w:fill="auto"/>
          </w:tcPr>
          <w:p w14:paraId="60D1BC94"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0</w:t>
            </w:r>
          </w:p>
        </w:tc>
        <w:tc>
          <w:tcPr>
            <w:tcW w:w="958" w:type="dxa"/>
            <w:shd w:val="clear" w:color="auto" w:fill="auto"/>
          </w:tcPr>
          <w:p w14:paraId="693C70D3"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0</w:t>
            </w:r>
          </w:p>
        </w:tc>
        <w:tc>
          <w:tcPr>
            <w:tcW w:w="959" w:type="dxa"/>
            <w:shd w:val="clear" w:color="auto" w:fill="auto"/>
          </w:tcPr>
          <w:p w14:paraId="4EC1408B"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0</w:t>
            </w:r>
          </w:p>
        </w:tc>
        <w:tc>
          <w:tcPr>
            <w:tcW w:w="959" w:type="dxa"/>
            <w:shd w:val="clear" w:color="auto" w:fill="auto"/>
          </w:tcPr>
          <w:p w14:paraId="66D5F1EE"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0</w:t>
            </w:r>
          </w:p>
        </w:tc>
      </w:tr>
      <w:tr w:rsidR="00FB3EAB" w:rsidRPr="00FB3EAB" w14:paraId="4F8C22BD" w14:textId="77777777" w:rsidTr="003174E7">
        <w:trPr>
          <w:cantSplit/>
          <w:trHeight w:val="227"/>
        </w:trPr>
        <w:tc>
          <w:tcPr>
            <w:tcW w:w="4844" w:type="dxa"/>
            <w:tcBorders>
              <w:bottom w:val="single" w:sz="4" w:space="0" w:color="auto"/>
            </w:tcBorders>
            <w:shd w:val="clear" w:color="auto" w:fill="auto"/>
          </w:tcPr>
          <w:p w14:paraId="32200726" w14:textId="77777777" w:rsidR="00FB3EAB" w:rsidRPr="00FB3EAB" w:rsidRDefault="00FB3EAB" w:rsidP="00FB3EAB">
            <w:pPr>
              <w:ind w:left="227" w:hanging="227"/>
              <w:rPr>
                <w:rFonts w:ascii="Calibri" w:hAnsi="Calibri"/>
                <w:bCs/>
                <w:color w:val="000000"/>
                <w:sz w:val="20"/>
                <w:szCs w:val="20"/>
                <w:vertAlign w:val="superscript"/>
                <w:lang w:eastAsia="en-AU"/>
              </w:rPr>
            </w:pPr>
            <w:r w:rsidRPr="00FB3EAB">
              <w:rPr>
                <w:rFonts w:ascii="Calibri" w:hAnsi="Calibri"/>
                <w:bCs/>
                <w:color w:val="000000"/>
                <w:sz w:val="20"/>
                <w:szCs w:val="20"/>
                <w:lang w:eastAsia="en-AU"/>
              </w:rPr>
              <w:t xml:space="preserve">Upgrading essential services at the Alexander Maconochie Centre </w:t>
            </w:r>
            <w:r w:rsidRPr="00FB3EAB">
              <w:rPr>
                <w:rFonts w:ascii="Calibri" w:hAnsi="Calibri"/>
                <w:bCs/>
                <w:color w:val="000000"/>
                <w:sz w:val="20"/>
                <w:szCs w:val="20"/>
                <w:vertAlign w:val="superscript"/>
                <w:lang w:eastAsia="en-AU"/>
              </w:rPr>
              <w:t>2</w:t>
            </w:r>
          </w:p>
        </w:tc>
        <w:tc>
          <w:tcPr>
            <w:tcW w:w="959" w:type="dxa"/>
            <w:tcBorders>
              <w:bottom w:val="single" w:sz="4" w:space="0" w:color="auto"/>
            </w:tcBorders>
            <w:shd w:val="clear" w:color="auto" w:fill="auto"/>
          </w:tcPr>
          <w:p w14:paraId="11BF1D04"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186</w:t>
            </w:r>
          </w:p>
        </w:tc>
        <w:tc>
          <w:tcPr>
            <w:tcW w:w="959" w:type="dxa"/>
            <w:tcBorders>
              <w:bottom w:val="single" w:sz="4" w:space="0" w:color="auto"/>
            </w:tcBorders>
            <w:shd w:val="clear" w:color="auto" w:fill="auto"/>
          </w:tcPr>
          <w:p w14:paraId="6BC8DE9E"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334</w:t>
            </w:r>
          </w:p>
        </w:tc>
        <w:tc>
          <w:tcPr>
            <w:tcW w:w="958" w:type="dxa"/>
            <w:tcBorders>
              <w:bottom w:val="single" w:sz="4" w:space="0" w:color="auto"/>
            </w:tcBorders>
            <w:shd w:val="clear" w:color="auto" w:fill="auto"/>
          </w:tcPr>
          <w:p w14:paraId="14114E22"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190</w:t>
            </w:r>
          </w:p>
        </w:tc>
        <w:tc>
          <w:tcPr>
            <w:tcW w:w="959" w:type="dxa"/>
            <w:tcBorders>
              <w:bottom w:val="single" w:sz="4" w:space="0" w:color="auto"/>
            </w:tcBorders>
            <w:shd w:val="clear" w:color="auto" w:fill="auto"/>
          </w:tcPr>
          <w:p w14:paraId="76EF3634"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0</w:t>
            </w:r>
          </w:p>
        </w:tc>
        <w:tc>
          <w:tcPr>
            <w:tcW w:w="959" w:type="dxa"/>
            <w:tcBorders>
              <w:bottom w:val="single" w:sz="4" w:space="0" w:color="auto"/>
            </w:tcBorders>
            <w:shd w:val="clear" w:color="auto" w:fill="auto"/>
          </w:tcPr>
          <w:p w14:paraId="51FF7083"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710</w:t>
            </w:r>
          </w:p>
        </w:tc>
      </w:tr>
      <w:tr w:rsidR="00FB3EAB" w:rsidRPr="00FB3EAB" w14:paraId="73C21416" w14:textId="77777777" w:rsidTr="003174E7">
        <w:trPr>
          <w:cantSplit/>
          <w:trHeight w:val="227"/>
        </w:trPr>
        <w:tc>
          <w:tcPr>
            <w:tcW w:w="4844" w:type="dxa"/>
            <w:tcBorders>
              <w:top w:val="single" w:sz="4" w:space="0" w:color="auto"/>
              <w:bottom w:val="single" w:sz="4" w:space="0" w:color="auto"/>
            </w:tcBorders>
            <w:shd w:val="clear" w:color="auto" w:fill="auto"/>
            <w:vAlign w:val="bottom"/>
          </w:tcPr>
          <w:p w14:paraId="4E1D7BA2" w14:textId="77777777" w:rsidR="00FB3EAB" w:rsidRPr="00FB3EAB" w:rsidRDefault="00FB3EAB" w:rsidP="00FB3EAB">
            <w:pPr>
              <w:ind w:left="227" w:hanging="227"/>
              <w:jc w:val="right"/>
              <w:rPr>
                <w:rFonts w:ascii="Calibri" w:hAnsi="Calibri"/>
                <w:b/>
                <w:sz w:val="20"/>
                <w:szCs w:val="24"/>
                <w:lang w:val="x-none" w:eastAsia="en-US"/>
              </w:rPr>
            </w:pPr>
            <w:r w:rsidRPr="00FB3EAB">
              <w:rPr>
                <w:rFonts w:ascii="Calibri" w:hAnsi="Calibri"/>
                <w:b/>
                <w:sz w:val="20"/>
                <w:szCs w:val="24"/>
                <w:lang w:val="x-none" w:eastAsia="en-US"/>
              </w:rPr>
              <w:t>Total</w:t>
            </w:r>
          </w:p>
        </w:tc>
        <w:tc>
          <w:tcPr>
            <w:tcW w:w="959" w:type="dxa"/>
            <w:tcBorders>
              <w:top w:val="single" w:sz="4" w:space="0" w:color="auto"/>
              <w:bottom w:val="single" w:sz="4" w:space="0" w:color="auto"/>
            </w:tcBorders>
            <w:shd w:val="clear" w:color="auto" w:fill="auto"/>
          </w:tcPr>
          <w:p w14:paraId="5C1CE0EC" w14:textId="77777777" w:rsidR="00FB3EAB" w:rsidRPr="00FB3EAB" w:rsidRDefault="00FB3EAB" w:rsidP="00FB3EAB">
            <w:pPr>
              <w:ind w:left="227" w:hanging="227"/>
              <w:jc w:val="right"/>
              <w:rPr>
                <w:rFonts w:ascii="Calibri" w:hAnsi="Calibri"/>
                <w:b/>
                <w:sz w:val="20"/>
                <w:szCs w:val="24"/>
                <w:lang w:val="x-none" w:eastAsia="en-US"/>
              </w:rPr>
            </w:pPr>
            <w:r w:rsidRPr="00FB3EAB">
              <w:rPr>
                <w:rFonts w:ascii="Calibri" w:hAnsi="Calibri"/>
                <w:b/>
                <w:sz w:val="20"/>
                <w:szCs w:val="24"/>
                <w:lang w:val="x-none" w:eastAsia="en-US"/>
              </w:rPr>
              <w:t>10,280</w:t>
            </w:r>
          </w:p>
        </w:tc>
        <w:tc>
          <w:tcPr>
            <w:tcW w:w="959" w:type="dxa"/>
            <w:tcBorders>
              <w:top w:val="single" w:sz="4" w:space="0" w:color="auto"/>
              <w:bottom w:val="single" w:sz="4" w:space="0" w:color="auto"/>
            </w:tcBorders>
            <w:shd w:val="clear" w:color="auto" w:fill="auto"/>
          </w:tcPr>
          <w:p w14:paraId="5AEDAD3A" w14:textId="77777777" w:rsidR="00FB3EAB" w:rsidRPr="00FB3EAB" w:rsidRDefault="00FB3EAB" w:rsidP="00FB3EAB">
            <w:pPr>
              <w:ind w:left="227" w:hanging="227"/>
              <w:jc w:val="right"/>
              <w:rPr>
                <w:rFonts w:ascii="Calibri" w:hAnsi="Calibri"/>
                <w:b/>
                <w:sz w:val="20"/>
                <w:szCs w:val="24"/>
                <w:lang w:val="x-none" w:eastAsia="en-US"/>
              </w:rPr>
            </w:pPr>
            <w:r w:rsidRPr="00FB3EAB">
              <w:rPr>
                <w:rFonts w:ascii="Calibri" w:hAnsi="Calibri"/>
                <w:b/>
                <w:sz w:val="20"/>
                <w:szCs w:val="24"/>
                <w:lang w:val="x-none" w:eastAsia="en-US"/>
              </w:rPr>
              <w:t>18,164</w:t>
            </w:r>
          </w:p>
        </w:tc>
        <w:tc>
          <w:tcPr>
            <w:tcW w:w="958" w:type="dxa"/>
            <w:tcBorders>
              <w:top w:val="single" w:sz="4" w:space="0" w:color="auto"/>
              <w:bottom w:val="single" w:sz="4" w:space="0" w:color="auto"/>
            </w:tcBorders>
            <w:shd w:val="clear" w:color="auto" w:fill="auto"/>
          </w:tcPr>
          <w:p w14:paraId="6B1B6EB2" w14:textId="77777777" w:rsidR="00FB3EAB" w:rsidRPr="00FB3EAB" w:rsidRDefault="00FB3EAB" w:rsidP="00FB3EAB">
            <w:pPr>
              <w:ind w:left="227" w:hanging="227"/>
              <w:jc w:val="right"/>
              <w:rPr>
                <w:rFonts w:ascii="Calibri" w:hAnsi="Calibri"/>
                <w:b/>
                <w:sz w:val="20"/>
                <w:szCs w:val="24"/>
                <w:lang w:val="x-none" w:eastAsia="en-US"/>
              </w:rPr>
            </w:pPr>
            <w:r w:rsidRPr="00FB3EAB">
              <w:rPr>
                <w:rFonts w:ascii="Calibri" w:hAnsi="Calibri"/>
                <w:b/>
                <w:sz w:val="20"/>
                <w:szCs w:val="24"/>
                <w:lang w:val="x-none" w:eastAsia="en-US"/>
              </w:rPr>
              <w:t>26,153</w:t>
            </w:r>
          </w:p>
        </w:tc>
        <w:tc>
          <w:tcPr>
            <w:tcW w:w="959" w:type="dxa"/>
            <w:tcBorders>
              <w:top w:val="single" w:sz="4" w:space="0" w:color="auto"/>
              <w:bottom w:val="single" w:sz="4" w:space="0" w:color="auto"/>
            </w:tcBorders>
            <w:shd w:val="clear" w:color="auto" w:fill="auto"/>
          </w:tcPr>
          <w:p w14:paraId="1672A0B2" w14:textId="77777777" w:rsidR="00FB3EAB" w:rsidRPr="00FB3EAB" w:rsidRDefault="00FB3EAB" w:rsidP="00FB3EAB">
            <w:pPr>
              <w:ind w:left="227" w:hanging="227"/>
              <w:jc w:val="right"/>
              <w:rPr>
                <w:rFonts w:ascii="Calibri" w:hAnsi="Calibri"/>
                <w:b/>
                <w:sz w:val="20"/>
                <w:szCs w:val="24"/>
                <w:lang w:val="x-none" w:eastAsia="en-US"/>
              </w:rPr>
            </w:pPr>
            <w:r w:rsidRPr="00FB3EAB">
              <w:rPr>
                <w:rFonts w:ascii="Calibri" w:hAnsi="Calibri"/>
                <w:b/>
                <w:sz w:val="20"/>
                <w:szCs w:val="24"/>
                <w:lang w:val="x-none" w:eastAsia="en-US"/>
              </w:rPr>
              <w:t>29,160</w:t>
            </w:r>
          </w:p>
        </w:tc>
        <w:tc>
          <w:tcPr>
            <w:tcW w:w="959" w:type="dxa"/>
            <w:tcBorders>
              <w:top w:val="single" w:sz="4" w:space="0" w:color="auto"/>
              <w:bottom w:val="single" w:sz="4" w:space="0" w:color="auto"/>
            </w:tcBorders>
            <w:shd w:val="clear" w:color="auto" w:fill="auto"/>
          </w:tcPr>
          <w:p w14:paraId="468B9438" w14:textId="77777777" w:rsidR="00FB3EAB" w:rsidRPr="00FB3EAB" w:rsidRDefault="00FB3EAB" w:rsidP="00FB3EAB">
            <w:pPr>
              <w:ind w:left="227" w:hanging="227"/>
              <w:jc w:val="right"/>
              <w:rPr>
                <w:rFonts w:ascii="Calibri" w:hAnsi="Calibri"/>
                <w:b/>
                <w:sz w:val="20"/>
                <w:szCs w:val="24"/>
                <w:lang w:val="x-none" w:eastAsia="en-US"/>
              </w:rPr>
            </w:pPr>
            <w:r w:rsidRPr="00FB3EAB">
              <w:rPr>
                <w:rFonts w:ascii="Calibri" w:hAnsi="Calibri"/>
                <w:b/>
                <w:sz w:val="20"/>
                <w:szCs w:val="24"/>
                <w:lang w:val="x-none" w:eastAsia="en-US"/>
              </w:rPr>
              <w:t>83,757</w:t>
            </w:r>
          </w:p>
        </w:tc>
      </w:tr>
      <w:tr w:rsidR="00FB3EAB" w:rsidRPr="00FB3EAB" w14:paraId="3BFCB770" w14:textId="77777777" w:rsidTr="003174E7">
        <w:trPr>
          <w:cantSplit/>
          <w:trHeight w:val="227"/>
        </w:trPr>
        <w:tc>
          <w:tcPr>
            <w:tcW w:w="4844" w:type="dxa"/>
            <w:tcBorders>
              <w:top w:val="single" w:sz="4" w:space="0" w:color="auto"/>
            </w:tcBorders>
            <w:shd w:val="clear" w:color="auto" w:fill="auto"/>
            <w:vAlign w:val="bottom"/>
          </w:tcPr>
          <w:p w14:paraId="778997D6" w14:textId="77777777" w:rsidR="00FB3EAB" w:rsidRPr="00FB3EAB" w:rsidRDefault="00FB3EAB" w:rsidP="00FB3EAB">
            <w:pPr>
              <w:ind w:left="227" w:hanging="227"/>
              <w:jc w:val="right"/>
              <w:rPr>
                <w:rFonts w:ascii="Calibri" w:hAnsi="Calibri"/>
                <w:sz w:val="20"/>
                <w:szCs w:val="24"/>
                <w:lang w:val="x-none" w:eastAsia="en-US"/>
              </w:rPr>
            </w:pPr>
          </w:p>
        </w:tc>
        <w:tc>
          <w:tcPr>
            <w:tcW w:w="959" w:type="dxa"/>
            <w:tcBorders>
              <w:top w:val="single" w:sz="4" w:space="0" w:color="auto"/>
            </w:tcBorders>
            <w:shd w:val="clear" w:color="auto" w:fill="auto"/>
          </w:tcPr>
          <w:p w14:paraId="7492D2B7" w14:textId="77777777" w:rsidR="00FB3EAB" w:rsidRPr="00FB3EAB" w:rsidRDefault="00FB3EAB" w:rsidP="00FB3EAB">
            <w:pPr>
              <w:framePr w:wrap="around" w:vAnchor="text" w:hAnchor="text" w:y="1"/>
              <w:jc w:val="right"/>
              <w:rPr>
                <w:rFonts w:ascii="Calibri" w:hAnsi="Calibri"/>
                <w:b/>
                <w:sz w:val="20"/>
                <w:szCs w:val="20"/>
                <w:lang w:eastAsia="en-US"/>
              </w:rPr>
            </w:pPr>
          </w:p>
        </w:tc>
        <w:tc>
          <w:tcPr>
            <w:tcW w:w="959" w:type="dxa"/>
            <w:tcBorders>
              <w:top w:val="single" w:sz="4" w:space="0" w:color="auto"/>
            </w:tcBorders>
            <w:shd w:val="clear" w:color="auto" w:fill="auto"/>
          </w:tcPr>
          <w:p w14:paraId="3FAABEED" w14:textId="77777777" w:rsidR="00FB3EAB" w:rsidRPr="00FB3EAB" w:rsidRDefault="00FB3EAB" w:rsidP="00FB3EAB">
            <w:pPr>
              <w:framePr w:wrap="around" w:vAnchor="text" w:hAnchor="text" w:y="1"/>
              <w:jc w:val="right"/>
              <w:rPr>
                <w:rFonts w:ascii="Calibri" w:hAnsi="Calibri"/>
                <w:b/>
                <w:sz w:val="20"/>
                <w:szCs w:val="20"/>
                <w:lang w:eastAsia="en-US"/>
              </w:rPr>
            </w:pPr>
          </w:p>
        </w:tc>
        <w:tc>
          <w:tcPr>
            <w:tcW w:w="958" w:type="dxa"/>
            <w:tcBorders>
              <w:top w:val="single" w:sz="4" w:space="0" w:color="auto"/>
            </w:tcBorders>
            <w:shd w:val="clear" w:color="auto" w:fill="auto"/>
          </w:tcPr>
          <w:p w14:paraId="146B5B19" w14:textId="77777777" w:rsidR="00FB3EAB" w:rsidRPr="00FB3EAB" w:rsidRDefault="00FB3EAB" w:rsidP="00FB3EAB">
            <w:pPr>
              <w:framePr w:wrap="around" w:vAnchor="text" w:hAnchor="text" w:y="1"/>
              <w:jc w:val="right"/>
              <w:rPr>
                <w:rFonts w:ascii="Calibri" w:hAnsi="Calibri"/>
                <w:b/>
                <w:sz w:val="20"/>
                <w:szCs w:val="20"/>
                <w:lang w:eastAsia="en-US"/>
              </w:rPr>
            </w:pPr>
          </w:p>
        </w:tc>
        <w:tc>
          <w:tcPr>
            <w:tcW w:w="959" w:type="dxa"/>
            <w:tcBorders>
              <w:top w:val="single" w:sz="4" w:space="0" w:color="auto"/>
            </w:tcBorders>
            <w:shd w:val="clear" w:color="auto" w:fill="auto"/>
          </w:tcPr>
          <w:p w14:paraId="75928F1E" w14:textId="77777777" w:rsidR="00FB3EAB" w:rsidRPr="00FB3EAB" w:rsidRDefault="00FB3EAB" w:rsidP="00FB3EAB">
            <w:pPr>
              <w:framePr w:wrap="around" w:vAnchor="text" w:hAnchor="text" w:y="1"/>
              <w:jc w:val="right"/>
              <w:rPr>
                <w:rFonts w:ascii="Calibri" w:hAnsi="Calibri"/>
                <w:b/>
                <w:sz w:val="20"/>
                <w:szCs w:val="20"/>
                <w:lang w:eastAsia="en-US"/>
              </w:rPr>
            </w:pPr>
          </w:p>
        </w:tc>
        <w:tc>
          <w:tcPr>
            <w:tcW w:w="959" w:type="dxa"/>
            <w:tcBorders>
              <w:top w:val="single" w:sz="4" w:space="0" w:color="auto"/>
            </w:tcBorders>
            <w:shd w:val="clear" w:color="auto" w:fill="auto"/>
          </w:tcPr>
          <w:p w14:paraId="12896537" w14:textId="77777777" w:rsidR="00FB3EAB" w:rsidRPr="00FB3EAB" w:rsidRDefault="00FB3EAB" w:rsidP="00FB3EAB">
            <w:pPr>
              <w:framePr w:wrap="around" w:vAnchor="text" w:hAnchor="text" w:y="1"/>
              <w:jc w:val="right"/>
              <w:rPr>
                <w:rFonts w:ascii="Calibri" w:hAnsi="Calibri"/>
                <w:b/>
                <w:sz w:val="20"/>
                <w:szCs w:val="20"/>
                <w:lang w:eastAsia="en-US"/>
              </w:rPr>
            </w:pPr>
          </w:p>
        </w:tc>
      </w:tr>
      <w:tr w:rsidR="00FB3EAB" w:rsidRPr="00FB3EAB" w14:paraId="4C767E37" w14:textId="77777777" w:rsidTr="00546D49">
        <w:trPr>
          <w:cantSplit/>
          <w:trHeight w:val="227"/>
        </w:trPr>
        <w:tc>
          <w:tcPr>
            <w:tcW w:w="4844" w:type="dxa"/>
            <w:shd w:val="clear" w:color="auto" w:fill="auto"/>
            <w:vAlign w:val="bottom"/>
          </w:tcPr>
          <w:p w14:paraId="69160FF6" w14:textId="77777777" w:rsidR="00FB3EAB" w:rsidRPr="00FB3EAB" w:rsidRDefault="00FB3EAB" w:rsidP="00620F07">
            <w:pPr>
              <w:numPr>
                <w:ilvl w:val="0"/>
                <w:numId w:val="33"/>
              </w:numPr>
              <w:ind w:left="227" w:hanging="227"/>
              <w:rPr>
                <w:rFonts w:ascii="Calibri" w:hAnsi="Calibri"/>
                <w:b/>
                <w:bCs/>
                <w:sz w:val="20"/>
                <w:szCs w:val="20"/>
                <w:lang w:eastAsia="en-AU"/>
              </w:rPr>
            </w:pPr>
            <w:r w:rsidRPr="00FB3EAB">
              <w:rPr>
                <w:rFonts w:ascii="Calibri" w:hAnsi="Calibri"/>
                <w:b/>
                <w:bCs/>
                <w:sz w:val="20"/>
                <w:szCs w:val="20"/>
                <w:lang w:eastAsia="en-AU"/>
              </w:rPr>
              <w:t>Legal Aid Commission</w:t>
            </w:r>
          </w:p>
        </w:tc>
        <w:tc>
          <w:tcPr>
            <w:tcW w:w="959" w:type="dxa"/>
            <w:shd w:val="clear" w:color="auto" w:fill="auto"/>
          </w:tcPr>
          <w:p w14:paraId="0E6F4D20" w14:textId="77777777" w:rsidR="00FB3EAB" w:rsidRPr="00FB3EAB" w:rsidRDefault="00FB3EAB" w:rsidP="00FB3EAB">
            <w:pPr>
              <w:framePr w:wrap="around" w:vAnchor="text" w:hAnchor="text" w:y="1"/>
              <w:jc w:val="right"/>
              <w:rPr>
                <w:rFonts w:ascii="Calibri" w:hAnsi="Calibri"/>
                <w:b/>
                <w:sz w:val="20"/>
                <w:szCs w:val="20"/>
                <w:lang w:eastAsia="en-US"/>
              </w:rPr>
            </w:pPr>
          </w:p>
        </w:tc>
        <w:tc>
          <w:tcPr>
            <w:tcW w:w="959" w:type="dxa"/>
            <w:shd w:val="clear" w:color="auto" w:fill="auto"/>
          </w:tcPr>
          <w:p w14:paraId="5EEE88A9" w14:textId="77777777" w:rsidR="00FB3EAB" w:rsidRPr="00FB3EAB" w:rsidRDefault="00FB3EAB" w:rsidP="00FB3EAB">
            <w:pPr>
              <w:framePr w:wrap="around" w:vAnchor="text" w:hAnchor="text" w:y="1"/>
              <w:jc w:val="right"/>
              <w:rPr>
                <w:rFonts w:ascii="Calibri" w:hAnsi="Calibri"/>
                <w:b/>
                <w:sz w:val="20"/>
                <w:szCs w:val="20"/>
                <w:lang w:eastAsia="en-US"/>
              </w:rPr>
            </w:pPr>
          </w:p>
        </w:tc>
        <w:tc>
          <w:tcPr>
            <w:tcW w:w="958" w:type="dxa"/>
            <w:shd w:val="clear" w:color="auto" w:fill="auto"/>
          </w:tcPr>
          <w:p w14:paraId="7FFD9288" w14:textId="77777777" w:rsidR="00FB3EAB" w:rsidRPr="00FB3EAB" w:rsidRDefault="00FB3EAB" w:rsidP="00FB3EAB">
            <w:pPr>
              <w:framePr w:wrap="around" w:vAnchor="text" w:hAnchor="text" w:y="1"/>
              <w:jc w:val="right"/>
              <w:rPr>
                <w:rFonts w:ascii="Calibri" w:hAnsi="Calibri"/>
                <w:b/>
                <w:sz w:val="20"/>
                <w:szCs w:val="20"/>
                <w:lang w:eastAsia="en-US"/>
              </w:rPr>
            </w:pPr>
          </w:p>
        </w:tc>
        <w:tc>
          <w:tcPr>
            <w:tcW w:w="959" w:type="dxa"/>
            <w:shd w:val="clear" w:color="auto" w:fill="auto"/>
          </w:tcPr>
          <w:p w14:paraId="3DEB7520" w14:textId="77777777" w:rsidR="00FB3EAB" w:rsidRPr="00FB3EAB" w:rsidRDefault="00FB3EAB" w:rsidP="00FB3EAB">
            <w:pPr>
              <w:framePr w:wrap="around" w:vAnchor="text" w:hAnchor="text" w:y="1"/>
              <w:jc w:val="right"/>
              <w:rPr>
                <w:rFonts w:ascii="Calibri" w:hAnsi="Calibri"/>
                <w:b/>
                <w:sz w:val="20"/>
                <w:szCs w:val="20"/>
                <w:lang w:eastAsia="en-US"/>
              </w:rPr>
            </w:pPr>
          </w:p>
        </w:tc>
        <w:tc>
          <w:tcPr>
            <w:tcW w:w="959" w:type="dxa"/>
            <w:shd w:val="clear" w:color="auto" w:fill="auto"/>
          </w:tcPr>
          <w:p w14:paraId="0CF92113" w14:textId="77777777" w:rsidR="00FB3EAB" w:rsidRPr="00FB3EAB" w:rsidRDefault="00FB3EAB" w:rsidP="00FB3EAB">
            <w:pPr>
              <w:framePr w:wrap="around" w:vAnchor="text" w:hAnchor="text" w:y="1"/>
              <w:jc w:val="right"/>
              <w:rPr>
                <w:rFonts w:ascii="Calibri" w:hAnsi="Calibri"/>
                <w:b/>
                <w:sz w:val="20"/>
                <w:szCs w:val="20"/>
                <w:lang w:eastAsia="en-US"/>
              </w:rPr>
            </w:pPr>
          </w:p>
        </w:tc>
      </w:tr>
      <w:tr w:rsidR="00FB3EAB" w:rsidRPr="00FB3EAB" w14:paraId="3D6EBBD2" w14:textId="77777777" w:rsidTr="003174E7">
        <w:trPr>
          <w:cantSplit/>
          <w:trHeight w:val="227"/>
        </w:trPr>
        <w:tc>
          <w:tcPr>
            <w:tcW w:w="4844" w:type="dxa"/>
            <w:tcBorders>
              <w:bottom w:val="single" w:sz="4" w:space="0" w:color="auto"/>
            </w:tcBorders>
            <w:shd w:val="clear" w:color="auto" w:fill="auto"/>
            <w:vAlign w:val="bottom"/>
          </w:tcPr>
          <w:p w14:paraId="78D4D32D" w14:textId="77777777" w:rsidR="00FB3EAB" w:rsidRPr="00FB3EAB" w:rsidRDefault="00FB3EAB" w:rsidP="00FB3EAB">
            <w:pPr>
              <w:ind w:left="227" w:hanging="227"/>
              <w:rPr>
                <w:rFonts w:ascii="Calibri" w:hAnsi="Calibri"/>
                <w:bCs/>
                <w:sz w:val="20"/>
                <w:szCs w:val="20"/>
                <w:vertAlign w:val="superscript"/>
                <w:lang w:eastAsia="en-AU"/>
              </w:rPr>
            </w:pPr>
            <w:r w:rsidRPr="00FB3EAB">
              <w:rPr>
                <w:rFonts w:ascii="Calibri" w:hAnsi="Calibri"/>
                <w:bCs/>
                <w:color w:val="000000"/>
                <w:sz w:val="20"/>
                <w:szCs w:val="20"/>
                <w:lang w:eastAsia="en-AU"/>
              </w:rPr>
              <w:t xml:space="preserve">Establishing a Therapeutic Care Court within the ACT Children’s Court </w:t>
            </w:r>
            <w:r w:rsidRPr="00FB3EAB">
              <w:rPr>
                <w:rFonts w:ascii="Calibri" w:hAnsi="Calibri"/>
                <w:bCs/>
                <w:color w:val="000000"/>
                <w:sz w:val="20"/>
                <w:szCs w:val="20"/>
                <w:vertAlign w:val="superscript"/>
                <w:lang w:eastAsia="en-AU"/>
              </w:rPr>
              <w:t>3</w:t>
            </w:r>
          </w:p>
        </w:tc>
        <w:tc>
          <w:tcPr>
            <w:tcW w:w="959" w:type="dxa"/>
            <w:tcBorders>
              <w:bottom w:val="single" w:sz="4" w:space="0" w:color="auto"/>
            </w:tcBorders>
            <w:shd w:val="clear" w:color="auto" w:fill="auto"/>
          </w:tcPr>
          <w:p w14:paraId="17B66554"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0</w:t>
            </w:r>
          </w:p>
        </w:tc>
        <w:tc>
          <w:tcPr>
            <w:tcW w:w="959" w:type="dxa"/>
            <w:tcBorders>
              <w:bottom w:val="single" w:sz="4" w:space="0" w:color="auto"/>
            </w:tcBorders>
            <w:shd w:val="clear" w:color="auto" w:fill="auto"/>
          </w:tcPr>
          <w:p w14:paraId="4B5A0448"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0</w:t>
            </w:r>
          </w:p>
        </w:tc>
        <w:tc>
          <w:tcPr>
            <w:tcW w:w="958" w:type="dxa"/>
            <w:tcBorders>
              <w:bottom w:val="single" w:sz="4" w:space="0" w:color="auto"/>
            </w:tcBorders>
            <w:shd w:val="clear" w:color="auto" w:fill="auto"/>
          </w:tcPr>
          <w:p w14:paraId="576323E8"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0</w:t>
            </w:r>
          </w:p>
        </w:tc>
        <w:tc>
          <w:tcPr>
            <w:tcW w:w="959" w:type="dxa"/>
            <w:tcBorders>
              <w:bottom w:val="single" w:sz="4" w:space="0" w:color="auto"/>
            </w:tcBorders>
            <w:shd w:val="clear" w:color="auto" w:fill="auto"/>
          </w:tcPr>
          <w:p w14:paraId="11656EC0"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0</w:t>
            </w:r>
          </w:p>
        </w:tc>
        <w:tc>
          <w:tcPr>
            <w:tcW w:w="959" w:type="dxa"/>
            <w:tcBorders>
              <w:bottom w:val="single" w:sz="4" w:space="0" w:color="auto"/>
            </w:tcBorders>
            <w:shd w:val="clear" w:color="auto" w:fill="auto"/>
          </w:tcPr>
          <w:p w14:paraId="7B566BB3"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0</w:t>
            </w:r>
          </w:p>
        </w:tc>
      </w:tr>
      <w:tr w:rsidR="00FB3EAB" w:rsidRPr="00FB3EAB" w14:paraId="2070378F" w14:textId="77777777" w:rsidTr="003174E7">
        <w:trPr>
          <w:cantSplit/>
          <w:trHeight w:val="227"/>
        </w:trPr>
        <w:tc>
          <w:tcPr>
            <w:tcW w:w="4844" w:type="dxa"/>
            <w:tcBorders>
              <w:top w:val="single" w:sz="4" w:space="0" w:color="auto"/>
              <w:bottom w:val="single" w:sz="4" w:space="0" w:color="auto"/>
            </w:tcBorders>
            <w:shd w:val="clear" w:color="auto" w:fill="auto"/>
            <w:vAlign w:val="bottom"/>
          </w:tcPr>
          <w:p w14:paraId="5C2842A0" w14:textId="77777777" w:rsidR="00FB3EAB" w:rsidRPr="00FB3EAB" w:rsidRDefault="00FB3EAB" w:rsidP="00FB3EAB">
            <w:pPr>
              <w:ind w:left="227" w:hanging="227"/>
              <w:jc w:val="right"/>
              <w:rPr>
                <w:rFonts w:ascii="Calibri" w:hAnsi="Calibri"/>
                <w:b/>
                <w:sz w:val="20"/>
                <w:szCs w:val="24"/>
                <w:lang w:val="x-none" w:eastAsia="en-US"/>
              </w:rPr>
            </w:pPr>
            <w:r w:rsidRPr="00FB3EAB">
              <w:rPr>
                <w:rFonts w:ascii="Calibri" w:hAnsi="Calibri"/>
                <w:b/>
                <w:sz w:val="20"/>
                <w:szCs w:val="24"/>
                <w:lang w:val="x-none" w:eastAsia="en-US"/>
              </w:rPr>
              <w:t>Total</w:t>
            </w:r>
          </w:p>
        </w:tc>
        <w:tc>
          <w:tcPr>
            <w:tcW w:w="959" w:type="dxa"/>
            <w:tcBorders>
              <w:top w:val="single" w:sz="4" w:space="0" w:color="auto"/>
              <w:bottom w:val="single" w:sz="4" w:space="0" w:color="auto"/>
            </w:tcBorders>
            <w:shd w:val="clear" w:color="auto" w:fill="auto"/>
          </w:tcPr>
          <w:p w14:paraId="0F90DE14" w14:textId="77777777" w:rsidR="00FB3EAB" w:rsidRPr="00FB3EAB" w:rsidRDefault="00FB3EAB" w:rsidP="00FB3EAB">
            <w:pPr>
              <w:ind w:left="227" w:hanging="227"/>
              <w:jc w:val="right"/>
              <w:rPr>
                <w:rFonts w:ascii="Calibri" w:hAnsi="Calibri"/>
                <w:b/>
                <w:sz w:val="20"/>
                <w:szCs w:val="24"/>
                <w:lang w:val="x-none" w:eastAsia="en-US"/>
              </w:rPr>
            </w:pPr>
            <w:r w:rsidRPr="00FB3EAB">
              <w:rPr>
                <w:rFonts w:ascii="Calibri" w:hAnsi="Calibri"/>
                <w:b/>
                <w:sz w:val="20"/>
                <w:szCs w:val="24"/>
                <w:lang w:val="x-none" w:eastAsia="en-US"/>
              </w:rPr>
              <w:t>0</w:t>
            </w:r>
          </w:p>
        </w:tc>
        <w:tc>
          <w:tcPr>
            <w:tcW w:w="959" w:type="dxa"/>
            <w:tcBorders>
              <w:top w:val="single" w:sz="4" w:space="0" w:color="auto"/>
              <w:bottom w:val="single" w:sz="4" w:space="0" w:color="auto"/>
            </w:tcBorders>
            <w:shd w:val="clear" w:color="auto" w:fill="auto"/>
          </w:tcPr>
          <w:p w14:paraId="43A45299" w14:textId="77777777" w:rsidR="00FB3EAB" w:rsidRPr="00FB3EAB" w:rsidRDefault="00FB3EAB" w:rsidP="00FB3EAB">
            <w:pPr>
              <w:ind w:left="227" w:hanging="227"/>
              <w:jc w:val="right"/>
              <w:rPr>
                <w:rFonts w:ascii="Calibri" w:hAnsi="Calibri"/>
                <w:b/>
                <w:sz w:val="20"/>
                <w:szCs w:val="24"/>
                <w:lang w:val="x-none" w:eastAsia="en-US"/>
              </w:rPr>
            </w:pPr>
            <w:r w:rsidRPr="00FB3EAB">
              <w:rPr>
                <w:rFonts w:ascii="Calibri" w:hAnsi="Calibri"/>
                <w:b/>
                <w:sz w:val="20"/>
                <w:szCs w:val="24"/>
                <w:lang w:val="x-none" w:eastAsia="en-US"/>
              </w:rPr>
              <w:t>0</w:t>
            </w:r>
          </w:p>
        </w:tc>
        <w:tc>
          <w:tcPr>
            <w:tcW w:w="958" w:type="dxa"/>
            <w:tcBorders>
              <w:top w:val="single" w:sz="4" w:space="0" w:color="auto"/>
              <w:bottom w:val="single" w:sz="4" w:space="0" w:color="auto"/>
            </w:tcBorders>
            <w:shd w:val="clear" w:color="auto" w:fill="auto"/>
          </w:tcPr>
          <w:p w14:paraId="12018D4E" w14:textId="77777777" w:rsidR="00FB3EAB" w:rsidRPr="00FB3EAB" w:rsidRDefault="00FB3EAB" w:rsidP="00FB3EAB">
            <w:pPr>
              <w:ind w:left="227" w:hanging="227"/>
              <w:jc w:val="right"/>
              <w:rPr>
                <w:rFonts w:ascii="Calibri" w:hAnsi="Calibri"/>
                <w:b/>
                <w:sz w:val="20"/>
                <w:szCs w:val="24"/>
                <w:lang w:val="x-none" w:eastAsia="en-US"/>
              </w:rPr>
            </w:pPr>
            <w:r w:rsidRPr="00FB3EAB">
              <w:rPr>
                <w:rFonts w:ascii="Calibri" w:hAnsi="Calibri"/>
                <w:b/>
                <w:sz w:val="20"/>
                <w:szCs w:val="24"/>
                <w:lang w:val="x-none" w:eastAsia="en-US"/>
              </w:rPr>
              <w:t>0</w:t>
            </w:r>
          </w:p>
        </w:tc>
        <w:tc>
          <w:tcPr>
            <w:tcW w:w="959" w:type="dxa"/>
            <w:tcBorders>
              <w:top w:val="single" w:sz="4" w:space="0" w:color="auto"/>
              <w:bottom w:val="single" w:sz="4" w:space="0" w:color="auto"/>
            </w:tcBorders>
            <w:shd w:val="clear" w:color="auto" w:fill="auto"/>
          </w:tcPr>
          <w:p w14:paraId="60969504" w14:textId="77777777" w:rsidR="00FB3EAB" w:rsidRPr="00FB3EAB" w:rsidRDefault="00FB3EAB" w:rsidP="00FB3EAB">
            <w:pPr>
              <w:ind w:left="227" w:hanging="227"/>
              <w:jc w:val="right"/>
              <w:rPr>
                <w:rFonts w:ascii="Calibri" w:hAnsi="Calibri"/>
                <w:b/>
                <w:sz w:val="20"/>
                <w:szCs w:val="24"/>
                <w:lang w:val="x-none" w:eastAsia="en-US"/>
              </w:rPr>
            </w:pPr>
            <w:r w:rsidRPr="00FB3EAB">
              <w:rPr>
                <w:rFonts w:ascii="Calibri" w:hAnsi="Calibri"/>
                <w:b/>
                <w:sz w:val="20"/>
                <w:szCs w:val="24"/>
                <w:lang w:val="x-none" w:eastAsia="en-US"/>
              </w:rPr>
              <w:t>0</w:t>
            </w:r>
          </w:p>
        </w:tc>
        <w:tc>
          <w:tcPr>
            <w:tcW w:w="959" w:type="dxa"/>
            <w:tcBorders>
              <w:top w:val="single" w:sz="4" w:space="0" w:color="auto"/>
              <w:bottom w:val="single" w:sz="4" w:space="0" w:color="auto"/>
            </w:tcBorders>
            <w:shd w:val="clear" w:color="auto" w:fill="auto"/>
          </w:tcPr>
          <w:p w14:paraId="0BDFB6B0" w14:textId="77777777" w:rsidR="00FB3EAB" w:rsidRPr="00FB3EAB" w:rsidRDefault="00FB3EAB" w:rsidP="00FB3EAB">
            <w:pPr>
              <w:ind w:left="227" w:hanging="227"/>
              <w:jc w:val="right"/>
              <w:rPr>
                <w:rFonts w:ascii="Calibri" w:hAnsi="Calibri"/>
                <w:b/>
                <w:sz w:val="20"/>
                <w:szCs w:val="24"/>
                <w:lang w:val="x-none" w:eastAsia="en-US"/>
              </w:rPr>
            </w:pPr>
            <w:r w:rsidRPr="00FB3EAB">
              <w:rPr>
                <w:rFonts w:ascii="Calibri" w:hAnsi="Calibri"/>
                <w:b/>
                <w:sz w:val="20"/>
                <w:szCs w:val="24"/>
                <w:lang w:val="x-none" w:eastAsia="en-US"/>
              </w:rPr>
              <w:t>0</w:t>
            </w:r>
          </w:p>
        </w:tc>
      </w:tr>
    </w:tbl>
    <w:p w14:paraId="7CA0B4E7" w14:textId="77777777" w:rsidR="00FB3EAB" w:rsidRPr="00FB3EAB" w:rsidRDefault="00FB3EAB" w:rsidP="00FD1D5C">
      <w:pPr>
        <w:pStyle w:val="snapNotesheading"/>
        <w:rPr>
          <w:b w:val="0"/>
        </w:rPr>
      </w:pPr>
      <w:r w:rsidRPr="00FB3EAB">
        <w:t xml:space="preserve">Notes: </w:t>
      </w:r>
    </w:p>
    <w:p w14:paraId="562884EC" w14:textId="77777777" w:rsidR="00FB3EAB" w:rsidRPr="00FB3EAB" w:rsidRDefault="00FB3EAB" w:rsidP="00FD1D5C">
      <w:pPr>
        <w:pStyle w:val="snapNotesbody"/>
      </w:pPr>
      <w:r w:rsidRPr="00FB3EAB">
        <w:rPr>
          <w:lang w:val="en-US"/>
        </w:rPr>
        <w:t xml:space="preserve">2. </w:t>
      </w:r>
      <w:r w:rsidRPr="00FB3EAB">
        <w:t>This initiative has a capital component; this component (and depreciation if applicable) is listed in the summary table in Infrastructure and capital initiatives (Chapter 3.3).</w:t>
      </w:r>
    </w:p>
    <w:p w14:paraId="6B8046EB" w14:textId="29DB9F67" w:rsidR="00FB3EAB" w:rsidRPr="00FB3EAB" w:rsidRDefault="006A4F0E" w:rsidP="00FD1D5C">
      <w:pPr>
        <w:pStyle w:val="snapNotesbody"/>
      </w:pPr>
      <w:r>
        <w:rPr>
          <w:lang w:val="en-US"/>
        </w:rPr>
        <w:t>3</w:t>
      </w:r>
      <w:r w:rsidR="00FB3EAB" w:rsidRPr="00FB3EAB">
        <w:rPr>
          <w:lang w:val="en-US"/>
        </w:rPr>
        <w:t xml:space="preserve">. </w:t>
      </w:r>
      <w:r w:rsidR="00FB3EAB" w:rsidRPr="00FB3EAB">
        <w:t>The funding of this initiative is to be absorbed by the agency.</w:t>
      </w:r>
    </w:p>
    <w:p w14:paraId="4049E926" w14:textId="72E34EF0" w:rsidR="006A4F0E" w:rsidRDefault="006A4F0E" w:rsidP="00FD1D5C">
      <w:pPr>
        <w:pStyle w:val="snapNotesbody"/>
      </w:pPr>
      <w:r>
        <w:t>4.</w:t>
      </w:r>
      <w:r w:rsidR="00BD3048">
        <w:t xml:space="preserve"> This is a joint initiative, i.e. delivered by more than one agency.</w:t>
      </w:r>
    </w:p>
    <w:p w14:paraId="13B3275B" w14:textId="2C3FF31A" w:rsidR="00FB3EAB" w:rsidRPr="00FB3EAB" w:rsidRDefault="00FB3EAB" w:rsidP="00FD1D5C">
      <w:pPr>
        <w:pStyle w:val="snapNotesbody"/>
      </w:pPr>
      <w:r w:rsidRPr="00FB3EAB">
        <w:t>6. This initiative forms part of the Safer Families package.</w:t>
      </w:r>
    </w:p>
    <w:p w14:paraId="5AF9826F" w14:textId="77777777" w:rsidR="00FB3EAB" w:rsidRPr="0064087C" w:rsidRDefault="00FB3EAB" w:rsidP="0064087C">
      <w:pPr>
        <w:pStyle w:val="snapTabletitle"/>
      </w:pPr>
      <w:r w:rsidRPr="0064087C">
        <w:t>Table 3.3.2: Infrastructure and capital initiatives</w:t>
      </w:r>
    </w:p>
    <w:tbl>
      <w:tblPr>
        <w:tblW w:w="5000" w:type="pct"/>
        <w:tblLayout w:type="fixed"/>
        <w:tblCellMar>
          <w:left w:w="30" w:type="dxa"/>
          <w:right w:w="30" w:type="dxa"/>
        </w:tblCellMar>
        <w:tblLook w:val="0000" w:firstRow="0" w:lastRow="0" w:firstColumn="0" w:lastColumn="0" w:noHBand="0" w:noVBand="0"/>
      </w:tblPr>
      <w:tblGrid>
        <w:gridCol w:w="4776"/>
        <w:gridCol w:w="7"/>
        <w:gridCol w:w="1156"/>
        <w:gridCol w:w="926"/>
        <w:gridCol w:w="931"/>
        <w:gridCol w:w="921"/>
        <w:gridCol w:w="921"/>
      </w:tblGrid>
      <w:tr w:rsidR="00FB3EAB" w:rsidRPr="00FB3EAB" w14:paraId="5A48809C" w14:textId="77777777" w:rsidTr="00546D49">
        <w:trPr>
          <w:trHeight w:val="227"/>
          <w:tblHeader/>
        </w:trPr>
        <w:tc>
          <w:tcPr>
            <w:tcW w:w="4776" w:type="dxa"/>
            <w:tcBorders>
              <w:top w:val="single" w:sz="4" w:space="0" w:color="auto"/>
              <w:left w:val="nil"/>
              <w:bottom w:val="single" w:sz="4" w:space="0" w:color="auto"/>
              <w:right w:val="nil"/>
            </w:tcBorders>
            <w:shd w:val="clear" w:color="auto" w:fill="auto"/>
            <w:vAlign w:val="center"/>
          </w:tcPr>
          <w:p w14:paraId="310DB4E4" w14:textId="77777777" w:rsidR="00FB3EAB" w:rsidRPr="00FB3EAB" w:rsidRDefault="00FB3EAB" w:rsidP="00C4458C">
            <w:pPr>
              <w:rPr>
                <w:rFonts w:ascii="Calibri" w:hAnsi="Calibri"/>
                <w:b/>
                <w:bCs/>
                <w:sz w:val="20"/>
                <w:szCs w:val="20"/>
                <w:lang w:eastAsia="en-AU"/>
              </w:rPr>
            </w:pPr>
            <w:r w:rsidRPr="00FB3EAB">
              <w:rPr>
                <w:rFonts w:ascii="Calibri" w:hAnsi="Calibri"/>
                <w:b/>
                <w:bCs/>
                <w:sz w:val="20"/>
                <w:szCs w:val="20"/>
                <w:lang w:eastAsia="en-AU"/>
              </w:rPr>
              <w:t>Infrastructure and capital initiatives</w:t>
            </w:r>
          </w:p>
        </w:tc>
        <w:tc>
          <w:tcPr>
            <w:tcW w:w="1163" w:type="dxa"/>
            <w:gridSpan w:val="2"/>
            <w:tcBorders>
              <w:top w:val="single" w:sz="4" w:space="0" w:color="auto"/>
              <w:left w:val="nil"/>
              <w:bottom w:val="single" w:sz="4" w:space="0" w:color="auto"/>
              <w:right w:val="nil"/>
            </w:tcBorders>
            <w:shd w:val="clear" w:color="auto" w:fill="auto"/>
          </w:tcPr>
          <w:p w14:paraId="75E15D20" w14:textId="77777777" w:rsidR="00FB3EAB" w:rsidRPr="00FB3EAB" w:rsidRDefault="00FB3EAB" w:rsidP="00FB3EAB">
            <w:pPr>
              <w:jc w:val="right"/>
              <w:rPr>
                <w:rFonts w:ascii="Calibri" w:hAnsi="Calibri"/>
                <w:b/>
                <w:bCs/>
                <w:sz w:val="20"/>
                <w:szCs w:val="20"/>
                <w:lang w:eastAsia="en-US"/>
              </w:rPr>
            </w:pPr>
            <w:r w:rsidRPr="00FB3EAB">
              <w:rPr>
                <w:rFonts w:ascii="Calibri" w:hAnsi="Calibri"/>
                <w:b/>
                <w:bCs/>
                <w:sz w:val="20"/>
                <w:szCs w:val="20"/>
                <w:lang w:eastAsia="en-US"/>
              </w:rPr>
              <w:t>2019-20</w:t>
            </w:r>
          </w:p>
          <w:p w14:paraId="61BE8DB5" w14:textId="77777777" w:rsidR="00FB3EAB" w:rsidRPr="00FB3EAB" w:rsidRDefault="00FB3EAB" w:rsidP="00FB3EAB">
            <w:pPr>
              <w:jc w:val="right"/>
              <w:rPr>
                <w:rFonts w:ascii="Calibri" w:hAnsi="Calibri"/>
                <w:b/>
                <w:bCs/>
                <w:sz w:val="20"/>
                <w:szCs w:val="20"/>
                <w:lang w:eastAsia="en-US"/>
              </w:rPr>
            </w:pPr>
            <w:r w:rsidRPr="00FB3EAB">
              <w:rPr>
                <w:rFonts w:ascii="Calibri" w:hAnsi="Calibri"/>
                <w:b/>
                <w:bCs/>
                <w:sz w:val="20"/>
                <w:szCs w:val="20"/>
                <w:lang w:eastAsia="en-US"/>
              </w:rPr>
              <w:t>Estimate</w:t>
            </w:r>
          </w:p>
          <w:p w14:paraId="664F46F9" w14:textId="77777777" w:rsidR="00FB3EAB" w:rsidRPr="00FB3EAB" w:rsidRDefault="00FB3EAB" w:rsidP="00FB3EAB">
            <w:pPr>
              <w:jc w:val="right"/>
              <w:rPr>
                <w:rFonts w:ascii="Calibri" w:hAnsi="Calibri"/>
                <w:b/>
                <w:bCs/>
                <w:sz w:val="20"/>
                <w:szCs w:val="20"/>
                <w:lang w:eastAsia="en-US"/>
              </w:rPr>
            </w:pPr>
            <w:r w:rsidRPr="00FB3EAB">
              <w:rPr>
                <w:rFonts w:ascii="Calibri" w:hAnsi="Calibri"/>
                <w:b/>
                <w:bCs/>
                <w:sz w:val="20"/>
                <w:szCs w:val="20"/>
                <w:lang w:eastAsia="en-US"/>
              </w:rPr>
              <w:t>$’000</w:t>
            </w:r>
          </w:p>
        </w:tc>
        <w:tc>
          <w:tcPr>
            <w:tcW w:w="926" w:type="dxa"/>
            <w:tcBorders>
              <w:top w:val="single" w:sz="4" w:space="0" w:color="auto"/>
              <w:left w:val="nil"/>
              <w:bottom w:val="single" w:sz="4" w:space="0" w:color="auto"/>
              <w:right w:val="nil"/>
            </w:tcBorders>
            <w:shd w:val="clear" w:color="auto" w:fill="auto"/>
          </w:tcPr>
          <w:p w14:paraId="0A629FB8" w14:textId="77777777" w:rsidR="00FB3EAB" w:rsidRPr="00FB3EAB" w:rsidRDefault="00FB3EAB" w:rsidP="00FB3EAB">
            <w:pPr>
              <w:jc w:val="right"/>
              <w:rPr>
                <w:rFonts w:ascii="Calibri" w:hAnsi="Calibri"/>
                <w:b/>
                <w:bCs/>
                <w:sz w:val="20"/>
                <w:szCs w:val="20"/>
                <w:lang w:eastAsia="en-US"/>
              </w:rPr>
            </w:pPr>
            <w:r w:rsidRPr="00FB3EAB">
              <w:rPr>
                <w:rFonts w:ascii="Calibri" w:hAnsi="Calibri"/>
                <w:b/>
                <w:bCs/>
                <w:sz w:val="20"/>
                <w:szCs w:val="20"/>
                <w:lang w:eastAsia="en-US"/>
              </w:rPr>
              <w:t>2020</w:t>
            </w:r>
            <w:r w:rsidRPr="00FB3EAB">
              <w:rPr>
                <w:rFonts w:ascii="Calibri" w:hAnsi="Calibri"/>
                <w:b/>
                <w:bCs/>
                <w:sz w:val="20"/>
                <w:szCs w:val="20"/>
                <w:lang w:eastAsia="en-US"/>
              </w:rPr>
              <w:noBreakHyphen/>
              <w:t>21</w:t>
            </w:r>
          </w:p>
          <w:p w14:paraId="0496007B" w14:textId="77777777" w:rsidR="00FB3EAB" w:rsidRPr="00FB3EAB" w:rsidRDefault="00FB3EAB" w:rsidP="00FB3EAB">
            <w:pPr>
              <w:jc w:val="right"/>
              <w:rPr>
                <w:rFonts w:ascii="Calibri" w:hAnsi="Calibri"/>
                <w:b/>
                <w:bCs/>
                <w:sz w:val="20"/>
                <w:szCs w:val="20"/>
                <w:lang w:eastAsia="en-US"/>
              </w:rPr>
            </w:pPr>
            <w:r w:rsidRPr="00FB3EAB">
              <w:rPr>
                <w:rFonts w:ascii="Calibri" w:hAnsi="Calibri"/>
                <w:b/>
                <w:bCs/>
                <w:sz w:val="20"/>
                <w:szCs w:val="20"/>
                <w:lang w:eastAsia="en-US"/>
              </w:rPr>
              <w:t>Estimate</w:t>
            </w:r>
          </w:p>
          <w:p w14:paraId="099D2FBA" w14:textId="77777777" w:rsidR="00FB3EAB" w:rsidRPr="00FB3EAB" w:rsidRDefault="00FB3EAB" w:rsidP="00FB3EAB">
            <w:pPr>
              <w:jc w:val="right"/>
              <w:rPr>
                <w:rFonts w:ascii="Calibri" w:hAnsi="Calibri"/>
                <w:b/>
                <w:bCs/>
                <w:sz w:val="20"/>
                <w:szCs w:val="20"/>
                <w:lang w:eastAsia="en-US"/>
              </w:rPr>
            </w:pPr>
            <w:r w:rsidRPr="00FB3EAB">
              <w:rPr>
                <w:rFonts w:ascii="Calibri" w:hAnsi="Calibri"/>
                <w:b/>
                <w:bCs/>
                <w:sz w:val="20"/>
                <w:szCs w:val="20"/>
                <w:lang w:eastAsia="en-US"/>
              </w:rPr>
              <w:t>$’000</w:t>
            </w:r>
          </w:p>
        </w:tc>
        <w:tc>
          <w:tcPr>
            <w:tcW w:w="931" w:type="dxa"/>
            <w:tcBorders>
              <w:top w:val="single" w:sz="4" w:space="0" w:color="auto"/>
              <w:left w:val="nil"/>
              <w:bottom w:val="single" w:sz="4" w:space="0" w:color="auto"/>
              <w:right w:val="nil"/>
            </w:tcBorders>
            <w:shd w:val="clear" w:color="auto" w:fill="auto"/>
          </w:tcPr>
          <w:p w14:paraId="6E3C9928" w14:textId="77777777" w:rsidR="00FB3EAB" w:rsidRPr="00FB3EAB" w:rsidRDefault="00FB3EAB" w:rsidP="00FB3EAB">
            <w:pPr>
              <w:jc w:val="right"/>
              <w:rPr>
                <w:rFonts w:ascii="Calibri" w:hAnsi="Calibri"/>
                <w:b/>
                <w:bCs/>
                <w:sz w:val="20"/>
                <w:szCs w:val="20"/>
                <w:lang w:eastAsia="en-US"/>
              </w:rPr>
            </w:pPr>
            <w:r w:rsidRPr="00FB3EAB">
              <w:rPr>
                <w:rFonts w:ascii="Calibri" w:hAnsi="Calibri"/>
                <w:b/>
                <w:bCs/>
                <w:sz w:val="20"/>
                <w:szCs w:val="20"/>
                <w:lang w:eastAsia="en-US"/>
              </w:rPr>
              <w:t>2021-22</w:t>
            </w:r>
          </w:p>
          <w:p w14:paraId="25CC8247" w14:textId="77777777" w:rsidR="00FB3EAB" w:rsidRPr="00FB3EAB" w:rsidRDefault="00FB3EAB" w:rsidP="00FB3EAB">
            <w:pPr>
              <w:jc w:val="right"/>
              <w:rPr>
                <w:rFonts w:ascii="Calibri" w:hAnsi="Calibri"/>
                <w:b/>
                <w:bCs/>
                <w:sz w:val="20"/>
                <w:szCs w:val="20"/>
                <w:lang w:eastAsia="en-US"/>
              </w:rPr>
            </w:pPr>
            <w:r w:rsidRPr="00FB3EAB">
              <w:rPr>
                <w:rFonts w:ascii="Calibri" w:hAnsi="Calibri"/>
                <w:b/>
                <w:bCs/>
                <w:sz w:val="20"/>
                <w:szCs w:val="20"/>
                <w:lang w:eastAsia="en-US"/>
              </w:rPr>
              <w:t>Estimate</w:t>
            </w:r>
          </w:p>
          <w:p w14:paraId="31AEA341" w14:textId="77777777" w:rsidR="00FB3EAB" w:rsidRPr="00FB3EAB" w:rsidRDefault="00FB3EAB" w:rsidP="00FB3EAB">
            <w:pPr>
              <w:jc w:val="right"/>
              <w:rPr>
                <w:rFonts w:ascii="Calibri" w:hAnsi="Calibri"/>
                <w:b/>
                <w:bCs/>
                <w:sz w:val="20"/>
                <w:szCs w:val="20"/>
                <w:lang w:eastAsia="en-US"/>
              </w:rPr>
            </w:pPr>
            <w:r w:rsidRPr="00FB3EAB">
              <w:rPr>
                <w:rFonts w:ascii="Calibri" w:hAnsi="Calibri"/>
                <w:b/>
                <w:bCs/>
                <w:sz w:val="20"/>
                <w:szCs w:val="20"/>
                <w:lang w:eastAsia="en-US"/>
              </w:rPr>
              <w:t>$’000</w:t>
            </w:r>
          </w:p>
        </w:tc>
        <w:tc>
          <w:tcPr>
            <w:tcW w:w="921" w:type="dxa"/>
            <w:tcBorders>
              <w:top w:val="single" w:sz="4" w:space="0" w:color="auto"/>
              <w:left w:val="nil"/>
              <w:bottom w:val="single" w:sz="4" w:space="0" w:color="auto"/>
              <w:right w:val="nil"/>
            </w:tcBorders>
          </w:tcPr>
          <w:p w14:paraId="13B9B6B4" w14:textId="77777777" w:rsidR="00FB3EAB" w:rsidRPr="00FB3EAB" w:rsidRDefault="00FB3EAB" w:rsidP="00FB3EAB">
            <w:pPr>
              <w:jc w:val="right"/>
              <w:rPr>
                <w:rFonts w:ascii="Calibri" w:hAnsi="Calibri"/>
                <w:b/>
                <w:bCs/>
                <w:sz w:val="20"/>
                <w:szCs w:val="20"/>
                <w:lang w:eastAsia="en-US"/>
              </w:rPr>
            </w:pPr>
            <w:r w:rsidRPr="00FB3EAB">
              <w:rPr>
                <w:rFonts w:ascii="Calibri" w:hAnsi="Calibri"/>
                <w:b/>
                <w:bCs/>
                <w:sz w:val="20"/>
                <w:szCs w:val="20"/>
                <w:lang w:eastAsia="en-US"/>
              </w:rPr>
              <w:t>2022-23</w:t>
            </w:r>
          </w:p>
          <w:p w14:paraId="56A2D2CF" w14:textId="77777777" w:rsidR="00FB3EAB" w:rsidRPr="00FB3EAB" w:rsidRDefault="00FB3EAB" w:rsidP="00FB3EAB">
            <w:pPr>
              <w:jc w:val="right"/>
              <w:rPr>
                <w:rFonts w:ascii="Calibri" w:hAnsi="Calibri"/>
                <w:b/>
                <w:bCs/>
                <w:sz w:val="20"/>
                <w:szCs w:val="20"/>
                <w:lang w:eastAsia="en-US"/>
              </w:rPr>
            </w:pPr>
            <w:r w:rsidRPr="00FB3EAB">
              <w:rPr>
                <w:rFonts w:ascii="Calibri" w:hAnsi="Calibri"/>
                <w:b/>
                <w:bCs/>
                <w:sz w:val="20"/>
                <w:szCs w:val="20"/>
                <w:lang w:eastAsia="en-US"/>
              </w:rPr>
              <w:t>Estimate</w:t>
            </w:r>
          </w:p>
          <w:p w14:paraId="3F7E2A9D" w14:textId="77777777" w:rsidR="00FB3EAB" w:rsidRPr="00FB3EAB" w:rsidRDefault="00FB3EAB" w:rsidP="00FB3EAB">
            <w:pPr>
              <w:jc w:val="right"/>
              <w:rPr>
                <w:rFonts w:ascii="Calibri" w:hAnsi="Calibri"/>
                <w:b/>
                <w:bCs/>
                <w:sz w:val="20"/>
                <w:szCs w:val="20"/>
                <w:lang w:eastAsia="en-US"/>
              </w:rPr>
            </w:pPr>
            <w:r w:rsidRPr="00FB3EAB">
              <w:rPr>
                <w:rFonts w:ascii="Calibri" w:hAnsi="Calibri"/>
                <w:b/>
                <w:bCs/>
                <w:sz w:val="20"/>
                <w:szCs w:val="20"/>
                <w:lang w:eastAsia="en-US"/>
              </w:rPr>
              <w:t>$’000</w:t>
            </w:r>
          </w:p>
        </w:tc>
        <w:tc>
          <w:tcPr>
            <w:tcW w:w="921" w:type="dxa"/>
            <w:tcBorders>
              <w:top w:val="single" w:sz="4" w:space="0" w:color="auto"/>
              <w:left w:val="nil"/>
              <w:bottom w:val="single" w:sz="4" w:space="0" w:color="auto"/>
              <w:right w:val="nil"/>
            </w:tcBorders>
          </w:tcPr>
          <w:p w14:paraId="66359396" w14:textId="77777777" w:rsidR="00FB3EAB" w:rsidRPr="00FB3EAB" w:rsidRDefault="00FB3EAB" w:rsidP="00FB3EAB">
            <w:pPr>
              <w:jc w:val="right"/>
              <w:rPr>
                <w:rFonts w:ascii="Calibri" w:hAnsi="Calibri"/>
                <w:b/>
                <w:bCs/>
                <w:sz w:val="20"/>
                <w:szCs w:val="20"/>
                <w:lang w:eastAsia="en-US"/>
              </w:rPr>
            </w:pPr>
            <w:r w:rsidRPr="00FB3EAB">
              <w:rPr>
                <w:rFonts w:ascii="Calibri" w:hAnsi="Calibri"/>
                <w:b/>
                <w:bCs/>
                <w:sz w:val="20"/>
                <w:szCs w:val="20"/>
                <w:lang w:eastAsia="en-US"/>
              </w:rPr>
              <w:t xml:space="preserve">Total </w:t>
            </w:r>
          </w:p>
          <w:p w14:paraId="306BD76E" w14:textId="77777777" w:rsidR="00FB3EAB" w:rsidRPr="00FB3EAB" w:rsidRDefault="00FB3EAB" w:rsidP="00FB3EAB">
            <w:pPr>
              <w:jc w:val="right"/>
              <w:rPr>
                <w:rFonts w:ascii="Calibri" w:hAnsi="Calibri"/>
                <w:b/>
                <w:bCs/>
                <w:sz w:val="20"/>
                <w:szCs w:val="20"/>
                <w:lang w:eastAsia="en-US"/>
              </w:rPr>
            </w:pPr>
          </w:p>
          <w:p w14:paraId="34346D0E" w14:textId="77777777" w:rsidR="00FB3EAB" w:rsidRPr="00FB3EAB" w:rsidRDefault="00FB3EAB" w:rsidP="00FB3EAB">
            <w:pPr>
              <w:jc w:val="right"/>
              <w:rPr>
                <w:rFonts w:ascii="Calibri" w:hAnsi="Calibri"/>
                <w:b/>
                <w:bCs/>
                <w:sz w:val="20"/>
                <w:szCs w:val="20"/>
                <w:lang w:eastAsia="en-US"/>
              </w:rPr>
            </w:pPr>
            <w:r w:rsidRPr="00FB3EAB">
              <w:rPr>
                <w:rFonts w:ascii="Calibri" w:hAnsi="Calibri"/>
                <w:b/>
                <w:bCs/>
                <w:sz w:val="20"/>
                <w:szCs w:val="20"/>
                <w:lang w:eastAsia="en-US"/>
              </w:rPr>
              <w:t>$’000</w:t>
            </w:r>
          </w:p>
        </w:tc>
      </w:tr>
      <w:tr w:rsidR="00FB3EAB" w:rsidRPr="00FB3EAB" w14:paraId="4A52CB75" w14:textId="77777777" w:rsidTr="00546D49">
        <w:trPr>
          <w:trHeight w:val="227"/>
        </w:trPr>
        <w:tc>
          <w:tcPr>
            <w:tcW w:w="4776" w:type="dxa"/>
            <w:tcBorders>
              <w:top w:val="single" w:sz="4" w:space="0" w:color="auto"/>
              <w:left w:val="nil"/>
              <w:bottom w:val="nil"/>
              <w:right w:val="nil"/>
            </w:tcBorders>
          </w:tcPr>
          <w:p w14:paraId="2A7AC84D" w14:textId="77777777" w:rsidR="00FB3EAB" w:rsidRPr="00FB3EAB" w:rsidRDefault="00FB3EAB" w:rsidP="00FB3EAB">
            <w:pPr>
              <w:ind w:left="227" w:hanging="227"/>
              <w:rPr>
                <w:b/>
                <w:bCs/>
                <w:sz w:val="20"/>
                <w:lang w:val="x-none"/>
              </w:rPr>
            </w:pPr>
          </w:p>
        </w:tc>
        <w:tc>
          <w:tcPr>
            <w:tcW w:w="1163" w:type="dxa"/>
            <w:gridSpan w:val="2"/>
            <w:tcBorders>
              <w:top w:val="single" w:sz="4" w:space="0" w:color="auto"/>
              <w:left w:val="nil"/>
              <w:bottom w:val="nil"/>
              <w:right w:val="nil"/>
            </w:tcBorders>
          </w:tcPr>
          <w:p w14:paraId="4362ED77" w14:textId="77777777" w:rsidR="00FB3EAB" w:rsidRPr="00FB3EAB" w:rsidRDefault="00FB3EAB" w:rsidP="00FB3EAB">
            <w:pPr>
              <w:jc w:val="right"/>
              <w:rPr>
                <w:rFonts w:cs="Calibri"/>
                <w:color w:val="FFFFFF"/>
                <w:sz w:val="12"/>
              </w:rPr>
            </w:pPr>
          </w:p>
        </w:tc>
        <w:tc>
          <w:tcPr>
            <w:tcW w:w="926" w:type="dxa"/>
            <w:tcBorders>
              <w:top w:val="single" w:sz="4" w:space="0" w:color="auto"/>
              <w:left w:val="nil"/>
              <w:bottom w:val="nil"/>
              <w:right w:val="nil"/>
            </w:tcBorders>
          </w:tcPr>
          <w:p w14:paraId="453CD09C" w14:textId="77777777" w:rsidR="00FB3EAB" w:rsidRPr="00FB3EAB" w:rsidRDefault="00FB3EAB" w:rsidP="00FB3EAB">
            <w:pPr>
              <w:jc w:val="right"/>
              <w:rPr>
                <w:rFonts w:cs="Calibri"/>
                <w:color w:val="FFFFFF"/>
                <w:sz w:val="12"/>
              </w:rPr>
            </w:pPr>
          </w:p>
        </w:tc>
        <w:tc>
          <w:tcPr>
            <w:tcW w:w="931" w:type="dxa"/>
            <w:tcBorders>
              <w:top w:val="single" w:sz="4" w:space="0" w:color="auto"/>
              <w:left w:val="nil"/>
              <w:bottom w:val="nil"/>
              <w:right w:val="nil"/>
            </w:tcBorders>
          </w:tcPr>
          <w:p w14:paraId="491BDD78" w14:textId="77777777" w:rsidR="00FB3EAB" w:rsidRPr="00FB3EAB" w:rsidRDefault="00FB3EAB" w:rsidP="00FB3EAB">
            <w:pPr>
              <w:jc w:val="right"/>
              <w:rPr>
                <w:rFonts w:cs="Calibri"/>
                <w:color w:val="FFFFFF"/>
                <w:sz w:val="12"/>
              </w:rPr>
            </w:pPr>
          </w:p>
        </w:tc>
        <w:tc>
          <w:tcPr>
            <w:tcW w:w="921" w:type="dxa"/>
            <w:tcBorders>
              <w:top w:val="single" w:sz="4" w:space="0" w:color="auto"/>
              <w:left w:val="nil"/>
              <w:bottom w:val="nil"/>
              <w:right w:val="nil"/>
            </w:tcBorders>
          </w:tcPr>
          <w:p w14:paraId="4D0C148B" w14:textId="77777777" w:rsidR="00FB3EAB" w:rsidRPr="00FB3EAB" w:rsidRDefault="00FB3EAB" w:rsidP="00FB3EAB">
            <w:pPr>
              <w:jc w:val="right"/>
              <w:rPr>
                <w:rFonts w:cs="Calibri"/>
                <w:color w:val="FFFFFF"/>
                <w:sz w:val="12"/>
              </w:rPr>
            </w:pPr>
          </w:p>
        </w:tc>
        <w:tc>
          <w:tcPr>
            <w:tcW w:w="921" w:type="dxa"/>
            <w:tcBorders>
              <w:top w:val="single" w:sz="4" w:space="0" w:color="auto"/>
              <w:left w:val="nil"/>
              <w:bottom w:val="nil"/>
              <w:right w:val="nil"/>
            </w:tcBorders>
          </w:tcPr>
          <w:p w14:paraId="637CEB11" w14:textId="77777777" w:rsidR="00FB3EAB" w:rsidRPr="00FB3EAB" w:rsidRDefault="00FB3EAB" w:rsidP="00FB3EAB">
            <w:pPr>
              <w:jc w:val="right"/>
              <w:rPr>
                <w:rFonts w:cs="Calibri"/>
                <w:color w:val="FFFFFF"/>
                <w:sz w:val="12"/>
              </w:rPr>
            </w:pPr>
          </w:p>
        </w:tc>
      </w:tr>
      <w:tr w:rsidR="00FB3EAB" w:rsidRPr="00FB3EAB" w14:paraId="5ACAAA1F" w14:textId="77777777" w:rsidTr="00546D49">
        <w:trPr>
          <w:trHeight w:val="227"/>
        </w:trPr>
        <w:tc>
          <w:tcPr>
            <w:tcW w:w="4783" w:type="dxa"/>
            <w:gridSpan w:val="2"/>
            <w:tcBorders>
              <w:left w:val="nil"/>
              <w:bottom w:val="nil"/>
              <w:right w:val="nil"/>
            </w:tcBorders>
          </w:tcPr>
          <w:p w14:paraId="65543100" w14:textId="77777777" w:rsidR="00FB3EAB" w:rsidRPr="00FB3EAB" w:rsidRDefault="00FB3EAB" w:rsidP="00C4458C">
            <w:pPr>
              <w:rPr>
                <w:rFonts w:ascii="Calibri" w:hAnsi="Calibri"/>
                <w:b/>
                <w:bCs/>
                <w:sz w:val="20"/>
                <w:szCs w:val="20"/>
                <w:lang w:eastAsia="en-AU"/>
              </w:rPr>
            </w:pPr>
            <w:r w:rsidRPr="00FB3EAB">
              <w:rPr>
                <w:rFonts w:ascii="Calibri" w:hAnsi="Calibri"/>
                <w:b/>
                <w:bCs/>
                <w:sz w:val="20"/>
                <w:szCs w:val="20"/>
                <w:lang w:eastAsia="en-AU"/>
              </w:rPr>
              <w:t>Justice and Community Safety Directorate</w:t>
            </w:r>
          </w:p>
        </w:tc>
        <w:tc>
          <w:tcPr>
            <w:tcW w:w="1156" w:type="dxa"/>
            <w:tcBorders>
              <w:left w:val="nil"/>
              <w:bottom w:val="nil"/>
              <w:right w:val="nil"/>
            </w:tcBorders>
          </w:tcPr>
          <w:p w14:paraId="69E8C39C" w14:textId="77777777" w:rsidR="00FB3EAB" w:rsidRPr="00FB3EAB" w:rsidRDefault="00FB3EAB" w:rsidP="00FB3EAB">
            <w:pPr>
              <w:ind w:left="227" w:hanging="227"/>
              <w:jc w:val="right"/>
              <w:rPr>
                <w:rFonts w:ascii="Calibri" w:hAnsi="Calibri"/>
                <w:b/>
                <w:sz w:val="20"/>
                <w:szCs w:val="24"/>
                <w:lang w:val="x-none" w:eastAsia="en-US"/>
              </w:rPr>
            </w:pPr>
          </w:p>
        </w:tc>
        <w:tc>
          <w:tcPr>
            <w:tcW w:w="926" w:type="dxa"/>
            <w:tcBorders>
              <w:left w:val="nil"/>
              <w:bottom w:val="nil"/>
              <w:right w:val="nil"/>
            </w:tcBorders>
          </w:tcPr>
          <w:p w14:paraId="21A5261E" w14:textId="77777777" w:rsidR="00FB3EAB" w:rsidRPr="00FB3EAB" w:rsidRDefault="00FB3EAB" w:rsidP="00FB3EAB">
            <w:pPr>
              <w:ind w:left="227" w:hanging="227"/>
              <w:jc w:val="right"/>
              <w:rPr>
                <w:rFonts w:ascii="Calibri" w:hAnsi="Calibri"/>
                <w:b/>
                <w:sz w:val="20"/>
                <w:szCs w:val="24"/>
                <w:lang w:val="x-none" w:eastAsia="en-US"/>
              </w:rPr>
            </w:pPr>
          </w:p>
        </w:tc>
        <w:tc>
          <w:tcPr>
            <w:tcW w:w="931" w:type="dxa"/>
            <w:tcBorders>
              <w:left w:val="nil"/>
              <w:bottom w:val="nil"/>
              <w:right w:val="nil"/>
            </w:tcBorders>
          </w:tcPr>
          <w:p w14:paraId="57B41CB2" w14:textId="77777777" w:rsidR="00FB3EAB" w:rsidRPr="00FB3EAB" w:rsidRDefault="00FB3EAB" w:rsidP="00FB3EAB">
            <w:pPr>
              <w:ind w:left="227" w:hanging="227"/>
              <w:jc w:val="right"/>
              <w:rPr>
                <w:rFonts w:ascii="Calibri" w:hAnsi="Calibri"/>
                <w:b/>
                <w:sz w:val="20"/>
                <w:szCs w:val="24"/>
                <w:lang w:val="x-none" w:eastAsia="en-US"/>
              </w:rPr>
            </w:pPr>
          </w:p>
        </w:tc>
        <w:tc>
          <w:tcPr>
            <w:tcW w:w="921" w:type="dxa"/>
            <w:tcBorders>
              <w:left w:val="nil"/>
              <w:bottom w:val="nil"/>
              <w:right w:val="nil"/>
            </w:tcBorders>
          </w:tcPr>
          <w:p w14:paraId="33BDC3AA" w14:textId="77777777" w:rsidR="00FB3EAB" w:rsidRPr="00FB3EAB" w:rsidRDefault="00FB3EAB" w:rsidP="00FB3EAB">
            <w:pPr>
              <w:ind w:left="227" w:hanging="227"/>
              <w:jc w:val="right"/>
              <w:rPr>
                <w:rFonts w:ascii="Calibri" w:hAnsi="Calibri"/>
                <w:b/>
                <w:sz w:val="20"/>
                <w:szCs w:val="24"/>
                <w:lang w:val="x-none" w:eastAsia="en-US"/>
              </w:rPr>
            </w:pPr>
          </w:p>
        </w:tc>
        <w:tc>
          <w:tcPr>
            <w:tcW w:w="921" w:type="dxa"/>
            <w:tcBorders>
              <w:left w:val="nil"/>
              <w:bottom w:val="nil"/>
              <w:right w:val="nil"/>
            </w:tcBorders>
          </w:tcPr>
          <w:p w14:paraId="120812EC" w14:textId="77777777" w:rsidR="00FB3EAB" w:rsidRPr="00FB3EAB" w:rsidRDefault="00FB3EAB" w:rsidP="00FB3EAB">
            <w:pPr>
              <w:ind w:left="227" w:hanging="227"/>
              <w:jc w:val="right"/>
              <w:rPr>
                <w:rFonts w:ascii="Calibri" w:hAnsi="Calibri"/>
                <w:b/>
                <w:sz w:val="20"/>
                <w:szCs w:val="24"/>
                <w:lang w:val="x-none" w:eastAsia="en-US"/>
              </w:rPr>
            </w:pPr>
          </w:p>
        </w:tc>
      </w:tr>
      <w:tr w:rsidR="00FB3EAB" w:rsidRPr="00FB3EAB" w14:paraId="4933B22F" w14:textId="77777777" w:rsidTr="00546D49">
        <w:trPr>
          <w:trHeight w:val="227"/>
        </w:trPr>
        <w:tc>
          <w:tcPr>
            <w:tcW w:w="4783" w:type="dxa"/>
            <w:gridSpan w:val="2"/>
            <w:tcBorders>
              <w:left w:val="nil"/>
              <w:bottom w:val="nil"/>
              <w:right w:val="nil"/>
            </w:tcBorders>
          </w:tcPr>
          <w:p w14:paraId="2BED3E8E" w14:textId="77777777" w:rsidR="00FB3EAB" w:rsidRPr="00FB3EAB" w:rsidRDefault="00FB3EAB" w:rsidP="00FB3EAB">
            <w:pPr>
              <w:ind w:left="227" w:hanging="227"/>
              <w:rPr>
                <w:rFonts w:ascii="Calibri" w:hAnsi="Calibri"/>
                <w:bCs/>
                <w:color w:val="000000"/>
                <w:sz w:val="20"/>
                <w:szCs w:val="20"/>
                <w:vertAlign w:val="superscript"/>
                <w:lang w:eastAsia="en-AU"/>
              </w:rPr>
            </w:pPr>
            <w:r w:rsidRPr="00FB3EAB">
              <w:rPr>
                <w:rFonts w:ascii="Calibri" w:hAnsi="Calibri"/>
                <w:bCs/>
                <w:color w:val="000000"/>
                <w:sz w:val="20"/>
                <w:szCs w:val="20"/>
                <w:lang w:eastAsia="en-AU"/>
              </w:rPr>
              <w:t xml:space="preserve">Better supporting vulnerable witnesses </w:t>
            </w:r>
            <w:r w:rsidRPr="00FB3EAB">
              <w:rPr>
                <w:rFonts w:ascii="Calibri" w:hAnsi="Calibri"/>
                <w:bCs/>
                <w:color w:val="000000"/>
                <w:sz w:val="20"/>
                <w:szCs w:val="20"/>
                <w:vertAlign w:val="superscript"/>
                <w:lang w:eastAsia="en-AU"/>
              </w:rPr>
              <w:t>2</w:t>
            </w:r>
          </w:p>
        </w:tc>
        <w:tc>
          <w:tcPr>
            <w:tcW w:w="1156" w:type="dxa"/>
            <w:tcBorders>
              <w:left w:val="nil"/>
              <w:bottom w:val="nil"/>
              <w:right w:val="nil"/>
            </w:tcBorders>
          </w:tcPr>
          <w:p w14:paraId="47859884"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119</w:t>
            </w:r>
          </w:p>
        </w:tc>
        <w:tc>
          <w:tcPr>
            <w:tcW w:w="926" w:type="dxa"/>
            <w:tcBorders>
              <w:left w:val="nil"/>
              <w:bottom w:val="nil"/>
              <w:right w:val="nil"/>
            </w:tcBorders>
          </w:tcPr>
          <w:p w14:paraId="6B38CC01"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0</w:t>
            </w:r>
          </w:p>
        </w:tc>
        <w:tc>
          <w:tcPr>
            <w:tcW w:w="931" w:type="dxa"/>
            <w:tcBorders>
              <w:left w:val="nil"/>
              <w:bottom w:val="nil"/>
              <w:right w:val="nil"/>
            </w:tcBorders>
          </w:tcPr>
          <w:p w14:paraId="7CF72A36"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0</w:t>
            </w:r>
          </w:p>
        </w:tc>
        <w:tc>
          <w:tcPr>
            <w:tcW w:w="921" w:type="dxa"/>
            <w:tcBorders>
              <w:left w:val="nil"/>
              <w:bottom w:val="nil"/>
              <w:right w:val="nil"/>
            </w:tcBorders>
          </w:tcPr>
          <w:p w14:paraId="311B5088"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0</w:t>
            </w:r>
          </w:p>
        </w:tc>
        <w:tc>
          <w:tcPr>
            <w:tcW w:w="921" w:type="dxa"/>
            <w:tcBorders>
              <w:left w:val="nil"/>
              <w:bottom w:val="nil"/>
              <w:right w:val="nil"/>
            </w:tcBorders>
          </w:tcPr>
          <w:p w14:paraId="7FED2F12"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119</w:t>
            </w:r>
          </w:p>
        </w:tc>
      </w:tr>
      <w:tr w:rsidR="00FB3EAB" w:rsidRPr="00FB3EAB" w14:paraId="11633B60" w14:textId="77777777" w:rsidTr="00546D49">
        <w:trPr>
          <w:trHeight w:val="227"/>
        </w:trPr>
        <w:tc>
          <w:tcPr>
            <w:tcW w:w="4783" w:type="dxa"/>
            <w:gridSpan w:val="2"/>
          </w:tcPr>
          <w:p w14:paraId="5F479D99" w14:textId="77777777" w:rsidR="00FB3EAB" w:rsidRPr="00FB3EAB" w:rsidRDefault="00FB3EAB" w:rsidP="00FB3EAB">
            <w:pPr>
              <w:ind w:left="227" w:hanging="227"/>
              <w:rPr>
                <w:rFonts w:ascii="Calibri" w:hAnsi="Calibri"/>
                <w:bCs/>
                <w:color w:val="000000"/>
                <w:sz w:val="20"/>
                <w:szCs w:val="20"/>
                <w:vertAlign w:val="superscript"/>
                <w:lang w:eastAsia="en-AU"/>
              </w:rPr>
            </w:pPr>
            <w:r w:rsidRPr="00FB3EAB">
              <w:rPr>
                <w:rFonts w:ascii="Calibri" w:hAnsi="Calibri"/>
                <w:bCs/>
                <w:color w:val="000000"/>
                <w:sz w:val="20"/>
                <w:szCs w:val="20"/>
                <w:lang w:eastAsia="en-AU"/>
              </w:rPr>
              <w:t xml:space="preserve">Creating a Reintegration Centre to support pathways out of the justice system </w:t>
            </w:r>
            <w:r w:rsidRPr="00FB3EAB">
              <w:rPr>
                <w:rFonts w:ascii="Calibri" w:hAnsi="Calibri"/>
                <w:bCs/>
                <w:color w:val="000000"/>
                <w:sz w:val="20"/>
                <w:szCs w:val="20"/>
                <w:vertAlign w:val="superscript"/>
                <w:lang w:eastAsia="en-AU"/>
              </w:rPr>
              <w:t>2</w:t>
            </w:r>
          </w:p>
        </w:tc>
        <w:tc>
          <w:tcPr>
            <w:tcW w:w="1156" w:type="dxa"/>
            <w:shd w:val="clear" w:color="auto" w:fill="auto"/>
          </w:tcPr>
          <w:p w14:paraId="5975DF55"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1,817</w:t>
            </w:r>
          </w:p>
        </w:tc>
        <w:tc>
          <w:tcPr>
            <w:tcW w:w="926" w:type="dxa"/>
            <w:shd w:val="clear" w:color="auto" w:fill="auto"/>
          </w:tcPr>
          <w:p w14:paraId="1A05972C"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27,103</w:t>
            </w:r>
          </w:p>
        </w:tc>
        <w:tc>
          <w:tcPr>
            <w:tcW w:w="931" w:type="dxa"/>
            <w:shd w:val="clear" w:color="auto" w:fill="auto"/>
          </w:tcPr>
          <w:p w14:paraId="63853DE9"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6,075</w:t>
            </w:r>
          </w:p>
        </w:tc>
        <w:tc>
          <w:tcPr>
            <w:tcW w:w="921" w:type="dxa"/>
            <w:shd w:val="clear" w:color="auto" w:fill="auto"/>
          </w:tcPr>
          <w:p w14:paraId="09A50610"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0</w:t>
            </w:r>
          </w:p>
        </w:tc>
        <w:tc>
          <w:tcPr>
            <w:tcW w:w="921" w:type="dxa"/>
            <w:shd w:val="clear" w:color="auto" w:fill="auto"/>
          </w:tcPr>
          <w:p w14:paraId="1AE6554D"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34,995</w:t>
            </w:r>
          </w:p>
        </w:tc>
      </w:tr>
      <w:tr w:rsidR="00FB3EAB" w:rsidRPr="00FB3EAB" w14:paraId="2F99FD29" w14:textId="77777777" w:rsidTr="00546D49">
        <w:trPr>
          <w:trHeight w:val="227"/>
        </w:trPr>
        <w:tc>
          <w:tcPr>
            <w:tcW w:w="4783" w:type="dxa"/>
            <w:gridSpan w:val="2"/>
            <w:tcBorders>
              <w:left w:val="nil"/>
              <w:bottom w:val="nil"/>
              <w:right w:val="nil"/>
            </w:tcBorders>
          </w:tcPr>
          <w:p w14:paraId="26E98188" w14:textId="77777777" w:rsidR="00FB3EAB" w:rsidRPr="00FB3EAB" w:rsidRDefault="00FB3EAB" w:rsidP="00FB3EAB">
            <w:pPr>
              <w:ind w:left="227" w:hanging="227"/>
              <w:rPr>
                <w:rFonts w:ascii="Calibri" w:hAnsi="Calibri"/>
                <w:bCs/>
                <w:color w:val="000000"/>
                <w:sz w:val="20"/>
                <w:szCs w:val="20"/>
                <w:vertAlign w:val="superscript"/>
                <w:lang w:eastAsia="en-AU"/>
              </w:rPr>
            </w:pPr>
            <w:r w:rsidRPr="00FB3EAB">
              <w:rPr>
                <w:rFonts w:ascii="Calibri" w:hAnsi="Calibri"/>
                <w:bCs/>
                <w:color w:val="000000"/>
                <w:sz w:val="20"/>
                <w:szCs w:val="20"/>
                <w:lang w:eastAsia="en-AU"/>
              </w:rPr>
              <w:t xml:space="preserve">Delivering better facilities for ACT Policing </w:t>
            </w:r>
            <w:r w:rsidRPr="00FB3EAB">
              <w:rPr>
                <w:rFonts w:ascii="Calibri" w:hAnsi="Calibri"/>
                <w:bCs/>
                <w:color w:val="000000"/>
                <w:sz w:val="20"/>
                <w:szCs w:val="20"/>
                <w:vertAlign w:val="superscript"/>
                <w:lang w:eastAsia="en-AU"/>
              </w:rPr>
              <w:t>2</w:t>
            </w:r>
          </w:p>
        </w:tc>
        <w:tc>
          <w:tcPr>
            <w:tcW w:w="1156" w:type="dxa"/>
            <w:tcBorders>
              <w:top w:val="nil"/>
              <w:left w:val="nil"/>
              <w:bottom w:val="nil"/>
              <w:right w:val="nil"/>
            </w:tcBorders>
            <w:shd w:val="clear" w:color="auto" w:fill="auto"/>
          </w:tcPr>
          <w:p w14:paraId="671B05F6"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767</w:t>
            </w:r>
          </w:p>
        </w:tc>
        <w:tc>
          <w:tcPr>
            <w:tcW w:w="926" w:type="dxa"/>
            <w:tcBorders>
              <w:top w:val="nil"/>
              <w:left w:val="nil"/>
              <w:bottom w:val="nil"/>
              <w:right w:val="nil"/>
            </w:tcBorders>
            <w:shd w:val="clear" w:color="auto" w:fill="auto"/>
          </w:tcPr>
          <w:p w14:paraId="12C09A1E"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4,078</w:t>
            </w:r>
          </w:p>
        </w:tc>
        <w:tc>
          <w:tcPr>
            <w:tcW w:w="931" w:type="dxa"/>
            <w:tcBorders>
              <w:top w:val="nil"/>
              <w:left w:val="nil"/>
              <w:bottom w:val="nil"/>
              <w:right w:val="nil"/>
            </w:tcBorders>
            <w:shd w:val="clear" w:color="auto" w:fill="auto"/>
          </w:tcPr>
          <w:p w14:paraId="01E52C05"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3,979</w:t>
            </w:r>
          </w:p>
        </w:tc>
        <w:tc>
          <w:tcPr>
            <w:tcW w:w="921" w:type="dxa"/>
            <w:tcBorders>
              <w:top w:val="nil"/>
              <w:left w:val="nil"/>
              <w:bottom w:val="nil"/>
              <w:right w:val="nil"/>
            </w:tcBorders>
            <w:shd w:val="clear" w:color="auto" w:fill="auto"/>
          </w:tcPr>
          <w:p w14:paraId="4FD67B5B"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225</w:t>
            </w:r>
          </w:p>
        </w:tc>
        <w:tc>
          <w:tcPr>
            <w:tcW w:w="921" w:type="dxa"/>
            <w:tcBorders>
              <w:top w:val="nil"/>
              <w:left w:val="nil"/>
              <w:bottom w:val="nil"/>
              <w:right w:val="nil"/>
            </w:tcBorders>
            <w:shd w:val="clear" w:color="auto" w:fill="auto"/>
          </w:tcPr>
          <w:p w14:paraId="72472D19"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9,049</w:t>
            </w:r>
          </w:p>
        </w:tc>
      </w:tr>
      <w:tr w:rsidR="00FB3EAB" w:rsidRPr="00FB3EAB" w14:paraId="7B7CEC62" w14:textId="77777777" w:rsidTr="00546D49">
        <w:trPr>
          <w:trHeight w:val="227"/>
        </w:trPr>
        <w:tc>
          <w:tcPr>
            <w:tcW w:w="4783" w:type="dxa"/>
            <w:gridSpan w:val="2"/>
            <w:tcBorders>
              <w:left w:val="nil"/>
              <w:bottom w:val="nil"/>
              <w:right w:val="nil"/>
            </w:tcBorders>
          </w:tcPr>
          <w:p w14:paraId="4191E915" w14:textId="77777777" w:rsidR="00FB3EAB" w:rsidRPr="00FB3EAB" w:rsidRDefault="00FB3EAB" w:rsidP="00FB3EAB">
            <w:pPr>
              <w:ind w:left="227" w:hanging="227"/>
              <w:rPr>
                <w:rFonts w:ascii="Calibri" w:hAnsi="Calibri"/>
                <w:bCs/>
                <w:color w:val="000000"/>
                <w:sz w:val="20"/>
                <w:szCs w:val="20"/>
                <w:lang w:eastAsia="en-AU"/>
              </w:rPr>
            </w:pPr>
            <w:r w:rsidRPr="00FB3EAB">
              <w:rPr>
                <w:rFonts w:ascii="Calibri" w:hAnsi="Calibri"/>
                <w:bCs/>
                <w:color w:val="000000"/>
                <w:sz w:val="20"/>
                <w:szCs w:val="20"/>
                <w:lang w:eastAsia="en-AU"/>
              </w:rPr>
              <w:t>New stations for ACT Ambulance Service and ACT Fire &amp; Rescue</w:t>
            </w:r>
          </w:p>
        </w:tc>
        <w:tc>
          <w:tcPr>
            <w:tcW w:w="1156" w:type="dxa"/>
            <w:tcBorders>
              <w:top w:val="nil"/>
              <w:left w:val="nil"/>
              <w:bottom w:val="nil"/>
              <w:right w:val="nil"/>
            </w:tcBorders>
            <w:shd w:val="clear" w:color="auto" w:fill="auto"/>
          </w:tcPr>
          <w:p w14:paraId="15A7A6A5"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939</w:t>
            </w:r>
          </w:p>
        </w:tc>
        <w:tc>
          <w:tcPr>
            <w:tcW w:w="926" w:type="dxa"/>
            <w:tcBorders>
              <w:top w:val="nil"/>
              <w:left w:val="nil"/>
              <w:bottom w:val="nil"/>
              <w:right w:val="nil"/>
            </w:tcBorders>
            <w:shd w:val="clear" w:color="auto" w:fill="auto"/>
          </w:tcPr>
          <w:p w14:paraId="5BB0BD84"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0</w:t>
            </w:r>
          </w:p>
        </w:tc>
        <w:tc>
          <w:tcPr>
            <w:tcW w:w="931" w:type="dxa"/>
            <w:tcBorders>
              <w:top w:val="nil"/>
              <w:left w:val="nil"/>
              <w:bottom w:val="nil"/>
              <w:right w:val="nil"/>
            </w:tcBorders>
            <w:shd w:val="clear" w:color="auto" w:fill="auto"/>
          </w:tcPr>
          <w:p w14:paraId="266345EC"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0</w:t>
            </w:r>
          </w:p>
        </w:tc>
        <w:tc>
          <w:tcPr>
            <w:tcW w:w="921" w:type="dxa"/>
            <w:tcBorders>
              <w:top w:val="nil"/>
              <w:left w:val="nil"/>
              <w:bottom w:val="nil"/>
              <w:right w:val="nil"/>
            </w:tcBorders>
            <w:shd w:val="clear" w:color="auto" w:fill="auto"/>
          </w:tcPr>
          <w:p w14:paraId="497E47D3"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0</w:t>
            </w:r>
          </w:p>
        </w:tc>
        <w:tc>
          <w:tcPr>
            <w:tcW w:w="921" w:type="dxa"/>
            <w:tcBorders>
              <w:top w:val="nil"/>
              <w:left w:val="nil"/>
              <w:bottom w:val="nil"/>
              <w:right w:val="nil"/>
            </w:tcBorders>
            <w:shd w:val="clear" w:color="auto" w:fill="auto"/>
          </w:tcPr>
          <w:p w14:paraId="0C96425F"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939</w:t>
            </w:r>
          </w:p>
        </w:tc>
      </w:tr>
      <w:tr w:rsidR="00FB3EAB" w:rsidRPr="00FB3EAB" w14:paraId="722AC3C2" w14:textId="77777777" w:rsidTr="00546D49">
        <w:trPr>
          <w:trHeight w:val="227"/>
        </w:trPr>
        <w:tc>
          <w:tcPr>
            <w:tcW w:w="4783" w:type="dxa"/>
            <w:gridSpan w:val="2"/>
            <w:tcBorders>
              <w:left w:val="nil"/>
              <w:bottom w:val="nil"/>
              <w:right w:val="nil"/>
            </w:tcBorders>
          </w:tcPr>
          <w:p w14:paraId="02855C73" w14:textId="77777777" w:rsidR="00FB3EAB" w:rsidRPr="00FB3EAB" w:rsidRDefault="00FB3EAB" w:rsidP="00FB3EAB">
            <w:pPr>
              <w:ind w:left="227" w:hanging="227"/>
              <w:rPr>
                <w:rFonts w:ascii="Calibri" w:hAnsi="Calibri"/>
                <w:bCs/>
                <w:color w:val="000000"/>
                <w:sz w:val="20"/>
                <w:szCs w:val="20"/>
                <w:lang w:eastAsia="en-AU"/>
              </w:rPr>
            </w:pPr>
            <w:r w:rsidRPr="00FB3EAB">
              <w:rPr>
                <w:rFonts w:ascii="Calibri" w:hAnsi="Calibri"/>
                <w:bCs/>
                <w:color w:val="000000"/>
                <w:sz w:val="20"/>
                <w:szCs w:val="20"/>
                <w:lang w:eastAsia="en-AU"/>
              </w:rPr>
              <w:t>Rural Fire Service facilities upgrades</w:t>
            </w:r>
          </w:p>
        </w:tc>
        <w:tc>
          <w:tcPr>
            <w:tcW w:w="1156" w:type="dxa"/>
            <w:tcBorders>
              <w:top w:val="nil"/>
              <w:left w:val="nil"/>
              <w:bottom w:val="nil"/>
              <w:right w:val="nil"/>
            </w:tcBorders>
            <w:shd w:val="clear" w:color="auto" w:fill="auto"/>
          </w:tcPr>
          <w:p w14:paraId="51384A2B"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178</w:t>
            </w:r>
          </w:p>
        </w:tc>
        <w:tc>
          <w:tcPr>
            <w:tcW w:w="926" w:type="dxa"/>
            <w:tcBorders>
              <w:top w:val="nil"/>
              <w:left w:val="nil"/>
              <w:bottom w:val="nil"/>
              <w:right w:val="nil"/>
            </w:tcBorders>
            <w:shd w:val="clear" w:color="auto" w:fill="auto"/>
          </w:tcPr>
          <w:p w14:paraId="77823BC5"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0</w:t>
            </w:r>
          </w:p>
        </w:tc>
        <w:tc>
          <w:tcPr>
            <w:tcW w:w="931" w:type="dxa"/>
            <w:tcBorders>
              <w:top w:val="nil"/>
              <w:left w:val="nil"/>
              <w:bottom w:val="nil"/>
              <w:right w:val="nil"/>
            </w:tcBorders>
            <w:shd w:val="clear" w:color="auto" w:fill="auto"/>
          </w:tcPr>
          <w:p w14:paraId="5A3BF7D7"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0</w:t>
            </w:r>
          </w:p>
        </w:tc>
        <w:tc>
          <w:tcPr>
            <w:tcW w:w="921" w:type="dxa"/>
            <w:tcBorders>
              <w:top w:val="nil"/>
              <w:left w:val="nil"/>
              <w:bottom w:val="nil"/>
              <w:right w:val="nil"/>
            </w:tcBorders>
            <w:shd w:val="clear" w:color="auto" w:fill="auto"/>
          </w:tcPr>
          <w:p w14:paraId="499FD5F0"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0</w:t>
            </w:r>
          </w:p>
        </w:tc>
        <w:tc>
          <w:tcPr>
            <w:tcW w:w="921" w:type="dxa"/>
            <w:tcBorders>
              <w:top w:val="nil"/>
              <w:left w:val="nil"/>
              <w:bottom w:val="nil"/>
              <w:right w:val="nil"/>
            </w:tcBorders>
            <w:shd w:val="clear" w:color="auto" w:fill="auto"/>
          </w:tcPr>
          <w:p w14:paraId="13DF2212"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178</w:t>
            </w:r>
          </w:p>
        </w:tc>
      </w:tr>
      <w:tr w:rsidR="00FB3EAB" w:rsidRPr="00FB3EAB" w14:paraId="3E63C742" w14:textId="77777777" w:rsidTr="00546D49">
        <w:trPr>
          <w:trHeight w:val="227"/>
        </w:trPr>
        <w:tc>
          <w:tcPr>
            <w:tcW w:w="4783" w:type="dxa"/>
            <w:gridSpan w:val="2"/>
            <w:tcBorders>
              <w:left w:val="nil"/>
              <w:bottom w:val="nil"/>
              <w:right w:val="nil"/>
            </w:tcBorders>
          </w:tcPr>
          <w:p w14:paraId="6DA4E4A8" w14:textId="77777777" w:rsidR="00FB3EAB" w:rsidRPr="00FB3EAB" w:rsidRDefault="00FB3EAB" w:rsidP="00FB3EAB">
            <w:pPr>
              <w:ind w:left="227" w:hanging="227"/>
              <w:rPr>
                <w:rFonts w:ascii="Calibri" w:hAnsi="Calibri"/>
                <w:bCs/>
                <w:color w:val="000000"/>
                <w:sz w:val="20"/>
                <w:szCs w:val="20"/>
                <w:vertAlign w:val="superscript"/>
                <w:lang w:eastAsia="en-AU"/>
              </w:rPr>
            </w:pPr>
            <w:r w:rsidRPr="00FB3EAB">
              <w:rPr>
                <w:rFonts w:ascii="Calibri" w:hAnsi="Calibri"/>
                <w:bCs/>
                <w:color w:val="000000"/>
                <w:sz w:val="20"/>
                <w:szCs w:val="20"/>
                <w:lang w:eastAsia="en-AU"/>
              </w:rPr>
              <w:t xml:space="preserve">Upgrading essential services at the Alexander Maconochie Centre </w:t>
            </w:r>
            <w:r w:rsidRPr="00FB3EAB">
              <w:rPr>
                <w:rFonts w:ascii="Calibri" w:hAnsi="Calibri"/>
                <w:bCs/>
                <w:color w:val="000000"/>
                <w:sz w:val="20"/>
                <w:szCs w:val="20"/>
                <w:vertAlign w:val="superscript"/>
                <w:lang w:eastAsia="en-AU"/>
              </w:rPr>
              <w:t>2</w:t>
            </w:r>
          </w:p>
        </w:tc>
        <w:tc>
          <w:tcPr>
            <w:tcW w:w="1156" w:type="dxa"/>
            <w:tcBorders>
              <w:top w:val="nil"/>
              <w:left w:val="nil"/>
              <w:bottom w:val="nil"/>
              <w:right w:val="nil"/>
            </w:tcBorders>
            <w:shd w:val="clear" w:color="auto" w:fill="auto"/>
          </w:tcPr>
          <w:p w14:paraId="69E4F28C"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1,204</w:t>
            </w:r>
          </w:p>
        </w:tc>
        <w:tc>
          <w:tcPr>
            <w:tcW w:w="926" w:type="dxa"/>
            <w:tcBorders>
              <w:top w:val="nil"/>
              <w:left w:val="nil"/>
              <w:bottom w:val="nil"/>
              <w:right w:val="nil"/>
            </w:tcBorders>
            <w:shd w:val="clear" w:color="auto" w:fill="auto"/>
          </w:tcPr>
          <w:p w14:paraId="0F39C5E5"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4,340</w:t>
            </w:r>
          </w:p>
        </w:tc>
        <w:tc>
          <w:tcPr>
            <w:tcW w:w="931" w:type="dxa"/>
            <w:tcBorders>
              <w:top w:val="nil"/>
              <w:left w:val="nil"/>
              <w:bottom w:val="nil"/>
              <w:right w:val="nil"/>
            </w:tcBorders>
            <w:shd w:val="clear" w:color="auto" w:fill="auto"/>
          </w:tcPr>
          <w:p w14:paraId="36699E49"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703</w:t>
            </w:r>
          </w:p>
        </w:tc>
        <w:tc>
          <w:tcPr>
            <w:tcW w:w="921" w:type="dxa"/>
            <w:tcBorders>
              <w:top w:val="nil"/>
              <w:left w:val="nil"/>
              <w:bottom w:val="nil"/>
              <w:right w:val="nil"/>
            </w:tcBorders>
            <w:shd w:val="clear" w:color="auto" w:fill="auto"/>
          </w:tcPr>
          <w:p w14:paraId="0CEA23ED"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0</w:t>
            </w:r>
          </w:p>
        </w:tc>
        <w:tc>
          <w:tcPr>
            <w:tcW w:w="921" w:type="dxa"/>
            <w:tcBorders>
              <w:top w:val="nil"/>
              <w:left w:val="nil"/>
              <w:bottom w:val="nil"/>
              <w:right w:val="nil"/>
            </w:tcBorders>
            <w:shd w:val="clear" w:color="auto" w:fill="auto"/>
          </w:tcPr>
          <w:p w14:paraId="0D70E091"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6,247</w:t>
            </w:r>
          </w:p>
        </w:tc>
      </w:tr>
      <w:tr w:rsidR="00FB3EAB" w:rsidRPr="00FB3EAB" w14:paraId="1D9BFAC2" w14:textId="77777777" w:rsidTr="00546D49">
        <w:trPr>
          <w:trHeight w:val="227"/>
        </w:trPr>
        <w:tc>
          <w:tcPr>
            <w:tcW w:w="4783" w:type="dxa"/>
            <w:gridSpan w:val="2"/>
            <w:tcBorders>
              <w:left w:val="nil"/>
              <w:bottom w:val="nil"/>
              <w:right w:val="nil"/>
            </w:tcBorders>
          </w:tcPr>
          <w:p w14:paraId="14E00BBE" w14:textId="77777777" w:rsidR="00FB3EAB" w:rsidRPr="00FB3EAB" w:rsidRDefault="00FB3EAB" w:rsidP="00FB3EAB">
            <w:pPr>
              <w:ind w:left="227" w:hanging="227"/>
              <w:rPr>
                <w:rFonts w:ascii="Calibri" w:hAnsi="Calibri"/>
                <w:bCs/>
                <w:color w:val="000000"/>
                <w:sz w:val="20"/>
                <w:szCs w:val="20"/>
                <w:lang w:eastAsia="en-AU"/>
              </w:rPr>
            </w:pPr>
            <w:r w:rsidRPr="00FB3EAB">
              <w:rPr>
                <w:rFonts w:ascii="Calibri" w:hAnsi="Calibri"/>
                <w:bCs/>
                <w:color w:val="000000"/>
                <w:sz w:val="20"/>
                <w:szCs w:val="20"/>
                <w:lang w:eastAsia="en-AU"/>
              </w:rPr>
              <w:t xml:space="preserve">Upgrading the ACT State Emergency Service’s Majura Unit facility </w:t>
            </w:r>
          </w:p>
        </w:tc>
        <w:tc>
          <w:tcPr>
            <w:tcW w:w="1156" w:type="dxa"/>
            <w:tcBorders>
              <w:top w:val="nil"/>
              <w:left w:val="nil"/>
              <w:bottom w:val="nil"/>
              <w:right w:val="nil"/>
            </w:tcBorders>
            <w:shd w:val="clear" w:color="auto" w:fill="auto"/>
          </w:tcPr>
          <w:p w14:paraId="722F268D"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266</w:t>
            </w:r>
          </w:p>
        </w:tc>
        <w:tc>
          <w:tcPr>
            <w:tcW w:w="926" w:type="dxa"/>
            <w:tcBorders>
              <w:top w:val="nil"/>
              <w:left w:val="nil"/>
              <w:bottom w:val="nil"/>
              <w:right w:val="nil"/>
            </w:tcBorders>
            <w:shd w:val="clear" w:color="auto" w:fill="auto"/>
          </w:tcPr>
          <w:p w14:paraId="15E6E7B6"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1,246</w:t>
            </w:r>
          </w:p>
        </w:tc>
        <w:tc>
          <w:tcPr>
            <w:tcW w:w="931" w:type="dxa"/>
            <w:tcBorders>
              <w:top w:val="nil"/>
              <w:left w:val="nil"/>
              <w:bottom w:val="nil"/>
              <w:right w:val="nil"/>
            </w:tcBorders>
            <w:shd w:val="clear" w:color="auto" w:fill="auto"/>
          </w:tcPr>
          <w:p w14:paraId="5653E797"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0</w:t>
            </w:r>
          </w:p>
        </w:tc>
        <w:tc>
          <w:tcPr>
            <w:tcW w:w="921" w:type="dxa"/>
            <w:tcBorders>
              <w:top w:val="nil"/>
              <w:left w:val="nil"/>
              <w:bottom w:val="nil"/>
              <w:right w:val="nil"/>
            </w:tcBorders>
            <w:shd w:val="clear" w:color="auto" w:fill="auto"/>
          </w:tcPr>
          <w:p w14:paraId="6BE867B7"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0</w:t>
            </w:r>
          </w:p>
        </w:tc>
        <w:tc>
          <w:tcPr>
            <w:tcW w:w="921" w:type="dxa"/>
            <w:tcBorders>
              <w:top w:val="nil"/>
              <w:left w:val="nil"/>
              <w:bottom w:val="nil"/>
              <w:right w:val="nil"/>
            </w:tcBorders>
            <w:shd w:val="clear" w:color="auto" w:fill="auto"/>
          </w:tcPr>
          <w:p w14:paraId="4DDFCBD8"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1,512</w:t>
            </w:r>
          </w:p>
        </w:tc>
      </w:tr>
      <w:tr w:rsidR="00FB3EAB" w:rsidRPr="00FB3EAB" w14:paraId="345DEA6D" w14:textId="77777777" w:rsidTr="00546D49">
        <w:trPr>
          <w:trHeight w:val="227"/>
        </w:trPr>
        <w:tc>
          <w:tcPr>
            <w:tcW w:w="4783" w:type="dxa"/>
            <w:gridSpan w:val="2"/>
            <w:tcBorders>
              <w:left w:val="nil"/>
              <w:bottom w:val="nil"/>
              <w:right w:val="nil"/>
            </w:tcBorders>
          </w:tcPr>
          <w:p w14:paraId="03EF9D6D" w14:textId="77777777" w:rsidR="00FB3EAB" w:rsidRPr="00FB3EAB" w:rsidRDefault="00FB3EAB" w:rsidP="00FB3EAB">
            <w:pPr>
              <w:ind w:left="227" w:hanging="227"/>
              <w:rPr>
                <w:rFonts w:ascii="Calibri" w:hAnsi="Calibri"/>
                <w:bCs/>
                <w:color w:val="000000"/>
                <w:sz w:val="20"/>
                <w:szCs w:val="20"/>
                <w:lang w:eastAsia="en-AU"/>
              </w:rPr>
            </w:pPr>
          </w:p>
        </w:tc>
        <w:tc>
          <w:tcPr>
            <w:tcW w:w="1156" w:type="dxa"/>
            <w:tcBorders>
              <w:top w:val="nil"/>
              <w:left w:val="nil"/>
              <w:bottom w:val="nil"/>
              <w:right w:val="nil"/>
            </w:tcBorders>
            <w:shd w:val="clear" w:color="auto" w:fill="auto"/>
          </w:tcPr>
          <w:p w14:paraId="1A7713E0" w14:textId="77777777" w:rsidR="00FB3EAB" w:rsidRPr="00FB3EAB" w:rsidRDefault="00FB3EAB" w:rsidP="00FB3EAB">
            <w:pPr>
              <w:ind w:left="227" w:hanging="227"/>
              <w:jc w:val="right"/>
              <w:rPr>
                <w:rFonts w:ascii="Calibri" w:hAnsi="Calibri"/>
                <w:sz w:val="20"/>
                <w:szCs w:val="24"/>
                <w:lang w:val="x-none" w:eastAsia="en-US"/>
              </w:rPr>
            </w:pPr>
          </w:p>
        </w:tc>
        <w:tc>
          <w:tcPr>
            <w:tcW w:w="926" w:type="dxa"/>
            <w:tcBorders>
              <w:top w:val="nil"/>
              <w:left w:val="nil"/>
              <w:bottom w:val="nil"/>
              <w:right w:val="nil"/>
            </w:tcBorders>
            <w:shd w:val="clear" w:color="auto" w:fill="auto"/>
          </w:tcPr>
          <w:p w14:paraId="65423178" w14:textId="77777777" w:rsidR="00FB3EAB" w:rsidRPr="00FB3EAB" w:rsidRDefault="00FB3EAB" w:rsidP="00FB3EAB">
            <w:pPr>
              <w:ind w:left="227" w:hanging="227"/>
              <w:jc w:val="right"/>
              <w:rPr>
                <w:rFonts w:ascii="Calibri" w:hAnsi="Calibri"/>
                <w:sz w:val="20"/>
                <w:szCs w:val="24"/>
                <w:lang w:val="x-none" w:eastAsia="en-US"/>
              </w:rPr>
            </w:pPr>
          </w:p>
        </w:tc>
        <w:tc>
          <w:tcPr>
            <w:tcW w:w="931" w:type="dxa"/>
            <w:tcBorders>
              <w:top w:val="nil"/>
              <w:left w:val="nil"/>
              <w:bottom w:val="nil"/>
              <w:right w:val="nil"/>
            </w:tcBorders>
            <w:shd w:val="clear" w:color="auto" w:fill="auto"/>
          </w:tcPr>
          <w:p w14:paraId="3770B22B" w14:textId="77777777" w:rsidR="00FB3EAB" w:rsidRPr="00FB3EAB" w:rsidRDefault="00FB3EAB" w:rsidP="00FB3EAB">
            <w:pPr>
              <w:ind w:left="227" w:hanging="227"/>
              <w:jc w:val="right"/>
              <w:rPr>
                <w:rFonts w:ascii="Calibri" w:hAnsi="Calibri"/>
                <w:sz w:val="20"/>
                <w:szCs w:val="24"/>
                <w:lang w:val="x-none" w:eastAsia="en-US"/>
              </w:rPr>
            </w:pPr>
          </w:p>
        </w:tc>
        <w:tc>
          <w:tcPr>
            <w:tcW w:w="921" w:type="dxa"/>
            <w:tcBorders>
              <w:top w:val="nil"/>
              <w:left w:val="nil"/>
              <w:bottom w:val="nil"/>
              <w:right w:val="nil"/>
            </w:tcBorders>
            <w:shd w:val="clear" w:color="auto" w:fill="auto"/>
          </w:tcPr>
          <w:p w14:paraId="796FF2D6" w14:textId="77777777" w:rsidR="00FB3EAB" w:rsidRPr="00FB3EAB" w:rsidRDefault="00FB3EAB" w:rsidP="00FB3EAB">
            <w:pPr>
              <w:ind w:left="227" w:hanging="227"/>
              <w:jc w:val="right"/>
              <w:rPr>
                <w:rFonts w:ascii="Calibri" w:hAnsi="Calibri"/>
                <w:sz w:val="20"/>
                <w:szCs w:val="24"/>
                <w:lang w:val="x-none" w:eastAsia="en-US"/>
              </w:rPr>
            </w:pPr>
          </w:p>
        </w:tc>
        <w:tc>
          <w:tcPr>
            <w:tcW w:w="921" w:type="dxa"/>
            <w:tcBorders>
              <w:top w:val="nil"/>
              <w:left w:val="nil"/>
              <w:bottom w:val="nil"/>
              <w:right w:val="nil"/>
            </w:tcBorders>
            <w:shd w:val="clear" w:color="auto" w:fill="auto"/>
          </w:tcPr>
          <w:p w14:paraId="56C3E610" w14:textId="77777777" w:rsidR="00FB3EAB" w:rsidRPr="00FB3EAB" w:rsidRDefault="00FB3EAB" w:rsidP="00FB3EAB">
            <w:pPr>
              <w:ind w:left="227" w:hanging="227"/>
              <w:jc w:val="right"/>
              <w:rPr>
                <w:rFonts w:ascii="Calibri" w:hAnsi="Calibri"/>
                <w:sz w:val="20"/>
                <w:szCs w:val="24"/>
                <w:lang w:val="x-none" w:eastAsia="en-US"/>
              </w:rPr>
            </w:pPr>
          </w:p>
        </w:tc>
      </w:tr>
      <w:tr w:rsidR="00FB3EAB" w:rsidRPr="00FB3EAB" w14:paraId="30626179" w14:textId="77777777" w:rsidTr="00546D49">
        <w:trPr>
          <w:trHeight w:val="227"/>
        </w:trPr>
        <w:tc>
          <w:tcPr>
            <w:tcW w:w="4783" w:type="dxa"/>
            <w:gridSpan w:val="2"/>
            <w:tcBorders>
              <w:left w:val="nil"/>
              <w:bottom w:val="nil"/>
              <w:right w:val="nil"/>
            </w:tcBorders>
          </w:tcPr>
          <w:p w14:paraId="11F71FAF" w14:textId="77777777" w:rsidR="00FB3EAB" w:rsidRPr="00FB3EAB" w:rsidRDefault="00FB3EAB" w:rsidP="00FB3EAB">
            <w:pPr>
              <w:ind w:left="227" w:hanging="227"/>
              <w:rPr>
                <w:rFonts w:ascii="Calibri" w:hAnsi="Calibri"/>
                <w:bCs/>
                <w:color w:val="000000"/>
                <w:sz w:val="20"/>
                <w:szCs w:val="20"/>
                <w:lang w:eastAsia="en-AU"/>
              </w:rPr>
            </w:pPr>
            <w:r w:rsidRPr="00FB3EAB">
              <w:rPr>
                <w:rFonts w:ascii="Calibri" w:hAnsi="Calibri"/>
                <w:bCs/>
                <w:i/>
                <w:sz w:val="20"/>
                <w:szCs w:val="20"/>
                <w:lang w:eastAsia="en-AU"/>
              </w:rPr>
              <w:t>Plant and equipment</w:t>
            </w:r>
          </w:p>
        </w:tc>
        <w:tc>
          <w:tcPr>
            <w:tcW w:w="1156" w:type="dxa"/>
            <w:tcBorders>
              <w:left w:val="nil"/>
              <w:bottom w:val="nil"/>
              <w:right w:val="nil"/>
            </w:tcBorders>
          </w:tcPr>
          <w:p w14:paraId="50872602" w14:textId="77777777" w:rsidR="00FB3EAB" w:rsidRPr="00FB3EAB" w:rsidRDefault="00FB3EAB" w:rsidP="00FB3EAB">
            <w:pPr>
              <w:ind w:left="227" w:hanging="227"/>
              <w:jc w:val="right"/>
              <w:rPr>
                <w:rFonts w:ascii="Calibri" w:hAnsi="Calibri"/>
                <w:sz w:val="20"/>
                <w:szCs w:val="24"/>
                <w:lang w:val="x-none" w:eastAsia="en-US"/>
              </w:rPr>
            </w:pPr>
          </w:p>
        </w:tc>
        <w:tc>
          <w:tcPr>
            <w:tcW w:w="926" w:type="dxa"/>
            <w:tcBorders>
              <w:left w:val="nil"/>
              <w:bottom w:val="nil"/>
              <w:right w:val="nil"/>
            </w:tcBorders>
          </w:tcPr>
          <w:p w14:paraId="6BCA05B9" w14:textId="77777777" w:rsidR="00FB3EAB" w:rsidRPr="00FB3EAB" w:rsidRDefault="00FB3EAB" w:rsidP="00FB3EAB">
            <w:pPr>
              <w:ind w:left="227" w:hanging="227"/>
              <w:jc w:val="right"/>
              <w:rPr>
                <w:rFonts w:ascii="Calibri" w:hAnsi="Calibri"/>
                <w:sz w:val="20"/>
                <w:szCs w:val="24"/>
                <w:lang w:val="x-none" w:eastAsia="en-US"/>
              </w:rPr>
            </w:pPr>
          </w:p>
        </w:tc>
        <w:tc>
          <w:tcPr>
            <w:tcW w:w="931" w:type="dxa"/>
            <w:tcBorders>
              <w:left w:val="nil"/>
              <w:bottom w:val="nil"/>
              <w:right w:val="nil"/>
            </w:tcBorders>
          </w:tcPr>
          <w:p w14:paraId="404A72BB" w14:textId="77777777" w:rsidR="00FB3EAB" w:rsidRPr="00FB3EAB" w:rsidRDefault="00FB3EAB" w:rsidP="00FB3EAB">
            <w:pPr>
              <w:ind w:left="227" w:hanging="227"/>
              <w:jc w:val="right"/>
              <w:rPr>
                <w:rFonts w:ascii="Calibri" w:hAnsi="Calibri"/>
                <w:sz w:val="20"/>
                <w:szCs w:val="24"/>
                <w:lang w:val="x-none" w:eastAsia="en-US"/>
              </w:rPr>
            </w:pPr>
          </w:p>
        </w:tc>
        <w:tc>
          <w:tcPr>
            <w:tcW w:w="921" w:type="dxa"/>
            <w:tcBorders>
              <w:left w:val="nil"/>
              <w:bottom w:val="nil"/>
              <w:right w:val="nil"/>
            </w:tcBorders>
          </w:tcPr>
          <w:p w14:paraId="032058C3" w14:textId="77777777" w:rsidR="00FB3EAB" w:rsidRPr="00FB3EAB" w:rsidRDefault="00FB3EAB" w:rsidP="00FB3EAB">
            <w:pPr>
              <w:ind w:left="227" w:hanging="227"/>
              <w:jc w:val="right"/>
              <w:rPr>
                <w:rFonts w:ascii="Calibri" w:hAnsi="Calibri"/>
                <w:sz w:val="20"/>
                <w:szCs w:val="24"/>
                <w:lang w:val="x-none" w:eastAsia="en-US"/>
              </w:rPr>
            </w:pPr>
          </w:p>
        </w:tc>
        <w:tc>
          <w:tcPr>
            <w:tcW w:w="921" w:type="dxa"/>
            <w:tcBorders>
              <w:left w:val="nil"/>
              <w:bottom w:val="nil"/>
              <w:right w:val="nil"/>
            </w:tcBorders>
          </w:tcPr>
          <w:p w14:paraId="0AF9E8BD" w14:textId="77777777" w:rsidR="00FB3EAB" w:rsidRPr="00FB3EAB" w:rsidRDefault="00FB3EAB" w:rsidP="00FB3EAB">
            <w:pPr>
              <w:ind w:left="227" w:hanging="227"/>
              <w:jc w:val="right"/>
              <w:rPr>
                <w:rFonts w:ascii="Calibri" w:hAnsi="Calibri"/>
                <w:sz w:val="20"/>
                <w:szCs w:val="24"/>
                <w:lang w:val="x-none" w:eastAsia="en-US"/>
              </w:rPr>
            </w:pPr>
          </w:p>
        </w:tc>
      </w:tr>
      <w:tr w:rsidR="00FB3EAB" w:rsidRPr="00FB3EAB" w14:paraId="7146B4E2" w14:textId="77777777" w:rsidTr="0064087C">
        <w:trPr>
          <w:trHeight w:val="227"/>
        </w:trPr>
        <w:tc>
          <w:tcPr>
            <w:tcW w:w="4783" w:type="dxa"/>
            <w:gridSpan w:val="2"/>
            <w:tcBorders>
              <w:left w:val="nil"/>
              <w:bottom w:val="single" w:sz="4" w:space="0" w:color="auto"/>
              <w:right w:val="nil"/>
            </w:tcBorders>
          </w:tcPr>
          <w:p w14:paraId="49421C04" w14:textId="77777777" w:rsidR="00FB3EAB" w:rsidRPr="00FB3EAB" w:rsidRDefault="00FB3EAB" w:rsidP="00FB3EAB">
            <w:pPr>
              <w:ind w:left="227" w:hanging="227"/>
              <w:rPr>
                <w:rFonts w:ascii="Calibri" w:hAnsi="Calibri"/>
                <w:bCs/>
                <w:color w:val="000000"/>
                <w:sz w:val="20"/>
                <w:szCs w:val="20"/>
                <w:lang w:eastAsia="en-AU"/>
              </w:rPr>
            </w:pPr>
            <w:r w:rsidRPr="00FB3EAB">
              <w:rPr>
                <w:rFonts w:ascii="Calibri" w:hAnsi="Calibri"/>
                <w:bCs/>
                <w:color w:val="000000"/>
                <w:sz w:val="20"/>
                <w:szCs w:val="20"/>
                <w:lang w:eastAsia="en-AU"/>
              </w:rPr>
              <w:t xml:space="preserve">Boosting equipment for the ACT Emergency Services Agency </w:t>
            </w:r>
          </w:p>
        </w:tc>
        <w:tc>
          <w:tcPr>
            <w:tcW w:w="1156" w:type="dxa"/>
            <w:tcBorders>
              <w:top w:val="nil"/>
              <w:left w:val="nil"/>
              <w:bottom w:val="single" w:sz="4" w:space="0" w:color="auto"/>
              <w:right w:val="nil"/>
            </w:tcBorders>
            <w:shd w:val="clear" w:color="auto" w:fill="auto"/>
          </w:tcPr>
          <w:p w14:paraId="08399179"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1,200</w:t>
            </w:r>
          </w:p>
        </w:tc>
        <w:tc>
          <w:tcPr>
            <w:tcW w:w="926" w:type="dxa"/>
            <w:tcBorders>
              <w:top w:val="nil"/>
              <w:left w:val="nil"/>
              <w:bottom w:val="single" w:sz="4" w:space="0" w:color="auto"/>
              <w:right w:val="nil"/>
            </w:tcBorders>
            <w:shd w:val="clear" w:color="auto" w:fill="auto"/>
          </w:tcPr>
          <w:p w14:paraId="238E79D1"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1,874</w:t>
            </w:r>
          </w:p>
        </w:tc>
        <w:tc>
          <w:tcPr>
            <w:tcW w:w="931" w:type="dxa"/>
            <w:tcBorders>
              <w:top w:val="nil"/>
              <w:left w:val="nil"/>
              <w:bottom w:val="single" w:sz="4" w:space="0" w:color="auto"/>
              <w:right w:val="nil"/>
            </w:tcBorders>
            <w:shd w:val="clear" w:color="auto" w:fill="auto"/>
          </w:tcPr>
          <w:p w14:paraId="2BE41CDF"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0</w:t>
            </w:r>
          </w:p>
        </w:tc>
        <w:tc>
          <w:tcPr>
            <w:tcW w:w="921" w:type="dxa"/>
            <w:tcBorders>
              <w:top w:val="nil"/>
              <w:left w:val="nil"/>
              <w:bottom w:val="single" w:sz="4" w:space="0" w:color="auto"/>
              <w:right w:val="nil"/>
            </w:tcBorders>
            <w:shd w:val="clear" w:color="auto" w:fill="auto"/>
          </w:tcPr>
          <w:p w14:paraId="69345799"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0</w:t>
            </w:r>
          </w:p>
        </w:tc>
        <w:tc>
          <w:tcPr>
            <w:tcW w:w="921" w:type="dxa"/>
            <w:tcBorders>
              <w:top w:val="nil"/>
              <w:left w:val="nil"/>
              <w:bottom w:val="single" w:sz="4" w:space="0" w:color="auto"/>
              <w:right w:val="nil"/>
            </w:tcBorders>
            <w:shd w:val="clear" w:color="auto" w:fill="auto"/>
          </w:tcPr>
          <w:p w14:paraId="18117874" w14:textId="77777777" w:rsidR="00FB3EAB" w:rsidRPr="00FB3EAB" w:rsidRDefault="00FB3EAB" w:rsidP="00FB3EAB">
            <w:pPr>
              <w:ind w:left="227" w:hanging="227"/>
              <w:jc w:val="right"/>
              <w:rPr>
                <w:rFonts w:ascii="Calibri" w:hAnsi="Calibri"/>
                <w:sz w:val="20"/>
                <w:szCs w:val="24"/>
                <w:lang w:val="x-none" w:eastAsia="en-US"/>
              </w:rPr>
            </w:pPr>
            <w:r w:rsidRPr="00FB3EAB">
              <w:rPr>
                <w:rFonts w:ascii="Calibri" w:hAnsi="Calibri"/>
                <w:sz w:val="20"/>
                <w:szCs w:val="24"/>
                <w:lang w:val="x-none" w:eastAsia="en-US"/>
              </w:rPr>
              <w:t>3,074</w:t>
            </w:r>
          </w:p>
        </w:tc>
      </w:tr>
      <w:tr w:rsidR="00FB3EAB" w:rsidRPr="00FB3EAB" w14:paraId="4AA6F5D0" w14:textId="77777777" w:rsidTr="0064087C">
        <w:trPr>
          <w:trHeight w:val="227"/>
        </w:trPr>
        <w:tc>
          <w:tcPr>
            <w:tcW w:w="4783" w:type="dxa"/>
            <w:gridSpan w:val="2"/>
            <w:tcBorders>
              <w:top w:val="single" w:sz="4" w:space="0" w:color="auto"/>
              <w:left w:val="nil"/>
              <w:bottom w:val="single" w:sz="4" w:space="0" w:color="auto"/>
              <w:right w:val="nil"/>
            </w:tcBorders>
          </w:tcPr>
          <w:p w14:paraId="40962B87" w14:textId="77777777" w:rsidR="00FB3EAB" w:rsidRPr="00FB3EAB" w:rsidRDefault="00FB3EAB" w:rsidP="00FB3EAB">
            <w:pPr>
              <w:ind w:left="227" w:hanging="227"/>
              <w:jc w:val="right"/>
              <w:rPr>
                <w:rFonts w:ascii="Calibri" w:hAnsi="Calibri"/>
                <w:b/>
                <w:sz w:val="20"/>
                <w:szCs w:val="24"/>
                <w:lang w:val="x-none" w:eastAsia="en-US"/>
              </w:rPr>
            </w:pPr>
            <w:r w:rsidRPr="00FB3EAB">
              <w:rPr>
                <w:rFonts w:ascii="Calibri" w:hAnsi="Calibri"/>
                <w:b/>
                <w:sz w:val="20"/>
                <w:szCs w:val="24"/>
                <w:lang w:val="x-none" w:eastAsia="en-US"/>
              </w:rPr>
              <w:t>Total</w:t>
            </w:r>
          </w:p>
        </w:tc>
        <w:tc>
          <w:tcPr>
            <w:tcW w:w="1156" w:type="dxa"/>
            <w:tcBorders>
              <w:top w:val="single" w:sz="4" w:space="0" w:color="auto"/>
              <w:left w:val="nil"/>
              <w:bottom w:val="single" w:sz="4" w:space="0" w:color="auto"/>
              <w:right w:val="nil"/>
            </w:tcBorders>
            <w:shd w:val="clear" w:color="auto" w:fill="auto"/>
          </w:tcPr>
          <w:p w14:paraId="5C10A365" w14:textId="77777777" w:rsidR="00FB3EAB" w:rsidRPr="00FB3EAB" w:rsidRDefault="00FB3EAB" w:rsidP="00FB3EAB">
            <w:pPr>
              <w:ind w:left="227" w:hanging="227"/>
              <w:jc w:val="right"/>
              <w:rPr>
                <w:rFonts w:ascii="Calibri" w:hAnsi="Calibri"/>
                <w:b/>
                <w:sz w:val="20"/>
                <w:szCs w:val="24"/>
                <w:lang w:val="x-none" w:eastAsia="en-US"/>
              </w:rPr>
            </w:pPr>
            <w:r w:rsidRPr="00FB3EAB">
              <w:rPr>
                <w:rFonts w:ascii="Calibri" w:hAnsi="Calibri"/>
                <w:b/>
                <w:sz w:val="20"/>
                <w:szCs w:val="24"/>
                <w:lang w:val="x-none" w:eastAsia="en-US"/>
              </w:rPr>
              <w:t>6,490</w:t>
            </w:r>
          </w:p>
        </w:tc>
        <w:tc>
          <w:tcPr>
            <w:tcW w:w="926" w:type="dxa"/>
            <w:tcBorders>
              <w:top w:val="single" w:sz="4" w:space="0" w:color="auto"/>
              <w:left w:val="nil"/>
              <w:bottom w:val="single" w:sz="4" w:space="0" w:color="auto"/>
              <w:right w:val="nil"/>
            </w:tcBorders>
            <w:shd w:val="clear" w:color="auto" w:fill="auto"/>
          </w:tcPr>
          <w:p w14:paraId="0559533B" w14:textId="77777777" w:rsidR="00FB3EAB" w:rsidRPr="00FB3EAB" w:rsidRDefault="00FB3EAB" w:rsidP="00FB3EAB">
            <w:pPr>
              <w:ind w:left="227" w:hanging="227"/>
              <w:jc w:val="right"/>
              <w:rPr>
                <w:rFonts w:ascii="Calibri" w:hAnsi="Calibri"/>
                <w:b/>
                <w:sz w:val="20"/>
                <w:szCs w:val="24"/>
                <w:lang w:val="x-none" w:eastAsia="en-US"/>
              </w:rPr>
            </w:pPr>
            <w:r w:rsidRPr="00FB3EAB">
              <w:rPr>
                <w:rFonts w:ascii="Calibri" w:hAnsi="Calibri"/>
                <w:b/>
                <w:sz w:val="20"/>
                <w:szCs w:val="24"/>
                <w:lang w:val="x-none" w:eastAsia="en-US"/>
              </w:rPr>
              <w:t>38,641</w:t>
            </w:r>
          </w:p>
        </w:tc>
        <w:tc>
          <w:tcPr>
            <w:tcW w:w="931" w:type="dxa"/>
            <w:tcBorders>
              <w:top w:val="single" w:sz="4" w:space="0" w:color="auto"/>
              <w:left w:val="nil"/>
              <w:bottom w:val="single" w:sz="4" w:space="0" w:color="auto"/>
              <w:right w:val="nil"/>
            </w:tcBorders>
            <w:shd w:val="clear" w:color="auto" w:fill="auto"/>
          </w:tcPr>
          <w:p w14:paraId="4EDAA35F" w14:textId="77777777" w:rsidR="00FB3EAB" w:rsidRPr="00FB3EAB" w:rsidRDefault="00FB3EAB" w:rsidP="00FB3EAB">
            <w:pPr>
              <w:ind w:left="227" w:hanging="227"/>
              <w:jc w:val="right"/>
              <w:rPr>
                <w:rFonts w:ascii="Calibri" w:hAnsi="Calibri"/>
                <w:b/>
                <w:sz w:val="20"/>
                <w:szCs w:val="24"/>
                <w:lang w:val="x-none" w:eastAsia="en-US"/>
              </w:rPr>
            </w:pPr>
            <w:r w:rsidRPr="00FB3EAB">
              <w:rPr>
                <w:rFonts w:ascii="Calibri" w:hAnsi="Calibri"/>
                <w:b/>
                <w:sz w:val="20"/>
                <w:szCs w:val="24"/>
                <w:lang w:val="x-none" w:eastAsia="en-US"/>
              </w:rPr>
              <w:t>10,757</w:t>
            </w:r>
          </w:p>
        </w:tc>
        <w:tc>
          <w:tcPr>
            <w:tcW w:w="921" w:type="dxa"/>
            <w:tcBorders>
              <w:top w:val="single" w:sz="4" w:space="0" w:color="auto"/>
              <w:left w:val="nil"/>
              <w:bottom w:val="single" w:sz="4" w:space="0" w:color="auto"/>
              <w:right w:val="nil"/>
            </w:tcBorders>
            <w:shd w:val="clear" w:color="auto" w:fill="auto"/>
          </w:tcPr>
          <w:p w14:paraId="34BA6268" w14:textId="77777777" w:rsidR="00FB3EAB" w:rsidRPr="00FB3EAB" w:rsidRDefault="00FB3EAB" w:rsidP="00FB3EAB">
            <w:pPr>
              <w:ind w:left="227" w:hanging="227"/>
              <w:jc w:val="right"/>
              <w:rPr>
                <w:rFonts w:ascii="Calibri" w:hAnsi="Calibri"/>
                <w:b/>
                <w:sz w:val="20"/>
                <w:szCs w:val="24"/>
                <w:lang w:val="x-none" w:eastAsia="en-US"/>
              </w:rPr>
            </w:pPr>
            <w:r w:rsidRPr="00FB3EAB">
              <w:rPr>
                <w:rFonts w:ascii="Calibri" w:hAnsi="Calibri"/>
                <w:b/>
                <w:sz w:val="20"/>
                <w:szCs w:val="24"/>
                <w:lang w:val="x-none" w:eastAsia="en-US"/>
              </w:rPr>
              <w:t>225</w:t>
            </w:r>
          </w:p>
        </w:tc>
        <w:tc>
          <w:tcPr>
            <w:tcW w:w="921" w:type="dxa"/>
            <w:tcBorders>
              <w:top w:val="single" w:sz="4" w:space="0" w:color="auto"/>
              <w:left w:val="nil"/>
              <w:bottom w:val="single" w:sz="4" w:space="0" w:color="auto"/>
              <w:right w:val="nil"/>
            </w:tcBorders>
            <w:shd w:val="clear" w:color="auto" w:fill="auto"/>
          </w:tcPr>
          <w:p w14:paraId="6D5E0306" w14:textId="77777777" w:rsidR="00FB3EAB" w:rsidRPr="00FB3EAB" w:rsidRDefault="00FB3EAB" w:rsidP="00FB3EAB">
            <w:pPr>
              <w:ind w:left="227" w:hanging="227"/>
              <w:jc w:val="right"/>
              <w:rPr>
                <w:rFonts w:ascii="Calibri" w:hAnsi="Calibri"/>
                <w:b/>
                <w:sz w:val="20"/>
                <w:szCs w:val="24"/>
                <w:lang w:val="x-none" w:eastAsia="en-US"/>
              </w:rPr>
            </w:pPr>
            <w:r w:rsidRPr="00FB3EAB">
              <w:rPr>
                <w:rFonts w:ascii="Calibri" w:hAnsi="Calibri"/>
                <w:b/>
                <w:sz w:val="20"/>
                <w:szCs w:val="24"/>
                <w:lang w:val="x-none" w:eastAsia="en-US"/>
              </w:rPr>
              <w:t>56,113</w:t>
            </w:r>
          </w:p>
        </w:tc>
      </w:tr>
    </w:tbl>
    <w:p w14:paraId="2847C59B" w14:textId="77777777" w:rsidR="00FB3EAB" w:rsidRPr="00FB3EAB" w:rsidRDefault="00FB3EAB" w:rsidP="00FD1D5C">
      <w:pPr>
        <w:pStyle w:val="snapNotesheading"/>
        <w:rPr>
          <w:b w:val="0"/>
        </w:rPr>
      </w:pPr>
      <w:r w:rsidRPr="00FB3EAB">
        <w:t xml:space="preserve">Notes: </w:t>
      </w:r>
    </w:p>
    <w:p w14:paraId="682D28C7" w14:textId="5DE32274" w:rsidR="00FB3EAB" w:rsidRPr="00FB3EAB" w:rsidRDefault="00FB3EAB" w:rsidP="00FD1D5C">
      <w:pPr>
        <w:pStyle w:val="snapNotesbody"/>
      </w:pPr>
      <w:r w:rsidRPr="00FB3EAB">
        <w:rPr>
          <w:lang w:val="en-US"/>
        </w:rPr>
        <w:t xml:space="preserve">2. </w:t>
      </w:r>
      <w:r w:rsidRPr="00FB3EAB">
        <w:t>This initiative has an expense component; this is listed in the summary table in Expense initiatives (Chapter 3.2).</w:t>
      </w:r>
    </w:p>
    <w:p w14:paraId="278254E1" w14:textId="77777777" w:rsidR="00FB3EAB" w:rsidRPr="00FB3EAB" w:rsidRDefault="00FB3EAB" w:rsidP="00FD1D5C">
      <w:pPr>
        <w:pStyle w:val="Heading2"/>
        <w:rPr>
          <w:b w:val="0"/>
        </w:rPr>
      </w:pPr>
      <w:r w:rsidRPr="00FB3EAB">
        <w:t>Selected Initiatives</w:t>
      </w:r>
    </w:p>
    <w:p w14:paraId="4DFEF582" w14:textId="2A8F4777" w:rsidR="00FB3EAB" w:rsidRPr="007A3A72" w:rsidRDefault="00FB3EAB" w:rsidP="007A3A72">
      <w:pPr>
        <w:pStyle w:val="Heading3"/>
      </w:pPr>
      <w:r w:rsidRPr="007A3A72">
        <w:t xml:space="preserve">Expense </w:t>
      </w:r>
      <w:r w:rsidR="00B2594F">
        <w:t>I</w:t>
      </w:r>
      <w:r w:rsidRPr="007A3A72">
        <w:t>nitiatives</w:t>
      </w:r>
    </w:p>
    <w:p w14:paraId="491D57CA" w14:textId="77777777" w:rsidR="00FB3EAB" w:rsidRPr="00202E81" w:rsidRDefault="00FB3EAB" w:rsidP="00202E81">
      <w:pPr>
        <w:pStyle w:val="snapInittitles"/>
      </w:pPr>
      <w:r w:rsidRPr="00202E81">
        <w:t xml:space="preserve">Better supporting vulnerable witnesses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FB3EAB" w:rsidRPr="00866299" w14:paraId="3DC4083F" w14:textId="77777777" w:rsidTr="00FD1D5C">
        <w:trPr>
          <w:cantSplit/>
        </w:trPr>
        <w:tc>
          <w:tcPr>
            <w:tcW w:w="3652" w:type="dxa"/>
            <w:tcBorders>
              <w:top w:val="single" w:sz="4" w:space="0" w:color="auto"/>
              <w:bottom w:val="single" w:sz="4" w:space="0" w:color="auto"/>
            </w:tcBorders>
          </w:tcPr>
          <w:p w14:paraId="05BDB8E1" w14:textId="77777777" w:rsidR="00FB3EAB" w:rsidRPr="00866299" w:rsidRDefault="00FB3EAB" w:rsidP="00FB3EAB">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5A6A30B5"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2019-20</w:t>
            </w:r>
          </w:p>
          <w:p w14:paraId="36DB6699"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19FBC311"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2020-21</w:t>
            </w:r>
          </w:p>
          <w:p w14:paraId="6A772197"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7508375"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2021-22</w:t>
            </w:r>
          </w:p>
          <w:p w14:paraId="66D00508"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555DE28A"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2022-23</w:t>
            </w:r>
          </w:p>
          <w:p w14:paraId="0DC8B1C9"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75923D7"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Total</w:t>
            </w:r>
          </w:p>
          <w:p w14:paraId="61C0D54E"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$’000</w:t>
            </w:r>
          </w:p>
        </w:tc>
      </w:tr>
      <w:tr w:rsidR="00FB3EAB" w:rsidRPr="00866299" w14:paraId="6FD77155" w14:textId="77777777" w:rsidTr="00FD1D5C">
        <w:trPr>
          <w:cantSplit/>
        </w:trPr>
        <w:tc>
          <w:tcPr>
            <w:tcW w:w="3652" w:type="dxa"/>
            <w:tcBorders>
              <w:top w:val="single" w:sz="4" w:space="0" w:color="auto"/>
            </w:tcBorders>
          </w:tcPr>
          <w:p w14:paraId="247D3CD8" w14:textId="77777777" w:rsidR="00FB3EAB" w:rsidRPr="00866299" w:rsidRDefault="00FB3EAB" w:rsidP="00FB3EAB">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tcBorders>
          </w:tcPr>
          <w:p w14:paraId="7393E9C8"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929</w:t>
            </w:r>
          </w:p>
        </w:tc>
        <w:tc>
          <w:tcPr>
            <w:tcW w:w="1041" w:type="dxa"/>
            <w:tcBorders>
              <w:top w:val="single" w:sz="4" w:space="0" w:color="auto"/>
            </w:tcBorders>
          </w:tcPr>
          <w:p w14:paraId="0C7C8A28"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1,337</w:t>
            </w:r>
          </w:p>
        </w:tc>
        <w:tc>
          <w:tcPr>
            <w:tcW w:w="1029" w:type="dxa"/>
            <w:tcBorders>
              <w:top w:val="single" w:sz="4" w:space="0" w:color="auto"/>
            </w:tcBorders>
          </w:tcPr>
          <w:p w14:paraId="20CCD49C"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6D05215D"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78DDCB91"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2,266</w:t>
            </w:r>
          </w:p>
        </w:tc>
      </w:tr>
      <w:tr w:rsidR="00FB3EAB" w:rsidRPr="00866299" w14:paraId="55399DB0" w14:textId="77777777" w:rsidTr="00FD1D5C">
        <w:trPr>
          <w:cantSplit/>
        </w:trPr>
        <w:tc>
          <w:tcPr>
            <w:tcW w:w="3652" w:type="dxa"/>
          </w:tcPr>
          <w:p w14:paraId="3723CD3B" w14:textId="77777777" w:rsidR="00FB3EAB" w:rsidRPr="00866299" w:rsidRDefault="00FB3EAB" w:rsidP="00FB3EAB">
            <w:pPr>
              <w:ind w:left="284" w:hanging="284"/>
              <w:rPr>
                <w:rFonts w:ascii="Calibri" w:hAnsi="Calibri"/>
                <w:sz w:val="22"/>
                <w:lang w:eastAsia="en-US"/>
              </w:rPr>
            </w:pPr>
            <w:r w:rsidRPr="00866299">
              <w:rPr>
                <w:rFonts w:ascii="Calibri" w:hAnsi="Calibri"/>
                <w:sz w:val="22"/>
                <w:lang w:eastAsia="en-US"/>
              </w:rPr>
              <w:t>Expenses – Provision</w:t>
            </w:r>
          </w:p>
        </w:tc>
        <w:tc>
          <w:tcPr>
            <w:tcW w:w="1179" w:type="dxa"/>
          </w:tcPr>
          <w:p w14:paraId="738513F1"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w:t>
            </w:r>
          </w:p>
        </w:tc>
        <w:tc>
          <w:tcPr>
            <w:tcW w:w="1041" w:type="dxa"/>
          </w:tcPr>
          <w:p w14:paraId="535AF7A4"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63DB286A"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1,543</w:t>
            </w:r>
          </w:p>
        </w:tc>
        <w:tc>
          <w:tcPr>
            <w:tcW w:w="1029" w:type="dxa"/>
          </w:tcPr>
          <w:p w14:paraId="69AA628A"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1,967</w:t>
            </w:r>
          </w:p>
        </w:tc>
        <w:tc>
          <w:tcPr>
            <w:tcW w:w="1029" w:type="dxa"/>
          </w:tcPr>
          <w:p w14:paraId="489347E3"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3,510</w:t>
            </w:r>
          </w:p>
        </w:tc>
      </w:tr>
      <w:tr w:rsidR="00FB3EAB" w:rsidRPr="00866299" w14:paraId="556C6FB9" w14:textId="77777777" w:rsidTr="00FD1D5C">
        <w:trPr>
          <w:cantSplit/>
        </w:trPr>
        <w:tc>
          <w:tcPr>
            <w:tcW w:w="3652" w:type="dxa"/>
          </w:tcPr>
          <w:p w14:paraId="1E635B0E" w14:textId="77777777" w:rsidR="00FB3EAB" w:rsidRPr="00866299" w:rsidRDefault="00FB3EAB" w:rsidP="00FB3EAB">
            <w:pPr>
              <w:ind w:left="284" w:hanging="284"/>
              <w:rPr>
                <w:rFonts w:ascii="Calibri" w:hAnsi="Calibri"/>
                <w:sz w:val="22"/>
                <w:lang w:eastAsia="en-US"/>
              </w:rPr>
            </w:pPr>
            <w:r w:rsidRPr="00866299">
              <w:rPr>
                <w:rFonts w:ascii="Calibri" w:hAnsi="Calibri"/>
                <w:sz w:val="22"/>
                <w:lang w:eastAsia="en-US"/>
              </w:rPr>
              <w:t>Depreciation</w:t>
            </w:r>
          </w:p>
        </w:tc>
        <w:tc>
          <w:tcPr>
            <w:tcW w:w="1179" w:type="dxa"/>
          </w:tcPr>
          <w:p w14:paraId="64A8F410"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w:t>
            </w:r>
          </w:p>
        </w:tc>
        <w:tc>
          <w:tcPr>
            <w:tcW w:w="1041" w:type="dxa"/>
          </w:tcPr>
          <w:p w14:paraId="40A7EAB2"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12</w:t>
            </w:r>
          </w:p>
        </w:tc>
        <w:tc>
          <w:tcPr>
            <w:tcW w:w="1029" w:type="dxa"/>
          </w:tcPr>
          <w:p w14:paraId="04E38330"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12</w:t>
            </w:r>
          </w:p>
        </w:tc>
        <w:tc>
          <w:tcPr>
            <w:tcW w:w="1029" w:type="dxa"/>
          </w:tcPr>
          <w:p w14:paraId="272C77B8"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12</w:t>
            </w:r>
          </w:p>
        </w:tc>
        <w:tc>
          <w:tcPr>
            <w:tcW w:w="1029" w:type="dxa"/>
          </w:tcPr>
          <w:p w14:paraId="6FF998EB"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36</w:t>
            </w:r>
          </w:p>
        </w:tc>
      </w:tr>
      <w:tr w:rsidR="00FB3EAB" w:rsidRPr="00866299" w14:paraId="3B441BAB" w14:textId="77777777" w:rsidTr="00FD1D5C">
        <w:trPr>
          <w:cantSplit/>
        </w:trPr>
        <w:tc>
          <w:tcPr>
            <w:tcW w:w="3652" w:type="dxa"/>
            <w:tcBorders>
              <w:top w:val="single" w:sz="4" w:space="0" w:color="auto"/>
              <w:bottom w:val="single" w:sz="4" w:space="0" w:color="auto"/>
            </w:tcBorders>
          </w:tcPr>
          <w:p w14:paraId="3C06EBE4" w14:textId="77777777" w:rsidR="00FB3EAB" w:rsidRPr="00866299" w:rsidRDefault="00FB3EAB" w:rsidP="00FB3EAB">
            <w:pPr>
              <w:ind w:left="284" w:hanging="284"/>
              <w:rPr>
                <w:rFonts w:ascii="Calibri" w:hAnsi="Calibri"/>
                <w:b/>
                <w:sz w:val="22"/>
                <w:lang w:eastAsia="en-US"/>
              </w:rPr>
            </w:pPr>
            <w:r w:rsidRPr="00866299">
              <w:rPr>
                <w:rFonts w:ascii="Calibri" w:hAnsi="Calibri"/>
                <w:b/>
                <w:sz w:val="22"/>
                <w:lang w:eastAsia="en-US"/>
              </w:rPr>
              <w:t>Total Expenses</w:t>
            </w:r>
          </w:p>
        </w:tc>
        <w:tc>
          <w:tcPr>
            <w:tcW w:w="1179" w:type="dxa"/>
            <w:tcBorders>
              <w:top w:val="single" w:sz="4" w:space="0" w:color="auto"/>
              <w:bottom w:val="single" w:sz="4" w:space="0" w:color="auto"/>
            </w:tcBorders>
          </w:tcPr>
          <w:p w14:paraId="709461F1"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929</w:t>
            </w:r>
          </w:p>
        </w:tc>
        <w:tc>
          <w:tcPr>
            <w:tcW w:w="1041" w:type="dxa"/>
            <w:tcBorders>
              <w:top w:val="single" w:sz="4" w:space="0" w:color="auto"/>
              <w:bottom w:val="single" w:sz="4" w:space="0" w:color="auto"/>
            </w:tcBorders>
          </w:tcPr>
          <w:p w14:paraId="077E4BC5"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1,349</w:t>
            </w:r>
          </w:p>
        </w:tc>
        <w:tc>
          <w:tcPr>
            <w:tcW w:w="1029" w:type="dxa"/>
            <w:tcBorders>
              <w:top w:val="single" w:sz="4" w:space="0" w:color="auto"/>
              <w:bottom w:val="single" w:sz="4" w:space="0" w:color="auto"/>
            </w:tcBorders>
          </w:tcPr>
          <w:p w14:paraId="132D89BA"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1,555</w:t>
            </w:r>
          </w:p>
        </w:tc>
        <w:tc>
          <w:tcPr>
            <w:tcW w:w="1029" w:type="dxa"/>
            <w:tcBorders>
              <w:top w:val="single" w:sz="4" w:space="0" w:color="auto"/>
              <w:bottom w:val="single" w:sz="4" w:space="0" w:color="auto"/>
            </w:tcBorders>
          </w:tcPr>
          <w:p w14:paraId="55097125"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1,979</w:t>
            </w:r>
          </w:p>
        </w:tc>
        <w:tc>
          <w:tcPr>
            <w:tcW w:w="1029" w:type="dxa"/>
            <w:tcBorders>
              <w:top w:val="single" w:sz="4" w:space="0" w:color="auto"/>
              <w:bottom w:val="single" w:sz="4" w:space="0" w:color="auto"/>
            </w:tcBorders>
          </w:tcPr>
          <w:p w14:paraId="66468AB4"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5,812</w:t>
            </w:r>
          </w:p>
        </w:tc>
      </w:tr>
      <w:tr w:rsidR="00FB3EAB" w:rsidRPr="00866299" w14:paraId="2A1CE5AC" w14:textId="77777777" w:rsidTr="00FD1D5C">
        <w:trPr>
          <w:cantSplit/>
          <w:trHeight w:val="107"/>
        </w:trPr>
        <w:tc>
          <w:tcPr>
            <w:tcW w:w="3652" w:type="dxa"/>
            <w:tcBorders>
              <w:top w:val="single" w:sz="4" w:space="0" w:color="auto"/>
              <w:bottom w:val="single" w:sz="4" w:space="0" w:color="auto"/>
            </w:tcBorders>
          </w:tcPr>
          <w:p w14:paraId="3EE647C3" w14:textId="77777777" w:rsidR="00FB3EAB" w:rsidRPr="00866299" w:rsidRDefault="00FB3EAB" w:rsidP="00FB3EAB">
            <w:pPr>
              <w:ind w:left="284" w:hanging="284"/>
              <w:rPr>
                <w:rFonts w:ascii="Calibri" w:hAnsi="Calibri"/>
                <w:sz w:val="22"/>
                <w:lang w:eastAsia="en-US"/>
              </w:rPr>
            </w:pPr>
            <w:r w:rsidRPr="00866299">
              <w:rPr>
                <w:rFonts w:ascii="Calibri" w:hAnsi="Calibri"/>
                <w:sz w:val="22"/>
                <w:lang w:eastAsia="en-US"/>
              </w:rPr>
              <w:t>Associated Capital</w:t>
            </w:r>
          </w:p>
        </w:tc>
        <w:tc>
          <w:tcPr>
            <w:tcW w:w="1179" w:type="dxa"/>
            <w:tcBorders>
              <w:top w:val="single" w:sz="4" w:space="0" w:color="auto"/>
              <w:bottom w:val="single" w:sz="4" w:space="0" w:color="auto"/>
            </w:tcBorders>
          </w:tcPr>
          <w:p w14:paraId="235BD91C"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119</w:t>
            </w:r>
          </w:p>
        </w:tc>
        <w:tc>
          <w:tcPr>
            <w:tcW w:w="1041" w:type="dxa"/>
            <w:tcBorders>
              <w:top w:val="single" w:sz="4" w:space="0" w:color="auto"/>
              <w:bottom w:val="single" w:sz="4" w:space="0" w:color="auto"/>
            </w:tcBorders>
          </w:tcPr>
          <w:p w14:paraId="15A4D5C6"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6FA9D528"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616363A1"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3CF1FA52"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119</w:t>
            </w:r>
          </w:p>
        </w:tc>
      </w:tr>
    </w:tbl>
    <w:p w14:paraId="31A3AEB5" w14:textId="77777777" w:rsidR="00FB3EAB" w:rsidRPr="00FB3EAB" w:rsidRDefault="00FB3EAB" w:rsidP="00FD1D5C">
      <w:pPr>
        <w:pStyle w:val="snapInitbody"/>
        <w:rPr>
          <w:szCs w:val="24"/>
        </w:rPr>
      </w:pPr>
      <w:r w:rsidRPr="00FB3EAB">
        <w:t>The Government will continue impleme</w:t>
      </w:r>
      <w:r w:rsidRPr="00FB3EAB">
        <w:rPr>
          <w:szCs w:val="24"/>
        </w:rPr>
        <w:t xml:space="preserve">nting criminal law reform recommendations arising from the Royal Commission into Institutional Responses to Child Sexual Abuse, including establishing an intermediary scheme in the ACT. An intermediary is an independent communication specialist whose role is to assist people to provide their best evidence to police and to the court. </w:t>
      </w:r>
    </w:p>
    <w:p w14:paraId="6F722A92" w14:textId="77777777" w:rsidR="00FB3EAB" w:rsidRPr="00202E81" w:rsidRDefault="00FB3EAB" w:rsidP="00202E81">
      <w:pPr>
        <w:pStyle w:val="snapInittitles"/>
      </w:pPr>
      <w:r w:rsidRPr="00202E81">
        <w:t xml:space="preserve">Boosting police for a growing city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FB3EAB" w:rsidRPr="00866299" w14:paraId="70C6D131" w14:textId="77777777" w:rsidTr="00FD1D5C">
        <w:trPr>
          <w:cantSplit/>
        </w:trPr>
        <w:tc>
          <w:tcPr>
            <w:tcW w:w="3652" w:type="dxa"/>
            <w:tcBorders>
              <w:top w:val="single" w:sz="4" w:space="0" w:color="auto"/>
              <w:bottom w:val="single" w:sz="4" w:space="0" w:color="auto"/>
            </w:tcBorders>
          </w:tcPr>
          <w:p w14:paraId="09D8148F" w14:textId="77777777" w:rsidR="00FB3EAB" w:rsidRPr="00866299" w:rsidRDefault="00FB3EAB" w:rsidP="00FB3EAB">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41996C9E"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2019-20</w:t>
            </w:r>
          </w:p>
          <w:p w14:paraId="35E8CBDB"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3EE15DF6"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2020-21</w:t>
            </w:r>
          </w:p>
          <w:p w14:paraId="66DE7231"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ECFBB1B"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2021-22</w:t>
            </w:r>
          </w:p>
          <w:p w14:paraId="0249FDF0"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B9F8EDE"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2022-23</w:t>
            </w:r>
          </w:p>
          <w:p w14:paraId="6338BAB5"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125F9D6E"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Total</w:t>
            </w:r>
          </w:p>
          <w:p w14:paraId="7927391C"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$’000</w:t>
            </w:r>
          </w:p>
        </w:tc>
      </w:tr>
      <w:tr w:rsidR="00FB3EAB" w:rsidRPr="00866299" w14:paraId="0502DA1B" w14:textId="77777777" w:rsidTr="00FD1D5C">
        <w:trPr>
          <w:cantSplit/>
        </w:trPr>
        <w:tc>
          <w:tcPr>
            <w:tcW w:w="3652" w:type="dxa"/>
            <w:tcBorders>
              <w:top w:val="single" w:sz="4" w:space="0" w:color="auto"/>
            </w:tcBorders>
          </w:tcPr>
          <w:p w14:paraId="165445E8" w14:textId="77777777" w:rsidR="00FB3EAB" w:rsidRPr="00866299" w:rsidRDefault="00FB3EAB" w:rsidP="00FB3EAB">
            <w:pPr>
              <w:ind w:left="284" w:hanging="284"/>
              <w:rPr>
                <w:rFonts w:ascii="Calibri" w:hAnsi="Calibri"/>
                <w:sz w:val="22"/>
                <w:lang w:eastAsia="en-US"/>
              </w:rPr>
            </w:pPr>
            <w:r w:rsidRPr="00866299">
              <w:rPr>
                <w:rFonts w:ascii="Calibri" w:hAnsi="Calibri"/>
                <w:sz w:val="22"/>
                <w:lang w:eastAsia="en-US"/>
              </w:rPr>
              <w:t>Expenses – ACT Police</w:t>
            </w:r>
          </w:p>
        </w:tc>
        <w:tc>
          <w:tcPr>
            <w:tcW w:w="1179" w:type="dxa"/>
            <w:tcBorders>
              <w:top w:val="single" w:sz="4" w:space="0" w:color="auto"/>
            </w:tcBorders>
          </w:tcPr>
          <w:p w14:paraId="3A0A878F"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2,311</w:t>
            </w:r>
          </w:p>
        </w:tc>
        <w:tc>
          <w:tcPr>
            <w:tcW w:w="1041" w:type="dxa"/>
            <w:tcBorders>
              <w:top w:val="single" w:sz="4" w:space="0" w:color="auto"/>
            </w:tcBorders>
          </w:tcPr>
          <w:p w14:paraId="40FF4E38"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7,761</w:t>
            </w:r>
          </w:p>
        </w:tc>
        <w:tc>
          <w:tcPr>
            <w:tcW w:w="1029" w:type="dxa"/>
            <w:tcBorders>
              <w:top w:val="single" w:sz="4" w:space="0" w:color="auto"/>
            </w:tcBorders>
          </w:tcPr>
          <w:p w14:paraId="1D6888F2"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9,377</w:t>
            </w:r>
          </w:p>
        </w:tc>
        <w:tc>
          <w:tcPr>
            <w:tcW w:w="1029" w:type="dxa"/>
            <w:tcBorders>
              <w:top w:val="single" w:sz="4" w:space="0" w:color="auto"/>
            </w:tcBorders>
          </w:tcPr>
          <w:p w14:paraId="4E5A7425"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14,855</w:t>
            </w:r>
          </w:p>
        </w:tc>
        <w:tc>
          <w:tcPr>
            <w:tcW w:w="1029" w:type="dxa"/>
            <w:tcBorders>
              <w:top w:val="single" w:sz="4" w:space="0" w:color="auto"/>
            </w:tcBorders>
          </w:tcPr>
          <w:p w14:paraId="7F268D2C"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34,304</w:t>
            </w:r>
          </w:p>
        </w:tc>
      </w:tr>
      <w:tr w:rsidR="00FB3EAB" w:rsidRPr="00866299" w14:paraId="442C0880" w14:textId="77777777" w:rsidTr="00FD1D5C">
        <w:trPr>
          <w:cantSplit/>
        </w:trPr>
        <w:tc>
          <w:tcPr>
            <w:tcW w:w="3652" w:type="dxa"/>
          </w:tcPr>
          <w:p w14:paraId="597600DE" w14:textId="77777777" w:rsidR="00FB3EAB" w:rsidRPr="00866299" w:rsidRDefault="00FB3EAB" w:rsidP="00FB3EAB">
            <w:pPr>
              <w:ind w:left="284" w:hanging="284"/>
              <w:rPr>
                <w:rFonts w:ascii="Calibri" w:hAnsi="Calibri"/>
                <w:sz w:val="22"/>
                <w:lang w:eastAsia="en-US"/>
              </w:rPr>
            </w:pPr>
            <w:r w:rsidRPr="00866299">
              <w:rPr>
                <w:rFonts w:ascii="Calibri" w:hAnsi="Calibri"/>
                <w:sz w:val="22"/>
                <w:lang w:eastAsia="en-US"/>
              </w:rPr>
              <w:t>Expenses – ACT Health</w:t>
            </w:r>
          </w:p>
        </w:tc>
        <w:tc>
          <w:tcPr>
            <w:tcW w:w="1179" w:type="dxa"/>
          </w:tcPr>
          <w:p w14:paraId="1F0C344B"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82</w:t>
            </w:r>
          </w:p>
        </w:tc>
        <w:tc>
          <w:tcPr>
            <w:tcW w:w="1041" w:type="dxa"/>
          </w:tcPr>
          <w:p w14:paraId="323EED73"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277</w:t>
            </w:r>
          </w:p>
        </w:tc>
        <w:tc>
          <w:tcPr>
            <w:tcW w:w="1029" w:type="dxa"/>
          </w:tcPr>
          <w:p w14:paraId="33282434"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285</w:t>
            </w:r>
          </w:p>
        </w:tc>
        <w:tc>
          <w:tcPr>
            <w:tcW w:w="1029" w:type="dxa"/>
          </w:tcPr>
          <w:p w14:paraId="2601A70C"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28724E21"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644</w:t>
            </w:r>
          </w:p>
        </w:tc>
      </w:tr>
      <w:tr w:rsidR="00FB3EAB" w:rsidRPr="00866299" w14:paraId="534D0FC9" w14:textId="77777777" w:rsidTr="00FD1D5C">
        <w:trPr>
          <w:cantSplit/>
        </w:trPr>
        <w:tc>
          <w:tcPr>
            <w:tcW w:w="3652" w:type="dxa"/>
            <w:tcBorders>
              <w:top w:val="single" w:sz="4" w:space="0" w:color="auto"/>
              <w:bottom w:val="single" w:sz="4" w:space="0" w:color="auto"/>
            </w:tcBorders>
          </w:tcPr>
          <w:p w14:paraId="684EFF66" w14:textId="77777777" w:rsidR="00FB3EAB" w:rsidRPr="00866299" w:rsidRDefault="00FB3EAB" w:rsidP="00FB3EAB">
            <w:pPr>
              <w:ind w:left="284" w:hanging="284"/>
              <w:rPr>
                <w:rFonts w:ascii="Calibri" w:hAnsi="Calibri"/>
                <w:b/>
                <w:sz w:val="22"/>
                <w:lang w:eastAsia="en-US"/>
              </w:rPr>
            </w:pPr>
            <w:r w:rsidRPr="00866299">
              <w:rPr>
                <w:rFonts w:ascii="Calibri" w:hAnsi="Calibri"/>
                <w:b/>
                <w:sz w:val="22"/>
                <w:lang w:eastAsia="en-US"/>
              </w:rPr>
              <w:t>Total Expenses</w:t>
            </w:r>
          </w:p>
        </w:tc>
        <w:tc>
          <w:tcPr>
            <w:tcW w:w="1179" w:type="dxa"/>
            <w:tcBorders>
              <w:top w:val="single" w:sz="4" w:space="0" w:color="auto"/>
              <w:bottom w:val="single" w:sz="4" w:space="0" w:color="auto"/>
            </w:tcBorders>
          </w:tcPr>
          <w:p w14:paraId="39A8D149"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2,393</w:t>
            </w:r>
          </w:p>
        </w:tc>
        <w:tc>
          <w:tcPr>
            <w:tcW w:w="1041" w:type="dxa"/>
            <w:tcBorders>
              <w:top w:val="single" w:sz="4" w:space="0" w:color="auto"/>
              <w:bottom w:val="single" w:sz="4" w:space="0" w:color="auto"/>
            </w:tcBorders>
          </w:tcPr>
          <w:p w14:paraId="1C71A035"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8,038</w:t>
            </w:r>
          </w:p>
        </w:tc>
        <w:tc>
          <w:tcPr>
            <w:tcW w:w="1029" w:type="dxa"/>
            <w:tcBorders>
              <w:top w:val="single" w:sz="4" w:space="0" w:color="auto"/>
              <w:bottom w:val="single" w:sz="4" w:space="0" w:color="auto"/>
            </w:tcBorders>
          </w:tcPr>
          <w:p w14:paraId="4E1BDE0E"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9,662</w:t>
            </w:r>
          </w:p>
        </w:tc>
        <w:tc>
          <w:tcPr>
            <w:tcW w:w="1029" w:type="dxa"/>
            <w:tcBorders>
              <w:top w:val="single" w:sz="4" w:space="0" w:color="auto"/>
              <w:bottom w:val="single" w:sz="4" w:space="0" w:color="auto"/>
            </w:tcBorders>
          </w:tcPr>
          <w:p w14:paraId="1E229FE5"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14,855</w:t>
            </w:r>
          </w:p>
        </w:tc>
        <w:tc>
          <w:tcPr>
            <w:tcW w:w="1029" w:type="dxa"/>
            <w:tcBorders>
              <w:top w:val="single" w:sz="4" w:space="0" w:color="auto"/>
              <w:bottom w:val="single" w:sz="4" w:space="0" w:color="auto"/>
            </w:tcBorders>
          </w:tcPr>
          <w:p w14:paraId="315CE1BE"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34,948</w:t>
            </w:r>
          </w:p>
        </w:tc>
      </w:tr>
      <w:tr w:rsidR="00FB3EAB" w:rsidRPr="00866299" w14:paraId="7F98009C" w14:textId="77777777" w:rsidTr="00FD1D5C">
        <w:trPr>
          <w:cantSplit/>
          <w:trHeight w:val="107"/>
        </w:trPr>
        <w:tc>
          <w:tcPr>
            <w:tcW w:w="3652" w:type="dxa"/>
            <w:tcBorders>
              <w:top w:val="single" w:sz="4" w:space="0" w:color="auto"/>
            </w:tcBorders>
          </w:tcPr>
          <w:p w14:paraId="4E638316" w14:textId="77777777" w:rsidR="00FB3EAB" w:rsidRPr="00866299" w:rsidRDefault="00FB3EAB" w:rsidP="00FB3EAB">
            <w:pPr>
              <w:ind w:left="284" w:hanging="284"/>
              <w:rPr>
                <w:rFonts w:ascii="Calibri" w:hAnsi="Calibri"/>
                <w:sz w:val="22"/>
                <w:lang w:eastAsia="en-US"/>
              </w:rPr>
            </w:pPr>
            <w:r w:rsidRPr="00866299">
              <w:rPr>
                <w:rFonts w:ascii="Calibri" w:hAnsi="Calibri"/>
                <w:sz w:val="22"/>
                <w:lang w:eastAsia="en-US"/>
              </w:rPr>
              <w:t>Associated Capital</w:t>
            </w:r>
          </w:p>
        </w:tc>
        <w:tc>
          <w:tcPr>
            <w:tcW w:w="1179" w:type="dxa"/>
            <w:tcBorders>
              <w:top w:val="single" w:sz="4" w:space="0" w:color="auto"/>
            </w:tcBorders>
          </w:tcPr>
          <w:p w14:paraId="5AA8C080"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100</w:t>
            </w:r>
          </w:p>
        </w:tc>
        <w:tc>
          <w:tcPr>
            <w:tcW w:w="1041" w:type="dxa"/>
            <w:tcBorders>
              <w:top w:val="single" w:sz="4" w:space="0" w:color="auto"/>
            </w:tcBorders>
          </w:tcPr>
          <w:p w14:paraId="16EDE2B7"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3F1F55C1"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3029ADB2"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49F964AC"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100</w:t>
            </w:r>
          </w:p>
        </w:tc>
      </w:tr>
      <w:tr w:rsidR="00FB3EAB" w:rsidRPr="00866299" w14:paraId="3F6A8C4F" w14:textId="77777777" w:rsidTr="00FD1D5C">
        <w:trPr>
          <w:cantSplit/>
          <w:trHeight w:val="107"/>
        </w:trPr>
        <w:tc>
          <w:tcPr>
            <w:tcW w:w="3652" w:type="dxa"/>
            <w:tcBorders>
              <w:bottom w:val="single" w:sz="4" w:space="0" w:color="auto"/>
            </w:tcBorders>
          </w:tcPr>
          <w:p w14:paraId="055C509E" w14:textId="77777777" w:rsidR="00FB3EAB" w:rsidRPr="00866299" w:rsidRDefault="00FB3EAB" w:rsidP="00FB3EAB">
            <w:pPr>
              <w:ind w:left="284" w:hanging="284"/>
              <w:rPr>
                <w:rFonts w:ascii="Calibri" w:hAnsi="Calibri"/>
                <w:sz w:val="22"/>
                <w:lang w:eastAsia="en-US"/>
              </w:rPr>
            </w:pPr>
            <w:r w:rsidRPr="00866299">
              <w:rPr>
                <w:rFonts w:ascii="Calibri" w:hAnsi="Calibri"/>
                <w:sz w:val="22"/>
                <w:lang w:eastAsia="en-US"/>
              </w:rPr>
              <w:t>Offset – Associated Capital</w:t>
            </w:r>
          </w:p>
        </w:tc>
        <w:tc>
          <w:tcPr>
            <w:tcW w:w="1179" w:type="dxa"/>
            <w:tcBorders>
              <w:bottom w:val="single" w:sz="4" w:space="0" w:color="auto"/>
            </w:tcBorders>
          </w:tcPr>
          <w:p w14:paraId="418D7F43"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-100</w:t>
            </w:r>
          </w:p>
        </w:tc>
        <w:tc>
          <w:tcPr>
            <w:tcW w:w="1041" w:type="dxa"/>
            <w:tcBorders>
              <w:bottom w:val="single" w:sz="4" w:space="0" w:color="auto"/>
            </w:tcBorders>
          </w:tcPr>
          <w:p w14:paraId="6C57FA37"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bottom w:val="single" w:sz="4" w:space="0" w:color="auto"/>
            </w:tcBorders>
          </w:tcPr>
          <w:p w14:paraId="0626F7C3"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bottom w:val="single" w:sz="4" w:space="0" w:color="auto"/>
            </w:tcBorders>
          </w:tcPr>
          <w:p w14:paraId="1FFB96FC"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bottom w:val="single" w:sz="4" w:space="0" w:color="auto"/>
            </w:tcBorders>
          </w:tcPr>
          <w:p w14:paraId="11DBFC4B"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-100</w:t>
            </w:r>
          </w:p>
        </w:tc>
      </w:tr>
      <w:tr w:rsidR="00FB3EAB" w:rsidRPr="00866299" w14:paraId="17C11D27" w14:textId="77777777" w:rsidTr="00FD1D5C">
        <w:trPr>
          <w:cantSplit/>
          <w:trHeight w:val="107"/>
        </w:trPr>
        <w:tc>
          <w:tcPr>
            <w:tcW w:w="3652" w:type="dxa"/>
            <w:tcBorders>
              <w:top w:val="single" w:sz="4" w:space="0" w:color="auto"/>
              <w:bottom w:val="single" w:sz="4" w:space="0" w:color="auto"/>
            </w:tcBorders>
          </w:tcPr>
          <w:p w14:paraId="75957BFA" w14:textId="77777777" w:rsidR="00FB3EAB" w:rsidRPr="00866299" w:rsidRDefault="00FB3EAB" w:rsidP="00FB3EAB">
            <w:pPr>
              <w:ind w:left="284" w:hanging="284"/>
              <w:rPr>
                <w:rFonts w:ascii="Calibri" w:hAnsi="Calibri"/>
                <w:b/>
                <w:sz w:val="22"/>
                <w:lang w:eastAsia="en-US"/>
              </w:rPr>
            </w:pPr>
            <w:r w:rsidRPr="00866299">
              <w:rPr>
                <w:rFonts w:ascii="Calibri" w:hAnsi="Calibri"/>
                <w:b/>
                <w:sz w:val="22"/>
                <w:lang w:eastAsia="en-US"/>
              </w:rPr>
              <w:t>Net Capital</w:t>
            </w:r>
          </w:p>
        </w:tc>
        <w:tc>
          <w:tcPr>
            <w:tcW w:w="1179" w:type="dxa"/>
            <w:tcBorders>
              <w:top w:val="single" w:sz="4" w:space="0" w:color="auto"/>
              <w:bottom w:val="single" w:sz="4" w:space="0" w:color="auto"/>
            </w:tcBorders>
          </w:tcPr>
          <w:p w14:paraId="02C21864"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0</w:t>
            </w:r>
          </w:p>
        </w:tc>
        <w:tc>
          <w:tcPr>
            <w:tcW w:w="1041" w:type="dxa"/>
            <w:tcBorders>
              <w:top w:val="single" w:sz="4" w:space="0" w:color="auto"/>
              <w:bottom w:val="single" w:sz="4" w:space="0" w:color="auto"/>
            </w:tcBorders>
          </w:tcPr>
          <w:p w14:paraId="6B2E5D76"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6CC46D5B"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46A425C8"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224A4EE3"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0</w:t>
            </w:r>
          </w:p>
        </w:tc>
      </w:tr>
    </w:tbl>
    <w:p w14:paraId="66882DF8" w14:textId="77777777" w:rsidR="00FB3EAB" w:rsidRPr="00FB3EAB" w:rsidRDefault="00FB3EAB" w:rsidP="00FD1D5C">
      <w:pPr>
        <w:pStyle w:val="snapInitbody"/>
      </w:pPr>
      <w:r w:rsidRPr="00FB3EAB">
        <w:t>The Government will begin transitioning towards a new Police Services Model for the ACT community with the recruitment of over 60 new ACT Policing personnel over the coming years. The new model will see ACT Policing deliver a more visible, connected and efficient police service. This new investment will support ACT Policing to deliver a system-wide approach towards crime prevention, disruption and response activities, supporting our efforts to reduce recidivism by 25 per cent by 2025. </w:t>
      </w:r>
    </w:p>
    <w:p w14:paraId="115863E7" w14:textId="77777777" w:rsidR="00FB3EAB" w:rsidRPr="00FB3EAB" w:rsidRDefault="00FB3EAB" w:rsidP="00FD1D5C">
      <w:pPr>
        <w:pStyle w:val="snapInitbody"/>
      </w:pPr>
      <w:r w:rsidRPr="00FB3EAB">
        <w:t>This initiative will also support preparatory work to establish and trial a new Fixated Threat Assessment Capability in the ACT with officers from ACT Policing and ACT Health. This new capability will support a national approach to assessing and managing fixated threats.</w:t>
      </w:r>
    </w:p>
    <w:p w14:paraId="06FD6279" w14:textId="77777777" w:rsidR="00FB3EAB" w:rsidRPr="00202E81" w:rsidRDefault="00FB3EAB" w:rsidP="00202E81">
      <w:pPr>
        <w:pStyle w:val="snapInittitles"/>
      </w:pPr>
      <w:r w:rsidRPr="00202E81">
        <w:t xml:space="preserve">Building communities not prisons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FB3EAB" w:rsidRPr="00866299" w14:paraId="77127A96" w14:textId="77777777" w:rsidTr="00FD1D5C">
        <w:trPr>
          <w:cantSplit/>
        </w:trPr>
        <w:tc>
          <w:tcPr>
            <w:tcW w:w="3652" w:type="dxa"/>
            <w:tcBorders>
              <w:top w:val="single" w:sz="4" w:space="0" w:color="auto"/>
              <w:bottom w:val="single" w:sz="4" w:space="0" w:color="auto"/>
            </w:tcBorders>
          </w:tcPr>
          <w:p w14:paraId="41B76F5C" w14:textId="77777777" w:rsidR="00FB3EAB" w:rsidRPr="00866299" w:rsidRDefault="00FB3EAB" w:rsidP="00FB3EAB">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3537E720"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2019-20</w:t>
            </w:r>
          </w:p>
          <w:p w14:paraId="3CAA9423"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7701D090"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2020-21</w:t>
            </w:r>
          </w:p>
          <w:p w14:paraId="1BAB19F4"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0E0F6003"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2021-22</w:t>
            </w:r>
          </w:p>
          <w:p w14:paraId="7EE319AB"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95CB95E"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2022-23</w:t>
            </w:r>
          </w:p>
          <w:p w14:paraId="25403BEB"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C476803"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Total</w:t>
            </w:r>
          </w:p>
          <w:p w14:paraId="4A6DF310"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$’000</w:t>
            </w:r>
          </w:p>
        </w:tc>
      </w:tr>
      <w:tr w:rsidR="00FB3EAB" w:rsidRPr="00866299" w14:paraId="7C0D4463" w14:textId="77777777" w:rsidTr="00FD1D5C">
        <w:trPr>
          <w:cantSplit/>
        </w:trPr>
        <w:tc>
          <w:tcPr>
            <w:tcW w:w="3652" w:type="dxa"/>
            <w:tcBorders>
              <w:top w:val="single" w:sz="4" w:space="0" w:color="auto"/>
              <w:bottom w:val="single" w:sz="4" w:space="0" w:color="auto"/>
            </w:tcBorders>
          </w:tcPr>
          <w:p w14:paraId="1AF5BB2A" w14:textId="77777777" w:rsidR="00FB3EAB" w:rsidRPr="00866299" w:rsidRDefault="00FB3EAB" w:rsidP="00FB3EAB">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tcPr>
          <w:p w14:paraId="6019F8AC"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1,089</w:t>
            </w:r>
          </w:p>
        </w:tc>
        <w:tc>
          <w:tcPr>
            <w:tcW w:w="1041" w:type="dxa"/>
            <w:tcBorders>
              <w:top w:val="single" w:sz="4" w:space="0" w:color="auto"/>
              <w:bottom w:val="single" w:sz="4" w:space="0" w:color="auto"/>
            </w:tcBorders>
          </w:tcPr>
          <w:p w14:paraId="5F65C416"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1,478</w:t>
            </w:r>
          </w:p>
        </w:tc>
        <w:tc>
          <w:tcPr>
            <w:tcW w:w="1029" w:type="dxa"/>
            <w:tcBorders>
              <w:top w:val="single" w:sz="4" w:space="0" w:color="auto"/>
              <w:bottom w:val="single" w:sz="4" w:space="0" w:color="auto"/>
            </w:tcBorders>
          </w:tcPr>
          <w:p w14:paraId="5E206585"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1,489</w:t>
            </w:r>
          </w:p>
        </w:tc>
        <w:tc>
          <w:tcPr>
            <w:tcW w:w="1029" w:type="dxa"/>
            <w:tcBorders>
              <w:top w:val="single" w:sz="4" w:space="0" w:color="auto"/>
              <w:bottom w:val="single" w:sz="4" w:space="0" w:color="auto"/>
            </w:tcBorders>
          </w:tcPr>
          <w:p w14:paraId="1BE37DE1"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1,024</w:t>
            </w:r>
          </w:p>
        </w:tc>
        <w:tc>
          <w:tcPr>
            <w:tcW w:w="1029" w:type="dxa"/>
            <w:tcBorders>
              <w:top w:val="single" w:sz="4" w:space="0" w:color="auto"/>
              <w:bottom w:val="single" w:sz="4" w:space="0" w:color="auto"/>
            </w:tcBorders>
          </w:tcPr>
          <w:p w14:paraId="0160DD0F"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5,080</w:t>
            </w:r>
          </w:p>
        </w:tc>
      </w:tr>
    </w:tbl>
    <w:p w14:paraId="24059629" w14:textId="77777777" w:rsidR="00FB3EAB" w:rsidRPr="00FB3EAB" w:rsidRDefault="00FB3EAB" w:rsidP="00FD1D5C">
      <w:pPr>
        <w:pStyle w:val="snapInitbody"/>
      </w:pPr>
      <w:r w:rsidRPr="00FB3EAB">
        <w:t xml:space="preserve">The Government will build on its commitment to reduce recidivism, improve public safety and strengthen our community by continuing to develop measures to break the cycle of recidivism and address the overrepresentation of Aboriginal and Torres Strait Islander people in our justice system. This will include funding the </w:t>
      </w:r>
      <w:proofErr w:type="spellStart"/>
      <w:r w:rsidRPr="00FB3EAB">
        <w:t>Warrumbul</w:t>
      </w:r>
      <w:proofErr w:type="spellEnd"/>
      <w:r w:rsidRPr="00FB3EAB">
        <w:t xml:space="preserve"> Sentencing Court to hear cases involving children and young people, and expanding the ACT Bail Support Program to reduce the number of people on remand. This initiative will be partially offset in 2019-20 by funding from the Confiscated Assets Trust Fund.</w:t>
      </w:r>
    </w:p>
    <w:p w14:paraId="055E5C38" w14:textId="77777777" w:rsidR="00FB3EAB" w:rsidRPr="00202E81" w:rsidRDefault="00FB3EAB" w:rsidP="00202E81">
      <w:pPr>
        <w:pStyle w:val="snapInittitles"/>
      </w:pPr>
      <w:r w:rsidRPr="00202E81">
        <w:t xml:space="preserve">Delivering a safe and secure Alexander Maconochie Centre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FB3EAB" w:rsidRPr="00866299" w14:paraId="28D062AF" w14:textId="77777777" w:rsidTr="00FD1D5C">
        <w:trPr>
          <w:cantSplit/>
        </w:trPr>
        <w:tc>
          <w:tcPr>
            <w:tcW w:w="3652" w:type="dxa"/>
            <w:tcBorders>
              <w:top w:val="single" w:sz="4" w:space="0" w:color="auto"/>
              <w:bottom w:val="single" w:sz="4" w:space="0" w:color="auto"/>
            </w:tcBorders>
          </w:tcPr>
          <w:p w14:paraId="10048219" w14:textId="77777777" w:rsidR="00FB3EAB" w:rsidRPr="00866299" w:rsidRDefault="00FB3EAB" w:rsidP="00FB3EAB">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17FFC3F0"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2019-20</w:t>
            </w:r>
          </w:p>
          <w:p w14:paraId="4A0C9345"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5F7AAA09"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2020-21</w:t>
            </w:r>
          </w:p>
          <w:p w14:paraId="7FDA11A7"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BE43391"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2021-22</w:t>
            </w:r>
          </w:p>
          <w:p w14:paraId="2C9B4447"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5B972258"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2022-23</w:t>
            </w:r>
          </w:p>
          <w:p w14:paraId="500D7FE8"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30F0BD60"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Total</w:t>
            </w:r>
          </w:p>
          <w:p w14:paraId="1E9DDA67"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$’000</w:t>
            </w:r>
          </w:p>
        </w:tc>
      </w:tr>
      <w:tr w:rsidR="00FB3EAB" w:rsidRPr="00866299" w14:paraId="7E4482EE" w14:textId="77777777" w:rsidTr="00FD1D5C">
        <w:trPr>
          <w:cantSplit/>
        </w:trPr>
        <w:tc>
          <w:tcPr>
            <w:tcW w:w="3652" w:type="dxa"/>
            <w:tcBorders>
              <w:top w:val="single" w:sz="4" w:space="0" w:color="auto"/>
              <w:bottom w:val="single" w:sz="4" w:space="0" w:color="auto"/>
            </w:tcBorders>
          </w:tcPr>
          <w:p w14:paraId="5D668F11" w14:textId="77777777" w:rsidR="00FB3EAB" w:rsidRPr="00866299" w:rsidRDefault="00FB3EAB" w:rsidP="00FB3EAB">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tcPr>
          <w:p w14:paraId="428B618F"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1,087</w:t>
            </w:r>
          </w:p>
        </w:tc>
        <w:tc>
          <w:tcPr>
            <w:tcW w:w="1041" w:type="dxa"/>
            <w:tcBorders>
              <w:top w:val="single" w:sz="4" w:space="0" w:color="auto"/>
              <w:bottom w:val="single" w:sz="4" w:space="0" w:color="auto"/>
            </w:tcBorders>
          </w:tcPr>
          <w:p w14:paraId="782A7161"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1,114</w:t>
            </w:r>
          </w:p>
        </w:tc>
        <w:tc>
          <w:tcPr>
            <w:tcW w:w="1029" w:type="dxa"/>
            <w:tcBorders>
              <w:top w:val="single" w:sz="4" w:space="0" w:color="auto"/>
              <w:bottom w:val="single" w:sz="4" w:space="0" w:color="auto"/>
            </w:tcBorders>
          </w:tcPr>
          <w:p w14:paraId="0F4C8C8E"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1,142</w:t>
            </w:r>
          </w:p>
        </w:tc>
        <w:tc>
          <w:tcPr>
            <w:tcW w:w="1029" w:type="dxa"/>
            <w:tcBorders>
              <w:top w:val="single" w:sz="4" w:space="0" w:color="auto"/>
              <w:bottom w:val="single" w:sz="4" w:space="0" w:color="auto"/>
            </w:tcBorders>
          </w:tcPr>
          <w:p w14:paraId="06B8CFDF"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1,171</w:t>
            </w:r>
          </w:p>
        </w:tc>
        <w:tc>
          <w:tcPr>
            <w:tcW w:w="1029" w:type="dxa"/>
            <w:tcBorders>
              <w:top w:val="single" w:sz="4" w:space="0" w:color="auto"/>
              <w:bottom w:val="single" w:sz="4" w:space="0" w:color="auto"/>
            </w:tcBorders>
          </w:tcPr>
          <w:p w14:paraId="7B0B5EE5"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4,514</w:t>
            </w:r>
          </w:p>
        </w:tc>
      </w:tr>
    </w:tbl>
    <w:p w14:paraId="255FDB86" w14:textId="77777777" w:rsidR="00FB3EAB" w:rsidRPr="00FB3EAB" w:rsidRDefault="00FB3EAB" w:rsidP="00FD1D5C">
      <w:pPr>
        <w:pStyle w:val="snapInitbody"/>
        <w:rPr>
          <w:szCs w:val="24"/>
        </w:rPr>
      </w:pPr>
      <w:r w:rsidRPr="00FB3EAB">
        <w:t>The Government will provide additional staff and services to ensure a safe and secure environment for</w:t>
      </w:r>
      <w:r w:rsidRPr="00FB3EAB">
        <w:rPr>
          <w:szCs w:val="24"/>
        </w:rPr>
        <w:t xml:space="preserve"> an increased number of detainees at the Alexander Maconochie Centre.</w:t>
      </w:r>
    </w:p>
    <w:p w14:paraId="69756F48" w14:textId="77777777" w:rsidR="00FB3EAB" w:rsidRPr="00202E81" w:rsidRDefault="00FB3EAB" w:rsidP="00202E81">
      <w:pPr>
        <w:pStyle w:val="snapInittitles"/>
      </w:pPr>
      <w:r w:rsidRPr="00202E81">
        <w:t xml:space="preserve">Providing alternatives to jail through the Justice Housing Program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FB3EAB" w:rsidRPr="00866299" w14:paraId="35EDD957" w14:textId="77777777" w:rsidTr="00FD1D5C">
        <w:trPr>
          <w:cantSplit/>
        </w:trPr>
        <w:tc>
          <w:tcPr>
            <w:tcW w:w="3652" w:type="dxa"/>
            <w:tcBorders>
              <w:top w:val="single" w:sz="4" w:space="0" w:color="auto"/>
              <w:bottom w:val="single" w:sz="4" w:space="0" w:color="auto"/>
            </w:tcBorders>
          </w:tcPr>
          <w:p w14:paraId="593B018F" w14:textId="3E7B7232" w:rsidR="00FB3EAB" w:rsidRPr="00866299" w:rsidRDefault="00FB3EAB" w:rsidP="00FB3EAB">
            <w:pPr>
              <w:jc w:val="right"/>
              <w:rPr>
                <w:rFonts w:ascii="Calibri" w:hAnsi="Calibri" w:cs="Calibri"/>
                <w:i/>
                <w:color w:val="FFFFFF"/>
                <w:sz w:val="22"/>
                <w:highlight w:val="yellow"/>
                <w:lang w:eastAsia="en-US"/>
              </w:rPr>
            </w:pPr>
          </w:p>
        </w:tc>
        <w:tc>
          <w:tcPr>
            <w:tcW w:w="1179" w:type="dxa"/>
            <w:tcBorders>
              <w:top w:val="single" w:sz="4" w:space="0" w:color="auto"/>
              <w:bottom w:val="single" w:sz="4" w:space="0" w:color="auto"/>
            </w:tcBorders>
          </w:tcPr>
          <w:p w14:paraId="47B7B413"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2019-20</w:t>
            </w:r>
          </w:p>
          <w:p w14:paraId="6D8410AB"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7E80732B"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2020-21</w:t>
            </w:r>
          </w:p>
          <w:p w14:paraId="20CF2CFD"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6FD9CD5"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2021-22</w:t>
            </w:r>
          </w:p>
          <w:p w14:paraId="0A7676B1"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DB41992"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2022-23</w:t>
            </w:r>
          </w:p>
          <w:p w14:paraId="0145FBDD"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4DC10A5"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Total</w:t>
            </w:r>
          </w:p>
          <w:p w14:paraId="39776F19"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$’000</w:t>
            </w:r>
          </w:p>
        </w:tc>
      </w:tr>
      <w:tr w:rsidR="00FB3EAB" w:rsidRPr="00866299" w14:paraId="7754EDF5" w14:textId="77777777" w:rsidTr="00FD1D5C">
        <w:trPr>
          <w:cantSplit/>
        </w:trPr>
        <w:tc>
          <w:tcPr>
            <w:tcW w:w="3652" w:type="dxa"/>
            <w:tcBorders>
              <w:top w:val="single" w:sz="4" w:space="0" w:color="auto"/>
              <w:bottom w:val="single" w:sz="4" w:space="0" w:color="auto"/>
            </w:tcBorders>
          </w:tcPr>
          <w:p w14:paraId="00B7AE7C" w14:textId="77777777" w:rsidR="00FB3EAB" w:rsidRPr="00866299" w:rsidRDefault="00FB3EAB" w:rsidP="00FB3EAB">
            <w:pPr>
              <w:ind w:left="284" w:hanging="284"/>
              <w:rPr>
                <w:rFonts w:ascii="Calibri" w:hAnsi="Calibri"/>
                <w:sz w:val="22"/>
                <w:lang w:eastAsia="en-US"/>
              </w:rPr>
            </w:pPr>
            <w:r w:rsidRPr="00866299">
              <w:rPr>
                <w:rFonts w:ascii="Calibri" w:hAnsi="Calibri"/>
                <w:sz w:val="22"/>
                <w:lang w:eastAsia="en-US"/>
              </w:rPr>
              <w:t>Capital – Housing ACT</w:t>
            </w:r>
          </w:p>
        </w:tc>
        <w:tc>
          <w:tcPr>
            <w:tcW w:w="1179" w:type="dxa"/>
            <w:tcBorders>
              <w:top w:val="single" w:sz="4" w:space="0" w:color="auto"/>
              <w:bottom w:val="single" w:sz="4" w:space="0" w:color="auto"/>
            </w:tcBorders>
          </w:tcPr>
          <w:p w14:paraId="21AD704A"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7,161</w:t>
            </w:r>
          </w:p>
        </w:tc>
        <w:tc>
          <w:tcPr>
            <w:tcW w:w="1041" w:type="dxa"/>
            <w:tcBorders>
              <w:top w:val="single" w:sz="4" w:space="0" w:color="auto"/>
              <w:bottom w:val="single" w:sz="4" w:space="0" w:color="auto"/>
            </w:tcBorders>
          </w:tcPr>
          <w:p w14:paraId="15B984ED"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092D465D"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28F119D8"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44792A34"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7,161</w:t>
            </w:r>
          </w:p>
        </w:tc>
      </w:tr>
      <w:tr w:rsidR="00FB3EAB" w:rsidRPr="00866299" w14:paraId="75791EBF" w14:textId="77777777" w:rsidTr="00FD1D5C">
        <w:trPr>
          <w:cantSplit/>
        </w:trPr>
        <w:tc>
          <w:tcPr>
            <w:tcW w:w="3652" w:type="dxa"/>
            <w:tcBorders>
              <w:top w:val="single" w:sz="4" w:space="0" w:color="auto"/>
            </w:tcBorders>
          </w:tcPr>
          <w:p w14:paraId="1039C917" w14:textId="77777777" w:rsidR="00FB3EAB" w:rsidRPr="00866299" w:rsidRDefault="00FB3EAB" w:rsidP="00FB3EAB">
            <w:pPr>
              <w:ind w:left="284" w:hanging="284"/>
              <w:rPr>
                <w:rFonts w:ascii="Calibri" w:hAnsi="Calibri"/>
                <w:sz w:val="22"/>
                <w:lang w:eastAsia="en-US"/>
              </w:rPr>
            </w:pPr>
            <w:r w:rsidRPr="00866299">
              <w:rPr>
                <w:rFonts w:ascii="Calibri" w:hAnsi="Calibri"/>
                <w:sz w:val="22"/>
                <w:lang w:eastAsia="en-US"/>
              </w:rPr>
              <w:t xml:space="preserve">Expenses – Housing ACT </w:t>
            </w:r>
          </w:p>
        </w:tc>
        <w:tc>
          <w:tcPr>
            <w:tcW w:w="1179" w:type="dxa"/>
            <w:tcBorders>
              <w:top w:val="single" w:sz="4" w:space="0" w:color="auto"/>
            </w:tcBorders>
          </w:tcPr>
          <w:p w14:paraId="13E43F37"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209</w:t>
            </w:r>
          </w:p>
        </w:tc>
        <w:tc>
          <w:tcPr>
            <w:tcW w:w="1041" w:type="dxa"/>
            <w:tcBorders>
              <w:top w:val="single" w:sz="4" w:space="0" w:color="auto"/>
            </w:tcBorders>
          </w:tcPr>
          <w:p w14:paraId="3659DBE0"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347</w:t>
            </w:r>
          </w:p>
        </w:tc>
        <w:tc>
          <w:tcPr>
            <w:tcW w:w="1029" w:type="dxa"/>
            <w:tcBorders>
              <w:top w:val="single" w:sz="4" w:space="0" w:color="auto"/>
            </w:tcBorders>
          </w:tcPr>
          <w:p w14:paraId="3054F160"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353</w:t>
            </w:r>
          </w:p>
        </w:tc>
        <w:tc>
          <w:tcPr>
            <w:tcW w:w="1029" w:type="dxa"/>
            <w:tcBorders>
              <w:top w:val="single" w:sz="4" w:space="0" w:color="auto"/>
            </w:tcBorders>
          </w:tcPr>
          <w:p w14:paraId="45BCB0EA"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72DBCDF5"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909</w:t>
            </w:r>
          </w:p>
        </w:tc>
      </w:tr>
      <w:tr w:rsidR="00FB3EAB" w:rsidRPr="00866299" w14:paraId="678CDCE3" w14:textId="77777777" w:rsidTr="00FD1D5C">
        <w:trPr>
          <w:cantSplit/>
        </w:trPr>
        <w:tc>
          <w:tcPr>
            <w:tcW w:w="3652" w:type="dxa"/>
          </w:tcPr>
          <w:p w14:paraId="429D7135" w14:textId="77777777" w:rsidR="00FB3EAB" w:rsidRPr="00866299" w:rsidRDefault="00FB3EAB" w:rsidP="00FB3EAB">
            <w:pPr>
              <w:ind w:left="284" w:hanging="284"/>
              <w:rPr>
                <w:rFonts w:ascii="Calibri" w:hAnsi="Calibri"/>
                <w:sz w:val="22"/>
                <w:lang w:eastAsia="en-US"/>
              </w:rPr>
            </w:pPr>
            <w:r w:rsidRPr="00866299">
              <w:rPr>
                <w:rFonts w:ascii="Calibri" w:hAnsi="Calibri"/>
                <w:sz w:val="22"/>
                <w:lang w:eastAsia="en-US"/>
              </w:rPr>
              <w:t xml:space="preserve">Expenses – Justice and Community Safety Directorate </w:t>
            </w:r>
          </w:p>
        </w:tc>
        <w:tc>
          <w:tcPr>
            <w:tcW w:w="1179" w:type="dxa"/>
          </w:tcPr>
          <w:p w14:paraId="2D0CE6C8"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708</w:t>
            </w:r>
          </w:p>
        </w:tc>
        <w:tc>
          <w:tcPr>
            <w:tcW w:w="1041" w:type="dxa"/>
          </w:tcPr>
          <w:p w14:paraId="62FE490A"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2,049</w:t>
            </w:r>
          </w:p>
        </w:tc>
        <w:tc>
          <w:tcPr>
            <w:tcW w:w="1029" w:type="dxa"/>
          </w:tcPr>
          <w:p w14:paraId="50450249"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2,242</w:t>
            </w:r>
          </w:p>
        </w:tc>
        <w:tc>
          <w:tcPr>
            <w:tcW w:w="1029" w:type="dxa"/>
          </w:tcPr>
          <w:p w14:paraId="02759BD1"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74E7469D"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4,999</w:t>
            </w:r>
          </w:p>
        </w:tc>
      </w:tr>
      <w:tr w:rsidR="00FB3EAB" w:rsidRPr="00866299" w14:paraId="624E79B3" w14:textId="77777777" w:rsidTr="00FD1D5C">
        <w:trPr>
          <w:cantSplit/>
        </w:trPr>
        <w:tc>
          <w:tcPr>
            <w:tcW w:w="3652" w:type="dxa"/>
            <w:tcBorders>
              <w:top w:val="single" w:sz="4" w:space="0" w:color="auto"/>
              <w:bottom w:val="single" w:sz="4" w:space="0" w:color="auto"/>
            </w:tcBorders>
          </w:tcPr>
          <w:p w14:paraId="2202D7F1" w14:textId="77777777" w:rsidR="00FB3EAB" w:rsidRPr="00866299" w:rsidRDefault="00FB3EAB" w:rsidP="00FB3EAB">
            <w:pPr>
              <w:ind w:left="284" w:hanging="284"/>
              <w:rPr>
                <w:rFonts w:ascii="Calibri" w:hAnsi="Calibri"/>
                <w:b/>
                <w:sz w:val="22"/>
                <w:lang w:eastAsia="en-US"/>
              </w:rPr>
            </w:pPr>
            <w:r w:rsidRPr="00866299">
              <w:rPr>
                <w:rFonts w:ascii="Calibri" w:hAnsi="Calibri"/>
                <w:b/>
                <w:sz w:val="22"/>
                <w:lang w:eastAsia="en-US"/>
              </w:rPr>
              <w:t>Total Expenses</w:t>
            </w:r>
          </w:p>
        </w:tc>
        <w:tc>
          <w:tcPr>
            <w:tcW w:w="1179" w:type="dxa"/>
            <w:tcBorders>
              <w:top w:val="single" w:sz="4" w:space="0" w:color="auto"/>
              <w:bottom w:val="single" w:sz="4" w:space="0" w:color="auto"/>
            </w:tcBorders>
          </w:tcPr>
          <w:p w14:paraId="62230C78"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917</w:t>
            </w:r>
          </w:p>
        </w:tc>
        <w:tc>
          <w:tcPr>
            <w:tcW w:w="1041" w:type="dxa"/>
            <w:tcBorders>
              <w:top w:val="single" w:sz="4" w:space="0" w:color="auto"/>
              <w:bottom w:val="single" w:sz="4" w:space="0" w:color="auto"/>
            </w:tcBorders>
          </w:tcPr>
          <w:p w14:paraId="75A24237"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2,396</w:t>
            </w:r>
          </w:p>
        </w:tc>
        <w:tc>
          <w:tcPr>
            <w:tcW w:w="1029" w:type="dxa"/>
            <w:tcBorders>
              <w:top w:val="single" w:sz="4" w:space="0" w:color="auto"/>
              <w:bottom w:val="single" w:sz="4" w:space="0" w:color="auto"/>
            </w:tcBorders>
          </w:tcPr>
          <w:p w14:paraId="6CD32406"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2,595</w:t>
            </w:r>
          </w:p>
        </w:tc>
        <w:tc>
          <w:tcPr>
            <w:tcW w:w="1029" w:type="dxa"/>
            <w:tcBorders>
              <w:top w:val="single" w:sz="4" w:space="0" w:color="auto"/>
              <w:bottom w:val="single" w:sz="4" w:space="0" w:color="auto"/>
            </w:tcBorders>
          </w:tcPr>
          <w:p w14:paraId="7B19F7AE"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2E3FD801"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5,908</w:t>
            </w:r>
          </w:p>
        </w:tc>
      </w:tr>
    </w:tbl>
    <w:p w14:paraId="779FB1F9" w14:textId="77777777" w:rsidR="00FB3EAB" w:rsidRPr="00FB3EAB" w:rsidRDefault="00FB3EAB" w:rsidP="00FD1D5C">
      <w:pPr>
        <w:pStyle w:val="snapInitbody"/>
      </w:pPr>
      <w:r w:rsidRPr="00FB3EAB">
        <w:t>The Government will expand the Bail Accommodation Transition Support Service to better support women and Aboriginal and Torres Strait Islander people. This service will provide short-term accommodation options to help ensure bail granted by the courts is safe and sustainable, and also provide longer term housing options to help divert people away from the Alexander Maconochie Centre. The Justice Housing program will also provide longer term housing options to women and Aboriginal and Torres Strait Islander people transitioning from custody.</w:t>
      </w:r>
    </w:p>
    <w:p w14:paraId="447B9784" w14:textId="77777777" w:rsidR="00FB3EAB" w:rsidRPr="00202E81" w:rsidRDefault="00FB3EAB" w:rsidP="00202E81">
      <w:pPr>
        <w:pStyle w:val="snapInittitles"/>
      </w:pPr>
      <w:r w:rsidRPr="00202E81">
        <w:t xml:space="preserve">Strengthening rehabilitation programs at the Alexander Maconochie Centre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FB3EAB" w:rsidRPr="00866299" w14:paraId="09D5AF18" w14:textId="77777777" w:rsidTr="00FD1D5C">
        <w:trPr>
          <w:cantSplit/>
        </w:trPr>
        <w:tc>
          <w:tcPr>
            <w:tcW w:w="3652" w:type="dxa"/>
            <w:tcBorders>
              <w:top w:val="single" w:sz="4" w:space="0" w:color="auto"/>
              <w:bottom w:val="single" w:sz="4" w:space="0" w:color="auto"/>
            </w:tcBorders>
          </w:tcPr>
          <w:p w14:paraId="547078BF" w14:textId="77777777" w:rsidR="00FB3EAB" w:rsidRPr="00866299" w:rsidRDefault="00FB3EAB" w:rsidP="00FB3EAB">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79D51066"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2019-20</w:t>
            </w:r>
          </w:p>
          <w:p w14:paraId="7DE31129"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0B1658B2"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2020-21</w:t>
            </w:r>
          </w:p>
          <w:p w14:paraId="73554F72"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AD5BDC1"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2021-22</w:t>
            </w:r>
          </w:p>
          <w:p w14:paraId="64DD59F8"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1AD17C87"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2022-23</w:t>
            </w:r>
          </w:p>
          <w:p w14:paraId="71A2FD10"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14D34D98"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Total</w:t>
            </w:r>
          </w:p>
          <w:p w14:paraId="09548096"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$’000</w:t>
            </w:r>
          </w:p>
        </w:tc>
      </w:tr>
      <w:tr w:rsidR="00FB3EAB" w:rsidRPr="00866299" w14:paraId="3314FC78" w14:textId="77777777" w:rsidTr="00FD1D5C">
        <w:trPr>
          <w:cantSplit/>
        </w:trPr>
        <w:tc>
          <w:tcPr>
            <w:tcW w:w="3652" w:type="dxa"/>
            <w:tcBorders>
              <w:top w:val="single" w:sz="4" w:space="0" w:color="auto"/>
              <w:bottom w:val="single" w:sz="4" w:space="0" w:color="auto"/>
            </w:tcBorders>
          </w:tcPr>
          <w:p w14:paraId="65AAF2D3" w14:textId="77777777" w:rsidR="00FB3EAB" w:rsidRPr="00866299" w:rsidRDefault="00FB3EAB" w:rsidP="00FB3EAB">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tcPr>
          <w:p w14:paraId="6A3270F3"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330</w:t>
            </w:r>
          </w:p>
        </w:tc>
        <w:tc>
          <w:tcPr>
            <w:tcW w:w="1041" w:type="dxa"/>
            <w:tcBorders>
              <w:top w:val="single" w:sz="4" w:space="0" w:color="auto"/>
              <w:bottom w:val="single" w:sz="4" w:space="0" w:color="auto"/>
            </w:tcBorders>
          </w:tcPr>
          <w:p w14:paraId="2C24147D"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1,881</w:t>
            </w:r>
          </w:p>
        </w:tc>
        <w:tc>
          <w:tcPr>
            <w:tcW w:w="1029" w:type="dxa"/>
            <w:tcBorders>
              <w:top w:val="single" w:sz="4" w:space="0" w:color="auto"/>
              <w:bottom w:val="single" w:sz="4" w:space="0" w:color="auto"/>
            </w:tcBorders>
          </w:tcPr>
          <w:p w14:paraId="7F32BCB3"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2,094</w:t>
            </w:r>
          </w:p>
        </w:tc>
        <w:tc>
          <w:tcPr>
            <w:tcW w:w="1029" w:type="dxa"/>
            <w:tcBorders>
              <w:top w:val="single" w:sz="4" w:space="0" w:color="auto"/>
              <w:bottom w:val="single" w:sz="4" w:space="0" w:color="auto"/>
            </w:tcBorders>
          </w:tcPr>
          <w:p w14:paraId="587E0F32"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2,136</w:t>
            </w:r>
          </w:p>
        </w:tc>
        <w:tc>
          <w:tcPr>
            <w:tcW w:w="1029" w:type="dxa"/>
            <w:tcBorders>
              <w:top w:val="single" w:sz="4" w:space="0" w:color="auto"/>
              <w:bottom w:val="single" w:sz="4" w:space="0" w:color="auto"/>
            </w:tcBorders>
          </w:tcPr>
          <w:p w14:paraId="7719C7DA"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6,441</w:t>
            </w:r>
          </w:p>
        </w:tc>
      </w:tr>
    </w:tbl>
    <w:p w14:paraId="47264E40" w14:textId="77777777" w:rsidR="00FB3EAB" w:rsidRPr="00FB3EAB" w:rsidRDefault="00FB3EAB" w:rsidP="00FD1D5C">
      <w:pPr>
        <w:pStyle w:val="snapInitbody"/>
      </w:pPr>
      <w:r w:rsidRPr="00FB3EAB">
        <w:t xml:space="preserve">The Government will </w:t>
      </w:r>
      <w:r w:rsidRPr="00FB3EAB">
        <w:rPr>
          <w:szCs w:val="24"/>
        </w:rPr>
        <w:t>employ additional case and program managers at the Alexander Maconochie Centre to strengthen the delivery of rehabilitation programs for detainees. This will provide appropriate therapeutic and re-integration programs to detainees and help them to facilitate a safe return to the community</w:t>
      </w:r>
      <w:r w:rsidRPr="00FB3EAB">
        <w:t>.</w:t>
      </w:r>
    </w:p>
    <w:p w14:paraId="2394D21B" w14:textId="77777777" w:rsidR="00FB3EAB" w:rsidRPr="00202E81" w:rsidRDefault="00FB3EAB" w:rsidP="00202E81">
      <w:pPr>
        <w:pStyle w:val="snapInittitles"/>
      </w:pPr>
      <w:r w:rsidRPr="00202E81">
        <w:t xml:space="preserve">Strengthening the ACT Ombudsman for more transparent government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FB3EAB" w:rsidRPr="00866299" w14:paraId="36615554" w14:textId="77777777" w:rsidTr="00FD1D5C">
        <w:trPr>
          <w:cantSplit/>
        </w:trPr>
        <w:tc>
          <w:tcPr>
            <w:tcW w:w="3652" w:type="dxa"/>
            <w:tcBorders>
              <w:top w:val="single" w:sz="4" w:space="0" w:color="auto"/>
              <w:bottom w:val="single" w:sz="4" w:space="0" w:color="auto"/>
            </w:tcBorders>
          </w:tcPr>
          <w:p w14:paraId="1F4D1C05" w14:textId="77777777" w:rsidR="00FB3EAB" w:rsidRPr="00866299" w:rsidRDefault="00FB3EAB" w:rsidP="00FB3EAB">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6C38A6DC"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2019-20</w:t>
            </w:r>
          </w:p>
          <w:p w14:paraId="546624DB"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6DA0C4CA"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2020-21</w:t>
            </w:r>
          </w:p>
          <w:p w14:paraId="4BAA746A"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540EA3C"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2021-22</w:t>
            </w:r>
          </w:p>
          <w:p w14:paraId="0666F6F0"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371C0152"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2022-23</w:t>
            </w:r>
          </w:p>
          <w:p w14:paraId="486B801A"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5F1E5310"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Total</w:t>
            </w:r>
          </w:p>
          <w:p w14:paraId="2965830D"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$’000</w:t>
            </w:r>
          </w:p>
        </w:tc>
      </w:tr>
      <w:tr w:rsidR="00FB3EAB" w:rsidRPr="00866299" w14:paraId="000470D5" w14:textId="77777777" w:rsidTr="00FD1D5C">
        <w:trPr>
          <w:cantSplit/>
        </w:trPr>
        <w:tc>
          <w:tcPr>
            <w:tcW w:w="3652" w:type="dxa"/>
            <w:tcBorders>
              <w:top w:val="single" w:sz="4" w:space="0" w:color="auto"/>
            </w:tcBorders>
          </w:tcPr>
          <w:p w14:paraId="4F13358E" w14:textId="77777777" w:rsidR="00FB3EAB" w:rsidRPr="00866299" w:rsidRDefault="00FB3EAB" w:rsidP="00FB3EAB">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tcBorders>
          </w:tcPr>
          <w:p w14:paraId="2EFA71B6"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899</w:t>
            </w:r>
          </w:p>
        </w:tc>
        <w:tc>
          <w:tcPr>
            <w:tcW w:w="1041" w:type="dxa"/>
            <w:tcBorders>
              <w:top w:val="single" w:sz="4" w:space="0" w:color="auto"/>
            </w:tcBorders>
          </w:tcPr>
          <w:p w14:paraId="58E926E3"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922</w:t>
            </w:r>
          </w:p>
        </w:tc>
        <w:tc>
          <w:tcPr>
            <w:tcW w:w="1029" w:type="dxa"/>
            <w:tcBorders>
              <w:top w:val="single" w:sz="4" w:space="0" w:color="auto"/>
            </w:tcBorders>
          </w:tcPr>
          <w:p w14:paraId="0385AF28"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63</w:t>
            </w:r>
          </w:p>
        </w:tc>
        <w:tc>
          <w:tcPr>
            <w:tcW w:w="1029" w:type="dxa"/>
            <w:tcBorders>
              <w:top w:val="single" w:sz="4" w:space="0" w:color="auto"/>
            </w:tcBorders>
          </w:tcPr>
          <w:p w14:paraId="3A9D3918"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65</w:t>
            </w:r>
          </w:p>
        </w:tc>
        <w:tc>
          <w:tcPr>
            <w:tcW w:w="1029" w:type="dxa"/>
            <w:tcBorders>
              <w:top w:val="single" w:sz="4" w:space="0" w:color="auto"/>
            </w:tcBorders>
          </w:tcPr>
          <w:p w14:paraId="3CA423F6"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1,949</w:t>
            </w:r>
          </w:p>
        </w:tc>
      </w:tr>
      <w:tr w:rsidR="00FB3EAB" w:rsidRPr="00866299" w14:paraId="5D2FDA53" w14:textId="77777777" w:rsidTr="00FD1D5C">
        <w:trPr>
          <w:cantSplit/>
        </w:trPr>
        <w:tc>
          <w:tcPr>
            <w:tcW w:w="3652" w:type="dxa"/>
            <w:tcBorders>
              <w:bottom w:val="single" w:sz="4" w:space="0" w:color="auto"/>
            </w:tcBorders>
          </w:tcPr>
          <w:p w14:paraId="45695466" w14:textId="77777777" w:rsidR="00FB3EAB" w:rsidRPr="00866299" w:rsidRDefault="00FB3EAB" w:rsidP="00FB3EAB">
            <w:pPr>
              <w:ind w:left="284" w:hanging="284"/>
              <w:rPr>
                <w:rFonts w:ascii="Calibri" w:hAnsi="Calibri"/>
                <w:sz w:val="22"/>
                <w:lang w:eastAsia="en-US"/>
              </w:rPr>
            </w:pPr>
            <w:r w:rsidRPr="00866299">
              <w:rPr>
                <w:rFonts w:ascii="Calibri" w:hAnsi="Calibri"/>
                <w:sz w:val="22"/>
                <w:lang w:eastAsia="en-US"/>
              </w:rPr>
              <w:t>Offset – Expenses – Provision</w:t>
            </w:r>
          </w:p>
        </w:tc>
        <w:tc>
          <w:tcPr>
            <w:tcW w:w="1179" w:type="dxa"/>
            <w:tcBorders>
              <w:bottom w:val="single" w:sz="4" w:space="0" w:color="auto"/>
            </w:tcBorders>
          </w:tcPr>
          <w:p w14:paraId="74D7AFA9"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-500</w:t>
            </w:r>
          </w:p>
        </w:tc>
        <w:tc>
          <w:tcPr>
            <w:tcW w:w="1041" w:type="dxa"/>
            <w:tcBorders>
              <w:bottom w:val="single" w:sz="4" w:space="0" w:color="auto"/>
            </w:tcBorders>
          </w:tcPr>
          <w:p w14:paraId="117ACF99"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-500</w:t>
            </w:r>
          </w:p>
        </w:tc>
        <w:tc>
          <w:tcPr>
            <w:tcW w:w="1029" w:type="dxa"/>
            <w:tcBorders>
              <w:bottom w:val="single" w:sz="4" w:space="0" w:color="auto"/>
            </w:tcBorders>
          </w:tcPr>
          <w:p w14:paraId="2F7AD4F5"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bottom w:val="single" w:sz="4" w:space="0" w:color="auto"/>
            </w:tcBorders>
          </w:tcPr>
          <w:p w14:paraId="16489392"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bottom w:val="single" w:sz="4" w:space="0" w:color="auto"/>
            </w:tcBorders>
          </w:tcPr>
          <w:p w14:paraId="79521656"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-1,000</w:t>
            </w:r>
          </w:p>
        </w:tc>
      </w:tr>
      <w:tr w:rsidR="00FB3EAB" w:rsidRPr="00866299" w14:paraId="659EAE10" w14:textId="77777777" w:rsidTr="00FD1D5C">
        <w:trPr>
          <w:cantSplit/>
        </w:trPr>
        <w:tc>
          <w:tcPr>
            <w:tcW w:w="3652" w:type="dxa"/>
            <w:tcBorders>
              <w:top w:val="single" w:sz="4" w:space="0" w:color="auto"/>
              <w:bottom w:val="single" w:sz="4" w:space="0" w:color="auto"/>
            </w:tcBorders>
          </w:tcPr>
          <w:p w14:paraId="0FD79060" w14:textId="77777777" w:rsidR="00FB3EAB" w:rsidRPr="00866299" w:rsidRDefault="00FB3EAB" w:rsidP="00FB3EAB">
            <w:pPr>
              <w:ind w:left="284" w:hanging="284"/>
              <w:rPr>
                <w:rFonts w:ascii="Calibri" w:hAnsi="Calibri"/>
                <w:b/>
                <w:sz w:val="22"/>
                <w:lang w:eastAsia="en-US"/>
              </w:rPr>
            </w:pPr>
            <w:r w:rsidRPr="00866299">
              <w:rPr>
                <w:rFonts w:ascii="Calibri" w:hAnsi="Calibri"/>
                <w:b/>
                <w:sz w:val="22"/>
                <w:lang w:eastAsia="en-US"/>
              </w:rPr>
              <w:t>Net Expenses</w:t>
            </w:r>
          </w:p>
        </w:tc>
        <w:tc>
          <w:tcPr>
            <w:tcW w:w="1179" w:type="dxa"/>
            <w:tcBorders>
              <w:top w:val="single" w:sz="4" w:space="0" w:color="auto"/>
              <w:bottom w:val="single" w:sz="4" w:space="0" w:color="auto"/>
            </w:tcBorders>
          </w:tcPr>
          <w:p w14:paraId="5BCA6DC4"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399</w:t>
            </w:r>
          </w:p>
        </w:tc>
        <w:tc>
          <w:tcPr>
            <w:tcW w:w="1041" w:type="dxa"/>
            <w:tcBorders>
              <w:top w:val="single" w:sz="4" w:space="0" w:color="auto"/>
              <w:bottom w:val="single" w:sz="4" w:space="0" w:color="auto"/>
            </w:tcBorders>
          </w:tcPr>
          <w:p w14:paraId="7FE1EF8F"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422</w:t>
            </w:r>
          </w:p>
        </w:tc>
        <w:tc>
          <w:tcPr>
            <w:tcW w:w="1029" w:type="dxa"/>
            <w:tcBorders>
              <w:top w:val="single" w:sz="4" w:space="0" w:color="auto"/>
              <w:bottom w:val="single" w:sz="4" w:space="0" w:color="auto"/>
            </w:tcBorders>
          </w:tcPr>
          <w:p w14:paraId="19B04EB7"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63</w:t>
            </w:r>
          </w:p>
        </w:tc>
        <w:tc>
          <w:tcPr>
            <w:tcW w:w="1029" w:type="dxa"/>
            <w:tcBorders>
              <w:top w:val="single" w:sz="4" w:space="0" w:color="auto"/>
              <w:bottom w:val="single" w:sz="4" w:space="0" w:color="auto"/>
            </w:tcBorders>
          </w:tcPr>
          <w:p w14:paraId="1BC88F6F"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65</w:t>
            </w:r>
          </w:p>
        </w:tc>
        <w:tc>
          <w:tcPr>
            <w:tcW w:w="1029" w:type="dxa"/>
            <w:tcBorders>
              <w:top w:val="single" w:sz="4" w:space="0" w:color="auto"/>
              <w:bottom w:val="single" w:sz="4" w:space="0" w:color="auto"/>
            </w:tcBorders>
          </w:tcPr>
          <w:p w14:paraId="78335DB4"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949</w:t>
            </w:r>
          </w:p>
        </w:tc>
      </w:tr>
    </w:tbl>
    <w:p w14:paraId="13887667" w14:textId="5B53E406" w:rsidR="00FB3EAB" w:rsidRPr="00FB3EAB" w:rsidRDefault="00FB3EAB" w:rsidP="00FD1D5C">
      <w:pPr>
        <w:pStyle w:val="snapInitbody"/>
        <w:rPr>
          <w:szCs w:val="24"/>
        </w:rPr>
      </w:pPr>
      <w:r w:rsidRPr="00FB3EAB">
        <w:t>The Government will continue to provide funding to the ACT Ombu</w:t>
      </w:r>
      <w:r w:rsidRPr="00FB3EAB">
        <w:rPr>
          <w:szCs w:val="24"/>
        </w:rPr>
        <w:t xml:space="preserve">dsman to support its role under the </w:t>
      </w:r>
      <w:r w:rsidRPr="00FB3EAB">
        <w:rPr>
          <w:i/>
          <w:szCs w:val="24"/>
        </w:rPr>
        <w:t>Freedom of Information Act 2016</w:t>
      </w:r>
      <w:r w:rsidRPr="00FB3EAB">
        <w:rPr>
          <w:szCs w:val="24"/>
        </w:rPr>
        <w:t>. A review in the 2020-21 financial year will determine ongoing funding requirements for this service.</w:t>
      </w:r>
      <w:r w:rsidR="000F30E1">
        <w:rPr>
          <w:szCs w:val="24"/>
        </w:rPr>
        <w:t xml:space="preserve"> </w:t>
      </w:r>
    </w:p>
    <w:p w14:paraId="7533180B" w14:textId="77777777" w:rsidR="00FB3EAB" w:rsidRPr="00FB3EAB" w:rsidRDefault="00FB3EAB" w:rsidP="00FD1D5C">
      <w:pPr>
        <w:pStyle w:val="snapInitbody"/>
        <w:rPr>
          <w:szCs w:val="24"/>
        </w:rPr>
      </w:pPr>
      <w:r w:rsidRPr="00FB3EAB">
        <w:t xml:space="preserve">The Government will also provide funding for the ACT Ombudsman to continue its role </w:t>
      </w:r>
      <w:r w:rsidRPr="00FB3EAB">
        <w:rPr>
          <w:szCs w:val="24"/>
        </w:rPr>
        <w:t xml:space="preserve">as the Principal Officer for the ACT Judicial Commission established under the </w:t>
      </w:r>
      <w:r w:rsidRPr="00FB3EAB">
        <w:rPr>
          <w:i/>
          <w:szCs w:val="24"/>
        </w:rPr>
        <w:t>Judicial Commissions Act 1994</w:t>
      </w:r>
      <w:r w:rsidRPr="00FB3EAB">
        <w:rPr>
          <w:szCs w:val="24"/>
        </w:rPr>
        <w:t>. The Judicial Council commenced operation on 1 February 2017 and receives and examines complaints about judicial officers. This initiative will be partially offset by a provision established in the 2018 Budget.</w:t>
      </w:r>
    </w:p>
    <w:p w14:paraId="47285143" w14:textId="77777777" w:rsidR="00B6149F" w:rsidRDefault="00B6149F">
      <w:pPr>
        <w:rPr>
          <w:rFonts w:ascii="Calibri" w:hAnsi="Calibri"/>
          <w:b/>
          <w:bCs/>
          <w:szCs w:val="26"/>
          <w:lang w:val="x-none" w:eastAsia="en-US"/>
        </w:rPr>
      </w:pPr>
      <w:r>
        <w:br w:type="page"/>
      </w:r>
    </w:p>
    <w:p w14:paraId="416221F7" w14:textId="7F9D0DD3" w:rsidR="00FB3EAB" w:rsidRPr="00202E81" w:rsidRDefault="00FB3EAB" w:rsidP="00202E81">
      <w:pPr>
        <w:pStyle w:val="snapInittitles"/>
      </w:pPr>
      <w:r w:rsidRPr="00202E81">
        <w:t xml:space="preserve">Supporting community legal centres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FB3EAB" w:rsidRPr="00866299" w14:paraId="7FFBD71C" w14:textId="77777777" w:rsidTr="00FD1D5C">
        <w:trPr>
          <w:cantSplit/>
        </w:trPr>
        <w:tc>
          <w:tcPr>
            <w:tcW w:w="3652" w:type="dxa"/>
            <w:tcBorders>
              <w:top w:val="single" w:sz="4" w:space="0" w:color="auto"/>
              <w:bottom w:val="single" w:sz="4" w:space="0" w:color="auto"/>
            </w:tcBorders>
          </w:tcPr>
          <w:p w14:paraId="6CBDD699" w14:textId="77777777" w:rsidR="00FB3EAB" w:rsidRPr="00866299" w:rsidRDefault="00FB3EAB" w:rsidP="00FB3EAB">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49DE8B91"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2019-20</w:t>
            </w:r>
          </w:p>
          <w:p w14:paraId="799D0760"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1830D594"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2020-21</w:t>
            </w:r>
          </w:p>
          <w:p w14:paraId="247E513B"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1CFEFC55"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2021-22</w:t>
            </w:r>
          </w:p>
          <w:p w14:paraId="7D230FAF"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51D9F5D"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2022-23</w:t>
            </w:r>
          </w:p>
          <w:p w14:paraId="1C77971E"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32ED15B1"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Total</w:t>
            </w:r>
          </w:p>
          <w:p w14:paraId="4C65FF31"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$’000</w:t>
            </w:r>
          </w:p>
        </w:tc>
      </w:tr>
      <w:tr w:rsidR="00FB3EAB" w:rsidRPr="00866299" w14:paraId="7ED3533F" w14:textId="77777777" w:rsidTr="00FD1D5C">
        <w:trPr>
          <w:cantSplit/>
        </w:trPr>
        <w:tc>
          <w:tcPr>
            <w:tcW w:w="3652" w:type="dxa"/>
            <w:tcBorders>
              <w:top w:val="single" w:sz="4" w:space="0" w:color="auto"/>
              <w:bottom w:val="single" w:sz="4" w:space="0" w:color="auto"/>
            </w:tcBorders>
          </w:tcPr>
          <w:p w14:paraId="7B7844FB" w14:textId="77777777" w:rsidR="00FB3EAB" w:rsidRPr="00866299" w:rsidRDefault="00FB3EAB" w:rsidP="00FB3EAB">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tcPr>
          <w:p w14:paraId="4FFB3C1B"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265</w:t>
            </w:r>
          </w:p>
        </w:tc>
        <w:tc>
          <w:tcPr>
            <w:tcW w:w="1041" w:type="dxa"/>
            <w:tcBorders>
              <w:top w:val="single" w:sz="4" w:space="0" w:color="auto"/>
              <w:bottom w:val="single" w:sz="4" w:space="0" w:color="auto"/>
            </w:tcBorders>
          </w:tcPr>
          <w:p w14:paraId="743DB970"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7EFFF186"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3BE19AFD"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5903B8BF"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265</w:t>
            </w:r>
          </w:p>
        </w:tc>
      </w:tr>
    </w:tbl>
    <w:p w14:paraId="0C2D8C41" w14:textId="77777777" w:rsidR="00FB3EAB" w:rsidRPr="00FB3EAB" w:rsidRDefault="00FB3EAB" w:rsidP="00FD1D5C">
      <w:pPr>
        <w:pStyle w:val="snapInitbody"/>
        <w:rPr>
          <w:szCs w:val="24"/>
        </w:rPr>
      </w:pPr>
      <w:r w:rsidRPr="00FB3EAB">
        <w:t>The Government will provide further support to Care</w:t>
      </w:r>
      <w:r w:rsidRPr="00FB3EAB">
        <w:rPr>
          <w:szCs w:val="24"/>
        </w:rPr>
        <w:t xml:space="preserve"> Inc. and the Women’s Legal Centre so that they can continue providing legal services to disadvantaged groups within the ACT community. The Government will also continue to support the Environmental Defender’s Office to provide community legal assistance services on environmental matters.</w:t>
      </w:r>
    </w:p>
    <w:p w14:paraId="4A6A5089" w14:textId="77777777" w:rsidR="00FB3EAB" w:rsidRPr="00FB3EAB" w:rsidRDefault="00FB3EAB" w:rsidP="00FD1D5C">
      <w:pPr>
        <w:pStyle w:val="snapInitbody"/>
      </w:pPr>
      <w:r w:rsidRPr="00FB3EAB">
        <w:rPr>
          <w:szCs w:val="24"/>
        </w:rPr>
        <w:t xml:space="preserve">The ACT Government has been supporting the operations of these community legal services since 2016 </w:t>
      </w:r>
      <w:r w:rsidRPr="00FB3EAB">
        <w:t>to ensure certainty in the face of Commonwealth changes to the National Partnership Agreement on Legal Assistance Funding.</w:t>
      </w:r>
    </w:p>
    <w:p w14:paraId="6BA07713" w14:textId="29A6896D" w:rsidR="00FB3EAB" w:rsidRPr="007A3A72" w:rsidRDefault="00FB3EAB" w:rsidP="007A3A72">
      <w:pPr>
        <w:pStyle w:val="Heading3"/>
      </w:pPr>
      <w:r w:rsidRPr="007A3A72">
        <w:t xml:space="preserve">Infrastructure and Capital </w:t>
      </w:r>
      <w:r w:rsidR="00B2594F">
        <w:t>I</w:t>
      </w:r>
      <w:r w:rsidRPr="007A3A72">
        <w:t>nitiatives</w:t>
      </w:r>
    </w:p>
    <w:p w14:paraId="060515E8" w14:textId="77777777" w:rsidR="00FB3EAB" w:rsidRPr="00202E81" w:rsidRDefault="00FB3EAB" w:rsidP="00202E81">
      <w:pPr>
        <w:pStyle w:val="snapInittitles"/>
      </w:pPr>
      <w:r w:rsidRPr="00202E81">
        <w:t xml:space="preserve">Creating a Reintegration Centre to support pathways out of the justice system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FB3EAB" w:rsidRPr="00866299" w14:paraId="40935859" w14:textId="77777777" w:rsidTr="00FD1D5C">
        <w:trPr>
          <w:cantSplit/>
        </w:trPr>
        <w:tc>
          <w:tcPr>
            <w:tcW w:w="3652" w:type="dxa"/>
            <w:tcBorders>
              <w:top w:val="single" w:sz="4" w:space="0" w:color="auto"/>
              <w:bottom w:val="single" w:sz="4" w:space="0" w:color="auto"/>
            </w:tcBorders>
          </w:tcPr>
          <w:p w14:paraId="0C261E74" w14:textId="77777777" w:rsidR="00FB3EAB" w:rsidRPr="00866299" w:rsidRDefault="00FB3EAB" w:rsidP="00FB3EAB">
            <w:pPr>
              <w:jc w:val="right"/>
              <w:rPr>
                <w:rFonts w:ascii="Calibri" w:hAnsi="Calibri" w:cs="Calibri"/>
                <w:i/>
                <w:color w:val="FFFFFF"/>
                <w:sz w:val="22"/>
                <w:lang w:eastAsia="en-US"/>
              </w:rPr>
            </w:pPr>
            <w:r w:rsidRPr="00866299">
              <w:rPr>
                <w:rFonts w:ascii="Calibri" w:hAnsi="Calibri" w:cs="Calibri"/>
                <w:i/>
                <w:color w:val="FFFFFF"/>
                <w:sz w:val="22"/>
                <w:lang w:eastAsia="en-US"/>
              </w:rPr>
              <w:t>Empty Cell</w:t>
            </w:r>
          </w:p>
        </w:tc>
        <w:tc>
          <w:tcPr>
            <w:tcW w:w="1179" w:type="dxa"/>
            <w:tcBorders>
              <w:top w:val="single" w:sz="4" w:space="0" w:color="auto"/>
              <w:bottom w:val="single" w:sz="4" w:space="0" w:color="auto"/>
            </w:tcBorders>
          </w:tcPr>
          <w:p w14:paraId="2D6B1252"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2019-20</w:t>
            </w:r>
          </w:p>
          <w:p w14:paraId="7FAAA6E2"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50D116CC"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2020-21</w:t>
            </w:r>
          </w:p>
          <w:p w14:paraId="00648321"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B07357F"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2021-22</w:t>
            </w:r>
          </w:p>
          <w:p w14:paraId="4E9C1EEE"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565B77DC"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2022-23</w:t>
            </w:r>
          </w:p>
          <w:p w14:paraId="0E12263D"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951BA8A"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Total</w:t>
            </w:r>
          </w:p>
          <w:p w14:paraId="7F6E2BCD"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$’000</w:t>
            </w:r>
          </w:p>
        </w:tc>
      </w:tr>
      <w:tr w:rsidR="00FB3EAB" w:rsidRPr="00866299" w14:paraId="5DAFD4D8" w14:textId="77777777" w:rsidTr="00FD1D5C">
        <w:trPr>
          <w:cantSplit/>
        </w:trPr>
        <w:tc>
          <w:tcPr>
            <w:tcW w:w="3652" w:type="dxa"/>
            <w:tcBorders>
              <w:top w:val="single" w:sz="4" w:space="0" w:color="auto"/>
            </w:tcBorders>
          </w:tcPr>
          <w:p w14:paraId="6FB1385A" w14:textId="77777777" w:rsidR="00FB3EAB" w:rsidRPr="00866299" w:rsidRDefault="00FB3EAB" w:rsidP="00FB3EAB">
            <w:pPr>
              <w:ind w:left="284" w:hanging="284"/>
              <w:rPr>
                <w:rFonts w:ascii="Calibri" w:hAnsi="Calibri"/>
                <w:sz w:val="22"/>
                <w:lang w:eastAsia="en-US"/>
              </w:rPr>
            </w:pPr>
            <w:r w:rsidRPr="00866299">
              <w:rPr>
                <w:rFonts w:ascii="Calibri" w:hAnsi="Calibri"/>
                <w:sz w:val="22"/>
                <w:lang w:eastAsia="en-US"/>
              </w:rPr>
              <w:t>Capital</w:t>
            </w:r>
          </w:p>
        </w:tc>
        <w:tc>
          <w:tcPr>
            <w:tcW w:w="1179" w:type="dxa"/>
            <w:tcBorders>
              <w:top w:val="single" w:sz="4" w:space="0" w:color="auto"/>
            </w:tcBorders>
          </w:tcPr>
          <w:p w14:paraId="7CCBD5B8"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1,817</w:t>
            </w:r>
          </w:p>
        </w:tc>
        <w:tc>
          <w:tcPr>
            <w:tcW w:w="1041" w:type="dxa"/>
            <w:tcBorders>
              <w:top w:val="single" w:sz="4" w:space="0" w:color="auto"/>
            </w:tcBorders>
          </w:tcPr>
          <w:p w14:paraId="32D2EBF4"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27,103</w:t>
            </w:r>
          </w:p>
        </w:tc>
        <w:tc>
          <w:tcPr>
            <w:tcW w:w="1029" w:type="dxa"/>
            <w:tcBorders>
              <w:top w:val="single" w:sz="4" w:space="0" w:color="auto"/>
            </w:tcBorders>
          </w:tcPr>
          <w:p w14:paraId="60B2D012"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6,075</w:t>
            </w:r>
          </w:p>
        </w:tc>
        <w:tc>
          <w:tcPr>
            <w:tcW w:w="1029" w:type="dxa"/>
            <w:tcBorders>
              <w:top w:val="single" w:sz="4" w:space="0" w:color="auto"/>
            </w:tcBorders>
          </w:tcPr>
          <w:p w14:paraId="46E539FA"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62EDF3D3"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34,995</w:t>
            </w:r>
          </w:p>
        </w:tc>
      </w:tr>
      <w:tr w:rsidR="00FB3EAB" w:rsidRPr="00866299" w14:paraId="42E647D4" w14:textId="77777777" w:rsidTr="00FD1D5C">
        <w:trPr>
          <w:cantSplit/>
        </w:trPr>
        <w:tc>
          <w:tcPr>
            <w:tcW w:w="3652" w:type="dxa"/>
            <w:tcBorders>
              <w:top w:val="single" w:sz="4" w:space="0" w:color="auto"/>
            </w:tcBorders>
          </w:tcPr>
          <w:p w14:paraId="3D855196" w14:textId="77777777" w:rsidR="00FB3EAB" w:rsidRPr="00866299" w:rsidRDefault="00FB3EAB" w:rsidP="00FB3EAB">
            <w:pPr>
              <w:ind w:left="284" w:hanging="284"/>
              <w:rPr>
                <w:rFonts w:ascii="Calibri" w:hAnsi="Calibri"/>
                <w:sz w:val="22"/>
                <w:lang w:eastAsia="en-US"/>
              </w:rPr>
            </w:pPr>
            <w:r w:rsidRPr="00866299">
              <w:rPr>
                <w:rFonts w:ascii="Calibri" w:hAnsi="Calibri"/>
                <w:sz w:val="22"/>
                <w:lang w:eastAsia="en-US"/>
              </w:rPr>
              <w:t>Depreciation</w:t>
            </w:r>
          </w:p>
        </w:tc>
        <w:tc>
          <w:tcPr>
            <w:tcW w:w="1179" w:type="dxa"/>
            <w:tcBorders>
              <w:top w:val="single" w:sz="4" w:space="0" w:color="auto"/>
            </w:tcBorders>
          </w:tcPr>
          <w:p w14:paraId="3E97CFA5"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w:t>
            </w:r>
          </w:p>
        </w:tc>
        <w:tc>
          <w:tcPr>
            <w:tcW w:w="1041" w:type="dxa"/>
            <w:tcBorders>
              <w:top w:val="single" w:sz="4" w:space="0" w:color="auto"/>
            </w:tcBorders>
          </w:tcPr>
          <w:p w14:paraId="6105B2D9"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32AB1ABB"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692D40FD"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827</w:t>
            </w:r>
          </w:p>
        </w:tc>
        <w:tc>
          <w:tcPr>
            <w:tcW w:w="1029" w:type="dxa"/>
            <w:tcBorders>
              <w:top w:val="single" w:sz="4" w:space="0" w:color="auto"/>
            </w:tcBorders>
          </w:tcPr>
          <w:p w14:paraId="08230793"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827</w:t>
            </w:r>
          </w:p>
        </w:tc>
      </w:tr>
      <w:tr w:rsidR="00FB3EAB" w:rsidRPr="00866299" w14:paraId="7F7BE7DC" w14:textId="77777777" w:rsidTr="00FD1D5C">
        <w:trPr>
          <w:cantSplit/>
        </w:trPr>
        <w:tc>
          <w:tcPr>
            <w:tcW w:w="3652" w:type="dxa"/>
            <w:tcBorders>
              <w:bottom w:val="single" w:sz="4" w:space="0" w:color="auto"/>
            </w:tcBorders>
          </w:tcPr>
          <w:p w14:paraId="175E570D" w14:textId="77777777" w:rsidR="00FB3EAB" w:rsidRPr="00866299" w:rsidRDefault="00FB3EAB" w:rsidP="00FB3EAB">
            <w:pPr>
              <w:ind w:left="284" w:hanging="284"/>
              <w:rPr>
                <w:rFonts w:ascii="Calibri" w:hAnsi="Calibri"/>
                <w:sz w:val="22"/>
                <w:lang w:eastAsia="en-US"/>
              </w:rPr>
            </w:pPr>
            <w:r w:rsidRPr="00866299">
              <w:rPr>
                <w:rFonts w:ascii="Calibri" w:hAnsi="Calibri"/>
                <w:sz w:val="22"/>
                <w:lang w:eastAsia="en-US"/>
              </w:rPr>
              <w:t>Associated expenses – Provision</w:t>
            </w:r>
          </w:p>
        </w:tc>
        <w:tc>
          <w:tcPr>
            <w:tcW w:w="1179" w:type="dxa"/>
            <w:tcBorders>
              <w:bottom w:val="single" w:sz="4" w:space="0" w:color="auto"/>
            </w:tcBorders>
          </w:tcPr>
          <w:p w14:paraId="193E48B2"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w:t>
            </w:r>
          </w:p>
        </w:tc>
        <w:tc>
          <w:tcPr>
            <w:tcW w:w="1041" w:type="dxa"/>
            <w:tcBorders>
              <w:bottom w:val="single" w:sz="4" w:space="0" w:color="auto"/>
            </w:tcBorders>
          </w:tcPr>
          <w:p w14:paraId="05778645"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bottom w:val="single" w:sz="4" w:space="0" w:color="auto"/>
            </w:tcBorders>
          </w:tcPr>
          <w:p w14:paraId="5566C1FB"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6,000</w:t>
            </w:r>
          </w:p>
        </w:tc>
        <w:tc>
          <w:tcPr>
            <w:tcW w:w="1029" w:type="dxa"/>
            <w:tcBorders>
              <w:bottom w:val="single" w:sz="4" w:space="0" w:color="auto"/>
            </w:tcBorders>
          </w:tcPr>
          <w:p w14:paraId="622CADDF"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6,000</w:t>
            </w:r>
          </w:p>
        </w:tc>
        <w:tc>
          <w:tcPr>
            <w:tcW w:w="1029" w:type="dxa"/>
            <w:tcBorders>
              <w:bottom w:val="single" w:sz="4" w:space="0" w:color="auto"/>
            </w:tcBorders>
          </w:tcPr>
          <w:p w14:paraId="67172F3B"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12,000</w:t>
            </w:r>
          </w:p>
        </w:tc>
      </w:tr>
      <w:tr w:rsidR="00FB3EAB" w:rsidRPr="00866299" w14:paraId="682ABE45" w14:textId="77777777" w:rsidTr="00FD1D5C">
        <w:trPr>
          <w:cantSplit/>
        </w:trPr>
        <w:tc>
          <w:tcPr>
            <w:tcW w:w="3652" w:type="dxa"/>
            <w:tcBorders>
              <w:top w:val="single" w:sz="4" w:space="0" w:color="auto"/>
              <w:bottom w:val="single" w:sz="4" w:space="0" w:color="auto"/>
            </w:tcBorders>
          </w:tcPr>
          <w:p w14:paraId="4F7AE5AC" w14:textId="77777777" w:rsidR="00FB3EAB" w:rsidRPr="00866299" w:rsidRDefault="00FB3EAB" w:rsidP="00FB3EAB">
            <w:pPr>
              <w:ind w:left="284" w:hanging="284"/>
              <w:rPr>
                <w:rFonts w:ascii="Calibri" w:hAnsi="Calibri"/>
                <w:b/>
                <w:sz w:val="22"/>
                <w:lang w:eastAsia="en-US"/>
              </w:rPr>
            </w:pPr>
            <w:r w:rsidRPr="00866299">
              <w:rPr>
                <w:rFonts w:ascii="Calibri" w:hAnsi="Calibri"/>
                <w:b/>
                <w:sz w:val="22"/>
                <w:lang w:eastAsia="en-US"/>
              </w:rPr>
              <w:t>Total expenses</w:t>
            </w:r>
          </w:p>
        </w:tc>
        <w:tc>
          <w:tcPr>
            <w:tcW w:w="1179" w:type="dxa"/>
            <w:tcBorders>
              <w:top w:val="single" w:sz="4" w:space="0" w:color="auto"/>
              <w:bottom w:val="single" w:sz="4" w:space="0" w:color="auto"/>
            </w:tcBorders>
          </w:tcPr>
          <w:p w14:paraId="38C9CFFA"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0</w:t>
            </w:r>
          </w:p>
        </w:tc>
        <w:tc>
          <w:tcPr>
            <w:tcW w:w="1041" w:type="dxa"/>
            <w:tcBorders>
              <w:top w:val="single" w:sz="4" w:space="0" w:color="auto"/>
              <w:bottom w:val="single" w:sz="4" w:space="0" w:color="auto"/>
            </w:tcBorders>
          </w:tcPr>
          <w:p w14:paraId="313C7127"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76CDBC02"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6,000</w:t>
            </w:r>
          </w:p>
        </w:tc>
        <w:tc>
          <w:tcPr>
            <w:tcW w:w="1029" w:type="dxa"/>
            <w:tcBorders>
              <w:top w:val="single" w:sz="4" w:space="0" w:color="auto"/>
              <w:bottom w:val="single" w:sz="4" w:space="0" w:color="auto"/>
            </w:tcBorders>
          </w:tcPr>
          <w:p w14:paraId="4DB28692"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6,827</w:t>
            </w:r>
          </w:p>
        </w:tc>
        <w:tc>
          <w:tcPr>
            <w:tcW w:w="1029" w:type="dxa"/>
            <w:tcBorders>
              <w:top w:val="single" w:sz="4" w:space="0" w:color="auto"/>
              <w:bottom w:val="single" w:sz="4" w:space="0" w:color="auto"/>
            </w:tcBorders>
          </w:tcPr>
          <w:p w14:paraId="54E173F7"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12,827</w:t>
            </w:r>
          </w:p>
        </w:tc>
      </w:tr>
    </w:tbl>
    <w:p w14:paraId="4AD23A5A" w14:textId="77777777" w:rsidR="00FB3EAB" w:rsidRPr="00FB3EAB" w:rsidRDefault="00FB3EAB" w:rsidP="00FD1D5C">
      <w:pPr>
        <w:pStyle w:val="snapInitbody"/>
        <w:rPr>
          <w:szCs w:val="24"/>
        </w:rPr>
      </w:pPr>
      <w:r w:rsidRPr="00FB3EAB">
        <w:t>The Government will increase the capacity of the Alexander Maconochie Centre by constructing a Reintegration Centre to deliver more transitional release p</w:t>
      </w:r>
      <w:r w:rsidRPr="00FB3EAB">
        <w:rPr>
          <w:szCs w:val="24"/>
        </w:rPr>
        <w:t xml:space="preserve">rograms. The Reintegration Centre will provide accommodation for up to 80 low risk detainees and support them to improve living skills, re-establish connections with family and friends and pursue employment, rehabilitation and education opportunities. This initiative is part of the Government’s efforts to reduce recidivism by helping more detainees onto new pathways after leaving a custodial sentence. </w:t>
      </w:r>
    </w:p>
    <w:p w14:paraId="7E156E00" w14:textId="77777777" w:rsidR="00FB3EAB" w:rsidRPr="00202E81" w:rsidRDefault="00FB3EAB" w:rsidP="00202E81">
      <w:pPr>
        <w:pStyle w:val="snapInittitles"/>
      </w:pPr>
      <w:r w:rsidRPr="00202E81">
        <w:t xml:space="preserve">Delivering better facilities for ACT Policing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FB3EAB" w:rsidRPr="00866299" w14:paraId="27D0AC3A" w14:textId="77777777" w:rsidTr="00FD1D5C">
        <w:trPr>
          <w:cantSplit/>
        </w:trPr>
        <w:tc>
          <w:tcPr>
            <w:tcW w:w="3652" w:type="dxa"/>
            <w:tcBorders>
              <w:top w:val="single" w:sz="4" w:space="0" w:color="auto"/>
              <w:bottom w:val="single" w:sz="4" w:space="0" w:color="auto"/>
            </w:tcBorders>
          </w:tcPr>
          <w:p w14:paraId="1729F801" w14:textId="42811E3B" w:rsidR="00FB3EAB" w:rsidRPr="00866299" w:rsidRDefault="00FB3EAB" w:rsidP="00FB3EAB">
            <w:pPr>
              <w:jc w:val="right"/>
              <w:rPr>
                <w:rFonts w:ascii="Calibri" w:hAnsi="Calibri" w:cs="Calibri"/>
                <w:i/>
                <w:color w:val="FFFFFF"/>
                <w:sz w:val="22"/>
                <w:highlight w:val="yellow"/>
                <w:lang w:eastAsia="en-US"/>
              </w:rPr>
            </w:pPr>
          </w:p>
        </w:tc>
        <w:tc>
          <w:tcPr>
            <w:tcW w:w="1179" w:type="dxa"/>
            <w:tcBorders>
              <w:top w:val="single" w:sz="4" w:space="0" w:color="auto"/>
              <w:bottom w:val="single" w:sz="4" w:space="0" w:color="auto"/>
            </w:tcBorders>
          </w:tcPr>
          <w:p w14:paraId="401BF789"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2019-20</w:t>
            </w:r>
          </w:p>
          <w:p w14:paraId="0BF40CF4"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2CA19960"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2020-21</w:t>
            </w:r>
          </w:p>
          <w:p w14:paraId="4E85BC36"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B923044"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2021-22</w:t>
            </w:r>
          </w:p>
          <w:p w14:paraId="325299F0"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5E86222"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2022-23</w:t>
            </w:r>
          </w:p>
          <w:p w14:paraId="5F0972F0"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088B510F"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Total</w:t>
            </w:r>
          </w:p>
          <w:p w14:paraId="63B16731"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$’000</w:t>
            </w:r>
          </w:p>
        </w:tc>
      </w:tr>
      <w:tr w:rsidR="00FB3EAB" w:rsidRPr="00866299" w14:paraId="112022DE" w14:textId="77777777" w:rsidTr="00FD1D5C">
        <w:trPr>
          <w:cantSplit/>
        </w:trPr>
        <w:tc>
          <w:tcPr>
            <w:tcW w:w="3652" w:type="dxa"/>
            <w:tcBorders>
              <w:top w:val="single" w:sz="4" w:space="0" w:color="auto"/>
            </w:tcBorders>
          </w:tcPr>
          <w:p w14:paraId="0B6BF65B" w14:textId="77777777" w:rsidR="00FB3EAB" w:rsidRPr="00866299" w:rsidRDefault="00FB3EAB" w:rsidP="00FB3EAB">
            <w:pPr>
              <w:ind w:left="284" w:hanging="284"/>
              <w:rPr>
                <w:rFonts w:ascii="Calibri" w:hAnsi="Calibri"/>
                <w:sz w:val="22"/>
                <w:lang w:eastAsia="en-US"/>
              </w:rPr>
            </w:pPr>
            <w:r w:rsidRPr="00866299">
              <w:rPr>
                <w:rFonts w:ascii="Calibri" w:hAnsi="Calibri"/>
                <w:sz w:val="22"/>
                <w:lang w:eastAsia="en-US"/>
              </w:rPr>
              <w:t>Capital</w:t>
            </w:r>
          </w:p>
        </w:tc>
        <w:tc>
          <w:tcPr>
            <w:tcW w:w="1179" w:type="dxa"/>
            <w:tcBorders>
              <w:top w:val="single" w:sz="4" w:space="0" w:color="auto"/>
            </w:tcBorders>
          </w:tcPr>
          <w:p w14:paraId="47D6A6E6"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767</w:t>
            </w:r>
          </w:p>
        </w:tc>
        <w:tc>
          <w:tcPr>
            <w:tcW w:w="1041" w:type="dxa"/>
            <w:tcBorders>
              <w:top w:val="single" w:sz="4" w:space="0" w:color="auto"/>
            </w:tcBorders>
          </w:tcPr>
          <w:p w14:paraId="10CD94FB"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4,078</w:t>
            </w:r>
          </w:p>
        </w:tc>
        <w:tc>
          <w:tcPr>
            <w:tcW w:w="1029" w:type="dxa"/>
            <w:tcBorders>
              <w:top w:val="single" w:sz="4" w:space="0" w:color="auto"/>
            </w:tcBorders>
          </w:tcPr>
          <w:p w14:paraId="39D92957"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3,979</w:t>
            </w:r>
          </w:p>
        </w:tc>
        <w:tc>
          <w:tcPr>
            <w:tcW w:w="1029" w:type="dxa"/>
            <w:tcBorders>
              <w:top w:val="single" w:sz="4" w:space="0" w:color="auto"/>
            </w:tcBorders>
          </w:tcPr>
          <w:p w14:paraId="5B13C55F"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225</w:t>
            </w:r>
          </w:p>
        </w:tc>
        <w:tc>
          <w:tcPr>
            <w:tcW w:w="1029" w:type="dxa"/>
            <w:tcBorders>
              <w:top w:val="single" w:sz="4" w:space="0" w:color="auto"/>
            </w:tcBorders>
          </w:tcPr>
          <w:p w14:paraId="2087B464"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9,049</w:t>
            </w:r>
          </w:p>
        </w:tc>
      </w:tr>
      <w:tr w:rsidR="00FB3EAB" w:rsidRPr="00866299" w14:paraId="7BFD24D8" w14:textId="77777777" w:rsidTr="00FD1D5C">
        <w:trPr>
          <w:cantSplit/>
        </w:trPr>
        <w:tc>
          <w:tcPr>
            <w:tcW w:w="3652" w:type="dxa"/>
            <w:tcBorders>
              <w:top w:val="single" w:sz="4" w:space="0" w:color="auto"/>
            </w:tcBorders>
          </w:tcPr>
          <w:p w14:paraId="18E65D84" w14:textId="77777777" w:rsidR="00FB3EAB" w:rsidRPr="00866299" w:rsidRDefault="00FB3EAB" w:rsidP="00FB3EAB">
            <w:pPr>
              <w:ind w:left="284" w:hanging="284"/>
              <w:rPr>
                <w:rFonts w:ascii="Calibri" w:hAnsi="Calibri"/>
                <w:sz w:val="22"/>
                <w:lang w:eastAsia="en-US"/>
              </w:rPr>
            </w:pPr>
            <w:r w:rsidRPr="00866299">
              <w:rPr>
                <w:rFonts w:ascii="Calibri" w:hAnsi="Calibri"/>
                <w:sz w:val="22"/>
                <w:lang w:eastAsia="en-US"/>
              </w:rPr>
              <w:t>Depreciation</w:t>
            </w:r>
          </w:p>
        </w:tc>
        <w:tc>
          <w:tcPr>
            <w:tcW w:w="1179" w:type="dxa"/>
            <w:tcBorders>
              <w:top w:val="single" w:sz="4" w:space="0" w:color="auto"/>
            </w:tcBorders>
          </w:tcPr>
          <w:p w14:paraId="589E53A3"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w:t>
            </w:r>
          </w:p>
        </w:tc>
        <w:tc>
          <w:tcPr>
            <w:tcW w:w="1041" w:type="dxa"/>
            <w:tcBorders>
              <w:top w:val="single" w:sz="4" w:space="0" w:color="auto"/>
            </w:tcBorders>
          </w:tcPr>
          <w:p w14:paraId="4CFB8761"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47</w:t>
            </w:r>
          </w:p>
        </w:tc>
        <w:tc>
          <w:tcPr>
            <w:tcW w:w="1029" w:type="dxa"/>
            <w:tcBorders>
              <w:top w:val="single" w:sz="4" w:space="0" w:color="auto"/>
            </w:tcBorders>
          </w:tcPr>
          <w:p w14:paraId="6885750B"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240</w:t>
            </w:r>
          </w:p>
        </w:tc>
        <w:tc>
          <w:tcPr>
            <w:tcW w:w="1029" w:type="dxa"/>
            <w:tcBorders>
              <w:top w:val="single" w:sz="4" w:space="0" w:color="auto"/>
            </w:tcBorders>
          </w:tcPr>
          <w:p w14:paraId="62E81AE9"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437</w:t>
            </w:r>
          </w:p>
        </w:tc>
        <w:tc>
          <w:tcPr>
            <w:tcW w:w="1029" w:type="dxa"/>
            <w:tcBorders>
              <w:top w:val="single" w:sz="4" w:space="0" w:color="auto"/>
            </w:tcBorders>
          </w:tcPr>
          <w:p w14:paraId="7D5D3668"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724</w:t>
            </w:r>
          </w:p>
        </w:tc>
      </w:tr>
      <w:tr w:rsidR="00FB3EAB" w:rsidRPr="00866299" w14:paraId="0BDCC5AD" w14:textId="77777777" w:rsidTr="00FD1D5C">
        <w:trPr>
          <w:cantSplit/>
        </w:trPr>
        <w:tc>
          <w:tcPr>
            <w:tcW w:w="3652" w:type="dxa"/>
          </w:tcPr>
          <w:p w14:paraId="397B766B" w14:textId="77777777" w:rsidR="00FB3EAB" w:rsidRPr="00866299" w:rsidRDefault="00FB3EAB" w:rsidP="00FB3EAB">
            <w:pPr>
              <w:ind w:left="284" w:hanging="284"/>
              <w:rPr>
                <w:rFonts w:ascii="Calibri" w:hAnsi="Calibri"/>
                <w:sz w:val="22"/>
                <w:lang w:eastAsia="en-US"/>
              </w:rPr>
            </w:pPr>
            <w:r w:rsidRPr="00866299">
              <w:rPr>
                <w:rFonts w:ascii="Calibri" w:hAnsi="Calibri"/>
                <w:sz w:val="22"/>
                <w:lang w:eastAsia="en-US"/>
              </w:rPr>
              <w:t>Associated expenses</w:t>
            </w:r>
          </w:p>
        </w:tc>
        <w:tc>
          <w:tcPr>
            <w:tcW w:w="1179" w:type="dxa"/>
          </w:tcPr>
          <w:p w14:paraId="507ABBC4"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34</w:t>
            </w:r>
          </w:p>
        </w:tc>
        <w:tc>
          <w:tcPr>
            <w:tcW w:w="1041" w:type="dxa"/>
          </w:tcPr>
          <w:p w14:paraId="0F822054"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55</w:t>
            </w:r>
          </w:p>
        </w:tc>
        <w:tc>
          <w:tcPr>
            <w:tcW w:w="1029" w:type="dxa"/>
          </w:tcPr>
          <w:p w14:paraId="0E1EECFE"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55</w:t>
            </w:r>
          </w:p>
        </w:tc>
        <w:tc>
          <w:tcPr>
            <w:tcW w:w="1029" w:type="dxa"/>
          </w:tcPr>
          <w:p w14:paraId="537681C5"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27</w:t>
            </w:r>
          </w:p>
        </w:tc>
        <w:tc>
          <w:tcPr>
            <w:tcW w:w="1029" w:type="dxa"/>
          </w:tcPr>
          <w:p w14:paraId="045D56EF"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171</w:t>
            </w:r>
          </w:p>
        </w:tc>
      </w:tr>
      <w:tr w:rsidR="00FB3EAB" w:rsidRPr="00866299" w14:paraId="238F9677" w14:textId="77777777" w:rsidTr="00FD1D5C">
        <w:trPr>
          <w:cantSplit/>
        </w:trPr>
        <w:tc>
          <w:tcPr>
            <w:tcW w:w="3652" w:type="dxa"/>
            <w:tcBorders>
              <w:top w:val="single" w:sz="4" w:space="0" w:color="auto"/>
              <w:bottom w:val="single" w:sz="4" w:space="0" w:color="auto"/>
            </w:tcBorders>
          </w:tcPr>
          <w:p w14:paraId="2F982FD3" w14:textId="77777777" w:rsidR="00FB3EAB" w:rsidRPr="00866299" w:rsidRDefault="00FB3EAB" w:rsidP="00FB3EAB">
            <w:pPr>
              <w:ind w:left="284" w:hanging="284"/>
              <w:rPr>
                <w:rFonts w:ascii="Calibri" w:hAnsi="Calibri"/>
                <w:b/>
                <w:sz w:val="22"/>
                <w:lang w:eastAsia="en-US"/>
              </w:rPr>
            </w:pPr>
            <w:r w:rsidRPr="00866299">
              <w:rPr>
                <w:rFonts w:ascii="Calibri" w:hAnsi="Calibri"/>
                <w:b/>
                <w:sz w:val="22"/>
                <w:lang w:eastAsia="en-US"/>
              </w:rPr>
              <w:t>Total expenses</w:t>
            </w:r>
          </w:p>
        </w:tc>
        <w:tc>
          <w:tcPr>
            <w:tcW w:w="1179" w:type="dxa"/>
            <w:tcBorders>
              <w:top w:val="single" w:sz="4" w:space="0" w:color="auto"/>
              <w:bottom w:val="single" w:sz="4" w:space="0" w:color="auto"/>
            </w:tcBorders>
          </w:tcPr>
          <w:p w14:paraId="7C6F9168"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34</w:t>
            </w:r>
          </w:p>
        </w:tc>
        <w:tc>
          <w:tcPr>
            <w:tcW w:w="1041" w:type="dxa"/>
            <w:tcBorders>
              <w:top w:val="single" w:sz="4" w:space="0" w:color="auto"/>
              <w:bottom w:val="single" w:sz="4" w:space="0" w:color="auto"/>
            </w:tcBorders>
          </w:tcPr>
          <w:p w14:paraId="5F2A483A"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102</w:t>
            </w:r>
          </w:p>
        </w:tc>
        <w:tc>
          <w:tcPr>
            <w:tcW w:w="1029" w:type="dxa"/>
            <w:tcBorders>
              <w:top w:val="single" w:sz="4" w:space="0" w:color="auto"/>
              <w:bottom w:val="single" w:sz="4" w:space="0" w:color="auto"/>
            </w:tcBorders>
          </w:tcPr>
          <w:p w14:paraId="7421C63D"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295</w:t>
            </w:r>
          </w:p>
        </w:tc>
        <w:tc>
          <w:tcPr>
            <w:tcW w:w="1029" w:type="dxa"/>
            <w:tcBorders>
              <w:top w:val="single" w:sz="4" w:space="0" w:color="auto"/>
              <w:bottom w:val="single" w:sz="4" w:space="0" w:color="auto"/>
            </w:tcBorders>
          </w:tcPr>
          <w:p w14:paraId="4EBF04F3"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464</w:t>
            </w:r>
          </w:p>
        </w:tc>
        <w:tc>
          <w:tcPr>
            <w:tcW w:w="1029" w:type="dxa"/>
            <w:tcBorders>
              <w:top w:val="single" w:sz="4" w:space="0" w:color="auto"/>
              <w:bottom w:val="single" w:sz="4" w:space="0" w:color="auto"/>
            </w:tcBorders>
          </w:tcPr>
          <w:p w14:paraId="112DC29C"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895</w:t>
            </w:r>
          </w:p>
        </w:tc>
      </w:tr>
    </w:tbl>
    <w:p w14:paraId="1C7D97E6" w14:textId="4E478717" w:rsidR="003658C5" w:rsidRPr="00FD1D5C" w:rsidRDefault="00FB3EAB" w:rsidP="00FD1D5C">
      <w:pPr>
        <w:pStyle w:val="snapInitbody"/>
      </w:pPr>
      <w:r w:rsidRPr="00FB3EAB">
        <w:t xml:space="preserve">The Government will upgrade ACT Policing facilities housed in ACT Government-owned buildings to ensure that they are fully accessible for people with disability and mobility impairments. This will improve accessibility and better support workplace diversity within ACT </w:t>
      </w:r>
      <w:r w:rsidRPr="00FD1D5C">
        <w:t>Policing.</w:t>
      </w:r>
    </w:p>
    <w:p w14:paraId="5A5F2092" w14:textId="6C588F47" w:rsidR="00FB3EAB" w:rsidRPr="00202E81" w:rsidRDefault="00FB3EAB" w:rsidP="00202E81">
      <w:pPr>
        <w:pStyle w:val="snapInittitles"/>
      </w:pPr>
      <w:r w:rsidRPr="00202E81">
        <w:t xml:space="preserve">Upgrading essential services at the Alexander Maconochie Centre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FB3EAB" w:rsidRPr="00866299" w14:paraId="0D86F76B" w14:textId="77777777" w:rsidTr="00FD1D5C">
        <w:trPr>
          <w:cantSplit/>
        </w:trPr>
        <w:tc>
          <w:tcPr>
            <w:tcW w:w="3652" w:type="dxa"/>
            <w:tcBorders>
              <w:top w:val="single" w:sz="4" w:space="0" w:color="auto"/>
              <w:bottom w:val="single" w:sz="4" w:space="0" w:color="auto"/>
            </w:tcBorders>
          </w:tcPr>
          <w:p w14:paraId="0E7178DA" w14:textId="4D9B9BB6" w:rsidR="00FB3EAB" w:rsidRPr="00866299" w:rsidRDefault="00FB3EAB" w:rsidP="00FB3EAB">
            <w:pPr>
              <w:jc w:val="right"/>
              <w:rPr>
                <w:rFonts w:ascii="Calibri" w:hAnsi="Calibri" w:cs="Calibri"/>
                <w:i/>
                <w:color w:val="FFFFFF"/>
                <w:sz w:val="22"/>
                <w:highlight w:val="yellow"/>
                <w:lang w:eastAsia="en-US"/>
              </w:rPr>
            </w:pPr>
          </w:p>
        </w:tc>
        <w:tc>
          <w:tcPr>
            <w:tcW w:w="1179" w:type="dxa"/>
            <w:tcBorders>
              <w:top w:val="single" w:sz="4" w:space="0" w:color="auto"/>
              <w:bottom w:val="single" w:sz="4" w:space="0" w:color="auto"/>
            </w:tcBorders>
          </w:tcPr>
          <w:p w14:paraId="323607AE"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2019-20</w:t>
            </w:r>
          </w:p>
          <w:p w14:paraId="5DD178CC"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48141B1A"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2020-21</w:t>
            </w:r>
          </w:p>
          <w:p w14:paraId="46608AFD"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00C0DDE3"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2021-22</w:t>
            </w:r>
          </w:p>
          <w:p w14:paraId="020CF601"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646421B"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2022-23</w:t>
            </w:r>
          </w:p>
          <w:p w14:paraId="1062DE90"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3C00EFE3"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Total</w:t>
            </w:r>
          </w:p>
          <w:p w14:paraId="0AFFAC70"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$’000</w:t>
            </w:r>
          </w:p>
        </w:tc>
      </w:tr>
      <w:tr w:rsidR="00FB3EAB" w:rsidRPr="00866299" w14:paraId="6B412782" w14:textId="77777777" w:rsidTr="00FD1D5C">
        <w:trPr>
          <w:cantSplit/>
        </w:trPr>
        <w:tc>
          <w:tcPr>
            <w:tcW w:w="3652" w:type="dxa"/>
            <w:tcBorders>
              <w:top w:val="single" w:sz="4" w:space="0" w:color="auto"/>
            </w:tcBorders>
          </w:tcPr>
          <w:p w14:paraId="0DCE763A" w14:textId="77777777" w:rsidR="00FB3EAB" w:rsidRPr="00866299" w:rsidRDefault="00FB3EAB" w:rsidP="00FB3EAB">
            <w:pPr>
              <w:ind w:left="284" w:hanging="284"/>
              <w:rPr>
                <w:rFonts w:ascii="Calibri" w:hAnsi="Calibri"/>
                <w:sz w:val="22"/>
                <w:lang w:eastAsia="en-US"/>
              </w:rPr>
            </w:pPr>
            <w:r w:rsidRPr="00866299">
              <w:rPr>
                <w:rFonts w:ascii="Calibri" w:hAnsi="Calibri"/>
                <w:sz w:val="22"/>
                <w:lang w:eastAsia="en-US"/>
              </w:rPr>
              <w:t>Capital</w:t>
            </w:r>
          </w:p>
        </w:tc>
        <w:tc>
          <w:tcPr>
            <w:tcW w:w="1179" w:type="dxa"/>
            <w:tcBorders>
              <w:top w:val="single" w:sz="4" w:space="0" w:color="auto"/>
            </w:tcBorders>
          </w:tcPr>
          <w:p w14:paraId="449A44F2"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1,204</w:t>
            </w:r>
          </w:p>
        </w:tc>
        <w:tc>
          <w:tcPr>
            <w:tcW w:w="1041" w:type="dxa"/>
            <w:tcBorders>
              <w:top w:val="single" w:sz="4" w:space="0" w:color="auto"/>
            </w:tcBorders>
          </w:tcPr>
          <w:p w14:paraId="6D53C264"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4,340</w:t>
            </w:r>
          </w:p>
        </w:tc>
        <w:tc>
          <w:tcPr>
            <w:tcW w:w="1029" w:type="dxa"/>
            <w:tcBorders>
              <w:top w:val="single" w:sz="4" w:space="0" w:color="auto"/>
            </w:tcBorders>
          </w:tcPr>
          <w:p w14:paraId="4155654C"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703</w:t>
            </w:r>
          </w:p>
        </w:tc>
        <w:tc>
          <w:tcPr>
            <w:tcW w:w="1029" w:type="dxa"/>
            <w:tcBorders>
              <w:top w:val="single" w:sz="4" w:space="0" w:color="auto"/>
            </w:tcBorders>
          </w:tcPr>
          <w:p w14:paraId="041BEEE7"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3EA8C2AC"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6,247</w:t>
            </w:r>
          </w:p>
        </w:tc>
      </w:tr>
      <w:tr w:rsidR="00FB3EAB" w:rsidRPr="00866299" w14:paraId="5D7A5B7E" w14:textId="77777777" w:rsidTr="00FD1D5C">
        <w:trPr>
          <w:cantSplit/>
        </w:trPr>
        <w:tc>
          <w:tcPr>
            <w:tcW w:w="3652" w:type="dxa"/>
            <w:tcBorders>
              <w:top w:val="single" w:sz="4" w:space="0" w:color="auto"/>
            </w:tcBorders>
          </w:tcPr>
          <w:p w14:paraId="3D959D10" w14:textId="77777777" w:rsidR="00FB3EAB" w:rsidRPr="00866299" w:rsidRDefault="00FB3EAB" w:rsidP="00FB3EAB">
            <w:pPr>
              <w:ind w:left="284" w:hanging="284"/>
              <w:rPr>
                <w:rFonts w:ascii="Calibri" w:hAnsi="Calibri"/>
                <w:sz w:val="22"/>
                <w:lang w:eastAsia="en-US"/>
              </w:rPr>
            </w:pPr>
            <w:r w:rsidRPr="00866299">
              <w:rPr>
                <w:rFonts w:ascii="Calibri" w:hAnsi="Calibri"/>
                <w:sz w:val="22"/>
                <w:lang w:eastAsia="en-US"/>
              </w:rPr>
              <w:t>Depreciation</w:t>
            </w:r>
          </w:p>
        </w:tc>
        <w:tc>
          <w:tcPr>
            <w:tcW w:w="1179" w:type="dxa"/>
            <w:tcBorders>
              <w:top w:val="single" w:sz="4" w:space="0" w:color="auto"/>
            </w:tcBorders>
          </w:tcPr>
          <w:p w14:paraId="2FB74BF3"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w:t>
            </w:r>
          </w:p>
        </w:tc>
        <w:tc>
          <w:tcPr>
            <w:tcW w:w="1041" w:type="dxa"/>
            <w:tcBorders>
              <w:top w:val="single" w:sz="4" w:space="0" w:color="auto"/>
            </w:tcBorders>
          </w:tcPr>
          <w:p w14:paraId="25E97AA7"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41</w:t>
            </w:r>
          </w:p>
        </w:tc>
        <w:tc>
          <w:tcPr>
            <w:tcW w:w="1029" w:type="dxa"/>
            <w:tcBorders>
              <w:top w:val="single" w:sz="4" w:space="0" w:color="auto"/>
            </w:tcBorders>
          </w:tcPr>
          <w:p w14:paraId="09131630"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237</w:t>
            </w:r>
          </w:p>
        </w:tc>
        <w:tc>
          <w:tcPr>
            <w:tcW w:w="1029" w:type="dxa"/>
            <w:tcBorders>
              <w:top w:val="single" w:sz="4" w:space="0" w:color="auto"/>
            </w:tcBorders>
          </w:tcPr>
          <w:p w14:paraId="3C46E7C9"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1,249</w:t>
            </w:r>
          </w:p>
        </w:tc>
        <w:tc>
          <w:tcPr>
            <w:tcW w:w="1029" w:type="dxa"/>
            <w:tcBorders>
              <w:top w:val="single" w:sz="4" w:space="0" w:color="auto"/>
            </w:tcBorders>
          </w:tcPr>
          <w:p w14:paraId="0736D447"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1,527</w:t>
            </w:r>
          </w:p>
        </w:tc>
      </w:tr>
      <w:tr w:rsidR="00FB3EAB" w:rsidRPr="00866299" w14:paraId="57D2FBD6" w14:textId="77777777" w:rsidTr="00FD1D5C">
        <w:trPr>
          <w:cantSplit/>
        </w:trPr>
        <w:tc>
          <w:tcPr>
            <w:tcW w:w="3652" w:type="dxa"/>
            <w:tcBorders>
              <w:bottom w:val="single" w:sz="4" w:space="0" w:color="auto"/>
            </w:tcBorders>
          </w:tcPr>
          <w:p w14:paraId="3A14D75A" w14:textId="77777777" w:rsidR="00FB3EAB" w:rsidRPr="00866299" w:rsidRDefault="00FB3EAB" w:rsidP="00FB3EAB">
            <w:pPr>
              <w:ind w:left="284" w:hanging="284"/>
              <w:rPr>
                <w:rFonts w:ascii="Calibri" w:hAnsi="Calibri"/>
                <w:sz w:val="22"/>
                <w:lang w:eastAsia="en-US"/>
              </w:rPr>
            </w:pPr>
            <w:r w:rsidRPr="00866299">
              <w:rPr>
                <w:rFonts w:ascii="Calibri" w:hAnsi="Calibri"/>
                <w:sz w:val="22"/>
                <w:lang w:eastAsia="en-US"/>
              </w:rPr>
              <w:t>Associated expenses</w:t>
            </w:r>
          </w:p>
        </w:tc>
        <w:tc>
          <w:tcPr>
            <w:tcW w:w="1179" w:type="dxa"/>
            <w:tcBorders>
              <w:bottom w:val="single" w:sz="4" w:space="0" w:color="auto"/>
            </w:tcBorders>
          </w:tcPr>
          <w:p w14:paraId="4C9664B9"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186</w:t>
            </w:r>
          </w:p>
        </w:tc>
        <w:tc>
          <w:tcPr>
            <w:tcW w:w="1041" w:type="dxa"/>
            <w:tcBorders>
              <w:bottom w:val="single" w:sz="4" w:space="0" w:color="auto"/>
            </w:tcBorders>
          </w:tcPr>
          <w:p w14:paraId="40A2DC8E"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334</w:t>
            </w:r>
          </w:p>
        </w:tc>
        <w:tc>
          <w:tcPr>
            <w:tcW w:w="1029" w:type="dxa"/>
            <w:tcBorders>
              <w:bottom w:val="single" w:sz="4" w:space="0" w:color="auto"/>
            </w:tcBorders>
          </w:tcPr>
          <w:p w14:paraId="42F41B23"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190</w:t>
            </w:r>
          </w:p>
        </w:tc>
        <w:tc>
          <w:tcPr>
            <w:tcW w:w="1029" w:type="dxa"/>
            <w:tcBorders>
              <w:bottom w:val="single" w:sz="4" w:space="0" w:color="auto"/>
            </w:tcBorders>
          </w:tcPr>
          <w:p w14:paraId="29C1E89B" w14:textId="77777777" w:rsidR="00FB3EAB" w:rsidRPr="00866299" w:rsidRDefault="00FB3EAB" w:rsidP="00FB3EAB">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bottom w:val="single" w:sz="4" w:space="0" w:color="auto"/>
            </w:tcBorders>
          </w:tcPr>
          <w:p w14:paraId="0F054273"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710</w:t>
            </w:r>
          </w:p>
        </w:tc>
      </w:tr>
      <w:tr w:rsidR="00FB3EAB" w:rsidRPr="00866299" w14:paraId="64EDA368" w14:textId="77777777" w:rsidTr="00FD1D5C">
        <w:trPr>
          <w:cantSplit/>
        </w:trPr>
        <w:tc>
          <w:tcPr>
            <w:tcW w:w="3652" w:type="dxa"/>
            <w:tcBorders>
              <w:top w:val="single" w:sz="4" w:space="0" w:color="auto"/>
              <w:bottom w:val="single" w:sz="4" w:space="0" w:color="auto"/>
            </w:tcBorders>
          </w:tcPr>
          <w:p w14:paraId="54141436" w14:textId="77777777" w:rsidR="00FB3EAB" w:rsidRPr="00866299" w:rsidRDefault="00FB3EAB" w:rsidP="00FB3EAB">
            <w:pPr>
              <w:ind w:left="284" w:hanging="284"/>
              <w:rPr>
                <w:rFonts w:ascii="Calibri" w:hAnsi="Calibri"/>
                <w:b/>
                <w:sz w:val="22"/>
                <w:lang w:eastAsia="en-US"/>
              </w:rPr>
            </w:pPr>
            <w:r w:rsidRPr="00866299">
              <w:rPr>
                <w:rFonts w:ascii="Calibri" w:hAnsi="Calibri"/>
                <w:b/>
                <w:sz w:val="22"/>
                <w:lang w:eastAsia="en-US"/>
              </w:rPr>
              <w:t>Total expenses</w:t>
            </w:r>
          </w:p>
        </w:tc>
        <w:tc>
          <w:tcPr>
            <w:tcW w:w="1179" w:type="dxa"/>
            <w:tcBorders>
              <w:top w:val="single" w:sz="4" w:space="0" w:color="auto"/>
              <w:bottom w:val="single" w:sz="4" w:space="0" w:color="auto"/>
            </w:tcBorders>
          </w:tcPr>
          <w:p w14:paraId="215842CC"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186</w:t>
            </w:r>
          </w:p>
        </w:tc>
        <w:tc>
          <w:tcPr>
            <w:tcW w:w="1041" w:type="dxa"/>
            <w:tcBorders>
              <w:top w:val="single" w:sz="4" w:space="0" w:color="auto"/>
              <w:bottom w:val="single" w:sz="4" w:space="0" w:color="auto"/>
            </w:tcBorders>
          </w:tcPr>
          <w:p w14:paraId="52074428"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375</w:t>
            </w:r>
          </w:p>
        </w:tc>
        <w:tc>
          <w:tcPr>
            <w:tcW w:w="1029" w:type="dxa"/>
            <w:tcBorders>
              <w:top w:val="single" w:sz="4" w:space="0" w:color="auto"/>
              <w:bottom w:val="single" w:sz="4" w:space="0" w:color="auto"/>
            </w:tcBorders>
          </w:tcPr>
          <w:p w14:paraId="7BCE8746"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427</w:t>
            </w:r>
          </w:p>
        </w:tc>
        <w:tc>
          <w:tcPr>
            <w:tcW w:w="1029" w:type="dxa"/>
            <w:tcBorders>
              <w:top w:val="single" w:sz="4" w:space="0" w:color="auto"/>
              <w:bottom w:val="single" w:sz="4" w:space="0" w:color="auto"/>
            </w:tcBorders>
          </w:tcPr>
          <w:p w14:paraId="3D2872FA"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1,249</w:t>
            </w:r>
          </w:p>
        </w:tc>
        <w:tc>
          <w:tcPr>
            <w:tcW w:w="1029" w:type="dxa"/>
            <w:tcBorders>
              <w:top w:val="single" w:sz="4" w:space="0" w:color="auto"/>
              <w:bottom w:val="single" w:sz="4" w:space="0" w:color="auto"/>
            </w:tcBorders>
          </w:tcPr>
          <w:p w14:paraId="53CFC60C" w14:textId="77777777" w:rsidR="00FB3EAB" w:rsidRPr="00866299" w:rsidRDefault="00FB3EAB" w:rsidP="00FB3EAB">
            <w:pPr>
              <w:ind w:left="284" w:hanging="284"/>
              <w:jc w:val="right"/>
              <w:rPr>
                <w:rFonts w:ascii="Calibri" w:hAnsi="Calibri"/>
                <w:b/>
                <w:sz w:val="22"/>
                <w:lang w:eastAsia="en-US"/>
              </w:rPr>
            </w:pPr>
            <w:r w:rsidRPr="00866299">
              <w:rPr>
                <w:rFonts w:ascii="Calibri" w:hAnsi="Calibri"/>
                <w:b/>
                <w:sz w:val="22"/>
                <w:lang w:eastAsia="en-US"/>
              </w:rPr>
              <w:t>2,237</w:t>
            </w:r>
          </w:p>
        </w:tc>
      </w:tr>
    </w:tbl>
    <w:p w14:paraId="5AC29856" w14:textId="5F768955" w:rsidR="00445EB3" w:rsidRPr="008C2826" w:rsidRDefault="00FB3EAB" w:rsidP="00FD1D5C">
      <w:pPr>
        <w:pStyle w:val="snapInitbody"/>
      </w:pPr>
      <w:r w:rsidRPr="00FB3EAB">
        <w:t>The Government will strengthen safety and security at the Alexander Maconochie Centre by replacing the Fire Services Systems and the Detainee Telephone System. The replacement systems will ensure correctional staff can continue to provide a safe and secure environment for detainees, staff and visitors.</w:t>
      </w:r>
    </w:p>
    <w:p w14:paraId="5AC29857" w14:textId="23F4A830" w:rsidR="00700117" w:rsidRDefault="006C6427" w:rsidP="00700117">
      <w:pPr>
        <w:pStyle w:val="Heading1-Pagebreakbefore"/>
      </w:pPr>
      <w:bookmarkStart w:id="16" w:name="_Toc10657547"/>
      <w:r w:rsidRPr="006C6427">
        <w:t>Transport Canberra and City Services</w:t>
      </w:r>
      <w:r w:rsidR="00320AF9">
        <w:t xml:space="preserve"> Directorate</w:t>
      </w:r>
      <w:bookmarkEnd w:id="16"/>
    </w:p>
    <w:p w14:paraId="7C35137B" w14:textId="77777777" w:rsidR="000757EE" w:rsidRPr="00C24C61" w:rsidRDefault="000757EE" w:rsidP="00FD1D5C">
      <w:pPr>
        <w:pStyle w:val="Heading2"/>
        <w:rPr>
          <w:b w:val="0"/>
        </w:rPr>
      </w:pPr>
      <w:r w:rsidRPr="00C24C61">
        <w:t xml:space="preserve">Overview </w:t>
      </w:r>
    </w:p>
    <w:p w14:paraId="1B394A80" w14:textId="674F54FE" w:rsidR="00C24C61" w:rsidRPr="00C24C61" w:rsidRDefault="00C24C61" w:rsidP="00FD1D5C">
      <w:pPr>
        <w:pStyle w:val="Body"/>
      </w:pPr>
      <w:r w:rsidRPr="00C24C61">
        <w:t xml:space="preserve">We have reviewed shared asks in the </w:t>
      </w:r>
      <w:r w:rsidRPr="00C24C61">
        <w:rPr>
          <w:i/>
          <w:iCs/>
        </w:rPr>
        <w:t>Community Shared Statement</w:t>
      </w:r>
      <w:r w:rsidRPr="00C24C61">
        <w:t xml:space="preserve"> which relate to the Transport Canberra and City Services Directorate.</w:t>
      </w:r>
      <w:r w:rsidR="000F30E1">
        <w:t xml:space="preserve"> </w:t>
      </w:r>
      <w:r w:rsidRPr="00C24C61">
        <w:t>These asks were endorsed by 19 community organisations as priority areas for action during the 2016-20 term of the ACT Government:</w:t>
      </w:r>
    </w:p>
    <w:p w14:paraId="7FEBCADE" w14:textId="73148646" w:rsidR="00C24C61" w:rsidRPr="00C24C61" w:rsidRDefault="00C24C61" w:rsidP="00FD1D5C">
      <w:pPr>
        <w:pStyle w:val="ListBullet"/>
      </w:pPr>
      <w:r w:rsidRPr="00C24C61">
        <w:t>Develop transport services that are accessible, affordable and fit for purpose, especially for people working outside 9-5 Monday-Friday jobs, for people with disabilities and for people who do not drive or have access to a private vehicle</w:t>
      </w:r>
    </w:p>
    <w:p w14:paraId="13D29399" w14:textId="77777777" w:rsidR="00C24C61" w:rsidRPr="00C24C61" w:rsidRDefault="00C24C61" w:rsidP="00FD1D5C">
      <w:pPr>
        <w:pStyle w:val="ListBullet"/>
      </w:pPr>
      <w:r w:rsidRPr="00C24C61">
        <w:t>Ensure transport information is easily accessible, the services are accessible to people with mobility and/or cognitive barriers, and services offered enable people to complete activities of daily living and participate in their community</w:t>
      </w:r>
    </w:p>
    <w:p w14:paraId="10750C42" w14:textId="77777777" w:rsidR="00C24C61" w:rsidRPr="00C24C61" w:rsidRDefault="00C24C61" w:rsidP="00FD1D5C">
      <w:pPr>
        <w:pStyle w:val="ListBullet"/>
      </w:pPr>
      <w:r w:rsidRPr="00C24C61">
        <w:t>Ensure urban renewal increases affordability, accessibility, sustainability and inclusiveness for all ages, promoting a diverse economy, high amenity green spaces, enhancing biodiversity and maintaining natural spaces in urban settings</w:t>
      </w:r>
    </w:p>
    <w:p w14:paraId="7563F1E0" w14:textId="60D7D5A7" w:rsidR="00C24C61" w:rsidRPr="00C24C61" w:rsidRDefault="00C24C61" w:rsidP="00FD1D5C">
      <w:pPr>
        <w:pStyle w:val="ListBullet"/>
      </w:pPr>
      <w:r w:rsidRPr="00C24C61">
        <w:t>Ensure urban renewal includes affordable community facilities, affordable, fit</w:t>
      </w:r>
      <w:r w:rsidR="00284A64">
        <w:t>-</w:t>
      </w:r>
      <w:r w:rsidRPr="00C24C61">
        <w:t>for</w:t>
      </w:r>
      <w:r w:rsidR="00284A64">
        <w:t>-</w:t>
      </w:r>
      <w:r w:rsidRPr="00C24C61">
        <w:t>purpose accommodation for community organisations and a socially rich experience for all residents</w:t>
      </w:r>
    </w:p>
    <w:p w14:paraId="16431D88" w14:textId="77777777" w:rsidR="00C24C61" w:rsidRPr="00C24C61" w:rsidRDefault="00C24C61" w:rsidP="00FD1D5C">
      <w:pPr>
        <w:pStyle w:val="ListBullet"/>
      </w:pPr>
      <w:r w:rsidRPr="00C24C61">
        <w:t xml:space="preserve">Ensure that urban planning and city design decisions are made with genuine involvement and consultation with the communities that live, work and use those spaces, including residents, workers and local businesses. </w:t>
      </w:r>
    </w:p>
    <w:p w14:paraId="27D0A753" w14:textId="532C5FC7" w:rsidR="00C24C61" w:rsidRPr="00C24C61" w:rsidRDefault="00C24C61" w:rsidP="00FD1D5C">
      <w:pPr>
        <w:pStyle w:val="Body"/>
      </w:pPr>
      <w:r w:rsidRPr="00C24C61">
        <w:t>In December 2018</w:t>
      </w:r>
      <w:r w:rsidR="00284A64">
        <w:t>,</w:t>
      </w:r>
      <w:r w:rsidRPr="00C24C61">
        <w:t xml:space="preserve"> the Chief Minister outlined the ACT Government’s agenda for the second half of its term of government, founded on the themes of making Canberra an inclusive, progressive and connected place to live. Priorities for investment outlined by the Chief Minister in his December 2018 mid-term statement of priorities that are relevant in this portfolio are:</w:t>
      </w:r>
    </w:p>
    <w:p w14:paraId="0AAFE87B" w14:textId="77777777" w:rsidR="00C24C61" w:rsidRPr="00C24C61" w:rsidRDefault="00C24C61" w:rsidP="00FD1D5C">
      <w:pPr>
        <w:pStyle w:val="ListBullet"/>
        <w:rPr>
          <w:szCs w:val="23"/>
        </w:rPr>
      </w:pPr>
      <w:r w:rsidRPr="00C24C61">
        <w:rPr>
          <w:shd w:val="clear" w:color="auto" w:fill="FFFFFF"/>
        </w:rPr>
        <w:t>New public transport system that makes public t</w:t>
      </w:r>
      <w:r w:rsidRPr="00C24C61">
        <w:rPr>
          <w:rFonts w:cs="Arial"/>
          <w:szCs w:val="23"/>
          <w:shd w:val="clear" w:color="auto" w:fill="FFFFFF"/>
        </w:rPr>
        <w:t>ransport a real option for more Canberrans</w:t>
      </w:r>
    </w:p>
    <w:p w14:paraId="19767B8C" w14:textId="61B21B06" w:rsidR="00C24C61" w:rsidRPr="00C24C61" w:rsidRDefault="00C24C61" w:rsidP="00FD1D5C">
      <w:pPr>
        <w:pStyle w:val="ListBullet"/>
      </w:pPr>
      <w:r w:rsidRPr="00C24C61">
        <w:rPr>
          <w:shd w:val="clear" w:color="auto" w:fill="FFFFFF"/>
        </w:rPr>
        <w:t>People with disabilities whether in a wheelchair, with an intellectual or mental impairment, blind, deaf, or another disability are recognised as an important and included part of our society</w:t>
      </w:r>
    </w:p>
    <w:p w14:paraId="716E5A8F" w14:textId="77777777" w:rsidR="00C24C61" w:rsidRPr="00C24C61" w:rsidRDefault="00C24C61" w:rsidP="00FD1D5C">
      <w:pPr>
        <w:pStyle w:val="ListBullet"/>
        <w:rPr>
          <w:szCs w:val="23"/>
        </w:rPr>
      </w:pPr>
      <w:r w:rsidRPr="00C24C61">
        <w:rPr>
          <w:shd w:val="clear" w:color="auto" w:fill="FFFFFF"/>
        </w:rPr>
        <w:t>Inclusion of key soc</w:t>
      </w:r>
      <w:r w:rsidRPr="00C24C61">
        <w:rPr>
          <w:rFonts w:cs="Arial"/>
          <w:szCs w:val="23"/>
          <w:shd w:val="clear" w:color="auto" w:fill="FFFFFF"/>
        </w:rPr>
        <w:t>ial indicators in the ACT Government’s annual reporting</w:t>
      </w:r>
    </w:p>
    <w:p w14:paraId="319522B3" w14:textId="0C6FBFC9" w:rsidR="00C24C61" w:rsidRPr="00C24C61" w:rsidRDefault="00C24C61" w:rsidP="00FD1D5C">
      <w:pPr>
        <w:pStyle w:val="ListBullet"/>
        <w:rPr>
          <w:shd w:val="clear" w:color="auto" w:fill="FFFFFF"/>
        </w:rPr>
      </w:pPr>
      <w:r w:rsidRPr="00C24C61">
        <w:rPr>
          <w:shd w:val="clear" w:color="auto" w:fill="FFFFFF"/>
        </w:rPr>
        <w:t>Light rail stage 2 and faster train to Sydney</w:t>
      </w:r>
      <w:r w:rsidR="00FD1D5C">
        <w:rPr>
          <w:shd w:val="clear" w:color="auto" w:fill="FFFFFF"/>
        </w:rPr>
        <w:t>.</w:t>
      </w:r>
    </w:p>
    <w:p w14:paraId="41610585" w14:textId="300548BC" w:rsidR="00C24C61" w:rsidRPr="00C24C61" w:rsidRDefault="00C24C61" w:rsidP="00FD1D5C">
      <w:pPr>
        <w:pStyle w:val="Body"/>
      </w:pPr>
      <w:r w:rsidRPr="00C24C61">
        <w:t>In ACTCOSS' submission to the 2019-20 ACT Budget, we identified priorities for investment including municipal</w:t>
      </w:r>
      <w:r w:rsidR="00284A64">
        <w:t>-</w:t>
      </w:r>
      <w:r w:rsidRPr="00C24C61">
        <w:t>level social and community infrastructure, services and community development. We emphasised that community, neighbourhood and mass transport systems need to be resourced and developed as an integrated system that delivers publicly funded transport suitable for all residents.</w:t>
      </w:r>
      <w:r w:rsidR="000F30E1">
        <w:t xml:space="preserve"> </w:t>
      </w:r>
      <w:r w:rsidRPr="00C24C61">
        <w:t>Here and in our submission to Moving Canberra, we called for resourcing of community transport at sustainable levels and its inclusion and funding as part of the mass transit system.</w:t>
      </w:r>
      <w:r w:rsidR="000F30E1">
        <w:t xml:space="preserve"> </w:t>
      </w:r>
      <w:r w:rsidRPr="00C24C61">
        <w:t xml:space="preserve">We also called for the </w:t>
      </w:r>
      <w:r w:rsidR="008658AA">
        <w:t>g</w:t>
      </w:r>
      <w:r w:rsidRPr="00C24C61">
        <w:t>overnment to consider a triple bottom line business case for making public transport free in the ACT following the conclusion of the free transport period that marked the opening of light rail.</w:t>
      </w:r>
      <w:r w:rsidR="000F30E1">
        <w:t xml:space="preserve"> </w:t>
      </w:r>
    </w:p>
    <w:p w14:paraId="421D86A6" w14:textId="77777777" w:rsidR="00C24C61" w:rsidRPr="00C24C61" w:rsidRDefault="00C24C61" w:rsidP="00FD1D5C">
      <w:pPr>
        <w:pStyle w:val="Body"/>
      </w:pPr>
      <w:r w:rsidRPr="00C24C61">
        <w:t xml:space="preserve">ACTCOSS highlights the need for Canberra’s transport system to plan for everyone to move where they need to, regardless of how they move, in our submission on the draft </w:t>
      </w:r>
      <w:r w:rsidRPr="002E59C2">
        <w:t>Moving Canberra 2019-2045 Integrated Transport Strategy</w:t>
      </w:r>
      <w:r w:rsidRPr="00C24C61">
        <w:t>. Our submission emphasises that transport is a public good and plays a key role in life transitions. A strategy must go beyond buses and the tram to include all modes, especially community-managed on-demand transport as well as surrounding infrastructure.</w:t>
      </w:r>
    </w:p>
    <w:p w14:paraId="01C36527" w14:textId="77777777" w:rsidR="00C24C61" w:rsidRPr="00C24C61" w:rsidRDefault="00C24C61" w:rsidP="00FD1D5C">
      <w:pPr>
        <w:pStyle w:val="Body"/>
      </w:pPr>
      <w:r w:rsidRPr="00C24C61">
        <w:t>People with transport disadvantage have the greatest need to travel, face greatest isolation when they can’t but the least flexibility about where and how they move across the city. Travel is an essential cost of living and falls hardest on those with the least ability to pay. In a smart and compact city, travel costs should not stop people doing the things they have to do or the things they want to do. We recommend the ACT Government considers making public transport free.</w:t>
      </w:r>
    </w:p>
    <w:p w14:paraId="400C2A49" w14:textId="11C487F8" w:rsidR="00C24C61" w:rsidRPr="00C24C61" w:rsidRDefault="00C24C61" w:rsidP="00FD1D5C">
      <w:pPr>
        <w:pStyle w:val="Body"/>
      </w:pPr>
      <w:r w:rsidRPr="00C24C61">
        <w:t>ACTCOSS welcomes the spread of investments in (built) urban infrastructure and transport</w:t>
      </w:r>
      <w:r w:rsidR="007B2479">
        <w:t>,</w:t>
      </w:r>
      <w:r w:rsidRPr="00C24C61">
        <w:t xml:space="preserve"> but there is more to do (buildings without human capacity are insufficient to create wellbeing in a community).</w:t>
      </w:r>
      <w:r w:rsidR="000F30E1">
        <w:t xml:space="preserve"> </w:t>
      </w:r>
      <w:r w:rsidRPr="00C24C61">
        <w:t>Joined up social, economic and environmental planning in Canberra across urban and transport planning could deliver fit</w:t>
      </w:r>
      <w:r w:rsidR="00A94B6C">
        <w:t>-</w:t>
      </w:r>
      <w:r w:rsidRPr="00C24C61">
        <w:t>for</w:t>
      </w:r>
      <w:r w:rsidR="00A94B6C">
        <w:t>-</w:t>
      </w:r>
      <w:r w:rsidRPr="00C24C61">
        <w:t>purpose social, environmental and community infrastructure in a coherent and cost-effective way that meets the needs of all people, but especially those experiencing transport disadvantage. This needs to be a focus both in new suburbs and those which are ageing.</w:t>
      </w:r>
      <w:r w:rsidR="000F30E1">
        <w:t xml:space="preserve"> </w:t>
      </w:r>
      <w:r w:rsidRPr="00C24C61">
        <w:t>The community and industry are both moving towards shared understandings about social sustainability.</w:t>
      </w:r>
      <w:r w:rsidR="000F30E1">
        <w:t xml:space="preserve"> </w:t>
      </w:r>
      <w:r w:rsidRPr="00C24C61">
        <w:t xml:space="preserve">Transport investments should recognise transport disadvantage, stocktake and respond to that disadvantage through various means, including concessions. </w:t>
      </w:r>
    </w:p>
    <w:p w14:paraId="2DBF174D" w14:textId="5A26C599" w:rsidR="00C24C61" w:rsidRPr="00C24C61" w:rsidRDefault="00C24C61" w:rsidP="00FD1D5C">
      <w:pPr>
        <w:pStyle w:val="Body"/>
      </w:pPr>
      <w:r w:rsidRPr="00C24C61">
        <w:t>There is a pressing need for joined up social, economic and environmental planning and there is a rare alignment of opportunities to achieve this as we embark upon simultaneous planning reviews, integrated transport work and housing renewal.</w:t>
      </w:r>
      <w:r w:rsidR="000F30E1">
        <w:t xml:space="preserve"> </w:t>
      </w:r>
    </w:p>
    <w:p w14:paraId="16EDBB38" w14:textId="2CA43516" w:rsidR="00C24C61" w:rsidRPr="00C24C61" w:rsidRDefault="00C24C61" w:rsidP="00FD1D5C">
      <w:pPr>
        <w:pStyle w:val="Body"/>
      </w:pPr>
      <w:r w:rsidRPr="00C24C61">
        <w:t xml:space="preserve">This Budget announced a much-needed significant boost to social and community infrastructure including three other community centre upgrades (and the Woden Centre in </w:t>
      </w:r>
      <w:proofErr w:type="spellStart"/>
      <w:r w:rsidRPr="00C24C61">
        <w:t>EPSDD</w:t>
      </w:r>
      <w:proofErr w:type="spellEnd"/>
      <w:r w:rsidRPr="00C24C61">
        <w:t>), and new childcare centres, playgrounds, sports grounds, open space areas for dogs and carparks. These are welcome.</w:t>
      </w:r>
      <w:r w:rsidR="000F30E1">
        <w:t xml:space="preserve"> </w:t>
      </w:r>
    </w:p>
    <w:p w14:paraId="39340971" w14:textId="208F36D8" w:rsidR="00C24C61" w:rsidRPr="00C24C61" w:rsidRDefault="00C24C61" w:rsidP="00FD1D5C">
      <w:pPr>
        <w:pStyle w:val="Body"/>
      </w:pPr>
      <w:r w:rsidRPr="00C24C61">
        <w:t>ACTCOSS welcome</w:t>
      </w:r>
      <w:r w:rsidR="009B58E2">
        <w:t>s</w:t>
      </w:r>
      <w:r w:rsidRPr="00C24C61">
        <w:t xml:space="preserve"> plans to undertake minor upgrades to the existing community centres and childcare centres (see also new Woden Centre in </w:t>
      </w:r>
      <w:proofErr w:type="spellStart"/>
      <w:r w:rsidRPr="00C24C61">
        <w:t>EPSDD</w:t>
      </w:r>
      <w:proofErr w:type="spellEnd"/>
      <w:r w:rsidRPr="00C24C61">
        <w:t xml:space="preserve">) to improve amenities and provide better access for all visitors. This will include roof repairs and upgrades at the Maitland Centre in Hackett, refurbishment of the Spence Children’s Cottage, and heating, ventilation, and air conditioning upgrades at Mount Rogers Community Centre to improve the environment for children and staff. </w:t>
      </w:r>
    </w:p>
    <w:p w14:paraId="1C5B1370" w14:textId="1683CA2D" w:rsidR="00C24C61" w:rsidRPr="00C24C61" w:rsidRDefault="00C24C61" w:rsidP="00FD1D5C">
      <w:pPr>
        <w:pStyle w:val="Body"/>
      </w:pPr>
      <w:r w:rsidRPr="00C24C61">
        <w:t>We note that some older community centres need more than continuous minor works and upgrades – some, converted from school sites, are more than 40 years old and need major works or redevelopment where they are no longer fit for purpose.</w:t>
      </w:r>
      <w:r w:rsidR="000F30E1">
        <w:t xml:space="preserve"> </w:t>
      </w:r>
      <w:r w:rsidRPr="00C24C61">
        <w:t>ACTCO</w:t>
      </w:r>
      <w:r w:rsidR="00C34417">
        <w:t>S</w:t>
      </w:r>
      <w:r w:rsidRPr="00C24C61">
        <w:t>S wants to see a cross</w:t>
      </w:r>
      <w:r w:rsidR="00C34417">
        <w:t>-</w:t>
      </w:r>
      <w:r w:rsidRPr="00C24C61">
        <w:t xml:space="preserve">portfolio body established under the Joint Community Government Reference Group to lead planning, pricing and delivery of a </w:t>
      </w:r>
      <w:r w:rsidR="00FD1D5C" w:rsidRPr="00C24C61">
        <w:t>long-term</w:t>
      </w:r>
      <w:r w:rsidRPr="00C24C61">
        <w:t xml:space="preserve"> strategy for delivering fit</w:t>
      </w:r>
      <w:r w:rsidR="006A2650">
        <w:t>-</w:t>
      </w:r>
      <w:r w:rsidRPr="00C24C61">
        <w:t>for</w:t>
      </w:r>
      <w:r w:rsidR="006A2650">
        <w:t>-</w:t>
      </w:r>
      <w:r w:rsidRPr="00C24C61">
        <w:t>purpose and affordable facilities for community services to operate from.</w:t>
      </w:r>
    </w:p>
    <w:p w14:paraId="6D056BED" w14:textId="77777777" w:rsidR="00C24C61" w:rsidRPr="00C24C61" w:rsidRDefault="00C24C61" w:rsidP="00FD1D5C">
      <w:pPr>
        <w:pStyle w:val="Body"/>
      </w:pPr>
      <w:r w:rsidRPr="00C24C61">
        <w:t xml:space="preserve">The need for better playgrounds with new play experiences for younger Canberrans in new and older suburbs has been highlighted by the community and neighbourhood voice, so it is pleasing that the Budget includes providing over $2 million for the Richardson, Waramanga, Torrens, Narrabundah and Higgins playgrounds, to deliver a better mix of equipment and activities that cater to more ages, abilities and play styles. </w:t>
      </w:r>
    </w:p>
    <w:p w14:paraId="040A64CD" w14:textId="6E3D1312" w:rsidR="00C24C61" w:rsidRPr="00C24C61" w:rsidRDefault="00C24C61" w:rsidP="00FD1D5C">
      <w:pPr>
        <w:pStyle w:val="Body"/>
      </w:pPr>
      <w:r w:rsidRPr="00C24C61">
        <w:t>The Budget commits that designs will be based on consultation with the community as part of play space reviews underway in these suburbs and this should include families from low</w:t>
      </w:r>
      <w:r w:rsidR="00EA6B45">
        <w:t>-</w:t>
      </w:r>
      <w:r w:rsidRPr="00C24C61">
        <w:t xml:space="preserve">income/marginalised backgrounds. We note that families in Gungahlin and Tuggeranong will also benefit from new natural play spaces near </w:t>
      </w:r>
      <w:proofErr w:type="spellStart"/>
      <w:r w:rsidRPr="00C24C61">
        <w:t>Yerrabi</w:t>
      </w:r>
      <w:proofErr w:type="spellEnd"/>
      <w:r w:rsidRPr="00C24C61">
        <w:t xml:space="preserve"> Pond and the Kambah Adventure Playground. </w:t>
      </w:r>
    </w:p>
    <w:p w14:paraId="1DC9D023" w14:textId="6D7F889B" w:rsidR="00C24C61" w:rsidRPr="00C24C61" w:rsidRDefault="00C24C61" w:rsidP="00FD1D5C">
      <w:pPr>
        <w:pStyle w:val="Body"/>
      </w:pPr>
      <w:r w:rsidRPr="00C24C61">
        <w:t>In a number of places</w:t>
      </w:r>
      <w:r w:rsidR="00EA6B45">
        <w:t>,</w:t>
      </w:r>
      <w:r w:rsidRPr="00C24C61">
        <w:t xml:space="preserve"> ACTCOSS and local community organisations, especially the community councils</w:t>
      </w:r>
      <w:r w:rsidR="00EA6B45">
        <w:t>,</w:t>
      </w:r>
      <w:r w:rsidRPr="00C24C61">
        <w:t xml:space="preserve"> have been highlighting the pressures of urban growth.</w:t>
      </w:r>
      <w:r w:rsidR="000F30E1">
        <w:t xml:space="preserve"> </w:t>
      </w:r>
      <w:r w:rsidRPr="00C24C61">
        <w:t>As Gungahlin and Molonglo continue to grow</w:t>
      </w:r>
      <w:r w:rsidR="00332692">
        <w:t>,</w:t>
      </w:r>
      <w:r w:rsidRPr="00C24C61">
        <w:t xml:space="preserve"> the community has told us that parking has become more difficult at key shopping centres. </w:t>
      </w:r>
    </w:p>
    <w:p w14:paraId="62428303" w14:textId="426CC443" w:rsidR="00C24C61" w:rsidRPr="00C24C61" w:rsidRDefault="00C24C61" w:rsidP="00FD1D5C">
      <w:pPr>
        <w:pStyle w:val="Body"/>
      </w:pPr>
      <w:r w:rsidRPr="00C24C61">
        <w:t>We therefore welcome the additional access for Weston Creek and Molonglo residents to local shops and services while the planned group centre in Molonglo is built. This new capacity will also provide additional parking close to public transport and the new nurse-led walk-in centre opening soon.</w:t>
      </w:r>
    </w:p>
    <w:p w14:paraId="2CA9020D" w14:textId="17EE94E7" w:rsidR="00C24C61" w:rsidRPr="00C24C61" w:rsidRDefault="00C24C61" w:rsidP="00FD1D5C">
      <w:pPr>
        <w:pStyle w:val="Body"/>
      </w:pPr>
      <w:r w:rsidRPr="00C24C61">
        <w:t xml:space="preserve">While these investments – and the prioritisation of community facilities </w:t>
      </w:r>
      <w:r w:rsidR="00DE183D">
        <w:t>–</w:t>
      </w:r>
      <w:r w:rsidRPr="00C24C61">
        <w:t xml:space="preserve"> are</w:t>
      </w:r>
      <w:r w:rsidR="00DE183D">
        <w:t xml:space="preserve"> </w:t>
      </w:r>
      <w:r w:rsidRPr="00C24C61">
        <w:t>very welcome, going forward we need to grow human community development resources alongside physical infrastructure, so that communities can grow and sustain themselves with good levels of resilience, wellbeing and neighbourhood voice.</w:t>
      </w:r>
    </w:p>
    <w:p w14:paraId="6AC07F24" w14:textId="2FC8D834" w:rsidR="00C24C61" w:rsidRPr="00C24C61" w:rsidRDefault="00C24C61" w:rsidP="00FD1D5C">
      <w:pPr>
        <w:pStyle w:val="Body"/>
      </w:pPr>
      <w:r w:rsidRPr="00C24C61">
        <w:t xml:space="preserve">In the longer term, the Molonglo Valley is a good example of the need for a focus on municipal planning and sustainability to be planned for and fostered </w:t>
      </w:r>
      <w:r w:rsidRPr="00C24C61">
        <w:rPr>
          <w:i/>
          <w:iCs/>
        </w:rPr>
        <w:t>prior</w:t>
      </w:r>
      <w:r w:rsidRPr="00C24C61">
        <w:t xml:space="preserve"> to new housing and precinct development being commenced – integrated planning must include greenspace, transport links that work for people, resourcing of community transport as well as community development.</w:t>
      </w:r>
      <w:r w:rsidR="000F30E1">
        <w:t xml:space="preserve"> </w:t>
      </w:r>
      <w:r w:rsidRPr="00C24C61">
        <w:t>Community and neighbourhood voice should be fostered with spaces in the built plan that are conducive to the emergence of community connections (i</w:t>
      </w:r>
      <w:r w:rsidR="00AF4330">
        <w:t>.</w:t>
      </w:r>
      <w:r w:rsidRPr="00C24C61">
        <w:t>e</w:t>
      </w:r>
      <w:r w:rsidR="00AF4330">
        <w:t>.</w:t>
      </w:r>
      <w:r w:rsidRPr="00C24C61">
        <w:t xml:space="preserve"> community halls and centres).</w:t>
      </w:r>
      <w:r w:rsidR="000F30E1">
        <w:t xml:space="preserve"> </w:t>
      </w:r>
    </w:p>
    <w:p w14:paraId="75DA80C9" w14:textId="4A005EC0" w:rsidR="00C24C61" w:rsidRPr="00C24C61" w:rsidRDefault="00C24C61" w:rsidP="00FD1D5C">
      <w:pPr>
        <w:pStyle w:val="Body"/>
      </w:pPr>
      <w:r w:rsidRPr="00C24C61">
        <w:t>ACTCOSS welcomes shopping centre upgrades to Dunlop and Fraser as well as parking upgrades at the Palmerston shops. These upgrades should be informed by demographic data and local insights. We also note the need for other shopping centre upgrades in other group centres, including small centres in Weston Creek and in Canberra’s south.</w:t>
      </w:r>
      <w:r w:rsidR="000F30E1">
        <w:t xml:space="preserve"> </w:t>
      </w:r>
    </w:p>
    <w:p w14:paraId="5A8B90C2" w14:textId="2852861E" w:rsidR="00C24C61" w:rsidRPr="00C24C61" w:rsidRDefault="00C24C61" w:rsidP="00FD1D5C">
      <w:pPr>
        <w:pStyle w:val="Body"/>
      </w:pPr>
      <w:r w:rsidRPr="00C24C61">
        <w:t>While there are welcome transport investments in this Budget, ACTCOSS is keen to see investments informed by needs assessment, policy, design and planning work to ensure transport design, planning, integration and implementation address the needs of those with transport disadvantage across both on-demand and mass transit systems. This work should ensure that transport investments keep up with urban infill, growth and group centre redesign and that this is done with lived experience input from those with the greatest level of transport disadvantage. Proactive lived experience testing should be routine in all transport redesign processes.</w:t>
      </w:r>
      <w:r w:rsidR="000F30E1">
        <w:t xml:space="preserve"> </w:t>
      </w:r>
    </w:p>
    <w:p w14:paraId="373D587D" w14:textId="77777777" w:rsidR="00C24C61" w:rsidRPr="00C24C61" w:rsidRDefault="00C24C61" w:rsidP="00FD1D5C">
      <w:pPr>
        <w:pStyle w:val="Body"/>
      </w:pPr>
      <w:r w:rsidRPr="00C24C61">
        <w:t>Specifically, ACTCOSS would like to see work investigating transport gaps for people experiencing social disadvantage and funding any improvements in transport coverage and frequency required to meet the needs identified</w:t>
      </w:r>
    </w:p>
    <w:p w14:paraId="47789079" w14:textId="2B4E1997" w:rsidR="00C24C61" w:rsidRPr="00C24C61" w:rsidRDefault="00C24C61" w:rsidP="00FD1D5C">
      <w:pPr>
        <w:pStyle w:val="Body"/>
      </w:pPr>
      <w:r w:rsidRPr="00C24C61">
        <w:t>We note that the Budget papers include a further year of funding for the flexible bus service at a cost of $866,000 in 2019-20 but no funding in the later years.</w:t>
      </w:r>
      <w:r w:rsidR="000F30E1">
        <w:t xml:space="preserve"> </w:t>
      </w:r>
      <w:r w:rsidRPr="00C24C61">
        <w:t>Flexible buses are an important social inclusion and transport option for low</w:t>
      </w:r>
      <w:r w:rsidR="00A73124">
        <w:t>-</w:t>
      </w:r>
      <w:r w:rsidRPr="00C24C61">
        <w:t>income and vulnerable people who otherwise lack access to transport.</w:t>
      </w:r>
      <w:r w:rsidR="000F30E1">
        <w:t xml:space="preserve"> </w:t>
      </w:r>
      <w:r w:rsidRPr="00C24C61">
        <w:t>We believe that there needs to be ongoing funding for the flexible bus service</w:t>
      </w:r>
      <w:r w:rsidR="00A73124">
        <w:t>.</w:t>
      </w:r>
    </w:p>
    <w:p w14:paraId="6FBEA275" w14:textId="0D340D52" w:rsidR="009613F9" w:rsidRDefault="00C24C61" w:rsidP="00FD1D5C">
      <w:pPr>
        <w:pStyle w:val="Body"/>
      </w:pPr>
      <w:r w:rsidRPr="00C24C61">
        <w:t xml:space="preserve">ACTCOSS is disappointed not to see mention of the role of community transport in the Budget narrative for 2019-20 and continues to call for </w:t>
      </w:r>
      <w:r w:rsidR="00A73124">
        <w:t>g</w:t>
      </w:r>
      <w:r w:rsidRPr="00C24C61">
        <w:t>overnment to provide community transport at sustainable levels and in a manner that will ensure community transport continues to be available to all who need of it. That means ensuring a community transport system that is available to more than just people eligible for an individualised funding package through Commonwealth initiatives like the NDIS or an aged care package</w:t>
      </w:r>
      <w:r w:rsidR="005D0AC2">
        <w:t>.</w:t>
      </w:r>
      <w:r w:rsidR="000F30E1">
        <w:t xml:space="preserve"> </w:t>
      </w:r>
    </w:p>
    <w:p w14:paraId="774B3C5C" w14:textId="2790F897" w:rsidR="00C24C61" w:rsidRPr="00C24C61" w:rsidRDefault="003C4753" w:rsidP="00FD1D5C">
      <w:pPr>
        <w:pStyle w:val="Body"/>
      </w:pPr>
      <w:r>
        <w:t>There are ongoing concerns about limited</w:t>
      </w:r>
      <w:r w:rsidR="005D0AC2" w:rsidRPr="005D0AC2">
        <w:t xml:space="preserve"> access </w:t>
      </w:r>
      <w:r>
        <w:t xml:space="preserve">to </w:t>
      </w:r>
      <w:r w:rsidR="005D0AC2" w:rsidRPr="005D0AC2">
        <w:t xml:space="preserve">community transport </w:t>
      </w:r>
      <w:r>
        <w:t>where it is restricted to</w:t>
      </w:r>
      <w:r w:rsidR="005D0AC2" w:rsidRPr="005D0AC2">
        <w:t xml:space="preserve"> medical visits</w:t>
      </w:r>
      <w:r>
        <w:t xml:space="preserve"> and that the pool</w:t>
      </w:r>
      <w:r w:rsidR="005D0AC2" w:rsidRPr="005D0AC2">
        <w:t xml:space="preserve"> of private </w:t>
      </w:r>
      <w:r>
        <w:t xml:space="preserve">funds available to </w:t>
      </w:r>
      <w:r w:rsidR="00D36D1A">
        <w:t>providers is being exhausted due to</w:t>
      </w:r>
      <w:r w:rsidR="005D0AC2" w:rsidRPr="005D0AC2">
        <w:t xml:space="preserve"> the growing needs of clients in poorly serviced</w:t>
      </w:r>
      <w:r w:rsidR="00D36D1A">
        <w:t xml:space="preserve"> and </w:t>
      </w:r>
      <w:r w:rsidR="005D0AC2" w:rsidRPr="005D0AC2">
        <w:t xml:space="preserve">high needs areas such as </w:t>
      </w:r>
      <w:r w:rsidR="00FD1D5C" w:rsidRPr="005D0AC2">
        <w:t>Gungahlin</w:t>
      </w:r>
      <w:r w:rsidR="005D0AC2" w:rsidRPr="005D0AC2">
        <w:t>.</w:t>
      </w:r>
    </w:p>
    <w:p w14:paraId="1C577D6D" w14:textId="1C144C43" w:rsidR="00C24C61" w:rsidRPr="00C24C61" w:rsidRDefault="00C24C61" w:rsidP="00FD1D5C">
      <w:pPr>
        <w:pStyle w:val="Body"/>
      </w:pPr>
      <w:r w:rsidRPr="00C24C61">
        <w:t xml:space="preserve">For </w:t>
      </w:r>
      <w:r w:rsidR="00C25CCB">
        <w:t xml:space="preserve">people on </w:t>
      </w:r>
      <w:r w:rsidRPr="00C24C61">
        <w:t>low</w:t>
      </w:r>
      <w:r w:rsidR="00C25CCB">
        <w:t xml:space="preserve"> </w:t>
      </w:r>
      <w:r w:rsidRPr="00C24C61">
        <w:t>income</w:t>
      </w:r>
      <w:r w:rsidR="00C25CCB">
        <w:t>s</w:t>
      </w:r>
      <w:r w:rsidRPr="00C24C61">
        <w:t>, access to transport can be facilitated by improving the fairness and adequacy of transport</w:t>
      </w:r>
      <w:r w:rsidR="00710127">
        <w:t xml:space="preserve"> </w:t>
      </w:r>
      <w:r w:rsidRPr="00C24C61">
        <w:t>related concessions. This should include concessions for learner, probationary and restricted driver’s licences</w:t>
      </w:r>
      <w:r w:rsidR="008A17F6">
        <w:t>,</w:t>
      </w:r>
      <w:r w:rsidRPr="00C24C61">
        <w:t xml:space="preserve"> and aligning the discount on licence fees for Health Care Card holders (currently 50% of costs) with Pension Card holders (100%).</w:t>
      </w:r>
      <w:r w:rsidR="000F30E1">
        <w:t xml:space="preserve"> </w:t>
      </w:r>
      <w:r w:rsidRPr="00C24C61">
        <w:t>ACTCOSS would have liked to see progress in this area in the Budget.</w:t>
      </w:r>
      <w:r w:rsidR="000F30E1">
        <w:t xml:space="preserve"> </w:t>
      </w:r>
      <w:r w:rsidRPr="00C24C61">
        <w:t xml:space="preserve">We also would have liked to see </w:t>
      </w:r>
      <w:r w:rsidR="008A17F6">
        <w:t>g</w:t>
      </w:r>
      <w:r w:rsidRPr="00C24C61">
        <w:t>overnment undertake a study of transport costs to examine how individuals on low and fixed incomes meet costs of vehicle operation and maintenance</w:t>
      </w:r>
      <w:r w:rsidR="00575BD7">
        <w:t>,</w:t>
      </w:r>
      <w:r w:rsidRPr="00C24C61">
        <w:t xml:space="preserve"> and if and to what extent this involves reliance on sub-prime loans.</w:t>
      </w:r>
      <w:r w:rsidR="000F30E1">
        <w:t xml:space="preserve"> </w:t>
      </w:r>
    </w:p>
    <w:p w14:paraId="63737691" w14:textId="4E4CB541" w:rsidR="00C24C61" w:rsidRPr="00C24C61" w:rsidRDefault="00C24C61" w:rsidP="00FD1D5C">
      <w:pPr>
        <w:pStyle w:val="Body"/>
      </w:pPr>
      <w:r w:rsidRPr="00C24C61">
        <w:t xml:space="preserve">We note that the </w:t>
      </w:r>
      <w:r w:rsidR="00575BD7">
        <w:t>t</w:t>
      </w:r>
      <w:r w:rsidRPr="00C24C61">
        <w:t xml:space="preserve">ransport and </w:t>
      </w:r>
      <w:proofErr w:type="spellStart"/>
      <w:r w:rsidRPr="00C24C61">
        <w:t>EPSDD</w:t>
      </w:r>
      <w:proofErr w:type="spellEnd"/>
      <w:r w:rsidRPr="00C24C61">
        <w:t xml:space="preserve"> </w:t>
      </w:r>
      <w:r w:rsidR="00575BD7">
        <w:t>b</w:t>
      </w:r>
      <w:r w:rsidRPr="00C24C61">
        <w:t xml:space="preserve">udgets include funding towards the light rail stage to Woden including funding work on a new Woden Bus Interchange at a net capital cost of $46.89 million. This early work should include prompt and consistent engagement with communities of people living in the south of Canberra and deep consultation with different groups of potential users. Work on the </w:t>
      </w:r>
      <w:r w:rsidR="00492D6B">
        <w:t>i</w:t>
      </w:r>
      <w:r w:rsidRPr="00C24C61">
        <w:t>nterchange should be undertaken in consultation with young people, organisations with knowledge and evidence about women’s safety and disability groups to improve safety, access and egress in the area.</w:t>
      </w:r>
      <w:r w:rsidR="000F30E1">
        <w:t xml:space="preserve"> </w:t>
      </w:r>
      <w:r w:rsidRPr="00C24C61">
        <w:t xml:space="preserve">(We have also provided commentary on the planning process for light rail stage 2 in our commentary for </w:t>
      </w:r>
      <w:proofErr w:type="spellStart"/>
      <w:r w:rsidRPr="00C24C61">
        <w:t>EPSDD</w:t>
      </w:r>
      <w:proofErr w:type="spellEnd"/>
      <w:r w:rsidRPr="00C24C61">
        <w:t>).</w:t>
      </w:r>
    </w:p>
    <w:p w14:paraId="5F988CD0" w14:textId="6254A138" w:rsidR="00C24C61" w:rsidRPr="00C24C61" w:rsidRDefault="00C24C61" w:rsidP="00FD1D5C">
      <w:pPr>
        <w:pStyle w:val="Body"/>
      </w:pPr>
      <w:r w:rsidRPr="00C24C61">
        <w:t>We welcome investments in footpath and cycleway upgrades to improve accessibility and support integration with transport in Aranda, Campbell, Holt, Isabella Plains, Narrabundah and Stirling at a cost of $2.25 million.</w:t>
      </w:r>
    </w:p>
    <w:p w14:paraId="7A5EF63A" w14:textId="0AD35ADF" w:rsidR="00C24C61" w:rsidRPr="00C24C61" w:rsidRDefault="00C24C61" w:rsidP="00FD1D5C">
      <w:pPr>
        <w:pStyle w:val="Body"/>
      </w:pPr>
      <w:r w:rsidRPr="00C24C61">
        <w:t>Other transport measures include road upgrades at a cost of $4.1 million over four years, road safety upgrades at a cost of $29.67 million, improved safety at intersections at $1.14 million plus delivering a smart technology ticketing system for Canberra’s integrated public transport system of $450,000.</w:t>
      </w:r>
      <w:r w:rsidR="000F30E1">
        <w:t xml:space="preserve"> </w:t>
      </w:r>
      <w:r w:rsidRPr="00C24C61">
        <w:t>The smart ticketing system reforms should be undertaken in consultation with people with disabilities and older people with a digital inclusion and accessibility lens.</w:t>
      </w:r>
    </w:p>
    <w:p w14:paraId="28191A24" w14:textId="77777777" w:rsidR="00C24C61" w:rsidRPr="00C24C61" w:rsidRDefault="00C24C61" w:rsidP="00FD1D5C">
      <w:pPr>
        <w:pStyle w:val="snapTabletitle"/>
        <w:rPr>
          <w:b w:val="0"/>
        </w:rPr>
      </w:pPr>
      <w:r w:rsidRPr="00C24C61">
        <w:t>Table 3.2.2: Expense initiatives</w:t>
      </w:r>
    </w:p>
    <w:tbl>
      <w:tblPr>
        <w:tblW w:w="5000" w:type="pct"/>
        <w:tblLayout w:type="fixed"/>
        <w:tblCellMar>
          <w:left w:w="30" w:type="dxa"/>
          <w:right w:w="30" w:type="dxa"/>
        </w:tblCellMar>
        <w:tblLook w:val="0000" w:firstRow="0" w:lastRow="0" w:firstColumn="0" w:lastColumn="0" w:noHBand="0" w:noVBand="0"/>
      </w:tblPr>
      <w:tblGrid>
        <w:gridCol w:w="4844"/>
        <w:gridCol w:w="959"/>
        <w:gridCol w:w="959"/>
        <w:gridCol w:w="958"/>
        <w:gridCol w:w="959"/>
        <w:gridCol w:w="959"/>
      </w:tblGrid>
      <w:tr w:rsidR="00C24C61" w:rsidRPr="00C24C61" w14:paraId="703BD39F" w14:textId="77777777" w:rsidTr="00FD1D5C">
        <w:trPr>
          <w:cantSplit/>
          <w:trHeight w:val="227"/>
          <w:tblHeader/>
        </w:trPr>
        <w:tc>
          <w:tcPr>
            <w:tcW w:w="4559" w:type="dxa"/>
            <w:tcBorders>
              <w:top w:val="single" w:sz="4" w:space="0" w:color="auto"/>
              <w:left w:val="nil"/>
              <w:bottom w:val="nil"/>
              <w:right w:val="nil"/>
            </w:tcBorders>
            <w:shd w:val="clear" w:color="auto" w:fill="auto"/>
            <w:vAlign w:val="center"/>
          </w:tcPr>
          <w:p w14:paraId="660C8F59" w14:textId="77777777" w:rsidR="00C24C61" w:rsidRPr="00C24C61" w:rsidRDefault="00C24C61" w:rsidP="00C24C61">
            <w:pPr>
              <w:ind w:left="227" w:hanging="227"/>
              <w:rPr>
                <w:rFonts w:ascii="Calibri" w:hAnsi="Calibri"/>
                <w:b/>
                <w:bCs/>
                <w:sz w:val="20"/>
                <w:szCs w:val="20"/>
                <w:lang w:eastAsia="en-AU"/>
              </w:rPr>
            </w:pPr>
            <w:r w:rsidRPr="00C24C61">
              <w:rPr>
                <w:rFonts w:ascii="Calibri" w:hAnsi="Calibri"/>
                <w:b/>
                <w:bCs/>
                <w:sz w:val="20"/>
                <w:szCs w:val="20"/>
                <w:lang w:eastAsia="en-AU"/>
              </w:rPr>
              <w:t>Expense initiatives</w:t>
            </w:r>
          </w:p>
        </w:tc>
        <w:tc>
          <w:tcPr>
            <w:tcW w:w="902" w:type="dxa"/>
            <w:tcBorders>
              <w:top w:val="single" w:sz="4" w:space="0" w:color="auto"/>
              <w:left w:val="nil"/>
              <w:bottom w:val="nil"/>
              <w:right w:val="nil"/>
            </w:tcBorders>
            <w:shd w:val="clear" w:color="auto" w:fill="auto"/>
            <w:vAlign w:val="bottom"/>
          </w:tcPr>
          <w:p w14:paraId="0AE432FC" w14:textId="77777777" w:rsidR="00C24C61" w:rsidRPr="00C24C61" w:rsidRDefault="00C24C61" w:rsidP="00C24C61">
            <w:pPr>
              <w:ind w:left="227" w:hanging="227"/>
              <w:jc w:val="right"/>
              <w:rPr>
                <w:rFonts w:ascii="Calibri" w:hAnsi="Calibri"/>
                <w:b/>
                <w:sz w:val="20"/>
                <w:szCs w:val="24"/>
                <w:lang w:eastAsia="en-AU"/>
              </w:rPr>
            </w:pPr>
            <w:r w:rsidRPr="00C24C61">
              <w:rPr>
                <w:rFonts w:ascii="Calibri" w:hAnsi="Calibri"/>
                <w:b/>
                <w:sz w:val="20"/>
                <w:szCs w:val="24"/>
                <w:lang w:eastAsia="en-AU"/>
              </w:rPr>
              <w:t>2019-20</w:t>
            </w:r>
          </w:p>
          <w:p w14:paraId="6F84A55E" w14:textId="77777777" w:rsidR="00C24C61" w:rsidRPr="00C24C61" w:rsidRDefault="00C24C61" w:rsidP="00C24C61">
            <w:pPr>
              <w:ind w:left="227" w:hanging="227"/>
              <w:jc w:val="right"/>
              <w:rPr>
                <w:rFonts w:ascii="Calibri" w:hAnsi="Calibri"/>
                <w:b/>
                <w:sz w:val="20"/>
                <w:szCs w:val="24"/>
                <w:lang w:eastAsia="en-AU"/>
              </w:rPr>
            </w:pPr>
            <w:r w:rsidRPr="00C24C61">
              <w:rPr>
                <w:rFonts w:ascii="Calibri" w:hAnsi="Calibri"/>
                <w:b/>
                <w:sz w:val="20"/>
                <w:szCs w:val="24"/>
                <w:lang w:eastAsia="en-AU"/>
              </w:rPr>
              <w:t>Estimate</w:t>
            </w:r>
          </w:p>
          <w:p w14:paraId="4EC8ED5A" w14:textId="77777777" w:rsidR="00C24C61" w:rsidRPr="00C24C61" w:rsidRDefault="00C24C61" w:rsidP="00C24C61">
            <w:pPr>
              <w:ind w:left="227" w:hanging="227"/>
              <w:jc w:val="right"/>
              <w:rPr>
                <w:rFonts w:ascii="Calibri" w:hAnsi="Calibri"/>
                <w:b/>
                <w:sz w:val="20"/>
                <w:szCs w:val="24"/>
                <w:lang w:eastAsia="en-AU"/>
              </w:rPr>
            </w:pPr>
            <w:r w:rsidRPr="00C24C61">
              <w:rPr>
                <w:rFonts w:ascii="Calibri" w:hAnsi="Calibri"/>
                <w:b/>
                <w:sz w:val="20"/>
                <w:szCs w:val="24"/>
                <w:lang w:eastAsia="en-AU"/>
              </w:rPr>
              <w:t>$’000</w:t>
            </w:r>
          </w:p>
        </w:tc>
        <w:tc>
          <w:tcPr>
            <w:tcW w:w="903" w:type="dxa"/>
            <w:tcBorders>
              <w:top w:val="single" w:sz="4" w:space="0" w:color="auto"/>
              <w:left w:val="nil"/>
              <w:bottom w:val="nil"/>
              <w:right w:val="nil"/>
            </w:tcBorders>
            <w:shd w:val="clear" w:color="auto" w:fill="auto"/>
            <w:vAlign w:val="bottom"/>
          </w:tcPr>
          <w:p w14:paraId="0D46663F" w14:textId="77777777" w:rsidR="00C24C61" w:rsidRPr="00C24C61" w:rsidRDefault="00C24C61" w:rsidP="00C24C61">
            <w:pPr>
              <w:ind w:left="227" w:hanging="227"/>
              <w:jc w:val="right"/>
              <w:rPr>
                <w:rFonts w:ascii="Calibri" w:hAnsi="Calibri"/>
                <w:b/>
                <w:sz w:val="20"/>
                <w:szCs w:val="24"/>
                <w:lang w:eastAsia="en-AU"/>
              </w:rPr>
            </w:pPr>
            <w:r w:rsidRPr="00C24C61">
              <w:rPr>
                <w:rFonts w:ascii="Calibri" w:hAnsi="Calibri"/>
                <w:b/>
                <w:sz w:val="20"/>
                <w:szCs w:val="24"/>
                <w:lang w:eastAsia="en-AU"/>
              </w:rPr>
              <w:t>2020-21</w:t>
            </w:r>
          </w:p>
          <w:p w14:paraId="60CD3C7A" w14:textId="77777777" w:rsidR="00C24C61" w:rsidRPr="00C24C61" w:rsidRDefault="00C24C61" w:rsidP="00C24C61">
            <w:pPr>
              <w:ind w:left="227" w:hanging="227"/>
              <w:jc w:val="right"/>
              <w:rPr>
                <w:rFonts w:ascii="Calibri" w:hAnsi="Calibri"/>
                <w:b/>
                <w:sz w:val="20"/>
                <w:szCs w:val="24"/>
                <w:lang w:eastAsia="en-AU"/>
              </w:rPr>
            </w:pPr>
            <w:r w:rsidRPr="00C24C61">
              <w:rPr>
                <w:rFonts w:ascii="Calibri" w:hAnsi="Calibri"/>
                <w:b/>
                <w:sz w:val="20"/>
                <w:szCs w:val="24"/>
                <w:lang w:eastAsia="en-AU"/>
              </w:rPr>
              <w:t>Estimate</w:t>
            </w:r>
          </w:p>
          <w:p w14:paraId="3C95FA00" w14:textId="77777777" w:rsidR="00C24C61" w:rsidRPr="00C24C61" w:rsidRDefault="00C24C61" w:rsidP="00C24C61">
            <w:pPr>
              <w:ind w:left="227" w:hanging="227"/>
              <w:jc w:val="right"/>
              <w:rPr>
                <w:rFonts w:ascii="Calibri" w:hAnsi="Calibri"/>
                <w:b/>
                <w:sz w:val="20"/>
                <w:szCs w:val="24"/>
                <w:lang w:eastAsia="en-AU"/>
              </w:rPr>
            </w:pPr>
            <w:r w:rsidRPr="00C24C61">
              <w:rPr>
                <w:rFonts w:ascii="Calibri" w:hAnsi="Calibri"/>
                <w:b/>
                <w:sz w:val="20"/>
                <w:szCs w:val="24"/>
                <w:lang w:eastAsia="en-AU"/>
              </w:rPr>
              <w:t>$’000</w:t>
            </w:r>
          </w:p>
        </w:tc>
        <w:tc>
          <w:tcPr>
            <w:tcW w:w="902" w:type="dxa"/>
            <w:tcBorders>
              <w:top w:val="single" w:sz="4" w:space="0" w:color="auto"/>
              <w:left w:val="nil"/>
              <w:bottom w:val="nil"/>
              <w:right w:val="nil"/>
            </w:tcBorders>
            <w:shd w:val="clear" w:color="auto" w:fill="auto"/>
            <w:vAlign w:val="bottom"/>
          </w:tcPr>
          <w:p w14:paraId="60A49822" w14:textId="77777777" w:rsidR="00C24C61" w:rsidRPr="00C24C61" w:rsidRDefault="00C24C61" w:rsidP="00C24C61">
            <w:pPr>
              <w:ind w:left="227" w:hanging="227"/>
              <w:jc w:val="right"/>
              <w:rPr>
                <w:rFonts w:ascii="Calibri" w:hAnsi="Calibri"/>
                <w:b/>
                <w:sz w:val="20"/>
                <w:szCs w:val="24"/>
                <w:lang w:eastAsia="en-AU"/>
              </w:rPr>
            </w:pPr>
            <w:r w:rsidRPr="00C24C61">
              <w:rPr>
                <w:rFonts w:ascii="Calibri" w:hAnsi="Calibri"/>
                <w:b/>
                <w:sz w:val="20"/>
                <w:szCs w:val="24"/>
                <w:lang w:eastAsia="en-AU"/>
              </w:rPr>
              <w:t>2021-22</w:t>
            </w:r>
          </w:p>
          <w:p w14:paraId="256D2ACB" w14:textId="77777777" w:rsidR="00C24C61" w:rsidRPr="00C24C61" w:rsidRDefault="00C24C61" w:rsidP="00C24C61">
            <w:pPr>
              <w:ind w:left="227" w:hanging="227"/>
              <w:jc w:val="right"/>
              <w:rPr>
                <w:rFonts w:ascii="Calibri" w:hAnsi="Calibri"/>
                <w:b/>
                <w:sz w:val="20"/>
                <w:szCs w:val="24"/>
                <w:lang w:eastAsia="en-AU"/>
              </w:rPr>
            </w:pPr>
            <w:r w:rsidRPr="00C24C61">
              <w:rPr>
                <w:rFonts w:ascii="Calibri" w:hAnsi="Calibri"/>
                <w:b/>
                <w:sz w:val="20"/>
                <w:szCs w:val="24"/>
                <w:lang w:eastAsia="en-AU"/>
              </w:rPr>
              <w:t>Estimate</w:t>
            </w:r>
          </w:p>
          <w:p w14:paraId="680F6A70" w14:textId="77777777" w:rsidR="00C24C61" w:rsidRPr="00C24C61" w:rsidRDefault="00C24C61" w:rsidP="00C24C61">
            <w:pPr>
              <w:ind w:left="227" w:hanging="227"/>
              <w:jc w:val="right"/>
              <w:rPr>
                <w:rFonts w:ascii="Calibri" w:hAnsi="Calibri"/>
                <w:b/>
                <w:sz w:val="20"/>
                <w:szCs w:val="24"/>
                <w:lang w:eastAsia="en-AU"/>
              </w:rPr>
            </w:pPr>
            <w:r w:rsidRPr="00C24C61">
              <w:rPr>
                <w:rFonts w:ascii="Calibri" w:hAnsi="Calibri"/>
                <w:b/>
                <w:sz w:val="20"/>
                <w:szCs w:val="24"/>
                <w:lang w:eastAsia="en-AU"/>
              </w:rPr>
              <w:t>$’000</w:t>
            </w:r>
          </w:p>
        </w:tc>
        <w:tc>
          <w:tcPr>
            <w:tcW w:w="903" w:type="dxa"/>
            <w:tcBorders>
              <w:top w:val="single" w:sz="4" w:space="0" w:color="auto"/>
              <w:left w:val="nil"/>
              <w:bottom w:val="nil"/>
              <w:right w:val="nil"/>
            </w:tcBorders>
            <w:shd w:val="clear" w:color="auto" w:fill="auto"/>
            <w:vAlign w:val="bottom"/>
          </w:tcPr>
          <w:p w14:paraId="32732979" w14:textId="77777777" w:rsidR="00C24C61" w:rsidRPr="00C24C61" w:rsidRDefault="00C24C61" w:rsidP="00C24C61">
            <w:pPr>
              <w:ind w:left="227" w:hanging="227"/>
              <w:jc w:val="right"/>
              <w:rPr>
                <w:rFonts w:ascii="Calibri" w:hAnsi="Calibri"/>
                <w:b/>
                <w:sz w:val="20"/>
                <w:szCs w:val="24"/>
                <w:lang w:eastAsia="en-AU"/>
              </w:rPr>
            </w:pPr>
            <w:r w:rsidRPr="00C24C61">
              <w:rPr>
                <w:rFonts w:ascii="Calibri" w:hAnsi="Calibri"/>
                <w:b/>
                <w:sz w:val="20"/>
                <w:szCs w:val="24"/>
                <w:lang w:eastAsia="en-AU"/>
              </w:rPr>
              <w:t>2022-23</w:t>
            </w:r>
          </w:p>
          <w:p w14:paraId="070AD82F" w14:textId="77777777" w:rsidR="00C24C61" w:rsidRPr="00C24C61" w:rsidRDefault="00C24C61" w:rsidP="00C24C61">
            <w:pPr>
              <w:ind w:left="227" w:hanging="227"/>
              <w:jc w:val="right"/>
              <w:rPr>
                <w:rFonts w:ascii="Calibri" w:hAnsi="Calibri"/>
                <w:b/>
                <w:sz w:val="20"/>
                <w:szCs w:val="24"/>
                <w:lang w:eastAsia="en-AU"/>
              </w:rPr>
            </w:pPr>
            <w:r w:rsidRPr="00C24C61">
              <w:rPr>
                <w:rFonts w:ascii="Calibri" w:hAnsi="Calibri"/>
                <w:b/>
                <w:sz w:val="20"/>
                <w:szCs w:val="24"/>
                <w:lang w:eastAsia="en-AU"/>
              </w:rPr>
              <w:t>Estimate</w:t>
            </w:r>
          </w:p>
          <w:p w14:paraId="461432A7" w14:textId="77777777" w:rsidR="00C24C61" w:rsidRPr="00C24C61" w:rsidRDefault="00C24C61" w:rsidP="00C24C61">
            <w:pPr>
              <w:ind w:left="227" w:hanging="227"/>
              <w:jc w:val="right"/>
              <w:rPr>
                <w:rFonts w:ascii="Calibri" w:hAnsi="Calibri"/>
                <w:b/>
                <w:sz w:val="20"/>
                <w:szCs w:val="24"/>
                <w:lang w:eastAsia="en-AU"/>
              </w:rPr>
            </w:pPr>
            <w:r w:rsidRPr="00C24C61">
              <w:rPr>
                <w:rFonts w:ascii="Calibri" w:hAnsi="Calibri"/>
                <w:b/>
                <w:sz w:val="20"/>
                <w:szCs w:val="24"/>
                <w:lang w:eastAsia="en-AU"/>
              </w:rPr>
              <w:t>$’000</w:t>
            </w:r>
          </w:p>
        </w:tc>
        <w:tc>
          <w:tcPr>
            <w:tcW w:w="903" w:type="dxa"/>
            <w:tcBorders>
              <w:top w:val="single" w:sz="4" w:space="0" w:color="auto"/>
              <w:left w:val="nil"/>
              <w:bottom w:val="nil"/>
              <w:right w:val="nil"/>
            </w:tcBorders>
            <w:shd w:val="clear" w:color="auto" w:fill="auto"/>
          </w:tcPr>
          <w:p w14:paraId="0FE8179F" w14:textId="77777777" w:rsidR="00C24C61" w:rsidRPr="00C24C61" w:rsidRDefault="00C24C61" w:rsidP="00C24C61">
            <w:pPr>
              <w:ind w:left="227" w:hanging="227"/>
              <w:jc w:val="right"/>
              <w:rPr>
                <w:rFonts w:ascii="Calibri" w:hAnsi="Calibri"/>
                <w:b/>
                <w:snapToGrid w:val="0"/>
                <w:sz w:val="20"/>
                <w:szCs w:val="24"/>
                <w:lang w:eastAsia="en-AU"/>
              </w:rPr>
            </w:pPr>
            <w:r w:rsidRPr="00C24C61">
              <w:rPr>
                <w:rFonts w:ascii="Calibri" w:hAnsi="Calibri"/>
                <w:b/>
                <w:snapToGrid w:val="0"/>
                <w:sz w:val="20"/>
                <w:szCs w:val="24"/>
                <w:lang w:eastAsia="en-AU"/>
              </w:rPr>
              <w:t>Total</w:t>
            </w:r>
          </w:p>
          <w:p w14:paraId="55DEF844" w14:textId="77777777" w:rsidR="00C24C61" w:rsidRPr="00C24C61" w:rsidRDefault="00C24C61" w:rsidP="00C24C61">
            <w:pPr>
              <w:ind w:left="227" w:hanging="227"/>
              <w:jc w:val="right"/>
              <w:rPr>
                <w:rFonts w:ascii="Calibri" w:hAnsi="Calibri"/>
                <w:b/>
                <w:snapToGrid w:val="0"/>
                <w:sz w:val="20"/>
                <w:szCs w:val="24"/>
                <w:lang w:eastAsia="en-AU"/>
              </w:rPr>
            </w:pPr>
          </w:p>
          <w:p w14:paraId="65E729CF" w14:textId="77777777" w:rsidR="00C24C61" w:rsidRPr="00C24C61" w:rsidRDefault="00C24C61" w:rsidP="00C24C61">
            <w:pPr>
              <w:ind w:left="227" w:hanging="227"/>
              <w:jc w:val="right"/>
              <w:rPr>
                <w:rFonts w:ascii="Calibri" w:hAnsi="Calibri"/>
                <w:b/>
                <w:snapToGrid w:val="0"/>
                <w:sz w:val="20"/>
                <w:szCs w:val="24"/>
                <w:lang w:eastAsia="en-AU"/>
              </w:rPr>
            </w:pPr>
            <w:r w:rsidRPr="00C24C61">
              <w:rPr>
                <w:rFonts w:ascii="Calibri" w:hAnsi="Calibri"/>
                <w:b/>
                <w:snapToGrid w:val="0"/>
                <w:sz w:val="20"/>
                <w:szCs w:val="24"/>
                <w:lang w:eastAsia="en-AU"/>
              </w:rPr>
              <w:t>$’000</w:t>
            </w:r>
          </w:p>
        </w:tc>
      </w:tr>
      <w:tr w:rsidR="00C24C61" w:rsidRPr="00C24C61" w14:paraId="1B25DEF1" w14:textId="77777777" w:rsidTr="00FD1D5C">
        <w:trPr>
          <w:cantSplit/>
          <w:trHeight w:val="227"/>
        </w:trPr>
        <w:tc>
          <w:tcPr>
            <w:tcW w:w="4559" w:type="dxa"/>
            <w:tcBorders>
              <w:top w:val="single" w:sz="4" w:space="0" w:color="auto"/>
            </w:tcBorders>
            <w:shd w:val="clear" w:color="auto" w:fill="auto"/>
          </w:tcPr>
          <w:p w14:paraId="42326A68" w14:textId="77777777" w:rsidR="00C24C61" w:rsidRPr="00C24C61" w:rsidRDefault="00C24C61" w:rsidP="00C24C61">
            <w:pPr>
              <w:jc w:val="right"/>
              <w:rPr>
                <w:rFonts w:ascii="Calibri" w:hAnsi="Calibri" w:cs="Calibri"/>
                <w:color w:val="FFFFFF"/>
                <w:sz w:val="12"/>
                <w:szCs w:val="20"/>
                <w:lang w:eastAsia="en-US"/>
              </w:rPr>
            </w:pPr>
            <w:r w:rsidRPr="00C24C61">
              <w:rPr>
                <w:rFonts w:ascii="Calibri" w:hAnsi="Calibri" w:cs="Calibri"/>
                <w:color w:val="FFFFFF"/>
                <w:sz w:val="12"/>
                <w:szCs w:val="20"/>
                <w:lang w:eastAsia="en-US"/>
              </w:rPr>
              <w:t xml:space="preserve"> </w:t>
            </w:r>
          </w:p>
        </w:tc>
        <w:tc>
          <w:tcPr>
            <w:tcW w:w="902" w:type="dxa"/>
            <w:tcBorders>
              <w:top w:val="single" w:sz="4" w:space="0" w:color="auto"/>
            </w:tcBorders>
            <w:shd w:val="clear" w:color="auto" w:fill="auto"/>
          </w:tcPr>
          <w:p w14:paraId="2328E423" w14:textId="77777777" w:rsidR="00C24C61" w:rsidRPr="00C24C61" w:rsidRDefault="00C24C61" w:rsidP="00C24C61">
            <w:pPr>
              <w:jc w:val="right"/>
              <w:rPr>
                <w:rFonts w:ascii="Calibri" w:hAnsi="Calibri" w:cs="Calibri"/>
                <w:color w:val="FFFFFF"/>
                <w:sz w:val="12"/>
                <w:szCs w:val="20"/>
                <w:lang w:eastAsia="en-US"/>
              </w:rPr>
            </w:pPr>
            <w:r w:rsidRPr="00C24C61">
              <w:rPr>
                <w:rFonts w:ascii="Calibri" w:hAnsi="Calibri" w:cs="Calibri"/>
                <w:color w:val="FFFFFF"/>
                <w:sz w:val="12"/>
                <w:szCs w:val="20"/>
                <w:lang w:eastAsia="en-US"/>
              </w:rPr>
              <w:t xml:space="preserve"> </w:t>
            </w:r>
          </w:p>
        </w:tc>
        <w:tc>
          <w:tcPr>
            <w:tcW w:w="903" w:type="dxa"/>
            <w:tcBorders>
              <w:top w:val="single" w:sz="4" w:space="0" w:color="auto"/>
            </w:tcBorders>
            <w:shd w:val="clear" w:color="auto" w:fill="auto"/>
          </w:tcPr>
          <w:p w14:paraId="72C4C9B6" w14:textId="77777777" w:rsidR="00C24C61" w:rsidRPr="00C24C61" w:rsidRDefault="00C24C61" w:rsidP="00C24C61">
            <w:pPr>
              <w:jc w:val="right"/>
              <w:rPr>
                <w:rFonts w:ascii="Calibri" w:hAnsi="Calibri" w:cs="Calibri"/>
                <w:color w:val="FFFFFF"/>
                <w:sz w:val="12"/>
                <w:szCs w:val="20"/>
                <w:lang w:eastAsia="en-US"/>
              </w:rPr>
            </w:pPr>
            <w:r w:rsidRPr="00C24C61">
              <w:rPr>
                <w:rFonts w:ascii="Calibri" w:hAnsi="Calibri" w:cs="Calibri"/>
                <w:color w:val="FFFFFF"/>
                <w:sz w:val="12"/>
                <w:szCs w:val="20"/>
                <w:lang w:eastAsia="en-US"/>
              </w:rPr>
              <w:t xml:space="preserve"> </w:t>
            </w:r>
          </w:p>
        </w:tc>
        <w:tc>
          <w:tcPr>
            <w:tcW w:w="902" w:type="dxa"/>
            <w:tcBorders>
              <w:top w:val="single" w:sz="4" w:space="0" w:color="auto"/>
            </w:tcBorders>
            <w:shd w:val="clear" w:color="auto" w:fill="auto"/>
          </w:tcPr>
          <w:p w14:paraId="027B3166" w14:textId="77777777" w:rsidR="00C24C61" w:rsidRPr="00C24C61" w:rsidRDefault="00C24C61" w:rsidP="00C24C61">
            <w:pPr>
              <w:jc w:val="right"/>
              <w:rPr>
                <w:rFonts w:ascii="Calibri" w:hAnsi="Calibri" w:cs="Calibri"/>
                <w:color w:val="FFFFFF"/>
                <w:sz w:val="12"/>
                <w:szCs w:val="20"/>
                <w:lang w:eastAsia="en-US"/>
              </w:rPr>
            </w:pPr>
            <w:r w:rsidRPr="00C24C61">
              <w:rPr>
                <w:rFonts w:ascii="Calibri" w:hAnsi="Calibri" w:cs="Calibri"/>
                <w:color w:val="FFFFFF"/>
                <w:sz w:val="12"/>
                <w:szCs w:val="20"/>
                <w:lang w:eastAsia="en-US"/>
              </w:rPr>
              <w:t xml:space="preserve"> </w:t>
            </w:r>
          </w:p>
        </w:tc>
        <w:tc>
          <w:tcPr>
            <w:tcW w:w="903" w:type="dxa"/>
            <w:tcBorders>
              <w:top w:val="single" w:sz="4" w:space="0" w:color="auto"/>
            </w:tcBorders>
            <w:shd w:val="clear" w:color="auto" w:fill="auto"/>
          </w:tcPr>
          <w:p w14:paraId="4B22C748" w14:textId="77777777" w:rsidR="00C24C61" w:rsidRPr="00C24C61" w:rsidRDefault="00C24C61" w:rsidP="00C24C61">
            <w:pPr>
              <w:jc w:val="right"/>
              <w:rPr>
                <w:rFonts w:ascii="Calibri" w:hAnsi="Calibri" w:cs="Calibri"/>
                <w:color w:val="FFFFFF"/>
                <w:sz w:val="12"/>
                <w:szCs w:val="20"/>
                <w:lang w:eastAsia="en-US"/>
              </w:rPr>
            </w:pPr>
            <w:r w:rsidRPr="00C24C61">
              <w:rPr>
                <w:rFonts w:ascii="Calibri" w:hAnsi="Calibri" w:cs="Calibri"/>
                <w:color w:val="FFFFFF"/>
                <w:sz w:val="12"/>
                <w:szCs w:val="20"/>
                <w:lang w:eastAsia="en-US"/>
              </w:rPr>
              <w:t xml:space="preserve"> </w:t>
            </w:r>
          </w:p>
        </w:tc>
        <w:tc>
          <w:tcPr>
            <w:tcW w:w="903" w:type="dxa"/>
            <w:tcBorders>
              <w:top w:val="single" w:sz="4" w:space="0" w:color="auto"/>
            </w:tcBorders>
            <w:shd w:val="clear" w:color="auto" w:fill="auto"/>
          </w:tcPr>
          <w:p w14:paraId="1043FBF7" w14:textId="77777777" w:rsidR="00C24C61" w:rsidRPr="00C24C61" w:rsidRDefault="00C24C61" w:rsidP="00C24C61">
            <w:pPr>
              <w:jc w:val="right"/>
              <w:rPr>
                <w:rFonts w:ascii="Calibri" w:hAnsi="Calibri" w:cs="Calibri"/>
                <w:color w:val="FFFFFF"/>
                <w:sz w:val="12"/>
                <w:szCs w:val="20"/>
                <w:lang w:eastAsia="en-US"/>
              </w:rPr>
            </w:pPr>
            <w:r w:rsidRPr="00C24C61">
              <w:rPr>
                <w:rFonts w:ascii="Calibri" w:hAnsi="Calibri" w:cs="Calibri"/>
                <w:color w:val="FFFFFF"/>
                <w:sz w:val="12"/>
                <w:szCs w:val="20"/>
                <w:lang w:eastAsia="en-US"/>
              </w:rPr>
              <w:t xml:space="preserve"> </w:t>
            </w:r>
          </w:p>
        </w:tc>
      </w:tr>
      <w:tr w:rsidR="00C24C61" w:rsidRPr="00C24C61" w14:paraId="4932B8FE" w14:textId="77777777" w:rsidTr="00FD1D5C">
        <w:trPr>
          <w:cantSplit/>
          <w:trHeight w:val="227"/>
        </w:trPr>
        <w:tc>
          <w:tcPr>
            <w:tcW w:w="4559" w:type="dxa"/>
            <w:shd w:val="clear" w:color="auto" w:fill="auto"/>
            <w:vAlign w:val="bottom"/>
          </w:tcPr>
          <w:p w14:paraId="16E67D79" w14:textId="77777777" w:rsidR="00C24C61" w:rsidRPr="00C24C61" w:rsidRDefault="00C24C61" w:rsidP="00C24C61">
            <w:pPr>
              <w:ind w:left="227" w:hanging="227"/>
              <w:rPr>
                <w:rFonts w:ascii="Calibri" w:hAnsi="Calibri"/>
                <w:b/>
                <w:bCs/>
                <w:sz w:val="20"/>
                <w:szCs w:val="20"/>
                <w:lang w:eastAsia="en-AU"/>
              </w:rPr>
            </w:pPr>
            <w:r w:rsidRPr="00C24C61">
              <w:rPr>
                <w:rFonts w:ascii="Calibri" w:hAnsi="Calibri"/>
                <w:b/>
                <w:bCs/>
                <w:sz w:val="20"/>
                <w:szCs w:val="20"/>
                <w:lang w:eastAsia="en-AU"/>
              </w:rPr>
              <w:t>Transport Canberra and City Services Directorate</w:t>
            </w:r>
          </w:p>
        </w:tc>
        <w:tc>
          <w:tcPr>
            <w:tcW w:w="902" w:type="dxa"/>
            <w:shd w:val="clear" w:color="auto" w:fill="auto"/>
          </w:tcPr>
          <w:p w14:paraId="23684E18" w14:textId="77777777" w:rsidR="00C24C61" w:rsidRPr="00C24C61" w:rsidRDefault="00C24C61" w:rsidP="00C24C61">
            <w:pPr>
              <w:framePr w:wrap="around" w:vAnchor="text" w:hAnchor="text" w:y="1"/>
              <w:jc w:val="right"/>
              <w:rPr>
                <w:rFonts w:ascii="Calibri" w:hAnsi="Calibri"/>
                <w:b/>
                <w:sz w:val="20"/>
                <w:szCs w:val="20"/>
                <w:lang w:eastAsia="en-US"/>
              </w:rPr>
            </w:pPr>
          </w:p>
        </w:tc>
        <w:tc>
          <w:tcPr>
            <w:tcW w:w="903" w:type="dxa"/>
            <w:shd w:val="clear" w:color="auto" w:fill="auto"/>
          </w:tcPr>
          <w:p w14:paraId="7388BEF7" w14:textId="77777777" w:rsidR="00C24C61" w:rsidRPr="00C24C61" w:rsidRDefault="00C24C61" w:rsidP="00C24C61">
            <w:pPr>
              <w:framePr w:wrap="around" w:vAnchor="text" w:hAnchor="text" w:y="1"/>
              <w:jc w:val="right"/>
              <w:rPr>
                <w:rFonts w:ascii="Calibri" w:hAnsi="Calibri"/>
                <w:b/>
                <w:sz w:val="20"/>
                <w:szCs w:val="20"/>
                <w:lang w:eastAsia="en-US"/>
              </w:rPr>
            </w:pPr>
          </w:p>
        </w:tc>
        <w:tc>
          <w:tcPr>
            <w:tcW w:w="902" w:type="dxa"/>
            <w:shd w:val="clear" w:color="auto" w:fill="auto"/>
          </w:tcPr>
          <w:p w14:paraId="6012F82C" w14:textId="77777777" w:rsidR="00C24C61" w:rsidRPr="00C24C61" w:rsidRDefault="00C24C61" w:rsidP="00C24C61">
            <w:pPr>
              <w:framePr w:wrap="around" w:vAnchor="text" w:hAnchor="text" w:y="1"/>
              <w:jc w:val="right"/>
              <w:rPr>
                <w:rFonts w:ascii="Calibri" w:hAnsi="Calibri"/>
                <w:b/>
                <w:sz w:val="20"/>
                <w:szCs w:val="20"/>
                <w:lang w:eastAsia="en-US"/>
              </w:rPr>
            </w:pPr>
          </w:p>
        </w:tc>
        <w:tc>
          <w:tcPr>
            <w:tcW w:w="903" w:type="dxa"/>
            <w:shd w:val="clear" w:color="auto" w:fill="auto"/>
          </w:tcPr>
          <w:p w14:paraId="52C7A64C" w14:textId="77777777" w:rsidR="00C24C61" w:rsidRPr="00C24C61" w:rsidRDefault="00C24C61" w:rsidP="00C24C61">
            <w:pPr>
              <w:framePr w:wrap="around" w:vAnchor="text" w:hAnchor="text" w:y="1"/>
              <w:jc w:val="right"/>
              <w:rPr>
                <w:rFonts w:ascii="Calibri" w:hAnsi="Calibri"/>
                <w:b/>
                <w:sz w:val="20"/>
                <w:szCs w:val="20"/>
                <w:lang w:eastAsia="en-US"/>
              </w:rPr>
            </w:pPr>
          </w:p>
        </w:tc>
        <w:tc>
          <w:tcPr>
            <w:tcW w:w="903" w:type="dxa"/>
            <w:shd w:val="clear" w:color="auto" w:fill="auto"/>
          </w:tcPr>
          <w:p w14:paraId="5043842E" w14:textId="77777777" w:rsidR="00C24C61" w:rsidRPr="00C24C61" w:rsidRDefault="00C24C61" w:rsidP="00C24C61">
            <w:pPr>
              <w:framePr w:wrap="around" w:vAnchor="text" w:hAnchor="text" w:y="1"/>
              <w:jc w:val="right"/>
              <w:rPr>
                <w:rFonts w:ascii="Calibri" w:hAnsi="Calibri"/>
                <w:b/>
                <w:sz w:val="20"/>
                <w:szCs w:val="20"/>
                <w:lang w:eastAsia="en-US"/>
              </w:rPr>
            </w:pPr>
          </w:p>
        </w:tc>
      </w:tr>
      <w:tr w:rsidR="00C24C61" w:rsidRPr="00C24C61" w14:paraId="12F66D5D" w14:textId="77777777" w:rsidTr="00FD1D5C">
        <w:trPr>
          <w:cantSplit/>
          <w:trHeight w:val="227"/>
        </w:trPr>
        <w:tc>
          <w:tcPr>
            <w:tcW w:w="4559" w:type="dxa"/>
            <w:shd w:val="clear" w:color="auto" w:fill="auto"/>
          </w:tcPr>
          <w:p w14:paraId="39EFD1C6" w14:textId="77777777" w:rsidR="00C24C61" w:rsidRPr="00C24C61" w:rsidRDefault="00C24C61" w:rsidP="00C24C61">
            <w:pPr>
              <w:ind w:left="227" w:hanging="227"/>
              <w:rPr>
                <w:rFonts w:ascii="Calibri" w:hAnsi="Calibri"/>
                <w:bCs/>
                <w:color w:val="000000"/>
                <w:sz w:val="20"/>
                <w:szCs w:val="20"/>
                <w:vertAlign w:val="superscript"/>
                <w:lang w:eastAsia="en-AU"/>
              </w:rPr>
            </w:pPr>
            <w:r w:rsidRPr="00C24C61">
              <w:rPr>
                <w:rFonts w:ascii="Calibri" w:hAnsi="Calibri"/>
                <w:bCs/>
                <w:color w:val="000000"/>
                <w:sz w:val="20"/>
                <w:szCs w:val="20"/>
                <w:lang w:eastAsia="en-AU"/>
              </w:rPr>
              <w:t xml:space="preserve">Better Suburbs: Planting more trees and delivering more bins at local shops </w:t>
            </w:r>
            <w:r w:rsidRPr="00C24C61">
              <w:rPr>
                <w:rFonts w:ascii="Calibri" w:hAnsi="Calibri"/>
                <w:bCs/>
                <w:color w:val="000000"/>
                <w:sz w:val="20"/>
                <w:szCs w:val="20"/>
                <w:vertAlign w:val="superscript"/>
                <w:lang w:eastAsia="en-AU"/>
              </w:rPr>
              <w:t>2</w:t>
            </w:r>
          </w:p>
        </w:tc>
        <w:tc>
          <w:tcPr>
            <w:tcW w:w="902" w:type="dxa"/>
            <w:tcBorders>
              <w:top w:val="nil"/>
              <w:left w:val="nil"/>
              <w:bottom w:val="nil"/>
              <w:right w:val="nil"/>
            </w:tcBorders>
            <w:shd w:val="clear" w:color="auto" w:fill="auto"/>
          </w:tcPr>
          <w:p w14:paraId="404F692E"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338</w:t>
            </w:r>
          </w:p>
        </w:tc>
        <w:tc>
          <w:tcPr>
            <w:tcW w:w="903" w:type="dxa"/>
            <w:tcBorders>
              <w:top w:val="nil"/>
              <w:left w:val="nil"/>
              <w:bottom w:val="nil"/>
              <w:right w:val="nil"/>
            </w:tcBorders>
            <w:shd w:val="clear" w:color="auto" w:fill="auto"/>
          </w:tcPr>
          <w:p w14:paraId="4182D1CB"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2,029</w:t>
            </w:r>
          </w:p>
        </w:tc>
        <w:tc>
          <w:tcPr>
            <w:tcW w:w="902" w:type="dxa"/>
            <w:tcBorders>
              <w:top w:val="nil"/>
              <w:left w:val="nil"/>
              <w:bottom w:val="nil"/>
              <w:right w:val="nil"/>
            </w:tcBorders>
            <w:shd w:val="clear" w:color="auto" w:fill="auto"/>
          </w:tcPr>
          <w:p w14:paraId="52B7288B"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3,151</w:t>
            </w:r>
          </w:p>
        </w:tc>
        <w:tc>
          <w:tcPr>
            <w:tcW w:w="903" w:type="dxa"/>
            <w:tcBorders>
              <w:top w:val="nil"/>
              <w:left w:val="nil"/>
              <w:bottom w:val="nil"/>
              <w:right w:val="nil"/>
            </w:tcBorders>
            <w:shd w:val="clear" w:color="auto" w:fill="auto"/>
          </w:tcPr>
          <w:p w14:paraId="579B477E"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3,703</w:t>
            </w:r>
          </w:p>
        </w:tc>
        <w:tc>
          <w:tcPr>
            <w:tcW w:w="903" w:type="dxa"/>
            <w:tcBorders>
              <w:top w:val="nil"/>
              <w:left w:val="nil"/>
              <w:bottom w:val="nil"/>
            </w:tcBorders>
            <w:shd w:val="clear" w:color="auto" w:fill="auto"/>
          </w:tcPr>
          <w:p w14:paraId="7B12954C"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9,221</w:t>
            </w:r>
          </w:p>
        </w:tc>
      </w:tr>
      <w:tr w:rsidR="00C24C61" w:rsidRPr="00C24C61" w14:paraId="632455D8" w14:textId="77777777" w:rsidTr="00FD1D5C">
        <w:trPr>
          <w:cantSplit/>
          <w:trHeight w:val="227"/>
        </w:trPr>
        <w:tc>
          <w:tcPr>
            <w:tcW w:w="4559" w:type="dxa"/>
            <w:shd w:val="clear" w:color="auto" w:fill="auto"/>
          </w:tcPr>
          <w:p w14:paraId="12CE39DE" w14:textId="77777777" w:rsidR="00C24C61" w:rsidRPr="00C24C61" w:rsidRDefault="00C24C61" w:rsidP="00C24C61">
            <w:pPr>
              <w:ind w:left="227" w:hanging="227"/>
              <w:rPr>
                <w:rFonts w:ascii="Calibri" w:hAnsi="Calibri"/>
                <w:bCs/>
                <w:color w:val="000000"/>
                <w:sz w:val="20"/>
                <w:szCs w:val="20"/>
                <w:vertAlign w:val="superscript"/>
                <w:lang w:eastAsia="en-AU"/>
              </w:rPr>
            </w:pPr>
            <w:r w:rsidRPr="00C24C61">
              <w:rPr>
                <w:rFonts w:ascii="Calibri" w:hAnsi="Calibri"/>
                <w:bCs/>
                <w:color w:val="000000"/>
                <w:sz w:val="20"/>
                <w:szCs w:val="20"/>
                <w:lang w:eastAsia="en-AU"/>
              </w:rPr>
              <w:t xml:space="preserve">Commencing Light Rail Stage 1 operations and delivering a light rail stop at Mitchell </w:t>
            </w:r>
            <w:r w:rsidRPr="00C24C61">
              <w:rPr>
                <w:rFonts w:ascii="Calibri" w:hAnsi="Calibri"/>
                <w:bCs/>
                <w:color w:val="000000"/>
                <w:sz w:val="20"/>
                <w:szCs w:val="20"/>
                <w:vertAlign w:val="superscript"/>
                <w:lang w:eastAsia="en-AU"/>
              </w:rPr>
              <w:t>2, 5</w:t>
            </w:r>
          </w:p>
        </w:tc>
        <w:tc>
          <w:tcPr>
            <w:tcW w:w="902" w:type="dxa"/>
            <w:shd w:val="clear" w:color="auto" w:fill="auto"/>
          </w:tcPr>
          <w:p w14:paraId="0C8EAC27"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667</w:t>
            </w:r>
          </w:p>
        </w:tc>
        <w:tc>
          <w:tcPr>
            <w:tcW w:w="903" w:type="dxa"/>
            <w:shd w:val="clear" w:color="auto" w:fill="auto"/>
          </w:tcPr>
          <w:p w14:paraId="586F17FA"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685</w:t>
            </w:r>
          </w:p>
        </w:tc>
        <w:tc>
          <w:tcPr>
            <w:tcW w:w="902" w:type="dxa"/>
            <w:shd w:val="clear" w:color="auto" w:fill="auto"/>
          </w:tcPr>
          <w:p w14:paraId="38F7BA6C"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702</w:t>
            </w:r>
          </w:p>
        </w:tc>
        <w:tc>
          <w:tcPr>
            <w:tcW w:w="903" w:type="dxa"/>
            <w:shd w:val="clear" w:color="auto" w:fill="auto"/>
          </w:tcPr>
          <w:p w14:paraId="12B78A98"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760</w:t>
            </w:r>
          </w:p>
        </w:tc>
        <w:tc>
          <w:tcPr>
            <w:tcW w:w="903" w:type="dxa"/>
            <w:shd w:val="clear" w:color="auto" w:fill="auto"/>
          </w:tcPr>
          <w:p w14:paraId="264C9607"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2,814</w:t>
            </w:r>
          </w:p>
        </w:tc>
      </w:tr>
      <w:tr w:rsidR="00C24C61" w:rsidRPr="00C24C61" w14:paraId="38059C5D" w14:textId="77777777" w:rsidTr="00FD1D5C">
        <w:trPr>
          <w:cantSplit/>
          <w:trHeight w:val="227"/>
        </w:trPr>
        <w:tc>
          <w:tcPr>
            <w:tcW w:w="4559" w:type="dxa"/>
            <w:shd w:val="clear" w:color="auto" w:fill="auto"/>
          </w:tcPr>
          <w:p w14:paraId="03FE2E5E" w14:textId="77777777" w:rsidR="00C24C61" w:rsidRPr="00C24C61" w:rsidRDefault="00C24C61" w:rsidP="00C24C61">
            <w:pPr>
              <w:ind w:left="227" w:hanging="227"/>
              <w:rPr>
                <w:rFonts w:ascii="Calibri" w:hAnsi="Calibri"/>
                <w:bCs/>
                <w:color w:val="000000"/>
                <w:sz w:val="20"/>
                <w:szCs w:val="20"/>
                <w:lang w:eastAsia="en-AU"/>
              </w:rPr>
            </w:pPr>
            <w:r w:rsidRPr="00C24C61">
              <w:rPr>
                <w:rFonts w:ascii="Calibri" w:hAnsi="Calibri"/>
                <w:bCs/>
                <w:color w:val="000000"/>
                <w:sz w:val="20"/>
                <w:szCs w:val="20"/>
                <w:lang w:eastAsia="en-AU"/>
              </w:rPr>
              <w:t>Delivering a smart technology ticketing system for Canberra's integrated public transport system</w:t>
            </w:r>
          </w:p>
        </w:tc>
        <w:tc>
          <w:tcPr>
            <w:tcW w:w="902" w:type="dxa"/>
            <w:shd w:val="clear" w:color="auto" w:fill="auto"/>
          </w:tcPr>
          <w:p w14:paraId="49457908"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450</w:t>
            </w:r>
          </w:p>
        </w:tc>
        <w:tc>
          <w:tcPr>
            <w:tcW w:w="903" w:type="dxa"/>
            <w:shd w:val="clear" w:color="auto" w:fill="auto"/>
          </w:tcPr>
          <w:p w14:paraId="0940FA2E"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0</w:t>
            </w:r>
          </w:p>
        </w:tc>
        <w:tc>
          <w:tcPr>
            <w:tcW w:w="902" w:type="dxa"/>
            <w:shd w:val="clear" w:color="auto" w:fill="auto"/>
          </w:tcPr>
          <w:p w14:paraId="1CCA7B1F"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0</w:t>
            </w:r>
          </w:p>
        </w:tc>
        <w:tc>
          <w:tcPr>
            <w:tcW w:w="903" w:type="dxa"/>
            <w:shd w:val="clear" w:color="auto" w:fill="auto"/>
          </w:tcPr>
          <w:p w14:paraId="1EE227E2"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0</w:t>
            </w:r>
          </w:p>
        </w:tc>
        <w:tc>
          <w:tcPr>
            <w:tcW w:w="903" w:type="dxa"/>
            <w:shd w:val="clear" w:color="auto" w:fill="auto"/>
          </w:tcPr>
          <w:p w14:paraId="6520D7D9"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450</w:t>
            </w:r>
          </w:p>
        </w:tc>
      </w:tr>
      <w:tr w:rsidR="00C24C61" w:rsidRPr="00C24C61" w14:paraId="49954C1D" w14:textId="77777777" w:rsidTr="00FD1D5C">
        <w:trPr>
          <w:cantSplit/>
          <w:trHeight w:val="227"/>
        </w:trPr>
        <w:tc>
          <w:tcPr>
            <w:tcW w:w="4559" w:type="dxa"/>
            <w:shd w:val="clear" w:color="auto" w:fill="auto"/>
          </w:tcPr>
          <w:p w14:paraId="4A4C7147" w14:textId="77777777" w:rsidR="00C24C61" w:rsidRPr="00C24C61" w:rsidRDefault="00C24C61" w:rsidP="00C24C61">
            <w:pPr>
              <w:ind w:left="227" w:hanging="227"/>
              <w:rPr>
                <w:rFonts w:ascii="Calibri" w:hAnsi="Calibri"/>
                <w:bCs/>
                <w:color w:val="000000"/>
                <w:sz w:val="20"/>
                <w:szCs w:val="20"/>
                <w:vertAlign w:val="superscript"/>
                <w:lang w:eastAsia="en-AU"/>
              </w:rPr>
            </w:pPr>
            <w:r w:rsidRPr="00C24C61">
              <w:rPr>
                <w:rFonts w:ascii="Calibri" w:hAnsi="Calibri"/>
                <w:bCs/>
                <w:color w:val="000000"/>
                <w:sz w:val="20"/>
                <w:szCs w:val="20"/>
                <w:lang w:eastAsia="en-AU"/>
              </w:rPr>
              <w:t xml:space="preserve">Delivering job security for city services workers </w:t>
            </w:r>
            <w:r w:rsidRPr="00C24C61">
              <w:rPr>
                <w:rFonts w:ascii="Calibri" w:hAnsi="Calibri"/>
                <w:bCs/>
                <w:color w:val="000000"/>
                <w:sz w:val="20"/>
                <w:szCs w:val="20"/>
                <w:vertAlign w:val="superscript"/>
                <w:lang w:eastAsia="en-AU"/>
              </w:rPr>
              <w:t>3</w:t>
            </w:r>
          </w:p>
        </w:tc>
        <w:tc>
          <w:tcPr>
            <w:tcW w:w="902" w:type="dxa"/>
            <w:shd w:val="clear" w:color="auto" w:fill="auto"/>
          </w:tcPr>
          <w:p w14:paraId="71A2944C"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0</w:t>
            </w:r>
          </w:p>
        </w:tc>
        <w:tc>
          <w:tcPr>
            <w:tcW w:w="903" w:type="dxa"/>
            <w:shd w:val="clear" w:color="auto" w:fill="auto"/>
          </w:tcPr>
          <w:p w14:paraId="052009D8"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0</w:t>
            </w:r>
          </w:p>
        </w:tc>
        <w:tc>
          <w:tcPr>
            <w:tcW w:w="902" w:type="dxa"/>
            <w:shd w:val="clear" w:color="auto" w:fill="auto"/>
          </w:tcPr>
          <w:p w14:paraId="39265C0A"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0</w:t>
            </w:r>
          </w:p>
        </w:tc>
        <w:tc>
          <w:tcPr>
            <w:tcW w:w="903" w:type="dxa"/>
            <w:shd w:val="clear" w:color="auto" w:fill="auto"/>
          </w:tcPr>
          <w:p w14:paraId="0FA5CACC"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0</w:t>
            </w:r>
          </w:p>
        </w:tc>
        <w:tc>
          <w:tcPr>
            <w:tcW w:w="903" w:type="dxa"/>
            <w:shd w:val="clear" w:color="auto" w:fill="auto"/>
          </w:tcPr>
          <w:p w14:paraId="66619B72"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0</w:t>
            </w:r>
          </w:p>
        </w:tc>
      </w:tr>
      <w:tr w:rsidR="00C24C61" w:rsidRPr="00C24C61" w14:paraId="4679FD40" w14:textId="77777777" w:rsidTr="00FD1D5C">
        <w:trPr>
          <w:cantSplit/>
          <w:trHeight w:val="227"/>
        </w:trPr>
        <w:tc>
          <w:tcPr>
            <w:tcW w:w="4559" w:type="dxa"/>
            <w:shd w:val="clear" w:color="auto" w:fill="auto"/>
          </w:tcPr>
          <w:p w14:paraId="7F95DD5B" w14:textId="77777777" w:rsidR="00C24C61" w:rsidRPr="00C24C61" w:rsidRDefault="00C24C61" w:rsidP="00C24C61">
            <w:pPr>
              <w:ind w:left="227" w:hanging="227"/>
              <w:rPr>
                <w:rFonts w:ascii="Calibri" w:hAnsi="Calibri"/>
                <w:bCs/>
                <w:color w:val="000000"/>
                <w:sz w:val="20"/>
                <w:szCs w:val="20"/>
                <w:vertAlign w:val="superscript"/>
                <w:lang w:eastAsia="en-AU"/>
              </w:rPr>
            </w:pPr>
            <w:r w:rsidRPr="00C24C61">
              <w:rPr>
                <w:rFonts w:ascii="Calibri" w:hAnsi="Calibri"/>
                <w:bCs/>
                <w:color w:val="000000"/>
                <w:sz w:val="20"/>
                <w:szCs w:val="20"/>
                <w:lang w:eastAsia="en-AU"/>
              </w:rPr>
              <w:t xml:space="preserve">Delivering safer intersections </w:t>
            </w:r>
            <w:r w:rsidRPr="00C24C61">
              <w:rPr>
                <w:rFonts w:ascii="Calibri" w:hAnsi="Calibri"/>
                <w:bCs/>
                <w:color w:val="000000"/>
                <w:sz w:val="20"/>
                <w:szCs w:val="20"/>
                <w:vertAlign w:val="superscript"/>
                <w:lang w:eastAsia="en-AU"/>
              </w:rPr>
              <w:t>2</w:t>
            </w:r>
          </w:p>
        </w:tc>
        <w:tc>
          <w:tcPr>
            <w:tcW w:w="902" w:type="dxa"/>
            <w:tcBorders>
              <w:top w:val="nil"/>
              <w:left w:val="nil"/>
              <w:bottom w:val="nil"/>
              <w:right w:val="nil"/>
            </w:tcBorders>
            <w:shd w:val="clear" w:color="auto" w:fill="auto"/>
          </w:tcPr>
          <w:p w14:paraId="3359F0AF"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0</w:t>
            </w:r>
          </w:p>
        </w:tc>
        <w:tc>
          <w:tcPr>
            <w:tcW w:w="903" w:type="dxa"/>
            <w:tcBorders>
              <w:top w:val="nil"/>
              <w:left w:val="nil"/>
              <w:bottom w:val="nil"/>
              <w:right w:val="nil"/>
            </w:tcBorders>
            <w:shd w:val="clear" w:color="auto" w:fill="auto"/>
          </w:tcPr>
          <w:p w14:paraId="1C733089"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100</w:t>
            </w:r>
          </w:p>
        </w:tc>
        <w:tc>
          <w:tcPr>
            <w:tcW w:w="902" w:type="dxa"/>
            <w:tcBorders>
              <w:top w:val="nil"/>
              <w:left w:val="nil"/>
              <w:bottom w:val="nil"/>
              <w:right w:val="nil"/>
            </w:tcBorders>
            <w:shd w:val="clear" w:color="auto" w:fill="auto"/>
          </w:tcPr>
          <w:p w14:paraId="0A19ABC6"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241</w:t>
            </w:r>
          </w:p>
        </w:tc>
        <w:tc>
          <w:tcPr>
            <w:tcW w:w="903" w:type="dxa"/>
            <w:tcBorders>
              <w:top w:val="nil"/>
              <w:left w:val="nil"/>
              <w:bottom w:val="nil"/>
              <w:right w:val="nil"/>
            </w:tcBorders>
            <w:shd w:val="clear" w:color="auto" w:fill="auto"/>
          </w:tcPr>
          <w:p w14:paraId="15DF80A8"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328</w:t>
            </w:r>
          </w:p>
        </w:tc>
        <w:tc>
          <w:tcPr>
            <w:tcW w:w="903" w:type="dxa"/>
            <w:tcBorders>
              <w:top w:val="nil"/>
              <w:left w:val="nil"/>
              <w:bottom w:val="nil"/>
            </w:tcBorders>
            <w:shd w:val="clear" w:color="auto" w:fill="auto"/>
          </w:tcPr>
          <w:p w14:paraId="3A576993"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669</w:t>
            </w:r>
          </w:p>
        </w:tc>
      </w:tr>
      <w:tr w:rsidR="00C24C61" w:rsidRPr="00C24C61" w14:paraId="2786C3B9" w14:textId="77777777" w:rsidTr="00FD1D5C">
        <w:trPr>
          <w:cantSplit/>
          <w:trHeight w:val="227"/>
        </w:trPr>
        <w:tc>
          <w:tcPr>
            <w:tcW w:w="4559" w:type="dxa"/>
            <w:shd w:val="clear" w:color="auto" w:fill="auto"/>
          </w:tcPr>
          <w:p w14:paraId="50F559B7" w14:textId="77777777" w:rsidR="00C24C61" w:rsidRPr="00C24C61" w:rsidRDefault="00C24C61" w:rsidP="00C24C61">
            <w:pPr>
              <w:ind w:left="227" w:hanging="227"/>
              <w:rPr>
                <w:rFonts w:ascii="Calibri" w:hAnsi="Calibri"/>
                <w:bCs/>
                <w:color w:val="000000"/>
                <w:sz w:val="20"/>
                <w:szCs w:val="20"/>
                <w:vertAlign w:val="superscript"/>
                <w:lang w:eastAsia="en-AU"/>
              </w:rPr>
            </w:pPr>
            <w:r w:rsidRPr="00C24C61">
              <w:rPr>
                <w:rFonts w:ascii="Calibri" w:hAnsi="Calibri"/>
                <w:bCs/>
                <w:color w:val="000000"/>
                <w:sz w:val="20"/>
                <w:szCs w:val="20"/>
                <w:lang w:eastAsia="en-AU"/>
              </w:rPr>
              <w:t xml:space="preserve">Delivering Stage 2 of Light Rail to Woden </w:t>
            </w:r>
            <w:r w:rsidRPr="00C24C61">
              <w:rPr>
                <w:rFonts w:ascii="Calibri" w:hAnsi="Calibri"/>
                <w:bCs/>
                <w:color w:val="000000"/>
                <w:sz w:val="20"/>
                <w:szCs w:val="20"/>
                <w:vertAlign w:val="superscript"/>
                <w:lang w:eastAsia="en-AU"/>
              </w:rPr>
              <w:t>2</w:t>
            </w:r>
          </w:p>
        </w:tc>
        <w:tc>
          <w:tcPr>
            <w:tcW w:w="902" w:type="dxa"/>
            <w:tcBorders>
              <w:top w:val="nil"/>
              <w:left w:val="nil"/>
              <w:bottom w:val="nil"/>
              <w:right w:val="nil"/>
            </w:tcBorders>
            <w:shd w:val="clear" w:color="auto" w:fill="auto"/>
          </w:tcPr>
          <w:p w14:paraId="6F7F96AC"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0</w:t>
            </w:r>
          </w:p>
        </w:tc>
        <w:tc>
          <w:tcPr>
            <w:tcW w:w="903" w:type="dxa"/>
            <w:tcBorders>
              <w:top w:val="nil"/>
              <w:left w:val="nil"/>
              <w:bottom w:val="nil"/>
              <w:right w:val="nil"/>
            </w:tcBorders>
            <w:shd w:val="clear" w:color="auto" w:fill="auto"/>
          </w:tcPr>
          <w:p w14:paraId="0CC4327C"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2,401</w:t>
            </w:r>
          </w:p>
        </w:tc>
        <w:tc>
          <w:tcPr>
            <w:tcW w:w="902" w:type="dxa"/>
            <w:tcBorders>
              <w:top w:val="nil"/>
              <w:left w:val="nil"/>
              <w:bottom w:val="nil"/>
              <w:right w:val="nil"/>
            </w:tcBorders>
            <w:shd w:val="clear" w:color="auto" w:fill="auto"/>
          </w:tcPr>
          <w:p w14:paraId="5DD16509"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0</w:t>
            </w:r>
          </w:p>
        </w:tc>
        <w:tc>
          <w:tcPr>
            <w:tcW w:w="903" w:type="dxa"/>
            <w:tcBorders>
              <w:top w:val="nil"/>
              <w:left w:val="nil"/>
              <w:bottom w:val="nil"/>
              <w:right w:val="nil"/>
            </w:tcBorders>
            <w:shd w:val="clear" w:color="auto" w:fill="auto"/>
          </w:tcPr>
          <w:p w14:paraId="451DE7A1"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0</w:t>
            </w:r>
          </w:p>
        </w:tc>
        <w:tc>
          <w:tcPr>
            <w:tcW w:w="903" w:type="dxa"/>
            <w:tcBorders>
              <w:top w:val="nil"/>
              <w:left w:val="nil"/>
              <w:bottom w:val="nil"/>
              <w:right w:val="nil"/>
            </w:tcBorders>
            <w:shd w:val="clear" w:color="auto" w:fill="auto"/>
          </w:tcPr>
          <w:p w14:paraId="274BF1C4"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2,401</w:t>
            </w:r>
          </w:p>
        </w:tc>
      </w:tr>
      <w:tr w:rsidR="00C24C61" w:rsidRPr="00C24C61" w14:paraId="7143DFB4" w14:textId="77777777" w:rsidTr="00FD1D5C">
        <w:trPr>
          <w:cantSplit/>
          <w:trHeight w:val="227"/>
        </w:trPr>
        <w:tc>
          <w:tcPr>
            <w:tcW w:w="4559" w:type="dxa"/>
            <w:shd w:val="clear" w:color="auto" w:fill="auto"/>
          </w:tcPr>
          <w:p w14:paraId="780F49AD" w14:textId="77777777" w:rsidR="00C24C61" w:rsidRPr="00C24C61" w:rsidRDefault="00C24C61" w:rsidP="00C24C61">
            <w:pPr>
              <w:ind w:left="227" w:hanging="227"/>
              <w:rPr>
                <w:rFonts w:ascii="Calibri" w:hAnsi="Calibri"/>
                <w:bCs/>
                <w:color w:val="000000"/>
                <w:sz w:val="20"/>
                <w:szCs w:val="20"/>
                <w:vertAlign w:val="superscript"/>
                <w:lang w:eastAsia="en-AU"/>
              </w:rPr>
            </w:pPr>
            <w:r w:rsidRPr="00C24C61">
              <w:rPr>
                <w:rFonts w:ascii="Calibri" w:hAnsi="Calibri"/>
                <w:bCs/>
                <w:color w:val="000000"/>
                <w:sz w:val="20"/>
                <w:szCs w:val="20"/>
                <w:lang w:eastAsia="en-AU"/>
              </w:rPr>
              <w:t xml:space="preserve">Growing investment in services for our suburbs </w:t>
            </w:r>
            <w:r w:rsidRPr="00C24C61">
              <w:rPr>
                <w:rFonts w:ascii="Calibri" w:hAnsi="Calibri"/>
                <w:bCs/>
                <w:color w:val="000000"/>
                <w:sz w:val="20"/>
                <w:szCs w:val="20"/>
                <w:vertAlign w:val="superscript"/>
                <w:lang w:eastAsia="en-AU"/>
              </w:rPr>
              <w:t>2</w:t>
            </w:r>
          </w:p>
        </w:tc>
        <w:tc>
          <w:tcPr>
            <w:tcW w:w="902" w:type="dxa"/>
            <w:tcBorders>
              <w:top w:val="nil"/>
              <w:left w:val="nil"/>
              <w:bottom w:val="nil"/>
              <w:right w:val="nil"/>
            </w:tcBorders>
            <w:shd w:val="clear" w:color="auto" w:fill="auto"/>
          </w:tcPr>
          <w:p w14:paraId="7D8A57E6"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1,273</w:t>
            </w:r>
          </w:p>
        </w:tc>
        <w:tc>
          <w:tcPr>
            <w:tcW w:w="903" w:type="dxa"/>
            <w:tcBorders>
              <w:top w:val="nil"/>
              <w:left w:val="nil"/>
              <w:bottom w:val="nil"/>
              <w:right w:val="nil"/>
            </w:tcBorders>
            <w:shd w:val="clear" w:color="auto" w:fill="auto"/>
          </w:tcPr>
          <w:p w14:paraId="3F5AFBAE"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1,273</w:t>
            </w:r>
          </w:p>
        </w:tc>
        <w:tc>
          <w:tcPr>
            <w:tcW w:w="902" w:type="dxa"/>
            <w:tcBorders>
              <w:top w:val="nil"/>
              <w:left w:val="nil"/>
              <w:bottom w:val="nil"/>
              <w:right w:val="nil"/>
            </w:tcBorders>
            <w:shd w:val="clear" w:color="auto" w:fill="auto"/>
          </w:tcPr>
          <w:p w14:paraId="2076160F"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1,273</w:t>
            </w:r>
          </w:p>
        </w:tc>
        <w:tc>
          <w:tcPr>
            <w:tcW w:w="903" w:type="dxa"/>
            <w:tcBorders>
              <w:top w:val="nil"/>
              <w:left w:val="nil"/>
              <w:bottom w:val="nil"/>
              <w:right w:val="nil"/>
            </w:tcBorders>
            <w:shd w:val="clear" w:color="auto" w:fill="auto"/>
          </w:tcPr>
          <w:p w14:paraId="6D38FABD"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1,273</w:t>
            </w:r>
          </w:p>
        </w:tc>
        <w:tc>
          <w:tcPr>
            <w:tcW w:w="903" w:type="dxa"/>
            <w:tcBorders>
              <w:top w:val="nil"/>
              <w:left w:val="nil"/>
              <w:bottom w:val="nil"/>
              <w:right w:val="nil"/>
            </w:tcBorders>
            <w:shd w:val="clear" w:color="auto" w:fill="auto"/>
          </w:tcPr>
          <w:p w14:paraId="3DF814D4"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5,092</w:t>
            </w:r>
          </w:p>
        </w:tc>
      </w:tr>
      <w:tr w:rsidR="00C24C61" w:rsidRPr="00C24C61" w14:paraId="4770FFAD" w14:textId="77777777" w:rsidTr="00FD1D5C">
        <w:trPr>
          <w:cantSplit/>
          <w:trHeight w:val="227"/>
        </w:trPr>
        <w:tc>
          <w:tcPr>
            <w:tcW w:w="4559" w:type="dxa"/>
            <w:shd w:val="clear" w:color="auto" w:fill="auto"/>
          </w:tcPr>
          <w:p w14:paraId="53EA02A9" w14:textId="77777777" w:rsidR="00C24C61" w:rsidRPr="00C24C61" w:rsidRDefault="00C24C61" w:rsidP="00C24C61">
            <w:pPr>
              <w:ind w:left="227" w:hanging="227"/>
              <w:rPr>
                <w:rFonts w:ascii="Calibri" w:hAnsi="Calibri"/>
                <w:bCs/>
                <w:color w:val="000000"/>
                <w:sz w:val="20"/>
                <w:szCs w:val="20"/>
                <w:lang w:eastAsia="en-AU"/>
              </w:rPr>
            </w:pPr>
            <w:r w:rsidRPr="00C24C61">
              <w:rPr>
                <w:rFonts w:ascii="Calibri" w:hAnsi="Calibri"/>
                <w:bCs/>
                <w:color w:val="000000"/>
                <w:sz w:val="20"/>
                <w:szCs w:val="20"/>
                <w:lang w:eastAsia="en-AU"/>
              </w:rPr>
              <w:t>Improving compliance for better animal management, healthier trees and a cleaner city</w:t>
            </w:r>
          </w:p>
        </w:tc>
        <w:tc>
          <w:tcPr>
            <w:tcW w:w="902" w:type="dxa"/>
            <w:shd w:val="clear" w:color="auto" w:fill="auto"/>
          </w:tcPr>
          <w:p w14:paraId="5374FA6A"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482</w:t>
            </w:r>
          </w:p>
        </w:tc>
        <w:tc>
          <w:tcPr>
            <w:tcW w:w="903" w:type="dxa"/>
            <w:shd w:val="clear" w:color="auto" w:fill="auto"/>
          </w:tcPr>
          <w:p w14:paraId="49B7995C"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0</w:t>
            </w:r>
          </w:p>
        </w:tc>
        <w:tc>
          <w:tcPr>
            <w:tcW w:w="902" w:type="dxa"/>
            <w:shd w:val="clear" w:color="auto" w:fill="auto"/>
          </w:tcPr>
          <w:p w14:paraId="23834AFF"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0</w:t>
            </w:r>
          </w:p>
        </w:tc>
        <w:tc>
          <w:tcPr>
            <w:tcW w:w="903" w:type="dxa"/>
            <w:shd w:val="clear" w:color="auto" w:fill="auto"/>
          </w:tcPr>
          <w:p w14:paraId="7EE0D3AD"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0</w:t>
            </w:r>
          </w:p>
        </w:tc>
        <w:tc>
          <w:tcPr>
            <w:tcW w:w="903" w:type="dxa"/>
            <w:shd w:val="clear" w:color="auto" w:fill="auto"/>
          </w:tcPr>
          <w:p w14:paraId="12259926"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482</w:t>
            </w:r>
          </w:p>
        </w:tc>
      </w:tr>
      <w:tr w:rsidR="00C24C61" w:rsidRPr="00C24C61" w14:paraId="5BDF4F84" w14:textId="77777777" w:rsidTr="00FD1D5C">
        <w:trPr>
          <w:cantSplit/>
          <w:trHeight w:val="227"/>
        </w:trPr>
        <w:tc>
          <w:tcPr>
            <w:tcW w:w="4559" w:type="dxa"/>
            <w:shd w:val="clear" w:color="auto" w:fill="auto"/>
          </w:tcPr>
          <w:p w14:paraId="550D6484" w14:textId="77777777" w:rsidR="00C24C61" w:rsidRPr="00C24C61" w:rsidRDefault="00C24C61" w:rsidP="00C24C61">
            <w:pPr>
              <w:ind w:left="227" w:hanging="227"/>
              <w:rPr>
                <w:rFonts w:ascii="Calibri" w:hAnsi="Calibri"/>
                <w:bCs/>
                <w:color w:val="000000"/>
                <w:sz w:val="20"/>
                <w:szCs w:val="20"/>
                <w:vertAlign w:val="superscript"/>
                <w:lang w:eastAsia="en-AU"/>
              </w:rPr>
            </w:pPr>
            <w:r w:rsidRPr="00C24C61">
              <w:rPr>
                <w:rFonts w:ascii="Calibri" w:hAnsi="Calibri"/>
                <w:bCs/>
                <w:color w:val="000000"/>
                <w:sz w:val="20"/>
                <w:szCs w:val="20"/>
                <w:lang w:eastAsia="en-AU"/>
              </w:rPr>
              <w:t xml:space="preserve">Improving stormwater networks </w:t>
            </w:r>
            <w:r w:rsidRPr="00C24C61">
              <w:rPr>
                <w:rFonts w:ascii="Calibri" w:hAnsi="Calibri"/>
                <w:bCs/>
                <w:color w:val="000000"/>
                <w:sz w:val="20"/>
                <w:szCs w:val="20"/>
                <w:vertAlign w:val="superscript"/>
                <w:lang w:eastAsia="en-AU"/>
              </w:rPr>
              <w:t>2</w:t>
            </w:r>
          </w:p>
        </w:tc>
        <w:tc>
          <w:tcPr>
            <w:tcW w:w="902" w:type="dxa"/>
            <w:tcBorders>
              <w:top w:val="nil"/>
              <w:left w:val="nil"/>
              <w:bottom w:val="nil"/>
              <w:right w:val="nil"/>
            </w:tcBorders>
            <w:shd w:val="clear" w:color="auto" w:fill="auto"/>
          </w:tcPr>
          <w:p w14:paraId="7DD5FF88"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80</w:t>
            </w:r>
          </w:p>
        </w:tc>
        <w:tc>
          <w:tcPr>
            <w:tcW w:w="903" w:type="dxa"/>
            <w:tcBorders>
              <w:top w:val="nil"/>
              <w:left w:val="nil"/>
              <w:bottom w:val="nil"/>
              <w:right w:val="nil"/>
            </w:tcBorders>
            <w:shd w:val="clear" w:color="auto" w:fill="auto"/>
          </w:tcPr>
          <w:p w14:paraId="15B8ED9C"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80</w:t>
            </w:r>
          </w:p>
        </w:tc>
        <w:tc>
          <w:tcPr>
            <w:tcW w:w="902" w:type="dxa"/>
            <w:tcBorders>
              <w:top w:val="nil"/>
              <w:left w:val="nil"/>
              <w:bottom w:val="nil"/>
              <w:right w:val="nil"/>
            </w:tcBorders>
            <w:shd w:val="clear" w:color="auto" w:fill="auto"/>
          </w:tcPr>
          <w:p w14:paraId="72802E0B"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160</w:t>
            </w:r>
          </w:p>
        </w:tc>
        <w:tc>
          <w:tcPr>
            <w:tcW w:w="903" w:type="dxa"/>
            <w:tcBorders>
              <w:top w:val="nil"/>
              <w:left w:val="nil"/>
              <w:bottom w:val="nil"/>
              <w:right w:val="nil"/>
            </w:tcBorders>
            <w:shd w:val="clear" w:color="auto" w:fill="auto"/>
          </w:tcPr>
          <w:p w14:paraId="3A735AED"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160</w:t>
            </w:r>
          </w:p>
        </w:tc>
        <w:tc>
          <w:tcPr>
            <w:tcW w:w="903" w:type="dxa"/>
            <w:tcBorders>
              <w:top w:val="nil"/>
              <w:left w:val="nil"/>
              <w:bottom w:val="nil"/>
            </w:tcBorders>
            <w:shd w:val="clear" w:color="auto" w:fill="auto"/>
          </w:tcPr>
          <w:p w14:paraId="7674048B"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480</w:t>
            </w:r>
          </w:p>
        </w:tc>
      </w:tr>
      <w:tr w:rsidR="00C24C61" w:rsidRPr="00C24C61" w14:paraId="73EC5966" w14:textId="77777777" w:rsidTr="00FD1D5C">
        <w:trPr>
          <w:cantSplit/>
          <w:trHeight w:val="227"/>
        </w:trPr>
        <w:tc>
          <w:tcPr>
            <w:tcW w:w="4559" w:type="dxa"/>
            <w:shd w:val="clear" w:color="auto" w:fill="auto"/>
          </w:tcPr>
          <w:p w14:paraId="20FA6115" w14:textId="77777777" w:rsidR="00C24C61" w:rsidRPr="00C24C61" w:rsidRDefault="00C24C61" w:rsidP="00C24C61">
            <w:pPr>
              <w:ind w:left="227" w:hanging="227"/>
              <w:rPr>
                <w:rFonts w:ascii="Calibri" w:hAnsi="Calibri"/>
                <w:bCs/>
                <w:color w:val="000000"/>
                <w:sz w:val="20"/>
                <w:szCs w:val="20"/>
                <w:lang w:eastAsia="en-AU"/>
              </w:rPr>
            </w:pPr>
            <w:r w:rsidRPr="00C24C61">
              <w:rPr>
                <w:rFonts w:ascii="Calibri" w:hAnsi="Calibri"/>
                <w:bCs/>
                <w:color w:val="000000"/>
                <w:sz w:val="20"/>
                <w:szCs w:val="20"/>
                <w:lang w:eastAsia="en-AU"/>
              </w:rPr>
              <w:t>Maintaining healthy waterways</w:t>
            </w:r>
          </w:p>
        </w:tc>
        <w:tc>
          <w:tcPr>
            <w:tcW w:w="902" w:type="dxa"/>
            <w:shd w:val="clear" w:color="auto" w:fill="auto"/>
          </w:tcPr>
          <w:p w14:paraId="406B2C35"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494</w:t>
            </w:r>
          </w:p>
        </w:tc>
        <w:tc>
          <w:tcPr>
            <w:tcW w:w="903" w:type="dxa"/>
            <w:shd w:val="clear" w:color="auto" w:fill="auto"/>
          </w:tcPr>
          <w:p w14:paraId="6A8BD554"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1,664</w:t>
            </w:r>
          </w:p>
        </w:tc>
        <w:tc>
          <w:tcPr>
            <w:tcW w:w="902" w:type="dxa"/>
            <w:shd w:val="clear" w:color="auto" w:fill="auto"/>
          </w:tcPr>
          <w:p w14:paraId="1183DCD2"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1,261</w:t>
            </w:r>
          </w:p>
        </w:tc>
        <w:tc>
          <w:tcPr>
            <w:tcW w:w="903" w:type="dxa"/>
            <w:shd w:val="clear" w:color="auto" w:fill="auto"/>
          </w:tcPr>
          <w:p w14:paraId="0ABB2DF2"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1,261</w:t>
            </w:r>
          </w:p>
        </w:tc>
        <w:tc>
          <w:tcPr>
            <w:tcW w:w="903" w:type="dxa"/>
            <w:shd w:val="clear" w:color="auto" w:fill="auto"/>
          </w:tcPr>
          <w:p w14:paraId="49DE6598"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4,680</w:t>
            </w:r>
          </w:p>
        </w:tc>
      </w:tr>
      <w:tr w:rsidR="00C24C61" w:rsidRPr="00C24C61" w14:paraId="7425BC19" w14:textId="77777777" w:rsidTr="00FD1D5C">
        <w:trPr>
          <w:cantSplit/>
          <w:trHeight w:val="227"/>
        </w:trPr>
        <w:tc>
          <w:tcPr>
            <w:tcW w:w="4559" w:type="dxa"/>
            <w:shd w:val="clear" w:color="auto" w:fill="auto"/>
          </w:tcPr>
          <w:p w14:paraId="4D2E8E72" w14:textId="77777777" w:rsidR="00C24C61" w:rsidRPr="00C24C61" w:rsidRDefault="00C24C61" w:rsidP="00C24C61">
            <w:pPr>
              <w:ind w:left="227" w:hanging="227"/>
              <w:rPr>
                <w:rFonts w:ascii="Calibri" w:hAnsi="Calibri"/>
                <w:bCs/>
                <w:color w:val="000000"/>
                <w:sz w:val="20"/>
                <w:szCs w:val="20"/>
                <w:vertAlign w:val="superscript"/>
                <w:lang w:eastAsia="en-AU"/>
              </w:rPr>
            </w:pPr>
            <w:r w:rsidRPr="00C24C61">
              <w:rPr>
                <w:rFonts w:ascii="Calibri" w:hAnsi="Calibri"/>
                <w:bCs/>
                <w:color w:val="000000"/>
                <w:sz w:val="20"/>
                <w:szCs w:val="20"/>
                <w:lang w:eastAsia="en-AU"/>
              </w:rPr>
              <w:t>Making our roads safer while keeping Canberra moving </w:t>
            </w:r>
            <w:r w:rsidRPr="00C24C61">
              <w:rPr>
                <w:rFonts w:ascii="Calibri" w:hAnsi="Calibri"/>
                <w:bCs/>
                <w:color w:val="000000"/>
                <w:sz w:val="20"/>
                <w:szCs w:val="20"/>
                <w:vertAlign w:val="superscript"/>
                <w:lang w:eastAsia="en-AU"/>
              </w:rPr>
              <w:t>2</w:t>
            </w:r>
          </w:p>
        </w:tc>
        <w:tc>
          <w:tcPr>
            <w:tcW w:w="902" w:type="dxa"/>
            <w:shd w:val="clear" w:color="auto" w:fill="auto"/>
          </w:tcPr>
          <w:p w14:paraId="0E1B96F1"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0</w:t>
            </w:r>
          </w:p>
        </w:tc>
        <w:tc>
          <w:tcPr>
            <w:tcW w:w="903" w:type="dxa"/>
            <w:shd w:val="clear" w:color="auto" w:fill="auto"/>
          </w:tcPr>
          <w:p w14:paraId="537A41C3"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500</w:t>
            </w:r>
          </w:p>
        </w:tc>
        <w:tc>
          <w:tcPr>
            <w:tcW w:w="902" w:type="dxa"/>
            <w:shd w:val="clear" w:color="auto" w:fill="auto"/>
          </w:tcPr>
          <w:p w14:paraId="1439C81C"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1,000</w:t>
            </w:r>
          </w:p>
        </w:tc>
        <w:tc>
          <w:tcPr>
            <w:tcW w:w="903" w:type="dxa"/>
            <w:shd w:val="clear" w:color="auto" w:fill="auto"/>
          </w:tcPr>
          <w:p w14:paraId="07BE8DBA"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800</w:t>
            </w:r>
          </w:p>
        </w:tc>
        <w:tc>
          <w:tcPr>
            <w:tcW w:w="903" w:type="dxa"/>
            <w:shd w:val="clear" w:color="auto" w:fill="auto"/>
          </w:tcPr>
          <w:p w14:paraId="344FCAD9"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2,300</w:t>
            </w:r>
          </w:p>
        </w:tc>
      </w:tr>
      <w:tr w:rsidR="00C24C61" w:rsidRPr="00C24C61" w14:paraId="4F281E1D" w14:textId="77777777" w:rsidTr="00FD1D5C">
        <w:trPr>
          <w:cantSplit/>
          <w:trHeight w:val="227"/>
        </w:trPr>
        <w:tc>
          <w:tcPr>
            <w:tcW w:w="4559" w:type="dxa"/>
            <w:shd w:val="clear" w:color="auto" w:fill="auto"/>
          </w:tcPr>
          <w:p w14:paraId="66AE000B" w14:textId="77777777" w:rsidR="00C24C61" w:rsidRPr="00C24C61" w:rsidRDefault="00C24C61" w:rsidP="00C24C61">
            <w:pPr>
              <w:ind w:left="227" w:hanging="227"/>
              <w:rPr>
                <w:rFonts w:ascii="Calibri" w:hAnsi="Calibri"/>
                <w:bCs/>
                <w:color w:val="000000"/>
                <w:sz w:val="20"/>
                <w:szCs w:val="20"/>
                <w:vertAlign w:val="superscript"/>
                <w:lang w:eastAsia="en-AU"/>
              </w:rPr>
            </w:pPr>
            <w:r w:rsidRPr="00C24C61">
              <w:rPr>
                <w:rFonts w:ascii="Calibri" w:hAnsi="Calibri"/>
                <w:bCs/>
                <w:color w:val="000000"/>
                <w:sz w:val="20"/>
                <w:szCs w:val="20"/>
                <w:lang w:eastAsia="en-AU"/>
              </w:rPr>
              <w:t xml:space="preserve">Managing waste better </w:t>
            </w:r>
            <w:r w:rsidRPr="00C24C61">
              <w:rPr>
                <w:rFonts w:ascii="Calibri" w:hAnsi="Calibri"/>
                <w:bCs/>
                <w:color w:val="000000"/>
                <w:sz w:val="20"/>
                <w:szCs w:val="20"/>
                <w:vertAlign w:val="superscript"/>
                <w:lang w:eastAsia="en-AU"/>
              </w:rPr>
              <w:t>1, 2</w:t>
            </w:r>
          </w:p>
        </w:tc>
        <w:tc>
          <w:tcPr>
            <w:tcW w:w="902" w:type="dxa"/>
            <w:shd w:val="clear" w:color="auto" w:fill="auto"/>
          </w:tcPr>
          <w:p w14:paraId="3C4494AA"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1,671</w:t>
            </w:r>
          </w:p>
        </w:tc>
        <w:tc>
          <w:tcPr>
            <w:tcW w:w="903" w:type="dxa"/>
            <w:shd w:val="clear" w:color="auto" w:fill="auto"/>
          </w:tcPr>
          <w:p w14:paraId="2E082276"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2,681</w:t>
            </w:r>
          </w:p>
        </w:tc>
        <w:tc>
          <w:tcPr>
            <w:tcW w:w="902" w:type="dxa"/>
            <w:shd w:val="clear" w:color="auto" w:fill="auto"/>
          </w:tcPr>
          <w:p w14:paraId="091EE781"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2,658</w:t>
            </w:r>
          </w:p>
        </w:tc>
        <w:tc>
          <w:tcPr>
            <w:tcW w:w="903" w:type="dxa"/>
            <w:shd w:val="clear" w:color="auto" w:fill="auto"/>
          </w:tcPr>
          <w:p w14:paraId="01A40327"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3,435</w:t>
            </w:r>
          </w:p>
        </w:tc>
        <w:tc>
          <w:tcPr>
            <w:tcW w:w="903" w:type="dxa"/>
            <w:shd w:val="clear" w:color="auto" w:fill="auto"/>
          </w:tcPr>
          <w:p w14:paraId="0C19A6FE"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10,445</w:t>
            </w:r>
          </w:p>
        </w:tc>
      </w:tr>
      <w:tr w:rsidR="00C24C61" w:rsidRPr="00C24C61" w14:paraId="27F2AFA2" w14:textId="77777777" w:rsidTr="00FD1D5C">
        <w:trPr>
          <w:cantSplit/>
          <w:trHeight w:val="227"/>
        </w:trPr>
        <w:tc>
          <w:tcPr>
            <w:tcW w:w="4559" w:type="dxa"/>
            <w:shd w:val="clear" w:color="auto" w:fill="auto"/>
          </w:tcPr>
          <w:p w14:paraId="51181A95" w14:textId="77777777" w:rsidR="00C24C61" w:rsidRPr="00C24C61" w:rsidRDefault="00C24C61" w:rsidP="00C24C61">
            <w:pPr>
              <w:ind w:left="227" w:hanging="227"/>
              <w:rPr>
                <w:rFonts w:ascii="Calibri" w:hAnsi="Calibri"/>
                <w:bCs/>
                <w:color w:val="000000"/>
                <w:sz w:val="20"/>
                <w:szCs w:val="20"/>
                <w:vertAlign w:val="superscript"/>
                <w:lang w:eastAsia="en-AU"/>
              </w:rPr>
            </w:pPr>
            <w:r w:rsidRPr="00C24C61">
              <w:rPr>
                <w:rFonts w:ascii="Calibri" w:hAnsi="Calibri"/>
                <w:bCs/>
                <w:color w:val="000000"/>
                <w:sz w:val="20"/>
                <w:szCs w:val="20"/>
                <w:lang w:eastAsia="en-AU"/>
              </w:rPr>
              <w:t xml:space="preserve">More active travel infrastructure for our schools and suburbs </w:t>
            </w:r>
            <w:r w:rsidRPr="00C24C61">
              <w:rPr>
                <w:rFonts w:ascii="Calibri" w:hAnsi="Calibri"/>
                <w:bCs/>
                <w:color w:val="000000"/>
                <w:sz w:val="20"/>
                <w:szCs w:val="20"/>
                <w:vertAlign w:val="superscript"/>
                <w:lang w:eastAsia="en-AU"/>
              </w:rPr>
              <w:t>2</w:t>
            </w:r>
          </w:p>
        </w:tc>
        <w:tc>
          <w:tcPr>
            <w:tcW w:w="902" w:type="dxa"/>
            <w:shd w:val="clear" w:color="auto" w:fill="auto"/>
          </w:tcPr>
          <w:p w14:paraId="24C0B8C5"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125</w:t>
            </w:r>
          </w:p>
        </w:tc>
        <w:tc>
          <w:tcPr>
            <w:tcW w:w="903" w:type="dxa"/>
            <w:shd w:val="clear" w:color="auto" w:fill="auto"/>
          </w:tcPr>
          <w:p w14:paraId="107D33F6"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128</w:t>
            </w:r>
          </w:p>
        </w:tc>
        <w:tc>
          <w:tcPr>
            <w:tcW w:w="902" w:type="dxa"/>
            <w:shd w:val="clear" w:color="auto" w:fill="auto"/>
          </w:tcPr>
          <w:p w14:paraId="2E3F2867"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152</w:t>
            </w:r>
          </w:p>
        </w:tc>
        <w:tc>
          <w:tcPr>
            <w:tcW w:w="903" w:type="dxa"/>
            <w:shd w:val="clear" w:color="auto" w:fill="auto"/>
          </w:tcPr>
          <w:p w14:paraId="47FDCE8F"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176</w:t>
            </w:r>
          </w:p>
        </w:tc>
        <w:tc>
          <w:tcPr>
            <w:tcW w:w="903" w:type="dxa"/>
            <w:shd w:val="clear" w:color="auto" w:fill="auto"/>
          </w:tcPr>
          <w:p w14:paraId="6EEA274D"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581</w:t>
            </w:r>
          </w:p>
        </w:tc>
      </w:tr>
      <w:tr w:rsidR="00C24C61" w:rsidRPr="00C24C61" w14:paraId="1AD190D1" w14:textId="77777777" w:rsidTr="00FD1D5C">
        <w:trPr>
          <w:cantSplit/>
          <w:trHeight w:val="227"/>
        </w:trPr>
        <w:tc>
          <w:tcPr>
            <w:tcW w:w="4559" w:type="dxa"/>
            <w:shd w:val="clear" w:color="auto" w:fill="auto"/>
          </w:tcPr>
          <w:p w14:paraId="24489AAB" w14:textId="77777777" w:rsidR="00C24C61" w:rsidRPr="00C24C61" w:rsidRDefault="00C24C61" w:rsidP="00C24C61">
            <w:pPr>
              <w:ind w:left="227" w:hanging="227"/>
              <w:rPr>
                <w:rFonts w:ascii="Calibri" w:hAnsi="Calibri"/>
                <w:bCs/>
                <w:color w:val="000000"/>
                <w:sz w:val="20"/>
                <w:szCs w:val="20"/>
                <w:vertAlign w:val="superscript"/>
                <w:lang w:eastAsia="en-AU"/>
              </w:rPr>
            </w:pPr>
            <w:r w:rsidRPr="00C24C61">
              <w:rPr>
                <w:rFonts w:ascii="Calibri" w:hAnsi="Calibri"/>
                <w:bCs/>
                <w:color w:val="000000"/>
                <w:sz w:val="20"/>
                <w:szCs w:val="20"/>
                <w:lang w:eastAsia="en-AU"/>
              </w:rPr>
              <w:t xml:space="preserve">More carparks for Palmerston Shops and </w:t>
            </w:r>
            <w:proofErr w:type="spellStart"/>
            <w:r w:rsidRPr="00C24C61">
              <w:rPr>
                <w:rFonts w:ascii="Calibri" w:hAnsi="Calibri"/>
                <w:bCs/>
                <w:color w:val="000000"/>
                <w:sz w:val="20"/>
                <w:szCs w:val="20"/>
                <w:lang w:eastAsia="en-AU"/>
              </w:rPr>
              <w:t>Cooleman</w:t>
            </w:r>
            <w:proofErr w:type="spellEnd"/>
            <w:r w:rsidRPr="00C24C61">
              <w:rPr>
                <w:rFonts w:ascii="Calibri" w:hAnsi="Calibri"/>
                <w:bCs/>
                <w:color w:val="000000"/>
                <w:sz w:val="20"/>
                <w:szCs w:val="20"/>
                <w:lang w:eastAsia="en-AU"/>
              </w:rPr>
              <w:t xml:space="preserve"> Court </w:t>
            </w:r>
            <w:r w:rsidRPr="00C24C61">
              <w:rPr>
                <w:rFonts w:ascii="Calibri" w:hAnsi="Calibri"/>
                <w:bCs/>
                <w:color w:val="000000"/>
                <w:sz w:val="20"/>
                <w:szCs w:val="20"/>
                <w:vertAlign w:val="superscript"/>
                <w:lang w:eastAsia="en-AU"/>
              </w:rPr>
              <w:t>2</w:t>
            </w:r>
          </w:p>
        </w:tc>
        <w:tc>
          <w:tcPr>
            <w:tcW w:w="902" w:type="dxa"/>
            <w:shd w:val="clear" w:color="auto" w:fill="auto"/>
          </w:tcPr>
          <w:p w14:paraId="10624A2C"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0</w:t>
            </w:r>
          </w:p>
        </w:tc>
        <w:tc>
          <w:tcPr>
            <w:tcW w:w="903" w:type="dxa"/>
            <w:shd w:val="clear" w:color="auto" w:fill="auto"/>
          </w:tcPr>
          <w:p w14:paraId="25C4285E"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0</w:t>
            </w:r>
          </w:p>
        </w:tc>
        <w:tc>
          <w:tcPr>
            <w:tcW w:w="902" w:type="dxa"/>
            <w:shd w:val="clear" w:color="auto" w:fill="auto"/>
          </w:tcPr>
          <w:p w14:paraId="714D6255"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4</w:t>
            </w:r>
          </w:p>
        </w:tc>
        <w:tc>
          <w:tcPr>
            <w:tcW w:w="903" w:type="dxa"/>
            <w:shd w:val="clear" w:color="auto" w:fill="auto"/>
          </w:tcPr>
          <w:p w14:paraId="40C23BF5"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8</w:t>
            </w:r>
          </w:p>
        </w:tc>
        <w:tc>
          <w:tcPr>
            <w:tcW w:w="903" w:type="dxa"/>
            <w:shd w:val="clear" w:color="auto" w:fill="auto"/>
          </w:tcPr>
          <w:p w14:paraId="76830130"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12</w:t>
            </w:r>
          </w:p>
        </w:tc>
      </w:tr>
      <w:tr w:rsidR="00C24C61" w:rsidRPr="00C24C61" w14:paraId="5C2DC25E" w14:textId="77777777" w:rsidTr="00FD1D5C">
        <w:trPr>
          <w:cantSplit/>
          <w:trHeight w:val="227"/>
        </w:trPr>
        <w:tc>
          <w:tcPr>
            <w:tcW w:w="4559" w:type="dxa"/>
            <w:shd w:val="clear" w:color="auto" w:fill="auto"/>
          </w:tcPr>
          <w:p w14:paraId="74AD577F" w14:textId="77777777" w:rsidR="00C24C61" w:rsidRPr="00C24C61" w:rsidRDefault="00C24C61" w:rsidP="00C24C61">
            <w:pPr>
              <w:ind w:left="227" w:hanging="227"/>
              <w:rPr>
                <w:rFonts w:ascii="Calibri" w:hAnsi="Calibri"/>
                <w:bCs/>
                <w:color w:val="000000"/>
                <w:sz w:val="20"/>
                <w:szCs w:val="20"/>
                <w:lang w:eastAsia="en-AU"/>
              </w:rPr>
            </w:pPr>
            <w:r w:rsidRPr="00C24C61">
              <w:rPr>
                <w:rFonts w:ascii="Calibri" w:hAnsi="Calibri"/>
                <w:bCs/>
                <w:color w:val="000000"/>
                <w:sz w:val="20"/>
                <w:szCs w:val="20"/>
                <w:lang w:eastAsia="en-AU"/>
              </w:rPr>
              <w:t>Strengthening infrastructure planning capability</w:t>
            </w:r>
          </w:p>
        </w:tc>
        <w:tc>
          <w:tcPr>
            <w:tcW w:w="902" w:type="dxa"/>
            <w:tcBorders>
              <w:top w:val="nil"/>
              <w:left w:val="nil"/>
              <w:bottom w:val="nil"/>
              <w:right w:val="nil"/>
            </w:tcBorders>
            <w:shd w:val="clear" w:color="auto" w:fill="auto"/>
          </w:tcPr>
          <w:p w14:paraId="39029E78"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1,210</w:t>
            </w:r>
          </w:p>
        </w:tc>
        <w:tc>
          <w:tcPr>
            <w:tcW w:w="903" w:type="dxa"/>
            <w:tcBorders>
              <w:top w:val="nil"/>
              <w:left w:val="nil"/>
              <w:bottom w:val="nil"/>
              <w:right w:val="nil"/>
            </w:tcBorders>
            <w:shd w:val="clear" w:color="auto" w:fill="auto"/>
          </w:tcPr>
          <w:p w14:paraId="34863AD6"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1,210</w:t>
            </w:r>
          </w:p>
        </w:tc>
        <w:tc>
          <w:tcPr>
            <w:tcW w:w="902" w:type="dxa"/>
            <w:tcBorders>
              <w:top w:val="nil"/>
              <w:left w:val="nil"/>
              <w:bottom w:val="nil"/>
              <w:right w:val="nil"/>
            </w:tcBorders>
            <w:shd w:val="clear" w:color="auto" w:fill="auto"/>
          </w:tcPr>
          <w:p w14:paraId="1C8BE408"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1,210</w:t>
            </w:r>
          </w:p>
        </w:tc>
        <w:tc>
          <w:tcPr>
            <w:tcW w:w="903" w:type="dxa"/>
            <w:tcBorders>
              <w:top w:val="nil"/>
              <w:left w:val="nil"/>
              <w:bottom w:val="nil"/>
              <w:right w:val="nil"/>
            </w:tcBorders>
            <w:shd w:val="clear" w:color="auto" w:fill="auto"/>
          </w:tcPr>
          <w:p w14:paraId="3DB7DAE7"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1,210</w:t>
            </w:r>
          </w:p>
        </w:tc>
        <w:tc>
          <w:tcPr>
            <w:tcW w:w="903" w:type="dxa"/>
            <w:tcBorders>
              <w:top w:val="nil"/>
              <w:left w:val="nil"/>
              <w:bottom w:val="nil"/>
            </w:tcBorders>
            <w:shd w:val="clear" w:color="auto" w:fill="auto"/>
          </w:tcPr>
          <w:p w14:paraId="51559B25"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4,840</w:t>
            </w:r>
          </w:p>
        </w:tc>
      </w:tr>
      <w:tr w:rsidR="00C24C61" w:rsidRPr="00C24C61" w14:paraId="4FD52CDB" w14:textId="77777777" w:rsidTr="00FD1D5C">
        <w:trPr>
          <w:cantSplit/>
          <w:trHeight w:val="227"/>
        </w:trPr>
        <w:tc>
          <w:tcPr>
            <w:tcW w:w="4559" w:type="dxa"/>
            <w:shd w:val="clear" w:color="auto" w:fill="auto"/>
          </w:tcPr>
          <w:p w14:paraId="62866783" w14:textId="77777777" w:rsidR="00C24C61" w:rsidRPr="00C24C61" w:rsidRDefault="00C24C61" w:rsidP="00C24C61">
            <w:pPr>
              <w:rPr>
                <w:rFonts w:ascii="Calibri" w:hAnsi="Calibri"/>
                <w:color w:val="000000"/>
                <w:sz w:val="20"/>
                <w:szCs w:val="20"/>
                <w:vertAlign w:val="superscript"/>
                <w:lang w:eastAsia="en-AU"/>
              </w:rPr>
            </w:pPr>
            <w:r w:rsidRPr="00C24C61">
              <w:rPr>
                <w:rFonts w:ascii="Calibri" w:hAnsi="Calibri"/>
                <w:color w:val="000000"/>
                <w:sz w:val="20"/>
                <w:szCs w:val="20"/>
                <w:lang w:eastAsia="en-US"/>
              </w:rPr>
              <w:t xml:space="preserve">Supporting more Canberrans to Park and Ride </w:t>
            </w:r>
            <w:r w:rsidRPr="00C24C61">
              <w:rPr>
                <w:rFonts w:ascii="Calibri" w:hAnsi="Calibri"/>
                <w:color w:val="000000"/>
                <w:sz w:val="20"/>
                <w:szCs w:val="20"/>
                <w:vertAlign w:val="superscript"/>
                <w:lang w:eastAsia="en-US"/>
              </w:rPr>
              <w:t>2</w:t>
            </w:r>
          </w:p>
        </w:tc>
        <w:tc>
          <w:tcPr>
            <w:tcW w:w="902" w:type="dxa"/>
            <w:tcBorders>
              <w:top w:val="nil"/>
              <w:left w:val="nil"/>
              <w:bottom w:val="nil"/>
              <w:right w:val="nil"/>
            </w:tcBorders>
            <w:shd w:val="clear" w:color="auto" w:fill="auto"/>
          </w:tcPr>
          <w:p w14:paraId="593E04D9"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0</w:t>
            </w:r>
          </w:p>
        </w:tc>
        <w:tc>
          <w:tcPr>
            <w:tcW w:w="903" w:type="dxa"/>
            <w:tcBorders>
              <w:top w:val="nil"/>
              <w:left w:val="nil"/>
              <w:bottom w:val="nil"/>
              <w:right w:val="nil"/>
            </w:tcBorders>
            <w:shd w:val="clear" w:color="auto" w:fill="auto"/>
          </w:tcPr>
          <w:p w14:paraId="3B4CE721"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0</w:t>
            </w:r>
          </w:p>
        </w:tc>
        <w:tc>
          <w:tcPr>
            <w:tcW w:w="902" w:type="dxa"/>
            <w:tcBorders>
              <w:top w:val="nil"/>
              <w:left w:val="nil"/>
              <w:bottom w:val="nil"/>
              <w:right w:val="nil"/>
            </w:tcBorders>
            <w:shd w:val="clear" w:color="auto" w:fill="auto"/>
          </w:tcPr>
          <w:p w14:paraId="104B9EDA"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0</w:t>
            </w:r>
          </w:p>
        </w:tc>
        <w:tc>
          <w:tcPr>
            <w:tcW w:w="903" w:type="dxa"/>
            <w:tcBorders>
              <w:top w:val="nil"/>
              <w:left w:val="nil"/>
              <w:bottom w:val="nil"/>
              <w:right w:val="nil"/>
            </w:tcBorders>
            <w:shd w:val="clear" w:color="auto" w:fill="auto"/>
          </w:tcPr>
          <w:p w14:paraId="4019DE12"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25</w:t>
            </w:r>
          </w:p>
        </w:tc>
        <w:tc>
          <w:tcPr>
            <w:tcW w:w="903" w:type="dxa"/>
            <w:tcBorders>
              <w:top w:val="nil"/>
              <w:left w:val="nil"/>
              <w:bottom w:val="nil"/>
            </w:tcBorders>
            <w:shd w:val="clear" w:color="auto" w:fill="auto"/>
          </w:tcPr>
          <w:p w14:paraId="3B694051"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25</w:t>
            </w:r>
          </w:p>
        </w:tc>
      </w:tr>
      <w:tr w:rsidR="00C24C61" w:rsidRPr="00C24C61" w14:paraId="03ED41D4" w14:textId="77777777" w:rsidTr="00FD1D5C">
        <w:trPr>
          <w:cantSplit/>
          <w:trHeight w:val="227"/>
        </w:trPr>
        <w:tc>
          <w:tcPr>
            <w:tcW w:w="4559" w:type="dxa"/>
            <w:shd w:val="clear" w:color="auto" w:fill="auto"/>
          </w:tcPr>
          <w:p w14:paraId="4026A7B3" w14:textId="77777777" w:rsidR="00C24C61" w:rsidRPr="00C24C61" w:rsidRDefault="00C24C61" w:rsidP="00C24C61">
            <w:pPr>
              <w:ind w:left="227" w:hanging="227"/>
              <w:rPr>
                <w:rFonts w:ascii="Calibri" w:hAnsi="Calibri"/>
                <w:bCs/>
                <w:color w:val="000000"/>
                <w:sz w:val="20"/>
                <w:szCs w:val="20"/>
                <w:vertAlign w:val="superscript"/>
                <w:lang w:eastAsia="en-AU"/>
              </w:rPr>
            </w:pPr>
            <w:r w:rsidRPr="00C24C61">
              <w:rPr>
                <w:rFonts w:ascii="Calibri" w:hAnsi="Calibri"/>
                <w:bCs/>
                <w:color w:val="000000"/>
                <w:sz w:val="20"/>
                <w:szCs w:val="20"/>
                <w:lang w:eastAsia="en-AU"/>
              </w:rPr>
              <w:t xml:space="preserve">Supporting smarter working in the new ACT Government office projects </w:t>
            </w:r>
            <w:r w:rsidRPr="00C24C61">
              <w:rPr>
                <w:rFonts w:ascii="Calibri" w:hAnsi="Calibri"/>
                <w:bCs/>
                <w:color w:val="000000"/>
                <w:sz w:val="20"/>
                <w:szCs w:val="20"/>
                <w:vertAlign w:val="superscript"/>
                <w:lang w:eastAsia="en-AU"/>
              </w:rPr>
              <w:t>2, 4</w:t>
            </w:r>
          </w:p>
        </w:tc>
        <w:tc>
          <w:tcPr>
            <w:tcW w:w="902" w:type="dxa"/>
            <w:tcBorders>
              <w:top w:val="nil"/>
              <w:left w:val="nil"/>
              <w:bottom w:val="nil"/>
              <w:right w:val="nil"/>
            </w:tcBorders>
            <w:shd w:val="clear" w:color="auto" w:fill="auto"/>
          </w:tcPr>
          <w:p w14:paraId="25FC4536"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579</w:t>
            </w:r>
          </w:p>
        </w:tc>
        <w:tc>
          <w:tcPr>
            <w:tcW w:w="903" w:type="dxa"/>
            <w:tcBorders>
              <w:top w:val="nil"/>
              <w:left w:val="nil"/>
              <w:bottom w:val="nil"/>
              <w:right w:val="nil"/>
            </w:tcBorders>
            <w:shd w:val="clear" w:color="auto" w:fill="auto"/>
          </w:tcPr>
          <w:p w14:paraId="59F7F185"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0</w:t>
            </w:r>
          </w:p>
        </w:tc>
        <w:tc>
          <w:tcPr>
            <w:tcW w:w="902" w:type="dxa"/>
            <w:tcBorders>
              <w:top w:val="nil"/>
              <w:left w:val="nil"/>
              <w:bottom w:val="nil"/>
              <w:right w:val="nil"/>
            </w:tcBorders>
            <w:shd w:val="clear" w:color="auto" w:fill="auto"/>
          </w:tcPr>
          <w:p w14:paraId="17F97168"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0</w:t>
            </w:r>
          </w:p>
        </w:tc>
        <w:tc>
          <w:tcPr>
            <w:tcW w:w="903" w:type="dxa"/>
            <w:tcBorders>
              <w:top w:val="nil"/>
              <w:left w:val="nil"/>
              <w:bottom w:val="nil"/>
              <w:right w:val="nil"/>
            </w:tcBorders>
            <w:shd w:val="clear" w:color="auto" w:fill="auto"/>
          </w:tcPr>
          <w:p w14:paraId="57806072"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0</w:t>
            </w:r>
          </w:p>
        </w:tc>
        <w:tc>
          <w:tcPr>
            <w:tcW w:w="903" w:type="dxa"/>
            <w:tcBorders>
              <w:top w:val="nil"/>
              <w:left w:val="nil"/>
              <w:bottom w:val="nil"/>
            </w:tcBorders>
            <w:shd w:val="clear" w:color="auto" w:fill="auto"/>
          </w:tcPr>
          <w:p w14:paraId="7300E20F"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579</w:t>
            </w:r>
          </w:p>
        </w:tc>
      </w:tr>
      <w:tr w:rsidR="00C24C61" w:rsidRPr="00C24C61" w14:paraId="3B2F03B7" w14:textId="77777777" w:rsidTr="00FD1D5C">
        <w:trPr>
          <w:cantSplit/>
          <w:trHeight w:val="227"/>
        </w:trPr>
        <w:tc>
          <w:tcPr>
            <w:tcW w:w="4559" w:type="dxa"/>
            <w:shd w:val="clear" w:color="auto" w:fill="auto"/>
          </w:tcPr>
          <w:p w14:paraId="4003168A" w14:textId="77777777" w:rsidR="00C24C61" w:rsidRPr="00C24C61" w:rsidRDefault="00C24C61" w:rsidP="00C24C61">
            <w:pPr>
              <w:ind w:left="227" w:hanging="227"/>
              <w:rPr>
                <w:rFonts w:ascii="Calibri" w:hAnsi="Calibri"/>
                <w:bCs/>
                <w:color w:val="000000"/>
                <w:sz w:val="20"/>
                <w:szCs w:val="20"/>
                <w:vertAlign w:val="superscript"/>
                <w:lang w:eastAsia="en-AU"/>
              </w:rPr>
            </w:pPr>
            <w:r w:rsidRPr="00C24C61">
              <w:rPr>
                <w:rFonts w:ascii="Calibri" w:hAnsi="Calibri"/>
                <w:bCs/>
                <w:color w:val="000000"/>
                <w:sz w:val="20"/>
                <w:szCs w:val="20"/>
                <w:lang w:eastAsia="en-AU"/>
              </w:rPr>
              <w:t xml:space="preserve">Supporting social inclusion through the Flexible Bus Service </w:t>
            </w:r>
            <w:r w:rsidRPr="00C24C61">
              <w:rPr>
                <w:rFonts w:ascii="Calibri" w:hAnsi="Calibri"/>
                <w:bCs/>
                <w:color w:val="000000"/>
                <w:sz w:val="20"/>
                <w:szCs w:val="20"/>
                <w:vertAlign w:val="superscript"/>
                <w:lang w:eastAsia="en-AU"/>
              </w:rPr>
              <w:t>3</w:t>
            </w:r>
          </w:p>
        </w:tc>
        <w:tc>
          <w:tcPr>
            <w:tcW w:w="902" w:type="dxa"/>
            <w:tcBorders>
              <w:top w:val="nil"/>
              <w:left w:val="nil"/>
              <w:bottom w:val="nil"/>
              <w:right w:val="nil"/>
            </w:tcBorders>
            <w:shd w:val="clear" w:color="auto" w:fill="auto"/>
          </w:tcPr>
          <w:p w14:paraId="518492A2"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0</w:t>
            </w:r>
          </w:p>
        </w:tc>
        <w:tc>
          <w:tcPr>
            <w:tcW w:w="903" w:type="dxa"/>
            <w:tcBorders>
              <w:top w:val="nil"/>
              <w:left w:val="nil"/>
              <w:bottom w:val="nil"/>
              <w:right w:val="nil"/>
            </w:tcBorders>
            <w:shd w:val="clear" w:color="auto" w:fill="auto"/>
          </w:tcPr>
          <w:p w14:paraId="65FA3D45"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0</w:t>
            </w:r>
          </w:p>
        </w:tc>
        <w:tc>
          <w:tcPr>
            <w:tcW w:w="902" w:type="dxa"/>
            <w:tcBorders>
              <w:top w:val="nil"/>
              <w:left w:val="nil"/>
              <w:bottom w:val="nil"/>
              <w:right w:val="nil"/>
            </w:tcBorders>
            <w:shd w:val="clear" w:color="auto" w:fill="auto"/>
          </w:tcPr>
          <w:p w14:paraId="4C0D79E6"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0</w:t>
            </w:r>
          </w:p>
        </w:tc>
        <w:tc>
          <w:tcPr>
            <w:tcW w:w="903" w:type="dxa"/>
            <w:tcBorders>
              <w:top w:val="nil"/>
              <w:left w:val="nil"/>
              <w:bottom w:val="nil"/>
              <w:right w:val="nil"/>
            </w:tcBorders>
            <w:shd w:val="clear" w:color="auto" w:fill="auto"/>
          </w:tcPr>
          <w:p w14:paraId="3C0A53BB"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0</w:t>
            </w:r>
          </w:p>
        </w:tc>
        <w:tc>
          <w:tcPr>
            <w:tcW w:w="903" w:type="dxa"/>
            <w:tcBorders>
              <w:top w:val="nil"/>
              <w:left w:val="nil"/>
              <w:bottom w:val="nil"/>
            </w:tcBorders>
            <w:shd w:val="clear" w:color="auto" w:fill="auto"/>
          </w:tcPr>
          <w:p w14:paraId="733B0B57"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0</w:t>
            </w:r>
          </w:p>
        </w:tc>
      </w:tr>
      <w:tr w:rsidR="00C24C61" w:rsidRPr="00C24C61" w14:paraId="51EE98C5" w14:textId="77777777" w:rsidTr="0002757D">
        <w:trPr>
          <w:cantSplit/>
          <w:trHeight w:val="227"/>
        </w:trPr>
        <w:tc>
          <w:tcPr>
            <w:tcW w:w="4559" w:type="dxa"/>
            <w:tcBorders>
              <w:bottom w:val="single" w:sz="4" w:space="0" w:color="auto"/>
            </w:tcBorders>
            <w:shd w:val="clear" w:color="auto" w:fill="auto"/>
            <w:vAlign w:val="bottom"/>
          </w:tcPr>
          <w:p w14:paraId="15AE47BE" w14:textId="77777777" w:rsidR="00C24C61" w:rsidRPr="00C24C61" w:rsidRDefault="00C24C61" w:rsidP="00C24C61">
            <w:pPr>
              <w:ind w:left="227" w:hanging="227"/>
              <w:rPr>
                <w:rFonts w:ascii="Calibri" w:hAnsi="Calibri"/>
                <w:bCs/>
                <w:color w:val="000000"/>
                <w:sz w:val="20"/>
                <w:szCs w:val="20"/>
                <w:vertAlign w:val="superscript"/>
                <w:lang w:eastAsia="en-AU"/>
              </w:rPr>
            </w:pPr>
            <w:r w:rsidRPr="00C24C61">
              <w:rPr>
                <w:rFonts w:ascii="Calibri" w:hAnsi="Calibri"/>
                <w:bCs/>
                <w:color w:val="000000"/>
                <w:sz w:val="20"/>
                <w:szCs w:val="20"/>
                <w:lang w:eastAsia="en-AU"/>
              </w:rPr>
              <w:t xml:space="preserve">Training ACT Government frontline workers to respond to family violence </w:t>
            </w:r>
            <w:r w:rsidRPr="00C24C61">
              <w:rPr>
                <w:rFonts w:ascii="Calibri" w:hAnsi="Calibri"/>
                <w:bCs/>
                <w:color w:val="000000"/>
                <w:sz w:val="20"/>
                <w:szCs w:val="20"/>
                <w:vertAlign w:val="superscript"/>
                <w:lang w:eastAsia="en-AU"/>
              </w:rPr>
              <w:t>4, 6</w:t>
            </w:r>
          </w:p>
        </w:tc>
        <w:tc>
          <w:tcPr>
            <w:tcW w:w="902" w:type="dxa"/>
            <w:tcBorders>
              <w:top w:val="nil"/>
              <w:left w:val="nil"/>
              <w:bottom w:val="single" w:sz="4" w:space="0" w:color="auto"/>
              <w:right w:val="nil"/>
            </w:tcBorders>
            <w:shd w:val="clear" w:color="auto" w:fill="auto"/>
          </w:tcPr>
          <w:p w14:paraId="5A0309B5"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0</w:t>
            </w:r>
          </w:p>
        </w:tc>
        <w:tc>
          <w:tcPr>
            <w:tcW w:w="903" w:type="dxa"/>
            <w:tcBorders>
              <w:top w:val="nil"/>
              <w:left w:val="nil"/>
              <w:bottom w:val="single" w:sz="4" w:space="0" w:color="auto"/>
              <w:right w:val="nil"/>
            </w:tcBorders>
            <w:shd w:val="clear" w:color="auto" w:fill="auto"/>
          </w:tcPr>
          <w:p w14:paraId="41983BBF"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0</w:t>
            </w:r>
          </w:p>
        </w:tc>
        <w:tc>
          <w:tcPr>
            <w:tcW w:w="902" w:type="dxa"/>
            <w:tcBorders>
              <w:top w:val="nil"/>
              <w:left w:val="nil"/>
              <w:bottom w:val="single" w:sz="4" w:space="0" w:color="auto"/>
              <w:right w:val="nil"/>
            </w:tcBorders>
            <w:shd w:val="clear" w:color="auto" w:fill="auto"/>
          </w:tcPr>
          <w:p w14:paraId="0838E3CF"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0</w:t>
            </w:r>
          </w:p>
        </w:tc>
        <w:tc>
          <w:tcPr>
            <w:tcW w:w="903" w:type="dxa"/>
            <w:tcBorders>
              <w:top w:val="nil"/>
              <w:left w:val="nil"/>
              <w:bottom w:val="single" w:sz="4" w:space="0" w:color="auto"/>
              <w:right w:val="nil"/>
            </w:tcBorders>
            <w:shd w:val="clear" w:color="auto" w:fill="auto"/>
          </w:tcPr>
          <w:p w14:paraId="09883260"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0</w:t>
            </w:r>
          </w:p>
        </w:tc>
        <w:tc>
          <w:tcPr>
            <w:tcW w:w="903" w:type="dxa"/>
            <w:tcBorders>
              <w:top w:val="nil"/>
              <w:left w:val="nil"/>
              <w:bottom w:val="single" w:sz="4" w:space="0" w:color="auto"/>
            </w:tcBorders>
            <w:shd w:val="clear" w:color="auto" w:fill="auto"/>
          </w:tcPr>
          <w:p w14:paraId="49014CDD" w14:textId="77777777" w:rsidR="00C24C61" w:rsidRPr="00C24C61" w:rsidRDefault="00C24C61" w:rsidP="00C24C61">
            <w:pPr>
              <w:ind w:left="227" w:hanging="227"/>
              <w:jc w:val="right"/>
              <w:rPr>
                <w:rFonts w:ascii="Calibri" w:hAnsi="Calibri"/>
                <w:sz w:val="20"/>
                <w:szCs w:val="24"/>
                <w:lang w:eastAsia="en-AU"/>
              </w:rPr>
            </w:pPr>
            <w:r w:rsidRPr="00C24C61">
              <w:rPr>
                <w:rFonts w:ascii="Calibri" w:hAnsi="Calibri"/>
                <w:sz w:val="20"/>
                <w:szCs w:val="24"/>
                <w:lang w:eastAsia="en-AU"/>
              </w:rPr>
              <w:t>0</w:t>
            </w:r>
          </w:p>
        </w:tc>
      </w:tr>
      <w:tr w:rsidR="00C24C61" w:rsidRPr="00C24C61" w14:paraId="10041544" w14:textId="77777777" w:rsidTr="0002757D">
        <w:trPr>
          <w:cantSplit/>
          <w:trHeight w:val="227"/>
        </w:trPr>
        <w:tc>
          <w:tcPr>
            <w:tcW w:w="4559" w:type="dxa"/>
            <w:tcBorders>
              <w:top w:val="single" w:sz="4" w:space="0" w:color="auto"/>
              <w:bottom w:val="single" w:sz="4" w:space="0" w:color="auto"/>
            </w:tcBorders>
            <w:shd w:val="clear" w:color="auto" w:fill="auto"/>
          </w:tcPr>
          <w:p w14:paraId="49679947" w14:textId="77777777" w:rsidR="00C24C61" w:rsidRPr="00C24C61" w:rsidRDefault="00C24C61" w:rsidP="00C24C61">
            <w:pPr>
              <w:jc w:val="right"/>
              <w:rPr>
                <w:rFonts w:ascii="Calibri" w:hAnsi="Calibri"/>
                <w:b/>
                <w:sz w:val="20"/>
                <w:szCs w:val="20"/>
                <w:lang w:eastAsia="en-US"/>
              </w:rPr>
            </w:pPr>
            <w:r w:rsidRPr="00C24C61">
              <w:rPr>
                <w:rFonts w:ascii="Calibri" w:hAnsi="Calibri"/>
                <w:b/>
                <w:sz w:val="20"/>
                <w:szCs w:val="20"/>
                <w:lang w:eastAsia="en-US"/>
              </w:rPr>
              <w:t>Total</w:t>
            </w:r>
          </w:p>
        </w:tc>
        <w:tc>
          <w:tcPr>
            <w:tcW w:w="902" w:type="dxa"/>
            <w:tcBorders>
              <w:top w:val="single" w:sz="4" w:space="0" w:color="auto"/>
              <w:bottom w:val="single" w:sz="4" w:space="0" w:color="auto"/>
            </w:tcBorders>
            <w:shd w:val="clear" w:color="auto" w:fill="auto"/>
          </w:tcPr>
          <w:p w14:paraId="26701F39" w14:textId="77777777" w:rsidR="00C24C61" w:rsidRPr="00C24C61" w:rsidRDefault="00C24C61" w:rsidP="00C24C61">
            <w:pPr>
              <w:ind w:left="227" w:hanging="227"/>
              <w:jc w:val="right"/>
              <w:rPr>
                <w:rFonts w:ascii="Calibri" w:hAnsi="Calibri"/>
                <w:b/>
                <w:sz w:val="20"/>
                <w:szCs w:val="24"/>
                <w:lang w:eastAsia="en-AU"/>
              </w:rPr>
            </w:pPr>
            <w:r w:rsidRPr="00C24C61">
              <w:rPr>
                <w:rFonts w:ascii="Calibri" w:hAnsi="Calibri"/>
                <w:b/>
                <w:sz w:val="20"/>
                <w:szCs w:val="24"/>
                <w:lang w:eastAsia="en-AU"/>
              </w:rPr>
              <w:t>7,369</w:t>
            </w:r>
          </w:p>
        </w:tc>
        <w:tc>
          <w:tcPr>
            <w:tcW w:w="903" w:type="dxa"/>
            <w:tcBorders>
              <w:top w:val="single" w:sz="4" w:space="0" w:color="auto"/>
              <w:bottom w:val="single" w:sz="4" w:space="0" w:color="auto"/>
            </w:tcBorders>
            <w:shd w:val="clear" w:color="auto" w:fill="auto"/>
          </w:tcPr>
          <w:p w14:paraId="366A8CCC" w14:textId="77777777" w:rsidR="00C24C61" w:rsidRPr="00C24C61" w:rsidRDefault="00C24C61" w:rsidP="00C24C61">
            <w:pPr>
              <w:ind w:left="227" w:hanging="227"/>
              <w:jc w:val="right"/>
              <w:rPr>
                <w:rFonts w:ascii="Calibri" w:hAnsi="Calibri"/>
                <w:b/>
                <w:sz w:val="20"/>
                <w:szCs w:val="24"/>
                <w:lang w:eastAsia="en-AU"/>
              </w:rPr>
            </w:pPr>
            <w:r w:rsidRPr="00C24C61">
              <w:rPr>
                <w:rFonts w:ascii="Calibri" w:hAnsi="Calibri"/>
                <w:b/>
                <w:sz w:val="20"/>
                <w:szCs w:val="24"/>
                <w:lang w:eastAsia="en-AU"/>
              </w:rPr>
              <w:t>12,751</w:t>
            </w:r>
          </w:p>
        </w:tc>
        <w:tc>
          <w:tcPr>
            <w:tcW w:w="902" w:type="dxa"/>
            <w:tcBorders>
              <w:top w:val="single" w:sz="4" w:space="0" w:color="auto"/>
              <w:bottom w:val="single" w:sz="4" w:space="0" w:color="auto"/>
            </w:tcBorders>
            <w:shd w:val="clear" w:color="auto" w:fill="auto"/>
          </w:tcPr>
          <w:p w14:paraId="30A845B4" w14:textId="77777777" w:rsidR="00C24C61" w:rsidRPr="00C24C61" w:rsidRDefault="00C24C61" w:rsidP="00C24C61">
            <w:pPr>
              <w:ind w:left="227" w:hanging="227"/>
              <w:jc w:val="right"/>
              <w:rPr>
                <w:rFonts w:ascii="Calibri" w:hAnsi="Calibri"/>
                <w:b/>
                <w:sz w:val="20"/>
                <w:szCs w:val="24"/>
                <w:lang w:eastAsia="en-AU"/>
              </w:rPr>
            </w:pPr>
            <w:r w:rsidRPr="00C24C61">
              <w:rPr>
                <w:rFonts w:ascii="Calibri" w:hAnsi="Calibri"/>
                <w:b/>
                <w:sz w:val="20"/>
                <w:szCs w:val="24"/>
                <w:lang w:eastAsia="en-AU"/>
              </w:rPr>
              <w:t>11,812</w:t>
            </w:r>
          </w:p>
        </w:tc>
        <w:tc>
          <w:tcPr>
            <w:tcW w:w="903" w:type="dxa"/>
            <w:tcBorders>
              <w:top w:val="single" w:sz="4" w:space="0" w:color="auto"/>
              <w:bottom w:val="single" w:sz="4" w:space="0" w:color="auto"/>
            </w:tcBorders>
            <w:shd w:val="clear" w:color="auto" w:fill="auto"/>
          </w:tcPr>
          <w:p w14:paraId="4286CAD4" w14:textId="77777777" w:rsidR="00C24C61" w:rsidRPr="00C24C61" w:rsidRDefault="00C24C61" w:rsidP="00C24C61">
            <w:pPr>
              <w:ind w:left="227" w:hanging="227"/>
              <w:jc w:val="right"/>
              <w:rPr>
                <w:rFonts w:ascii="Calibri" w:hAnsi="Calibri"/>
                <w:b/>
                <w:sz w:val="20"/>
                <w:szCs w:val="24"/>
                <w:lang w:eastAsia="en-AU"/>
              </w:rPr>
            </w:pPr>
            <w:r w:rsidRPr="00C24C61">
              <w:rPr>
                <w:rFonts w:ascii="Calibri" w:hAnsi="Calibri"/>
                <w:b/>
                <w:sz w:val="20"/>
                <w:szCs w:val="24"/>
                <w:lang w:eastAsia="en-AU"/>
              </w:rPr>
              <w:t>13,139</w:t>
            </w:r>
          </w:p>
        </w:tc>
        <w:tc>
          <w:tcPr>
            <w:tcW w:w="903" w:type="dxa"/>
            <w:tcBorders>
              <w:top w:val="single" w:sz="4" w:space="0" w:color="auto"/>
              <w:bottom w:val="single" w:sz="4" w:space="0" w:color="auto"/>
            </w:tcBorders>
            <w:shd w:val="clear" w:color="auto" w:fill="auto"/>
          </w:tcPr>
          <w:p w14:paraId="482008F2" w14:textId="77777777" w:rsidR="00C24C61" w:rsidRPr="00C24C61" w:rsidRDefault="00C24C61" w:rsidP="00C24C61">
            <w:pPr>
              <w:ind w:left="227" w:hanging="227"/>
              <w:jc w:val="right"/>
              <w:rPr>
                <w:rFonts w:ascii="Calibri" w:hAnsi="Calibri"/>
                <w:b/>
                <w:sz w:val="20"/>
                <w:szCs w:val="24"/>
                <w:lang w:eastAsia="en-AU"/>
              </w:rPr>
            </w:pPr>
            <w:r w:rsidRPr="00C24C61">
              <w:rPr>
                <w:rFonts w:ascii="Calibri" w:hAnsi="Calibri"/>
                <w:b/>
                <w:sz w:val="20"/>
                <w:szCs w:val="24"/>
                <w:lang w:eastAsia="en-AU"/>
              </w:rPr>
              <w:t>45,071</w:t>
            </w:r>
          </w:p>
        </w:tc>
      </w:tr>
      <w:tr w:rsidR="00C24C61" w:rsidRPr="00C24C61" w14:paraId="63380852" w14:textId="77777777" w:rsidTr="0002757D">
        <w:trPr>
          <w:cantSplit/>
          <w:trHeight w:val="227"/>
        </w:trPr>
        <w:tc>
          <w:tcPr>
            <w:tcW w:w="4559" w:type="dxa"/>
            <w:tcBorders>
              <w:top w:val="single" w:sz="4" w:space="0" w:color="auto"/>
            </w:tcBorders>
            <w:shd w:val="clear" w:color="auto" w:fill="auto"/>
            <w:vAlign w:val="bottom"/>
          </w:tcPr>
          <w:p w14:paraId="07B09405" w14:textId="77777777" w:rsidR="00C24C61" w:rsidRPr="00C24C61" w:rsidRDefault="00C24C61" w:rsidP="00C24C61">
            <w:pPr>
              <w:ind w:left="227" w:hanging="227"/>
              <w:rPr>
                <w:rFonts w:ascii="Calibri" w:hAnsi="Calibri"/>
                <w:bCs/>
                <w:sz w:val="20"/>
                <w:szCs w:val="20"/>
                <w:lang w:val="x-none" w:eastAsia="en-US"/>
              </w:rPr>
            </w:pPr>
          </w:p>
        </w:tc>
        <w:tc>
          <w:tcPr>
            <w:tcW w:w="902" w:type="dxa"/>
            <w:tcBorders>
              <w:top w:val="single" w:sz="4" w:space="0" w:color="auto"/>
            </w:tcBorders>
            <w:shd w:val="clear" w:color="auto" w:fill="auto"/>
          </w:tcPr>
          <w:p w14:paraId="1C2B2DC7" w14:textId="77777777" w:rsidR="00C24C61" w:rsidRPr="00C24C61" w:rsidRDefault="00C24C61" w:rsidP="00C24C61">
            <w:pPr>
              <w:ind w:left="227" w:hanging="227"/>
              <w:jc w:val="right"/>
              <w:rPr>
                <w:rFonts w:ascii="Calibri" w:hAnsi="Calibri"/>
                <w:sz w:val="20"/>
                <w:szCs w:val="24"/>
                <w:lang w:val="x-none" w:eastAsia="en-US"/>
              </w:rPr>
            </w:pPr>
          </w:p>
        </w:tc>
        <w:tc>
          <w:tcPr>
            <w:tcW w:w="903" w:type="dxa"/>
            <w:tcBorders>
              <w:top w:val="single" w:sz="4" w:space="0" w:color="auto"/>
            </w:tcBorders>
            <w:shd w:val="clear" w:color="auto" w:fill="auto"/>
          </w:tcPr>
          <w:p w14:paraId="3F87FA58" w14:textId="77777777" w:rsidR="00C24C61" w:rsidRPr="00C24C61" w:rsidRDefault="00C24C61" w:rsidP="00C24C61">
            <w:pPr>
              <w:ind w:left="227" w:hanging="227"/>
              <w:jc w:val="right"/>
              <w:rPr>
                <w:rFonts w:ascii="Calibri" w:hAnsi="Calibri"/>
                <w:sz w:val="20"/>
                <w:szCs w:val="24"/>
                <w:lang w:val="x-none" w:eastAsia="en-US"/>
              </w:rPr>
            </w:pPr>
          </w:p>
        </w:tc>
        <w:tc>
          <w:tcPr>
            <w:tcW w:w="902" w:type="dxa"/>
            <w:tcBorders>
              <w:top w:val="single" w:sz="4" w:space="0" w:color="auto"/>
            </w:tcBorders>
            <w:shd w:val="clear" w:color="auto" w:fill="auto"/>
          </w:tcPr>
          <w:p w14:paraId="5E9BCDA5" w14:textId="77777777" w:rsidR="00C24C61" w:rsidRPr="00C24C61" w:rsidRDefault="00C24C61" w:rsidP="00C24C61">
            <w:pPr>
              <w:ind w:left="227" w:hanging="227"/>
              <w:jc w:val="right"/>
              <w:rPr>
                <w:rFonts w:ascii="Calibri" w:hAnsi="Calibri"/>
                <w:sz w:val="20"/>
                <w:szCs w:val="24"/>
                <w:lang w:val="x-none" w:eastAsia="en-US"/>
              </w:rPr>
            </w:pPr>
          </w:p>
        </w:tc>
        <w:tc>
          <w:tcPr>
            <w:tcW w:w="903" w:type="dxa"/>
            <w:tcBorders>
              <w:top w:val="single" w:sz="4" w:space="0" w:color="auto"/>
            </w:tcBorders>
            <w:shd w:val="clear" w:color="auto" w:fill="auto"/>
          </w:tcPr>
          <w:p w14:paraId="1A2D1E51" w14:textId="77777777" w:rsidR="00C24C61" w:rsidRPr="00C24C61" w:rsidRDefault="00C24C61" w:rsidP="00C24C61">
            <w:pPr>
              <w:ind w:left="227" w:hanging="227"/>
              <w:jc w:val="right"/>
              <w:rPr>
                <w:rFonts w:ascii="Calibri" w:hAnsi="Calibri"/>
                <w:sz w:val="20"/>
                <w:szCs w:val="24"/>
                <w:lang w:val="x-none" w:eastAsia="en-US"/>
              </w:rPr>
            </w:pPr>
          </w:p>
        </w:tc>
        <w:tc>
          <w:tcPr>
            <w:tcW w:w="903" w:type="dxa"/>
            <w:tcBorders>
              <w:top w:val="single" w:sz="4" w:space="0" w:color="auto"/>
            </w:tcBorders>
            <w:shd w:val="clear" w:color="auto" w:fill="auto"/>
          </w:tcPr>
          <w:p w14:paraId="4FF0C811" w14:textId="77777777" w:rsidR="00C24C61" w:rsidRPr="00C24C61" w:rsidRDefault="00C24C61" w:rsidP="00C24C61">
            <w:pPr>
              <w:ind w:left="227" w:hanging="227"/>
              <w:jc w:val="right"/>
              <w:rPr>
                <w:rFonts w:ascii="Calibri" w:hAnsi="Calibri"/>
                <w:sz w:val="20"/>
                <w:szCs w:val="24"/>
                <w:lang w:val="x-none" w:eastAsia="en-US"/>
              </w:rPr>
            </w:pPr>
          </w:p>
        </w:tc>
      </w:tr>
      <w:tr w:rsidR="00C24C61" w:rsidRPr="00C24C61" w14:paraId="31226127" w14:textId="77777777" w:rsidTr="00FD1D5C">
        <w:trPr>
          <w:cantSplit/>
          <w:trHeight w:val="227"/>
        </w:trPr>
        <w:tc>
          <w:tcPr>
            <w:tcW w:w="4559" w:type="dxa"/>
            <w:shd w:val="clear" w:color="auto" w:fill="auto"/>
            <w:vAlign w:val="bottom"/>
          </w:tcPr>
          <w:p w14:paraId="77A40AF3" w14:textId="77777777" w:rsidR="00C24C61" w:rsidRPr="00C24C61" w:rsidRDefault="00C24C61" w:rsidP="00C24C61">
            <w:pPr>
              <w:ind w:left="227" w:hanging="227"/>
              <w:rPr>
                <w:rFonts w:ascii="Calibri" w:hAnsi="Calibri"/>
                <w:b/>
                <w:bCs/>
                <w:sz w:val="20"/>
                <w:szCs w:val="20"/>
                <w:lang w:eastAsia="en-AU"/>
              </w:rPr>
            </w:pPr>
            <w:r w:rsidRPr="00C24C61">
              <w:rPr>
                <w:rFonts w:ascii="Calibri" w:hAnsi="Calibri"/>
                <w:b/>
                <w:bCs/>
                <w:sz w:val="20"/>
                <w:szCs w:val="20"/>
                <w:lang w:eastAsia="en-AU"/>
              </w:rPr>
              <w:t>TOTAL EXPENSE INITIATIVES</w:t>
            </w:r>
          </w:p>
        </w:tc>
        <w:tc>
          <w:tcPr>
            <w:tcW w:w="902" w:type="dxa"/>
            <w:shd w:val="clear" w:color="auto" w:fill="auto"/>
            <w:vAlign w:val="bottom"/>
          </w:tcPr>
          <w:p w14:paraId="6B451252" w14:textId="77777777" w:rsidR="00C24C61" w:rsidRPr="00C24C61" w:rsidRDefault="00C24C61" w:rsidP="00C24C61">
            <w:pPr>
              <w:ind w:left="227" w:hanging="227"/>
              <w:jc w:val="right"/>
              <w:rPr>
                <w:rFonts w:ascii="Calibri" w:hAnsi="Calibri"/>
                <w:b/>
                <w:sz w:val="20"/>
                <w:szCs w:val="24"/>
                <w:lang w:eastAsia="en-AU"/>
              </w:rPr>
            </w:pPr>
            <w:r w:rsidRPr="00C24C61">
              <w:rPr>
                <w:rFonts w:ascii="Calibri" w:hAnsi="Calibri"/>
                <w:b/>
                <w:sz w:val="20"/>
                <w:szCs w:val="24"/>
                <w:lang w:eastAsia="en-AU"/>
              </w:rPr>
              <w:t>143,542</w:t>
            </w:r>
          </w:p>
        </w:tc>
        <w:tc>
          <w:tcPr>
            <w:tcW w:w="903" w:type="dxa"/>
            <w:shd w:val="clear" w:color="auto" w:fill="auto"/>
            <w:vAlign w:val="bottom"/>
          </w:tcPr>
          <w:p w14:paraId="53DCD258" w14:textId="77777777" w:rsidR="00C24C61" w:rsidRPr="00C24C61" w:rsidRDefault="00C24C61" w:rsidP="00C24C61">
            <w:pPr>
              <w:ind w:left="227" w:hanging="227"/>
              <w:jc w:val="right"/>
              <w:rPr>
                <w:rFonts w:ascii="Calibri" w:hAnsi="Calibri"/>
                <w:b/>
                <w:sz w:val="20"/>
                <w:szCs w:val="24"/>
                <w:lang w:eastAsia="en-AU"/>
              </w:rPr>
            </w:pPr>
            <w:r w:rsidRPr="00C24C61">
              <w:rPr>
                <w:rFonts w:ascii="Calibri" w:hAnsi="Calibri"/>
                <w:b/>
                <w:sz w:val="20"/>
                <w:szCs w:val="24"/>
                <w:lang w:eastAsia="en-AU"/>
              </w:rPr>
              <w:t>177,023</w:t>
            </w:r>
          </w:p>
        </w:tc>
        <w:tc>
          <w:tcPr>
            <w:tcW w:w="902" w:type="dxa"/>
            <w:shd w:val="clear" w:color="auto" w:fill="auto"/>
            <w:vAlign w:val="bottom"/>
          </w:tcPr>
          <w:p w14:paraId="597E4BDD" w14:textId="77777777" w:rsidR="00C24C61" w:rsidRPr="00C24C61" w:rsidRDefault="00C24C61" w:rsidP="00C24C61">
            <w:pPr>
              <w:ind w:left="227" w:hanging="227"/>
              <w:jc w:val="right"/>
              <w:rPr>
                <w:rFonts w:ascii="Calibri" w:hAnsi="Calibri"/>
                <w:b/>
                <w:sz w:val="20"/>
                <w:szCs w:val="24"/>
                <w:lang w:eastAsia="en-AU"/>
              </w:rPr>
            </w:pPr>
            <w:r w:rsidRPr="00C24C61">
              <w:rPr>
                <w:rFonts w:ascii="Calibri" w:hAnsi="Calibri"/>
                <w:b/>
                <w:sz w:val="20"/>
                <w:szCs w:val="24"/>
                <w:lang w:eastAsia="en-AU"/>
              </w:rPr>
              <w:t>190,697</w:t>
            </w:r>
          </w:p>
        </w:tc>
        <w:tc>
          <w:tcPr>
            <w:tcW w:w="903" w:type="dxa"/>
            <w:shd w:val="clear" w:color="auto" w:fill="auto"/>
            <w:vAlign w:val="bottom"/>
          </w:tcPr>
          <w:p w14:paraId="5D314B94" w14:textId="77777777" w:rsidR="00C24C61" w:rsidRPr="00C24C61" w:rsidRDefault="00C24C61" w:rsidP="00C24C61">
            <w:pPr>
              <w:ind w:left="227" w:hanging="227"/>
              <w:jc w:val="right"/>
              <w:rPr>
                <w:rFonts w:ascii="Calibri" w:hAnsi="Calibri"/>
                <w:b/>
                <w:sz w:val="20"/>
                <w:szCs w:val="24"/>
                <w:lang w:eastAsia="en-AU"/>
              </w:rPr>
            </w:pPr>
            <w:r w:rsidRPr="00C24C61">
              <w:rPr>
                <w:rFonts w:ascii="Calibri" w:hAnsi="Calibri"/>
                <w:b/>
                <w:sz w:val="20"/>
                <w:szCs w:val="24"/>
                <w:lang w:eastAsia="en-AU"/>
              </w:rPr>
              <w:t>187,208</w:t>
            </w:r>
          </w:p>
        </w:tc>
        <w:tc>
          <w:tcPr>
            <w:tcW w:w="903" w:type="dxa"/>
            <w:shd w:val="clear" w:color="auto" w:fill="auto"/>
            <w:vAlign w:val="bottom"/>
          </w:tcPr>
          <w:p w14:paraId="472D54FE" w14:textId="77777777" w:rsidR="00C24C61" w:rsidRPr="00C24C61" w:rsidRDefault="00C24C61" w:rsidP="00C24C61">
            <w:pPr>
              <w:ind w:left="227" w:hanging="227"/>
              <w:jc w:val="right"/>
              <w:rPr>
                <w:rFonts w:ascii="Calibri" w:hAnsi="Calibri"/>
                <w:b/>
                <w:sz w:val="20"/>
                <w:szCs w:val="24"/>
                <w:lang w:eastAsia="en-AU"/>
              </w:rPr>
            </w:pPr>
            <w:r w:rsidRPr="00C24C61">
              <w:rPr>
                <w:rFonts w:ascii="Calibri" w:hAnsi="Calibri"/>
                <w:b/>
                <w:sz w:val="20"/>
                <w:szCs w:val="24"/>
                <w:lang w:eastAsia="en-AU"/>
              </w:rPr>
              <w:t>698,470</w:t>
            </w:r>
          </w:p>
        </w:tc>
      </w:tr>
      <w:tr w:rsidR="00C24C61" w:rsidRPr="00C24C61" w14:paraId="7BA64D16" w14:textId="77777777" w:rsidTr="00FD1D5C">
        <w:trPr>
          <w:cantSplit/>
          <w:trHeight w:val="227"/>
        </w:trPr>
        <w:tc>
          <w:tcPr>
            <w:tcW w:w="4559" w:type="dxa"/>
            <w:shd w:val="clear" w:color="auto" w:fill="auto"/>
            <w:vAlign w:val="bottom"/>
          </w:tcPr>
          <w:p w14:paraId="0EF5D695" w14:textId="77777777" w:rsidR="00C24C61" w:rsidRPr="00C24C61" w:rsidRDefault="00C24C61" w:rsidP="00C24C61">
            <w:pPr>
              <w:ind w:left="227" w:hanging="227"/>
              <w:rPr>
                <w:rFonts w:ascii="Calibri" w:hAnsi="Calibri"/>
                <w:bCs/>
                <w:sz w:val="20"/>
                <w:szCs w:val="20"/>
                <w:lang w:val="x-none" w:eastAsia="en-US"/>
              </w:rPr>
            </w:pPr>
          </w:p>
        </w:tc>
        <w:tc>
          <w:tcPr>
            <w:tcW w:w="902" w:type="dxa"/>
            <w:shd w:val="clear" w:color="auto" w:fill="auto"/>
          </w:tcPr>
          <w:p w14:paraId="0835DB90" w14:textId="77777777" w:rsidR="00C24C61" w:rsidRPr="00C24C61" w:rsidRDefault="00C24C61" w:rsidP="00C24C61">
            <w:pPr>
              <w:ind w:left="227" w:hanging="227"/>
              <w:jc w:val="right"/>
              <w:rPr>
                <w:rFonts w:ascii="Calibri" w:hAnsi="Calibri"/>
                <w:sz w:val="20"/>
                <w:szCs w:val="24"/>
                <w:lang w:val="x-none" w:eastAsia="en-US"/>
              </w:rPr>
            </w:pPr>
          </w:p>
        </w:tc>
        <w:tc>
          <w:tcPr>
            <w:tcW w:w="903" w:type="dxa"/>
            <w:shd w:val="clear" w:color="auto" w:fill="auto"/>
          </w:tcPr>
          <w:p w14:paraId="1534D717" w14:textId="77777777" w:rsidR="00C24C61" w:rsidRPr="00C24C61" w:rsidRDefault="00C24C61" w:rsidP="00C24C61">
            <w:pPr>
              <w:ind w:left="227" w:hanging="227"/>
              <w:jc w:val="right"/>
              <w:rPr>
                <w:rFonts w:ascii="Calibri" w:hAnsi="Calibri"/>
                <w:sz w:val="20"/>
                <w:szCs w:val="24"/>
                <w:lang w:val="x-none" w:eastAsia="en-US"/>
              </w:rPr>
            </w:pPr>
          </w:p>
        </w:tc>
        <w:tc>
          <w:tcPr>
            <w:tcW w:w="902" w:type="dxa"/>
            <w:shd w:val="clear" w:color="auto" w:fill="auto"/>
          </w:tcPr>
          <w:p w14:paraId="272C548A" w14:textId="77777777" w:rsidR="00C24C61" w:rsidRPr="00C24C61" w:rsidRDefault="00C24C61" w:rsidP="00C24C61">
            <w:pPr>
              <w:ind w:left="227" w:hanging="227"/>
              <w:jc w:val="right"/>
              <w:rPr>
                <w:rFonts w:ascii="Calibri" w:hAnsi="Calibri"/>
                <w:sz w:val="20"/>
                <w:szCs w:val="24"/>
                <w:lang w:val="x-none" w:eastAsia="en-US"/>
              </w:rPr>
            </w:pPr>
          </w:p>
        </w:tc>
        <w:tc>
          <w:tcPr>
            <w:tcW w:w="903" w:type="dxa"/>
            <w:shd w:val="clear" w:color="auto" w:fill="auto"/>
          </w:tcPr>
          <w:p w14:paraId="6AB3FB09" w14:textId="77777777" w:rsidR="00C24C61" w:rsidRPr="00C24C61" w:rsidRDefault="00C24C61" w:rsidP="00C24C61">
            <w:pPr>
              <w:ind w:left="227" w:hanging="227"/>
              <w:jc w:val="right"/>
              <w:rPr>
                <w:rFonts w:ascii="Calibri" w:hAnsi="Calibri"/>
                <w:sz w:val="20"/>
                <w:szCs w:val="24"/>
                <w:lang w:val="x-none" w:eastAsia="en-US"/>
              </w:rPr>
            </w:pPr>
          </w:p>
        </w:tc>
        <w:tc>
          <w:tcPr>
            <w:tcW w:w="903" w:type="dxa"/>
            <w:shd w:val="clear" w:color="auto" w:fill="auto"/>
          </w:tcPr>
          <w:p w14:paraId="15B27E5C" w14:textId="77777777" w:rsidR="00C24C61" w:rsidRPr="00C24C61" w:rsidRDefault="00C24C61" w:rsidP="00C24C61">
            <w:pPr>
              <w:ind w:left="227" w:hanging="227"/>
              <w:jc w:val="right"/>
              <w:rPr>
                <w:rFonts w:ascii="Calibri" w:hAnsi="Calibri"/>
                <w:sz w:val="20"/>
                <w:szCs w:val="24"/>
                <w:lang w:eastAsia="en-US"/>
              </w:rPr>
            </w:pPr>
          </w:p>
        </w:tc>
      </w:tr>
      <w:tr w:rsidR="00C24C61" w:rsidRPr="00C24C61" w14:paraId="075907A2" w14:textId="77777777" w:rsidTr="00FD1D5C">
        <w:trPr>
          <w:cantSplit/>
          <w:trHeight w:val="66"/>
        </w:trPr>
        <w:tc>
          <w:tcPr>
            <w:tcW w:w="4559" w:type="dxa"/>
            <w:shd w:val="clear" w:color="auto" w:fill="auto"/>
          </w:tcPr>
          <w:p w14:paraId="35E831A4" w14:textId="77777777" w:rsidR="00C24C61" w:rsidRPr="00C24C61" w:rsidRDefault="00C24C61" w:rsidP="00C24C61">
            <w:pPr>
              <w:ind w:left="227" w:hanging="227"/>
              <w:rPr>
                <w:rFonts w:ascii="Calibri" w:hAnsi="Calibri"/>
                <w:bCs/>
                <w:i/>
                <w:sz w:val="20"/>
                <w:szCs w:val="20"/>
                <w:lang w:val="x-none" w:eastAsia="en-US"/>
              </w:rPr>
            </w:pPr>
            <w:r w:rsidRPr="00C24C61">
              <w:rPr>
                <w:rFonts w:ascii="Calibri" w:hAnsi="Calibri"/>
                <w:bCs/>
                <w:i/>
                <w:sz w:val="20"/>
                <w:szCs w:val="20"/>
                <w:lang w:val="x-none" w:eastAsia="en-US"/>
              </w:rPr>
              <w:t xml:space="preserve">Associated Revenue </w:t>
            </w:r>
          </w:p>
        </w:tc>
        <w:tc>
          <w:tcPr>
            <w:tcW w:w="902" w:type="dxa"/>
            <w:shd w:val="clear" w:color="auto" w:fill="auto"/>
          </w:tcPr>
          <w:p w14:paraId="27C522BE" w14:textId="77777777" w:rsidR="00C24C61" w:rsidRPr="00C24C61" w:rsidRDefault="00C24C61" w:rsidP="00C24C61">
            <w:pPr>
              <w:ind w:left="227" w:hanging="227"/>
              <w:jc w:val="right"/>
              <w:rPr>
                <w:rFonts w:ascii="Calibri" w:hAnsi="Calibri"/>
                <w:i/>
                <w:sz w:val="20"/>
                <w:szCs w:val="24"/>
                <w:lang w:eastAsia="en-AU"/>
              </w:rPr>
            </w:pPr>
            <w:r w:rsidRPr="00C24C61">
              <w:rPr>
                <w:rFonts w:ascii="Calibri" w:hAnsi="Calibri"/>
                <w:i/>
                <w:sz w:val="20"/>
                <w:szCs w:val="24"/>
                <w:lang w:eastAsia="en-AU"/>
              </w:rPr>
              <w:t>9,956</w:t>
            </w:r>
          </w:p>
        </w:tc>
        <w:tc>
          <w:tcPr>
            <w:tcW w:w="903" w:type="dxa"/>
            <w:shd w:val="clear" w:color="auto" w:fill="auto"/>
          </w:tcPr>
          <w:p w14:paraId="50D29569" w14:textId="77777777" w:rsidR="00C24C61" w:rsidRPr="00C24C61" w:rsidRDefault="00C24C61" w:rsidP="00C24C61">
            <w:pPr>
              <w:ind w:left="227" w:hanging="227"/>
              <w:jc w:val="right"/>
              <w:rPr>
                <w:rFonts w:ascii="Calibri" w:hAnsi="Calibri"/>
                <w:i/>
                <w:sz w:val="20"/>
                <w:szCs w:val="24"/>
                <w:lang w:eastAsia="en-AU"/>
              </w:rPr>
            </w:pPr>
            <w:r w:rsidRPr="00C24C61">
              <w:rPr>
                <w:rFonts w:ascii="Calibri" w:hAnsi="Calibri"/>
                <w:i/>
                <w:sz w:val="20"/>
                <w:szCs w:val="24"/>
                <w:lang w:eastAsia="en-AU"/>
              </w:rPr>
              <w:t>16,008</w:t>
            </w:r>
          </w:p>
        </w:tc>
        <w:tc>
          <w:tcPr>
            <w:tcW w:w="902" w:type="dxa"/>
            <w:shd w:val="clear" w:color="auto" w:fill="auto"/>
          </w:tcPr>
          <w:p w14:paraId="39BAB470" w14:textId="77777777" w:rsidR="00C24C61" w:rsidRPr="00C24C61" w:rsidRDefault="00C24C61" w:rsidP="00C24C61">
            <w:pPr>
              <w:ind w:left="227" w:hanging="227"/>
              <w:jc w:val="right"/>
              <w:rPr>
                <w:rFonts w:ascii="Calibri" w:hAnsi="Calibri"/>
                <w:i/>
                <w:sz w:val="20"/>
                <w:szCs w:val="24"/>
                <w:lang w:eastAsia="en-AU"/>
              </w:rPr>
            </w:pPr>
            <w:r w:rsidRPr="00C24C61">
              <w:rPr>
                <w:rFonts w:ascii="Calibri" w:hAnsi="Calibri"/>
                <w:i/>
                <w:sz w:val="20"/>
                <w:szCs w:val="24"/>
                <w:lang w:eastAsia="en-AU"/>
              </w:rPr>
              <w:t>17,936</w:t>
            </w:r>
          </w:p>
        </w:tc>
        <w:tc>
          <w:tcPr>
            <w:tcW w:w="903" w:type="dxa"/>
            <w:shd w:val="clear" w:color="auto" w:fill="auto"/>
          </w:tcPr>
          <w:p w14:paraId="4AA8F79E" w14:textId="77777777" w:rsidR="00C24C61" w:rsidRPr="00C24C61" w:rsidRDefault="00C24C61" w:rsidP="00C24C61">
            <w:pPr>
              <w:ind w:left="227" w:hanging="227"/>
              <w:jc w:val="right"/>
              <w:rPr>
                <w:rFonts w:ascii="Calibri" w:hAnsi="Calibri"/>
                <w:i/>
                <w:sz w:val="20"/>
                <w:szCs w:val="24"/>
                <w:lang w:eastAsia="en-AU"/>
              </w:rPr>
            </w:pPr>
            <w:r w:rsidRPr="00C24C61">
              <w:rPr>
                <w:rFonts w:ascii="Calibri" w:hAnsi="Calibri"/>
                <w:i/>
                <w:sz w:val="20"/>
                <w:szCs w:val="24"/>
                <w:lang w:eastAsia="en-AU"/>
              </w:rPr>
              <w:t>16,676</w:t>
            </w:r>
          </w:p>
        </w:tc>
        <w:tc>
          <w:tcPr>
            <w:tcW w:w="903" w:type="dxa"/>
            <w:shd w:val="clear" w:color="auto" w:fill="auto"/>
          </w:tcPr>
          <w:p w14:paraId="4F303473" w14:textId="77777777" w:rsidR="00C24C61" w:rsidRPr="00C24C61" w:rsidRDefault="00C24C61" w:rsidP="00C24C61">
            <w:pPr>
              <w:ind w:left="227" w:hanging="227"/>
              <w:jc w:val="right"/>
              <w:rPr>
                <w:rFonts w:ascii="Calibri" w:hAnsi="Calibri"/>
                <w:i/>
                <w:sz w:val="20"/>
                <w:szCs w:val="24"/>
                <w:lang w:eastAsia="en-AU"/>
              </w:rPr>
            </w:pPr>
            <w:r w:rsidRPr="00C24C61">
              <w:rPr>
                <w:rFonts w:ascii="Calibri" w:hAnsi="Calibri"/>
                <w:i/>
                <w:sz w:val="20"/>
                <w:szCs w:val="24"/>
                <w:lang w:eastAsia="en-AU"/>
              </w:rPr>
              <w:t>60,576</w:t>
            </w:r>
          </w:p>
        </w:tc>
      </w:tr>
      <w:tr w:rsidR="00C24C61" w:rsidRPr="00C24C61" w14:paraId="5AB7B9FC" w14:textId="77777777" w:rsidTr="00FD1D5C">
        <w:trPr>
          <w:cantSplit/>
          <w:trHeight w:val="227"/>
        </w:trPr>
        <w:tc>
          <w:tcPr>
            <w:tcW w:w="4559" w:type="dxa"/>
            <w:shd w:val="clear" w:color="auto" w:fill="auto"/>
          </w:tcPr>
          <w:p w14:paraId="7D867BE2" w14:textId="77777777" w:rsidR="00C24C61" w:rsidRPr="00C24C61" w:rsidRDefault="00C24C61" w:rsidP="00C24C61">
            <w:pPr>
              <w:ind w:left="227" w:hanging="227"/>
              <w:rPr>
                <w:rFonts w:ascii="Calibri" w:hAnsi="Calibri"/>
                <w:bCs/>
                <w:i/>
                <w:sz w:val="20"/>
                <w:szCs w:val="20"/>
                <w:lang w:val="x-none" w:eastAsia="en-US"/>
              </w:rPr>
            </w:pPr>
            <w:r w:rsidRPr="00C24C61">
              <w:rPr>
                <w:rFonts w:ascii="Calibri" w:hAnsi="Calibri"/>
                <w:bCs/>
                <w:i/>
                <w:sz w:val="20"/>
                <w:szCs w:val="20"/>
                <w:lang w:val="x-none" w:eastAsia="en-US"/>
              </w:rPr>
              <w:t>Associated Capital</w:t>
            </w:r>
          </w:p>
        </w:tc>
        <w:tc>
          <w:tcPr>
            <w:tcW w:w="902" w:type="dxa"/>
            <w:shd w:val="clear" w:color="auto" w:fill="auto"/>
          </w:tcPr>
          <w:p w14:paraId="2B4B897C" w14:textId="77777777" w:rsidR="00C24C61" w:rsidRPr="00C24C61" w:rsidRDefault="00C24C61" w:rsidP="00C24C61">
            <w:pPr>
              <w:ind w:left="227" w:hanging="227"/>
              <w:jc w:val="right"/>
              <w:rPr>
                <w:rFonts w:ascii="Calibri" w:hAnsi="Calibri"/>
                <w:i/>
                <w:sz w:val="20"/>
                <w:szCs w:val="24"/>
                <w:lang w:eastAsia="en-AU"/>
              </w:rPr>
            </w:pPr>
            <w:r w:rsidRPr="00C24C61">
              <w:rPr>
                <w:rFonts w:ascii="Calibri" w:hAnsi="Calibri"/>
                <w:i/>
                <w:sz w:val="20"/>
                <w:szCs w:val="24"/>
                <w:lang w:eastAsia="en-AU"/>
              </w:rPr>
              <w:t>8,945</w:t>
            </w:r>
          </w:p>
        </w:tc>
        <w:tc>
          <w:tcPr>
            <w:tcW w:w="903" w:type="dxa"/>
            <w:shd w:val="clear" w:color="auto" w:fill="auto"/>
          </w:tcPr>
          <w:p w14:paraId="0BE6219B" w14:textId="77777777" w:rsidR="00C24C61" w:rsidRPr="00C24C61" w:rsidRDefault="00C24C61" w:rsidP="00C24C61">
            <w:pPr>
              <w:ind w:left="227" w:hanging="227"/>
              <w:jc w:val="right"/>
              <w:rPr>
                <w:rFonts w:ascii="Calibri" w:hAnsi="Calibri"/>
                <w:i/>
                <w:sz w:val="20"/>
                <w:szCs w:val="24"/>
                <w:lang w:eastAsia="en-AU"/>
              </w:rPr>
            </w:pPr>
            <w:r w:rsidRPr="00C24C61">
              <w:rPr>
                <w:rFonts w:ascii="Calibri" w:hAnsi="Calibri"/>
                <w:i/>
                <w:sz w:val="20"/>
                <w:szCs w:val="24"/>
                <w:lang w:eastAsia="en-AU"/>
              </w:rPr>
              <w:t>9,549</w:t>
            </w:r>
          </w:p>
        </w:tc>
        <w:tc>
          <w:tcPr>
            <w:tcW w:w="902" w:type="dxa"/>
            <w:shd w:val="clear" w:color="auto" w:fill="auto"/>
          </w:tcPr>
          <w:p w14:paraId="16A3FCB2" w14:textId="77777777" w:rsidR="00C24C61" w:rsidRPr="00C24C61" w:rsidRDefault="00C24C61" w:rsidP="00C24C61">
            <w:pPr>
              <w:ind w:left="227" w:hanging="227"/>
              <w:jc w:val="right"/>
              <w:rPr>
                <w:rFonts w:ascii="Calibri" w:hAnsi="Calibri"/>
                <w:i/>
                <w:sz w:val="20"/>
                <w:szCs w:val="24"/>
                <w:lang w:eastAsia="en-AU"/>
              </w:rPr>
            </w:pPr>
            <w:r w:rsidRPr="00C24C61">
              <w:rPr>
                <w:rFonts w:ascii="Calibri" w:hAnsi="Calibri"/>
                <w:i/>
                <w:sz w:val="20"/>
                <w:szCs w:val="24"/>
                <w:lang w:eastAsia="en-AU"/>
              </w:rPr>
              <w:t>1,634</w:t>
            </w:r>
          </w:p>
        </w:tc>
        <w:tc>
          <w:tcPr>
            <w:tcW w:w="903" w:type="dxa"/>
            <w:shd w:val="clear" w:color="auto" w:fill="auto"/>
          </w:tcPr>
          <w:p w14:paraId="2C21F3C9" w14:textId="77777777" w:rsidR="00C24C61" w:rsidRPr="00C24C61" w:rsidRDefault="00C24C61" w:rsidP="00C24C61">
            <w:pPr>
              <w:ind w:left="227" w:hanging="227"/>
              <w:jc w:val="right"/>
              <w:rPr>
                <w:rFonts w:ascii="Calibri" w:hAnsi="Calibri"/>
                <w:i/>
                <w:sz w:val="20"/>
                <w:szCs w:val="24"/>
                <w:lang w:eastAsia="en-AU"/>
              </w:rPr>
            </w:pPr>
            <w:r w:rsidRPr="00C24C61">
              <w:rPr>
                <w:rFonts w:ascii="Calibri" w:hAnsi="Calibri"/>
                <w:i/>
                <w:sz w:val="20"/>
                <w:szCs w:val="24"/>
                <w:lang w:eastAsia="en-AU"/>
              </w:rPr>
              <w:t>1,254</w:t>
            </w:r>
          </w:p>
        </w:tc>
        <w:tc>
          <w:tcPr>
            <w:tcW w:w="903" w:type="dxa"/>
            <w:shd w:val="clear" w:color="auto" w:fill="auto"/>
          </w:tcPr>
          <w:p w14:paraId="2D92258F" w14:textId="77777777" w:rsidR="00C24C61" w:rsidRPr="00C24C61" w:rsidRDefault="00C24C61" w:rsidP="00C24C61">
            <w:pPr>
              <w:ind w:left="227" w:hanging="227"/>
              <w:jc w:val="right"/>
              <w:rPr>
                <w:rFonts w:ascii="Calibri" w:hAnsi="Calibri"/>
                <w:i/>
                <w:sz w:val="20"/>
                <w:szCs w:val="24"/>
                <w:lang w:eastAsia="en-AU"/>
              </w:rPr>
            </w:pPr>
            <w:r w:rsidRPr="00C24C61">
              <w:rPr>
                <w:rFonts w:ascii="Calibri" w:hAnsi="Calibri"/>
                <w:i/>
                <w:sz w:val="20"/>
                <w:szCs w:val="24"/>
                <w:lang w:eastAsia="en-AU"/>
              </w:rPr>
              <w:t>21,382</w:t>
            </w:r>
          </w:p>
        </w:tc>
      </w:tr>
      <w:tr w:rsidR="00C24C61" w:rsidRPr="00C24C61" w14:paraId="6D093A7C" w14:textId="77777777" w:rsidTr="00FD1D5C">
        <w:trPr>
          <w:cantSplit/>
          <w:trHeight w:val="227"/>
        </w:trPr>
        <w:tc>
          <w:tcPr>
            <w:tcW w:w="4559" w:type="dxa"/>
            <w:shd w:val="clear" w:color="auto" w:fill="auto"/>
          </w:tcPr>
          <w:p w14:paraId="5566ECFC" w14:textId="77777777" w:rsidR="00C24C61" w:rsidRPr="00C24C61" w:rsidRDefault="00C24C61" w:rsidP="00C24C61">
            <w:pPr>
              <w:ind w:left="227" w:hanging="227"/>
              <w:rPr>
                <w:rFonts w:ascii="Calibri" w:hAnsi="Calibri"/>
                <w:bCs/>
                <w:i/>
                <w:sz w:val="20"/>
                <w:szCs w:val="20"/>
                <w:lang w:val="x-none" w:eastAsia="en-US"/>
              </w:rPr>
            </w:pPr>
            <w:r w:rsidRPr="00C24C61">
              <w:rPr>
                <w:rFonts w:ascii="Calibri" w:hAnsi="Calibri"/>
                <w:bCs/>
                <w:i/>
                <w:sz w:val="20"/>
                <w:szCs w:val="20"/>
                <w:lang w:val="x-none" w:eastAsia="en-US"/>
              </w:rPr>
              <w:t>Depreciation</w:t>
            </w:r>
          </w:p>
        </w:tc>
        <w:tc>
          <w:tcPr>
            <w:tcW w:w="902" w:type="dxa"/>
            <w:shd w:val="clear" w:color="auto" w:fill="auto"/>
          </w:tcPr>
          <w:p w14:paraId="689E63B9" w14:textId="77777777" w:rsidR="00C24C61" w:rsidRPr="00C24C61" w:rsidRDefault="00C24C61" w:rsidP="00C24C61">
            <w:pPr>
              <w:ind w:left="227" w:hanging="227"/>
              <w:jc w:val="right"/>
              <w:rPr>
                <w:rFonts w:ascii="Calibri" w:hAnsi="Calibri"/>
                <w:i/>
                <w:sz w:val="20"/>
                <w:szCs w:val="24"/>
                <w:lang w:eastAsia="en-AU"/>
              </w:rPr>
            </w:pPr>
            <w:r w:rsidRPr="00C24C61">
              <w:rPr>
                <w:rFonts w:ascii="Calibri" w:hAnsi="Calibri"/>
                <w:i/>
                <w:sz w:val="20"/>
                <w:szCs w:val="24"/>
                <w:lang w:eastAsia="en-AU"/>
              </w:rPr>
              <w:t>181</w:t>
            </w:r>
          </w:p>
        </w:tc>
        <w:tc>
          <w:tcPr>
            <w:tcW w:w="903" w:type="dxa"/>
            <w:shd w:val="clear" w:color="auto" w:fill="auto"/>
          </w:tcPr>
          <w:p w14:paraId="1F64AACB" w14:textId="77777777" w:rsidR="00C24C61" w:rsidRPr="00C24C61" w:rsidRDefault="00C24C61" w:rsidP="00C24C61">
            <w:pPr>
              <w:ind w:left="227" w:hanging="227"/>
              <w:jc w:val="right"/>
              <w:rPr>
                <w:rFonts w:ascii="Calibri" w:hAnsi="Calibri"/>
                <w:i/>
                <w:sz w:val="20"/>
                <w:szCs w:val="24"/>
                <w:lang w:eastAsia="en-AU"/>
              </w:rPr>
            </w:pPr>
            <w:r w:rsidRPr="00C24C61">
              <w:rPr>
                <w:rFonts w:ascii="Calibri" w:hAnsi="Calibri"/>
                <w:i/>
                <w:sz w:val="20"/>
                <w:szCs w:val="24"/>
                <w:lang w:eastAsia="en-AU"/>
              </w:rPr>
              <w:t>463</w:t>
            </w:r>
          </w:p>
        </w:tc>
        <w:tc>
          <w:tcPr>
            <w:tcW w:w="902" w:type="dxa"/>
            <w:shd w:val="clear" w:color="auto" w:fill="auto"/>
          </w:tcPr>
          <w:p w14:paraId="73F8E783" w14:textId="77777777" w:rsidR="00C24C61" w:rsidRPr="00C24C61" w:rsidRDefault="00C24C61" w:rsidP="00C24C61">
            <w:pPr>
              <w:ind w:left="227" w:hanging="227"/>
              <w:jc w:val="right"/>
              <w:rPr>
                <w:rFonts w:ascii="Calibri" w:hAnsi="Calibri"/>
                <w:i/>
                <w:sz w:val="20"/>
                <w:szCs w:val="24"/>
                <w:lang w:eastAsia="en-AU"/>
              </w:rPr>
            </w:pPr>
            <w:r w:rsidRPr="00C24C61">
              <w:rPr>
                <w:rFonts w:ascii="Calibri" w:hAnsi="Calibri"/>
                <w:i/>
                <w:sz w:val="20"/>
                <w:szCs w:val="24"/>
                <w:lang w:eastAsia="en-AU"/>
              </w:rPr>
              <w:t>2,362</w:t>
            </w:r>
          </w:p>
        </w:tc>
        <w:tc>
          <w:tcPr>
            <w:tcW w:w="903" w:type="dxa"/>
            <w:shd w:val="clear" w:color="auto" w:fill="auto"/>
          </w:tcPr>
          <w:p w14:paraId="2ED68E84" w14:textId="77777777" w:rsidR="00C24C61" w:rsidRPr="00C24C61" w:rsidRDefault="00C24C61" w:rsidP="00C24C61">
            <w:pPr>
              <w:ind w:left="227" w:hanging="227"/>
              <w:jc w:val="right"/>
              <w:rPr>
                <w:rFonts w:ascii="Calibri" w:hAnsi="Calibri"/>
                <w:i/>
                <w:sz w:val="20"/>
                <w:szCs w:val="24"/>
                <w:lang w:eastAsia="en-AU"/>
              </w:rPr>
            </w:pPr>
            <w:r w:rsidRPr="00C24C61">
              <w:rPr>
                <w:rFonts w:ascii="Calibri" w:hAnsi="Calibri"/>
                <w:i/>
                <w:sz w:val="20"/>
                <w:szCs w:val="24"/>
                <w:lang w:eastAsia="en-AU"/>
              </w:rPr>
              <w:t>2,376</w:t>
            </w:r>
          </w:p>
        </w:tc>
        <w:tc>
          <w:tcPr>
            <w:tcW w:w="903" w:type="dxa"/>
            <w:shd w:val="clear" w:color="auto" w:fill="auto"/>
          </w:tcPr>
          <w:p w14:paraId="78263697" w14:textId="77777777" w:rsidR="00C24C61" w:rsidRPr="00C24C61" w:rsidRDefault="00C24C61" w:rsidP="00C24C61">
            <w:pPr>
              <w:ind w:left="227" w:hanging="227"/>
              <w:jc w:val="right"/>
              <w:rPr>
                <w:rFonts w:ascii="Calibri" w:hAnsi="Calibri"/>
                <w:i/>
                <w:sz w:val="20"/>
                <w:szCs w:val="24"/>
                <w:lang w:eastAsia="en-AU"/>
              </w:rPr>
            </w:pPr>
            <w:r w:rsidRPr="00C24C61">
              <w:rPr>
                <w:rFonts w:ascii="Calibri" w:hAnsi="Calibri"/>
                <w:i/>
                <w:sz w:val="20"/>
                <w:szCs w:val="24"/>
                <w:lang w:eastAsia="en-AU"/>
              </w:rPr>
              <w:t>5,382</w:t>
            </w:r>
          </w:p>
        </w:tc>
      </w:tr>
      <w:tr w:rsidR="00C24C61" w:rsidRPr="00C24C61" w14:paraId="5EC1F36E" w14:textId="77777777" w:rsidTr="00FD1D5C">
        <w:trPr>
          <w:cantSplit/>
          <w:trHeight w:val="227"/>
        </w:trPr>
        <w:tc>
          <w:tcPr>
            <w:tcW w:w="4559" w:type="dxa"/>
            <w:tcBorders>
              <w:bottom w:val="single" w:sz="4" w:space="0" w:color="auto"/>
            </w:tcBorders>
            <w:shd w:val="clear" w:color="auto" w:fill="auto"/>
          </w:tcPr>
          <w:p w14:paraId="16159C2A" w14:textId="77777777" w:rsidR="00C24C61" w:rsidRPr="00C24C61" w:rsidRDefault="00C24C61" w:rsidP="00C24C61">
            <w:pPr>
              <w:ind w:left="227" w:hanging="227"/>
              <w:rPr>
                <w:rFonts w:ascii="Calibri" w:hAnsi="Calibri"/>
                <w:bCs/>
                <w:i/>
                <w:sz w:val="20"/>
                <w:szCs w:val="20"/>
                <w:lang w:val="x-none" w:eastAsia="en-US"/>
              </w:rPr>
            </w:pPr>
            <w:r w:rsidRPr="00C24C61">
              <w:rPr>
                <w:rFonts w:ascii="Calibri" w:hAnsi="Calibri"/>
                <w:bCs/>
                <w:i/>
                <w:sz w:val="20"/>
                <w:szCs w:val="20"/>
                <w:lang w:val="x-none" w:eastAsia="en-US"/>
              </w:rPr>
              <w:t>Health Funding Envelope Offset</w:t>
            </w:r>
          </w:p>
        </w:tc>
        <w:tc>
          <w:tcPr>
            <w:tcW w:w="902" w:type="dxa"/>
            <w:tcBorders>
              <w:bottom w:val="single" w:sz="4" w:space="0" w:color="auto"/>
            </w:tcBorders>
            <w:shd w:val="clear" w:color="auto" w:fill="auto"/>
          </w:tcPr>
          <w:p w14:paraId="5614A723" w14:textId="77777777" w:rsidR="00C24C61" w:rsidRPr="00C24C61" w:rsidRDefault="00C24C61" w:rsidP="00C24C61">
            <w:pPr>
              <w:ind w:left="227" w:hanging="227"/>
              <w:jc w:val="right"/>
              <w:rPr>
                <w:rFonts w:ascii="Calibri" w:hAnsi="Calibri"/>
                <w:i/>
                <w:sz w:val="20"/>
                <w:szCs w:val="24"/>
                <w:lang w:eastAsia="en-AU"/>
              </w:rPr>
            </w:pPr>
            <w:r w:rsidRPr="00C24C61">
              <w:rPr>
                <w:rFonts w:ascii="Calibri" w:hAnsi="Calibri"/>
                <w:i/>
                <w:sz w:val="20"/>
                <w:szCs w:val="24"/>
                <w:lang w:eastAsia="en-AU"/>
              </w:rPr>
              <w:t>34,988</w:t>
            </w:r>
          </w:p>
        </w:tc>
        <w:tc>
          <w:tcPr>
            <w:tcW w:w="903" w:type="dxa"/>
            <w:tcBorders>
              <w:bottom w:val="single" w:sz="4" w:space="0" w:color="auto"/>
            </w:tcBorders>
            <w:shd w:val="clear" w:color="auto" w:fill="auto"/>
          </w:tcPr>
          <w:p w14:paraId="715CC62C" w14:textId="77777777" w:rsidR="00C24C61" w:rsidRPr="00C24C61" w:rsidRDefault="00C24C61" w:rsidP="00C24C61">
            <w:pPr>
              <w:ind w:left="227" w:hanging="227"/>
              <w:jc w:val="right"/>
              <w:rPr>
                <w:rFonts w:ascii="Calibri" w:hAnsi="Calibri"/>
                <w:i/>
                <w:sz w:val="20"/>
                <w:szCs w:val="24"/>
                <w:lang w:eastAsia="en-AU"/>
              </w:rPr>
            </w:pPr>
            <w:r w:rsidRPr="00C24C61">
              <w:rPr>
                <w:rFonts w:ascii="Calibri" w:hAnsi="Calibri"/>
                <w:i/>
                <w:sz w:val="20"/>
                <w:szCs w:val="24"/>
                <w:lang w:eastAsia="en-AU"/>
              </w:rPr>
              <w:t>52,727</w:t>
            </w:r>
          </w:p>
        </w:tc>
        <w:tc>
          <w:tcPr>
            <w:tcW w:w="902" w:type="dxa"/>
            <w:tcBorders>
              <w:bottom w:val="single" w:sz="4" w:space="0" w:color="auto"/>
            </w:tcBorders>
            <w:shd w:val="clear" w:color="auto" w:fill="auto"/>
          </w:tcPr>
          <w:p w14:paraId="0F2B8BBC" w14:textId="77777777" w:rsidR="00C24C61" w:rsidRPr="00C24C61" w:rsidRDefault="00C24C61" w:rsidP="00C24C61">
            <w:pPr>
              <w:ind w:left="227" w:hanging="227"/>
              <w:jc w:val="right"/>
              <w:rPr>
                <w:rFonts w:ascii="Calibri" w:hAnsi="Calibri"/>
                <w:i/>
                <w:sz w:val="20"/>
                <w:szCs w:val="24"/>
                <w:lang w:eastAsia="en-AU"/>
              </w:rPr>
            </w:pPr>
            <w:r w:rsidRPr="00C24C61">
              <w:rPr>
                <w:rFonts w:ascii="Calibri" w:hAnsi="Calibri"/>
                <w:i/>
                <w:sz w:val="20"/>
                <w:szCs w:val="24"/>
                <w:lang w:eastAsia="en-AU"/>
              </w:rPr>
              <w:t>69,248</w:t>
            </w:r>
          </w:p>
        </w:tc>
        <w:tc>
          <w:tcPr>
            <w:tcW w:w="903" w:type="dxa"/>
            <w:tcBorders>
              <w:bottom w:val="single" w:sz="4" w:space="0" w:color="auto"/>
            </w:tcBorders>
            <w:shd w:val="clear" w:color="auto" w:fill="auto"/>
          </w:tcPr>
          <w:p w14:paraId="149C679E" w14:textId="77777777" w:rsidR="00C24C61" w:rsidRPr="00C24C61" w:rsidRDefault="00C24C61" w:rsidP="00C24C61">
            <w:pPr>
              <w:ind w:left="227" w:hanging="227"/>
              <w:jc w:val="right"/>
              <w:rPr>
                <w:rFonts w:ascii="Calibri" w:hAnsi="Calibri"/>
                <w:i/>
                <w:sz w:val="20"/>
                <w:szCs w:val="24"/>
                <w:lang w:eastAsia="en-AU"/>
              </w:rPr>
            </w:pPr>
            <w:r w:rsidRPr="00C24C61">
              <w:rPr>
                <w:rFonts w:ascii="Calibri" w:hAnsi="Calibri"/>
                <w:i/>
                <w:sz w:val="20"/>
                <w:szCs w:val="24"/>
                <w:lang w:eastAsia="en-AU"/>
              </w:rPr>
              <w:t>70,912</w:t>
            </w:r>
          </w:p>
        </w:tc>
        <w:tc>
          <w:tcPr>
            <w:tcW w:w="903" w:type="dxa"/>
            <w:tcBorders>
              <w:bottom w:val="single" w:sz="4" w:space="0" w:color="auto"/>
            </w:tcBorders>
            <w:shd w:val="clear" w:color="auto" w:fill="auto"/>
          </w:tcPr>
          <w:p w14:paraId="4F3FD457" w14:textId="77777777" w:rsidR="00C24C61" w:rsidRPr="00C24C61" w:rsidRDefault="00C24C61" w:rsidP="00C24C61">
            <w:pPr>
              <w:ind w:left="227" w:hanging="227"/>
              <w:jc w:val="right"/>
              <w:rPr>
                <w:rFonts w:ascii="Calibri" w:hAnsi="Calibri"/>
                <w:i/>
                <w:sz w:val="20"/>
                <w:szCs w:val="24"/>
                <w:lang w:eastAsia="en-AU"/>
              </w:rPr>
            </w:pPr>
            <w:r w:rsidRPr="00C24C61">
              <w:rPr>
                <w:rFonts w:ascii="Calibri" w:hAnsi="Calibri"/>
                <w:i/>
                <w:sz w:val="20"/>
                <w:szCs w:val="24"/>
                <w:lang w:eastAsia="en-AU"/>
              </w:rPr>
              <w:t>227,875</w:t>
            </w:r>
          </w:p>
        </w:tc>
      </w:tr>
    </w:tbl>
    <w:p w14:paraId="51A4BD65" w14:textId="77777777" w:rsidR="00C24C61" w:rsidRPr="00C24C61" w:rsidRDefault="00C24C61" w:rsidP="00FD1D5C">
      <w:pPr>
        <w:pStyle w:val="snapNotesheading"/>
        <w:rPr>
          <w:b w:val="0"/>
        </w:rPr>
      </w:pPr>
      <w:r w:rsidRPr="00C24C61">
        <w:t xml:space="preserve">Notes: </w:t>
      </w:r>
    </w:p>
    <w:p w14:paraId="38029DE3" w14:textId="01B0DB42" w:rsidR="00C24C61" w:rsidRPr="00C24C61" w:rsidRDefault="00C24C61" w:rsidP="00FD1D5C">
      <w:pPr>
        <w:pStyle w:val="snapNotesbody"/>
      </w:pPr>
      <w:r w:rsidRPr="00C24C61">
        <w:t>1</w:t>
      </w:r>
      <w:r w:rsidR="00FD1D5C">
        <w:rPr>
          <w:lang w:val="en-US"/>
        </w:rPr>
        <w:t>.</w:t>
      </w:r>
      <w:r w:rsidRPr="00C24C61">
        <w:t xml:space="preserve"> This initiative has a revenue component; this is listed in the summary table in Revenue initiatives (Chapter 3.4).</w:t>
      </w:r>
    </w:p>
    <w:p w14:paraId="576FF145" w14:textId="78D835E2" w:rsidR="00C24C61" w:rsidRPr="00C24C61" w:rsidRDefault="00C24C61" w:rsidP="00FD1D5C">
      <w:pPr>
        <w:pStyle w:val="snapNotesbody"/>
      </w:pPr>
      <w:r w:rsidRPr="00C24C61">
        <w:t>2</w:t>
      </w:r>
      <w:r w:rsidR="00FD1D5C">
        <w:rPr>
          <w:lang w:val="en-US"/>
        </w:rPr>
        <w:t>.</w:t>
      </w:r>
      <w:r w:rsidRPr="00C24C61">
        <w:t xml:space="preserve"> This initiative has a capital component; this component (and depreciation if applicable) is listed in the summary table in Infrastructure and capital initiatives (Chapter 3.3).</w:t>
      </w:r>
    </w:p>
    <w:p w14:paraId="7C87BBCE" w14:textId="1998272D" w:rsidR="00C24C61" w:rsidRPr="00C24C61" w:rsidRDefault="00C24C61" w:rsidP="00FD1D5C">
      <w:pPr>
        <w:pStyle w:val="snapNotesbody"/>
      </w:pPr>
      <w:r w:rsidRPr="00C24C61">
        <w:t>3</w:t>
      </w:r>
      <w:r w:rsidR="00FD1D5C">
        <w:rPr>
          <w:lang w:val="en-US"/>
        </w:rPr>
        <w:t>.</w:t>
      </w:r>
      <w:r w:rsidRPr="00C24C61">
        <w:t xml:space="preserve"> The funding of this initiative is to be absorbed by the agency.</w:t>
      </w:r>
    </w:p>
    <w:p w14:paraId="7E3CC292" w14:textId="7D23AE81" w:rsidR="00C24C61" w:rsidRPr="00C24C61" w:rsidRDefault="00C24C61" w:rsidP="00FD1D5C">
      <w:pPr>
        <w:pStyle w:val="snapNotesbody"/>
      </w:pPr>
      <w:r w:rsidRPr="00C24C61">
        <w:t>4</w:t>
      </w:r>
      <w:r w:rsidR="00FD1D5C">
        <w:rPr>
          <w:lang w:val="en-US"/>
        </w:rPr>
        <w:t>.</w:t>
      </w:r>
      <w:r w:rsidRPr="00C24C61">
        <w:t xml:space="preserve"> This is a joint initiative, i.e. delivered by more than one agency.</w:t>
      </w:r>
    </w:p>
    <w:p w14:paraId="7C015B3D" w14:textId="3D2AEAB2" w:rsidR="00C24C61" w:rsidRPr="00C24C61" w:rsidRDefault="00C24C61" w:rsidP="00FD1D5C">
      <w:pPr>
        <w:pStyle w:val="snapNotesbody"/>
      </w:pPr>
      <w:r w:rsidRPr="00C24C61">
        <w:t>5</w:t>
      </w:r>
      <w:r w:rsidR="00FD1D5C">
        <w:rPr>
          <w:lang w:val="en-US"/>
        </w:rPr>
        <w:t>.</w:t>
      </w:r>
      <w:r w:rsidRPr="00C24C61">
        <w:t xml:space="preserve"> </w:t>
      </w:r>
      <w:proofErr w:type="spellStart"/>
      <w:r w:rsidRPr="00C24C61">
        <w:t>NFP</w:t>
      </w:r>
      <w:proofErr w:type="spellEnd"/>
      <w:r w:rsidRPr="00C24C61">
        <w:t xml:space="preserve"> indicates not for publication.</w:t>
      </w:r>
      <w:r w:rsidR="000F30E1">
        <w:t xml:space="preserve"> </w:t>
      </w:r>
      <w:r w:rsidRPr="00C24C61">
        <w:t>A provision has been included in the budget in the years indicated.</w:t>
      </w:r>
    </w:p>
    <w:p w14:paraId="7C86D67F" w14:textId="4DC766AB" w:rsidR="00C24C61" w:rsidRPr="00FD1D5C" w:rsidRDefault="00C24C61" w:rsidP="00FD1D5C">
      <w:pPr>
        <w:pStyle w:val="snapNotesbody"/>
      </w:pPr>
      <w:r w:rsidRPr="00C24C61">
        <w:t>6</w:t>
      </w:r>
      <w:r w:rsidR="00FD1D5C">
        <w:rPr>
          <w:lang w:val="en-US"/>
        </w:rPr>
        <w:t>.</w:t>
      </w:r>
      <w:r w:rsidRPr="00C24C61">
        <w:t xml:space="preserve"> This initiative forms part of the Safer Families package.</w:t>
      </w:r>
    </w:p>
    <w:p w14:paraId="5BDFBD92" w14:textId="77777777" w:rsidR="00C24C61" w:rsidRPr="00C24C61" w:rsidRDefault="00C24C61" w:rsidP="00FD1D5C">
      <w:pPr>
        <w:pStyle w:val="snapTabletitle"/>
        <w:rPr>
          <w:b w:val="0"/>
        </w:rPr>
      </w:pPr>
      <w:r w:rsidRPr="00C24C61">
        <w:t>Table 3.3.1: Summary of infrastructure and capital initiatives</w:t>
      </w:r>
    </w:p>
    <w:tbl>
      <w:tblPr>
        <w:tblW w:w="5000" w:type="pct"/>
        <w:tblLayout w:type="fixed"/>
        <w:tblLook w:val="0000" w:firstRow="0" w:lastRow="0" w:firstColumn="0" w:lastColumn="0" w:noHBand="0" w:noVBand="0"/>
      </w:tblPr>
      <w:tblGrid>
        <w:gridCol w:w="3484"/>
        <w:gridCol w:w="1229"/>
        <w:gridCol w:w="1231"/>
        <w:gridCol w:w="1231"/>
        <w:gridCol w:w="1231"/>
        <w:gridCol w:w="1232"/>
      </w:tblGrid>
      <w:tr w:rsidR="00C24C61" w:rsidRPr="00C24C61" w14:paraId="2E697E47" w14:textId="77777777" w:rsidTr="00FD1D5C">
        <w:trPr>
          <w:trHeight w:val="255"/>
          <w:tblHeader/>
        </w:trPr>
        <w:tc>
          <w:tcPr>
            <w:tcW w:w="3382" w:type="dxa"/>
            <w:tcBorders>
              <w:top w:val="single" w:sz="4" w:space="0" w:color="auto"/>
              <w:left w:val="nil"/>
              <w:bottom w:val="single" w:sz="4" w:space="0" w:color="auto"/>
              <w:right w:val="nil"/>
            </w:tcBorders>
            <w:shd w:val="clear" w:color="auto" w:fill="auto"/>
          </w:tcPr>
          <w:p w14:paraId="3178788F" w14:textId="77777777" w:rsidR="00C24C61" w:rsidRPr="00C24C61" w:rsidRDefault="00C24C61" w:rsidP="00C24C61">
            <w:pPr>
              <w:ind w:left="227" w:hanging="227"/>
              <w:rPr>
                <w:rFonts w:ascii="Calibri" w:hAnsi="Calibri"/>
                <w:bCs/>
                <w:sz w:val="20"/>
                <w:szCs w:val="20"/>
                <w:lang w:val="x-none" w:eastAsia="en-US"/>
              </w:rPr>
            </w:pPr>
          </w:p>
          <w:p w14:paraId="75B5DCB7" w14:textId="77777777" w:rsidR="00C24C61" w:rsidRPr="00C24C61" w:rsidRDefault="00C24C61" w:rsidP="00C24C61">
            <w:pPr>
              <w:ind w:left="227" w:hanging="227"/>
              <w:rPr>
                <w:rFonts w:ascii="Calibri" w:hAnsi="Calibri"/>
                <w:b/>
                <w:bCs/>
                <w:sz w:val="20"/>
                <w:szCs w:val="20"/>
                <w:lang w:eastAsia="en-AU"/>
              </w:rPr>
            </w:pPr>
            <w:r w:rsidRPr="00C24C61">
              <w:rPr>
                <w:rFonts w:ascii="Calibri" w:hAnsi="Calibri"/>
                <w:b/>
                <w:bCs/>
                <w:sz w:val="20"/>
                <w:szCs w:val="20"/>
                <w:lang w:eastAsia="en-AU"/>
              </w:rPr>
              <w:t>Summary of initiatives</w:t>
            </w:r>
          </w:p>
        </w:tc>
        <w:tc>
          <w:tcPr>
            <w:tcW w:w="1193" w:type="dxa"/>
            <w:tcBorders>
              <w:top w:val="single" w:sz="4" w:space="0" w:color="auto"/>
              <w:left w:val="nil"/>
              <w:bottom w:val="single" w:sz="4" w:space="0" w:color="auto"/>
              <w:right w:val="nil"/>
            </w:tcBorders>
            <w:shd w:val="clear" w:color="auto" w:fill="auto"/>
          </w:tcPr>
          <w:p w14:paraId="5CE13F5B" w14:textId="77777777" w:rsidR="00C24C61" w:rsidRPr="00C24C61" w:rsidRDefault="00C24C61" w:rsidP="00C24C61">
            <w:pPr>
              <w:jc w:val="right"/>
              <w:rPr>
                <w:rFonts w:ascii="Calibri" w:hAnsi="Calibri"/>
                <w:b/>
                <w:bCs/>
                <w:sz w:val="20"/>
                <w:szCs w:val="20"/>
                <w:lang w:eastAsia="en-US"/>
              </w:rPr>
            </w:pPr>
            <w:r w:rsidRPr="00C24C61">
              <w:rPr>
                <w:rFonts w:ascii="Calibri" w:hAnsi="Calibri"/>
                <w:b/>
                <w:bCs/>
                <w:sz w:val="20"/>
                <w:szCs w:val="20"/>
                <w:lang w:eastAsia="en-US"/>
              </w:rPr>
              <w:t>2019-20</w:t>
            </w:r>
          </w:p>
          <w:p w14:paraId="48486F08" w14:textId="77777777" w:rsidR="00C24C61" w:rsidRPr="00C24C61" w:rsidRDefault="00C24C61" w:rsidP="00C24C61">
            <w:pPr>
              <w:jc w:val="right"/>
              <w:rPr>
                <w:rFonts w:ascii="Calibri" w:hAnsi="Calibri"/>
                <w:b/>
                <w:bCs/>
                <w:sz w:val="20"/>
                <w:szCs w:val="20"/>
                <w:lang w:eastAsia="en-US"/>
              </w:rPr>
            </w:pPr>
            <w:r w:rsidRPr="00C24C61">
              <w:rPr>
                <w:rFonts w:ascii="Calibri" w:hAnsi="Calibri"/>
                <w:b/>
                <w:bCs/>
                <w:sz w:val="20"/>
                <w:szCs w:val="20"/>
                <w:lang w:eastAsia="en-US"/>
              </w:rPr>
              <w:t>Estimate</w:t>
            </w:r>
          </w:p>
          <w:p w14:paraId="1DD8721B" w14:textId="77777777" w:rsidR="00C24C61" w:rsidRPr="00C24C61" w:rsidRDefault="00C24C61" w:rsidP="00C24C61">
            <w:pPr>
              <w:jc w:val="right"/>
              <w:rPr>
                <w:rFonts w:ascii="Calibri" w:hAnsi="Calibri"/>
                <w:b/>
                <w:bCs/>
                <w:sz w:val="20"/>
                <w:szCs w:val="20"/>
                <w:lang w:eastAsia="en-US"/>
              </w:rPr>
            </w:pPr>
            <w:r w:rsidRPr="00C24C61">
              <w:rPr>
                <w:rFonts w:ascii="Calibri" w:hAnsi="Calibri"/>
                <w:b/>
                <w:bCs/>
                <w:sz w:val="20"/>
                <w:szCs w:val="20"/>
                <w:lang w:eastAsia="en-US"/>
              </w:rPr>
              <w:t>$’000</w:t>
            </w:r>
          </w:p>
        </w:tc>
        <w:tc>
          <w:tcPr>
            <w:tcW w:w="1195" w:type="dxa"/>
            <w:tcBorders>
              <w:top w:val="single" w:sz="4" w:space="0" w:color="auto"/>
              <w:left w:val="nil"/>
              <w:bottom w:val="single" w:sz="4" w:space="0" w:color="auto"/>
              <w:right w:val="nil"/>
            </w:tcBorders>
            <w:shd w:val="clear" w:color="auto" w:fill="auto"/>
          </w:tcPr>
          <w:p w14:paraId="139E3460" w14:textId="77777777" w:rsidR="00C24C61" w:rsidRPr="00C24C61" w:rsidRDefault="00C24C61" w:rsidP="00C24C61">
            <w:pPr>
              <w:jc w:val="right"/>
              <w:rPr>
                <w:rFonts w:ascii="Calibri" w:hAnsi="Calibri"/>
                <w:b/>
                <w:bCs/>
                <w:sz w:val="20"/>
                <w:szCs w:val="20"/>
                <w:lang w:eastAsia="en-US"/>
              </w:rPr>
            </w:pPr>
            <w:r w:rsidRPr="00C24C61">
              <w:rPr>
                <w:rFonts w:ascii="Calibri" w:hAnsi="Calibri"/>
                <w:b/>
                <w:bCs/>
                <w:sz w:val="20"/>
                <w:szCs w:val="20"/>
                <w:lang w:eastAsia="en-US"/>
              </w:rPr>
              <w:t>2020</w:t>
            </w:r>
            <w:r w:rsidRPr="00C24C61">
              <w:rPr>
                <w:rFonts w:ascii="Calibri" w:hAnsi="Calibri"/>
                <w:b/>
                <w:bCs/>
                <w:sz w:val="20"/>
                <w:szCs w:val="20"/>
                <w:lang w:eastAsia="en-US"/>
              </w:rPr>
              <w:noBreakHyphen/>
              <w:t>21</w:t>
            </w:r>
          </w:p>
          <w:p w14:paraId="374C140D" w14:textId="77777777" w:rsidR="00C24C61" w:rsidRPr="00C24C61" w:rsidRDefault="00C24C61" w:rsidP="00C24C61">
            <w:pPr>
              <w:jc w:val="right"/>
              <w:rPr>
                <w:rFonts w:ascii="Calibri" w:hAnsi="Calibri"/>
                <w:b/>
                <w:bCs/>
                <w:sz w:val="20"/>
                <w:szCs w:val="20"/>
                <w:lang w:eastAsia="en-US"/>
              </w:rPr>
            </w:pPr>
            <w:r w:rsidRPr="00C24C61">
              <w:rPr>
                <w:rFonts w:ascii="Calibri" w:hAnsi="Calibri"/>
                <w:b/>
                <w:bCs/>
                <w:sz w:val="20"/>
                <w:szCs w:val="20"/>
                <w:lang w:eastAsia="en-US"/>
              </w:rPr>
              <w:t>Estimate</w:t>
            </w:r>
          </w:p>
          <w:p w14:paraId="7CAA1401" w14:textId="77777777" w:rsidR="00C24C61" w:rsidRPr="00C24C61" w:rsidRDefault="00C24C61" w:rsidP="00C24C61">
            <w:pPr>
              <w:jc w:val="right"/>
              <w:rPr>
                <w:rFonts w:ascii="Calibri" w:hAnsi="Calibri"/>
                <w:b/>
                <w:bCs/>
                <w:sz w:val="20"/>
                <w:szCs w:val="20"/>
                <w:lang w:eastAsia="en-US"/>
              </w:rPr>
            </w:pPr>
            <w:r w:rsidRPr="00C24C61">
              <w:rPr>
                <w:rFonts w:ascii="Calibri" w:hAnsi="Calibri"/>
                <w:b/>
                <w:bCs/>
                <w:sz w:val="20"/>
                <w:szCs w:val="20"/>
                <w:lang w:eastAsia="en-US"/>
              </w:rPr>
              <w:t>$’000</w:t>
            </w:r>
          </w:p>
        </w:tc>
        <w:tc>
          <w:tcPr>
            <w:tcW w:w="1195" w:type="dxa"/>
            <w:tcBorders>
              <w:top w:val="single" w:sz="4" w:space="0" w:color="auto"/>
              <w:left w:val="nil"/>
              <w:bottom w:val="single" w:sz="4" w:space="0" w:color="auto"/>
              <w:right w:val="nil"/>
            </w:tcBorders>
            <w:shd w:val="clear" w:color="auto" w:fill="auto"/>
          </w:tcPr>
          <w:p w14:paraId="23CE700A" w14:textId="77777777" w:rsidR="00C24C61" w:rsidRPr="00C24C61" w:rsidRDefault="00C24C61" w:rsidP="00C24C61">
            <w:pPr>
              <w:jc w:val="right"/>
              <w:rPr>
                <w:rFonts w:ascii="Calibri" w:hAnsi="Calibri"/>
                <w:b/>
                <w:bCs/>
                <w:sz w:val="20"/>
                <w:szCs w:val="20"/>
                <w:lang w:eastAsia="en-US"/>
              </w:rPr>
            </w:pPr>
            <w:r w:rsidRPr="00C24C61">
              <w:rPr>
                <w:rFonts w:ascii="Calibri" w:hAnsi="Calibri"/>
                <w:b/>
                <w:bCs/>
                <w:sz w:val="20"/>
                <w:szCs w:val="20"/>
                <w:lang w:eastAsia="en-US"/>
              </w:rPr>
              <w:t>2021-22</w:t>
            </w:r>
          </w:p>
          <w:p w14:paraId="41ACE4E8" w14:textId="77777777" w:rsidR="00C24C61" w:rsidRPr="00C24C61" w:rsidRDefault="00C24C61" w:rsidP="00C24C61">
            <w:pPr>
              <w:jc w:val="right"/>
              <w:rPr>
                <w:rFonts w:ascii="Calibri" w:hAnsi="Calibri"/>
                <w:b/>
                <w:bCs/>
                <w:sz w:val="20"/>
                <w:szCs w:val="20"/>
                <w:lang w:eastAsia="en-US"/>
              </w:rPr>
            </w:pPr>
            <w:r w:rsidRPr="00C24C61">
              <w:rPr>
                <w:rFonts w:ascii="Calibri" w:hAnsi="Calibri"/>
                <w:b/>
                <w:bCs/>
                <w:sz w:val="20"/>
                <w:szCs w:val="20"/>
                <w:lang w:eastAsia="en-US"/>
              </w:rPr>
              <w:t>Estimate</w:t>
            </w:r>
          </w:p>
          <w:p w14:paraId="20D677BE" w14:textId="77777777" w:rsidR="00C24C61" w:rsidRPr="00C24C61" w:rsidRDefault="00C24C61" w:rsidP="00C24C61">
            <w:pPr>
              <w:jc w:val="right"/>
              <w:rPr>
                <w:rFonts w:ascii="Calibri" w:hAnsi="Calibri"/>
                <w:b/>
                <w:bCs/>
                <w:sz w:val="20"/>
                <w:szCs w:val="20"/>
                <w:lang w:eastAsia="en-US"/>
              </w:rPr>
            </w:pPr>
            <w:r w:rsidRPr="00C24C61">
              <w:rPr>
                <w:rFonts w:ascii="Calibri" w:hAnsi="Calibri"/>
                <w:b/>
                <w:bCs/>
                <w:sz w:val="20"/>
                <w:szCs w:val="20"/>
                <w:lang w:eastAsia="en-US"/>
              </w:rPr>
              <w:t>$’000</w:t>
            </w:r>
          </w:p>
        </w:tc>
        <w:tc>
          <w:tcPr>
            <w:tcW w:w="1195" w:type="dxa"/>
            <w:tcBorders>
              <w:top w:val="single" w:sz="4" w:space="0" w:color="auto"/>
              <w:left w:val="nil"/>
              <w:bottom w:val="single" w:sz="4" w:space="0" w:color="auto"/>
              <w:right w:val="nil"/>
            </w:tcBorders>
          </w:tcPr>
          <w:p w14:paraId="5EBC773C" w14:textId="77777777" w:rsidR="00C24C61" w:rsidRPr="00C24C61" w:rsidRDefault="00C24C61" w:rsidP="00C24C61">
            <w:pPr>
              <w:jc w:val="right"/>
              <w:rPr>
                <w:rFonts w:ascii="Calibri" w:hAnsi="Calibri"/>
                <w:b/>
                <w:bCs/>
                <w:sz w:val="20"/>
                <w:szCs w:val="20"/>
                <w:lang w:eastAsia="en-US"/>
              </w:rPr>
            </w:pPr>
            <w:r w:rsidRPr="00C24C61">
              <w:rPr>
                <w:rFonts w:ascii="Calibri" w:hAnsi="Calibri"/>
                <w:b/>
                <w:bCs/>
                <w:sz w:val="20"/>
                <w:szCs w:val="20"/>
                <w:lang w:eastAsia="en-US"/>
              </w:rPr>
              <w:t>2022-23</w:t>
            </w:r>
          </w:p>
          <w:p w14:paraId="7F371003" w14:textId="77777777" w:rsidR="00C24C61" w:rsidRPr="00C24C61" w:rsidRDefault="00C24C61" w:rsidP="00C24C61">
            <w:pPr>
              <w:jc w:val="right"/>
              <w:rPr>
                <w:rFonts w:ascii="Calibri" w:hAnsi="Calibri"/>
                <w:b/>
                <w:bCs/>
                <w:sz w:val="20"/>
                <w:szCs w:val="20"/>
                <w:lang w:eastAsia="en-US"/>
              </w:rPr>
            </w:pPr>
            <w:r w:rsidRPr="00C24C61">
              <w:rPr>
                <w:rFonts w:ascii="Calibri" w:hAnsi="Calibri"/>
                <w:b/>
                <w:bCs/>
                <w:sz w:val="20"/>
                <w:szCs w:val="20"/>
                <w:lang w:eastAsia="en-US"/>
              </w:rPr>
              <w:t>Estimate</w:t>
            </w:r>
          </w:p>
          <w:p w14:paraId="7E6E2D69" w14:textId="77777777" w:rsidR="00C24C61" w:rsidRPr="00C24C61" w:rsidRDefault="00C24C61" w:rsidP="00C24C61">
            <w:pPr>
              <w:jc w:val="right"/>
              <w:rPr>
                <w:rFonts w:ascii="Calibri" w:hAnsi="Calibri"/>
                <w:b/>
                <w:bCs/>
                <w:sz w:val="20"/>
                <w:szCs w:val="20"/>
                <w:lang w:eastAsia="en-US"/>
              </w:rPr>
            </w:pPr>
            <w:r w:rsidRPr="00C24C61">
              <w:rPr>
                <w:rFonts w:ascii="Calibri" w:hAnsi="Calibri"/>
                <w:b/>
                <w:bCs/>
                <w:sz w:val="20"/>
                <w:szCs w:val="20"/>
                <w:lang w:eastAsia="en-US"/>
              </w:rPr>
              <w:t>$’000</w:t>
            </w:r>
          </w:p>
        </w:tc>
        <w:tc>
          <w:tcPr>
            <w:tcW w:w="1196" w:type="dxa"/>
            <w:tcBorders>
              <w:top w:val="single" w:sz="4" w:space="0" w:color="auto"/>
              <w:left w:val="nil"/>
              <w:bottom w:val="single" w:sz="4" w:space="0" w:color="auto"/>
              <w:right w:val="nil"/>
            </w:tcBorders>
          </w:tcPr>
          <w:p w14:paraId="63D10BC1" w14:textId="77777777" w:rsidR="00C24C61" w:rsidRPr="00C24C61" w:rsidRDefault="00C24C61" w:rsidP="00C24C61">
            <w:pPr>
              <w:jc w:val="right"/>
              <w:rPr>
                <w:rFonts w:ascii="Calibri" w:hAnsi="Calibri"/>
                <w:b/>
                <w:bCs/>
                <w:sz w:val="20"/>
                <w:szCs w:val="20"/>
                <w:lang w:eastAsia="en-US"/>
              </w:rPr>
            </w:pPr>
            <w:r w:rsidRPr="00C24C61">
              <w:rPr>
                <w:rFonts w:ascii="Calibri" w:hAnsi="Calibri"/>
                <w:b/>
                <w:bCs/>
                <w:sz w:val="20"/>
                <w:szCs w:val="20"/>
                <w:lang w:eastAsia="en-US"/>
              </w:rPr>
              <w:t xml:space="preserve">Total </w:t>
            </w:r>
          </w:p>
          <w:p w14:paraId="65BCD9A1" w14:textId="77777777" w:rsidR="00C24C61" w:rsidRPr="00C24C61" w:rsidRDefault="00C24C61" w:rsidP="00C24C61">
            <w:pPr>
              <w:jc w:val="right"/>
              <w:rPr>
                <w:rFonts w:ascii="Calibri" w:hAnsi="Calibri"/>
                <w:b/>
                <w:bCs/>
                <w:sz w:val="20"/>
                <w:szCs w:val="20"/>
                <w:lang w:eastAsia="en-US"/>
              </w:rPr>
            </w:pPr>
          </w:p>
          <w:p w14:paraId="18F5F29F" w14:textId="77777777" w:rsidR="00C24C61" w:rsidRPr="00C24C61" w:rsidRDefault="00C24C61" w:rsidP="00C24C61">
            <w:pPr>
              <w:jc w:val="right"/>
              <w:rPr>
                <w:rFonts w:ascii="Calibri" w:hAnsi="Calibri"/>
                <w:b/>
                <w:bCs/>
                <w:sz w:val="20"/>
                <w:szCs w:val="20"/>
                <w:lang w:eastAsia="en-US"/>
              </w:rPr>
            </w:pPr>
            <w:r w:rsidRPr="00C24C61">
              <w:rPr>
                <w:rFonts w:ascii="Calibri" w:hAnsi="Calibri"/>
                <w:b/>
                <w:bCs/>
                <w:sz w:val="20"/>
                <w:szCs w:val="20"/>
                <w:lang w:eastAsia="en-US"/>
              </w:rPr>
              <w:t>$’000</w:t>
            </w:r>
          </w:p>
        </w:tc>
      </w:tr>
      <w:tr w:rsidR="00C24C61" w:rsidRPr="00C24C61" w14:paraId="1AAFD31B" w14:textId="77777777" w:rsidTr="00FD1D5C">
        <w:trPr>
          <w:trHeight w:val="255"/>
        </w:trPr>
        <w:tc>
          <w:tcPr>
            <w:tcW w:w="3382" w:type="dxa"/>
            <w:tcBorders>
              <w:top w:val="single" w:sz="4" w:space="0" w:color="auto"/>
              <w:left w:val="nil"/>
              <w:bottom w:val="nil"/>
              <w:right w:val="nil"/>
            </w:tcBorders>
            <w:shd w:val="clear" w:color="auto" w:fill="auto"/>
            <w:noWrap/>
          </w:tcPr>
          <w:p w14:paraId="201E2C55" w14:textId="77777777" w:rsidR="00C24C61" w:rsidRPr="00C24C61" w:rsidRDefault="00C24C61" w:rsidP="00C24C61">
            <w:pPr>
              <w:ind w:left="227" w:hanging="227"/>
              <w:rPr>
                <w:rFonts w:ascii="Calibri" w:hAnsi="Calibri"/>
                <w:bCs/>
                <w:sz w:val="20"/>
                <w:szCs w:val="20"/>
                <w:lang w:eastAsia="en-AU"/>
              </w:rPr>
            </w:pPr>
            <w:bookmarkStart w:id="17" w:name="_Hlk291497084"/>
            <w:r w:rsidRPr="00C24C61">
              <w:rPr>
                <w:rFonts w:ascii="Calibri" w:hAnsi="Calibri"/>
                <w:bCs/>
                <w:sz w:val="20"/>
                <w:szCs w:val="20"/>
                <w:lang w:eastAsia="en-AU"/>
              </w:rPr>
              <w:t>Capital works</w:t>
            </w:r>
          </w:p>
        </w:tc>
        <w:tc>
          <w:tcPr>
            <w:tcW w:w="1193" w:type="dxa"/>
            <w:tcBorders>
              <w:top w:val="single" w:sz="4" w:space="0" w:color="auto"/>
              <w:left w:val="nil"/>
              <w:bottom w:val="nil"/>
              <w:right w:val="nil"/>
            </w:tcBorders>
            <w:shd w:val="clear" w:color="auto" w:fill="auto"/>
            <w:noWrap/>
          </w:tcPr>
          <w:p w14:paraId="409777BE"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131,739</w:t>
            </w:r>
          </w:p>
        </w:tc>
        <w:tc>
          <w:tcPr>
            <w:tcW w:w="1195" w:type="dxa"/>
            <w:tcBorders>
              <w:top w:val="single" w:sz="4" w:space="0" w:color="auto"/>
              <w:left w:val="nil"/>
              <w:bottom w:val="nil"/>
              <w:right w:val="nil"/>
            </w:tcBorders>
            <w:shd w:val="clear" w:color="auto" w:fill="auto"/>
            <w:noWrap/>
          </w:tcPr>
          <w:p w14:paraId="0DD99D14"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227,598</w:t>
            </w:r>
          </w:p>
        </w:tc>
        <w:tc>
          <w:tcPr>
            <w:tcW w:w="1195" w:type="dxa"/>
            <w:tcBorders>
              <w:top w:val="single" w:sz="4" w:space="0" w:color="auto"/>
              <w:left w:val="nil"/>
              <w:bottom w:val="nil"/>
              <w:right w:val="nil"/>
            </w:tcBorders>
            <w:shd w:val="clear" w:color="auto" w:fill="auto"/>
            <w:noWrap/>
          </w:tcPr>
          <w:p w14:paraId="706BAEB4"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131,812</w:t>
            </w:r>
          </w:p>
        </w:tc>
        <w:tc>
          <w:tcPr>
            <w:tcW w:w="1195" w:type="dxa"/>
            <w:tcBorders>
              <w:top w:val="single" w:sz="4" w:space="0" w:color="auto"/>
              <w:left w:val="nil"/>
              <w:bottom w:val="nil"/>
              <w:right w:val="nil"/>
            </w:tcBorders>
          </w:tcPr>
          <w:p w14:paraId="6E1A1032"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63,707</w:t>
            </w:r>
          </w:p>
        </w:tc>
        <w:tc>
          <w:tcPr>
            <w:tcW w:w="1196" w:type="dxa"/>
            <w:tcBorders>
              <w:top w:val="single" w:sz="4" w:space="0" w:color="auto"/>
              <w:left w:val="nil"/>
              <w:bottom w:val="nil"/>
              <w:right w:val="nil"/>
            </w:tcBorders>
          </w:tcPr>
          <w:p w14:paraId="78EC4213"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554,856</w:t>
            </w:r>
          </w:p>
        </w:tc>
      </w:tr>
      <w:tr w:rsidR="00C24C61" w:rsidRPr="00C24C61" w14:paraId="281693C7" w14:textId="77777777" w:rsidTr="00FD1D5C">
        <w:trPr>
          <w:trHeight w:val="510"/>
        </w:trPr>
        <w:tc>
          <w:tcPr>
            <w:tcW w:w="3382" w:type="dxa"/>
            <w:tcBorders>
              <w:top w:val="nil"/>
              <w:left w:val="nil"/>
              <w:bottom w:val="nil"/>
              <w:right w:val="nil"/>
            </w:tcBorders>
            <w:shd w:val="clear" w:color="auto" w:fill="auto"/>
          </w:tcPr>
          <w:p w14:paraId="6642848E" w14:textId="77777777" w:rsidR="00C24C61" w:rsidRPr="00C24C61" w:rsidRDefault="00C24C61" w:rsidP="00C24C61">
            <w:pPr>
              <w:ind w:left="227" w:hanging="227"/>
              <w:rPr>
                <w:rFonts w:ascii="Calibri" w:hAnsi="Calibri"/>
                <w:bCs/>
                <w:sz w:val="20"/>
                <w:szCs w:val="20"/>
                <w:lang w:eastAsia="en-AU"/>
              </w:rPr>
            </w:pPr>
            <w:r w:rsidRPr="00C24C61">
              <w:rPr>
                <w:rFonts w:ascii="Calibri" w:hAnsi="Calibri"/>
                <w:bCs/>
                <w:sz w:val="20"/>
                <w:szCs w:val="20"/>
                <w:lang w:eastAsia="en-AU"/>
              </w:rPr>
              <w:t>Information and communication technology</w:t>
            </w:r>
          </w:p>
        </w:tc>
        <w:tc>
          <w:tcPr>
            <w:tcW w:w="1193" w:type="dxa"/>
            <w:tcBorders>
              <w:top w:val="nil"/>
              <w:left w:val="nil"/>
              <w:bottom w:val="nil"/>
              <w:right w:val="nil"/>
            </w:tcBorders>
            <w:shd w:val="clear" w:color="auto" w:fill="auto"/>
            <w:noWrap/>
          </w:tcPr>
          <w:p w14:paraId="20E41BF2"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34,239</w:t>
            </w:r>
          </w:p>
        </w:tc>
        <w:tc>
          <w:tcPr>
            <w:tcW w:w="1195" w:type="dxa"/>
            <w:tcBorders>
              <w:top w:val="nil"/>
              <w:left w:val="nil"/>
              <w:bottom w:val="nil"/>
              <w:right w:val="nil"/>
            </w:tcBorders>
            <w:shd w:val="clear" w:color="auto" w:fill="auto"/>
            <w:noWrap/>
          </w:tcPr>
          <w:p w14:paraId="6A10DD04"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50,251,</w:t>
            </w:r>
          </w:p>
        </w:tc>
        <w:tc>
          <w:tcPr>
            <w:tcW w:w="1195" w:type="dxa"/>
            <w:tcBorders>
              <w:top w:val="nil"/>
              <w:left w:val="nil"/>
              <w:bottom w:val="nil"/>
              <w:right w:val="nil"/>
            </w:tcBorders>
            <w:shd w:val="clear" w:color="auto" w:fill="auto"/>
            <w:noWrap/>
          </w:tcPr>
          <w:p w14:paraId="23FBD4F2"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25,504</w:t>
            </w:r>
          </w:p>
        </w:tc>
        <w:tc>
          <w:tcPr>
            <w:tcW w:w="1195" w:type="dxa"/>
            <w:tcBorders>
              <w:top w:val="nil"/>
              <w:left w:val="nil"/>
              <w:bottom w:val="nil"/>
              <w:right w:val="nil"/>
            </w:tcBorders>
            <w:shd w:val="clear" w:color="auto" w:fill="auto"/>
          </w:tcPr>
          <w:p w14:paraId="0F25105F"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16,380</w:t>
            </w:r>
          </w:p>
        </w:tc>
        <w:tc>
          <w:tcPr>
            <w:tcW w:w="1196" w:type="dxa"/>
            <w:tcBorders>
              <w:top w:val="nil"/>
              <w:left w:val="nil"/>
              <w:bottom w:val="nil"/>
              <w:right w:val="nil"/>
            </w:tcBorders>
            <w:shd w:val="clear" w:color="auto" w:fill="auto"/>
          </w:tcPr>
          <w:p w14:paraId="1BF1D8CB"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126,374</w:t>
            </w:r>
          </w:p>
        </w:tc>
      </w:tr>
      <w:tr w:rsidR="00C24C61" w:rsidRPr="00C24C61" w14:paraId="4B6A8382" w14:textId="77777777" w:rsidTr="00FD1D5C">
        <w:trPr>
          <w:trHeight w:val="255"/>
        </w:trPr>
        <w:tc>
          <w:tcPr>
            <w:tcW w:w="3382" w:type="dxa"/>
            <w:tcBorders>
              <w:top w:val="nil"/>
              <w:left w:val="nil"/>
              <w:bottom w:val="single" w:sz="4" w:space="0" w:color="auto"/>
              <w:right w:val="nil"/>
            </w:tcBorders>
            <w:shd w:val="clear" w:color="auto" w:fill="auto"/>
            <w:noWrap/>
          </w:tcPr>
          <w:p w14:paraId="052FFD55" w14:textId="77777777" w:rsidR="00C24C61" w:rsidRPr="00C24C61" w:rsidRDefault="00C24C61" w:rsidP="00C24C61">
            <w:pPr>
              <w:ind w:left="227" w:hanging="227"/>
              <w:rPr>
                <w:rFonts w:ascii="Calibri" w:hAnsi="Calibri"/>
                <w:bCs/>
                <w:sz w:val="20"/>
                <w:szCs w:val="20"/>
                <w:lang w:eastAsia="en-AU"/>
              </w:rPr>
            </w:pPr>
            <w:r w:rsidRPr="00C24C61">
              <w:rPr>
                <w:rFonts w:ascii="Calibri" w:hAnsi="Calibri"/>
                <w:bCs/>
                <w:sz w:val="20"/>
                <w:szCs w:val="20"/>
                <w:lang w:eastAsia="en-AU"/>
              </w:rPr>
              <w:t>Plant and equipment</w:t>
            </w:r>
          </w:p>
        </w:tc>
        <w:tc>
          <w:tcPr>
            <w:tcW w:w="1193" w:type="dxa"/>
            <w:tcBorders>
              <w:top w:val="nil"/>
              <w:left w:val="nil"/>
              <w:bottom w:val="single" w:sz="4" w:space="0" w:color="auto"/>
              <w:right w:val="nil"/>
            </w:tcBorders>
            <w:shd w:val="clear" w:color="auto" w:fill="auto"/>
            <w:noWrap/>
          </w:tcPr>
          <w:p w14:paraId="1D1656A9"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16,404</w:t>
            </w:r>
          </w:p>
        </w:tc>
        <w:tc>
          <w:tcPr>
            <w:tcW w:w="1195" w:type="dxa"/>
            <w:tcBorders>
              <w:top w:val="nil"/>
              <w:left w:val="nil"/>
              <w:bottom w:val="single" w:sz="4" w:space="0" w:color="auto"/>
              <w:right w:val="nil"/>
            </w:tcBorders>
            <w:shd w:val="clear" w:color="auto" w:fill="auto"/>
            <w:noWrap/>
          </w:tcPr>
          <w:p w14:paraId="7D074E62"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24,442</w:t>
            </w:r>
          </w:p>
        </w:tc>
        <w:tc>
          <w:tcPr>
            <w:tcW w:w="1195" w:type="dxa"/>
            <w:tcBorders>
              <w:top w:val="nil"/>
              <w:left w:val="nil"/>
              <w:bottom w:val="single" w:sz="4" w:space="0" w:color="auto"/>
              <w:right w:val="nil"/>
            </w:tcBorders>
            <w:shd w:val="clear" w:color="auto" w:fill="auto"/>
            <w:noWrap/>
          </w:tcPr>
          <w:p w14:paraId="1C570043"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23,602</w:t>
            </w:r>
          </w:p>
        </w:tc>
        <w:tc>
          <w:tcPr>
            <w:tcW w:w="1195" w:type="dxa"/>
            <w:tcBorders>
              <w:top w:val="nil"/>
              <w:left w:val="nil"/>
              <w:bottom w:val="single" w:sz="4" w:space="0" w:color="auto"/>
              <w:right w:val="nil"/>
            </w:tcBorders>
            <w:shd w:val="clear" w:color="auto" w:fill="auto"/>
          </w:tcPr>
          <w:p w14:paraId="50B1CB27"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20,184</w:t>
            </w:r>
          </w:p>
        </w:tc>
        <w:tc>
          <w:tcPr>
            <w:tcW w:w="1196" w:type="dxa"/>
            <w:tcBorders>
              <w:top w:val="nil"/>
              <w:left w:val="nil"/>
              <w:bottom w:val="single" w:sz="4" w:space="0" w:color="auto"/>
              <w:right w:val="nil"/>
            </w:tcBorders>
            <w:shd w:val="clear" w:color="auto" w:fill="auto"/>
          </w:tcPr>
          <w:p w14:paraId="4FCB7594"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84,632</w:t>
            </w:r>
          </w:p>
        </w:tc>
      </w:tr>
      <w:tr w:rsidR="00C24C61" w:rsidRPr="00C24C61" w14:paraId="1A2B485A" w14:textId="77777777" w:rsidTr="00FD1D5C">
        <w:trPr>
          <w:trHeight w:val="255"/>
        </w:trPr>
        <w:tc>
          <w:tcPr>
            <w:tcW w:w="3382" w:type="dxa"/>
            <w:tcBorders>
              <w:top w:val="single" w:sz="4" w:space="0" w:color="auto"/>
              <w:left w:val="nil"/>
              <w:bottom w:val="single" w:sz="4" w:space="0" w:color="auto"/>
              <w:right w:val="nil"/>
            </w:tcBorders>
            <w:shd w:val="clear" w:color="auto" w:fill="auto"/>
            <w:noWrap/>
          </w:tcPr>
          <w:p w14:paraId="5043FCC6" w14:textId="77777777" w:rsidR="00C24C61" w:rsidRPr="00C24C61" w:rsidRDefault="00C24C61" w:rsidP="00C24C61">
            <w:pPr>
              <w:ind w:left="227" w:hanging="227"/>
              <w:rPr>
                <w:rFonts w:ascii="Calibri" w:hAnsi="Calibri"/>
                <w:b/>
                <w:bCs/>
                <w:sz w:val="20"/>
                <w:szCs w:val="20"/>
                <w:lang w:eastAsia="en-AU"/>
              </w:rPr>
            </w:pPr>
            <w:r w:rsidRPr="00C24C61">
              <w:rPr>
                <w:rFonts w:ascii="Calibri" w:hAnsi="Calibri"/>
                <w:b/>
                <w:bCs/>
                <w:sz w:val="20"/>
                <w:szCs w:val="20"/>
                <w:lang w:eastAsia="en-AU"/>
              </w:rPr>
              <w:t>New infrastructure and capital initiatives</w:t>
            </w:r>
          </w:p>
        </w:tc>
        <w:tc>
          <w:tcPr>
            <w:tcW w:w="1193" w:type="dxa"/>
            <w:tcBorders>
              <w:top w:val="single" w:sz="4" w:space="0" w:color="auto"/>
              <w:left w:val="nil"/>
              <w:bottom w:val="single" w:sz="4" w:space="0" w:color="auto"/>
              <w:right w:val="nil"/>
            </w:tcBorders>
            <w:shd w:val="clear" w:color="auto" w:fill="auto"/>
            <w:noWrap/>
          </w:tcPr>
          <w:p w14:paraId="5B451D02" w14:textId="77777777" w:rsidR="00C24C61" w:rsidRPr="00C24C61" w:rsidRDefault="00C24C61" w:rsidP="00C24C61">
            <w:pPr>
              <w:ind w:left="227" w:hanging="227"/>
              <w:jc w:val="right"/>
              <w:rPr>
                <w:rFonts w:ascii="Calibri" w:hAnsi="Calibri"/>
                <w:b/>
                <w:sz w:val="20"/>
                <w:szCs w:val="20"/>
                <w:lang w:eastAsia="en-AU"/>
              </w:rPr>
            </w:pPr>
            <w:r w:rsidRPr="00C24C61">
              <w:rPr>
                <w:rFonts w:ascii="Calibri" w:hAnsi="Calibri"/>
                <w:b/>
                <w:sz w:val="20"/>
                <w:szCs w:val="20"/>
                <w:lang w:eastAsia="en-AU"/>
              </w:rPr>
              <w:t>182,327</w:t>
            </w:r>
          </w:p>
        </w:tc>
        <w:tc>
          <w:tcPr>
            <w:tcW w:w="1195" w:type="dxa"/>
            <w:tcBorders>
              <w:top w:val="single" w:sz="4" w:space="0" w:color="auto"/>
              <w:left w:val="nil"/>
              <w:bottom w:val="single" w:sz="4" w:space="0" w:color="auto"/>
              <w:right w:val="nil"/>
            </w:tcBorders>
            <w:shd w:val="clear" w:color="auto" w:fill="auto"/>
            <w:noWrap/>
          </w:tcPr>
          <w:p w14:paraId="0576B0D8" w14:textId="77777777" w:rsidR="00C24C61" w:rsidRPr="00C24C61" w:rsidRDefault="00C24C61" w:rsidP="00C24C61">
            <w:pPr>
              <w:ind w:left="227" w:hanging="227"/>
              <w:jc w:val="right"/>
              <w:rPr>
                <w:rFonts w:ascii="Calibri" w:hAnsi="Calibri"/>
                <w:b/>
                <w:sz w:val="20"/>
                <w:szCs w:val="20"/>
                <w:lang w:eastAsia="en-AU"/>
              </w:rPr>
            </w:pPr>
            <w:r w:rsidRPr="00C24C61">
              <w:rPr>
                <w:rFonts w:ascii="Calibri" w:hAnsi="Calibri"/>
                <w:b/>
                <w:sz w:val="20"/>
                <w:szCs w:val="20"/>
                <w:lang w:eastAsia="en-AU"/>
              </w:rPr>
              <w:t>302,291</w:t>
            </w:r>
          </w:p>
        </w:tc>
        <w:tc>
          <w:tcPr>
            <w:tcW w:w="1195" w:type="dxa"/>
            <w:tcBorders>
              <w:top w:val="single" w:sz="4" w:space="0" w:color="auto"/>
              <w:left w:val="nil"/>
              <w:bottom w:val="single" w:sz="4" w:space="0" w:color="auto"/>
              <w:right w:val="nil"/>
            </w:tcBorders>
            <w:shd w:val="clear" w:color="auto" w:fill="auto"/>
            <w:noWrap/>
          </w:tcPr>
          <w:p w14:paraId="356AFD26" w14:textId="77777777" w:rsidR="00C24C61" w:rsidRPr="00C24C61" w:rsidRDefault="00C24C61" w:rsidP="00C24C61">
            <w:pPr>
              <w:ind w:left="227" w:hanging="227"/>
              <w:jc w:val="right"/>
              <w:rPr>
                <w:rFonts w:ascii="Calibri" w:hAnsi="Calibri"/>
                <w:b/>
                <w:sz w:val="20"/>
                <w:szCs w:val="20"/>
                <w:lang w:eastAsia="en-AU"/>
              </w:rPr>
            </w:pPr>
            <w:r w:rsidRPr="00C24C61">
              <w:rPr>
                <w:rFonts w:ascii="Calibri" w:hAnsi="Calibri"/>
                <w:b/>
                <w:sz w:val="20"/>
                <w:szCs w:val="20"/>
                <w:lang w:eastAsia="en-AU"/>
              </w:rPr>
              <w:t>180,918</w:t>
            </w:r>
          </w:p>
        </w:tc>
        <w:tc>
          <w:tcPr>
            <w:tcW w:w="1195" w:type="dxa"/>
            <w:tcBorders>
              <w:top w:val="single" w:sz="4" w:space="0" w:color="auto"/>
              <w:left w:val="nil"/>
              <w:bottom w:val="single" w:sz="4" w:space="0" w:color="auto"/>
              <w:right w:val="nil"/>
            </w:tcBorders>
            <w:shd w:val="clear" w:color="auto" w:fill="auto"/>
          </w:tcPr>
          <w:p w14:paraId="647E7ADC" w14:textId="77777777" w:rsidR="00C24C61" w:rsidRPr="00C24C61" w:rsidRDefault="00C24C61" w:rsidP="00C24C61">
            <w:pPr>
              <w:ind w:left="227" w:hanging="227"/>
              <w:jc w:val="right"/>
              <w:rPr>
                <w:rFonts w:ascii="Calibri" w:hAnsi="Calibri"/>
                <w:b/>
                <w:sz w:val="20"/>
                <w:szCs w:val="20"/>
                <w:lang w:eastAsia="en-AU"/>
              </w:rPr>
            </w:pPr>
            <w:r w:rsidRPr="00C24C61">
              <w:rPr>
                <w:rFonts w:ascii="Calibri" w:hAnsi="Calibri"/>
                <w:b/>
                <w:sz w:val="20"/>
                <w:szCs w:val="20"/>
                <w:lang w:eastAsia="en-AU"/>
              </w:rPr>
              <w:t>100,271</w:t>
            </w:r>
          </w:p>
        </w:tc>
        <w:tc>
          <w:tcPr>
            <w:tcW w:w="1196" w:type="dxa"/>
            <w:tcBorders>
              <w:top w:val="single" w:sz="4" w:space="0" w:color="auto"/>
              <w:left w:val="nil"/>
              <w:bottom w:val="single" w:sz="4" w:space="0" w:color="auto"/>
              <w:right w:val="nil"/>
            </w:tcBorders>
            <w:shd w:val="clear" w:color="auto" w:fill="auto"/>
          </w:tcPr>
          <w:p w14:paraId="633C44E1" w14:textId="77777777" w:rsidR="00C24C61" w:rsidRPr="00C24C61" w:rsidRDefault="00C24C61" w:rsidP="00C24C61">
            <w:pPr>
              <w:ind w:left="227" w:hanging="227"/>
              <w:jc w:val="right"/>
              <w:rPr>
                <w:rFonts w:ascii="Calibri" w:hAnsi="Calibri"/>
                <w:b/>
                <w:sz w:val="20"/>
                <w:szCs w:val="20"/>
                <w:lang w:eastAsia="en-AU"/>
              </w:rPr>
            </w:pPr>
            <w:r w:rsidRPr="00C24C61">
              <w:rPr>
                <w:rFonts w:ascii="Calibri" w:hAnsi="Calibri"/>
                <w:b/>
                <w:sz w:val="20"/>
                <w:szCs w:val="20"/>
                <w:lang w:eastAsia="en-AU"/>
              </w:rPr>
              <w:t>765,862</w:t>
            </w:r>
          </w:p>
        </w:tc>
      </w:tr>
      <w:tr w:rsidR="00C24C61" w:rsidRPr="00C24C61" w14:paraId="31398CB4" w14:textId="77777777" w:rsidTr="00FD1D5C">
        <w:trPr>
          <w:trHeight w:val="255"/>
        </w:trPr>
        <w:tc>
          <w:tcPr>
            <w:tcW w:w="3382" w:type="dxa"/>
            <w:tcBorders>
              <w:top w:val="single" w:sz="4" w:space="0" w:color="auto"/>
              <w:left w:val="nil"/>
              <w:bottom w:val="nil"/>
              <w:right w:val="nil"/>
            </w:tcBorders>
            <w:shd w:val="clear" w:color="auto" w:fill="auto"/>
            <w:noWrap/>
          </w:tcPr>
          <w:p w14:paraId="09836BA8" w14:textId="77777777" w:rsidR="00C24C61" w:rsidRPr="00C24C61" w:rsidRDefault="00C24C61" w:rsidP="00C24C61">
            <w:pPr>
              <w:jc w:val="right"/>
              <w:rPr>
                <w:rFonts w:ascii="Calibri" w:hAnsi="Calibri" w:cs="Calibri"/>
                <w:color w:val="FFFFFF"/>
                <w:sz w:val="12"/>
                <w:szCs w:val="20"/>
                <w:lang w:eastAsia="en-US"/>
              </w:rPr>
            </w:pPr>
            <w:r w:rsidRPr="00C24C61">
              <w:rPr>
                <w:rFonts w:ascii="Calibri" w:hAnsi="Calibri" w:cs="Calibri"/>
                <w:color w:val="FFFFFF"/>
                <w:sz w:val="12"/>
                <w:szCs w:val="20"/>
                <w:lang w:eastAsia="en-US"/>
              </w:rPr>
              <w:t xml:space="preserve"> </w:t>
            </w:r>
          </w:p>
        </w:tc>
        <w:tc>
          <w:tcPr>
            <w:tcW w:w="1193" w:type="dxa"/>
            <w:tcBorders>
              <w:top w:val="single" w:sz="4" w:space="0" w:color="auto"/>
              <w:left w:val="nil"/>
              <w:bottom w:val="nil"/>
              <w:right w:val="nil"/>
            </w:tcBorders>
            <w:shd w:val="clear" w:color="auto" w:fill="auto"/>
            <w:noWrap/>
          </w:tcPr>
          <w:p w14:paraId="11C5C009" w14:textId="77777777" w:rsidR="00C24C61" w:rsidRPr="00C24C61" w:rsidRDefault="00C24C61" w:rsidP="00C24C61">
            <w:pPr>
              <w:jc w:val="right"/>
              <w:rPr>
                <w:rFonts w:ascii="Calibri" w:hAnsi="Calibri" w:cs="Calibri"/>
                <w:color w:val="FFFFFF"/>
                <w:sz w:val="12"/>
                <w:szCs w:val="12"/>
                <w:highlight w:val="yellow"/>
                <w:lang w:eastAsia="en-US"/>
              </w:rPr>
            </w:pPr>
          </w:p>
        </w:tc>
        <w:tc>
          <w:tcPr>
            <w:tcW w:w="1195" w:type="dxa"/>
            <w:tcBorders>
              <w:top w:val="single" w:sz="4" w:space="0" w:color="auto"/>
              <w:left w:val="nil"/>
              <w:bottom w:val="nil"/>
              <w:right w:val="nil"/>
            </w:tcBorders>
            <w:shd w:val="clear" w:color="auto" w:fill="auto"/>
            <w:noWrap/>
          </w:tcPr>
          <w:p w14:paraId="6A64CEFE" w14:textId="77777777" w:rsidR="00C24C61" w:rsidRPr="00C24C61" w:rsidRDefault="00C24C61" w:rsidP="00C24C61">
            <w:pPr>
              <w:jc w:val="right"/>
              <w:rPr>
                <w:rFonts w:ascii="Calibri" w:hAnsi="Calibri" w:cs="Calibri"/>
                <w:color w:val="FFFFFF"/>
                <w:sz w:val="12"/>
                <w:szCs w:val="12"/>
                <w:highlight w:val="yellow"/>
                <w:lang w:eastAsia="en-US"/>
              </w:rPr>
            </w:pPr>
          </w:p>
        </w:tc>
        <w:tc>
          <w:tcPr>
            <w:tcW w:w="1195" w:type="dxa"/>
            <w:tcBorders>
              <w:top w:val="single" w:sz="4" w:space="0" w:color="auto"/>
              <w:left w:val="nil"/>
              <w:bottom w:val="nil"/>
              <w:right w:val="nil"/>
            </w:tcBorders>
            <w:shd w:val="clear" w:color="auto" w:fill="auto"/>
            <w:noWrap/>
          </w:tcPr>
          <w:p w14:paraId="3865C92E" w14:textId="77777777" w:rsidR="00C24C61" w:rsidRPr="00C24C61" w:rsidRDefault="00C24C61" w:rsidP="00C24C61">
            <w:pPr>
              <w:jc w:val="right"/>
              <w:rPr>
                <w:rFonts w:ascii="Calibri" w:hAnsi="Calibri" w:cs="Calibri"/>
                <w:color w:val="FFFFFF"/>
                <w:sz w:val="12"/>
                <w:szCs w:val="12"/>
                <w:highlight w:val="yellow"/>
                <w:lang w:eastAsia="en-US"/>
              </w:rPr>
            </w:pPr>
          </w:p>
        </w:tc>
        <w:tc>
          <w:tcPr>
            <w:tcW w:w="1195" w:type="dxa"/>
            <w:tcBorders>
              <w:top w:val="single" w:sz="4" w:space="0" w:color="auto"/>
              <w:left w:val="nil"/>
              <w:bottom w:val="nil"/>
              <w:right w:val="nil"/>
            </w:tcBorders>
            <w:shd w:val="clear" w:color="auto" w:fill="auto"/>
          </w:tcPr>
          <w:p w14:paraId="33E3BA8F" w14:textId="77777777" w:rsidR="00C24C61" w:rsidRPr="00C24C61" w:rsidRDefault="00C24C61" w:rsidP="00C24C61">
            <w:pPr>
              <w:jc w:val="right"/>
              <w:rPr>
                <w:rFonts w:ascii="Calibri" w:hAnsi="Calibri" w:cs="Calibri"/>
                <w:color w:val="FFFFFF"/>
                <w:sz w:val="12"/>
                <w:szCs w:val="12"/>
                <w:highlight w:val="yellow"/>
                <w:lang w:eastAsia="en-US"/>
              </w:rPr>
            </w:pPr>
          </w:p>
        </w:tc>
        <w:tc>
          <w:tcPr>
            <w:tcW w:w="1196" w:type="dxa"/>
            <w:tcBorders>
              <w:top w:val="single" w:sz="4" w:space="0" w:color="auto"/>
              <w:left w:val="nil"/>
              <w:bottom w:val="nil"/>
              <w:right w:val="nil"/>
            </w:tcBorders>
            <w:shd w:val="clear" w:color="auto" w:fill="auto"/>
          </w:tcPr>
          <w:p w14:paraId="4278D96A" w14:textId="77777777" w:rsidR="00C24C61" w:rsidRPr="00C24C61" w:rsidRDefault="00C24C61" w:rsidP="00C24C61">
            <w:pPr>
              <w:ind w:left="227" w:hanging="227"/>
              <w:jc w:val="right"/>
              <w:rPr>
                <w:rFonts w:ascii="Calibri" w:hAnsi="Calibri" w:cs="Calibri"/>
                <w:b/>
                <w:color w:val="FFFFFF"/>
                <w:sz w:val="12"/>
                <w:szCs w:val="12"/>
                <w:highlight w:val="yellow"/>
                <w:lang w:eastAsia="en-AU"/>
              </w:rPr>
            </w:pPr>
          </w:p>
        </w:tc>
      </w:tr>
      <w:bookmarkEnd w:id="17"/>
      <w:tr w:rsidR="00C24C61" w:rsidRPr="00C24C61" w14:paraId="5C16B9C5" w14:textId="77777777" w:rsidTr="00FD1D5C">
        <w:trPr>
          <w:trHeight w:val="255"/>
        </w:trPr>
        <w:tc>
          <w:tcPr>
            <w:tcW w:w="3382" w:type="dxa"/>
            <w:tcBorders>
              <w:top w:val="nil"/>
              <w:left w:val="nil"/>
              <w:bottom w:val="nil"/>
              <w:right w:val="nil"/>
            </w:tcBorders>
            <w:shd w:val="clear" w:color="auto" w:fill="auto"/>
            <w:noWrap/>
          </w:tcPr>
          <w:p w14:paraId="07D79D07" w14:textId="77777777" w:rsidR="00C24C61" w:rsidRPr="00C24C61" w:rsidRDefault="00C24C61" w:rsidP="00C24C61">
            <w:pPr>
              <w:ind w:left="227" w:hanging="227"/>
              <w:rPr>
                <w:rFonts w:ascii="Calibri" w:hAnsi="Calibri"/>
                <w:bCs/>
                <w:sz w:val="20"/>
                <w:szCs w:val="20"/>
                <w:lang w:eastAsia="en-AU"/>
              </w:rPr>
            </w:pPr>
            <w:r w:rsidRPr="00C24C61">
              <w:rPr>
                <w:rFonts w:ascii="Calibri" w:hAnsi="Calibri"/>
                <w:bCs/>
                <w:sz w:val="20"/>
                <w:szCs w:val="20"/>
                <w:lang w:eastAsia="en-AU"/>
              </w:rPr>
              <w:t>Capital associated with expense initiatives</w:t>
            </w:r>
          </w:p>
        </w:tc>
        <w:tc>
          <w:tcPr>
            <w:tcW w:w="1193" w:type="dxa"/>
            <w:tcBorders>
              <w:top w:val="nil"/>
              <w:left w:val="nil"/>
              <w:bottom w:val="nil"/>
              <w:right w:val="nil"/>
            </w:tcBorders>
            <w:shd w:val="clear" w:color="auto" w:fill="auto"/>
            <w:noWrap/>
          </w:tcPr>
          <w:p w14:paraId="75AFBB87"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8,945</w:t>
            </w:r>
          </w:p>
        </w:tc>
        <w:tc>
          <w:tcPr>
            <w:tcW w:w="1195" w:type="dxa"/>
            <w:tcBorders>
              <w:top w:val="nil"/>
              <w:left w:val="nil"/>
              <w:bottom w:val="nil"/>
              <w:right w:val="nil"/>
            </w:tcBorders>
            <w:shd w:val="clear" w:color="auto" w:fill="auto"/>
            <w:noWrap/>
          </w:tcPr>
          <w:p w14:paraId="71BA2DC4"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9,549</w:t>
            </w:r>
          </w:p>
        </w:tc>
        <w:tc>
          <w:tcPr>
            <w:tcW w:w="1195" w:type="dxa"/>
            <w:tcBorders>
              <w:top w:val="nil"/>
              <w:left w:val="nil"/>
              <w:bottom w:val="nil"/>
              <w:right w:val="nil"/>
            </w:tcBorders>
            <w:shd w:val="clear" w:color="auto" w:fill="auto"/>
            <w:noWrap/>
          </w:tcPr>
          <w:p w14:paraId="0E7A9EA2"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1,634</w:t>
            </w:r>
          </w:p>
        </w:tc>
        <w:tc>
          <w:tcPr>
            <w:tcW w:w="1195" w:type="dxa"/>
            <w:tcBorders>
              <w:top w:val="nil"/>
              <w:left w:val="nil"/>
              <w:bottom w:val="nil"/>
              <w:right w:val="nil"/>
            </w:tcBorders>
            <w:shd w:val="clear" w:color="auto" w:fill="auto"/>
          </w:tcPr>
          <w:p w14:paraId="11246C05"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1,254</w:t>
            </w:r>
          </w:p>
        </w:tc>
        <w:tc>
          <w:tcPr>
            <w:tcW w:w="1196" w:type="dxa"/>
            <w:tcBorders>
              <w:top w:val="nil"/>
              <w:left w:val="nil"/>
              <w:bottom w:val="nil"/>
              <w:right w:val="nil"/>
            </w:tcBorders>
            <w:shd w:val="clear" w:color="auto" w:fill="auto"/>
          </w:tcPr>
          <w:p w14:paraId="3D50B403"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21,382</w:t>
            </w:r>
          </w:p>
        </w:tc>
      </w:tr>
      <w:tr w:rsidR="00C24C61" w:rsidRPr="00C24C61" w14:paraId="1D40AF3A" w14:textId="77777777" w:rsidTr="00FD1D5C">
        <w:trPr>
          <w:trHeight w:val="255"/>
        </w:trPr>
        <w:tc>
          <w:tcPr>
            <w:tcW w:w="3382" w:type="dxa"/>
            <w:tcBorders>
              <w:top w:val="single" w:sz="4" w:space="0" w:color="auto"/>
              <w:left w:val="nil"/>
              <w:bottom w:val="single" w:sz="4" w:space="0" w:color="auto"/>
              <w:right w:val="nil"/>
            </w:tcBorders>
            <w:shd w:val="clear" w:color="auto" w:fill="auto"/>
            <w:noWrap/>
          </w:tcPr>
          <w:p w14:paraId="6EE19CDF" w14:textId="77777777" w:rsidR="00C24C61" w:rsidRPr="00C24C61" w:rsidRDefault="00C24C61" w:rsidP="00C24C61">
            <w:pPr>
              <w:ind w:left="227" w:hanging="227"/>
              <w:rPr>
                <w:rFonts w:ascii="Calibri" w:hAnsi="Calibri"/>
                <w:b/>
                <w:bCs/>
                <w:sz w:val="20"/>
                <w:szCs w:val="20"/>
                <w:lang w:eastAsia="en-AU"/>
              </w:rPr>
            </w:pPr>
            <w:r w:rsidRPr="00C24C61">
              <w:rPr>
                <w:rFonts w:ascii="Calibri" w:hAnsi="Calibri"/>
                <w:b/>
                <w:bCs/>
                <w:sz w:val="20"/>
                <w:szCs w:val="20"/>
                <w:lang w:eastAsia="en-AU"/>
              </w:rPr>
              <w:t>Total new infrastructure and capital initiatives</w:t>
            </w:r>
          </w:p>
        </w:tc>
        <w:tc>
          <w:tcPr>
            <w:tcW w:w="1193" w:type="dxa"/>
            <w:tcBorders>
              <w:top w:val="single" w:sz="4" w:space="0" w:color="auto"/>
              <w:left w:val="nil"/>
              <w:bottom w:val="single" w:sz="4" w:space="0" w:color="auto"/>
              <w:right w:val="nil"/>
            </w:tcBorders>
            <w:shd w:val="clear" w:color="auto" w:fill="auto"/>
            <w:noWrap/>
          </w:tcPr>
          <w:p w14:paraId="604BFCD6" w14:textId="77777777" w:rsidR="00C24C61" w:rsidRPr="00C24C61" w:rsidRDefault="00C24C61" w:rsidP="00C24C61">
            <w:pPr>
              <w:ind w:left="227" w:hanging="227"/>
              <w:jc w:val="right"/>
              <w:rPr>
                <w:rFonts w:ascii="Calibri" w:hAnsi="Calibri"/>
                <w:b/>
                <w:sz w:val="20"/>
                <w:szCs w:val="20"/>
                <w:lang w:eastAsia="en-AU"/>
              </w:rPr>
            </w:pPr>
            <w:r w:rsidRPr="00C24C61">
              <w:rPr>
                <w:rFonts w:ascii="Calibri" w:hAnsi="Calibri"/>
                <w:b/>
                <w:sz w:val="20"/>
                <w:szCs w:val="20"/>
                <w:lang w:eastAsia="en-AU"/>
              </w:rPr>
              <w:t>191,327</w:t>
            </w:r>
          </w:p>
        </w:tc>
        <w:tc>
          <w:tcPr>
            <w:tcW w:w="1195" w:type="dxa"/>
            <w:tcBorders>
              <w:top w:val="single" w:sz="4" w:space="0" w:color="auto"/>
              <w:left w:val="nil"/>
              <w:bottom w:val="single" w:sz="4" w:space="0" w:color="auto"/>
              <w:right w:val="nil"/>
            </w:tcBorders>
            <w:shd w:val="clear" w:color="auto" w:fill="auto"/>
            <w:noWrap/>
          </w:tcPr>
          <w:p w14:paraId="5E2F9840" w14:textId="77777777" w:rsidR="00C24C61" w:rsidRPr="00C24C61" w:rsidRDefault="00C24C61" w:rsidP="00C24C61">
            <w:pPr>
              <w:ind w:left="227" w:hanging="227"/>
              <w:jc w:val="right"/>
              <w:rPr>
                <w:rFonts w:ascii="Calibri" w:hAnsi="Calibri"/>
                <w:b/>
                <w:sz w:val="20"/>
                <w:szCs w:val="20"/>
                <w:lang w:eastAsia="en-AU"/>
              </w:rPr>
            </w:pPr>
            <w:r w:rsidRPr="00C24C61">
              <w:rPr>
                <w:rFonts w:ascii="Calibri" w:hAnsi="Calibri"/>
                <w:b/>
                <w:sz w:val="20"/>
                <w:szCs w:val="20"/>
                <w:lang w:eastAsia="en-AU"/>
              </w:rPr>
              <w:t>311,840</w:t>
            </w:r>
          </w:p>
        </w:tc>
        <w:tc>
          <w:tcPr>
            <w:tcW w:w="1195" w:type="dxa"/>
            <w:tcBorders>
              <w:top w:val="single" w:sz="4" w:space="0" w:color="auto"/>
              <w:left w:val="nil"/>
              <w:bottom w:val="single" w:sz="4" w:space="0" w:color="auto"/>
              <w:right w:val="nil"/>
            </w:tcBorders>
            <w:shd w:val="clear" w:color="auto" w:fill="auto"/>
            <w:noWrap/>
          </w:tcPr>
          <w:p w14:paraId="62F0A86A" w14:textId="77777777" w:rsidR="00C24C61" w:rsidRPr="00C24C61" w:rsidRDefault="00C24C61" w:rsidP="00C24C61">
            <w:pPr>
              <w:ind w:left="227" w:hanging="227"/>
              <w:jc w:val="right"/>
              <w:rPr>
                <w:rFonts w:ascii="Calibri" w:hAnsi="Calibri"/>
                <w:b/>
                <w:sz w:val="20"/>
                <w:szCs w:val="20"/>
                <w:lang w:eastAsia="en-AU"/>
              </w:rPr>
            </w:pPr>
            <w:r w:rsidRPr="00C24C61">
              <w:rPr>
                <w:rFonts w:ascii="Calibri" w:hAnsi="Calibri"/>
                <w:b/>
                <w:sz w:val="20"/>
                <w:szCs w:val="20"/>
                <w:lang w:eastAsia="en-AU"/>
              </w:rPr>
              <w:t>182,552</w:t>
            </w:r>
          </w:p>
        </w:tc>
        <w:tc>
          <w:tcPr>
            <w:tcW w:w="1195" w:type="dxa"/>
            <w:tcBorders>
              <w:top w:val="single" w:sz="4" w:space="0" w:color="auto"/>
              <w:left w:val="nil"/>
              <w:bottom w:val="single" w:sz="4" w:space="0" w:color="auto"/>
              <w:right w:val="nil"/>
            </w:tcBorders>
            <w:shd w:val="clear" w:color="auto" w:fill="auto"/>
          </w:tcPr>
          <w:p w14:paraId="4579CA31" w14:textId="77777777" w:rsidR="00C24C61" w:rsidRPr="00C24C61" w:rsidRDefault="00C24C61" w:rsidP="00C24C61">
            <w:pPr>
              <w:ind w:left="227" w:hanging="227"/>
              <w:jc w:val="right"/>
              <w:rPr>
                <w:rFonts w:ascii="Calibri" w:hAnsi="Calibri"/>
                <w:b/>
                <w:sz w:val="20"/>
                <w:szCs w:val="20"/>
                <w:lang w:eastAsia="en-AU"/>
              </w:rPr>
            </w:pPr>
            <w:r w:rsidRPr="00C24C61">
              <w:rPr>
                <w:rFonts w:ascii="Calibri" w:hAnsi="Calibri"/>
                <w:b/>
                <w:sz w:val="20"/>
                <w:szCs w:val="20"/>
                <w:lang w:eastAsia="en-AU"/>
              </w:rPr>
              <w:t>101,525</w:t>
            </w:r>
          </w:p>
        </w:tc>
        <w:tc>
          <w:tcPr>
            <w:tcW w:w="1196" w:type="dxa"/>
            <w:tcBorders>
              <w:top w:val="single" w:sz="4" w:space="0" w:color="auto"/>
              <w:left w:val="nil"/>
              <w:bottom w:val="single" w:sz="4" w:space="0" w:color="auto"/>
              <w:right w:val="nil"/>
            </w:tcBorders>
            <w:shd w:val="clear" w:color="auto" w:fill="auto"/>
          </w:tcPr>
          <w:p w14:paraId="6C4E91EA" w14:textId="77777777" w:rsidR="00C24C61" w:rsidRPr="00C24C61" w:rsidRDefault="00C24C61" w:rsidP="00C24C61">
            <w:pPr>
              <w:ind w:left="227" w:hanging="227"/>
              <w:jc w:val="right"/>
              <w:rPr>
                <w:rFonts w:ascii="Calibri" w:hAnsi="Calibri"/>
                <w:b/>
                <w:sz w:val="20"/>
                <w:szCs w:val="20"/>
                <w:lang w:eastAsia="en-AU"/>
              </w:rPr>
            </w:pPr>
            <w:r w:rsidRPr="00C24C61">
              <w:rPr>
                <w:rFonts w:ascii="Calibri" w:hAnsi="Calibri"/>
                <w:b/>
                <w:sz w:val="20"/>
                <w:szCs w:val="20"/>
                <w:lang w:eastAsia="en-AU"/>
              </w:rPr>
              <w:t>787,244</w:t>
            </w:r>
          </w:p>
        </w:tc>
      </w:tr>
      <w:tr w:rsidR="00C24C61" w:rsidRPr="00C24C61" w14:paraId="561469A5" w14:textId="77777777" w:rsidTr="00FD1D5C">
        <w:trPr>
          <w:trHeight w:val="255"/>
        </w:trPr>
        <w:tc>
          <w:tcPr>
            <w:tcW w:w="3382" w:type="dxa"/>
            <w:tcBorders>
              <w:top w:val="single" w:sz="4" w:space="0" w:color="auto"/>
              <w:left w:val="nil"/>
              <w:right w:val="nil"/>
            </w:tcBorders>
            <w:shd w:val="clear" w:color="auto" w:fill="auto"/>
            <w:noWrap/>
          </w:tcPr>
          <w:p w14:paraId="558F093A" w14:textId="77777777" w:rsidR="00C24C61" w:rsidRPr="00C24C61" w:rsidRDefault="00C24C61" w:rsidP="00C24C61">
            <w:pPr>
              <w:jc w:val="right"/>
              <w:rPr>
                <w:rFonts w:ascii="Calibri" w:hAnsi="Calibri" w:cs="Calibri"/>
                <w:color w:val="FFFFFF"/>
                <w:sz w:val="12"/>
                <w:szCs w:val="20"/>
                <w:lang w:eastAsia="en-US"/>
              </w:rPr>
            </w:pPr>
            <w:r w:rsidRPr="00C24C61">
              <w:rPr>
                <w:rFonts w:ascii="Calibri" w:hAnsi="Calibri" w:cs="Calibri"/>
                <w:color w:val="FFFFFF"/>
                <w:sz w:val="12"/>
                <w:szCs w:val="20"/>
                <w:lang w:eastAsia="en-US"/>
              </w:rPr>
              <w:t xml:space="preserve"> </w:t>
            </w:r>
          </w:p>
        </w:tc>
        <w:tc>
          <w:tcPr>
            <w:tcW w:w="1193" w:type="dxa"/>
            <w:tcBorders>
              <w:top w:val="single" w:sz="4" w:space="0" w:color="auto"/>
              <w:left w:val="nil"/>
              <w:right w:val="nil"/>
            </w:tcBorders>
            <w:shd w:val="clear" w:color="auto" w:fill="auto"/>
            <w:noWrap/>
          </w:tcPr>
          <w:p w14:paraId="6B61E902" w14:textId="77777777" w:rsidR="00C24C61" w:rsidRPr="00C24C61" w:rsidRDefault="00C24C61" w:rsidP="00C24C61">
            <w:pPr>
              <w:jc w:val="right"/>
              <w:rPr>
                <w:rFonts w:ascii="Calibri" w:hAnsi="Calibri" w:cs="Calibri"/>
                <w:color w:val="FFFFFF"/>
                <w:sz w:val="12"/>
                <w:szCs w:val="20"/>
                <w:highlight w:val="yellow"/>
                <w:lang w:eastAsia="en-US"/>
              </w:rPr>
            </w:pPr>
          </w:p>
        </w:tc>
        <w:tc>
          <w:tcPr>
            <w:tcW w:w="1195" w:type="dxa"/>
            <w:tcBorders>
              <w:top w:val="single" w:sz="4" w:space="0" w:color="auto"/>
              <w:left w:val="nil"/>
              <w:right w:val="nil"/>
            </w:tcBorders>
            <w:shd w:val="clear" w:color="auto" w:fill="auto"/>
            <w:noWrap/>
          </w:tcPr>
          <w:p w14:paraId="2634E3FE" w14:textId="77777777" w:rsidR="00C24C61" w:rsidRPr="00C24C61" w:rsidRDefault="00C24C61" w:rsidP="00C24C61">
            <w:pPr>
              <w:jc w:val="right"/>
              <w:rPr>
                <w:rFonts w:ascii="Calibri" w:hAnsi="Calibri" w:cs="Calibri"/>
                <w:color w:val="FFFFFF"/>
                <w:sz w:val="12"/>
                <w:szCs w:val="20"/>
                <w:highlight w:val="yellow"/>
                <w:lang w:eastAsia="en-US"/>
              </w:rPr>
            </w:pPr>
          </w:p>
        </w:tc>
        <w:tc>
          <w:tcPr>
            <w:tcW w:w="1195" w:type="dxa"/>
            <w:tcBorders>
              <w:top w:val="single" w:sz="4" w:space="0" w:color="auto"/>
              <w:left w:val="nil"/>
              <w:right w:val="nil"/>
            </w:tcBorders>
            <w:shd w:val="clear" w:color="auto" w:fill="auto"/>
            <w:noWrap/>
          </w:tcPr>
          <w:p w14:paraId="561B6143" w14:textId="77777777" w:rsidR="00C24C61" w:rsidRPr="00C24C61" w:rsidRDefault="00C24C61" w:rsidP="00C24C61">
            <w:pPr>
              <w:jc w:val="right"/>
              <w:rPr>
                <w:rFonts w:ascii="Calibri" w:hAnsi="Calibri" w:cs="Calibri"/>
                <w:color w:val="FFFFFF"/>
                <w:sz w:val="12"/>
                <w:szCs w:val="20"/>
                <w:highlight w:val="yellow"/>
                <w:lang w:eastAsia="en-US"/>
              </w:rPr>
            </w:pPr>
          </w:p>
        </w:tc>
        <w:tc>
          <w:tcPr>
            <w:tcW w:w="1195" w:type="dxa"/>
            <w:tcBorders>
              <w:top w:val="single" w:sz="4" w:space="0" w:color="auto"/>
              <w:left w:val="nil"/>
              <w:right w:val="nil"/>
            </w:tcBorders>
          </w:tcPr>
          <w:p w14:paraId="736F26F2" w14:textId="77777777" w:rsidR="00C24C61" w:rsidRPr="00C24C61" w:rsidRDefault="00C24C61" w:rsidP="00C24C61">
            <w:pPr>
              <w:jc w:val="right"/>
              <w:rPr>
                <w:rFonts w:ascii="Calibri" w:hAnsi="Calibri" w:cs="Calibri"/>
                <w:color w:val="FFFFFF"/>
                <w:sz w:val="12"/>
                <w:szCs w:val="20"/>
                <w:highlight w:val="yellow"/>
                <w:lang w:eastAsia="en-US"/>
              </w:rPr>
            </w:pPr>
          </w:p>
        </w:tc>
        <w:tc>
          <w:tcPr>
            <w:tcW w:w="1196" w:type="dxa"/>
            <w:tcBorders>
              <w:top w:val="single" w:sz="4" w:space="0" w:color="auto"/>
              <w:left w:val="nil"/>
              <w:right w:val="nil"/>
            </w:tcBorders>
          </w:tcPr>
          <w:p w14:paraId="0A36096E" w14:textId="77777777" w:rsidR="00C24C61" w:rsidRPr="00C24C61" w:rsidRDefault="00C24C61" w:rsidP="00C24C61">
            <w:pPr>
              <w:ind w:left="227" w:hanging="227"/>
              <w:jc w:val="right"/>
              <w:rPr>
                <w:rFonts w:ascii="Calibri" w:hAnsi="Calibri" w:cs="Calibri"/>
                <w:b/>
                <w:color w:val="FFFFFF"/>
                <w:sz w:val="12"/>
                <w:szCs w:val="20"/>
                <w:highlight w:val="yellow"/>
                <w:lang w:eastAsia="en-AU"/>
              </w:rPr>
            </w:pPr>
          </w:p>
        </w:tc>
      </w:tr>
      <w:tr w:rsidR="00C24C61" w:rsidRPr="00C24C61" w14:paraId="28BB05BE" w14:textId="77777777" w:rsidTr="00FD1D5C">
        <w:trPr>
          <w:trHeight w:val="255"/>
        </w:trPr>
        <w:tc>
          <w:tcPr>
            <w:tcW w:w="3382" w:type="dxa"/>
            <w:tcBorders>
              <w:left w:val="nil"/>
              <w:bottom w:val="nil"/>
              <w:right w:val="nil"/>
            </w:tcBorders>
            <w:shd w:val="clear" w:color="auto" w:fill="auto"/>
            <w:noWrap/>
          </w:tcPr>
          <w:p w14:paraId="6825D0FB" w14:textId="77777777" w:rsidR="00C24C61" w:rsidRPr="00C24C61" w:rsidRDefault="00C24C61" w:rsidP="00C24C61">
            <w:pPr>
              <w:ind w:left="227" w:hanging="227"/>
              <w:rPr>
                <w:rFonts w:ascii="Calibri" w:hAnsi="Calibri"/>
                <w:b/>
                <w:bCs/>
                <w:i/>
                <w:sz w:val="20"/>
                <w:szCs w:val="20"/>
                <w:lang w:eastAsia="en-AU"/>
              </w:rPr>
            </w:pPr>
            <w:r w:rsidRPr="00C24C61">
              <w:rPr>
                <w:rFonts w:ascii="Calibri" w:hAnsi="Calibri"/>
                <w:b/>
                <w:bCs/>
                <w:i/>
                <w:sz w:val="20"/>
                <w:szCs w:val="20"/>
                <w:lang w:eastAsia="en-AU"/>
              </w:rPr>
              <w:t>Associated expenses (new capital works)</w:t>
            </w:r>
          </w:p>
        </w:tc>
        <w:tc>
          <w:tcPr>
            <w:tcW w:w="1193" w:type="dxa"/>
            <w:tcBorders>
              <w:left w:val="nil"/>
              <w:bottom w:val="nil"/>
              <w:right w:val="nil"/>
            </w:tcBorders>
            <w:shd w:val="clear" w:color="auto" w:fill="auto"/>
            <w:noWrap/>
          </w:tcPr>
          <w:p w14:paraId="0DCF188F"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27,108</w:t>
            </w:r>
          </w:p>
        </w:tc>
        <w:tc>
          <w:tcPr>
            <w:tcW w:w="1195" w:type="dxa"/>
            <w:tcBorders>
              <w:left w:val="nil"/>
              <w:bottom w:val="nil"/>
              <w:right w:val="nil"/>
            </w:tcBorders>
            <w:shd w:val="clear" w:color="auto" w:fill="auto"/>
            <w:noWrap/>
          </w:tcPr>
          <w:p w14:paraId="5CEDE496"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41,590</w:t>
            </w:r>
          </w:p>
        </w:tc>
        <w:tc>
          <w:tcPr>
            <w:tcW w:w="1195" w:type="dxa"/>
            <w:tcBorders>
              <w:left w:val="nil"/>
              <w:bottom w:val="nil"/>
              <w:right w:val="nil"/>
            </w:tcBorders>
            <w:shd w:val="clear" w:color="auto" w:fill="auto"/>
            <w:noWrap/>
          </w:tcPr>
          <w:p w14:paraId="2D674900"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51,972</w:t>
            </w:r>
          </w:p>
        </w:tc>
        <w:tc>
          <w:tcPr>
            <w:tcW w:w="1195" w:type="dxa"/>
            <w:tcBorders>
              <w:left w:val="nil"/>
              <w:bottom w:val="nil"/>
              <w:right w:val="nil"/>
            </w:tcBorders>
          </w:tcPr>
          <w:p w14:paraId="6E685E2A"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49,846</w:t>
            </w:r>
          </w:p>
        </w:tc>
        <w:tc>
          <w:tcPr>
            <w:tcW w:w="1196" w:type="dxa"/>
            <w:tcBorders>
              <w:left w:val="nil"/>
              <w:bottom w:val="nil"/>
              <w:right w:val="nil"/>
            </w:tcBorders>
          </w:tcPr>
          <w:p w14:paraId="34F150F1"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170,573</w:t>
            </w:r>
          </w:p>
        </w:tc>
      </w:tr>
      <w:tr w:rsidR="00C24C61" w:rsidRPr="00C24C61" w14:paraId="2B36C84D" w14:textId="77777777" w:rsidTr="00FD1D5C">
        <w:trPr>
          <w:trHeight w:val="255"/>
        </w:trPr>
        <w:tc>
          <w:tcPr>
            <w:tcW w:w="3382" w:type="dxa"/>
            <w:tcBorders>
              <w:left w:val="nil"/>
              <w:bottom w:val="nil"/>
              <w:right w:val="nil"/>
            </w:tcBorders>
            <w:shd w:val="clear" w:color="auto" w:fill="auto"/>
            <w:noWrap/>
          </w:tcPr>
          <w:p w14:paraId="29D81BD9" w14:textId="77777777" w:rsidR="00C24C61" w:rsidRPr="00C24C61" w:rsidRDefault="00C24C61" w:rsidP="00C24C61">
            <w:pPr>
              <w:ind w:left="227" w:hanging="227"/>
              <w:rPr>
                <w:rFonts w:ascii="Calibri" w:hAnsi="Calibri"/>
                <w:b/>
                <w:bCs/>
                <w:i/>
                <w:sz w:val="20"/>
                <w:szCs w:val="20"/>
                <w:lang w:eastAsia="en-AU"/>
              </w:rPr>
            </w:pPr>
            <w:r w:rsidRPr="00C24C61">
              <w:rPr>
                <w:rFonts w:ascii="Calibri" w:hAnsi="Calibri"/>
                <w:b/>
                <w:bCs/>
                <w:i/>
                <w:sz w:val="20"/>
                <w:szCs w:val="20"/>
                <w:lang w:eastAsia="en-AU"/>
              </w:rPr>
              <w:t>Associated revenue (new capital works)</w:t>
            </w:r>
          </w:p>
        </w:tc>
        <w:tc>
          <w:tcPr>
            <w:tcW w:w="1193" w:type="dxa"/>
            <w:tcBorders>
              <w:left w:val="nil"/>
              <w:bottom w:val="nil"/>
              <w:right w:val="nil"/>
            </w:tcBorders>
            <w:shd w:val="clear" w:color="auto" w:fill="auto"/>
            <w:noWrap/>
          </w:tcPr>
          <w:p w14:paraId="62B114CB"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415</w:t>
            </w:r>
          </w:p>
        </w:tc>
        <w:tc>
          <w:tcPr>
            <w:tcW w:w="1195" w:type="dxa"/>
            <w:tcBorders>
              <w:left w:val="nil"/>
              <w:bottom w:val="nil"/>
              <w:right w:val="nil"/>
            </w:tcBorders>
            <w:shd w:val="clear" w:color="auto" w:fill="auto"/>
            <w:noWrap/>
          </w:tcPr>
          <w:p w14:paraId="3E779C18"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635</w:t>
            </w:r>
          </w:p>
        </w:tc>
        <w:tc>
          <w:tcPr>
            <w:tcW w:w="1195" w:type="dxa"/>
            <w:tcBorders>
              <w:left w:val="nil"/>
              <w:bottom w:val="nil"/>
              <w:right w:val="nil"/>
            </w:tcBorders>
            <w:shd w:val="clear" w:color="auto" w:fill="auto"/>
            <w:noWrap/>
          </w:tcPr>
          <w:p w14:paraId="0DAC1139"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651</w:t>
            </w:r>
          </w:p>
        </w:tc>
        <w:tc>
          <w:tcPr>
            <w:tcW w:w="1195" w:type="dxa"/>
            <w:tcBorders>
              <w:left w:val="nil"/>
              <w:bottom w:val="nil"/>
              <w:right w:val="nil"/>
            </w:tcBorders>
          </w:tcPr>
          <w:p w14:paraId="1D1D7CA5"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667</w:t>
            </w:r>
          </w:p>
        </w:tc>
        <w:tc>
          <w:tcPr>
            <w:tcW w:w="1196" w:type="dxa"/>
            <w:tcBorders>
              <w:left w:val="nil"/>
              <w:bottom w:val="nil"/>
              <w:right w:val="nil"/>
            </w:tcBorders>
          </w:tcPr>
          <w:p w14:paraId="0F437D9E"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2,368</w:t>
            </w:r>
          </w:p>
        </w:tc>
      </w:tr>
      <w:tr w:rsidR="00C24C61" w:rsidRPr="00C24C61" w14:paraId="7571AD65" w14:textId="77777777" w:rsidTr="00FD1D5C">
        <w:trPr>
          <w:trHeight w:val="255"/>
        </w:trPr>
        <w:tc>
          <w:tcPr>
            <w:tcW w:w="3382" w:type="dxa"/>
            <w:tcBorders>
              <w:top w:val="nil"/>
              <w:left w:val="nil"/>
              <w:bottom w:val="nil"/>
              <w:right w:val="nil"/>
            </w:tcBorders>
            <w:shd w:val="clear" w:color="auto" w:fill="auto"/>
            <w:noWrap/>
          </w:tcPr>
          <w:p w14:paraId="6FAF0AC3" w14:textId="77777777" w:rsidR="00C24C61" w:rsidRPr="00C24C61" w:rsidRDefault="00C24C61" w:rsidP="00C24C61">
            <w:pPr>
              <w:ind w:left="227" w:hanging="227"/>
              <w:rPr>
                <w:rFonts w:ascii="Calibri" w:hAnsi="Calibri"/>
                <w:b/>
                <w:bCs/>
                <w:i/>
                <w:sz w:val="20"/>
                <w:szCs w:val="20"/>
                <w:lang w:eastAsia="en-AU"/>
              </w:rPr>
            </w:pPr>
            <w:r w:rsidRPr="00C24C61">
              <w:rPr>
                <w:rFonts w:ascii="Calibri" w:hAnsi="Calibri"/>
                <w:b/>
                <w:bCs/>
                <w:i/>
                <w:sz w:val="20"/>
                <w:szCs w:val="20"/>
                <w:lang w:eastAsia="en-AU"/>
              </w:rPr>
              <w:t>Depreciation</w:t>
            </w:r>
          </w:p>
        </w:tc>
        <w:tc>
          <w:tcPr>
            <w:tcW w:w="1193" w:type="dxa"/>
            <w:tcBorders>
              <w:top w:val="nil"/>
              <w:left w:val="nil"/>
              <w:bottom w:val="nil"/>
              <w:right w:val="nil"/>
            </w:tcBorders>
            <w:shd w:val="clear" w:color="auto" w:fill="auto"/>
            <w:noWrap/>
          </w:tcPr>
          <w:p w14:paraId="293CBE0C"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6,262</w:t>
            </w:r>
          </w:p>
        </w:tc>
        <w:tc>
          <w:tcPr>
            <w:tcW w:w="1195" w:type="dxa"/>
            <w:tcBorders>
              <w:top w:val="nil"/>
              <w:left w:val="nil"/>
              <w:bottom w:val="nil"/>
              <w:right w:val="nil"/>
            </w:tcBorders>
            <w:shd w:val="clear" w:color="auto" w:fill="auto"/>
            <w:noWrap/>
          </w:tcPr>
          <w:p w14:paraId="1A5398B8"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7,671</w:t>
            </w:r>
          </w:p>
        </w:tc>
        <w:tc>
          <w:tcPr>
            <w:tcW w:w="1195" w:type="dxa"/>
            <w:tcBorders>
              <w:top w:val="nil"/>
              <w:left w:val="nil"/>
              <w:bottom w:val="nil"/>
              <w:right w:val="nil"/>
            </w:tcBorders>
            <w:shd w:val="clear" w:color="auto" w:fill="auto"/>
            <w:noWrap/>
          </w:tcPr>
          <w:p w14:paraId="141693D4"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21,241</w:t>
            </w:r>
          </w:p>
        </w:tc>
        <w:tc>
          <w:tcPr>
            <w:tcW w:w="1195" w:type="dxa"/>
            <w:tcBorders>
              <w:top w:val="nil"/>
              <w:left w:val="nil"/>
              <w:bottom w:val="nil"/>
              <w:right w:val="nil"/>
            </w:tcBorders>
          </w:tcPr>
          <w:p w14:paraId="4131DC58"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32,689</w:t>
            </w:r>
          </w:p>
        </w:tc>
        <w:tc>
          <w:tcPr>
            <w:tcW w:w="1196" w:type="dxa"/>
            <w:tcBorders>
              <w:top w:val="nil"/>
              <w:left w:val="nil"/>
              <w:bottom w:val="nil"/>
              <w:right w:val="nil"/>
            </w:tcBorders>
          </w:tcPr>
          <w:p w14:paraId="30DEFBE1"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67,863</w:t>
            </w:r>
          </w:p>
        </w:tc>
      </w:tr>
      <w:tr w:rsidR="00C24C61" w:rsidRPr="00C24C61" w14:paraId="15D23F0C" w14:textId="77777777" w:rsidTr="00FD1D5C">
        <w:trPr>
          <w:trHeight w:val="255"/>
        </w:trPr>
        <w:tc>
          <w:tcPr>
            <w:tcW w:w="3382" w:type="dxa"/>
            <w:tcBorders>
              <w:top w:val="single" w:sz="4" w:space="0" w:color="auto"/>
              <w:left w:val="nil"/>
              <w:bottom w:val="single" w:sz="4" w:space="0" w:color="auto"/>
              <w:right w:val="nil"/>
            </w:tcBorders>
            <w:shd w:val="clear" w:color="auto" w:fill="auto"/>
            <w:noWrap/>
          </w:tcPr>
          <w:p w14:paraId="2515E08C" w14:textId="77777777" w:rsidR="00C24C61" w:rsidRPr="00C24C61" w:rsidRDefault="00C24C61" w:rsidP="00C24C61">
            <w:pPr>
              <w:ind w:left="227" w:hanging="227"/>
              <w:rPr>
                <w:rFonts w:ascii="Calibri" w:hAnsi="Calibri"/>
                <w:b/>
                <w:bCs/>
                <w:sz w:val="20"/>
                <w:szCs w:val="20"/>
                <w:lang w:eastAsia="en-AU"/>
              </w:rPr>
            </w:pPr>
            <w:r w:rsidRPr="00C24C61">
              <w:rPr>
                <w:rFonts w:ascii="Calibri" w:hAnsi="Calibri"/>
                <w:b/>
                <w:bCs/>
                <w:sz w:val="20"/>
                <w:szCs w:val="20"/>
                <w:lang w:eastAsia="en-AU"/>
              </w:rPr>
              <w:t xml:space="preserve">Total operating impact </w:t>
            </w:r>
          </w:p>
        </w:tc>
        <w:tc>
          <w:tcPr>
            <w:tcW w:w="1193" w:type="dxa"/>
            <w:tcBorders>
              <w:top w:val="single" w:sz="4" w:space="0" w:color="auto"/>
              <w:left w:val="nil"/>
              <w:bottom w:val="single" w:sz="4" w:space="0" w:color="auto"/>
              <w:right w:val="nil"/>
            </w:tcBorders>
            <w:shd w:val="clear" w:color="auto" w:fill="auto"/>
            <w:noWrap/>
          </w:tcPr>
          <w:p w14:paraId="53542137" w14:textId="77777777" w:rsidR="00C24C61" w:rsidRPr="00C24C61" w:rsidRDefault="00C24C61" w:rsidP="00C24C61">
            <w:pPr>
              <w:ind w:left="227" w:hanging="227"/>
              <w:jc w:val="right"/>
              <w:rPr>
                <w:rFonts w:ascii="Calibri" w:hAnsi="Calibri"/>
                <w:b/>
                <w:sz w:val="20"/>
                <w:szCs w:val="20"/>
                <w:lang w:eastAsia="en-AU"/>
              </w:rPr>
            </w:pPr>
            <w:r w:rsidRPr="00C24C61">
              <w:rPr>
                <w:rFonts w:ascii="Calibri" w:hAnsi="Calibri"/>
                <w:b/>
                <w:sz w:val="20"/>
                <w:szCs w:val="20"/>
                <w:lang w:eastAsia="en-AU"/>
              </w:rPr>
              <w:t>33,842</w:t>
            </w:r>
          </w:p>
        </w:tc>
        <w:tc>
          <w:tcPr>
            <w:tcW w:w="1195" w:type="dxa"/>
            <w:tcBorders>
              <w:top w:val="single" w:sz="4" w:space="0" w:color="auto"/>
              <w:left w:val="nil"/>
              <w:bottom w:val="single" w:sz="4" w:space="0" w:color="auto"/>
              <w:right w:val="nil"/>
            </w:tcBorders>
            <w:shd w:val="clear" w:color="auto" w:fill="auto"/>
            <w:noWrap/>
          </w:tcPr>
          <w:p w14:paraId="5D8B2A53" w14:textId="77777777" w:rsidR="00C24C61" w:rsidRPr="00C24C61" w:rsidRDefault="00C24C61" w:rsidP="00C24C61">
            <w:pPr>
              <w:ind w:left="227" w:hanging="227"/>
              <w:jc w:val="right"/>
              <w:rPr>
                <w:rFonts w:ascii="Calibri" w:hAnsi="Calibri"/>
                <w:b/>
                <w:sz w:val="20"/>
                <w:szCs w:val="20"/>
                <w:lang w:eastAsia="en-AU"/>
              </w:rPr>
            </w:pPr>
            <w:r w:rsidRPr="00C24C61">
              <w:rPr>
                <w:rFonts w:ascii="Calibri" w:hAnsi="Calibri"/>
                <w:b/>
                <w:sz w:val="20"/>
                <w:szCs w:val="20"/>
                <w:lang w:eastAsia="en-AU"/>
              </w:rPr>
              <w:t>49,896</w:t>
            </w:r>
          </w:p>
        </w:tc>
        <w:tc>
          <w:tcPr>
            <w:tcW w:w="1195" w:type="dxa"/>
            <w:tcBorders>
              <w:top w:val="single" w:sz="4" w:space="0" w:color="auto"/>
              <w:left w:val="nil"/>
              <w:bottom w:val="single" w:sz="4" w:space="0" w:color="auto"/>
              <w:right w:val="nil"/>
            </w:tcBorders>
            <w:shd w:val="clear" w:color="auto" w:fill="auto"/>
            <w:noWrap/>
          </w:tcPr>
          <w:p w14:paraId="3EE388D8" w14:textId="77777777" w:rsidR="00C24C61" w:rsidRPr="00C24C61" w:rsidRDefault="00C24C61" w:rsidP="00C24C61">
            <w:pPr>
              <w:ind w:left="227" w:hanging="227"/>
              <w:jc w:val="right"/>
              <w:rPr>
                <w:rFonts w:ascii="Calibri" w:hAnsi="Calibri"/>
                <w:b/>
                <w:sz w:val="20"/>
                <w:szCs w:val="20"/>
                <w:lang w:eastAsia="en-AU"/>
              </w:rPr>
            </w:pPr>
            <w:r w:rsidRPr="00C24C61">
              <w:rPr>
                <w:rFonts w:ascii="Calibri" w:hAnsi="Calibri"/>
                <w:b/>
                <w:sz w:val="20"/>
                <w:szCs w:val="20"/>
                <w:lang w:eastAsia="en-AU"/>
              </w:rPr>
              <w:t>73,864</w:t>
            </w:r>
          </w:p>
        </w:tc>
        <w:tc>
          <w:tcPr>
            <w:tcW w:w="1195" w:type="dxa"/>
            <w:tcBorders>
              <w:top w:val="single" w:sz="4" w:space="0" w:color="auto"/>
              <w:left w:val="nil"/>
              <w:bottom w:val="single" w:sz="4" w:space="0" w:color="auto"/>
              <w:right w:val="nil"/>
            </w:tcBorders>
          </w:tcPr>
          <w:p w14:paraId="3A05A661" w14:textId="77777777" w:rsidR="00C24C61" w:rsidRPr="00C24C61" w:rsidRDefault="00C24C61" w:rsidP="00C24C61">
            <w:pPr>
              <w:ind w:left="227" w:hanging="227"/>
              <w:jc w:val="right"/>
              <w:rPr>
                <w:rFonts w:ascii="Calibri" w:hAnsi="Calibri"/>
                <w:b/>
                <w:sz w:val="20"/>
                <w:szCs w:val="20"/>
                <w:lang w:eastAsia="en-AU"/>
              </w:rPr>
            </w:pPr>
            <w:r w:rsidRPr="00C24C61">
              <w:rPr>
                <w:rFonts w:ascii="Calibri" w:hAnsi="Calibri"/>
                <w:b/>
                <w:sz w:val="20"/>
                <w:szCs w:val="20"/>
                <w:lang w:eastAsia="en-AU"/>
              </w:rPr>
              <w:t>83,202</w:t>
            </w:r>
          </w:p>
        </w:tc>
        <w:tc>
          <w:tcPr>
            <w:tcW w:w="1196" w:type="dxa"/>
            <w:tcBorders>
              <w:top w:val="single" w:sz="4" w:space="0" w:color="auto"/>
              <w:left w:val="nil"/>
              <w:bottom w:val="single" w:sz="4" w:space="0" w:color="auto"/>
              <w:right w:val="nil"/>
            </w:tcBorders>
          </w:tcPr>
          <w:p w14:paraId="05CC9DE6" w14:textId="77777777" w:rsidR="00C24C61" w:rsidRPr="00C24C61" w:rsidRDefault="00C24C61" w:rsidP="00C24C61">
            <w:pPr>
              <w:ind w:left="227" w:hanging="227"/>
              <w:jc w:val="right"/>
              <w:rPr>
                <w:rFonts w:ascii="Calibri" w:hAnsi="Calibri"/>
                <w:b/>
                <w:sz w:val="20"/>
                <w:szCs w:val="20"/>
                <w:lang w:eastAsia="en-AU"/>
              </w:rPr>
            </w:pPr>
            <w:r w:rsidRPr="00C24C61">
              <w:rPr>
                <w:rFonts w:ascii="Calibri" w:hAnsi="Calibri"/>
                <w:b/>
                <w:sz w:val="20"/>
                <w:szCs w:val="20"/>
                <w:lang w:eastAsia="en-AU"/>
              </w:rPr>
              <w:t>240,804</w:t>
            </w:r>
          </w:p>
        </w:tc>
      </w:tr>
    </w:tbl>
    <w:p w14:paraId="3DC97591" w14:textId="77777777" w:rsidR="00C24C61" w:rsidRPr="008C25AE" w:rsidRDefault="00C24C61" w:rsidP="008C25AE">
      <w:pPr>
        <w:pStyle w:val="snapTabletitle"/>
      </w:pPr>
      <w:r w:rsidRPr="008C25AE">
        <w:t>Table 3.3.2: Infrastructure and capital initiatives</w:t>
      </w:r>
    </w:p>
    <w:tbl>
      <w:tblPr>
        <w:tblW w:w="5000" w:type="pct"/>
        <w:tblLayout w:type="fixed"/>
        <w:tblCellMar>
          <w:left w:w="30" w:type="dxa"/>
          <w:right w:w="30" w:type="dxa"/>
        </w:tblCellMar>
        <w:tblLook w:val="0000" w:firstRow="0" w:lastRow="0" w:firstColumn="0" w:lastColumn="0" w:noHBand="0" w:noVBand="0"/>
      </w:tblPr>
      <w:tblGrid>
        <w:gridCol w:w="4776"/>
        <w:gridCol w:w="7"/>
        <w:gridCol w:w="1156"/>
        <w:gridCol w:w="926"/>
        <w:gridCol w:w="931"/>
        <w:gridCol w:w="921"/>
        <w:gridCol w:w="921"/>
      </w:tblGrid>
      <w:tr w:rsidR="00C24C61" w:rsidRPr="00C24C61" w14:paraId="76319025" w14:textId="77777777" w:rsidTr="0002757D">
        <w:trPr>
          <w:trHeight w:val="227"/>
          <w:tblHeader/>
        </w:trPr>
        <w:tc>
          <w:tcPr>
            <w:tcW w:w="4776" w:type="dxa"/>
            <w:tcBorders>
              <w:top w:val="single" w:sz="4" w:space="0" w:color="auto"/>
              <w:left w:val="nil"/>
              <w:bottom w:val="single" w:sz="4" w:space="0" w:color="auto"/>
              <w:right w:val="nil"/>
            </w:tcBorders>
            <w:shd w:val="clear" w:color="auto" w:fill="auto"/>
            <w:vAlign w:val="center"/>
          </w:tcPr>
          <w:p w14:paraId="74B01D14" w14:textId="77777777" w:rsidR="00C24C61" w:rsidRPr="00C24C61" w:rsidRDefault="00C24C61" w:rsidP="00C24C61">
            <w:pPr>
              <w:ind w:left="227" w:hanging="227"/>
              <w:rPr>
                <w:rFonts w:ascii="Calibri" w:hAnsi="Calibri"/>
                <w:b/>
                <w:bCs/>
                <w:sz w:val="20"/>
                <w:szCs w:val="20"/>
                <w:lang w:eastAsia="en-AU"/>
              </w:rPr>
            </w:pPr>
            <w:r w:rsidRPr="00C24C61">
              <w:rPr>
                <w:rFonts w:ascii="Calibri" w:hAnsi="Calibri"/>
                <w:b/>
                <w:bCs/>
                <w:sz w:val="20"/>
                <w:szCs w:val="20"/>
                <w:lang w:eastAsia="en-AU"/>
              </w:rPr>
              <w:t>Infrastructure and capital initiatives</w:t>
            </w:r>
          </w:p>
        </w:tc>
        <w:tc>
          <w:tcPr>
            <w:tcW w:w="1163" w:type="dxa"/>
            <w:gridSpan w:val="2"/>
            <w:tcBorders>
              <w:top w:val="single" w:sz="4" w:space="0" w:color="auto"/>
              <w:left w:val="nil"/>
              <w:bottom w:val="single" w:sz="4" w:space="0" w:color="auto"/>
              <w:right w:val="nil"/>
            </w:tcBorders>
            <w:shd w:val="clear" w:color="auto" w:fill="auto"/>
          </w:tcPr>
          <w:p w14:paraId="23588D91" w14:textId="77777777" w:rsidR="00C24C61" w:rsidRPr="00C24C61" w:rsidRDefault="00C24C61" w:rsidP="00C24C61">
            <w:pPr>
              <w:jc w:val="right"/>
              <w:rPr>
                <w:rFonts w:ascii="Calibri" w:hAnsi="Calibri"/>
                <w:b/>
                <w:bCs/>
                <w:sz w:val="20"/>
                <w:szCs w:val="20"/>
                <w:lang w:eastAsia="en-US"/>
              </w:rPr>
            </w:pPr>
            <w:r w:rsidRPr="00C24C61">
              <w:rPr>
                <w:rFonts w:ascii="Calibri" w:hAnsi="Calibri"/>
                <w:b/>
                <w:bCs/>
                <w:sz w:val="20"/>
                <w:szCs w:val="20"/>
                <w:lang w:eastAsia="en-US"/>
              </w:rPr>
              <w:t>2019-20</w:t>
            </w:r>
          </w:p>
          <w:p w14:paraId="173BAC8D" w14:textId="77777777" w:rsidR="00C24C61" w:rsidRPr="00C24C61" w:rsidRDefault="00C24C61" w:rsidP="00C24C61">
            <w:pPr>
              <w:jc w:val="right"/>
              <w:rPr>
                <w:rFonts w:ascii="Calibri" w:hAnsi="Calibri"/>
                <w:b/>
                <w:bCs/>
                <w:sz w:val="20"/>
                <w:szCs w:val="20"/>
                <w:lang w:eastAsia="en-US"/>
              </w:rPr>
            </w:pPr>
            <w:r w:rsidRPr="00C24C61">
              <w:rPr>
                <w:rFonts w:ascii="Calibri" w:hAnsi="Calibri"/>
                <w:b/>
                <w:bCs/>
                <w:sz w:val="20"/>
                <w:szCs w:val="20"/>
                <w:lang w:eastAsia="en-US"/>
              </w:rPr>
              <w:t>Estimate</w:t>
            </w:r>
          </w:p>
          <w:p w14:paraId="67574B87" w14:textId="77777777" w:rsidR="00C24C61" w:rsidRPr="00C24C61" w:rsidRDefault="00C24C61" w:rsidP="00C24C61">
            <w:pPr>
              <w:jc w:val="right"/>
              <w:rPr>
                <w:rFonts w:ascii="Calibri" w:hAnsi="Calibri"/>
                <w:b/>
                <w:bCs/>
                <w:sz w:val="20"/>
                <w:szCs w:val="20"/>
                <w:lang w:eastAsia="en-US"/>
              </w:rPr>
            </w:pPr>
            <w:r w:rsidRPr="00C24C61">
              <w:rPr>
                <w:rFonts w:ascii="Calibri" w:hAnsi="Calibri"/>
                <w:b/>
                <w:bCs/>
                <w:sz w:val="20"/>
                <w:szCs w:val="20"/>
                <w:lang w:eastAsia="en-US"/>
              </w:rPr>
              <w:t>$’000</w:t>
            </w:r>
          </w:p>
        </w:tc>
        <w:tc>
          <w:tcPr>
            <w:tcW w:w="926" w:type="dxa"/>
            <w:tcBorders>
              <w:top w:val="single" w:sz="4" w:space="0" w:color="auto"/>
              <w:left w:val="nil"/>
              <w:bottom w:val="single" w:sz="4" w:space="0" w:color="auto"/>
              <w:right w:val="nil"/>
            </w:tcBorders>
            <w:shd w:val="clear" w:color="auto" w:fill="auto"/>
          </w:tcPr>
          <w:p w14:paraId="1AF95DA0" w14:textId="77777777" w:rsidR="00C24C61" w:rsidRPr="00C24C61" w:rsidRDefault="00C24C61" w:rsidP="00C24C61">
            <w:pPr>
              <w:jc w:val="right"/>
              <w:rPr>
                <w:rFonts w:ascii="Calibri" w:hAnsi="Calibri"/>
                <w:b/>
                <w:bCs/>
                <w:sz w:val="20"/>
                <w:szCs w:val="20"/>
                <w:lang w:eastAsia="en-US"/>
              </w:rPr>
            </w:pPr>
            <w:r w:rsidRPr="00C24C61">
              <w:rPr>
                <w:rFonts w:ascii="Calibri" w:hAnsi="Calibri"/>
                <w:b/>
                <w:bCs/>
                <w:sz w:val="20"/>
                <w:szCs w:val="20"/>
                <w:lang w:eastAsia="en-US"/>
              </w:rPr>
              <w:t>2020</w:t>
            </w:r>
            <w:r w:rsidRPr="00C24C61">
              <w:rPr>
                <w:rFonts w:ascii="Calibri" w:hAnsi="Calibri"/>
                <w:b/>
                <w:bCs/>
                <w:sz w:val="20"/>
                <w:szCs w:val="20"/>
                <w:lang w:eastAsia="en-US"/>
              </w:rPr>
              <w:noBreakHyphen/>
              <w:t>21</w:t>
            </w:r>
          </w:p>
          <w:p w14:paraId="6B8985F5" w14:textId="77777777" w:rsidR="00C24C61" w:rsidRPr="00C24C61" w:rsidRDefault="00C24C61" w:rsidP="00C24C61">
            <w:pPr>
              <w:jc w:val="right"/>
              <w:rPr>
                <w:rFonts w:ascii="Calibri" w:hAnsi="Calibri"/>
                <w:b/>
                <w:bCs/>
                <w:sz w:val="20"/>
                <w:szCs w:val="20"/>
                <w:lang w:eastAsia="en-US"/>
              </w:rPr>
            </w:pPr>
            <w:r w:rsidRPr="00C24C61">
              <w:rPr>
                <w:rFonts w:ascii="Calibri" w:hAnsi="Calibri"/>
                <w:b/>
                <w:bCs/>
                <w:sz w:val="20"/>
                <w:szCs w:val="20"/>
                <w:lang w:eastAsia="en-US"/>
              </w:rPr>
              <w:t>Estimate</w:t>
            </w:r>
          </w:p>
          <w:p w14:paraId="15E5091C" w14:textId="77777777" w:rsidR="00C24C61" w:rsidRPr="00C24C61" w:rsidRDefault="00C24C61" w:rsidP="00C24C61">
            <w:pPr>
              <w:jc w:val="right"/>
              <w:rPr>
                <w:rFonts w:ascii="Calibri" w:hAnsi="Calibri"/>
                <w:b/>
                <w:bCs/>
                <w:sz w:val="20"/>
                <w:szCs w:val="20"/>
                <w:lang w:eastAsia="en-US"/>
              </w:rPr>
            </w:pPr>
            <w:r w:rsidRPr="00C24C61">
              <w:rPr>
                <w:rFonts w:ascii="Calibri" w:hAnsi="Calibri"/>
                <w:b/>
                <w:bCs/>
                <w:sz w:val="20"/>
                <w:szCs w:val="20"/>
                <w:lang w:eastAsia="en-US"/>
              </w:rPr>
              <w:t>$’000</w:t>
            </w:r>
          </w:p>
        </w:tc>
        <w:tc>
          <w:tcPr>
            <w:tcW w:w="931" w:type="dxa"/>
            <w:tcBorders>
              <w:top w:val="single" w:sz="4" w:space="0" w:color="auto"/>
              <w:left w:val="nil"/>
              <w:bottom w:val="single" w:sz="4" w:space="0" w:color="auto"/>
              <w:right w:val="nil"/>
            </w:tcBorders>
            <w:shd w:val="clear" w:color="auto" w:fill="auto"/>
          </w:tcPr>
          <w:p w14:paraId="0E9B2974" w14:textId="77777777" w:rsidR="00C24C61" w:rsidRPr="00C24C61" w:rsidRDefault="00C24C61" w:rsidP="00C24C61">
            <w:pPr>
              <w:jc w:val="right"/>
              <w:rPr>
                <w:rFonts w:ascii="Calibri" w:hAnsi="Calibri"/>
                <w:b/>
                <w:bCs/>
                <w:sz w:val="20"/>
                <w:szCs w:val="20"/>
                <w:lang w:eastAsia="en-US"/>
              </w:rPr>
            </w:pPr>
            <w:r w:rsidRPr="00C24C61">
              <w:rPr>
                <w:rFonts w:ascii="Calibri" w:hAnsi="Calibri"/>
                <w:b/>
                <w:bCs/>
                <w:sz w:val="20"/>
                <w:szCs w:val="20"/>
                <w:lang w:eastAsia="en-US"/>
              </w:rPr>
              <w:t>2021-22</w:t>
            </w:r>
          </w:p>
          <w:p w14:paraId="7191F60B" w14:textId="77777777" w:rsidR="00C24C61" w:rsidRPr="00C24C61" w:rsidRDefault="00C24C61" w:rsidP="00C24C61">
            <w:pPr>
              <w:jc w:val="right"/>
              <w:rPr>
                <w:rFonts w:ascii="Calibri" w:hAnsi="Calibri"/>
                <w:b/>
                <w:bCs/>
                <w:sz w:val="20"/>
                <w:szCs w:val="20"/>
                <w:lang w:eastAsia="en-US"/>
              </w:rPr>
            </w:pPr>
            <w:r w:rsidRPr="00C24C61">
              <w:rPr>
                <w:rFonts w:ascii="Calibri" w:hAnsi="Calibri"/>
                <w:b/>
                <w:bCs/>
                <w:sz w:val="20"/>
                <w:szCs w:val="20"/>
                <w:lang w:eastAsia="en-US"/>
              </w:rPr>
              <w:t>Estimate</w:t>
            </w:r>
          </w:p>
          <w:p w14:paraId="0798F8F7" w14:textId="77777777" w:rsidR="00C24C61" w:rsidRPr="00C24C61" w:rsidRDefault="00C24C61" w:rsidP="00C24C61">
            <w:pPr>
              <w:jc w:val="right"/>
              <w:rPr>
                <w:rFonts w:ascii="Calibri" w:hAnsi="Calibri"/>
                <w:b/>
                <w:bCs/>
                <w:sz w:val="20"/>
                <w:szCs w:val="20"/>
                <w:lang w:eastAsia="en-US"/>
              </w:rPr>
            </w:pPr>
            <w:r w:rsidRPr="00C24C61">
              <w:rPr>
                <w:rFonts w:ascii="Calibri" w:hAnsi="Calibri"/>
                <w:b/>
                <w:bCs/>
                <w:sz w:val="20"/>
                <w:szCs w:val="20"/>
                <w:lang w:eastAsia="en-US"/>
              </w:rPr>
              <w:t>$’000</w:t>
            </w:r>
          </w:p>
        </w:tc>
        <w:tc>
          <w:tcPr>
            <w:tcW w:w="921" w:type="dxa"/>
            <w:tcBorders>
              <w:top w:val="single" w:sz="4" w:space="0" w:color="auto"/>
              <w:left w:val="nil"/>
              <w:bottom w:val="single" w:sz="4" w:space="0" w:color="auto"/>
              <w:right w:val="nil"/>
            </w:tcBorders>
          </w:tcPr>
          <w:p w14:paraId="1293BDAD" w14:textId="77777777" w:rsidR="00C24C61" w:rsidRPr="00C24C61" w:rsidRDefault="00C24C61" w:rsidP="00C24C61">
            <w:pPr>
              <w:jc w:val="right"/>
              <w:rPr>
                <w:rFonts w:ascii="Calibri" w:hAnsi="Calibri"/>
                <w:b/>
                <w:bCs/>
                <w:sz w:val="20"/>
                <w:szCs w:val="20"/>
                <w:lang w:eastAsia="en-US"/>
              </w:rPr>
            </w:pPr>
            <w:r w:rsidRPr="00C24C61">
              <w:rPr>
                <w:rFonts w:ascii="Calibri" w:hAnsi="Calibri"/>
                <w:b/>
                <w:bCs/>
                <w:sz w:val="20"/>
                <w:szCs w:val="20"/>
                <w:lang w:eastAsia="en-US"/>
              </w:rPr>
              <w:t>2022-23</w:t>
            </w:r>
          </w:p>
          <w:p w14:paraId="48E05430" w14:textId="77777777" w:rsidR="00C24C61" w:rsidRPr="00C24C61" w:rsidRDefault="00C24C61" w:rsidP="00C24C61">
            <w:pPr>
              <w:jc w:val="right"/>
              <w:rPr>
                <w:rFonts w:ascii="Calibri" w:hAnsi="Calibri"/>
                <w:b/>
                <w:bCs/>
                <w:sz w:val="20"/>
                <w:szCs w:val="20"/>
                <w:lang w:eastAsia="en-US"/>
              </w:rPr>
            </w:pPr>
            <w:r w:rsidRPr="00C24C61">
              <w:rPr>
                <w:rFonts w:ascii="Calibri" w:hAnsi="Calibri"/>
                <w:b/>
                <w:bCs/>
                <w:sz w:val="20"/>
                <w:szCs w:val="20"/>
                <w:lang w:eastAsia="en-US"/>
              </w:rPr>
              <w:t>Estimate</w:t>
            </w:r>
          </w:p>
          <w:p w14:paraId="610A9412" w14:textId="77777777" w:rsidR="00C24C61" w:rsidRPr="00C24C61" w:rsidRDefault="00C24C61" w:rsidP="00C24C61">
            <w:pPr>
              <w:jc w:val="right"/>
              <w:rPr>
                <w:rFonts w:ascii="Calibri" w:hAnsi="Calibri"/>
                <w:b/>
                <w:bCs/>
                <w:sz w:val="20"/>
                <w:szCs w:val="20"/>
                <w:lang w:eastAsia="en-US"/>
              </w:rPr>
            </w:pPr>
            <w:r w:rsidRPr="00C24C61">
              <w:rPr>
                <w:rFonts w:ascii="Calibri" w:hAnsi="Calibri"/>
                <w:b/>
                <w:bCs/>
                <w:sz w:val="20"/>
                <w:szCs w:val="20"/>
                <w:lang w:eastAsia="en-US"/>
              </w:rPr>
              <w:t>$’000</w:t>
            </w:r>
          </w:p>
        </w:tc>
        <w:tc>
          <w:tcPr>
            <w:tcW w:w="921" w:type="dxa"/>
            <w:tcBorders>
              <w:top w:val="single" w:sz="4" w:space="0" w:color="auto"/>
              <w:left w:val="nil"/>
              <w:bottom w:val="single" w:sz="4" w:space="0" w:color="auto"/>
              <w:right w:val="nil"/>
            </w:tcBorders>
          </w:tcPr>
          <w:p w14:paraId="6DDF602F" w14:textId="77777777" w:rsidR="00C24C61" w:rsidRPr="00C24C61" w:rsidRDefault="00C24C61" w:rsidP="00C24C61">
            <w:pPr>
              <w:jc w:val="right"/>
              <w:rPr>
                <w:rFonts w:ascii="Calibri" w:hAnsi="Calibri"/>
                <w:b/>
                <w:bCs/>
                <w:sz w:val="20"/>
                <w:szCs w:val="20"/>
                <w:lang w:eastAsia="en-US"/>
              </w:rPr>
            </w:pPr>
            <w:r w:rsidRPr="00C24C61">
              <w:rPr>
                <w:rFonts w:ascii="Calibri" w:hAnsi="Calibri"/>
                <w:b/>
                <w:bCs/>
                <w:sz w:val="20"/>
                <w:szCs w:val="20"/>
                <w:lang w:eastAsia="en-US"/>
              </w:rPr>
              <w:t xml:space="preserve">Total </w:t>
            </w:r>
          </w:p>
          <w:p w14:paraId="2D79EFA0" w14:textId="77777777" w:rsidR="00C24C61" w:rsidRPr="00C24C61" w:rsidRDefault="00C24C61" w:rsidP="00C24C61">
            <w:pPr>
              <w:jc w:val="right"/>
              <w:rPr>
                <w:rFonts w:ascii="Calibri" w:hAnsi="Calibri"/>
                <w:b/>
                <w:bCs/>
                <w:sz w:val="20"/>
                <w:szCs w:val="20"/>
                <w:lang w:eastAsia="en-US"/>
              </w:rPr>
            </w:pPr>
          </w:p>
          <w:p w14:paraId="39EA8D0A" w14:textId="77777777" w:rsidR="00C24C61" w:rsidRPr="00C24C61" w:rsidRDefault="00C24C61" w:rsidP="00C24C61">
            <w:pPr>
              <w:jc w:val="right"/>
              <w:rPr>
                <w:rFonts w:ascii="Calibri" w:hAnsi="Calibri"/>
                <w:b/>
                <w:bCs/>
                <w:sz w:val="20"/>
                <w:szCs w:val="20"/>
                <w:lang w:eastAsia="en-US"/>
              </w:rPr>
            </w:pPr>
            <w:r w:rsidRPr="00C24C61">
              <w:rPr>
                <w:rFonts w:ascii="Calibri" w:hAnsi="Calibri"/>
                <w:b/>
                <w:bCs/>
                <w:sz w:val="20"/>
                <w:szCs w:val="20"/>
                <w:lang w:eastAsia="en-US"/>
              </w:rPr>
              <w:t>$’000</w:t>
            </w:r>
          </w:p>
        </w:tc>
      </w:tr>
      <w:tr w:rsidR="00C24C61" w:rsidRPr="00C24C61" w14:paraId="2734DAA0" w14:textId="77777777" w:rsidTr="0002757D">
        <w:trPr>
          <w:trHeight w:val="227"/>
        </w:trPr>
        <w:tc>
          <w:tcPr>
            <w:tcW w:w="4776" w:type="dxa"/>
            <w:tcBorders>
              <w:top w:val="single" w:sz="4" w:space="0" w:color="auto"/>
              <w:left w:val="nil"/>
              <w:bottom w:val="nil"/>
              <w:right w:val="nil"/>
            </w:tcBorders>
          </w:tcPr>
          <w:p w14:paraId="6673E1A3" w14:textId="77777777" w:rsidR="00C24C61" w:rsidRPr="00C24C61" w:rsidRDefault="00C24C61" w:rsidP="00C24C61">
            <w:pPr>
              <w:ind w:left="227" w:hanging="227"/>
              <w:rPr>
                <w:rFonts w:ascii="Calibri" w:hAnsi="Calibri"/>
                <w:b/>
                <w:bCs/>
                <w:sz w:val="20"/>
                <w:szCs w:val="20"/>
                <w:lang w:val="x-none" w:eastAsia="en-US"/>
              </w:rPr>
            </w:pPr>
          </w:p>
        </w:tc>
        <w:tc>
          <w:tcPr>
            <w:tcW w:w="1163" w:type="dxa"/>
            <w:gridSpan w:val="2"/>
            <w:tcBorders>
              <w:top w:val="single" w:sz="4" w:space="0" w:color="auto"/>
              <w:left w:val="nil"/>
              <w:bottom w:val="nil"/>
              <w:right w:val="nil"/>
            </w:tcBorders>
          </w:tcPr>
          <w:p w14:paraId="06A41059" w14:textId="77777777" w:rsidR="00C24C61" w:rsidRPr="00C24C61" w:rsidRDefault="00C24C61" w:rsidP="00C24C61">
            <w:pPr>
              <w:jc w:val="right"/>
              <w:rPr>
                <w:rFonts w:ascii="Calibri" w:hAnsi="Calibri" w:cs="Calibri"/>
                <w:color w:val="FFFFFF"/>
                <w:sz w:val="12"/>
                <w:szCs w:val="20"/>
                <w:lang w:eastAsia="en-US"/>
              </w:rPr>
            </w:pPr>
          </w:p>
        </w:tc>
        <w:tc>
          <w:tcPr>
            <w:tcW w:w="926" w:type="dxa"/>
            <w:tcBorders>
              <w:top w:val="single" w:sz="4" w:space="0" w:color="auto"/>
              <w:left w:val="nil"/>
              <w:bottom w:val="nil"/>
              <w:right w:val="nil"/>
            </w:tcBorders>
          </w:tcPr>
          <w:p w14:paraId="5F13C98C" w14:textId="77777777" w:rsidR="00C24C61" w:rsidRPr="00C24C61" w:rsidRDefault="00C24C61" w:rsidP="00C24C61">
            <w:pPr>
              <w:jc w:val="right"/>
              <w:rPr>
                <w:rFonts w:ascii="Calibri" w:hAnsi="Calibri" w:cs="Calibri"/>
                <w:color w:val="FFFFFF"/>
                <w:sz w:val="12"/>
                <w:szCs w:val="20"/>
                <w:lang w:eastAsia="en-US"/>
              </w:rPr>
            </w:pPr>
          </w:p>
        </w:tc>
        <w:tc>
          <w:tcPr>
            <w:tcW w:w="931" w:type="dxa"/>
            <w:tcBorders>
              <w:top w:val="single" w:sz="4" w:space="0" w:color="auto"/>
              <w:left w:val="nil"/>
              <w:bottom w:val="nil"/>
              <w:right w:val="nil"/>
            </w:tcBorders>
          </w:tcPr>
          <w:p w14:paraId="1527E7F0" w14:textId="77777777" w:rsidR="00C24C61" w:rsidRPr="00C24C61" w:rsidRDefault="00C24C61" w:rsidP="00C24C61">
            <w:pPr>
              <w:jc w:val="right"/>
              <w:rPr>
                <w:rFonts w:ascii="Calibri" w:hAnsi="Calibri" w:cs="Calibri"/>
                <w:color w:val="FFFFFF"/>
                <w:sz w:val="12"/>
                <w:szCs w:val="20"/>
                <w:lang w:eastAsia="en-US"/>
              </w:rPr>
            </w:pPr>
          </w:p>
        </w:tc>
        <w:tc>
          <w:tcPr>
            <w:tcW w:w="921" w:type="dxa"/>
            <w:tcBorders>
              <w:top w:val="single" w:sz="4" w:space="0" w:color="auto"/>
              <w:left w:val="nil"/>
              <w:bottom w:val="nil"/>
              <w:right w:val="nil"/>
            </w:tcBorders>
          </w:tcPr>
          <w:p w14:paraId="36F9A121" w14:textId="77777777" w:rsidR="00C24C61" w:rsidRPr="00C24C61" w:rsidRDefault="00C24C61" w:rsidP="00C24C61">
            <w:pPr>
              <w:jc w:val="right"/>
              <w:rPr>
                <w:rFonts w:ascii="Calibri" w:hAnsi="Calibri" w:cs="Calibri"/>
                <w:color w:val="FFFFFF"/>
                <w:sz w:val="12"/>
                <w:szCs w:val="20"/>
                <w:lang w:eastAsia="en-US"/>
              </w:rPr>
            </w:pPr>
          </w:p>
        </w:tc>
        <w:tc>
          <w:tcPr>
            <w:tcW w:w="921" w:type="dxa"/>
            <w:tcBorders>
              <w:top w:val="single" w:sz="4" w:space="0" w:color="auto"/>
              <w:left w:val="nil"/>
              <w:bottom w:val="nil"/>
              <w:right w:val="nil"/>
            </w:tcBorders>
          </w:tcPr>
          <w:p w14:paraId="21A738A5" w14:textId="77777777" w:rsidR="00C24C61" w:rsidRPr="00C24C61" w:rsidRDefault="00C24C61" w:rsidP="00C24C61">
            <w:pPr>
              <w:jc w:val="right"/>
              <w:rPr>
                <w:rFonts w:ascii="Calibri" w:hAnsi="Calibri" w:cs="Calibri"/>
                <w:color w:val="FFFFFF"/>
                <w:sz w:val="12"/>
                <w:szCs w:val="20"/>
                <w:lang w:eastAsia="en-US"/>
              </w:rPr>
            </w:pPr>
          </w:p>
        </w:tc>
      </w:tr>
      <w:tr w:rsidR="00C24C61" w:rsidRPr="00C24C61" w14:paraId="08D822AF" w14:textId="77777777" w:rsidTr="0002757D">
        <w:trPr>
          <w:trHeight w:val="227"/>
        </w:trPr>
        <w:tc>
          <w:tcPr>
            <w:tcW w:w="4783" w:type="dxa"/>
            <w:gridSpan w:val="2"/>
            <w:tcBorders>
              <w:left w:val="nil"/>
              <w:bottom w:val="nil"/>
              <w:right w:val="nil"/>
            </w:tcBorders>
          </w:tcPr>
          <w:p w14:paraId="22B23D81" w14:textId="77777777" w:rsidR="00C24C61" w:rsidRPr="00C24C61" w:rsidRDefault="00C24C61" w:rsidP="00C24C61">
            <w:pPr>
              <w:ind w:left="227" w:hanging="227"/>
              <w:rPr>
                <w:rFonts w:ascii="Calibri" w:hAnsi="Calibri"/>
                <w:b/>
                <w:bCs/>
                <w:sz w:val="20"/>
                <w:szCs w:val="20"/>
                <w:lang w:eastAsia="en-AU"/>
              </w:rPr>
            </w:pPr>
            <w:r w:rsidRPr="00C24C61">
              <w:rPr>
                <w:rFonts w:ascii="Calibri" w:hAnsi="Calibri"/>
                <w:b/>
                <w:bCs/>
                <w:sz w:val="20"/>
                <w:szCs w:val="20"/>
                <w:lang w:eastAsia="en-AU"/>
              </w:rPr>
              <w:t>Transport Canberra and City Services Directorate</w:t>
            </w:r>
          </w:p>
        </w:tc>
        <w:tc>
          <w:tcPr>
            <w:tcW w:w="1156" w:type="dxa"/>
            <w:tcBorders>
              <w:left w:val="nil"/>
              <w:bottom w:val="nil"/>
              <w:right w:val="nil"/>
            </w:tcBorders>
          </w:tcPr>
          <w:p w14:paraId="2AEE4C77" w14:textId="77777777" w:rsidR="00C24C61" w:rsidRPr="00C24C61" w:rsidRDefault="00C24C61" w:rsidP="00C24C61">
            <w:pPr>
              <w:ind w:left="227" w:hanging="227"/>
              <w:jc w:val="right"/>
              <w:rPr>
                <w:rFonts w:ascii="Calibri" w:hAnsi="Calibri"/>
                <w:b/>
                <w:sz w:val="20"/>
                <w:szCs w:val="20"/>
                <w:lang w:eastAsia="en-AU"/>
              </w:rPr>
            </w:pPr>
          </w:p>
        </w:tc>
        <w:tc>
          <w:tcPr>
            <w:tcW w:w="926" w:type="dxa"/>
            <w:tcBorders>
              <w:left w:val="nil"/>
              <w:bottom w:val="nil"/>
              <w:right w:val="nil"/>
            </w:tcBorders>
          </w:tcPr>
          <w:p w14:paraId="12F83977" w14:textId="77777777" w:rsidR="00C24C61" w:rsidRPr="00C24C61" w:rsidRDefault="00C24C61" w:rsidP="00C24C61">
            <w:pPr>
              <w:ind w:left="227" w:hanging="227"/>
              <w:jc w:val="right"/>
              <w:rPr>
                <w:rFonts w:ascii="Calibri" w:hAnsi="Calibri"/>
                <w:b/>
                <w:sz w:val="20"/>
                <w:szCs w:val="20"/>
                <w:lang w:eastAsia="en-AU"/>
              </w:rPr>
            </w:pPr>
          </w:p>
        </w:tc>
        <w:tc>
          <w:tcPr>
            <w:tcW w:w="931" w:type="dxa"/>
            <w:tcBorders>
              <w:left w:val="nil"/>
              <w:bottom w:val="nil"/>
              <w:right w:val="nil"/>
            </w:tcBorders>
          </w:tcPr>
          <w:p w14:paraId="57C1419A" w14:textId="77777777" w:rsidR="00C24C61" w:rsidRPr="00C24C61" w:rsidRDefault="00C24C61" w:rsidP="00C24C61">
            <w:pPr>
              <w:ind w:left="227" w:hanging="227"/>
              <w:jc w:val="right"/>
              <w:rPr>
                <w:rFonts w:ascii="Calibri" w:hAnsi="Calibri"/>
                <w:b/>
                <w:sz w:val="20"/>
                <w:szCs w:val="20"/>
                <w:lang w:eastAsia="en-AU"/>
              </w:rPr>
            </w:pPr>
          </w:p>
        </w:tc>
        <w:tc>
          <w:tcPr>
            <w:tcW w:w="921" w:type="dxa"/>
            <w:tcBorders>
              <w:left w:val="nil"/>
              <w:bottom w:val="nil"/>
              <w:right w:val="nil"/>
            </w:tcBorders>
          </w:tcPr>
          <w:p w14:paraId="2BFE93B4" w14:textId="77777777" w:rsidR="00C24C61" w:rsidRPr="00C24C61" w:rsidRDefault="00C24C61" w:rsidP="00C24C61">
            <w:pPr>
              <w:ind w:left="227" w:hanging="227"/>
              <w:jc w:val="right"/>
              <w:rPr>
                <w:rFonts w:ascii="Calibri" w:hAnsi="Calibri"/>
                <w:b/>
                <w:sz w:val="20"/>
                <w:szCs w:val="20"/>
                <w:lang w:eastAsia="en-AU"/>
              </w:rPr>
            </w:pPr>
          </w:p>
        </w:tc>
        <w:tc>
          <w:tcPr>
            <w:tcW w:w="921" w:type="dxa"/>
            <w:tcBorders>
              <w:left w:val="nil"/>
              <w:bottom w:val="nil"/>
              <w:right w:val="nil"/>
            </w:tcBorders>
          </w:tcPr>
          <w:p w14:paraId="6075234D" w14:textId="77777777" w:rsidR="00C24C61" w:rsidRPr="00C24C61" w:rsidRDefault="00C24C61" w:rsidP="00C24C61">
            <w:pPr>
              <w:ind w:left="227" w:hanging="227"/>
              <w:jc w:val="right"/>
              <w:rPr>
                <w:rFonts w:ascii="Calibri" w:hAnsi="Calibri"/>
                <w:b/>
                <w:sz w:val="20"/>
                <w:szCs w:val="20"/>
                <w:lang w:eastAsia="en-AU"/>
              </w:rPr>
            </w:pPr>
          </w:p>
        </w:tc>
      </w:tr>
      <w:tr w:rsidR="00C24C61" w:rsidRPr="00C24C61" w14:paraId="455E7D8B" w14:textId="77777777" w:rsidTr="0002757D">
        <w:trPr>
          <w:trHeight w:val="227"/>
        </w:trPr>
        <w:tc>
          <w:tcPr>
            <w:tcW w:w="4783" w:type="dxa"/>
            <w:gridSpan w:val="2"/>
            <w:tcBorders>
              <w:left w:val="nil"/>
              <w:bottom w:val="nil"/>
              <w:right w:val="nil"/>
            </w:tcBorders>
          </w:tcPr>
          <w:p w14:paraId="66B741A7" w14:textId="77777777" w:rsidR="00C24C61" w:rsidRPr="00C24C61" w:rsidRDefault="00C24C61" w:rsidP="00C24C61">
            <w:pPr>
              <w:ind w:left="227" w:hanging="227"/>
              <w:rPr>
                <w:rFonts w:ascii="Calibri" w:hAnsi="Calibri"/>
                <w:bCs/>
                <w:color w:val="000000"/>
                <w:sz w:val="20"/>
                <w:szCs w:val="20"/>
                <w:lang w:eastAsia="en-AU"/>
              </w:rPr>
            </w:pPr>
            <w:r w:rsidRPr="00C24C61">
              <w:rPr>
                <w:rFonts w:ascii="Calibri" w:hAnsi="Calibri"/>
                <w:bCs/>
                <w:color w:val="000000"/>
                <w:sz w:val="20"/>
                <w:szCs w:val="20"/>
                <w:lang w:eastAsia="en-AU"/>
              </w:rPr>
              <w:t>Active travel upgrades</w:t>
            </w:r>
          </w:p>
        </w:tc>
        <w:tc>
          <w:tcPr>
            <w:tcW w:w="1156" w:type="dxa"/>
            <w:tcBorders>
              <w:top w:val="nil"/>
              <w:left w:val="nil"/>
              <w:bottom w:val="nil"/>
              <w:right w:val="nil"/>
            </w:tcBorders>
            <w:shd w:val="clear" w:color="auto" w:fill="auto"/>
          </w:tcPr>
          <w:p w14:paraId="1F5E98B5"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2,250</w:t>
            </w:r>
          </w:p>
        </w:tc>
        <w:tc>
          <w:tcPr>
            <w:tcW w:w="926" w:type="dxa"/>
            <w:tcBorders>
              <w:top w:val="nil"/>
              <w:left w:val="nil"/>
              <w:bottom w:val="nil"/>
              <w:right w:val="nil"/>
            </w:tcBorders>
            <w:shd w:val="clear" w:color="auto" w:fill="auto"/>
          </w:tcPr>
          <w:p w14:paraId="0B1526F5"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0</w:t>
            </w:r>
          </w:p>
        </w:tc>
        <w:tc>
          <w:tcPr>
            <w:tcW w:w="931" w:type="dxa"/>
            <w:tcBorders>
              <w:top w:val="nil"/>
              <w:left w:val="nil"/>
              <w:bottom w:val="nil"/>
              <w:right w:val="nil"/>
            </w:tcBorders>
            <w:shd w:val="clear" w:color="auto" w:fill="auto"/>
          </w:tcPr>
          <w:p w14:paraId="45843841"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0</w:t>
            </w:r>
          </w:p>
        </w:tc>
        <w:tc>
          <w:tcPr>
            <w:tcW w:w="921" w:type="dxa"/>
            <w:tcBorders>
              <w:top w:val="nil"/>
              <w:left w:val="nil"/>
              <w:bottom w:val="nil"/>
              <w:right w:val="nil"/>
            </w:tcBorders>
            <w:shd w:val="clear" w:color="auto" w:fill="auto"/>
          </w:tcPr>
          <w:p w14:paraId="7C6EF8BD"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0</w:t>
            </w:r>
          </w:p>
        </w:tc>
        <w:tc>
          <w:tcPr>
            <w:tcW w:w="921" w:type="dxa"/>
            <w:tcBorders>
              <w:top w:val="nil"/>
              <w:left w:val="nil"/>
              <w:bottom w:val="nil"/>
              <w:right w:val="nil"/>
            </w:tcBorders>
            <w:shd w:val="clear" w:color="auto" w:fill="auto"/>
          </w:tcPr>
          <w:p w14:paraId="484976C7"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2,250</w:t>
            </w:r>
          </w:p>
        </w:tc>
      </w:tr>
      <w:tr w:rsidR="00C24C61" w:rsidRPr="00C24C61" w14:paraId="780E44DA" w14:textId="77777777" w:rsidTr="0002757D">
        <w:trPr>
          <w:trHeight w:val="227"/>
        </w:trPr>
        <w:tc>
          <w:tcPr>
            <w:tcW w:w="4783" w:type="dxa"/>
            <w:gridSpan w:val="2"/>
            <w:tcBorders>
              <w:left w:val="nil"/>
              <w:bottom w:val="nil"/>
              <w:right w:val="nil"/>
            </w:tcBorders>
          </w:tcPr>
          <w:p w14:paraId="550321C0" w14:textId="77777777" w:rsidR="00C24C61" w:rsidRPr="00C24C61" w:rsidRDefault="00C24C61" w:rsidP="00C24C61">
            <w:pPr>
              <w:ind w:left="227" w:hanging="227"/>
              <w:rPr>
                <w:rFonts w:ascii="Calibri" w:hAnsi="Calibri"/>
                <w:bCs/>
                <w:color w:val="000000"/>
                <w:sz w:val="20"/>
                <w:szCs w:val="20"/>
                <w:lang w:eastAsia="en-AU"/>
              </w:rPr>
            </w:pPr>
            <w:r w:rsidRPr="00C24C61">
              <w:rPr>
                <w:rFonts w:ascii="Calibri" w:hAnsi="Calibri"/>
                <w:bCs/>
                <w:color w:val="000000"/>
                <w:sz w:val="20"/>
                <w:szCs w:val="20"/>
                <w:lang w:eastAsia="en-AU"/>
              </w:rPr>
              <w:t xml:space="preserve">Better connecting Belconnen and Gungahlin </w:t>
            </w:r>
          </w:p>
        </w:tc>
        <w:tc>
          <w:tcPr>
            <w:tcW w:w="1156" w:type="dxa"/>
            <w:tcBorders>
              <w:top w:val="nil"/>
              <w:left w:val="nil"/>
              <w:bottom w:val="nil"/>
              <w:right w:val="nil"/>
            </w:tcBorders>
            <w:shd w:val="clear" w:color="auto" w:fill="auto"/>
          </w:tcPr>
          <w:p w14:paraId="74329DEF"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4,530</w:t>
            </w:r>
          </w:p>
        </w:tc>
        <w:tc>
          <w:tcPr>
            <w:tcW w:w="926" w:type="dxa"/>
            <w:tcBorders>
              <w:top w:val="nil"/>
              <w:left w:val="nil"/>
              <w:bottom w:val="nil"/>
              <w:right w:val="nil"/>
            </w:tcBorders>
            <w:shd w:val="clear" w:color="auto" w:fill="auto"/>
          </w:tcPr>
          <w:p w14:paraId="54E1DC33"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15,000</w:t>
            </w:r>
          </w:p>
        </w:tc>
        <w:tc>
          <w:tcPr>
            <w:tcW w:w="931" w:type="dxa"/>
            <w:tcBorders>
              <w:top w:val="nil"/>
              <w:left w:val="nil"/>
              <w:bottom w:val="nil"/>
              <w:right w:val="nil"/>
            </w:tcBorders>
            <w:shd w:val="clear" w:color="auto" w:fill="auto"/>
          </w:tcPr>
          <w:p w14:paraId="77C96C76"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15,000</w:t>
            </w:r>
          </w:p>
        </w:tc>
        <w:tc>
          <w:tcPr>
            <w:tcW w:w="921" w:type="dxa"/>
            <w:tcBorders>
              <w:top w:val="nil"/>
              <w:left w:val="nil"/>
              <w:bottom w:val="nil"/>
              <w:right w:val="nil"/>
            </w:tcBorders>
            <w:shd w:val="clear" w:color="auto" w:fill="auto"/>
          </w:tcPr>
          <w:p w14:paraId="0552E634"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10,000</w:t>
            </w:r>
          </w:p>
        </w:tc>
        <w:tc>
          <w:tcPr>
            <w:tcW w:w="921" w:type="dxa"/>
            <w:tcBorders>
              <w:top w:val="nil"/>
              <w:left w:val="nil"/>
              <w:bottom w:val="nil"/>
              <w:right w:val="nil"/>
            </w:tcBorders>
            <w:shd w:val="clear" w:color="auto" w:fill="auto"/>
          </w:tcPr>
          <w:p w14:paraId="58560BC4"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44,530</w:t>
            </w:r>
          </w:p>
        </w:tc>
      </w:tr>
      <w:tr w:rsidR="00C24C61" w:rsidRPr="00C24C61" w14:paraId="4AC4F011" w14:textId="77777777" w:rsidTr="0002757D">
        <w:trPr>
          <w:trHeight w:val="227"/>
        </w:trPr>
        <w:tc>
          <w:tcPr>
            <w:tcW w:w="4783" w:type="dxa"/>
            <w:gridSpan w:val="2"/>
            <w:tcBorders>
              <w:left w:val="nil"/>
              <w:bottom w:val="nil"/>
              <w:right w:val="nil"/>
            </w:tcBorders>
          </w:tcPr>
          <w:p w14:paraId="5674598D" w14:textId="77777777" w:rsidR="00C24C61" w:rsidRPr="00C24C61" w:rsidRDefault="00C24C61" w:rsidP="00C24C61">
            <w:pPr>
              <w:ind w:left="227" w:hanging="227"/>
              <w:rPr>
                <w:rFonts w:ascii="Calibri" w:hAnsi="Calibri"/>
                <w:bCs/>
                <w:color w:val="000000"/>
                <w:sz w:val="20"/>
                <w:szCs w:val="20"/>
                <w:lang w:eastAsia="en-AU"/>
              </w:rPr>
            </w:pPr>
            <w:r w:rsidRPr="00C24C61">
              <w:rPr>
                <w:rFonts w:ascii="Calibri" w:hAnsi="Calibri"/>
                <w:bCs/>
                <w:color w:val="000000"/>
                <w:sz w:val="20"/>
                <w:szCs w:val="20"/>
                <w:lang w:eastAsia="en-AU"/>
              </w:rPr>
              <w:t xml:space="preserve">Better </w:t>
            </w:r>
            <w:proofErr w:type="spellStart"/>
            <w:r w:rsidRPr="00C24C61">
              <w:rPr>
                <w:rFonts w:ascii="Calibri" w:hAnsi="Calibri"/>
                <w:bCs/>
                <w:color w:val="000000"/>
                <w:sz w:val="20"/>
                <w:szCs w:val="20"/>
                <w:lang w:eastAsia="en-AU"/>
              </w:rPr>
              <w:t>sportgrounds</w:t>
            </w:r>
            <w:proofErr w:type="spellEnd"/>
            <w:r w:rsidRPr="00C24C61">
              <w:rPr>
                <w:rFonts w:ascii="Calibri" w:hAnsi="Calibri"/>
                <w:bCs/>
                <w:color w:val="000000"/>
                <w:sz w:val="20"/>
                <w:szCs w:val="20"/>
                <w:lang w:eastAsia="en-AU"/>
              </w:rPr>
              <w:t xml:space="preserve"> and dog parks </w:t>
            </w:r>
          </w:p>
        </w:tc>
        <w:tc>
          <w:tcPr>
            <w:tcW w:w="1156" w:type="dxa"/>
            <w:tcBorders>
              <w:top w:val="nil"/>
              <w:left w:val="nil"/>
              <w:bottom w:val="nil"/>
              <w:right w:val="nil"/>
            </w:tcBorders>
            <w:shd w:val="clear" w:color="auto" w:fill="auto"/>
          </w:tcPr>
          <w:p w14:paraId="489C67E4"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1,510</w:t>
            </w:r>
          </w:p>
        </w:tc>
        <w:tc>
          <w:tcPr>
            <w:tcW w:w="926" w:type="dxa"/>
            <w:tcBorders>
              <w:top w:val="nil"/>
              <w:left w:val="nil"/>
              <w:bottom w:val="nil"/>
              <w:right w:val="nil"/>
            </w:tcBorders>
            <w:shd w:val="clear" w:color="auto" w:fill="auto"/>
          </w:tcPr>
          <w:p w14:paraId="334A5E5C"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0</w:t>
            </w:r>
          </w:p>
        </w:tc>
        <w:tc>
          <w:tcPr>
            <w:tcW w:w="931" w:type="dxa"/>
            <w:tcBorders>
              <w:top w:val="nil"/>
              <w:left w:val="nil"/>
              <w:bottom w:val="nil"/>
              <w:right w:val="nil"/>
            </w:tcBorders>
            <w:shd w:val="clear" w:color="auto" w:fill="auto"/>
          </w:tcPr>
          <w:p w14:paraId="4712C2AB"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0</w:t>
            </w:r>
          </w:p>
        </w:tc>
        <w:tc>
          <w:tcPr>
            <w:tcW w:w="921" w:type="dxa"/>
            <w:tcBorders>
              <w:top w:val="nil"/>
              <w:left w:val="nil"/>
              <w:bottom w:val="nil"/>
              <w:right w:val="nil"/>
            </w:tcBorders>
            <w:shd w:val="clear" w:color="auto" w:fill="auto"/>
          </w:tcPr>
          <w:p w14:paraId="35C2EC65"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0</w:t>
            </w:r>
          </w:p>
        </w:tc>
        <w:tc>
          <w:tcPr>
            <w:tcW w:w="921" w:type="dxa"/>
            <w:tcBorders>
              <w:top w:val="nil"/>
              <w:left w:val="nil"/>
              <w:bottom w:val="nil"/>
              <w:right w:val="nil"/>
            </w:tcBorders>
            <w:shd w:val="clear" w:color="auto" w:fill="auto"/>
          </w:tcPr>
          <w:p w14:paraId="11F3A31B"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1,510</w:t>
            </w:r>
          </w:p>
        </w:tc>
      </w:tr>
      <w:tr w:rsidR="00C24C61" w:rsidRPr="00C24C61" w14:paraId="3CBFFEB5" w14:textId="77777777" w:rsidTr="0002757D">
        <w:trPr>
          <w:trHeight w:val="227"/>
        </w:trPr>
        <w:tc>
          <w:tcPr>
            <w:tcW w:w="4783" w:type="dxa"/>
            <w:gridSpan w:val="2"/>
            <w:tcBorders>
              <w:left w:val="nil"/>
              <w:bottom w:val="nil"/>
              <w:right w:val="nil"/>
            </w:tcBorders>
          </w:tcPr>
          <w:p w14:paraId="003A8AEE" w14:textId="77777777" w:rsidR="00C24C61" w:rsidRPr="00C24C61" w:rsidRDefault="00C24C61" w:rsidP="00C24C61">
            <w:pPr>
              <w:ind w:left="227" w:hanging="227"/>
              <w:rPr>
                <w:rFonts w:ascii="Calibri" w:hAnsi="Calibri"/>
                <w:bCs/>
                <w:color w:val="000000"/>
                <w:sz w:val="20"/>
                <w:szCs w:val="20"/>
                <w:vertAlign w:val="superscript"/>
                <w:lang w:eastAsia="en-AU"/>
              </w:rPr>
            </w:pPr>
            <w:r w:rsidRPr="00C24C61">
              <w:rPr>
                <w:rFonts w:ascii="Calibri" w:hAnsi="Calibri"/>
                <w:bCs/>
                <w:color w:val="000000"/>
                <w:sz w:val="20"/>
                <w:szCs w:val="20"/>
                <w:lang w:eastAsia="en-AU"/>
              </w:rPr>
              <w:t xml:space="preserve">Better Suburbs: Planting more trees and delivering more bins at local shops </w:t>
            </w:r>
            <w:r w:rsidRPr="00C24C61">
              <w:rPr>
                <w:rFonts w:ascii="Calibri" w:hAnsi="Calibri"/>
                <w:bCs/>
                <w:color w:val="000000"/>
                <w:sz w:val="20"/>
                <w:szCs w:val="20"/>
                <w:vertAlign w:val="superscript"/>
                <w:lang w:eastAsia="en-AU"/>
              </w:rPr>
              <w:t>2</w:t>
            </w:r>
          </w:p>
        </w:tc>
        <w:tc>
          <w:tcPr>
            <w:tcW w:w="1156" w:type="dxa"/>
            <w:tcBorders>
              <w:top w:val="nil"/>
              <w:left w:val="nil"/>
              <w:bottom w:val="nil"/>
              <w:right w:val="nil"/>
            </w:tcBorders>
            <w:shd w:val="clear" w:color="auto" w:fill="auto"/>
          </w:tcPr>
          <w:p w14:paraId="60F07C43"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20</w:t>
            </w:r>
          </w:p>
        </w:tc>
        <w:tc>
          <w:tcPr>
            <w:tcW w:w="926" w:type="dxa"/>
            <w:tcBorders>
              <w:top w:val="nil"/>
              <w:left w:val="nil"/>
              <w:bottom w:val="nil"/>
              <w:right w:val="nil"/>
            </w:tcBorders>
            <w:shd w:val="clear" w:color="auto" w:fill="auto"/>
          </w:tcPr>
          <w:p w14:paraId="04DC1234"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321</w:t>
            </w:r>
          </w:p>
        </w:tc>
        <w:tc>
          <w:tcPr>
            <w:tcW w:w="931" w:type="dxa"/>
            <w:tcBorders>
              <w:top w:val="nil"/>
              <w:left w:val="nil"/>
              <w:bottom w:val="nil"/>
              <w:right w:val="nil"/>
            </w:tcBorders>
            <w:shd w:val="clear" w:color="auto" w:fill="auto"/>
          </w:tcPr>
          <w:p w14:paraId="09B2FA0F"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136</w:t>
            </w:r>
          </w:p>
        </w:tc>
        <w:tc>
          <w:tcPr>
            <w:tcW w:w="921" w:type="dxa"/>
            <w:tcBorders>
              <w:top w:val="nil"/>
              <w:left w:val="nil"/>
              <w:bottom w:val="nil"/>
              <w:right w:val="nil"/>
            </w:tcBorders>
            <w:shd w:val="clear" w:color="auto" w:fill="auto"/>
          </w:tcPr>
          <w:p w14:paraId="322FC886"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139</w:t>
            </w:r>
          </w:p>
        </w:tc>
        <w:tc>
          <w:tcPr>
            <w:tcW w:w="921" w:type="dxa"/>
            <w:tcBorders>
              <w:top w:val="nil"/>
              <w:left w:val="nil"/>
              <w:bottom w:val="nil"/>
              <w:right w:val="nil"/>
            </w:tcBorders>
            <w:shd w:val="clear" w:color="auto" w:fill="auto"/>
          </w:tcPr>
          <w:p w14:paraId="6E2C838F"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616</w:t>
            </w:r>
          </w:p>
        </w:tc>
      </w:tr>
      <w:tr w:rsidR="00C24C61" w:rsidRPr="00C24C61" w14:paraId="0A251F28" w14:textId="77777777" w:rsidTr="0002757D">
        <w:trPr>
          <w:trHeight w:val="227"/>
        </w:trPr>
        <w:tc>
          <w:tcPr>
            <w:tcW w:w="4783" w:type="dxa"/>
            <w:gridSpan w:val="2"/>
            <w:tcBorders>
              <w:left w:val="nil"/>
              <w:bottom w:val="nil"/>
              <w:right w:val="nil"/>
            </w:tcBorders>
          </w:tcPr>
          <w:p w14:paraId="2C9B460A" w14:textId="77777777" w:rsidR="00C24C61" w:rsidRPr="00C24C61" w:rsidRDefault="00C24C61" w:rsidP="00C24C61">
            <w:pPr>
              <w:ind w:left="227" w:hanging="227"/>
              <w:rPr>
                <w:rFonts w:ascii="Calibri" w:hAnsi="Calibri"/>
                <w:bCs/>
                <w:color w:val="000000"/>
                <w:sz w:val="20"/>
                <w:szCs w:val="20"/>
                <w:vertAlign w:val="superscript"/>
                <w:lang w:eastAsia="en-AU"/>
              </w:rPr>
            </w:pPr>
            <w:r w:rsidRPr="00C24C61">
              <w:rPr>
                <w:rFonts w:ascii="Calibri" w:hAnsi="Calibri"/>
                <w:bCs/>
                <w:color w:val="000000"/>
                <w:sz w:val="20"/>
                <w:szCs w:val="20"/>
                <w:lang w:eastAsia="en-AU"/>
              </w:rPr>
              <w:t xml:space="preserve">Commencing Light Rail Stage 1 operations and delivering a light rail stop at Mitchell </w:t>
            </w:r>
            <w:r w:rsidRPr="00C24C61">
              <w:rPr>
                <w:rFonts w:ascii="Calibri" w:hAnsi="Calibri"/>
                <w:bCs/>
                <w:color w:val="000000"/>
                <w:sz w:val="20"/>
                <w:szCs w:val="20"/>
                <w:vertAlign w:val="superscript"/>
                <w:lang w:eastAsia="en-AU"/>
              </w:rPr>
              <w:t>2, 5</w:t>
            </w:r>
          </w:p>
        </w:tc>
        <w:tc>
          <w:tcPr>
            <w:tcW w:w="1156" w:type="dxa"/>
            <w:tcBorders>
              <w:top w:val="nil"/>
              <w:left w:val="nil"/>
              <w:bottom w:val="nil"/>
              <w:right w:val="nil"/>
            </w:tcBorders>
            <w:shd w:val="clear" w:color="auto" w:fill="auto"/>
          </w:tcPr>
          <w:p w14:paraId="5BDAB0C4"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1,347</w:t>
            </w:r>
          </w:p>
        </w:tc>
        <w:tc>
          <w:tcPr>
            <w:tcW w:w="926" w:type="dxa"/>
            <w:tcBorders>
              <w:top w:val="nil"/>
              <w:left w:val="nil"/>
              <w:bottom w:val="nil"/>
              <w:right w:val="nil"/>
            </w:tcBorders>
            <w:shd w:val="clear" w:color="auto" w:fill="auto"/>
          </w:tcPr>
          <w:p w14:paraId="6FBC45D0" w14:textId="77777777" w:rsidR="00C24C61" w:rsidRPr="00C24C61" w:rsidRDefault="00C24C61" w:rsidP="00C24C61">
            <w:pPr>
              <w:ind w:left="227" w:hanging="227"/>
              <w:jc w:val="right"/>
              <w:rPr>
                <w:rFonts w:ascii="Calibri" w:hAnsi="Calibri"/>
                <w:sz w:val="20"/>
                <w:szCs w:val="20"/>
                <w:lang w:eastAsia="en-AU"/>
              </w:rPr>
            </w:pPr>
            <w:proofErr w:type="spellStart"/>
            <w:r w:rsidRPr="00C24C61">
              <w:rPr>
                <w:rFonts w:ascii="Calibri" w:hAnsi="Calibri"/>
                <w:sz w:val="20"/>
                <w:szCs w:val="20"/>
                <w:lang w:eastAsia="en-AU"/>
              </w:rPr>
              <w:t>NFP</w:t>
            </w:r>
            <w:proofErr w:type="spellEnd"/>
          </w:p>
        </w:tc>
        <w:tc>
          <w:tcPr>
            <w:tcW w:w="931" w:type="dxa"/>
            <w:tcBorders>
              <w:top w:val="nil"/>
              <w:left w:val="nil"/>
              <w:bottom w:val="nil"/>
              <w:right w:val="nil"/>
            </w:tcBorders>
            <w:shd w:val="clear" w:color="auto" w:fill="auto"/>
          </w:tcPr>
          <w:p w14:paraId="24CF2B02" w14:textId="77777777" w:rsidR="00C24C61" w:rsidRPr="00C24C61" w:rsidRDefault="00C24C61" w:rsidP="00C24C61">
            <w:pPr>
              <w:ind w:left="227" w:hanging="227"/>
              <w:jc w:val="right"/>
              <w:rPr>
                <w:rFonts w:ascii="Calibri" w:hAnsi="Calibri"/>
                <w:sz w:val="20"/>
                <w:szCs w:val="20"/>
                <w:lang w:eastAsia="en-AU"/>
              </w:rPr>
            </w:pPr>
            <w:proofErr w:type="spellStart"/>
            <w:r w:rsidRPr="00C24C61">
              <w:rPr>
                <w:rFonts w:ascii="Calibri" w:hAnsi="Calibri"/>
                <w:sz w:val="20"/>
                <w:szCs w:val="20"/>
                <w:lang w:eastAsia="en-AU"/>
              </w:rPr>
              <w:t>NFP</w:t>
            </w:r>
            <w:proofErr w:type="spellEnd"/>
          </w:p>
        </w:tc>
        <w:tc>
          <w:tcPr>
            <w:tcW w:w="921" w:type="dxa"/>
            <w:tcBorders>
              <w:top w:val="nil"/>
              <w:left w:val="nil"/>
              <w:bottom w:val="nil"/>
              <w:right w:val="nil"/>
            </w:tcBorders>
            <w:shd w:val="clear" w:color="auto" w:fill="auto"/>
          </w:tcPr>
          <w:p w14:paraId="3AB1BBAD" w14:textId="77777777" w:rsidR="00C24C61" w:rsidRPr="00C24C61" w:rsidRDefault="00C24C61" w:rsidP="00C24C61">
            <w:pPr>
              <w:ind w:left="227" w:hanging="227"/>
              <w:jc w:val="right"/>
              <w:rPr>
                <w:rFonts w:ascii="Calibri" w:hAnsi="Calibri"/>
                <w:sz w:val="20"/>
                <w:szCs w:val="20"/>
                <w:lang w:eastAsia="en-AU"/>
              </w:rPr>
            </w:pPr>
            <w:proofErr w:type="spellStart"/>
            <w:r w:rsidRPr="00C24C61">
              <w:rPr>
                <w:rFonts w:ascii="Calibri" w:hAnsi="Calibri"/>
                <w:sz w:val="20"/>
                <w:szCs w:val="20"/>
                <w:lang w:eastAsia="en-AU"/>
              </w:rPr>
              <w:t>NFP</w:t>
            </w:r>
            <w:proofErr w:type="spellEnd"/>
          </w:p>
        </w:tc>
        <w:tc>
          <w:tcPr>
            <w:tcW w:w="921" w:type="dxa"/>
            <w:tcBorders>
              <w:top w:val="nil"/>
              <w:left w:val="nil"/>
              <w:bottom w:val="nil"/>
              <w:right w:val="nil"/>
            </w:tcBorders>
            <w:shd w:val="clear" w:color="auto" w:fill="auto"/>
          </w:tcPr>
          <w:p w14:paraId="4F79AE6B" w14:textId="77777777" w:rsidR="00C24C61" w:rsidRPr="00C24C61" w:rsidRDefault="00C24C61" w:rsidP="00C24C61">
            <w:pPr>
              <w:ind w:left="227" w:hanging="227"/>
              <w:jc w:val="right"/>
              <w:rPr>
                <w:rFonts w:ascii="Calibri" w:hAnsi="Calibri"/>
                <w:sz w:val="20"/>
                <w:szCs w:val="20"/>
                <w:lang w:eastAsia="en-AU"/>
              </w:rPr>
            </w:pPr>
            <w:proofErr w:type="spellStart"/>
            <w:r w:rsidRPr="00C24C61">
              <w:rPr>
                <w:rFonts w:ascii="Calibri" w:hAnsi="Calibri"/>
                <w:sz w:val="20"/>
                <w:szCs w:val="20"/>
                <w:lang w:eastAsia="en-AU"/>
              </w:rPr>
              <w:t>NFP</w:t>
            </w:r>
            <w:proofErr w:type="spellEnd"/>
          </w:p>
        </w:tc>
      </w:tr>
      <w:tr w:rsidR="00C24C61" w:rsidRPr="00C24C61" w14:paraId="59DF75B9" w14:textId="77777777" w:rsidTr="0002757D">
        <w:trPr>
          <w:trHeight w:val="227"/>
        </w:trPr>
        <w:tc>
          <w:tcPr>
            <w:tcW w:w="4783" w:type="dxa"/>
            <w:gridSpan w:val="2"/>
            <w:tcBorders>
              <w:left w:val="nil"/>
              <w:bottom w:val="nil"/>
              <w:right w:val="nil"/>
            </w:tcBorders>
          </w:tcPr>
          <w:p w14:paraId="4D2904AB" w14:textId="77777777" w:rsidR="00C24C61" w:rsidRPr="00C24C61" w:rsidRDefault="00C24C61" w:rsidP="00C24C61">
            <w:pPr>
              <w:ind w:left="227" w:hanging="227"/>
              <w:rPr>
                <w:rFonts w:ascii="Calibri" w:hAnsi="Calibri"/>
                <w:bCs/>
                <w:color w:val="000000"/>
                <w:sz w:val="20"/>
                <w:szCs w:val="20"/>
                <w:lang w:eastAsia="en-AU"/>
              </w:rPr>
            </w:pPr>
            <w:r w:rsidRPr="00C24C61">
              <w:rPr>
                <w:rFonts w:ascii="Calibri" w:hAnsi="Calibri"/>
                <w:bCs/>
                <w:color w:val="000000"/>
                <w:sz w:val="20"/>
                <w:szCs w:val="20"/>
                <w:lang w:eastAsia="en-AU"/>
              </w:rPr>
              <w:t>Delivering better community infrastructure</w:t>
            </w:r>
          </w:p>
        </w:tc>
        <w:tc>
          <w:tcPr>
            <w:tcW w:w="1156" w:type="dxa"/>
            <w:tcBorders>
              <w:top w:val="nil"/>
              <w:left w:val="nil"/>
              <w:bottom w:val="nil"/>
              <w:right w:val="nil"/>
            </w:tcBorders>
            <w:shd w:val="clear" w:color="auto" w:fill="auto"/>
          </w:tcPr>
          <w:p w14:paraId="39A4E45F"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2,500</w:t>
            </w:r>
          </w:p>
        </w:tc>
        <w:tc>
          <w:tcPr>
            <w:tcW w:w="926" w:type="dxa"/>
            <w:tcBorders>
              <w:top w:val="nil"/>
              <w:left w:val="nil"/>
              <w:bottom w:val="nil"/>
              <w:right w:val="nil"/>
            </w:tcBorders>
            <w:shd w:val="clear" w:color="auto" w:fill="auto"/>
          </w:tcPr>
          <w:p w14:paraId="05D9D899"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2,563</w:t>
            </w:r>
          </w:p>
        </w:tc>
        <w:tc>
          <w:tcPr>
            <w:tcW w:w="931" w:type="dxa"/>
            <w:tcBorders>
              <w:top w:val="nil"/>
              <w:left w:val="nil"/>
              <w:bottom w:val="nil"/>
              <w:right w:val="nil"/>
            </w:tcBorders>
            <w:shd w:val="clear" w:color="auto" w:fill="auto"/>
          </w:tcPr>
          <w:p w14:paraId="11570F05"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2,627</w:t>
            </w:r>
          </w:p>
        </w:tc>
        <w:tc>
          <w:tcPr>
            <w:tcW w:w="921" w:type="dxa"/>
            <w:tcBorders>
              <w:top w:val="nil"/>
              <w:left w:val="nil"/>
              <w:bottom w:val="nil"/>
              <w:right w:val="nil"/>
            </w:tcBorders>
            <w:shd w:val="clear" w:color="auto" w:fill="auto"/>
          </w:tcPr>
          <w:p w14:paraId="53E7F773"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2,692</w:t>
            </w:r>
          </w:p>
        </w:tc>
        <w:tc>
          <w:tcPr>
            <w:tcW w:w="921" w:type="dxa"/>
            <w:tcBorders>
              <w:top w:val="nil"/>
              <w:left w:val="nil"/>
              <w:bottom w:val="nil"/>
              <w:right w:val="nil"/>
            </w:tcBorders>
            <w:shd w:val="clear" w:color="auto" w:fill="auto"/>
          </w:tcPr>
          <w:p w14:paraId="050CDF4E"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10,382</w:t>
            </w:r>
          </w:p>
        </w:tc>
      </w:tr>
      <w:tr w:rsidR="00C24C61" w:rsidRPr="00C24C61" w14:paraId="3B2D382B" w14:textId="77777777" w:rsidTr="0002757D">
        <w:trPr>
          <w:trHeight w:val="227"/>
        </w:trPr>
        <w:tc>
          <w:tcPr>
            <w:tcW w:w="4783" w:type="dxa"/>
            <w:gridSpan w:val="2"/>
            <w:tcBorders>
              <w:left w:val="nil"/>
              <w:bottom w:val="nil"/>
              <w:right w:val="nil"/>
            </w:tcBorders>
          </w:tcPr>
          <w:p w14:paraId="6CB4117F" w14:textId="77777777" w:rsidR="00C24C61" w:rsidRPr="00C24C61" w:rsidRDefault="00C24C61" w:rsidP="00C24C61">
            <w:pPr>
              <w:ind w:left="227" w:hanging="227"/>
              <w:rPr>
                <w:rFonts w:ascii="Calibri" w:hAnsi="Calibri"/>
                <w:bCs/>
                <w:color w:val="000000"/>
                <w:sz w:val="20"/>
                <w:szCs w:val="20"/>
                <w:vertAlign w:val="superscript"/>
                <w:lang w:eastAsia="en-AU"/>
              </w:rPr>
            </w:pPr>
            <w:r w:rsidRPr="00C24C61">
              <w:rPr>
                <w:rFonts w:ascii="Calibri" w:hAnsi="Calibri"/>
                <w:bCs/>
                <w:color w:val="000000"/>
                <w:sz w:val="20"/>
                <w:szCs w:val="20"/>
                <w:lang w:eastAsia="en-AU"/>
              </w:rPr>
              <w:t xml:space="preserve">Delivering safer intersections </w:t>
            </w:r>
            <w:r w:rsidRPr="00C24C61">
              <w:rPr>
                <w:rFonts w:ascii="Calibri" w:hAnsi="Calibri"/>
                <w:bCs/>
                <w:color w:val="000000"/>
                <w:sz w:val="20"/>
                <w:szCs w:val="20"/>
                <w:vertAlign w:val="superscript"/>
                <w:lang w:eastAsia="en-AU"/>
              </w:rPr>
              <w:t>2</w:t>
            </w:r>
          </w:p>
        </w:tc>
        <w:tc>
          <w:tcPr>
            <w:tcW w:w="1156" w:type="dxa"/>
            <w:tcBorders>
              <w:top w:val="nil"/>
              <w:left w:val="nil"/>
              <w:bottom w:val="nil"/>
              <w:right w:val="nil"/>
            </w:tcBorders>
            <w:shd w:val="clear" w:color="auto" w:fill="auto"/>
          </w:tcPr>
          <w:p w14:paraId="5310266D"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3,000</w:t>
            </w:r>
          </w:p>
        </w:tc>
        <w:tc>
          <w:tcPr>
            <w:tcW w:w="926" w:type="dxa"/>
            <w:tcBorders>
              <w:top w:val="nil"/>
              <w:left w:val="nil"/>
              <w:bottom w:val="nil"/>
              <w:right w:val="nil"/>
            </w:tcBorders>
            <w:shd w:val="clear" w:color="auto" w:fill="auto"/>
          </w:tcPr>
          <w:p w14:paraId="2D9F1604"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5,520</w:t>
            </w:r>
          </w:p>
        </w:tc>
        <w:tc>
          <w:tcPr>
            <w:tcW w:w="931" w:type="dxa"/>
            <w:tcBorders>
              <w:top w:val="nil"/>
              <w:left w:val="nil"/>
              <w:bottom w:val="nil"/>
              <w:right w:val="nil"/>
            </w:tcBorders>
            <w:shd w:val="clear" w:color="auto" w:fill="auto"/>
          </w:tcPr>
          <w:p w14:paraId="4B1C58F1"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5,500</w:t>
            </w:r>
          </w:p>
        </w:tc>
        <w:tc>
          <w:tcPr>
            <w:tcW w:w="921" w:type="dxa"/>
            <w:tcBorders>
              <w:top w:val="nil"/>
              <w:left w:val="nil"/>
              <w:bottom w:val="nil"/>
              <w:right w:val="nil"/>
            </w:tcBorders>
            <w:shd w:val="clear" w:color="auto" w:fill="auto"/>
          </w:tcPr>
          <w:p w14:paraId="198CE5F4"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0</w:t>
            </w:r>
          </w:p>
        </w:tc>
        <w:tc>
          <w:tcPr>
            <w:tcW w:w="921" w:type="dxa"/>
            <w:tcBorders>
              <w:top w:val="nil"/>
              <w:left w:val="nil"/>
              <w:bottom w:val="nil"/>
              <w:right w:val="nil"/>
            </w:tcBorders>
            <w:shd w:val="clear" w:color="auto" w:fill="auto"/>
          </w:tcPr>
          <w:p w14:paraId="4D5E714B"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14,020</w:t>
            </w:r>
          </w:p>
        </w:tc>
      </w:tr>
      <w:tr w:rsidR="00C24C61" w:rsidRPr="00C24C61" w14:paraId="36765E7E" w14:textId="77777777" w:rsidTr="0002757D">
        <w:trPr>
          <w:trHeight w:val="227"/>
        </w:trPr>
        <w:tc>
          <w:tcPr>
            <w:tcW w:w="4783" w:type="dxa"/>
            <w:gridSpan w:val="2"/>
            <w:tcBorders>
              <w:left w:val="nil"/>
              <w:bottom w:val="nil"/>
              <w:right w:val="nil"/>
            </w:tcBorders>
          </w:tcPr>
          <w:p w14:paraId="50D08F01" w14:textId="77777777" w:rsidR="00C24C61" w:rsidRPr="00C24C61" w:rsidRDefault="00C24C61" w:rsidP="00C24C61">
            <w:pPr>
              <w:ind w:left="227" w:hanging="227"/>
              <w:rPr>
                <w:rFonts w:ascii="Calibri" w:hAnsi="Calibri"/>
                <w:bCs/>
                <w:color w:val="000000"/>
                <w:sz w:val="20"/>
                <w:szCs w:val="20"/>
                <w:vertAlign w:val="superscript"/>
                <w:lang w:eastAsia="en-AU"/>
              </w:rPr>
            </w:pPr>
            <w:r w:rsidRPr="00C24C61">
              <w:rPr>
                <w:rFonts w:ascii="Calibri" w:hAnsi="Calibri"/>
                <w:bCs/>
                <w:color w:val="000000"/>
                <w:sz w:val="20"/>
                <w:szCs w:val="20"/>
                <w:lang w:eastAsia="en-AU"/>
              </w:rPr>
              <w:t xml:space="preserve">Delivering Stage 2 of Light Rail to Woden </w:t>
            </w:r>
            <w:r w:rsidRPr="00C24C61">
              <w:rPr>
                <w:rFonts w:ascii="Calibri" w:hAnsi="Calibri"/>
                <w:bCs/>
                <w:color w:val="000000"/>
                <w:sz w:val="20"/>
                <w:szCs w:val="20"/>
                <w:vertAlign w:val="superscript"/>
                <w:lang w:eastAsia="en-AU"/>
              </w:rPr>
              <w:t>2</w:t>
            </w:r>
          </w:p>
        </w:tc>
        <w:tc>
          <w:tcPr>
            <w:tcW w:w="1156" w:type="dxa"/>
            <w:tcBorders>
              <w:top w:val="nil"/>
              <w:left w:val="nil"/>
              <w:bottom w:val="nil"/>
              <w:right w:val="nil"/>
            </w:tcBorders>
            <w:shd w:val="clear" w:color="auto" w:fill="auto"/>
          </w:tcPr>
          <w:p w14:paraId="6C0AFAD8"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1,750</w:t>
            </w:r>
          </w:p>
        </w:tc>
        <w:tc>
          <w:tcPr>
            <w:tcW w:w="926" w:type="dxa"/>
            <w:tcBorders>
              <w:top w:val="nil"/>
              <w:left w:val="nil"/>
              <w:bottom w:val="nil"/>
              <w:right w:val="nil"/>
            </w:tcBorders>
            <w:shd w:val="clear" w:color="auto" w:fill="auto"/>
          </w:tcPr>
          <w:p w14:paraId="7C46165E"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31,646</w:t>
            </w:r>
          </w:p>
        </w:tc>
        <w:tc>
          <w:tcPr>
            <w:tcW w:w="931" w:type="dxa"/>
            <w:tcBorders>
              <w:top w:val="nil"/>
              <w:left w:val="nil"/>
              <w:bottom w:val="nil"/>
              <w:right w:val="nil"/>
            </w:tcBorders>
            <w:shd w:val="clear" w:color="auto" w:fill="auto"/>
          </w:tcPr>
          <w:p w14:paraId="27D5158D"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13,500</w:t>
            </w:r>
          </w:p>
        </w:tc>
        <w:tc>
          <w:tcPr>
            <w:tcW w:w="921" w:type="dxa"/>
            <w:tcBorders>
              <w:top w:val="nil"/>
              <w:left w:val="nil"/>
              <w:bottom w:val="nil"/>
              <w:right w:val="nil"/>
            </w:tcBorders>
            <w:shd w:val="clear" w:color="auto" w:fill="auto"/>
          </w:tcPr>
          <w:p w14:paraId="34A89060"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0</w:t>
            </w:r>
          </w:p>
        </w:tc>
        <w:tc>
          <w:tcPr>
            <w:tcW w:w="921" w:type="dxa"/>
            <w:tcBorders>
              <w:top w:val="nil"/>
              <w:left w:val="nil"/>
              <w:bottom w:val="nil"/>
              <w:right w:val="nil"/>
            </w:tcBorders>
            <w:shd w:val="clear" w:color="auto" w:fill="auto"/>
          </w:tcPr>
          <w:p w14:paraId="41B777A9"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46,896</w:t>
            </w:r>
          </w:p>
        </w:tc>
      </w:tr>
      <w:tr w:rsidR="00C24C61" w:rsidRPr="00C24C61" w14:paraId="700EFFEF" w14:textId="77777777" w:rsidTr="0002757D">
        <w:trPr>
          <w:trHeight w:val="227"/>
        </w:trPr>
        <w:tc>
          <w:tcPr>
            <w:tcW w:w="4783" w:type="dxa"/>
            <w:gridSpan w:val="2"/>
            <w:tcBorders>
              <w:left w:val="nil"/>
              <w:bottom w:val="nil"/>
              <w:right w:val="nil"/>
            </w:tcBorders>
          </w:tcPr>
          <w:p w14:paraId="7613E847" w14:textId="77777777" w:rsidR="00C24C61" w:rsidRPr="00C24C61" w:rsidRDefault="00C24C61" w:rsidP="00C24C61">
            <w:pPr>
              <w:ind w:left="227" w:hanging="227"/>
              <w:rPr>
                <w:rFonts w:ascii="Calibri" w:hAnsi="Calibri"/>
                <w:bCs/>
                <w:color w:val="000000"/>
                <w:sz w:val="20"/>
                <w:szCs w:val="20"/>
                <w:vertAlign w:val="superscript"/>
                <w:lang w:eastAsia="en-AU"/>
              </w:rPr>
            </w:pPr>
            <w:r w:rsidRPr="00C24C61">
              <w:rPr>
                <w:rFonts w:ascii="Calibri" w:hAnsi="Calibri"/>
                <w:bCs/>
                <w:color w:val="000000"/>
                <w:sz w:val="20"/>
                <w:szCs w:val="20"/>
                <w:lang w:eastAsia="en-AU"/>
              </w:rPr>
              <w:t xml:space="preserve">Growing investment in services for our suburbs </w:t>
            </w:r>
            <w:r w:rsidRPr="00C24C61">
              <w:rPr>
                <w:rFonts w:ascii="Calibri" w:hAnsi="Calibri"/>
                <w:bCs/>
                <w:color w:val="000000"/>
                <w:sz w:val="20"/>
                <w:szCs w:val="20"/>
                <w:vertAlign w:val="superscript"/>
                <w:lang w:eastAsia="en-AU"/>
              </w:rPr>
              <w:t>2</w:t>
            </w:r>
          </w:p>
        </w:tc>
        <w:tc>
          <w:tcPr>
            <w:tcW w:w="1156" w:type="dxa"/>
            <w:tcBorders>
              <w:top w:val="nil"/>
              <w:left w:val="nil"/>
              <w:bottom w:val="nil"/>
              <w:right w:val="nil"/>
            </w:tcBorders>
            <w:shd w:val="clear" w:color="auto" w:fill="auto"/>
          </w:tcPr>
          <w:p w14:paraId="74C2EA32"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558</w:t>
            </w:r>
          </w:p>
        </w:tc>
        <w:tc>
          <w:tcPr>
            <w:tcW w:w="926" w:type="dxa"/>
            <w:tcBorders>
              <w:top w:val="nil"/>
              <w:left w:val="nil"/>
              <w:bottom w:val="nil"/>
              <w:right w:val="nil"/>
            </w:tcBorders>
            <w:shd w:val="clear" w:color="auto" w:fill="auto"/>
          </w:tcPr>
          <w:p w14:paraId="749F6A7C"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0</w:t>
            </w:r>
          </w:p>
        </w:tc>
        <w:tc>
          <w:tcPr>
            <w:tcW w:w="931" w:type="dxa"/>
            <w:tcBorders>
              <w:top w:val="nil"/>
              <w:left w:val="nil"/>
              <w:bottom w:val="nil"/>
              <w:right w:val="nil"/>
            </w:tcBorders>
            <w:shd w:val="clear" w:color="auto" w:fill="auto"/>
          </w:tcPr>
          <w:p w14:paraId="22C50DA9"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0</w:t>
            </w:r>
          </w:p>
        </w:tc>
        <w:tc>
          <w:tcPr>
            <w:tcW w:w="921" w:type="dxa"/>
            <w:tcBorders>
              <w:top w:val="nil"/>
              <w:left w:val="nil"/>
              <w:bottom w:val="nil"/>
              <w:right w:val="nil"/>
            </w:tcBorders>
            <w:shd w:val="clear" w:color="auto" w:fill="auto"/>
          </w:tcPr>
          <w:p w14:paraId="7CA9D48C"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0</w:t>
            </w:r>
          </w:p>
        </w:tc>
        <w:tc>
          <w:tcPr>
            <w:tcW w:w="921" w:type="dxa"/>
            <w:tcBorders>
              <w:top w:val="nil"/>
              <w:left w:val="nil"/>
              <w:bottom w:val="nil"/>
              <w:right w:val="nil"/>
            </w:tcBorders>
            <w:shd w:val="clear" w:color="auto" w:fill="auto"/>
          </w:tcPr>
          <w:p w14:paraId="1A4BFBFE"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558</w:t>
            </w:r>
          </w:p>
        </w:tc>
      </w:tr>
      <w:tr w:rsidR="00C24C61" w:rsidRPr="00C24C61" w14:paraId="73A6BF6F" w14:textId="77777777" w:rsidTr="0002757D">
        <w:trPr>
          <w:trHeight w:val="227"/>
        </w:trPr>
        <w:tc>
          <w:tcPr>
            <w:tcW w:w="4783" w:type="dxa"/>
            <w:gridSpan w:val="2"/>
            <w:tcBorders>
              <w:left w:val="nil"/>
              <w:bottom w:val="nil"/>
              <w:right w:val="nil"/>
            </w:tcBorders>
          </w:tcPr>
          <w:p w14:paraId="0A7D6AAA" w14:textId="77777777" w:rsidR="00C24C61" w:rsidRPr="00C24C61" w:rsidRDefault="00C24C61" w:rsidP="00C24C61">
            <w:pPr>
              <w:ind w:left="227" w:hanging="227"/>
              <w:rPr>
                <w:rFonts w:ascii="Calibri" w:hAnsi="Calibri"/>
                <w:bCs/>
                <w:color w:val="000000"/>
                <w:sz w:val="20"/>
                <w:szCs w:val="20"/>
                <w:lang w:eastAsia="en-AU"/>
              </w:rPr>
            </w:pPr>
            <w:r w:rsidRPr="00C24C61">
              <w:rPr>
                <w:rFonts w:ascii="Calibri" w:hAnsi="Calibri"/>
                <w:bCs/>
                <w:color w:val="000000"/>
                <w:sz w:val="20"/>
                <w:szCs w:val="20"/>
                <w:lang w:eastAsia="en-AU"/>
              </w:rPr>
              <w:t>Improving local shopping centres</w:t>
            </w:r>
          </w:p>
        </w:tc>
        <w:tc>
          <w:tcPr>
            <w:tcW w:w="1156" w:type="dxa"/>
            <w:tcBorders>
              <w:top w:val="nil"/>
              <w:left w:val="nil"/>
              <w:bottom w:val="nil"/>
              <w:right w:val="nil"/>
            </w:tcBorders>
            <w:shd w:val="clear" w:color="auto" w:fill="auto"/>
          </w:tcPr>
          <w:p w14:paraId="0871B289"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500</w:t>
            </w:r>
          </w:p>
        </w:tc>
        <w:tc>
          <w:tcPr>
            <w:tcW w:w="926" w:type="dxa"/>
            <w:tcBorders>
              <w:top w:val="nil"/>
              <w:left w:val="nil"/>
              <w:bottom w:val="nil"/>
              <w:right w:val="nil"/>
            </w:tcBorders>
            <w:shd w:val="clear" w:color="auto" w:fill="auto"/>
          </w:tcPr>
          <w:p w14:paraId="0CDADCC8"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0</w:t>
            </w:r>
          </w:p>
        </w:tc>
        <w:tc>
          <w:tcPr>
            <w:tcW w:w="931" w:type="dxa"/>
            <w:tcBorders>
              <w:top w:val="nil"/>
              <w:left w:val="nil"/>
              <w:bottom w:val="nil"/>
              <w:right w:val="nil"/>
            </w:tcBorders>
            <w:shd w:val="clear" w:color="auto" w:fill="auto"/>
          </w:tcPr>
          <w:p w14:paraId="4354A22C"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0</w:t>
            </w:r>
          </w:p>
        </w:tc>
        <w:tc>
          <w:tcPr>
            <w:tcW w:w="921" w:type="dxa"/>
            <w:tcBorders>
              <w:top w:val="nil"/>
              <w:left w:val="nil"/>
              <w:bottom w:val="nil"/>
              <w:right w:val="nil"/>
            </w:tcBorders>
            <w:shd w:val="clear" w:color="auto" w:fill="auto"/>
          </w:tcPr>
          <w:p w14:paraId="20DE50B2"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0</w:t>
            </w:r>
          </w:p>
        </w:tc>
        <w:tc>
          <w:tcPr>
            <w:tcW w:w="921" w:type="dxa"/>
            <w:tcBorders>
              <w:top w:val="nil"/>
              <w:left w:val="nil"/>
              <w:bottom w:val="nil"/>
              <w:right w:val="nil"/>
            </w:tcBorders>
            <w:shd w:val="clear" w:color="auto" w:fill="auto"/>
          </w:tcPr>
          <w:p w14:paraId="0BCA86EC"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500</w:t>
            </w:r>
          </w:p>
        </w:tc>
      </w:tr>
      <w:tr w:rsidR="00C24C61" w:rsidRPr="00C24C61" w14:paraId="3634D096" w14:textId="77777777" w:rsidTr="0002757D">
        <w:trPr>
          <w:trHeight w:val="227"/>
        </w:trPr>
        <w:tc>
          <w:tcPr>
            <w:tcW w:w="4783" w:type="dxa"/>
            <w:gridSpan w:val="2"/>
            <w:tcBorders>
              <w:left w:val="nil"/>
              <w:bottom w:val="nil"/>
              <w:right w:val="nil"/>
            </w:tcBorders>
          </w:tcPr>
          <w:p w14:paraId="5F0AEBE6" w14:textId="77777777" w:rsidR="00C24C61" w:rsidRPr="00C24C61" w:rsidRDefault="00C24C61" w:rsidP="00C24C61">
            <w:pPr>
              <w:ind w:left="227" w:hanging="227"/>
              <w:rPr>
                <w:rFonts w:ascii="Calibri" w:hAnsi="Calibri"/>
                <w:bCs/>
                <w:color w:val="000000"/>
                <w:sz w:val="20"/>
                <w:szCs w:val="20"/>
                <w:vertAlign w:val="superscript"/>
                <w:lang w:eastAsia="en-AU"/>
              </w:rPr>
            </w:pPr>
            <w:r w:rsidRPr="00C24C61">
              <w:rPr>
                <w:rFonts w:ascii="Calibri" w:hAnsi="Calibri"/>
                <w:bCs/>
                <w:color w:val="000000"/>
                <w:sz w:val="20"/>
                <w:szCs w:val="20"/>
                <w:lang w:eastAsia="en-AU"/>
              </w:rPr>
              <w:t xml:space="preserve">Improving stormwater networks </w:t>
            </w:r>
            <w:r w:rsidRPr="00C24C61">
              <w:rPr>
                <w:rFonts w:ascii="Calibri" w:hAnsi="Calibri"/>
                <w:bCs/>
                <w:color w:val="000000"/>
                <w:sz w:val="20"/>
                <w:szCs w:val="20"/>
                <w:vertAlign w:val="superscript"/>
                <w:lang w:eastAsia="en-AU"/>
              </w:rPr>
              <w:t>2</w:t>
            </w:r>
          </w:p>
        </w:tc>
        <w:tc>
          <w:tcPr>
            <w:tcW w:w="1156" w:type="dxa"/>
            <w:tcBorders>
              <w:top w:val="nil"/>
              <w:left w:val="nil"/>
              <w:bottom w:val="nil"/>
              <w:right w:val="nil"/>
            </w:tcBorders>
            <w:shd w:val="clear" w:color="auto" w:fill="auto"/>
          </w:tcPr>
          <w:p w14:paraId="4108CA05"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2,551</w:t>
            </w:r>
          </w:p>
        </w:tc>
        <w:tc>
          <w:tcPr>
            <w:tcW w:w="926" w:type="dxa"/>
            <w:tcBorders>
              <w:top w:val="nil"/>
              <w:left w:val="nil"/>
              <w:bottom w:val="nil"/>
              <w:right w:val="nil"/>
            </w:tcBorders>
            <w:shd w:val="clear" w:color="auto" w:fill="auto"/>
          </w:tcPr>
          <w:p w14:paraId="093AF823"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4,800</w:t>
            </w:r>
          </w:p>
        </w:tc>
        <w:tc>
          <w:tcPr>
            <w:tcW w:w="931" w:type="dxa"/>
            <w:tcBorders>
              <w:top w:val="nil"/>
              <w:left w:val="nil"/>
              <w:bottom w:val="nil"/>
              <w:right w:val="nil"/>
            </w:tcBorders>
            <w:shd w:val="clear" w:color="auto" w:fill="auto"/>
          </w:tcPr>
          <w:p w14:paraId="364E13C8"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7,710</w:t>
            </w:r>
          </w:p>
        </w:tc>
        <w:tc>
          <w:tcPr>
            <w:tcW w:w="921" w:type="dxa"/>
            <w:tcBorders>
              <w:top w:val="nil"/>
              <w:left w:val="nil"/>
              <w:bottom w:val="nil"/>
              <w:right w:val="nil"/>
            </w:tcBorders>
            <w:shd w:val="clear" w:color="auto" w:fill="auto"/>
          </w:tcPr>
          <w:p w14:paraId="6C59BAEB"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4,000</w:t>
            </w:r>
          </w:p>
        </w:tc>
        <w:tc>
          <w:tcPr>
            <w:tcW w:w="921" w:type="dxa"/>
            <w:tcBorders>
              <w:top w:val="nil"/>
              <w:left w:val="nil"/>
              <w:bottom w:val="nil"/>
              <w:right w:val="nil"/>
            </w:tcBorders>
            <w:shd w:val="clear" w:color="auto" w:fill="auto"/>
          </w:tcPr>
          <w:p w14:paraId="4964AC5A"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19,061</w:t>
            </w:r>
          </w:p>
        </w:tc>
      </w:tr>
      <w:tr w:rsidR="00C24C61" w:rsidRPr="00C24C61" w14:paraId="35BECA0D" w14:textId="77777777" w:rsidTr="0002757D">
        <w:trPr>
          <w:trHeight w:val="227"/>
        </w:trPr>
        <w:tc>
          <w:tcPr>
            <w:tcW w:w="4783" w:type="dxa"/>
            <w:gridSpan w:val="2"/>
            <w:tcBorders>
              <w:left w:val="nil"/>
              <w:bottom w:val="nil"/>
              <w:right w:val="nil"/>
            </w:tcBorders>
          </w:tcPr>
          <w:p w14:paraId="2332E6CE" w14:textId="77777777" w:rsidR="00C24C61" w:rsidRPr="00C24C61" w:rsidRDefault="00C24C61" w:rsidP="00C24C61">
            <w:pPr>
              <w:ind w:left="227" w:hanging="227"/>
              <w:rPr>
                <w:rFonts w:ascii="Calibri" w:hAnsi="Calibri"/>
                <w:bCs/>
                <w:color w:val="000000"/>
                <w:sz w:val="20"/>
                <w:szCs w:val="20"/>
                <w:lang w:eastAsia="en-AU"/>
              </w:rPr>
            </w:pPr>
            <w:r w:rsidRPr="00C24C61">
              <w:rPr>
                <w:rFonts w:ascii="Calibri" w:hAnsi="Calibri"/>
                <w:bCs/>
                <w:color w:val="000000"/>
                <w:sz w:val="20"/>
                <w:szCs w:val="20"/>
                <w:lang w:eastAsia="en-AU"/>
              </w:rPr>
              <w:t>Improving water management infrastructure</w:t>
            </w:r>
          </w:p>
        </w:tc>
        <w:tc>
          <w:tcPr>
            <w:tcW w:w="1156" w:type="dxa"/>
            <w:tcBorders>
              <w:top w:val="nil"/>
              <w:left w:val="nil"/>
              <w:bottom w:val="nil"/>
              <w:right w:val="nil"/>
            </w:tcBorders>
            <w:shd w:val="clear" w:color="auto" w:fill="auto"/>
          </w:tcPr>
          <w:p w14:paraId="72CD3E48"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500</w:t>
            </w:r>
          </w:p>
        </w:tc>
        <w:tc>
          <w:tcPr>
            <w:tcW w:w="926" w:type="dxa"/>
            <w:tcBorders>
              <w:top w:val="nil"/>
              <w:left w:val="nil"/>
              <w:bottom w:val="nil"/>
              <w:right w:val="nil"/>
            </w:tcBorders>
            <w:shd w:val="clear" w:color="auto" w:fill="auto"/>
          </w:tcPr>
          <w:p w14:paraId="46DB3B01"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3,980</w:t>
            </w:r>
          </w:p>
        </w:tc>
        <w:tc>
          <w:tcPr>
            <w:tcW w:w="931" w:type="dxa"/>
            <w:tcBorders>
              <w:top w:val="nil"/>
              <w:left w:val="nil"/>
              <w:bottom w:val="nil"/>
              <w:right w:val="nil"/>
            </w:tcBorders>
            <w:shd w:val="clear" w:color="auto" w:fill="auto"/>
          </w:tcPr>
          <w:p w14:paraId="63737019"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20</w:t>
            </w:r>
          </w:p>
        </w:tc>
        <w:tc>
          <w:tcPr>
            <w:tcW w:w="921" w:type="dxa"/>
            <w:tcBorders>
              <w:top w:val="nil"/>
              <w:left w:val="nil"/>
              <w:bottom w:val="nil"/>
              <w:right w:val="nil"/>
            </w:tcBorders>
            <w:shd w:val="clear" w:color="auto" w:fill="auto"/>
          </w:tcPr>
          <w:p w14:paraId="5EA06E02"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0</w:t>
            </w:r>
          </w:p>
        </w:tc>
        <w:tc>
          <w:tcPr>
            <w:tcW w:w="921" w:type="dxa"/>
            <w:tcBorders>
              <w:top w:val="nil"/>
              <w:left w:val="nil"/>
              <w:bottom w:val="nil"/>
              <w:right w:val="nil"/>
            </w:tcBorders>
            <w:shd w:val="clear" w:color="auto" w:fill="auto"/>
          </w:tcPr>
          <w:p w14:paraId="4BA93764"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4,500</w:t>
            </w:r>
          </w:p>
        </w:tc>
      </w:tr>
      <w:tr w:rsidR="00C24C61" w:rsidRPr="00C24C61" w14:paraId="50141DFA" w14:textId="77777777" w:rsidTr="0002757D">
        <w:trPr>
          <w:trHeight w:val="227"/>
        </w:trPr>
        <w:tc>
          <w:tcPr>
            <w:tcW w:w="4783" w:type="dxa"/>
            <w:gridSpan w:val="2"/>
            <w:tcBorders>
              <w:left w:val="nil"/>
              <w:bottom w:val="nil"/>
              <w:right w:val="nil"/>
            </w:tcBorders>
          </w:tcPr>
          <w:p w14:paraId="735A1C93" w14:textId="77777777" w:rsidR="00C24C61" w:rsidRPr="00C24C61" w:rsidRDefault="00C24C61" w:rsidP="00C24C61">
            <w:pPr>
              <w:ind w:left="227" w:hanging="227"/>
              <w:rPr>
                <w:rFonts w:ascii="Calibri" w:hAnsi="Calibri"/>
                <w:bCs/>
                <w:color w:val="000000"/>
                <w:sz w:val="20"/>
                <w:szCs w:val="20"/>
                <w:vertAlign w:val="superscript"/>
                <w:lang w:eastAsia="en-AU"/>
              </w:rPr>
            </w:pPr>
            <w:r w:rsidRPr="00C24C61">
              <w:rPr>
                <w:rFonts w:ascii="Calibri" w:hAnsi="Calibri"/>
                <w:bCs/>
                <w:color w:val="000000"/>
                <w:sz w:val="20"/>
                <w:szCs w:val="20"/>
                <w:lang w:eastAsia="en-AU"/>
              </w:rPr>
              <w:t xml:space="preserve">Making our roads safer while keeping Canberra moving </w:t>
            </w:r>
            <w:r w:rsidRPr="00C24C61">
              <w:rPr>
                <w:rFonts w:ascii="Calibri" w:hAnsi="Calibri"/>
                <w:bCs/>
                <w:color w:val="000000"/>
                <w:sz w:val="20"/>
                <w:szCs w:val="20"/>
                <w:vertAlign w:val="superscript"/>
                <w:lang w:eastAsia="en-AU"/>
              </w:rPr>
              <w:t>2</w:t>
            </w:r>
          </w:p>
        </w:tc>
        <w:tc>
          <w:tcPr>
            <w:tcW w:w="1156" w:type="dxa"/>
            <w:tcBorders>
              <w:top w:val="nil"/>
              <w:left w:val="nil"/>
              <w:bottom w:val="nil"/>
              <w:right w:val="nil"/>
            </w:tcBorders>
            <w:shd w:val="clear" w:color="auto" w:fill="auto"/>
          </w:tcPr>
          <w:p w14:paraId="63073B05"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-3,879</w:t>
            </w:r>
          </w:p>
        </w:tc>
        <w:tc>
          <w:tcPr>
            <w:tcW w:w="926" w:type="dxa"/>
            <w:tcBorders>
              <w:top w:val="nil"/>
              <w:left w:val="nil"/>
              <w:bottom w:val="nil"/>
              <w:right w:val="nil"/>
            </w:tcBorders>
            <w:shd w:val="clear" w:color="auto" w:fill="auto"/>
          </w:tcPr>
          <w:p w14:paraId="27702654"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-5,283</w:t>
            </w:r>
          </w:p>
        </w:tc>
        <w:tc>
          <w:tcPr>
            <w:tcW w:w="931" w:type="dxa"/>
            <w:tcBorders>
              <w:top w:val="nil"/>
              <w:left w:val="nil"/>
              <w:bottom w:val="nil"/>
              <w:right w:val="nil"/>
            </w:tcBorders>
            <w:shd w:val="clear" w:color="auto" w:fill="auto"/>
          </w:tcPr>
          <w:p w14:paraId="147B337E"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-4,991</w:t>
            </w:r>
          </w:p>
        </w:tc>
        <w:tc>
          <w:tcPr>
            <w:tcW w:w="921" w:type="dxa"/>
            <w:tcBorders>
              <w:top w:val="nil"/>
              <w:left w:val="nil"/>
              <w:bottom w:val="nil"/>
              <w:right w:val="nil"/>
            </w:tcBorders>
            <w:shd w:val="clear" w:color="auto" w:fill="auto"/>
          </w:tcPr>
          <w:p w14:paraId="55732D7B"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20,568</w:t>
            </w:r>
          </w:p>
        </w:tc>
        <w:tc>
          <w:tcPr>
            <w:tcW w:w="921" w:type="dxa"/>
            <w:tcBorders>
              <w:top w:val="nil"/>
              <w:left w:val="nil"/>
              <w:bottom w:val="nil"/>
              <w:right w:val="nil"/>
            </w:tcBorders>
            <w:shd w:val="clear" w:color="auto" w:fill="auto"/>
          </w:tcPr>
          <w:p w14:paraId="3EA4B72D"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6,415</w:t>
            </w:r>
          </w:p>
        </w:tc>
      </w:tr>
      <w:tr w:rsidR="00C24C61" w:rsidRPr="00C24C61" w14:paraId="200AA17C" w14:textId="77777777" w:rsidTr="0002757D">
        <w:trPr>
          <w:trHeight w:val="227"/>
        </w:trPr>
        <w:tc>
          <w:tcPr>
            <w:tcW w:w="4783" w:type="dxa"/>
            <w:gridSpan w:val="2"/>
            <w:tcBorders>
              <w:left w:val="nil"/>
              <w:right w:val="nil"/>
            </w:tcBorders>
          </w:tcPr>
          <w:p w14:paraId="2ECED77D" w14:textId="77777777" w:rsidR="00C24C61" w:rsidRPr="00C24C61" w:rsidRDefault="00C24C61" w:rsidP="00C24C61">
            <w:pPr>
              <w:ind w:left="227" w:hanging="227"/>
              <w:rPr>
                <w:rFonts w:ascii="Calibri" w:hAnsi="Calibri"/>
                <w:bCs/>
                <w:color w:val="000000"/>
                <w:sz w:val="20"/>
                <w:szCs w:val="20"/>
                <w:vertAlign w:val="superscript"/>
                <w:lang w:eastAsia="en-AU"/>
              </w:rPr>
            </w:pPr>
            <w:r w:rsidRPr="00C24C61">
              <w:rPr>
                <w:rFonts w:ascii="Calibri" w:hAnsi="Calibri"/>
                <w:bCs/>
                <w:color w:val="000000"/>
                <w:sz w:val="20"/>
                <w:szCs w:val="20"/>
                <w:lang w:eastAsia="en-AU"/>
              </w:rPr>
              <w:t xml:space="preserve">Managing waste better </w:t>
            </w:r>
            <w:r w:rsidRPr="00C24C61">
              <w:rPr>
                <w:rFonts w:ascii="Calibri" w:hAnsi="Calibri"/>
                <w:bCs/>
                <w:color w:val="000000"/>
                <w:sz w:val="20"/>
                <w:szCs w:val="20"/>
                <w:vertAlign w:val="superscript"/>
                <w:lang w:eastAsia="en-AU"/>
              </w:rPr>
              <w:t>1, 2</w:t>
            </w:r>
          </w:p>
        </w:tc>
        <w:tc>
          <w:tcPr>
            <w:tcW w:w="1156" w:type="dxa"/>
            <w:tcBorders>
              <w:left w:val="nil"/>
              <w:right w:val="nil"/>
            </w:tcBorders>
          </w:tcPr>
          <w:p w14:paraId="502D9DD1"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1,551</w:t>
            </w:r>
          </w:p>
        </w:tc>
        <w:tc>
          <w:tcPr>
            <w:tcW w:w="926" w:type="dxa"/>
            <w:tcBorders>
              <w:left w:val="nil"/>
              <w:right w:val="nil"/>
            </w:tcBorders>
          </w:tcPr>
          <w:p w14:paraId="010C38BD"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4,654</w:t>
            </w:r>
          </w:p>
        </w:tc>
        <w:tc>
          <w:tcPr>
            <w:tcW w:w="931" w:type="dxa"/>
            <w:tcBorders>
              <w:left w:val="nil"/>
              <w:right w:val="nil"/>
            </w:tcBorders>
          </w:tcPr>
          <w:p w14:paraId="4CE96E05"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0</w:t>
            </w:r>
          </w:p>
        </w:tc>
        <w:tc>
          <w:tcPr>
            <w:tcW w:w="921" w:type="dxa"/>
            <w:tcBorders>
              <w:left w:val="nil"/>
              <w:right w:val="nil"/>
            </w:tcBorders>
          </w:tcPr>
          <w:p w14:paraId="322E9AF9"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0</w:t>
            </w:r>
          </w:p>
        </w:tc>
        <w:tc>
          <w:tcPr>
            <w:tcW w:w="921" w:type="dxa"/>
            <w:tcBorders>
              <w:left w:val="nil"/>
              <w:right w:val="nil"/>
            </w:tcBorders>
          </w:tcPr>
          <w:p w14:paraId="40FC09A4"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6,205</w:t>
            </w:r>
          </w:p>
        </w:tc>
      </w:tr>
      <w:tr w:rsidR="00C24C61" w:rsidRPr="00C24C61" w14:paraId="4ACF9674" w14:textId="77777777" w:rsidTr="0002757D">
        <w:trPr>
          <w:trHeight w:val="227"/>
        </w:trPr>
        <w:tc>
          <w:tcPr>
            <w:tcW w:w="4783" w:type="dxa"/>
            <w:gridSpan w:val="2"/>
          </w:tcPr>
          <w:p w14:paraId="52E1E1C5" w14:textId="77777777" w:rsidR="00C24C61" w:rsidRPr="00C24C61" w:rsidRDefault="00C24C61" w:rsidP="00C24C61">
            <w:pPr>
              <w:ind w:left="227" w:hanging="227"/>
              <w:rPr>
                <w:rFonts w:ascii="Calibri" w:hAnsi="Calibri"/>
                <w:bCs/>
                <w:color w:val="000000"/>
                <w:sz w:val="20"/>
                <w:szCs w:val="20"/>
                <w:vertAlign w:val="superscript"/>
                <w:lang w:eastAsia="en-AU"/>
              </w:rPr>
            </w:pPr>
            <w:r w:rsidRPr="00C24C61">
              <w:rPr>
                <w:rFonts w:ascii="Calibri" w:hAnsi="Calibri"/>
                <w:bCs/>
                <w:color w:val="000000"/>
                <w:sz w:val="20"/>
                <w:szCs w:val="20"/>
                <w:lang w:eastAsia="en-AU"/>
              </w:rPr>
              <w:t xml:space="preserve">More active travel infrastructure for our schools and suburbs </w:t>
            </w:r>
            <w:r w:rsidRPr="00C24C61">
              <w:rPr>
                <w:rFonts w:ascii="Calibri" w:hAnsi="Calibri"/>
                <w:bCs/>
                <w:color w:val="000000"/>
                <w:sz w:val="20"/>
                <w:szCs w:val="20"/>
                <w:vertAlign w:val="superscript"/>
                <w:lang w:eastAsia="en-AU"/>
              </w:rPr>
              <w:t>2</w:t>
            </w:r>
          </w:p>
        </w:tc>
        <w:tc>
          <w:tcPr>
            <w:tcW w:w="1156" w:type="dxa"/>
          </w:tcPr>
          <w:p w14:paraId="3E9F2699"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1,750</w:t>
            </w:r>
          </w:p>
        </w:tc>
        <w:tc>
          <w:tcPr>
            <w:tcW w:w="926" w:type="dxa"/>
          </w:tcPr>
          <w:p w14:paraId="7A9881DD"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1,694</w:t>
            </w:r>
          </w:p>
        </w:tc>
        <w:tc>
          <w:tcPr>
            <w:tcW w:w="931" w:type="dxa"/>
          </w:tcPr>
          <w:p w14:paraId="47BAE3A9"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0</w:t>
            </w:r>
          </w:p>
        </w:tc>
        <w:tc>
          <w:tcPr>
            <w:tcW w:w="921" w:type="dxa"/>
          </w:tcPr>
          <w:p w14:paraId="67BCA548"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0</w:t>
            </w:r>
          </w:p>
        </w:tc>
        <w:tc>
          <w:tcPr>
            <w:tcW w:w="921" w:type="dxa"/>
          </w:tcPr>
          <w:p w14:paraId="4B1DA1A8"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3,444</w:t>
            </w:r>
          </w:p>
        </w:tc>
      </w:tr>
      <w:tr w:rsidR="00C24C61" w:rsidRPr="00C24C61" w14:paraId="645D145E" w14:textId="77777777" w:rsidTr="0002757D">
        <w:trPr>
          <w:trHeight w:val="227"/>
        </w:trPr>
        <w:tc>
          <w:tcPr>
            <w:tcW w:w="4783" w:type="dxa"/>
            <w:gridSpan w:val="2"/>
            <w:tcBorders>
              <w:left w:val="nil"/>
              <w:bottom w:val="nil"/>
              <w:right w:val="nil"/>
            </w:tcBorders>
          </w:tcPr>
          <w:p w14:paraId="18CBB39D" w14:textId="77777777" w:rsidR="00C24C61" w:rsidRPr="00C24C61" w:rsidRDefault="00C24C61" w:rsidP="00C24C61">
            <w:pPr>
              <w:ind w:left="227" w:hanging="227"/>
              <w:rPr>
                <w:rFonts w:ascii="Calibri" w:hAnsi="Calibri"/>
                <w:bCs/>
                <w:color w:val="000000"/>
                <w:sz w:val="20"/>
                <w:szCs w:val="20"/>
                <w:vertAlign w:val="superscript"/>
                <w:lang w:eastAsia="en-AU"/>
              </w:rPr>
            </w:pPr>
            <w:r w:rsidRPr="00C24C61">
              <w:rPr>
                <w:rFonts w:ascii="Calibri" w:hAnsi="Calibri"/>
                <w:bCs/>
                <w:color w:val="000000"/>
                <w:sz w:val="20"/>
                <w:szCs w:val="20"/>
                <w:lang w:eastAsia="en-AU"/>
              </w:rPr>
              <w:t xml:space="preserve">More carparks for Palmerston Shops and </w:t>
            </w:r>
            <w:proofErr w:type="spellStart"/>
            <w:r w:rsidRPr="00C24C61">
              <w:rPr>
                <w:rFonts w:ascii="Calibri" w:hAnsi="Calibri"/>
                <w:bCs/>
                <w:color w:val="000000"/>
                <w:sz w:val="20"/>
                <w:szCs w:val="20"/>
                <w:lang w:eastAsia="en-AU"/>
              </w:rPr>
              <w:t>Cooleman</w:t>
            </w:r>
            <w:proofErr w:type="spellEnd"/>
            <w:r w:rsidRPr="00C24C61">
              <w:rPr>
                <w:rFonts w:ascii="Calibri" w:hAnsi="Calibri"/>
                <w:bCs/>
                <w:color w:val="000000"/>
                <w:sz w:val="20"/>
                <w:szCs w:val="20"/>
                <w:lang w:eastAsia="en-AU"/>
              </w:rPr>
              <w:t xml:space="preserve"> Court </w:t>
            </w:r>
            <w:r w:rsidRPr="00C24C61">
              <w:rPr>
                <w:rFonts w:ascii="Calibri" w:hAnsi="Calibri"/>
                <w:bCs/>
                <w:color w:val="000000"/>
                <w:sz w:val="20"/>
                <w:szCs w:val="20"/>
                <w:vertAlign w:val="superscript"/>
                <w:lang w:eastAsia="en-AU"/>
              </w:rPr>
              <w:t>2</w:t>
            </w:r>
          </w:p>
        </w:tc>
        <w:tc>
          <w:tcPr>
            <w:tcW w:w="1156" w:type="dxa"/>
            <w:tcBorders>
              <w:left w:val="nil"/>
              <w:bottom w:val="nil"/>
              <w:right w:val="nil"/>
            </w:tcBorders>
          </w:tcPr>
          <w:p w14:paraId="59B64ED9"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420</w:t>
            </w:r>
          </w:p>
        </w:tc>
        <w:tc>
          <w:tcPr>
            <w:tcW w:w="926" w:type="dxa"/>
            <w:tcBorders>
              <w:left w:val="nil"/>
              <w:bottom w:val="nil"/>
              <w:right w:val="nil"/>
            </w:tcBorders>
          </w:tcPr>
          <w:p w14:paraId="41FBB93E"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0</w:t>
            </w:r>
          </w:p>
        </w:tc>
        <w:tc>
          <w:tcPr>
            <w:tcW w:w="931" w:type="dxa"/>
            <w:tcBorders>
              <w:left w:val="nil"/>
              <w:bottom w:val="nil"/>
              <w:right w:val="nil"/>
            </w:tcBorders>
          </w:tcPr>
          <w:p w14:paraId="70FE5444"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0</w:t>
            </w:r>
          </w:p>
        </w:tc>
        <w:tc>
          <w:tcPr>
            <w:tcW w:w="921" w:type="dxa"/>
            <w:tcBorders>
              <w:left w:val="nil"/>
              <w:bottom w:val="nil"/>
              <w:right w:val="nil"/>
            </w:tcBorders>
          </w:tcPr>
          <w:p w14:paraId="67F39F40"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0</w:t>
            </w:r>
          </w:p>
        </w:tc>
        <w:tc>
          <w:tcPr>
            <w:tcW w:w="921" w:type="dxa"/>
            <w:tcBorders>
              <w:left w:val="nil"/>
              <w:bottom w:val="nil"/>
              <w:right w:val="nil"/>
            </w:tcBorders>
          </w:tcPr>
          <w:p w14:paraId="08313F7B"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420</w:t>
            </w:r>
          </w:p>
        </w:tc>
      </w:tr>
      <w:tr w:rsidR="00C24C61" w:rsidRPr="00C24C61" w14:paraId="75176028" w14:textId="77777777" w:rsidTr="0002757D">
        <w:trPr>
          <w:trHeight w:val="227"/>
        </w:trPr>
        <w:tc>
          <w:tcPr>
            <w:tcW w:w="4783" w:type="dxa"/>
            <w:gridSpan w:val="2"/>
            <w:tcBorders>
              <w:left w:val="nil"/>
              <w:bottom w:val="nil"/>
              <w:right w:val="nil"/>
            </w:tcBorders>
          </w:tcPr>
          <w:p w14:paraId="61E34D50" w14:textId="77777777" w:rsidR="00C24C61" w:rsidRPr="00C24C61" w:rsidRDefault="00C24C61" w:rsidP="00C24C61">
            <w:pPr>
              <w:ind w:left="227" w:hanging="227"/>
              <w:rPr>
                <w:rFonts w:ascii="Calibri" w:hAnsi="Calibri"/>
                <w:bCs/>
                <w:color w:val="000000"/>
                <w:sz w:val="20"/>
                <w:szCs w:val="20"/>
                <w:lang w:eastAsia="en-AU"/>
              </w:rPr>
            </w:pPr>
            <w:r w:rsidRPr="00C24C61">
              <w:rPr>
                <w:rFonts w:ascii="Calibri" w:hAnsi="Calibri"/>
                <w:bCs/>
                <w:color w:val="000000"/>
                <w:sz w:val="20"/>
                <w:szCs w:val="20"/>
                <w:lang w:eastAsia="en-AU"/>
              </w:rPr>
              <w:t>More City Services depots for better service delivery</w:t>
            </w:r>
          </w:p>
        </w:tc>
        <w:tc>
          <w:tcPr>
            <w:tcW w:w="1156" w:type="dxa"/>
            <w:tcBorders>
              <w:left w:val="nil"/>
              <w:bottom w:val="nil"/>
              <w:right w:val="nil"/>
            </w:tcBorders>
          </w:tcPr>
          <w:p w14:paraId="6819D6DE"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200</w:t>
            </w:r>
          </w:p>
        </w:tc>
        <w:tc>
          <w:tcPr>
            <w:tcW w:w="926" w:type="dxa"/>
            <w:tcBorders>
              <w:left w:val="nil"/>
              <w:bottom w:val="nil"/>
              <w:right w:val="nil"/>
            </w:tcBorders>
          </w:tcPr>
          <w:p w14:paraId="4254F690"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200</w:t>
            </w:r>
          </w:p>
        </w:tc>
        <w:tc>
          <w:tcPr>
            <w:tcW w:w="931" w:type="dxa"/>
            <w:tcBorders>
              <w:left w:val="nil"/>
              <w:bottom w:val="nil"/>
              <w:right w:val="nil"/>
            </w:tcBorders>
          </w:tcPr>
          <w:p w14:paraId="5083CC13"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0</w:t>
            </w:r>
          </w:p>
        </w:tc>
        <w:tc>
          <w:tcPr>
            <w:tcW w:w="921" w:type="dxa"/>
            <w:tcBorders>
              <w:left w:val="nil"/>
              <w:bottom w:val="nil"/>
              <w:right w:val="nil"/>
            </w:tcBorders>
          </w:tcPr>
          <w:p w14:paraId="6B38E5F8"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0</w:t>
            </w:r>
          </w:p>
        </w:tc>
        <w:tc>
          <w:tcPr>
            <w:tcW w:w="921" w:type="dxa"/>
            <w:tcBorders>
              <w:left w:val="nil"/>
              <w:bottom w:val="nil"/>
              <w:right w:val="nil"/>
            </w:tcBorders>
          </w:tcPr>
          <w:p w14:paraId="00DB389C"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400</w:t>
            </w:r>
          </w:p>
        </w:tc>
      </w:tr>
      <w:tr w:rsidR="00C24C61" w:rsidRPr="00C24C61" w14:paraId="7BF3F26A" w14:textId="77777777" w:rsidTr="0002757D">
        <w:trPr>
          <w:trHeight w:val="227"/>
        </w:trPr>
        <w:tc>
          <w:tcPr>
            <w:tcW w:w="4783" w:type="dxa"/>
            <w:gridSpan w:val="2"/>
            <w:tcBorders>
              <w:left w:val="nil"/>
              <w:bottom w:val="nil"/>
              <w:right w:val="nil"/>
            </w:tcBorders>
          </w:tcPr>
          <w:p w14:paraId="1CD0D42C" w14:textId="77777777" w:rsidR="00C24C61" w:rsidRPr="00C24C61" w:rsidRDefault="00C24C61" w:rsidP="00C24C61">
            <w:pPr>
              <w:ind w:left="227" w:hanging="227"/>
              <w:rPr>
                <w:rFonts w:ascii="Calibri" w:hAnsi="Calibri"/>
                <w:bCs/>
                <w:color w:val="000000"/>
                <w:sz w:val="20"/>
                <w:szCs w:val="20"/>
                <w:lang w:eastAsia="en-AU"/>
              </w:rPr>
            </w:pPr>
            <w:r w:rsidRPr="00C24C61">
              <w:rPr>
                <w:rFonts w:ascii="Calibri" w:hAnsi="Calibri"/>
                <w:bCs/>
                <w:color w:val="000000"/>
                <w:sz w:val="20"/>
                <w:szCs w:val="20"/>
                <w:lang w:eastAsia="en-AU"/>
              </w:rPr>
              <w:t>Planning better roads for our growing city</w:t>
            </w:r>
          </w:p>
        </w:tc>
        <w:tc>
          <w:tcPr>
            <w:tcW w:w="1156" w:type="dxa"/>
            <w:tcBorders>
              <w:left w:val="nil"/>
              <w:bottom w:val="nil"/>
              <w:right w:val="nil"/>
            </w:tcBorders>
          </w:tcPr>
          <w:p w14:paraId="126861BF"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1,900</w:t>
            </w:r>
          </w:p>
        </w:tc>
        <w:tc>
          <w:tcPr>
            <w:tcW w:w="926" w:type="dxa"/>
            <w:tcBorders>
              <w:left w:val="nil"/>
              <w:bottom w:val="nil"/>
              <w:right w:val="nil"/>
            </w:tcBorders>
          </w:tcPr>
          <w:p w14:paraId="497A93FC"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2,200</w:t>
            </w:r>
          </w:p>
        </w:tc>
        <w:tc>
          <w:tcPr>
            <w:tcW w:w="931" w:type="dxa"/>
            <w:tcBorders>
              <w:left w:val="nil"/>
              <w:bottom w:val="nil"/>
              <w:right w:val="nil"/>
            </w:tcBorders>
          </w:tcPr>
          <w:p w14:paraId="7E8BFBD7"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0</w:t>
            </w:r>
          </w:p>
        </w:tc>
        <w:tc>
          <w:tcPr>
            <w:tcW w:w="921" w:type="dxa"/>
            <w:tcBorders>
              <w:left w:val="nil"/>
              <w:bottom w:val="nil"/>
              <w:right w:val="nil"/>
            </w:tcBorders>
          </w:tcPr>
          <w:p w14:paraId="5B496A61"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0</w:t>
            </w:r>
          </w:p>
        </w:tc>
        <w:tc>
          <w:tcPr>
            <w:tcW w:w="921" w:type="dxa"/>
            <w:tcBorders>
              <w:left w:val="nil"/>
              <w:bottom w:val="nil"/>
              <w:right w:val="nil"/>
            </w:tcBorders>
          </w:tcPr>
          <w:p w14:paraId="2A82EE12"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4,100</w:t>
            </w:r>
          </w:p>
        </w:tc>
      </w:tr>
      <w:tr w:rsidR="00C24C61" w:rsidRPr="00C24C61" w14:paraId="5F917063" w14:textId="77777777" w:rsidTr="0002757D">
        <w:trPr>
          <w:trHeight w:val="227"/>
        </w:trPr>
        <w:tc>
          <w:tcPr>
            <w:tcW w:w="4783" w:type="dxa"/>
            <w:gridSpan w:val="2"/>
            <w:tcBorders>
              <w:left w:val="nil"/>
              <w:bottom w:val="nil"/>
              <w:right w:val="nil"/>
            </w:tcBorders>
          </w:tcPr>
          <w:p w14:paraId="58A7D075" w14:textId="77777777" w:rsidR="00C24C61" w:rsidRPr="00C24C61" w:rsidRDefault="00C24C61" w:rsidP="00C24C61">
            <w:pPr>
              <w:ind w:left="227" w:hanging="227"/>
              <w:rPr>
                <w:rFonts w:ascii="Calibri" w:hAnsi="Calibri"/>
                <w:bCs/>
                <w:color w:val="000000"/>
                <w:sz w:val="20"/>
                <w:szCs w:val="20"/>
                <w:lang w:eastAsia="en-AU"/>
              </w:rPr>
            </w:pPr>
            <w:r w:rsidRPr="00C24C61">
              <w:rPr>
                <w:rFonts w:ascii="Calibri" w:hAnsi="Calibri"/>
                <w:bCs/>
                <w:color w:val="000000"/>
                <w:sz w:val="20"/>
                <w:szCs w:val="20"/>
                <w:lang w:eastAsia="en-AU"/>
              </w:rPr>
              <w:t>Revitalising Woden Library</w:t>
            </w:r>
          </w:p>
        </w:tc>
        <w:tc>
          <w:tcPr>
            <w:tcW w:w="1156" w:type="dxa"/>
            <w:tcBorders>
              <w:left w:val="nil"/>
              <w:bottom w:val="nil"/>
              <w:right w:val="nil"/>
            </w:tcBorders>
          </w:tcPr>
          <w:p w14:paraId="38F4ED66"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500</w:t>
            </w:r>
          </w:p>
        </w:tc>
        <w:tc>
          <w:tcPr>
            <w:tcW w:w="926" w:type="dxa"/>
            <w:tcBorders>
              <w:left w:val="nil"/>
              <w:bottom w:val="nil"/>
              <w:right w:val="nil"/>
            </w:tcBorders>
          </w:tcPr>
          <w:p w14:paraId="2744342E"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0</w:t>
            </w:r>
          </w:p>
        </w:tc>
        <w:tc>
          <w:tcPr>
            <w:tcW w:w="931" w:type="dxa"/>
            <w:tcBorders>
              <w:left w:val="nil"/>
              <w:bottom w:val="nil"/>
              <w:right w:val="nil"/>
            </w:tcBorders>
          </w:tcPr>
          <w:p w14:paraId="7E927F2E"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0</w:t>
            </w:r>
          </w:p>
        </w:tc>
        <w:tc>
          <w:tcPr>
            <w:tcW w:w="921" w:type="dxa"/>
            <w:tcBorders>
              <w:left w:val="nil"/>
              <w:bottom w:val="nil"/>
              <w:right w:val="nil"/>
            </w:tcBorders>
          </w:tcPr>
          <w:p w14:paraId="552609EF"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0</w:t>
            </w:r>
          </w:p>
        </w:tc>
        <w:tc>
          <w:tcPr>
            <w:tcW w:w="921" w:type="dxa"/>
            <w:tcBorders>
              <w:left w:val="nil"/>
              <w:bottom w:val="nil"/>
              <w:right w:val="nil"/>
            </w:tcBorders>
          </w:tcPr>
          <w:p w14:paraId="2F580A57"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500</w:t>
            </w:r>
          </w:p>
        </w:tc>
      </w:tr>
      <w:tr w:rsidR="00C24C61" w:rsidRPr="00C24C61" w14:paraId="2FD97E5E" w14:textId="77777777" w:rsidTr="0002757D">
        <w:trPr>
          <w:trHeight w:val="227"/>
        </w:trPr>
        <w:tc>
          <w:tcPr>
            <w:tcW w:w="4783" w:type="dxa"/>
            <w:gridSpan w:val="2"/>
            <w:tcBorders>
              <w:left w:val="nil"/>
              <w:bottom w:val="nil"/>
              <w:right w:val="nil"/>
            </w:tcBorders>
          </w:tcPr>
          <w:p w14:paraId="69917C6D" w14:textId="77777777" w:rsidR="00C24C61" w:rsidRPr="00C24C61" w:rsidRDefault="00C24C61" w:rsidP="00C24C61">
            <w:pPr>
              <w:ind w:left="227" w:hanging="227"/>
              <w:rPr>
                <w:rFonts w:ascii="Calibri" w:hAnsi="Calibri"/>
                <w:bCs/>
                <w:color w:val="000000"/>
                <w:sz w:val="20"/>
                <w:szCs w:val="20"/>
                <w:lang w:eastAsia="en-AU"/>
              </w:rPr>
            </w:pPr>
            <w:r w:rsidRPr="00C24C61">
              <w:rPr>
                <w:rFonts w:ascii="Calibri" w:hAnsi="Calibri"/>
                <w:bCs/>
                <w:color w:val="000000"/>
                <w:sz w:val="20"/>
                <w:szCs w:val="20"/>
                <w:lang w:eastAsia="en-AU"/>
              </w:rPr>
              <w:t>Strengthening infrastructure supporting Canberra's new public transport network</w:t>
            </w:r>
          </w:p>
        </w:tc>
        <w:tc>
          <w:tcPr>
            <w:tcW w:w="1156" w:type="dxa"/>
            <w:tcBorders>
              <w:left w:val="nil"/>
              <w:bottom w:val="nil"/>
              <w:right w:val="nil"/>
            </w:tcBorders>
          </w:tcPr>
          <w:p w14:paraId="0D5F421C"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0</w:t>
            </w:r>
          </w:p>
        </w:tc>
        <w:tc>
          <w:tcPr>
            <w:tcW w:w="926" w:type="dxa"/>
            <w:tcBorders>
              <w:left w:val="nil"/>
              <w:bottom w:val="nil"/>
              <w:right w:val="nil"/>
            </w:tcBorders>
          </w:tcPr>
          <w:p w14:paraId="1A77DDDA"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2,000</w:t>
            </w:r>
          </w:p>
        </w:tc>
        <w:tc>
          <w:tcPr>
            <w:tcW w:w="931" w:type="dxa"/>
            <w:tcBorders>
              <w:left w:val="nil"/>
              <w:bottom w:val="nil"/>
              <w:right w:val="nil"/>
            </w:tcBorders>
          </w:tcPr>
          <w:p w14:paraId="0386B816"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3,100</w:t>
            </w:r>
          </w:p>
        </w:tc>
        <w:tc>
          <w:tcPr>
            <w:tcW w:w="921" w:type="dxa"/>
            <w:tcBorders>
              <w:left w:val="nil"/>
              <w:bottom w:val="nil"/>
              <w:right w:val="nil"/>
            </w:tcBorders>
          </w:tcPr>
          <w:p w14:paraId="6250C6D5"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0</w:t>
            </w:r>
          </w:p>
        </w:tc>
        <w:tc>
          <w:tcPr>
            <w:tcW w:w="921" w:type="dxa"/>
            <w:tcBorders>
              <w:left w:val="nil"/>
              <w:bottom w:val="nil"/>
              <w:right w:val="nil"/>
            </w:tcBorders>
          </w:tcPr>
          <w:p w14:paraId="4FE8C4FA"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5,100</w:t>
            </w:r>
          </w:p>
        </w:tc>
      </w:tr>
      <w:tr w:rsidR="00C24C61" w:rsidRPr="00C24C61" w14:paraId="2B1378BB" w14:textId="77777777" w:rsidTr="0002757D">
        <w:trPr>
          <w:trHeight w:val="227"/>
        </w:trPr>
        <w:tc>
          <w:tcPr>
            <w:tcW w:w="4783" w:type="dxa"/>
            <w:gridSpan w:val="2"/>
            <w:tcBorders>
              <w:left w:val="nil"/>
              <w:bottom w:val="nil"/>
              <w:right w:val="nil"/>
            </w:tcBorders>
          </w:tcPr>
          <w:p w14:paraId="45D1A3EE" w14:textId="77777777" w:rsidR="00C24C61" w:rsidRPr="00C24C61" w:rsidRDefault="00C24C61" w:rsidP="00C24C61">
            <w:pPr>
              <w:rPr>
                <w:rFonts w:ascii="Calibri" w:hAnsi="Calibri"/>
                <w:color w:val="000000"/>
                <w:sz w:val="20"/>
                <w:szCs w:val="20"/>
                <w:vertAlign w:val="superscript"/>
                <w:lang w:eastAsia="en-US"/>
              </w:rPr>
            </w:pPr>
            <w:r w:rsidRPr="00C24C61">
              <w:rPr>
                <w:rFonts w:ascii="Calibri" w:hAnsi="Calibri"/>
                <w:color w:val="000000"/>
                <w:sz w:val="20"/>
                <w:szCs w:val="20"/>
                <w:lang w:eastAsia="en-US"/>
              </w:rPr>
              <w:t xml:space="preserve">Supporting more Canberrans to Park and Ride </w:t>
            </w:r>
            <w:r w:rsidRPr="00C24C61">
              <w:rPr>
                <w:rFonts w:ascii="Calibri" w:hAnsi="Calibri"/>
                <w:color w:val="000000"/>
                <w:sz w:val="20"/>
                <w:szCs w:val="20"/>
                <w:vertAlign w:val="superscript"/>
                <w:lang w:eastAsia="en-US"/>
              </w:rPr>
              <w:t>2</w:t>
            </w:r>
          </w:p>
        </w:tc>
        <w:tc>
          <w:tcPr>
            <w:tcW w:w="1156" w:type="dxa"/>
            <w:tcBorders>
              <w:left w:val="nil"/>
              <w:bottom w:val="nil"/>
              <w:right w:val="nil"/>
            </w:tcBorders>
          </w:tcPr>
          <w:p w14:paraId="168ABBC1"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625</w:t>
            </w:r>
          </w:p>
        </w:tc>
        <w:tc>
          <w:tcPr>
            <w:tcW w:w="926" w:type="dxa"/>
            <w:tcBorders>
              <w:left w:val="nil"/>
              <w:bottom w:val="nil"/>
              <w:right w:val="nil"/>
            </w:tcBorders>
          </w:tcPr>
          <w:p w14:paraId="635189DE"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1,875</w:t>
            </w:r>
          </w:p>
        </w:tc>
        <w:tc>
          <w:tcPr>
            <w:tcW w:w="931" w:type="dxa"/>
            <w:tcBorders>
              <w:left w:val="nil"/>
              <w:bottom w:val="nil"/>
              <w:right w:val="nil"/>
            </w:tcBorders>
          </w:tcPr>
          <w:p w14:paraId="4A22F0AD"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0</w:t>
            </w:r>
          </w:p>
        </w:tc>
        <w:tc>
          <w:tcPr>
            <w:tcW w:w="921" w:type="dxa"/>
            <w:tcBorders>
              <w:left w:val="nil"/>
              <w:bottom w:val="nil"/>
              <w:right w:val="nil"/>
            </w:tcBorders>
          </w:tcPr>
          <w:p w14:paraId="3977ED52"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0</w:t>
            </w:r>
          </w:p>
        </w:tc>
        <w:tc>
          <w:tcPr>
            <w:tcW w:w="921" w:type="dxa"/>
            <w:tcBorders>
              <w:left w:val="nil"/>
              <w:bottom w:val="nil"/>
              <w:right w:val="nil"/>
            </w:tcBorders>
          </w:tcPr>
          <w:p w14:paraId="48D83FC6"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2,500</w:t>
            </w:r>
          </w:p>
        </w:tc>
      </w:tr>
      <w:tr w:rsidR="00C24C61" w:rsidRPr="00C24C61" w14:paraId="43677156" w14:textId="77777777" w:rsidTr="0002757D">
        <w:trPr>
          <w:trHeight w:val="227"/>
        </w:trPr>
        <w:tc>
          <w:tcPr>
            <w:tcW w:w="4783" w:type="dxa"/>
            <w:gridSpan w:val="2"/>
            <w:tcBorders>
              <w:left w:val="nil"/>
              <w:bottom w:val="nil"/>
              <w:right w:val="nil"/>
            </w:tcBorders>
          </w:tcPr>
          <w:p w14:paraId="250B63B2" w14:textId="77777777" w:rsidR="00C24C61" w:rsidRPr="00C24C61" w:rsidRDefault="00C24C61" w:rsidP="00C24C61">
            <w:pPr>
              <w:ind w:left="227" w:hanging="227"/>
              <w:jc w:val="right"/>
              <w:rPr>
                <w:rFonts w:ascii="Calibri" w:hAnsi="Calibri"/>
                <w:b/>
                <w:sz w:val="20"/>
                <w:szCs w:val="20"/>
                <w:lang w:eastAsia="en-AU"/>
              </w:rPr>
            </w:pPr>
          </w:p>
        </w:tc>
        <w:tc>
          <w:tcPr>
            <w:tcW w:w="1156" w:type="dxa"/>
            <w:tcBorders>
              <w:left w:val="nil"/>
              <w:bottom w:val="nil"/>
              <w:right w:val="nil"/>
            </w:tcBorders>
          </w:tcPr>
          <w:p w14:paraId="40FC5B43" w14:textId="77777777" w:rsidR="00C24C61" w:rsidRPr="00C24C61" w:rsidRDefault="00C24C61" w:rsidP="00C24C61">
            <w:pPr>
              <w:ind w:left="227" w:hanging="227"/>
              <w:jc w:val="right"/>
              <w:rPr>
                <w:rFonts w:ascii="Calibri" w:hAnsi="Calibri"/>
                <w:b/>
                <w:sz w:val="20"/>
                <w:szCs w:val="20"/>
                <w:lang w:eastAsia="en-AU"/>
              </w:rPr>
            </w:pPr>
          </w:p>
        </w:tc>
        <w:tc>
          <w:tcPr>
            <w:tcW w:w="926" w:type="dxa"/>
            <w:tcBorders>
              <w:left w:val="nil"/>
              <w:bottom w:val="nil"/>
              <w:right w:val="nil"/>
            </w:tcBorders>
          </w:tcPr>
          <w:p w14:paraId="2C45EAA3" w14:textId="77777777" w:rsidR="00C24C61" w:rsidRPr="00C24C61" w:rsidRDefault="00C24C61" w:rsidP="00C24C61">
            <w:pPr>
              <w:ind w:left="227" w:hanging="227"/>
              <w:jc w:val="right"/>
              <w:rPr>
                <w:rFonts w:ascii="Calibri" w:hAnsi="Calibri"/>
                <w:b/>
                <w:sz w:val="20"/>
                <w:szCs w:val="20"/>
                <w:lang w:eastAsia="en-AU"/>
              </w:rPr>
            </w:pPr>
          </w:p>
        </w:tc>
        <w:tc>
          <w:tcPr>
            <w:tcW w:w="931" w:type="dxa"/>
            <w:tcBorders>
              <w:left w:val="nil"/>
              <w:bottom w:val="nil"/>
              <w:right w:val="nil"/>
            </w:tcBorders>
          </w:tcPr>
          <w:p w14:paraId="11474C21" w14:textId="77777777" w:rsidR="00C24C61" w:rsidRPr="00C24C61" w:rsidRDefault="00C24C61" w:rsidP="00C24C61">
            <w:pPr>
              <w:ind w:left="227" w:hanging="227"/>
              <w:jc w:val="right"/>
              <w:rPr>
                <w:rFonts w:ascii="Calibri" w:hAnsi="Calibri"/>
                <w:b/>
                <w:sz w:val="20"/>
                <w:szCs w:val="20"/>
                <w:lang w:eastAsia="en-AU"/>
              </w:rPr>
            </w:pPr>
          </w:p>
        </w:tc>
        <w:tc>
          <w:tcPr>
            <w:tcW w:w="921" w:type="dxa"/>
            <w:tcBorders>
              <w:left w:val="nil"/>
              <w:bottom w:val="nil"/>
              <w:right w:val="nil"/>
            </w:tcBorders>
          </w:tcPr>
          <w:p w14:paraId="77404A74" w14:textId="77777777" w:rsidR="00C24C61" w:rsidRPr="00C24C61" w:rsidRDefault="00C24C61" w:rsidP="00C24C61">
            <w:pPr>
              <w:ind w:left="227" w:hanging="227"/>
              <w:jc w:val="right"/>
              <w:rPr>
                <w:rFonts w:ascii="Calibri" w:hAnsi="Calibri"/>
                <w:b/>
                <w:sz w:val="20"/>
                <w:szCs w:val="20"/>
                <w:lang w:eastAsia="en-AU"/>
              </w:rPr>
            </w:pPr>
          </w:p>
        </w:tc>
        <w:tc>
          <w:tcPr>
            <w:tcW w:w="921" w:type="dxa"/>
            <w:tcBorders>
              <w:left w:val="nil"/>
              <w:bottom w:val="nil"/>
              <w:right w:val="nil"/>
            </w:tcBorders>
          </w:tcPr>
          <w:p w14:paraId="78753461" w14:textId="77777777" w:rsidR="00C24C61" w:rsidRPr="00C24C61" w:rsidRDefault="00C24C61" w:rsidP="00C24C61">
            <w:pPr>
              <w:ind w:left="227" w:hanging="227"/>
              <w:jc w:val="right"/>
              <w:rPr>
                <w:rFonts w:ascii="Calibri" w:hAnsi="Calibri"/>
                <w:b/>
                <w:sz w:val="20"/>
                <w:szCs w:val="20"/>
                <w:lang w:eastAsia="en-AU"/>
              </w:rPr>
            </w:pPr>
          </w:p>
        </w:tc>
      </w:tr>
      <w:tr w:rsidR="00C24C61" w:rsidRPr="00C24C61" w14:paraId="65379591" w14:textId="77777777" w:rsidTr="0002757D">
        <w:trPr>
          <w:trHeight w:val="227"/>
        </w:trPr>
        <w:tc>
          <w:tcPr>
            <w:tcW w:w="4783" w:type="dxa"/>
            <w:gridSpan w:val="2"/>
            <w:tcBorders>
              <w:left w:val="nil"/>
              <w:bottom w:val="nil"/>
              <w:right w:val="nil"/>
            </w:tcBorders>
          </w:tcPr>
          <w:p w14:paraId="7273D312" w14:textId="77777777" w:rsidR="00C24C61" w:rsidRPr="00C24C61" w:rsidRDefault="00C24C61" w:rsidP="00C24C61">
            <w:pPr>
              <w:ind w:left="227" w:hanging="227"/>
              <w:rPr>
                <w:rFonts w:ascii="Calibri" w:hAnsi="Calibri"/>
                <w:bCs/>
                <w:i/>
                <w:sz w:val="20"/>
                <w:szCs w:val="20"/>
                <w:lang w:eastAsia="en-AU"/>
              </w:rPr>
            </w:pPr>
            <w:r w:rsidRPr="00C24C61">
              <w:rPr>
                <w:rFonts w:ascii="Calibri" w:hAnsi="Calibri"/>
                <w:bCs/>
                <w:i/>
                <w:sz w:val="20"/>
                <w:szCs w:val="20"/>
                <w:lang w:eastAsia="en-AU"/>
              </w:rPr>
              <w:t>Plant and equipment</w:t>
            </w:r>
          </w:p>
        </w:tc>
        <w:tc>
          <w:tcPr>
            <w:tcW w:w="1156" w:type="dxa"/>
            <w:tcBorders>
              <w:left w:val="nil"/>
              <w:bottom w:val="nil"/>
              <w:right w:val="nil"/>
            </w:tcBorders>
          </w:tcPr>
          <w:p w14:paraId="607549C8" w14:textId="77777777" w:rsidR="00C24C61" w:rsidRPr="00C24C61" w:rsidRDefault="00C24C61" w:rsidP="00C24C61">
            <w:pPr>
              <w:ind w:left="227" w:hanging="227"/>
              <w:jc w:val="right"/>
              <w:rPr>
                <w:rFonts w:ascii="Calibri" w:hAnsi="Calibri"/>
                <w:b/>
                <w:sz w:val="20"/>
                <w:szCs w:val="20"/>
                <w:lang w:eastAsia="en-AU"/>
              </w:rPr>
            </w:pPr>
          </w:p>
        </w:tc>
        <w:tc>
          <w:tcPr>
            <w:tcW w:w="926" w:type="dxa"/>
            <w:tcBorders>
              <w:left w:val="nil"/>
              <w:bottom w:val="nil"/>
              <w:right w:val="nil"/>
            </w:tcBorders>
          </w:tcPr>
          <w:p w14:paraId="0E9C5B65" w14:textId="77777777" w:rsidR="00C24C61" w:rsidRPr="00C24C61" w:rsidRDefault="00C24C61" w:rsidP="00C24C61">
            <w:pPr>
              <w:ind w:left="227" w:hanging="227"/>
              <w:jc w:val="right"/>
              <w:rPr>
                <w:rFonts w:ascii="Calibri" w:hAnsi="Calibri"/>
                <w:b/>
                <w:sz w:val="20"/>
                <w:szCs w:val="20"/>
                <w:lang w:eastAsia="en-AU"/>
              </w:rPr>
            </w:pPr>
          </w:p>
        </w:tc>
        <w:tc>
          <w:tcPr>
            <w:tcW w:w="931" w:type="dxa"/>
            <w:tcBorders>
              <w:left w:val="nil"/>
              <w:bottom w:val="nil"/>
              <w:right w:val="nil"/>
            </w:tcBorders>
          </w:tcPr>
          <w:p w14:paraId="1F6AEE16" w14:textId="77777777" w:rsidR="00C24C61" w:rsidRPr="00C24C61" w:rsidRDefault="00C24C61" w:rsidP="00C24C61">
            <w:pPr>
              <w:ind w:left="227" w:hanging="227"/>
              <w:jc w:val="right"/>
              <w:rPr>
                <w:rFonts w:ascii="Calibri" w:hAnsi="Calibri"/>
                <w:b/>
                <w:sz w:val="20"/>
                <w:szCs w:val="20"/>
                <w:lang w:eastAsia="en-AU"/>
              </w:rPr>
            </w:pPr>
          </w:p>
        </w:tc>
        <w:tc>
          <w:tcPr>
            <w:tcW w:w="921" w:type="dxa"/>
            <w:tcBorders>
              <w:left w:val="nil"/>
              <w:bottom w:val="nil"/>
              <w:right w:val="nil"/>
            </w:tcBorders>
          </w:tcPr>
          <w:p w14:paraId="643C84E7" w14:textId="77777777" w:rsidR="00C24C61" w:rsidRPr="00C24C61" w:rsidRDefault="00C24C61" w:rsidP="00C24C61">
            <w:pPr>
              <w:ind w:left="227" w:hanging="227"/>
              <w:jc w:val="right"/>
              <w:rPr>
                <w:rFonts w:ascii="Calibri" w:hAnsi="Calibri"/>
                <w:b/>
                <w:sz w:val="20"/>
                <w:szCs w:val="20"/>
                <w:lang w:eastAsia="en-AU"/>
              </w:rPr>
            </w:pPr>
          </w:p>
        </w:tc>
        <w:tc>
          <w:tcPr>
            <w:tcW w:w="921" w:type="dxa"/>
            <w:tcBorders>
              <w:left w:val="nil"/>
              <w:bottom w:val="nil"/>
              <w:right w:val="nil"/>
            </w:tcBorders>
          </w:tcPr>
          <w:p w14:paraId="00C373A1" w14:textId="77777777" w:rsidR="00C24C61" w:rsidRPr="00C24C61" w:rsidRDefault="00C24C61" w:rsidP="00C24C61">
            <w:pPr>
              <w:ind w:left="227" w:hanging="227"/>
              <w:jc w:val="right"/>
              <w:rPr>
                <w:rFonts w:ascii="Calibri" w:hAnsi="Calibri"/>
                <w:b/>
                <w:sz w:val="20"/>
                <w:szCs w:val="20"/>
                <w:lang w:eastAsia="en-AU"/>
              </w:rPr>
            </w:pPr>
          </w:p>
        </w:tc>
      </w:tr>
      <w:tr w:rsidR="00C24C61" w:rsidRPr="00C24C61" w14:paraId="038776E5" w14:textId="77777777" w:rsidTr="008C25AE">
        <w:trPr>
          <w:trHeight w:val="227"/>
        </w:trPr>
        <w:tc>
          <w:tcPr>
            <w:tcW w:w="4783" w:type="dxa"/>
            <w:gridSpan w:val="2"/>
            <w:tcBorders>
              <w:left w:val="nil"/>
              <w:bottom w:val="single" w:sz="4" w:space="0" w:color="auto"/>
              <w:right w:val="nil"/>
            </w:tcBorders>
          </w:tcPr>
          <w:p w14:paraId="2071D0B8" w14:textId="77777777" w:rsidR="00C24C61" w:rsidRPr="00C24C61" w:rsidRDefault="00C24C61" w:rsidP="00C24C61">
            <w:pPr>
              <w:ind w:left="227" w:hanging="227"/>
              <w:rPr>
                <w:rFonts w:ascii="Calibri" w:hAnsi="Calibri"/>
                <w:bCs/>
                <w:color w:val="000000"/>
                <w:sz w:val="20"/>
                <w:szCs w:val="20"/>
                <w:vertAlign w:val="superscript"/>
                <w:lang w:eastAsia="en-AU"/>
              </w:rPr>
            </w:pPr>
            <w:r w:rsidRPr="00C24C61">
              <w:rPr>
                <w:rFonts w:ascii="Calibri" w:hAnsi="Calibri"/>
                <w:bCs/>
                <w:color w:val="000000"/>
                <w:sz w:val="20"/>
                <w:szCs w:val="20"/>
                <w:lang w:eastAsia="en-AU"/>
              </w:rPr>
              <w:t xml:space="preserve">Better buses to support the new bus network </w:t>
            </w:r>
            <w:r w:rsidRPr="00C24C61">
              <w:rPr>
                <w:rFonts w:ascii="Calibri" w:hAnsi="Calibri"/>
                <w:bCs/>
                <w:color w:val="000000"/>
                <w:sz w:val="20"/>
                <w:szCs w:val="20"/>
                <w:vertAlign w:val="superscript"/>
                <w:lang w:eastAsia="en-AU"/>
              </w:rPr>
              <w:t>2</w:t>
            </w:r>
          </w:p>
        </w:tc>
        <w:tc>
          <w:tcPr>
            <w:tcW w:w="1156" w:type="dxa"/>
            <w:tcBorders>
              <w:top w:val="nil"/>
              <w:left w:val="nil"/>
              <w:bottom w:val="single" w:sz="4" w:space="0" w:color="auto"/>
              <w:right w:val="nil"/>
            </w:tcBorders>
            <w:shd w:val="clear" w:color="auto" w:fill="auto"/>
          </w:tcPr>
          <w:p w14:paraId="4960D725"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6,394</w:t>
            </w:r>
          </w:p>
        </w:tc>
        <w:tc>
          <w:tcPr>
            <w:tcW w:w="926" w:type="dxa"/>
            <w:tcBorders>
              <w:top w:val="nil"/>
              <w:left w:val="nil"/>
              <w:bottom w:val="single" w:sz="4" w:space="0" w:color="auto"/>
              <w:right w:val="nil"/>
            </w:tcBorders>
            <w:shd w:val="clear" w:color="auto" w:fill="auto"/>
          </w:tcPr>
          <w:p w14:paraId="232A780A"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12,403</w:t>
            </w:r>
          </w:p>
        </w:tc>
        <w:tc>
          <w:tcPr>
            <w:tcW w:w="931" w:type="dxa"/>
            <w:tcBorders>
              <w:top w:val="nil"/>
              <w:left w:val="nil"/>
              <w:bottom w:val="single" w:sz="4" w:space="0" w:color="auto"/>
              <w:right w:val="nil"/>
            </w:tcBorders>
            <w:shd w:val="clear" w:color="auto" w:fill="auto"/>
          </w:tcPr>
          <w:p w14:paraId="2F4BEA0E"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12,713</w:t>
            </w:r>
          </w:p>
        </w:tc>
        <w:tc>
          <w:tcPr>
            <w:tcW w:w="921" w:type="dxa"/>
            <w:tcBorders>
              <w:top w:val="nil"/>
              <w:left w:val="nil"/>
              <w:bottom w:val="single" w:sz="4" w:space="0" w:color="auto"/>
              <w:right w:val="nil"/>
            </w:tcBorders>
            <w:shd w:val="clear" w:color="auto" w:fill="auto"/>
          </w:tcPr>
          <w:p w14:paraId="0E5EED6F"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13,000</w:t>
            </w:r>
          </w:p>
        </w:tc>
        <w:tc>
          <w:tcPr>
            <w:tcW w:w="921" w:type="dxa"/>
            <w:tcBorders>
              <w:top w:val="nil"/>
              <w:left w:val="nil"/>
              <w:bottom w:val="single" w:sz="4" w:space="0" w:color="auto"/>
              <w:right w:val="nil"/>
            </w:tcBorders>
            <w:shd w:val="clear" w:color="auto" w:fill="auto"/>
          </w:tcPr>
          <w:p w14:paraId="6AC786B3"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44,510</w:t>
            </w:r>
          </w:p>
        </w:tc>
      </w:tr>
      <w:tr w:rsidR="00C24C61" w:rsidRPr="00C24C61" w14:paraId="0A108504" w14:textId="77777777" w:rsidTr="008C25AE">
        <w:trPr>
          <w:trHeight w:val="227"/>
        </w:trPr>
        <w:tc>
          <w:tcPr>
            <w:tcW w:w="4783" w:type="dxa"/>
            <w:gridSpan w:val="2"/>
            <w:tcBorders>
              <w:top w:val="single" w:sz="4" w:space="0" w:color="auto"/>
              <w:left w:val="nil"/>
              <w:bottom w:val="single" w:sz="4" w:space="0" w:color="auto"/>
              <w:right w:val="nil"/>
            </w:tcBorders>
          </w:tcPr>
          <w:p w14:paraId="7EE8D806" w14:textId="77777777" w:rsidR="00C24C61" w:rsidRPr="00C24C61" w:rsidRDefault="00C24C61" w:rsidP="00C24C61">
            <w:pPr>
              <w:ind w:left="227" w:hanging="227"/>
              <w:jc w:val="right"/>
              <w:rPr>
                <w:rFonts w:ascii="Calibri" w:hAnsi="Calibri"/>
                <w:b/>
                <w:sz w:val="20"/>
                <w:szCs w:val="20"/>
                <w:lang w:eastAsia="en-AU"/>
              </w:rPr>
            </w:pPr>
            <w:r w:rsidRPr="00C24C61">
              <w:rPr>
                <w:rFonts w:ascii="Calibri" w:hAnsi="Calibri"/>
                <w:b/>
                <w:sz w:val="20"/>
                <w:szCs w:val="20"/>
                <w:lang w:eastAsia="en-AU"/>
              </w:rPr>
              <w:t>Total</w:t>
            </w:r>
          </w:p>
        </w:tc>
        <w:tc>
          <w:tcPr>
            <w:tcW w:w="1156" w:type="dxa"/>
            <w:tcBorders>
              <w:top w:val="single" w:sz="4" w:space="0" w:color="auto"/>
              <w:left w:val="nil"/>
              <w:bottom w:val="single" w:sz="4" w:space="0" w:color="auto"/>
              <w:right w:val="nil"/>
            </w:tcBorders>
          </w:tcPr>
          <w:p w14:paraId="45B45E28" w14:textId="77777777" w:rsidR="00C24C61" w:rsidRPr="00C24C61" w:rsidRDefault="00C24C61" w:rsidP="00C24C61">
            <w:pPr>
              <w:ind w:left="227" w:hanging="227"/>
              <w:jc w:val="right"/>
              <w:rPr>
                <w:rFonts w:ascii="Calibri" w:hAnsi="Calibri"/>
                <w:b/>
                <w:sz w:val="20"/>
                <w:szCs w:val="20"/>
                <w:lang w:eastAsia="en-AU"/>
              </w:rPr>
            </w:pPr>
            <w:r w:rsidRPr="00C24C61">
              <w:rPr>
                <w:rFonts w:ascii="Calibri" w:hAnsi="Calibri"/>
                <w:b/>
                <w:sz w:val="20"/>
                <w:szCs w:val="20"/>
                <w:lang w:eastAsia="en-AU"/>
              </w:rPr>
              <w:t>30,477</w:t>
            </w:r>
          </w:p>
        </w:tc>
        <w:tc>
          <w:tcPr>
            <w:tcW w:w="926" w:type="dxa"/>
            <w:tcBorders>
              <w:top w:val="single" w:sz="4" w:space="0" w:color="auto"/>
              <w:left w:val="nil"/>
              <w:bottom w:val="single" w:sz="4" w:space="0" w:color="auto"/>
              <w:right w:val="nil"/>
            </w:tcBorders>
          </w:tcPr>
          <w:p w14:paraId="338D07AA" w14:textId="77777777" w:rsidR="00C24C61" w:rsidRPr="00C24C61" w:rsidRDefault="00C24C61" w:rsidP="00C24C61">
            <w:pPr>
              <w:ind w:left="227" w:hanging="227"/>
              <w:jc w:val="right"/>
              <w:rPr>
                <w:rFonts w:ascii="Calibri" w:hAnsi="Calibri"/>
                <w:b/>
                <w:sz w:val="20"/>
                <w:szCs w:val="20"/>
                <w:lang w:eastAsia="en-AU"/>
              </w:rPr>
            </w:pPr>
            <w:r w:rsidRPr="00C24C61">
              <w:rPr>
                <w:rFonts w:ascii="Calibri" w:hAnsi="Calibri"/>
                <w:b/>
                <w:sz w:val="20"/>
                <w:szCs w:val="20"/>
                <w:lang w:eastAsia="en-AU"/>
              </w:rPr>
              <w:t>83,573</w:t>
            </w:r>
          </w:p>
        </w:tc>
        <w:tc>
          <w:tcPr>
            <w:tcW w:w="931" w:type="dxa"/>
            <w:tcBorders>
              <w:top w:val="single" w:sz="4" w:space="0" w:color="auto"/>
              <w:left w:val="nil"/>
              <w:bottom w:val="single" w:sz="4" w:space="0" w:color="auto"/>
              <w:right w:val="nil"/>
            </w:tcBorders>
          </w:tcPr>
          <w:p w14:paraId="446BC426" w14:textId="77777777" w:rsidR="00C24C61" w:rsidRPr="00C24C61" w:rsidRDefault="00C24C61" w:rsidP="00C24C61">
            <w:pPr>
              <w:ind w:left="227" w:hanging="227"/>
              <w:jc w:val="right"/>
              <w:rPr>
                <w:rFonts w:ascii="Calibri" w:hAnsi="Calibri"/>
                <w:b/>
                <w:sz w:val="20"/>
                <w:szCs w:val="20"/>
                <w:lang w:eastAsia="en-AU"/>
              </w:rPr>
            </w:pPr>
            <w:r w:rsidRPr="00C24C61">
              <w:rPr>
                <w:rFonts w:ascii="Calibri" w:hAnsi="Calibri"/>
                <w:b/>
                <w:sz w:val="20"/>
                <w:szCs w:val="20"/>
                <w:lang w:eastAsia="en-AU"/>
              </w:rPr>
              <w:t>55,315</w:t>
            </w:r>
          </w:p>
        </w:tc>
        <w:tc>
          <w:tcPr>
            <w:tcW w:w="921" w:type="dxa"/>
            <w:tcBorders>
              <w:top w:val="single" w:sz="4" w:space="0" w:color="auto"/>
              <w:left w:val="nil"/>
              <w:bottom w:val="single" w:sz="4" w:space="0" w:color="auto"/>
              <w:right w:val="nil"/>
            </w:tcBorders>
          </w:tcPr>
          <w:p w14:paraId="7550B2E7" w14:textId="77777777" w:rsidR="00C24C61" w:rsidRPr="00C24C61" w:rsidRDefault="00C24C61" w:rsidP="00C24C61">
            <w:pPr>
              <w:ind w:left="227" w:hanging="227"/>
              <w:jc w:val="right"/>
              <w:rPr>
                <w:rFonts w:ascii="Calibri" w:hAnsi="Calibri"/>
                <w:b/>
                <w:sz w:val="20"/>
                <w:szCs w:val="20"/>
                <w:lang w:eastAsia="en-AU"/>
              </w:rPr>
            </w:pPr>
            <w:r w:rsidRPr="00C24C61">
              <w:rPr>
                <w:rFonts w:ascii="Calibri" w:hAnsi="Calibri"/>
                <w:b/>
                <w:sz w:val="20"/>
                <w:szCs w:val="20"/>
                <w:lang w:eastAsia="en-AU"/>
              </w:rPr>
              <w:t>50,399</w:t>
            </w:r>
          </w:p>
        </w:tc>
        <w:tc>
          <w:tcPr>
            <w:tcW w:w="921" w:type="dxa"/>
            <w:tcBorders>
              <w:top w:val="single" w:sz="4" w:space="0" w:color="auto"/>
              <w:left w:val="nil"/>
              <w:bottom w:val="single" w:sz="4" w:space="0" w:color="auto"/>
              <w:right w:val="nil"/>
            </w:tcBorders>
          </w:tcPr>
          <w:p w14:paraId="33EC449A" w14:textId="77777777" w:rsidR="00C24C61" w:rsidRPr="00C24C61" w:rsidRDefault="00C24C61" w:rsidP="00C24C61">
            <w:pPr>
              <w:ind w:left="227" w:hanging="227"/>
              <w:jc w:val="right"/>
              <w:rPr>
                <w:rFonts w:ascii="Calibri" w:hAnsi="Calibri"/>
                <w:b/>
                <w:sz w:val="20"/>
                <w:szCs w:val="20"/>
                <w:lang w:eastAsia="en-AU"/>
              </w:rPr>
            </w:pPr>
            <w:r w:rsidRPr="00C24C61">
              <w:rPr>
                <w:rFonts w:ascii="Calibri" w:hAnsi="Calibri"/>
                <w:b/>
                <w:sz w:val="20"/>
                <w:szCs w:val="20"/>
                <w:lang w:eastAsia="en-AU"/>
              </w:rPr>
              <w:t>218,417</w:t>
            </w:r>
          </w:p>
        </w:tc>
      </w:tr>
      <w:tr w:rsidR="00C24C61" w:rsidRPr="00C24C61" w14:paraId="4D37176C" w14:textId="77777777" w:rsidTr="008C25AE">
        <w:trPr>
          <w:trHeight w:val="227"/>
        </w:trPr>
        <w:tc>
          <w:tcPr>
            <w:tcW w:w="4783" w:type="dxa"/>
            <w:gridSpan w:val="2"/>
            <w:tcBorders>
              <w:top w:val="single" w:sz="4" w:space="0" w:color="auto"/>
              <w:left w:val="nil"/>
              <w:bottom w:val="single" w:sz="4" w:space="0" w:color="auto"/>
              <w:right w:val="nil"/>
            </w:tcBorders>
          </w:tcPr>
          <w:p w14:paraId="36CB9F5A" w14:textId="77777777" w:rsidR="00C24C61" w:rsidRPr="00C24C61" w:rsidRDefault="00C24C61" w:rsidP="00C24C61">
            <w:pPr>
              <w:ind w:left="227" w:hanging="227"/>
              <w:jc w:val="right"/>
              <w:rPr>
                <w:rFonts w:ascii="Calibri" w:hAnsi="Calibri"/>
                <w:b/>
                <w:sz w:val="20"/>
                <w:szCs w:val="20"/>
                <w:lang w:eastAsia="en-AU"/>
              </w:rPr>
            </w:pPr>
          </w:p>
        </w:tc>
        <w:tc>
          <w:tcPr>
            <w:tcW w:w="1156" w:type="dxa"/>
            <w:tcBorders>
              <w:top w:val="single" w:sz="4" w:space="0" w:color="auto"/>
              <w:left w:val="nil"/>
              <w:bottom w:val="single" w:sz="4" w:space="0" w:color="auto"/>
              <w:right w:val="nil"/>
            </w:tcBorders>
          </w:tcPr>
          <w:p w14:paraId="3CAD22AD" w14:textId="77777777" w:rsidR="00C24C61" w:rsidRPr="00C24C61" w:rsidRDefault="00C24C61" w:rsidP="00C24C61">
            <w:pPr>
              <w:ind w:left="227" w:hanging="227"/>
              <w:jc w:val="right"/>
              <w:rPr>
                <w:rFonts w:ascii="Calibri" w:hAnsi="Calibri"/>
                <w:b/>
                <w:sz w:val="20"/>
                <w:szCs w:val="20"/>
                <w:lang w:eastAsia="en-AU"/>
              </w:rPr>
            </w:pPr>
          </w:p>
        </w:tc>
        <w:tc>
          <w:tcPr>
            <w:tcW w:w="926" w:type="dxa"/>
            <w:tcBorders>
              <w:top w:val="single" w:sz="4" w:space="0" w:color="auto"/>
              <w:left w:val="nil"/>
              <w:bottom w:val="single" w:sz="4" w:space="0" w:color="auto"/>
              <w:right w:val="nil"/>
            </w:tcBorders>
          </w:tcPr>
          <w:p w14:paraId="59181EAA" w14:textId="77777777" w:rsidR="00C24C61" w:rsidRPr="00C24C61" w:rsidRDefault="00C24C61" w:rsidP="00C24C61">
            <w:pPr>
              <w:ind w:left="227" w:hanging="227"/>
              <w:jc w:val="right"/>
              <w:rPr>
                <w:rFonts w:ascii="Calibri" w:hAnsi="Calibri"/>
                <w:b/>
                <w:sz w:val="20"/>
                <w:szCs w:val="20"/>
                <w:lang w:eastAsia="en-AU"/>
              </w:rPr>
            </w:pPr>
          </w:p>
        </w:tc>
        <w:tc>
          <w:tcPr>
            <w:tcW w:w="931" w:type="dxa"/>
            <w:tcBorders>
              <w:top w:val="single" w:sz="4" w:space="0" w:color="auto"/>
              <w:left w:val="nil"/>
              <w:bottom w:val="single" w:sz="4" w:space="0" w:color="auto"/>
              <w:right w:val="nil"/>
            </w:tcBorders>
          </w:tcPr>
          <w:p w14:paraId="0D5D351B" w14:textId="77777777" w:rsidR="00C24C61" w:rsidRPr="00C24C61" w:rsidRDefault="00C24C61" w:rsidP="00C24C61">
            <w:pPr>
              <w:ind w:left="227" w:hanging="227"/>
              <w:jc w:val="right"/>
              <w:rPr>
                <w:rFonts w:ascii="Calibri" w:hAnsi="Calibri"/>
                <w:b/>
                <w:sz w:val="20"/>
                <w:szCs w:val="20"/>
                <w:lang w:eastAsia="en-AU"/>
              </w:rPr>
            </w:pPr>
          </w:p>
        </w:tc>
        <w:tc>
          <w:tcPr>
            <w:tcW w:w="921" w:type="dxa"/>
            <w:tcBorders>
              <w:top w:val="single" w:sz="4" w:space="0" w:color="auto"/>
              <w:left w:val="nil"/>
              <w:bottom w:val="single" w:sz="4" w:space="0" w:color="auto"/>
              <w:right w:val="nil"/>
            </w:tcBorders>
          </w:tcPr>
          <w:p w14:paraId="4BCAFC03" w14:textId="77777777" w:rsidR="00C24C61" w:rsidRPr="00C24C61" w:rsidRDefault="00C24C61" w:rsidP="00C24C61">
            <w:pPr>
              <w:ind w:left="227" w:hanging="227"/>
              <w:jc w:val="right"/>
              <w:rPr>
                <w:rFonts w:ascii="Calibri" w:hAnsi="Calibri"/>
                <w:b/>
                <w:sz w:val="20"/>
                <w:szCs w:val="20"/>
                <w:lang w:eastAsia="en-AU"/>
              </w:rPr>
            </w:pPr>
          </w:p>
        </w:tc>
        <w:tc>
          <w:tcPr>
            <w:tcW w:w="921" w:type="dxa"/>
            <w:tcBorders>
              <w:top w:val="single" w:sz="4" w:space="0" w:color="auto"/>
              <w:left w:val="nil"/>
              <w:bottom w:val="single" w:sz="4" w:space="0" w:color="auto"/>
              <w:right w:val="nil"/>
            </w:tcBorders>
          </w:tcPr>
          <w:p w14:paraId="4532E990" w14:textId="77777777" w:rsidR="00C24C61" w:rsidRPr="00C24C61" w:rsidRDefault="00C24C61" w:rsidP="00C24C61">
            <w:pPr>
              <w:ind w:left="227" w:hanging="227"/>
              <w:jc w:val="right"/>
              <w:rPr>
                <w:rFonts w:ascii="Calibri" w:hAnsi="Calibri"/>
                <w:b/>
                <w:sz w:val="20"/>
                <w:szCs w:val="20"/>
                <w:lang w:eastAsia="en-AU"/>
              </w:rPr>
            </w:pPr>
          </w:p>
        </w:tc>
      </w:tr>
      <w:tr w:rsidR="00C24C61" w:rsidRPr="00C24C61" w14:paraId="24517E3F" w14:textId="77777777" w:rsidTr="008C25AE">
        <w:trPr>
          <w:trHeight w:val="227"/>
        </w:trPr>
        <w:tc>
          <w:tcPr>
            <w:tcW w:w="4783" w:type="dxa"/>
            <w:gridSpan w:val="2"/>
            <w:tcBorders>
              <w:top w:val="single" w:sz="4" w:space="0" w:color="auto"/>
              <w:left w:val="nil"/>
              <w:bottom w:val="single" w:sz="4" w:space="0" w:color="auto"/>
              <w:right w:val="nil"/>
            </w:tcBorders>
          </w:tcPr>
          <w:p w14:paraId="325B4C52" w14:textId="77777777" w:rsidR="00C24C61" w:rsidRPr="00C24C61" w:rsidRDefault="00C24C61" w:rsidP="00C24C61">
            <w:pPr>
              <w:ind w:left="227" w:hanging="227"/>
              <w:rPr>
                <w:rFonts w:ascii="Calibri" w:hAnsi="Calibri"/>
                <w:b/>
                <w:bCs/>
                <w:sz w:val="20"/>
                <w:szCs w:val="20"/>
                <w:lang w:eastAsia="en-AU"/>
              </w:rPr>
            </w:pPr>
            <w:r w:rsidRPr="00C24C61">
              <w:rPr>
                <w:rFonts w:ascii="Calibri" w:hAnsi="Calibri"/>
                <w:b/>
                <w:bCs/>
                <w:sz w:val="20"/>
                <w:szCs w:val="20"/>
                <w:lang w:eastAsia="en-AU"/>
              </w:rPr>
              <w:t>TOTAL INFRASTRUCTURE AND CAPITAL INITIATIVES</w:t>
            </w:r>
          </w:p>
        </w:tc>
        <w:tc>
          <w:tcPr>
            <w:tcW w:w="1156" w:type="dxa"/>
            <w:tcBorders>
              <w:top w:val="single" w:sz="4" w:space="0" w:color="auto"/>
              <w:left w:val="nil"/>
              <w:bottom w:val="single" w:sz="4" w:space="0" w:color="auto"/>
              <w:right w:val="nil"/>
            </w:tcBorders>
            <w:vAlign w:val="bottom"/>
          </w:tcPr>
          <w:p w14:paraId="738BAE04" w14:textId="77777777" w:rsidR="00C24C61" w:rsidRPr="00C24C61" w:rsidRDefault="00C24C61" w:rsidP="00C24C61">
            <w:pPr>
              <w:ind w:left="227" w:hanging="227"/>
              <w:jc w:val="right"/>
              <w:rPr>
                <w:rFonts w:ascii="Calibri" w:hAnsi="Calibri"/>
                <w:b/>
                <w:sz w:val="20"/>
                <w:szCs w:val="20"/>
                <w:lang w:eastAsia="en-AU"/>
              </w:rPr>
            </w:pPr>
            <w:r w:rsidRPr="00C24C61">
              <w:rPr>
                <w:rFonts w:ascii="Calibri" w:hAnsi="Calibri"/>
                <w:b/>
                <w:sz w:val="20"/>
                <w:szCs w:val="20"/>
                <w:lang w:eastAsia="en-AU"/>
              </w:rPr>
              <w:t>191,656</w:t>
            </w:r>
          </w:p>
        </w:tc>
        <w:tc>
          <w:tcPr>
            <w:tcW w:w="926" w:type="dxa"/>
            <w:tcBorders>
              <w:top w:val="single" w:sz="4" w:space="0" w:color="auto"/>
              <w:left w:val="nil"/>
              <w:bottom w:val="single" w:sz="4" w:space="0" w:color="auto"/>
              <w:right w:val="nil"/>
            </w:tcBorders>
            <w:vAlign w:val="bottom"/>
          </w:tcPr>
          <w:p w14:paraId="509FD38D" w14:textId="77777777" w:rsidR="00C24C61" w:rsidRPr="00C24C61" w:rsidRDefault="00C24C61" w:rsidP="00C24C61">
            <w:pPr>
              <w:ind w:left="227" w:hanging="227"/>
              <w:jc w:val="right"/>
              <w:rPr>
                <w:rFonts w:ascii="Calibri" w:hAnsi="Calibri"/>
                <w:b/>
                <w:sz w:val="20"/>
                <w:szCs w:val="20"/>
                <w:lang w:eastAsia="en-AU"/>
              </w:rPr>
            </w:pPr>
            <w:r w:rsidRPr="00C24C61">
              <w:rPr>
                <w:rFonts w:ascii="Calibri" w:hAnsi="Calibri"/>
                <w:b/>
                <w:sz w:val="20"/>
                <w:szCs w:val="20"/>
                <w:lang w:eastAsia="en-AU"/>
              </w:rPr>
              <w:t>311,840</w:t>
            </w:r>
          </w:p>
        </w:tc>
        <w:tc>
          <w:tcPr>
            <w:tcW w:w="931" w:type="dxa"/>
            <w:tcBorders>
              <w:top w:val="single" w:sz="4" w:space="0" w:color="auto"/>
              <w:left w:val="nil"/>
              <w:bottom w:val="single" w:sz="4" w:space="0" w:color="auto"/>
              <w:right w:val="nil"/>
            </w:tcBorders>
            <w:vAlign w:val="bottom"/>
          </w:tcPr>
          <w:p w14:paraId="1E83AB0E" w14:textId="77777777" w:rsidR="00C24C61" w:rsidRPr="00C24C61" w:rsidRDefault="00C24C61" w:rsidP="00C24C61">
            <w:pPr>
              <w:ind w:left="227" w:hanging="227"/>
              <w:jc w:val="right"/>
              <w:rPr>
                <w:rFonts w:ascii="Calibri" w:hAnsi="Calibri"/>
                <w:b/>
                <w:sz w:val="20"/>
                <w:szCs w:val="20"/>
                <w:lang w:eastAsia="en-AU"/>
              </w:rPr>
            </w:pPr>
            <w:r w:rsidRPr="00C24C61">
              <w:rPr>
                <w:rFonts w:ascii="Calibri" w:hAnsi="Calibri"/>
                <w:b/>
                <w:sz w:val="20"/>
                <w:szCs w:val="20"/>
                <w:lang w:eastAsia="en-AU"/>
              </w:rPr>
              <w:t>182,552</w:t>
            </w:r>
          </w:p>
        </w:tc>
        <w:tc>
          <w:tcPr>
            <w:tcW w:w="921" w:type="dxa"/>
            <w:tcBorders>
              <w:top w:val="single" w:sz="4" w:space="0" w:color="auto"/>
              <w:left w:val="nil"/>
              <w:bottom w:val="single" w:sz="4" w:space="0" w:color="auto"/>
              <w:right w:val="nil"/>
            </w:tcBorders>
            <w:vAlign w:val="bottom"/>
          </w:tcPr>
          <w:p w14:paraId="3C4601F7" w14:textId="77777777" w:rsidR="00C24C61" w:rsidRPr="00C24C61" w:rsidRDefault="00C24C61" w:rsidP="00C24C61">
            <w:pPr>
              <w:ind w:left="227" w:hanging="227"/>
              <w:jc w:val="right"/>
              <w:rPr>
                <w:rFonts w:ascii="Calibri" w:hAnsi="Calibri"/>
                <w:b/>
                <w:sz w:val="20"/>
                <w:szCs w:val="20"/>
                <w:lang w:eastAsia="en-AU"/>
              </w:rPr>
            </w:pPr>
            <w:r w:rsidRPr="00C24C61">
              <w:rPr>
                <w:rFonts w:ascii="Calibri" w:hAnsi="Calibri"/>
                <w:b/>
                <w:sz w:val="20"/>
                <w:szCs w:val="20"/>
                <w:lang w:eastAsia="en-AU"/>
              </w:rPr>
              <w:t>101,525</w:t>
            </w:r>
          </w:p>
        </w:tc>
        <w:tc>
          <w:tcPr>
            <w:tcW w:w="921" w:type="dxa"/>
            <w:tcBorders>
              <w:top w:val="single" w:sz="4" w:space="0" w:color="auto"/>
              <w:left w:val="nil"/>
              <w:bottom w:val="single" w:sz="4" w:space="0" w:color="auto"/>
              <w:right w:val="nil"/>
            </w:tcBorders>
            <w:vAlign w:val="bottom"/>
          </w:tcPr>
          <w:p w14:paraId="64C63E50" w14:textId="77777777" w:rsidR="00C24C61" w:rsidRPr="00C24C61" w:rsidRDefault="00C24C61" w:rsidP="00C24C61">
            <w:pPr>
              <w:ind w:left="227" w:hanging="227"/>
              <w:jc w:val="right"/>
              <w:rPr>
                <w:rFonts w:ascii="Calibri" w:hAnsi="Calibri"/>
                <w:b/>
                <w:sz w:val="20"/>
                <w:szCs w:val="20"/>
                <w:lang w:eastAsia="en-AU"/>
              </w:rPr>
            </w:pPr>
            <w:r w:rsidRPr="00C24C61">
              <w:rPr>
                <w:rFonts w:ascii="Calibri" w:hAnsi="Calibri"/>
                <w:b/>
                <w:sz w:val="20"/>
                <w:szCs w:val="20"/>
                <w:lang w:eastAsia="en-AU"/>
              </w:rPr>
              <w:t>787,573</w:t>
            </w:r>
          </w:p>
        </w:tc>
      </w:tr>
      <w:tr w:rsidR="00C24C61" w:rsidRPr="00C24C61" w14:paraId="6053FC56" w14:textId="77777777" w:rsidTr="008C25AE">
        <w:trPr>
          <w:trHeight w:val="227"/>
        </w:trPr>
        <w:tc>
          <w:tcPr>
            <w:tcW w:w="4783" w:type="dxa"/>
            <w:gridSpan w:val="2"/>
            <w:tcBorders>
              <w:top w:val="single" w:sz="4" w:space="0" w:color="auto"/>
              <w:left w:val="nil"/>
              <w:bottom w:val="nil"/>
              <w:right w:val="nil"/>
            </w:tcBorders>
          </w:tcPr>
          <w:p w14:paraId="6565020A" w14:textId="77777777" w:rsidR="00C24C61" w:rsidRPr="00C24C61" w:rsidRDefault="00C24C61" w:rsidP="00C24C61">
            <w:pPr>
              <w:jc w:val="right"/>
              <w:rPr>
                <w:rFonts w:ascii="Calibri" w:hAnsi="Calibri" w:cs="Calibri"/>
                <w:color w:val="FFFFFF"/>
                <w:sz w:val="12"/>
                <w:szCs w:val="20"/>
                <w:lang w:eastAsia="en-US"/>
              </w:rPr>
            </w:pPr>
            <w:r w:rsidRPr="00C24C61">
              <w:rPr>
                <w:rFonts w:ascii="Calibri" w:hAnsi="Calibri" w:cs="Calibri"/>
                <w:color w:val="FFFFFF"/>
                <w:sz w:val="12"/>
                <w:szCs w:val="20"/>
                <w:lang w:eastAsia="en-US"/>
              </w:rPr>
              <w:t xml:space="preserve"> </w:t>
            </w:r>
          </w:p>
        </w:tc>
        <w:tc>
          <w:tcPr>
            <w:tcW w:w="1156" w:type="dxa"/>
            <w:tcBorders>
              <w:top w:val="single" w:sz="4" w:space="0" w:color="auto"/>
              <w:left w:val="nil"/>
              <w:bottom w:val="nil"/>
              <w:right w:val="nil"/>
            </w:tcBorders>
          </w:tcPr>
          <w:p w14:paraId="6F0C1A96" w14:textId="77777777" w:rsidR="00C24C61" w:rsidRPr="00C24C61" w:rsidRDefault="00C24C61" w:rsidP="00C24C61">
            <w:pPr>
              <w:jc w:val="right"/>
              <w:rPr>
                <w:rFonts w:ascii="Calibri" w:hAnsi="Calibri" w:cs="Calibri"/>
                <w:color w:val="FFFFFF"/>
                <w:sz w:val="12"/>
                <w:szCs w:val="20"/>
                <w:highlight w:val="yellow"/>
                <w:lang w:eastAsia="en-US"/>
              </w:rPr>
            </w:pPr>
          </w:p>
        </w:tc>
        <w:tc>
          <w:tcPr>
            <w:tcW w:w="926" w:type="dxa"/>
            <w:tcBorders>
              <w:top w:val="single" w:sz="4" w:space="0" w:color="auto"/>
              <w:left w:val="nil"/>
              <w:bottom w:val="nil"/>
              <w:right w:val="nil"/>
            </w:tcBorders>
          </w:tcPr>
          <w:p w14:paraId="3E64EE58" w14:textId="77777777" w:rsidR="00C24C61" w:rsidRPr="00C24C61" w:rsidRDefault="00C24C61" w:rsidP="00C24C61">
            <w:pPr>
              <w:jc w:val="right"/>
              <w:rPr>
                <w:rFonts w:ascii="Calibri" w:hAnsi="Calibri" w:cs="Calibri"/>
                <w:color w:val="FFFFFF"/>
                <w:sz w:val="12"/>
                <w:szCs w:val="20"/>
                <w:highlight w:val="yellow"/>
                <w:lang w:eastAsia="en-US"/>
              </w:rPr>
            </w:pPr>
          </w:p>
        </w:tc>
        <w:tc>
          <w:tcPr>
            <w:tcW w:w="931" w:type="dxa"/>
            <w:tcBorders>
              <w:top w:val="single" w:sz="4" w:space="0" w:color="auto"/>
              <w:left w:val="nil"/>
              <w:bottom w:val="nil"/>
              <w:right w:val="nil"/>
            </w:tcBorders>
          </w:tcPr>
          <w:p w14:paraId="41187791" w14:textId="77777777" w:rsidR="00C24C61" w:rsidRPr="00C24C61" w:rsidRDefault="00C24C61" w:rsidP="00C24C61">
            <w:pPr>
              <w:jc w:val="right"/>
              <w:rPr>
                <w:rFonts w:ascii="Calibri" w:hAnsi="Calibri" w:cs="Calibri"/>
                <w:color w:val="FFFFFF"/>
                <w:sz w:val="12"/>
                <w:szCs w:val="20"/>
                <w:highlight w:val="yellow"/>
                <w:lang w:eastAsia="en-US"/>
              </w:rPr>
            </w:pPr>
          </w:p>
        </w:tc>
        <w:tc>
          <w:tcPr>
            <w:tcW w:w="921" w:type="dxa"/>
            <w:tcBorders>
              <w:top w:val="single" w:sz="4" w:space="0" w:color="auto"/>
              <w:left w:val="nil"/>
              <w:bottom w:val="nil"/>
              <w:right w:val="nil"/>
            </w:tcBorders>
          </w:tcPr>
          <w:p w14:paraId="62AFC818" w14:textId="77777777" w:rsidR="00C24C61" w:rsidRPr="00C24C61" w:rsidRDefault="00C24C61" w:rsidP="00C24C61">
            <w:pPr>
              <w:jc w:val="right"/>
              <w:rPr>
                <w:rFonts w:ascii="Calibri" w:hAnsi="Calibri" w:cs="Calibri"/>
                <w:color w:val="FFFFFF"/>
                <w:sz w:val="12"/>
                <w:szCs w:val="20"/>
                <w:highlight w:val="yellow"/>
                <w:lang w:eastAsia="en-US"/>
              </w:rPr>
            </w:pPr>
          </w:p>
        </w:tc>
        <w:tc>
          <w:tcPr>
            <w:tcW w:w="921" w:type="dxa"/>
            <w:tcBorders>
              <w:top w:val="single" w:sz="4" w:space="0" w:color="auto"/>
              <w:left w:val="nil"/>
              <w:bottom w:val="nil"/>
              <w:right w:val="nil"/>
            </w:tcBorders>
          </w:tcPr>
          <w:p w14:paraId="0C9C396F" w14:textId="77777777" w:rsidR="00C24C61" w:rsidRPr="00C24C61" w:rsidRDefault="00C24C61" w:rsidP="00C24C61">
            <w:pPr>
              <w:jc w:val="right"/>
              <w:rPr>
                <w:rFonts w:ascii="Calibri" w:hAnsi="Calibri" w:cs="Calibri"/>
                <w:color w:val="FFFFFF"/>
                <w:sz w:val="12"/>
                <w:szCs w:val="20"/>
                <w:highlight w:val="yellow"/>
                <w:lang w:eastAsia="en-US"/>
              </w:rPr>
            </w:pPr>
          </w:p>
        </w:tc>
      </w:tr>
      <w:tr w:rsidR="00C24C61" w:rsidRPr="00C24C61" w14:paraId="58254544" w14:textId="77777777" w:rsidTr="0002757D">
        <w:trPr>
          <w:trHeight w:val="227"/>
        </w:trPr>
        <w:tc>
          <w:tcPr>
            <w:tcW w:w="4783" w:type="dxa"/>
            <w:gridSpan w:val="2"/>
            <w:tcBorders>
              <w:top w:val="nil"/>
              <w:left w:val="nil"/>
              <w:bottom w:val="nil"/>
              <w:right w:val="nil"/>
            </w:tcBorders>
          </w:tcPr>
          <w:p w14:paraId="1104651C" w14:textId="77777777" w:rsidR="00C24C61" w:rsidRPr="00C24C61" w:rsidRDefault="00C24C61" w:rsidP="00C24C61">
            <w:pPr>
              <w:ind w:left="227" w:hanging="227"/>
              <w:rPr>
                <w:rFonts w:ascii="Calibri" w:hAnsi="Calibri"/>
                <w:bCs/>
                <w:i/>
                <w:sz w:val="20"/>
                <w:szCs w:val="20"/>
                <w:lang w:eastAsia="en-AU"/>
              </w:rPr>
            </w:pPr>
            <w:r w:rsidRPr="00C24C61">
              <w:rPr>
                <w:rFonts w:ascii="Calibri" w:hAnsi="Calibri"/>
                <w:bCs/>
                <w:i/>
                <w:sz w:val="20"/>
                <w:szCs w:val="20"/>
                <w:lang w:eastAsia="en-AU"/>
              </w:rPr>
              <w:t>Associated revenue</w:t>
            </w:r>
          </w:p>
        </w:tc>
        <w:tc>
          <w:tcPr>
            <w:tcW w:w="1156" w:type="dxa"/>
            <w:tcBorders>
              <w:top w:val="nil"/>
              <w:left w:val="nil"/>
              <w:bottom w:val="nil"/>
              <w:right w:val="nil"/>
            </w:tcBorders>
          </w:tcPr>
          <w:p w14:paraId="70A78BEE" w14:textId="77777777" w:rsidR="00C24C61" w:rsidRPr="00C24C61" w:rsidRDefault="00C24C61" w:rsidP="00C24C61">
            <w:pPr>
              <w:ind w:left="227" w:hanging="227"/>
              <w:jc w:val="right"/>
              <w:rPr>
                <w:rFonts w:ascii="Calibri" w:hAnsi="Calibri"/>
                <w:i/>
                <w:sz w:val="20"/>
                <w:szCs w:val="20"/>
                <w:lang w:eastAsia="en-AU"/>
              </w:rPr>
            </w:pPr>
            <w:r w:rsidRPr="00C24C61">
              <w:rPr>
                <w:rFonts w:ascii="Calibri" w:hAnsi="Calibri"/>
                <w:i/>
                <w:sz w:val="20"/>
                <w:szCs w:val="20"/>
                <w:lang w:eastAsia="en-AU"/>
              </w:rPr>
              <w:t>415</w:t>
            </w:r>
          </w:p>
        </w:tc>
        <w:tc>
          <w:tcPr>
            <w:tcW w:w="926" w:type="dxa"/>
            <w:tcBorders>
              <w:top w:val="nil"/>
              <w:left w:val="nil"/>
              <w:bottom w:val="nil"/>
              <w:right w:val="nil"/>
            </w:tcBorders>
          </w:tcPr>
          <w:p w14:paraId="66B02278" w14:textId="77777777" w:rsidR="00C24C61" w:rsidRPr="00C24C61" w:rsidRDefault="00C24C61" w:rsidP="00C24C61">
            <w:pPr>
              <w:ind w:left="227" w:hanging="227"/>
              <w:jc w:val="right"/>
              <w:rPr>
                <w:rFonts w:ascii="Calibri" w:hAnsi="Calibri"/>
                <w:i/>
                <w:sz w:val="20"/>
                <w:szCs w:val="20"/>
                <w:lang w:eastAsia="en-AU"/>
              </w:rPr>
            </w:pPr>
            <w:r w:rsidRPr="00C24C61">
              <w:rPr>
                <w:rFonts w:ascii="Calibri" w:hAnsi="Calibri"/>
                <w:i/>
                <w:sz w:val="20"/>
                <w:szCs w:val="20"/>
                <w:lang w:eastAsia="en-AU"/>
              </w:rPr>
              <w:t>635</w:t>
            </w:r>
          </w:p>
        </w:tc>
        <w:tc>
          <w:tcPr>
            <w:tcW w:w="931" w:type="dxa"/>
            <w:tcBorders>
              <w:top w:val="nil"/>
              <w:left w:val="nil"/>
              <w:bottom w:val="nil"/>
              <w:right w:val="nil"/>
            </w:tcBorders>
          </w:tcPr>
          <w:p w14:paraId="0E273CEC" w14:textId="77777777" w:rsidR="00C24C61" w:rsidRPr="00C24C61" w:rsidRDefault="00C24C61" w:rsidP="00C24C61">
            <w:pPr>
              <w:ind w:left="227" w:hanging="227"/>
              <w:jc w:val="right"/>
              <w:rPr>
                <w:rFonts w:ascii="Calibri" w:hAnsi="Calibri"/>
                <w:i/>
                <w:sz w:val="20"/>
                <w:szCs w:val="20"/>
                <w:lang w:eastAsia="en-AU"/>
              </w:rPr>
            </w:pPr>
            <w:r w:rsidRPr="00C24C61">
              <w:rPr>
                <w:rFonts w:ascii="Calibri" w:hAnsi="Calibri"/>
                <w:i/>
                <w:sz w:val="20"/>
                <w:szCs w:val="20"/>
                <w:lang w:eastAsia="en-AU"/>
              </w:rPr>
              <w:t>651</w:t>
            </w:r>
          </w:p>
        </w:tc>
        <w:tc>
          <w:tcPr>
            <w:tcW w:w="921" w:type="dxa"/>
            <w:tcBorders>
              <w:top w:val="nil"/>
              <w:left w:val="nil"/>
              <w:bottom w:val="nil"/>
              <w:right w:val="nil"/>
            </w:tcBorders>
          </w:tcPr>
          <w:p w14:paraId="1258EFB8" w14:textId="77777777" w:rsidR="00C24C61" w:rsidRPr="00C24C61" w:rsidRDefault="00C24C61" w:rsidP="00C24C61">
            <w:pPr>
              <w:ind w:left="227" w:hanging="227"/>
              <w:jc w:val="right"/>
              <w:rPr>
                <w:rFonts w:ascii="Calibri" w:hAnsi="Calibri"/>
                <w:i/>
                <w:sz w:val="20"/>
                <w:szCs w:val="20"/>
                <w:lang w:eastAsia="en-AU"/>
              </w:rPr>
            </w:pPr>
            <w:r w:rsidRPr="00C24C61">
              <w:rPr>
                <w:rFonts w:ascii="Calibri" w:hAnsi="Calibri"/>
                <w:i/>
                <w:sz w:val="20"/>
                <w:szCs w:val="20"/>
                <w:lang w:eastAsia="en-AU"/>
              </w:rPr>
              <w:t>667</w:t>
            </w:r>
          </w:p>
        </w:tc>
        <w:tc>
          <w:tcPr>
            <w:tcW w:w="921" w:type="dxa"/>
            <w:tcBorders>
              <w:top w:val="nil"/>
              <w:left w:val="nil"/>
              <w:bottom w:val="nil"/>
              <w:right w:val="nil"/>
            </w:tcBorders>
          </w:tcPr>
          <w:p w14:paraId="78F13258" w14:textId="77777777" w:rsidR="00C24C61" w:rsidRPr="00C24C61" w:rsidRDefault="00C24C61" w:rsidP="00C24C61">
            <w:pPr>
              <w:ind w:left="227" w:hanging="227"/>
              <w:jc w:val="right"/>
              <w:rPr>
                <w:rFonts w:ascii="Calibri" w:hAnsi="Calibri"/>
                <w:i/>
                <w:sz w:val="20"/>
                <w:szCs w:val="20"/>
                <w:lang w:eastAsia="en-AU"/>
              </w:rPr>
            </w:pPr>
            <w:r w:rsidRPr="00C24C61">
              <w:rPr>
                <w:rFonts w:ascii="Calibri" w:hAnsi="Calibri"/>
                <w:i/>
                <w:sz w:val="20"/>
                <w:szCs w:val="20"/>
                <w:lang w:eastAsia="en-AU"/>
              </w:rPr>
              <w:t>2,368</w:t>
            </w:r>
          </w:p>
        </w:tc>
      </w:tr>
      <w:tr w:rsidR="00C24C61" w:rsidRPr="00C24C61" w14:paraId="6FBEB19E" w14:textId="77777777" w:rsidTr="0002757D">
        <w:trPr>
          <w:trHeight w:val="227"/>
        </w:trPr>
        <w:tc>
          <w:tcPr>
            <w:tcW w:w="4783" w:type="dxa"/>
            <w:gridSpan w:val="2"/>
            <w:tcBorders>
              <w:top w:val="nil"/>
              <w:left w:val="nil"/>
              <w:right w:val="nil"/>
            </w:tcBorders>
          </w:tcPr>
          <w:p w14:paraId="28DF1FBD" w14:textId="77777777" w:rsidR="00C24C61" w:rsidRPr="00C24C61" w:rsidRDefault="00C24C61" w:rsidP="00C24C61">
            <w:pPr>
              <w:ind w:left="227" w:hanging="227"/>
              <w:rPr>
                <w:rFonts w:ascii="Calibri" w:hAnsi="Calibri"/>
                <w:bCs/>
                <w:i/>
                <w:sz w:val="20"/>
                <w:szCs w:val="20"/>
                <w:lang w:eastAsia="en-AU"/>
              </w:rPr>
            </w:pPr>
            <w:r w:rsidRPr="00C24C61">
              <w:rPr>
                <w:rFonts w:ascii="Calibri" w:hAnsi="Calibri"/>
                <w:bCs/>
                <w:i/>
                <w:sz w:val="20"/>
                <w:szCs w:val="20"/>
                <w:lang w:eastAsia="en-AU"/>
              </w:rPr>
              <w:t>Associated expenses</w:t>
            </w:r>
          </w:p>
        </w:tc>
        <w:tc>
          <w:tcPr>
            <w:tcW w:w="1156" w:type="dxa"/>
            <w:tcBorders>
              <w:top w:val="nil"/>
              <w:left w:val="nil"/>
              <w:right w:val="nil"/>
            </w:tcBorders>
          </w:tcPr>
          <w:p w14:paraId="12D16DEE" w14:textId="77777777" w:rsidR="00C24C61" w:rsidRPr="00C24C61" w:rsidRDefault="00C24C61" w:rsidP="00C24C61">
            <w:pPr>
              <w:ind w:left="227" w:hanging="227"/>
              <w:jc w:val="right"/>
              <w:rPr>
                <w:rFonts w:ascii="Calibri" w:hAnsi="Calibri"/>
                <w:i/>
                <w:sz w:val="20"/>
                <w:szCs w:val="20"/>
                <w:lang w:eastAsia="en-AU"/>
              </w:rPr>
            </w:pPr>
            <w:r w:rsidRPr="00C24C61">
              <w:rPr>
                <w:rFonts w:ascii="Calibri" w:hAnsi="Calibri"/>
                <w:i/>
                <w:sz w:val="20"/>
                <w:szCs w:val="20"/>
                <w:lang w:eastAsia="en-AU"/>
              </w:rPr>
              <w:t>27,108</w:t>
            </w:r>
          </w:p>
        </w:tc>
        <w:tc>
          <w:tcPr>
            <w:tcW w:w="926" w:type="dxa"/>
            <w:tcBorders>
              <w:top w:val="nil"/>
              <w:left w:val="nil"/>
              <w:right w:val="nil"/>
            </w:tcBorders>
          </w:tcPr>
          <w:p w14:paraId="0772F5E4" w14:textId="77777777" w:rsidR="00C24C61" w:rsidRPr="00C24C61" w:rsidRDefault="00C24C61" w:rsidP="00C24C61">
            <w:pPr>
              <w:ind w:left="227" w:hanging="227"/>
              <w:jc w:val="right"/>
              <w:rPr>
                <w:rFonts w:ascii="Calibri" w:hAnsi="Calibri"/>
                <w:i/>
                <w:sz w:val="20"/>
                <w:szCs w:val="20"/>
                <w:lang w:eastAsia="en-AU"/>
              </w:rPr>
            </w:pPr>
            <w:r w:rsidRPr="00C24C61">
              <w:rPr>
                <w:rFonts w:ascii="Calibri" w:hAnsi="Calibri"/>
                <w:i/>
                <w:sz w:val="20"/>
                <w:szCs w:val="20"/>
                <w:lang w:eastAsia="en-AU"/>
              </w:rPr>
              <w:t>41,531</w:t>
            </w:r>
          </w:p>
        </w:tc>
        <w:tc>
          <w:tcPr>
            <w:tcW w:w="931" w:type="dxa"/>
            <w:tcBorders>
              <w:top w:val="nil"/>
              <w:left w:val="nil"/>
              <w:right w:val="nil"/>
            </w:tcBorders>
          </w:tcPr>
          <w:p w14:paraId="604FE8AB" w14:textId="77777777" w:rsidR="00C24C61" w:rsidRPr="00C24C61" w:rsidRDefault="00C24C61" w:rsidP="00C24C61">
            <w:pPr>
              <w:ind w:left="227" w:hanging="227"/>
              <w:jc w:val="right"/>
              <w:rPr>
                <w:rFonts w:ascii="Calibri" w:hAnsi="Calibri"/>
                <w:i/>
                <w:sz w:val="20"/>
                <w:szCs w:val="20"/>
                <w:lang w:eastAsia="en-AU"/>
              </w:rPr>
            </w:pPr>
            <w:r w:rsidRPr="00C24C61">
              <w:rPr>
                <w:rFonts w:ascii="Calibri" w:hAnsi="Calibri"/>
                <w:i/>
                <w:sz w:val="20"/>
                <w:szCs w:val="20"/>
                <w:lang w:eastAsia="en-AU"/>
              </w:rPr>
              <w:t>51,972</w:t>
            </w:r>
          </w:p>
        </w:tc>
        <w:tc>
          <w:tcPr>
            <w:tcW w:w="921" w:type="dxa"/>
            <w:tcBorders>
              <w:top w:val="nil"/>
              <w:left w:val="nil"/>
              <w:right w:val="nil"/>
            </w:tcBorders>
          </w:tcPr>
          <w:p w14:paraId="749DD4D7" w14:textId="77777777" w:rsidR="00C24C61" w:rsidRPr="00C24C61" w:rsidRDefault="00C24C61" w:rsidP="00C24C61">
            <w:pPr>
              <w:ind w:left="227" w:hanging="227"/>
              <w:jc w:val="right"/>
              <w:rPr>
                <w:rFonts w:ascii="Calibri" w:hAnsi="Calibri"/>
                <w:i/>
                <w:sz w:val="20"/>
                <w:szCs w:val="20"/>
                <w:lang w:eastAsia="en-AU"/>
              </w:rPr>
            </w:pPr>
            <w:r w:rsidRPr="00C24C61">
              <w:rPr>
                <w:rFonts w:ascii="Calibri" w:hAnsi="Calibri"/>
                <w:i/>
                <w:sz w:val="20"/>
                <w:szCs w:val="20"/>
                <w:lang w:eastAsia="en-AU"/>
              </w:rPr>
              <w:t>49,846</w:t>
            </w:r>
          </w:p>
        </w:tc>
        <w:tc>
          <w:tcPr>
            <w:tcW w:w="921" w:type="dxa"/>
            <w:tcBorders>
              <w:top w:val="nil"/>
              <w:left w:val="nil"/>
              <w:right w:val="nil"/>
            </w:tcBorders>
          </w:tcPr>
          <w:p w14:paraId="65FB2B72" w14:textId="77777777" w:rsidR="00C24C61" w:rsidRPr="00C24C61" w:rsidRDefault="00C24C61" w:rsidP="00C24C61">
            <w:pPr>
              <w:ind w:left="227" w:hanging="227"/>
              <w:jc w:val="right"/>
              <w:rPr>
                <w:rFonts w:ascii="Calibri" w:hAnsi="Calibri"/>
                <w:i/>
                <w:sz w:val="20"/>
                <w:szCs w:val="20"/>
                <w:lang w:eastAsia="en-AU"/>
              </w:rPr>
            </w:pPr>
            <w:r w:rsidRPr="00C24C61">
              <w:rPr>
                <w:rFonts w:ascii="Calibri" w:hAnsi="Calibri"/>
                <w:i/>
                <w:sz w:val="20"/>
                <w:szCs w:val="20"/>
                <w:lang w:eastAsia="en-AU"/>
              </w:rPr>
              <w:t>170,457</w:t>
            </w:r>
          </w:p>
        </w:tc>
      </w:tr>
      <w:tr w:rsidR="00C24C61" w:rsidRPr="00C24C61" w14:paraId="497BBFC8" w14:textId="77777777" w:rsidTr="0002757D">
        <w:trPr>
          <w:trHeight w:val="227"/>
        </w:trPr>
        <w:tc>
          <w:tcPr>
            <w:tcW w:w="4783" w:type="dxa"/>
            <w:gridSpan w:val="2"/>
            <w:tcBorders>
              <w:top w:val="nil"/>
              <w:left w:val="nil"/>
              <w:bottom w:val="single" w:sz="4" w:space="0" w:color="auto"/>
              <w:right w:val="nil"/>
            </w:tcBorders>
          </w:tcPr>
          <w:p w14:paraId="01B0E83F" w14:textId="77777777" w:rsidR="00C24C61" w:rsidRPr="00C24C61" w:rsidRDefault="00C24C61" w:rsidP="00C24C61">
            <w:pPr>
              <w:ind w:left="227" w:hanging="227"/>
              <w:rPr>
                <w:rFonts w:ascii="Calibri" w:hAnsi="Calibri"/>
                <w:bCs/>
                <w:i/>
                <w:sz w:val="20"/>
                <w:szCs w:val="20"/>
                <w:lang w:eastAsia="en-AU"/>
              </w:rPr>
            </w:pPr>
            <w:r w:rsidRPr="00C24C61">
              <w:rPr>
                <w:rFonts w:ascii="Calibri" w:hAnsi="Calibri"/>
                <w:bCs/>
                <w:i/>
                <w:sz w:val="20"/>
                <w:szCs w:val="20"/>
                <w:lang w:eastAsia="en-AU"/>
              </w:rPr>
              <w:t>Depreciation</w:t>
            </w:r>
          </w:p>
        </w:tc>
        <w:tc>
          <w:tcPr>
            <w:tcW w:w="1156" w:type="dxa"/>
            <w:tcBorders>
              <w:top w:val="nil"/>
              <w:left w:val="nil"/>
              <w:bottom w:val="single" w:sz="4" w:space="0" w:color="auto"/>
              <w:right w:val="nil"/>
            </w:tcBorders>
          </w:tcPr>
          <w:p w14:paraId="7ACA7773" w14:textId="77777777" w:rsidR="00C24C61" w:rsidRPr="00C24C61" w:rsidRDefault="00C24C61" w:rsidP="00C24C61">
            <w:pPr>
              <w:ind w:left="227" w:hanging="227"/>
              <w:jc w:val="right"/>
              <w:rPr>
                <w:rFonts w:ascii="Calibri" w:hAnsi="Calibri"/>
                <w:i/>
                <w:sz w:val="20"/>
                <w:szCs w:val="20"/>
                <w:lang w:eastAsia="en-AU"/>
              </w:rPr>
            </w:pPr>
            <w:r w:rsidRPr="00C24C61">
              <w:rPr>
                <w:rFonts w:ascii="Calibri" w:hAnsi="Calibri"/>
                <w:i/>
                <w:sz w:val="20"/>
                <w:szCs w:val="20"/>
                <w:lang w:eastAsia="en-AU"/>
              </w:rPr>
              <w:t>6,262</w:t>
            </w:r>
          </w:p>
        </w:tc>
        <w:tc>
          <w:tcPr>
            <w:tcW w:w="926" w:type="dxa"/>
            <w:tcBorders>
              <w:top w:val="nil"/>
              <w:left w:val="nil"/>
              <w:bottom w:val="single" w:sz="4" w:space="0" w:color="auto"/>
              <w:right w:val="nil"/>
            </w:tcBorders>
          </w:tcPr>
          <w:p w14:paraId="44556A52" w14:textId="77777777" w:rsidR="00C24C61" w:rsidRPr="00C24C61" w:rsidRDefault="00C24C61" w:rsidP="00C24C61">
            <w:pPr>
              <w:ind w:left="227" w:hanging="227"/>
              <w:jc w:val="right"/>
              <w:rPr>
                <w:rFonts w:ascii="Calibri" w:hAnsi="Calibri"/>
                <w:i/>
                <w:sz w:val="20"/>
                <w:szCs w:val="20"/>
                <w:lang w:eastAsia="en-AU"/>
              </w:rPr>
            </w:pPr>
            <w:r w:rsidRPr="00C24C61">
              <w:rPr>
                <w:rFonts w:ascii="Calibri" w:hAnsi="Calibri"/>
                <w:i/>
                <w:sz w:val="20"/>
                <w:szCs w:val="20"/>
                <w:lang w:eastAsia="en-AU"/>
              </w:rPr>
              <w:t>7,316</w:t>
            </w:r>
          </w:p>
        </w:tc>
        <w:tc>
          <w:tcPr>
            <w:tcW w:w="931" w:type="dxa"/>
            <w:tcBorders>
              <w:top w:val="nil"/>
              <w:left w:val="nil"/>
              <w:bottom w:val="single" w:sz="4" w:space="0" w:color="auto"/>
              <w:right w:val="nil"/>
            </w:tcBorders>
          </w:tcPr>
          <w:p w14:paraId="1BDC99CB" w14:textId="77777777" w:rsidR="00C24C61" w:rsidRPr="00C24C61" w:rsidRDefault="00C24C61" w:rsidP="00C24C61">
            <w:pPr>
              <w:ind w:left="227" w:hanging="227"/>
              <w:jc w:val="right"/>
              <w:rPr>
                <w:rFonts w:ascii="Calibri" w:hAnsi="Calibri"/>
                <w:i/>
                <w:sz w:val="20"/>
                <w:szCs w:val="20"/>
                <w:lang w:eastAsia="en-AU"/>
              </w:rPr>
            </w:pPr>
            <w:r w:rsidRPr="00C24C61">
              <w:rPr>
                <w:rFonts w:ascii="Calibri" w:hAnsi="Calibri"/>
                <w:i/>
                <w:sz w:val="20"/>
                <w:szCs w:val="20"/>
                <w:lang w:eastAsia="en-AU"/>
              </w:rPr>
              <w:t>20,631</w:t>
            </w:r>
          </w:p>
        </w:tc>
        <w:tc>
          <w:tcPr>
            <w:tcW w:w="921" w:type="dxa"/>
            <w:tcBorders>
              <w:top w:val="nil"/>
              <w:left w:val="nil"/>
              <w:bottom w:val="single" w:sz="4" w:space="0" w:color="auto"/>
              <w:right w:val="nil"/>
            </w:tcBorders>
          </w:tcPr>
          <w:p w14:paraId="7904B797" w14:textId="77777777" w:rsidR="00C24C61" w:rsidRPr="00C24C61" w:rsidRDefault="00C24C61" w:rsidP="00C24C61">
            <w:pPr>
              <w:ind w:left="227" w:hanging="227"/>
              <w:jc w:val="right"/>
              <w:rPr>
                <w:rFonts w:ascii="Calibri" w:hAnsi="Calibri"/>
                <w:i/>
                <w:sz w:val="20"/>
                <w:szCs w:val="20"/>
                <w:lang w:eastAsia="en-AU"/>
              </w:rPr>
            </w:pPr>
            <w:r w:rsidRPr="00C24C61">
              <w:rPr>
                <w:rFonts w:ascii="Calibri" w:hAnsi="Calibri"/>
                <w:i/>
                <w:sz w:val="20"/>
                <w:szCs w:val="20"/>
                <w:lang w:eastAsia="en-AU"/>
              </w:rPr>
              <w:t>32,079</w:t>
            </w:r>
          </w:p>
        </w:tc>
        <w:tc>
          <w:tcPr>
            <w:tcW w:w="921" w:type="dxa"/>
            <w:tcBorders>
              <w:top w:val="nil"/>
              <w:left w:val="nil"/>
              <w:bottom w:val="single" w:sz="4" w:space="0" w:color="auto"/>
              <w:right w:val="nil"/>
            </w:tcBorders>
          </w:tcPr>
          <w:p w14:paraId="45041A8F" w14:textId="77777777" w:rsidR="00C24C61" w:rsidRPr="00C24C61" w:rsidRDefault="00C24C61" w:rsidP="00C24C61">
            <w:pPr>
              <w:ind w:left="227" w:hanging="227"/>
              <w:jc w:val="right"/>
              <w:rPr>
                <w:rFonts w:ascii="Calibri" w:hAnsi="Calibri"/>
                <w:i/>
                <w:sz w:val="20"/>
                <w:szCs w:val="20"/>
                <w:lang w:eastAsia="en-AU"/>
              </w:rPr>
            </w:pPr>
            <w:r w:rsidRPr="00C24C61">
              <w:rPr>
                <w:rFonts w:ascii="Calibri" w:hAnsi="Calibri"/>
                <w:i/>
                <w:sz w:val="20"/>
                <w:szCs w:val="20"/>
                <w:lang w:eastAsia="en-AU"/>
              </w:rPr>
              <w:t>66,288</w:t>
            </w:r>
          </w:p>
        </w:tc>
      </w:tr>
    </w:tbl>
    <w:p w14:paraId="2B7941B6" w14:textId="77777777" w:rsidR="00C24C61" w:rsidRPr="00C24C61" w:rsidRDefault="00C24C61" w:rsidP="000045FF">
      <w:pPr>
        <w:pStyle w:val="snapNotesheading"/>
        <w:rPr>
          <w:b w:val="0"/>
        </w:rPr>
      </w:pPr>
      <w:r w:rsidRPr="00C24C61">
        <w:t xml:space="preserve">Notes: </w:t>
      </w:r>
    </w:p>
    <w:p w14:paraId="65DAA5BA" w14:textId="70F9023B" w:rsidR="00C24C61" w:rsidRPr="00C24C61" w:rsidRDefault="00FF57F1" w:rsidP="000045FF">
      <w:pPr>
        <w:pStyle w:val="snapNotesbody"/>
      </w:pPr>
      <w:r>
        <w:rPr>
          <w:lang w:val="en-US"/>
        </w:rPr>
        <w:t xml:space="preserve">1. </w:t>
      </w:r>
      <w:r w:rsidR="00C24C61" w:rsidRPr="00C24C61">
        <w:t>This initiative has a revenue component; this is listed in the summary table in Revenue initiatives (Chapter 3.4).</w:t>
      </w:r>
    </w:p>
    <w:p w14:paraId="1014BCC5" w14:textId="33D4D451" w:rsidR="00C24C61" w:rsidRPr="00C24C61" w:rsidRDefault="00E76F4A" w:rsidP="000045FF">
      <w:pPr>
        <w:pStyle w:val="snapNotesbody"/>
      </w:pPr>
      <w:r>
        <w:rPr>
          <w:lang w:val="en-US"/>
        </w:rPr>
        <w:t xml:space="preserve">2. </w:t>
      </w:r>
      <w:r w:rsidR="00C24C61" w:rsidRPr="00C24C61">
        <w:t>This initiative has an expense component; this is listed in the summary table in Expense initiatives (Chapter 3.2).</w:t>
      </w:r>
    </w:p>
    <w:p w14:paraId="069A9023" w14:textId="22E9AA38" w:rsidR="00C24C61" w:rsidRPr="00C24C61" w:rsidRDefault="002C7220" w:rsidP="000045FF">
      <w:pPr>
        <w:pStyle w:val="snapNotesbody"/>
      </w:pPr>
      <w:r>
        <w:rPr>
          <w:lang w:val="en-US"/>
        </w:rPr>
        <w:t xml:space="preserve">3. </w:t>
      </w:r>
      <w:r w:rsidR="00C24C61" w:rsidRPr="00C24C61">
        <w:t>The funding for this initiative is to be absorbed by the agency.</w:t>
      </w:r>
    </w:p>
    <w:p w14:paraId="72983586" w14:textId="087BC8FB" w:rsidR="00C24C61" w:rsidRPr="00C24C61" w:rsidRDefault="002C7220" w:rsidP="000045FF">
      <w:pPr>
        <w:pStyle w:val="snapNotesbody"/>
      </w:pPr>
      <w:r>
        <w:rPr>
          <w:lang w:val="en-US"/>
        </w:rPr>
        <w:t xml:space="preserve">4. </w:t>
      </w:r>
      <w:r w:rsidR="00C24C61" w:rsidRPr="00C24C61">
        <w:t xml:space="preserve">This is a joint initiative, </w:t>
      </w:r>
      <w:proofErr w:type="spellStart"/>
      <w:r w:rsidR="00C24C61" w:rsidRPr="00C24C61">
        <w:t>ie</w:t>
      </w:r>
      <w:proofErr w:type="spellEnd"/>
      <w:r w:rsidR="00C24C61" w:rsidRPr="00C24C61">
        <w:t xml:space="preserve"> delivered by more than one agency.</w:t>
      </w:r>
    </w:p>
    <w:p w14:paraId="544A5954" w14:textId="21D66E68" w:rsidR="00C24C61" w:rsidRPr="00C24C61" w:rsidRDefault="002C7220" w:rsidP="000045FF">
      <w:pPr>
        <w:pStyle w:val="snapNotesbody"/>
      </w:pPr>
      <w:r>
        <w:rPr>
          <w:lang w:val="en-US"/>
        </w:rPr>
        <w:t xml:space="preserve">5. </w:t>
      </w:r>
      <w:proofErr w:type="spellStart"/>
      <w:r w:rsidR="00C24C61" w:rsidRPr="00C24C61">
        <w:t>NFP</w:t>
      </w:r>
      <w:proofErr w:type="spellEnd"/>
      <w:r w:rsidR="00C24C61" w:rsidRPr="00C24C61">
        <w:t xml:space="preserve"> indicates not for publication.</w:t>
      </w:r>
      <w:r w:rsidR="000F30E1">
        <w:t xml:space="preserve"> </w:t>
      </w:r>
      <w:r w:rsidR="00C24C61" w:rsidRPr="00C24C61">
        <w:t>A provision has been included in the budget in the years indicated.</w:t>
      </w:r>
    </w:p>
    <w:p w14:paraId="33E1BC29" w14:textId="77777777" w:rsidR="00C24C61" w:rsidRPr="008C25AE" w:rsidRDefault="00C24C61" w:rsidP="008C25AE">
      <w:pPr>
        <w:pStyle w:val="snapTabletitle"/>
      </w:pPr>
      <w:r w:rsidRPr="008C25AE">
        <w:t>Table 3.4.1: Summary of revenue initiatives</w:t>
      </w:r>
    </w:p>
    <w:tbl>
      <w:tblPr>
        <w:tblW w:w="5000" w:type="pct"/>
        <w:tblLayout w:type="fixed"/>
        <w:tblCellMar>
          <w:left w:w="30" w:type="dxa"/>
          <w:right w:w="30" w:type="dxa"/>
        </w:tblCellMar>
        <w:tblLook w:val="0000" w:firstRow="0" w:lastRow="0" w:firstColumn="0" w:lastColumn="0" w:noHBand="0" w:noVBand="0"/>
      </w:tblPr>
      <w:tblGrid>
        <w:gridCol w:w="3681"/>
        <w:gridCol w:w="1189"/>
        <w:gridCol w:w="1192"/>
        <w:gridCol w:w="1192"/>
        <w:gridCol w:w="1192"/>
        <w:gridCol w:w="1192"/>
      </w:tblGrid>
      <w:tr w:rsidR="00C24C61" w:rsidRPr="00C24C61" w14:paraId="564CA081" w14:textId="77777777" w:rsidTr="00664B0D">
        <w:trPr>
          <w:trHeight w:val="20"/>
          <w:tblHeader/>
        </w:trPr>
        <w:tc>
          <w:tcPr>
            <w:tcW w:w="3476" w:type="dxa"/>
            <w:tcBorders>
              <w:top w:val="single" w:sz="4" w:space="0" w:color="auto"/>
              <w:left w:val="nil"/>
              <w:bottom w:val="nil"/>
              <w:right w:val="nil"/>
            </w:tcBorders>
            <w:shd w:val="clear" w:color="auto" w:fill="auto"/>
            <w:vAlign w:val="center"/>
          </w:tcPr>
          <w:p w14:paraId="75FC4C3B" w14:textId="77777777" w:rsidR="00C24C61" w:rsidRPr="00C24C61" w:rsidRDefault="00C24C61" w:rsidP="00C24C61">
            <w:pPr>
              <w:ind w:left="227" w:hanging="227"/>
              <w:rPr>
                <w:rFonts w:ascii="Calibri" w:hAnsi="Calibri"/>
                <w:b/>
                <w:bCs/>
                <w:sz w:val="20"/>
                <w:szCs w:val="20"/>
                <w:lang w:eastAsia="en-AU"/>
              </w:rPr>
            </w:pPr>
            <w:r w:rsidRPr="00C24C61">
              <w:rPr>
                <w:rFonts w:ascii="Calibri" w:hAnsi="Calibri"/>
                <w:b/>
                <w:bCs/>
                <w:sz w:val="20"/>
                <w:szCs w:val="20"/>
                <w:lang w:eastAsia="en-AU"/>
              </w:rPr>
              <w:t>Summary of initiatives</w:t>
            </w:r>
          </w:p>
        </w:tc>
        <w:tc>
          <w:tcPr>
            <w:tcW w:w="1124" w:type="dxa"/>
            <w:tcBorders>
              <w:top w:val="single" w:sz="4" w:space="0" w:color="auto"/>
              <w:left w:val="nil"/>
              <w:bottom w:val="nil"/>
              <w:right w:val="nil"/>
            </w:tcBorders>
            <w:shd w:val="clear" w:color="auto" w:fill="auto"/>
          </w:tcPr>
          <w:p w14:paraId="6B055D61" w14:textId="77777777" w:rsidR="00C24C61" w:rsidRPr="00C24C61" w:rsidRDefault="00C24C61" w:rsidP="00C24C61">
            <w:pPr>
              <w:jc w:val="right"/>
              <w:rPr>
                <w:rFonts w:ascii="Calibri" w:hAnsi="Calibri"/>
                <w:b/>
                <w:bCs/>
                <w:snapToGrid w:val="0"/>
                <w:sz w:val="20"/>
                <w:szCs w:val="20"/>
                <w:lang w:eastAsia="en-US"/>
              </w:rPr>
            </w:pPr>
            <w:r w:rsidRPr="00C24C61">
              <w:rPr>
                <w:rFonts w:ascii="Calibri" w:hAnsi="Calibri"/>
                <w:b/>
                <w:bCs/>
                <w:snapToGrid w:val="0"/>
                <w:sz w:val="20"/>
                <w:szCs w:val="20"/>
                <w:lang w:eastAsia="en-US"/>
              </w:rPr>
              <w:t>2019-20</w:t>
            </w:r>
          </w:p>
          <w:p w14:paraId="47DC4C72" w14:textId="77777777" w:rsidR="00C24C61" w:rsidRPr="00C24C61" w:rsidRDefault="00C24C61" w:rsidP="00C24C61">
            <w:pPr>
              <w:jc w:val="right"/>
              <w:rPr>
                <w:rFonts w:ascii="Calibri" w:hAnsi="Calibri"/>
                <w:b/>
                <w:bCs/>
                <w:sz w:val="20"/>
                <w:szCs w:val="20"/>
                <w:lang w:eastAsia="en-US"/>
              </w:rPr>
            </w:pPr>
            <w:r w:rsidRPr="00C24C61">
              <w:rPr>
                <w:rFonts w:ascii="Calibri" w:hAnsi="Calibri"/>
                <w:b/>
                <w:bCs/>
                <w:sz w:val="20"/>
                <w:szCs w:val="20"/>
                <w:lang w:eastAsia="en-US"/>
              </w:rPr>
              <w:t>Estimate</w:t>
            </w:r>
          </w:p>
          <w:p w14:paraId="696D9524" w14:textId="77777777" w:rsidR="00C24C61" w:rsidRPr="00C24C61" w:rsidRDefault="00C24C61" w:rsidP="00C24C61">
            <w:pPr>
              <w:jc w:val="right"/>
              <w:rPr>
                <w:rFonts w:ascii="Calibri" w:hAnsi="Calibri"/>
                <w:b/>
                <w:bCs/>
                <w:snapToGrid w:val="0"/>
                <w:sz w:val="20"/>
                <w:szCs w:val="20"/>
                <w:lang w:eastAsia="en-US"/>
              </w:rPr>
            </w:pPr>
            <w:r w:rsidRPr="00C24C61">
              <w:rPr>
                <w:rFonts w:ascii="Calibri" w:hAnsi="Calibri"/>
                <w:b/>
                <w:bCs/>
                <w:sz w:val="20"/>
                <w:szCs w:val="20"/>
                <w:lang w:eastAsia="en-US"/>
              </w:rPr>
              <w:t>$’000</w:t>
            </w:r>
          </w:p>
        </w:tc>
        <w:tc>
          <w:tcPr>
            <w:tcW w:w="1125" w:type="dxa"/>
            <w:tcBorders>
              <w:top w:val="single" w:sz="4" w:space="0" w:color="auto"/>
              <w:left w:val="nil"/>
              <w:bottom w:val="nil"/>
              <w:right w:val="nil"/>
            </w:tcBorders>
            <w:shd w:val="clear" w:color="auto" w:fill="auto"/>
          </w:tcPr>
          <w:p w14:paraId="2BFF7D37" w14:textId="77777777" w:rsidR="00C24C61" w:rsidRPr="00C24C61" w:rsidRDefault="00C24C61" w:rsidP="00C24C61">
            <w:pPr>
              <w:jc w:val="right"/>
              <w:rPr>
                <w:rFonts w:ascii="Calibri" w:hAnsi="Calibri"/>
                <w:b/>
                <w:bCs/>
                <w:snapToGrid w:val="0"/>
                <w:sz w:val="20"/>
                <w:szCs w:val="20"/>
                <w:lang w:eastAsia="en-US"/>
              </w:rPr>
            </w:pPr>
            <w:r w:rsidRPr="00C24C61">
              <w:rPr>
                <w:rFonts w:ascii="Calibri" w:hAnsi="Calibri"/>
                <w:b/>
                <w:bCs/>
                <w:snapToGrid w:val="0"/>
                <w:sz w:val="20"/>
                <w:szCs w:val="20"/>
                <w:lang w:eastAsia="en-US"/>
              </w:rPr>
              <w:t>2020-21</w:t>
            </w:r>
          </w:p>
          <w:p w14:paraId="0373797B" w14:textId="77777777" w:rsidR="00C24C61" w:rsidRPr="00C24C61" w:rsidRDefault="00C24C61" w:rsidP="00C24C61">
            <w:pPr>
              <w:jc w:val="right"/>
              <w:rPr>
                <w:rFonts w:ascii="Calibri" w:hAnsi="Calibri"/>
                <w:b/>
                <w:bCs/>
                <w:sz w:val="20"/>
                <w:szCs w:val="20"/>
                <w:lang w:eastAsia="en-US"/>
              </w:rPr>
            </w:pPr>
            <w:r w:rsidRPr="00C24C61">
              <w:rPr>
                <w:rFonts w:ascii="Calibri" w:hAnsi="Calibri"/>
                <w:b/>
                <w:bCs/>
                <w:sz w:val="20"/>
                <w:szCs w:val="20"/>
                <w:lang w:eastAsia="en-US"/>
              </w:rPr>
              <w:t>Estimate</w:t>
            </w:r>
          </w:p>
          <w:p w14:paraId="000816A4" w14:textId="77777777" w:rsidR="00C24C61" w:rsidRPr="00C24C61" w:rsidRDefault="00C24C61" w:rsidP="00C24C61">
            <w:pPr>
              <w:jc w:val="right"/>
              <w:rPr>
                <w:rFonts w:ascii="Calibri" w:hAnsi="Calibri"/>
                <w:b/>
                <w:bCs/>
                <w:snapToGrid w:val="0"/>
                <w:sz w:val="20"/>
                <w:szCs w:val="20"/>
                <w:lang w:eastAsia="en-US"/>
              </w:rPr>
            </w:pPr>
            <w:r w:rsidRPr="00C24C61">
              <w:rPr>
                <w:rFonts w:ascii="Calibri" w:hAnsi="Calibri"/>
                <w:b/>
                <w:bCs/>
                <w:sz w:val="20"/>
                <w:szCs w:val="20"/>
                <w:lang w:eastAsia="en-US"/>
              </w:rPr>
              <w:t>$’000</w:t>
            </w:r>
          </w:p>
        </w:tc>
        <w:tc>
          <w:tcPr>
            <w:tcW w:w="1125" w:type="dxa"/>
            <w:tcBorders>
              <w:top w:val="single" w:sz="4" w:space="0" w:color="auto"/>
              <w:left w:val="nil"/>
              <w:bottom w:val="nil"/>
              <w:right w:val="nil"/>
            </w:tcBorders>
            <w:shd w:val="clear" w:color="auto" w:fill="auto"/>
          </w:tcPr>
          <w:p w14:paraId="51593279" w14:textId="77777777" w:rsidR="00C24C61" w:rsidRPr="00C24C61" w:rsidRDefault="00C24C61" w:rsidP="00C24C61">
            <w:pPr>
              <w:jc w:val="right"/>
              <w:rPr>
                <w:rFonts w:ascii="Calibri" w:hAnsi="Calibri"/>
                <w:b/>
                <w:bCs/>
                <w:snapToGrid w:val="0"/>
                <w:sz w:val="20"/>
                <w:szCs w:val="20"/>
                <w:lang w:eastAsia="en-US"/>
              </w:rPr>
            </w:pPr>
            <w:r w:rsidRPr="00C24C61">
              <w:rPr>
                <w:rFonts w:ascii="Calibri" w:hAnsi="Calibri"/>
                <w:b/>
                <w:bCs/>
                <w:snapToGrid w:val="0"/>
                <w:sz w:val="20"/>
                <w:szCs w:val="20"/>
                <w:lang w:eastAsia="en-US"/>
              </w:rPr>
              <w:t>2021-22</w:t>
            </w:r>
          </w:p>
          <w:p w14:paraId="65F21BD4" w14:textId="77777777" w:rsidR="00C24C61" w:rsidRPr="00C24C61" w:rsidRDefault="00C24C61" w:rsidP="00C24C61">
            <w:pPr>
              <w:jc w:val="right"/>
              <w:rPr>
                <w:rFonts w:ascii="Calibri" w:hAnsi="Calibri"/>
                <w:b/>
                <w:bCs/>
                <w:sz w:val="20"/>
                <w:szCs w:val="20"/>
                <w:lang w:eastAsia="en-US"/>
              </w:rPr>
            </w:pPr>
            <w:r w:rsidRPr="00C24C61">
              <w:rPr>
                <w:rFonts w:ascii="Calibri" w:hAnsi="Calibri"/>
                <w:b/>
                <w:bCs/>
                <w:sz w:val="20"/>
                <w:szCs w:val="20"/>
                <w:lang w:eastAsia="en-US"/>
              </w:rPr>
              <w:t>Estimate</w:t>
            </w:r>
          </w:p>
          <w:p w14:paraId="1422939F" w14:textId="77777777" w:rsidR="00C24C61" w:rsidRPr="00C24C61" w:rsidRDefault="00C24C61" w:rsidP="00C24C61">
            <w:pPr>
              <w:jc w:val="right"/>
              <w:rPr>
                <w:rFonts w:ascii="Calibri" w:hAnsi="Calibri"/>
                <w:b/>
                <w:bCs/>
                <w:snapToGrid w:val="0"/>
                <w:sz w:val="20"/>
                <w:szCs w:val="20"/>
                <w:lang w:eastAsia="en-US"/>
              </w:rPr>
            </w:pPr>
            <w:r w:rsidRPr="00C24C61">
              <w:rPr>
                <w:rFonts w:ascii="Calibri" w:hAnsi="Calibri"/>
                <w:b/>
                <w:bCs/>
                <w:sz w:val="20"/>
                <w:szCs w:val="20"/>
                <w:lang w:eastAsia="en-US"/>
              </w:rPr>
              <w:t>$’000</w:t>
            </w:r>
          </w:p>
        </w:tc>
        <w:tc>
          <w:tcPr>
            <w:tcW w:w="1125" w:type="dxa"/>
            <w:tcBorders>
              <w:top w:val="single" w:sz="4" w:space="0" w:color="auto"/>
              <w:left w:val="nil"/>
              <w:bottom w:val="nil"/>
              <w:right w:val="nil"/>
            </w:tcBorders>
            <w:shd w:val="clear" w:color="auto" w:fill="auto"/>
          </w:tcPr>
          <w:p w14:paraId="0D85FB0E" w14:textId="77777777" w:rsidR="00C24C61" w:rsidRPr="00C24C61" w:rsidRDefault="00C24C61" w:rsidP="00C24C61">
            <w:pPr>
              <w:jc w:val="right"/>
              <w:rPr>
                <w:rFonts w:ascii="Calibri" w:hAnsi="Calibri"/>
                <w:b/>
                <w:bCs/>
                <w:snapToGrid w:val="0"/>
                <w:sz w:val="20"/>
                <w:szCs w:val="20"/>
                <w:lang w:eastAsia="en-US"/>
              </w:rPr>
            </w:pPr>
            <w:r w:rsidRPr="00C24C61">
              <w:rPr>
                <w:rFonts w:ascii="Calibri" w:hAnsi="Calibri"/>
                <w:b/>
                <w:bCs/>
                <w:snapToGrid w:val="0"/>
                <w:sz w:val="20"/>
                <w:szCs w:val="20"/>
                <w:lang w:eastAsia="en-US"/>
              </w:rPr>
              <w:t>2022-23</w:t>
            </w:r>
          </w:p>
          <w:p w14:paraId="67FCF5B7" w14:textId="77777777" w:rsidR="00C24C61" w:rsidRPr="00C24C61" w:rsidRDefault="00C24C61" w:rsidP="00C24C61">
            <w:pPr>
              <w:jc w:val="right"/>
              <w:rPr>
                <w:rFonts w:ascii="Calibri" w:hAnsi="Calibri"/>
                <w:b/>
                <w:bCs/>
                <w:sz w:val="20"/>
                <w:szCs w:val="20"/>
                <w:lang w:eastAsia="en-US"/>
              </w:rPr>
            </w:pPr>
            <w:r w:rsidRPr="00C24C61">
              <w:rPr>
                <w:rFonts w:ascii="Calibri" w:hAnsi="Calibri"/>
                <w:b/>
                <w:bCs/>
                <w:sz w:val="20"/>
                <w:szCs w:val="20"/>
                <w:lang w:eastAsia="en-US"/>
              </w:rPr>
              <w:t>Estimate</w:t>
            </w:r>
          </w:p>
          <w:p w14:paraId="6E6B5F12" w14:textId="77777777" w:rsidR="00C24C61" w:rsidRPr="00C24C61" w:rsidRDefault="00C24C61" w:rsidP="00C24C61">
            <w:pPr>
              <w:jc w:val="right"/>
              <w:rPr>
                <w:rFonts w:ascii="Calibri" w:hAnsi="Calibri"/>
                <w:b/>
                <w:bCs/>
                <w:snapToGrid w:val="0"/>
                <w:sz w:val="20"/>
                <w:szCs w:val="20"/>
                <w:lang w:eastAsia="en-US"/>
              </w:rPr>
            </w:pPr>
            <w:r w:rsidRPr="00C24C61">
              <w:rPr>
                <w:rFonts w:ascii="Calibri" w:hAnsi="Calibri"/>
                <w:b/>
                <w:bCs/>
                <w:sz w:val="20"/>
                <w:szCs w:val="20"/>
                <w:lang w:eastAsia="en-US"/>
              </w:rPr>
              <w:t>$’000</w:t>
            </w:r>
          </w:p>
        </w:tc>
        <w:tc>
          <w:tcPr>
            <w:tcW w:w="1125" w:type="dxa"/>
            <w:tcBorders>
              <w:top w:val="single" w:sz="4" w:space="0" w:color="auto"/>
              <w:left w:val="nil"/>
              <w:bottom w:val="nil"/>
              <w:right w:val="nil"/>
            </w:tcBorders>
            <w:shd w:val="clear" w:color="auto" w:fill="auto"/>
          </w:tcPr>
          <w:p w14:paraId="282B1D77" w14:textId="77777777" w:rsidR="00C24C61" w:rsidRPr="00C24C61" w:rsidRDefault="00C24C61" w:rsidP="00C24C61">
            <w:pPr>
              <w:jc w:val="right"/>
              <w:rPr>
                <w:rFonts w:ascii="Calibri" w:hAnsi="Calibri"/>
                <w:b/>
                <w:bCs/>
                <w:snapToGrid w:val="0"/>
                <w:sz w:val="20"/>
                <w:szCs w:val="20"/>
                <w:lang w:eastAsia="en-US"/>
              </w:rPr>
            </w:pPr>
            <w:r w:rsidRPr="00C24C61">
              <w:rPr>
                <w:rFonts w:ascii="Calibri" w:hAnsi="Calibri"/>
                <w:b/>
                <w:bCs/>
                <w:snapToGrid w:val="0"/>
                <w:sz w:val="20"/>
                <w:szCs w:val="20"/>
                <w:lang w:eastAsia="en-US"/>
              </w:rPr>
              <w:t>Total</w:t>
            </w:r>
          </w:p>
          <w:p w14:paraId="191635AD" w14:textId="77777777" w:rsidR="00C24C61" w:rsidRPr="00C24C61" w:rsidRDefault="00C24C61" w:rsidP="00C24C61">
            <w:pPr>
              <w:jc w:val="right"/>
              <w:rPr>
                <w:rFonts w:ascii="Calibri" w:hAnsi="Calibri"/>
                <w:b/>
                <w:bCs/>
                <w:snapToGrid w:val="0"/>
                <w:sz w:val="20"/>
                <w:szCs w:val="20"/>
                <w:lang w:eastAsia="en-US"/>
              </w:rPr>
            </w:pPr>
          </w:p>
          <w:p w14:paraId="0415E05A" w14:textId="77777777" w:rsidR="00C24C61" w:rsidRPr="00C24C61" w:rsidRDefault="00C24C61" w:rsidP="00C24C61">
            <w:pPr>
              <w:jc w:val="right"/>
              <w:rPr>
                <w:rFonts w:ascii="Calibri" w:hAnsi="Calibri"/>
                <w:b/>
                <w:bCs/>
                <w:snapToGrid w:val="0"/>
                <w:sz w:val="20"/>
                <w:szCs w:val="20"/>
                <w:lang w:eastAsia="en-US"/>
              </w:rPr>
            </w:pPr>
            <w:r w:rsidRPr="00C24C61">
              <w:rPr>
                <w:rFonts w:ascii="Calibri" w:hAnsi="Calibri"/>
                <w:b/>
                <w:bCs/>
                <w:snapToGrid w:val="0"/>
                <w:sz w:val="20"/>
                <w:szCs w:val="20"/>
                <w:lang w:eastAsia="en-US"/>
              </w:rPr>
              <w:t>$’000</w:t>
            </w:r>
          </w:p>
        </w:tc>
      </w:tr>
      <w:tr w:rsidR="00C24C61" w:rsidRPr="00C24C61" w14:paraId="22A776A9" w14:textId="77777777" w:rsidTr="00664B0D">
        <w:trPr>
          <w:trHeight w:val="348"/>
        </w:trPr>
        <w:tc>
          <w:tcPr>
            <w:tcW w:w="3476" w:type="dxa"/>
            <w:tcBorders>
              <w:top w:val="single" w:sz="4" w:space="0" w:color="auto"/>
              <w:bottom w:val="single" w:sz="4" w:space="0" w:color="auto"/>
            </w:tcBorders>
            <w:shd w:val="clear" w:color="auto" w:fill="auto"/>
          </w:tcPr>
          <w:p w14:paraId="54B65D76" w14:textId="77777777" w:rsidR="00C24C61" w:rsidRPr="00C24C61" w:rsidRDefault="00C24C61" w:rsidP="00C24C61">
            <w:pPr>
              <w:ind w:left="227" w:hanging="227"/>
              <w:rPr>
                <w:rFonts w:ascii="Calibri" w:hAnsi="Calibri"/>
                <w:b/>
                <w:bCs/>
                <w:sz w:val="20"/>
                <w:szCs w:val="20"/>
                <w:lang w:eastAsia="en-AU"/>
              </w:rPr>
            </w:pPr>
            <w:r w:rsidRPr="00C24C61">
              <w:rPr>
                <w:rFonts w:ascii="Calibri" w:hAnsi="Calibri"/>
                <w:b/>
                <w:bCs/>
                <w:sz w:val="20"/>
                <w:szCs w:val="20"/>
                <w:lang w:eastAsia="en-AU"/>
              </w:rPr>
              <w:t>Revenue initiatives</w:t>
            </w:r>
          </w:p>
        </w:tc>
        <w:tc>
          <w:tcPr>
            <w:tcW w:w="1124" w:type="dxa"/>
            <w:tcBorders>
              <w:top w:val="single" w:sz="4" w:space="0" w:color="auto"/>
              <w:bottom w:val="single" w:sz="4" w:space="0" w:color="auto"/>
            </w:tcBorders>
            <w:shd w:val="clear" w:color="auto" w:fill="auto"/>
          </w:tcPr>
          <w:p w14:paraId="732C6795" w14:textId="77777777" w:rsidR="00C24C61" w:rsidRPr="00C24C61" w:rsidRDefault="00C24C61" w:rsidP="00C24C61">
            <w:pPr>
              <w:ind w:left="227" w:hanging="227"/>
              <w:jc w:val="right"/>
              <w:rPr>
                <w:rFonts w:ascii="Calibri" w:hAnsi="Calibri"/>
                <w:b/>
                <w:sz w:val="20"/>
                <w:szCs w:val="20"/>
                <w:lang w:eastAsia="en-AU"/>
              </w:rPr>
            </w:pPr>
            <w:r w:rsidRPr="00C24C61">
              <w:rPr>
                <w:rFonts w:ascii="Calibri" w:hAnsi="Calibri"/>
                <w:b/>
                <w:sz w:val="20"/>
                <w:szCs w:val="20"/>
                <w:lang w:eastAsia="en-AU"/>
              </w:rPr>
              <w:t>3,320</w:t>
            </w:r>
          </w:p>
        </w:tc>
        <w:tc>
          <w:tcPr>
            <w:tcW w:w="1125" w:type="dxa"/>
            <w:tcBorders>
              <w:top w:val="single" w:sz="4" w:space="0" w:color="auto"/>
              <w:bottom w:val="single" w:sz="4" w:space="0" w:color="auto"/>
            </w:tcBorders>
            <w:shd w:val="clear" w:color="auto" w:fill="auto"/>
          </w:tcPr>
          <w:p w14:paraId="098EB8AB" w14:textId="77777777" w:rsidR="00C24C61" w:rsidRPr="00C24C61" w:rsidRDefault="00C24C61" w:rsidP="00C24C61">
            <w:pPr>
              <w:ind w:left="227" w:hanging="227"/>
              <w:jc w:val="right"/>
              <w:rPr>
                <w:rFonts w:ascii="Calibri" w:hAnsi="Calibri"/>
                <w:b/>
                <w:sz w:val="20"/>
                <w:szCs w:val="20"/>
                <w:lang w:eastAsia="en-AU"/>
              </w:rPr>
            </w:pPr>
            <w:r w:rsidRPr="00C24C61">
              <w:rPr>
                <w:rFonts w:ascii="Calibri" w:hAnsi="Calibri"/>
                <w:b/>
                <w:sz w:val="20"/>
                <w:szCs w:val="20"/>
                <w:lang w:eastAsia="en-AU"/>
              </w:rPr>
              <w:t>4,438</w:t>
            </w:r>
          </w:p>
        </w:tc>
        <w:tc>
          <w:tcPr>
            <w:tcW w:w="1125" w:type="dxa"/>
            <w:tcBorders>
              <w:top w:val="single" w:sz="4" w:space="0" w:color="auto"/>
              <w:bottom w:val="single" w:sz="4" w:space="0" w:color="auto"/>
            </w:tcBorders>
            <w:shd w:val="clear" w:color="auto" w:fill="auto"/>
          </w:tcPr>
          <w:p w14:paraId="434F1D36" w14:textId="77777777" w:rsidR="00C24C61" w:rsidRPr="00C24C61" w:rsidRDefault="00C24C61" w:rsidP="00C24C61">
            <w:pPr>
              <w:ind w:left="227" w:hanging="227"/>
              <w:jc w:val="right"/>
              <w:rPr>
                <w:rFonts w:ascii="Calibri" w:hAnsi="Calibri"/>
                <w:b/>
                <w:sz w:val="20"/>
                <w:szCs w:val="20"/>
                <w:lang w:eastAsia="en-AU"/>
              </w:rPr>
            </w:pPr>
            <w:r w:rsidRPr="00C24C61">
              <w:rPr>
                <w:rFonts w:ascii="Calibri" w:hAnsi="Calibri"/>
                <w:b/>
                <w:sz w:val="20"/>
                <w:szCs w:val="20"/>
                <w:lang w:eastAsia="en-AU"/>
              </w:rPr>
              <w:t>4,456</w:t>
            </w:r>
          </w:p>
        </w:tc>
        <w:tc>
          <w:tcPr>
            <w:tcW w:w="1125" w:type="dxa"/>
            <w:tcBorders>
              <w:top w:val="single" w:sz="4" w:space="0" w:color="auto"/>
              <w:bottom w:val="single" w:sz="4" w:space="0" w:color="auto"/>
            </w:tcBorders>
            <w:shd w:val="clear" w:color="auto" w:fill="auto"/>
          </w:tcPr>
          <w:p w14:paraId="4D207715" w14:textId="77777777" w:rsidR="00C24C61" w:rsidRPr="00C24C61" w:rsidRDefault="00C24C61" w:rsidP="00C24C61">
            <w:pPr>
              <w:ind w:left="227" w:hanging="227"/>
              <w:jc w:val="right"/>
              <w:rPr>
                <w:rFonts w:ascii="Calibri" w:hAnsi="Calibri"/>
                <w:b/>
                <w:sz w:val="20"/>
                <w:szCs w:val="20"/>
                <w:lang w:eastAsia="en-AU"/>
              </w:rPr>
            </w:pPr>
            <w:r w:rsidRPr="00C24C61">
              <w:rPr>
                <w:rFonts w:ascii="Calibri" w:hAnsi="Calibri"/>
                <w:b/>
                <w:sz w:val="20"/>
                <w:szCs w:val="20"/>
                <w:lang w:eastAsia="en-AU"/>
              </w:rPr>
              <w:t>4,674</w:t>
            </w:r>
          </w:p>
        </w:tc>
        <w:tc>
          <w:tcPr>
            <w:tcW w:w="1125" w:type="dxa"/>
            <w:tcBorders>
              <w:top w:val="single" w:sz="4" w:space="0" w:color="auto"/>
              <w:bottom w:val="single" w:sz="4" w:space="0" w:color="auto"/>
            </w:tcBorders>
            <w:shd w:val="clear" w:color="auto" w:fill="auto"/>
          </w:tcPr>
          <w:p w14:paraId="718551FE" w14:textId="77777777" w:rsidR="00C24C61" w:rsidRPr="00C24C61" w:rsidRDefault="00C24C61" w:rsidP="00C24C61">
            <w:pPr>
              <w:ind w:left="227" w:hanging="227"/>
              <w:jc w:val="right"/>
              <w:rPr>
                <w:rFonts w:ascii="Calibri" w:hAnsi="Calibri"/>
                <w:b/>
                <w:sz w:val="20"/>
                <w:szCs w:val="20"/>
                <w:lang w:eastAsia="en-AU"/>
              </w:rPr>
            </w:pPr>
            <w:r w:rsidRPr="00C24C61">
              <w:rPr>
                <w:rFonts w:ascii="Calibri" w:hAnsi="Calibri"/>
                <w:b/>
                <w:sz w:val="20"/>
                <w:szCs w:val="20"/>
                <w:lang w:eastAsia="en-AU"/>
              </w:rPr>
              <w:t>16,888</w:t>
            </w:r>
          </w:p>
        </w:tc>
      </w:tr>
      <w:tr w:rsidR="00C24C61" w:rsidRPr="00C24C61" w14:paraId="7D1FF6AF" w14:textId="77777777" w:rsidTr="00664B0D">
        <w:trPr>
          <w:trHeight w:val="348"/>
        </w:trPr>
        <w:tc>
          <w:tcPr>
            <w:tcW w:w="3476" w:type="dxa"/>
            <w:tcBorders>
              <w:top w:val="single" w:sz="4" w:space="0" w:color="auto"/>
            </w:tcBorders>
            <w:shd w:val="clear" w:color="auto" w:fill="auto"/>
          </w:tcPr>
          <w:p w14:paraId="0D7FEEC4" w14:textId="77777777" w:rsidR="00C24C61" w:rsidRPr="00C24C61" w:rsidRDefault="00C24C61" w:rsidP="00C24C61">
            <w:pPr>
              <w:ind w:left="227" w:hanging="227"/>
              <w:rPr>
                <w:rFonts w:ascii="Calibri" w:hAnsi="Calibri"/>
                <w:bCs/>
                <w:sz w:val="20"/>
                <w:szCs w:val="20"/>
                <w:lang w:eastAsia="en-AU"/>
              </w:rPr>
            </w:pPr>
            <w:r w:rsidRPr="00C24C61">
              <w:rPr>
                <w:rFonts w:ascii="Calibri" w:hAnsi="Calibri"/>
                <w:bCs/>
                <w:sz w:val="20"/>
                <w:szCs w:val="20"/>
                <w:lang w:eastAsia="en-AU"/>
              </w:rPr>
              <w:t>Revenue component of expense initiatives</w:t>
            </w:r>
          </w:p>
        </w:tc>
        <w:tc>
          <w:tcPr>
            <w:tcW w:w="1124" w:type="dxa"/>
            <w:tcBorders>
              <w:top w:val="single" w:sz="4" w:space="0" w:color="auto"/>
            </w:tcBorders>
            <w:shd w:val="clear" w:color="auto" w:fill="auto"/>
          </w:tcPr>
          <w:p w14:paraId="7FF77F9C"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9,956</w:t>
            </w:r>
          </w:p>
        </w:tc>
        <w:tc>
          <w:tcPr>
            <w:tcW w:w="1125" w:type="dxa"/>
            <w:tcBorders>
              <w:top w:val="single" w:sz="4" w:space="0" w:color="auto"/>
            </w:tcBorders>
            <w:shd w:val="clear" w:color="auto" w:fill="auto"/>
          </w:tcPr>
          <w:p w14:paraId="54E77C88"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16,008</w:t>
            </w:r>
          </w:p>
        </w:tc>
        <w:tc>
          <w:tcPr>
            <w:tcW w:w="1125" w:type="dxa"/>
            <w:tcBorders>
              <w:top w:val="single" w:sz="4" w:space="0" w:color="auto"/>
            </w:tcBorders>
            <w:shd w:val="clear" w:color="auto" w:fill="auto"/>
          </w:tcPr>
          <w:p w14:paraId="4FA146CC"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17,936</w:t>
            </w:r>
          </w:p>
        </w:tc>
        <w:tc>
          <w:tcPr>
            <w:tcW w:w="1125" w:type="dxa"/>
            <w:tcBorders>
              <w:top w:val="single" w:sz="4" w:space="0" w:color="auto"/>
            </w:tcBorders>
            <w:shd w:val="clear" w:color="auto" w:fill="auto"/>
          </w:tcPr>
          <w:p w14:paraId="7925CE55"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16,676</w:t>
            </w:r>
          </w:p>
        </w:tc>
        <w:tc>
          <w:tcPr>
            <w:tcW w:w="1125" w:type="dxa"/>
            <w:tcBorders>
              <w:top w:val="single" w:sz="4" w:space="0" w:color="auto"/>
            </w:tcBorders>
            <w:shd w:val="clear" w:color="auto" w:fill="auto"/>
          </w:tcPr>
          <w:p w14:paraId="3A6984FF"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60,576</w:t>
            </w:r>
          </w:p>
        </w:tc>
      </w:tr>
      <w:tr w:rsidR="00C24C61" w:rsidRPr="00C24C61" w14:paraId="637A6D60" w14:textId="77777777" w:rsidTr="00664B0D">
        <w:trPr>
          <w:trHeight w:val="348"/>
        </w:trPr>
        <w:tc>
          <w:tcPr>
            <w:tcW w:w="3476" w:type="dxa"/>
            <w:shd w:val="clear" w:color="auto" w:fill="auto"/>
          </w:tcPr>
          <w:p w14:paraId="4E47A5CA" w14:textId="77777777" w:rsidR="00C24C61" w:rsidRPr="00C24C61" w:rsidRDefault="00C24C61" w:rsidP="00C24C61">
            <w:pPr>
              <w:ind w:left="227" w:hanging="227"/>
              <w:rPr>
                <w:rFonts w:ascii="Calibri" w:hAnsi="Calibri"/>
                <w:bCs/>
                <w:sz w:val="20"/>
                <w:szCs w:val="20"/>
                <w:lang w:eastAsia="en-AU"/>
              </w:rPr>
            </w:pPr>
            <w:r w:rsidRPr="00C24C61">
              <w:rPr>
                <w:rFonts w:ascii="Calibri" w:hAnsi="Calibri"/>
                <w:bCs/>
                <w:sz w:val="20"/>
                <w:szCs w:val="20"/>
                <w:lang w:eastAsia="en-AU"/>
              </w:rPr>
              <w:t>Revenue component of infrastructure and capital initiatives</w:t>
            </w:r>
          </w:p>
        </w:tc>
        <w:tc>
          <w:tcPr>
            <w:tcW w:w="1124" w:type="dxa"/>
            <w:shd w:val="clear" w:color="auto" w:fill="auto"/>
          </w:tcPr>
          <w:p w14:paraId="2DB006EF"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415</w:t>
            </w:r>
          </w:p>
        </w:tc>
        <w:tc>
          <w:tcPr>
            <w:tcW w:w="1125" w:type="dxa"/>
            <w:shd w:val="clear" w:color="auto" w:fill="auto"/>
          </w:tcPr>
          <w:p w14:paraId="5506BC6A"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635</w:t>
            </w:r>
          </w:p>
        </w:tc>
        <w:tc>
          <w:tcPr>
            <w:tcW w:w="1125" w:type="dxa"/>
            <w:shd w:val="clear" w:color="auto" w:fill="auto"/>
          </w:tcPr>
          <w:p w14:paraId="7E77142F"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651</w:t>
            </w:r>
          </w:p>
        </w:tc>
        <w:tc>
          <w:tcPr>
            <w:tcW w:w="1125" w:type="dxa"/>
            <w:shd w:val="clear" w:color="auto" w:fill="auto"/>
          </w:tcPr>
          <w:p w14:paraId="394E3B92"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667</w:t>
            </w:r>
          </w:p>
        </w:tc>
        <w:tc>
          <w:tcPr>
            <w:tcW w:w="1125" w:type="dxa"/>
            <w:shd w:val="clear" w:color="auto" w:fill="auto"/>
          </w:tcPr>
          <w:p w14:paraId="09502A7B"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2,368</w:t>
            </w:r>
          </w:p>
        </w:tc>
      </w:tr>
      <w:tr w:rsidR="00C24C61" w:rsidRPr="00C24C61" w14:paraId="5A77F517" w14:textId="77777777" w:rsidTr="00664B0D">
        <w:trPr>
          <w:trHeight w:val="348"/>
        </w:trPr>
        <w:tc>
          <w:tcPr>
            <w:tcW w:w="3476" w:type="dxa"/>
            <w:tcBorders>
              <w:top w:val="single" w:sz="4" w:space="0" w:color="auto"/>
              <w:bottom w:val="single" w:sz="4" w:space="0" w:color="auto"/>
            </w:tcBorders>
            <w:shd w:val="clear" w:color="auto" w:fill="auto"/>
          </w:tcPr>
          <w:p w14:paraId="6AC2DAA8" w14:textId="77777777" w:rsidR="00C24C61" w:rsidRPr="00C24C61" w:rsidRDefault="00C24C61" w:rsidP="00C24C61">
            <w:pPr>
              <w:ind w:left="227" w:hanging="227"/>
              <w:rPr>
                <w:rFonts w:ascii="Calibri" w:hAnsi="Calibri"/>
                <w:b/>
                <w:bCs/>
                <w:sz w:val="20"/>
                <w:szCs w:val="20"/>
                <w:lang w:eastAsia="en-AU"/>
              </w:rPr>
            </w:pPr>
            <w:r w:rsidRPr="00C24C61">
              <w:rPr>
                <w:rFonts w:ascii="Calibri" w:hAnsi="Calibri"/>
                <w:b/>
                <w:bCs/>
                <w:sz w:val="20"/>
                <w:szCs w:val="20"/>
                <w:lang w:eastAsia="en-AU"/>
              </w:rPr>
              <w:t>Total revenue initiatives</w:t>
            </w:r>
          </w:p>
        </w:tc>
        <w:tc>
          <w:tcPr>
            <w:tcW w:w="1124" w:type="dxa"/>
            <w:tcBorders>
              <w:top w:val="single" w:sz="4" w:space="0" w:color="auto"/>
              <w:bottom w:val="single" w:sz="4" w:space="0" w:color="auto"/>
            </w:tcBorders>
            <w:shd w:val="clear" w:color="auto" w:fill="auto"/>
          </w:tcPr>
          <w:p w14:paraId="504B569E" w14:textId="77777777" w:rsidR="00C24C61" w:rsidRPr="00C24C61" w:rsidRDefault="00C24C61" w:rsidP="00C24C61">
            <w:pPr>
              <w:ind w:left="227" w:hanging="227"/>
              <w:jc w:val="right"/>
              <w:rPr>
                <w:rFonts w:ascii="Calibri" w:hAnsi="Calibri"/>
                <w:b/>
                <w:sz w:val="20"/>
                <w:szCs w:val="20"/>
                <w:lang w:eastAsia="en-AU"/>
              </w:rPr>
            </w:pPr>
            <w:r w:rsidRPr="00C24C61">
              <w:rPr>
                <w:rFonts w:ascii="Calibri" w:hAnsi="Calibri"/>
                <w:b/>
                <w:sz w:val="20"/>
                <w:szCs w:val="20"/>
                <w:lang w:eastAsia="en-AU"/>
              </w:rPr>
              <w:t xml:space="preserve">13,691 </w:t>
            </w:r>
          </w:p>
        </w:tc>
        <w:tc>
          <w:tcPr>
            <w:tcW w:w="1125" w:type="dxa"/>
            <w:tcBorders>
              <w:top w:val="single" w:sz="4" w:space="0" w:color="auto"/>
              <w:bottom w:val="single" w:sz="4" w:space="0" w:color="auto"/>
            </w:tcBorders>
            <w:shd w:val="clear" w:color="auto" w:fill="auto"/>
          </w:tcPr>
          <w:p w14:paraId="7546C157" w14:textId="77777777" w:rsidR="00C24C61" w:rsidRPr="00C24C61" w:rsidRDefault="00C24C61" w:rsidP="00C24C61">
            <w:pPr>
              <w:ind w:left="227" w:hanging="227"/>
              <w:jc w:val="right"/>
              <w:rPr>
                <w:rFonts w:ascii="Calibri" w:hAnsi="Calibri"/>
                <w:b/>
                <w:sz w:val="20"/>
                <w:szCs w:val="20"/>
                <w:lang w:eastAsia="en-AU"/>
              </w:rPr>
            </w:pPr>
            <w:r w:rsidRPr="00C24C61">
              <w:rPr>
                <w:rFonts w:ascii="Calibri" w:hAnsi="Calibri"/>
                <w:b/>
                <w:sz w:val="20"/>
                <w:szCs w:val="20"/>
                <w:lang w:eastAsia="en-AU"/>
              </w:rPr>
              <w:t xml:space="preserve">21,081 </w:t>
            </w:r>
          </w:p>
        </w:tc>
        <w:tc>
          <w:tcPr>
            <w:tcW w:w="1125" w:type="dxa"/>
            <w:tcBorders>
              <w:top w:val="single" w:sz="4" w:space="0" w:color="auto"/>
              <w:bottom w:val="single" w:sz="4" w:space="0" w:color="auto"/>
            </w:tcBorders>
            <w:shd w:val="clear" w:color="auto" w:fill="auto"/>
          </w:tcPr>
          <w:p w14:paraId="36740D8F" w14:textId="77777777" w:rsidR="00C24C61" w:rsidRPr="00C24C61" w:rsidRDefault="00C24C61" w:rsidP="00C24C61">
            <w:pPr>
              <w:ind w:left="227" w:hanging="227"/>
              <w:jc w:val="right"/>
              <w:rPr>
                <w:rFonts w:ascii="Calibri" w:hAnsi="Calibri"/>
                <w:b/>
                <w:sz w:val="20"/>
                <w:szCs w:val="20"/>
                <w:lang w:eastAsia="en-AU"/>
              </w:rPr>
            </w:pPr>
            <w:r w:rsidRPr="00C24C61">
              <w:rPr>
                <w:rFonts w:ascii="Calibri" w:hAnsi="Calibri"/>
                <w:b/>
                <w:sz w:val="20"/>
                <w:szCs w:val="20"/>
                <w:lang w:eastAsia="en-AU"/>
              </w:rPr>
              <w:t xml:space="preserve">23,043 </w:t>
            </w:r>
          </w:p>
        </w:tc>
        <w:tc>
          <w:tcPr>
            <w:tcW w:w="1125" w:type="dxa"/>
            <w:tcBorders>
              <w:top w:val="single" w:sz="4" w:space="0" w:color="auto"/>
              <w:bottom w:val="single" w:sz="4" w:space="0" w:color="auto"/>
            </w:tcBorders>
            <w:shd w:val="clear" w:color="auto" w:fill="auto"/>
          </w:tcPr>
          <w:p w14:paraId="1D38F09B" w14:textId="77777777" w:rsidR="00C24C61" w:rsidRPr="00C24C61" w:rsidRDefault="00C24C61" w:rsidP="00C24C61">
            <w:pPr>
              <w:ind w:left="227" w:hanging="227"/>
              <w:jc w:val="right"/>
              <w:rPr>
                <w:rFonts w:ascii="Calibri" w:hAnsi="Calibri"/>
                <w:b/>
                <w:sz w:val="20"/>
                <w:szCs w:val="20"/>
                <w:lang w:eastAsia="en-AU"/>
              </w:rPr>
            </w:pPr>
            <w:r w:rsidRPr="00C24C61">
              <w:rPr>
                <w:rFonts w:ascii="Calibri" w:hAnsi="Calibri"/>
                <w:b/>
                <w:sz w:val="20"/>
                <w:szCs w:val="20"/>
                <w:lang w:eastAsia="en-AU"/>
              </w:rPr>
              <w:t xml:space="preserve">22,017 </w:t>
            </w:r>
          </w:p>
        </w:tc>
        <w:tc>
          <w:tcPr>
            <w:tcW w:w="1125" w:type="dxa"/>
            <w:tcBorders>
              <w:top w:val="single" w:sz="4" w:space="0" w:color="auto"/>
              <w:bottom w:val="single" w:sz="4" w:space="0" w:color="auto"/>
            </w:tcBorders>
            <w:shd w:val="clear" w:color="auto" w:fill="auto"/>
          </w:tcPr>
          <w:p w14:paraId="2C7332FE" w14:textId="77777777" w:rsidR="00C24C61" w:rsidRPr="00C24C61" w:rsidRDefault="00C24C61" w:rsidP="00C24C61">
            <w:pPr>
              <w:ind w:left="227" w:hanging="227"/>
              <w:jc w:val="right"/>
              <w:rPr>
                <w:rFonts w:ascii="Calibri" w:hAnsi="Calibri"/>
                <w:b/>
                <w:sz w:val="20"/>
                <w:szCs w:val="20"/>
                <w:lang w:eastAsia="en-AU"/>
              </w:rPr>
            </w:pPr>
            <w:r w:rsidRPr="00C24C61">
              <w:rPr>
                <w:rFonts w:ascii="Calibri" w:hAnsi="Calibri"/>
                <w:b/>
                <w:sz w:val="20"/>
                <w:szCs w:val="20"/>
                <w:lang w:eastAsia="en-AU"/>
              </w:rPr>
              <w:t xml:space="preserve">79,832 </w:t>
            </w:r>
          </w:p>
        </w:tc>
      </w:tr>
      <w:tr w:rsidR="00C24C61" w:rsidRPr="00C24C61" w14:paraId="2425209F" w14:textId="77777777" w:rsidTr="00664B0D">
        <w:trPr>
          <w:trHeight w:val="348"/>
        </w:trPr>
        <w:tc>
          <w:tcPr>
            <w:tcW w:w="3476" w:type="dxa"/>
            <w:tcBorders>
              <w:top w:val="single" w:sz="4" w:space="0" w:color="auto"/>
              <w:bottom w:val="single" w:sz="4" w:space="0" w:color="auto"/>
            </w:tcBorders>
            <w:shd w:val="clear" w:color="auto" w:fill="auto"/>
          </w:tcPr>
          <w:p w14:paraId="470263BF" w14:textId="77777777" w:rsidR="00C24C61" w:rsidRPr="00C24C61" w:rsidRDefault="00C24C61" w:rsidP="00C24C61">
            <w:pPr>
              <w:ind w:left="227" w:hanging="227"/>
              <w:rPr>
                <w:rFonts w:ascii="Calibri" w:hAnsi="Calibri"/>
                <w:bCs/>
                <w:i/>
                <w:sz w:val="20"/>
                <w:szCs w:val="20"/>
                <w:lang w:eastAsia="en-AU"/>
              </w:rPr>
            </w:pPr>
            <w:r w:rsidRPr="00C24C61">
              <w:rPr>
                <w:rFonts w:ascii="Calibri" w:hAnsi="Calibri"/>
                <w:bCs/>
                <w:i/>
                <w:sz w:val="20"/>
                <w:szCs w:val="20"/>
                <w:lang w:eastAsia="en-AU"/>
              </w:rPr>
              <w:t>Associated Expenses</w:t>
            </w:r>
          </w:p>
        </w:tc>
        <w:tc>
          <w:tcPr>
            <w:tcW w:w="1124" w:type="dxa"/>
            <w:tcBorders>
              <w:top w:val="single" w:sz="4" w:space="0" w:color="auto"/>
              <w:bottom w:val="single" w:sz="4" w:space="0" w:color="auto"/>
            </w:tcBorders>
            <w:shd w:val="clear" w:color="auto" w:fill="auto"/>
          </w:tcPr>
          <w:p w14:paraId="41B981E9"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4,800</w:t>
            </w:r>
          </w:p>
        </w:tc>
        <w:tc>
          <w:tcPr>
            <w:tcW w:w="1125" w:type="dxa"/>
            <w:tcBorders>
              <w:top w:val="single" w:sz="4" w:space="0" w:color="auto"/>
              <w:bottom w:val="single" w:sz="4" w:space="0" w:color="auto"/>
            </w:tcBorders>
            <w:shd w:val="clear" w:color="auto" w:fill="auto"/>
          </w:tcPr>
          <w:p w14:paraId="04B9943A"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4,920</w:t>
            </w:r>
          </w:p>
        </w:tc>
        <w:tc>
          <w:tcPr>
            <w:tcW w:w="1125" w:type="dxa"/>
            <w:tcBorders>
              <w:top w:val="single" w:sz="4" w:space="0" w:color="auto"/>
              <w:bottom w:val="single" w:sz="4" w:space="0" w:color="auto"/>
            </w:tcBorders>
            <w:shd w:val="clear" w:color="auto" w:fill="auto"/>
          </w:tcPr>
          <w:p w14:paraId="5E781A9C"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5,140</w:t>
            </w:r>
          </w:p>
        </w:tc>
        <w:tc>
          <w:tcPr>
            <w:tcW w:w="1125" w:type="dxa"/>
            <w:tcBorders>
              <w:top w:val="single" w:sz="4" w:space="0" w:color="auto"/>
              <w:bottom w:val="single" w:sz="4" w:space="0" w:color="auto"/>
            </w:tcBorders>
            <w:shd w:val="clear" w:color="auto" w:fill="auto"/>
          </w:tcPr>
          <w:p w14:paraId="40A1AC96"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5,260</w:t>
            </w:r>
          </w:p>
        </w:tc>
        <w:tc>
          <w:tcPr>
            <w:tcW w:w="1125" w:type="dxa"/>
            <w:tcBorders>
              <w:top w:val="single" w:sz="4" w:space="0" w:color="auto"/>
              <w:bottom w:val="single" w:sz="4" w:space="0" w:color="auto"/>
            </w:tcBorders>
            <w:shd w:val="clear" w:color="auto" w:fill="auto"/>
          </w:tcPr>
          <w:p w14:paraId="1566CF23" w14:textId="77777777" w:rsidR="00C24C61" w:rsidRPr="00C24C61" w:rsidRDefault="00C24C61" w:rsidP="00C24C61">
            <w:pPr>
              <w:ind w:left="227" w:hanging="227"/>
              <w:jc w:val="right"/>
              <w:rPr>
                <w:rFonts w:ascii="Calibri" w:hAnsi="Calibri"/>
                <w:sz w:val="20"/>
                <w:szCs w:val="20"/>
                <w:lang w:eastAsia="en-AU"/>
              </w:rPr>
            </w:pPr>
            <w:r w:rsidRPr="00C24C61">
              <w:rPr>
                <w:rFonts w:ascii="Calibri" w:hAnsi="Calibri"/>
                <w:sz w:val="20"/>
                <w:szCs w:val="20"/>
                <w:lang w:eastAsia="en-AU"/>
              </w:rPr>
              <w:t>20,120</w:t>
            </w:r>
          </w:p>
        </w:tc>
      </w:tr>
    </w:tbl>
    <w:p w14:paraId="4849BDAA" w14:textId="77777777" w:rsidR="006A2A5B" w:rsidRDefault="006A2A5B" w:rsidP="008C25AE">
      <w:pPr>
        <w:pStyle w:val="snapTabletitle"/>
      </w:pPr>
    </w:p>
    <w:p w14:paraId="5C211EA7" w14:textId="77777777" w:rsidR="006A2A5B" w:rsidRDefault="006A2A5B">
      <w:pPr>
        <w:rPr>
          <w:rFonts w:ascii="Calibri" w:hAnsi="Calibri"/>
          <w:b/>
          <w:bCs/>
          <w:color w:val="000000"/>
          <w:sz w:val="22"/>
          <w:szCs w:val="18"/>
          <w:lang w:eastAsia="en-US"/>
        </w:rPr>
      </w:pPr>
      <w:r>
        <w:br w:type="page"/>
      </w:r>
    </w:p>
    <w:p w14:paraId="3F61425D" w14:textId="4FFDF15B" w:rsidR="00C24C61" w:rsidRPr="008C25AE" w:rsidRDefault="00C24C61" w:rsidP="008C25AE">
      <w:pPr>
        <w:pStyle w:val="snapTabletitle"/>
      </w:pPr>
      <w:r w:rsidRPr="008C25AE">
        <w:t>Table 3.4.2: Summary of revenue initiatives by agency</w:t>
      </w:r>
    </w:p>
    <w:tbl>
      <w:tblPr>
        <w:tblW w:w="5000" w:type="pct"/>
        <w:tblLayout w:type="fixed"/>
        <w:tblCellMar>
          <w:left w:w="30" w:type="dxa"/>
          <w:right w:w="30" w:type="dxa"/>
        </w:tblCellMar>
        <w:tblLook w:val="0000" w:firstRow="0" w:lastRow="0" w:firstColumn="0" w:lastColumn="0" w:noHBand="0" w:noVBand="0"/>
      </w:tblPr>
      <w:tblGrid>
        <w:gridCol w:w="3681"/>
        <w:gridCol w:w="1189"/>
        <w:gridCol w:w="1192"/>
        <w:gridCol w:w="1192"/>
        <w:gridCol w:w="1192"/>
        <w:gridCol w:w="1192"/>
      </w:tblGrid>
      <w:tr w:rsidR="00C24C61" w:rsidRPr="00C24C61" w14:paraId="2BA048A7" w14:textId="77777777" w:rsidTr="00664B0D">
        <w:trPr>
          <w:cantSplit/>
          <w:trHeight w:val="227"/>
          <w:tblHeader/>
        </w:trPr>
        <w:tc>
          <w:tcPr>
            <w:tcW w:w="3476" w:type="dxa"/>
            <w:tcBorders>
              <w:top w:val="single" w:sz="4" w:space="0" w:color="auto"/>
              <w:left w:val="nil"/>
              <w:bottom w:val="single" w:sz="4" w:space="0" w:color="auto"/>
              <w:right w:val="nil"/>
            </w:tcBorders>
            <w:shd w:val="clear" w:color="auto" w:fill="auto"/>
            <w:vAlign w:val="center"/>
          </w:tcPr>
          <w:p w14:paraId="113BB205" w14:textId="77777777" w:rsidR="00C24C61" w:rsidRPr="00C24C61" w:rsidRDefault="00C24C61" w:rsidP="00C24C61">
            <w:pPr>
              <w:ind w:left="227" w:hanging="227"/>
              <w:rPr>
                <w:rFonts w:ascii="Calibri" w:hAnsi="Calibri"/>
                <w:b/>
                <w:bCs/>
                <w:sz w:val="20"/>
                <w:szCs w:val="20"/>
                <w:lang w:eastAsia="en-AU"/>
              </w:rPr>
            </w:pPr>
            <w:r w:rsidRPr="00C24C61">
              <w:rPr>
                <w:rFonts w:ascii="Calibri" w:hAnsi="Calibri"/>
                <w:b/>
                <w:bCs/>
                <w:sz w:val="20"/>
                <w:szCs w:val="20"/>
                <w:lang w:eastAsia="en-AU"/>
              </w:rPr>
              <w:t xml:space="preserve">Revenue initiatives </w:t>
            </w:r>
          </w:p>
        </w:tc>
        <w:tc>
          <w:tcPr>
            <w:tcW w:w="1124" w:type="dxa"/>
            <w:tcBorders>
              <w:top w:val="single" w:sz="4" w:space="0" w:color="auto"/>
              <w:left w:val="nil"/>
              <w:bottom w:val="single" w:sz="4" w:space="0" w:color="auto"/>
              <w:right w:val="nil"/>
            </w:tcBorders>
            <w:shd w:val="clear" w:color="auto" w:fill="auto"/>
          </w:tcPr>
          <w:p w14:paraId="3A292130" w14:textId="77777777" w:rsidR="00C24C61" w:rsidRPr="00C24C61" w:rsidRDefault="00C24C61" w:rsidP="00C24C61">
            <w:pPr>
              <w:jc w:val="right"/>
              <w:rPr>
                <w:rFonts w:ascii="Calibri" w:hAnsi="Calibri"/>
                <w:b/>
                <w:bCs/>
                <w:snapToGrid w:val="0"/>
                <w:sz w:val="20"/>
                <w:szCs w:val="20"/>
                <w:lang w:eastAsia="en-US"/>
              </w:rPr>
            </w:pPr>
            <w:r w:rsidRPr="00C24C61">
              <w:rPr>
                <w:rFonts w:ascii="Calibri" w:hAnsi="Calibri"/>
                <w:b/>
                <w:bCs/>
                <w:snapToGrid w:val="0"/>
                <w:sz w:val="20"/>
                <w:szCs w:val="20"/>
                <w:lang w:eastAsia="en-US"/>
              </w:rPr>
              <w:t>2019-20</w:t>
            </w:r>
          </w:p>
          <w:p w14:paraId="56EB1131" w14:textId="77777777" w:rsidR="00C24C61" w:rsidRPr="00C24C61" w:rsidRDefault="00C24C61" w:rsidP="00C24C61">
            <w:pPr>
              <w:jc w:val="right"/>
              <w:rPr>
                <w:rFonts w:ascii="Calibri" w:hAnsi="Calibri"/>
                <w:b/>
                <w:bCs/>
                <w:sz w:val="20"/>
                <w:szCs w:val="20"/>
                <w:lang w:eastAsia="en-US"/>
              </w:rPr>
            </w:pPr>
            <w:r w:rsidRPr="00C24C61">
              <w:rPr>
                <w:rFonts w:ascii="Calibri" w:hAnsi="Calibri"/>
                <w:b/>
                <w:bCs/>
                <w:sz w:val="20"/>
                <w:szCs w:val="20"/>
                <w:lang w:eastAsia="en-US"/>
              </w:rPr>
              <w:t>Estimate</w:t>
            </w:r>
          </w:p>
          <w:p w14:paraId="12FF6E14" w14:textId="77777777" w:rsidR="00C24C61" w:rsidRPr="00C24C61" w:rsidRDefault="00C24C61" w:rsidP="00C24C61">
            <w:pPr>
              <w:jc w:val="right"/>
              <w:rPr>
                <w:rFonts w:ascii="Calibri" w:hAnsi="Calibri"/>
                <w:b/>
                <w:bCs/>
                <w:snapToGrid w:val="0"/>
                <w:sz w:val="20"/>
                <w:szCs w:val="20"/>
                <w:lang w:eastAsia="en-US"/>
              </w:rPr>
            </w:pPr>
            <w:r w:rsidRPr="00C24C61">
              <w:rPr>
                <w:rFonts w:ascii="Calibri" w:hAnsi="Calibri"/>
                <w:b/>
                <w:bCs/>
                <w:sz w:val="20"/>
                <w:szCs w:val="20"/>
                <w:lang w:eastAsia="en-US"/>
              </w:rPr>
              <w:t>$’000</w:t>
            </w:r>
          </w:p>
        </w:tc>
        <w:tc>
          <w:tcPr>
            <w:tcW w:w="1125" w:type="dxa"/>
            <w:tcBorders>
              <w:top w:val="single" w:sz="4" w:space="0" w:color="auto"/>
              <w:left w:val="nil"/>
              <w:bottom w:val="single" w:sz="4" w:space="0" w:color="auto"/>
              <w:right w:val="nil"/>
            </w:tcBorders>
            <w:shd w:val="clear" w:color="auto" w:fill="auto"/>
          </w:tcPr>
          <w:p w14:paraId="6C2EB09B" w14:textId="77777777" w:rsidR="00C24C61" w:rsidRPr="00C24C61" w:rsidRDefault="00C24C61" w:rsidP="00C24C61">
            <w:pPr>
              <w:jc w:val="right"/>
              <w:rPr>
                <w:rFonts w:ascii="Calibri" w:hAnsi="Calibri"/>
                <w:b/>
                <w:bCs/>
                <w:snapToGrid w:val="0"/>
                <w:sz w:val="20"/>
                <w:szCs w:val="20"/>
                <w:lang w:eastAsia="en-US"/>
              </w:rPr>
            </w:pPr>
            <w:r w:rsidRPr="00C24C61">
              <w:rPr>
                <w:rFonts w:ascii="Calibri" w:hAnsi="Calibri"/>
                <w:b/>
                <w:bCs/>
                <w:snapToGrid w:val="0"/>
                <w:sz w:val="20"/>
                <w:szCs w:val="20"/>
                <w:lang w:eastAsia="en-US"/>
              </w:rPr>
              <w:t>2020-21</w:t>
            </w:r>
          </w:p>
          <w:p w14:paraId="563A251D" w14:textId="77777777" w:rsidR="00C24C61" w:rsidRPr="00C24C61" w:rsidRDefault="00C24C61" w:rsidP="00C24C61">
            <w:pPr>
              <w:jc w:val="right"/>
              <w:rPr>
                <w:rFonts w:ascii="Calibri" w:hAnsi="Calibri"/>
                <w:b/>
                <w:bCs/>
                <w:sz w:val="20"/>
                <w:szCs w:val="20"/>
                <w:lang w:eastAsia="en-US"/>
              </w:rPr>
            </w:pPr>
            <w:r w:rsidRPr="00C24C61">
              <w:rPr>
                <w:rFonts w:ascii="Calibri" w:hAnsi="Calibri"/>
                <w:b/>
                <w:bCs/>
                <w:sz w:val="20"/>
                <w:szCs w:val="20"/>
                <w:lang w:eastAsia="en-US"/>
              </w:rPr>
              <w:t>Estimate</w:t>
            </w:r>
          </w:p>
          <w:p w14:paraId="0FAEBEA7" w14:textId="77777777" w:rsidR="00C24C61" w:rsidRPr="00C24C61" w:rsidRDefault="00C24C61" w:rsidP="00C24C61">
            <w:pPr>
              <w:jc w:val="right"/>
              <w:rPr>
                <w:rFonts w:ascii="Calibri" w:hAnsi="Calibri"/>
                <w:b/>
                <w:bCs/>
                <w:snapToGrid w:val="0"/>
                <w:sz w:val="20"/>
                <w:szCs w:val="20"/>
                <w:lang w:eastAsia="en-US"/>
              </w:rPr>
            </w:pPr>
            <w:r w:rsidRPr="00C24C61">
              <w:rPr>
                <w:rFonts w:ascii="Calibri" w:hAnsi="Calibri"/>
                <w:b/>
                <w:bCs/>
                <w:sz w:val="20"/>
                <w:szCs w:val="20"/>
                <w:lang w:eastAsia="en-US"/>
              </w:rPr>
              <w:t>$’000</w:t>
            </w:r>
          </w:p>
        </w:tc>
        <w:tc>
          <w:tcPr>
            <w:tcW w:w="1125" w:type="dxa"/>
            <w:tcBorders>
              <w:top w:val="single" w:sz="4" w:space="0" w:color="auto"/>
              <w:left w:val="nil"/>
              <w:bottom w:val="single" w:sz="4" w:space="0" w:color="auto"/>
              <w:right w:val="nil"/>
            </w:tcBorders>
            <w:shd w:val="clear" w:color="auto" w:fill="auto"/>
          </w:tcPr>
          <w:p w14:paraId="3DD4BC79" w14:textId="77777777" w:rsidR="00C24C61" w:rsidRPr="00C24C61" w:rsidRDefault="00C24C61" w:rsidP="00C24C61">
            <w:pPr>
              <w:jc w:val="right"/>
              <w:rPr>
                <w:rFonts w:ascii="Calibri" w:hAnsi="Calibri"/>
                <w:b/>
                <w:bCs/>
                <w:snapToGrid w:val="0"/>
                <w:sz w:val="20"/>
                <w:szCs w:val="20"/>
                <w:lang w:eastAsia="en-US"/>
              </w:rPr>
            </w:pPr>
            <w:r w:rsidRPr="00C24C61">
              <w:rPr>
                <w:rFonts w:ascii="Calibri" w:hAnsi="Calibri"/>
                <w:b/>
                <w:bCs/>
                <w:snapToGrid w:val="0"/>
                <w:sz w:val="20"/>
                <w:szCs w:val="20"/>
                <w:lang w:eastAsia="en-US"/>
              </w:rPr>
              <w:t>2021-22</w:t>
            </w:r>
          </w:p>
          <w:p w14:paraId="254F4374" w14:textId="77777777" w:rsidR="00C24C61" w:rsidRPr="00C24C61" w:rsidRDefault="00C24C61" w:rsidP="00C24C61">
            <w:pPr>
              <w:jc w:val="right"/>
              <w:rPr>
                <w:rFonts w:ascii="Calibri" w:hAnsi="Calibri"/>
                <w:b/>
                <w:bCs/>
                <w:sz w:val="20"/>
                <w:szCs w:val="20"/>
                <w:lang w:eastAsia="en-US"/>
              </w:rPr>
            </w:pPr>
            <w:r w:rsidRPr="00C24C61">
              <w:rPr>
                <w:rFonts w:ascii="Calibri" w:hAnsi="Calibri"/>
                <w:b/>
                <w:bCs/>
                <w:sz w:val="20"/>
                <w:szCs w:val="20"/>
                <w:lang w:eastAsia="en-US"/>
              </w:rPr>
              <w:t>Estimate</w:t>
            </w:r>
          </w:p>
          <w:p w14:paraId="6CDB7648" w14:textId="77777777" w:rsidR="00C24C61" w:rsidRPr="00C24C61" w:rsidRDefault="00C24C61" w:rsidP="00C24C61">
            <w:pPr>
              <w:jc w:val="right"/>
              <w:rPr>
                <w:rFonts w:ascii="Calibri" w:hAnsi="Calibri"/>
                <w:b/>
                <w:bCs/>
                <w:snapToGrid w:val="0"/>
                <w:sz w:val="20"/>
                <w:szCs w:val="20"/>
                <w:lang w:eastAsia="en-US"/>
              </w:rPr>
            </w:pPr>
            <w:r w:rsidRPr="00C24C61">
              <w:rPr>
                <w:rFonts w:ascii="Calibri" w:hAnsi="Calibri"/>
                <w:b/>
                <w:bCs/>
                <w:sz w:val="20"/>
                <w:szCs w:val="20"/>
                <w:lang w:eastAsia="en-US"/>
              </w:rPr>
              <w:t>$’000</w:t>
            </w:r>
          </w:p>
        </w:tc>
        <w:tc>
          <w:tcPr>
            <w:tcW w:w="1125" w:type="dxa"/>
            <w:tcBorders>
              <w:top w:val="single" w:sz="4" w:space="0" w:color="auto"/>
              <w:left w:val="nil"/>
              <w:bottom w:val="single" w:sz="4" w:space="0" w:color="auto"/>
              <w:right w:val="nil"/>
            </w:tcBorders>
            <w:shd w:val="clear" w:color="auto" w:fill="auto"/>
          </w:tcPr>
          <w:p w14:paraId="3A558A63" w14:textId="77777777" w:rsidR="00C24C61" w:rsidRPr="00C24C61" w:rsidRDefault="00C24C61" w:rsidP="00C24C61">
            <w:pPr>
              <w:jc w:val="right"/>
              <w:rPr>
                <w:rFonts w:ascii="Calibri" w:hAnsi="Calibri"/>
                <w:b/>
                <w:bCs/>
                <w:snapToGrid w:val="0"/>
                <w:sz w:val="20"/>
                <w:szCs w:val="20"/>
                <w:lang w:eastAsia="en-US"/>
              </w:rPr>
            </w:pPr>
            <w:r w:rsidRPr="00C24C61">
              <w:rPr>
                <w:rFonts w:ascii="Calibri" w:hAnsi="Calibri"/>
                <w:b/>
                <w:bCs/>
                <w:snapToGrid w:val="0"/>
                <w:sz w:val="20"/>
                <w:szCs w:val="20"/>
                <w:lang w:eastAsia="en-US"/>
              </w:rPr>
              <w:t>2022-23</w:t>
            </w:r>
          </w:p>
          <w:p w14:paraId="7EAAD6E5" w14:textId="77777777" w:rsidR="00C24C61" w:rsidRPr="00C24C61" w:rsidRDefault="00C24C61" w:rsidP="00C24C61">
            <w:pPr>
              <w:jc w:val="right"/>
              <w:rPr>
                <w:rFonts w:ascii="Calibri" w:hAnsi="Calibri"/>
                <w:b/>
                <w:bCs/>
                <w:sz w:val="20"/>
                <w:szCs w:val="20"/>
                <w:lang w:eastAsia="en-US"/>
              </w:rPr>
            </w:pPr>
            <w:r w:rsidRPr="00C24C61">
              <w:rPr>
                <w:rFonts w:ascii="Calibri" w:hAnsi="Calibri"/>
                <w:b/>
                <w:bCs/>
                <w:sz w:val="20"/>
                <w:szCs w:val="20"/>
                <w:lang w:eastAsia="en-US"/>
              </w:rPr>
              <w:t>Estimate</w:t>
            </w:r>
          </w:p>
          <w:p w14:paraId="7B0314B6" w14:textId="77777777" w:rsidR="00C24C61" w:rsidRPr="00C24C61" w:rsidRDefault="00C24C61" w:rsidP="00C24C61">
            <w:pPr>
              <w:jc w:val="right"/>
              <w:rPr>
                <w:rFonts w:ascii="Calibri" w:hAnsi="Calibri"/>
                <w:b/>
                <w:bCs/>
                <w:snapToGrid w:val="0"/>
                <w:sz w:val="20"/>
                <w:szCs w:val="20"/>
                <w:lang w:eastAsia="en-US"/>
              </w:rPr>
            </w:pPr>
            <w:r w:rsidRPr="00C24C61">
              <w:rPr>
                <w:rFonts w:ascii="Calibri" w:hAnsi="Calibri"/>
                <w:b/>
                <w:bCs/>
                <w:sz w:val="20"/>
                <w:szCs w:val="20"/>
                <w:lang w:eastAsia="en-US"/>
              </w:rPr>
              <w:t>$’000</w:t>
            </w:r>
          </w:p>
        </w:tc>
        <w:tc>
          <w:tcPr>
            <w:tcW w:w="1125" w:type="dxa"/>
            <w:tcBorders>
              <w:top w:val="single" w:sz="4" w:space="0" w:color="auto"/>
              <w:left w:val="nil"/>
              <w:bottom w:val="single" w:sz="4" w:space="0" w:color="auto"/>
              <w:right w:val="nil"/>
            </w:tcBorders>
            <w:shd w:val="clear" w:color="auto" w:fill="auto"/>
          </w:tcPr>
          <w:p w14:paraId="403E7E55" w14:textId="77777777" w:rsidR="00C24C61" w:rsidRPr="00C24C61" w:rsidRDefault="00C24C61" w:rsidP="00C24C61">
            <w:pPr>
              <w:jc w:val="right"/>
              <w:rPr>
                <w:rFonts w:ascii="Calibri" w:hAnsi="Calibri"/>
                <w:b/>
                <w:bCs/>
                <w:snapToGrid w:val="0"/>
                <w:sz w:val="20"/>
                <w:szCs w:val="20"/>
                <w:lang w:eastAsia="en-US"/>
              </w:rPr>
            </w:pPr>
            <w:r w:rsidRPr="00C24C61">
              <w:rPr>
                <w:rFonts w:ascii="Calibri" w:hAnsi="Calibri"/>
                <w:b/>
                <w:bCs/>
                <w:snapToGrid w:val="0"/>
                <w:sz w:val="20"/>
                <w:szCs w:val="20"/>
                <w:lang w:eastAsia="en-US"/>
              </w:rPr>
              <w:t>Total</w:t>
            </w:r>
          </w:p>
          <w:p w14:paraId="3881523B" w14:textId="77777777" w:rsidR="00C24C61" w:rsidRPr="00C24C61" w:rsidRDefault="00C24C61" w:rsidP="00C24C61">
            <w:pPr>
              <w:jc w:val="right"/>
              <w:rPr>
                <w:rFonts w:ascii="Calibri" w:hAnsi="Calibri"/>
                <w:b/>
                <w:bCs/>
                <w:snapToGrid w:val="0"/>
                <w:sz w:val="20"/>
                <w:szCs w:val="20"/>
                <w:lang w:eastAsia="en-US"/>
              </w:rPr>
            </w:pPr>
          </w:p>
          <w:p w14:paraId="543C629F" w14:textId="77777777" w:rsidR="00C24C61" w:rsidRPr="00C24C61" w:rsidRDefault="00C24C61" w:rsidP="00C24C61">
            <w:pPr>
              <w:jc w:val="right"/>
              <w:rPr>
                <w:rFonts w:ascii="Calibri" w:hAnsi="Calibri"/>
                <w:b/>
                <w:bCs/>
                <w:snapToGrid w:val="0"/>
                <w:sz w:val="20"/>
                <w:szCs w:val="20"/>
                <w:lang w:eastAsia="en-US"/>
              </w:rPr>
            </w:pPr>
            <w:r w:rsidRPr="00C24C61">
              <w:rPr>
                <w:rFonts w:ascii="Calibri" w:hAnsi="Calibri"/>
                <w:b/>
                <w:bCs/>
                <w:snapToGrid w:val="0"/>
                <w:sz w:val="20"/>
                <w:szCs w:val="20"/>
                <w:lang w:eastAsia="en-US"/>
              </w:rPr>
              <w:t>$’000</w:t>
            </w:r>
          </w:p>
        </w:tc>
      </w:tr>
      <w:tr w:rsidR="00C24C61" w:rsidRPr="00C24C61" w14:paraId="760A07F6" w14:textId="77777777" w:rsidTr="00664B0D">
        <w:trPr>
          <w:cantSplit/>
          <w:trHeight w:val="227"/>
        </w:trPr>
        <w:tc>
          <w:tcPr>
            <w:tcW w:w="3476" w:type="dxa"/>
            <w:tcBorders>
              <w:top w:val="single" w:sz="4" w:space="0" w:color="auto"/>
            </w:tcBorders>
            <w:shd w:val="clear" w:color="auto" w:fill="auto"/>
          </w:tcPr>
          <w:p w14:paraId="3F0FEECF" w14:textId="77777777" w:rsidR="00C24C61" w:rsidRPr="00C24C61" w:rsidRDefault="00C24C61" w:rsidP="00C24C61">
            <w:pPr>
              <w:jc w:val="right"/>
              <w:rPr>
                <w:rFonts w:ascii="Calibri" w:hAnsi="Calibri" w:cs="Calibri"/>
                <w:color w:val="FFFFFF"/>
                <w:sz w:val="12"/>
                <w:szCs w:val="20"/>
                <w:lang w:eastAsia="en-US"/>
              </w:rPr>
            </w:pPr>
            <w:r w:rsidRPr="00C24C61">
              <w:rPr>
                <w:rFonts w:ascii="Calibri" w:hAnsi="Calibri" w:cs="Calibri"/>
                <w:color w:val="FFFFFF"/>
                <w:sz w:val="12"/>
                <w:szCs w:val="20"/>
                <w:lang w:eastAsia="en-US"/>
              </w:rPr>
              <w:t xml:space="preserve"> </w:t>
            </w:r>
          </w:p>
        </w:tc>
        <w:tc>
          <w:tcPr>
            <w:tcW w:w="1124" w:type="dxa"/>
            <w:tcBorders>
              <w:top w:val="single" w:sz="4" w:space="0" w:color="auto"/>
            </w:tcBorders>
            <w:shd w:val="clear" w:color="auto" w:fill="auto"/>
          </w:tcPr>
          <w:p w14:paraId="61494141" w14:textId="77777777" w:rsidR="00C24C61" w:rsidRPr="00C24C61" w:rsidRDefault="00C24C61" w:rsidP="00C24C61">
            <w:pPr>
              <w:jc w:val="right"/>
              <w:rPr>
                <w:rFonts w:ascii="Calibri" w:hAnsi="Calibri" w:cs="Calibri"/>
                <w:color w:val="FFFFFF"/>
                <w:sz w:val="12"/>
                <w:szCs w:val="20"/>
                <w:lang w:eastAsia="en-US"/>
              </w:rPr>
            </w:pPr>
            <w:r w:rsidRPr="00C24C61">
              <w:rPr>
                <w:rFonts w:ascii="Calibri" w:hAnsi="Calibri" w:cs="Calibri"/>
                <w:color w:val="FFFFFF"/>
                <w:sz w:val="12"/>
                <w:szCs w:val="20"/>
                <w:lang w:eastAsia="en-US"/>
              </w:rPr>
              <w:t xml:space="preserve"> </w:t>
            </w:r>
          </w:p>
        </w:tc>
        <w:tc>
          <w:tcPr>
            <w:tcW w:w="1125" w:type="dxa"/>
            <w:tcBorders>
              <w:top w:val="single" w:sz="4" w:space="0" w:color="auto"/>
            </w:tcBorders>
            <w:shd w:val="clear" w:color="auto" w:fill="auto"/>
          </w:tcPr>
          <w:p w14:paraId="52595472" w14:textId="77777777" w:rsidR="00C24C61" w:rsidRPr="00C24C61" w:rsidRDefault="00C24C61" w:rsidP="00C24C61">
            <w:pPr>
              <w:jc w:val="right"/>
              <w:rPr>
                <w:rFonts w:ascii="Calibri" w:hAnsi="Calibri" w:cs="Calibri"/>
                <w:color w:val="FFFFFF"/>
                <w:sz w:val="12"/>
                <w:szCs w:val="20"/>
                <w:lang w:eastAsia="en-US"/>
              </w:rPr>
            </w:pPr>
            <w:r w:rsidRPr="00C24C61">
              <w:rPr>
                <w:rFonts w:ascii="Calibri" w:hAnsi="Calibri" w:cs="Calibri"/>
                <w:color w:val="FFFFFF"/>
                <w:sz w:val="12"/>
                <w:szCs w:val="20"/>
                <w:lang w:eastAsia="en-US"/>
              </w:rPr>
              <w:t xml:space="preserve"> </w:t>
            </w:r>
          </w:p>
        </w:tc>
        <w:tc>
          <w:tcPr>
            <w:tcW w:w="1125" w:type="dxa"/>
            <w:tcBorders>
              <w:top w:val="single" w:sz="4" w:space="0" w:color="auto"/>
            </w:tcBorders>
            <w:shd w:val="clear" w:color="auto" w:fill="auto"/>
          </w:tcPr>
          <w:p w14:paraId="48098097" w14:textId="77777777" w:rsidR="00C24C61" w:rsidRPr="00C24C61" w:rsidRDefault="00C24C61" w:rsidP="00C24C61">
            <w:pPr>
              <w:jc w:val="right"/>
              <w:rPr>
                <w:rFonts w:ascii="Calibri" w:hAnsi="Calibri" w:cs="Calibri"/>
                <w:color w:val="FFFFFF"/>
                <w:sz w:val="12"/>
                <w:szCs w:val="20"/>
                <w:lang w:eastAsia="en-US"/>
              </w:rPr>
            </w:pPr>
            <w:r w:rsidRPr="00C24C61">
              <w:rPr>
                <w:rFonts w:ascii="Calibri" w:hAnsi="Calibri" w:cs="Calibri"/>
                <w:color w:val="FFFFFF"/>
                <w:sz w:val="12"/>
                <w:szCs w:val="20"/>
                <w:lang w:eastAsia="en-US"/>
              </w:rPr>
              <w:t xml:space="preserve"> </w:t>
            </w:r>
          </w:p>
        </w:tc>
        <w:tc>
          <w:tcPr>
            <w:tcW w:w="1125" w:type="dxa"/>
            <w:tcBorders>
              <w:top w:val="single" w:sz="4" w:space="0" w:color="auto"/>
            </w:tcBorders>
            <w:shd w:val="clear" w:color="auto" w:fill="auto"/>
          </w:tcPr>
          <w:p w14:paraId="2F96FF44" w14:textId="77777777" w:rsidR="00C24C61" w:rsidRPr="00C24C61" w:rsidRDefault="00C24C61" w:rsidP="00C24C61">
            <w:pPr>
              <w:jc w:val="right"/>
              <w:rPr>
                <w:rFonts w:ascii="Calibri" w:hAnsi="Calibri" w:cs="Calibri"/>
                <w:color w:val="FFFFFF"/>
                <w:sz w:val="12"/>
                <w:szCs w:val="20"/>
                <w:lang w:eastAsia="en-US"/>
              </w:rPr>
            </w:pPr>
            <w:r w:rsidRPr="00C24C61">
              <w:rPr>
                <w:rFonts w:ascii="Calibri" w:hAnsi="Calibri" w:cs="Calibri"/>
                <w:color w:val="FFFFFF"/>
                <w:sz w:val="12"/>
                <w:szCs w:val="20"/>
                <w:lang w:eastAsia="en-US"/>
              </w:rPr>
              <w:t xml:space="preserve"> </w:t>
            </w:r>
          </w:p>
        </w:tc>
        <w:tc>
          <w:tcPr>
            <w:tcW w:w="1125" w:type="dxa"/>
            <w:tcBorders>
              <w:top w:val="single" w:sz="4" w:space="0" w:color="auto"/>
            </w:tcBorders>
            <w:shd w:val="clear" w:color="auto" w:fill="auto"/>
          </w:tcPr>
          <w:p w14:paraId="4ECBA872" w14:textId="77777777" w:rsidR="00C24C61" w:rsidRPr="00C24C61" w:rsidRDefault="00C24C61" w:rsidP="00C24C61">
            <w:pPr>
              <w:jc w:val="right"/>
              <w:rPr>
                <w:rFonts w:ascii="Calibri" w:hAnsi="Calibri" w:cs="Calibri"/>
                <w:color w:val="FFFFFF"/>
                <w:sz w:val="12"/>
                <w:szCs w:val="20"/>
                <w:lang w:eastAsia="en-US"/>
              </w:rPr>
            </w:pPr>
            <w:r w:rsidRPr="00C24C61">
              <w:rPr>
                <w:rFonts w:ascii="Calibri" w:hAnsi="Calibri" w:cs="Calibri"/>
                <w:color w:val="FFFFFF"/>
                <w:sz w:val="12"/>
                <w:szCs w:val="20"/>
                <w:lang w:eastAsia="en-US"/>
              </w:rPr>
              <w:t xml:space="preserve"> </w:t>
            </w:r>
          </w:p>
        </w:tc>
      </w:tr>
      <w:tr w:rsidR="00C24C61" w:rsidRPr="00C24C61" w14:paraId="07FE9A6A" w14:textId="77777777" w:rsidTr="00664B0D">
        <w:trPr>
          <w:cantSplit/>
          <w:trHeight w:val="227"/>
        </w:trPr>
        <w:tc>
          <w:tcPr>
            <w:tcW w:w="5725" w:type="dxa"/>
            <w:gridSpan w:val="3"/>
            <w:shd w:val="clear" w:color="auto" w:fill="auto"/>
          </w:tcPr>
          <w:p w14:paraId="79E04D71" w14:textId="77777777" w:rsidR="00C24C61" w:rsidRPr="00C24C61" w:rsidRDefault="00C24C61" w:rsidP="00C24C61">
            <w:pPr>
              <w:ind w:left="227" w:hanging="227"/>
              <w:rPr>
                <w:rFonts w:ascii="Calibri" w:hAnsi="Calibri"/>
                <w:b/>
                <w:bCs/>
                <w:sz w:val="20"/>
                <w:szCs w:val="20"/>
                <w:lang w:eastAsia="en-AU"/>
              </w:rPr>
            </w:pPr>
            <w:r w:rsidRPr="00C24C61">
              <w:rPr>
                <w:rFonts w:ascii="Calibri" w:hAnsi="Calibri"/>
                <w:b/>
                <w:bCs/>
                <w:sz w:val="20"/>
                <w:szCs w:val="20"/>
                <w:lang w:eastAsia="en-AU"/>
              </w:rPr>
              <w:t>Transport Canberra and City Services Directorate</w:t>
            </w:r>
          </w:p>
        </w:tc>
        <w:tc>
          <w:tcPr>
            <w:tcW w:w="1125" w:type="dxa"/>
            <w:shd w:val="clear" w:color="auto" w:fill="auto"/>
          </w:tcPr>
          <w:p w14:paraId="2D07E99A" w14:textId="77777777" w:rsidR="00C24C61" w:rsidRPr="00C24C61" w:rsidRDefault="00C24C61" w:rsidP="00C24C61">
            <w:pPr>
              <w:ind w:left="227" w:hanging="227"/>
              <w:jc w:val="right"/>
              <w:rPr>
                <w:rFonts w:ascii="Calibri" w:hAnsi="Calibri"/>
                <w:color w:val="000000"/>
                <w:sz w:val="20"/>
                <w:szCs w:val="20"/>
                <w:lang w:eastAsia="en-AU"/>
              </w:rPr>
            </w:pPr>
          </w:p>
        </w:tc>
        <w:tc>
          <w:tcPr>
            <w:tcW w:w="1125" w:type="dxa"/>
            <w:shd w:val="clear" w:color="auto" w:fill="auto"/>
          </w:tcPr>
          <w:p w14:paraId="23999509" w14:textId="77777777" w:rsidR="00C24C61" w:rsidRPr="00C24C61" w:rsidRDefault="00C24C61" w:rsidP="00C24C61">
            <w:pPr>
              <w:ind w:left="227" w:hanging="227"/>
              <w:jc w:val="right"/>
              <w:rPr>
                <w:rFonts w:ascii="Calibri" w:hAnsi="Calibri"/>
                <w:color w:val="000000"/>
                <w:sz w:val="20"/>
                <w:szCs w:val="20"/>
                <w:lang w:eastAsia="en-AU"/>
              </w:rPr>
            </w:pPr>
          </w:p>
        </w:tc>
        <w:tc>
          <w:tcPr>
            <w:tcW w:w="1125" w:type="dxa"/>
            <w:shd w:val="clear" w:color="auto" w:fill="auto"/>
          </w:tcPr>
          <w:p w14:paraId="55F736D0" w14:textId="77777777" w:rsidR="00C24C61" w:rsidRPr="00C24C61" w:rsidRDefault="00C24C61" w:rsidP="00C24C61">
            <w:pPr>
              <w:ind w:left="227" w:hanging="227"/>
              <w:jc w:val="right"/>
              <w:rPr>
                <w:rFonts w:ascii="Calibri" w:hAnsi="Calibri"/>
                <w:color w:val="000000"/>
                <w:sz w:val="20"/>
                <w:szCs w:val="20"/>
                <w:lang w:eastAsia="en-AU"/>
              </w:rPr>
            </w:pPr>
          </w:p>
        </w:tc>
      </w:tr>
      <w:tr w:rsidR="00C24C61" w:rsidRPr="00C24C61" w14:paraId="19674F16" w14:textId="77777777" w:rsidTr="00664B0D">
        <w:trPr>
          <w:cantSplit/>
          <w:trHeight w:val="227"/>
        </w:trPr>
        <w:tc>
          <w:tcPr>
            <w:tcW w:w="3476" w:type="dxa"/>
            <w:shd w:val="clear" w:color="auto" w:fill="auto"/>
          </w:tcPr>
          <w:p w14:paraId="4D76879C" w14:textId="77777777" w:rsidR="00C24C61" w:rsidRPr="00C24C61" w:rsidRDefault="00C24C61" w:rsidP="00C24C61">
            <w:pPr>
              <w:ind w:left="227" w:hanging="227"/>
              <w:rPr>
                <w:rFonts w:ascii="Calibri" w:hAnsi="Calibri"/>
                <w:bCs/>
                <w:sz w:val="20"/>
                <w:szCs w:val="20"/>
                <w:vertAlign w:val="superscript"/>
                <w:lang w:eastAsia="en-AU"/>
              </w:rPr>
            </w:pPr>
            <w:r w:rsidRPr="00C24C61">
              <w:rPr>
                <w:rFonts w:ascii="Calibri" w:hAnsi="Calibri"/>
                <w:bCs/>
                <w:sz w:val="20"/>
                <w:szCs w:val="20"/>
                <w:lang w:eastAsia="en-AU"/>
              </w:rPr>
              <w:t xml:space="preserve">Improving compliance for better animal management, healthier trees and a cleaner city </w:t>
            </w:r>
            <w:r w:rsidRPr="00C24C61">
              <w:rPr>
                <w:rFonts w:ascii="Calibri" w:hAnsi="Calibri"/>
                <w:bCs/>
                <w:sz w:val="20"/>
                <w:szCs w:val="20"/>
                <w:vertAlign w:val="superscript"/>
                <w:lang w:eastAsia="en-AU"/>
              </w:rPr>
              <w:t>1</w:t>
            </w:r>
          </w:p>
        </w:tc>
        <w:tc>
          <w:tcPr>
            <w:tcW w:w="1124" w:type="dxa"/>
            <w:shd w:val="clear" w:color="auto" w:fill="auto"/>
          </w:tcPr>
          <w:p w14:paraId="573D40DD" w14:textId="77777777" w:rsidR="00C24C61" w:rsidRPr="00C24C61" w:rsidRDefault="00C24C61" w:rsidP="00C24C61">
            <w:pPr>
              <w:ind w:left="227" w:hanging="227"/>
              <w:jc w:val="right"/>
              <w:rPr>
                <w:rFonts w:ascii="Calibri" w:hAnsi="Calibri"/>
                <w:color w:val="000000"/>
                <w:sz w:val="20"/>
                <w:szCs w:val="20"/>
                <w:lang w:eastAsia="en-AU"/>
              </w:rPr>
            </w:pPr>
            <w:r w:rsidRPr="00C24C61">
              <w:rPr>
                <w:rFonts w:ascii="Calibri" w:hAnsi="Calibri"/>
                <w:color w:val="000000"/>
                <w:sz w:val="20"/>
                <w:szCs w:val="20"/>
                <w:lang w:eastAsia="en-AU"/>
              </w:rPr>
              <w:t>482</w:t>
            </w:r>
          </w:p>
        </w:tc>
        <w:tc>
          <w:tcPr>
            <w:tcW w:w="1125" w:type="dxa"/>
            <w:shd w:val="clear" w:color="auto" w:fill="auto"/>
          </w:tcPr>
          <w:p w14:paraId="63EE4C47" w14:textId="77777777" w:rsidR="00C24C61" w:rsidRPr="00C24C61" w:rsidRDefault="00C24C61" w:rsidP="00C24C61">
            <w:pPr>
              <w:ind w:left="227" w:hanging="227"/>
              <w:jc w:val="right"/>
              <w:rPr>
                <w:rFonts w:ascii="Calibri" w:hAnsi="Calibri"/>
                <w:color w:val="000000"/>
                <w:sz w:val="20"/>
                <w:szCs w:val="20"/>
                <w:lang w:eastAsia="en-AU"/>
              </w:rPr>
            </w:pPr>
            <w:r w:rsidRPr="00C24C61">
              <w:rPr>
                <w:rFonts w:ascii="Calibri" w:hAnsi="Calibri"/>
                <w:color w:val="000000"/>
                <w:sz w:val="20"/>
                <w:szCs w:val="20"/>
                <w:lang w:eastAsia="en-AU"/>
              </w:rPr>
              <w:t>0</w:t>
            </w:r>
          </w:p>
        </w:tc>
        <w:tc>
          <w:tcPr>
            <w:tcW w:w="1125" w:type="dxa"/>
            <w:shd w:val="clear" w:color="auto" w:fill="auto"/>
          </w:tcPr>
          <w:p w14:paraId="47F13282" w14:textId="77777777" w:rsidR="00C24C61" w:rsidRPr="00C24C61" w:rsidRDefault="00C24C61" w:rsidP="00C24C61">
            <w:pPr>
              <w:ind w:left="227" w:hanging="227"/>
              <w:jc w:val="right"/>
              <w:rPr>
                <w:rFonts w:ascii="Calibri" w:hAnsi="Calibri"/>
                <w:color w:val="000000"/>
                <w:sz w:val="20"/>
                <w:szCs w:val="20"/>
                <w:lang w:eastAsia="en-AU"/>
              </w:rPr>
            </w:pPr>
            <w:r w:rsidRPr="00C24C61">
              <w:rPr>
                <w:rFonts w:ascii="Calibri" w:hAnsi="Calibri"/>
                <w:color w:val="000000"/>
                <w:sz w:val="20"/>
                <w:szCs w:val="20"/>
                <w:lang w:eastAsia="en-AU"/>
              </w:rPr>
              <w:t>0</w:t>
            </w:r>
          </w:p>
        </w:tc>
        <w:tc>
          <w:tcPr>
            <w:tcW w:w="1125" w:type="dxa"/>
            <w:shd w:val="clear" w:color="auto" w:fill="auto"/>
          </w:tcPr>
          <w:p w14:paraId="0B2B8297" w14:textId="77777777" w:rsidR="00C24C61" w:rsidRPr="00C24C61" w:rsidRDefault="00C24C61" w:rsidP="00C24C61">
            <w:pPr>
              <w:ind w:left="227" w:hanging="227"/>
              <w:jc w:val="right"/>
              <w:rPr>
                <w:rFonts w:ascii="Calibri" w:hAnsi="Calibri"/>
                <w:color w:val="000000"/>
                <w:sz w:val="20"/>
                <w:szCs w:val="20"/>
                <w:lang w:eastAsia="en-AU"/>
              </w:rPr>
            </w:pPr>
            <w:r w:rsidRPr="00C24C61">
              <w:rPr>
                <w:rFonts w:ascii="Calibri" w:hAnsi="Calibri"/>
                <w:color w:val="000000"/>
                <w:sz w:val="20"/>
                <w:szCs w:val="20"/>
                <w:lang w:eastAsia="en-AU"/>
              </w:rPr>
              <w:t>0</w:t>
            </w:r>
          </w:p>
        </w:tc>
        <w:tc>
          <w:tcPr>
            <w:tcW w:w="1125" w:type="dxa"/>
            <w:shd w:val="clear" w:color="auto" w:fill="auto"/>
          </w:tcPr>
          <w:p w14:paraId="1F3D9AC6" w14:textId="77777777" w:rsidR="00C24C61" w:rsidRPr="00C24C61" w:rsidRDefault="00C24C61" w:rsidP="00C24C61">
            <w:pPr>
              <w:ind w:left="227" w:hanging="227"/>
              <w:jc w:val="right"/>
              <w:rPr>
                <w:rFonts w:ascii="Calibri" w:hAnsi="Calibri"/>
                <w:color w:val="000000"/>
                <w:sz w:val="20"/>
                <w:szCs w:val="20"/>
                <w:lang w:eastAsia="en-AU"/>
              </w:rPr>
            </w:pPr>
            <w:r w:rsidRPr="00C24C61">
              <w:rPr>
                <w:rFonts w:ascii="Calibri" w:hAnsi="Calibri"/>
                <w:color w:val="000000"/>
                <w:sz w:val="20"/>
                <w:szCs w:val="20"/>
                <w:lang w:eastAsia="en-AU"/>
              </w:rPr>
              <w:t>482</w:t>
            </w:r>
          </w:p>
        </w:tc>
      </w:tr>
      <w:tr w:rsidR="00C24C61" w:rsidRPr="00C24C61" w14:paraId="19EF5287" w14:textId="77777777" w:rsidTr="008C25AE">
        <w:trPr>
          <w:cantSplit/>
          <w:trHeight w:val="227"/>
        </w:trPr>
        <w:tc>
          <w:tcPr>
            <w:tcW w:w="3476" w:type="dxa"/>
            <w:tcBorders>
              <w:bottom w:val="single" w:sz="4" w:space="0" w:color="auto"/>
            </w:tcBorders>
            <w:shd w:val="clear" w:color="auto" w:fill="auto"/>
          </w:tcPr>
          <w:p w14:paraId="2B51B877" w14:textId="77777777" w:rsidR="00C24C61" w:rsidRPr="00C24C61" w:rsidRDefault="00C24C61" w:rsidP="00C24C61">
            <w:pPr>
              <w:ind w:left="227" w:hanging="227"/>
              <w:rPr>
                <w:rFonts w:ascii="Calibri" w:hAnsi="Calibri"/>
                <w:bCs/>
                <w:sz w:val="20"/>
                <w:szCs w:val="20"/>
                <w:vertAlign w:val="superscript"/>
                <w:lang w:eastAsia="en-AU"/>
              </w:rPr>
            </w:pPr>
            <w:r w:rsidRPr="00C24C61">
              <w:rPr>
                <w:rFonts w:ascii="Calibri" w:hAnsi="Calibri"/>
                <w:bCs/>
                <w:sz w:val="20"/>
                <w:szCs w:val="20"/>
                <w:lang w:eastAsia="en-AU"/>
              </w:rPr>
              <w:t xml:space="preserve">Managing waste better </w:t>
            </w:r>
            <w:r w:rsidRPr="00C24C61">
              <w:rPr>
                <w:rFonts w:ascii="Calibri" w:hAnsi="Calibri"/>
                <w:bCs/>
                <w:sz w:val="20"/>
                <w:szCs w:val="20"/>
                <w:vertAlign w:val="superscript"/>
                <w:lang w:eastAsia="en-AU"/>
              </w:rPr>
              <w:t>1, 2</w:t>
            </w:r>
          </w:p>
        </w:tc>
        <w:tc>
          <w:tcPr>
            <w:tcW w:w="1124" w:type="dxa"/>
            <w:tcBorders>
              <w:bottom w:val="single" w:sz="4" w:space="0" w:color="auto"/>
            </w:tcBorders>
            <w:shd w:val="clear" w:color="auto" w:fill="auto"/>
          </w:tcPr>
          <w:p w14:paraId="791E6CEB" w14:textId="77777777" w:rsidR="00C24C61" w:rsidRPr="00C24C61" w:rsidRDefault="00C24C61" w:rsidP="00C24C61">
            <w:pPr>
              <w:ind w:left="227" w:hanging="227"/>
              <w:jc w:val="right"/>
              <w:rPr>
                <w:rFonts w:ascii="Calibri" w:hAnsi="Calibri"/>
                <w:color w:val="000000"/>
                <w:sz w:val="20"/>
                <w:szCs w:val="20"/>
                <w:lang w:eastAsia="en-AU"/>
              </w:rPr>
            </w:pPr>
            <w:r w:rsidRPr="00C24C61">
              <w:rPr>
                <w:rFonts w:ascii="Calibri" w:hAnsi="Calibri"/>
                <w:color w:val="000000"/>
                <w:sz w:val="20"/>
                <w:szCs w:val="20"/>
                <w:lang w:eastAsia="en-AU"/>
              </w:rPr>
              <w:t>1,485</w:t>
            </w:r>
          </w:p>
        </w:tc>
        <w:tc>
          <w:tcPr>
            <w:tcW w:w="1125" w:type="dxa"/>
            <w:tcBorders>
              <w:bottom w:val="single" w:sz="4" w:space="0" w:color="auto"/>
            </w:tcBorders>
            <w:shd w:val="clear" w:color="auto" w:fill="auto"/>
          </w:tcPr>
          <w:p w14:paraId="1F455C59" w14:textId="77777777" w:rsidR="00C24C61" w:rsidRPr="00C24C61" w:rsidRDefault="00C24C61" w:rsidP="00C24C61">
            <w:pPr>
              <w:ind w:left="227" w:hanging="227"/>
              <w:jc w:val="right"/>
              <w:rPr>
                <w:rFonts w:ascii="Calibri" w:hAnsi="Calibri"/>
                <w:color w:val="000000"/>
                <w:sz w:val="20"/>
                <w:szCs w:val="20"/>
                <w:lang w:eastAsia="en-AU"/>
              </w:rPr>
            </w:pPr>
            <w:r w:rsidRPr="00C24C61">
              <w:rPr>
                <w:rFonts w:ascii="Calibri" w:hAnsi="Calibri"/>
                <w:color w:val="000000"/>
                <w:sz w:val="20"/>
                <w:szCs w:val="20"/>
                <w:lang w:eastAsia="en-AU"/>
              </w:rPr>
              <w:t>4,740</w:t>
            </w:r>
          </w:p>
        </w:tc>
        <w:tc>
          <w:tcPr>
            <w:tcW w:w="1125" w:type="dxa"/>
            <w:tcBorders>
              <w:bottom w:val="single" w:sz="4" w:space="0" w:color="auto"/>
            </w:tcBorders>
            <w:shd w:val="clear" w:color="auto" w:fill="auto"/>
          </w:tcPr>
          <w:p w14:paraId="42F4883E" w14:textId="77777777" w:rsidR="00C24C61" w:rsidRPr="00C24C61" w:rsidRDefault="00C24C61" w:rsidP="00C24C61">
            <w:pPr>
              <w:ind w:left="227" w:hanging="227"/>
              <w:jc w:val="right"/>
              <w:rPr>
                <w:rFonts w:ascii="Calibri" w:hAnsi="Calibri"/>
                <w:color w:val="000000"/>
                <w:sz w:val="20"/>
                <w:szCs w:val="20"/>
                <w:lang w:eastAsia="en-AU"/>
              </w:rPr>
            </w:pPr>
            <w:r w:rsidRPr="00C24C61">
              <w:rPr>
                <w:rFonts w:ascii="Calibri" w:hAnsi="Calibri"/>
                <w:color w:val="000000"/>
                <w:sz w:val="20"/>
                <w:szCs w:val="20"/>
                <w:lang w:eastAsia="en-AU"/>
              </w:rPr>
              <w:t>6,210</w:t>
            </w:r>
          </w:p>
        </w:tc>
        <w:tc>
          <w:tcPr>
            <w:tcW w:w="1125" w:type="dxa"/>
            <w:tcBorders>
              <w:bottom w:val="single" w:sz="4" w:space="0" w:color="auto"/>
            </w:tcBorders>
            <w:shd w:val="clear" w:color="auto" w:fill="auto"/>
          </w:tcPr>
          <w:p w14:paraId="3A1B780F" w14:textId="77777777" w:rsidR="00C24C61" w:rsidRPr="00C24C61" w:rsidRDefault="00C24C61" w:rsidP="00C24C61">
            <w:pPr>
              <w:ind w:left="227" w:hanging="227"/>
              <w:jc w:val="right"/>
              <w:rPr>
                <w:rFonts w:ascii="Calibri" w:hAnsi="Calibri"/>
                <w:color w:val="000000"/>
                <w:sz w:val="20"/>
                <w:szCs w:val="20"/>
                <w:lang w:eastAsia="en-AU"/>
              </w:rPr>
            </w:pPr>
            <w:r w:rsidRPr="00C24C61">
              <w:rPr>
                <w:rFonts w:ascii="Calibri" w:hAnsi="Calibri"/>
                <w:color w:val="000000"/>
                <w:sz w:val="20"/>
                <w:szCs w:val="20"/>
                <w:lang w:eastAsia="en-AU"/>
              </w:rPr>
              <w:t>5,880</w:t>
            </w:r>
          </w:p>
        </w:tc>
        <w:tc>
          <w:tcPr>
            <w:tcW w:w="1125" w:type="dxa"/>
            <w:tcBorders>
              <w:bottom w:val="single" w:sz="4" w:space="0" w:color="auto"/>
            </w:tcBorders>
            <w:shd w:val="clear" w:color="auto" w:fill="auto"/>
          </w:tcPr>
          <w:p w14:paraId="4AD9A081" w14:textId="77777777" w:rsidR="00C24C61" w:rsidRPr="00C24C61" w:rsidRDefault="00C24C61" w:rsidP="00C24C61">
            <w:pPr>
              <w:ind w:left="227" w:hanging="227"/>
              <w:jc w:val="right"/>
              <w:rPr>
                <w:rFonts w:ascii="Calibri" w:hAnsi="Calibri"/>
                <w:color w:val="000000"/>
                <w:sz w:val="20"/>
                <w:szCs w:val="20"/>
                <w:lang w:eastAsia="en-AU"/>
              </w:rPr>
            </w:pPr>
            <w:r w:rsidRPr="00C24C61">
              <w:rPr>
                <w:rFonts w:ascii="Calibri" w:hAnsi="Calibri"/>
                <w:color w:val="000000"/>
                <w:sz w:val="20"/>
                <w:szCs w:val="20"/>
                <w:lang w:eastAsia="en-AU"/>
              </w:rPr>
              <w:t>18,315</w:t>
            </w:r>
          </w:p>
        </w:tc>
      </w:tr>
      <w:tr w:rsidR="00C24C61" w:rsidRPr="00C24C61" w14:paraId="75FD811E" w14:textId="77777777" w:rsidTr="008C25AE">
        <w:trPr>
          <w:cantSplit/>
          <w:trHeight w:val="227"/>
        </w:trPr>
        <w:tc>
          <w:tcPr>
            <w:tcW w:w="3476" w:type="dxa"/>
            <w:tcBorders>
              <w:top w:val="single" w:sz="4" w:space="0" w:color="auto"/>
              <w:bottom w:val="single" w:sz="4" w:space="0" w:color="auto"/>
            </w:tcBorders>
            <w:shd w:val="clear" w:color="auto" w:fill="auto"/>
          </w:tcPr>
          <w:p w14:paraId="0D3DBA78" w14:textId="77777777" w:rsidR="00C24C61" w:rsidRPr="00C24C61" w:rsidRDefault="00C24C61" w:rsidP="00C24C61">
            <w:pPr>
              <w:ind w:left="227" w:hanging="227"/>
              <w:jc w:val="right"/>
              <w:rPr>
                <w:rFonts w:ascii="Calibri" w:hAnsi="Calibri"/>
                <w:b/>
                <w:sz w:val="20"/>
                <w:szCs w:val="20"/>
                <w:lang w:eastAsia="en-AU"/>
              </w:rPr>
            </w:pPr>
            <w:r w:rsidRPr="00C24C61">
              <w:rPr>
                <w:rFonts w:ascii="Calibri" w:hAnsi="Calibri"/>
                <w:b/>
                <w:sz w:val="20"/>
                <w:szCs w:val="20"/>
                <w:lang w:eastAsia="en-AU"/>
              </w:rPr>
              <w:t>Total</w:t>
            </w:r>
          </w:p>
        </w:tc>
        <w:tc>
          <w:tcPr>
            <w:tcW w:w="1124" w:type="dxa"/>
            <w:tcBorders>
              <w:top w:val="single" w:sz="4" w:space="0" w:color="auto"/>
              <w:bottom w:val="single" w:sz="4" w:space="0" w:color="auto"/>
            </w:tcBorders>
            <w:shd w:val="clear" w:color="auto" w:fill="auto"/>
            <w:vAlign w:val="center"/>
          </w:tcPr>
          <w:p w14:paraId="142754A1" w14:textId="77777777" w:rsidR="00C24C61" w:rsidRPr="00C24C61" w:rsidRDefault="00C24C61" w:rsidP="00C24C61">
            <w:pPr>
              <w:ind w:left="227" w:hanging="227"/>
              <w:jc w:val="right"/>
              <w:rPr>
                <w:rFonts w:ascii="Calibri" w:hAnsi="Calibri"/>
                <w:b/>
                <w:sz w:val="20"/>
                <w:szCs w:val="20"/>
                <w:lang w:eastAsia="en-AU"/>
              </w:rPr>
            </w:pPr>
            <w:r w:rsidRPr="00C24C61">
              <w:rPr>
                <w:rFonts w:ascii="Calibri" w:hAnsi="Calibri"/>
                <w:b/>
                <w:sz w:val="20"/>
                <w:szCs w:val="20"/>
                <w:lang w:eastAsia="en-AU"/>
              </w:rPr>
              <w:t>1,967</w:t>
            </w:r>
          </w:p>
        </w:tc>
        <w:tc>
          <w:tcPr>
            <w:tcW w:w="1125" w:type="dxa"/>
            <w:tcBorders>
              <w:top w:val="single" w:sz="4" w:space="0" w:color="auto"/>
              <w:bottom w:val="single" w:sz="4" w:space="0" w:color="auto"/>
            </w:tcBorders>
            <w:shd w:val="clear" w:color="auto" w:fill="auto"/>
            <w:vAlign w:val="center"/>
          </w:tcPr>
          <w:p w14:paraId="43E65F75" w14:textId="77777777" w:rsidR="00C24C61" w:rsidRPr="00C24C61" w:rsidRDefault="00C24C61" w:rsidP="00C24C61">
            <w:pPr>
              <w:ind w:left="227" w:hanging="227"/>
              <w:jc w:val="right"/>
              <w:rPr>
                <w:rFonts w:ascii="Calibri" w:hAnsi="Calibri"/>
                <w:b/>
                <w:sz w:val="20"/>
                <w:szCs w:val="20"/>
                <w:lang w:eastAsia="en-AU"/>
              </w:rPr>
            </w:pPr>
            <w:r w:rsidRPr="00C24C61">
              <w:rPr>
                <w:rFonts w:ascii="Calibri" w:hAnsi="Calibri"/>
                <w:b/>
                <w:sz w:val="20"/>
                <w:szCs w:val="20"/>
                <w:lang w:eastAsia="en-AU"/>
              </w:rPr>
              <w:t>4,740</w:t>
            </w:r>
          </w:p>
        </w:tc>
        <w:tc>
          <w:tcPr>
            <w:tcW w:w="1125" w:type="dxa"/>
            <w:tcBorders>
              <w:top w:val="single" w:sz="4" w:space="0" w:color="auto"/>
              <w:bottom w:val="single" w:sz="4" w:space="0" w:color="auto"/>
            </w:tcBorders>
            <w:shd w:val="clear" w:color="auto" w:fill="auto"/>
            <w:vAlign w:val="center"/>
          </w:tcPr>
          <w:p w14:paraId="77E8E377" w14:textId="77777777" w:rsidR="00C24C61" w:rsidRPr="00C24C61" w:rsidRDefault="00C24C61" w:rsidP="00C24C61">
            <w:pPr>
              <w:ind w:left="227" w:hanging="227"/>
              <w:jc w:val="right"/>
              <w:rPr>
                <w:rFonts w:ascii="Calibri" w:hAnsi="Calibri"/>
                <w:b/>
                <w:sz w:val="20"/>
                <w:szCs w:val="20"/>
                <w:lang w:eastAsia="en-AU"/>
              </w:rPr>
            </w:pPr>
            <w:r w:rsidRPr="00C24C61">
              <w:rPr>
                <w:rFonts w:ascii="Calibri" w:hAnsi="Calibri"/>
                <w:b/>
                <w:sz w:val="20"/>
                <w:szCs w:val="20"/>
                <w:lang w:eastAsia="en-AU"/>
              </w:rPr>
              <w:t>6,210</w:t>
            </w:r>
          </w:p>
        </w:tc>
        <w:tc>
          <w:tcPr>
            <w:tcW w:w="1125" w:type="dxa"/>
            <w:tcBorders>
              <w:top w:val="single" w:sz="4" w:space="0" w:color="auto"/>
              <w:bottom w:val="single" w:sz="4" w:space="0" w:color="auto"/>
            </w:tcBorders>
            <w:shd w:val="clear" w:color="auto" w:fill="auto"/>
            <w:vAlign w:val="center"/>
          </w:tcPr>
          <w:p w14:paraId="3C6B55E0" w14:textId="77777777" w:rsidR="00C24C61" w:rsidRPr="00C24C61" w:rsidRDefault="00C24C61" w:rsidP="00C24C61">
            <w:pPr>
              <w:ind w:left="227" w:hanging="227"/>
              <w:jc w:val="right"/>
              <w:rPr>
                <w:rFonts w:ascii="Calibri" w:hAnsi="Calibri"/>
                <w:b/>
                <w:sz w:val="20"/>
                <w:szCs w:val="20"/>
                <w:lang w:eastAsia="en-AU"/>
              </w:rPr>
            </w:pPr>
            <w:r w:rsidRPr="00C24C61">
              <w:rPr>
                <w:rFonts w:ascii="Calibri" w:hAnsi="Calibri"/>
                <w:b/>
                <w:sz w:val="20"/>
                <w:szCs w:val="20"/>
                <w:lang w:eastAsia="en-AU"/>
              </w:rPr>
              <w:t>5,880</w:t>
            </w:r>
          </w:p>
        </w:tc>
        <w:tc>
          <w:tcPr>
            <w:tcW w:w="1125" w:type="dxa"/>
            <w:tcBorders>
              <w:top w:val="single" w:sz="4" w:space="0" w:color="auto"/>
              <w:bottom w:val="single" w:sz="4" w:space="0" w:color="auto"/>
            </w:tcBorders>
            <w:shd w:val="clear" w:color="auto" w:fill="auto"/>
            <w:vAlign w:val="center"/>
          </w:tcPr>
          <w:p w14:paraId="7CCA3FC6" w14:textId="77777777" w:rsidR="00C24C61" w:rsidRPr="00C24C61" w:rsidRDefault="00C24C61" w:rsidP="00C24C61">
            <w:pPr>
              <w:ind w:left="227" w:hanging="227"/>
              <w:jc w:val="right"/>
              <w:rPr>
                <w:rFonts w:ascii="Calibri" w:hAnsi="Calibri"/>
                <w:b/>
                <w:sz w:val="20"/>
                <w:szCs w:val="20"/>
                <w:lang w:eastAsia="en-AU"/>
              </w:rPr>
            </w:pPr>
            <w:r w:rsidRPr="00C24C61">
              <w:rPr>
                <w:rFonts w:ascii="Calibri" w:hAnsi="Calibri"/>
                <w:b/>
                <w:sz w:val="20"/>
                <w:szCs w:val="20"/>
                <w:lang w:eastAsia="en-AU"/>
              </w:rPr>
              <w:t>18,797</w:t>
            </w:r>
          </w:p>
        </w:tc>
      </w:tr>
      <w:tr w:rsidR="00C24C61" w:rsidRPr="00C24C61" w14:paraId="3DDB5B7B" w14:textId="77777777" w:rsidTr="008C25AE">
        <w:trPr>
          <w:cantSplit/>
          <w:trHeight w:val="227"/>
        </w:trPr>
        <w:tc>
          <w:tcPr>
            <w:tcW w:w="3476" w:type="dxa"/>
            <w:tcBorders>
              <w:top w:val="single" w:sz="4" w:space="0" w:color="auto"/>
              <w:bottom w:val="single" w:sz="4" w:space="0" w:color="auto"/>
            </w:tcBorders>
            <w:shd w:val="clear" w:color="auto" w:fill="auto"/>
          </w:tcPr>
          <w:p w14:paraId="194F5536" w14:textId="77777777" w:rsidR="00C24C61" w:rsidRPr="00C24C61" w:rsidRDefault="00C24C61" w:rsidP="00C24C61">
            <w:pPr>
              <w:ind w:left="227" w:hanging="227"/>
              <w:jc w:val="right"/>
              <w:rPr>
                <w:rFonts w:ascii="Calibri" w:hAnsi="Calibri"/>
                <w:sz w:val="20"/>
                <w:szCs w:val="20"/>
                <w:lang w:eastAsia="en-AU"/>
              </w:rPr>
            </w:pPr>
          </w:p>
        </w:tc>
        <w:tc>
          <w:tcPr>
            <w:tcW w:w="1124" w:type="dxa"/>
            <w:tcBorders>
              <w:top w:val="single" w:sz="4" w:space="0" w:color="auto"/>
              <w:bottom w:val="single" w:sz="4" w:space="0" w:color="auto"/>
            </w:tcBorders>
            <w:shd w:val="clear" w:color="auto" w:fill="auto"/>
          </w:tcPr>
          <w:p w14:paraId="1384AF18" w14:textId="77777777" w:rsidR="00C24C61" w:rsidRPr="00C24C61" w:rsidRDefault="00C24C61" w:rsidP="00C24C61">
            <w:pPr>
              <w:framePr w:wrap="around" w:vAnchor="text" w:hAnchor="text" w:y="1"/>
              <w:jc w:val="right"/>
              <w:rPr>
                <w:rFonts w:ascii="Calibri" w:hAnsi="Calibri"/>
                <w:b/>
                <w:sz w:val="20"/>
                <w:szCs w:val="20"/>
                <w:lang w:eastAsia="en-US"/>
              </w:rPr>
            </w:pPr>
          </w:p>
        </w:tc>
        <w:tc>
          <w:tcPr>
            <w:tcW w:w="1125" w:type="dxa"/>
            <w:tcBorders>
              <w:top w:val="single" w:sz="4" w:space="0" w:color="auto"/>
              <w:bottom w:val="single" w:sz="4" w:space="0" w:color="auto"/>
            </w:tcBorders>
            <w:shd w:val="clear" w:color="auto" w:fill="auto"/>
          </w:tcPr>
          <w:p w14:paraId="643DE137" w14:textId="77777777" w:rsidR="00C24C61" w:rsidRPr="00C24C61" w:rsidRDefault="00C24C61" w:rsidP="00C24C61">
            <w:pPr>
              <w:framePr w:wrap="around" w:vAnchor="text" w:hAnchor="text" w:y="1"/>
              <w:jc w:val="right"/>
              <w:rPr>
                <w:rFonts w:ascii="Calibri" w:hAnsi="Calibri"/>
                <w:b/>
                <w:sz w:val="20"/>
                <w:szCs w:val="20"/>
                <w:lang w:eastAsia="en-US"/>
              </w:rPr>
            </w:pPr>
          </w:p>
        </w:tc>
        <w:tc>
          <w:tcPr>
            <w:tcW w:w="1125" w:type="dxa"/>
            <w:tcBorders>
              <w:top w:val="single" w:sz="4" w:space="0" w:color="auto"/>
              <w:bottom w:val="single" w:sz="4" w:space="0" w:color="auto"/>
            </w:tcBorders>
            <w:shd w:val="clear" w:color="auto" w:fill="auto"/>
          </w:tcPr>
          <w:p w14:paraId="34F5EF58" w14:textId="77777777" w:rsidR="00C24C61" w:rsidRPr="00C24C61" w:rsidRDefault="00C24C61" w:rsidP="00C24C61">
            <w:pPr>
              <w:framePr w:wrap="around" w:vAnchor="text" w:hAnchor="text" w:y="1"/>
              <w:jc w:val="right"/>
              <w:rPr>
                <w:rFonts w:ascii="Calibri" w:hAnsi="Calibri"/>
                <w:b/>
                <w:sz w:val="20"/>
                <w:szCs w:val="20"/>
                <w:lang w:eastAsia="en-US"/>
              </w:rPr>
            </w:pPr>
          </w:p>
        </w:tc>
        <w:tc>
          <w:tcPr>
            <w:tcW w:w="1125" w:type="dxa"/>
            <w:tcBorders>
              <w:top w:val="single" w:sz="4" w:space="0" w:color="auto"/>
              <w:bottom w:val="single" w:sz="4" w:space="0" w:color="auto"/>
            </w:tcBorders>
            <w:shd w:val="clear" w:color="auto" w:fill="auto"/>
          </w:tcPr>
          <w:p w14:paraId="59EBE02E" w14:textId="77777777" w:rsidR="00C24C61" w:rsidRPr="00C24C61" w:rsidRDefault="00C24C61" w:rsidP="00C24C61">
            <w:pPr>
              <w:framePr w:wrap="around" w:vAnchor="text" w:hAnchor="text" w:y="1"/>
              <w:jc w:val="right"/>
              <w:rPr>
                <w:rFonts w:ascii="Calibri" w:hAnsi="Calibri"/>
                <w:b/>
                <w:sz w:val="20"/>
                <w:szCs w:val="20"/>
                <w:lang w:eastAsia="en-US"/>
              </w:rPr>
            </w:pPr>
          </w:p>
        </w:tc>
        <w:tc>
          <w:tcPr>
            <w:tcW w:w="1125" w:type="dxa"/>
            <w:tcBorders>
              <w:top w:val="single" w:sz="4" w:space="0" w:color="auto"/>
              <w:bottom w:val="single" w:sz="4" w:space="0" w:color="auto"/>
            </w:tcBorders>
            <w:shd w:val="clear" w:color="auto" w:fill="auto"/>
          </w:tcPr>
          <w:p w14:paraId="49041D0D" w14:textId="77777777" w:rsidR="00C24C61" w:rsidRPr="00C24C61" w:rsidRDefault="00C24C61" w:rsidP="00C24C61">
            <w:pPr>
              <w:framePr w:wrap="around" w:vAnchor="text" w:hAnchor="text" w:y="1"/>
              <w:jc w:val="right"/>
              <w:rPr>
                <w:rFonts w:ascii="Calibri" w:hAnsi="Calibri"/>
                <w:b/>
                <w:sz w:val="20"/>
                <w:szCs w:val="20"/>
                <w:lang w:eastAsia="en-US"/>
              </w:rPr>
            </w:pPr>
          </w:p>
        </w:tc>
      </w:tr>
      <w:tr w:rsidR="00C24C61" w:rsidRPr="00C24C61" w14:paraId="1E2BFF25" w14:textId="77777777" w:rsidTr="008C25AE">
        <w:trPr>
          <w:cantSplit/>
          <w:trHeight w:val="227"/>
        </w:trPr>
        <w:tc>
          <w:tcPr>
            <w:tcW w:w="3476" w:type="dxa"/>
            <w:tcBorders>
              <w:top w:val="single" w:sz="4" w:space="0" w:color="auto"/>
              <w:bottom w:val="single" w:sz="4" w:space="0" w:color="auto"/>
            </w:tcBorders>
            <w:shd w:val="clear" w:color="auto" w:fill="auto"/>
            <w:vAlign w:val="bottom"/>
          </w:tcPr>
          <w:p w14:paraId="23515CC5" w14:textId="77777777" w:rsidR="00C24C61" w:rsidRPr="00C24C61" w:rsidRDefault="00C24C61" w:rsidP="00C24C61">
            <w:pPr>
              <w:ind w:left="227" w:hanging="227"/>
              <w:rPr>
                <w:rFonts w:ascii="Calibri" w:hAnsi="Calibri"/>
                <w:b/>
                <w:bCs/>
                <w:sz w:val="20"/>
                <w:szCs w:val="20"/>
                <w:lang w:eastAsia="en-AU"/>
              </w:rPr>
            </w:pPr>
            <w:r w:rsidRPr="00C24C61">
              <w:rPr>
                <w:rFonts w:ascii="Calibri" w:hAnsi="Calibri"/>
                <w:b/>
                <w:bCs/>
                <w:sz w:val="20"/>
                <w:szCs w:val="20"/>
                <w:lang w:eastAsia="en-AU"/>
              </w:rPr>
              <w:t>TOTAL REVENUE INITIATIVES</w:t>
            </w:r>
          </w:p>
        </w:tc>
        <w:tc>
          <w:tcPr>
            <w:tcW w:w="1124" w:type="dxa"/>
            <w:tcBorders>
              <w:top w:val="single" w:sz="4" w:space="0" w:color="auto"/>
              <w:bottom w:val="single" w:sz="4" w:space="0" w:color="auto"/>
            </w:tcBorders>
            <w:shd w:val="clear" w:color="auto" w:fill="auto"/>
            <w:vAlign w:val="center"/>
          </w:tcPr>
          <w:p w14:paraId="0360B84E" w14:textId="77777777" w:rsidR="00C24C61" w:rsidRPr="00C24C61" w:rsidRDefault="00C24C61" w:rsidP="00C24C61">
            <w:pPr>
              <w:ind w:left="227" w:hanging="227"/>
              <w:jc w:val="right"/>
              <w:rPr>
                <w:rFonts w:ascii="Calibri" w:hAnsi="Calibri"/>
                <w:b/>
                <w:sz w:val="20"/>
                <w:szCs w:val="20"/>
                <w:lang w:eastAsia="en-AU"/>
              </w:rPr>
            </w:pPr>
            <w:r w:rsidRPr="00C24C61">
              <w:rPr>
                <w:rFonts w:ascii="Calibri" w:hAnsi="Calibri"/>
                <w:b/>
                <w:sz w:val="20"/>
                <w:szCs w:val="20"/>
                <w:lang w:eastAsia="en-AU"/>
              </w:rPr>
              <w:t>13,691</w:t>
            </w:r>
          </w:p>
        </w:tc>
        <w:tc>
          <w:tcPr>
            <w:tcW w:w="1125" w:type="dxa"/>
            <w:tcBorders>
              <w:top w:val="single" w:sz="4" w:space="0" w:color="auto"/>
              <w:bottom w:val="single" w:sz="4" w:space="0" w:color="auto"/>
            </w:tcBorders>
            <w:shd w:val="clear" w:color="auto" w:fill="auto"/>
            <w:vAlign w:val="center"/>
          </w:tcPr>
          <w:p w14:paraId="308B276F" w14:textId="77777777" w:rsidR="00C24C61" w:rsidRPr="00C24C61" w:rsidRDefault="00C24C61" w:rsidP="00C24C61">
            <w:pPr>
              <w:ind w:left="227" w:hanging="227"/>
              <w:jc w:val="right"/>
              <w:rPr>
                <w:rFonts w:ascii="Calibri" w:hAnsi="Calibri"/>
                <w:b/>
                <w:sz w:val="20"/>
                <w:szCs w:val="20"/>
                <w:lang w:eastAsia="en-AU"/>
              </w:rPr>
            </w:pPr>
            <w:r w:rsidRPr="00C24C61">
              <w:rPr>
                <w:rFonts w:ascii="Calibri" w:hAnsi="Calibri"/>
                <w:b/>
                <w:sz w:val="20"/>
                <w:szCs w:val="20"/>
                <w:lang w:eastAsia="en-AU"/>
              </w:rPr>
              <w:t>21,081</w:t>
            </w:r>
          </w:p>
        </w:tc>
        <w:tc>
          <w:tcPr>
            <w:tcW w:w="1125" w:type="dxa"/>
            <w:tcBorders>
              <w:top w:val="single" w:sz="4" w:space="0" w:color="auto"/>
              <w:bottom w:val="single" w:sz="4" w:space="0" w:color="auto"/>
            </w:tcBorders>
            <w:shd w:val="clear" w:color="auto" w:fill="auto"/>
            <w:vAlign w:val="center"/>
          </w:tcPr>
          <w:p w14:paraId="65748F69" w14:textId="77777777" w:rsidR="00C24C61" w:rsidRPr="00C24C61" w:rsidRDefault="00C24C61" w:rsidP="00C24C61">
            <w:pPr>
              <w:ind w:left="227" w:hanging="227"/>
              <w:jc w:val="right"/>
              <w:rPr>
                <w:rFonts w:ascii="Calibri" w:hAnsi="Calibri"/>
                <w:b/>
                <w:sz w:val="20"/>
                <w:szCs w:val="20"/>
                <w:lang w:eastAsia="en-AU"/>
              </w:rPr>
            </w:pPr>
            <w:r w:rsidRPr="00C24C61">
              <w:rPr>
                <w:rFonts w:ascii="Calibri" w:hAnsi="Calibri"/>
                <w:b/>
                <w:sz w:val="20"/>
                <w:szCs w:val="20"/>
                <w:lang w:eastAsia="en-AU"/>
              </w:rPr>
              <w:t>23,043</w:t>
            </w:r>
          </w:p>
        </w:tc>
        <w:tc>
          <w:tcPr>
            <w:tcW w:w="1125" w:type="dxa"/>
            <w:tcBorders>
              <w:top w:val="single" w:sz="4" w:space="0" w:color="auto"/>
              <w:bottom w:val="single" w:sz="4" w:space="0" w:color="auto"/>
            </w:tcBorders>
            <w:shd w:val="clear" w:color="auto" w:fill="auto"/>
            <w:vAlign w:val="center"/>
          </w:tcPr>
          <w:p w14:paraId="43AE90ED" w14:textId="77777777" w:rsidR="00C24C61" w:rsidRPr="00C24C61" w:rsidRDefault="00C24C61" w:rsidP="00C24C61">
            <w:pPr>
              <w:ind w:left="227" w:hanging="227"/>
              <w:jc w:val="right"/>
              <w:rPr>
                <w:rFonts w:ascii="Calibri" w:hAnsi="Calibri"/>
                <w:b/>
                <w:sz w:val="20"/>
                <w:szCs w:val="20"/>
                <w:lang w:eastAsia="en-AU"/>
              </w:rPr>
            </w:pPr>
            <w:r w:rsidRPr="00C24C61">
              <w:rPr>
                <w:rFonts w:ascii="Calibri" w:hAnsi="Calibri"/>
                <w:b/>
                <w:sz w:val="20"/>
                <w:szCs w:val="20"/>
                <w:lang w:eastAsia="en-AU"/>
              </w:rPr>
              <w:t>22,017</w:t>
            </w:r>
          </w:p>
        </w:tc>
        <w:tc>
          <w:tcPr>
            <w:tcW w:w="1125" w:type="dxa"/>
            <w:tcBorders>
              <w:top w:val="single" w:sz="4" w:space="0" w:color="auto"/>
              <w:bottom w:val="single" w:sz="4" w:space="0" w:color="auto"/>
            </w:tcBorders>
            <w:shd w:val="clear" w:color="auto" w:fill="auto"/>
            <w:vAlign w:val="center"/>
          </w:tcPr>
          <w:p w14:paraId="1AFAAF83" w14:textId="77777777" w:rsidR="00C24C61" w:rsidRPr="00C24C61" w:rsidRDefault="00C24C61" w:rsidP="00C24C61">
            <w:pPr>
              <w:ind w:left="227" w:hanging="227"/>
              <w:jc w:val="right"/>
              <w:rPr>
                <w:rFonts w:ascii="Calibri" w:hAnsi="Calibri"/>
                <w:b/>
                <w:sz w:val="20"/>
                <w:szCs w:val="20"/>
                <w:lang w:eastAsia="en-AU"/>
              </w:rPr>
            </w:pPr>
            <w:r w:rsidRPr="00C24C61">
              <w:rPr>
                <w:rFonts w:ascii="Calibri" w:hAnsi="Calibri"/>
                <w:b/>
                <w:sz w:val="20"/>
                <w:szCs w:val="20"/>
                <w:lang w:eastAsia="en-AU"/>
              </w:rPr>
              <w:t>79,832</w:t>
            </w:r>
          </w:p>
        </w:tc>
      </w:tr>
      <w:tr w:rsidR="00C24C61" w:rsidRPr="00C24C61" w14:paraId="7083821D" w14:textId="77777777" w:rsidTr="008C25AE">
        <w:trPr>
          <w:cantSplit/>
          <w:trHeight w:val="227"/>
        </w:trPr>
        <w:tc>
          <w:tcPr>
            <w:tcW w:w="3476" w:type="dxa"/>
            <w:tcBorders>
              <w:top w:val="single" w:sz="4" w:space="0" w:color="auto"/>
            </w:tcBorders>
            <w:shd w:val="clear" w:color="auto" w:fill="auto"/>
            <w:vAlign w:val="bottom"/>
          </w:tcPr>
          <w:p w14:paraId="18E7FE05" w14:textId="77777777" w:rsidR="00C24C61" w:rsidRPr="00C24C61" w:rsidRDefault="00C24C61" w:rsidP="00C24C61">
            <w:pPr>
              <w:ind w:left="227" w:hanging="227"/>
              <w:rPr>
                <w:rFonts w:ascii="Calibri" w:hAnsi="Calibri"/>
                <w:b/>
                <w:bCs/>
                <w:sz w:val="20"/>
                <w:szCs w:val="20"/>
                <w:lang w:eastAsia="en-AU"/>
              </w:rPr>
            </w:pPr>
          </w:p>
        </w:tc>
        <w:tc>
          <w:tcPr>
            <w:tcW w:w="1124" w:type="dxa"/>
            <w:tcBorders>
              <w:top w:val="single" w:sz="4" w:space="0" w:color="auto"/>
            </w:tcBorders>
            <w:shd w:val="clear" w:color="auto" w:fill="auto"/>
          </w:tcPr>
          <w:p w14:paraId="1708B58C" w14:textId="77777777" w:rsidR="00C24C61" w:rsidRPr="00C24C61" w:rsidRDefault="00C24C61" w:rsidP="00C24C61">
            <w:pPr>
              <w:ind w:left="227" w:hanging="227"/>
              <w:jc w:val="right"/>
              <w:rPr>
                <w:rFonts w:ascii="Calibri" w:hAnsi="Calibri"/>
                <w:sz w:val="20"/>
                <w:szCs w:val="20"/>
                <w:lang w:eastAsia="en-AU"/>
              </w:rPr>
            </w:pPr>
          </w:p>
        </w:tc>
        <w:tc>
          <w:tcPr>
            <w:tcW w:w="1125" w:type="dxa"/>
            <w:tcBorders>
              <w:top w:val="single" w:sz="4" w:space="0" w:color="auto"/>
            </w:tcBorders>
            <w:shd w:val="clear" w:color="auto" w:fill="auto"/>
          </w:tcPr>
          <w:p w14:paraId="44298A62" w14:textId="77777777" w:rsidR="00C24C61" w:rsidRPr="00C24C61" w:rsidRDefault="00C24C61" w:rsidP="00C24C61">
            <w:pPr>
              <w:ind w:left="227" w:hanging="227"/>
              <w:jc w:val="right"/>
              <w:rPr>
                <w:rFonts w:ascii="Calibri" w:hAnsi="Calibri"/>
                <w:sz w:val="20"/>
                <w:szCs w:val="20"/>
                <w:lang w:eastAsia="en-AU"/>
              </w:rPr>
            </w:pPr>
          </w:p>
        </w:tc>
        <w:tc>
          <w:tcPr>
            <w:tcW w:w="1125" w:type="dxa"/>
            <w:tcBorders>
              <w:top w:val="single" w:sz="4" w:space="0" w:color="auto"/>
            </w:tcBorders>
            <w:shd w:val="clear" w:color="auto" w:fill="auto"/>
          </w:tcPr>
          <w:p w14:paraId="08AEB93B" w14:textId="77777777" w:rsidR="00C24C61" w:rsidRPr="00C24C61" w:rsidRDefault="00C24C61" w:rsidP="00C24C61">
            <w:pPr>
              <w:ind w:left="227" w:hanging="227"/>
              <w:jc w:val="right"/>
              <w:rPr>
                <w:rFonts w:ascii="Calibri" w:hAnsi="Calibri"/>
                <w:sz w:val="20"/>
                <w:szCs w:val="20"/>
                <w:lang w:eastAsia="en-AU"/>
              </w:rPr>
            </w:pPr>
          </w:p>
        </w:tc>
        <w:tc>
          <w:tcPr>
            <w:tcW w:w="1125" w:type="dxa"/>
            <w:tcBorders>
              <w:top w:val="single" w:sz="4" w:space="0" w:color="auto"/>
            </w:tcBorders>
            <w:shd w:val="clear" w:color="auto" w:fill="auto"/>
          </w:tcPr>
          <w:p w14:paraId="3204C7EE" w14:textId="77777777" w:rsidR="00C24C61" w:rsidRPr="00C24C61" w:rsidRDefault="00C24C61" w:rsidP="00C24C61">
            <w:pPr>
              <w:ind w:left="227" w:hanging="227"/>
              <w:jc w:val="right"/>
              <w:rPr>
                <w:rFonts w:ascii="Calibri" w:hAnsi="Calibri"/>
                <w:sz w:val="20"/>
                <w:szCs w:val="20"/>
                <w:lang w:eastAsia="en-AU"/>
              </w:rPr>
            </w:pPr>
          </w:p>
        </w:tc>
        <w:tc>
          <w:tcPr>
            <w:tcW w:w="1125" w:type="dxa"/>
            <w:tcBorders>
              <w:top w:val="single" w:sz="4" w:space="0" w:color="auto"/>
            </w:tcBorders>
            <w:shd w:val="clear" w:color="auto" w:fill="auto"/>
          </w:tcPr>
          <w:p w14:paraId="7C76B17A" w14:textId="77777777" w:rsidR="00C24C61" w:rsidRPr="00C24C61" w:rsidRDefault="00C24C61" w:rsidP="00C24C61">
            <w:pPr>
              <w:ind w:left="227" w:hanging="227"/>
              <w:jc w:val="right"/>
              <w:rPr>
                <w:rFonts w:ascii="Calibri" w:hAnsi="Calibri"/>
                <w:sz w:val="20"/>
                <w:szCs w:val="20"/>
                <w:lang w:eastAsia="en-AU"/>
              </w:rPr>
            </w:pPr>
          </w:p>
        </w:tc>
      </w:tr>
      <w:tr w:rsidR="00C24C61" w:rsidRPr="00C24C61" w14:paraId="39A64227" w14:textId="77777777" w:rsidTr="00664B0D">
        <w:trPr>
          <w:cantSplit/>
          <w:trHeight w:val="227"/>
        </w:trPr>
        <w:tc>
          <w:tcPr>
            <w:tcW w:w="3476" w:type="dxa"/>
            <w:tcBorders>
              <w:bottom w:val="single" w:sz="4" w:space="0" w:color="auto"/>
            </w:tcBorders>
            <w:shd w:val="clear" w:color="auto" w:fill="auto"/>
            <w:vAlign w:val="bottom"/>
          </w:tcPr>
          <w:p w14:paraId="002388DA" w14:textId="77777777" w:rsidR="00C24C61" w:rsidRPr="00C24C61" w:rsidRDefault="00C24C61" w:rsidP="00C24C61">
            <w:pPr>
              <w:ind w:left="227" w:hanging="227"/>
              <w:rPr>
                <w:rFonts w:ascii="Calibri" w:hAnsi="Calibri"/>
                <w:bCs/>
                <w:i/>
                <w:sz w:val="20"/>
                <w:szCs w:val="20"/>
                <w:lang w:eastAsia="en-AU"/>
              </w:rPr>
            </w:pPr>
            <w:r w:rsidRPr="00C24C61">
              <w:rPr>
                <w:rFonts w:ascii="Calibri" w:hAnsi="Calibri"/>
                <w:bCs/>
                <w:i/>
                <w:sz w:val="20"/>
                <w:szCs w:val="20"/>
                <w:lang w:eastAsia="en-AU"/>
              </w:rPr>
              <w:t>Associated Expenses</w:t>
            </w:r>
          </w:p>
        </w:tc>
        <w:tc>
          <w:tcPr>
            <w:tcW w:w="1124" w:type="dxa"/>
            <w:tcBorders>
              <w:bottom w:val="single" w:sz="4" w:space="0" w:color="auto"/>
            </w:tcBorders>
            <w:shd w:val="clear" w:color="auto" w:fill="auto"/>
          </w:tcPr>
          <w:p w14:paraId="6E45BF7A" w14:textId="77777777" w:rsidR="00C24C61" w:rsidRPr="00C24C61" w:rsidRDefault="00C24C61" w:rsidP="00C24C61">
            <w:pPr>
              <w:ind w:left="227" w:hanging="227"/>
              <w:jc w:val="right"/>
              <w:rPr>
                <w:rFonts w:ascii="Calibri" w:hAnsi="Calibri"/>
                <w:i/>
                <w:sz w:val="20"/>
                <w:szCs w:val="20"/>
                <w:lang w:eastAsia="en-AU"/>
              </w:rPr>
            </w:pPr>
            <w:r w:rsidRPr="00C24C61">
              <w:rPr>
                <w:rFonts w:ascii="Calibri" w:hAnsi="Calibri"/>
                <w:i/>
                <w:sz w:val="20"/>
                <w:szCs w:val="20"/>
                <w:lang w:eastAsia="en-AU"/>
              </w:rPr>
              <w:t>4,800</w:t>
            </w:r>
          </w:p>
        </w:tc>
        <w:tc>
          <w:tcPr>
            <w:tcW w:w="1125" w:type="dxa"/>
            <w:tcBorders>
              <w:bottom w:val="single" w:sz="4" w:space="0" w:color="auto"/>
            </w:tcBorders>
            <w:shd w:val="clear" w:color="auto" w:fill="auto"/>
          </w:tcPr>
          <w:p w14:paraId="04CF9294" w14:textId="77777777" w:rsidR="00C24C61" w:rsidRPr="00C24C61" w:rsidRDefault="00C24C61" w:rsidP="00C24C61">
            <w:pPr>
              <w:ind w:left="227" w:hanging="227"/>
              <w:jc w:val="right"/>
              <w:rPr>
                <w:rFonts w:ascii="Calibri" w:hAnsi="Calibri"/>
                <w:i/>
                <w:sz w:val="20"/>
                <w:szCs w:val="20"/>
                <w:lang w:eastAsia="en-AU"/>
              </w:rPr>
            </w:pPr>
            <w:r w:rsidRPr="00C24C61">
              <w:rPr>
                <w:rFonts w:ascii="Calibri" w:hAnsi="Calibri"/>
                <w:i/>
                <w:sz w:val="20"/>
                <w:szCs w:val="20"/>
                <w:lang w:eastAsia="en-AU"/>
              </w:rPr>
              <w:t>4,920</w:t>
            </w:r>
          </w:p>
        </w:tc>
        <w:tc>
          <w:tcPr>
            <w:tcW w:w="1125" w:type="dxa"/>
            <w:tcBorders>
              <w:bottom w:val="single" w:sz="4" w:space="0" w:color="auto"/>
            </w:tcBorders>
            <w:shd w:val="clear" w:color="auto" w:fill="auto"/>
          </w:tcPr>
          <w:p w14:paraId="2A36DECE" w14:textId="77777777" w:rsidR="00C24C61" w:rsidRPr="00C24C61" w:rsidRDefault="00C24C61" w:rsidP="00C24C61">
            <w:pPr>
              <w:ind w:left="227" w:hanging="227"/>
              <w:jc w:val="right"/>
              <w:rPr>
                <w:rFonts w:ascii="Calibri" w:hAnsi="Calibri"/>
                <w:i/>
                <w:sz w:val="20"/>
                <w:szCs w:val="20"/>
                <w:lang w:eastAsia="en-AU"/>
              </w:rPr>
            </w:pPr>
            <w:r w:rsidRPr="00C24C61">
              <w:rPr>
                <w:rFonts w:ascii="Calibri" w:hAnsi="Calibri"/>
                <w:i/>
                <w:sz w:val="20"/>
                <w:szCs w:val="20"/>
                <w:lang w:eastAsia="en-AU"/>
              </w:rPr>
              <w:t>5,140</w:t>
            </w:r>
          </w:p>
        </w:tc>
        <w:tc>
          <w:tcPr>
            <w:tcW w:w="1125" w:type="dxa"/>
            <w:tcBorders>
              <w:bottom w:val="single" w:sz="4" w:space="0" w:color="auto"/>
            </w:tcBorders>
            <w:shd w:val="clear" w:color="auto" w:fill="auto"/>
          </w:tcPr>
          <w:p w14:paraId="160E50AB" w14:textId="77777777" w:rsidR="00C24C61" w:rsidRPr="00C24C61" w:rsidRDefault="00C24C61" w:rsidP="00C24C61">
            <w:pPr>
              <w:ind w:left="227" w:hanging="227"/>
              <w:jc w:val="right"/>
              <w:rPr>
                <w:rFonts w:ascii="Calibri" w:hAnsi="Calibri"/>
                <w:i/>
                <w:sz w:val="20"/>
                <w:szCs w:val="20"/>
                <w:lang w:eastAsia="en-AU"/>
              </w:rPr>
            </w:pPr>
            <w:r w:rsidRPr="00C24C61">
              <w:rPr>
                <w:rFonts w:ascii="Calibri" w:hAnsi="Calibri"/>
                <w:i/>
                <w:sz w:val="20"/>
                <w:szCs w:val="20"/>
                <w:lang w:eastAsia="en-AU"/>
              </w:rPr>
              <w:t>5,260</w:t>
            </w:r>
          </w:p>
        </w:tc>
        <w:tc>
          <w:tcPr>
            <w:tcW w:w="1125" w:type="dxa"/>
            <w:tcBorders>
              <w:bottom w:val="single" w:sz="4" w:space="0" w:color="auto"/>
            </w:tcBorders>
            <w:shd w:val="clear" w:color="auto" w:fill="auto"/>
          </w:tcPr>
          <w:p w14:paraId="3E395CB4" w14:textId="77777777" w:rsidR="00C24C61" w:rsidRPr="00C24C61" w:rsidRDefault="00C24C61" w:rsidP="00C24C61">
            <w:pPr>
              <w:ind w:left="227" w:hanging="227"/>
              <w:jc w:val="right"/>
              <w:rPr>
                <w:rFonts w:ascii="Calibri" w:hAnsi="Calibri"/>
                <w:i/>
                <w:sz w:val="20"/>
                <w:szCs w:val="20"/>
                <w:lang w:eastAsia="en-AU"/>
              </w:rPr>
            </w:pPr>
            <w:r w:rsidRPr="00C24C61">
              <w:rPr>
                <w:rFonts w:ascii="Calibri" w:hAnsi="Calibri"/>
                <w:i/>
                <w:sz w:val="20"/>
                <w:szCs w:val="20"/>
                <w:lang w:eastAsia="en-AU"/>
              </w:rPr>
              <w:t>20,120</w:t>
            </w:r>
          </w:p>
        </w:tc>
      </w:tr>
    </w:tbl>
    <w:p w14:paraId="3A44A710" w14:textId="77777777" w:rsidR="00C24C61" w:rsidRPr="00C24C61" w:rsidRDefault="00C24C61" w:rsidP="00664B0D">
      <w:pPr>
        <w:pStyle w:val="snapNotesheading"/>
        <w:rPr>
          <w:b w:val="0"/>
        </w:rPr>
      </w:pPr>
      <w:r w:rsidRPr="00C24C61">
        <w:t>Notes:</w:t>
      </w:r>
    </w:p>
    <w:p w14:paraId="76C9E2EE" w14:textId="62EAC2A4" w:rsidR="00C24C61" w:rsidRPr="00C24C61" w:rsidRDefault="00664B0D" w:rsidP="00664B0D">
      <w:pPr>
        <w:pStyle w:val="snapNotesbody"/>
      </w:pPr>
      <w:r>
        <w:rPr>
          <w:lang w:val="en-US"/>
        </w:rPr>
        <w:t xml:space="preserve">1. </w:t>
      </w:r>
      <w:r w:rsidR="00C24C61" w:rsidRPr="00C24C61">
        <w:t>This initiative has an expense component; this is listed in the summary table in Expense initiatives (Chapter 3.2).</w:t>
      </w:r>
    </w:p>
    <w:p w14:paraId="3A13C7A9" w14:textId="4E928495" w:rsidR="00C24C61" w:rsidRPr="00C24C61" w:rsidRDefault="00664B0D" w:rsidP="00664B0D">
      <w:pPr>
        <w:pStyle w:val="snapNotesbody"/>
      </w:pPr>
      <w:r>
        <w:rPr>
          <w:lang w:val="en-US"/>
        </w:rPr>
        <w:t xml:space="preserve">2. </w:t>
      </w:r>
      <w:r w:rsidR="00C24C61" w:rsidRPr="00C24C61">
        <w:t>This initiative has a capital component; this is listed in the summary table in Capital initiatives (Chapter 3.3).</w:t>
      </w:r>
    </w:p>
    <w:p w14:paraId="23DF7A55" w14:textId="56166FFC" w:rsidR="00C24C61" w:rsidRPr="00C24C61" w:rsidRDefault="00664B0D" w:rsidP="00664B0D">
      <w:pPr>
        <w:pStyle w:val="snapNotesbody"/>
      </w:pPr>
      <w:r>
        <w:rPr>
          <w:lang w:val="en-US"/>
        </w:rPr>
        <w:t xml:space="preserve">3. </w:t>
      </w:r>
      <w:r w:rsidR="00C24C61" w:rsidRPr="00C24C61">
        <w:t xml:space="preserve">This is a joint initiative </w:t>
      </w:r>
      <w:proofErr w:type="spellStart"/>
      <w:r w:rsidR="00C24C61" w:rsidRPr="00C24C61">
        <w:t>ie</w:t>
      </w:r>
      <w:proofErr w:type="spellEnd"/>
      <w:r w:rsidR="00C24C61" w:rsidRPr="00C24C61">
        <w:t xml:space="preserve"> delivered by more than one agency.</w:t>
      </w:r>
    </w:p>
    <w:p w14:paraId="6C85D4EB" w14:textId="77777777" w:rsidR="000757EE" w:rsidRPr="00C24C61" w:rsidRDefault="000757EE" w:rsidP="00664B0D">
      <w:pPr>
        <w:pStyle w:val="Heading2"/>
        <w:rPr>
          <w:b w:val="0"/>
        </w:rPr>
      </w:pPr>
      <w:r w:rsidRPr="00C24C61">
        <w:t>Selected Initiatives</w:t>
      </w:r>
    </w:p>
    <w:p w14:paraId="65463A73" w14:textId="77777777" w:rsidR="00C24C61" w:rsidRPr="007A3A72" w:rsidRDefault="00C24C61" w:rsidP="007A3A72">
      <w:pPr>
        <w:pStyle w:val="Heading3"/>
      </w:pPr>
      <w:r w:rsidRPr="007A3A72">
        <w:t xml:space="preserve">Expense Initiatives </w:t>
      </w:r>
    </w:p>
    <w:p w14:paraId="523D2A03" w14:textId="77777777" w:rsidR="00C24C61" w:rsidRPr="00202E81" w:rsidRDefault="00C24C61" w:rsidP="00202E81">
      <w:pPr>
        <w:pStyle w:val="snapInittitles"/>
      </w:pPr>
      <w:r w:rsidRPr="00202E81">
        <w:t xml:space="preserve">Better Suburbs: Planting more trees and delivering more bins at local shops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C24C61" w:rsidRPr="00866299" w14:paraId="4B33419B" w14:textId="77777777" w:rsidTr="00664B0D">
        <w:trPr>
          <w:cantSplit/>
        </w:trPr>
        <w:tc>
          <w:tcPr>
            <w:tcW w:w="3652" w:type="dxa"/>
            <w:tcBorders>
              <w:top w:val="single" w:sz="4" w:space="0" w:color="auto"/>
              <w:bottom w:val="single" w:sz="4" w:space="0" w:color="auto"/>
            </w:tcBorders>
          </w:tcPr>
          <w:p w14:paraId="0F81A5EF" w14:textId="77777777" w:rsidR="00C24C61" w:rsidRPr="00866299" w:rsidRDefault="00C24C61" w:rsidP="00C24C61">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7BC78A6D"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2019-20</w:t>
            </w:r>
          </w:p>
          <w:p w14:paraId="3116782D"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460D247F"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2020-21</w:t>
            </w:r>
          </w:p>
          <w:p w14:paraId="013E074A"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3AA4B9E"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2021-22</w:t>
            </w:r>
          </w:p>
          <w:p w14:paraId="7723CCE7"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3378C3CA"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2022-23</w:t>
            </w:r>
          </w:p>
          <w:p w14:paraId="3AFBD840"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AA3EE1B"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Total</w:t>
            </w:r>
          </w:p>
          <w:p w14:paraId="2DF2805D"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$’000</w:t>
            </w:r>
          </w:p>
        </w:tc>
      </w:tr>
      <w:tr w:rsidR="00C24C61" w:rsidRPr="00866299" w14:paraId="695050C2" w14:textId="77777777" w:rsidTr="00664B0D">
        <w:trPr>
          <w:cantSplit/>
        </w:trPr>
        <w:tc>
          <w:tcPr>
            <w:tcW w:w="3652" w:type="dxa"/>
            <w:tcBorders>
              <w:top w:val="single" w:sz="4" w:space="0" w:color="auto"/>
            </w:tcBorders>
          </w:tcPr>
          <w:p w14:paraId="0868BEA3" w14:textId="77777777" w:rsidR="00C24C61" w:rsidRPr="00866299" w:rsidRDefault="00C24C61" w:rsidP="00C24C61">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tcBorders>
          </w:tcPr>
          <w:p w14:paraId="35663933"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338</w:t>
            </w:r>
          </w:p>
        </w:tc>
        <w:tc>
          <w:tcPr>
            <w:tcW w:w="1041" w:type="dxa"/>
            <w:tcBorders>
              <w:top w:val="single" w:sz="4" w:space="0" w:color="auto"/>
            </w:tcBorders>
          </w:tcPr>
          <w:p w14:paraId="2DAD2608"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2,029</w:t>
            </w:r>
          </w:p>
        </w:tc>
        <w:tc>
          <w:tcPr>
            <w:tcW w:w="1029" w:type="dxa"/>
            <w:tcBorders>
              <w:top w:val="single" w:sz="4" w:space="0" w:color="auto"/>
            </w:tcBorders>
          </w:tcPr>
          <w:p w14:paraId="6698C5D7"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3,151</w:t>
            </w:r>
          </w:p>
        </w:tc>
        <w:tc>
          <w:tcPr>
            <w:tcW w:w="1029" w:type="dxa"/>
            <w:tcBorders>
              <w:top w:val="single" w:sz="4" w:space="0" w:color="auto"/>
            </w:tcBorders>
          </w:tcPr>
          <w:p w14:paraId="0DEAA725"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3,703</w:t>
            </w:r>
          </w:p>
        </w:tc>
        <w:tc>
          <w:tcPr>
            <w:tcW w:w="1029" w:type="dxa"/>
            <w:tcBorders>
              <w:top w:val="single" w:sz="4" w:space="0" w:color="auto"/>
            </w:tcBorders>
          </w:tcPr>
          <w:p w14:paraId="7E1AE857"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9,221</w:t>
            </w:r>
          </w:p>
        </w:tc>
      </w:tr>
      <w:tr w:rsidR="00C24C61" w:rsidRPr="00866299" w14:paraId="357F0F9E" w14:textId="77777777" w:rsidTr="00664B0D">
        <w:trPr>
          <w:cantSplit/>
        </w:trPr>
        <w:tc>
          <w:tcPr>
            <w:tcW w:w="3652" w:type="dxa"/>
            <w:tcBorders>
              <w:bottom w:val="single" w:sz="4" w:space="0" w:color="auto"/>
            </w:tcBorders>
          </w:tcPr>
          <w:p w14:paraId="493705C2" w14:textId="77777777" w:rsidR="00C24C61" w:rsidRPr="00866299" w:rsidRDefault="00C24C61" w:rsidP="00C24C61">
            <w:pPr>
              <w:ind w:left="284" w:hanging="284"/>
              <w:rPr>
                <w:rFonts w:ascii="Calibri" w:hAnsi="Calibri"/>
                <w:sz w:val="22"/>
                <w:lang w:eastAsia="en-US"/>
              </w:rPr>
            </w:pPr>
            <w:r w:rsidRPr="00866299">
              <w:rPr>
                <w:rFonts w:ascii="Calibri" w:hAnsi="Calibri"/>
                <w:sz w:val="22"/>
                <w:lang w:eastAsia="en-US"/>
              </w:rPr>
              <w:t>Depreciation</w:t>
            </w:r>
          </w:p>
        </w:tc>
        <w:tc>
          <w:tcPr>
            <w:tcW w:w="1179" w:type="dxa"/>
            <w:tcBorders>
              <w:bottom w:val="single" w:sz="4" w:space="0" w:color="auto"/>
            </w:tcBorders>
          </w:tcPr>
          <w:p w14:paraId="5EE4B0CD"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41" w:type="dxa"/>
            <w:tcBorders>
              <w:bottom w:val="single" w:sz="4" w:space="0" w:color="auto"/>
            </w:tcBorders>
          </w:tcPr>
          <w:p w14:paraId="065F93B3"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w:t>
            </w:r>
          </w:p>
        </w:tc>
        <w:tc>
          <w:tcPr>
            <w:tcW w:w="1029" w:type="dxa"/>
            <w:tcBorders>
              <w:bottom w:val="single" w:sz="4" w:space="0" w:color="auto"/>
            </w:tcBorders>
          </w:tcPr>
          <w:p w14:paraId="1BB1EABC"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34</w:t>
            </w:r>
          </w:p>
        </w:tc>
        <w:tc>
          <w:tcPr>
            <w:tcW w:w="1029" w:type="dxa"/>
            <w:tcBorders>
              <w:bottom w:val="single" w:sz="4" w:space="0" w:color="auto"/>
            </w:tcBorders>
          </w:tcPr>
          <w:p w14:paraId="1386E453"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48</w:t>
            </w:r>
          </w:p>
        </w:tc>
        <w:tc>
          <w:tcPr>
            <w:tcW w:w="1029" w:type="dxa"/>
            <w:tcBorders>
              <w:bottom w:val="single" w:sz="4" w:space="0" w:color="auto"/>
            </w:tcBorders>
          </w:tcPr>
          <w:p w14:paraId="38F1F635"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84</w:t>
            </w:r>
          </w:p>
        </w:tc>
      </w:tr>
      <w:tr w:rsidR="00C24C61" w:rsidRPr="00866299" w14:paraId="2E3B4A85" w14:textId="77777777" w:rsidTr="00664B0D">
        <w:trPr>
          <w:cantSplit/>
        </w:trPr>
        <w:tc>
          <w:tcPr>
            <w:tcW w:w="3652" w:type="dxa"/>
            <w:tcBorders>
              <w:top w:val="single" w:sz="4" w:space="0" w:color="auto"/>
              <w:bottom w:val="single" w:sz="4" w:space="0" w:color="auto"/>
            </w:tcBorders>
          </w:tcPr>
          <w:p w14:paraId="6686FB5C" w14:textId="77777777" w:rsidR="00C24C61" w:rsidRPr="00866299" w:rsidRDefault="00C24C61" w:rsidP="00C24C61">
            <w:pPr>
              <w:ind w:left="284" w:hanging="284"/>
              <w:rPr>
                <w:rFonts w:ascii="Calibri" w:hAnsi="Calibri"/>
                <w:b/>
                <w:sz w:val="22"/>
                <w:lang w:eastAsia="en-US"/>
              </w:rPr>
            </w:pPr>
            <w:r w:rsidRPr="00866299">
              <w:rPr>
                <w:rFonts w:ascii="Calibri" w:hAnsi="Calibri"/>
                <w:b/>
                <w:sz w:val="22"/>
                <w:lang w:eastAsia="en-US"/>
              </w:rPr>
              <w:t>Net Expenses</w:t>
            </w:r>
          </w:p>
        </w:tc>
        <w:tc>
          <w:tcPr>
            <w:tcW w:w="1179" w:type="dxa"/>
            <w:tcBorders>
              <w:top w:val="single" w:sz="4" w:space="0" w:color="auto"/>
              <w:bottom w:val="single" w:sz="4" w:space="0" w:color="auto"/>
            </w:tcBorders>
          </w:tcPr>
          <w:p w14:paraId="6365E5E4"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338</w:t>
            </w:r>
          </w:p>
        </w:tc>
        <w:tc>
          <w:tcPr>
            <w:tcW w:w="1041" w:type="dxa"/>
            <w:tcBorders>
              <w:top w:val="single" w:sz="4" w:space="0" w:color="auto"/>
              <w:bottom w:val="single" w:sz="4" w:space="0" w:color="auto"/>
            </w:tcBorders>
          </w:tcPr>
          <w:p w14:paraId="57314421"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2,031</w:t>
            </w:r>
          </w:p>
        </w:tc>
        <w:tc>
          <w:tcPr>
            <w:tcW w:w="1029" w:type="dxa"/>
            <w:tcBorders>
              <w:top w:val="single" w:sz="4" w:space="0" w:color="auto"/>
              <w:bottom w:val="single" w:sz="4" w:space="0" w:color="auto"/>
            </w:tcBorders>
          </w:tcPr>
          <w:p w14:paraId="180F79D6"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3,185</w:t>
            </w:r>
          </w:p>
        </w:tc>
        <w:tc>
          <w:tcPr>
            <w:tcW w:w="1029" w:type="dxa"/>
            <w:tcBorders>
              <w:top w:val="single" w:sz="4" w:space="0" w:color="auto"/>
              <w:bottom w:val="single" w:sz="4" w:space="0" w:color="auto"/>
            </w:tcBorders>
          </w:tcPr>
          <w:p w14:paraId="24C1C409"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3,751</w:t>
            </w:r>
          </w:p>
        </w:tc>
        <w:tc>
          <w:tcPr>
            <w:tcW w:w="1029" w:type="dxa"/>
            <w:tcBorders>
              <w:top w:val="single" w:sz="4" w:space="0" w:color="auto"/>
              <w:bottom w:val="single" w:sz="4" w:space="0" w:color="auto"/>
            </w:tcBorders>
          </w:tcPr>
          <w:p w14:paraId="388A5713"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9,305</w:t>
            </w:r>
          </w:p>
        </w:tc>
      </w:tr>
      <w:tr w:rsidR="00C24C61" w:rsidRPr="00866299" w14:paraId="2329244D" w14:textId="77777777" w:rsidTr="00664B0D">
        <w:trPr>
          <w:cantSplit/>
        </w:trPr>
        <w:tc>
          <w:tcPr>
            <w:tcW w:w="3652" w:type="dxa"/>
            <w:tcBorders>
              <w:top w:val="single" w:sz="4" w:space="0" w:color="auto"/>
              <w:bottom w:val="single" w:sz="4" w:space="0" w:color="auto"/>
            </w:tcBorders>
          </w:tcPr>
          <w:p w14:paraId="33A6A942" w14:textId="77777777" w:rsidR="00C24C61" w:rsidRPr="00866299" w:rsidRDefault="00C24C61" w:rsidP="00C24C61">
            <w:pPr>
              <w:ind w:left="284" w:hanging="284"/>
              <w:rPr>
                <w:rFonts w:ascii="Calibri" w:hAnsi="Calibri"/>
                <w:sz w:val="22"/>
                <w:lang w:eastAsia="en-US"/>
              </w:rPr>
            </w:pPr>
            <w:r w:rsidRPr="00866299">
              <w:rPr>
                <w:rFonts w:ascii="Calibri" w:hAnsi="Calibri"/>
                <w:sz w:val="22"/>
                <w:lang w:eastAsia="en-US"/>
              </w:rPr>
              <w:t>Associated Capital</w:t>
            </w:r>
          </w:p>
        </w:tc>
        <w:tc>
          <w:tcPr>
            <w:tcW w:w="1179" w:type="dxa"/>
            <w:tcBorders>
              <w:top w:val="single" w:sz="4" w:space="0" w:color="auto"/>
              <w:bottom w:val="single" w:sz="4" w:space="0" w:color="auto"/>
            </w:tcBorders>
          </w:tcPr>
          <w:p w14:paraId="1BB813C2"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w:t>
            </w:r>
          </w:p>
        </w:tc>
        <w:tc>
          <w:tcPr>
            <w:tcW w:w="1041" w:type="dxa"/>
            <w:tcBorders>
              <w:top w:val="single" w:sz="4" w:space="0" w:color="auto"/>
              <w:bottom w:val="single" w:sz="4" w:space="0" w:color="auto"/>
            </w:tcBorders>
          </w:tcPr>
          <w:p w14:paraId="7FDAB797"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321</w:t>
            </w:r>
          </w:p>
        </w:tc>
        <w:tc>
          <w:tcPr>
            <w:tcW w:w="1029" w:type="dxa"/>
            <w:tcBorders>
              <w:top w:val="single" w:sz="4" w:space="0" w:color="auto"/>
              <w:bottom w:val="single" w:sz="4" w:space="0" w:color="auto"/>
            </w:tcBorders>
          </w:tcPr>
          <w:p w14:paraId="04C20BF4"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136</w:t>
            </w:r>
          </w:p>
        </w:tc>
        <w:tc>
          <w:tcPr>
            <w:tcW w:w="1029" w:type="dxa"/>
            <w:tcBorders>
              <w:top w:val="single" w:sz="4" w:space="0" w:color="auto"/>
              <w:bottom w:val="single" w:sz="4" w:space="0" w:color="auto"/>
            </w:tcBorders>
          </w:tcPr>
          <w:p w14:paraId="235138EE"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139</w:t>
            </w:r>
          </w:p>
        </w:tc>
        <w:tc>
          <w:tcPr>
            <w:tcW w:w="1029" w:type="dxa"/>
            <w:tcBorders>
              <w:top w:val="single" w:sz="4" w:space="0" w:color="auto"/>
              <w:bottom w:val="single" w:sz="4" w:space="0" w:color="auto"/>
            </w:tcBorders>
          </w:tcPr>
          <w:p w14:paraId="7E01B928"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616</w:t>
            </w:r>
          </w:p>
        </w:tc>
      </w:tr>
    </w:tbl>
    <w:p w14:paraId="7C625FAE" w14:textId="77777777" w:rsidR="00C24C61" w:rsidRPr="00C24C61" w:rsidRDefault="00C24C61" w:rsidP="00664B0D">
      <w:pPr>
        <w:pStyle w:val="snapInitbody"/>
      </w:pPr>
      <w:r w:rsidRPr="00C24C61">
        <w:t xml:space="preserve">The Government will continue implementing the priorities mapped out in the </w:t>
      </w:r>
      <w:r w:rsidRPr="00C24C61">
        <w:rPr>
          <w:i/>
        </w:rPr>
        <w:t>Better Suburbs Statement</w:t>
      </w:r>
      <w:r w:rsidRPr="00C24C61">
        <w:t xml:space="preserve"> by providing more public rubbish and recycling bins and pick-ups, and planting at least 17,000 more trees to renew Canberra’s urban forest. The </w:t>
      </w:r>
      <w:r w:rsidRPr="00C24C61">
        <w:rPr>
          <w:i/>
        </w:rPr>
        <w:t>Better Suburbs Statement</w:t>
      </w:r>
      <w:r w:rsidRPr="00C24C61">
        <w:t xml:space="preserve"> is guiding the Government in progressively transitioning our investment in city services to the Canberra community’s highest priority areas. </w:t>
      </w:r>
    </w:p>
    <w:p w14:paraId="64FDA1E0" w14:textId="77777777" w:rsidR="00C24C61" w:rsidRPr="00202E81" w:rsidRDefault="00C24C61" w:rsidP="00202E81">
      <w:pPr>
        <w:pStyle w:val="snapInittitles"/>
      </w:pPr>
      <w:r w:rsidRPr="00202E81">
        <w:t xml:space="preserve">Delivering a smart technology ticketing system for Canberra's integrated public transport system </w:t>
      </w:r>
    </w:p>
    <w:tbl>
      <w:tblPr>
        <w:tblW w:w="5000" w:type="pct"/>
        <w:tblLook w:val="0000" w:firstRow="0" w:lastRow="0" w:firstColumn="0" w:lastColumn="0" w:noHBand="0" w:noVBand="0"/>
      </w:tblPr>
      <w:tblGrid>
        <w:gridCol w:w="3929"/>
        <w:gridCol w:w="1268"/>
        <w:gridCol w:w="1120"/>
        <w:gridCol w:w="1107"/>
        <w:gridCol w:w="1107"/>
        <w:gridCol w:w="1107"/>
      </w:tblGrid>
      <w:tr w:rsidR="00C24C61" w:rsidRPr="00866299" w14:paraId="625C33A4" w14:textId="77777777" w:rsidTr="00664B0D">
        <w:trPr>
          <w:cantSplit/>
        </w:trPr>
        <w:tc>
          <w:tcPr>
            <w:tcW w:w="3652" w:type="dxa"/>
            <w:tcBorders>
              <w:top w:val="single" w:sz="4" w:space="0" w:color="auto"/>
              <w:bottom w:val="single" w:sz="4" w:space="0" w:color="auto"/>
            </w:tcBorders>
          </w:tcPr>
          <w:p w14:paraId="7137FE64" w14:textId="77777777" w:rsidR="00C24C61" w:rsidRPr="00866299" w:rsidRDefault="00C24C61" w:rsidP="00C24C61">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0C273160"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2019­20</w:t>
            </w:r>
          </w:p>
          <w:p w14:paraId="569DEAD8"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03473870"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2020­21</w:t>
            </w:r>
          </w:p>
          <w:p w14:paraId="5E4CDD9A"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5DE50A3"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2021­22</w:t>
            </w:r>
          </w:p>
          <w:p w14:paraId="7CC85913"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D0E2244"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2022-23</w:t>
            </w:r>
          </w:p>
          <w:p w14:paraId="124567FE"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0BB33439"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Total</w:t>
            </w:r>
          </w:p>
          <w:p w14:paraId="74E723FA"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$’000</w:t>
            </w:r>
          </w:p>
        </w:tc>
      </w:tr>
      <w:tr w:rsidR="00C24C61" w:rsidRPr="00866299" w14:paraId="4A74F770" w14:textId="77777777" w:rsidTr="00664B0D">
        <w:trPr>
          <w:cantSplit/>
        </w:trPr>
        <w:tc>
          <w:tcPr>
            <w:tcW w:w="3652" w:type="dxa"/>
            <w:tcBorders>
              <w:top w:val="single" w:sz="4" w:space="0" w:color="auto"/>
              <w:bottom w:val="single" w:sz="4" w:space="0" w:color="auto"/>
            </w:tcBorders>
          </w:tcPr>
          <w:p w14:paraId="0636044E" w14:textId="77777777" w:rsidR="00C24C61" w:rsidRPr="00866299" w:rsidRDefault="00C24C61" w:rsidP="00C24C61">
            <w:pPr>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tcPr>
          <w:p w14:paraId="614FE320"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450</w:t>
            </w:r>
          </w:p>
        </w:tc>
        <w:tc>
          <w:tcPr>
            <w:tcW w:w="1041" w:type="dxa"/>
            <w:tcBorders>
              <w:top w:val="single" w:sz="4" w:space="0" w:color="auto"/>
              <w:bottom w:val="single" w:sz="4" w:space="0" w:color="auto"/>
            </w:tcBorders>
          </w:tcPr>
          <w:p w14:paraId="50C924B5"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4F9204AD"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2FCA4148"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7D37383A"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450</w:t>
            </w:r>
          </w:p>
        </w:tc>
      </w:tr>
    </w:tbl>
    <w:p w14:paraId="044572F6" w14:textId="77777777" w:rsidR="00C24C61" w:rsidRPr="00C24C61" w:rsidRDefault="00C24C61" w:rsidP="00664B0D">
      <w:pPr>
        <w:pStyle w:val="snapInitbody"/>
      </w:pPr>
      <w:r w:rsidRPr="00C24C61">
        <w:t xml:space="preserve">The Government will continue planning for a new contemporary ticketing system for use on bus and light rail to replace the </w:t>
      </w:r>
      <w:proofErr w:type="spellStart"/>
      <w:r w:rsidRPr="00C24C61">
        <w:t>MyWay</w:t>
      </w:r>
      <w:proofErr w:type="spellEnd"/>
      <w:r w:rsidRPr="00C24C61">
        <w:t xml:space="preserve"> system when this technology reaches the end of its functional life.</w:t>
      </w:r>
    </w:p>
    <w:p w14:paraId="7757F0B9" w14:textId="77777777" w:rsidR="00C24C61" w:rsidRPr="00202E81" w:rsidRDefault="00C24C61" w:rsidP="00202E81">
      <w:pPr>
        <w:pStyle w:val="snapInittitles"/>
      </w:pPr>
      <w:r w:rsidRPr="00202E81">
        <w:t xml:space="preserve">Delivering job security for city services workers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C24C61" w:rsidRPr="00866299" w14:paraId="1696531E" w14:textId="77777777" w:rsidTr="00664B0D">
        <w:trPr>
          <w:cantSplit/>
        </w:trPr>
        <w:tc>
          <w:tcPr>
            <w:tcW w:w="3652" w:type="dxa"/>
            <w:tcBorders>
              <w:top w:val="single" w:sz="4" w:space="0" w:color="auto"/>
              <w:bottom w:val="single" w:sz="4" w:space="0" w:color="auto"/>
            </w:tcBorders>
          </w:tcPr>
          <w:p w14:paraId="03BAF39B" w14:textId="77777777" w:rsidR="00C24C61" w:rsidRPr="00866299" w:rsidRDefault="00C24C61" w:rsidP="00C24C61">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3620214E"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2019-20</w:t>
            </w:r>
          </w:p>
          <w:p w14:paraId="09AA7652"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6B89D81E"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2020-21</w:t>
            </w:r>
          </w:p>
          <w:p w14:paraId="2234D6CF"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02189DB"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2021-22</w:t>
            </w:r>
          </w:p>
          <w:p w14:paraId="01B27B6B"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373557B7"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2022-23</w:t>
            </w:r>
          </w:p>
          <w:p w14:paraId="1472E8E4"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175D4268"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Total</w:t>
            </w:r>
          </w:p>
          <w:p w14:paraId="6FC93F82"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$’000</w:t>
            </w:r>
          </w:p>
        </w:tc>
      </w:tr>
      <w:tr w:rsidR="00C24C61" w:rsidRPr="00866299" w14:paraId="2A2DBEEA" w14:textId="77777777" w:rsidTr="00664B0D">
        <w:trPr>
          <w:cantSplit/>
        </w:trPr>
        <w:tc>
          <w:tcPr>
            <w:tcW w:w="3652" w:type="dxa"/>
            <w:tcBorders>
              <w:top w:val="single" w:sz="4" w:space="0" w:color="auto"/>
            </w:tcBorders>
          </w:tcPr>
          <w:p w14:paraId="1FFF672A" w14:textId="77777777" w:rsidR="00C24C61" w:rsidRPr="00866299" w:rsidRDefault="00C24C61" w:rsidP="00C24C61">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tcBorders>
          </w:tcPr>
          <w:p w14:paraId="242571C1"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3,393</w:t>
            </w:r>
          </w:p>
        </w:tc>
        <w:tc>
          <w:tcPr>
            <w:tcW w:w="1041" w:type="dxa"/>
            <w:tcBorders>
              <w:top w:val="single" w:sz="4" w:space="0" w:color="auto"/>
            </w:tcBorders>
          </w:tcPr>
          <w:p w14:paraId="4B89B521"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3,493</w:t>
            </w:r>
          </w:p>
        </w:tc>
        <w:tc>
          <w:tcPr>
            <w:tcW w:w="1029" w:type="dxa"/>
            <w:tcBorders>
              <w:top w:val="single" w:sz="4" w:space="0" w:color="auto"/>
            </w:tcBorders>
          </w:tcPr>
          <w:p w14:paraId="7CF69FC8"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3,584</w:t>
            </w:r>
          </w:p>
        </w:tc>
        <w:tc>
          <w:tcPr>
            <w:tcW w:w="1029" w:type="dxa"/>
            <w:tcBorders>
              <w:top w:val="single" w:sz="4" w:space="0" w:color="auto"/>
            </w:tcBorders>
          </w:tcPr>
          <w:p w14:paraId="1C5CB1F8"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3,675</w:t>
            </w:r>
          </w:p>
        </w:tc>
        <w:tc>
          <w:tcPr>
            <w:tcW w:w="1029" w:type="dxa"/>
            <w:tcBorders>
              <w:top w:val="single" w:sz="4" w:space="0" w:color="auto"/>
            </w:tcBorders>
          </w:tcPr>
          <w:p w14:paraId="2B2449BE"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14,145</w:t>
            </w:r>
          </w:p>
        </w:tc>
      </w:tr>
      <w:tr w:rsidR="00C24C61" w:rsidRPr="00866299" w14:paraId="01F8F9ED" w14:textId="77777777" w:rsidTr="00664B0D">
        <w:trPr>
          <w:cantSplit/>
          <w:trHeight w:val="107"/>
        </w:trPr>
        <w:tc>
          <w:tcPr>
            <w:tcW w:w="3652" w:type="dxa"/>
            <w:tcBorders>
              <w:bottom w:val="single" w:sz="4" w:space="0" w:color="auto"/>
            </w:tcBorders>
          </w:tcPr>
          <w:p w14:paraId="3801D606" w14:textId="77777777" w:rsidR="00C24C61" w:rsidRPr="00866299" w:rsidRDefault="00C24C61" w:rsidP="00C24C61">
            <w:pPr>
              <w:ind w:left="284" w:hanging="284"/>
              <w:rPr>
                <w:rFonts w:ascii="Calibri" w:hAnsi="Calibri"/>
                <w:sz w:val="22"/>
                <w:lang w:eastAsia="en-US"/>
              </w:rPr>
            </w:pPr>
            <w:r w:rsidRPr="00866299">
              <w:rPr>
                <w:rFonts w:ascii="Calibri" w:hAnsi="Calibri"/>
                <w:sz w:val="22"/>
                <w:lang w:eastAsia="en-US"/>
              </w:rPr>
              <w:t>Offset – Expenses</w:t>
            </w:r>
          </w:p>
        </w:tc>
        <w:tc>
          <w:tcPr>
            <w:tcW w:w="1179" w:type="dxa"/>
            <w:tcBorders>
              <w:bottom w:val="single" w:sz="4" w:space="0" w:color="auto"/>
            </w:tcBorders>
          </w:tcPr>
          <w:p w14:paraId="397C74CE"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-3,393</w:t>
            </w:r>
          </w:p>
        </w:tc>
        <w:tc>
          <w:tcPr>
            <w:tcW w:w="1041" w:type="dxa"/>
            <w:tcBorders>
              <w:bottom w:val="single" w:sz="4" w:space="0" w:color="auto"/>
            </w:tcBorders>
          </w:tcPr>
          <w:p w14:paraId="7699C764"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-3,493</w:t>
            </w:r>
          </w:p>
        </w:tc>
        <w:tc>
          <w:tcPr>
            <w:tcW w:w="1029" w:type="dxa"/>
            <w:tcBorders>
              <w:bottom w:val="single" w:sz="4" w:space="0" w:color="auto"/>
            </w:tcBorders>
          </w:tcPr>
          <w:p w14:paraId="04834F41"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-3,584</w:t>
            </w:r>
          </w:p>
        </w:tc>
        <w:tc>
          <w:tcPr>
            <w:tcW w:w="1029" w:type="dxa"/>
            <w:tcBorders>
              <w:bottom w:val="single" w:sz="4" w:space="0" w:color="auto"/>
            </w:tcBorders>
          </w:tcPr>
          <w:p w14:paraId="3C8410E8"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-3,675</w:t>
            </w:r>
          </w:p>
        </w:tc>
        <w:tc>
          <w:tcPr>
            <w:tcW w:w="1029" w:type="dxa"/>
            <w:tcBorders>
              <w:bottom w:val="single" w:sz="4" w:space="0" w:color="auto"/>
            </w:tcBorders>
          </w:tcPr>
          <w:p w14:paraId="31897923"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-14,145</w:t>
            </w:r>
          </w:p>
        </w:tc>
      </w:tr>
      <w:tr w:rsidR="00C24C61" w:rsidRPr="00866299" w14:paraId="0467485C" w14:textId="77777777" w:rsidTr="00664B0D">
        <w:trPr>
          <w:cantSplit/>
          <w:trHeight w:val="107"/>
        </w:trPr>
        <w:tc>
          <w:tcPr>
            <w:tcW w:w="3652" w:type="dxa"/>
            <w:tcBorders>
              <w:top w:val="single" w:sz="4" w:space="0" w:color="auto"/>
              <w:bottom w:val="single" w:sz="4" w:space="0" w:color="auto"/>
            </w:tcBorders>
          </w:tcPr>
          <w:p w14:paraId="4798B424" w14:textId="77777777" w:rsidR="00C24C61" w:rsidRPr="00866299" w:rsidRDefault="00C24C61" w:rsidP="00C24C61">
            <w:pPr>
              <w:ind w:left="284" w:hanging="284"/>
              <w:rPr>
                <w:rFonts w:ascii="Calibri" w:hAnsi="Calibri"/>
                <w:b/>
                <w:sz w:val="22"/>
                <w:lang w:eastAsia="en-US"/>
              </w:rPr>
            </w:pPr>
            <w:r w:rsidRPr="00866299">
              <w:rPr>
                <w:rFonts w:ascii="Calibri" w:hAnsi="Calibri"/>
                <w:b/>
                <w:sz w:val="22"/>
                <w:lang w:eastAsia="en-US"/>
              </w:rPr>
              <w:t>Net Expenses</w:t>
            </w:r>
          </w:p>
        </w:tc>
        <w:tc>
          <w:tcPr>
            <w:tcW w:w="1179" w:type="dxa"/>
            <w:tcBorders>
              <w:top w:val="single" w:sz="4" w:space="0" w:color="auto"/>
              <w:bottom w:val="single" w:sz="4" w:space="0" w:color="auto"/>
            </w:tcBorders>
          </w:tcPr>
          <w:p w14:paraId="4843A804"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0</w:t>
            </w:r>
          </w:p>
        </w:tc>
        <w:tc>
          <w:tcPr>
            <w:tcW w:w="1041" w:type="dxa"/>
            <w:tcBorders>
              <w:top w:val="single" w:sz="4" w:space="0" w:color="auto"/>
              <w:bottom w:val="single" w:sz="4" w:space="0" w:color="auto"/>
            </w:tcBorders>
          </w:tcPr>
          <w:p w14:paraId="66917140"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74B28F3F"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012E4C6A"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683640F8"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0</w:t>
            </w:r>
          </w:p>
        </w:tc>
      </w:tr>
    </w:tbl>
    <w:p w14:paraId="1035AC03" w14:textId="77777777" w:rsidR="00664B0D" w:rsidRDefault="00C24C61" w:rsidP="00664B0D">
      <w:pPr>
        <w:pStyle w:val="snapInitbody"/>
      </w:pPr>
      <w:r w:rsidRPr="00C24C61">
        <w:t>The Government will provide job security for more city services workers by converting temporary and contract staff to permanent employees. This is another example of the ACT Government’s commitment to delivering secure local jobs across the public and private sectors alike. This initiative will be delivered within existing resources.</w:t>
      </w:r>
    </w:p>
    <w:p w14:paraId="4E538A4A" w14:textId="47046F7B" w:rsidR="00C24C61" w:rsidRPr="00202E81" w:rsidRDefault="00C24C61" w:rsidP="00202E81">
      <w:pPr>
        <w:pStyle w:val="snapInittitles"/>
      </w:pPr>
      <w:r w:rsidRPr="00202E81">
        <w:t xml:space="preserve">Growing investment in services for our suburbs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C24C61" w:rsidRPr="00866299" w14:paraId="149E623C" w14:textId="77777777" w:rsidTr="00664B0D">
        <w:trPr>
          <w:cantSplit/>
        </w:trPr>
        <w:tc>
          <w:tcPr>
            <w:tcW w:w="3652" w:type="dxa"/>
            <w:tcBorders>
              <w:top w:val="single" w:sz="4" w:space="0" w:color="auto"/>
              <w:bottom w:val="single" w:sz="4" w:space="0" w:color="auto"/>
            </w:tcBorders>
          </w:tcPr>
          <w:p w14:paraId="75ED0C80" w14:textId="77777777" w:rsidR="00C24C61" w:rsidRPr="00866299" w:rsidRDefault="00C24C61" w:rsidP="00C24C61">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22057F9D"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2019­20</w:t>
            </w:r>
          </w:p>
          <w:p w14:paraId="47FD8047"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632F0041"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2020­21</w:t>
            </w:r>
          </w:p>
          <w:p w14:paraId="1D299D00"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078C53E"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2021­22</w:t>
            </w:r>
          </w:p>
          <w:p w14:paraId="1433B6DD"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1EFAFFDF"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2022-23</w:t>
            </w:r>
          </w:p>
          <w:p w14:paraId="1E36E1B6"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3A7DB279"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Total</w:t>
            </w:r>
          </w:p>
          <w:p w14:paraId="03349E02"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$’000</w:t>
            </w:r>
          </w:p>
        </w:tc>
      </w:tr>
      <w:tr w:rsidR="00C24C61" w:rsidRPr="00866299" w14:paraId="112274EB" w14:textId="77777777" w:rsidTr="00664B0D">
        <w:trPr>
          <w:cantSplit/>
        </w:trPr>
        <w:tc>
          <w:tcPr>
            <w:tcW w:w="3652" w:type="dxa"/>
            <w:tcBorders>
              <w:top w:val="single" w:sz="4" w:space="0" w:color="auto"/>
            </w:tcBorders>
          </w:tcPr>
          <w:p w14:paraId="1B2B516C" w14:textId="77777777" w:rsidR="00C24C61" w:rsidRPr="00866299" w:rsidRDefault="00C24C61" w:rsidP="00C24C61">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tcBorders>
          </w:tcPr>
          <w:p w14:paraId="67DF5A7F"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4,839</w:t>
            </w:r>
          </w:p>
        </w:tc>
        <w:tc>
          <w:tcPr>
            <w:tcW w:w="1041" w:type="dxa"/>
            <w:tcBorders>
              <w:top w:val="single" w:sz="4" w:space="0" w:color="auto"/>
            </w:tcBorders>
          </w:tcPr>
          <w:p w14:paraId="7E9FB82A"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4,928</w:t>
            </w:r>
          </w:p>
        </w:tc>
        <w:tc>
          <w:tcPr>
            <w:tcW w:w="1029" w:type="dxa"/>
            <w:tcBorders>
              <w:top w:val="single" w:sz="4" w:space="0" w:color="auto"/>
            </w:tcBorders>
          </w:tcPr>
          <w:p w14:paraId="50691107"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5,049</w:t>
            </w:r>
          </w:p>
        </w:tc>
        <w:tc>
          <w:tcPr>
            <w:tcW w:w="1029" w:type="dxa"/>
            <w:tcBorders>
              <w:top w:val="single" w:sz="4" w:space="0" w:color="auto"/>
            </w:tcBorders>
          </w:tcPr>
          <w:p w14:paraId="69BF176D"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5,049</w:t>
            </w:r>
          </w:p>
        </w:tc>
        <w:tc>
          <w:tcPr>
            <w:tcW w:w="1029" w:type="dxa"/>
            <w:tcBorders>
              <w:top w:val="single" w:sz="4" w:space="0" w:color="auto"/>
            </w:tcBorders>
          </w:tcPr>
          <w:p w14:paraId="62F2A14A"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19,865</w:t>
            </w:r>
          </w:p>
        </w:tc>
      </w:tr>
      <w:tr w:rsidR="00C24C61" w:rsidRPr="00866299" w14:paraId="0BA0F492" w14:textId="77777777" w:rsidTr="00664B0D">
        <w:trPr>
          <w:cantSplit/>
        </w:trPr>
        <w:tc>
          <w:tcPr>
            <w:tcW w:w="3652" w:type="dxa"/>
          </w:tcPr>
          <w:p w14:paraId="71EC1776" w14:textId="77777777" w:rsidR="00C24C61" w:rsidRPr="00866299" w:rsidRDefault="00C24C61" w:rsidP="00C24C61">
            <w:pPr>
              <w:ind w:left="284" w:hanging="284"/>
              <w:rPr>
                <w:rFonts w:ascii="Calibri" w:hAnsi="Calibri"/>
                <w:sz w:val="22"/>
                <w:lang w:eastAsia="en-US"/>
              </w:rPr>
            </w:pPr>
            <w:r w:rsidRPr="00866299">
              <w:rPr>
                <w:rFonts w:ascii="Calibri" w:hAnsi="Calibri"/>
                <w:sz w:val="22"/>
                <w:lang w:eastAsia="en-US"/>
              </w:rPr>
              <w:t>Offset – Expenses – Provision</w:t>
            </w:r>
          </w:p>
        </w:tc>
        <w:tc>
          <w:tcPr>
            <w:tcW w:w="1179" w:type="dxa"/>
          </w:tcPr>
          <w:p w14:paraId="094CFDA3"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-3,566</w:t>
            </w:r>
          </w:p>
        </w:tc>
        <w:tc>
          <w:tcPr>
            <w:tcW w:w="1041" w:type="dxa"/>
          </w:tcPr>
          <w:p w14:paraId="69AAFBC0"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-3,655</w:t>
            </w:r>
          </w:p>
        </w:tc>
        <w:tc>
          <w:tcPr>
            <w:tcW w:w="1029" w:type="dxa"/>
          </w:tcPr>
          <w:p w14:paraId="5F88F507"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-3,776</w:t>
            </w:r>
          </w:p>
        </w:tc>
        <w:tc>
          <w:tcPr>
            <w:tcW w:w="1029" w:type="dxa"/>
          </w:tcPr>
          <w:p w14:paraId="242CE62F"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-3,776</w:t>
            </w:r>
          </w:p>
        </w:tc>
        <w:tc>
          <w:tcPr>
            <w:tcW w:w="1029" w:type="dxa"/>
          </w:tcPr>
          <w:p w14:paraId="69876E57"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-14,773</w:t>
            </w:r>
          </w:p>
        </w:tc>
      </w:tr>
      <w:tr w:rsidR="00C24C61" w:rsidRPr="00866299" w14:paraId="7EAD21CF" w14:textId="77777777" w:rsidTr="00664B0D">
        <w:trPr>
          <w:cantSplit/>
        </w:trPr>
        <w:tc>
          <w:tcPr>
            <w:tcW w:w="3652" w:type="dxa"/>
            <w:tcBorders>
              <w:bottom w:val="single" w:sz="4" w:space="0" w:color="auto"/>
            </w:tcBorders>
          </w:tcPr>
          <w:p w14:paraId="38D34D45" w14:textId="77777777" w:rsidR="00C24C61" w:rsidRPr="00866299" w:rsidRDefault="00C24C61" w:rsidP="00C24C61">
            <w:pPr>
              <w:ind w:left="284" w:hanging="284"/>
              <w:rPr>
                <w:rFonts w:ascii="Calibri" w:hAnsi="Calibri"/>
                <w:sz w:val="22"/>
                <w:lang w:eastAsia="en-US"/>
              </w:rPr>
            </w:pPr>
            <w:r w:rsidRPr="00866299">
              <w:rPr>
                <w:rFonts w:ascii="Calibri" w:hAnsi="Calibri"/>
                <w:sz w:val="22"/>
                <w:lang w:eastAsia="en-US"/>
              </w:rPr>
              <w:t>Depreciation</w:t>
            </w:r>
          </w:p>
        </w:tc>
        <w:tc>
          <w:tcPr>
            <w:tcW w:w="1179" w:type="dxa"/>
            <w:tcBorders>
              <w:bottom w:val="single" w:sz="4" w:space="0" w:color="auto"/>
            </w:tcBorders>
          </w:tcPr>
          <w:p w14:paraId="1D482DCE"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41" w:type="dxa"/>
            <w:tcBorders>
              <w:bottom w:val="single" w:sz="4" w:space="0" w:color="auto"/>
            </w:tcBorders>
          </w:tcPr>
          <w:p w14:paraId="7511F43A"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56</w:t>
            </w:r>
          </w:p>
        </w:tc>
        <w:tc>
          <w:tcPr>
            <w:tcW w:w="1029" w:type="dxa"/>
            <w:tcBorders>
              <w:bottom w:val="single" w:sz="4" w:space="0" w:color="auto"/>
            </w:tcBorders>
          </w:tcPr>
          <w:p w14:paraId="4CD33E58"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56</w:t>
            </w:r>
          </w:p>
        </w:tc>
        <w:tc>
          <w:tcPr>
            <w:tcW w:w="1029" w:type="dxa"/>
            <w:tcBorders>
              <w:bottom w:val="single" w:sz="4" w:space="0" w:color="auto"/>
            </w:tcBorders>
          </w:tcPr>
          <w:p w14:paraId="5F0B97C0"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56</w:t>
            </w:r>
          </w:p>
        </w:tc>
        <w:tc>
          <w:tcPr>
            <w:tcW w:w="1029" w:type="dxa"/>
            <w:tcBorders>
              <w:bottom w:val="single" w:sz="4" w:space="0" w:color="auto"/>
            </w:tcBorders>
          </w:tcPr>
          <w:p w14:paraId="5AC97C29"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168</w:t>
            </w:r>
          </w:p>
        </w:tc>
      </w:tr>
      <w:tr w:rsidR="00C24C61" w:rsidRPr="00866299" w14:paraId="7E1AA4F4" w14:textId="77777777" w:rsidTr="00664B0D">
        <w:trPr>
          <w:cantSplit/>
        </w:trPr>
        <w:tc>
          <w:tcPr>
            <w:tcW w:w="3652" w:type="dxa"/>
            <w:tcBorders>
              <w:top w:val="single" w:sz="4" w:space="0" w:color="auto"/>
              <w:bottom w:val="single" w:sz="4" w:space="0" w:color="auto"/>
            </w:tcBorders>
          </w:tcPr>
          <w:p w14:paraId="52F6F823" w14:textId="77777777" w:rsidR="00C24C61" w:rsidRPr="00866299" w:rsidRDefault="00C24C61" w:rsidP="00C24C61">
            <w:pPr>
              <w:ind w:left="284" w:hanging="284"/>
              <w:rPr>
                <w:rFonts w:ascii="Calibri" w:hAnsi="Calibri"/>
                <w:b/>
                <w:sz w:val="22"/>
                <w:lang w:eastAsia="en-US"/>
              </w:rPr>
            </w:pPr>
            <w:r w:rsidRPr="00866299">
              <w:rPr>
                <w:rFonts w:ascii="Calibri" w:hAnsi="Calibri"/>
                <w:b/>
                <w:sz w:val="22"/>
                <w:lang w:eastAsia="en-US"/>
              </w:rPr>
              <w:t>Net Expenses</w:t>
            </w:r>
          </w:p>
        </w:tc>
        <w:tc>
          <w:tcPr>
            <w:tcW w:w="1179" w:type="dxa"/>
            <w:tcBorders>
              <w:top w:val="single" w:sz="4" w:space="0" w:color="auto"/>
              <w:bottom w:val="single" w:sz="4" w:space="0" w:color="auto"/>
            </w:tcBorders>
          </w:tcPr>
          <w:p w14:paraId="679A2CF5"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1,273</w:t>
            </w:r>
          </w:p>
        </w:tc>
        <w:tc>
          <w:tcPr>
            <w:tcW w:w="1041" w:type="dxa"/>
            <w:tcBorders>
              <w:top w:val="single" w:sz="4" w:space="0" w:color="auto"/>
              <w:bottom w:val="single" w:sz="4" w:space="0" w:color="auto"/>
            </w:tcBorders>
          </w:tcPr>
          <w:p w14:paraId="20BB8F78"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1,329</w:t>
            </w:r>
          </w:p>
        </w:tc>
        <w:tc>
          <w:tcPr>
            <w:tcW w:w="1029" w:type="dxa"/>
            <w:tcBorders>
              <w:top w:val="single" w:sz="4" w:space="0" w:color="auto"/>
              <w:bottom w:val="single" w:sz="4" w:space="0" w:color="auto"/>
            </w:tcBorders>
          </w:tcPr>
          <w:p w14:paraId="567BA79D"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1,329</w:t>
            </w:r>
          </w:p>
        </w:tc>
        <w:tc>
          <w:tcPr>
            <w:tcW w:w="1029" w:type="dxa"/>
            <w:tcBorders>
              <w:top w:val="single" w:sz="4" w:space="0" w:color="auto"/>
              <w:bottom w:val="single" w:sz="4" w:space="0" w:color="auto"/>
            </w:tcBorders>
          </w:tcPr>
          <w:p w14:paraId="60DA14A4"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1,329</w:t>
            </w:r>
          </w:p>
        </w:tc>
        <w:tc>
          <w:tcPr>
            <w:tcW w:w="1029" w:type="dxa"/>
            <w:tcBorders>
              <w:top w:val="single" w:sz="4" w:space="0" w:color="auto"/>
              <w:bottom w:val="single" w:sz="4" w:space="0" w:color="auto"/>
            </w:tcBorders>
          </w:tcPr>
          <w:p w14:paraId="2956B2EB"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5,260</w:t>
            </w:r>
          </w:p>
        </w:tc>
      </w:tr>
      <w:tr w:rsidR="00C24C61" w:rsidRPr="00866299" w14:paraId="661DD794" w14:textId="77777777" w:rsidTr="00664B0D">
        <w:trPr>
          <w:cantSplit/>
        </w:trPr>
        <w:tc>
          <w:tcPr>
            <w:tcW w:w="3652" w:type="dxa"/>
            <w:tcBorders>
              <w:top w:val="single" w:sz="4" w:space="0" w:color="auto"/>
              <w:bottom w:val="single" w:sz="4" w:space="0" w:color="auto"/>
            </w:tcBorders>
          </w:tcPr>
          <w:p w14:paraId="5F371EB2" w14:textId="77777777" w:rsidR="00C24C61" w:rsidRPr="00866299" w:rsidRDefault="00C24C61" w:rsidP="00C24C61">
            <w:pPr>
              <w:ind w:left="284" w:hanging="284"/>
              <w:rPr>
                <w:rFonts w:ascii="Calibri" w:hAnsi="Calibri"/>
                <w:sz w:val="22"/>
                <w:lang w:eastAsia="en-US"/>
              </w:rPr>
            </w:pPr>
            <w:r w:rsidRPr="00866299">
              <w:rPr>
                <w:rFonts w:ascii="Calibri" w:hAnsi="Calibri"/>
                <w:sz w:val="22"/>
                <w:lang w:eastAsia="en-US"/>
              </w:rPr>
              <w:t>Associated capital</w:t>
            </w:r>
          </w:p>
        </w:tc>
        <w:tc>
          <w:tcPr>
            <w:tcW w:w="1179" w:type="dxa"/>
            <w:tcBorders>
              <w:top w:val="single" w:sz="4" w:space="0" w:color="auto"/>
              <w:bottom w:val="single" w:sz="4" w:space="0" w:color="auto"/>
            </w:tcBorders>
          </w:tcPr>
          <w:p w14:paraId="60A18ED2"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558</w:t>
            </w:r>
          </w:p>
        </w:tc>
        <w:tc>
          <w:tcPr>
            <w:tcW w:w="1041" w:type="dxa"/>
            <w:tcBorders>
              <w:top w:val="single" w:sz="4" w:space="0" w:color="auto"/>
              <w:bottom w:val="single" w:sz="4" w:space="0" w:color="auto"/>
            </w:tcBorders>
          </w:tcPr>
          <w:p w14:paraId="30F0E74E"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24E66D16"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36F39EFD"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3B271A04"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558</w:t>
            </w:r>
          </w:p>
        </w:tc>
      </w:tr>
    </w:tbl>
    <w:p w14:paraId="21E43796" w14:textId="77777777" w:rsidR="00C24C61" w:rsidRPr="00C24C61" w:rsidRDefault="00C24C61" w:rsidP="00664B0D">
      <w:pPr>
        <w:pStyle w:val="snapInitbody"/>
      </w:pPr>
      <w:r w:rsidRPr="00C24C61">
        <w:t>The Government will strengthen our investment in city services – including boosting suburban maintenance and upkeep of community infrastructure – to ensure Canberra remains clean, green and tidy as our city continues to grow. This initiative is partially offset by a growth provision that was established in a prior Budget.</w:t>
      </w:r>
    </w:p>
    <w:p w14:paraId="4B3541C5" w14:textId="77777777" w:rsidR="00C24C61" w:rsidRPr="00202E81" w:rsidRDefault="00C24C61" w:rsidP="00202E81">
      <w:pPr>
        <w:pStyle w:val="snapInittitles"/>
      </w:pPr>
      <w:r w:rsidRPr="00202E81">
        <w:t xml:space="preserve">Improving compliance for better animal management, healthier trees and a cleaner city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C24C61" w:rsidRPr="00866299" w14:paraId="30C84973" w14:textId="77777777" w:rsidTr="00664B0D">
        <w:trPr>
          <w:cantSplit/>
        </w:trPr>
        <w:tc>
          <w:tcPr>
            <w:tcW w:w="3652" w:type="dxa"/>
            <w:tcBorders>
              <w:top w:val="single" w:sz="4" w:space="0" w:color="auto"/>
              <w:bottom w:val="single" w:sz="4" w:space="0" w:color="auto"/>
            </w:tcBorders>
          </w:tcPr>
          <w:p w14:paraId="5528F8F5" w14:textId="77777777" w:rsidR="00C24C61" w:rsidRPr="00866299" w:rsidRDefault="00C24C61" w:rsidP="00C24C61">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1FE3B968"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2019­20</w:t>
            </w:r>
          </w:p>
          <w:p w14:paraId="7E4C7B8E"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572D004E"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2020­21</w:t>
            </w:r>
          </w:p>
          <w:p w14:paraId="747184C7"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1FFBB55"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2021­22</w:t>
            </w:r>
          </w:p>
          <w:p w14:paraId="0AC27B3B"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1FE479F"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2022-23</w:t>
            </w:r>
          </w:p>
          <w:p w14:paraId="730E79A6"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0D5DBBCF"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Total</w:t>
            </w:r>
          </w:p>
          <w:p w14:paraId="5FFABA41"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$’000</w:t>
            </w:r>
          </w:p>
        </w:tc>
      </w:tr>
      <w:tr w:rsidR="00C24C61" w:rsidRPr="00866299" w14:paraId="204BCE17" w14:textId="77777777" w:rsidTr="00664B0D">
        <w:trPr>
          <w:cantSplit/>
        </w:trPr>
        <w:tc>
          <w:tcPr>
            <w:tcW w:w="3652" w:type="dxa"/>
            <w:tcBorders>
              <w:top w:val="single" w:sz="4" w:space="0" w:color="auto"/>
            </w:tcBorders>
          </w:tcPr>
          <w:p w14:paraId="0EB68198" w14:textId="77777777" w:rsidR="00C24C61" w:rsidRPr="00866299" w:rsidRDefault="00C24C61" w:rsidP="00C24C61">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tcBorders>
          </w:tcPr>
          <w:p w14:paraId="0A965C45"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482</w:t>
            </w:r>
          </w:p>
        </w:tc>
        <w:tc>
          <w:tcPr>
            <w:tcW w:w="1041" w:type="dxa"/>
            <w:tcBorders>
              <w:top w:val="single" w:sz="4" w:space="0" w:color="auto"/>
            </w:tcBorders>
          </w:tcPr>
          <w:p w14:paraId="455E7172"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53330CF6"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68851E71"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55EDD687"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482</w:t>
            </w:r>
          </w:p>
        </w:tc>
      </w:tr>
      <w:tr w:rsidR="00C24C61" w:rsidRPr="00866299" w14:paraId="4550FCDE" w14:textId="77777777" w:rsidTr="00664B0D">
        <w:trPr>
          <w:cantSplit/>
          <w:trHeight w:val="107"/>
        </w:trPr>
        <w:tc>
          <w:tcPr>
            <w:tcW w:w="3652" w:type="dxa"/>
            <w:tcBorders>
              <w:bottom w:val="single" w:sz="4" w:space="0" w:color="auto"/>
            </w:tcBorders>
          </w:tcPr>
          <w:p w14:paraId="172E020E" w14:textId="77777777" w:rsidR="00C24C61" w:rsidRPr="00866299" w:rsidRDefault="00C24C61" w:rsidP="00C24C61">
            <w:pPr>
              <w:ind w:left="284" w:hanging="284"/>
              <w:rPr>
                <w:rFonts w:ascii="Calibri" w:hAnsi="Calibri"/>
                <w:sz w:val="22"/>
                <w:lang w:eastAsia="en-US"/>
              </w:rPr>
            </w:pPr>
            <w:r w:rsidRPr="00866299">
              <w:rPr>
                <w:rFonts w:ascii="Calibri" w:hAnsi="Calibri"/>
                <w:sz w:val="22"/>
                <w:lang w:eastAsia="en-US"/>
              </w:rPr>
              <w:t>Offset – Associated revenue</w:t>
            </w:r>
          </w:p>
        </w:tc>
        <w:tc>
          <w:tcPr>
            <w:tcW w:w="1179" w:type="dxa"/>
            <w:tcBorders>
              <w:bottom w:val="single" w:sz="4" w:space="0" w:color="auto"/>
            </w:tcBorders>
          </w:tcPr>
          <w:p w14:paraId="5B118151"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-482</w:t>
            </w:r>
          </w:p>
        </w:tc>
        <w:tc>
          <w:tcPr>
            <w:tcW w:w="1041" w:type="dxa"/>
            <w:tcBorders>
              <w:bottom w:val="single" w:sz="4" w:space="0" w:color="auto"/>
            </w:tcBorders>
          </w:tcPr>
          <w:p w14:paraId="499ADD09"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bottom w:val="single" w:sz="4" w:space="0" w:color="auto"/>
            </w:tcBorders>
          </w:tcPr>
          <w:p w14:paraId="551E8F97"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bottom w:val="single" w:sz="4" w:space="0" w:color="auto"/>
            </w:tcBorders>
          </w:tcPr>
          <w:p w14:paraId="10776E39"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bottom w:val="single" w:sz="4" w:space="0" w:color="auto"/>
            </w:tcBorders>
          </w:tcPr>
          <w:p w14:paraId="50CC366E"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-482</w:t>
            </w:r>
          </w:p>
        </w:tc>
      </w:tr>
      <w:tr w:rsidR="00C24C61" w:rsidRPr="00866299" w14:paraId="3AB92C11" w14:textId="77777777" w:rsidTr="00664B0D">
        <w:trPr>
          <w:cantSplit/>
          <w:trHeight w:val="107"/>
        </w:trPr>
        <w:tc>
          <w:tcPr>
            <w:tcW w:w="3652" w:type="dxa"/>
            <w:tcBorders>
              <w:top w:val="single" w:sz="4" w:space="0" w:color="auto"/>
              <w:bottom w:val="single" w:sz="4" w:space="0" w:color="auto"/>
            </w:tcBorders>
          </w:tcPr>
          <w:p w14:paraId="4F01A17F" w14:textId="77777777" w:rsidR="00C24C61" w:rsidRPr="00866299" w:rsidRDefault="00C24C61" w:rsidP="00C24C61">
            <w:pPr>
              <w:ind w:left="284" w:hanging="284"/>
              <w:rPr>
                <w:rFonts w:ascii="Calibri" w:hAnsi="Calibri"/>
                <w:b/>
                <w:sz w:val="22"/>
                <w:lang w:eastAsia="en-US"/>
              </w:rPr>
            </w:pPr>
            <w:r w:rsidRPr="00866299">
              <w:rPr>
                <w:rFonts w:ascii="Calibri" w:hAnsi="Calibri"/>
                <w:b/>
                <w:sz w:val="22"/>
                <w:lang w:eastAsia="en-US"/>
              </w:rPr>
              <w:t xml:space="preserve">Net Expenses </w:t>
            </w:r>
          </w:p>
        </w:tc>
        <w:tc>
          <w:tcPr>
            <w:tcW w:w="1179" w:type="dxa"/>
            <w:tcBorders>
              <w:top w:val="single" w:sz="4" w:space="0" w:color="auto"/>
              <w:bottom w:val="single" w:sz="4" w:space="0" w:color="auto"/>
            </w:tcBorders>
          </w:tcPr>
          <w:p w14:paraId="0C9D5E9B"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0</w:t>
            </w:r>
          </w:p>
        </w:tc>
        <w:tc>
          <w:tcPr>
            <w:tcW w:w="1041" w:type="dxa"/>
            <w:tcBorders>
              <w:top w:val="single" w:sz="4" w:space="0" w:color="auto"/>
              <w:bottom w:val="single" w:sz="4" w:space="0" w:color="auto"/>
            </w:tcBorders>
          </w:tcPr>
          <w:p w14:paraId="0C430F24"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03A89FB7"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7703D577"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692139F4"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0</w:t>
            </w:r>
          </w:p>
        </w:tc>
      </w:tr>
    </w:tbl>
    <w:p w14:paraId="6CDC6DA0" w14:textId="77777777" w:rsidR="00C24C61" w:rsidRPr="00C24C61" w:rsidRDefault="00C24C61" w:rsidP="00664B0D">
      <w:pPr>
        <w:pStyle w:val="snapInitbody"/>
      </w:pPr>
      <w:r w:rsidRPr="00C24C61">
        <w:t>The Government will invest in more compliance staff to ensure Canberrans are aware of, and comply with, city regulations with an immediate focus on the care and management of animals. This initiative will help reduce problematic animal behaviour to ensure all Canberrans can feel safe when using our parks, reserves and public places. The team will support greater compliance across regulation managed by Transport Canberra and City Services. The cost of this initiative will be offset by compliance revenue.</w:t>
      </w:r>
    </w:p>
    <w:p w14:paraId="5F669114" w14:textId="77777777" w:rsidR="00C24C61" w:rsidRPr="00202E81" w:rsidRDefault="00C24C61" w:rsidP="00202E81">
      <w:pPr>
        <w:pStyle w:val="snapInittitles"/>
      </w:pPr>
      <w:r w:rsidRPr="00202E81">
        <w:t xml:space="preserve">Maintaining healthy waterways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C24C61" w:rsidRPr="00866299" w14:paraId="2ECC0B9D" w14:textId="77777777" w:rsidTr="00664B0D">
        <w:trPr>
          <w:cantSplit/>
        </w:trPr>
        <w:tc>
          <w:tcPr>
            <w:tcW w:w="3652" w:type="dxa"/>
            <w:tcBorders>
              <w:top w:val="single" w:sz="4" w:space="0" w:color="auto"/>
              <w:bottom w:val="single" w:sz="4" w:space="0" w:color="auto"/>
            </w:tcBorders>
          </w:tcPr>
          <w:p w14:paraId="7CD89324" w14:textId="77777777" w:rsidR="00C24C61" w:rsidRPr="00866299" w:rsidRDefault="00C24C61" w:rsidP="00C24C61">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1B91B4FB"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2019­20</w:t>
            </w:r>
          </w:p>
          <w:p w14:paraId="3FD8C00C"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794C7568"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2020­21</w:t>
            </w:r>
          </w:p>
          <w:p w14:paraId="054109F3"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B2769CC"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2021­22</w:t>
            </w:r>
          </w:p>
          <w:p w14:paraId="22128BA1"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3C837522"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2022-23</w:t>
            </w:r>
          </w:p>
          <w:p w14:paraId="1A31646F"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3E6A9F2" w14:textId="77777777" w:rsidR="00C24C61" w:rsidRPr="00866299" w:rsidRDefault="00C24C61" w:rsidP="00C24C61">
            <w:pPr>
              <w:jc w:val="right"/>
              <w:rPr>
                <w:rFonts w:ascii="Calibri" w:hAnsi="Calibri"/>
                <w:b/>
                <w:sz w:val="22"/>
                <w:lang w:eastAsia="en-US"/>
              </w:rPr>
            </w:pPr>
            <w:r w:rsidRPr="00866299">
              <w:rPr>
                <w:rFonts w:ascii="Calibri" w:hAnsi="Calibri"/>
                <w:b/>
                <w:sz w:val="22"/>
                <w:lang w:eastAsia="en-US"/>
              </w:rPr>
              <w:t>Total</w:t>
            </w:r>
          </w:p>
          <w:p w14:paraId="7312AEE2" w14:textId="77777777" w:rsidR="00C24C61" w:rsidRPr="00866299" w:rsidRDefault="00C24C61" w:rsidP="00C24C61">
            <w:pPr>
              <w:jc w:val="right"/>
              <w:rPr>
                <w:rFonts w:ascii="Calibri" w:hAnsi="Calibri"/>
                <w:b/>
                <w:sz w:val="22"/>
                <w:lang w:eastAsia="en-US"/>
              </w:rPr>
            </w:pPr>
            <w:r w:rsidRPr="00866299">
              <w:rPr>
                <w:rFonts w:ascii="Calibri" w:hAnsi="Calibri"/>
                <w:b/>
                <w:sz w:val="22"/>
                <w:lang w:eastAsia="en-US"/>
              </w:rPr>
              <w:t>$’000</w:t>
            </w:r>
          </w:p>
        </w:tc>
      </w:tr>
      <w:tr w:rsidR="00C24C61" w:rsidRPr="00866299" w14:paraId="4B389F15" w14:textId="77777777" w:rsidTr="00664B0D">
        <w:trPr>
          <w:cantSplit/>
        </w:trPr>
        <w:tc>
          <w:tcPr>
            <w:tcW w:w="3652" w:type="dxa"/>
            <w:tcBorders>
              <w:top w:val="single" w:sz="4" w:space="0" w:color="auto"/>
            </w:tcBorders>
          </w:tcPr>
          <w:p w14:paraId="64E65515" w14:textId="77777777" w:rsidR="00C24C61" w:rsidRPr="00866299" w:rsidRDefault="00C24C61" w:rsidP="00C24C61">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tcBorders>
          </w:tcPr>
          <w:p w14:paraId="735AF8AB"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1,769</w:t>
            </w:r>
          </w:p>
        </w:tc>
        <w:tc>
          <w:tcPr>
            <w:tcW w:w="1041" w:type="dxa"/>
            <w:tcBorders>
              <w:top w:val="single" w:sz="4" w:space="0" w:color="auto"/>
            </w:tcBorders>
          </w:tcPr>
          <w:p w14:paraId="0402A37F"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2,971</w:t>
            </w:r>
          </w:p>
        </w:tc>
        <w:tc>
          <w:tcPr>
            <w:tcW w:w="1029" w:type="dxa"/>
            <w:tcBorders>
              <w:top w:val="single" w:sz="4" w:space="0" w:color="auto"/>
            </w:tcBorders>
          </w:tcPr>
          <w:p w14:paraId="7446FDD9"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2,601</w:t>
            </w:r>
          </w:p>
        </w:tc>
        <w:tc>
          <w:tcPr>
            <w:tcW w:w="1029" w:type="dxa"/>
            <w:tcBorders>
              <w:top w:val="single" w:sz="4" w:space="0" w:color="auto"/>
            </w:tcBorders>
          </w:tcPr>
          <w:p w14:paraId="62856F4E"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2,601</w:t>
            </w:r>
          </w:p>
        </w:tc>
        <w:tc>
          <w:tcPr>
            <w:tcW w:w="1029" w:type="dxa"/>
            <w:tcBorders>
              <w:top w:val="single" w:sz="4" w:space="0" w:color="auto"/>
            </w:tcBorders>
          </w:tcPr>
          <w:p w14:paraId="340BFEBE"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9,942</w:t>
            </w:r>
          </w:p>
        </w:tc>
      </w:tr>
      <w:tr w:rsidR="00C24C61" w:rsidRPr="00866299" w14:paraId="02E2CEF0" w14:textId="77777777" w:rsidTr="00664B0D">
        <w:trPr>
          <w:cantSplit/>
        </w:trPr>
        <w:tc>
          <w:tcPr>
            <w:tcW w:w="3652" w:type="dxa"/>
            <w:tcBorders>
              <w:bottom w:val="single" w:sz="4" w:space="0" w:color="auto"/>
            </w:tcBorders>
          </w:tcPr>
          <w:p w14:paraId="563BBD39" w14:textId="77777777" w:rsidR="00C24C61" w:rsidRPr="00866299" w:rsidRDefault="00C24C61" w:rsidP="00C24C61">
            <w:pPr>
              <w:ind w:left="284" w:hanging="284"/>
              <w:rPr>
                <w:rFonts w:ascii="Calibri" w:hAnsi="Calibri"/>
                <w:sz w:val="22"/>
                <w:lang w:eastAsia="en-US"/>
              </w:rPr>
            </w:pPr>
            <w:r w:rsidRPr="00866299">
              <w:rPr>
                <w:rFonts w:ascii="Calibri" w:hAnsi="Calibri"/>
                <w:sz w:val="22"/>
                <w:lang w:eastAsia="en-US"/>
              </w:rPr>
              <w:t>Offset – Expenses – Provision</w:t>
            </w:r>
          </w:p>
        </w:tc>
        <w:tc>
          <w:tcPr>
            <w:tcW w:w="1179" w:type="dxa"/>
            <w:tcBorders>
              <w:bottom w:val="single" w:sz="4" w:space="0" w:color="auto"/>
            </w:tcBorders>
          </w:tcPr>
          <w:p w14:paraId="4CD71051"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-1,275</w:t>
            </w:r>
          </w:p>
        </w:tc>
        <w:tc>
          <w:tcPr>
            <w:tcW w:w="1041" w:type="dxa"/>
            <w:tcBorders>
              <w:bottom w:val="single" w:sz="4" w:space="0" w:color="auto"/>
            </w:tcBorders>
          </w:tcPr>
          <w:p w14:paraId="7199E0BE"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-1,307</w:t>
            </w:r>
          </w:p>
        </w:tc>
        <w:tc>
          <w:tcPr>
            <w:tcW w:w="1029" w:type="dxa"/>
            <w:tcBorders>
              <w:bottom w:val="single" w:sz="4" w:space="0" w:color="auto"/>
            </w:tcBorders>
          </w:tcPr>
          <w:p w14:paraId="374FD9C0"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-1,340</w:t>
            </w:r>
          </w:p>
        </w:tc>
        <w:tc>
          <w:tcPr>
            <w:tcW w:w="1029" w:type="dxa"/>
            <w:tcBorders>
              <w:bottom w:val="single" w:sz="4" w:space="0" w:color="auto"/>
            </w:tcBorders>
          </w:tcPr>
          <w:p w14:paraId="0D6176FD"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-1,340</w:t>
            </w:r>
          </w:p>
        </w:tc>
        <w:tc>
          <w:tcPr>
            <w:tcW w:w="1029" w:type="dxa"/>
            <w:tcBorders>
              <w:bottom w:val="single" w:sz="4" w:space="0" w:color="auto"/>
            </w:tcBorders>
          </w:tcPr>
          <w:p w14:paraId="6F1E9263"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-5,262</w:t>
            </w:r>
          </w:p>
        </w:tc>
      </w:tr>
      <w:tr w:rsidR="00C24C61" w:rsidRPr="00866299" w14:paraId="101B800F" w14:textId="77777777" w:rsidTr="00664B0D">
        <w:trPr>
          <w:cantSplit/>
        </w:trPr>
        <w:tc>
          <w:tcPr>
            <w:tcW w:w="3652" w:type="dxa"/>
            <w:tcBorders>
              <w:top w:val="single" w:sz="4" w:space="0" w:color="auto"/>
              <w:bottom w:val="single" w:sz="4" w:space="0" w:color="auto"/>
            </w:tcBorders>
          </w:tcPr>
          <w:p w14:paraId="5229811D" w14:textId="77777777" w:rsidR="00C24C61" w:rsidRPr="00866299" w:rsidRDefault="00C24C61" w:rsidP="00C24C61">
            <w:pPr>
              <w:ind w:left="284" w:hanging="284"/>
              <w:rPr>
                <w:rFonts w:ascii="Calibri" w:hAnsi="Calibri"/>
                <w:b/>
                <w:sz w:val="22"/>
                <w:lang w:eastAsia="en-US"/>
              </w:rPr>
            </w:pPr>
            <w:r w:rsidRPr="00866299">
              <w:rPr>
                <w:rFonts w:ascii="Calibri" w:hAnsi="Calibri"/>
                <w:b/>
                <w:sz w:val="22"/>
                <w:lang w:eastAsia="en-US"/>
              </w:rPr>
              <w:t>Net Expenses</w:t>
            </w:r>
          </w:p>
        </w:tc>
        <w:tc>
          <w:tcPr>
            <w:tcW w:w="1179" w:type="dxa"/>
            <w:tcBorders>
              <w:top w:val="single" w:sz="4" w:space="0" w:color="auto"/>
              <w:bottom w:val="single" w:sz="4" w:space="0" w:color="auto"/>
            </w:tcBorders>
          </w:tcPr>
          <w:p w14:paraId="1D4B0AA9"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494</w:t>
            </w:r>
          </w:p>
        </w:tc>
        <w:tc>
          <w:tcPr>
            <w:tcW w:w="1041" w:type="dxa"/>
            <w:tcBorders>
              <w:top w:val="single" w:sz="4" w:space="0" w:color="auto"/>
              <w:bottom w:val="single" w:sz="4" w:space="0" w:color="auto"/>
            </w:tcBorders>
          </w:tcPr>
          <w:p w14:paraId="62E4A6B2"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1,664</w:t>
            </w:r>
          </w:p>
        </w:tc>
        <w:tc>
          <w:tcPr>
            <w:tcW w:w="1029" w:type="dxa"/>
            <w:tcBorders>
              <w:top w:val="single" w:sz="4" w:space="0" w:color="auto"/>
              <w:bottom w:val="single" w:sz="4" w:space="0" w:color="auto"/>
            </w:tcBorders>
          </w:tcPr>
          <w:p w14:paraId="78DBE86E"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1,261</w:t>
            </w:r>
          </w:p>
        </w:tc>
        <w:tc>
          <w:tcPr>
            <w:tcW w:w="1029" w:type="dxa"/>
            <w:tcBorders>
              <w:top w:val="single" w:sz="4" w:space="0" w:color="auto"/>
              <w:bottom w:val="single" w:sz="4" w:space="0" w:color="auto"/>
            </w:tcBorders>
          </w:tcPr>
          <w:p w14:paraId="2770C823"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1,261</w:t>
            </w:r>
          </w:p>
        </w:tc>
        <w:tc>
          <w:tcPr>
            <w:tcW w:w="1029" w:type="dxa"/>
            <w:tcBorders>
              <w:top w:val="single" w:sz="4" w:space="0" w:color="auto"/>
              <w:bottom w:val="single" w:sz="4" w:space="0" w:color="auto"/>
            </w:tcBorders>
          </w:tcPr>
          <w:p w14:paraId="2CBAAA14"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4,680</w:t>
            </w:r>
          </w:p>
        </w:tc>
      </w:tr>
    </w:tbl>
    <w:p w14:paraId="1BDDF18C" w14:textId="61DD4DD9" w:rsidR="00C24C61" w:rsidRPr="00C24C61" w:rsidRDefault="00C24C61" w:rsidP="00664B0D">
      <w:pPr>
        <w:pStyle w:val="snapInitbody"/>
      </w:pPr>
      <w:r w:rsidRPr="00C24C61">
        <w:t>The Government will operate and maintain 20 Stormwater Quality Improvement System sites completed as part of the Healthy Waterways project. The cost of this initiative is partially offset by previously provisioned funding.</w:t>
      </w:r>
    </w:p>
    <w:p w14:paraId="2C8841EE" w14:textId="77777777" w:rsidR="00C24C61" w:rsidRPr="00202E81" w:rsidRDefault="00C24C61" w:rsidP="00202E81">
      <w:pPr>
        <w:pStyle w:val="snapInittitles"/>
      </w:pPr>
      <w:r w:rsidRPr="00202E81">
        <w:t xml:space="preserve">Strengthening infrastructure planning capability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C24C61" w:rsidRPr="00866299" w14:paraId="73FFB44A" w14:textId="77777777" w:rsidTr="00D31DE3">
        <w:trPr>
          <w:cantSplit/>
        </w:trPr>
        <w:tc>
          <w:tcPr>
            <w:tcW w:w="3652" w:type="dxa"/>
            <w:tcBorders>
              <w:top w:val="single" w:sz="4" w:space="0" w:color="auto"/>
              <w:bottom w:val="single" w:sz="4" w:space="0" w:color="auto"/>
            </w:tcBorders>
          </w:tcPr>
          <w:p w14:paraId="0256188A" w14:textId="77777777" w:rsidR="00C24C61" w:rsidRPr="00866299" w:rsidRDefault="00C24C61" w:rsidP="00C24C61">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3BF807C7"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2019­20</w:t>
            </w:r>
          </w:p>
          <w:p w14:paraId="354F2620"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38767962"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2020­21</w:t>
            </w:r>
          </w:p>
          <w:p w14:paraId="341B83B0"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1E97BDAC"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2021­22</w:t>
            </w:r>
          </w:p>
          <w:p w14:paraId="3E5434F1"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3F7FEA00"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2022-23</w:t>
            </w:r>
          </w:p>
          <w:p w14:paraId="2940E3C8"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396F4B12"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Total</w:t>
            </w:r>
          </w:p>
          <w:p w14:paraId="7D9FBC17"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$’000</w:t>
            </w:r>
          </w:p>
        </w:tc>
      </w:tr>
      <w:tr w:rsidR="00C24C61" w:rsidRPr="00866299" w14:paraId="0B6528E4" w14:textId="77777777" w:rsidTr="00D31DE3">
        <w:trPr>
          <w:cantSplit/>
        </w:trPr>
        <w:tc>
          <w:tcPr>
            <w:tcW w:w="3652" w:type="dxa"/>
            <w:tcBorders>
              <w:top w:val="single" w:sz="4" w:space="0" w:color="auto"/>
              <w:bottom w:val="single" w:sz="4" w:space="0" w:color="auto"/>
            </w:tcBorders>
          </w:tcPr>
          <w:p w14:paraId="33B4777D" w14:textId="77777777" w:rsidR="00C24C61" w:rsidRPr="00866299" w:rsidRDefault="00C24C61" w:rsidP="00C24C61">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bottom w:val="single" w:sz="4" w:space="0" w:color="auto"/>
            </w:tcBorders>
          </w:tcPr>
          <w:p w14:paraId="2D58D2F3"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1,210</w:t>
            </w:r>
          </w:p>
        </w:tc>
        <w:tc>
          <w:tcPr>
            <w:tcW w:w="1041" w:type="dxa"/>
            <w:tcBorders>
              <w:top w:val="single" w:sz="4" w:space="0" w:color="auto"/>
              <w:bottom w:val="single" w:sz="4" w:space="0" w:color="auto"/>
            </w:tcBorders>
          </w:tcPr>
          <w:p w14:paraId="43A17444"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1,210</w:t>
            </w:r>
          </w:p>
        </w:tc>
        <w:tc>
          <w:tcPr>
            <w:tcW w:w="1029" w:type="dxa"/>
            <w:tcBorders>
              <w:top w:val="single" w:sz="4" w:space="0" w:color="auto"/>
              <w:bottom w:val="single" w:sz="4" w:space="0" w:color="auto"/>
            </w:tcBorders>
          </w:tcPr>
          <w:p w14:paraId="23F63331"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1,210</w:t>
            </w:r>
          </w:p>
        </w:tc>
        <w:tc>
          <w:tcPr>
            <w:tcW w:w="1029" w:type="dxa"/>
            <w:tcBorders>
              <w:top w:val="single" w:sz="4" w:space="0" w:color="auto"/>
              <w:bottom w:val="single" w:sz="4" w:space="0" w:color="auto"/>
            </w:tcBorders>
          </w:tcPr>
          <w:p w14:paraId="37169427"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1,210</w:t>
            </w:r>
          </w:p>
        </w:tc>
        <w:tc>
          <w:tcPr>
            <w:tcW w:w="1029" w:type="dxa"/>
            <w:tcBorders>
              <w:top w:val="single" w:sz="4" w:space="0" w:color="auto"/>
              <w:bottom w:val="single" w:sz="4" w:space="0" w:color="auto"/>
            </w:tcBorders>
          </w:tcPr>
          <w:p w14:paraId="783E5C3B"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4,840</w:t>
            </w:r>
          </w:p>
        </w:tc>
      </w:tr>
    </w:tbl>
    <w:p w14:paraId="42DE6435" w14:textId="77777777" w:rsidR="00C24C61" w:rsidRPr="00C24C61" w:rsidRDefault="00C24C61" w:rsidP="00D31DE3">
      <w:pPr>
        <w:pStyle w:val="snapInitbody"/>
      </w:pPr>
      <w:r w:rsidRPr="00C24C61">
        <w:t xml:space="preserve">The Government will strengthen the planning capability within the Transport Canberra and City Services directorate to support the effective development of transport and city infrastructure as the city grows. </w:t>
      </w:r>
    </w:p>
    <w:p w14:paraId="68B713A0" w14:textId="7DA1CA66" w:rsidR="00C24C61" w:rsidRPr="00202E81" w:rsidRDefault="00C24C61" w:rsidP="00202E81">
      <w:pPr>
        <w:pStyle w:val="snapInittitles"/>
      </w:pPr>
      <w:r w:rsidRPr="00202E81">
        <w:t xml:space="preserve">Supporting social inclusion through the Flexible Bus Service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C24C61" w:rsidRPr="00866299" w14:paraId="44109D40" w14:textId="77777777" w:rsidTr="00D31DE3">
        <w:trPr>
          <w:cantSplit/>
        </w:trPr>
        <w:tc>
          <w:tcPr>
            <w:tcW w:w="3652" w:type="dxa"/>
            <w:tcBorders>
              <w:top w:val="single" w:sz="4" w:space="0" w:color="auto"/>
              <w:bottom w:val="single" w:sz="4" w:space="0" w:color="auto"/>
            </w:tcBorders>
          </w:tcPr>
          <w:p w14:paraId="5278E12D" w14:textId="77777777" w:rsidR="00C24C61" w:rsidRPr="00866299" w:rsidRDefault="00C24C61" w:rsidP="00C24C61">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02636573"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2019­20</w:t>
            </w:r>
          </w:p>
          <w:p w14:paraId="3A37A80C"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0436A1D7"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2020­21</w:t>
            </w:r>
          </w:p>
          <w:p w14:paraId="3EEB788B"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A7C3241"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2021­22</w:t>
            </w:r>
          </w:p>
          <w:p w14:paraId="39A0C593"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7C869B3"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2022-23</w:t>
            </w:r>
          </w:p>
          <w:p w14:paraId="0E8BD4F1"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574DE05"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Total</w:t>
            </w:r>
          </w:p>
          <w:p w14:paraId="0F762FB3"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$’000</w:t>
            </w:r>
          </w:p>
        </w:tc>
      </w:tr>
      <w:tr w:rsidR="00C24C61" w:rsidRPr="00866299" w14:paraId="213B5A25" w14:textId="77777777" w:rsidTr="00D31DE3">
        <w:trPr>
          <w:cantSplit/>
        </w:trPr>
        <w:tc>
          <w:tcPr>
            <w:tcW w:w="3652" w:type="dxa"/>
            <w:tcBorders>
              <w:top w:val="single" w:sz="4" w:space="0" w:color="auto"/>
            </w:tcBorders>
          </w:tcPr>
          <w:p w14:paraId="4C6D7512" w14:textId="77777777" w:rsidR="00C24C61" w:rsidRPr="00866299" w:rsidRDefault="00C24C61" w:rsidP="00C24C61">
            <w:pPr>
              <w:ind w:left="284" w:hanging="284"/>
              <w:rPr>
                <w:rFonts w:ascii="Calibri" w:hAnsi="Calibri"/>
                <w:sz w:val="22"/>
                <w:lang w:eastAsia="en-US"/>
              </w:rPr>
            </w:pPr>
            <w:r w:rsidRPr="00866299">
              <w:rPr>
                <w:rFonts w:ascii="Calibri" w:hAnsi="Calibri"/>
                <w:sz w:val="22"/>
                <w:lang w:eastAsia="en-US"/>
              </w:rPr>
              <w:t>Expenses</w:t>
            </w:r>
          </w:p>
        </w:tc>
        <w:tc>
          <w:tcPr>
            <w:tcW w:w="1179" w:type="dxa"/>
            <w:tcBorders>
              <w:top w:val="single" w:sz="4" w:space="0" w:color="auto"/>
            </w:tcBorders>
          </w:tcPr>
          <w:p w14:paraId="1E30FEB2"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866</w:t>
            </w:r>
          </w:p>
        </w:tc>
        <w:tc>
          <w:tcPr>
            <w:tcW w:w="1041" w:type="dxa"/>
            <w:tcBorders>
              <w:top w:val="single" w:sz="4" w:space="0" w:color="auto"/>
            </w:tcBorders>
          </w:tcPr>
          <w:p w14:paraId="58A7AD42"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33AE9877"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4C1BDEC1"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643D5D90"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866</w:t>
            </w:r>
          </w:p>
        </w:tc>
      </w:tr>
      <w:tr w:rsidR="00C24C61" w:rsidRPr="00866299" w14:paraId="19E92FB2" w14:textId="77777777" w:rsidTr="00D31DE3">
        <w:trPr>
          <w:cantSplit/>
        </w:trPr>
        <w:tc>
          <w:tcPr>
            <w:tcW w:w="3652" w:type="dxa"/>
          </w:tcPr>
          <w:p w14:paraId="7CFE0871" w14:textId="77777777" w:rsidR="00C24C61" w:rsidRPr="00866299" w:rsidRDefault="00C24C61" w:rsidP="00C24C61">
            <w:pPr>
              <w:ind w:left="284" w:hanging="284"/>
              <w:rPr>
                <w:rFonts w:ascii="Calibri" w:hAnsi="Calibri"/>
                <w:sz w:val="22"/>
                <w:lang w:eastAsia="en-US"/>
              </w:rPr>
            </w:pPr>
            <w:r w:rsidRPr="00866299">
              <w:rPr>
                <w:rFonts w:ascii="Calibri" w:hAnsi="Calibri"/>
                <w:sz w:val="22"/>
                <w:lang w:eastAsia="en-US"/>
              </w:rPr>
              <w:t>Offset – Expenses – Provision</w:t>
            </w:r>
          </w:p>
        </w:tc>
        <w:tc>
          <w:tcPr>
            <w:tcW w:w="1179" w:type="dxa"/>
          </w:tcPr>
          <w:p w14:paraId="3896D06F"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-866</w:t>
            </w:r>
          </w:p>
        </w:tc>
        <w:tc>
          <w:tcPr>
            <w:tcW w:w="1041" w:type="dxa"/>
          </w:tcPr>
          <w:p w14:paraId="0CC7160F"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4CA5E7DC"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13BCB56C"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4988A32F"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-866</w:t>
            </w:r>
          </w:p>
        </w:tc>
      </w:tr>
      <w:tr w:rsidR="00C24C61" w:rsidRPr="00866299" w14:paraId="40D7014D" w14:textId="77777777" w:rsidTr="00D31DE3">
        <w:trPr>
          <w:cantSplit/>
        </w:trPr>
        <w:tc>
          <w:tcPr>
            <w:tcW w:w="3652" w:type="dxa"/>
            <w:tcBorders>
              <w:top w:val="single" w:sz="4" w:space="0" w:color="auto"/>
              <w:bottom w:val="single" w:sz="4" w:space="0" w:color="auto"/>
            </w:tcBorders>
          </w:tcPr>
          <w:p w14:paraId="21D78F8A" w14:textId="77777777" w:rsidR="00C24C61" w:rsidRPr="00866299" w:rsidRDefault="00C24C61" w:rsidP="00C24C61">
            <w:pPr>
              <w:ind w:left="284" w:hanging="284"/>
              <w:rPr>
                <w:rFonts w:ascii="Calibri" w:hAnsi="Calibri"/>
                <w:b/>
                <w:sz w:val="22"/>
                <w:lang w:eastAsia="en-US"/>
              </w:rPr>
            </w:pPr>
            <w:r w:rsidRPr="00866299">
              <w:rPr>
                <w:rFonts w:ascii="Calibri" w:hAnsi="Calibri"/>
                <w:b/>
                <w:sz w:val="22"/>
                <w:lang w:eastAsia="en-US"/>
              </w:rPr>
              <w:t>Net Expenses</w:t>
            </w:r>
          </w:p>
        </w:tc>
        <w:tc>
          <w:tcPr>
            <w:tcW w:w="1179" w:type="dxa"/>
            <w:tcBorders>
              <w:top w:val="single" w:sz="4" w:space="0" w:color="auto"/>
              <w:bottom w:val="single" w:sz="4" w:space="0" w:color="auto"/>
            </w:tcBorders>
          </w:tcPr>
          <w:p w14:paraId="65AA6CBC"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0</w:t>
            </w:r>
          </w:p>
        </w:tc>
        <w:tc>
          <w:tcPr>
            <w:tcW w:w="1041" w:type="dxa"/>
            <w:tcBorders>
              <w:top w:val="single" w:sz="4" w:space="0" w:color="auto"/>
              <w:bottom w:val="single" w:sz="4" w:space="0" w:color="auto"/>
            </w:tcBorders>
          </w:tcPr>
          <w:p w14:paraId="561A4CB3"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49FD5827"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172BA3F1"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003D0AE1"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0</w:t>
            </w:r>
          </w:p>
        </w:tc>
      </w:tr>
    </w:tbl>
    <w:p w14:paraId="1359BD38" w14:textId="77777777" w:rsidR="00C24C61" w:rsidRPr="00C24C61" w:rsidRDefault="00C24C61" w:rsidP="00D31DE3">
      <w:pPr>
        <w:pStyle w:val="snapInitbody"/>
      </w:pPr>
      <w:r w:rsidRPr="00C24C61">
        <w:t>The Government will continue the Flexible Bus Service which supports Canberrans who have difficulty using regular public transport services. This initiative is offset by previously provisioned funding.</w:t>
      </w:r>
    </w:p>
    <w:p w14:paraId="74BCD1D3" w14:textId="77777777" w:rsidR="00C24C61" w:rsidRPr="00202E81" w:rsidRDefault="00C24C61" w:rsidP="00202E81">
      <w:pPr>
        <w:pStyle w:val="snapInittitles"/>
      </w:pPr>
      <w:r w:rsidRPr="00202E81">
        <w:t xml:space="preserve">Training ACT Government frontline workers to respond to family violence </w:t>
      </w:r>
    </w:p>
    <w:p w14:paraId="0ACA8C9C" w14:textId="77777777" w:rsidR="00C24C61" w:rsidRPr="00C24C61" w:rsidRDefault="00C24C61" w:rsidP="00D31DE3">
      <w:pPr>
        <w:pStyle w:val="snapInitbody"/>
        <w:rPr>
          <w:lang w:val="x-none"/>
        </w:rPr>
      </w:pPr>
      <w:r w:rsidRPr="00C24C61">
        <w:t xml:space="preserve">See the Community Services Directorate expense initiative </w:t>
      </w:r>
      <w:r w:rsidRPr="00C24C61">
        <w:rPr>
          <w:i/>
        </w:rPr>
        <w:t>Training ACT Government frontline workers to respond to family violence</w:t>
      </w:r>
      <w:r w:rsidRPr="00C24C61">
        <w:t xml:space="preserve"> for further details.</w:t>
      </w:r>
    </w:p>
    <w:p w14:paraId="1780E104" w14:textId="24E09DA8" w:rsidR="00C24C61" w:rsidRPr="007A3A72" w:rsidRDefault="00C24C61" w:rsidP="007A3A72">
      <w:pPr>
        <w:pStyle w:val="Heading3"/>
      </w:pPr>
      <w:r w:rsidRPr="007A3A72">
        <w:t xml:space="preserve">Infrastructure </w:t>
      </w:r>
      <w:r w:rsidR="00B2594F">
        <w:t>I</w:t>
      </w:r>
      <w:r w:rsidRPr="007A3A72">
        <w:t xml:space="preserve">nitiatives </w:t>
      </w:r>
    </w:p>
    <w:p w14:paraId="46450D9A" w14:textId="77777777" w:rsidR="00C24C61" w:rsidRPr="00202E81" w:rsidRDefault="00C24C61" w:rsidP="00202E81">
      <w:pPr>
        <w:pStyle w:val="snapInittitles"/>
      </w:pPr>
      <w:r w:rsidRPr="00202E81">
        <w:t xml:space="preserve">Active travel upgrades </w:t>
      </w:r>
    </w:p>
    <w:tbl>
      <w:tblPr>
        <w:tblW w:w="5000" w:type="pct"/>
        <w:tblLayout w:type="fixed"/>
        <w:tblLook w:val="04A0" w:firstRow="1" w:lastRow="0" w:firstColumn="1" w:lastColumn="0" w:noHBand="0" w:noVBand="1"/>
      </w:tblPr>
      <w:tblGrid>
        <w:gridCol w:w="3929"/>
        <w:gridCol w:w="1268"/>
        <w:gridCol w:w="1120"/>
        <w:gridCol w:w="1107"/>
        <w:gridCol w:w="1107"/>
        <w:gridCol w:w="1107"/>
      </w:tblGrid>
      <w:tr w:rsidR="00C24C61" w:rsidRPr="00866299" w14:paraId="22AD9D92" w14:textId="77777777" w:rsidTr="00D31DE3">
        <w:trPr>
          <w:cantSplit/>
        </w:trPr>
        <w:tc>
          <w:tcPr>
            <w:tcW w:w="3652" w:type="dxa"/>
            <w:tcBorders>
              <w:top w:val="single" w:sz="4" w:space="0" w:color="auto"/>
              <w:left w:val="nil"/>
              <w:bottom w:val="single" w:sz="4" w:space="0" w:color="auto"/>
              <w:right w:val="nil"/>
            </w:tcBorders>
            <w:hideMark/>
          </w:tcPr>
          <w:p w14:paraId="62279ACB" w14:textId="77777777" w:rsidR="00C24C61" w:rsidRPr="00866299" w:rsidRDefault="00C24C61" w:rsidP="00C24C61">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left w:val="nil"/>
              <w:bottom w:val="single" w:sz="4" w:space="0" w:color="auto"/>
              <w:right w:val="nil"/>
            </w:tcBorders>
            <w:hideMark/>
          </w:tcPr>
          <w:p w14:paraId="246A5363" w14:textId="77777777" w:rsidR="00C24C61" w:rsidRPr="00866299" w:rsidRDefault="00C24C61" w:rsidP="00C24C61">
            <w:pPr>
              <w:spacing w:line="256" w:lineRule="auto"/>
              <w:ind w:left="284" w:hanging="284"/>
              <w:jc w:val="right"/>
              <w:rPr>
                <w:rFonts w:ascii="Calibri" w:hAnsi="Calibri"/>
                <w:sz w:val="22"/>
                <w:lang w:eastAsia="en-US"/>
              </w:rPr>
            </w:pPr>
            <w:r w:rsidRPr="00866299">
              <w:rPr>
                <w:rFonts w:ascii="Calibri" w:hAnsi="Calibri"/>
                <w:sz w:val="22"/>
                <w:lang w:eastAsia="en-US"/>
              </w:rPr>
              <w:t>2019-</w:t>
            </w:r>
            <w:r w:rsidRPr="00866299">
              <w:rPr>
                <w:rFonts w:ascii="Calibri" w:hAnsi="Calibri"/>
                <w:sz w:val="22"/>
                <w:lang w:eastAsia="en-US"/>
              </w:rPr>
              <w:softHyphen/>
              <w:t>20</w:t>
            </w:r>
          </w:p>
          <w:p w14:paraId="1E0DB730" w14:textId="77777777" w:rsidR="00C24C61" w:rsidRPr="00866299" w:rsidRDefault="00C24C61" w:rsidP="00C24C61">
            <w:pPr>
              <w:spacing w:line="256" w:lineRule="auto"/>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left w:val="nil"/>
              <w:bottom w:val="single" w:sz="4" w:space="0" w:color="auto"/>
              <w:right w:val="nil"/>
            </w:tcBorders>
            <w:hideMark/>
          </w:tcPr>
          <w:p w14:paraId="0F396516" w14:textId="77777777" w:rsidR="00C24C61" w:rsidRPr="00866299" w:rsidRDefault="00C24C61" w:rsidP="00C24C61">
            <w:pPr>
              <w:spacing w:line="256" w:lineRule="auto"/>
              <w:ind w:left="284" w:hanging="284"/>
              <w:jc w:val="right"/>
              <w:rPr>
                <w:rFonts w:ascii="Calibri" w:hAnsi="Calibri"/>
                <w:sz w:val="22"/>
                <w:lang w:eastAsia="en-US"/>
              </w:rPr>
            </w:pPr>
            <w:r w:rsidRPr="00866299">
              <w:rPr>
                <w:rFonts w:ascii="Calibri" w:hAnsi="Calibri"/>
                <w:sz w:val="22"/>
                <w:lang w:eastAsia="en-US"/>
              </w:rPr>
              <w:t>2020</w:t>
            </w:r>
            <w:r w:rsidRPr="00866299">
              <w:rPr>
                <w:rFonts w:ascii="Calibri" w:hAnsi="Calibri"/>
                <w:sz w:val="22"/>
                <w:lang w:eastAsia="en-US"/>
              </w:rPr>
              <w:softHyphen/>
              <w:t>-21</w:t>
            </w:r>
          </w:p>
          <w:p w14:paraId="27E7BCC2" w14:textId="77777777" w:rsidR="00C24C61" w:rsidRPr="00866299" w:rsidRDefault="00C24C61" w:rsidP="00C24C61">
            <w:pPr>
              <w:spacing w:line="256" w:lineRule="auto"/>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left w:val="nil"/>
              <w:bottom w:val="single" w:sz="4" w:space="0" w:color="auto"/>
              <w:right w:val="nil"/>
            </w:tcBorders>
            <w:hideMark/>
          </w:tcPr>
          <w:p w14:paraId="0041280F" w14:textId="77777777" w:rsidR="00C24C61" w:rsidRPr="00866299" w:rsidRDefault="00C24C61" w:rsidP="00C24C61">
            <w:pPr>
              <w:spacing w:line="256" w:lineRule="auto"/>
              <w:ind w:left="284" w:hanging="284"/>
              <w:jc w:val="right"/>
              <w:rPr>
                <w:rFonts w:ascii="Calibri" w:hAnsi="Calibri"/>
                <w:sz w:val="22"/>
                <w:lang w:eastAsia="en-US"/>
              </w:rPr>
            </w:pPr>
            <w:r w:rsidRPr="00866299">
              <w:rPr>
                <w:rFonts w:ascii="Calibri" w:hAnsi="Calibri"/>
                <w:sz w:val="22"/>
                <w:lang w:eastAsia="en-US"/>
              </w:rPr>
              <w:t>2021</w:t>
            </w:r>
            <w:r w:rsidRPr="00866299">
              <w:rPr>
                <w:rFonts w:ascii="Calibri" w:hAnsi="Calibri"/>
                <w:sz w:val="22"/>
                <w:lang w:eastAsia="en-US"/>
              </w:rPr>
              <w:softHyphen/>
              <w:t>-22</w:t>
            </w:r>
          </w:p>
          <w:p w14:paraId="5EAA8929" w14:textId="77777777" w:rsidR="00C24C61" w:rsidRPr="00866299" w:rsidRDefault="00C24C61" w:rsidP="00C24C61">
            <w:pPr>
              <w:spacing w:line="256" w:lineRule="auto"/>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left w:val="nil"/>
              <w:bottom w:val="single" w:sz="4" w:space="0" w:color="auto"/>
              <w:right w:val="nil"/>
            </w:tcBorders>
            <w:hideMark/>
          </w:tcPr>
          <w:p w14:paraId="4F5CCF33" w14:textId="77777777" w:rsidR="00C24C61" w:rsidRPr="00866299" w:rsidRDefault="00C24C61" w:rsidP="00C24C61">
            <w:pPr>
              <w:spacing w:line="256" w:lineRule="auto"/>
              <w:ind w:left="284" w:hanging="284"/>
              <w:jc w:val="right"/>
              <w:rPr>
                <w:rFonts w:ascii="Calibri" w:hAnsi="Calibri"/>
                <w:sz w:val="22"/>
                <w:lang w:eastAsia="en-US"/>
              </w:rPr>
            </w:pPr>
            <w:r w:rsidRPr="00866299">
              <w:rPr>
                <w:rFonts w:ascii="Calibri" w:hAnsi="Calibri"/>
                <w:sz w:val="22"/>
                <w:lang w:eastAsia="en-US"/>
              </w:rPr>
              <w:t>2022-23</w:t>
            </w:r>
          </w:p>
          <w:p w14:paraId="3685AF92" w14:textId="77777777" w:rsidR="00C24C61" w:rsidRPr="00866299" w:rsidRDefault="00C24C61" w:rsidP="00C24C61">
            <w:pPr>
              <w:spacing w:line="256" w:lineRule="auto"/>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left w:val="nil"/>
              <w:bottom w:val="single" w:sz="4" w:space="0" w:color="auto"/>
              <w:right w:val="nil"/>
            </w:tcBorders>
            <w:hideMark/>
          </w:tcPr>
          <w:p w14:paraId="41AD37ED" w14:textId="77777777" w:rsidR="00C24C61" w:rsidRPr="00866299" w:rsidRDefault="00C24C61" w:rsidP="00C24C61">
            <w:pPr>
              <w:spacing w:line="256" w:lineRule="auto"/>
              <w:ind w:left="284" w:hanging="284"/>
              <w:jc w:val="right"/>
              <w:rPr>
                <w:rFonts w:ascii="Calibri" w:hAnsi="Calibri"/>
                <w:b/>
                <w:sz w:val="22"/>
                <w:lang w:eastAsia="en-US"/>
              </w:rPr>
            </w:pPr>
            <w:r w:rsidRPr="00866299">
              <w:rPr>
                <w:rFonts w:ascii="Calibri" w:hAnsi="Calibri"/>
                <w:b/>
                <w:sz w:val="22"/>
                <w:lang w:eastAsia="en-US"/>
              </w:rPr>
              <w:t>Total</w:t>
            </w:r>
          </w:p>
          <w:p w14:paraId="2D47484E" w14:textId="77777777" w:rsidR="00C24C61" w:rsidRPr="00866299" w:rsidRDefault="00C24C61" w:rsidP="00C24C61">
            <w:pPr>
              <w:spacing w:line="256" w:lineRule="auto"/>
              <w:ind w:left="284" w:hanging="284"/>
              <w:jc w:val="right"/>
              <w:rPr>
                <w:rFonts w:ascii="Calibri" w:hAnsi="Calibri"/>
                <w:b/>
                <w:sz w:val="22"/>
                <w:lang w:eastAsia="en-US"/>
              </w:rPr>
            </w:pPr>
            <w:r w:rsidRPr="00866299">
              <w:rPr>
                <w:rFonts w:ascii="Calibri" w:hAnsi="Calibri"/>
                <w:b/>
                <w:sz w:val="22"/>
                <w:lang w:eastAsia="en-US"/>
              </w:rPr>
              <w:t>$’000</w:t>
            </w:r>
          </w:p>
        </w:tc>
      </w:tr>
      <w:tr w:rsidR="00C24C61" w:rsidRPr="00866299" w14:paraId="03169AFC" w14:textId="77777777" w:rsidTr="00D31DE3">
        <w:trPr>
          <w:cantSplit/>
        </w:trPr>
        <w:tc>
          <w:tcPr>
            <w:tcW w:w="3652" w:type="dxa"/>
            <w:tcBorders>
              <w:top w:val="single" w:sz="4" w:space="0" w:color="auto"/>
              <w:left w:val="nil"/>
              <w:bottom w:val="single" w:sz="4" w:space="0" w:color="auto"/>
              <w:right w:val="nil"/>
            </w:tcBorders>
            <w:hideMark/>
          </w:tcPr>
          <w:p w14:paraId="7982BD95" w14:textId="77777777" w:rsidR="00C24C61" w:rsidRPr="00866299" w:rsidRDefault="00C24C61" w:rsidP="00C24C61">
            <w:pPr>
              <w:ind w:left="284" w:hanging="284"/>
              <w:rPr>
                <w:rFonts w:ascii="Calibri" w:hAnsi="Calibri"/>
                <w:sz w:val="22"/>
                <w:lang w:eastAsia="en-US"/>
              </w:rPr>
            </w:pPr>
            <w:r w:rsidRPr="00866299">
              <w:rPr>
                <w:rFonts w:ascii="Calibri" w:hAnsi="Calibri"/>
                <w:sz w:val="22"/>
                <w:lang w:eastAsia="en-US"/>
              </w:rPr>
              <w:t>Capital</w:t>
            </w:r>
          </w:p>
        </w:tc>
        <w:tc>
          <w:tcPr>
            <w:tcW w:w="1179" w:type="dxa"/>
            <w:tcBorders>
              <w:top w:val="single" w:sz="4" w:space="0" w:color="auto"/>
              <w:left w:val="nil"/>
              <w:bottom w:val="single" w:sz="4" w:space="0" w:color="auto"/>
              <w:right w:val="nil"/>
            </w:tcBorders>
            <w:hideMark/>
          </w:tcPr>
          <w:p w14:paraId="27AFEB46"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2,250</w:t>
            </w:r>
          </w:p>
        </w:tc>
        <w:tc>
          <w:tcPr>
            <w:tcW w:w="1041" w:type="dxa"/>
            <w:tcBorders>
              <w:top w:val="single" w:sz="4" w:space="0" w:color="auto"/>
              <w:left w:val="nil"/>
              <w:bottom w:val="single" w:sz="4" w:space="0" w:color="auto"/>
              <w:right w:val="nil"/>
            </w:tcBorders>
            <w:hideMark/>
          </w:tcPr>
          <w:p w14:paraId="22E1B6DF"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left w:val="nil"/>
              <w:bottom w:val="single" w:sz="4" w:space="0" w:color="auto"/>
              <w:right w:val="nil"/>
            </w:tcBorders>
            <w:hideMark/>
          </w:tcPr>
          <w:p w14:paraId="483145B4"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left w:val="nil"/>
              <w:bottom w:val="single" w:sz="4" w:space="0" w:color="auto"/>
              <w:right w:val="nil"/>
            </w:tcBorders>
            <w:hideMark/>
          </w:tcPr>
          <w:p w14:paraId="254BE92D"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left w:val="nil"/>
              <w:bottom w:val="single" w:sz="4" w:space="0" w:color="auto"/>
              <w:right w:val="nil"/>
            </w:tcBorders>
            <w:hideMark/>
          </w:tcPr>
          <w:p w14:paraId="6C3D3491"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2,250</w:t>
            </w:r>
          </w:p>
        </w:tc>
      </w:tr>
    </w:tbl>
    <w:p w14:paraId="15447637" w14:textId="77777777" w:rsidR="00C24C61" w:rsidRPr="00C24C61" w:rsidRDefault="00C24C61" w:rsidP="00D31DE3">
      <w:pPr>
        <w:pStyle w:val="snapInitbody"/>
      </w:pPr>
      <w:r w:rsidRPr="00C24C61">
        <w:t xml:space="preserve">Through the </w:t>
      </w:r>
      <w:r w:rsidRPr="00C24C61">
        <w:rPr>
          <w:i/>
        </w:rPr>
        <w:t>Better Infrastructure Fund</w:t>
      </w:r>
      <w:r w:rsidRPr="00C24C61">
        <w:t>, the Government delivers footpath and cycleway upgrades to help make suburbs more age-friendly and promote active travel. In 2019-20 these works will be delivered in Aranda, Campbell, Holt, Isabella Plains, Narrabundah and Stirling. We will also upgrade bus stop infrastructure across the ACT to improve accessibility and encourage more Canberrans to combine active travel with public transport.</w:t>
      </w:r>
    </w:p>
    <w:p w14:paraId="7E77C617" w14:textId="77777777" w:rsidR="00C24C61" w:rsidRPr="00202E81" w:rsidRDefault="00C24C61" w:rsidP="00202E81">
      <w:pPr>
        <w:pStyle w:val="snapInittitles"/>
      </w:pPr>
      <w:r w:rsidRPr="00202E81">
        <w:t xml:space="preserve">Better connecting Belconnen and Gungahlin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C24C61" w:rsidRPr="00866299" w14:paraId="04B7EE4F" w14:textId="77777777" w:rsidTr="00D31DE3">
        <w:trPr>
          <w:cantSplit/>
        </w:trPr>
        <w:tc>
          <w:tcPr>
            <w:tcW w:w="3652" w:type="dxa"/>
            <w:tcBorders>
              <w:top w:val="single" w:sz="4" w:space="0" w:color="auto"/>
              <w:bottom w:val="single" w:sz="4" w:space="0" w:color="auto"/>
            </w:tcBorders>
          </w:tcPr>
          <w:p w14:paraId="53F75458" w14:textId="77777777" w:rsidR="00C24C61" w:rsidRPr="00866299" w:rsidRDefault="00C24C61" w:rsidP="00C24C61">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526B94B3"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2019­20</w:t>
            </w:r>
          </w:p>
          <w:p w14:paraId="043483FA"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6DB7C557"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2020­21</w:t>
            </w:r>
          </w:p>
          <w:p w14:paraId="3E1A8B4C"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1B5EC3A5"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2021­22</w:t>
            </w:r>
          </w:p>
          <w:p w14:paraId="1D844D09"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78C1FAB"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2022-23</w:t>
            </w:r>
          </w:p>
          <w:p w14:paraId="55A7D550"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22AF3103"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Total</w:t>
            </w:r>
          </w:p>
          <w:p w14:paraId="35F7F67D"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$’000</w:t>
            </w:r>
          </w:p>
        </w:tc>
      </w:tr>
      <w:tr w:rsidR="00C24C61" w:rsidRPr="00866299" w14:paraId="070D4CBC" w14:textId="77777777" w:rsidTr="00D31DE3">
        <w:trPr>
          <w:cantSplit/>
        </w:trPr>
        <w:tc>
          <w:tcPr>
            <w:tcW w:w="3652" w:type="dxa"/>
            <w:tcBorders>
              <w:top w:val="single" w:sz="4" w:space="0" w:color="auto"/>
            </w:tcBorders>
          </w:tcPr>
          <w:p w14:paraId="1F3DF876" w14:textId="77777777" w:rsidR="00C24C61" w:rsidRPr="00866299" w:rsidRDefault="00C24C61" w:rsidP="00C24C61">
            <w:pPr>
              <w:ind w:left="284" w:hanging="284"/>
              <w:rPr>
                <w:rFonts w:ascii="Calibri" w:hAnsi="Calibri"/>
                <w:sz w:val="22"/>
                <w:lang w:eastAsia="en-US"/>
              </w:rPr>
            </w:pPr>
            <w:r w:rsidRPr="00866299">
              <w:rPr>
                <w:rFonts w:ascii="Calibri" w:hAnsi="Calibri"/>
                <w:sz w:val="22"/>
                <w:lang w:eastAsia="en-US"/>
              </w:rPr>
              <w:t>Capital</w:t>
            </w:r>
          </w:p>
        </w:tc>
        <w:tc>
          <w:tcPr>
            <w:tcW w:w="1179" w:type="dxa"/>
            <w:tcBorders>
              <w:top w:val="single" w:sz="4" w:space="0" w:color="auto"/>
            </w:tcBorders>
          </w:tcPr>
          <w:p w14:paraId="27717D58" w14:textId="77777777" w:rsidR="00C24C61" w:rsidRPr="00866299" w:rsidRDefault="00C24C61" w:rsidP="00C24C61">
            <w:pPr>
              <w:ind w:left="284" w:hanging="284"/>
              <w:jc w:val="right"/>
              <w:rPr>
                <w:rFonts w:ascii="Calibri" w:hAnsi="Calibri"/>
                <w:i/>
                <w:sz w:val="22"/>
                <w:lang w:eastAsia="en-US"/>
              </w:rPr>
            </w:pPr>
            <w:r w:rsidRPr="00866299">
              <w:rPr>
                <w:rFonts w:ascii="Calibri" w:hAnsi="Calibri"/>
                <w:sz w:val="22"/>
                <w:lang w:eastAsia="en-US"/>
              </w:rPr>
              <w:t>4,530</w:t>
            </w:r>
          </w:p>
        </w:tc>
        <w:tc>
          <w:tcPr>
            <w:tcW w:w="1041" w:type="dxa"/>
            <w:tcBorders>
              <w:top w:val="single" w:sz="4" w:space="0" w:color="auto"/>
            </w:tcBorders>
          </w:tcPr>
          <w:p w14:paraId="47E24E78"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15,000</w:t>
            </w:r>
          </w:p>
        </w:tc>
        <w:tc>
          <w:tcPr>
            <w:tcW w:w="1029" w:type="dxa"/>
            <w:tcBorders>
              <w:top w:val="single" w:sz="4" w:space="0" w:color="auto"/>
            </w:tcBorders>
          </w:tcPr>
          <w:p w14:paraId="4FE91F98"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15,000</w:t>
            </w:r>
          </w:p>
        </w:tc>
        <w:tc>
          <w:tcPr>
            <w:tcW w:w="1029" w:type="dxa"/>
            <w:tcBorders>
              <w:top w:val="single" w:sz="4" w:space="0" w:color="auto"/>
            </w:tcBorders>
          </w:tcPr>
          <w:p w14:paraId="3D6DE76E"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10,000</w:t>
            </w:r>
          </w:p>
        </w:tc>
        <w:tc>
          <w:tcPr>
            <w:tcW w:w="1029" w:type="dxa"/>
            <w:tcBorders>
              <w:top w:val="single" w:sz="4" w:space="0" w:color="auto"/>
            </w:tcBorders>
          </w:tcPr>
          <w:p w14:paraId="3C543F4D"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44,530</w:t>
            </w:r>
          </w:p>
        </w:tc>
      </w:tr>
      <w:tr w:rsidR="00C24C61" w:rsidRPr="00866299" w14:paraId="45445D53" w14:textId="77777777" w:rsidTr="00D31DE3">
        <w:trPr>
          <w:cantSplit/>
        </w:trPr>
        <w:tc>
          <w:tcPr>
            <w:tcW w:w="3652" w:type="dxa"/>
            <w:tcBorders>
              <w:top w:val="single" w:sz="4" w:space="0" w:color="auto"/>
              <w:bottom w:val="single" w:sz="4" w:space="0" w:color="auto"/>
            </w:tcBorders>
          </w:tcPr>
          <w:p w14:paraId="24458105" w14:textId="77777777" w:rsidR="00C24C61" w:rsidRPr="00866299" w:rsidRDefault="00C24C61" w:rsidP="00C24C61">
            <w:pPr>
              <w:ind w:left="284" w:hanging="284"/>
              <w:rPr>
                <w:rFonts w:ascii="Calibri" w:hAnsi="Calibri"/>
                <w:sz w:val="22"/>
                <w:lang w:eastAsia="en-US"/>
              </w:rPr>
            </w:pPr>
            <w:r w:rsidRPr="00866299">
              <w:rPr>
                <w:rFonts w:ascii="Calibri" w:hAnsi="Calibri"/>
                <w:sz w:val="22"/>
                <w:lang w:eastAsia="en-US"/>
              </w:rPr>
              <w:t>Depreciation</w:t>
            </w:r>
          </w:p>
        </w:tc>
        <w:tc>
          <w:tcPr>
            <w:tcW w:w="1179" w:type="dxa"/>
            <w:tcBorders>
              <w:top w:val="single" w:sz="4" w:space="0" w:color="auto"/>
              <w:bottom w:val="single" w:sz="4" w:space="0" w:color="auto"/>
            </w:tcBorders>
          </w:tcPr>
          <w:p w14:paraId="1973638D"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41" w:type="dxa"/>
            <w:tcBorders>
              <w:top w:val="single" w:sz="4" w:space="0" w:color="auto"/>
              <w:bottom w:val="single" w:sz="4" w:space="0" w:color="auto"/>
            </w:tcBorders>
          </w:tcPr>
          <w:p w14:paraId="7ABEDDAE"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074B44AA"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6D95E953"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597</w:t>
            </w:r>
          </w:p>
        </w:tc>
        <w:tc>
          <w:tcPr>
            <w:tcW w:w="1029" w:type="dxa"/>
            <w:tcBorders>
              <w:top w:val="single" w:sz="4" w:space="0" w:color="auto"/>
              <w:bottom w:val="single" w:sz="4" w:space="0" w:color="auto"/>
            </w:tcBorders>
          </w:tcPr>
          <w:p w14:paraId="2B24FE81"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597</w:t>
            </w:r>
          </w:p>
        </w:tc>
      </w:tr>
    </w:tbl>
    <w:p w14:paraId="6ABD1769" w14:textId="77777777" w:rsidR="00C24C61" w:rsidRPr="00C24C61" w:rsidRDefault="00C24C61" w:rsidP="00D31DE3">
      <w:pPr>
        <w:pStyle w:val="snapInitbody"/>
      </w:pPr>
      <w:r w:rsidRPr="00C24C61">
        <w:t xml:space="preserve">The Government will improve access between Belconnen and Gungahlin by duplicating the arterial road between Ginninderra Drive and the Barton Highway, with the Commonwealth Government contributing $20 million towards these works through the </w:t>
      </w:r>
      <w:r w:rsidRPr="00C24C61">
        <w:rPr>
          <w:i/>
        </w:rPr>
        <w:t>National Partnership Agreement on Land Transport Infrastructure Projects</w:t>
      </w:r>
      <w:r w:rsidRPr="00C24C61">
        <w:t>.</w:t>
      </w:r>
    </w:p>
    <w:p w14:paraId="73380450" w14:textId="77777777" w:rsidR="00C24C61" w:rsidRPr="00202E81" w:rsidRDefault="00C24C61" w:rsidP="00202E81">
      <w:pPr>
        <w:pStyle w:val="snapInittitles"/>
      </w:pPr>
      <w:r w:rsidRPr="00202E81">
        <w:t xml:space="preserve">Better </w:t>
      </w:r>
      <w:proofErr w:type="spellStart"/>
      <w:r w:rsidRPr="00202E81">
        <w:t>sportgrounds</w:t>
      </w:r>
      <w:proofErr w:type="spellEnd"/>
      <w:r w:rsidRPr="00202E81">
        <w:t xml:space="preserve"> and dog parks </w:t>
      </w:r>
    </w:p>
    <w:tbl>
      <w:tblPr>
        <w:tblW w:w="5000" w:type="pct"/>
        <w:tblLayout w:type="fixed"/>
        <w:tblLook w:val="04A0" w:firstRow="1" w:lastRow="0" w:firstColumn="1" w:lastColumn="0" w:noHBand="0" w:noVBand="1"/>
      </w:tblPr>
      <w:tblGrid>
        <w:gridCol w:w="3929"/>
        <w:gridCol w:w="1268"/>
        <w:gridCol w:w="1120"/>
        <w:gridCol w:w="1107"/>
        <w:gridCol w:w="1107"/>
        <w:gridCol w:w="1107"/>
      </w:tblGrid>
      <w:tr w:rsidR="00C24C61" w:rsidRPr="00866299" w14:paraId="5AF301C3" w14:textId="77777777" w:rsidTr="00D31DE3">
        <w:trPr>
          <w:cantSplit/>
        </w:trPr>
        <w:tc>
          <w:tcPr>
            <w:tcW w:w="3652" w:type="dxa"/>
            <w:tcBorders>
              <w:top w:val="single" w:sz="4" w:space="0" w:color="auto"/>
              <w:left w:val="nil"/>
              <w:bottom w:val="single" w:sz="4" w:space="0" w:color="auto"/>
              <w:right w:val="nil"/>
            </w:tcBorders>
            <w:hideMark/>
          </w:tcPr>
          <w:p w14:paraId="470A63DA" w14:textId="77777777" w:rsidR="00C24C61" w:rsidRPr="00866299" w:rsidRDefault="00C24C61" w:rsidP="00C24C61">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left w:val="nil"/>
              <w:bottom w:val="single" w:sz="4" w:space="0" w:color="auto"/>
              <w:right w:val="nil"/>
            </w:tcBorders>
            <w:hideMark/>
          </w:tcPr>
          <w:p w14:paraId="74A58685" w14:textId="77777777" w:rsidR="00C24C61" w:rsidRPr="00866299" w:rsidRDefault="00C24C61" w:rsidP="00C24C61">
            <w:pPr>
              <w:spacing w:line="256" w:lineRule="auto"/>
              <w:ind w:left="284" w:hanging="284"/>
              <w:jc w:val="right"/>
              <w:rPr>
                <w:rFonts w:ascii="Calibri" w:hAnsi="Calibri"/>
                <w:sz w:val="22"/>
                <w:lang w:eastAsia="en-US"/>
              </w:rPr>
            </w:pPr>
            <w:r w:rsidRPr="00866299">
              <w:rPr>
                <w:rFonts w:ascii="Calibri" w:hAnsi="Calibri"/>
                <w:sz w:val="22"/>
                <w:lang w:eastAsia="en-US"/>
              </w:rPr>
              <w:t>2019</w:t>
            </w:r>
            <w:r w:rsidRPr="00866299">
              <w:rPr>
                <w:rFonts w:ascii="Calibri" w:hAnsi="Calibri"/>
                <w:sz w:val="22"/>
                <w:lang w:eastAsia="en-US"/>
              </w:rPr>
              <w:softHyphen/>
              <w:t>-20</w:t>
            </w:r>
          </w:p>
          <w:p w14:paraId="0D26A4D7" w14:textId="77777777" w:rsidR="00C24C61" w:rsidRPr="00866299" w:rsidRDefault="00C24C61" w:rsidP="00C24C61">
            <w:pPr>
              <w:spacing w:line="256" w:lineRule="auto"/>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left w:val="nil"/>
              <w:bottom w:val="single" w:sz="4" w:space="0" w:color="auto"/>
              <w:right w:val="nil"/>
            </w:tcBorders>
            <w:hideMark/>
          </w:tcPr>
          <w:p w14:paraId="1E8E7DC9" w14:textId="77777777" w:rsidR="00C24C61" w:rsidRPr="00866299" w:rsidRDefault="00C24C61" w:rsidP="00C24C61">
            <w:pPr>
              <w:spacing w:line="256" w:lineRule="auto"/>
              <w:ind w:left="284" w:hanging="284"/>
              <w:jc w:val="right"/>
              <w:rPr>
                <w:rFonts w:ascii="Calibri" w:hAnsi="Calibri"/>
                <w:sz w:val="22"/>
                <w:lang w:eastAsia="en-US"/>
              </w:rPr>
            </w:pPr>
            <w:r w:rsidRPr="00866299">
              <w:rPr>
                <w:rFonts w:ascii="Calibri" w:hAnsi="Calibri"/>
                <w:sz w:val="22"/>
                <w:lang w:eastAsia="en-US"/>
              </w:rPr>
              <w:t>2020-</w:t>
            </w:r>
            <w:r w:rsidRPr="00866299">
              <w:rPr>
                <w:rFonts w:ascii="Calibri" w:hAnsi="Calibri"/>
                <w:sz w:val="22"/>
                <w:lang w:eastAsia="en-US"/>
              </w:rPr>
              <w:softHyphen/>
              <w:t>21</w:t>
            </w:r>
          </w:p>
          <w:p w14:paraId="5B7C4BE7" w14:textId="77777777" w:rsidR="00C24C61" w:rsidRPr="00866299" w:rsidRDefault="00C24C61" w:rsidP="00C24C61">
            <w:pPr>
              <w:spacing w:line="256" w:lineRule="auto"/>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left w:val="nil"/>
              <w:bottom w:val="single" w:sz="4" w:space="0" w:color="auto"/>
              <w:right w:val="nil"/>
            </w:tcBorders>
            <w:hideMark/>
          </w:tcPr>
          <w:p w14:paraId="4A78CC7C" w14:textId="77777777" w:rsidR="00C24C61" w:rsidRPr="00866299" w:rsidRDefault="00C24C61" w:rsidP="00C24C61">
            <w:pPr>
              <w:spacing w:line="256" w:lineRule="auto"/>
              <w:ind w:left="284" w:hanging="284"/>
              <w:jc w:val="right"/>
              <w:rPr>
                <w:rFonts w:ascii="Calibri" w:hAnsi="Calibri"/>
                <w:sz w:val="22"/>
                <w:lang w:eastAsia="en-US"/>
              </w:rPr>
            </w:pPr>
            <w:r w:rsidRPr="00866299">
              <w:rPr>
                <w:rFonts w:ascii="Calibri" w:hAnsi="Calibri"/>
                <w:sz w:val="22"/>
                <w:lang w:eastAsia="en-US"/>
              </w:rPr>
              <w:t>2021-</w:t>
            </w:r>
            <w:r w:rsidRPr="00866299">
              <w:rPr>
                <w:rFonts w:ascii="Calibri" w:hAnsi="Calibri"/>
                <w:sz w:val="22"/>
                <w:lang w:eastAsia="en-US"/>
              </w:rPr>
              <w:softHyphen/>
              <w:t>22</w:t>
            </w:r>
          </w:p>
          <w:p w14:paraId="17499CA6" w14:textId="77777777" w:rsidR="00C24C61" w:rsidRPr="00866299" w:rsidRDefault="00C24C61" w:rsidP="00C24C61">
            <w:pPr>
              <w:spacing w:line="256" w:lineRule="auto"/>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left w:val="nil"/>
              <w:bottom w:val="single" w:sz="4" w:space="0" w:color="auto"/>
              <w:right w:val="nil"/>
            </w:tcBorders>
            <w:hideMark/>
          </w:tcPr>
          <w:p w14:paraId="7E0B397C" w14:textId="77777777" w:rsidR="00C24C61" w:rsidRPr="00866299" w:rsidRDefault="00C24C61" w:rsidP="00C24C61">
            <w:pPr>
              <w:spacing w:line="256" w:lineRule="auto"/>
              <w:ind w:left="284" w:hanging="284"/>
              <w:jc w:val="right"/>
              <w:rPr>
                <w:rFonts w:ascii="Calibri" w:hAnsi="Calibri"/>
                <w:sz w:val="22"/>
                <w:lang w:eastAsia="en-US"/>
              </w:rPr>
            </w:pPr>
            <w:r w:rsidRPr="00866299">
              <w:rPr>
                <w:rFonts w:ascii="Calibri" w:hAnsi="Calibri"/>
                <w:sz w:val="22"/>
                <w:lang w:eastAsia="en-US"/>
              </w:rPr>
              <w:t>2022-23</w:t>
            </w:r>
          </w:p>
          <w:p w14:paraId="0FA93832" w14:textId="77777777" w:rsidR="00C24C61" w:rsidRPr="00866299" w:rsidRDefault="00C24C61" w:rsidP="00C24C61">
            <w:pPr>
              <w:spacing w:line="256" w:lineRule="auto"/>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left w:val="nil"/>
              <w:bottom w:val="single" w:sz="4" w:space="0" w:color="auto"/>
              <w:right w:val="nil"/>
            </w:tcBorders>
            <w:hideMark/>
          </w:tcPr>
          <w:p w14:paraId="69DD8A3D" w14:textId="77777777" w:rsidR="00C24C61" w:rsidRPr="00866299" w:rsidRDefault="00C24C61" w:rsidP="00C24C61">
            <w:pPr>
              <w:spacing w:line="256" w:lineRule="auto"/>
              <w:ind w:left="284" w:hanging="284"/>
              <w:jc w:val="right"/>
              <w:rPr>
                <w:rFonts w:ascii="Calibri" w:hAnsi="Calibri"/>
                <w:b/>
                <w:sz w:val="22"/>
                <w:lang w:eastAsia="en-US"/>
              </w:rPr>
            </w:pPr>
            <w:r w:rsidRPr="00866299">
              <w:rPr>
                <w:rFonts w:ascii="Calibri" w:hAnsi="Calibri"/>
                <w:b/>
                <w:sz w:val="22"/>
                <w:lang w:eastAsia="en-US"/>
              </w:rPr>
              <w:t>Total</w:t>
            </w:r>
          </w:p>
          <w:p w14:paraId="730D2936" w14:textId="77777777" w:rsidR="00C24C61" w:rsidRPr="00866299" w:rsidRDefault="00C24C61" w:rsidP="00C24C61">
            <w:pPr>
              <w:spacing w:line="256" w:lineRule="auto"/>
              <w:ind w:left="284" w:hanging="284"/>
              <w:jc w:val="right"/>
              <w:rPr>
                <w:rFonts w:ascii="Calibri" w:hAnsi="Calibri"/>
                <w:b/>
                <w:sz w:val="22"/>
                <w:lang w:eastAsia="en-US"/>
              </w:rPr>
            </w:pPr>
            <w:r w:rsidRPr="00866299">
              <w:rPr>
                <w:rFonts w:ascii="Calibri" w:hAnsi="Calibri"/>
                <w:b/>
                <w:sz w:val="22"/>
                <w:lang w:eastAsia="en-US"/>
              </w:rPr>
              <w:t>$’000</w:t>
            </w:r>
          </w:p>
        </w:tc>
      </w:tr>
      <w:tr w:rsidR="00C24C61" w:rsidRPr="00866299" w14:paraId="088FE17F" w14:textId="77777777" w:rsidTr="00D31DE3">
        <w:trPr>
          <w:cantSplit/>
        </w:trPr>
        <w:tc>
          <w:tcPr>
            <w:tcW w:w="3652" w:type="dxa"/>
            <w:tcBorders>
              <w:top w:val="single" w:sz="4" w:space="0" w:color="auto"/>
              <w:left w:val="nil"/>
              <w:bottom w:val="single" w:sz="4" w:space="0" w:color="auto"/>
              <w:right w:val="nil"/>
            </w:tcBorders>
            <w:hideMark/>
          </w:tcPr>
          <w:p w14:paraId="37978D80" w14:textId="77777777" w:rsidR="00C24C61" w:rsidRPr="00866299" w:rsidRDefault="00C24C61" w:rsidP="00C24C61">
            <w:pPr>
              <w:ind w:left="284" w:hanging="284"/>
              <w:rPr>
                <w:rFonts w:ascii="Calibri" w:hAnsi="Calibri"/>
                <w:sz w:val="22"/>
                <w:lang w:eastAsia="en-US"/>
              </w:rPr>
            </w:pPr>
            <w:r w:rsidRPr="00866299">
              <w:rPr>
                <w:rFonts w:ascii="Calibri" w:hAnsi="Calibri"/>
                <w:sz w:val="22"/>
                <w:lang w:eastAsia="en-US"/>
              </w:rPr>
              <w:t>Capital</w:t>
            </w:r>
          </w:p>
        </w:tc>
        <w:tc>
          <w:tcPr>
            <w:tcW w:w="1179" w:type="dxa"/>
            <w:tcBorders>
              <w:top w:val="single" w:sz="4" w:space="0" w:color="auto"/>
              <w:left w:val="nil"/>
              <w:bottom w:val="single" w:sz="4" w:space="0" w:color="auto"/>
              <w:right w:val="nil"/>
            </w:tcBorders>
            <w:hideMark/>
          </w:tcPr>
          <w:p w14:paraId="4C1C4469"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1,510</w:t>
            </w:r>
          </w:p>
        </w:tc>
        <w:tc>
          <w:tcPr>
            <w:tcW w:w="1041" w:type="dxa"/>
            <w:tcBorders>
              <w:top w:val="single" w:sz="4" w:space="0" w:color="auto"/>
              <w:left w:val="nil"/>
              <w:bottom w:val="single" w:sz="4" w:space="0" w:color="auto"/>
              <w:right w:val="nil"/>
            </w:tcBorders>
            <w:hideMark/>
          </w:tcPr>
          <w:p w14:paraId="737952F9"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left w:val="nil"/>
              <w:bottom w:val="single" w:sz="4" w:space="0" w:color="auto"/>
              <w:right w:val="nil"/>
            </w:tcBorders>
            <w:hideMark/>
          </w:tcPr>
          <w:p w14:paraId="10710AB4"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left w:val="nil"/>
              <w:bottom w:val="single" w:sz="4" w:space="0" w:color="auto"/>
              <w:right w:val="nil"/>
            </w:tcBorders>
            <w:hideMark/>
          </w:tcPr>
          <w:p w14:paraId="5BB452C3"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left w:val="nil"/>
              <w:bottom w:val="single" w:sz="4" w:space="0" w:color="auto"/>
              <w:right w:val="nil"/>
            </w:tcBorders>
            <w:hideMark/>
          </w:tcPr>
          <w:p w14:paraId="2FD7E599"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1,510</w:t>
            </w:r>
          </w:p>
        </w:tc>
      </w:tr>
    </w:tbl>
    <w:p w14:paraId="12CA807C" w14:textId="77777777" w:rsidR="00C24C61" w:rsidRPr="00C24C61" w:rsidRDefault="00C24C61" w:rsidP="00D31DE3">
      <w:pPr>
        <w:pStyle w:val="snapInitbody"/>
      </w:pPr>
      <w:r w:rsidRPr="00C24C61">
        <w:t xml:space="preserve">The Government will strengthen local suburban infrastructure by improving the amenity of dog parks across Canberra and continuing to upgrade local ovals. The Government will also deliver an annual program of works to upgrade sportsgrounds facilities to ensure they are fit for purpose for the community. These improvements will be undertaken in Narrabundah, Phillip, Nicholls and Yarralumla. </w:t>
      </w:r>
    </w:p>
    <w:p w14:paraId="7DAFC320" w14:textId="77777777" w:rsidR="00C24C61" w:rsidRPr="00C24C61" w:rsidRDefault="00C24C61" w:rsidP="00D31DE3">
      <w:pPr>
        <w:pStyle w:val="snapInitbody"/>
      </w:pPr>
      <w:r w:rsidRPr="00C24C61">
        <w:t xml:space="preserve">This initiative will be delivered through the </w:t>
      </w:r>
      <w:r w:rsidRPr="00C24C61">
        <w:rPr>
          <w:i/>
        </w:rPr>
        <w:t>Better Infrastructure Fund</w:t>
      </w:r>
      <w:r w:rsidRPr="00C24C61">
        <w:t>.</w:t>
      </w:r>
    </w:p>
    <w:p w14:paraId="5ADD97A9" w14:textId="74B2E568" w:rsidR="00C24C61" w:rsidRPr="00202E81" w:rsidRDefault="00C24C61" w:rsidP="00202E81">
      <w:pPr>
        <w:pStyle w:val="snapInittitles"/>
      </w:pPr>
      <w:r w:rsidRPr="00202E81">
        <w:t xml:space="preserve">Commencing Light Rail Stage 1 operations and delivering a light rail stop at Mitchell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C24C61" w:rsidRPr="00866299" w14:paraId="46FB75FB" w14:textId="77777777" w:rsidTr="00D31DE3">
        <w:trPr>
          <w:cantSplit/>
        </w:trPr>
        <w:tc>
          <w:tcPr>
            <w:tcW w:w="3652" w:type="dxa"/>
            <w:tcBorders>
              <w:top w:val="single" w:sz="4" w:space="0" w:color="auto"/>
              <w:bottom w:val="single" w:sz="4" w:space="0" w:color="auto"/>
            </w:tcBorders>
          </w:tcPr>
          <w:p w14:paraId="0210241C" w14:textId="77777777" w:rsidR="00C24C61" w:rsidRPr="00866299" w:rsidRDefault="00C24C61" w:rsidP="00C24C61">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4046075C"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2019­20</w:t>
            </w:r>
          </w:p>
          <w:p w14:paraId="59952F50"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4B44E734"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2020­21</w:t>
            </w:r>
          </w:p>
          <w:p w14:paraId="2D66993F"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5411DA2E"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2021­22</w:t>
            </w:r>
          </w:p>
          <w:p w14:paraId="4BEBFDD0"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3774EC01"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2022-23</w:t>
            </w:r>
          </w:p>
          <w:p w14:paraId="1B8EBB3B"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DB18A3E"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Total</w:t>
            </w:r>
          </w:p>
          <w:p w14:paraId="2F115520"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$’000</w:t>
            </w:r>
          </w:p>
        </w:tc>
      </w:tr>
      <w:tr w:rsidR="00C24C61" w:rsidRPr="00866299" w14:paraId="14185316" w14:textId="77777777" w:rsidTr="00D31DE3">
        <w:trPr>
          <w:cantSplit/>
        </w:trPr>
        <w:tc>
          <w:tcPr>
            <w:tcW w:w="3652" w:type="dxa"/>
            <w:tcBorders>
              <w:top w:val="single" w:sz="4" w:space="0" w:color="auto"/>
            </w:tcBorders>
          </w:tcPr>
          <w:p w14:paraId="37E9F15B" w14:textId="77777777" w:rsidR="00C24C61" w:rsidRPr="00866299" w:rsidRDefault="00C24C61" w:rsidP="00C24C61">
            <w:pPr>
              <w:ind w:left="284" w:hanging="284"/>
              <w:rPr>
                <w:rFonts w:ascii="Calibri" w:hAnsi="Calibri"/>
                <w:sz w:val="22"/>
                <w:lang w:eastAsia="en-US"/>
              </w:rPr>
            </w:pPr>
            <w:r w:rsidRPr="00866299">
              <w:rPr>
                <w:rFonts w:ascii="Calibri" w:hAnsi="Calibri"/>
                <w:sz w:val="22"/>
                <w:lang w:eastAsia="en-US"/>
              </w:rPr>
              <w:t>Capital</w:t>
            </w:r>
          </w:p>
        </w:tc>
        <w:tc>
          <w:tcPr>
            <w:tcW w:w="1179" w:type="dxa"/>
            <w:tcBorders>
              <w:top w:val="single" w:sz="4" w:space="0" w:color="auto"/>
            </w:tcBorders>
          </w:tcPr>
          <w:p w14:paraId="24DCFB5D"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4,847</w:t>
            </w:r>
          </w:p>
        </w:tc>
        <w:tc>
          <w:tcPr>
            <w:tcW w:w="1041" w:type="dxa"/>
            <w:tcBorders>
              <w:top w:val="single" w:sz="4" w:space="0" w:color="auto"/>
            </w:tcBorders>
          </w:tcPr>
          <w:p w14:paraId="4CA3E751" w14:textId="77777777" w:rsidR="00C24C61" w:rsidRPr="00866299" w:rsidRDefault="00C24C61" w:rsidP="00C24C61">
            <w:pPr>
              <w:ind w:left="284" w:hanging="284"/>
              <w:jc w:val="right"/>
              <w:rPr>
                <w:rFonts w:ascii="Calibri" w:hAnsi="Calibri"/>
                <w:sz w:val="22"/>
                <w:lang w:eastAsia="en-US"/>
              </w:rPr>
            </w:pPr>
            <w:proofErr w:type="spellStart"/>
            <w:r w:rsidRPr="00866299">
              <w:rPr>
                <w:rFonts w:ascii="Calibri" w:hAnsi="Calibri"/>
                <w:sz w:val="22"/>
                <w:lang w:eastAsia="en-US"/>
              </w:rPr>
              <w:t>NFP</w:t>
            </w:r>
            <w:proofErr w:type="spellEnd"/>
          </w:p>
        </w:tc>
        <w:tc>
          <w:tcPr>
            <w:tcW w:w="1029" w:type="dxa"/>
            <w:tcBorders>
              <w:top w:val="single" w:sz="4" w:space="0" w:color="auto"/>
            </w:tcBorders>
          </w:tcPr>
          <w:p w14:paraId="46EDE1AC"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2EF755C2"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61A1B7E2" w14:textId="77777777" w:rsidR="00C24C61" w:rsidRPr="00866299" w:rsidRDefault="00C24C61" w:rsidP="00C24C61">
            <w:pPr>
              <w:ind w:left="284" w:hanging="284"/>
              <w:jc w:val="right"/>
              <w:rPr>
                <w:rFonts w:ascii="Calibri" w:hAnsi="Calibri"/>
                <w:b/>
                <w:sz w:val="22"/>
                <w:lang w:eastAsia="en-US"/>
              </w:rPr>
            </w:pPr>
            <w:proofErr w:type="spellStart"/>
            <w:r w:rsidRPr="00866299">
              <w:rPr>
                <w:rFonts w:ascii="Calibri" w:hAnsi="Calibri"/>
                <w:b/>
                <w:sz w:val="22"/>
                <w:lang w:eastAsia="en-US"/>
              </w:rPr>
              <w:t>NFP</w:t>
            </w:r>
            <w:proofErr w:type="spellEnd"/>
          </w:p>
        </w:tc>
      </w:tr>
      <w:tr w:rsidR="00C24C61" w:rsidRPr="00866299" w14:paraId="43FC3C48" w14:textId="77777777" w:rsidTr="00D31DE3">
        <w:trPr>
          <w:cantSplit/>
        </w:trPr>
        <w:tc>
          <w:tcPr>
            <w:tcW w:w="3652" w:type="dxa"/>
          </w:tcPr>
          <w:p w14:paraId="043841BF" w14:textId="77777777" w:rsidR="00C24C61" w:rsidRPr="00866299" w:rsidRDefault="00C24C61" w:rsidP="00C24C61">
            <w:pPr>
              <w:ind w:left="284" w:hanging="284"/>
              <w:rPr>
                <w:rFonts w:ascii="Calibri" w:hAnsi="Calibri"/>
                <w:sz w:val="22"/>
                <w:lang w:eastAsia="en-US"/>
              </w:rPr>
            </w:pPr>
            <w:r w:rsidRPr="00866299">
              <w:rPr>
                <w:rFonts w:ascii="Calibri" w:hAnsi="Calibri"/>
                <w:sz w:val="22"/>
                <w:lang w:eastAsia="en-US"/>
              </w:rPr>
              <w:t>Offset – Capital provision</w:t>
            </w:r>
          </w:p>
        </w:tc>
        <w:tc>
          <w:tcPr>
            <w:tcW w:w="1179" w:type="dxa"/>
          </w:tcPr>
          <w:p w14:paraId="7D3EEC30"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-3,500</w:t>
            </w:r>
          </w:p>
        </w:tc>
        <w:tc>
          <w:tcPr>
            <w:tcW w:w="1041" w:type="dxa"/>
          </w:tcPr>
          <w:p w14:paraId="71F7E94B"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4EBDC5D3"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615B18ED"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7ED81DCD" w14:textId="77777777" w:rsidR="00C24C61" w:rsidRPr="00866299" w:rsidRDefault="00C24C61" w:rsidP="00C24C61">
            <w:pPr>
              <w:ind w:left="284" w:hanging="284"/>
              <w:jc w:val="right"/>
              <w:rPr>
                <w:rFonts w:ascii="Calibri" w:hAnsi="Calibri"/>
                <w:b/>
                <w:sz w:val="22"/>
                <w:lang w:eastAsia="en-US"/>
              </w:rPr>
            </w:pPr>
            <w:proofErr w:type="spellStart"/>
            <w:r w:rsidRPr="00866299">
              <w:rPr>
                <w:rFonts w:ascii="Calibri" w:hAnsi="Calibri"/>
                <w:b/>
                <w:sz w:val="22"/>
                <w:lang w:eastAsia="en-US"/>
              </w:rPr>
              <w:t>NFP</w:t>
            </w:r>
            <w:proofErr w:type="spellEnd"/>
          </w:p>
        </w:tc>
      </w:tr>
      <w:tr w:rsidR="00C24C61" w:rsidRPr="00866299" w14:paraId="3012114A" w14:textId="77777777" w:rsidTr="00D31DE3">
        <w:trPr>
          <w:cantSplit/>
        </w:trPr>
        <w:tc>
          <w:tcPr>
            <w:tcW w:w="3652" w:type="dxa"/>
            <w:tcBorders>
              <w:top w:val="single" w:sz="4" w:space="0" w:color="auto"/>
              <w:bottom w:val="single" w:sz="4" w:space="0" w:color="auto"/>
            </w:tcBorders>
          </w:tcPr>
          <w:p w14:paraId="3EA164E8" w14:textId="77777777" w:rsidR="00C24C61" w:rsidRPr="00866299" w:rsidRDefault="00C24C61" w:rsidP="00C24C61">
            <w:pPr>
              <w:ind w:left="284" w:hanging="284"/>
              <w:rPr>
                <w:rFonts w:ascii="Calibri" w:hAnsi="Calibri"/>
                <w:b/>
                <w:sz w:val="22"/>
                <w:lang w:eastAsia="en-US"/>
              </w:rPr>
            </w:pPr>
            <w:r w:rsidRPr="00866299">
              <w:rPr>
                <w:rFonts w:ascii="Calibri" w:hAnsi="Calibri"/>
                <w:b/>
                <w:sz w:val="22"/>
                <w:lang w:eastAsia="en-US"/>
              </w:rPr>
              <w:t>Net capital</w:t>
            </w:r>
          </w:p>
        </w:tc>
        <w:tc>
          <w:tcPr>
            <w:tcW w:w="1179" w:type="dxa"/>
            <w:tcBorders>
              <w:top w:val="single" w:sz="4" w:space="0" w:color="auto"/>
              <w:bottom w:val="single" w:sz="4" w:space="0" w:color="auto"/>
            </w:tcBorders>
          </w:tcPr>
          <w:p w14:paraId="50A8EE73"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1,347</w:t>
            </w:r>
          </w:p>
        </w:tc>
        <w:tc>
          <w:tcPr>
            <w:tcW w:w="1041" w:type="dxa"/>
            <w:tcBorders>
              <w:top w:val="single" w:sz="4" w:space="0" w:color="auto"/>
              <w:bottom w:val="single" w:sz="4" w:space="0" w:color="auto"/>
            </w:tcBorders>
          </w:tcPr>
          <w:p w14:paraId="7BD08744" w14:textId="77777777" w:rsidR="00C24C61" w:rsidRPr="00866299" w:rsidRDefault="00C24C61" w:rsidP="00C24C61">
            <w:pPr>
              <w:ind w:left="284" w:hanging="284"/>
              <w:jc w:val="right"/>
              <w:rPr>
                <w:rFonts w:ascii="Calibri" w:hAnsi="Calibri"/>
                <w:b/>
                <w:sz w:val="22"/>
                <w:lang w:eastAsia="en-US"/>
              </w:rPr>
            </w:pPr>
            <w:proofErr w:type="spellStart"/>
            <w:r w:rsidRPr="00866299">
              <w:rPr>
                <w:rFonts w:ascii="Calibri" w:hAnsi="Calibri"/>
                <w:b/>
                <w:sz w:val="22"/>
                <w:lang w:eastAsia="en-US"/>
              </w:rPr>
              <w:t>NFP</w:t>
            </w:r>
            <w:proofErr w:type="spellEnd"/>
          </w:p>
        </w:tc>
        <w:tc>
          <w:tcPr>
            <w:tcW w:w="1029" w:type="dxa"/>
            <w:tcBorders>
              <w:top w:val="single" w:sz="4" w:space="0" w:color="auto"/>
              <w:bottom w:val="single" w:sz="4" w:space="0" w:color="auto"/>
            </w:tcBorders>
          </w:tcPr>
          <w:p w14:paraId="09E24593"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4893D445"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6A4339EC" w14:textId="77777777" w:rsidR="00C24C61" w:rsidRPr="00866299" w:rsidRDefault="00C24C61" w:rsidP="00C24C61">
            <w:pPr>
              <w:ind w:left="284" w:hanging="284"/>
              <w:jc w:val="right"/>
              <w:rPr>
                <w:rFonts w:ascii="Calibri" w:hAnsi="Calibri"/>
                <w:b/>
                <w:sz w:val="22"/>
                <w:lang w:eastAsia="en-US"/>
              </w:rPr>
            </w:pPr>
            <w:proofErr w:type="spellStart"/>
            <w:r w:rsidRPr="00866299">
              <w:rPr>
                <w:rFonts w:ascii="Calibri" w:hAnsi="Calibri"/>
                <w:b/>
                <w:sz w:val="22"/>
                <w:lang w:eastAsia="en-US"/>
              </w:rPr>
              <w:t>NFP</w:t>
            </w:r>
            <w:proofErr w:type="spellEnd"/>
          </w:p>
        </w:tc>
      </w:tr>
      <w:tr w:rsidR="00C24C61" w:rsidRPr="00866299" w14:paraId="423158AD" w14:textId="77777777" w:rsidTr="00D31DE3">
        <w:trPr>
          <w:cantSplit/>
        </w:trPr>
        <w:tc>
          <w:tcPr>
            <w:tcW w:w="3652" w:type="dxa"/>
            <w:tcBorders>
              <w:top w:val="single" w:sz="4" w:space="0" w:color="auto"/>
            </w:tcBorders>
          </w:tcPr>
          <w:p w14:paraId="402E15B4" w14:textId="77777777" w:rsidR="00C24C61" w:rsidRPr="00866299" w:rsidRDefault="00C24C61" w:rsidP="00C24C61">
            <w:pPr>
              <w:ind w:left="284" w:hanging="284"/>
              <w:rPr>
                <w:rFonts w:ascii="Calibri" w:hAnsi="Calibri"/>
                <w:sz w:val="22"/>
                <w:lang w:eastAsia="en-US"/>
              </w:rPr>
            </w:pPr>
            <w:r w:rsidRPr="00866299">
              <w:rPr>
                <w:rFonts w:ascii="Calibri" w:hAnsi="Calibri"/>
                <w:sz w:val="22"/>
                <w:lang w:eastAsia="en-US"/>
              </w:rPr>
              <w:t>Depreciation</w:t>
            </w:r>
          </w:p>
        </w:tc>
        <w:tc>
          <w:tcPr>
            <w:tcW w:w="1179" w:type="dxa"/>
            <w:tcBorders>
              <w:top w:val="single" w:sz="4" w:space="0" w:color="auto"/>
            </w:tcBorders>
          </w:tcPr>
          <w:p w14:paraId="430381B8"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41" w:type="dxa"/>
            <w:tcBorders>
              <w:top w:val="single" w:sz="4" w:space="0" w:color="auto"/>
            </w:tcBorders>
          </w:tcPr>
          <w:p w14:paraId="789435D3"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68E1D284" w14:textId="77777777" w:rsidR="00C24C61" w:rsidRPr="00866299" w:rsidRDefault="00C24C61" w:rsidP="00C24C61">
            <w:pPr>
              <w:ind w:left="284" w:hanging="284"/>
              <w:jc w:val="right"/>
              <w:rPr>
                <w:rFonts w:ascii="Calibri" w:hAnsi="Calibri"/>
                <w:sz w:val="22"/>
                <w:lang w:eastAsia="en-US"/>
              </w:rPr>
            </w:pPr>
            <w:proofErr w:type="spellStart"/>
            <w:r w:rsidRPr="00866299">
              <w:rPr>
                <w:rFonts w:ascii="Calibri" w:hAnsi="Calibri"/>
                <w:sz w:val="22"/>
                <w:lang w:eastAsia="en-US"/>
              </w:rPr>
              <w:t>NFP</w:t>
            </w:r>
            <w:proofErr w:type="spellEnd"/>
          </w:p>
        </w:tc>
        <w:tc>
          <w:tcPr>
            <w:tcW w:w="1029" w:type="dxa"/>
            <w:tcBorders>
              <w:top w:val="single" w:sz="4" w:space="0" w:color="auto"/>
            </w:tcBorders>
          </w:tcPr>
          <w:p w14:paraId="3A55FD53" w14:textId="77777777" w:rsidR="00C24C61" w:rsidRPr="00866299" w:rsidRDefault="00C24C61" w:rsidP="00C24C61">
            <w:pPr>
              <w:ind w:left="284" w:hanging="284"/>
              <w:jc w:val="right"/>
              <w:rPr>
                <w:rFonts w:ascii="Calibri" w:hAnsi="Calibri"/>
                <w:sz w:val="22"/>
                <w:lang w:eastAsia="en-US"/>
              </w:rPr>
            </w:pPr>
            <w:proofErr w:type="spellStart"/>
            <w:r w:rsidRPr="00866299">
              <w:rPr>
                <w:rFonts w:ascii="Calibri" w:hAnsi="Calibri"/>
                <w:sz w:val="22"/>
                <w:lang w:eastAsia="en-US"/>
              </w:rPr>
              <w:t>NFP</w:t>
            </w:r>
            <w:proofErr w:type="spellEnd"/>
          </w:p>
        </w:tc>
        <w:tc>
          <w:tcPr>
            <w:tcW w:w="1029" w:type="dxa"/>
            <w:tcBorders>
              <w:top w:val="single" w:sz="4" w:space="0" w:color="auto"/>
            </w:tcBorders>
          </w:tcPr>
          <w:p w14:paraId="0FE43E29" w14:textId="77777777" w:rsidR="00C24C61" w:rsidRPr="00866299" w:rsidRDefault="00C24C61" w:rsidP="00C24C61">
            <w:pPr>
              <w:ind w:left="284" w:hanging="284"/>
              <w:jc w:val="right"/>
              <w:rPr>
                <w:rFonts w:ascii="Calibri" w:hAnsi="Calibri"/>
                <w:sz w:val="22"/>
                <w:lang w:eastAsia="en-US"/>
              </w:rPr>
            </w:pPr>
            <w:proofErr w:type="spellStart"/>
            <w:r w:rsidRPr="00866299">
              <w:rPr>
                <w:rFonts w:ascii="Calibri" w:hAnsi="Calibri"/>
                <w:sz w:val="22"/>
                <w:lang w:eastAsia="en-US"/>
              </w:rPr>
              <w:t>NFP</w:t>
            </w:r>
            <w:proofErr w:type="spellEnd"/>
          </w:p>
        </w:tc>
      </w:tr>
      <w:tr w:rsidR="00C24C61" w:rsidRPr="00866299" w14:paraId="28989D49" w14:textId="77777777" w:rsidTr="00D31DE3">
        <w:trPr>
          <w:cantSplit/>
        </w:trPr>
        <w:tc>
          <w:tcPr>
            <w:tcW w:w="3652" w:type="dxa"/>
          </w:tcPr>
          <w:p w14:paraId="7A23BE02" w14:textId="77777777" w:rsidR="00C24C61" w:rsidRPr="00866299" w:rsidRDefault="00C24C61" w:rsidP="00C24C61">
            <w:pPr>
              <w:ind w:left="284" w:hanging="284"/>
              <w:rPr>
                <w:rFonts w:ascii="Calibri" w:hAnsi="Calibri"/>
                <w:sz w:val="22"/>
                <w:lang w:eastAsia="en-US"/>
              </w:rPr>
            </w:pPr>
            <w:r w:rsidRPr="00866299">
              <w:rPr>
                <w:rFonts w:ascii="Calibri" w:hAnsi="Calibri"/>
                <w:sz w:val="22"/>
                <w:lang w:eastAsia="en-US"/>
              </w:rPr>
              <w:t>Associated expenses</w:t>
            </w:r>
          </w:p>
        </w:tc>
        <w:tc>
          <w:tcPr>
            <w:tcW w:w="1179" w:type="dxa"/>
          </w:tcPr>
          <w:p w14:paraId="483D58C6"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667</w:t>
            </w:r>
          </w:p>
        </w:tc>
        <w:tc>
          <w:tcPr>
            <w:tcW w:w="1041" w:type="dxa"/>
          </w:tcPr>
          <w:p w14:paraId="74837C1E"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685</w:t>
            </w:r>
          </w:p>
        </w:tc>
        <w:tc>
          <w:tcPr>
            <w:tcW w:w="1029" w:type="dxa"/>
          </w:tcPr>
          <w:p w14:paraId="733D8315"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702</w:t>
            </w:r>
          </w:p>
        </w:tc>
        <w:tc>
          <w:tcPr>
            <w:tcW w:w="1029" w:type="dxa"/>
          </w:tcPr>
          <w:p w14:paraId="19DAA3F5"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760</w:t>
            </w:r>
          </w:p>
        </w:tc>
        <w:tc>
          <w:tcPr>
            <w:tcW w:w="1029" w:type="dxa"/>
          </w:tcPr>
          <w:p w14:paraId="73D0B40F"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2,814</w:t>
            </w:r>
          </w:p>
        </w:tc>
      </w:tr>
      <w:tr w:rsidR="00C24C61" w:rsidRPr="00866299" w14:paraId="59F526F1" w14:textId="77777777" w:rsidTr="00D31DE3">
        <w:trPr>
          <w:cantSplit/>
        </w:trPr>
        <w:tc>
          <w:tcPr>
            <w:tcW w:w="3652" w:type="dxa"/>
            <w:tcBorders>
              <w:top w:val="single" w:sz="4" w:space="0" w:color="auto"/>
              <w:bottom w:val="single" w:sz="4" w:space="0" w:color="auto"/>
            </w:tcBorders>
          </w:tcPr>
          <w:p w14:paraId="01D6BA7D" w14:textId="77777777" w:rsidR="00C24C61" w:rsidRPr="00866299" w:rsidRDefault="00C24C61" w:rsidP="00C24C61">
            <w:pPr>
              <w:ind w:left="284" w:hanging="284"/>
              <w:rPr>
                <w:rFonts w:ascii="Calibri" w:hAnsi="Calibri"/>
                <w:b/>
                <w:sz w:val="22"/>
                <w:lang w:eastAsia="en-US"/>
              </w:rPr>
            </w:pPr>
            <w:r w:rsidRPr="00866299">
              <w:rPr>
                <w:rFonts w:ascii="Calibri" w:hAnsi="Calibri"/>
                <w:b/>
                <w:sz w:val="22"/>
                <w:lang w:eastAsia="en-US"/>
              </w:rPr>
              <w:t>Total expenses</w:t>
            </w:r>
          </w:p>
        </w:tc>
        <w:tc>
          <w:tcPr>
            <w:tcW w:w="1179" w:type="dxa"/>
            <w:tcBorders>
              <w:top w:val="single" w:sz="4" w:space="0" w:color="auto"/>
              <w:bottom w:val="single" w:sz="4" w:space="0" w:color="auto"/>
            </w:tcBorders>
          </w:tcPr>
          <w:p w14:paraId="25BCED08"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667</w:t>
            </w:r>
          </w:p>
        </w:tc>
        <w:tc>
          <w:tcPr>
            <w:tcW w:w="1041" w:type="dxa"/>
            <w:tcBorders>
              <w:top w:val="single" w:sz="4" w:space="0" w:color="auto"/>
              <w:bottom w:val="single" w:sz="4" w:space="0" w:color="auto"/>
            </w:tcBorders>
          </w:tcPr>
          <w:p w14:paraId="5BDE1869"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685</w:t>
            </w:r>
          </w:p>
        </w:tc>
        <w:tc>
          <w:tcPr>
            <w:tcW w:w="1029" w:type="dxa"/>
            <w:tcBorders>
              <w:top w:val="single" w:sz="4" w:space="0" w:color="auto"/>
              <w:bottom w:val="single" w:sz="4" w:space="0" w:color="auto"/>
            </w:tcBorders>
          </w:tcPr>
          <w:p w14:paraId="725B5014" w14:textId="77777777" w:rsidR="00C24C61" w:rsidRPr="00866299" w:rsidRDefault="00C24C61" w:rsidP="00C24C61">
            <w:pPr>
              <w:ind w:left="284" w:hanging="284"/>
              <w:jc w:val="right"/>
              <w:rPr>
                <w:rFonts w:ascii="Calibri" w:hAnsi="Calibri"/>
                <w:b/>
                <w:sz w:val="22"/>
                <w:lang w:eastAsia="en-US"/>
              </w:rPr>
            </w:pPr>
            <w:proofErr w:type="spellStart"/>
            <w:r w:rsidRPr="00866299">
              <w:rPr>
                <w:rFonts w:ascii="Calibri" w:hAnsi="Calibri"/>
                <w:b/>
                <w:sz w:val="22"/>
                <w:lang w:eastAsia="en-US"/>
              </w:rPr>
              <w:t>NFP</w:t>
            </w:r>
            <w:proofErr w:type="spellEnd"/>
          </w:p>
        </w:tc>
        <w:tc>
          <w:tcPr>
            <w:tcW w:w="1029" w:type="dxa"/>
            <w:tcBorders>
              <w:top w:val="single" w:sz="4" w:space="0" w:color="auto"/>
              <w:bottom w:val="single" w:sz="4" w:space="0" w:color="auto"/>
            </w:tcBorders>
          </w:tcPr>
          <w:p w14:paraId="341C0A99" w14:textId="77777777" w:rsidR="00C24C61" w:rsidRPr="00866299" w:rsidRDefault="00C24C61" w:rsidP="00C24C61">
            <w:pPr>
              <w:ind w:left="284" w:hanging="284"/>
              <w:jc w:val="right"/>
              <w:rPr>
                <w:rFonts w:ascii="Calibri" w:hAnsi="Calibri"/>
                <w:b/>
                <w:sz w:val="22"/>
                <w:lang w:eastAsia="en-US"/>
              </w:rPr>
            </w:pPr>
            <w:proofErr w:type="spellStart"/>
            <w:r w:rsidRPr="00866299">
              <w:rPr>
                <w:rFonts w:ascii="Calibri" w:hAnsi="Calibri"/>
                <w:b/>
                <w:sz w:val="22"/>
                <w:lang w:eastAsia="en-US"/>
              </w:rPr>
              <w:t>NFP</w:t>
            </w:r>
            <w:proofErr w:type="spellEnd"/>
          </w:p>
        </w:tc>
        <w:tc>
          <w:tcPr>
            <w:tcW w:w="1029" w:type="dxa"/>
            <w:tcBorders>
              <w:top w:val="single" w:sz="4" w:space="0" w:color="auto"/>
              <w:bottom w:val="single" w:sz="4" w:space="0" w:color="auto"/>
            </w:tcBorders>
          </w:tcPr>
          <w:p w14:paraId="32CF68D3" w14:textId="77777777" w:rsidR="00C24C61" w:rsidRPr="00866299" w:rsidRDefault="00C24C61" w:rsidP="00C24C61">
            <w:pPr>
              <w:ind w:left="284" w:hanging="284"/>
              <w:jc w:val="right"/>
              <w:rPr>
                <w:rFonts w:ascii="Calibri" w:hAnsi="Calibri"/>
                <w:b/>
                <w:sz w:val="22"/>
                <w:lang w:eastAsia="en-US"/>
              </w:rPr>
            </w:pPr>
            <w:proofErr w:type="spellStart"/>
            <w:r w:rsidRPr="00866299">
              <w:rPr>
                <w:rFonts w:ascii="Calibri" w:hAnsi="Calibri"/>
                <w:b/>
                <w:sz w:val="22"/>
                <w:lang w:eastAsia="en-US"/>
              </w:rPr>
              <w:t>NFP</w:t>
            </w:r>
            <w:proofErr w:type="spellEnd"/>
          </w:p>
        </w:tc>
      </w:tr>
    </w:tbl>
    <w:p w14:paraId="2CE3BF8C" w14:textId="77777777" w:rsidR="00C24C61" w:rsidRPr="00C24C61" w:rsidRDefault="00C24C61" w:rsidP="00D31DE3">
      <w:pPr>
        <w:pStyle w:val="snapInitbody"/>
      </w:pPr>
      <w:r w:rsidRPr="00C24C61">
        <w:t>The Government will provide ongoing support for services and contract management for Stage 1 of light rail from Gungahlin to the city, and will also construct an additional light rail stop on Flemington Road in Mitchell. The cost of the initiative will be partially offset by a provision that was established in the 2018-19 Budget.</w:t>
      </w:r>
    </w:p>
    <w:p w14:paraId="38382917" w14:textId="1ED5FE53" w:rsidR="00C24C61" w:rsidRPr="00C24C61" w:rsidRDefault="00C24C61" w:rsidP="00D31DE3">
      <w:pPr>
        <w:pStyle w:val="snapInitbody"/>
        <w:rPr>
          <w:b/>
          <w:bCs/>
          <w:sz w:val="28"/>
          <w:szCs w:val="26"/>
        </w:rPr>
      </w:pPr>
      <w:r w:rsidRPr="00C24C61">
        <w:t>The capital cost of this initiative has been withheld in order to secure value for money when the Government approaches the market.</w:t>
      </w:r>
      <w:r w:rsidR="000F30E1">
        <w:t xml:space="preserve"> </w:t>
      </w:r>
    </w:p>
    <w:p w14:paraId="5D8D18EB" w14:textId="77777777" w:rsidR="00C24C61" w:rsidRPr="00202E81" w:rsidRDefault="00C24C61" w:rsidP="00202E81">
      <w:pPr>
        <w:pStyle w:val="snapInittitles"/>
      </w:pPr>
      <w:r w:rsidRPr="00202E81">
        <w:t>Delivering a new high school at Kenny</w:t>
      </w:r>
    </w:p>
    <w:p w14:paraId="0901C6BE" w14:textId="77777777" w:rsidR="00C24C61" w:rsidRPr="00C24C61" w:rsidRDefault="00C24C61" w:rsidP="00D31DE3">
      <w:pPr>
        <w:pStyle w:val="snapInitbody"/>
      </w:pPr>
      <w:r w:rsidRPr="00C24C61">
        <w:t xml:space="preserve">See the Education Directorate capital initiative </w:t>
      </w:r>
      <w:r w:rsidRPr="00C24C61">
        <w:rPr>
          <w:i/>
        </w:rPr>
        <w:t>Delivering a new high school at Kenny</w:t>
      </w:r>
      <w:r w:rsidRPr="00C24C61">
        <w:t xml:space="preserve"> for further details.</w:t>
      </w:r>
    </w:p>
    <w:p w14:paraId="2432128F" w14:textId="77777777" w:rsidR="00C24C61" w:rsidRPr="00202E81" w:rsidRDefault="00C24C61" w:rsidP="00202E81">
      <w:pPr>
        <w:pStyle w:val="snapInittitles"/>
      </w:pPr>
      <w:r w:rsidRPr="00202E81">
        <w:t xml:space="preserve">Delivering better community infrastructure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C24C61" w:rsidRPr="00866299" w14:paraId="16AA28ED" w14:textId="77777777" w:rsidTr="00D31DE3">
        <w:trPr>
          <w:cantSplit/>
        </w:trPr>
        <w:tc>
          <w:tcPr>
            <w:tcW w:w="3652" w:type="dxa"/>
            <w:tcBorders>
              <w:top w:val="single" w:sz="4" w:space="0" w:color="auto"/>
              <w:bottom w:val="single" w:sz="4" w:space="0" w:color="auto"/>
            </w:tcBorders>
          </w:tcPr>
          <w:p w14:paraId="2FFEBFE2" w14:textId="77777777" w:rsidR="00C24C61" w:rsidRPr="00866299" w:rsidRDefault="00C24C61" w:rsidP="00C24C61">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5B1402F6"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2019­20</w:t>
            </w:r>
          </w:p>
          <w:p w14:paraId="29C28A9C"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274C4416"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2020­21</w:t>
            </w:r>
          </w:p>
          <w:p w14:paraId="33DCC96C"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38280E60"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2021­22</w:t>
            </w:r>
          </w:p>
          <w:p w14:paraId="73BC400E"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17F2485B"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2022-23</w:t>
            </w:r>
          </w:p>
          <w:p w14:paraId="44CE9ADB"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517AE8E"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Total</w:t>
            </w:r>
          </w:p>
          <w:p w14:paraId="3890661D"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$’000</w:t>
            </w:r>
          </w:p>
        </w:tc>
      </w:tr>
      <w:tr w:rsidR="00C24C61" w:rsidRPr="00866299" w14:paraId="099AA85A" w14:textId="77777777" w:rsidTr="00D31DE3">
        <w:trPr>
          <w:cantSplit/>
        </w:trPr>
        <w:tc>
          <w:tcPr>
            <w:tcW w:w="3652" w:type="dxa"/>
            <w:tcBorders>
              <w:top w:val="single" w:sz="4" w:space="0" w:color="auto"/>
              <w:bottom w:val="single" w:sz="4" w:space="0" w:color="auto"/>
            </w:tcBorders>
          </w:tcPr>
          <w:p w14:paraId="18F0BD07" w14:textId="77777777" w:rsidR="00C24C61" w:rsidRPr="00866299" w:rsidRDefault="00C24C61" w:rsidP="00C24C61">
            <w:pPr>
              <w:ind w:left="284" w:hanging="284"/>
              <w:rPr>
                <w:rFonts w:ascii="Calibri" w:hAnsi="Calibri"/>
                <w:sz w:val="22"/>
                <w:lang w:eastAsia="en-US"/>
              </w:rPr>
            </w:pPr>
            <w:r w:rsidRPr="00866299">
              <w:rPr>
                <w:rFonts w:ascii="Calibri" w:hAnsi="Calibri"/>
                <w:sz w:val="22"/>
                <w:lang w:eastAsia="en-US"/>
              </w:rPr>
              <w:t>Capital</w:t>
            </w:r>
          </w:p>
        </w:tc>
        <w:tc>
          <w:tcPr>
            <w:tcW w:w="1179" w:type="dxa"/>
            <w:tcBorders>
              <w:top w:val="single" w:sz="4" w:space="0" w:color="auto"/>
              <w:bottom w:val="single" w:sz="4" w:space="0" w:color="auto"/>
            </w:tcBorders>
          </w:tcPr>
          <w:p w14:paraId="66908078" w14:textId="77777777" w:rsidR="00C24C61" w:rsidRPr="00866299" w:rsidRDefault="00C24C61" w:rsidP="00C24C61">
            <w:pPr>
              <w:keepLines/>
              <w:ind w:left="284" w:hanging="284"/>
              <w:jc w:val="right"/>
              <w:rPr>
                <w:rFonts w:ascii="Calibri" w:hAnsi="Calibri"/>
                <w:sz w:val="22"/>
                <w:lang w:eastAsia="en-US"/>
              </w:rPr>
            </w:pPr>
            <w:r w:rsidRPr="00866299">
              <w:rPr>
                <w:rFonts w:ascii="Calibri" w:hAnsi="Calibri"/>
                <w:sz w:val="22"/>
                <w:lang w:eastAsia="en-US"/>
              </w:rPr>
              <w:t>2,500</w:t>
            </w:r>
          </w:p>
        </w:tc>
        <w:tc>
          <w:tcPr>
            <w:tcW w:w="1041" w:type="dxa"/>
            <w:tcBorders>
              <w:top w:val="single" w:sz="4" w:space="0" w:color="auto"/>
              <w:bottom w:val="single" w:sz="4" w:space="0" w:color="auto"/>
            </w:tcBorders>
          </w:tcPr>
          <w:p w14:paraId="509D6E02" w14:textId="77777777" w:rsidR="00C24C61" w:rsidRPr="00866299" w:rsidRDefault="00C24C61" w:rsidP="00C24C61">
            <w:pPr>
              <w:keepLines/>
              <w:ind w:left="284" w:hanging="284"/>
              <w:jc w:val="right"/>
              <w:rPr>
                <w:rFonts w:ascii="Calibri" w:hAnsi="Calibri"/>
                <w:sz w:val="22"/>
                <w:lang w:eastAsia="en-US"/>
              </w:rPr>
            </w:pPr>
            <w:r w:rsidRPr="00866299">
              <w:rPr>
                <w:rFonts w:ascii="Calibri" w:hAnsi="Calibri"/>
                <w:sz w:val="22"/>
                <w:lang w:eastAsia="en-US"/>
              </w:rPr>
              <w:t>2,563</w:t>
            </w:r>
          </w:p>
        </w:tc>
        <w:tc>
          <w:tcPr>
            <w:tcW w:w="1029" w:type="dxa"/>
            <w:tcBorders>
              <w:top w:val="single" w:sz="4" w:space="0" w:color="auto"/>
              <w:bottom w:val="single" w:sz="4" w:space="0" w:color="auto"/>
            </w:tcBorders>
          </w:tcPr>
          <w:p w14:paraId="42922A94" w14:textId="77777777" w:rsidR="00C24C61" w:rsidRPr="00866299" w:rsidRDefault="00C24C61" w:rsidP="00C24C61">
            <w:pPr>
              <w:keepLines/>
              <w:ind w:left="284" w:hanging="284"/>
              <w:jc w:val="right"/>
              <w:rPr>
                <w:rFonts w:ascii="Calibri" w:hAnsi="Calibri"/>
                <w:sz w:val="22"/>
                <w:lang w:eastAsia="en-US"/>
              </w:rPr>
            </w:pPr>
            <w:r w:rsidRPr="00866299">
              <w:rPr>
                <w:rFonts w:ascii="Calibri" w:hAnsi="Calibri"/>
                <w:sz w:val="22"/>
                <w:lang w:eastAsia="en-US"/>
              </w:rPr>
              <w:t>2,627</w:t>
            </w:r>
          </w:p>
        </w:tc>
        <w:tc>
          <w:tcPr>
            <w:tcW w:w="1029" w:type="dxa"/>
            <w:tcBorders>
              <w:top w:val="single" w:sz="4" w:space="0" w:color="auto"/>
              <w:bottom w:val="single" w:sz="4" w:space="0" w:color="auto"/>
            </w:tcBorders>
          </w:tcPr>
          <w:p w14:paraId="7C784029" w14:textId="77777777" w:rsidR="00C24C61" w:rsidRPr="00866299" w:rsidRDefault="00C24C61" w:rsidP="00C24C61">
            <w:pPr>
              <w:keepLines/>
              <w:ind w:left="284" w:hanging="284"/>
              <w:jc w:val="right"/>
              <w:rPr>
                <w:rFonts w:ascii="Calibri" w:hAnsi="Calibri"/>
                <w:sz w:val="22"/>
                <w:lang w:eastAsia="en-US"/>
              </w:rPr>
            </w:pPr>
            <w:r w:rsidRPr="00866299">
              <w:rPr>
                <w:rFonts w:ascii="Calibri" w:hAnsi="Calibri"/>
                <w:sz w:val="22"/>
                <w:lang w:eastAsia="en-US"/>
              </w:rPr>
              <w:t>2,692</w:t>
            </w:r>
          </w:p>
        </w:tc>
        <w:tc>
          <w:tcPr>
            <w:tcW w:w="1029" w:type="dxa"/>
            <w:tcBorders>
              <w:top w:val="single" w:sz="4" w:space="0" w:color="auto"/>
              <w:bottom w:val="single" w:sz="4" w:space="0" w:color="auto"/>
            </w:tcBorders>
          </w:tcPr>
          <w:p w14:paraId="2C426147" w14:textId="77777777" w:rsidR="00C24C61" w:rsidRPr="00866299" w:rsidRDefault="00C24C61" w:rsidP="00C24C61">
            <w:pPr>
              <w:keepLines/>
              <w:ind w:left="284" w:hanging="284"/>
              <w:jc w:val="right"/>
              <w:rPr>
                <w:rFonts w:ascii="Calibri" w:hAnsi="Calibri"/>
                <w:b/>
                <w:sz w:val="22"/>
                <w:lang w:eastAsia="en-US"/>
              </w:rPr>
            </w:pPr>
            <w:r w:rsidRPr="00866299">
              <w:rPr>
                <w:rFonts w:ascii="Calibri" w:hAnsi="Calibri"/>
                <w:b/>
                <w:sz w:val="22"/>
                <w:lang w:eastAsia="en-US"/>
              </w:rPr>
              <w:t>10,382</w:t>
            </w:r>
          </w:p>
        </w:tc>
      </w:tr>
    </w:tbl>
    <w:p w14:paraId="0D394A15" w14:textId="77777777" w:rsidR="00C24C61" w:rsidRPr="00C24C61" w:rsidRDefault="00C24C61" w:rsidP="00D31DE3">
      <w:pPr>
        <w:pStyle w:val="snapInitbody"/>
      </w:pPr>
      <w:r w:rsidRPr="00C24C61">
        <w:t xml:space="preserve">The Government will grow our investment in infrastructure improvements and upgrades to community infrastructure across Canberra such as playgrounds, shopping centres and local sportsgrounds. In 2019-20 this will include delivering new or upgraded play spaces for Richardson, Waramanga, Torrens, Narrabundah and Higgins as well as new nature play spaces at </w:t>
      </w:r>
      <w:proofErr w:type="spellStart"/>
      <w:r w:rsidRPr="00C24C61">
        <w:t>Yerrabi</w:t>
      </w:r>
      <w:proofErr w:type="spellEnd"/>
      <w:r w:rsidRPr="00C24C61">
        <w:t xml:space="preserve"> Pond and Kambah District Park.</w:t>
      </w:r>
    </w:p>
    <w:p w14:paraId="69DBC2BF" w14:textId="34268BE2" w:rsidR="00C24C61" w:rsidRPr="00202E81" w:rsidRDefault="00C24C61" w:rsidP="00202E81">
      <w:pPr>
        <w:pStyle w:val="snapInittitles"/>
      </w:pPr>
      <w:r w:rsidRPr="00202E81">
        <w:t xml:space="preserve">Delivering safer intersections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C24C61" w:rsidRPr="00866299" w14:paraId="45561847" w14:textId="77777777" w:rsidTr="00D31DE3">
        <w:trPr>
          <w:cantSplit/>
        </w:trPr>
        <w:tc>
          <w:tcPr>
            <w:tcW w:w="3652" w:type="dxa"/>
            <w:tcBorders>
              <w:top w:val="single" w:sz="4" w:space="0" w:color="auto"/>
              <w:bottom w:val="single" w:sz="4" w:space="0" w:color="auto"/>
            </w:tcBorders>
          </w:tcPr>
          <w:p w14:paraId="2ECAFF4A" w14:textId="77777777" w:rsidR="00C24C61" w:rsidRPr="00866299" w:rsidRDefault="00C24C61" w:rsidP="00C24C61">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3CB094EC" w14:textId="77777777" w:rsidR="00C24C61" w:rsidRPr="00866299" w:rsidRDefault="00C24C61" w:rsidP="00C24C61">
            <w:pPr>
              <w:keepLines/>
              <w:ind w:left="284" w:hanging="284"/>
              <w:jc w:val="right"/>
              <w:rPr>
                <w:rFonts w:ascii="Calibri" w:hAnsi="Calibri"/>
                <w:sz w:val="22"/>
                <w:lang w:eastAsia="en-US"/>
              </w:rPr>
            </w:pPr>
            <w:r w:rsidRPr="00866299">
              <w:rPr>
                <w:rFonts w:ascii="Calibri" w:hAnsi="Calibri"/>
                <w:sz w:val="22"/>
                <w:lang w:eastAsia="en-US"/>
              </w:rPr>
              <w:t>2019­20</w:t>
            </w:r>
          </w:p>
          <w:p w14:paraId="5D4DEFCF" w14:textId="77777777" w:rsidR="00C24C61" w:rsidRPr="00866299" w:rsidRDefault="00C24C61" w:rsidP="00C24C61">
            <w:pPr>
              <w:keepLines/>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11F5BC62" w14:textId="77777777" w:rsidR="00C24C61" w:rsidRPr="00866299" w:rsidRDefault="00C24C61" w:rsidP="00C24C61">
            <w:pPr>
              <w:keepLines/>
              <w:ind w:left="284" w:hanging="284"/>
              <w:jc w:val="right"/>
              <w:rPr>
                <w:rFonts w:ascii="Calibri" w:hAnsi="Calibri"/>
                <w:sz w:val="22"/>
                <w:lang w:eastAsia="en-US"/>
              </w:rPr>
            </w:pPr>
            <w:r w:rsidRPr="00866299">
              <w:rPr>
                <w:rFonts w:ascii="Calibri" w:hAnsi="Calibri"/>
                <w:sz w:val="22"/>
                <w:lang w:eastAsia="en-US"/>
              </w:rPr>
              <w:t>2020­21</w:t>
            </w:r>
          </w:p>
          <w:p w14:paraId="1B48A976" w14:textId="77777777" w:rsidR="00C24C61" w:rsidRPr="00866299" w:rsidRDefault="00C24C61" w:rsidP="00C24C61">
            <w:pPr>
              <w:keepLines/>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D99CDA3" w14:textId="77777777" w:rsidR="00C24C61" w:rsidRPr="00866299" w:rsidRDefault="00C24C61" w:rsidP="00C24C61">
            <w:pPr>
              <w:keepLines/>
              <w:ind w:left="284" w:hanging="284"/>
              <w:jc w:val="right"/>
              <w:rPr>
                <w:rFonts w:ascii="Calibri" w:hAnsi="Calibri"/>
                <w:sz w:val="22"/>
                <w:lang w:eastAsia="en-US"/>
              </w:rPr>
            </w:pPr>
            <w:r w:rsidRPr="00866299">
              <w:rPr>
                <w:rFonts w:ascii="Calibri" w:hAnsi="Calibri"/>
                <w:sz w:val="22"/>
                <w:lang w:eastAsia="en-US"/>
              </w:rPr>
              <w:t>2021­22</w:t>
            </w:r>
          </w:p>
          <w:p w14:paraId="2072C1C8" w14:textId="77777777" w:rsidR="00C24C61" w:rsidRPr="00866299" w:rsidRDefault="00C24C61" w:rsidP="00C24C61">
            <w:pPr>
              <w:keepLines/>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D80C7C8" w14:textId="77777777" w:rsidR="00C24C61" w:rsidRPr="00866299" w:rsidRDefault="00C24C61" w:rsidP="00C24C61">
            <w:pPr>
              <w:keepLines/>
              <w:ind w:left="284" w:hanging="284"/>
              <w:jc w:val="right"/>
              <w:rPr>
                <w:rFonts w:ascii="Calibri" w:hAnsi="Calibri"/>
                <w:sz w:val="22"/>
                <w:lang w:eastAsia="en-US"/>
              </w:rPr>
            </w:pPr>
            <w:r w:rsidRPr="00866299">
              <w:rPr>
                <w:rFonts w:ascii="Calibri" w:hAnsi="Calibri"/>
                <w:sz w:val="22"/>
                <w:lang w:eastAsia="en-US"/>
              </w:rPr>
              <w:t>2022-23</w:t>
            </w:r>
          </w:p>
          <w:p w14:paraId="007D315B" w14:textId="77777777" w:rsidR="00C24C61" w:rsidRPr="00866299" w:rsidRDefault="00C24C61" w:rsidP="00C24C61">
            <w:pPr>
              <w:keepLines/>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5DDB2089" w14:textId="77777777" w:rsidR="00C24C61" w:rsidRPr="00866299" w:rsidRDefault="00C24C61" w:rsidP="00C24C61">
            <w:pPr>
              <w:keepLines/>
              <w:ind w:left="284" w:hanging="284"/>
              <w:jc w:val="right"/>
              <w:rPr>
                <w:rFonts w:ascii="Calibri" w:hAnsi="Calibri"/>
                <w:b/>
                <w:sz w:val="22"/>
                <w:lang w:eastAsia="en-US"/>
              </w:rPr>
            </w:pPr>
            <w:r w:rsidRPr="00866299">
              <w:rPr>
                <w:rFonts w:ascii="Calibri" w:hAnsi="Calibri"/>
                <w:b/>
                <w:sz w:val="22"/>
                <w:lang w:eastAsia="en-US"/>
              </w:rPr>
              <w:t>Total</w:t>
            </w:r>
          </w:p>
          <w:p w14:paraId="3A7C159E" w14:textId="77777777" w:rsidR="00C24C61" w:rsidRPr="00866299" w:rsidRDefault="00C24C61" w:rsidP="00C24C61">
            <w:pPr>
              <w:keepLines/>
              <w:ind w:left="284" w:hanging="284"/>
              <w:jc w:val="right"/>
              <w:rPr>
                <w:rFonts w:ascii="Calibri" w:hAnsi="Calibri"/>
                <w:b/>
                <w:sz w:val="22"/>
                <w:lang w:eastAsia="en-US"/>
              </w:rPr>
            </w:pPr>
            <w:r w:rsidRPr="00866299">
              <w:rPr>
                <w:rFonts w:ascii="Calibri" w:hAnsi="Calibri"/>
                <w:b/>
                <w:sz w:val="22"/>
                <w:lang w:eastAsia="en-US"/>
              </w:rPr>
              <w:t>$’000</w:t>
            </w:r>
          </w:p>
        </w:tc>
      </w:tr>
      <w:tr w:rsidR="00C24C61" w:rsidRPr="00866299" w14:paraId="0FE16CCB" w14:textId="77777777" w:rsidTr="00D31DE3">
        <w:trPr>
          <w:cantSplit/>
        </w:trPr>
        <w:tc>
          <w:tcPr>
            <w:tcW w:w="3652" w:type="dxa"/>
            <w:tcBorders>
              <w:top w:val="single" w:sz="4" w:space="0" w:color="auto"/>
              <w:bottom w:val="single" w:sz="4" w:space="0" w:color="auto"/>
            </w:tcBorders>
          </w:tcPr>
          <w:p w14:paraId="12EE3962" w14:textId="77777777" w:rsidR="00C24C61" w:rsidRPr="00866299" w:rsidRDefault="00C24C61" w:rsidP="00C24C61">
            <w:pPr>
              <w:keepLines/>
              <w:ind w:left="284" w:hanging="284"/>
              <w:rPr>
                <w:rFonts w:ascii="Calibri" w:hAnsi="Calibri"/>
                <w:sz w:val="22"/>
                <w:lang w:eastAsia="en-US"/>
              </w:rPr>
            </w:pPr>
            <w:r w:rsidRPr="00866299">
              <w:rPr>
                <w:rFonts w:ascii="Calibri" w:hAnsi="Calibri"/>
                <w:sz w:val="22"/>
                <w:lang w:eastAsia="en-US"/>
              </w:rPr>
              <w:t>Capital</w:t>
            </w:r>
          </w:p>
        </w:tc>
        <w:tc>
          <w:tcPr>
            <w:tcW w:w="1179" w:type="dxa"/>
            <w:tcBorders>
              <w:top w:val="single" w:sz="4" w:space="0" w:color="auto"/>
              <w:bottom w:val="single" w:sz="4" w:space="0" w:color="auto"/>
            </w:tcBorders>
          </w:tcPr>
          <w:p w14:paraId="581C130E" w14:textId="77777777" w:rsidR="00C24C61" w:rsidRPr="00866299" w:rsidRDefault="00C24C61" w:rsidP="00C24C61">
            <w:pPr>
              <w:keepLines/>
              <w:ind w:left="284" w:hanging="284"/>
              <w:jc w:val="right"/>
              <w:rPr>
                <w:rFonts w:ascii="Calibri" w:hAnsi="Calibri"/>
                <w:i/>
                <w:sz w:val="22"/>
                <w:lang w:eastAsia="en-US"/>
              </w:rPr>
            </w:pPr>
            <w:r w:rsidRPr="00866299">
              <w:rPr>
                <w:rFonts w:ascii="Calibri" w:hAnsi="Calibri"/>
                <w:sz w:val="22"/>
                <w:lang w:eastAsia="en-US"/>
              </w:rPr>
              <w:t>3,000</w:t>
            </w:r>
          </w:p>
        </w:tc>
        <w:tc>
          <w:tcPr>
            <w:tcW w:w="1041" w:type="dxa"/>
            <w:tcBorders>
              <w:top w:val="single" w:sz="4" w:space="0" w:color="auto"/>
              <w:bottom w:val="single" w:sz="4" w:space="0" w:color="auto"/>
            </w:tcBorders>
          </w:tcPr>
          <w:p w14:paraId="4813F19A" w14:textId="77777777" w:rsidR="00C24C61" w:rsidRPr="00866299" w:rsidRDefault="00C24C61" w:rsidP="00C24C61">
            <w:pPr>
              <w:keepLines/>
              <w:ind w:left="284" w:hanging="284"/>
              <w:jc w:val="right"/>
              <w:rPr>
                <w:rFonts w:ascii="Calibri" w:hAnsi="Calibri"/>
                <w:sz w:val="22"/>
                <w:lang w:eastAsia="en-US"/>
              </w:rPr>
            </w:pPr>
            <w:r w:rsidRPr="00866299">
              <w:rPr>
                <w:rFonts w:ascii="Calibri" w:hAnsi="Calibri"/>
                <w:sz w:val="22"/>
                <w:lang w:eastAsia="en-US"/>
              </w:rPr>
              <w:t>5,520</w:t>
            </w:r>
          </w:p>
        </w:tc>
        <w:tc>
          <w:tcPr>
            <w:tcW w:w="1029" w:type="dxa"/>
            <w:tcBorders>
              <w:top w:val="single" w:sz="4" w:space="0" w:color="auto"/>
              <w:bottom w:val="single" w:sz="4" w:space="0" w:color="auto"/>
            </w:tcBorders>
          </w:tcPr>
          <w:p w14:paraId="402881E7" w14:textId="77777777" w:rsidR="00C24C61" w:rsidRPr="00866299" w:rsidRDefault="00C24C61" w:rsidP="00C24C61">
            <w:pPr>
              <w:keepLines/>
              <w:ind w:left="284" w:hanging="284"/>
              <w:jc w:val="right"/>
              <w:rPr>
                <w:rFonts w:ascii="Calibri" w:hAnsi="Calibri"/>
                <w:sz w:val="22"/>
                <w:lang w:eastAsia="en-US"/>
              </w:rPr>
            </w:pPr>
            <w:r w:rsidRPr="00866299">
              <w:rPr>
                <w:rFonts w:ascii="Calibri" w:hAnsi="Calibri"/>
                <w:sz w:val="22"/>
                <w:lang w:eastAsia="en-US"/>
              </w:rPr>
              <w:t>5,500</w:t>
            </w:r>
          </w:p>
        </w:tc>
        <w:tc>
          <w:tcPr>
            <w:tcW w:w="1029" w:type="dxa"/>
            <w:tcBorders>
              <w:top w:val="single" w:sz="4" w:space="0" w:color="auto"/>
              <w:bottom w:val="single" w:sz="4" w:space="0" w:color="auto"/>
            </w:tcBorders>
          </w:tcPr>
          <w:p w14:paraId="6D0C5667" w14:textId="77777777" w:rsidR="00C24C61" w:rsidRPr="00866299" w:rsidRDefault="00C24C61" w:rsidP="00C24C61">
            <w:pPr>
              <w:keepLines/>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bottom w:val="single" w:sz="4" w:space="0" w:color="auto"/>
            </w:tcBorders>
          </w:tcPr>
          <w:p w14:paraId="0D5BA54F" w14:textId="77777777" w:rsidR="00C24C61" w:rsidRPr="00866299" w:rsidRDefault="00C24C61" w:rsidP="00C24C61">
            <w:pPr>
              <w:keepLines/>
              <w:ind w:left="284" w:hanging="284"/>
              <w:jc w:val="right"/>
              <w:rPr>
                <w:rFonts w:ascii="Calibri" w:hAnsi="Calibri"/>
                <w:b/>
                <w:sz w:val="22"/>
                <w:lang w:eastAsia="en-US"/>
              </w:rPr>
            </w:pPr>
            <w:r w:rsidRPr="00866299">
              <w:rPr>
                <w:rFonts w:ascii="Calibri" w:hAnsi="Calibri"/>
                <w:b/>
                <w:sz w:val="22"/>
                <w:lang w:eastAsia="en-US"/>
              </w:rPr>
              <w:t>14,020</w:t>
            </w:r>
          </w:p>
        </w:tc>
      </w:tr>
      <w:tr w:rsidR="00C24C61" w:rsidRPr="00866299" w14:paraId="2A76E3C1" w14:textId="77777777" w:rsidTr="00D31DE3">
        <w:trPr>
          <w:cantSplit/>
        </w:trPr>
        <w:tc>
          <w:tcPr>
            <w:tcW w:w="3652" w:type="dxa"/>
            <w:tcBorders>
              <w:top w:val="single" w:sz="4" w:space="0" w:color="auto"/>
            </w:tcBorders>
          </w:tcPr>
          <w:p w14:paraId="561757D9" w14:textId="77777777" w:rsidR="00C24C61" w:rsidRPr="00866299" w:rsidRDefault="00C24C61" w:rsidP="00C24C61">
            <w:pPr>
              <w:keepLines/>
              <w:ind w:left="284" w:hanging="284"/>
              <w:rPr>
                <w:rFonts w:ascii="Calibri" w:hAnsi="Calibri"/>
                <w:sz w:val="22"/>
                <w:lang w:eastAsia="en-US"/>
              </w:rPr>
            </w:pPr>
            <w:r w:rsidRPr="00866299">
              <w:rPr>
                <w:rFonts w:ascii="Calibri" w:hAnsi="Calibri"/>
                <w:sz w:val="22"/>
                <w:lang w:eastAsia="en-US"/>
              </w:rPr>
              <w:t>Depreciation</w:t>
            </w:r>
          </w:p>
        </w:tc>
        <w:tc>
          <w:tcPr>
            <w:tcW w:w="1179" w:type="dxa"/>
            <w:tcBorders>
              <w:top w:val="single" w:sz="4" w:space="0" w:color="auto"/>
            </w:tcBorders>
          </w:tcPr>
          <w:p w14:paraId="58921133" w14:textId="77777777" w:rsidR="00C24C61" w:rsidRPr="00866299" w:rsidRDefault="00C24C61" w:rsidP="00C24C61">
            <w:pPr>
              <w:keepLines/>
              <w:ind w:left="284" w:hanging="284"/>
              <w:jc w:val="right"/>
              <w:rPr>
                <w:rFonts w:ascii="Calibri" w:hAnsi="Calibri"/>
                <w:sz w:val="22"/>
                <w:lang w:eastAsia="en-US"/>
              </w:rPr>
            </w:pPr>
            <w:r w:rsidRPr="00866299">
              <w:rPr>
                <w:rFonts w:ascii="Calibri" w:hAnsi="Calibri"/>
                <w:sz w:val="22"/>
                <w:lang w:eastAsia="en-US"/>
              </w:rPr>
              <w:t>0</w:t>
            </w:r>
          </w:p>
        </w:tc>
        <w:tc>
          <w:tcPr>
            <w:tcW w:w="1041" w:type="dxa"/>
            <w:tcBorders>
              <w:top w:val="single" w:sz="4" w:space="0" w:color="auto"/>
            </w:tcBorders>
          </w:tcPr>
          <w:p w14:paraId="76AAA48B" w14:textId="77777777" w:rsidR="00C24C61" w:rsidRPr="00866299" w:rsidRDefault="00C24C61" w:rsidP="00C24C61">
            <w:pPr>
              <w:keepLines/>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0B777298" w14:textId="77777777" w:rsidR="00C24C61" w:rsidRPr="00866299" w:rsidRDefault="00C24C61" w:rsidP="00C24C61">
            <w:pPr>
              <w:keepLines/>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0073DBB5" w14:textId="77777777" w:rsidR="00C24C61" w:rsidRPr="00866299" w:rsidRDefault="00C24C61" w:rsidP="00C24C61">
            <w:pPr>
              <w:keepLines/>
              <w:ind w:left="284" w:hanging="284"/>
              <w:jc w:val="right"/>
              <w:rPr>
                <w:rFonts w:ascii="Calibri" w:hAnsi="Calibri"/>
                <w:sz w:val="22"/>
                <w:lang w:eastAsia="en-US"/>
              </w:rPr>
            </w:pPr>
            <w:r w:rsidRPr="00866299">
              <w:rPr>
                <w:rFonts w:ascii="Calibri" w:hAnsi="Calibri"/>
                <w:sz w:val="22"/>
                <w:lang w:eastAsia="en-US"/>
              </w:rPr>
              <w:t>467</w:t>
            </w:r>
          </w:p>
        </w:tc>
        <w:tc>
          <w:tcPr>
            <w:tcW w:w="1029" w:type="dxa"/>
            <w:tcBorders>
              <w:top w:val="single" w:sz="4" w:space="0" w:color="auto"/>
            </w:tcBorders>
          </w:tcPr>
          <w:p w14:paraId="77C061DA" w14:textId="77777777" w:rsidR="00C24C61" w:rsidRPr="00866299" w:rsidRDefault="00C24C61" w:rsidP="00C24C61">
            <w:pPr>
              <w:keepLines/>
              <w:ind w:left="284" w:hanging="284"/>
              <w:jc w:val="right"/>
              <w:rPr>
                <w:rFonts w:ascii="Calibri" w:hAnsi="Calibri"/>
                <w:b/>
                <w:sz w:val="22"/>
                <w:lang w:eastAsia="en-US"/>
              </w:rPr>
            </w:pPr>
            <w:r w:rsidRPr="00866299">
              <w:rPr>
                <w:rFonts w:ascii="Calibri" w:hAnsi="Calibri"/>
                <w:b/>
                <w:sz w:val="22"/>
                <w:lang w:eastAsia="en-US"/>
              </w:rPr>
              <w:t>467</w:t>
            </w:r>
          </w:p>
        </w:tc>
      </w:tr>
      <w:tr w:rsidR="00C24C61" w:rsidRPr="00866299" w14:paraId="682D2E7B" w14:textId="77777777" w:rsidTr="00D31DE3">
        <w:trPr>
          <w:cantSplit/>
        </w:trPr>
        <w:tc>
          <w:tcPr>
            <w:tcW w:w="3652" w:type="dxa"/>
            <w:tcBorders>
              <w:bottom w:val="single" w:sz="4" w:space="0" w:color="auto"/>
            </w:tcBorders>
          </w:tcPr>
          <w:p w14:paraId="2E0C365C" w14:textId="77777777" w:rsidR="00C24C61" w:rsidRPr="00866299" w:rsidRDefault="00C24C61" w:rsidP="00C24C61">
            <w:pPr>
              <w:keepLines/>
              <w:ind w:left="284" w:hanging="284"/>
              <w:rPr>
                <w:rFonts w:ascii="Calibri" w:hAnsi="Calibri"/>
                <w:sz w:val="22"/>
                <w:lang w:eastAsia="en-US"/>
              </w:rPr>
            </w:pPr>
            <w:r w:rsidRPr="00866299">
              <w:rPr>
                <w:rFonts w:ascii="Calibri" w:hAnsi="Calibri"/>
                <w:sz w:val="22"/>
                <w:lang w:eastAsia="en-US"/>
              </w:rPr>
              <w:t>Associated expense</w:t>
            </w:r>
          </w:p>
        </w:tc>
        <w:tc>
          <w:tcPr>
            <w:tcW w:w="1179" w:type="dxa"/>
            <w:tcBorders>
              <w:bottom w:val="single" w:sz="4" w:space="0" w:color="auto"/>
            </w:tcBorders>
          </w:tcPr>
          <w:p w14:paraId="258E39B2" w14:textId="77777777" w:rsidR="00C24C61" w:rsidRPr="00866299" w:rsidRDefault="00C24C61" w:rsidP="00C24C61">
            <w:pPr>
              <w:keepLines/>
              <w:ind w:left="284" w:hanging="284"/>
              <w:jc w:val="right"/>
              <w:rPr>
                <w:rFonts w:ascii="Calibri" w:hAnsi="Calibri"/>
                <w:sz w:val="22"/>
                <w:lang w:eastAsia="en-US"/>
              </w:rPr>
            </w:pPr>
            <w:r w:rsidRPr="00866299">
              <w:rPr>
                <w:rFonts w:ascii="Calibri" w:hAnsi="Calibri"/>
                <w:sz w:val="22"/>
                <w:lang w:eastAsia="en-US"/>
              </w:rPr>
              <w:t>0</w:t>
            </w:r>
          </w:p>
        </w:tc>
        <w:tc>
          <w:tcPr>
            <w:tcW w:w="1041" w:type="dxa"/>
            <w:tcBorders>
              <w:bottom w:val="single" w:sz="4" w:space="0" w:color="auto"/>
            </w:tcBorders>
          </w:tcPr>
          <w:p w14:paraId="5C482612" w14:textId="77777777" w:rsidR="00C24C61" w:rsidRPr="00866299" w:rsidRDefault="00C24C61" w:rsidP="00C24C61">
            <w:pPr>
              <w:keepLines/>
              <w:ind w:left="284" w:hanging="284"/>
              <w:jc w:val="right"/>
              <w:rPr>
                <w:rFonts w:ascii="Calibri" w:hAnsi="Calibri"/>
                <w:sz w:val="22"/>
                <w:lang w:eastAsia="en-US"/>
              </w:rPr>
            </w:pPr>
            <w:r w:rsidRPr="00866299">
              <w:rPr>
                <w:rFonts w:ascii="Calibri" w:hAnsi="Calibri"/>
                <w:sz w:val="22"/>
                <w:lang w:eastAsia="en-US"/>
              </w:rPr>
              <w:t>100</w:t>
            </w:r>
          </w:p>
        </w:tc>
        <w:tc>
          <w:tcPr>
            <w:tcW w:w="1029" w:type="dxa"/>
            <w:tcBorders>
              <w:bottom w:val="single" w:sz="4" w:space="0" w:color="auto"/>
            </w:tcBorders>
          </w:tcPr>
          <w:p w14:paraId="56E97A85" w14:textId="77777777" w:rsidR="00C24C61" w:rsidRPr="00866299" w:rsidRDefault="00C24C61" w:rsidP="00C24C61">
            <w:pPr>
              <w:keepLines/>
              <w:ind w:left="284" w:hanging="284"/>
              <w:jc w:val="right"/>
              <w:rPr>
                <w:rFonts w:ascii="Calibri" w:hAnsi="Calibri"/>
                <w:sz w:val="22"/>
                <w:lang w:eastAsia="en-US"/>
              </w:rPr>
            </w:pPr>
            <w:r w:rsidRPr="00866299">
              <w:rPr>
                <w:rFonts w:ascii="Calibri" w:hAnsi="Calibri"/>
                <w:sz w:val="22"/>
                <w:lang w:eastAsia="en-US"/>
              </w:rPr>
              <w:t>241</w:t>
            </w:r>
          </w:p>
        </w:tc>
        <w:tc>
          <w:tcPr>
            <w:tcW w:w="1029" w:type="dxa"/>
            <w:tcBorders>
              <w:bottom w:val="single" w:sz="4" w:space="0" w:color="auto"/>
            </w:tcBorders>
          </w:tcPr>
          <w:p w14:paraId="560E356E" w14:textId="77777777" w:rsidR="00C24C61" w:rsidRPr="00866299" w:rsidRDefault="00C24C61" w:rsidP="00C24C61">
            <w:pPr>
              <w:keepLines/>
              <w:ind w:left="284" w:hanging="284"/>
              <w:jc w:val="right"/>
              <w:rPr>
                <w:rFonts w:ascii="Calibri" w:hAnsi="Calibri"/>
                <w:sz w:val="22"/>
                <w:lang w:eastAsia="en-US"/>
              </w:rPr>
            </w:pPr>
            <w:r w:rsidRPr="00866299">
              <w:rPr>
                <w:rFonts w:ascii="Calibri" w:hAnsi="Calibri"/>
                <w:sz w:val="22"/>
                <w:lang w:eastAsia="en-US"/>
              </w:rPr>
              <w:t>328</w:t>
            </w:r>
          </w:p>
        </w:tc>
        <w:tc>
          <w:tcPr>
            <w:tcW w:w="1029" w:type="dxa"/>
            <w:tcBorders>
              <w:bottom w:val="single" w:sz="4" w:space="0" w:color="auto"/>
            </w:tcBorders>
          </w:tcPr>
          <w:p w14:paraId="7A249320" w14:textId="77777777" w:rsidR="00C24C61" w:rsidRPr="00866299" w:rsidRDefault="00C24C61" w:rsidP="00C24C61">
            <w:pPr>
              <w:keepLines/>
              <w:ind w:left="284" w:hanging="284"/>
              <w:jc w:val="right"/>
              <w:rPr>
                <w:rFonts w:ascii="Calibri" w:hAnsi="Calibri"/>
                <w:b/>
                <w:sz w:val="22"/>
                <w:lang w:eastAsia="en-US"/>
              </w:rPr>
            </w:pPr>
            <w:r w:rsidRPr="00866299">
              <w:rPr>
                <w:rFonts w:ascii="Calibri" w:hAnsi="Calibri"/>
                <w:b/>
                <w:sz w:val="22"/>
                <w:lang w:eastAsia="en-US"/>
              </w:rPr>
              <w:t>669</w:t>
            </w:r>
          </w:p>
        </w:tc>
      </w:tr>
      <w:tr w:rsidR="00C24C61" w:rsidRPr="00866299" w14:paraId="2FDC576A" w14:textId="77777777" w:rsidTr="00D31DE3">
        <w:trPr>
          <w:cantSplit/>
        </w:trPr>
        <w:tc>
          <w:tcPr>
            <w:tcW w:w="3652" w:type="dxa"/>
            <w:tcBorders>
              <w:top w:val="single" w:sz="4" w:space="0" w:color="auto"/>
              <w:bottom w:val="single" w:sz="4" w:space="0" w:color="auto"/>
            </w:tcBorders>
          </w:tcPr>
          <w:p w14:paraId="285D0844" w14:textId="77777777" w:rsidR="00C24C61" w:rsidRPr="00866299" w:rsidRDefault="00C24C61" w:rsidP="00C24C61">
            <w:pPr>
              <w:keepLines/>
              <w:ind w:left="284" w:hanging="284"/>
              <w:rPr>
                <w:rFonts w:ascii="Calibri" w:hAnsi="Calibri"/>
                <w:b/>
                <w:sz w:val="22"/>
                <w:lang w:eastAsia="en-US"/>
              </w:rPr>
            </w:pPr>
            <w:r w:rsidRPr="00866299">
              <w:rPr>
                <w:rFonts w:ascii="Calibri" w:hAnsi="Calibri"/>
                <w:b/>
                <w:sz w:val="22"/>
                <w:lang w:eastAsia="en-US"/>
              </w:rPr>
              <w:t>Total expenses</w:t>
            </w:r>
          </w:p>
        </w:tc>
        <w:tc>
          <w:tcPr>
            <w:tcW w:w="1179" w:type="dxa"/>
            <w:tcBorders>
              <w:top w:val="single" w:sz="4" w:space="0" w:color="auto"/>
              <w:bottom w:val="single" w:sz="4" w:space="0" w:color="auto"/>
            </w:tcBorders>
          </w:tcPr>
          <w:p w14:paraId="1412DB8B" w14:textId="77777777" w:rsidR="00C24C61" w:rsidRPr="00866299" w:rsidRDefault="00C24C61" w:rsidP="00C24C61">
            <w:pPr>
              <w:keepLines/>
              <w:ind w:left="284" w:hanging="284"/>
              <w:jc w:val="right"/>
              <w:rPr>
                <w:rFonts w:ascii="Calibri" w:hAnsi="Calibri"/>
                <w:b/>
                <w:sz w:val="22"/>
                <w:lang w:eastAsia="en-US"/>
              </w:rPr>
            </w:pPr>
            <w:r w:rsidRPr="00866299">
              <w:rPr>
                <w:rFonts w:ascii="Calibri" w:hAnsi="Calibri"/>
                <w:b/>
                <w:sz w:val="22"/>
                <w:lang w:eastAsia="en-US"/>
              </w:rPr>
              <w:t>0</w:t>
            </w:r>
          </w:p>
        </w:tc>
        <w:tc>
          <w:tcPr>
            <w:tcW w:w="1041" w:type="dxa"/>
            <w:tcBorders>
              <w:top w:val="single" w:sz="4" w:space="0" w:color="auto"/>
              <w:bottom w:val="single" w:sz="4" w:space="0" w:color="auto"/>
            </w:tcBorders>
          </w:tcPr>
          <w:p w14:paraId="327D17DF" w14:textId="77777777" w:rsidR="00C24C61" w:rsidRPr="00866299" w:rsidRDefault="00C24C61" w:rsidP="00C24C61">
            <w:pPr>
              <w:keepLines/>
              <w:ind w:left="284" w:hanging="284"/>
              <w:jc w:val="right"/>
              <w:rPr>
                <w:rFonts w:ascii="Calibri" w:hAnsi="Calibri"/>
                <w:b/>
                <w:sz w:val="22"/>
                <w:lang w:eastAsia="en-US"/>
              </w:rPr>
            </w:pPr>
            <w:r w:rsidRPr="00866299">
              <w:rPr>
                <w:rFonts w:ascii="Calibri" w:hAnsi="Calibri"/>
                <w:b/>
                <w:sz w:val="22"/>
                <w:lang w:eastAsia="en-US"/>
              </w:rPr>
              <w:t>100</w:t>
            </w:r>
          </w:p>
        </w:tc>
        <w:tc>
          <w:tcPr>
            <w:tcW w:w="1029" w:type="dxa"/>
            <w:tcBorders>
              <w:top w:val="single" w:sz="4" w:space="0" w:color="auto"/>
              <w:bottom w:val="single" w:sz="4" w:space="0" w:color="auto"/>
            </w:tcBorders>
          </w:tcPr>
          <w:p w14:paraId="04099E95" w14:textId="77777777" w:rsidR="00C24C61" w:rsidRPr="00866299" w:rsidRDefault="00C24C61" w:rsidP="00C24C61">
            <w:pPr>
              <w:keepLines/>
              <w:ind w:left="284" w:hanging="284"/>
              <w:jc w:val="right"/>
              <w:rPr>
                <w:rFonts w:ascii="Calibri" w:hAnsi="Calibri"/>
                <w:b/>
                <w:sz w:val="22"/>
                <w:lang w:eastAsia="en-US"/>
              </w:rPr>
            </w:pPr>
            <w:r w:rsidRPr="00866299">
              <w:rPr>
                <w:rFonts w:ascii="Calibri" w:hAnsi="Calibri"/>
                <w:b/>
                <w:sz w:val="22"/>
                <w:lang w:eastAsia="en-US"/>
              </w:rPr>
              <w:t>241</w:t>
            </w:r>
          </w:p>
        </w:tc>
        <w:tc>
          <w:tcPr>
            <w:tcW w:w="1029" w:type="dxa"/>
            <w:tcBorders>
              <w:top w:val="single" w:sz="4" w:space="0" w:color="auto"/>
              <w:bottom w:val="single" w:sz="4" w:space="0" w:color="auto"/>
            </w:tcBorders>
          </w:tcPr>
          <w:p w14:paraId="00156212" w14:textId="77777777" w:rsidR="00C24C61" w:rsidRPr="00866299" w:rsidRDefault="00C24C61" w:rsidP="00C24C61">
            <w:pPr>
              <w:keepLines/>
              <w:ind w:left="284" w:hanging="284"/>
              <w:jc w:val="right"/>
              <w:rPr>
                <w:rFonts w:ascii="Calibri" w:hAnsi="Calibri"/>
                <w:b/>
                <w:sz w:val="22"/>
                <w:lang w:eastAsia="en-US"/>
              </w:rPr>
            </w:pPr>
            <w:r w:rsidRPr="00866299">
              <w:rPr>
                <w:rFonts w:ascii="Calibri" w:hAnsi="Calibri"/>
                <w:b/>
                <w:sz w:val="22"/>
                <w:lang w:eastAsia="en-US"/>
              </w:rPr>
              <w:t>795</w:t>
            </w:r>
          </w:p>
        </w:tc>
        <w:tc>
          <w:tcPr>
            <w:tcW w:w="1029" w:type="dxa"/>
            <w:tcBorders>
              <w:top w:val="single" w:sz="4" w:space="0" w:color="auto"/>
              <w:bottom w:val="single" w:sz="4" w:space="0" w:color="auto"/>
            </w:tcBorders>
          </w:tcPr>
          <w:p w14:paraId="4F5FF8E5" w14:textId="77777777" w:rsidR="00C24C61" w:rsidRPr="00866299" w:rsidRDefault="00C24C61" w:rsidP="00C24C61">
            <w:pPr>
              <w:keepLines/>
              <w:ind w:left="284" w:hanging="284"/>
              <w:jc w:val="right"/>
              <w:rPr>
                <w:rFonts w:ascii="Calibri" w:hAnsi="Calibri"/>
                <w:b/>
                <w:sz w:val="22"/>
                <w:lang w:eastAsia="en-US"/>
              </w:rPr>
            </w:pPr>
            <w:r w:rsidRPr="00866299">
              <w:rPr>
                <w:rFonts w:ascii="Calibri" w:hAnsi="Calibri"/>
                <w:b/>
                <w:sz w:val="22"/>
                <w:lang w:eastAsia="en-US"/>
              </w:rPr>
              <w:t>1,136</w:t>
            </w:r>
          </w:p>
        </w:tc>
      </w:tr>
    </w:tbl>
    <w:p w14:paraId="3312460A" w14:textId="77777777" w:rsidR="00C24C61" w:rsidRPr="00C24C61" w:rsidRDefault="00C24C61" w:rsidP="00D31DE3">
      <w:pPr>
        <w:pStyle w:val="snapInitbody"/>
      </w:pPr>
      <w:r w:rsidRPr="00C24C61">
        <w:t>The Government will deliver on our election commitment to provide safer intersections through upgrades to key sites across Canberra. This will include upgrading the intersections at Southern Cross Drive and Starke Street in Holt; Belconnen Way and Springvale Drive in Hawker; Kent Street and Novar Street in Deakin; and Launceston Street and Irving Street in Phillip. Through this initiative we will also continue to improve safe road access to Mt Taylor in Kambah and conduct a scoping study to improve the Hume Circle roundabout at Narrabundah.</w:t>
      </w:r>
    </w:p>
    <w:p w14:paraId="5F15C0E0" w14:textId="3EBE3FF3" w:rsidR="00C24C61" w:rsidRPr="00202E81" w:rsidRDefault="00C24C61" w:rsidP="00202E81">
      <w:pPr>
        <w:pStyle w:val="snapInittitles"/>
      </w:pPr>
      <w:r w:rsidRPr="00202E81">
        <w:t xml:space="preserve">Delivering Stage 2 of Light Rail to Woden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C24C61" w:rsidRPr="00866299" w14:paraId="428204B3" w14:textId="77777777" w:rsidTr="00D31DE3">
        <w:trPr>
          <w:cantSplit/>
        </w:trPr>
        <w:tc>
          <w:tcPr>
            <w:tcW w:w="3652" w:type="dxa"/>
            <w:tcBorders>
              <w:top w:val="single" w:sz="4" w:space="0" w:color="auto"/>
              <w:bottom w:val="single" w:sz="4" w:space="0" w:color="auto"/>
            </w:tcBorders>
          </w:tcPr>
          <w:p w14:paraId="60954A02" w14:textId="77777777" w:rsidR="00C24C61" w:rsidRPr="00866299" w:rsidRDefault="00C24C61" w:rsidP="00C24C61">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5A451980"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2019­20</w:t>
            </w:r>
          </w:p>
          <w:p w14:paraId="27F0171F"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40B3CF03"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2020­21</w:t>
            </w:r>
          </w:p>
          <w:p w14:paraId="4D197C42"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5C0C578"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2021­22</w:t>
            </w:r>
          </w:p>
          <w:p w14:paraId="2F64701A"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3B2D5150"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2022-23</w:t>
            </w:r>
          </w:p>
          <w:p w14:paraId="549548EC"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7E1B5DEC"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Total</w:t>
            </w:r>
          </w:p>
          <w:p w14:paraId="7AEF1EEB"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$’000</w:t>
            </w:r>
          </w:p>
        </w:tc>
      </w:tr>
      <w:tr w:rsidR="00C24C61" w:rsidRPr="00866299" w14:paraId="6D005504" w14:textId="77777777" w:rsidTr="00D31DE3">
        <w:trPr>
          <w:cantSplit/>
        </w:trPr>
        <w:tc>
          <w:tcPr>
            <w:tcW w:w="3652" w:type="dxa"/>
            <w:tcBorders>
              <w:top w:val="single" w:sz="4" w:space="0" w:color="auto"/>
            </w:tcBorders>
          </w:tcPr>
          <w:p w14:paraId="10FB0D17" w14:textId="77777777" w:rsidR="00C24C61" w:rsidRPr="00866299" w:rsidRDefault="00C24C61" w:rsidP="00C24C61">
            <w:pPr>
              <w:ind w:left="284" w:hanging="284"/>
              <w:rPr>
                <w:rFonts w:ascii="Calibri" w:hAnsi="Calibri"/>
                <w:sz w:val="22"/>
                <w:lang w:eastAsia="en-US"/>
              </w:rPr>
            </w:pPr>
            <w:r w:rsidRPr="00866299">
              <w:rPr>
                <w:rFonts w:ascii="Calibri" w:hAnsi="Calibri"/>
                <w:sz w:val="22"/>
                <w:lang w:eastAsia="en-US"/>
              </w:rPr>
              <w:t>Capital</w:t>
            </w:r>
          </w:p>
        </w:tc>
        <w:tc>
          <w:tcPr>
            <w:tcW w:w="1179" w:type="dxa"/>
            <w:tcBorders>
              <w:top w:val="single" w:sz="4" w:space="0" w:color="auto"/>
            </w:tcBorders>
          </w:tcPr>
          <w:p w14:paraId="0A31D877"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18,408</w:t>
            </w:r>
          </w:p>
        </w:tc>
        <w:tc>
          <w:tcPr>
            <w:tcW w:w="1041" w:type="dxa"/>
            <w:tcBorders>
              <w:top w:val="single" w:sz="4" w:space="0" w:color="auto"/>
            </w:tcBorders>
          </w:tcPr>
          <w:p w14:paraId="354A0E0B"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1,750</w:t>
            </w:r>
          </w:p>
        </w:tc>
        <w:tc>
          <w:tcPr>
            <w:tcW w:w="1029" w:type="dxa"/>
            <w:tcBorders>
              <w:top w:val="single" w:sz="4" w:space="0" w:color="auto"/>
            </w:tcBorders>
          </w:tcPr>
          <w:p w14:paraId="75099A67"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0C755C87"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0D6B6B4E"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20,158</w:t>
            </w:r>
          </w:p>
        </w:tc>
      </w:tr>
      <w:tr w:rsidR="00C24C61" w:rsidRPr="00866299" w14:paraId="1FDB3FC4" w14:textId="77777777" w:rsidTr="00D31DE3">
        <w:trPr>
          <w:cantSplit/>
        </w:trPr>
        <w:tc>
          <w:tcPr>
            <w:tcW w:w="3652" w:type="dxa"/>
          </w:tcPr>
          <w:p w14:paraId="40CA77CF" w14:textId="77777777" w:rsidR="00C24C61" w:rsidRPr="00866299" w:rsidRDefault="00C24C61" w:rsidP="00C24C61">
            <w:pPr>
              <w:ind w:left="284" w:hanging="284"/>
              <w:rPr>
                <w:rFonts w:ascii="Calibri" w:hAnsi="Calibri"/>
                <w:sz w:val="22"/>
                <w:lang w:eastAsia="en-US"/>
              </w:rPr>
            </w:pPr>
            <w:r w:rsidRPr="00866299">
              <w:rPr>
                <w:rFonts w:ascii="Calibri" w:hAnsi="Calibri"/>
                <w:sz w:val="22"/>
                <w:lang w:eastAsia="en-US"/>
              </w:rPr>
              <w:t>Offset – Capital provision</w:t>
            </w:r>
          </w:p>
        </w:tc>
        <w:tc>
          <w:tcPr>
            <w:tcW w:w="1179" w:type="dxa"/>
          </w:tcPr>
          <w:p w14:paraId="326315B2"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-16,658</w:t>
            </w:r>
          </w:p>
        </w:tc>
        <w:tc>
          <w:tcPr>
            <w:tcW w:w="1041" w:type="dxa"/>
          </w:tcPr>
          <w:p w14:paraId="1E440ACF"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335F6311"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6D686208"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5885CB75"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-16,658</w:t>
            </w:r>
          </w:p>
        </w:tc>
      </w:tr>
      <w:tr w:rsidR="00C24C61" w:rsidRPr="00866299" w14:paraId="5356BA4B" w14:textId="77777777" w:rsidTr="00D31DE3">
        <w:trPr>
          <w:cantSplit/>
        </w:trPr>
        <w:tc>
          <w:tcPr>
            <w:tcW w:w="3652" w:type="dxa"/>
          </w:tcPr>
          <w:p w14:paraId="392A0A23" w14:textId="77777777" w:rsidR="00C24C61" w:rsidRPr="00866299" w:rsidRDefault="00C24C61" w:rsidP="00C24C61">
            <w:pPr>
              <w:ind w:left="284" w:hanging="284"/>
              <w:rPr>
                <w:rFonts w:ascii="Calibri" w:hAnsi="Calibri"/>
                <w:sz w:val="22"/>
                <w:lang w:eastAsia="en-US"/>
              </w:rPr>
            </w:pPr>
            <w:r w:rsidRPr="00866299">
              <w:rPr>
                <w:rFonts w:ascii="Calibri" w:hAnsi="Calibri"/>
                <w:sz w:val="22"/>
                <w:lang w:eastAsia="en-US"/>
              </w:rPr>
              <w:t xml:space="preserve">Provision – Capital </w:t>
            </w:r>
          </w:p>
        </w:tc>
        <w:tc>
          <w:tcPr>
            <w:tcW w:w="1179" w:type="dxa"/>
          </w:tcPr>
          <w:p w14:paraId="1CD3A294"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41" w:type="dxa"/>
          </w:tcPr>
          <w:p w14:paraId="7E10D4A3"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29,896</w:t>
            </w:r>
          </w:p>
        </w:tc>
        <w:tc>
          <w:tcPr>
            <w:tcW w:w="1029" w:type="dxa"/>
          </w:tcPr>
          <w:p w14:paraId="66BA7F5A"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13,500</w:t>
            </w:r>
          </w:p>
        </w:tc>
        <w:tc>
          <w:tcPr>
            <w:tcW w:w="1029" w:type="dxa"/>
          </w:tcPr>
          <w:p w14:paraId="1BB48F91"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78F4686B"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43,396</w:t>
            </w:r>
          </w:p>
        </w:tc>
      </w:tr>
      <w:tr w:rsidR="00C24C61" w:rsidRPr="00866299" w14:paraId="678B987E" w14:textId="77777777" w:rsidTr="00D31DE3">
        <w:trPr>
          <w:cantSplit/>
        </w:trPr>
        <w:tc>
          <w:tcPr>
            <w:tcW w:w="3652" w:type="dxa"/>
            <w:tcBorders>
              <w:top w:val="single" w:sz="4" w:space="0" w:color="auto"/>
              <w:bottom w:val="single" w:sz="4" w:space="0" w:color="auto"/>
            </w:tcBorders>
          </w:tcPr>
          <w:p w14:paraId="4135BEF7" w14:textId="77777777" w:rsidR="00C24C61" w:rsidRPr="00866299" w:rsidRDefault="00C24C61" w:rsidP="00C24C61">
            <w:pPr>
              <w:ind w:left="284" w:hanging="284"/>
              <w:rPr>
                <w:rFonts w:ascii="Calibri" w:hAnsi="Calibri"/>
                <w:b/>
                <w:sz w:val="22"/>
                <w:lang w:eastAsia="en-US"/>
              </w:rPr>
            </w:pPr>
            <w:r w:rsidRPr="00866299">
              <w:rPr>
                <w:rFonts w:ascii="Calibri" w:hAnsi="Calibri"/>
                <w:b/>
                <w:sz w:val="22"/>
                <w:lang w:eastAsia="en-US"/>
              </w:rPr>
              <w:t>Net capital</w:t>
            </w:r>
          </w:p>
        </w:tc>
        <w:tc>
          <w:tcPr>
            <w:tcW w:w="1179" w:type="dxa"/>
            <w:tcBorders>
              <w:top w:val="single" w:sz="4" w:space="0" w:color="auto"/>
              <w:bottom w:val="single" w:sz="4" w:space="0" w:color="auto"/>
            </w:tcBorders>
          </w:tcPr>
          <w:p w14:paraId="45EBDCE7"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1,750</w:t>
            </w:r>
          </w:p>
        </w:tc>
        <w:tc>
          <w:tcPr>
            <w:tcW w:w="1041" w:type="dxa"/>
            <w:tcBorders>
              <w:top w:val="single" w:sz="4" w:space="0" w:color="auto"/>
              <w:bottom w:val="single" w:sz="4" w:space="0" w:color="auto"/>
            </w:tcBorders>
          </w:tcPr>
          <w:p w14:paraId="0486553A"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31,646</w:t>
            </w:r>
          </w:p>
        </w:tc>
        <w:tc>
          <w:tcPr>
            <w:tcW w:w="1029" w:type="dxa"/>
            <w:tcBorders>
              <w:top w:val="single" w:sz="4" w:space="0" w:color="auto"/>
              <w:bottom w:val="single" w:sz="4" w:space="0" w:color="auto"/>
            </w:tcBorders>
          </w:tcPr>
          <w:p w14:paraId="3080343D"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13,500</w:t>
            </w:r>
          </w:p>
        </w:tc>
        <w:tc>
          <w:tcPr>
            <w:tcW w:w="1029" w:type="dxa"/>
            <w:tcBorders>
              <w:top w:val="single" w:sz="4" w:space="0" w:color="auto"/>
              <w:bottom w:val="single" w:sz="4" w:space="0" w:color="auto"/>
            </w:tcBorders>
          </w:tcPr>
          <w:p w14:paraId="4160DB68"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3BCDF70E"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46,896</w:t>
            </w:r>
          </w:p>
        </w:tc>
      </w:tr>
      <w:tr w:rsidR="00C24C61" w:rsidRPr="00866299" w14:paraId="0CFB8C6A" w14:textId="77777777" w:rsidTr="00D31DE3">
        <w:trPr>
          <w:cantSplit/>
        </w:trPr>
        <w:tc>
          <w:tcPr>
            <w:tcW w:w="3652" w:type="dxa"/>
            <w:tcBorders>
              <w:top w:val="single" w:sz="4" w:space="0" w:color="auto"/>
            </w:tcBorders>
          </w:tcPr>
          <w:p w14:paraId="716613C1" w14:textId="77777777" w:rsidR="00C24C61" w:rsidRPr="00866299" w:rsidRDefault="00C24C61" w:rsidP="00C24C61">
            <w:pPr>
              <w:ind w:left="284" w:hanging="284"/>
              <w:rPr>
                <w:rFonts w:ascii="Calibri" w:hAnsi="Calibri"/>
                <w:sz w:val="22"/>
                <w:lang w:eastAsia="en-US"/>
              </w:rPr>
            </w:pPr>
            <w:r w:rsidRPr="00866299">
              <w:rPr>
                <w:rFonts w:ascii="Calibri" w:hAnsi="Calibri"/>
                <w:sz w:val="22"/>
                <w:lang w:eastAsia="en-US"/>
              </w:rPr>
              <w:t>Associated expenses</w:t>
            </w:r>
          </w:p>
        </w:tc>
        <w:tc>
          <w:tcPr>
            <w:tcW w:w="1179" w:type="dxa"/>
            <w:tcBorders>
              <w:top w:val="single" w:sz="4" w:space="0" w:color="auto"/>
            </w:tcBorders>
          </w:tcPr>
          <w:p w14:paraId="7410C839"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2,342</w:t>
            </w:r>
          </w:p>
        </w:tc>
        <w:tc>
          <w:tcPr>
            <w:tcW w:w="1041" w:type="dxa"/>
            <w:tcBorders>
              <w:top w:val="single" w:sz="4" w:space="0" w:color="auto"/>
            </w:tcBorders>
          </w:tcPr>
          <w:p w14:paraId="42DE2F50"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60C9EC99"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3D868FEF"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6E4CA24E"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2,342</w:t>
            </w:r>
          </w:p>
        </w:tc>
      </w:tr>
      <w:tr w:rsidR="00C24C61" w:rsidRPr="00866299" w14:paraId="3DDB03CE" w14:textId="77777777" w:rsidTr="00D31DE3">
        <w:trPr>
          <w:cantSplit/>
        </w:trPr>
        <w:tc>
          <w:tcPr>
            <w:tcW w:w="3652" w:type="dxa"/>
          </w:tcPr>
          <w:p w14:paraId="29467E93" w14:textId="77777777" w:rsidR="00C24C61" w:rsidRPr="00866299" w:rsidRDefault="00C24C61" w:rsidP="00C24C61">
            <w:pPr>
              <w:ind w:left="284" w:hanging="284"/>
              <w:rPr>
                <w:rFonts w:ascii="Calibri" w:hAnsi="Calibri"/>
                <w:sz w:val="22"/>
                <w:lang w:eastAsia="en-US"/>
              </w:rPr>
            </w:pPr>
            <w:r w:rsidRPr="00866299">
              <w:rPr>
                <w:rFonts w:ascii="Calibri" w:hAnsi="Calibri"/>
                <w:sz w:val="22"/>
                <w:lang w:eastAsia="en-US"/>
              </w:rPr>
              <w:t>Offset – Expense provision</w:t>
            </w:r>
          </w:p>
        </w:tc>
        <w:tc>
          <w:tcPr>
            <w:tcW w:w="1179" w:type="dxa"/>
          </w:tcPr>
          <w:p w14:paraId="10728C7F"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-2,342</w:t>
            </w:r>
          </w:p>
        </w:tc>
        <w:tc>
          <w:tcPr>
            <w:tcW w:w="1041" w:type="dxa"/>
          </w:tcPr>
          <w:p w14:paraId="1584955E"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1A62F797"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61C1176C"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47AC7395"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-2,342</w:t>
            </w:r>
          </w:p>
        </w:tc>
      </w:tr>
      <w:tr w:rsidR="00C24C61" w:rsidRPr="00866299" w14:paraId="47372CEE" w14:textId="77777777" w:rsidTr="00D31DE3">
        <w:trPr>
          <w:cantSplit/>
        </w:trPr>
        <w:tc>
          <w:tcPr>
            <w:tcW w:w="3652" w:type="dxa"/>
          </w:tcPr>
          <w:p w14:paraId="162DC629" w14:textId="77777777" w:rsidR="00C24C61" w:rsidRPr="00866299" w:rsidRDefault="00C24C61" w:rsidP="00C24C61">
            <w:pPr>
              <w:ind w:left="284" w:hanging="284"/>
              <w:rPr>
                <w:rFonts w:ascii="Calibri" w:hAnsi="Calibri"/>
                <w:sz w:val="22"/>
                <w:lang w:eastAsia="en-US"/>
              </w:rPr>
            </w:pPr>
            <w:r w:rsidRPr="00866299">
              <w:rPr>
                <w:rFonts w:ascii="Calibri" w:hAnsi="Calibri"/>
                <w:sz w:val="22"/>
                <w:lang w:eastAsia="en-US"/>
              </w:rPr>
              <w:t>Provision – Expense</w:t>
            </w:r>
          </w:p>
        </w:tc>
        <w:tc>
          <w:tcPr>
            <w:tcW w:w="1179" w:type="dxa"/>
          </w:tcPr>
          <w:p w14:paraId="7517E1F1"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41" w:type="dxa"/>
          </w:tcPr>
          <w:p w14:paraId="3043CC98"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2,401</w:t>
            </w:r>
          </w:p>
        </w:tc>
        <w:tc>
          <w:tcPr>
            <w:tcW w:w="1029" w:type="dxa"/>
          </w:tcPr>
          <w:p w14:paraId="340CA861"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64A45DD0"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10AFE6D5"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2,401</w:t>
            </w:r>
          </w:p>
        </w:tc>
      </w:tr>
      <w:tr w:rsidR="00C24C61" w:rsidRPr="00866299" w14:paraId="03DE1D4C" w14:textId="77777777" w:rsidTr="00D31DE3">
        <w:trPr>
          <w:cantSplit/>
        </w:trPr>
        <w:tc>
          <w:tcPr>
            <w:tcW w:w="3652" w:type="dxa"/>
            <w:tcBorders>
              <w:top w:val="single" w:sz="4" w:space="0" w:color="auto"/>
              <w:bottom w:val="single" w:sz="4" w:space="0" w:color="auto"/>
            </w:tcBorders>
          </w:tcPr>
          <w:p w14:paraId="2AC37F1A" w14:textId="77777777" w:rsidR="00C24C61" w:rsidRPr="00866299" w:rsidRDefault="00C24C61" w:rsidP="00C24C61">
            <w:pPr>
              <w:ind w:left="284" w:hanging="284"/>
              <w:rPr>
                <w:rFonts w:ascii="Calibri" w:hAnsi="Calibri"/>
                <w:b/>
                <w:sz w:val="22"/>
                <w:lang w:eastAsia="en-US"/>
              </w:rPr>
            </w:pPr>
            <w:r w:rsidRPr="00866299">
              <w:rPr>
                <w:rFonts w:ascii="Calibri" w:hAnsi="Calibri"/>
                <w:b/>
                <w:sz w:val="22"/>
                <w:lang w:eastAsia="en-US"/>
              </w:rPr>
              <w:t>Net expenses</w:t>
            </w:r>
          </w:p>
        </w:tc>
        <w:tc>
          <w:tcPr>
            <w:tcW w:w="1179" w:type="dxa"/>
            <w:tcBorders>
              <w:top w:val="single" w:sz="4" w:space="0" w:color="auto"/>
              <w:bottom w:val="single" w:sz="4" w:space="0" w:color="auto"/>
            </w:tcBorders>
          </w:tcPr>
          <w:p w14:paraId="28EFDDB7"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0</w:t>
            </w:r>
          </w:p>
        </w:tc>
        <w:tc>
          <w:tcPr>
            <w:tcW w:w="1041" w:type="dxa"/>
            <w:tcBorders>
              <w:top w:val="single" w:sz="4" w:space="0" w:color="auto"/>
              <w:bottom w:val="single" w:sz="4" w:space="0" w:color="auto"/>
            </w:tcBorders>
          </w:tcPr>
          <w:p w14:paraId="15198415"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2,401</w:t>
            </w:r>
          </w:p>
        </w:tc>
        <w:tc>
          <w:tcPr>
            <w:tcW w:w="1029" w:type="dxa"/>
            <w:tcBorders>
              <w:top w:val="single" w:sz="4" w:space="0" w:color="auto"/>
              <w:bottom w:val="single" w:sz="4" w:space="0" w:color="auto"/>
            </w:tcBorders>
          </w:tcPr>
          <w:p w14:paraId="0EECE1DD"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30A192A9"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418419C9"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2,401</w:t>
            </w:r>
          </w:p>
        </w:tc>
      </w:tr>
    </w:tbl>
    <w:p w14:paraId="7B16A7F3" w14:textId="77777777" w:rsidR="00C24C61" w:rsidRPr="00C24C61" w:rsidRDefault="00C24C61" w:rsidP="00D31DE3">
      <w:pPr>
        <w:pStyle w:val="snapInitbody"/>
      </w:pPr>
      <w:r w:rsidRPr="00C24C61">
        <w:t>The Government will progress detailed design, planning and enabling works for Stage 2 of light rail from the City to Woden. This will include starting work on a new Woden Bus Interchange to integrate with light rail, to ensure the project keeps moving ahead while we continue to engage with the Commonwealth Government on the route alignment and approvals process.</w:t>
      </w:r>
    </w:p>
    <w:p w14:paraId="2F361016" w14:textId="77777777" w:rsidR="00C24C61" w:rsidRPr="00202E81" w:rsidRDefault="00C24C61" w:rsidP="00202E81">
      <w:pPr>
        <w:pStyle w:val="snapInittitles"/>
      </w:pPr>
      <w:r w:rsidRPr="00202E81">
        <w:t xml:space="preserve">Improving local shopping centres </w:t>
      </w:r>
    </w:p>
    <w:tbl>
      <w:tblPr>
        <w:tblW w:w="5000" w:type="pct"/>
        <w:tblLayout w:type="fixed"/>
        <w:tblLook w:val="04A0" w:firstRow="1" w:lastRow="0" w:firstColumn="1" w:lastColumn="0" w:noHBand="0" w:noVBand="1"/>
      </w:tblPr>
      <w:tblGrid>
        <w:gridCol w:w="3929"/>
        <w:gridCol w:w="1268"/>
        <w:gridCol w:w="1120"/>
        <w:gridCol w:w="1107"/>
        <w:gridCol w:w="1107"/>
        <w:gridCol w:w="1107"/>
      </w:tblGrid>
      <w:tr w:rsidR="00C24C61" w:rsidRPr="00866299" w14:paraId="4240D72E" w14:textId="77777777" w:rsidTr="00D31DE3">
        <w:trPr>
          <w:cantSplit/>
        </w:trPr>
        <w:tc>
          <w:tcPr>
            <w:tcW w:w="3652" w:type="dxa"/>
            <w:tcBorders>
              <w:top w:val="single" w:sz="4" w:space="0" w:color="auto"/>
              <w:left w:val="nil"/>
              <w:bottom w:val="single" w:sz="4" w:space="0" w:color="auto"/>
              <w:right w:val="nil"/>
            </w:tcBorders>
            <w:hideMark/>
          </w:tcPr>
          <w:p w14:paraId="4813EABE" w14:textId="77777777" w:rsidR="00C24C61" w:rsidRPr="00866299" w:rsidRDefault="00C24C61" w:rsidP="00C24C61">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left w:val="nil"/>
              <w:bottom w:val="single" w:sz="4" w:space="0" w:color="auto"/>
              <w:right w:val="nil"/>
            </w:tcBorders>
            <w:hideMark/>
          </w:tcPr>
          <w:p w14:paraId="3F215131" w14:textId="77777777" w:rsidR="00C24C61" w:rsidRPr="00866299" w:rsidRDefault="00C24C61" w:rsidP="00C24C61">
            <w:pPr>
              <w:spacing w:line="256" w:lineRule="auto"/>
              <w:ind w:left="284" w:hanging="284"/>
              <w:jc w:val="right"/>
              <w:rPr>
                <w:rFonts w:ascii="Calibri" w:hAnsi="Calibri"/>
                <w:sz w:val="22"/>
                <w:lang w:eastAsia="en-US"/>
              </w:rPr>
            </w:pPr>
            <w:r w:rsidRPr="00866299">
              <w:rPr>
                <w:rFonts w:ascii="Calibri" w:hAnsi="Calibri"/>
                <w:sz w:val="22"/>
                <w:lang w:eastAsia="en-US"/>
              </w:rPr>
              <w:t>2019-</w:t>
            </w:r>
            <w:r w:rsidRPr="00866299">
              <w:rPr>
                <w:rFonts w:ascii="Calibri" w:hAnsi="Calibri"/>
                <w:sz w:val="22"/>
                <w:lang w:eastAsia="en-US"/>
              </w:rPr>
              <w:softHyphen/>
              <w:t>20</w:t>
            </w:r>
          </w:p>
          <w:p w14:paraId="7C349A4A" w14:textId="77777777" w:rsidR="00C24C61" w:rsidRPr="00866299" w:rsidRDefault="00C24C61" w:rsidP="00C24C61">
            <w:pPr>
              <w:spacing w:line="256" w:lineRule="auto"/>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left w:val="nil"/>
              <w:bottom w:val="single" w:sz="4" w:space="0" w:color="auto"/>
              <w:right w:val="nil"/>
            </w:tcBorders>
            <w:hideMark/>
          </w:tcPr>
          <w:p w14:paraId="091012C1" w14:textId="77777777" w:rsidR="00C24C61" w:rsidRPr="00866299" w:rsidRDefault="00C24C61" w:rsidP="00C24C61">
            <w:pPr>
              <w:spacing w:line="256" w:lineRule="auto"/>
              <w:ind w:left="284" w:hanging="284"/>
              <w:jc w:val="right"/>
              <w:rPr>
                <w:rFonts w:ascii="Calibri" w:hAnsi="Calibri"/>
                <w:sz w:val="22"/>
                <w:lang w:eastAsia="en-US"/>
              </w:rPr>
            </w:pPr>
            <w:r w:rsidRPr="00866299">
              <w:rPr>
                <w:rFonts w:ascii="Calibri" w:hAnsi="Calibri"/>
                <w:sz w:val="22"/>
                <w:lang w:eastAsia="en-US"/>
              </w:rPr>
              <w:t>2020-</w:t>
            </w:r>
            <w:r w:rsidRPr="00866299">
              <w:rPr>
                <w:rFonts w:ascii="Calibri" w:hAnsi="Calibri"/>
                <w:sz w:val="22"/>
                <w:lang w:eastAsia="en-US"/>
              </w:rPr>
              <w:softHyphen/>
              <w:t>21</w:t>
            </w:r>
          </w:p>
          <w:p w14:paraId="48AC31FB" w14:textId="77777777" w:rsidR="00C24C61" w:rsidRPr="00866299" w:rsidRDefault="00C24C61" w:rsidP="00C24C61">
            <w:pPr>
              <w:spacing w:line="256" w:lineRule="auto"/>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left w:val="nil"/>
              <w:bottom w:val="single" w:sz="4" w:space="0" w:color="auto"/>
              <w:right w:val="nil"/>
            </w:tcBorders>
            <w:hideMark/>
          </w:tcPr>
          <w:p w14:paraId="1106490C" w14:textId="77777777" w:rsidR="00C24C61" w:rsidRPr="00866299" w:rsidRDefault="00C24C61" w:rsidP="00C24C61">
            <w:pPr>
              <w:spacing w:line="256" w:lineRule="auto"/>
              <w:ind w:left="284" w:hanging="284"/>
              <w:jc w:val="right"/>
              <w:rPr>
                <w:rFonts w:ascii="Calibri" w:hAnsi="Calibri"/>
                <w:sz w:val="22"/>
                <w:lang w:eastAsia="en-US"/>
              </w:rPr>
            </w:pPr>
            <w:r w:rsidRPr="00866299">
              <w:rPr>
                <w:rFonts w:ascii="Calibri" w:hAnsi="Calibri"/>
                <w:sz w:val="22"/>
                <w:lang w:eastAsia="en-US"/>
              </w:rPr>
              <w:t>2021</w:t>
            </w:r>
            <w:r w:rsidRPr="00866299">
              <w:rPr>
                <w:rFonts w:ascii="Calibri" w:hAnsi="Calibri"/>
                <w:sz w:val="22"/>
                <w:lang w:eastAsia="en-US"/>
              </w:rPr>
              <w:softHyphen/>
              <w:t>-22</w:t>
            </w:r>
          </w:p>
          <w:p w14:paraId="392D0330" w14:textId="77777777" w:rsidR="00C24C61" w:rsidRPr="00866299" w:rsidRDefault="00C24C61" w:rsidP="00C24C61">
            <w:pPr>
              <w:spacing w:line="256" w:lineRule="auto"/>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left w:val="nil"/>
              <w:bottom w:val="single" w:sz="4" w:space="0" w:color="auto"/>
              <w:right w:val="nil"/>
            </w:tcBorders>
            <w:hideMark/>
          </w:tcPr>
          <w:p w14:paraId="0EE01A43" w14:textId="77777777" w:rsidR="00C24C61" w:rsidRPr="00866299" w:rsidRDefault="00C24C61" w:rsidP="00C24C61">
            <w:pPr>
              <w:spacing w:line="256" w:lineRule="auto"/>
              <w:ind w:left="284" w:hanging="284"/>
              <w:jc w:val="right"/>
              <w:rPr>
                <w:rFonts w:ascii="Calibri" w:hAnsi="Calibri"/>
                <w:sz w:val="22"/>
                <w:lang w:eastAsia="en-US"/>
              </w:rPr>
            </w:pPr>
            <w:r w:rsidRPr="00866299">
              <w:rPr>
                <w:rFonts w:ascii="Calibri" w:hAnsi="Calibri"/>
                <w:sz w:val="22"/>
                <w:lang w:eastAsia="en-US"/>
              </w:rPr>
              <w:t>2022-23</w:t>
            </w:r>
          </w:p>
          <w:p w14:paraId="465C3D4D" w14:textId="77777777" w:rsidR="00C24C61" w:rsidRPr="00866299" w:rsidRDefault="00C24C61" w:rsidP="00C24C61">
            <w:pPr>
              <w:spacing w:line="256" w:lineRule="auto"/>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left w:val="nil"/>
              <w:bottom w:val="single" w:sz="4" w:space="0" w:color="auto"/>
              <w:right w:val="nil"/>
            </w:tcBorders>
            <w:hideMark/>
          </w:tcPr>
          <w:p w14:paraId="5BA89F51" w14:textId="77777777" w:rsidR="00C24C61" w:rsidRPr="00866299" w:rsidRDefault="00C24C61" w:rsidP="00C24C61">
            <w:pPr>
              <w:spacing w:line="256" w:lineRule="auto"/>
              <w:ind w:left="284" w:hanging="284"/>
              <w:jc w:val="right"/>
              <w:rPr>
                <w:rFonts w:ascii="Calibri" w:hAnsi="Calibri"/>
                <w:b/>
                <w:sz w:val="22"/>
                <w:lang w:eastAsia="en-US"/>
              </w:rPr>
            </w:pPr>
            <w:r w:rsidRPr="00866299">
              <w:rPr>
                <w:rFonts w:ascii="Calibri" w:hAnsi="Calibri"/>
                <w:b/>
                <w:sz w:val="22"/>
                <w:lang w:eastAsia="en-US"/>
              </w:rPr>
              <w:t>Total</w:t>
            </w:r>
          </w:p>
          <w:p w14:paraId="6EF4D94A" w14:textId="77777777" w:rsidR="00C24C61" w:rsidRPr="00866299" w:rsidRDefault="00C24C61" w:rsidP="00C24C61">
            <w:pPr>
              <w:spacing w:line="256" w:lineRule="auto"/>
              <w:ind w:left="284" w:hanging="284"/>
              <w:jc w:val="right"/>
              <w:rPr>
                <w:rFonts w:ascii="Calibri" w:hAnsi="Calibri"/>
                <w:b/>
                <w:sz w:val="22"/>
                <w:lang w:eastAsia="en-US"/>
              </w:rPr>
            </w:pPr>
            <w:r w:rsidRPr="00866299">
              <w:rPr>
                <w:rFonts w:ascii="Calibri" w:hAnsi="Calibri"/>
                <w:b/>
                <w:sz w:val="22"/>
                <w:lang w:eastAsia="en-US"/>
              </w:rPr>
              <w:t>$’000</w:t>
            </w:r>
          </w:p>
        </w:tc>
      </w:tr>
      <w:tr w:rsidR="00C24C61" w:rsidRPr="00866299" w14:paraId="1508DFAB" w14:textId="77777777" w:rsidTr="00D31DE3">
        <w:trPr>
          <w:cantSplit/>
        </w:trPr>
        <w:tc>
          <w:tcPr>
            <w:tcW w:w="3652" w:type="dxa"/>
            <w:tcBorders>
              <w:top w:val="single" w:sz="4" w:space="0" w:color="auto"/>
              <w:left w:val="nil"/>
              <w:bottom w:val="single" w:sz="4" w:space="0" w:color="auto"/>
              <w:right w:val="nil"/>
            </w:tcBorders>
            <w:hideMark/>
          </w:tcPr>
          <w:p w14:paraId="4C8BDDBF" w14:textId="77777777" w:rsidR="00C24C61" w:rsidRPr="00866299" w:rsidRDefault="00C24C61" w:rsidP="00C24C61">
            <w:pPr>
              <w:ind w:left="284" w:hanging="284"/>
              <w:rPr>
                <w:rFonts w:ascii="Calibri" w:hAnsi="Calibri"/>
                <w:sz w:val="22"/>
                <w:lang w:eastAsia="en-US"/>
              </w:rPr>
            </w:pPr>
            <w:r w:rsidRPr="00866299">
              <w:rPr>
                <w:rFonts w:ascii="Calibri" w:hAnsi="Calibri"/>
                <w:sz w:val="22"/>
                <w:lang w:eastAsia="en-US"/>
              </w:rPr>
              <w:t>Capital</w:t>
            </w:r>
          </w:p>
        </w:tc>
        <w:tc>
          <w:tcPr>
            <w:tcW w:w="1179" w:type="dxa"/>
            <w:tcBorders>
              <w:top w:val="single" w:sz="4" w:space="0" w:color="auto"/>
              <w:left w:val="nil"/>
              <w:bottom w:val="single" w:sz="4" w:space="0" w:color="auto"/>
              <w:right w:val="nil"/>
            </w:tcBorders>
            <w:hideMark/>
          </w:tcPr>
          <w:p w14:paraId="2CC6C0A7"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500</w:t>
            </w:r>
          </w:p>
        </w:tc>
        <w:tc>
          <w:tcPr>
            <w:tcW w:w="1041" w:type="dxa"/>
            <w:tcBorders>
              <w:top w:val="single" w:sz="4" w:space="0" w:color="auto"/>
              <w:left w:val="nil"/>
              <w:bottom w:val="single" w:sz="4" w:space="0" w:color="auto"/>
              <w:right w:val="nil"/>
            </w:tcBorders>
            <w:hideMark/>
          </w:tcPr>
          <w:p w14:paraId="5FD99F75"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left w:val="nil"/>
              <w:bottom w:val="single" w:sz="4" w:space="0" w:color="auto"/>
              <w:right w:val="nil"/>
            </w:tcBorders>
            <w:hideMark/>
          </w:tcPr>
          <w:p w14:paraId="3AC72EB6"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left w:val="nil"/>
              <w:bottom w:val="single" w:sz="4" w:space="0" w:color="auto"/>
              <w:right w:val="nil"/>
            </w:tcBorders>
            <w:hideMark/>
          </w:tcPr>
          <w:p w14:paraId="0657C27B"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left w:val="nil"/>
              <w:bottom w:val="single" w:sz="4" w:space="0" w:color="auto"/>
              <w:right w:val="nil"/>
            </w:tcBorders>
            <w:hideMark/>
          </w:tcPr>
          <w:p w14:paraId="6FCC8B4C"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500</w:t>
            </w:r>
          </w:p>
        </w:tc>
      </w:tr>
    </w:tbl>
    <w:p w14:paraId="10795CBF" w14:textId="77777777" w:rsidR="00C24C61" w:rsidRPr="00C24C61" w:rsidRDefault="00C24C61" w:rsidP="00D31DE3">
      <w:pPr>
        <w:pStyle w:val="snapInitbody"/>
      </w:pPr>
      <w:r w:rsidRPr="00C24C61">
        <w:t xml:space="preserve">The Government will upgrade local shopping centres across the ACT, including improving footpaths, benches and installing new infrastructure at the Dunlop and Fraser shops. This initiative will be delivered through the </w:t>
      </w:r>
      <w:r w:rsidRPr="00C24C61">
        <w:rPr>
          <w:i/>
        </w:rPr>
        <w:t>Better Infrastructure Fund</w:t>
      </w:r>
      <w:r w:rsidRPr="00C24C61">
        <w:t>.</w:t>
      </w:r>
    </w:p>
    <w:p w14:paraId="1AE7B2A7" w14:textId="77777777" w:rsidR="00C24C61" w:rsidRPr="00202E81" w:rsidRDefault="00C24C61" w:rsidP="00202E81">
      <w:pPr>
        <w:pStyle w:val="snapInittitles"/>
      </w:pPr>
      <w:r w:rsidRPr="00202E81">
        <w:t xml:space="preserve">Improving stormwater networks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C24C61" w:rsidRPr="00866299" w14:paraId="1201CC42" w14:textId="77777777" w:rsidTr="00D31DE3">
        <w:trPr>
          <w:cantSplit/>
          <w:trHeight w:val="636"/>
        </w:trPr>
        <w:tc>
          <w:tcPr>
            <w:tcW w:w="3684" w:type="dxa"/>
            <w:tcBorders>
              <w:top w:val="single" w:sz="4" w:space="0" w:color="auto"/>
              <w:bottom w:val="single" w:sz="4" w:space="0" w:color="auto"/>
            </w:tcBorders>
          </w:tcPr>
          <w:p w14:paraId="45BD6B09" w14:textId="77777777" w:rsidR="00C24C61" w:rsidRPr="00866299" w:rsidRDefault="00C24C61" w:rsidP="00C24C61">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89" w:type="dxa"/>
            <w:tcBorders>
              <w:top w:val="single" w:sz="4" w:space="0" w:color="auto"/>
              <w:bottom w:val="single" w:sz="4" w:space="0" w:color="auto"/>
            </w:tcBorders>
          </w:tcPr>
          <w:p w14:paraId="0EC02538" w14:textId="77777777" w:rsidR="00C24C61" w:rsidRPr="00866299" w:rsidRDefault="00C24C61" w:rsidP="00C24C61">
            <w:pPr>
              <w:keepLines/>
              <w:widowControl w:val="0"/>
              <w:ind w:left="284" w:hanging="284"/>
              <w:jc w:val="right"/>
              <w:rPr>
                <w:rFonts w:ascii="Calibri" w:hAnsi="Calibri"/>
                <w:sz w:val="22"/>
                <w:lang w:eastAsia="en-US"/>
              </w:rPr>
            </w:pPr>
            <w:r w:rsidRPr="00866299">
              <w:rPr>
                <w:rFonts w:ascii="Calibri" w:hAnsi="Calibri"/>
                <w:sz w:val="22"/>
                <w:lang w:eastAsia="en-US"/>
              </w:rPr>
              <w:t>2019­20</w:t>
            </w:r>
          </w:p>
          <w:p w14:paraId="7C608CDD" w14:textId="77777777" w:rsidR="00C24C61" w:rsidRPr="00866299" w:rsidRDefault="00C24C61" w:rsidP="00C24C61">
            <w:pPr>
              <w:keepLines/>
              <w:widowControl w:val="0"/>
              <w:ind w:left="284" w:hanging="284"/>
              <w:jc w:val="right"/>
              <w:rPr>
                <w:rFonts w:ascii="Calibri" w:hAnsi="Calibri"/>
                <w:sz w:val="22"/>
                <w:lang w:eastAsia="en-US"/>
              </w:rPr>
            </w:pPr>
            <w:r w:rsidRPr="00866299">
              <w:rPr>
                <w:rFonts w:ascii="Calibri" w:hAnsi="Calibri"/>
                <w:sz w:val="22"/>
                <w:lang w:eastAsia="en-US"/>
              </w:rPr>
              <w:t>$’000</w:t>
            </w:r>
          </w:p>
        </w:tc>
        <w:tc>
          <w:tcPr>
            <w:tcW w:w="1050" w:type="dxa"/>
            <w:tcBorders>
              <w:top w:val="single" w:sz="4" w:space="0" w:color="auto"/>
              <w:bottom w:val="single" w:sz="4" w:space="0" w:color="auto"/>
            </w:tcBorders>
          </w:tcPr>
          <w:p w14:paraId="1F08EAFB" w14:textId="77777777" w:rsidR="00C24C61" w:rsidRPr="00866299" w:rsidRDefault="00C24C61" w:rsidP="00C24C61">
            <w:pPr>
              <w:keepLines/>
              <w:widowControl w:val="0"/>
              <w:ind w:left="284" w:hanging="284"/>
              <w:jc w:val="right"/>
              <w:rPr>
                <w:rFonts w:ascii="Calibri" w:hAnsi="Calibri"/>
                <w:sz w:val="22"/>
                <w:lang w:eastAsia="en-US"/>
              </w:rPr>
            </w:pPr>
            <w:r w:rsidRPr="00866299">
              <w:rPr>
                <w:rFonts w:ascii="Calibri" w:hAnsi="Calibri"/>
                <w:sz w:val="22"/>
                <w:lang w:eastAsia="en-US"/>
              </w:rPr>
              <w:t>2020­21</w:t>
            </w:r>
          </w:p>
          <w:p w14:paraId="342B59DA" w14:textId="77777777" w:rsidR="00C24C61" w:rsidRPr="00866299" w:rsidRDefault="00C24C61" w:rsidP="00C24C61">
            <w:pPr>
              <w:keepLines/>
              <w:widowControl w:val="0"/>
              <w:ind w:left="284" w:hanging="284"/>
              <w:jc w:val="right"/>
              <w:rPr>
                <w:rFonts w:ascii="Calibri" w:hAnsi="Calibri"/>
                <w:sz w:val="22"/>
                <w:lang w:eastAsia="en-US"/>
              </w:rPr>
            </w:pPr>
            <w:r w:rsidRPr="00866299">
              <w:rPr>
                <w:rFonts w:ascii="Calibri" w:hAnsi="Calibri"/>
                <w:sz w:val="22"/>
                <w:lang w:eastAsia="en-US"/>
              </w:rPr>
              <w:t>$’000</w:t>
            </w:r>
          </w:p>
        </w:tc>
        <w:tc>
          <w:tcPr>
            <w:tcW w:w="1038" w:type="dxa"/>
            <w:tcBorders>
              <w:top w:val="single" w:sz="4" w:space="0" w:color="auto"/>
              <w:bottom w:val="single" w:sz="4" w:space="0" w:color="auto"/>
            </w:tcBorders>
          </w:tcPr>
          <w:p w14:paraId="7E22E2A6" w14:textId="77777777" w:rsidR="00C24C61" w:rsidRPr="00866299" w:rsidRDefault="00C24C61" w:rsidP="00C24C61">
            <w:pPr>
              <w:keepLines/>
              <w:widowControl w:val="0"/>
              <w:ind w:left="284" w:hanging="284"/>
              <w:jc w:val="right"/>
              <w:rPr>
                <w:rFonts w:ascii="Calibri" w:hAnsi="Calibri"/>
                <w:sz w:val="22"/>
                <w:lang w:eastAsia="en-US"/>
              </w:rPr>
            </w:pPr>
            <w:r w:rsidRPr="00866299">
              <w:rPr>
                <w:rFonts w:ascii="Calibri" w:hAnsi="Calibri"/>
                <w:sz w:val="22"/>
                <w:lang w:eastAsia="en-US"/>
              </w:rPr>
              <w:t>2021­22</w:t>
            </w:r>
          </w:p>
          <w:p w14:paraId="1B5DEE12" w14:textId="77777777" w:rsidR="00C24C61" w:rsidRPr="00866299" w:rsidRDefault="00C24C61" w:rsidP="00C24C61">
            <w:pPr>
              <w:keepLines/>
              <w:widowControl w:val="0"/>
              <w:ind w:left="284" w:hanging="284"/>
              <w:jc w:val="right"/>
              <w:rPr>
                <w:rFonts w:ascii="Calibri" w:hAnsi="Calibri"/>
                <w:sz w:val="22"/>
                <w:lang w:eastAsia="en-US"/>
              </w:rPr>
            </w:pPr>
            <w:r w:rsidRPr="00866299">
              <w:rPr>
                <w:rFonts w:ascii="Calibri" w:hAnsi="Calibri"/>
                <w:sz w:val="22"/>
                <w:lang w:eastAsia="en-US"/>
              </w:rPr>
              <w:t>$’000</w:t>
            </w:r>
          </w:p>
        </w:tc>
        <w:tc>
          <w:tcPr>
            <w:tcW w:w="1038" w:type="dxa"/>
            <w:tcBorders>
              <w:top w:val="single" w:sz="4" w:space="0" w:color="auto"/>
              <w:bottom w:val="single" w:sz="4" w:space="0" w:color="auto"/>
            </w:tcBorders>
          </w:tcPr>
          <w:p w14:paraId="7D82F470" w14:textId="77777777" w:rsidR="00C24C61" w:rsidRPr="00866299" w:rsidRDefault="00C24C61" w:rsidP="00C24C61">
            <w:pPr>
              <w:keepLines/>
              <w:widowControl w:val="0"/>
              <w:ind w:left="284" w:hanging="284"/>
              <w:jc w:val="right"/>
              <w:rPr>
                <w:rFonts w:ascii="Calibri" w:hAnsi="Calibri"/>
                <w:sz w:val="22"/>
                <w:lang w:eastAsia="en-US"/>
              </w:rPr>
            </w:pPr>
            <w:r w:rsidRPr="00866299">
              <w:rPr>
                <w:rFonts w:ascii="Calibri" w:hAnsi="Calibri"/>
                <w:sz w:val="22"/>
                <w:lang w:eastAsia="en-US"/>
              </w:rPr>
              <w:t>2022-23</w:t>
            </w:r>
          </w:p>
          <w:p w14:paraId="23E86CF7" w14:textId="77777777" w:rsidR="00C24C61" w:rsidRPr="00866299" w:rsidRDefault="00C24C61" w:rsidP="00C24C61">
            <w:pPr>
              <w:keepLines/>
              <w:widowControl w:val="0"/>
              <w:ind w:left="284" w:hanging="284"/>
              <w:jc w:val="right"/>
              <w:rPr>
                <w:rFonts w:ascii="Calibri" w:hAnsi="Calibri"/>
                <w:sz w:val="22"/>
                <w:lang w:eastAsia="en-US"/>
              </w:rPr>
            </w:pPr>
            <w:r w:rsidRPr="00866299">
              <w:rPr>
                <w:rFonts w:ascii="Calibri" w:hAnsi="Calibri"/>
                <w:sz w:val="22"/>
                <w:lang w:eastAsia="en-US"/>
              </w:rPr>
              <w:t>$’000</w:t>
            </w:r>
          </w:p>
        </w:tc>
        <w:tc>
          <w:tcPr>
            <w:tcW w:w="1038" w:type="dxa"/>
            <w:tcBorders>
              <w:top w:val="single" w:sz="4" w:space="0" w:color="auto"/>
              <w:bottom w:val="single" w:sz="4" w:space="0" w:color="auto"/>
            </w:tcBorders>
          </w:tcPr>
          <w:p w14:paraId="26A9185F" w14:textId="77777777" w:rsidR="00C24C61" w:rsidRPr="00866299" w:rsidRDefault="00C24C61" w:rsidP="00C24C61">
            <w:pPr>
              <w:keepLines/>
              <w:widowControl w:val="0"/>
              <w:ind w:left="284" w:hanging="284"/>
              <w:jc w:val="right"/>
              <w:rPr>
                <w:rFonts w:ascii="Calibri" w:hAnsi="Calibri"/>
                <w:b/>
                <w:sz w:val="22"/>
                <w:lang w:eastAsia="en-US"/>
              </w:rPr>
            </w:pPr>
            <w:r w:rsidRPr="00866299">
              <w:rPr>
                <w:rFonts w:ascii="Calibri" w:hAnsi="Calibri"/>
                <w:b/>
                <w:sz w:val="22"/>
                <w:lang w:eastAsia="en-US"/>
              </w:rPr>
              <w:t>Total</w:t>
            </w:r>
          </w:p>
          <w:p w14:paraId="4018C9C8" w14:textId="77777777" w:rsidR="00C24C61" w:rsidRPr="00866299" w:rsidRDefault="00C24C61" w:rsidP="00C24C61">
            <w:pPr>
              <w:keepLines/>
              <w:widowControl w:val="0"/>
              <w:ind w:left="284" w:hanging="284"/>
              <w:jc w:val="right"/>
              <w:rPr>
                <w:rFonts w:ascii="Calibri" w:hAnsi="Calibri"/>
                <w:b/>
                <w:sz w:val="22"/>
                <w:lang w:eastAsia="en-US"/>
              </w:rPr>
            </w:pPr>
            <w:r w:rsidRPr="00866299">
              <w:rPr>
                <w:rFonts w:ascii="Calibri" w:hAnsi="Calibri"/>
                <w:b/>
                <w:sz w:val="22"/>
                <w:lang w:eastAsia="en-US"/>
              </w:rPr>
              <w:t>$’000</w:t>
            </w:r>
          </w:p>
        </w:tc>
      </w:tr>
      <w:tr w:rsidR="00C24C61" w:rsidRPr="00866299" w14:paraId="078059C5" w14:textId="77777777" w:rsidTr="00D31DE3">
        <w:trPr>
          <w:cantSplit/>
          <w:trHeight w:val="312"/>
        </w:trPr>
        <w:tc>
          <w:tcPr>
            <w:tcW w:w="3684" w:type="dxa"/>
            <w:tcBorders>
              <w:top w:val="single" w:sz="4" w:space="0" w:color="auto"/>
              <w:bottom w:val="single" w:sz="4" w:space="0" w:color="auto"/>
            </w:tcBorders>
            <w:shd w:val="clear" w:color="auto" w:fill="FFFFFF"/>
          </w:tcPr>
          <w:p w14:paraId="6A05C835" w14:textId="77777777" w:rsidR="00C24C61" w:rsidRPr="00866299" w:rsidRDefault="00C24C61" w:rsidP="00C24C61">
            <w:pPr>
              <w:keepLines/>
              <w:widowControl w:val="0"/>
              <w:ind w:left="284" w:hanging="284"/>
              <w:rPr>
                <w:rFonts w:ascii="Calibri" w:hAnsi="Calibri"/>
                <w:sz w:val="22"/>
                <w:lang w:eastAsia="en-US"/>
              </w:rPr>
            </w:pPr>
            <w:r w:rsidRPr="00866299">
              <w:rPr>
                <w:rFonts w:ascii="Calibri" w:hAnsi="Calibri"/>
                <w:sz w:val="22"/>
                <w:lang w:eastAsia="en-US"/>
              </w:rPr>
              <w:t>Capital</w:t>
            </w:r>
          </w:p>
        </w:tc>
        <w:tc>
          <w:tcPr>
            <w:tcW w:w="1189" w:type="dxa"/>
            <w:tcBorders>
              <w:top w:val="single" w:sz="4" w:space="0" w:color="auto"/>
              <w:bottom w:val="single" w:sz="4" w:space="0" w:color="auto"/>
            </w:tcBorders>
            <w:shd w:val="clear" w:color="auto" w:fill="FFFFFF"/>
          </w:tcPr>
          <w:p w14:paraId="7ADE76FC" w14:textId="77777777" w:rsidR="00C24C61" w:rsidRPr="00866299" w:rsidRDefault="00C24C61" w:rsidP="00C24C61">
            <w:pPr>
              <w:keepLines/>
              <w:widowControl w:val="0"/>
              <w:ind w:left="284" w:hanging="284"/>
              <w:jc w:val="right"/>
              <w:rPr>
                <w:rFonts w:ascii="Calibri" w:hAnsi="Calibri"/>
                <w:i/>
                <w:sz w:val="22"/>
                <w:lang w:eastAsia="en-US"/>
              </w:rPr>
            </w:pPr>
            <w:r w:rsidRPr="00866299">
              <w:rPr>
                <w:rFonts w:ascii="Calibri" w:hAnsi="Calibri"/>
                <w:sz w:val="22"/>
                <w:lang w:eastAsia="en-US"/>
              </w:rPr>
              <w:t>2,551</w:t>
            </w:r>
          </w:p>
        </w:tc>
        <w:tc>
          <w:tcPr>
            <w:tcW w:w="1050" w:type="dxa"/>
            <w:tcBorders>
              <w:top w:val="single" w:sz="4" w:space="0" w:color="auto"/>
              <w:bottom w:val="single" w:sz="4" w:space="0" w:color="auto"/>
            </w:tcBorders>
            <w:shd w:val="clear" w:color="auto" w:fill="FFFFFF"/>
          </w:tcPr>
          <w:p w14:paraId="4387AAAA" w14:textId="77777777" w:rsidR="00C24C61" w:rsidRPr="00866299" w:rsidRDefault="00C24C61" w:rsidP="00C24C61">
            <w:pPr>
              <w:keepLines/>
              <w:widowControl w:val="0"/>
              <w:ind w:left="284" w:hanging="284"/>
              <w:jc w:val="right"/>
              <w:rPr>
                <w:rFonts w:ascii="Calibri" w:hAnsi="Calibri"/>
                <w:sz w:val="22"/>
                <w:lang w:eastAsia="en-US"/>
              </w:rPr>
            </w:pPr>
            <w:r w:rsidRPr="00866299">
              <w:rPr>
                <w:rFonts w:ascii="Calibri" w:hAnsi="Calibri"/>
                <w:sz w:val="22"/>
                <w:lang w:eastAsia="en-US"/>
              </w:rPr>
              <w:t>4,800</w:t>
            </w:r>
          </w:p>
        </w:tc>
        <w:tc>
          <w:tcPr>
            <w:tcW w:w="1038" w:type="dxa"/>
            <w:tcBorders>
              <w:top w:val="single" w:sz="4" w:space="0" w:color="auto"/>
              <w:bottom w:val="single" w:sz="4" w:space="0" w:color="auto"/>
            </w:tcBorders>
            <w:shd w:val="clear" w:color="auto" w:fill="FFFFFF"/>
          </w:tcPr>
          <w:p w14:paraId="46AB252F" w14:textId="77777777" w:rsidR="00C24C61" w:rsidRPr="00866299" w:rsidRDefault="00C24C61" w:rsidP="00C24C61">
            <w:pPr>
              <w:keepLines/>
              <w:widowControl w:val="0"/>
              <w:ind w:left="284" w:hanging="284"/>
              <w:jc w:val="right"/>
              <w:rPr>
                <w:rFonts w:ascii="Calibri" w:hAnsi="Calibri"/>
                <w:sz w:val="22"/>
                <w:lang w:eastAsia="en-US"/>
              </w:rPr>
            </w:pPr>
            <w:r w:rsidRPr="00866299">
              <w:rPr>
                <w:rFonts w:ascii="Calibri" w:hAnsi="Calibri"/>
                <w:sz w:val="22"/>
                <w:lang w:eastAsia="en-US"/>
              </w:rPr>
              <w:t>7,710</w:t>
            </w:r>
          </w:p>
        </w:tc>
        <w:tc>
          <w:tcPr>
            <w:tcW w:w="1038" w:type="dxa"/>
            <w:tcBorders>
              <w:top w:val="single" w:sz="4" w:space="0" w:color="auto"/>
              <w:bottom w:val="single" w:sz="4" w:space="0" w:color="auto"/>
            </w:tcBorders>
            <w:shd w:val="clear" w:color="auto" w:fill="FFFFFF"/>
          </w:tcPr>
          <w:p w14:paraId="2EBE455B" w14:textId="77777777" w:rsidR="00C24C61" w:rsidRPr="00866299" w:rsidRDefault="00C24C61" w:rsidP="00C24C61">
            <w:pPr>
              <w:keepLines/>
              <w:widowControl w:val="0"/>
              <w:ind w:left="284" w:hanging="284"/>
              <w:jc w:val="right"/>
              <w:rPr>
                <w:rFonts w:ascii="Calibri" w:hAnsi="Calibri"/>
                <w:sz w:val="22"/>
                <w:lang w:eastAsia="en-US"/>
              </w:rPr>
            </w:pPr>
            <w:r w:rsidRPr="00866299">
              <w:rPr>
                <w:rFonts w:ascii="Calibri" w:hAnsi="Calibri"/>
                <w:sz w:val="22"/>
                <w:lang w:eastAsia="en-US"/>
              </w:rPr>
              <w:t>4,000</w:t>
            </w:r>
          </w:p>
        </w:tc>
        <w:tc>
          <w:tcPr>
            <w:tcW w:w="1038" w:type="dxa"/>
            <w:tcBorders>
              <w:top w:val="single" w:sz="4" w:space="0" w:color="auto"/>
              <w:bottom w:val="single" w:sz="4" w:space="0" w:color="auto"/>
            </w:tcBorders>
            <w:shd w:val="clear" w:color="auto" w:fill="FFFFFF"/>
          </w:tcPr>
          <w:p w14:paraId="54778042" w14:textId="77777777" w:rsidR="00C24C61" w:rsidRPr="00866299" w:rsidRDefault="00C24C61" w:rsidP="00C24C61">
            <w:pPr>
              <w:keepLines/>
              <w:widowControl w:val="0"/>
              <w:ind w:left="284" w:hanging="284"/>
              <w:jc w:val="right"/>
              <w:rPr>
                <w:rFonts w:ascii="Calibri" w:hAnsi="Calibri"/>
                <w:b/>
                <w:sz w:val="22"/>
                <w:lang w:eastAsia="en-US"/>
              </w:rPr>
            </w:pPr>
            <w:r w:rsidRPr="00866299">
              <w:rPr>
                <w:rFonts w:ascii="Calibri" w:hAnsi="Calibri"/>
                <w:b/>
                <w:sz w:val="22"/>
                <w:lang w:eastAsia="en-US"/>
              </w:rPr>
              <w:t>19,061</w:t>
            </w:r>
          </w:p>
        </w:tc>
      </w:tr>
      <w:tr w:rsidR="00C24C61" w:rsidRPr="00866299" w14:paraId="49DFB2DE" w14:textId="77777777" w:rsidTr="00D31DE3">
        <w:trPr>
          <w:cantSplit/>
          <w:trHeight w:val="312"/>
        </w:trPr>
        <w:tc>
          <w:tcPr>
            <w:tcW w:w="3684" w:type="dxa"/>
            <w:tcBorders>
              <w:top w:val="single" w:sz="4" w:space="0" w:color="auto"/>
            </w:tcBorders>
            <w:shd w:val="clear" w:color="auto" w:fill="FFFFFF"/>
          </w:tcPr>
          <w:p w14:paraId="62007C5B" w14:textId="77777777" w:rsidR="00C24C61" w:rsidRPr="00866299" w:rsidRDefault="00C24C61" w:rsidP="00C24C61">
            <w:pPr>
              <w:keepLines/>
              <w:widowControl w:val="0"/>
              <w:ind w:left="284" w:hanging="284"/>
              <w:rPr>
                <w:rFonts w:ascii="Calibri" w:hAnsi="Calibri"/>
                <w:sz w:val="22"/>
                <w:lang w:eastAsia="en-US"/>
              </w:rPr>
            </w:pPr>
            <w:r w:rsidRPr="00866299">
              <w:rPr>
                <w:rFonts w:ascii="Calibri" w:hAnsi="Calibri"/>
                <w:sz w:val="22"/>
                <w:lang w:eastAsia="en-US"/>
              </w:rPr>
              <w:t>Depreciation</w:t>
            </w:r>
          </w:p>
        </w:tc>
        <w:tc>
          <w:tcPr>
            <w:tcW w:w="1189" w:type="dxa"/>
            <w:tcBorders>
              <w:top w:val="single" w:sz="4" w:space="0" w:color="auto"/>
            </w:tcBorders>
            <w:shd w:val="clear" w:color="auto" w:fill="FFFFFF"/>
          </w:tcPr>
          <w:p w14:paraId="47AFAC30" w14:textId="77777777" w:rsidR="00C24C61" w:rsidRPr="00866299" w:rsidRDefault="00C24C61" w:rsidP="00C24C61">
            <w:pPr>
              <w:keepLines/>
              <w:widowControl w:val="0"/>
              <w:ind w:left="284" w:hanging="284"/>
              <w:jc w:val="right"/>
              <w:rPr>
                <w:rFonts w:ascii="Calibri" w:hAnsi="Calibri"/>
                <w:sz w:val="22"/>
                <w:lang w:eastAsia="en-US"/>
              </w:rPr>
            </w:pPr>
            <w:r w:rsidRPr="00866299">
              <w:rPr>
                <w:rFonts w:ascii="Calibri" w:hAnsi="Calibri"/>
                <w:sz w:val="22"/>
                <w:lang w:eastAsia="en-US"/>
              </w:rPr>
              <w:t>0</w:t>
            </w:r>
          </w:p>
        </w:tc>
        <w:tc>
          <w:tcPr>
            <w:tcW w:w="1050" w:type="dxa"/>
            <w:tcBorders>
              <w:top w:val="single" w:sz="4" w:space="0" w:color="auto"/>
            </w:tcBorders>
            <w:shd w:val="clear" w:color="auto" w:fill="FFFFFF"/>
          </w:tcPr>
          <w:p w14:paraId="396D9451" w14:textId="77777777" w:rsidR="00C24C61" w:rsidRPr="00866299" w:rsidRDefault="00C24C61" w:rsidP="00C24C61">
            <w:pPr>
              <w:keepLines/>
              <w:widowControl w:val="0"/>
              <w:ind w:left="284" w:hanging="284"/>
              <w:jc w:val="right"/>
              <w:rPr>
                <w:rFonts w:ascii="Calibri" w:hAnsi="Calibri"/>
                <w:sz w:val="22"/>
                <w:lang w:eastAsia="en-US"/>
              </w:rPr>
            </w:pPr>
            <w:r w:rsidRPr="00866299">
              <w:rPr>
                <w:rFonts w:ascii="Calibri" w:hAnsi="Calibri"/>
                <w:sz w:val="22"/>
                <w:lang w:eastAsia="en-US"/>
              </w:rPr>
              <w:t>84</w:t>
            </w:r>
          </w:p>
        </w:tc>
        <w:tc>
          <w:tcPr>
            <w:tcW w:w="1038" w:type="dxa"/>
            <w:tcBorders>
              <w:top w:val="single" w:sz="4" w:space="0" w:color="auto"/>
            </w:tcBorders>
            <w:shd w:val="clear" w:color="auto" w:fill="FFFFFF"/>
          </w:tcPr>
          <w:p w14:paraId="3BDFA9F6" w14:textId="77777777" w:rsidR="00C24C61" w:rsidRPr="00866299" w:rsidRDefault="00C24C61" w:rsidP="00C24C61">
            <w:pPr>
              <w:keepLines/>
              <w:widowControl w:val="0"/>
              <w:ind w:left="284" w:hanging="284"/>
              <w:jc w:val="right"/>
              <w:rPr>
                <w:rFonts w:ascii="Calibri" w:hAnsi="Calibri"/>
                <w:sz w:val="22"/>
                <w:lang w:eastAsia="en-US"/>
              </w:rPr>
            </w:pPr>
            <w:r w:rsidRPr="00866299">
              <w:rPr>
                <w:rFonts w:ascii="Calibri" w:hAnsi="Calibri"/>
                <w:sz w:val="22"/>
                <w:lang w:eastAsia="en-US"/>
              </w:rPr>
              <w:t>151</w:t>
            </w:r>
          </w:p>
        </w:tc>
        <w:tc>
          <w:tcPr>
            <w:tcW w:w="1038" w:type="dxa"/>
            <w:tcBorders>
              <w:top w:val="single" w:sz="4" w:space="0" w:color="auto"/>
            </w:tcBorders>
            <w:shd w:val="clear" w:color="auto" w:fill="FFFFFF"/>
          </w:tcPr>
          <w:p w14:paraId="0E882799" w14:textId="77777777" w:rsidR="00C24C61" w:rsidRPr="00866299" w:rsidRDefault="00C24C61" w:rsidP="00C24C61">
            <w:pPr>
              <w:keepLines/>
              <w:widowControl w:val="0"/>
              <w:ind w:left="284" w:hanging="284"/>
              <w:jc w:val="right"/>
              <w:rPr>
                <w:rFonts w:ascii="Calibri" w:hAnsi="Calibri"/>
                <w:sz w:val="22"/>
                <w:lang w:eastAsia="en-US"/>
              </w:rPr>
            </w:pPr>
            <w:r w:rsidRPr="00866299">
              <w:rPr>
                <w:rFonts w:ascii="Calibri" w:hAnsi="Calibri"/>
                <w:sz w:val="22"/>
                <w:lang w:eastAsia="en-US"/>
              </w:rPr>
              <w:t>191</w:t>
            </w:r>
          </w:p>
        </w:tc>
        <w:tc>
          <w:tcPr>
            <w:tcW w:w="1038" w:type="dxa"/>
            <w:tcBorders>
              <w:top w:val="single" w:sz="4" w:space="0" w:color="auto"/>
            </w:tcBorders>
            <w:shd w:val="clear" w:color="auto" w:fill="FFFFFF"/>
          </w:tcPr>
          <w:p w14:paraId="1863DB45" w14:textId="77777777" w:rsidR="00C24C61" w:rsidRPr="00866299" w:rsidRDefault="00C24C61" w:rsidP="00C24C61">
            <w:pPr>
              <w:keepLines/>
              <w:widowControl w:val="0"/>
              <w:ind w:left="284" w:hanging="284"/>
              <w:jc w:val="right"/>
              <w:rPr>
                <w:rFonts w:ascii="Calibri" w:hAnsi="Calibri"/>
                <w:b/>
                <w:sz w:val="22"/>
                <w:lang w:eastAsia="en-US"/>
              </w:rPr>
            </w:pPr>
            <w:r w:rsidRPr="00866299">
              <w:rPr>
                <w:rFonts w:ascii="Calibri" w:hAnsi="Calibri"/>
                <w:b/>
                <w:sz w:val="22"/>
                <w:lang w:eastAsia="en-US"/>
              </w:rPr>
              <w:t>426</w:t>
            </w:r>
          </w:p>
        </w:tc>
      </w:tr>
      <w:tr w:rsidR="00C24C61" w:rsidRPr="00866299" w14:paraId="0CDBFAD2" w14:textId="77777777" w:rsidTr="00D31DE3">
        <w:trPr>
          <w:cantSplit/>
          <w:trHeight w:val="312"/>
        </w:trPr>
        <w:tc>
          <w:tcPr>
            <w:tcW w:w="3684" w:type="dxa"/>
            <w:shd w:val="clear" w:color="auto" w:fill="FFFFFF"/>
          </w:tcPr>
          <w:p w14:paraId="25DDCF75" w14:textId="77777777" w:rsidR="00C24C61" w:rsidRPr="00866299" w:rsidRDefault="00C24C61" w:rsidP="00C24C61">
            <w:pPr>
              <w:keepLines/>
              <w:widowControl w:val="0"/>
              <w:ind w:left="284" w:hanging="284"/>
              <w:rPr>
                <w:rFonts w:ascii="Calibri" w:hAnsi="Calibri"/>
                <w:sz w:val="22"/>
                <w:lang w:eastAsia="en-US"/>
              </w:rPr>
            </w:pPr>
            <w:r w:rsidRPr="00866299">
              <w:rPr>
                <w:rFonts w:ascii="Calibri" w:hAnsi="Calibri"/>
                <w:sz w:val="22"/>
                <w:lang w:eastAsia="en-US"/>
              </w:rPr>
              <w:t>Associated expense</w:t>
            </w:r>
          </w:p>
        </w:tc>
        <w:tc>
          <w:tcPr>
            <w:tcW w:w="1189" w:type="dxa"/>
            <w:shd w:val="clear" w:color="auto" w:fill="auto"/>
          </w:tcPr>
          <w:p w14:paraId="496C890E" w14:textId="77777777" w:rsidR="00C24C61" w:rsidRPr="00866299" w:rsidRDefault="00C24C61" w:rsidP="00C24C61">
            <w:pPr>
              <w:keepLines/>
              <w:widowControl w:val="0"/>
              <w:ind w:left="284" w:hanging="284"/>
              <w:jc w:val="right"/>
              <w:rPr>
                <w:rFonts w:ascii="Calibri" w:hAnsi="Calibri"/>
                <w:sz w:val="22"/>
                <w:lang w:eastAsia="en-US"/>
              </w:rPr>
            </w:pPr>
            <w:r w:rsidRPr="00866299">
              <w:rPr>
                <w:rFonts w:ascii="Calibri" w:hAnsi="Calibri"/>
                <w:sz w:val="22"/>
                <w:lang w:eastAsia="en-US"/>
              </w:rPr>
              <w:t>80</w:t>
            </w:r>
          </w:p>
        </w:tc>
        <w:tc>
          <w:tcPr>
            <w:tcW w:w="1050" w:type="dxa"/>
            <w:shd w:val="clear" w:color="auto" w:fill="auto"/>
          </w:tcPr>
          <w:p w14:paraId="63D2B7D9" w14:textId="77777777" w:rsidR="00C24C61" w:rsidRPr="00866299" w:rsidRDefault="00C24C61" w:rsidP="00C24C61">
            <w:pPr>
              <w:keepLines/>
              <w:widowControl w:val="0"/>
              <w:ind w:left="284" w:hanging="284"/>
              <w:jc w:val="right"/>
              <w:rPr>
                <w:rFonts w:ascii="Calibri" w:hAnsi="Calibri"/>
                <w:sz w:val="22"/>
                <w:lang w:eastAsia="en-US"/>
              </w:rPr>
            </w:pPr>
            <w:r w:rsidRPr="00866299">
              <w:rPr>
                <w:rFonts w:ascii="Calibri" w:hAnsi="Calibri"/>
                <w:sz w:val="22"/>
                <w:lang w:eastAsia="en-US"/>
              </w:rPr>
              <w:t>80</w:t>
            </w:r>
          </w:p>
        </w:tc>
        <w:tc>
          <w:tcPr>
            <w:tcW w:w="1038" w:type="dxa"/>
            <w:shd w:val="clear" w:color="auto" w:fill="auto"/>
          </w:tcPr>
          <w:p w14:paraId="25E3F0E7" w14:textId="77777777" w:rsidR="00C24C61" w:rsidRPr="00866299" w:rsidRDefault="00C24C61" w:rsidP="00C24C61">
            <w:pPr>
              <w:keepLines/>
              <w:widowControl w:val="0"/>
              <w:ind w:left="284" w:hanging="284"/>
              <w:jc w:val="right"/>
              <w:rPr>
                <w:rFonts w:ascii="Calibri" w:hAnsi="Calibri"/>
                <w:sz w:val="22"/>
                <w:lang w:eastAsia="en-US"/>
              </w:rPr>
            </w:pPr>
            <w:r w:rsidRPr="00866299">
              <w:rPr>
                <w:rFonts w:ascii="Calibri" w:hAnsi="Calibri"/>
                <w:sz w:val="22"/>
                <w:lang w:eastAsia="en-US"/>
              </w:rPr>
              <w:t>160</w:t>
            </w:r>
          </w:p>
        </w:tc>
        <w:tc>
          <w:tcPr>
            <w:tcW w:w="1038" w:type="dxa"/>
            <w:shd w:val="clear" w:color="auto" w:fill="auto"/>
          </w:tcPr>
          <w:p w14:paraId="349D8511" w14:textId="77777777" w:rsidR="00C24C61" w:rsidRPr="00866299" w:rsidRDefault="00C24C61" w:rsidP="00C24C61">
            <w:pPr>
              <w:keepLines/>
              <w:widowControl w:val="0"/>
              <w:ind w:left="284" w:hanging="284"/>
              <w:jc w:val="right"/>
              <w:rPr>
                <w:rFonts w:ascii="Calibri" w:hAnsi="Calibri"/>
                <w:sz w:val="22"/>
                <w:lang w:eastAsia="en-US"/>
              </w:rPr>
            </w:pPr>
            <w:r w:rsidRPr="00866299">
              <w:rPr>
                <w:rFonts w:ascii="Calibri" w:hAnsi="Calibri"/>
                <w:sz w:val="22"/>
                <w:lang w:eastAsia="en-US"/>
              </w:rPr>
              <w:t>160</w:t>
            </w:r>
          </w:p>
        </w:tc>
        <w:tc>
          <w:tcPr>
            <w:tcW w:w="1038" w:type="dxa"/>
            <w:shd w:val="clear" w:color="auto" w:fill="auto"/>
          </w:tcPr>
          <w:p w14:paraId="1A06AB07" w14:textId="77777777" w:rsidR="00C24C61" w:rsidRPr="00866299" w:rsidRDefault="00C24C61" w:rsidP="00C24C61">
            <w:pPr>
              <w:keepLines/>
              <w:widowControl w:val="0"/>
              <w:ind w:left="284" w:hanging="284"/>
              <w:jc w:val="right"/>
              <w:rPr>
                <w:rFonts w:ascii="Calibri" w:hAnsi="Calibri"/>
                <w:b/>
                <w:sz w:val="22"/>
                <w:lang w:eastAsia="en-US"/>
              </w:rPr>
            </w:pPr>
            <w:r w:rsidRPr="00866299">
              <w:rPr>
                <w:rFonts w:ascii="Calibri" w:hAnsi="Calibri"/>
                <w:b/>
                <w:sz w:val="22"/>
                <w:lang w:eastAsia="en-US"/>
              </w:rPr>
              <w:t>480</w:t>
            </w:r>
          </w:p>
        </w:tc>
      </w:tr>
      <w:tr w:rsidR="00C24C61" w:rsidRPr="00866299" w14:paraId="59039E4A" w14:textId="77777777" w:rsidTr="00D31DE3">
        <w:trPr>
          <w:cantSplit/>
          <w:trHeight w:val="323"/>
        </w:trPr>
        <w:tc>
          <w:tcPr>
            <w:tcW w:w="3684" w:type="dxa"/>
            <w:tcBorders>
              <w:top w:val="single" w:sz="4" w:space="0" w:color="auto"/>
              <w:bottom w:val="single" w:sz="4" w:space="0" w:color="auto"/>
            </w:tcBorders>
            <w:shd w:val="clear" w:color="auto" w:fill="FFFFFF"/>
          </w:tcPr>
          <w:p w14:paraId="6E320481" w14:textId="77777777" w:rsidR="00C24C61" w:rsidRPr="00866299" w:rsidRDefault="00C24C61" w:rsidP="00C24C61">
            <w:pPr>
              <w:keepLines/>
              <w:widowControl w:val="0"/>
              <w:ind w:left="284" w:hanging="284"/>
              <w:rPr>
                <w:rFonts w:ascii="Calibri" w:hAnsi="Calibri"/>
                <w:b/>
                <w:sz w:val="22"/>
                <w:lang w:eastAsia="en-US"/>
              </w:rPr>
            </w:pPr>
            <w:r w:rsidRPr="00866299">
              <w:rPr>
                <w:rFonts w:ascii="Calibri" w:hAnsi="Calibri"/>
                <w:b/>
                <w:sz w:val="22"/>
                <w:lang w:eastAsia="en-US"/>
              </w:rPr>
              <w:t>Total expenses</w:t>
            </w:r>
          </w:p>
        </w:tc>
        <w:tc>
          <w:tcPr>
            <w:tcW w:w="1189" w:type="dxa"/>
            <w:tcBorders>
              <w:top w:val="single" w:sz="4" w:space="0" w:color="auto"/>
              <w:bottom w:val="single" w:sz="4" w:space="0" w:color="auto"/>
            </w:tcBorders>
            <w:shd w:val="clear" w:color="auto" w:fill="FFFFFF"/>
          </w:tcPr>
          <w:p w14:paraId="0FE3CE3D" w14:textId="77777777" w:rsidR="00C24C61" w:rsidRPr="00866299" w:rsidRDefault="00C24C61" w:rsidP="00C24C61">
            <w:pPr>
              <w:keepLines/>
              <w:widowControl w:val="0"/>
              <w:ind w:left="284" w:hanging="284"/>
              <w:jc w:val="right"/>
              <w:rPr>
                <w:rFonts w:ascii="Calibri" w:hAnsi="Calibri"/>
                <w:b/>
                <w:sz w:val="22"/>
                <w:lang w:eastAsia="en-US"/>
              </w:rPr>
            </w:pPr>
            <w:r w:rsidRPr="00866299">
              <w:rPr>
                <w:rFonts w:ascii="Calibri" w:hAnsi="Calibri"/>
                <w:b/>
                <w:sz w:val="22"/>
                <w:lang w:eastAsia="en-US"/>
              </w:rPr>
              <w:t>80</w:t>
            </w:r>
          </w:p>
        </w:tc>
        <w:tc>
          <w:tcPr>
            <w:tcW w:w="1050" w:type="dxa"/>
            <w:tcBorders>
              <w:top w:val="single" w:sz="4" w:space="0" w:color="auto"/>
              <w:bottom w:val="single" w:sz="4" w:space="0" w:color="auto"/>
            </w:tcBorders>
            <w:shd w:val="clear" w:color="auto" w:fill="FFFFFF"/>
          </w:tcPr>
          <w:p w14:paraId="316BB9ED" w14:textId="77777777" w:rsidR="00C24C61" w:rsidRPr="00866299" w:rsidRDefault="00C24C61" w:rsidP="00C24C61">
            <w:pPr>
              <w:keepLines/>
              <w:widowControl w:val="0"/>
              <w:ind w:left="284" w:hanging="284"/>
              <w:jc w:val="right"/>
              <w:rPr>
                <w:rFonts w:ascii="Calibri" w:hAnsi="Calibri"/>
                <w:b/>
                <w:sz w:val="22"/>
                <w:lang w:eastAsia="en-US"/>
              </w:rPr>
            </w:pPr>
            <w:r w:rsidRPr="00866299">
              <w:rPr>
                <w:rFonts w:ascii="Calibri" w:hAnsi="Calibri"/>
                <w:b/>
                <w:sz w:val="22"/>
                <w:lang w:eastAsia="en-US"/>
              </w:rPr>
              <w:t>164</w:t>
            </w:r>
          </w:p>
        </w:tc>
        <w:tc>
          <w:tcPr>
            <w:tcW w:w="1038" w:type="dxa"/>
            <w:tcBorders>
              <w:top w:val="single" w:sz="4" w:space="0" w:color="auto"/>
              <w:bottom w:val="single" w:sz="4" w:space="0" w:color="auto"/>
            </w:tcBorders>
            <w:shd w:val="clear" w:color="auto" w:fill="FFFFFF"/>
          </w:tcPr>
          <w:p w14:paraId="0CC882AE" w14:textId="77777777" w:rsidR="00C24C61" w:rsidRPr="00866299" w:rsidRDefault="00C24C61" w:rsidP="00C24C61">
            <w:pPr>
              <w:keepLines/>
              <w:widowControl w:val="0"/>
              <w:ind w:left="284" w:hanging="284"/>
              <w:jc w:val="right"/>
              <w:rPr>
                <w:rFonts w:ascii="Calibri" w:hAnsi="Calibri"/>
                <w:b/>
                <w:sz w:val="22"/>
                <w:lang w:eastAsia="en-US"/>
              </w:rPr>
            </w:pPr>
            <w:r w:rsidRPr="00866299">
              <w:rPr>
                <w:rFonts w:ascii="Calibri" w:hAnsi="Calibri"/>
                <w:b/>
                <w:sz w:val="22"/>
                <w:lang w:eastAsia="en-US"/>
              </w:rPr>
              <w:t>311</w:t>
            </w:r>
          </w:p>
        </w:tc>
        <w:tc>
          <w:tcPr>
            <w:tcW w:w="1038" w:type="dxa"/>
            <w:tcBorders>
              <w:top w:val="single" w:sz="4" w:space="0" w:color="auto"/>
              <w:bottom w:val="single" w:sz="4" w:space="0" w:color="auto"/>
            </w:tcBorders>
            <w:shd w:val="clear" w:color="auto" w:fill="FFFFFF"/>
          </w:tcPr>
          <w:p w14:paraId="034A0EED" w14:textId="77777777" w:rsidR="00C24C61" w:rsidRPr="00866299" w:rsidRDefault="00C24C61" w:rsidP="00C24C61">
            <w:pPr>
              <w:keepLines/>
              <w:widowControl w:val="0"/>
              <w:ind w:left="284" w:hanging="284"/>
              <w:jc w:val="right"/>
              <w:rPr>
                <w:rFonts w:ascii="Calibri" w:hAnsi="Calibri"/>
                <w:b/>
                <w:sz w:val="22"/>
                <w:lang w:eastAsia="en-US"/>
              </w:rPr>
            </w:pPr>
            <w:r w:rsidRPr="00866299">
              <w:rPr>
                <w:rFonts w:ascii="Calibri" w:hAnsi="Calibri"/>
                <w:b/>
                <w:sz w:val="22"/>
                <w:lang w:eastAsia="en-US"/>
              </w:rPr>
              <w:t>351</w:t>
            </w:r>
          </w:p>
        </w:tc>
        <w:tc>
          <w:tcPr>
            <w:tcW w:w="1038" w:type="dxa"/>
            <w:tcBorders>
              <w:top w:val="single" w:sz="4" w:space="0" w:color="auto"/>
              <w:bottom w:val="single" w:sz="4" w:space="0" w:color="auto"/>
            </w:tcBorders>
            <w:shd w:val="clear" w:color="auto" w:fill="FFFFFF"/>
          </w:tcPr>
          <w:p w14:paraId="4B2B5909" w14:textId="77777777" w:rsidR="00C24C61" w:rsidRPr="00866299" w:rsidRDefault="00C24C61" w:rsidP="00C24C61">
            <w:pPr>
              <w:keepLines/>
              <w:widowControl w:val="0"/>
              <w:ind w:left="284" w:hanging="284"/>
              <w:jc w:val="right"/>
              <w:rPr>
                <w:rFonts w:ascii="Calibri" w:hAnsi="Calibri"/>
                <w:b/>
                <w:sz w:val="22"/>
                <w:lang w:eastAsia="en-US"/>
              </w:rPr>
            </w:pPr>
            <w:r w:rsidRPr="00866299">
              <w:rPr>
                <w:rFonts w:ascii="Calibri" w:hAnsi="Calibri"/>
                <w:b/>
                <w:sz w:val="22"/>
                <w:lang w:eastAsia="en-US"/>
              </w:rPr>
              <w:t>906</w:t>
            </w:r>
          </w:p>
        </w:tc>
      </w:tr>
    </w:tbl>
    <w:p w14:paraId="7ADC5C90" w14:textId="661F5356" w:rsidR="00C24C61" w:rsidRPr="00C24C61" w:rsidRDefault="00C24C61" w:rsidP="00D31DE3">
      <w:pPr>
        <w:pStyle w:val="snapInitbody"/>
      </w:pPr>
      <w:r w:rsidRPr="00C24C61">
        <w:t xml:space="preserve">The Government will upgrade the stormwater network in Fyshwick, Waramanga, Page and Weetangera, and boost the frequency of street sweeping to improve the quality of run-off into our waterways. Growing our investment in water infrastructure was one of the priority actions identified by the Better Suburbs Citizens’ Forum through the </w:t>
      </w:r>
      <w:r w:rsidRPr="00C24C61">
        <w:rPr>
          <w:i/>
        </w:rPr>
        <w:t>Better Suburbs Statement</w:t>
      </w:r>
      <w:r w:rsidRPr="00C24C61">
        <w:t>.</w:t>
      </w:r>
      <w:r w:rsidR="000F30E1">
        <w:t xml:space="preserve"> </w:t>
      </w:r>
    </w:p>
    <w:p w14:paraId="72D7FECA" w14:textId="77777777" w:rsidR="00C24C61" w:rsidRPr="00202E81" w:rsidRDefault="00C24C61" w:rsidP="00202E81">
      <w:pPr>
        <w:pStyle w:val="snapInittitles"/>
        <w:rPr>
          <w:highlight w:val="yellow"/>
        </w:rPr>
      </w:pPr>
      <w:r w:rsidRPr="00202E81">
        <w:t xml:space="preserve">Improving water management infrastructure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C24C61" w:rsidRPr="00866299" w14:paraId="4B059395" w14:textId="77777777" w:rsidTr="00D31DE3">
        <w:trPr>
          <w:cantSplit/>
        </w:trPr>
        <w:tc>
          <w:tcPr>
            <w:tcW w:w="3652" w:type="dxa"/>
            <w:tcBorders>
              <w:top w:val="single" w:sz="4" w:space="0" w:color="auto"/>
              <w:bottom w:val="single" w:sz="4" w:space="0" w:color="auto"/>
            </w:tcBorders>
          </w:tcPr>
          <w:p w14:paraId="63567C99" w14:textId="77777777" w:rsidR="00C24C61" w:rsidRPr="00866299" w:rsidRDefault="00C24C61" w:rsidP="00C24C61">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07F6E51C"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2019­20</w:t>
            </w:r>
          </w:p>
          <w:p w14:paraId="25C00963"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5334E6DE"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2020­21</w:t>
            </w:r>
          </w:p>
          <w:p w14:paraId="2F89AC90"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4FADE8F4"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2021­22</w:t>
            </w:r>
          </w:p>
          <w:p w14:paraId="5DCEADE8"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5CF2923E"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2022-23</w:t>
            </w:r>
          </w:p>
          <w:p w14:paraId="60E1431E"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3CD8B3A2"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Total</w:t>
            </w:r>
          </w:p>
          <w:p w14:paraId="6070309B"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$’000</w:t>
            </w:r>
          </w:p>
        </w:tc>
      </w:tr>
      <w:tr w:rsidR="00C24C61" w:rsidRPr="00866299" w14:paraId="330F4E93" w14:textId="77777777" w:rsidTr="00D31DE3">
        <w:trPr>
          <w:cantSplit/>
        </w:trPr>
        <w:tc>
          <w:tcPr>
            <w:tcW w:w="3652" w:type="dxa"/>
            <w:tcBorders>
              <w:top w:val="single" w:sz="4" w:space="0" w:color="auto"/>
            </w:tcBorders>
          </w:tcPr>
          <w:p w14:paraId="2FFB9CD6" w14:textId="77777777" w:rsidR="00C24C61" w:rsidRPr="00866299" w:rsidRDefault="00C24C61" w:rsidP="00C24C61">
            <w:pPr>
              <w:ind w:left="284" w:hanging="284"/>
              <w:rPr>
                <w:rFonts w:ascii="Calibri" w:hAnsi="Calibri"/>
                <w:sz w:val="22"/>
                <w:lang w:eastAsia="en-US"/>
              </w:rPr>
            </w:pPr>
            <w:r w:rsidRPr="00866299">
              <w:rPr>
                <w:rFonts w:ascii="Calibri" w:hAnsi="Calibri"/>
                <w:sz w:val="22"/>
                <w:lang w:eastAsia="en-US"/>
              </w:rPr>
              <w:t>Capital</w:t>
            </w:r>
          </w:p>
        </w:tc>
        <w:tc>
          <w:tcPr>
            <w:tcW w:w="1179" w:type="dxa"/>
            <w:tcBorders>
              <w:top w:val="single" w:sz="4" w:space="0" w:color="auto"/>
            </w:tcBorders>
          </w:tcPr>
          <w:p w14:paraId="62BC922F"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500</w:t>
            </w:r>
          </w:p>
        </w:tc>
        <w:tc>
          <w:tcPr>
            <w:tcW w:w="1041" w:type="dxa"/>
            <w:tcBorders>
              <w:top w:val="single" w:sz="4" w:space="0" w:color="auto"/>
            </w:tcBorders>
          </w:tcPr>
          <w:p w14:paraId="77410A1C"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152DC9BD"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18A10AFD"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752F4FA4"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500</w:t>
            </w:r>
          </w:p>
        </w:tc>
      </w:tr>
      <w:tr w:rsidR="00C24C61" w:rsidRPr="00866299" w14:paraId="33BD62B5" w14:textId="77777777" w:rsidTr="00D31DE3">
        <w:trPr>
          <w:cantSplit/>
        </w:trPr>
        <w:tc>
          <w:tcPr>
            <w:tcW w:w="3652" w:type="dxa"/>
          </w:tcPr>
          <w:p w14:paraId="6D462AF3" w14:textId="77777777" w:rsidR="00C24C61" w:rsidRPr="00866299" w:rsidRDefault="00C24C61" w:rsidP="00C24C61">
            <w:pPr>
              <w:ind w:left="284" w:hanging="284"/>
              <w:rPr>
                <w:rFonts w:ascii="Calibri" w:hAnsi="Calibri"/>
                <w:sz w:val="22"/>
                <w:lang w:eastAsia="en-US"/>
              </w:rPr>
            </w:pPr>
            <w:r w:rsidRPr="00866299">
              <w:rPr>
                <w:rFonts w:ascii="Calibri" w:hAnsi="Calibri"/>
                <w:sz w:val="22"/>
                <w:lang w:eastAsia="en-US"/>
              </w:rPr>
              <w:t>Capital – Provision</w:t>
            </w:r>
          </w:p>
        </w:tc>
        <w:tc>
          <w:tcPr>
            <w:tcW w:w="1179" w:type="dxa"/>
          </w:tcPr>
          <w:p w14:paraId="37EAAC68"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41" w:type="dxa"/>
          </w:tcPr>
          <w:p w14:paraId="40E4DCA3"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3,980</w:t>
            </w:r>
          </w:p>
        </w:tc>
        <w:tc>
          <w:tcPr>
            <w:tcW w:w="1029" w:type="dxa"/>
          </w:tcPr>
          <w:p w14:paraId="26F11E4D"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w:t>
            </w:r>
          </w:p>
        </w:tc>
        <w:tc>
          <w:tcPr>
            <w:tcW w:w="1029" w:type="dxa"/>
          </w:tcPr>
          <w:p w14:paraId="0B243596"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Pr>
          <w:p w14:paraId="07286528"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4,000</w:t>
            </w:r>
          </w:p>
        </w:tc>
      </w:tr>
      <w:tr w:rsidR="00C24C61" w:rsidRPr="00866299" w14:paraId="1F0EA0C5" w14:textId="77777777" w:rsidTr="00D31DE3">
        <w:trPr>
          <w:cantSplit/>
        </w:trPr>
        <w:tc>
          <w:tcPr>
            <w:tcW w:w="3652" w:type="dxa"/>
            <w:tcBorders>
              <w:top w:val="single" w:sz="4" w:space="0" w:color="auto"/>
              <w:bottom w:val="single" w:sz="4" w:space="0" w:color="auto"/>
            </w:tcBorders>
          </w:tcPr>
          <w:p w14:paraId="038095EB" w14:textId="77777777" w:rsidR="00C24C61" w:rsidRPr="00866299" w:rsidRDefault="00C24C61" w:rsidP="00C24C61">
            <w:pPr>
              <w:ind w:left="284" w:hanging="284"/>
              <w:rPr>
                <w:rFonts w:ascii="Calibri" w:hAnsi="Calibri"/>
                <w:b/>
                <w:sz w:val="22"/>
                <w:lang w:eastAsia="en-US"/>
              </w:rPr>
            </w:pPr>
            <w:r w:rsidRPr="00866299">
              <w:rPr>
                <w:rFonts w:ascii="Calibri" w:hAnsi="Calibri"/>
                <w:b/>
                <w:sz w:val="22"/>
                <w:lang w:eastAsia="en-US"/>
              </w:rPr>
              <w:t>Total capital</w:t>
            </w:r>
          </w:p>
        </w:tc>
        <w:tc>
          <w:tcPr>
            <w:tcW w:w="1179" w:type="dxa"/>
            <w:tcBorders>
              <w:top w:val="single" w:sz="4" w:space="0" w:color="auto"/>
              <w:bottom w:val="single" w:sz="4" w:space="0" w:color="auto"/>
            </w:tcBorders>
          </w:tcPr>
          <w:p w14:paraId="77041BE1"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500</w:t>
            </w:r>
          </w:p>
        </w:tc>
        <w:tc>
          <w:tcPr>
            <w:tcW w:w="1041" w:type="dxa"/>
            <w:tcBorders>
              <w:top w:val="single" w:sz="4" w:space="0" w:color="auto"/>
              <w:bottom w:val="single" w:sz="4" w:space="0" w:color="auto"/>
            </w:tcBorders>
          </w:tcPr>
          <w:p w14:paraId="73AE79D3"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3,980</w:t>
            </w:r>
          </w:p>
        </w:tc>
        <w:tc>
          <w:tcPr>
            <w:tcW w:w="1029" w:type="dxa"/>
            <w:tcBorders>
              <w:top w:val="single" w:sz="4" w:space="0" w:color="auto"/>
              <w:bottom w:val="single" w:sz="4" w:space="0" w:color="auto"/>
            </w:tcBorders>
          </w:tcPr>
          <w:p w14:paraId="078493DC"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20</w:t>
            </w:r>
          </w:p>
        </w:tc>
        <w:tc>
          <w:tcPr>
            <w:tcW w:w="1029" w:type="dxa"/>
            <w:tcBorders>
              <w:top w:val="single" w:sz="4" w:space="0" w:color="auto"/>
              <w:bottom w:val="single" w:sz="4" w:space="0" w:color="auto"/>
            </w:tcBorders>
          </w:tcPr>
          <w:p w14:paraId="04290A4F"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0</w:t>
            </w:r>
          </w:p>
        </w:tc>
        <w:tc>
          <w:tcPr>
            <w:tcW w:w="1029" w:type="dxa"/>
            <w:tcBorders>
              <w:top w:val="single" w:sz="4" w:space="0" w:color="auto"/>
              <w:bottom w:val="single" w:sz="4" w:space="0" w:color="auto"/>
            </w:tcBorders>
          </w:tcPr>
          <w:p w14:paraId="357D32B2"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4,500</w:t>
            </w:r>
          </w:p>
        </w:tc>
      </w:tr>
    </w:tbl>
    <w:p w14:paraId="0F3A71B2" w14:textId="77777777" w:rsidR="00C24C61" w:rsidRPr="00C24C61" w:rsidRDefault="00C24C61" w:rsidP="00D31DE3">
      <w:pPr>
        <w:pStyle w:val="snapInitbody"/>
      </w:pPr>
      <w:r w:rsidRPr="00C24C61">
        <w:t xml:space="preserve">The Government will undertake detailed design for water management infrastructure in Mawson to improve amenity and safety. </w:t>
      </w:r>
    </w:p>
    <w:p w14:paraId="5028821E" w14:textId="0578957F" w:rsidR="00C24C61" w:rsidRPr="00202E81" w:rsidRDefault="00C24C61" w:rsidP="00202E81">
      <w:pPr>
        <w:pStyle w:val="snapInittitles"/>
      </w:pPr>
      <w:r w:rsidRPr="00202E81">
        <w:t xml:space="preserve">Making our roads safer while keeping Canberra moving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C24C61" w:rsidRPr="00866299" w14:paraId="791123AE" w14:textId="77777777" w:rsidTr="00D31DE3">
        <w:trPr>
          <w:cantSplit/>
        </w:trPr>
        <w:tc>
          <w:tcPr>
            <w:tcW w:w="3652" w:type="dxa"/>
            <w:tcBorders>
              <w:top w:val="single" w:sz="4" w:space="0" w:color="auto"/>
              <w:bottom w:val="single" w:sz="4" w:space="0" w:color="auto"/>
            </w:tcBorders>
          </w:tcPr>
          <w:p w14:paraId="3D14AB8A" w14:textId="77777777" w:rsidR="00C24C61" w:rsidRPr="00866299" w:rsidRDefault="00C24C61" w:rsidP="00C24C61">
            <w:pPr>
              <w:jc w:val="right"/>
              <w:rPr>
                <w:rFonts w:ascii="Calibri" w:hAnsi="Calibri" w:cs="Calibri"/>
                <w:color w:val="FFFFFF"/>
                <w:sz w:val="22"/>
                <w:lang w:eastAsia="en-US"/>
              </w:rPr>
            </w:pPr>
            <w:r w:rsidRPr="00866299">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5D05A386"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2019­20</w:t>
            </w:r>
          </w:p>
          <w:p w14:paraId="3C5F3614"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41" w:type="dxa"/>
            <w:tcBorders>
              <w:top w:val="single" w:sz="4" w:space="0" w:color="auto"/>
              <w:bottom w:val="single" w:sz="4" w:space="0" w:color="auto"/>
            </w:tcBorders>
          </w:tcPr>
          <w:p w14:paraId="2BAA7469"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2020­21</w:t>
            </w:r>
          </w:p>
          <w:p w14:paraId="45409D23"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5AD91C02"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2021­22</w:t>
            </w:r>
          </w:p>
          <w:p w14:paraId="56145FD4"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66AD1F74"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2022-23</w:t>
            </w:r>
          </w:p>
          <w:p w14:paraId="1A9CA45F"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$’000</w:t>
            </w:r>
          </w:p>
        </w:tc>
        <w:tc>
          <w:tcPr>
            <w:tcW w:w="1029" w:type="dxa"/>
            <w:tcBorders>
              <w:top w:val="single" w:sz="4" w:space="0" w:color="auto"/>
              <w:bottom w:val="single" w:sz="4" w:space="0" w:color="auto"/>
            </w:tcBorders>
          </w:tcPr>
          <w:p w14:paraId="065A9453"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Total</w:t>
            </w:r>
          </w:p>
          <w:p w14:paraId="5BF8F663"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$’000</w:t>
            </w:r>
          </w:p>
        </w:tc>
      </w:tr>
      <w:tr w:rsidR="00C24C61" w:rsidRPr="00866299" w14:paraId="1F46A4AA" w14:textId="77777777" w:rsidTr="00D31DE3">
        <w:trPr>
          <w:cantSplit/>
        </w:trPr>
        <w:tc>
          <w:tcPr>
            <w:tcW w:w="3652" w:type="dxa"/>
            <w:tcBorders>
              <w:top w:val="single" w:sz="4" w:space="0" w:color="auto"/>
            </w:tcBorders>
          </w:tcPr>
          <w:p w14:paraId="2192C3BF" w14:textId="77777777" w:rsidR="00C24C61" w:rsidRPr="00866299" w:rsidRDefault="00C24C61" w:rsidP="00C24C61">
            <w:pPr>
              <w:ind w:left="284" w:hanging="284"/>
              <w:rPr>
                <w:rFonts w:ascii="Calibri" w:hAnsi="Calibri"/>
                <w:sz w:val="22"/>
                <w:lang w:eastAsia="en-US"/>
              </w:rPr>
            </w:pPr>
            <w:r w:rsidRPr="00866299">
              <w:rPr>
                <w:rFonts w:ascii="Calibri" w:hAnsi="Calibri"/>
                <w:sz w:val="22"/>
                <w:lang w:eastAsia="en-US"/>
              </w:rPr>
              <w:t>Capital</w:t>
            </w:r>
          </w:p>
        </w:tc>
        <w:tc>
          <w:tcPr>
            <w:tcW w:w="1179" w:type="dxa"/>
            <w:tcBorders>
              <w:top w:val="single" w:sz="4" w:space="0" w:color="auto"/>
            </w:tcBorders>
          </w:tcPr>
          <w:p w14:paraId="166C41D8"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4,521</w:t>
            </w:r>
          </w:p>
        </w:tc>
        <w:tc>
          <w:tcPr>
            <w:tcW w:w="1041" w:type="dxa"/>
            <w:tcBorders>
              <w:top w:val="single" w:sz="4" w:space="0" w:color="auto"/>
            </w:tcBorders>
          </w:tcPr>
          <w:p w14:paraId="5226AB92"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12,600</w:t>
            </w:r>
          </w:p>
        </w:tc>
        <w:tc>
          <w:tcPr>
            <w:tcW w:w="1029" w:type="dxa"/>
            <w:tcBorders>
              <w:top w:val="single" w:sz="4" w:space="0" w:color="auto"/>
            </w:tcBorders>
          </w:tcPr>
          <w:p w14:paraId="3090F168"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12,575</w:t>
            </w:r>
          </w:p>
        </w:tc>
        <w:tc>
          <w:tcPr>
            <w:tcW w:w="1029" w:type="dxa"/>
            <w:tcBorders>
              <w:top w:val="single" w:sz="4" w:space="0" w:color="auto"/>
            </w:tcBorders>
          </w:tcPr>
          <w:p w14:paraId="4389F5CD"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1EA79D34"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29,696</w:t>
            </w:r>
          </w:p>
        </w:tc>
      </w:tr>
      <w:tr w:rsidR="00C24C61" w:rsidRPr="00866299" w14:paraId="1070670E" w14:textId="77777777" w:rsidTr="00D31DE3">
        <w:trPr>
          <w:cantSplit/>
        </w:trPr>
        <w:tc>
          <w:tcPr>
            <w:tcW w:w="3652" w:type="dxa"/>
          </w:tcPr>
          <w:p w14:paraId="7427E040" w14:textId="77777777" w:rsidR="00C24C61" w:rsidRPr="00866299" w:rsidRDefault="00C24C61" w:rsidP="00C24C61">
            <w:pPr>
              <w:ind w:left="284" w:hanging="284"/>
              <w:rPr>
                <w:rFonts w:ascii="Calibri" w:hAnsi="Calibri"/>
                <w:sz w:val="22"/>
                <w:lang w:eastAsia="en-US"/>
              </w:rPr>
            </w:pPr>
            <w:r w:rsidRPr="00866299">
              <w:rPr>
                <w:rFonts w:ascii="Calibri" w:hAnsi="Calibri"/>
                <w:sz w:val="22"/>
                <w:lang w:eastAsia="en-US"/>
              </w:rPr>
              <w:t>Adjustment to capital provision</w:t>
            </w:r>
          </w:p>
        </w:tc>
        <w:tc>
          <w:tcPr>
            <w:tcW w:w="1179" w:type="dxa"/>
          </w:tcPr>
          <w:p w14:paraId="38D2F6EE"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-8,400</w:t>
            </w:r>
          </w:p>
        </w:tc>
        <w:tc>
          <w:tcPr>
            <w:tcW w:w="1041" w:type="dxa"/>
          </w:tcPr>
          <w:p w14:paraId="1057CFB9"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-17,883</w:t>
            </w:r>
          </w:p>
        </w:tc>
        <w:tc>
          <w:tcPr>
            <w:tcW w:w="1029" w:type="dxa"/>
          </w:tcPr>
          <w:p w14:paraId="13C895B8"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-17,566</w:t>
            </w:r>
          </w:p>
        </w:tc>
        <w:tc>
          <w:tcPr>
            <w:tcW w:w="1029" w:type="dxa"/>
          </w:tcPr>
          <w:p w14:paraId="11247F73"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20,568</w:t>
            </w:r>
          </w:p>
        </w:tc>
        <w:tc>
          <w:tcPr>
            <w:tcW w:w="1029" w:type="dxa"/>
          </w:tcPr>
          <w:p w14:paraId="403A1CD1"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-23,281</w:t>
            </w:r>
          </w:p>
        </w:tc>
      </w:tr>
      <w:tr w:rsidR="00C24C61" w:rsidRPr="00866299" w14:paraId="74BAA8CB" w14:textId="77777777" w:rsidTr="00D31DE3">
        <w:trPr>
          <w:cantSplit/>
        </w:trPr>
        <w:tc>
          <w:tcPr>
            <w:tcW w:w="3652" w:type="dxa"/>
            <w:tcBorders>
              <w:top w:val="single" w:sz="4" w:space="0" w:color="auto"/>
              <w:bottom w:val="single" w:sz="4" w:space="0" w:color="auto"/>
            </w:tcBorders>
          </w:tcPr>
          <w:p w14:paraId="432E317E" w14:textId="77777777" w:rsidR="00C24C61" w:rsidRPr="00866299" w:rsidRDefault="00C24C61" w:rsidP="00C24C61">
            <w:pPr>
              <w:ind w:left="284" w:hanging="284"/>
              <w:rPr>
                <w:rFonts w:ascii="Calibri" w:hAnsi="Calibri"/>
                <w:b/>
                <w:sz w:val="22"/>
                <w:lang w:eastAsia="en-US"/>
              </w:rPr>
            </w:pPr>
            <w:r w:rsidRPr="00866299">
              <w:rPr>
                <w:rFonts w:ascii="Calibri" w:hAnsi="Calibri"/>
                <w:b/>
                <w:sz w:val="22"/>
                <w:lang w:eastAsia="en-US"/>
              </w:rPr>
              <w:t>Net capital</w:t>
            </w:r>
          </w:p>
        </w:tc>
        <w:tc>
          <w:tcPr>
            <w:tcW w:w="1179" w:type="dxa"/>
            <w:tcBorders>
              <w:top w:val="single" w:sz="4" w:space="0" w:color="auto"/>
              <w:bottom w:val="single" w:sz="4" w:space="0" w:color="auto"/>
            </w:tcBorders>
          </w:tcPr>
          <w:p w14:paraId="5E2D8B75"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-3,879</w:t>
            </w:r>
          </w:p>
        </w:tc>
        <w:tc>
          <w:tcPr>
            <w:tcW w:w="1041" w:type="dxa"/>
            <w:tcBorders>
              <w:top w:val="single" w:sz="4" w:space="0" w:color="auto"/>
              <w:bottom w:val="single" w:sz="4" w:space="0" w:color="auto"/>
            </w:tcBorders>
          </w:tcPr>
          <w:p w14:paraId="144BFBCC"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-5,283</w:t>
            </w:r>
          </w:p>
        </w:tc>
        <w:tc>
          <w:tcPr>
            <w:tcW w:w="1029" w:type="dxa"/>
            <w:tcBorders>
              <w:top w:val="single" w:sz="4" w:space="0" w:color="auto"/>
              <w:bottom w:val="single" w:sz="4" w:space="0" w:color="auto"/>
            </w:tcBorders>
          </w:tcPr>
          <w:p w14:paraId="420770FD"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-4,991</w:t>
            </w:r>
          </w:p>
        </w:tc>
        <w:tc>
          <w:tcPr>
            <w:tcW w:w="1029" w:type="dxa"/>
            <w:tcBorders>
              <w:top w:val="single" w:sz="4" w:space="0" w:color="auto"/>
              <w:bottom w:val="single" w:sz="4" w:space="0" w:color="auto"/>
            </w:tcBorders>
          </w:tcPr>
          <w:p w14:paraId="3286765F"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20,568</w:t>
            </w:r>
          </w:p>
        </w:tc>
        <w:tc>
          <w:tcPr>
            <w:tcW w:w="1029" w:type="dxa"/>
            <w:tcBorders>
              <w:top w:val="single" w:sz="4" w:space="0" w:color="auto"/>
              <w:bottom w:val="single" w:sz="4" w:space="0" w:color="auto"/>
            </w:tcBorders>
          </w:tcPr>
          <w:p w14:paraId="6B77F9E5"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6,415</w:t>
            </w:r>
          </w:p>
        </w:tc>
      </w:tr>
      <w:tr w:rsidR="00C24C61" w:rsidRPr="00866299" w14:paraId="673210F8" w14:textId="77777777" w:rsidTr="00D31DE3">
        <w:trPr>
          <w:cantSplit/>
        </w:trPr>
        <w:tc>
          <w:tcPr>
            <w:tcW w:w="3652" w:type="dxa"/>
            <w:tcBorders>
              <w:top w:val="single" w:sz="4" w:space="0" w:color="auto"/>
            </w:tcBorders>
          </w:tcPr>
          <w:p w14:paraId="37EA7573" w14:textId="77777777" w:rsidR="00C24C61" w:rsidRPr="00866299" w:rsidRDefault="00C24C61" w:rsidP="00C24C61">
            <w:pPr>
              <w:ind w:left="284" w:hanging="284"/>
              <w:rPr>
                <w:rFonts w:ascii="Calibri" w:hAnsi="Calibri"/>
                <w:sz w:val="22"/>
                <w:lang w:eastAsia="en-US"/>
              </w:rPr>
            </w:pPr>
            <w:r w:rsidRPr="00866299">
              <w:rPr>
                <w:rFonts w:ascii="Calibri" w:hAnsi="Calibri"/>
                <w:sz w:val="22"/>
                <w:lang w:eastAsia="en-US"/>
              </w:rPr>
              <w:t>Depreciation</w:t>
            </w:r>
          </w:p>
        </w:tc>
        <w:tc>
          <w:tcPr>
            <w:tcW w:w="1179" w:type="dxa"/>
            <w:tcBorders>
              <w:top w:val="single" w:sz="4" w:space="0" w:color="auto"/>
            </w:tcBorders>
          </w:tcPr>
          <w:p w14:paraId="38A88070"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41" w:type="dxa"/>
            <w:tcBorders>
              <w:top w:val="single" w:sz="4" w:space="0" w:color="auto"/>
            </w:tcBorders>
          </w:tcPr>
          <w:p w14:paraId="3354235A"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29" w:type="dxa"/>
            <w:tcBorders>
              <w:top w:val="single" w:sz="4" w:space="0" w:color="auto"/>
            </w:tcBorders>
          </w:tcPr>
          <w:p w14:paraId="3DDD054B"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41</w:t>
            </w:r>
          </w:p>
        </w:tc>
        <w:tc>
          <w:tcPr>
            <w:tcW w:w="1029" w:type="dxa"/>
            <w:tcBorders>
              <w:top w:val="single" w:sz="4" w:space="0" w:color="auto"/>
            </w:tcBorders>
          </w:tcPr>
          <w:p w14:paraId="6320E0AA"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574</w:t>
            </w:r>
          </w:p>
        </w:tc>
        <w:tc>
          <w:tcPr>
            <w:tcW w:w="1029" w:type="dxa"/>
            <w:tcBorders>
              <w:top w:val="single" w:sz="4" w:space="0" w:color="auto"/>
            </w:tcBorders>
          </w:tcPr>
          <w:p w14:paraId="7F57D277"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615</w:t>
            </w:r>
          </w:p>
        </w:tc>
      </w:tr>
      <w:tr w:rsidR="00C24C61" w:rsidRPr="00866299" w14:paraId="269824AA" w14:textId="77777777" w:rsidTr="00D31DE3">
        <w:trPr>
          <w:cantSplit/>
        </w:trPr>
        <w:tc>
          <w:tcPr>
            <w:tcW w:w="3652" w:type="dxa"/>
            <w:tcBorders>
              <w:bottom w:val="single" w:sz="4" w:space="0" w:color="auto"/>
            </w:tcBorders>
          </w:tcPr>
          <w:p w14:paraId="06C1F01C" w14:textId="77777777" w:rsidR="00C24C61" w:rsidRPr="00866299" w:rsidRDefault="00C24C61" w:rsidP="00C24C61">
            <w:pPr>
              <w:ind w:left="284" w:hanging="284"/>
              <w:rPr>
                <w:rFonts w:ascii="Calibri" w:hAnsi="Calibri"/>
                <w:sz w:val="22"/>
                <w:lang w:eastAsia="en-US"/>
              </w:rPr>
            </w:pPr>
            <w:r w:rsidRPr="00866299">
              <w:rPr>
                <w:rFonts w:ascii="Calibri" w:hAnsi="Calibri"/>
                <w:sz w:val="22"/>
                <w:lang w:eastAsia="en-US"/>
              </w:rPr>
              <w:t>Associated expense</w:t>
            </w:r>
          </w:p>
        </w:tc>
        <w:tc>
          <w:tcPr>
            <w:tcW w:w="1179" w:type="dxa"/>
            <w:tcBorders>
              <w:bottom w:val="single" w:sz="4" w:space="0" w:color="auto"/>
            </w:tcBorders>
          </w:tcPr>
          <w:p w14:paraId="592518DE"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0</w:t>
            </w:r>
          </w:p>
        </w:tc>
        <w:tc>
          <w:tcPr>
            <w:tcW w:w="1041" w:type="dxa"/>
            <w:tcBorders>
              <w:bottom w:val="single" w:sz="4" w:space="0" w:color="auto"/>
            </w:tcBorders>
          </w:tcPr>
          <w:p w14:paraId="7F37ED69"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500</w:t>
            </w:r>
          </w:p>
        </w:tc>
        <w:tc>
          <w:tcPr>
            <w:tcW w:w="1029" w:type="dxa"/>
            <w:tcBorders>
              <w:bottom w:val="single" w:sz="4" w:space="0" w:color="auto"/>
            </w:tcBorders>
          </w:tcPr>
          <w:p w14:paraId="1F9BE383"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1,000</w:t>
            </w:r>
          </w:p>
        </w:tc>
        <w:tc>
          <w:tcPr>
            <w:tcW w:w="1029" w:type="dxa"/>
            <w:tcBorders>
              <w:bottom w:val="single" w:sz="4" w:space="0" w:color="auto"/>
            </w:tcBorders>
          </w:tcPr>
          <w:p w14:paraId="3A73D090" w14:textId="77777777" w:rsidR="00C24C61" w:rsidRPr="00866299" w:rsidRDefault="00C24C61" w:rsidP="00C24C61">
            <w:pPr>
              <w:ind w:left="284" w:hanging="284"/>
              <w:jc w:val="right"/>
              <w:rPr>
                <w:rFonts w:ascii="Calibri" w:hAnsi="Calibri"/>
                <w:sz w:val="22"/>
                <w:lang w:eastAsia="en-US"/>
              </w:rPr>
            </w:pPr>
            <w:r w:rsidRPr="00866299">
              <w:rPr>
                <w:rFonts w:ascii="Calibri" w:hAnsi="Calibri"/>
                <w:sz w:val="22"/>
                <w:lang w:eastAsia="en-US"/>
              </w:rPr>
              <w:t>800</w:t>
            </w:r>
          </w:p>
        </w:tc>
        <w:tc>
          <w:tcPr>
            <w:tcW w:w="1029" w:type="dxa"/>
            <w:tcBorders>
              <w:bottom w:val="single" w:sz="4" w:space="0" w:color="auto"/>
            </w:tcBorders>
          </w:tcPr>
          <w:p w14:paraId="0814F218"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2,300</w:t>
            </w:r>
          </w:p>
        </w:tc>
      </w:tr>
      <w:tr w:rsidR="00C24C61" w:rsidRPr="00866299" w14:paraId="7D89C9B6" w14:textId="77777777" w:rsidTr="00D31DE3">
        <w:trPr>
          <w:cantSplit/>
        </w:trPr>
        <w:tc>
          <w:tcPr>
            <w:tcW w:w="3652" w:type="dxa"/>
            <w:tcBorders>
              <w:top w:val="single" w:sz="4" w:space="0" w:color="auto"/>
              <w:bottom w:val="single" w:sz="4" w:space="0" w:color="auto"/>
            </w:tcBorders>
          </w:tcPr>
          <w:p w14:paraId="35C34C19" w14:textId="77777777" w:rsidR="00C24C61" w:rsidRPr="00866299" w:rsidRDefault="00C24C61" w:rsidP="00C24C61">
            <w:pPr>
              <w:ind w:left="284" w:hanging="284"/>
              <w:rPr>
                <w:rFonts w:ascii="Calibri" w:hAnsi="Calibri"/>
                <w:b/>
                <w:sz w:val="22"/>
                <w:lang w:eastAsia="en-US"/>
              </w:rPr>
            </w:pPr>
            <w:r w:rsidRPr="00866299">
              <w:rPr>
                <w:rFonts w:ascii="Calibri" w:hAnsi="Calibri"/>
                <w:b/>
                <w:sz w:val="22"/>
                <w:lang w:eastAsia="en-US"/>
              </w:rPr>
              <w:t>Total expenses</w:t>
            </w:r>
          </w:p>
        </w:tc>
        <w:tc>
          <w:tcPr>
            <w:tcW w:w="1179" w:type="dxa"/>
            <w:tcBorders>
              <w:top w:val="single" w:sz="4" w:space="0" w:color="auto"/>
              <w:bottom w:val="single" w:sz="4" w:space="0" w:color="auto"/>
            </w:tcBorders>
          </w:tcPr>
          <w:p w14:paraId="204B39B8"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0</w:t>
            </w:r>
          </w:p>
        </w:tc>
        <w:tc>
          <w:tcPr>
            <w:tcW w:w="1041" w:type="dxa"/>
            <w:tcBorders>
              <w:top w:val="single" w:sz="4" w:space="0" w:color="auto"/>
              <w:bottom w:val="single" w:sz="4" w:space="0" w:color="auto"/>
            </w:tcBorders>
          </w:tcPr>
          <w:p w14:paraId="00F20B22"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500</w:t>
            </w:r>
          </w:p>
        </w:tc>
        <w:tc>
          <w:tcPr>
            <w:tcW w:w="1029" w:type="dxa"/>
            <w:tcBorders>
              <w:top w:val="single" w:sz="4" w:space="0" w:color="auto"/>
              <w:bottom w:val="single" w:sz="4" w:space="0" w:color="auto"/>
            </w:tcBorders>
          </w:tcPr>
          <w:p w14:paraId="60A1CF2C"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1,041</w:t>
            </w:r>
          </w:p>
        </w:tc>
        <w:tc>
          <w:tcPr>
            <w:tcW w:w="1029" w:type="dxa"/>
            <w:tcBorders>
              <w:top w:val="single" w:sz="4" w:space="0" w:color="auto"/>
              <w:bottom w:val="single" w:sz="4" w:space="0" w:color="auto"/>
            </w:tcBorders>
          </w:tcPr>
          <w:p w14:paraId="3A95B130"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1,374</w:t>
            </w:r>
          </w:p>
        </w:tc>
        <w:tc>
          <w:tcPr>
            <w:tcW w:w="1029" w:type="dxa"/>
            <w:tcBorders>
              <w:top w:val="single" w:sz="4" w:space="0" w:color="auto"/>
              <w:bottom w:val="single" w:sz="4" w:space="0" w:color="auto"/>
            </w:tcBorders>
          </w:tcPr>
          <w:p w14:paraId="1BBB5A74" w14:textId="77777777" w:rsidR="00C24C61" w:rsidRPr="00866299" w:rsidRDefault="00C24C61" w:rsidP="00C24C61">
            <w:pPr>
              <w:ind w:left="284" w:hanging="284"/>
              <w:jc w:val="right"/>
              <w:rPr>
                <w:rFonts w:ascii="Calibri" w:hAnsi="Calibri"/>
                <w:b/>
                <w:sz w:val="22"/>
                <w:lang w:eastAsia="en-US"/>
              </w:rPr>
            </w:pPr>
            <w:r w:rsidRPr="00866299">
              <w:rPr>
                <w:rFonts w:ascii="Calibri" w:hAnsi="Calibri"/>
                <w:b/>
                <w:sz w:val="22"/>
                <w:lang w:eastAsia="en-US"/>
              </w:rPr>
              <w:t>2,915</w:t>
            </w:r>
          </w:p>
        </w:tc>
      </w:tr>
    </w:tbl>
    <w:p w14:paraId="2A0C4673" w14:textId="77777777" w:rsidR="00C24C61" w:rsidRPr="00C24C61" w:rsidRDefault="00C24C61" w:rsidP="00D31DE3">
      <w:pPr>
        <w:pStyle w:val="snapInitbody"/>
      </w:pPr>
      <w:r w:rsidRPr="00C24C61">
        <w:t xml:space="preserve">The Government will design and construct upgrades to the Monaro Highway with matched funding from the Commonwealth Government under the </w:t>
      </w:r>
      <w:r w:rsidRPr="00C24C61">
        <w:rPr>
          <w:i/>
        </w:rPr>
        <w:t>National Partnership Agreement on Land Transport Infrastructure Projects</w:t>
      </w:r>
      <w:r w:rsidRPr="00C24C61">
        <w:t>. We will also undertake further road upgrades and bridge strengthening to improve heavy vehicle safety, with matched funding to be provided through the Commonwealth Government’s</w:t>
      </w:r>
      <w:r w:rsidRPr="00C24C61">
        <w:rPr>
          <w:i/>
        </w:rPr>
        <w:t xml:space="preserve"> Heavy Vehicle Safety and Productivity Program </w:t>
      </w:r>
      <w:r w:rsidRPr="00C24C61">
        <w:t>and the</w:t>
      </w:r>
      <w:r w:rsidRPr="00C24C61">
        <w:rPr>
          <w:i/>
        </w:rPr>
        <w:t xml:space="preserve"> Bridges Renewal Program</w:t>
      </w:r>
      <w:r w:rsidRPr="00C24C61">
        <w:t>.</w:t>
      </w:r>
    </w:p>
    <w:p w14:paraId="33F78305" w14:textId="62492F96" w:rsidR="00C24C61" w:rsidRPr="00202E81" w:rsidRDefault="00C24C61" w:rsidP="00202E81">
      <w:pPr>
        <w:pStyle w:val="snapInittitles"/>
      </w:pPr>
      <w:r w:rsidRPr="00202E81">
        <w:t xml:space="preserve">More active travel infrastructure for our schools and suburbs </w:t>
      </w:r>
    </w:p>
    <w:tbl>
      <w:tblPr>
        <w:tblW w:w="5000" w:type="pct"/>
        <w:tblLook w:val="0000" w:firstRow="0" w:lastRow="0" w:firstColumn="0" w:lastColumn="0" w:noHBand="0" w:noVBand="0"/>
      </w:tblPr>
      <w:tblGrid>
        <w:gridCol w:w="3929"/>
        <w:gridCol w:w="1268"/>
        <w:gridCol w:w="1120"/>
        <w:gridCol w:w="1107"/>
        <w:gridCol w:w="1107"/>
        <w:gridCol w:w="1107"/>
      </w:tblGrid>
      <w:tr w:rsidR="00C24C61" w:rsidRPr="00D87E53" w14:paraId="3B21E1BD" w14:textId="77777777" w:rsidTr="00D31DE3">
        <w:trPr>
          <w:cantSplit/>
        </w:trPr>
        <w:tc>
          <w:tcPr>
            <w:tcW w:w="3652" w:type="dxa"/>
            <w:tcBorders>
              <w:top w:val="single" w:sz="4" w:space="0" w:color="auto"/>
              <w:bottom w:val="single" w:sz="4" w:space="0" w:color="auto"/>
            </w:tcBorders>
          </w:tcPr>
          <w:p w14:paraId="396A171B" w14:textId="77777777" w:rsidR="00C24C61" w:rsidRPr="00D87E53" w:rsidRDefault="00C24C61" w:rsidP="00C24C61">
            <w:pPr>
              <w:jc w:val="right"/>
              <w:rPr>
                <w:rFonts w:ascii="Calibri" w:hAnsi="Calibri" w:cs="Calibri"/>
                <w:color w:val="FFFFFF"/>
                <w:sz w:val="22"/>
                <w:lang w:eastAsia="en-US"/>
              </w:rPr>
            </w:pPr>
            <w:r w:rsidRPr="00D87E53">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36053ACE"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2019­20</w:t>
            </w:r>
          </w:p>
          <w:p w14:paraId="01ADBC11"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$’000</w:t>
            </w:r>
          </w:p>
        </w:tc>
        <w:tc>
          <w:tcPr>
            <w:tcW w:w="1041" w:type="dxa"/>
            <w:tcBorders>
              <w:top w:val="single" w:sz="4" w:space="0" w:color="auto"/>
              <w:bottom w:val="single" w:sz="4" w:space="0" w:color="auto"/>
            </w:tcBorders>
          </w:tcPr>
          <w:p w14:paraId="011499BE"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2020­21</w:t>
            </w:r>
          </w:p>
          <w:p w14:paraId="0E5ABF08"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$’000</w:t>
            </w:r>
          </w:p>
        </w:tc>
        <w:tc>
          <w:tcPr>
            <w:tcW w:w="1029" w:type="dxa"/>
            <w:tcBorders>
              <w:top w:val="single" w:sz="4" w:space="0" w:color="auto"/>
              <w:bottom w:val="single" w:sz="4" w:space="0" w:color="auto"/>
            </w:tcBorders>
          </w:tcPr>
          <w:p w14:paraId="4A5F5870"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2021­22</w:t>
            </w:r>
          </w:p>
          <w:p w14:paraId="46D092CA"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$’000</w:t>
            </w:r>
          </w:p>
        </w:tc>
        <w:tc>
          <w:tcPr>
            <w:tcW w:w="1029" w:type="dxa"/>
            <w:tcBorders>
              <w:top w:val="single" w:sz="4" w:space="0" w:color="auto"/>
              <w:bottom w:val="single" w:sz="4" w:space="0" w:color="auto"/>
            </w:tcBorders>
          </w:tcPr>
          <w:p w14:paraId="4A9C3416"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2022-23</w:t>
            </w:r>
          </w:p>
          <w:p w14:paraId="65870EA0"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$’000</w:t>
            </w:r>
          </w:p>
        </w:tc>
        <w:tc>
          <w:tcPr>
            <w:tcW w:w="1029" w:type="dxa"/>
            <w:tcBorders>
              <w:top w:val="single" w:sz="4" w:space="0" w:color="auto"/>
              <w:bottom w:val="single" w:sz="4" w:space="0" w:color="auto"/>
            </w:tcBorders>
          </w:tcPr>
          <w:p w14:paraId="0948F9C7" w14:textId="77777777" w:rsidR="00C24C61" w:rsidRPr="00D87E53" w:rsidRDefault="00C24C61" w:rsidP="00C24C61">
            <w:pPr>
              <w:ind w:left="284" w:hanging="284"/>
              <w:jc w:val="right"/>
              <w:rPr>
                <w:rFonts w:ascii="Calibri" w:hAnsi="Calibri"/>
                <w:b/>
                <w:sz w:val="22"/>
                <w:lang w:eastAsia="en-US"/>
              </w:rPr>
            </w:pPr>
            <w:r w:rsidRPr="00D87E53">
              <w:rPr>
                <w:rFonts w:ascii="Calibri" w:hAnsi="Calibri"/>
                <w:b/>
                <w:sz w:val="22"/>
                <w:lang w:eastAsia="en-US"/>
              </w:rPr>
              <w:t>Total</w:t>
            </w:r>
          </w:p>
          <w:p w14:paraId="4FA2FF1D" w14:textId="77777777" w:rsidR="00C24C61" w:rsidRPr="00D87E53" w:rsidRDefault="00C24C61" w:rsidP="00C24C61">
            <w:pPr>
              <w:ind w:left="284" w:hanging="284"/>
              <w:jc w:val="right"/>
              <w:rPr>
                <w:rFonts w:ascii="Calibri" w:hAnsi="Calibri"/>
                <w:b/>
                <w:sz w:val="22"/>
                <w:lang w:eastAsia="en-US"/>
              </w:rPr>
            </w:pPr>
            <w:r w:rsidRPr="00D87E53">
              <w:rPr>
                <w:rFonts w:ascii="Calibri" w:hAnsi="Calibri"/>
                <w:b/>
                <w:sz w:val="22"/>
                <w:lang w:eastAsia="en-US"/>
              </w:rPr>
              <w:t>$’000</w:t>
            </w:r>
          </w:p>
        </w:tc>
      </w:tr>
      <w:tr w:rsidR="00C24C61" w:rsidRPr="00D87E53" w14:paraId="15A9C299" w14:textId="77777777" w:rsidTr="00D31DE3">
        <w:trPr>
          <w:cantSplit/>
        </w:trPr>
        <w:tc>
          <w:tcPr>
            <w:tcW w:w="3652" w:type="dxa"/>
            <w:tcBorders>
              <w:top w:val="single" w:sz="4" w:space="0" w:color="auto"/>
            </w:tcBorders>
          </w:tcPr>
          <w:p w14:paraId="1DDDE036" w14:textId="77777777" w:rsidR="00C24C61" w:rsidRPr="00D87E53" w:rsidRDefault="00C24C61" w:rsidP="00C24C61">
            <w:pPr>
              <w:ind w:left="284" w:hanging="284"/>
              <w:rPr>
                <w:rFonts w:ascii="Calibri" w:hAnsi="Calibri"/>
                <w:sz w:val="22"/>
                <w:lang w:eastAsia="en-US"/>
              </w:rPr>
            </w:pPr>
            <w:r w:rsidRPr="00D87E53">
              <w:rPr>
                <w:rFonts w:ascii="Calibri" w:hAnsi="Calibri"/>
                <w:sz w:val="22"/>
                <w:lang w:eastAsia="en-US"/>
              </w:rPr>
              <w:t>Capital</w:t>
            </w:r>
          </w:p>
        </w:tc>
        <w:tc>
          <w:tcPr>
            <w:tcW w:w="1179" w:type="dxa"/>
            <w:tcBorders>
              <w:top w:val="single" w:sz="4" w:space="0" w:color="auto"/>
            </w:tcBorders>
          </w:tcPr>
          <w:p w14:paraId="63EF3535" w14:textId="77777777" w:rsidR="00C24C61" w:rsidRPr="00D87E53" w:rsidRDefault="00C24C61" w:rsidP="00C24C61">
            <w:pPr>
              <w:tabs>
                <w:tab w:val="center" w:pos="481"/>
                <w:tab w:val="right" w:pos="963"/>
              </w:tabs>
              <w:ind w:left="284" w:hanging="284"/>
              <w:jc w:val="right"/>
              <w:rPr>
                <w:rFonts w:ascii="Calibri" w:hAnsi="Calibri"/>
                <w:sz w:val="22"/>
                <w:lang w:eastAsia="en-US"/>
              </w:rPr>
            </w:pPr>
            <w:r w:rsidRPr="00D87E53">
              <w:rPr>
                <w:rFonts w:ascii="Calibri" w:hAnsi="Calibri"/>
                <w:sz w:val="22"/>
                <w:lang w:eastAsia="en-US"/>
              </w:rPr>
              <w:t>1,750</w:t>
            </w:r>
          </w:p>
        </w:tc>
        <w:tc>
          <w:tcPr>
            <w:tcW w:w="1041" w:type="dxa"/>
            <w:tcBorders>
              <w:top w:val="single" w:sz="4" w:space="0" w:color="auto"/>
            </w:tcBorders>
          </w:tcPr>
          <w:p w14:paraId="6AD917EE"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1,694</w:t>
            </w:r>
          </w:p>
        </w:tc>
        <w:tc>
          <w:tcPr>
            <w:tcW w:w="1029" w:type="dxa"/>
            <w:tcBorders>
              <w:top w:val="single" w:sz="4" w:space="0" w:color="auto"/>
            </w:tcBorders>
          </w:tcPr>
          <w:p w14:paraId="2577F1F6"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w:t>
            </w:r>
          </w:p>
        </w:tc>
        <w:tc>
          <w:tcPr>
            <w:tcW w:w="1029" w:type="dxa"/>
            <w:tcBorders>
              <w:top w:val="single" w:sz="4" w:space="0" w:color="auto"/>
            </w:tcBorders>
          </w:tcPr>
          <w:p w14:paraId="058A1E72"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w:t>
            </w:r>
          </w:p>
        </w:tc>
        <w:tc>
          <w:tcPr>
            <w:tcW w:w="1029" w:type="dxa"/>
            <w:tcBorders>
              <w:top w:val="single" w:sz="4" w:space="0" w:color="auto"/>
            </w:tcBorders>
          </w:tcPr>
          <w:p w14:paraId="1EBEB81C" w14:textId="77777777" w:rsidR="00C24C61" w:rsidRPr="00D87E53" w:rsidRDefault="00C24C61" w:rsidP="00C24C61">
            <w:pPr>
              <w:ind w:left="284" w:hanging="284"/>
              <w:jc w:val="right"/>
              <w:rPr>
                <w:rFonts w:ascii="Calibri" w:hAnsi="Calibri"/>
                <w:b/>
                <w:sz w:val="22"/>
                <w:lang w:eastAsia="en-US"/>
              </w:rPr>
            </w:pPr>
            <w:r w:rsidRPr="00D87E53">
              <w:rPr>
                <w:rFonts w:ascii="Calibri" w:hAnsi="Calibri"/>
                <w:b/>
                <w:sz w:val="22"/>
                <w:lang w:eastAsia="en-US"/>
              </w:rPr>
              <w:t>3,444</w:t>
            </w:r>
          </w:p>
        </w:tc>
      </w:tr>
      <w:tr w:rsidR="00C24C61" w:rsidRPr="00D87E53" w14:paraId="456D8AF3" w14:textId="77777777" w:rsidTr="00D31DE3">
        <w:trPr>
          <w:cantSplit/>
        </w:trPr>
        <w:tc>
          <w:tcPr>
            <w:tcW w:w="3652" w:type="dxa"/>
            <w:tcBorders>
              <w:top w:val="single" w:sz="4" w:space="0" w:color="auto"/>
            </w:tcBorders>
          </w:tcPr>
          <w:p w14:paraId="2C9B1271" w14:textId="77777777" w:rsidR="00C24C61" w:rsidRPr="00D87E53" w:rsidRDefault="00C24C61" w:rsidP="00C24C61">
            <w:pPr>
              <w:ind w:left="284" w:hanging="284"/>
              <w:rPr>
                <w:rFonts w:ascii="Calibri" w:hAnsi="Calibri"/>
                <w:sz w:val="22"/>
                <w:lang w:eastAsia="en-US"/>
              </w:rPr>
            </w:pPr>
            <w:r w:rsidRPr="00D87E53">
              <w:rPr>
                <w:rFonts w:ascii="Calibri" w:hAnsi="Calibri"/>
                <w:sz w:val="22"/>
                <w:lang w:eastAsia="en-US"/>
              </w:rPr>
              <w:t>Depreciation</w:t>
            </w:r>
          </w:p>
        </w:tc>
        <w:tc>
          <w:tcPr>
            <w:tcW w:w="1179" w:type="dxa"/>
            <w:tcBorders>
              <w:top w:val="single" w:sz="4" w:space="0" w:color="auto"/>
            </w:tcBorders>
          </w:tcPr>
          <w:p w14:paraId="541F4EFE"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w:t>
            </w:r>
          </w:p>
        </w:tc>
        <w:tc>
          <w:tcPr>
            <w:tcW w:w="1041" w:type="dxa"/>
            <w:tcBorders>
              <w:top w:val="single" w:sz="4" w:space="0" w:color="auto"/>
            </w:tcBorders>
          </w:tcPr>
          <w:p w14:paraId="50264D39"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w:t>
            </w:r>
          </w:p>
        </w:tc>
        <w:tc>
          <w:tcPr>
            <w:tcW w:w="1029" w:type="dxa"/>
            <w:tcBorders>
              <w:top w:val="single" w:sz="4" w:space="0" w:color="auto"/>
            </w:tcBorders>
          </w:tcPr>
          <w:p w14:paraId="686D7393"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22</w:t>
            </w:r>
          </w:p>
        </w:tc>
        <w:tc>
          <w:tcPr>
            <w:tcW w:w="1029" w:type="dxa"/>
            <w:tcBorders>
              <w:top w:val="single" w:sz="4" w:space="0" w:color="auto"/>
            </w:tcBorders>
          </w:tcPr>
          <w:p w14:paraId="49F7AF82"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22</w:t>
            </w:r>
          </w:p>
        </w:tc>
        <w:tc>
          <w:tcPr>
            <w:tcW w:w="1029" w:type="dxa"/>
            <w:tcBorders>
              <w:top w:val="single" w:sz="4" w:space="0" w:color="auto"/>
            </w:tcBorders>
          </w:tcPr>
          <w:p w14:paraId="3E14F7A7" w14:textId="77777777" w:rsidR="00C24C61" w:rsidRPr="00D87E53" w:rsidRDefault="00C24C61" w:rsidP="00C24C61">
            <w:pPr>
              <w:ind w:left="284" w:hanging="284"/>
              <w:jc w:val="right"/>
              <w:rPr>
                <w:rFonts w:ascii="Calibri" w:hAnsi="Calibri"/>
                <w:b/>
                <w:sz w:val="22"/>
                <w:lang w:eastAsia="en-US"/>
              </w:rPr>
            </w:pPr>
            <w:r w:rsidRPr="00D87E53">
              <w:rPr>
                <w:rFonts w:ascii="Calibri" w:hAnsi="Calibri"/>
                <w:b/>
                <w:sz w:val="22"/>
                <w:lang w:eastAsia="en-US"/>
              </w:rPr>
              <w:t>44</w:t>
            </w:r>
          </w:p>
        </w:tc>
      </w:tr>
      <w:tr w:rsidR="00C24C61" w:rsidRPr="00D87E53" w14:paraId="2562C511" w14:textId="77777777" w:rsidTr="00D31DE3">
        <w:trPr>
          <w:cantSplit/>
        </w:trPr>
        <w:tc>
          <w:tcPr>
            <w:tcW w:w="3652" w:type="dxa"/>
            <w:tcBorders>
              <w:bottom w:val="single" w:sz="4" w:space="0" w:color="auto"/>
            </w:tcBorders>
          </w:tcPr>
          <w:p w14:paraId="1678587B" w14:textId="77777777" w:rsidR="00C24C61" w:rsidRPr="00D87E53" w:rsidRDefault="00C24C61" w:rsidP="00C24C61">
            <w:pPr>
              <w:ind w:left="284" w:hanging="284"/>
              <w:rPr>
                <w:rFonts w:ascii="Calibri" w:hAnsi="Calibri"/>
                <w:sz w:val="22"/>
                <w:lang w:eastAsia="en-US"/>
              </w:rPr>
            </w:pPr>
            <w:r w:rsidRPr="00D87E53">
              <w:rPr>
                <w:rFonts w:ascii="Calibri" w:hAnsi="Calibri"/>
                <w:sz w:val="22"/>
                <w:lang w:eastAsia="en-US"/>
              </w:rPr>
              <w:t>Associated expenses</w:t>
            </w:r>
          </w:p>
        </w:tc>
        <w:tc>
          <w:tcPr>
            <w:tcW w:w="1179" w:type="dxa"/>
            <w:tcBorders>
              <w:bottom w:val="single" w:sz="4" w:space="0" w:color="auto"/>
            </w:tcBorders>
          </w:tcPr>
          <w:p w14:paraId="21E7361C"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125</w:t>
            </w:r>
          </w:p>
        </w:tc>
        <w:tc>
          <w:tcPr>
            <w:tcW w:w="1041" w:type="dxa"/>
            <w:tcBorders>
              <w:bottom w:val="single" w:sz="4" w:space="0" w:color="auto"/>
            </w:tcBorders>
          </w:tcPr>
          <w:p w14:paraId="3E139854"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128</w:t>
            </w:r>
          </w:p>
        </w:tc>
        <w:tc>
          <w:tcPr>
            <w:tcW w:w="1029" w:type="dxa"/>
            <w:tcBorders>
              <w:bottom w:val="single" w:sz="4" w:space="0" w:color="auto"/>
            </w:tcBorders>
          </w:tcPr>
          <w:p w14:paraId="10C7A549"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152</w:t>
            </w:r>
          </w:p>
        </w:tc>
        <w:tc>
          <w:tcPr>
            <w:tcW w:w="1029" w:type="dxa"/>
            <w:tcBorders>
              <w:bottom w:val="single" w:sz="4" w:space="0" w:color="auto"/>
            </w:tcBorders>
          </w:tcPr>
          <w:p w14:paraId="561CA208"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176</w:t>
            </w:r>
          </w:p>
        </w:tc>
        <w:tc>
          <w:tcPr>
            <w:tcW w:w="1029" w:type="dxa"/>
            <w:tcBorders>
              <w:bottom w:val="single" w:sz="4" w:space="0" w:color="auto"/>
            </w:tcBorders>
          </w:tcPr>
          <w:p w14:paraId="2380F5CF" w14:textId="77777777" w:rsidR="00C24C61" w:rsidRPr="00D87E53" w:rsidRDefault="00C24C61" w:rsidP="00C24C61">
            <w:pPr>
              <w:ind w:left="284" w:hanging="284"/>
              <w:jc w:val="right"/>
              <w:rPr>
                <w:rFonts w:ascii="Calibri" w:hAnsi="Calibri"/>
                <w:b/>
                <w:sz w:val="22"/>
                <w:lang w:eastAsia="en-US"/>
              </w:rPr>
            </w:pPr>
            <w:r w:rsidRPr="00D87E53">
              <w:rPr>
                <w:rFonts w:ascii="Calibri" w:hAnsi="Calibri"/>
                <w:b/>
                <w:sz w:val="22"/>
                <w:lang w:eastAsia="en-US"/>
              </w:rPr>
              <w:t>581</w:t>
            </w:r>
          </w:p>
        </w:tc>
      </w:tr>
      <w:tr w:rsidR="00C24C61" w:rsidRPr="00D87E53" w14:paraId="7F2477E8" w14:textId="77777777" w:rsidTr="00D31DE3">
        <w:trPr>
          <w:cantSplit/>
        </w:trPr>
        <w:tc>
          <w:tcPr>
            <w:tcW w:w="3652" w:type="dxa"/>
            <w:tcBorders>
              <w:top w:val="single" w:sz="4" w:space="0" w:color="auto"/>
              <w:bottom w:val="single" w:sz="4" w:space="0" w:color="auto"/>
            </w:tcBorders>
          </w:tcPr>
          <w:p w14:paraId="592EDFDC" w14:textId="77777777" w:rsidR="00C24C61" w:rsidRPr="00D87E53" w:rsidRDefault="00C24C61" w:rsidP="00C24C61">
            <w:pPr>
              <w:ind w:left="284" w:hanging="284"/>
              <w:rPr>
                <w:rFonts w:ascii="Calibri" w:hAnsi="Calibri"/>
                <w:b/>
                <w:sz w:val="22"/>
                <w:lang w:eastAsia="en-US"/>
              </w:rPr>
            </w:pPr>
            <w:r w:rsidRPr="00D87E53">
              <w:rPr>
                <w:rFonts w:ascii="Calibri" w:hAnsi="Calibri"/>
                <w:b/>
                <w:sz w:val="22"/>
                <w:lang w:eastAsia="en-US"/>
              </w:rPr>
              <w:t>Total expenses</w:t>
            </w:r>
          </w:p>
        </w:tc>
        <w:tc>
          <w:tcPr>
            <w:tcW w:w="1179" w:type="dxa"/>
            <w:tcBorders>
              <w:top w:val="single" w:sz="4" w:space="0" w:color="auto"/>
              <w:bottom w:val="single" w:sz="4" w:space="0" w:color="auto"/>
            </w:tcBorders>
          </w:tcPr>
          <w:p w14:paraId="764EEE15" w14:textId="77777777" w:rsidR="00C24C61" w:rsidRPr="00D87E53" w:rsidRDefault="00C24C61" w:rsidP="00C24C61">
            <w:pPr>
              <w:ind w:left="284" w:hanging="284"/>
              <w:jc w:val="right"/>
              <w:rPr>
                <w:rFonts w:ascii="Calibri" w:hAnsi="Calibri"/>
                <w:b/>
                <w:sz w:val="22"/>
                <w:lang w:eastAsia="en-US"/>
              </w:rPr>
            </w:pPr>
            <w:r w:rsidRPr="00D87E53">
              <w:rPr>
                <w:rFonts w:ascii="Calibri" w:hAnsi="Calibri"/>
                <w:b/>
                <w:sz w:val="22"/>
                <w:lang w:eastAsia="en-US"/>
              </w:rPr>
              <w:t>125</w:t>
            </w:r>
          </w:p>
        </w:tc>
        <w:tc>
          <w:tcPr>
            <w:tcW w:w="1041" w:type="dxa"/>
            <w:tcBorders>
              <w:top w:val="single" w:sz="4" w:space="0" w:color="auto"/>
              <w:bottom w:val="single" w:sz="4" w:space="0" w:color="auto"/>
            </w:tcBorders>
          </w:tcPr>
          <w:p w14:paraId="4D10A2CD" w14:textId="77777777" w:rsidR="00C24C61" w:rsidRPr="00D87E53" w:rsidRDefault="00C24C61" w:rsidP="00C24C61">
            <w:pPr>
              <w:ind w:left="284" w:hanging="284"/>
              <w:jc w:val="right"/>
              <w:rPr>
                <w:rFonts w:ascii="Calibri" w:hAnsi="Calibri"/>
                <w:b/>
                <w:sz w:val="22"/>
                <w:lang w:eastAsia="en-US"/>
              </w:rPr>
            </w:pPr>
            <w:r w:rsidRPr="00D87E53">
              <w:rPr>
                <w:rFonts w:ascii="Calibri" w:hAnsi="Calibri"/>
                <w:b/>
                <w:sz w:val="22"/>
                <w:lang w:eastAsia="en-US"/>
              </w:rPr>
              <w:t>128</w:t>
            </w:r>
          </w:p>
        </w:tc>
        <w:tc>
          <w:tcPr>
            <w:tcW w:w="1029" w:type="dxa"/>
            <w:tcBorders>
              <w:top w:val="single" w:sz="4" w:space="0" w:color="auto"/>
              <w:bottom w:val="single" w:sz="4" w:space="0" w:color="auto"/>
            </w:tcBorders>
          </w:tcPr>
          <w:p w14:paraId="12426007" w14:textId="77777777" w:rsidR="00C24C61" w:rsidRPr="00D87E53" w:rsidRDefault="00C24C61" w:rsidP="00C24C61">
            <w:pPr>
              <w:ind w:left="284" w:hanging="284"/>
              <w:jc w:val="right"/>
              <w:rPr>
                <w:rFonts w:ascii="Calibri" w:hAnsi="Calibri"/>
                <w:b/>
                <w:sz w:val="22"/>
                <w:lang w:eastAsia="en-US"/>
              </w:rPr>
            </w:pPr>
            <w:r w:rsidRPr="00D87E53">
              <w:rPr>
                <w:rFonts w:ascii="Calibri" w:hAnsi="Calibri"/>
                <w:b/>
                <w:sz w:val="22"/>
                <w:lang w:eastAsia="en-US"/>
              </w:rPr>
              <w:t>174</w:t>
            </w:r>
          </w:p>
        </w:tc>
        <w:tc>
          <w:tcPr>
            <w:tcW w:w="1029" w:type="dxa"/>
            <w:tcBorders>
              <w:top w:val="single" w:sz="4" w:space="0" w:color="auto"/>
              <w:bottom w:val="single" w:sz="4" w:space="0" w:color="auto"/>
            </w:tcBorders>
          </w:tcPr>
          <w:p w14:paraId="176A9FF2" w14:textId="77777777" w:rsidR="00C24C61" w:rsidRPr="00D87E53" w:rsidRDefault="00C24C61" w:rsidP="00C24C61">
            <w:pPr>
              <w:ind w:left="284" w:hanging="284"/>
              <w:jc w:val="right"/>
              <w:rPr>
                <w:rFonts w:ascii="Calibri" w:hAnsi="Calibri"/>
                <w:b/>
                <w:sz w:val="22"/>
                <w:lang w:eastAsia="en-US"/>
              </w:rPr>
            </w:pPr>
            <w:r w:rsidRPr="00D87E53">
              <w:rPr>
                <w:rFonts w:ascii="Calibri" w:hAnsi="Calibri"/>
                <w:b/>
                <w:sz w:val="22"/>
                <w:lang w:eastAsia="en-US"/>
              </w:rPr>
              <w:t>198</w:t>
            </w:r>
          </w:p>
        </w:tc>
        <w:tc>
          <w:tcPr>
            <w:tcW w:w="1029" w:type="dxa"/>
            <w:tcBorders>
              <w:top w:val="single" w:sz="4" w:space="0" w:color="auto"/>
              <w:bottom w:val="single" w:sz="4" w:space="0" w:color="auto"/>
            </w:tcBorders>
          </w:tcPr>
          <w:p w14:paraId="7086D19D" w14:textId="77777777" w:rsidR="00C24C61" w:rsidRPr="00D87E53" w:rsidRDefault="00C24C61" w:rsidP="00C24C61">
            <w:pPr>
              <w:ind w:left="284" w:hanging="284"/>
              <w:jc w:val="right"/>
              <w:rPr>
                <w:rFonts w:ascii="Calibri" w:hAnsi="Calibri"/>
                <w:b/>
                <w:sz w:val="22"/>
                <w:lang w:eastAsia="en-US"/>
              </w:rPr>
            </w:pPr>
            <w:r w:rsidRPr="00D87E53">
              <w:rPr>
                <w:rFonts w:ascii="Calibri" w:hAnsi="Calibri"/>
                <w:b/>
                <w:sz w:val="22"/>
                <w:lang w:eastAsia="en-US"/>
              </w:rPr>
              <w:t>625</w:t>
            </w:r>
          </w:p>
        </w:tc>
      </w:tr>
    </w:tbl>
    <w:p w14:paraId="3518F37F" w14:textId="77777777" w:rsidR="00C24C61" w:rsidRPr="00C24C61" w:rsidRDefault="00C24C61" w:rsidP="00D31DE3">
      <w:pPr>
        <w:pStyle w:val="snapInitbody"/>
      </w:pPr>
      <w:r w:rsidRPr="00C24C61">
        <w:t>The Government will continue to deliver the school crossing supervisors program supporting 25 schools, construct a cycling and walking path on the eastern side of Flemington Road, and deliver a range of safety measures at schools across the Territory to improve road safety and encourage walking and cycling to school.</w:t>
      </w:r>
    </w:p>
    <w:p w14:paraId="4A50B708" w14:textId="77777777" w:rsidR="00B6149F" w:rsidRDefault="00B6149F">
      <w:pPr>
        <w:rPr>
          <w:rFonts w:ascii="Calibri" w:hAnsi="Calibri"/>
          <w:b/>
          <w:bCs/>
          <w:szCs w:val="26"/>
          <w:lang w:val="x-none" w:eastAsia="en-US"/>
        </w:rPr>
      </w:pPr>
      <w:r>
        <w:br w:type="page"/>
      </w:r>
    </w:p>
    <w:p w14:paraId="19421E7D" w14:textId="0D81DEE5" w:rsidR="00C24C61" w:rsidRPr="00202E81" w:rsidRDefault="00C24C61" w:rsidP="00202E81">
      <w:pPr>
        <w:pStyle w:val="snapInittitles"/>
        <w:rPr>
          <w:highlight w:val="yellow"/>
        </w:rPr>
      </w:pPr>
      <w:r w:rsidRPr="00202E81">
        <w:t xml:space="preserve">More carparks for Palmerston Shops and </w:t>
      </w:r>
      <w:proofErr w:type="spellStart"/>
      <w:r w:rsidRPr="00202E81">
        <w:t>Cooleman</w:t>
      </w:r>
      <w:proofErr w:type="spellEnd"/>
      <w:r w:rsidRPr="00202E81">
        <w:t xml:space="preserve"> Court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C24C61" w:rsidRPr="00D87E53" w14:paraId="30B6A238" w14:textId="77777777" w:rsidTr="00D31DE3">
        <w:trPr>
          <w:cantSplit/>
        </w:trPr>
        <w:tc>
          <w:tcPr>
            <w:tcW w:w="3652" w:type="dxa"/>
            <w:tcBorders>
              <w:top w:val="single" w:sz="4" w:space="0" w:color="auto"/>
              <w:bottom w:val="single" w:sz="4" w:space="0" w:color="auto"/>
            </w:tcBorders>
          </w:tcPr>
          <w:p w14:paraId="1898629A" w14:textId="77777777" w:rsidR="00C24C61" w:rsidRPr="00D87E53" w:rsidRDefault="00C24C61" w:rsidP="00C24C61">
            <w:pPr>
              <w:jc w:val="right"/>
              <w:rPr>
                <w:rFonts w:ascii="Calibri" w:hAnsi="Calibri" w:cs="Calibri"/>
                <w:color w:val="FFFFFF"/>
                <w:sz w:val="22"/>
                <w:lang w:eastAsia="en-US"/>
              </w:rPr>
            </w:pPr>
            <w:r w:rsidRPr="00D87E53">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290B6279"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2019­20</w:t>
            </w:r>
          </w:p>
          <w:p w14:paraId="34CD7C19"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$’000</w:t>
            </w:r>
          </w:p>
        </w:tc>
        <w:tc>
          <w:tcPr>
            <w:tcW w:w="1041" w:type="dxa"/>
            <w:tcBorders>
              <w:top w:val="single" w:sz="4" w:space="0" w:color="auto"/>
              <w:bottom w:val="single" w:sz="4" w:space="0" w:color="auto"/>
            </w:tcBorders>
          </w:tcPr>
          <w:p w14:paraId="4A1E9124"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2020­21</w:t>
            </w:r>
          </w:p>
          <w:p w14:paraId="11B2E58D"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$’000</w:t>
            </w:r>
          </w:p>
        </w:tc>
        <w:tc>
          <w:tcPr>
            <w:tcW w:w="1029" w:type="dxa"/>
            <w:tcBorders>
              <w:top w:val="single" w:sz="4" w:space="0" w:color="auto"/>
              <w:bottom w:val="single" w:sz="4" w:space="0" w:color="auto"/>
            </w:tcBorders>
          </w:tcPr>
          <w:p w14:paraId="171D130A"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2021­22</w:t>
            </w:r>
          </w:p>
          <w:p w14:paraId="51701EAE"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$’000</w:t>
            </w:r>
          </w:p>
        </w:tc>
        <w:tc>
          <w:tcPr>
            <w:tcW w:w="1029" w:type="dxa"/>
            <w:tcBorders>
              <w:top w:val="single" w:sz="4" w:space="0" w:color="auto"/>
              <w:bottom w:val="single" w:sz="4" w:space="0" w:color="auto"/>
            </w:tcBorders>
          </w:tcPr>
          <w:p w14:paraId="5555CDF4"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2022-23</w:t>
            </w:r>
          </w:p>
          <w:p w14:paraId="57CAF430"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$’000</w:t>
            </w:r>
          </w:p>
        </w:tc>
        <w:tc>
          <w:tcPr>
            <w:tcW w:w="1029" w:type="dxa"/>
            <w:tcBorders>
              <w:top w:val="single" w:sz="4" w:space="0" w:color="auto"/>
              <w:bottom w:val="single" w:sz="4" w:space="0" w:color="auto"/>
            </w:tcBorders>
          </w:tcPr>
          <w:p w14:paraId="2006BA85" w14:textId="77777777" w:rsidR="00C24C61" w:rsidRPr="00D87E53" w:rsidRDefault="00C24C61" w:rsidP="00C24C61">
            <w:pPr>
              <w:ind w:left="284" w:hanging="284"/>
              <w:jc w:val="right"/>
              <w:rPr>
                <w:rFonts w:ascii="Calibri" w:hAnsi="Calibri"/>
                <w:b/>
                <w:sz w:val="22"/>
                <w:lang w:eastAsia="en-US"/>
              </w:rPr>
            </w:pPr>
            <w:r w:rsidRPr="00D87E53">
              <w:rPr>
                <w:rFonts w:ascii="Calibri" w:hAnsi="Calibri"/>
                <w:b/>
                <w:sz w:val="22"/>
                <w:lang w:eastAsia="en-US"/>
              </w:rPr>
              <w:t>Total</w:t>
            </w:r>
          </w:p>
          <w:p w14:paraId="3D2E3511" w14:textId="77777777" w:rsidR="00C24C61" w:rsidRPr="00D87E53" w:rsidRDefault="00C24C61" w:rsidP="00C24C61">
            <w:pPr>
              <w:ind w:left="284" w:hanging="284"/>
              <w:jc w:val="right"/>
              <w:rPr>
                <w:rFonts w:ascii="Calibri" w:hAnsi="Calibri"/>
                <w:b/>
                <w:sz w:val="22"/>
                <w:lang w:eastAsia="en-US"/>
              </w:rPr>
            </w:pPr>
            <w:r w:rsidRPr="00D87E53">
              <w:rPr>
                <w:rFonts w:ascii="Calibri" w:hAnsi="Calibri"/>
                <w:b/>
                <w:sz w:val="22"/>
                <w:lang w:eastAsia="en-US"/>
              </w:rPr>
              <w:t>$’000</w:t>
            </w:r>
          </w:p>
        </w:tc>
      </w:tr>
      <w:tr w:rsidR="00C24C61" w:rsidRPr="00D87E53" w14:paraId="1A458DBE" w14:textId="77777777" w:rsidTr="00D31DE3">
        <w:trPr>
          <w:cantSplit/>
        </w:trPr>
        <w:tc>
          <w:tcPr>
            <w:tcW w:w="3652" w:type="dxa"/>
            <w:tcBorders>
              <w:top w:val="single" w:sz="4" w:space="0" w:color="auto"/>
              <w:bottom w:val="single" w:sz="4" w:space="0" w:color="auto"/>
            </w:tcBorders>
          </w:tcPr>
          <w:p w14:paraId="697A1E66" w14:textId="77777777" w:rsidR="00C24C61" w:rsidRPr="00D87E53" w:rsidRDefault="00C24C61" w:rsidP="00C24C61">
            <w:pPr>
              <w:ind w:left="284" w:hanging="284"/>
              <w:rPr>
                <w:rFonts w:ascii="Calibri" w:hAnsi="Calibri"/>
                <w:sz w:val="22"/>
                <w:lang w:eastAsia="en-US"/>
              </w:rPr>
            </w:pPr>
            <w:r w:rsidRPr="00D87E53">
              <w:rPr>
                <w:rFonts w:ascii="Calibri" w:hAnsi="Calibri"/>
                <w:sz w:val="22"/>
                <w:lang w:eastAsia="en-US"/>
              </w:rPr>
              <w:t>Capital</w:t>
            </w:r>
          </w:p>
        </w:tc>
        <w:tc>
          <w:tcPr>
            <w:tcW w:w="1179" w:type="dxa"/>
            <w:tcBorders>
              <w:top w:val="single" w:sz="4" w:space="0" w:color="auto"/>
              <w:bottom w:val="single" w:sz="4" w:space="0" w:color="auto"/>
            </w:tcBorders>
          </w:tcPr>
          <w:p w14:paraId="0CED2A04"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420</w:t>
            </w:r>
          </w:p>
        </w:tc>
        <w:tc>
          <w:tcPr>
            <w:tcW w:w="1041" w:type="dxa"/>
            <w:tcBorders>
              <w:top w:val="single" w:sz="4" w:space="0" w:color="auto"/>
              <w:bottom w:val="single" w:sz="4" w:space="0" w:color="auto"/>
            </w:tcBorders>
          </w:tcPr>
          <w:p w14:paraId="017191B5"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w:t>
            </w:r>
          </w:p>
        </w:tc>
        <w:tc>
          <w:tcPr>
            <w:tcW w:w="1029" w:type="dxa"/>
            <w:tcBorders>
              <w:top w:val="single" w:sz="4" w:space="0" w:color="auto"/>
              <w:bottom w:val="single" w:sz="4" w:space="0" w:color="auto"/>
            </w:tcBorders>
          </w:tcPr>
          <w:p w14:paraId="7CEF6D58"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w:t>
            </w:r>
          </w:p>
        </w:tc>
        <w:tc>
          <w:tcPr>
            <w:tcW w:w="1029" w:type="dxa"/>
            <w:tcBorders>
              <w:top w:val="single" w:sz="4" w:space="0" w:color="auto"/>
              <w:bottom w:val="single" w:sz="4" w:space="0" w:color="auto"/>
            </w:tcBorders>
          </w:tcPr>
          <w:p w14:paraId="0842C9B3"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w:t>
            </w:r>
          </w:p>
        </w:tc>
        <w:tc>
          <w:tcPr>
            <w:tcW w:w="1029" w:type="dxa"/>
            <w:tcBorders>
              <w:top w:val="single" w:sz="4" w:space="0" w:color="auto"/>
              <w:bottom w:val="single" w:sz="4" w:space="0" w:color="auto"/>
            </w:tcBorders>
          </w:tcPr>
          <w:p w14:paraId="0540994B" w14:textId="77777777" w:rsidR="00C24C61" w:rsidRPr="00D87E53" w:rsidRDefault="00C24C61" w:rsidP="00C24C61">
            <w:pPr>
              <w:ind w:left="284" w:hanging="284"/>
              <w:jc w:val="right"/>
              <w:rPr>
                <w:rFonts w:ascii="Calibri" w:hAnsi="Calibri"/>
                <w:b/>
                <w:sz w:val="22"/>
                <w:lang w:eastAsia="en-US"/>
              </w:rPr>
            </w:pPr>
            <w:r w:rsidRPr="00D87E53">
              <w:rPr>
                <w:rFonts w:ascii="Calibri" w:hAnsi="Calibri"/>
                <w:b/>
                <w:sz w:val="22"/>
                <w:lang w:eastAsia="en-US"/>
              </w:rPr>
              <w:t>420</w:t>
            </w:r>
          </w:p>
        </w:tc>
      </w:tr>
      <w:tr w:rsidR="00C24C61" w:rsidRPr="00D87E53" w14:paraId="2F825723" w14:textId="77777777" w:rsidTr="00D31DE3">
        <w:trPr>
          <w:cantSplit/>
          <w:trHeight w:val="309"/>
        </w:trPr>
        <w:tc>
          <w:tcPr>
            <w:tcW w:w="3652" w:type="dxa"/>
            <w:tcBorders>
              <w:top w:val="single" w:sz="4" w:space="0" w:color="auto"/>
            </w:tcBorders>
          </w:tcPr>
          <w:p w14:paraId="795B6E0A" w14:textId="77777777" w:rsidR="00C24C61" w:rsidRPr="00D87E53" w:rsidRDefault="00C24C61" w:rsidP="00C24C61">
            <w:pPr>
              <w:ind w:left="284" w:hanging="284"/>
              <w:rPr>
                <w:rFonts w:ascii="Calibri" w:hAnsi="Calibri"/>
                <w:sz w:val="22"/>
                <w:lang w:eastAsia="en-US"/>
              </w:rPr>
            </w:pPr>
            <w:r w:rsidRPr="00D87E53">
              <w:rPr>
                <w:rFonts w:ascii="Calibri" w:hAnsi="Calibri"/>
                <w:sz w:val="22"/>
                <w:lang w:eastAsia="en-US"/>
              </w:rPr>
              <w:t>Depreciation</w:t>
            </w:r>
          </w:p>
        </w:tc>
        <w:tc>
          <w:tcPr>
            <w:tcW w:w="1179" w:type="dxa"/>
            <w:tcBorders>
              <w:top w:val="single" w:sz="4" w:space="0" w:color="auto"/>
            </w:tcBorders>
          </w:tcPr>
          <w:p w14:paraId="4399626E"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w:t>
            </w:r>
          </w:p>
        </w:tc>
        <w:tc>
          <w:tcPr>
            <w:tcW w:w="1041" w:type="dxa"/>
            <w:tcBorders>
              <w:top w:val="single" w:sz="4" w:space="0" w:color="auto"/>
            </w:tcBorders>
          </w:tcPr>
          <w:p w14:paraId="6E61E5E8"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6</w:t>
            </w:r>
          </w:p>
        </w:tc>
        <w:tc>
          <w:tcPr>
            <w:tcW w:w="1029" w:type="dxa"/>
            <w:tcBorders>
              <w:top w:val="single" w:sz="4" w:space="0" w:color="auto"/>
            </w:tcBorders>
          </w:tcPr>
          <w:p w14:paraId="3CBDEE37"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6</w:t>
            </w:r>
          </w:p>
        </w:tc>
        <w:tc>
          <w:tcPr>
            <w:tcW w:w="1029" w:type="dxa"/>
            <w:tcBorders>
              <w:top w:val="single" w:sz="4" w:space="0" w:color="auto"/>
            </w:tcBorders>
          </w:tcPr>
          <w:p w14:paraId="5D689469"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6</w:t>
            </w:r>
          </w:p>
        </w:tc>
        <w:tc>
          <w:tcPr>
            <w:tcW w:w="1029" w:type="dxa"/>
            <w:tcBorders>
              <w:top w:val="single" w:sz="4" w:space="0" w:color="auto"/>
            </w:tcBorders>
          </w:tcPr>
          <w:p w14:paraId="10127795" w14:textId="77777777" w:rsidR="00C24C61" w:rsidRPr="00D87E53" w:rsidRDefault="00C24C61" w:rsidP="00C24C61">
            <w:pPr>
              <w:ind w:left="284" w:hanging="284"/>
              <w:jc w:val="right"/>
              <w:rPr>
                <w:rFonts w:ascii="Calibri" w:hAnsi="Calibri"/>
                <w:b/>
                <w:sz w:val="22"/>
                <w:lang w:eastAsia="en-US"/>
              </w:rPr>
            </w:pPr>
            <w:r w:rsidRPr="00D87E53">
              <w:rPr>
                <w:rFonts w:ascii="Calibri" w:hAnsi="Calibri"/>
                <w:b/>
                <w:sz w:val="22"/>
                <w:lang w:eastAsia="en-US"/>
              </w:rPr>
              <w:t>18</w:t>
            </w:r>
          </w:p>
        </w:tc>
      </w:tr>
      <w:tr w:rsidR="00C24C61" w:rsidRPr="00D87E53" w14:paraId="69748E0C" w14:textId="77777777" w:rsidTr="00D31DE3">
        <w:trPr>
          <w:cantSplit/>
        </w:trPr>
        <w:tc>
          <w:tcPr>
            <w:tcW w:w="3652" w:type="dxa"/>
            <w:tcBorders>
              <w:bottom w:val="single" w:sz="4" w:space="0" w:color="auto"/>
            </w:tcBorders>
          </w:tcPr>
          <w:p w14:paraId="3655A28C" w14:textId="77777777" w:rsidR="00C24C61" w:rsidRPr="00D87E53" w:rsidRDefault="00C24C61" w:rsidP="00C24C61">
            <w:pPr>
              <w:ind w:left="284" w:hanging="284"/>
              <w:rPr>
                <w:rFonts w:ascii="Calibri" w:hAnsi="Calibri"/>
                <w:sz w:val="22"/>
                <w:lang w:eastAsia="en-US"/>
              </w:rPr>
            </w:pPr>
            <w:r w:rsidRPr="00D87E53">
              <w:rPr>
                <w:rFonts w:ascii="Calibri" w:hAnsi="Calibri"/>
                <w:sz w:val="22"/>
                <w:lang w:eastAsia="en-US"/>
              </w:rPr>
              <w:t>Associated expenses</w:t>
            </w:r>
          </w:p>
        </w:tc>
        <w:tc>
          <w:tcPr>
            <w:tcW w:w="1179" w:type="dxa"/>
            <w:tcBorders>
              <w:bottom w:val="single" w:sz="4" w:space="0" w:color="auto"/>
            </w:tcBorders>
          </w:tcPr>
          <w:p w14:paraId="0E499D9E"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w:t>
            </w:r>
          </w:p>
        </w:tc>
        <w:tc>
          <w:tcPr>
            <w:tcW w:w="1041" w:type="dxa"/>
            <w:tcBorders>
              <w:bottom w:val="single" w:sz="4" w:space="0" w:color="auto"/>
            </w:tcBorders>
          </w:tcPr>
          <w:p w14:paraId="39307830"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w:t>
            </w:r>
          </w:p>
        </w:tc>
        <w:tc>
          <w:tcPr>
            <w:tcW w:w="1029" w:type="dxa"/>
            <w:tcBorders>
              <w:bottom w:val="single" w:sz="4" w:space="0" w:color="auto"/>
            </w:tcBorders>
          </w:tcPr>
          <w:p w14:paraId="137F8F59"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4</w:t>
            </w:r>
          </w:p>
        </w:tc>
        <w:tc>
          <w:tcPr>
            <w:tcW w:w="1029" w:type="dxa"/>
            <w:tcBorders>
              <w:bottom w:val="single" w:sz="4" w:space="0" w:color="auto"/>
            </w:tcBorders>
          </w:tcPr>
          <w:p w14:paraId="1FAB0EDE"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8</w:t>
            </w:r>
          </w:p>
        </w:tc>
        <w:tc>
          <w:tcPr>
            <w:tcW w:w="1029" w:type="dxa"/>
            <w:tcBorders>
              <w:bottom w:val="single" w:sz="4" w:space="0" w:color="auto"/>
            </w:tcBorders>
          </w:tcPr>
          <w:p w14:paraId="006623B5" w14:textId="77777777" w:rsidR="00C24C61" w:rsidRPr="00D87E53" w:rsidRDefault="00C24C61" w:rsidP="00C24C61">
            <w:pPr>
              <w:ind w:left="284" w:hanging="284"/>
              <w:jc w:val="right"/>
              <w:rPr>
                <w:rFonts w:ascii="Calibri" w:hAnsi="Calibri"/>
                <w:b/>
                <w:sz w:val="22"/>
                <w:lang w:eastAsia="en-US"/>
              </w:rPr>
            </w:pPr>
            <w:r w:rsidRPr="00D87E53">
              <w:rPr>
                <w:rFonts w:ascii="Calibri" w:hAnsi="Calibri"/>
                <w:b/>
                <w:sz w:val="22"/>
                <w:lang w:eastAsia="en-US"/>
              </w:rPr>
              <w:t>12</w:t>
            </w:r>
          </w:p>
        </w:tc>
      </w:tr>
      <w:tr w:rsidR="00C24C61" w:rsidRPr="00D87E53" w14:paraId="4BC5AA90" w14:textId="77777777" w:rsidTr="00D31DE3">
        <w:trPr>
          <w:cantSplit/>
        </w:trPr>
        <w:tc>
          <w:tcPr>
            <w:tcW w:w="3652" w:type="dxa"/>
            <w:tcBorders>
              <w:top w:val="single" w:sz="4" w:space="0" w:color="auto"/>
              <w:bottom w:val="single" w:sz="4" w:space="0" w:color="auto"/>
            </w:tcBorders>
          </w:tcPr>
          <w:p w14:paraId="377A6483" w14:textId="77777777" w:rsidR="00C24C61" w:rsidRPr="00D87E53" w:rsidRDefault="00C24C61" w:rsidP="00C24C61">
            <w:pPr>
              <w:ind w:left="284" w:hanging="284"/>
              <w:rPr>
                <w:rFonts w:ascii="Calibri" w:hAnsi="Calibri"/>
                <w:b/>
                <w:sz w:val="22"/>
                <w:lang w:eastAsia="en-US"/>
              </w:rPr>
            </w:pPr>
            <w:r w:rsidRPr="00D87E53">
              <w:rPr>
                <w:rFonts w:ascii="Calibri" w:hAnsi="Calibri"/>
                <w:b/>
                <w:sz w:val="22"/>
                <w:lang w:eastAsia="en-US"/>
              </w:rPr>
              <w:t>Total expenses</w:t>
            </w:r>
          </w:p>
        </w:tc>
        <w:tc>
          <w:tcPr>
            <w:tcW w:w="1179" w:type="dxa"/>
            <w:tcBorders>
              <w:top w:val="single" w:sz="4" w:space="0" w:color="auto"/>
              <w:bottom w:val="single" w:sz="4" w:space="0" w:color="auto"/>
            </w:tcBorders>
          </w:tcPr>
          <w:p w14:paraId="6D6ECB01" w14:textId="77777777" w:rsidR="00C24C61" w:rsidRPr="00D87E53" w:rsidRDefault="00C24C61" w:rsidP="00C24C61">
            <w:pPr>
              <w:ind w:left="284" w:hanging="284"/>
              <w:jc w:val="right"/>
              <w:rPr>
                <w:rFonts w:ascii="Calibri" w:hAnsi="Calibri"/>
                <w:b/>
                <w:sz w:val="22"/>
                <w:lang w:eastAsia="en-US"/>
              </w:rPr>
            </w:pPr>
            <w:r w:rsidRPr="00D87E53">
              <w:rPr>
                <w:rFonts w:ascii="Calibri" w:hAnsi="Calibri"/>
                <w:b/>
                <w:sz w:val="22"/>
                <w:lang w:eastAsia="en-US"/>
              </w:rPr>
              <w:t>0</w:t>
            </w:r>
          </w:p>
        </w:tc>
        <w:tc>
          <w:tcPr>
            <w:tcW w:w="1041" w:type="dxa"/>
            <w:tcBorders>
              <w:top w:val="single" w:sz="4" w:space="0" w:color="auto"/>
              <w:bottom w:val="single" w:sz="4" w:space="0" w:color="auto"/>
            </w:tcBorders>
          </w:tcPr>
          <w:p w14:paraId="4E6EE843" w14:textId="77777777" w:rsidR="00C24C61" w:rsidRPr="00D87E53" w:rsidRDefault="00C24C61" w:rsidP="00C24C61">
            <w:pPr>
              <w:ind w:left="284" w:hanging="284"/>
              <w:jc w:val="right"/>
              <w:rPr>
                <w:rFonts w:ascii="Calibri" w:hAnsi="Calibri"/>
                <w:b/>
                <w:sz w:val="22"/>
                <w:lang w:eastAsia="en-US"/>
              </w:rPr>
            </w:pPr>
            <w:r w:rsidRPr="00D87E53">
              <w:rPr>
                <w:rFonts w:ascii="Calibri" w:hAnsi="Calibri"/>
                <w:b/>
                <w:sz w:val="22"/>
                <w:lang w:eastAsia="en-US"/>
              </w:rPr>
              <w:t>6</w:t>
            </w:r>
          </w:p>
        </w:tc>
        <w:tc>
          <w:tcPr>
            <w:tcW w:w="1029" w:type="dxa"/>
            <w:tcBorders>
              <w:top w:val="single" w:sz="4" w:space="0" w:color="auto"/>
              <w:bottom w:val="single" w:sz="4" w:space="0" w:color="auto"/>
            </w:tcBorders>
          </w:tcPr>
          <w:p w14:paraId="0FD138C5" w14:textId="77777777" w:rsidR="00C24C61" w:rsidRPr="00D87E53" w:rsidRDefault="00C24C61" w:rsidP="00C24C61">
            <w:pPr>
              <w:ind w:left="284" w:hanging="284"/>
              <w:jc w:val="right"/>
              <w:rPr>
                <w:rFonts w:ascii="Calibri" w:hAnsi="Calibri"/>
                <w:b/>
                <w:sz w:val="22"/>
                <w:lang w:eastAsia="en-US"/>
              </w:rPr>
            </w:pPr>
            <w:r w:rsidRPr="00D87E53">
              <w:rPr>
                <w:rFonts w:ascii="Calibri" w:hAnsi="Calibri"/>
                <w:b/>
                <w:sz w:val="22"/>
                <w:lang w:eastAsia="en-US"/>
              </w:rPr>
              <w:t>10</w:t>
            </w:r>
          </w:p>
        </w:tc>
        <w:tc>
          <w:tcPr>
            <w:tcW w:w="1029" w:type="dxa"/>
            <w:tcBorders>
              <w:top w:val="single" w:sz="4" w:space="0" w:color="auto"/>
              <w:bottom w:val="single" w:sz="4" w:space="0" w:color="auto"/>
            </w:tcBorders>
          </w:tcPr>
          <w:p w14:paraId="687B9CA7" w14:textId="77777777" w:rsidR="00C24C61" w:rsidRPr="00D87E53" w:rsidRDefault="00C24C61" w:rsidP="00C24C61">
            <w:pPr>
              <w:ind w:left="284" w:hanging="284"/>
              <w:jc w:val="right"/>
              <w:rPr>
                <w:rFonts w:ascii="Calibri" w:hAnsi="Calibri"/>
                <w:b/>
                <w:sz w:val="22"/>
                <w:lang w:eastAsia="en-US"/>
              </w:rPr>
            </w:pPr>
            <w:r w:rsidRPr="00D87E53">
              <w:rPr>
                <w:rFonts w:ascii="Calibri" w:hAnsi="Calibri"/>
                <w:b/>
                <w:sz w:val="22"/>
                <w:lang w:eastAsia="en-US"/>
              </w:rPr>
              <w:t>14</w:t>
            </w:r>
          </w:p>
        </w:tc>
        <w:tc>
          <w:tcPr>
            <w:tcW w:w="1029" w:type="dxa"/>
            <w:tcBorders>
              <w:top w:val="single" w:sz="4" w:space="0" w:color="auto"/>
              <w:bottom w:val="single" w:sz="4" w:space="0" w:color="auto"/>
            </w:tcBorders>
          </w:tcPr>
          <w:p w14:paraId="6935B09F" w14:textId="77777777" w:rsidR="00C24C61" w:rsidRPr="00D87E53" w:rsidRDefault="00C24C61" w:rsidP="00C24C61">
            <w:pPr>
              <w:ind w:left="284" w:hanging="284"/>
              <w:jc w:val="right"/>
              <w:rPr>
                <w:rFonts w:ascii="Calibri" w:hAnsi="Calibri"/>
                <w:b/>
                <w:sz w:val="22"/>
                <w:lang w:eastAsia="en-US"/>
              </w:rPr>
            </w:pPr>
            <w:r w:rsidRPr="00D87E53">
              <w:rPr>
                <w:rFonts w:ascii="Calibri" w:hAnsi="Calibri"/>
                <w:b/>
                <w:sz w:val="22"/>
                <w:lang w:eastAsia="en-US"/>
              </w:rPr>
              <w:t>30</w:t>
            </w:r>
          </w:p>
        </w:tc>
      </w:tr>
    </w:tbl>
    <w:p w14:paraId="792D383E" w14:textId="77777777" w:rsidR="00C24C61" w:rsidRPr="00C24C61" w:rsidRDefault="00C24C61" w:rsidP="00D31DE3">
      <w:pPr>
        <w:pStyle w:val="snapInitbody"/>
      </w:pPr>
      <w:r w:rsidRPr="00C24C61">
        <w:t xml:space="preserve">The Government will design and construct new car parks at the Palmerston Shops and </w:t>
      </w:r>
      <w:proofErr w:type="spellStart"/>
      <w:r w:rsidRPr="00C24C61">
        <w:t>Cooleman</w:t>
      </w:r>
      <w:proofErr w:type="spellEnd"/>
      <w:r w:rsidRPr="00C24C61">
        <w:t xml:space="preserve"> Court in Weston Creek to improve ease of access and speed up visiting times for local residents. </w:t>
      </w:r>
    </w:p>
    <w:p w14:paraId="56D38BDF" w14:textId="77777777" w:rsidR="00C24C61" w:rsidRPr="00202E81" w:rsidRDefault="00C24C61" w:rsidP="00202E81">
      <w:pPr>
        <w:pStyle w:val="snapInittitles"/>
      </w:pPr>
      <w:r w:rsidRPr="00202E81">
        <w:t xml:space="preserve">More City Services depots for better service delivery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C24C61" w:rsidRPr="00D87E53" w14:paraId="665E47AB" w14:textId="77777777" w:rsidTr="00D31DE3">
        <w:trPr>
          <w:cantSplit/>
        </w:trPr>
        <w:tc>
          <w:tcPr>
            <w:tcW w:w="3652" w:type="dxa"/>
            <w:tcBorders>
              <w:top w:val="single" w:sz="4" w:space="0" w:color="auto"/>
              <w:bottom w:val="single" w:sz="4" w:space="0" w:color="auto"/>
            </w:tcBorders>
          </w:tcPr>
          <w:p w14:paraId="0CA9D2D7" w14:textId="77777777" w:rsidR="00C24C61" w:rsidRPr="00D87E53" w:rsidRDefault="00C24C61" w:rsidP="00C24C61">
            <w:pPr>
              <w:jc w:val="right"/>
              <w:rPr>
                <w:rFonts w:ascii="Calibri" w:hAnsi="Calibri" w:cs="Calibri"/>
                <w:color w:val="FFFFFF"/>
                <w:sz w:val="22"/>
                <w:lang w:eastAsia="en-US"/>
              </w:rPr>
            </w:pPr>
            <w:r w:rsidRPr="00D87E53">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6A0A3A00"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2019­20</w:t>
            </w:r>
          </w:p>
          <w:p w14:paraId="255FFF2C"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$’000</w:t>
            </w:r>
          </w:p>
        </w:tc>
        <w:tc>
          <w:tcPr>
            <w:tcW w:w="1041" w:type="dxa"/>
            <w:tcBorders>
              <w:top w:val="single" w:sz="4" w:space="0" w:color="auto"/>
              <w:bottom w:val="single" w:sz="4" w:space="0" w:color="auto"/>
            </w:tcBorders>
          </w:tcPr>
          <w:p w14:paraId="6ECD0769"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2020­21</w:t>
            </w:r>
          </w:p>
          <w:p w14:paraId="4AA22B79"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$’000</w:t>
            </w:r>
          </w:p>
        </w:tc>
        <w:tc>
          <w:tcPr>
            <w:tcW w:w="1029" w:type="dxa"/>
            <w:tcBorders>
              <w:top w:val="single" w:sz="4" w:space="0" w:color="auto"/>
              <w:bottom w:val="single" w:sz="4" w:space="0" w:color="auto"/>
            </w:tcBorders>
          </w:tcPr>
          <w:p w14:paraId="4A6AA330"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2021­22</w:t>
            </w:r>
          </w:p>
          <w:p w14:paraId="7803474B"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$’000</w:t>
            </w:r>
          </w:p>
        </w:tc>
        <w:tc>
          <w:tcPr>
            <w:tcW w:w="1029" w:type="dxa"/>
            <w:tcBorders>
              <w:top w:val="single" w:sz="4" w:space="0" w:color="auto"/>
              <w:bottom w:val="single" w:sz="4" w:space="0" w:color="auto"/>
            </w:tcBorders>
          </w:tcPr>
          <w:p w14:paraId="30D306CD"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2022-23</w:t>
            </w:r>
          </w:p>
          <w:p w14:paraId="2AB8B85F"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$’000</w:t>
            </w:r>
          </w:p>
        </w:tc>
        <w:tc>
          <w:tcPr>
            <w:tcW w:w="1029" w:type="dxa"/>
            <w:tcBorders>
              <w:top w:val="single" w:sz="4" w:space="0" w:color="auto"/>
              <w:bottom w:val="single" w:sz="4" w:space="0" w:color="auto"/>
            </w:tcBorders>
          </w:tcPr>
          <w:p w14:paraId="0B85DC72" w14:textId="77777777" w:rsidR="00C24C61" w:rsidRPr="00D87E53" w:rsidRDefault="00C24C61" w:rsidP="00C24C61">
            <w:pPr>
              <w:ind w:left="284" w:hanging="284"/>
              <w:jc w:val="right"/>
              <w:rPr>
                <w:rFonts w:ascii="Calibri" w:hAnsi="Calibri"/>
                <w:b/>
                <w:sz w:val="22"/>
                <w:lang w:eastAsia="en-US"/>
              </w:rPr>
            </w:pPr>
            <w:r w:rsidRPr="00D87E53">
              <w:rPr>
                <w:rFonts w:ascii="Calibri" w:hAnsi="Calibri"/>
                <w:b/>
                <w:sz w:val="22"/>
                <w:lang w:eastAsia="en-US"/>
              </w:rPr>
              <w:t>Total</w:t>
            </w:r>
          </w:p>
          <w:p w14:paraId="2966C347" w14:textId="77777777" w:rsidR="00C24C61" w:rsidRPr="00D87E53" w:rsidRDefault="00C24C61" w:rsidP="00C24C61">
            <w:pPr>
              <w:ind w:left="284" w:hanging="284"/>
              <w:jc w:val="right"/>
              <w:rPr>
                <w:rFonts w:ascii="Calibri" w:hAnsi="Calibri"/>
                <w:b/>
                <w:sz w:val="22"/>
                <w:lang w:eastAsia="en-US"/>
              </w:rPr>
            </w:pPr>
            <w:r w:rsidRPr="00D87E53">
              <w:rPr>
                <w:rFonts w:ascii="Calibri" w:hAnsi="Calibri"/>
                <w:b/>
                <w:sz w:val="22"/>
                <w:lang w:eastAsia="en-US"/>
              </w:rPr>
              <w:t>$’000</w:t>
            </w:r>
          </w:p>
        </w:tc>
      </w:tr>
      <w:tr w:rsidR="00C24C61" w:rsidRPr="00D87E53" w14:paraId="653340FF" w14:textId="77777777" w:rsidTr="00D31DE3">
        <w:trPr>
          <w:cantSplit/>
        </w:trPr>
        <w:tc>
          <w:tcPr>
            <w:tcW w:w="3652" w:type="dxa"/>
            <w:tcBorders>
              <w:top w:val="single" w:sz="4" w:space="0" w:color="auto"/>
              <w:bottom w:val="single" w:sz="4" w:space="0" w:color="auto"/>
            </w:tcBorders>
          </w:tcPr>
          <w:p w14:paraId="49F052E6" w14:textId="77777777" w:rsidR="00C24C61" w:rsidRPr="00D87E53" w:rsidRDefault="00C24C61" w:rsidP="00C24C61">
            <w:pPr>
              <w:ind w:left="284" w:hanging="284"/>
              <w:rPr>
                <w:rFonts w:ascii="Calibri" w:hAnsi="Calibri"/>
                <w:sz w:val="22"/>
                <w:lang w:eastAsia="en-US"/>
              </w:rPr>
            </w:pPr>
            <w:r w:rsidRPr="00D87E53">
              <w:rPr>
                <w:rFonts w:ascii="Calibri" w:hAnsi="Calibri"/>
                <w:sz w:val="22"/>
                <w:lang w:eastAsia="en-US"/>
              </w:rPr>
              <w:t>Capital</w:t>
            </w:r>
          </w:p>
        </w:tc>
        <w:tc>
          <w:tcPr>
            <w:tcW w:w="1179" w:type="dxa"/>
            <w:tcBorders>
              <w:top w:val="single" w:sz="4" w:space="0" w:color="auto"/>
              <w:bottom w:val="single" w:sz="4" w:space="0" w:color="auto"/>
            </w:tcBorders>
          </w:tcPr>
          <w:p w14:paraId="23A90AFD" w14:textId="77777777" w:rsidR="00C24C61" w:rsidRPr="00D87E53" w:rsidRDefault="00C24C61" w:rsidP="00C24C61">
            <w:pPr>
              <w:ind w:left="284" w:hanging="284"/>
              <w:jc w:val="right"/>
              <w:rPr>
                <w:rFonts w:ascii="Calibri" w:hAnsi="Calibri"/>
                <w:i/>
                <w:sz w:val="22"/>
                <w:lang w:eastAsia="en-US"/>
              </w:rPr>
            </w:pPr>
            <w:r w:rsidRPr="00D87E53">
              <w:rPr>
                <w:rFonts w:ascii="Calibri" w:hAnsi="Calibri"/>
                <w:sz w:val="22"/>
                <w:lang w:eastAsia="en-US"/>
              </w:rPr>
              <w:t>200</w:t>
            </w:r>
          </w:p>
        </w:tc>
        <w:tc>
          <w:tcPr>
            <w:tcW w:w="1041" w:type="dxa"/>
            <w:tcBorders>
              <w:top w:val="single" w:sz="4" w:space="0" w:color="auto"/>
              <w:bottom w:val="single" w:sz="4" w:space="0" w:color="auto"/>
            </w:tcBorders>
          </w:tcPr>
          <w:p w14:paraId="27173FB0"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200</w:t>
            </w:r>
          </w:p>
        </w:tc>
        <w:tc>
          <w:tcPr>
            <w:tcW w:w="1029" w:type="dxa"/>
            <w:tcBorders>
              <w:top w:val="single" w:sz="4" w:space="0" w:color="auto"/>
              <w:bottom w:val="single" w:sz="4" w:space="0" w:color="auto"/>
            </w:tcBorders>
          </w:tcPr>
          <w:p w14:paraId="41F30A1F"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w:t>
            </w:r>
          </w:p>
        </w:tc>
        <w:tc>
          <w:tcPr>
            <w:tcW w:w="1029" w:type="dxa"/>
            <w:tcBorders>
              <w:top w:val="single" w:sz="4" w:space="0" w:color="auto"/>
              <w:bottom w:val="single" w:sz="4" w:space="0" w:color="auto"/>
            </w:tcBorders>
          </w:tcPr>
          <w:p w14:paraId="23D8102B"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w:t>
            </w:r>
          </w:p>
        </w:tc>
        <w:tc>
          <w:tcPr>
            <w:tcW w:w="1029" w:type="dxa"/>
            <w:tcBorders>
              <w:top w:val="single" w:sz="4" w:space="0" w:color="auto"/>
              <w:bottom w:val="single" w:sz="4" w:space="0" w:color="auto"/>
            </w:tcBorders>
          </w:tcPr>
          <w:p w14:paraId="32F11159" w14:textId="77777777" w:rsidR="00C24C61" w:rsidRPr="00D87E53" w:rsidRDefault="00C24C61" w:rsidP="00C24C61">
            <w:pPr>
              <w:ind w:left="284" w:hanging="284"/>
              <w:jc w:val="right"/>
              <w:rPr>
                <w:rFonts w:ascii="Calibri" w:hAnsi="Calibri"/>
                <w:b/>
                <w:sz w:val="22"/>
                <w:lang w:eastAsia="en-US"/>
              </w:rPr>
            </w:pPr>
            <w:r w:rsidRPr="00D87E53">
              <w:rPr>
                <w:rFonts w:ascii="Calibri" w:hAnsi="Calibri"/>
                <w:b/>
                <w:sz w:val="22"/>
                <w:lang w:eastAsia="en-US"/>
              </w:rPr>
              <w:t>400</w:t>
            </w:r>
          </w:p>
        </w:tc>
      </w:tr>
      <w:tr w:rsidR="00C24C61" w:rsidRPr="00D87E53" w14:paraId="6A82424C" w14:textId="77777777" w:rsidTr="00D31DE3">
        <w:trPr>
          <w:cantSplit/>
        </w:trPr>
        <w:tc>
          <w:tcPr>
            <w:tcW w:w="3652" w:type="dxa"/>
            <w:tcBorders>
              <w:top w:val="single" w:sz="4" w:space="0" w:color="auto"/>
              <w:bottom w:val="single" w:sz="4" w:space="0" w:color="auto"/>
            </w:tcBorders>
          </w:tcPr>
          <w:p w14:paraId="7A516348" w14:textId="77777777" w:rsidR="00C24C61" w:rsidRPr="00D87E53" w:rsidRDefault="00C24C61" w:rsidP="00C24C61">
            <w:pPr>
              <w:ind w:left="284" w:hanging="284"/>
              <w:rPr>
                <w:rFonts w:ascii="Calibri" w:hAnsi="Calibri"/>
                <w:sz w:val="22"/>
                <w:lang w:eastAsia="en-US"/>
              </w:rPr>
            </w:pPr>
            <w:r w:rsidRPr="00D87E53">
              <w:rPr>
                <w:rFonts w:ascii="Calibri" w:hAnsi="Calibri"/>
                <w:sz w:val="22"/>
                <w:lang w:eastAsia="en-US"/>
              </w:rPr>
              <w:t>Depreciation</w:t>
            </w:r>
          </w:p>
        </w:tc>
        <w:tc>
          <w:tcPr>
            <w:tcW w:w="1179" w:type="dxa"/>
            <w:tcBorders>
              <w:top w:val="single" w:sz="4" w:space="0" w:color="auto"/>
              <w:bottom w:val="single" w:sz="4" w:space="0" w:color="auto"/>
            </w:tcBorders>
          </w:tcPr>
          <w:p w14:paraId="1F5AA989"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w:t>
            </w:r>
          </w:p>
        </w:tc>
        <w:tc>
          <w:tcPr>
            <w:tcW w:w="1041" w:type="dxa"/>
            <w:tcBorders>
              <w:top w:val="single" w:sz="4" w:space="0" w:color="auto"/>
              <w:bottom w:val="single" w:sz="4" w:space="0" w:color="auto"/>
            </w:tcBorders>
          </w:tcPr>
          <w:p w14:paraId="7426A14B"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w:t>
            </w:r>
          </w:p>
        </w:tc>
        <w:tc>
          <w:tcPr>
            <w:tcW w:w="1029" w:type="dxa"/>
            <w:tcBorders>
              <w:top w:val="single" w:sz="4" w:space="0" w:color="auto"/>
              <w:bottom w:val="single" w:sz="4" w:space="0" w:color="auto"/>
            </w:tcBorders>
          </w:tcPr>
          <w:p w14:paraId="0906A0C0"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22</w:t>
            </w:r>
          </w:p>
        </w:tc>
        <w:tc>
          <w:tcPr>
            <w:tcW w:w="1029" w:type="dxa"/>
            <w:tcBorders>
              <w:top w:val="single" w:sz="4" w:space="0" w:color="auto"/>
              <w:bottom w:val="single" w:sz="4" w:space="0" w:color="auto"/>
            </w:tcBorders>
          </w:tcPr>
          <w:p w14:paraId="5E51ABCE"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22</w:t>
            </w:r>
          </w:p>
        </w:tc>
        <w:tc>
          <w:tcPr>
            <w:tcW w:w="1029" w:type="dxa"/>
            <w:tcBorders>
              <w:top w:val="single" w:sz="4" w:space="0" w:color="auto"/>
              <w:bottom w:val="single" w:sz="4" w:space="0" w:color="auto"/>
            </w:tcBorders>
          </w:tcPr>
          <w:p w14:paraId="7E38F7AA" w14:textId="77777777" w:rsidR="00C24C61" w:rsidRPr="00D87E53" w:rsidRDefault="00C24C61" w:rsidP="00C24C61">
            <w:pPr>
              <w:ind w:left="284" w:hanging="284"/>
              <w:jc w:val="right"/>
              <w:rPr>
                <w:rFonts w:ascii="Calibri" w:hAnsi="Calibri"/>
                <w:b/>
                <w:sz w:val="22"/>
                <w:lang w:eastAsia="en-US"/>
              </w:rPr>
            </w:pPr>
            <w:r w:rsidRPr="00D87E53">
              <w:rPr>
                <w:rFonts w:ascii="Calibri" w:hAnsi="Calibri"/>
                <w:b/>
                <w:sz w:val="22"/>
                <w:lang w:eastAsia="en-US"/>
              </w:rPr>
              <w:t>44</w:t>
            </w:r>
          </w:p>
        </w:tc>
      </w:tr>
    </w:tbl>
    <w:p w14:paraId="22363C19" w14:textId="77777777" w:rsidR="00C24C61" w:rsidRPr="00C24C61" w:rsidRDefault="00C24C61" w:rsidP="00D31DE3">
      <w:pPr>
        <w:pStyle w:val="snapInitbody"/>
      </w:pPr>
      <w:r w:rsidRPr="00C24C61">
        <w:t>The Government will plan and design a new depot in the growing Molonglo Valley and upgrade depot facilities at Nicholls to support the delivery of municipal services.</w:t>
      </w:r>
    </w:p>
    <w:p w14:paraId="15AC406F" w14:textId="27C228B8" w:rsidR="00C24C61" w:rsidRPr="00202E81" w:rsidRDefault="00C24C61" w:rsidP="00202E81">
      <w:pPr>
        <w:pStyle w:val="snapInittitles"/>
      </w:pPr>
      <w:r w:rsidRPr="00202E81">
        <w:t xml:space="preserve">Planning better roads for our growing city </w:t>
      </w:r>
    </w:p>
    <w:tbl>
      <w:tblPr>
        <w:tblW w:w="5000" w:type="pct"/>
        <w:tblLayout w:type="fixed"/>
        <w:tblLook w:val="04A0" w:firstRow="1" w:lastRow="0" w:firstColumn="1" w:lastColumn="0" w:noHBand="0" w:noVBand="1"/>
      </w:tblPr>
      <w:tblGrid>
        <w:gridCol w:w="3929"/>
        <w:gridCol w:w="1268"/>
        <w:gridCol w:w="1120"/>
        <w:gridCol w:w="1107"/>
        <w:gridCol w:w="1107"/>
        <w:gridCol w:w="1107"/>
      </w:tblGrid>
      <w:tr w:rsidR="00C24C61" w:rsidRPr="00D87E53" w14:paraId="1C38FE19" w14:textId="77777777" w:rsidTr="00D31DE3">
        <w:trPr>
          <w:cantSplit/>
        </w:trPr>
        <w:tc>
          <w:tcPr>
            <w:tcW w:w="3652" w:type="dxa"/>
            <w:tcBorders>
              <w:top w:val="single" w:sz="4" w:space="0" w:color="auto"/>
              <w:left w:val="nil"/>
              <w:bottom w:val="single" w:sz="4" w:space="0" w:color="auto"/>
              <w:right w:val="nil"/>
            </w:tcBorders>
            <w:hideMark/>
          </w:tcPr>
          <w:p w14:paraId="0C30A264" w14:textId="77777777" w:rsidR="00C24C61" w:rsidRPr="00D87E53" w:rsidRDefault="00C24C61" w:rsidP="00C24C61">
            <w:pPr>
              <w:jc w:val="right"/>
              <w:rPr>
                <w:rFonts w:ascii="Calibri" w:hAnsi="Calibri" w:cs="Calibri"/>
                <w:color w:val="FFFFFF"/>
                <w:sz w:val="22"/>
                <w:lang w:eastAsia="en-US"/>
              </w:rPr>
            </w:pPr>
            <w:r w:rsidRPr="00D87E53">
              <w:rPr>
                <w:rFonts w:ascii="Calibri" w:hAnsi="Calibri" w:cs="Calibri"/>
                <w:color w:val="FFFFFF"/>
                <w:sz w:val="22"/>
                <w:lang w:eastAsia="en-US"/>
              </w:rPr>
              <w:t>Empty Cell</w:t>
            </w:r>
          </w:p>
        </w:tc>
        <w:tc>
          <w:tcPr>
            <w:tcW w:w="1179" w:type="dxa"/>
            <w:tcBorders>
              <w:top w:val="single" w:sz="4" w:space="0" w:color="auto"/>
              <w:left w:val="nil"/>
              <w:bottom w:val="single" w:sz="4" w:space="0" w:color="auto"/>
              <w:right w:val="nil"/>
            </w:tcBorders>
            <w:hideMark/>
          </w:tcPr>
          <w:p w14:paraId="40D2956B" w14:textId="77777777" w:rsidR="00C24C61" w:rsidRPr="00D87E53" w:rsidRDefault="00C24C61" w:rsidP="00C24C61">
            <w:pPr>
              <w:spacing w:line="256" w:lineRule="auto"/>
              <w:ind w:left="284" w:hanging="284"/>
              <w:jc w:val="right"/>
              <w:rPr>
                <w:rFonts w:ascii="Calibri" w:hAnsi="Calibri"/>
                <w:sz w:val="22"/>
                <w:lang w:eastAsia="en-US"/>
              </w:rPr>
            </w:pPr>
            <w:r w:rsidRPr="00D87E53">
              <w:rPr>
                <w:rFonts w:ascii="Calibri" w:hAnsi="Calibri"/>
                <w:sz w:val="22"/>
                <w:lang w:eastAsia="en-US"/>
              </w:rPr>
              <w:t>2019-</w:t>
            </w:r>
            <w:r w:rsidRPr="00D87E53">
              <w:rPr>
                <w:rFonts w:ascii="Calibri" w:hAnsi="Calibri"/>
                <w:sz w:val="22"/>
                <w:lang w:eastAsia="en-US"/>
              </w:rPr>
              <w:softHyphen/>
              <w:t>20</w:t>
            </w:r>
          </w:p>
          <w:p w14:paraId="69BB0176" w14:textId="77777777" w:rsidR="00C24C61" w:rsidRPr="00D87E53" w:rsidRDefault="00C24C61" w:rsidP="00C24C61">
            <w:pPr>
              <w:spacing w:line="256" w:lineRule="auto"/>
              <w:ind w:left="284" w:hanging="284"/>
              <w:jc w:val="right"/>
              <w:rPr>
                <w:rFonts w:ascii="Calibri" w:hAnsi="Calibri"/>
                <w:sz w:val="22"/>
                <w:lang w:eastAsia="en-US"/>
              </w:rPr>
            </w:pPr>
            <w:r w:rsidRPr="00D87E53">
              <w:rPr>
                <w:rFonts w:ascii="Calibri" w:hAnsi="Calibri"/>
                <w:sz w:val="22"/>
                <w:lang w:eastAsia="en-US"/>
              </w:rPr>
              <w:t>$’000</w:t>
            </w:r>
          </w:p>
        </w:tc>
        <w:tc>
          <w:tcPr>
            <w:tcW w:w="1041" w:type="dxa"/>
            <w:tcBorders>
              <w:top w:val="single" w:sz="4" w:space="0" w:color="auto"/>
              <w:left w:val="nil"/>
              <w:bottom w:val="single" w:sz="4" w:space="0" w:color="auto"/>
              <w:right w:val="nil"/>
            </w:tcBorders>
            <w:hideMark/>
          </w:tcPr>
          <w:p w14:paraId="4633F2AB" w14:textId="77777777" w:rsidR="00C24C61" w:rsidRPr="00D87E53" w:rsidRDefault="00C24C61" w:rsidP="00C24C61">
            <w:pPr>
              <w:spacing w:line="256" w:lineRule="auto"/>
              <w:ind w:left="284" w:hanging="284"/>
              <w:jc w:val="right"/>
              <w:rPr>
                <w:rFonts w:ascii="Calibri" w:hAnsi="Calibri"/>
                <w:sz w:val="22"/>
                <w:lang w:eastAsia="en-US"/>
              </w:rPr>
            </w:pPr>
            <w:r w:rsidRPr="00D87E53">
              <w:rPr>
                <w:rFonts w:ascii="Calibri" w:hAnsi="Calibri"/>
                <w:sz w:val="22"/>
                <w:lang w:eastAsia="en-US"/>
              </w:rPr>
              <w:t>2020-</w:t>
            </w:r>
            <w:r w:rsidRPr="00D87E53">
              <w:rPr>
                <w:rFonts w:ascii="Calibri" w:hAnsi="Calibri"/>
                <w:sz w:val="22"/>
                <w:lang w:eastAsia="en-US"/>
              </w:rPr>
              <w:softHyphen/>
              <w:t>21</w:t>
            </w:r>
          </w:p>
          <w:p w14:paraId="51F16C0D" w14:textId="77777777" w:rsidR="00C24C61" w:rsidRPr="00D87E53" w:rsidRDefault="00C24C61" w:rsidP="00C24C61">
            <w:pPr>
              <w:spacing w:line="256" w:lineRule="auto"/>
              <w:ind w:left="284" w:hanging="284"/>
              <w:jc w:val="right"/>
              <w:rPr>
                <w:rFonts w:ascii="Calibri" w:hAnsi="Calibri"/>
                <w:sz w:val="22"/>
                <w:lang w:eastAsia="en-US"/>
              </w:rPr>
            </w:pPr>
            <w:r w:rsidRPr="00D87E53">
              <w:rPr>
                <w:rFonts w:ascii="Calibri" w:hAnsi="Calibri"/>
                <w:sz w:val="22"/>
                <w:lang w:eastAsia="en-US"/>
              </w:rPr>
              <w:t>$’000</w:t>
            </w:r>
          </w:p>
        </w:tc>
        <w:tc>
          <w:tcPr>
            <w:tcW w:w="1029" w:type="dxa"/>
            <w:tcBorders>
              <w:top w:val="single" w:sz="4" w:space="0" w:color="auto"/>
              <w:left w:val="nil"/>
              <w:bottom w:val="single" w:sz="4" w:space="0" w:color="auto"/>
              <w:right w:val="nil"/>
            </w:tcBorders>
            <w:hideMark/>
          </w:tcPr>
          <w:p w14:paraId="35CB1813" w14:textId="77777777" w:rsidR="00C24C61" w:rsidRPr="00D87E53" w:rsidRDefault="00C24C61" w:rsidP="00C24C61">
            <w:pPr>
              <w:spacing w:line="256" w:lineRule="auto"/>
              <w:ind w:left="284" w:hanging="284"/>
              <w:jc w:val="right"/>
              <w:rPr>
                <w:rFonts w:ascii="Calibri" w:hAnsi="Calibri"/>
                <w:sz w:val="22"/>
                <w:lang w:eastAsia="en-US"/>
              </w:rPr>
            </w:pPr>
            <w:r w:rsidRPr="00D87E53">
              <w:rPr>
                <w:rFonts w:ascii="Calibri" w:hAnsi="Calibri"/>
                <w:sz w:val="22"/>
                <w:lang w:eastAsia="en-US"/>
              </w:rPr>
              <w:t>2021</w:t>
            </w:r>
            <w:r w:rsidRPr="00D87E53">
              <w:rPr>
                <w:rFonts w:ascii="Calibri" w:hAnsi="Calibri"/>
                <w:sz w:val="22"/>
                <w:lang w:eastAsia="en-US"/>
              </w:rPr>
              <w:softHyphen/>
              <w:t>-22</w:t>
            </w:r>
          </w:p>
          <w:p w14:paraId="4B675337" w14:textId="77777777" w:rsidR="00C24C61" w:rsidRPr="00D87E53" w:rsidRDefault="00C24C61" w:rsidP="00C24C61">
            <w:pPr>
              <w:spacing w:line="256" w:lineRule="auto"/>
              <w:ind w:left="284" w:hanging="284"/>
              <w:jc w:val="right"/>
              <w:rPr>
                <w:rFonts w:ascii="Calibri" w:hAnsi="Calibri"/>
                <w:sz w:val="22"/>
                <w:lang w:eastAsia="en-US"/>
              </w:rPr>
            </w:pPr>
            <w:r w:rsidRPr="00D87E53">
              <w:rPr>
                <w:rFonts w:ascii="Calibri" w:hAnsi="Calibri"/>
                <w:sz w:val="22"/>
                <w:lang w:eastAsia="en-US"/>
              </w:rPr>
              <w:t>$’000</w:t>
            </w:r>
          </w:p>
        </w:tc>
        <w:tc>
          <w:tcPr>
            <w:tcW w:w="1029" w:type="dxa"/>
            <w:tcBorders>
              <w:top w:val="single" w:sz="4" w:space="0" w:color="auto"/>
              <w:left w:val="nil"/>
              <w:bottom w:val="single" w:sz="4" w:space="0" w:color="auto"/>
              <w:right w:val="nil"/>
            </w:tcBorders>
            <w:hideMark/>
          </w:tcPr>
          <w:p w14:paraId="55F0354D" w14:textId="77777777" w:rsidR="00C24C61" w:rsidRPr="00D87E53" w:rsidRDefault="00C24C61" w:rsidP="00C24C61">
            <w:pPr>
              <w:spacing w:line="256" w:lineRule="auto"/>
              <w:ind w:left="284" w:hanging="284"/>
              <w:jc w:val="right"/>
              <w:rPr>
                <w:rFonts w:ascii="Calibri" w:hAnsi="Calibri"/>
                <w:sz w:val="22"/>
                <w:lang w:eastAsia="en-US"/>
              </w:rPr>
            </w:pPr>
            <w:r w:rsidRPr="00D87E53">
              <w:rPr>
                <w:rFonts w:ascii="Calibri" w:hAnsi="Calibri"/>
                <w:sz w:val="22"/>
                <w:lang w:eastAsia="en-US"/>
              </w:rPr>
              <w:t>2022-23</w:t>
            </w:r>
          </w:p>
          <w:p w14:paraId="7B39C062" w14:textId="77777777" w:rsidR="00C24C61" w:rsidRPr="00D87E53" w:rsidRDefault="00C24C61" w:rsidP="00C24C61">
            <w:pPr>
              <w:spacing w:line="256" w:lineRule="auto"/>
              <w:ind w:left="284" w:hanging="284"/>
              <w:jc w:val="right"/>
              <w:rPr>
                <w:rFonts w:ascii="Calibri" w:hAnsi="Calibri"/>
                <w:sz w:val="22"/>
                <w:lang w:eastAsia="en-US"/>
              </w:rPr>
            </w:pPr>
            <w:r w:rsidRPr="00D87E53">
              <w:rPr>
                <w:rFonts w:ascii="Calibri" w:hAnsi="Calibri"/>
                <w:sz w:val="22"/>
                <w:lang w:eastAsia="en-US"/>
              </w:rPr>
              <w:t>$’000</w:t>
            </w:r>
          </w:p>
        </w:tc>
        <w:tc>
          <w:tcPr>
            <w:tcW w:w="1029" w:type="dxa"/>
            <w:tcBorders>
              <w:top w:val="single" w:sz="4" w:space="0" w:color="auto"/>
              <w:left w:val="nil"/>
              <w:bottom w:val="single" w:sz="4" w:space="0" w:color="auto"/>
              <w:right w:val="nil"/>
            </w:tcBorders>
            <w:hideMark/>
          </w:tcPr>
          <w:p w14:paraId="719661A4" w14:textId="77777777" w:rsidR="00C24C61" w:rsidRPr="00D87E53" w:rsidRDefault="00C24C61" w:rsidP="00C24C61">
            <w:pPr>
              <w:spacing w:line="256" w:lineRule="auto"/>
              <w:ind w:left="284" w:hanging="284"/>
              <w:jc w:val="right"/>
              <w:rPr>
                <w:rFonts w:ascii="Calibri" w:hAnsi="Calibri"/>
                <w:b/>
                <w:sz w:val="22"/>
                <w:lang w:eastAsia="en-US"/>
              </w:rPr>
            </w:pPr>
            <w:r w:rsidRPr="00D87E53">
              <w:rPr>
                <w:rFonts w:ascii="Calibri" w:hAnsi="Calibri"/>
                <w:b/>
                <w:sz w:val="22"/>
                <w:lang w:eastAsia="en-US"/>
              </w:rPr>
              <w:t>Total</w:t>
            </w:r>
          </w:p>
          <w:p w14:paraId="312CBC1A" w14:textId="77777777" w:rsidR="00C24C61" w:rsidRPr="00D87E53" w:rsidRDefault="00C24C61" w:rsidP="00C24C61">
            <w:pPr>
              <w:spacing w:line="256" w:lineRule="auto"/>
              <w:ind w:left="284" w:hanging="284"/>
              <w:jc w:val="right"/>
              <w:rPr>
                <w:rFonts w:ascii="Calibri" w:hAnsi="Calibri"/>
                <w:b/>
                <w:sz w:val="22"/>
                <w:lang w:eastAsia="en-US"/>
              </w:rPr>
            </w:pPr>
            <w:r w:rsidRPr="00D87E53">
              <w:rPr>
                <w:rFonts w:ascii="Calibri" w:hAnsi="Calibri"/>
                <w:b/>
                <w:sz w:val="22"/>
                <w:lang w:eastAsia="en-US"/>
              </w:rPr>
              <w:t>$’000</w:t>
            </w:r>
          </w:p>
        </w:tc>
      </w:tr>
      <w:tr w:rsidR="00C24C61" w:rsidRPr="00D87E53" w14:paraId="7FD87EAA" w14:textId="77777777" w:rsidTr="00D31DE3">
        <w:trPr>
          <w:cantSplit/>
        </w:trPr>
        <w:tc>
          <w:tcPr>
            <w:tcW w:w="3652" w:type="dxa"/>
            <w:tcBorders>
              <w:top w:val="single" w:sz="4" w:space="0" w:color="auto"/>
              <w:left w:val="nil"/>
              <w:bottom w:val="single" w:sz="4" w:space="0" w:color="auto"/>
              <w:right w:val="nil"/>
            </w:tcBorders>
            <w:hideMark/>
          </w:tcPr>
          <w:p w14:paraId="5178D7F4" w14:textId="77777777" w:rsidR="00C24C61" w:rsidRPr="00D87E53" w:rsidRDefault="00C24C61" w:rsidP="00C24C61">
            <w:pPr>
              <w:ind w:left="284" w:hanging="284"/>
              <w:rPr>
                <w:rFonts w:ascii="Calibri" w:hAnsi="Calibri"/>
                <w:sz w:val="22"/>
                <w:lang w:eastAsia="en-US"/>
              </w:rPr>
            </w:pPr>
            <w:r w:rsidRPr="00D87E53">
              <w:rPr>
                <w:rFonts w:ascii="Calibri" w:hAnsi="Calibri"/>
                <w:sz w:val="22"/>
                <w:lang w:eastAsia="en-US"/>
              </w:rPr>
              <w:t>Capital</w:t>
            </w:r>
          </w:p>
        </w:tc>
        <w:tc>
          <w:tcPr>
            <w:tcW w:w="1179" w:type="dxa"/>
            <w:tcBorders>
              <w:top w:val="single" w:sz="4" w:space="0" w:color="auto"/>
              <w:left w:val="nil"/>
              <w:bottom w:val="single" w:sz="4" w:space="0" w:color="auto"/>
              <w:right w:val="nil"/>
            </w:tcBorders>
            <w:hideMark/>
          </w:tcPr>
          <w:p w14:paraId="24018170" w14:textId="77777777" w:rsidR="00C24C61" w:rsidRPr="00D87E53" w:rsidRDefault="00C24C61" w:rsidP="00C24C61">
            <w:pPr>
              <w:spacing w:line="252" w:lineRule="auto"/>
              <w:ind w:left="284" w:hanging="284"/>
              <w:jc w:val="right"/>
              <w:rPr>
                <w:rFonts w:ascii="Calibri" w:hAnsi="Calibri"/>
                <w:sz w:val="22"/>
                <w:lang w:eastAsia="en-US"/>
              </w:rPr>
            </w:pPr>
            <w:r w:rsidRPr="00D87E53">
              <w:rPr>
                <w:rFonts w:ascii="Calibri" w:hAnsi="Calibri"/>
                <w:sz w:val="22"/>
                <w:lang w:eastAsia="en-US"/>
              </w:rPr>
              <w:t>1,900</w:t>
            </w:r>
          </w:p>
        </w:tc>
        <w:tc>
          <w:tcPr>
            <w:tcW w:w="1041" w:type="dxa"/>
            <w:tcBorders>
              <w:top w:val="single" w:sz="4" w:space="0" w:color="auto"/>
              <w:left w:val="nil"/>
              <w:bottom w:val="single" w:sz="4" w:space="0" w:color="auto"/>
              <w:right w:val="nil"/>
            </w:tcBorders>
            <w:hideMark/>
          </w:tcPr>
          <w:p w14:paraId="68CF5856" w14:textId="77777777" w:rsidR="00C24C61" w:rsidRPr="00D87E53" w:rsidRDefault="00C24C61" w:rsidP="00C24C61">
            <w:pPr>
              <w:spacing w:line="252" w:lineRule="auto"/>
              <w:ind w:left="284" w:hanging="284"/>
              <w:jc w:val="right"/>
              <w:rPr>
                <w:rFonts w:ascii="Calibri" w:hAnsi="Calibri"/>
                <w:sz w:val="22"/>
                <w:lang w:eastAsia="en-US"/>
              </w:rPr>
            </w:pPr>
            <w:r w:rsidRPr="00D87E53">
              <w:rPr>
                <w:rFonts w:ascii="Calibri" w:hAnsi="Calibri"/>
                <w:sz w:val="22"/>
                <w:lang w:eastAsia="en-US"/>
              </w:rPr>
              <w:t>2,200</w:t>
            </w:r>
          </w:p>
        </w:tc>
        <w:tc>
          <w:tcPr>
            <w:tcW w:w="1029" w:type="dxa"/>
            <w:tcBorders>
              <w:top w:val="single" w:sz="4" w:space="0" w:color="auto"/>
              <w:left w:val="nil"/>
              <w:bottom w:val="single" w:sz="4" w:space="0" w:color="auto"/>
              <w:right w:val="nil"/>
            </w:tcBorders>
            <w:hideMark/>
          </w:tcPr>
          <w:p w14:paraId="757CD359" w14:textId="77777777" w:rsidR="00C24C61" w:rsidRPr="00D87E53" w:rsidRDefault="00C24C61" w:rsidP="00C24C61">
            <w:pPr>
              <w:spacing w:line="252" w:lineRule="auto"/>
              <w:ind w:left="284" w:hanging="284"/>
              <w:jc w:val="right"/>
              <w:rPr>
                <w:rFonts w:ascii="Calibri" w:hAnsi="Calibri"/>
                <w:sz w:val="22"/>
                <w:lang w:eastAsia="en-US"/>
              </w:rPr>
            </w:pPr>
            <w:r w:rsidRPr="00D87E53">
              <w:rPr>
                <w:rFonts w:ascii="Calibri" w:hAnsi="Calibri"/>
                <w:sz w:val="22"/>
                <w:lang w:eastAsia="en-US"/>
              </w:rPr>
              <w:t>0</w:t>
            </w:r>
          </w:p>
        </w:tc>
        <w:tc>
          <w:tcPr>
            <w:tcW w:w="1029" w:type="dxa"/>
            <w:tcBorders>
              <w:top w:val="single" w:sz="4" w:space="0" w:color="auto"/>
              <w:left w:val="nil"/>
              <w:bottom w:val="single" w:sz="4" w:space="0" w:color="auto"/>
              <w:right w:val="nil"/>
            </w:tcBorders>
            <w:hideMark/>
          </w:tcPr>
          <w:p w14:paraId="50C5040D" w14:textId="77777777" w:rsidR="00C24C61" w:rsidRPr="00D87E53" w:rsidRDefault="00C24C61" w:rsidP="00C24C61">
            <w:pPr>
              <w:spacing w:line="252" w:lineRule="auto"/>
              <w:ind w:left="284" w:hanging="284"/>
              <w:jc w:val="right"/>
              <w:rPr>
                <w:rFonts w:ascii="Calibri" w:hAnsi="Calibri"/>
                <w:sz w:val="22"/>
                <w:lang w:eastAsia="en-US"/>
              </w:rPr>
            </w:pPr>
            <w:r w:rsidRPr="00D87E53">
              <w:rPr>
                <w:rFonts w:ascii="Calibri" w:hAnsi="Calibri"/>
                <w:sz w:val="22"/>
                <w:lang w:eastAsia="en-US"/>
              </w:rPr>
              <w:t>0</w:t>
            </w:r>
          </w:p>
        </w:tc>
        <w:tc>
          <w:tcPr>
            <w:tcW w:w="1029" w:type="dxa"/>
            <w:tcBorders>
              <w:top w:val="single" w:sz="4" w:space="0" w:color="auto"/>
              <w:left w:val="nil"/>
              <w:bottom w:val="single" w:sz="4" w:space="0" w:color="auto"/>
              <w:right w:val="nil"/>
            </w:tcBorders>
            <w:hideMark/>
          </w:tcPr>
          <w:p w14:paraId="31395757" w14:textId="77777777" w:rsidR="00C24C61" w:rsidRPr="00D87E53" w:rsidRDefault="00C24C61" w:rsidP="00C24C61">
            <w:pPr>
              <w:spacing w:line="252" w:lineRule="auto"/>
              <w:ind w:left="284" w:hanging="284"/>
              <w:jc w:val="right"/>
              <w:rPr>
                <w:rFonts w:ascii="Calibri" w:hAnsi="Calibri"/>
                <w:b/>
                <w:sz w:val="22"/>
                <w:lang w:eastAsia="en-US"/>
              </w:rPr>
            </w:pPr>
            <w:r w:rsidRPr="00D87E53">
              <w:rPr>
                <w:rFonts w:ascii="Calibri" w:hAnsi="Calibri"/>
                <w:b/>
                <w:sz w:val="22"/>
                <w:lang w:eastAsia="en-US"/>
              </w:rPr>
              <w:t>4,100</w:t>
            </w:r>
          </w:p>
        </w:tc>
      </w:tr>
      <w:tr w:rsidR="00C24C61" w:rsidRPr="00D87E53" w14:paraId="4A4D0482" w14:textId="77777777" w:rsidTr="00D31DE3">
        <w:trPr>
          <w:cantSplit/>
        </w:trPr>
        <w:tc>
          <w:tcPr>
            <w:tcW w:w="3652" w:type="dxa"/>
            <w:tcBorders>
              <w:top w:val="single" w:sz="4" w:space="0" w:color="auto"/>
              <w:left w:val="nil"/>
              <w:bottom w:val="single" w:sz="4" w:space="0" w:color="auto"/>
              <w:right w:val="nil"/>
            </w:tcBorders>
          </w:tcPr>
          <w:p w14:paraId="2F804CB3" w14:textId="77777777" w:rsidR="00C24C61" w:rsidRPr="00D87E53" w:rsidRDefault="00C24C61" w:rsidP="00C24C61">
            <w:pPr>
              <w:spacing w:line="252" w:lineRule="auto"/>
              <w:ind w:left="284" w:hanging="284"/>
              <w:rPr>
                <w:rFonts w:ascii="Calibri" w:hAnsi="Calibri"/>
                <w:sz w:val="22"/>
                <w:lang w:eastAsia="en-US"/>
              </w:rPr>
            </w:pPr>
            <w:r w:rsidRPr="00D87E53">
              <w:rPr>
                <w:rFonts w:ascii="Calibri" w:hAnsi="Calibri"/>
                <w:sz w:val="22"/>
                <w:lang w:eastAsia="en-US"/>
              </w:rPr>
              <w:t>Capital – Provision</w:t>
            </w:r>
          </w:p>
        </w:tc>
        <w:tc>
          <w:tcPr>
            <w:tcW w:w="1179" w:type="dxa"/>
            <w:tcBorders>
              <w:top w:val="single" w:sz="4" w:space="0" w:color="auto"/>
              <w:left w:val="nil"/>
              <w:bottom w:val="single" w:sz="4" w:space="0" w:color="auto"/>
              <w:right w:val="nil"/>
            </w:tcBorders>
          </w:tcPr>
          <w:p w14:paraId="680B3C20" w14:textId="77777777" w:rsidR="00C24C61" w:rsidRPr="00D87E53" w:rsidRDefault="00C24C61" w:rsidP="00C24C61">
            <w:pPr>
              <w:spacing w:line="252" w:lineRule="auto"/>
              <w:ind w:left="284" w:hanging="284"/>
              <w:jc w:val="right"/>
              <w:rPr>
                <w:rFonts w:ascii="Calibri" w:hAnsi="Calibri"/>
                <w:sz w:val="22"/>
                <w:lang w:eastAsia="en-US"/>
              </w:rPr>
            </w:pPr>
            <w:r w:rsidRPr="00D87E53">
              <w:rPr>
                <w:rFonts w:ascii="Calibri" w:hAnsi="Calibri"/>
                <w:sz w:val="22"/>
                <w:lang w:eastAsia="en-US"/>
              </w:rPr>
              <w:t>0</w:t>
            </w:r>
          </w:p>
        </w:tc>
        <w:tc>
          <w:tcPr>
            <w:tcW w:w="1041" w:type="dxa"/>
            <w:tcBorders>
              <w:top w:val="single" w:sz="4" w:space="0" w:color="auto"/>
              <w:left w:val="nil"/>
              <w:bottom w:val="single" w:sz="4" w:space="0" w:color="auto"/>
              <w:right w:val="nil"/>
            </w:tcBorders>
          </w:tcPr>
          <w:p w14:paraId="120E944F" w14:textId="77777777" w:rsidR="00C24C61" w:rsidRPr="00D87E53" w:rsidRDefault="00C24C61" w:rsidP="00C24C61">
            <w:pPr>
              <w:spacing w:line="252" w:lineRule="auto"/>
              <w:ind w:left="284" w:hanging="284"/>
              <w:jc w:val="right"/>
              <w:rPr>
                <w:rFonts w:ascii="Calibri" w:hAnsi="Calibri"/>
                <w:sz w:val="22"/>
                <w:lang w:eastAsia="en-US"/>
              </w:rPr>
            </w:pPr>
            <w:proofErr w:type="spellStart"/>
            <w:r w:rsidRPr="00D87E53">
              <w:rPr>
                <w:rFonts w:ascii="Calibri" w:hAnsi="Calibri"/>
                <w:sz w:val="22"/>
                <w:lang w:eastAsia="en-US"/>
              </w:rPr>
              <w:t>NFP</w:t>
            </w:r>
            <w:proofErr w:type="spellEnd"/>
          </w:p>
        </w:tc>
        <w:tc>
          <w:tcPr>
            <w:tcW w:w="1029" w:type="dxa"/>
            <w:tcBorders>
              <w:top w:val="single" w:sz="4" w:space="0" w:color="auto"/>
              <w:left w:val="nil"/>
              <w:bottom w:val="single" w:sz="4" w:space="0" w:color="auto"/>
              <w:right w:val="nil"/>
            </w:tcBorders>
          </w:tcPr>
          <w:p w14:paraId="545C57C4" w14:textId="77777777" w:rsidR="00C24C61" w:rsidRPr="00D87E53" w:rsidRDefault="00C24C61" w:rsidP="00C24C61">
            <w:pPr>
              <w:spacing w:line="252" w:lineRule="auto"/>
              <w:ind w:left="284" w:hanging="284"/>
              <w:jc w:val="right"/>
              <w:rPr>
                <w:rFonts w:ascii="Calibri" w:hAnsi="Calibri"/>
                <w:sz w:val="22"/>
                <w:lang w:eastAsia="en-US"/>
              </w:rPr>
            </w:pPr>
            <w:proofErr w:type="spellStart"/>
            <w:r w:rsidRPr="00D87E53">
              <w:rPr>
                <w:rFonts w:ascii="Calibri" w:hAnsi="Calibri"/>
                <w:sz w:val="22"/>
                <w:lang w:eastAsia="en-US"/>
              </w:rPr>
              <w:t>NFP</w:t>
            </w:r>
            <w:proofErr w:type="spellEnd"/>
          </w:p>
        </w:tc>
        <w:tc>
          <w:tcPr>
            <w:tcW w:w="1029" w:type="dxa"/>
            <w:tcBorders>
              <w:top w:val="single" w:sz="4" w:space="0" w:color="auto"/>
              <w:left w:val="nil"/>
              <w:bottom w:val="single" w:sz="4" w:space="0" w:color="auto"/>
              <w:right w:val="nil"/>
            </w:tcBorders>
          </w:tcPr>
          <w:p w14:paraId="759FD576" w14:textId="77777777" w:rsidR="00C24C61" w:rsidRPr="00D87E53" w:rsidRDefault="00C24C61" w:rsidP="00C24C61">
            <w:pPr>
              <w:spacing w:line="252" w:lineRule="auto"/>
              <w:ind w:left="284" w:hanging="284"/>
              <w:jc w:val="right"/>
              <w:rPr>
                <w:rFonts w:ascii="Calibri" w:hAnsi="Calibri"/>
                <w:sz w:val="22"/>
                <w:lang w:eastAsia="en-US"/>
              </w:rPr>
            </w:pPr>
            <w:r w:rsidRPr="00D87E53">
              <w:rPr>
                <w:rFonts w:ascii="Calibri" w:hAnsi="Calibri"/>
                <w:sz w:val="22"/>
                <w:lang w:eastAsia="en-US"/>
              </w:rPr>
              <w:t>0</w:t>
            </w:r>
          </w:p>
        </w:tc>
        <w:tc>
          <w:tcPr>
            <w:tcW w:w="1029" w:type="dxa"/>
            <w:tcBorders>
              <w:top w:val="single" w:sz="4" w:space="0" w:color="auto"/>
              <w:left w:val="nil"/>
              <w:bottom w:val="single" w:sz="4" w:space="0" w:color="auto"/>
              <w:right w:val="nil"/>
            </w:tcBorders>
          </w:tcPr>
          <w:p w14:paraId="0FCD1937" w14:textId="77777777" w:rsidR="00C24C61" w:rsidRPr="00D87E53" w:rsidRDefault="00C24C61" w:rsidP="00C24C61">
            <w:pPr>
              <w:spacing w:line="252" w:lineRule="auto"/>
              <w:ind w:left="284" w:hanging="284"/>
              <w:jc w:val="right"/>
              <w:rPr>
                <w:rFonts w:ascii="Calibri" w:hAnsi="Calibri"/>
                <w:b/>
                <w:sz w:val="22"/>
                <w:lang w:eastAsia="en-US"/>
              </w:rPr>
            </w:pPr>
            <w:proofErr w:type="spellStart"/>
            <w:r w:rsidRPr="00D87E53">
              <w:rPr>
                <w:rFonts w:ascii="Calibri" w:hAnsi="Calibri"/>
                <w:b/>
                <w:sz w:val="22"/>
                <w:lang w:eastAsia="en-US"/>
              </w:rPr>
              <w:t>NFP</w:t>
            </w:r>
            <w:proofErr w:type="spellEnd"/>
          </w:p>
        </w:tc>
      </w:tr>
      <w:tr w:rsidR="00C24C61" w:rsidRPr="00D87E53" w14:paraId="04074A74" w14:textId="77777777" w:rsidTr="00D31DE3">
        <w:trPr>
          <w:cantSplit/>
        </w:trPr>
        <w:tc>
          <w:tcPr>
            <w:tcW w:w="3652" w:type="dxa"/>
            <w:tcBorders>
              <w:top w:val="single" w:sz="4" w:space="0" w:color="auto"/>
              <w:left w:val="nil"/>
              <w:bottom w:val="single" w:sz="4" w:space="0" w:color="auto"/>
              <w:right w:val="nil"/>
            </w:tcBorders>
          </w:tcPr>
          <w:p w14:paraId="07B2CB8B" w14:textId="77777777" w:rsidR="00C24C61" w:rsidRPr="00D87E53" w:rsidRDefault="00C24C61" w:rsidP="00C24C61">
            <w:pPr>
              <w:spacing w:line="252" w:lineRule="auto"/>
              <w:ind w:left="284" w:hanging="284"/>
              <w:rPr>
                <w:rFonts w:ascii="Calibri" w:hAnsi="Calibri"/>
                <w:b/>
                <w:sz w:val="22"/>
                <w:lang w:eastAsia="en-US"/>
              </w:rPr>
            </w:pPr>
            <w:r w:rsidRPr="00D87E53">
              <w:rPr>
                <w:rFonts w:ascii="Calibri" w:hAnsi="Calibri"/>
                <w:b/>
                <w:sz w:val="22"/>
                <w:lang w:eastAsia="en-US"/>
              </w:rPr>
              <w:t>Total capital</w:t>
            </w:r>
          </w:p>
        </w:tc>
        <w:tc>
          <w:tcPr>
            <w:tcW w:w="1179" w:type="dxa"/>
            <w:tcBorders>
              <w:top w:val="single" w:sz="4" w:space="0" w:color="auto"/>
              <w:left w:val="nil"/>
              <w:bottom w:val="single" w:sz="4" w:space="0" w:color="auto"/>
              <w:right w:val="nil"/>
            </w:tcBorders>
          </w:tcPr>
          <w:p w14:paraId="71373E94" w14:textId="77777777" w:rsidR="00C24C61" w:rsidRPr="00D87E53" w:rsidRDefault="00C24C61" w:rsidP="00C24C61">
            <w:pPr>
              <w:spacing w:line="252" w:lineRule="auto"/>
              <w:ind w:left="284" w:hanging="284"/>
              <w:jc w:val="right"/>
              <w:rPr>
                <w:rFonts w:ascii="Calibri" w:hAnsi="Calibri"/>
                <w:b/>
                <w:sz w:val="22"/>
                <w:lang w:eastAsia="en-US"/>
              </w:rPr>
            </w:pPr>
            <w:r w:rsidRPr="00D87E53">
              <w:rPr>
                <w:rFonts w:ascii="Calibri" w:hAnsi="Calibri"/>
                <w:b/>
                <w:sz w:val="22"/>
                <w:lang w:eastAsia="en-US"/>
              </w:rPr>
              <w:t>1,900</w:t>
            </w:r>
          </w:p>
        </w:tc>
        <w:tc>
          <w:tcPr>
            <w:tcW w:w="1041" w:type="dxa"/>
            <w:tcBorders>
              <w:top w:val="single" w:sz="4" w:space="0" w:color="auto"/>
              <w:left w:val="nil"/>
              <w:bottom w:val="single" w:sz="4" w:space="0" w:color="auto"/>
              <w:right w:val="nil"/>
            </w:tcBorders>
          </w:tcPr>
          <w:p w14:paraId="6F689E9C" w14:textId="77777777" w:rsidR="00C24C61" w:rsidRPr="00D87E53" w:rsidRDefault="00C24C61" w:rsidP="00C24C61">
            <w:pPr>
              <w:spacing w:line="252" w:lineRule="auto"/>
              <w:ind w:left="284" w:hanging="284"/>
              <w:jc w:val="right"/>
              <w:rPr>
                <w:rFonts w:ascii="Calibri" w:hAnsi="Calibri"/>
                <w:b/>
                <w:sz w:val="22"/>
                <w:lang w:eastAsia="en-US"/>
              </w:rPr>
            </w:pPr>
            <w:r w:rsidRPr="00D87E53">
              <w:rPr>
                <w:rFonts w:ascii="Calibri" w:hAnsi="Calibri"/>
                <w:b/>
                <w:sz w:val="22"/>
                <w:lang w:eastAsia="en-US"/>
              </w:rPr>
              <w:t>2,200</w:t>
            </w:r>
          </w:p>
        </w:tc>
        <w:tc>
          <w:tcPr>
            <w:tcW w:w="1029" w:type="dxa"/>
            <w:tcBorders>
              <w:top w:val="single" w:sz="4" w:space="0" w:color="auto"/>
              <w:left w:val="nil"/>
              <w:bottom w:val="single" w:sz="4" w:space="0" w:color="auto"/>
              <w:right w:val="nil"/>
            </w:tcBorders>
          </w:tcPr>
          <w:p w14:paraId="1B99C7C7" w14:textId="77777777" w:rsidR="00C24C61" w:rsidRPr="00D87E53" w:rsidRDefault="00C24C61" w:rsidP="00C24C61">
            <w:pPr>
              <w:spacing w:line="252" w:lineRule="auto"/>
              <w:ind w:left="284" w:hanging="284"/>
              <w:jc w:val="right"/>
              <w:rPr>
                <w:rFonts w:ascii="Calibri" w:hAnsi="Calibri"/>
                <w:b/>
                <w:sz w:val="22"/>
                <w:lang w:eastAsia="en-US"/>
              </w:rPr>
            </w:pPr>
            <w:r w:rsidRPr="00D87E53">
              <w:rPr>
                <w:rFonts w:ascii="Calibri" w:hAnsi="Calibri"/>
                <w:b/>
                <w:sz w:val="22"/>
                <w:lang w:eastAsia="en-US"/>
              </w:rPr>
              <w:t>0</w:t>
            </w:r>
          </w:p>
        </w:tc>
        <w:tc>
          <w:tcPr>
            <w:tcW w:w="1029" w:type="dxa"/>
            <w:tcBorders>
              <w:top w:val="single" w:sz="4" w:space="0" w:color="auto"/>
              <w:left w:val="nil"/>
              <w:bottom w:val="single" w:sz="4" w:space="0" w:color="auto"/>
              <w:right w:val="nil"/>
            </w:tcBorders>
          </w:tcPr>
          <w:p w14:paraId="7591CF91" w14:textId="77777777" w:rsidR="00C24C61" w:rsidRPr="00D87E53" w:rsidRDefault="00C24C61" w:rsidP="00C24C61">
            <w:pPr>
              <w:spacing w:line="252" w:lineRule="auto"/>
              <w:ind w:left="284" w:hanging="284"/>
              <w:jc w:val="right"/>
              <w:rPr>
                <w:rFonts w:ascii="Calibri" w:hAnsi="Calibri"/>
                <w:b/>
                <w:sz w:val="22"/>
                <w:lang w:eastAsia="en-US"/>
              </w:rPr>
            </w:pPr>
            <w:r w:rsidRPr="00D87E53">
              <w:rPr>
                <w:rFonts w:ascii="Calibri" w:hAnsi="Calibri"/>
                <w:b/>
                <w:sz w:val="22"/>
                <w:lang w:eastAsia="en-US"/>
              </w:rPr>
              <w:t>0</w:t>
            </w:r>
          </w:p>
        </w:tc>
        <w:tc>
          <w:tcPr>
            <w:tcW w:w="1029" w:type="dxa"/>
            <w:tcBorders>
              <w:top w:val="single" w:sz="4" w:space="0" w:color="auto"/>
              <w:left w:val="nil"/>
              <w:bottom w:val="single" w:sz="4" w:space="0" w:color="auto"/>
              <w:right w:val="nil"/>
            </w:tcBorders>
          </w:tcPr>
          <w:p w14:paraId="75D4E94E" w14:textId="77777777" w:rsidR="00C24C61" w:rsidRPr="00D87E53" w:rsidRDefault="00C24C61" w:rsidP="00C24C61">
            <w:pPr>
              <w:spacing w:line="252" w:lineRule="auto"/>
              <w:ind w:left="284" w:hanging="284"/>
              <w:jc w:val="right"/>
              <w:rPr>
                <w:rFonts w:ascii="Calibri" w:hAnsi="Calibri"/>
                <w:b/>
                <w:sz w:val="22"/>
                <w:lang w:eastAsia="en-US"/>
              </w:rPr>
            </w:pPr>
            <w:r w:rsidRPr="00D87E53">
              <w:rPr>
                <w:rFonts w:ascii="Calibri" w:hAnsi="Calibri"/>
                <w:b/>
                <w:sz w:val="22"/>
                <w:lang w:eastAsia="en-US"/>
              </w:rPr>
              <w:t>4,100</w:t>
            </w:r>
          </w:p>
        </w:tc>
      </w:tr>
    </w:tbl>
    <w:p w14:paraId="26BFF406" w14:textId="77777777" w:rsidR="00C24C61" w:rsidRPr="00C24C61" w:rsidRDefault="00C24C61" w:rsidP="00D31DE3">
      <w:pPr>
        <w:pStyle w:val="snapInitbody"/>
      </w:pPr>
      <w:r w:rsidRPr="00C24C61">
        <w:t xml:space="preserve">The Government will plan and deliver improvements to road and other infrastructure across the city, including duplicating parts of William </w:t>
      </w:r>
      <w:proofErr w:type="spellStart"/>
      <w:r w:rsidRPr="00C24C61">
        <w:t>Hovell</w:t>
      </w:r>
      <w:proofErr w:type="spellEnd"/>
      <w:r w:rsidRPr="00C24C61">
        <w:t xml:space="preserve"> and </w:t>
      </w:r>
      <w:proofErr w:type="spellStart"/>
      <w:r w:rsidRPr="00C24C61">
        <w:t>Athllon</w:t>
      </w:r>
      <w:proofErr w:type="spellEnd"/>
      <w:r w:rsidRPr="00C24C61">
        <w:t xml:space="preserve"> Drives (both in Phillip and between Drakeford Drive and </w:t>
      </w:r>
      <w:proofErr w:type="spellStart"/>
      <w:r w:rsidRPr="00C24C61">
        <w:t>Sulwood</w:t>
      </w:r>
      <w:proofErr w:type="spellEnd"/>
      <w:r w:rsidRPr="00C24C61">
        <w:t xml:space="preserve"> Drive) and extending Morisset Road.</w:t>
      </w:r>
    </w:p>
    <w:p w14:paraId="2D014048" w14:textId="77777777" w:rsidR="00C24C61" w:rsidRPr="00C24C61" w:rsidRDefault="00C24C61" w:rsidP="00D31DE3">
      <w:pPr>
        <w:pStyle w:val="snapInitbody"/>
        <w:rPr>
          <w:szCs w:val="24"/>
        </w:rPr>
      </w:pPr>
      <w:r w:rsidRPr="00C24C61">
        <w:t>The capital cost of this initiative has been wi</w:t>
      </w:r>
      <w:r w:rsidRPr="00C24C61">
        <w:rPr>
          <w:szCs w:val="24"/>
        </w:rPr>
        <w:t>thheld in order to secure value for money when the Government approaches the market.</w:t>
      </w:r>
    </w:p>
    <w:p w14:paraId="240BC32E" w14:textId="77777777" w:rsidR="00C24C61" w:rsidRPr="00202E81" w:rsidRDefault="00C24C61" w:rsidP="00202E81">
      <w:pPr>
        <w:pStyle w:val="snapInittitles"/>
      </w:pPr>
      <w:r w:rsidRPr="00202E81">
        <w:t xml:space="preserve">Revitalising Woden library </w:t>
      </w:r>
    </w:p>
    <w:tbl>
      <w:tblPr>
        <w:tblW w:w="5000" w:type="pct"/>
        <w:tblLayout w:type="fixed"/>
        <w:tblLook w:val="04A0" w:firstRow="1" w:lastRow="0" w:firstColumn="1" w:lastColumn="0" w:noHBand="0" w:noVBand="1"/>
      </w:tblPr>
      <w:tblGrid>
        <w:gridCol w:w="3929"/>
        <w:gridCol w:w="1268"/>
        <w:gridCol w:w="1120"/>
        <w:gridCol w:w="1107"/>
        <w:gridCol w:w="1107"/>
        <w:gridCol w:w="1107"/>
      </w:tblGrid>
      <w:tr w:rsidR="00C24C61" w:rsidRPr="00D87E53" w14:paraId="71CF8340" w14:textId="77777777" w:rsidTr="00D31DE3">
        <w:trPr>
          <w:cantSplit/>
        </w:trPr>
        <w:tc>
          <w:tcPr>
            <w:tcW w:w="3652" w:type="dxa"/>
            <w:tcBorders>
              <w:top w:val="single" w:sz="4" w:space="0" w:color="auto"/>
              <w:left w:val="nil"/>
              <w:bottom w:val="single" w:sz="4" w:space="0" w:color="auto"/>
              <w:right w:val="nil"/>
            </w:tcBorders>
            <w:hideMark/>
          </w:tcPr>
          <w:p w14:paraId="724B77F3" w14:textId="77777777" w:rsidR="00C24C61" w:rsidRPr="00D87E53" w:rsidRDefault="00C24C61" w:rsidP="00C24C61">
            <w:pPr>
              <w:jc w:val="right"/>
              <w:rPr>
                <w:rFonts w:ascii="Calibri" w:hAnsi="Calibri" w:cs="Calibri"/>
                <w:color w:val="FFFFFF"/>
                <w:sz w:val="22"/>
                <w:lang w:eastAsia="en-US"/>
              </w:rPr>
            </w:pPr>
            <w:r w:rsidRPr="00D87E53">
              <w:rPr>
                <w:rFonts w:ascii="Calibri" w:hAnsi="Calibri" w:cs="Calibri"/>
                <w:color w:val="FFFFFF"/>
                <w:sz w:val="22"/>
                <w:lang w:eastAsia="en-US"/>
              </w:rPr>
              <w:t>Empty Cell</w:t>
            </w:r>
          </w:p>
        </w:tc>
        <w:tc>
          <w:tcPr>
            <w:tcW w:w="1179" w:type="dxa"/>
            <w:tcBorders>
              <w:top w:val="single" w:sz="4" w:space="0" w:color="auto"/>
              <w:left w:val="nil"/>
              <w:bottom w:val="single" w:sz="4" w:space="0" w:color="auto"/>
              <w:right w:val="nil"/>
            </w:tcBorders>
            <w:hideMark/>
          </w:tcPr>
          <w:p w14:paraId="5445A6FA" w14:textId="77777777" w:rsidR="00C24C61" w:rsidRPr="00D87E53" w:rsidRDefault="00C24C61" w:rsidP="00C24C61">
            <w:pPr>
              <w:spacing w:line="256" w:lineRule="auto"/>
              <w:ind w:left="284" w:hanging="284"/>
              <w:jc w:val="right"/>
              <w:rPr>
                <w:rFonts w:ascii="Calibri" w:hAnsi="Calibri"/>
                <w:sz w:val="22"/>
                <w:lang w:eastAsia="en-US"/>
              </w:rPr>
            </w:pPr>
            <w:r w:rsidRPr="00D87E53">
              <w:rPr>
                <w:rFonts w:ascii="Calibri" w:hAnsi="Calibri"/>
                <w:sz w:val="22"/>
                <w:lang w:eastAsia="en-US"/>
              </w:rPr>
              <w:t>2019-</w:t>
            </w:r>
            <w:r w:rsidRPr="00D87E53">
              <w:rPr>
                <w:rFonts w:ascii="Calibri" w:hAnsi="Calibri"/>
                <w:sz w:val="22"/>
                <w:lang w:eastAsia="en-US"/>
              </w:rPr>
              <w:softHyphen/>
              <w:t>20</w:t>
            </w:r>
          </w:p>
          <w:p w14:paraId="0F23AED9" w14:textId="77777777" w:rsidR="00C24C61" w:rsidRPr="00D87E53" w:rsidRDefault="00C24C61" w:rsidP="00C24C61">
            <w:pPr>
              <w:spacing w:line="256" w:lineRule="auto"/>
              <w:ind w:left="284" w:hanging="284"/>
              <w:jc w:val="right"/>
              <w:rPr>
                <w:rFonts w:ascii="Calibri" w:hAnsi="Calibri"/>
                <w:sz w:val="22"/>
                <w:lang w:eastAsia="en-US"/>
              </w:rPr>
            </w:pPr>
            <w:r w:rsidRPr="00D87E53">
              <w:rPr>
                <w:rFonts w:ascii="Calibri" w:hAnsi="Calibri"/>
                <w:sz w:val="22"/>
                <w:lang w:eastAsia="en-US"/>
              </w:rPr>
              <w:t>$’000</w:t>
            </w:r>
          </w:p>
        </w:tc>
        <w:tc>
          <w:tcPr>
            <w:tcW w:w="1041" w:type="dxa"/>
            <w:tcBorders>
              <w:top w:val="single" w:sz="4" w:space="0" w:color="auto"/>
              <w:left w:val="nil"/>
              <w:bottom w:val="single" w:sz="4" w:space="0" w:color="auto"/>
              <w:right w:val="nil"/>
            </w:tcBorders>
            <w:hideMark/>
          </w:tcPr>
          <w:p w14:paraId="66F76F21" w14:textId="77777777" w:rsidR="00C24C61" w:rsidRPr="00D87E53" w:rsidRDefault="00C24C61" w:rsidP="00C24C61">
            <w:pPr>
              <w:spacing w:line="256" w:lineRule="auto"/>
              <w:ind w:left="284" w:hanging="284"/>
              <w:jc w:val="right"/>
              <w:rPr>
                <w:rFonts w:ascii="Calibri" w:hAnsi="Calibri"/>
                <w:sz w:val="22"/>
                <w:lang w:eastAsia="en-US"/>
              </w:rPr>
            </w:pPr>
            <w:r w:rsidRPr="00D87E53">
              <w:rPr>
                <w:rFonts w:ascii="Calibri" w:hAnsi="Calibri"/>
                <w:sz w:val="22"/>
                <w:lang w:eastAsia="en-US"/>
              </w:rPr>
              <w:t>2020-</w:t>
            </w:r>
            <w:r w:rsidRPr="00D87E53">
              <w:rPr>
                <w:rFonts w:ascii="Calibri" w:hAnsi="Calibri"/>
                <w:sz w:val="22"/>
                <w:lang w:eastAsia="en-US"/>
              </w:rPr>
              <w:softHyphen/>
              <w:t>21</w:t>
            </w:r>
          </w:p>
          <w:p w14:paraId="3D6F3CF3" w14:textId="77777777" w:rsidR="00C24C61" w:rsidRPr="00D87E53" w:rsidRDefault="00C24C61" w:rsidP="00C24C61">
            <w:pPr>
              <w:spacing w:line="256" w:lineRule="auto"/>
              <w:ind w:left="284" w:hanging="284"/>
              <w:jc w:val="right"/>
              <w:rPr>
                <w:rFonts w:ascii="Calibri" w:hAnsi="Calibri"/>
                <w:sz w:val="22"/>
                <w:lang w:eastAsia="en-US"/>
              </w:rPr>
            </w:pPr>
            <w:r w:rsidRPr="00D87E53">
              <w:rPr>
                <w:rFonts w:ascii="Calibri" w:hAnsi="Calibri"/>
                <w:sz w:val="22"/>
                <w:lang w:eastAsia="en-US"/>
              </w:rPr>
              <w:t>$’000</w:t>
            </w:r>
          </w:p>
        </w:tc>
        <w:tc>
          <w:tcPr>
            <w:tcW w:w="1029" w:type="dxa"/>
            <w:tcBorders>
              <w:top w:val="single" w:sz="4" w:space="0" w:color="auto"/>
              <w:left w:val="nil"/>
              <w:bottom w:val="single" w:sz="4" w:space="0" w:color="auto"/>
              <w:right w:val="nil"/>
            </w:tcBorders>
            <w:hideMark/>
          </w:tcPr>
          <w:p w14:paraId="6F8208B2" w14:textId="77777777" w:rsidR="00C24C61" w:rsidRPr="00D87E53" w:rsidRDefault="00C24C61" w:rsidP="00C24C61">
            <w:pPr>
              <w:spacing w:line="256" w:lineRule="auto"/>
              <w:ind w:left="284" w:hanging="284"/>
              <w:jc w:val="right"/>
              <w:rPr>
                <w:rFonts w:ascii="Calibri" w:hAnsi="Calibri"/>
                <w:sz w:val="22"/>
                <w:lang w:eastAsia="en-US"/>
              </w:rPr>
            </w:pPr>
            <w:r w:rsidRPr="00D87E53">
              <w:rPr>
                <w:rFonts w:ascii="Calibri" w:hAnsi="Calibri"/>
                <w:sz w:val="22"/>
                <w:lang w:eastAsia="en-US"/>
              </w:rPr>
              <w:t>2021</w:t>
            </w:r>
            <w:r w:rsidRPr="00D87E53">
              <w:rPr>
                <w:rFonts w:ascii="Calibri" w:hAnsi="Calibri"/>
                <w:sz w:val="22"/>
                <w:lang w:eastAsia="en-US"/>
              </w:rPr>
              <w:softHyphen/>
              <w:t>-22</w:t>
            </w:r>
          </w:p>
          <w:p w14:paraId="6A948D5F" w14:textId="77777777" w:rsidR="00C24C61" w:rsidRPr="00D87E53" w:rsidRDefault="00C24C61" w:rsidP="00C24C61">
            <w:pPr>
              <w:spacing w:line="256" w:lineRule="auto"/>
              <w:ind w:left="284" w:hanging="284"/>
              <w:jc w:val="right"/>
              <w:rPr>
                <w:rFonts w:ascii="Calibri" w:hAnsi="Calibri"/>
                <w:sz w:val="22"/>
                <w:lang w:eastAsia="en-US"/>
              </w:rPr>
            </w:pPr>
            <w:r w:rsidRPr="00D87E53">
              <w:rPr>
                <w:rFonts w:ascii="Calibri" w:hAnsi="Calibri"/>
                <w:sz w:val="22"/>
                <w:lang w:eastAsia="en-US"/>
              </w:rPr>
              <w:t>$’000</w:t>
            </w:r>
          </w:p>
        </w:tc>
        <w:tc>
          <w:tcPr>
            <w:tcW w:w="1029" w:type="dxa"/>
            <w:tcBorders>
              <w:top w:val="single" w:sz="4" w:space="0" w:color="auto"/>
              <w:left w:val="nil"/>
              <w:bottom w:val="single" w:sz="4" w:space="0" w:color="auto"/>
              <w:right w:val="nil"/>
            </w:tcBorders>
            <w:hideMark/>
          </w:tcPr>
          <w:p w14:paraId="60006753" w14:textId="77777777" w:rsidR="00C24C61" w:rsidRPr="00D87E53" w:rsidRDefault="00C24C61" w:rsidP="00C24C61">
            <w:pPr>
              <w:spacing w:line="256" w:lineRule="auto"/>
              <w:ind w:left="284" w:hanging="284"/>
              <w:jc w:val="right"/>
              <w:rPr>
                <w:rFonts w:ascii="Calibri" w:hAnsi="Calibri"/>
                <w:sz w:val="22"/>
                <w:lang w:eastAsia="en-US"/>
              </w:rPr>
            </w:pPr>
            <w:r w:rsidRPr="00D87E53">
              <w:rPr>
                <w:rFonts w:ascii="Calibri" w:hAnsi="Calibri"/>
                <w:sz w:val="22"/>
                <w:lang w:eastAsia="en-US"/>
              </w:rPr>
              <w:t>2022-23</w:t>
            </w:r>
          </w:p>
          <w:p w14:paraId="0A88D7FD" w14:textId="77777777" w:rsidR="00C24C61" w:rsidRPr="00D87E53" w:rsidRDefault="00C24C61" w:rsidP="00C24C61">
            <w:pPr>
              <w:spacing w:line="256" w:lineRule="auto"/>
              <w:ind w:left="284" w:hanging="284"/>
              <w:jc w:val="right"/>
              <w:rPr>
                <w:rFonts w:ascii="Calibri" w:hAnsi="Calibri"/>
                <w:sz w:val="22"/>
                <w:lang w:eastAsia="en-US"/>
              </w:rPr>
            </w:pPr>
            <w:r w:rsidRPr="00D87E53">
              <w:rPr>
                <w:rFonts w:ascii="Calibri" w:hAnsi="Calibri"/>
                <w:sz w:val="22"/>
                <w:lang w:eastAsia="en-US"/>
              </w:rPr>
              <w:t>$’000</w:t>
            </w:r>
          </w:p>
        </w:tc>
        <w:tc>
          <w:tcPr>
            <w:tcW w:w="1029" w:type="dxa"/>
            <w:tcBorders>
              <w:top w:val="single" w:sz="4" w:space="0" w:color="auto"/>
              <w:left w:val="nil"/>
              <w:bottom w:val="single" w:sz="4" w:space="0" w:color="auto"/>
              <w:right w:val="nil"/>
            </w:tcBorders>
            <w:hideMark/>
          </w:tcPr>
          <w:p w14:paraId="3ED2A98D" w14:textId="77777777" w:rsidR="00C24C61" w:rsidRPr="00D87E53" w:rsidRDefault="00C24C61" w:rsidP="00C24C61">
            <w:pPr>
              <w:spacing w:line="256" w:lineRule="auto"/>
              <w:ind w:left="284" w:hanging="284"/>
              <w:jc w:val="right"/>
              <w:rPr>
                <w:rFonts w:ascii="Calibri" w:hAnsi="Calibri"/>
                <w:b/>
                <w:sz w:val="22"/>
                <w:lang w:eastAsia="en-US"/>
              </w:rPr>
            </w:pPr>
            <w:r w:rsidRPr="00D87E53">
              <w:rPr>
                <w:rFonts w:ascii="Calibri" w:hAnsi="Calibri"/>
                <w:b/>
                <w:sz w:val="22"/>
                <w:lang w:eastAsia="en-US"/>
              </w:rPr>
              <w:t>Total</w:t>
            </w:r>
          </w:p>
          <w:p w14:paraId="32BF593F" w14:textId="77777777" w:rsidR="00C24C61" w:rsidRPr="00D87E53" w:rsidRDefault="00C24C61" w:rsidP="00C24C61">
            <w:pPr>
              <w:spacing w:line="256" w:lineRule="auto"/>
              <w:ind w:left="284" w:hanging="284"/>
              <w:jc w:val="right"/>
              <w:rPr>
                <w:rFonts w:ascii="Calibri" w:hAnsi="Calibri"/>
                <w:b/>
                <w:sz w:val="22"/>
                <w:lang w:eastAsia="en-US"/>
              </w:rPr>
            </w:pPr>
            <w:r w:rsidRPr="00D87E53">
              <w:rPr>
                <w:rFonts w:ascii="Calibri" w:hAnsi="Calibri"/>
                <w:b/>
                <w:sz w:val="22"/>
                <w:lang w:eastAsia="en-US"/>
              </w:rPr>
              <w:t>$’000</w:t>
            </w:r>
          </w:p>
        </w:tc>
      </w:tr>
      <w:tr w:rsidR="00C24C61" w:rsidRPr="00D87E53" w14:paraId="0ECA84B3" w14:textId="77777777" w:rsidTr="00D31DE3">
        <w:trPr>
          <w:cantSplit/>
        </w:trPr>
        <w:tc>
          <w:tcPr>
            <w:tcW w:w="3652" w:type="dxa"/>
            <w:tcBorders>
              <w:top w:val="single" w:sz="4" w:space="0" w:color="auto"/>
              <w:left w:val="nil"/>
              <w:bottom w:val="single" w:sz="4" w:space="0" w:color="auto"/>
              <w:right w:val="nil"/>
            </w:tcBorders>
            <w:hideMark/>
          </w:tcPr>
          <w:p w14:paraId="40EB2563" w14:textId="77777777" w:rsidR="00C24C61" w:rsidRPr="00D87E53" w:rsidRDefault="00C24C61" w:rsidP="00C24C61">
            <w:pPr>
              <w:ind w:left="284" w:hanging="284"/>
              <w:rPr>
                <w:rFonts w:ascii="Calibri" w:hAnsi="Calibri"/>
                <w:sz w:val="22"/>
                <w:lang w:eastAsia="en-US"/>
              </w:rPr>
            </w:pPr>
            <w:r w:rsidRPr="00D87E53">
              <w:rPr>
                <w:rFonts w:ascii="Calibri" w:hAnsi="Calibri"/>
                <w:sz w:val="22"/>
                <w:lang w:eastAsia="en-US"/>
              </w:rPr>
              <w:t>Capital</w:t>
            </w:r>
          </w:p>
        </w:tc>
        <w:tc>
          <w:tcPr>
            <w:tcW w:w="1179" w:type="dxa"/>
            <w:tcBorders>
              <w:top w:val="single" w:sz="4" w:space="0" w:color="auto"/>
              <w:left w:val="nil"/>
              <w:bottom w:val="single" w:sz="4" w:space="0" w:color="auto"/>
              <w:right w:val="nil"/>
            </w:tcBorders>
            <w:hideMark/>
          </w:tcPr>
          <w:p w14:paraId="1806199D"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500</w:t>
            </w:r>
          </w:p>
        </w:tc>
        <w:tc>
          <w:tcPr>
            <w:tcW w:w="1041" w:type="dxa"/>
            <w:tcBorders>
              <w:top w:val="single" w:sz="4" w:space="0" w:color="auto"/>
              <w:left w:val="nil"/>
              <w:bottom w:val="single" w:sz="4" w:space="0" w:color="auto"/>
              <w:right w:val="nil"/>
            </w:tcBorders>
            <w:hideMark/>
          </w:tcPr>
          <w:p w14:paraId="3D115CEC"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w:t>
            </w:r>
          </w:p>
        </w:tc>
        <w:tc>
          <w:tcPr>
            <w:tcW w:w="1029" w:type="dxa"/>
            <w:tcBorders>
              <w:top w:val="single" w:sz="4" w:space="0" w:color="auto"/>
              <w:left w:val="nil"/>
              <w:bottom w:val="single" w:sz="4" w:space="0" w:color="auto"/>
              <w:right w:val="nil"/>
            </w:tcBorders>
            <w:hideMark/>
          </w:tcPr>
          <w:p w14:paraId="5E26AF1C"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w:t>
            </w:r>
          </w:p>
        </w:tc>
        <w:tc>
          <w:tcPr>
            <w:tcW w:w="1029" w:type="dxa"/>
            <w:tcBorders>
              <w:top w:val="single" w:sz="4" w:space="0" w:color="auto"/>
              <w:left w:val="nil"/>
              <w:bottom w:val="single" w:sz="4" w:space="0" w:color="auto"/>
              <w:right w:val="nil"/>
            </w:tcBorders>
            <w:hideMark/>
          </w:tcPr>
          <w:p w14:paraId="0D18BC29"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w:t>
            </w:r>
          </w:p>
        </w:tc>
        <w:tc>
          <w:tcPr>
            <w:tcW w:w="1029" w:type="dxa"/>
            <w:tcBorders>
              <w:top w:val="single" w:sz="4" w:space="0" w:color="auto"/>
              <w:left w:val="nil"/>
              <w:bottom w:val="single" w:sz="4" w:space="0" w:color="auto"/>
              <w:right w:val="nil"/>
            </w:tcBorders>
            <w:hideMark/>
          </w:tcPr>
          <w:p w14:paraId="08F73575" w14:textId="77777777" w:rsidR="00C24C61" w:rsidRPr="00D87E53" w:rsidRDefault="00C24C61" w:rsidP="00C24C61">
            <w:pPr>
              <w:ind w:left="284" w:hanging="284"/>
              <w:jc w:val="right"/>
              <w:rPr>
                <w:rFonts w:ascii="Calibri" w:hAnsi="Calibri"/>
                <w:b/>
                <w:sz w:val="22"/>
                <w:lang w:eastAsia="en-US"/>
              </w:rPr>
            </w:pPr>
            <w:r w:rsidRPr="00D87E53">
              <w:rPr>
                <w:rFonts w:ascii="Calibri" w:hAnsi="Calibri"/>
                <w:b/>
                <w:sz w:val="22"/>
                <w:lang w:eastAsia="en-US"/>
              </w:rPr>
              <w:t>500</w:t>
            </w:r>
          </w:p>
        </w:tc>
      </w:tr>
    </w:tbl>
    <w:p w14:paraId="0A518D8A" w14:textId="77777777" w:rsidR="00C24C61" w:rsidRPr="00C24C61" w:rsidRDefault="00C24C61" w:rsidP="00D31DE3">
      <w:pPr>
        <w:pStyle w:val="snapInitbody"/>
        <w:rPr>
          <w:b/>
        </w:rPr>
      </w:pPr>
      <w:r w:rsidRPr="00C24C61">
        <w:t xml:space="preserve">The Government will upgrade and refurbish the Woden Library including upgrading spaces for use by the community. This initiative will be delivered through the </w:t>
      </w:r>
      <w:r w:rsidRPr="00C24C61">
        <w:rPr>
          <w:i/>
        </w:rPr>
        <w:t>Better Infrastructure Fund</w:t>
      </w:r>
      <w:r w:rsidRPr="00C24C61">
        <w:t>.</w:t>
      </w:r>
    </w:p>
    <w:p w14:paraId="75AF97AF" w14:textId="77777777" w:rsidR="00C24C61" w:rsidRPr="00202E81" w:rsidRDefault="00C24C61" w:rsidP="00202E81">
      <w:pPr>
        <w:pStyle w:val="snapInittitles"/>
      </w:pPr>
      <w:r w:rsidRPr="00202E81">
        <w:t xml:space="preserve">Strengthening infrastructure supporting Canberra's new public transport network </w:t>
      </w:r>
    </w:p>
    <w:tbl>
      <w:tblPr>
        <w:tblW w:w="5000" w:type="pct"/>
        <w:tblLook w:val="0000" w:firstRow="0" w:lastRow="0" w:firstColumn="0" w:lastColumn="0" w:noHBand="0" w:noVBand="0"/>
      </w:tblPr>
      <w:tblGrid>
        <w:gridCol w:w="3929"/>
        <w:gridCol w:w="1268"/>
        <w:gridCol w:w="1120"/>
        <w:gridCol w:w="1107"/>
        <w:gridCol w:w="1107"/>
        <w:gridCol w:w="1107"/>
      </w:tblGrid>
      <w:tr w:rsidR="00C24C61" w:rsidRPr="00D87E53" w14:paraId="361EEC2B" w14:textId="77777777" w:rsidTr="00D31DE3">
        <w:trPr>
          <w:cantSplit/>
        </w:trPr>
        <w:tc>
          <w:tcPr>
            <w:tcW w:w="3652" w:type="dxa"/>
            <w:tcBorders>
              <w:top w:val="single" w:sz="4" w:space="0" w:color="auto"/>
              <w:bottom w:val="single" w:sz="4" w:space="0" w:color="auto"/>
            </w:tcBorders>
          </w:tcPr>
          <w:p w14:paraId="6C5B0963" w14:textId="77777777" w:rsidR="00C24C61" w:rsidRPr="00D87E53" w:rsidRDefault="00C24C61" w:rsidP="00C24C61">
            <w:pPr>
              <w:jc w:val="right"/>
              <w:rPr>
                <w:rFonts w:ascii="Calibri" w:hAnsi="Calibri" w:cs="Calibri"/>
                <w:color w:val="FFFFFF"/>
                <w:sz w:val="22"/>
                <w:lang w:eastAsia="en-US"/>
              </w:rPr>
            </w:pPr>
            <w:r w:rsidRPr="00D87E53">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7B83FBB2"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2019­20</w:t>
            </w:r>
          </w:p>
          <w:p w14:paraId="115BC8B0"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$’000</w:t>
            </w:r>
          </w:p>
        </w:tc>
        <w:tc>
          <w:tcPr>
            <w:tcW w:w="1041" w:type="dxa"/>
            <w:tcBorders>
              <w:top w:val="single" w:sz="4" w:space="0" w:color="auto"/>
              <w:bottom w:val="single" w:sz="4" w:space="0" w:color="auto"/>
            </w:tcBorders>
          </w:tcPr>
          <w:p w14:paraId="092EC682"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2020­21</w:t>
            </w:r>
          </w:p>
          <w:p w14:paraId="6282100A"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$’000</w:t>
            </w:r>
          </w:p>
        </w:tc>
        <w:tc>
          <w:tcPr>
            <w:tcW w:w="1029" w:type="dxa"/>
            <w:tcBorders>
              <w:top w:val="single" w:sz="4" w:space="0" w:color="auto"/>
              <w:bottom w:val="single" w:sz="4" w:space="0" w:color="auto"/>
            </w:tcBorders>
          </w:tcPr>
          <w:p w14:paraId="32AE2CEB"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2021­22</w:t>
            </w:r>
          </w:p>
          <w:p w14:paraId="5EFE12AE"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$’000</w:t>
            </w:r>
          </w:p>
        </w:tc>
        <w:tc>
          <w:tcPr>
            <w:tcW w:w="1029" w:type="dxa"/>
            <w:tcBorders>
              <w:top w:val="single" w:sz="4" w:space="0" w:color="auto"/>
              <w:bottom w:val="single" w:sz="4" w:space="0" w:color="auto"/>
            </w:tcBorders>
          </w:tcPr>
          <w:p w14:paraId="541F78D9"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2022-23</w:t>
            </w:r>
          </w:p>
          <w:p w14:paraId="566BFC4A"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$’000</w:t>
            </w:r>
          </w:p>
        </w:tc>
        <w:tc>
          <w:tcPr>
            <w:tcW w:w="1029" w:type="dxa"/>
            <w:tcBorders>
              <w:top w:val="single" w:sz="4" w:space="0" w:color="auto"/>
              <w:bottom w:val="single" w:sz="4" w:space="0" w:color="auto"/>
            </w:tcBorders>
          </w:tcPr>
          <w:p w14:paraId="07BA8C76" w14:textId="77777777" w:rsidR="00C24C61" w:rsidRPr="00D87E53" w:rsidRDefault="00C24C61" w:rsidP="00C24C61">
            <w:pPr>
              <w:ind w:left="284" w:hanging="284"/>
              <w:jc w:val="right"/>
              <w:rPr>
                <w:rFonts w:ascii="Calibri" w:hAnsi="Calibri"/>
                <w:b/>
                <w:sz w:val="22"/>
                <w:lang w:eastAsia="en-US"/>
              </w:rPr>
            </w:pPr>
            <w:r w:rsidRPr="00D87E53">
              <w:rPr>
                <w:rFonts w:ascii="Calibri" w:hAnsi="Calibri"/>
                <w:b/>
                <w:sz w:val="22"/>
                <w:lang w:eastAsia="en-US"/>
              </w:rPr>
              <w:t>Total</w:t>
            </w:r>
          </w:p>
          <w:p w14:paraId="1AAB3BB9" w14:textId="77777777" w:rsidR="00C24C61" w:rsidRPr="00D87E53" w:rsidRDefault="00C24C61" w:rsidP="00C24C61">
            <w:pPr>
              <w:ind w:left="284" w:hanging="284"/>
              <w:jc w:val="right"/>
              <w:rPr>
                <w:rFonts w:ascii="Calibri" w:hAnsi="Calibri"/>
                <w:b/>
                <w:sz w:val="22"/>
                <w:lang w:eastAsia="en-US"/>
              </w:rPr>
            </w:pPr>
            <w:r w:rsidRPr="00D87E53">
              <w:rPr>
                <w:rFonts w:ascii="Calibri" w:hAnsi="Calibri"/>
                <w:b/>
                <w:sz w:val="22"/>
                <w:lang w:eastAsia="en-US"/>
              </w:rPr>
              <w:t>$’000</w:t>
            </w:r>
          </w:p>
        </w:tc>
      </w:tr>
      <w:tr w:rsidR="00C24C61" w:rsidRPr="00D87E53" w14:paraId="303BCED8" w14:textId="77777777" w:rsidTr="00D31DE3">
        <w:trPr>
          <w:cantSplit/>
        </w:trPr>
        <w:tc>
          <w:tcPr>
            <w:tcW w:w="3652" w:type="dxa"/>
            <w:tcBorders>
              <w:top w:val="single" w:sz="4" w:space="0" w:color="auto"/>
            </w:tcBorders>
          </w:tcPr>
          <w:p w14:paraId="5B56FDCB" w14:textId="77777777" w:rsidR="00C24C61" w:rsidRPr="00D87E53" w:rsidRDefault="00C24C61" w:rsidP="00C24C61">
            <w:pPr>
              <w:ind w:left="284" w:hanging="284"/>
              <w:rPr>
                <w:rFonts w:ascii="Calibri" w:hAnsi="Calibri"/>
                <w:sz w:val="22"/>
                <w:lang w:eastAsia="en-US"/>
              </w:rPr>
            </w:pPr>
            <w:r w:rsidRPr="00D87E53">
              <w:rPr>
                <w:rFonts w:ascii="Calibri" w:hAnsi="Calibri"/>
                <w:sz w:val="22"/>
                <w:lang w:eastAsia="en-US"/>
              </w:rPr>
              <w:t>Capital</w:t>
            </w:r>
          </w:p>
        </w:tc>
        <w:tc>
          <w:tcPr>
            <w:tcW w:w="1179" w:type="dxa"/>
            <w:tcBorders>
              <w:top w:val="single" w:sz="4" w:space="0" w:color="auto"/>
            </w:tcBorders>
          </w:tcPr>
          <w:p w14:paraId="33533C39" w14:textId="77777777" w:rsidR="00C24C61" w:rsidRPr="00D87E53" w:rsidRDefault="00C24C61" w:rsidP="00C24C61">
            <w:pPr>
              <w:tabs>
                <w:tab w:val="center" w:pos="481"/>
                <w:tab w:val="right" w:pos="963"/>
              </w:tabs>
              <w:ind w:left="284" w:hanging="284"/>
              <w:jc w:val="right"/>
              <w:rPr>
                <w:rFonts w:ascii="Calibri" w:hAnsi="Calibri"/>
                <w:sz w:val="22"/>
                <w:lang w:eastAsia="en-US"/>
              </w:rPr>
            </w:pPr>
            <w:r w:rsidRPr="00D87E53">
              <w:rPr>
                <w:rFonts w:ascii="Calibri" w:hAnsi="Calibri"/>
                <w:sz w:val="22"/>
                <w:lang w:eastAsia="en-US"/>
              </w:rPr>
              <w:t>0</w:t>
            </w:r>
          </w:p>
        </w:tc>
        <w:tc>
          <w:tcPr>
            <w:tcW w:w="1041" w:type="dxa"/>
            <w:tcBorders>
              <w:top w:val="single" w:sz="4" w:space="0" w:color="auto"/>
            </w:tcBorders>
          </w:tcPr>
          <w:p w14:paraId="1B3A2AA1"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2,000</w:t>
            </w:r>
          </w:p>
        </w:tc>
        <w:tc>
          <w:tcPr>
            <w:tcW w:w="1029" w:type="dxa"/>
            <w:tcBorders>
              <w:top w:val="single" w:sz="4" w:space="0" w:color="auto"/>
            </w:tcBorders>
          </w:tcPr>
          <w:p w14:paraId="218226C0"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3,100</w:t>
            </w:r>
          </w:p>
        </w:tc>
        <w:tc>
          <w:tcPr>
            <w:tcW w:w="1029" w:type="dxa"/>
            <w:tcBorders>
              <w:top w:val="single" w:sz="4" w:space="0" w:color="auto"/>
            </w:tcBorders>
          </w:tcPr>
          <w:p w14:paraId="19155970"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w:t>
            </w:r>
          </w:p>
        </w:tc>
        <w:tc>
          <w:tcPr>
            <w:tcW w:w="1029" w:type="dxa"/>
            <w:tcBorders>
              <w:top w:val="single" w:sz="4" w:space="0" w:color="auto"/>
            </w:tcBorders>
          </w:tcPr>
          <w:p w14:paraId="6314CE50" w14:textId="77777777" w:rsidR="00C24C61" w:rsidRPr="00D87E53" w:rsidRDefault="00C24C61" w:rsidP="00C24C61">
            <w:pPr>
              <w:ind w:left="284" w:hanging="284"/>
              <w:jc w:val="right"/>
              <w:rPr>
                <w:rFonts w:ascii="Calibri" w:hAnsi="Calibri"/>
                <w:b/>
                <w:sz w:val="22"/>
                <w:lang w:eastAsia="en-US"/>
              </w:rPr>
            </w:pPr>
            <w:r w:rsidRPr="00D87E53">
              <w:rPr>
                <w:rFonts w:ascii="Calibri" w:hAnsi="Calibri"/>
                <w:b/>
                <w:sz w:val="22"/>
                <w:lang w:eastAsia="en-US"/>
              </w:rPr>
              <w:t>5,100</w:t>
            </w:r>
          </w:p>
        </w:tc>
      </w:tr>
      <w:tr w:rsidR="00C24C61" w:rsidRPr="00D87E53" w14:paraId="7709928B" w14:textId="77777777" w:rsidTr="00D31DE3">
        <w:trPr>
          <w:cantSplit/>
        </w:trPr>
        <w:tc>
          <w:tcPr>
            <w:tcW w:w="3652" w:type="dxa"/>
            <w:tcBorders>
              <w:top w:val="single" w:sz="4" w:space="0" w:color="auto"/>
              <w:bottom w:val="single" w:sz="4" w:space="0" w:color="auto"/>
            </w:tcBorders>
          </w:tcPr>
          <w:p w14:paraId="017B1102" w14:textId="77777777" w:rsidR="00C24C61" w:rsidRPr="00D87E53" w:rsidRDefault="00C24C61" w:rsidP="00C24C61">
            <w:pPr>
              <w:ind w:left="284" w:hanging="284"/>
              <w:rPr>
                <w:rFonts w:ascii="Calibri" w:hAnsi="Calibri"/>
                <w:sz w:val="22"/>
                <w:lang w:eastAsia="en-US"/>
              </w:rPr>
            </w:pPr>
            <w:r w:rsidRPr="00D87E53">
              <w:rPr>
                <w:rFonts w:ascii="Calibri" w:hAnsi="Calibri"/>
                <w:sz w:val="22"/>
                <w:lang w:eastAsia="en-US"/>
              </w:rPr>
              <w:t>Depreciation</w:t>
            </w:r>
          </w:p>
        </w:tc>
        <w:tc>
          <w:tcPr>
            <w:tcW w:w="1179" w:type="dxa"/>
            <w:tcBorders>
              <w:top w:val="single" w:sz="4" w:space="0" w:color="auto"/>
              <w:bottom w:val="single" w:sz="4" w:space="0" w:color="auto"/>
            </w:tcBorders>
          </w:tcPr>
          <w:p w14:paraId="694839B7"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w:t>
            </w:r>
          </w:p>
        </w:tc>
        <w:tc>
          <w:tcPr>
            <w:tcW w:w="1041" w:type="dxa"/>
            <w:tcBorders>
              <w:top w:val="single" w:sz="4" w:space="0" w:color="auto"/>
              <w:bottom w:val="single" w:sz="4" w:space="0" w:color="auto"/>
            </w:tcBorders>
          </w:tcPr>
          <w:p w14:paraId="12DAFFF8"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w:t>
            </w:r>
          </w:p>
        </w:tc>
        <w:tc>
          <w:tcPr>
            <w:tcW w:w="1029" w:type="dxa"/>
            <w:tcBorders>
              <w:top w:val="single" w:sz="4" w:space="0" w:color="auto"/>
              <w:bottom w:val="single" w:sz="4" w:space="0" w:color="auto"/>
            </w:tcBorders>
          </w:tcPr>
          <w:p w14:paraId="769A8DE7"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w:t>
            </w:r>
          </w:p>
        </w:tc>
        <w:tc>
          <w:tcPr>
            <w:tcW w:w="1029" w:type="dxa"/>
            <w:tcBorders>
              <w:top w:val="single" w:sz="4" w:space="0" w:color="auto"/>
              <w:bottom w:val="single" w:sz="4" w:space="0" w:color="auto"/>
            </w:tcBorders>
          </w:tcPr>
          <w:p w14:paraId="2242DBB1"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68</w:t>
            </w:r>
          </w:p>
        </w:tc>
        <w:tc>
          <w:tcPr>
            <w:tcW w:w="1029" w:type="dxa"/>
            <w:tcBorders>
              <w:top w:val="single" w:sz="4" w:space="0" w:color="auto"/>
              <w:bottom w:val="single" w:sz="4" w:space="0" w:color="auto"/>
            </w:tcBorders>
          </w:tcPr>
          <w:p w14:paraId="79F2EA0B" w14:textId="77777777" w:rsidR="00C24C61" w:rsidRPr="00D87E53" w:rsidRDefault="00C24C61" w:rsidP="00C24C61">
            <w:pPr>
              <w:ind w:left="284" w:hanging="284"/>
              <w:jc w:val="right"/>
              <w:rPr>
                <w:rFonts w:ascii="Calibri" w:hAnsi="Calibri"/>
                <w:b/>
                <w:sz w:val="22"/>
                <w:lang w:eastAsia="en-US"/>
              </w:rPr>
            </w:pPr>
            <w:r w:rsidRPr="00D87E53">
              <w:rPr>
                <w:rFonts w:ascii="Calibri" w:hAnsi="Calibri"/>
                <w:b/>
                <w:sz w:val="22"/>
                <w:lang w:eastAsia="en-US"/>
              </w:rPr>
              <w:t>68</w:t>
            </w:r>
          </w:p>
        </w:tc>
      </w:tr>
    </w:tbl>
    <w:p w14:paraId="4547C3B9" w14:textId="77777777" w:rsidR="00C24C61" w:rsidRPr="00C24C61" w:rsidRDefault="00C24C61" w:rsidP="00D31DE3">
      <w:pPr>
        <w:pStyle w:val="snapInitbody"/>
      </w:pPr>
      <w:r w:rsidRPr="00C24C61">
        <w:t>The Government will design and construct a new bus layover and driver facility in Turner to support the effective delivery of Canberra’s new public transport network.</w:t>
      </w:r>
    </w:p>
    <w:p w14:paraId="7C8588BE" w14:textId="77777777" w:rsidR="00B6149F" w:rsidRDefault="00B6149F">
      <w:pPr>
        <w:rPr>
          <w:rFonts w:ascii="Calibri" w:hAnsi="Calibri"/>
          <w:b/>
          <w:bCs/>
          <w:szCs w:val="26"/>
          <w:lang w:val="x-none" w:eastAsia="en-US"/>
        </w:rPr>
      </w:pPr>
      <w:r>
        <w:br w:type="page"/>
      </w:r>
    </w:p>
    <w:p w14:paraId="6D2C7954" w14:textId="39654143" w:rsidR="00C24C61" w:rsidRPr="00202E81" w:rsidRDefault="00C24C61" w:rsidP="00202E81">
      <w:pPr>
        <w:pStyle w:val="snapInittitles"/>
      </w:pPr>
      <w:r w:rsidRPr="00202E81">
        <w:t xml:space="preserve">Supporting more Canberrans to Park and Ride </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C24C61" w:rsidRPr="00D87E53" w14:paraId="2660E443" w14:textId="77777777" w:rsidTr="00D31DE3">
        <w:trPr>
          <w:cantSplit/>
        </w:trPr>
        <w:tc>
          <w:tcPr>
            <w:tcW w:w="3652" w:type="dxa"/>
            <w:tcBorders>
              <w:top w:val="single" w:sz="4" w:space="0" w:color="auto"/>
              <w:bottom w:val="single" w:sz="4" w:space="0" w:color="auto"/>
            </w:tcBorders>
          </w:tcPr>
          <w:p w14:paraId="5E3785A6" w14:textId="77777777" w:rsidR="00C24C61" w:rsidRPr="00D87E53" w:rsidRDefault="00C24C61" w:rsidP="00C24C61">
            <w:pPr>
              <w:jc w:val="right"/>
              <w:rPr>
                <w:rFonts w:ascii="Calibri" w:hAnsi="Calibri" w:cs="Calibri"/>
                <w:color w:val="FFFFFF"/>
                <w:sz w:val="22"/>
                <w:lang w:eastAsia="en-US"/>
              </w:rPr>
            </w:pPr>
            <w:r w:rsidRPr="00D87E53">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130F0E25"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2019­20</w:t>
            </w:r>
          </w:p>
          <w:p w14:paraId="439E56F1"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$’000</w:t>
            </w:r>
          </w:p>
        </w:tc>
        <w:tc>
          <w:tcPr>
            <w:tcW w:w="1041" w:type="dxa"/>
            <w:tcBorders>
              <w:top w:val="single" w:sz="4" w:space="0" w:color="auto"/>
              <w:bottom w:val="single" w:sz="4" w:space="0" w:color="auto"/>
            </w:tcBorders>
          </w:tcPr>
          <w:p w14:paraId="2C7A298D"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2020­21</w:t>
            </w:r>
          </w:p>
          <w:p w14:paraId="6598E36E"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$’000</w:t>
            </w:r>
          </w:p>
        </w:tc>
        <w:tc>
          <w:tcPr>
            <w:tcW w:w="1029" w:type="dxa"/>
            <w:tcBorders>
              <w:top w:val="single" w:sz="4" w:space="0" w:color="auto"/>
              <w:bottom w:val="single" w:sz="4" w:space="0" w:color="auto"/>
            </w:tcBorders>
          </w:tcPr>
          <w:p w14:paraId="3559F1AA"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2021­22</w:t>
            </w:r>
          </w:p>
          <w:p w14:paraId="5698E684"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$’000</w:t>
            </w:r>
          </w:p>
        </w:tc>
        <w:tc>
          <w:tcPr>
            <w:tcW w:w="1029" w:type="dxa"/>
            <w:tcBorders>
              <w:top w:val="single" w:sz="4" w:space="0" w:color="auto"/>
              <w:bottom w:val="single" w:sz="4" w:space="0" w:color="auto"/>
            </w:tcBorders>
          </w:tcPr>
          <w:p w14:paraId="42D0350A"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2022-23</w:t>
            </w:r>
          </w:p>
          <w:p w14:paraId="488F875D"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$’000</w:t>
            </w:r>
          </w:p>
        </w:tc>
        <w:tc>
          <w:tcPr>
            <w:tcW w:w="1029" w:type="dxa"/>
            <w:tcBorders>
              <w:top w:val="single" w:sz="4" w:space="0" w:color="auto"/>
              <w:bottom w:val="single" w:sz="4" w:space="0" w:color="auto"/>
            </w:tcBorders>
          </w:tcPr>
          <w:p w14:paraId="4548E69B" w14:textId="77777777" w:rsidR="00C24C61" w:rsidRPr="00D87E53" w:rsidRDefault="00C24C61" w:rsidP="00C24C61">
            <w:pPr>
              <w:ind w:left="284" w:hanging="284"/>
              <w:jc w:val="right"/>
              <w:rPr>
                <w:rFonts w:ascii="Calibri" w:hAnsi="Calibri"/>
                <w:b/>
                <w:sz w:val="22"/>
                <w:lang w:eastAsia="en-US"/>
              </w:rPr>
            </w:pPr>
            <w:r w:rsidRPr="00D87E53">
              <w:rPr>
                <w:rFonts w:ascii="Calibri" w:hAnsi="Calibri"/>
                <w:b/>
                <w:sz w:val="22"/>
                <w:lang w:eastAsia="en-US"/>
              </w:rPr>
              <w:t>Total</w:t>
            </w:r>
          </w:p>
          <w:p w14:paraId="18C3B0C3" w14:textId="77777777" w:rsidR="00C24C61" w:rsidRPr="00D87E53" w:rsidRDefault="00C24C61" w:rsidP="00C24C61">
            <w:pPr>
              <w:ind w:left="284" w:hanging="284"/>
              <w:jc w:val="right"/>
              <w:rPr>
                <w:rFonts w:ascii="Calibri" w:hAnsi="Calibri"/>
                <w:b/>
                <w:sz w:val="22"/>
                <w:lang w:eastAsia="en-US"/>
              </w:rPr>
            </w:pPr>
            <w:r w:rsidRPr="00D87E53">
              <w:rPr>
                <w:rFonts w:ascii="Calibri" w:hAnsi="Calibri"/>
                <w:b/>
                <w:sz w:val="22"/>
                <w:lang w:eastAsia="en-US"/>
              </w:rPr>
              <w:t>$’000</w:t>
            </w:r>
          </w:p>
        </w:tc>
      </w:tr>
      <w:tr w:rsidR="00C24C61" w:rsidRPr="00D87E53" w14:paraId="23F02891" w14:textId="77777777" w:rsidTr="00D31DE3">
        <w:trPr>
          <w:cantSplit/>
        </w:trPr>
        <w:tc>
          <w:tcPr>
            <w:tcW w:w="3652" w:type="dxa"/>
            <w:tcBorders>
              <w:top w:val="single" w:sz="4" w:space="0" w:color="auto"/>
              <w:bottom w:val="single" w:sz="4" w:space="0" w:color="auto"/>
            </w:tcBorders>
          </w:tcPr>
          <w:p w14:paraId="6E219363" w14:textId="77777777" w:rsidR="00C24C61" w:rsidRPr="00D87E53" w:rsidRDefault="00C24C61" w:rsidP="00C24C61">
            <w:pPr>
              <w:shd w:val="clear" w:color="auto" w:fill="FFFFFF"/>
              <w:ind w:left="284" w:hanging="284"/>
              <w:rPr>
                <w:rFonts w:ascii="Calibri" w:hAnsi="Calibri"/>
                <w:sz w:val="22"/>
                <w:lang w:eastAsia="en-US"/>
              </w:rPr>
            </w:pPr>
            <w:r w:rsidRPr="00D87E53">
              <w:rPr>
                <w:rFonts w:ascii="Calibri" w:hAnsi="Calibri"/>
                <w:sz w:val="22"/>
                <w:lang w:eastAsia="en-US"/>
              </w:rPr>
              <w:t>Capital</w:t>
            </w:r>
          </w:p>
        </w:tc>
        <w:tc>
          <w:tcPr>
            <w:tcW w:w="1179" w:type="dxa"/>
            <w:tcBorders>
              <w:top w:val="single" w:sz="4" w:space="0" w:color="auto"/>
              <w:bottom w:val="single" w:sz="4" w:space="0" w:color="auto"/>
            </w:tcBorders>
          </w:tcPr>
          <w:p w14:paraId="19202DE2" w14:textId="77777777" w:rsidR="00C24C61" w:rsidRPr="00D87E53" w:rsidRDefault="00C24C61" w:rsidP="00C24C61">
            <w:pPr>
              <w:shd w:val="clear" w:color="auto" w:fill="FFFFFF"/>
              <w:ind w:left="284" w:hanging="284"/>
              <w:jc w:val="right"/>
              <w:rPr>
                <w:rFonts w:ascii="Calibri" w:hAnsi="Calibri"/>
                <w:i/>
                <w:sz w:val="22"/>
                <w:lang w:eastAsia="en-US"/>
              </w:rPr>
            </w:pPr>
            <w:r w:rsidRPr="00D87E53">
              <w:rPr>
                <w:rFonts w:ascii="Calibri" w:hAnsi="Calibri"/>
                <w:sz w:val="22"/>
                <w:lang w:eastAsia="en-US"/>
              </w:rPr>
              <w:t>625</w:t>
            </w:r>
          </w:p>
        </w:tc>
        <w:tc>
          <w:tcPr>
            <w:tcW w:w="1041" w:type="dxa"/>
            <w:tcBorders>
              <w:top w:val="single" w:sz="4" w:space="0" w:color="auto"/>
              <w:bottom w:val="single" w:sz="4" w:space="0" w:color="auto"/>
            </w:tcBorders>
          </w:tcPr>
          <w:p w14:paraId="028D06C1" w14:textId="77777777" w:rsidR="00C24C61" w:rsidRPr="00D87E53" w:rsidRDefault="00C24C61" w:rsidP="00C24C61">
            <w:pPr>
              <w:shd w:val="clear" w:color="auto" w:fill="FFFFFF"/>
              <w:ind w:left="284" w:hanging="284"/>
              <w:jc w:val="right"/>
              <w:rPr>
                <w:rFonts w:ascii="Calibri" w:hAnsi="Calibri"/>
                <w:sz w:val="22"/>
                <w:lang w:eastAsia="en-US"/>
              </w:rPr>
            </w:pPr>
            <w:r w:rsidRPr="00D87E53">
              <w:rPr>
                <w:rFonts w:ascii="Calibri" w:hAnsi="Calibri"/>
                <w:sz w:val="22"/>
                <w:lang w:eastAsia="en-US"/>
              </w:rPr>
              <w:t>1,875</w:t>
            </w:r>
          </w:p>
        </w:tc>
        <w:tc>
          <w:tcPr>
            <w:tcW w:w="1029" w:type="dxa"/>
            <w:tcBorders>
              <w:top w:val="single" w:sz="4" w:space="0" w:color="auto"/>
              <w:bottom w:val="single" w:sz="4" w:space="0" w:color="auto"/>
            </w:tcBorders>
          </w:tcPr>
          <w:p w14:paraId="7748D0CF" w14:textId="77777777" w:rsidR="00C24C61" w:rsidRPr="00D87E53" w:rsidRDefault="00C24C61" w:rsidP="00C24C61">
            <w:pPr>
              <w:shd w:val="clear" w:color="auto" w:fill="FFFFFF"/>
              <w:ind w:left="284" w:hanging="284"/>
              <w:jc w:val="right"/>
              <w:rPr>
                <w:rFonts w:ascii="Calibri" w:hAnsi="Calibri"/>
                <w:sz w:val="22"/>
                <w:lang w:eastAsia="en-US"/>
              </w:rPr>
            </w:pPr>
            <w:r w:rsidRPr="00D87E53">
              <w:rPr>
                <w:rFonts w:ascii="Calibri" w:hAnsi="Calibri"/>
                <w:sz w:val="22"/>
                <w:lang w:eastAsia="en-US"/>
              </w:rPr>
              <w:t>0</w:t>
            </w:r>
          </w:p>
        </w:tc>
        <w:tc>
          <w:tcPr>
            <w:tcW w:w="1029" w:type="dxa"/>
            <w:tcBorders>
              <w:top w:val="single" w:sz="4" w:space="0" w:color="auto"/>
              <w:bottom w:val="single" w:sz="4" w:space="0" w:color="auto"/>
            </w:tcBorders>
          </w:tcPr>
          <w:p w14:paraId="3F7F85F8" w14:textId="77777777" w:rsidR="00C24C61" w:rsidRPr="00D87E53" w:rsidRDefault="00C24C61" w:rsidP="00C24C61">
            <w:pPr>
              <w:shd w:val="clear" w:color="auto" w:fill="FFFFFF"/>
              <w:ind w:left="284" w:hanging="284"/>
              <w:jc w:val="right"/>
              <w:rPr>
                <w:rFonts w:ascii="Calibri" w:hAnsi="Calibri"/>
                <w:sz w:val="22"/>
                <w:lang w:eastAsia="en-US"/>
              </w:rPr>
            </w:pPr>
            <w:r w:rsidRPr="00D87E53">
              <w:rPr>
                <w:rFonts w:ascii="Calibri" w:hAnsi="Calibri"/>
                <w:sz w:val="22"/>
                <w:lang w:eastAsia="en-US"/>
              </w:rPr>
              <w:t>0</w:t>
            </w:r>
          </w:p>
        </w:tc>
        <w:tc>
          <w:tcPr>
            <w:tcW w:w="1029" w:type="dxa"/>
            <w:tcBorders>
              <w:top w:val="single" w:sz="4" w:space="0" w:color="auto"/>
              <w:bottom w:val="single" w:sz="4" w:space="0" w:color="auto"/>
            </w:tcBorders>
          </w:tcPr>
          <w:p w14:paraId="1A4353BD" w14:textId="77777777" w:rsidR="00C24C61" w:rsidRPr="00D87E53" w:rsidRDefault="00C24C61" w:rsidP="00C24C61">
            <w:pPr>
              <w:shd w:val="clear" w:color="auto" w:fill="FFFFFF"/>
              <w:ind w:left="284" w:hanging="284"/>
              <w:jc w:val="right"/>
              <w:rPr>
                <w:rFonts w:ascii="Calibri" w:hAnsi="Calibri"/>
                <w:b/>
                <w:sz w:val="22"/>
                <w:lang w:eastAsia="en-US"/>
              </w:rPr>
            </w:pPr>
            <w:r w:rsidRPr="00D87E53">
              <w:rPr>
                <w:rFonts w:ascii="Calibri" w:hAnsi="Calibri"/>
                <w:b/>
                <w:sz w:val="22"/>
                <w:lang w:eastAsia="en-US"/>
              </w:rPr>
              <w:t>2,500</w:t>
            </w:r>
          </w:p>
        </w:tc>
      </w:tr>
      <w:tr w:rsidR="00C24C61" w:rsidRPr="00D87E53" w14:paraId="37A1E12D" w14:textId="77777777" w:rsidTr="00D31DE3">
        <w:trPr>
          <w:cantSplit/>
        </w:trPr>
        <w:tc>
          <w:tcPr>
            <w:tcW w:w="3652" w:type="dxa"/>
            <w:tcBorders>
              <w:top w:val="single" w:sz="4" w:space="0" w:color="auto"/>
            </w:tcBorders>
          </w:tcPr>
          <w:p w14:paraId="4F511146" w14:textId="77777777" w:rsidR="00C24C61" w:rsidRPr="00D87E53" w:rsidRDefault="00C24C61" w:rsidP="00C24C61">
            <w:pPr>
              <w:shd w:val="clear" w:color="auto" w:fill="FFFFFF"/>
              <w:ind w:left="284" w:hanging="284"/>
              <w:rPr>
                <w:rFonts w:ascii="Calibri" w:hAnsi="Calibri"/>
                <w:sz w:val="22"/>
                <w:lang w:eastAsia="en-US"/>
              </w:rPr>
            </w:pPr>
            <w:r w:rsidRPr="00D87E53">
              <w:rPr>
                <w:rFonts w:ascii="Calibri" w:hAnsi="Calibri"/>
                <w:sz w:val="22"/>
                <w:lang w:eastAsia="en-US"/>
              </w:rPr>
              <w:t>Depreciation</w:t>
            </w:r>
          </w:p>
        </w:tc>
        <w:tc>
          <w:tcPr>
            <w:tcW w:w="1179" w:type="dxa"/>
            <w:tcBorders>
              <w:top w:val="single" w:sz="4" w:space="0" w:color="auto"/>
            </w:tcBorders>
          </w:tcPr>
          <w:p w14:paraId="74109905" w14:textId="77777777" w:rsidR="00C24C61" w:rsidRPr="00D87E53" w:rsidRDefault="00C24C61" w:rsidP="00C24C61">
            <w:pPr>
              <w:shd w:val="clear" w:color="auto" w:fill="FFFFFF"/>
              <w:ind w:left="284" w:hanging="284"/>
              <w:jc w:val="right"/>
              <w:rPr>
                <w:rFonts w:ascii="Calibri" w:hAnsi="Calibri"/>
                <w:sz w:val="22"/>
                <w:lang w:eastAsia="en-US"/>
              </w:rPr>
            </w:pPr>
            <w:r w:rsidRPr="00D87E53">
              <w:rPr>
                <w:rFonts w:ascii="Calibri" w:hAnsi="Calibri"/>
                <w:sz w:val="22"/>
                <w:lang w:eastAsia="en-US"/>
              </w:rPr>
              <w:t>0</w:t>
            </w:r>
          </w:p>
        </w:tc>
        <w:tc>
          <w:tcPr>
            <w:tcW w:w="1041" w:type="dxa"/>
            <w:tcBorders>
              <w:top w:val="single" w:sz="4" w:space="0" w:color="auto"/>
            </w:tcBorders>
          </w:tcPr>
          <w:p w14:paraId="3BCB58EA" w14:textId="77777777" w:rsidR="00C24C61" w:rsidRPr="00D87E53" w:rsidRDefault="00C24C61" w:rsidP="00C24C61">
            <w:pPr>
              <w:shd w:val="clear" w:color="auto" w:fill="FFFFFF"/>
              <w:ind w:left="284" w:hanging="284"/>
              <w:jc w:val="right"/>
              <w:rPr>
                <w:rFonts w:ascii="Calibri" w:hAnsi="Calibri"/>
                <w:sz w:val="22"/>
                <w:lang w:eastAsia="en-US"/>
              </w:rPr>
            </w:pPr>
            <w:r w:rsidRPr="00D87E53">
              <w:rPr>
                <w:rFonts w:ascii="Calibri" w:hAnsi="Calibri"/>
                <w:sz w:val="22"/>
                <w:lang w:eastAsia="en-US"/>
              </w:rPr>
              <w:t>0</w:t>
            </w:r>
          </w:p>
        </w:tc>
        <w:tc>
          <w:tcPr>
            <w:tcW w:w="1029" w:type="dxa"/>
            <w:tcBorders>
              <w:top w:val="single" w:sz="4" w:space="0" w:color="auto"/>
            </w:tcBorders>
          </w:tcPr>
          <w:p w14:paraId="031EEBD8" w14:textId="77777777" w:rsidR="00C24C61" w:rsidRPr="00D87E53" w:rsidRDefault="00C24C61" w:rsidP="00C24C61">
            <w:pPr>
              <w:shd w:val="clear" w:color="auto" w:fill="FFFFFF"/>
              <w:ind w:left="284" w:hanging="284"/>
              <w:jc w:val="right"/>
              <w:rPr>
                <w:rFonts w:ascii="Calibri" w:hAnsi="Calibri"/>
                <w:sz w:val="22"/>
                <w:lang w:eastAsia="en-US"/>
              </w:rPr>
            </w:pPr>
            <w:r w:rsidRPr="00D87E53">
              <w:rPr>
                <w:rFonts w:ascii="Calibri" w:hAnsi="Calibri"/>
                <w:sz w:val="22"/>
                <w:lang w:eastAsia="en-US"/>
              </w:rPr>
              <w:t>167</w:t>
            </w:r>
          </w:p>
        </w:tc>
        <w:tc>
          <w:tcPr>
            <w:tcW w:w="1029" w:type="dxa"/>
            <w:tcBorders>
              <w:top w:val="single" w:sz="4" w:space="0" w:color="auto"/>
            </w:tcBorders>
          </w:tcPr>
          <w:p w14:paraId="544A60FC" w14:textId="77777777" w:rsidR="00C24C61" w:rsidRPr="00D87E53" w:rsidRDefault="00C24C61" w:rsidP="00C24C61">
            <w:pPr>
              <w:shd w:val="clear" w:color="auto" w:fill="FFFFFF"/>
              <w:ind w:left="284" w:hanging="284"/>
              <w:jc w:val="right"/>
              <w:rPr>
                <w:rFonts w:ascii="Calibri" w:hAnsi="Calibri"/>
                <w:sz w:val="22"/>
                <w:lang w:eastAsia="en-US"/>
              </w:rPr>
            </w:pPr>
            <w:r w:rsidRPr="00D87E53">
              <w:rPr>
                <w:rFonts w:ascii="Calibri" w:hAnsi="Calibri"/>
                <w:sz w:val="22"/>
                <w:lang w:eastAsia="en-US"/>
              </w:rPr>
              <w:t>167</w:t>
            </w:r>
          </w:p>
        </w:tc>
        <w:tc>
          <w:tcPr>
            <w:tcW w:w="1029" w:type="dxa"/>
            <w:tcBorders>
              <w:top w:val="single" w:sz="4" w:space="0" w:color="auto"/>
            </w:tcBorders>
          </w:tcPr>
          <w:p w14:paraId="44778122" w14:textId="77777777" w:rsidR="00C24C61" w:rsidRPr="00D87E53" w:rsidRDefault="00C24C61" w:rsidP="00C24C61">
            <w:pPr>
              <w:shd w:val="clear" w:color="auto" w:fill="FFFFFF"/>
              <w:ind w:left="284" w:hanging="284"/>
              <w:jc w:val="right"/>
              <w:rPr>
                <w:rFonts w:ascii="Calibri" w:hAnsi="Calibri"/>
                <w:b/>
                <w:sz w:val="22"/>
                <w:lang w:eastAsia="en-US"/>
              </w:rPr>
            </w:pPr>
            <w:r w:rsidRPr="00D87E53">
              <w:rPr>
                <w:rFonts w:ascii="Calibri" w:hAnsi="Calibri"/>
                <w:b/>
                <w:sz w:val="22"/>
                <w:lang w:eastAsia="en-US"/>
              </w:rPr>
              <w:t>334</w:t>
            </w:r>
          </w:p>
        </w:tc>
      </w:tr>
      <w:tr w:rsidR="00C24C61" w:rsidRPr="00D87E53" w14:paraId="17A1B2BC" w14:textId="77777777" w:rsidTr="00D31DE3">
        <w:trPr>
          <w:cantSplit/>
        </w:trPr>
        <w:tc>
          <w:tcPr>
            <w:tcW w:w="3652" w:type="dxa"/>
            <w:tcBorders>
              <w:bottom w:val="single" w:sz="4" w:space="0" w:color="auto"/>
            </w:tcBorders>
          </w:tcPr>
          <w:p w14:paraId="58483D6F" w14:textId="77777777" w:rsidR="00C24C61" w:rsidRPr="00D87E53" w:rsidRDefault="00C24C61" w:rsidP="00C24C61">
            <w:pPr>
              <w:shd w:val="clear" w:color="auto" w:fill="FFFFFF"/>
              <w:ind w:left="284" w:hanging="284"/>
              <w:rPr>
                <w:rFonts w:ascii="Calibri" w:hAnsi="Calibri"/>
                <w:sz w:val="22"/>
                <w:lang w:eastAsia="en-US"/>
              </w:rPr>
            </w:pPr>
            <w:r w:rsidRPr="00D87E53">
              <w:rPr>
                <w:rFonts w:ascii="Calibri" w:hAnsi="Calibri"/>
                <w:sz w:val="22"/>
                <w:lang w:eastAsia="en-US"/>
              </w:rPr>
              <w:t>Associated expenses</w:t>
            </w:r>
          </w:p>
        </w:tc>
        <w:tc>
          <w:tcPr>
            <w:tcW w:w="1179" w:type="dxa"/>
            <w:tcBorders>
              <w:bottom w:val="single" w:sz="4" w:space="0" w:color="auto"/>
            </w:tcBorders>
          </w:tcPr>
          <w:p w14:paraId="6669AD1B" w14:textId="77777777" w:rsidR="00C24C61" w:rsidRPr="00D87E53" w:rsidRDefault="00C24C61" w:rsidP="00C24C61">
            <w:pPr>
              <w:shd w:val="clear" w:color="auto" w:fill="FFFFFF"/>
              <w:ind w:left="284" w:hanging="284"/>
              <w:jc w:val="right"/>
              <w:rPr>
                <w:rFonts w:ascii="Calibri" w:hAnsi="Calibri"/>
                <w:sz w:val="22"/>
                <w:lang w:eastAsia="en-US"/>
              </w:rPr>
            </w:pPr>
            <w:r w:rsidRPr="00D87E53">
              <w:rPr>
                <w:rFonts w:ascii="Calibri" w:hAnsi="Calibri"/>
                <w:sz w:val="22"/>
                <w:lang w:eastAsia="en-US"/>
              </w:rPr>
              <w:t>0</w:t>
            </w:r>
          </w:p>
        </w:tc>
        <w:tc>
          <w:tcPr>
            <w:tcW w:w="1041" w:type="dxa"/>
            <w:tcBorders>
              <w:bottom w:val="single" w:sz="4" w:space="0" w:color="auto"/>
            </w:tcBorders>
          </w:tcPr>
          <w:p w14:paraId="7F22C038" w14:textId="77777777" w:rsidR="00C24C61" w:rsidRPr="00D87E53" w:rsidRDefault="00C24C61" w:rsidP="00C24C61">
            <w:pPr>
              <w:shd w:val="clear" w:color="auto" w:fill="FFFFFF"/>
              <w:ind w:left="284" w:hanging="284"/>
              <w:jc w:val="right"/>
              <w:rPr>
                <w:rFonts w:ascii="Calibri" w:hAnsi="Calibri"/>
                <w:sz w:val="22"/>
                <w:lang w:eastAsia="en-US"/>
              </w:rPr>
            </w:pPr>
            <w:r w:rsidRPr="00D87E53">
              <w:rPr>
                <w:rFonts w:ascii="Calibri" w:hAnsi="Calibri"/>
                <w:sz w:val="22"/>
                <w:lang w:eastAsia="en-US"/>
              </w:rPr>
              <w:t>0</w:t>
            </w:r>
          </w:p>
        </w:tc>
        <w:tc>
          <w:tcPr>
            <w:tcW w:w="1029" w:type="dxa"/>
            <w:tcBorders>
              <w:bottom w:val="single" w:sz="4" w:space="0" w:color="auto"/>
            </w:tcBorders>
          </w:tcPr>
          <w:p w14:paraId="73351542" w14:textId="77777777" w:rsidR="00C24C61" w:rsidRPr="00D87E53" w:rsidRDefault="00C24C61" w:rsidP="00C24C61">
            <w:pPr>
              <w:shd w:val="clear" w:color="auto" w:fill="FFFFFF"/>
              <w:ind w:left="284" w:hanging="284"/>
              <w:jc w:val="right"/>
              <w:rPr>
                <w:rFonts w:ascii="Calibri" w:hAnsi="Calibri"/>
                <w:sz w:val="22"/>
                <w:lang w:eastAsia="en-US"/>
              </w:rPr>
            </w:pPr>
            <w:r w:rsidRPr="00D87E53">
              <w:rPr>
                <w:rFonts w:ascii="Calibri" w:hAnsi="Calibri"/>
                <w:sz w:val="22"/>
                <w:lang w:eastAsia="en-US"/>
              </w:rPr>
              <w:t>0</w:t>
            </w:r>
          </w:p>
        </w:tc>
        <w:tc>
          <w:tcPr>
            <w:tcW w:w="1029" w:type="dxa"/>
            <w:tcBorders>
              <w:bottom w:val="single" w:sz="4" w:space="0" w:color="auto"/>
            </w:tcBorders>
          </w:tcPr>
          <w:p w14:paraId="567D7AFD" w14:textId="77777777" w:rsidR="00C24C61" w:rsidRPr="00D87E53" w:rsidRDefault="00C24C61" w:rsidP="00C24C61">
            <w:pPr>
              <w:shd w:val="clear" w:color="auto" w:fill="FFFFFF"/>
              <w:ind w:left="284" w:hanging="284"/>
              <w:jc w:val="right"/>
              <w:rPr>
                <w:rFonts w:ascii="Calibri" w:hAnsi="Calibri"/>
                <w:sz w:val="22"/>
                <w:lang w:eastAsia="en-US"/>
              </w:rPr>
            </w:pPr>
            <w:r w:rsidRPr="00D87E53">
              <w:rPr>
                <w:rFonts w:ascii="Calibri" w:hAnsi="Calibri"/>
                <w:sz w:val="22"/>
                <w:lang w:eastAsia="en-US"/>
              </w:rPr>
              <w:t>25</w:t>
            </w:r>
          </w:p>
        </w:tc>
        <w:tc>
          <w:tcPr>
            <w:tcW w:w="1029" w:type="dxa"/>
            <w:tcBorders>
              <w:bottom w:val="single" w:sz="4" w:space="0" w:color="auto"/>
            </w:tcBorders>
          </w:tcPr>
          <w:p w14:paraId="26E4190C" w14:textId="77777777" w:rsidR="00C24C61" w:rsidRPr="00D87E53" w:rsidRDefault="00C24C61" w:rsidP="00C24C61">
            <w:pPr>
              <w:shd w:val="clear" w:color="auto" w:fill="FFFFFF"/>
              <w:ind w:left="284" w:hanging="284"/>
              <w:jc w:val="right"/>
              <w:rPr>
                <w:rFonts w:ascii="Calibri" w:hAnsi="Calibri"/>
                <w:b/>
                <w:sz w:val="22"/>
                <w:lang w:eastAsia="en-US"/>
              </w:rPr>
            </w:pPr>
            <w:r w:rsidRPr="00D87E53">
              <w:rPr>
                <w:rFonts w:ascii="Calibri" w:hAnsi="Calibri"/>
                <w:b/>
                <w:sz w:val="22"/>
                <w:lang w:eastAsia="en-US"/>
              </w:rPr>
              <w:t>25</w:t>
            </w:r>
          </w:p>
        </w:tc>
      </w:tr>
      <w:tr w:rsidR="00C24C61" w:rsidRPr="00D87E53" w14:paraId="558DF147" w14:textId="77777777" w:rsidTr="00D31DE3">
        <w:trPr>
          <w:cantSplit/>
        </w:trPr>
        <w:tc>
          <w:tcPr>
            <w:tcW w:w="3652" w:type="dxa"/>
            <w:tcBorders>
              <w:top w:val="single" w:sz="4" w:space="0" w:color="auto"/>
              <w:bottom w:val="single" w:sz="4" w:space="0" w:color="auto"/>
            </w:tcBorders>
          </w:tcPr>
          <w:p w14:paraId="315293D0" w14:textId="77777777" w:rsidR="00C24C61" w:rsidRPr="00D87E53" w:rsidRDefault="00C24C61" w:rsidP="00C24C61">
            <w:pPr>
              <w:shd w:val="clear" w:color="auto" w:fill="FFFFFF"/>
              <w:ind w:left="284" w:hanging="284"/>
              <w:rPr>
                <w:rFonts w:ascii="Calibri" w:hAnsi="Calibri"/>
                <w:b/>
                <w:sz w:val="22"/>
                <w:lang w:eastAsia="en-US"/>
              </w:rPr>
            </w:pPr>
            <w:r w:rsidRPr="00D87E53">
              <w:rPr>
                <w:rFonts w:ascii="Calibri" w:hAnsi="Calibri"/>
                <w:b/>
                <w:sz w:val="22"/>
                <w:lang w:eastAsia="en-US"/>
              </w:rPr>
              <w:t>Total expenses</w:t>
            </w:r>
          </w:p>
        </w:tc>
        <w:tc>
          <w:tcPr>
            <w:tcW w:w="1179" w:type="dxa"/>
            <w:tcBorders>
              <w:top w:val="single" w:sz="4" w:space="0" w:color="auto"/>
              <w:bottom w:val="single" w:sz="4" w:space="0" w:color="auto"/>
            </w:tcBorders>
          </w:tcPr>
          <w:p w14:paraId="47FD7146" w14:textId="77777777" w:rsidR="00C24C61" w:rsidRPr="00D87E53" w:rsidRDefault="00C24C61" w:rsidP="00C24C61">
            <w:pPr>
              <w:shd w:val="clear" w:color="auto" w:fill="FFFFFF"/>
              <w:ind w:left="284" w:hanging="284"/>
              <w:jc w:val="right"/>
              <w:rPr>
                <w:rFonts w:ascii="Calibri" w:hAnsi="Calibri"/>
                <w:b/>
                <w:sz w:val="22"/>
                <w:lang w:eastAsia="en-US"/>
              </w:rPr>
            </w:pPr>
            <w:r w:rsidRPr="00D87E53">
              <w:rPr>
                <w:rFonts w:ascii="Calibri" w:hAnsi="Calibri"/>
                <w:b/>
                <w:sz w:val="22"/>
                <w:lang w:eastAsia="en-US"/>
              </w:rPr>
              <w:t>0</w:t>
            </w:r>
          </w:p>
        </w:tc>
        <w:tc>
          <w:tcPr>
            <w:tcW w:w="1041" w:type="dxa"/>
            <w:tcBorders>
              <w:top w:val="single" w:sz="4" w:space="0" w:color="auto"/>
              <w:bottom w:val="single" w:sz="4" w:space="0" w:color="auto"/>
            </w:tcBorders>
          </w:tcPr>
          <w:p w14:paraId="60EF54AF" w14:textId="77777777" w:rsidR="00C24C61" w:rsidRPr="00D87E53" w:rsidRDefault="00C24C61" w:rsidP="00C24C61">
            <w:pPr>
              <w:shd w:val="clear" w:color="auto" w:fill="FFFFFF"/>
              <w:ind w:left="284" w:hanging="284"/>
              <w:jc w:val="right"/>
              <w:rPr>
                <w:rFonts w:ascii="Calibri" w:hAnsi="Calibri"/>
                <w:b/>
                <w:sz w:val="22"/>
                <w:lang w:eastAsia="en-US"/>
              </w:rPr>
            </w:pPr>
            <w:r w:rsidRPr="00D87E53">
              <w:rPr>
                <w:rFonts w:ascii="Calibri" w:hAnsi="Calibri"/>
                <w:b/>
                <w:sz w:val="22"/>
                <w:lang w:eastAsia="en-US"/>
              </w:rPr>
              <w:t>0</w:t>
            </w:r>
          </w:p>
        </w:tc>
        <w:tc>
          <w:tcPr>
            <w:tcW w:w="1029" w:type="dxa"/>
            <w:tcBorders>
              <w:top w:val="single" w:sz="4" w:space="0" w:color="auto"/>
              <w:bottom w:val="single" w:sz="4" w:space="0" w:color="auto"/>
            </w:tcBorders>
          </w:tcPr>
          <w:p w14:paraId="589097A3" w14:textId="77777777" w:rsidR="00C24C61" w:rsidRPr="00D87E53" w:rsidRDefault="00C24C61" w:rsidP="00C24C61">
            <w:pPr>
              <w:shd w:val="clear" w:color="auto" w:fill="FFFFFF"/>
              <w:ind w:left="284" w:hanging="284"/>
              <w:jc w:val="right"/>
              <w:rPr>
                <w:rFonts w:ascii="Calibri" w:hAnsi="Calibri"/>
                <w:b/>
                <w:sz w:val="22"/>
                <w:lang w:eastAsia="en-US"/>
              </w:rPr>
            </w:pPr>
            <w:r w:rsidRPr="00D87E53">
              <w:rPr>
                <w:rFonts w:ascii="Calibri" w:hAnsi="Calibri"/>
                <w:b/>
                <w:sz w:val="22"/>
                <w:lang w:eastAsia="en-US"/>
              </w:rPr>
              <w:t>167</w:t>
            </w:r>
          </w:p>
        </w:tc>
        <w:tc>
          <w:tcPr>
            <w:tcW w:w="1029" w:type="dxa"/>
            <w:tcBorders>
              <w:top w:val="single" w:sz="4" w:space="0" w:color="auto"/>
              <w:bottom w:val="single" w:sz="4" w:space="0" w:color="auto"/>
            </w:tcBorders>
          </w:tcPr>
          <w:p w14:paraId="3E162ECB" w14:textId="77777777" w:rsidR="00C24C61" w:rsidRPr="00D87E53" w:rsidRDefault="00C24C61" w:rsidP="00C24C61">
            <w:pPr>
              <w:shd w:val="clear" w:color="auto" w:fill="FFFFFF"/>
              <w:ind w:left="284" w:hanging="284"/>
              <w:jc w:val="right"/>
              <w:rPr>
                <w:rFonts w:ascii="Calibri" w:hAnsi="Calibri"/>
                <w:b/>
                <w:sz w:val="22"/>
                <w:lang w:eastAsia="en-US"/>
              </w:rPr>
            </w:pPr>
            <w:r w:rsidRPr="00D87E53">
              <w:rPr>
                <w:rFonts w:ascii="Calibri" w:hAnsi="Calibri"/>
                <w:b/>
                <w:sz w:val="22"/>
                <w:lang w:eastAsia="en-US"/>
              </w:rPr>
              <w:t>192</w:t>
            </w:r>
          </w:p>
        </w:tc>
        <w:tc>
          <w:tcPr>
            <w:tcW w:w="1029" w:type="dxa"/>
            <w:tcBorders>
              <w:top w:val="single" w:sz="4" w:space="0" w:color="auto"/>
              <w:bottom w:val="single" w:sz="4" w:space="0" w:color="auto"/>
            </w:tcBorders>
          </w:tcPr>
          <w:p w14:paraId="740DEEC5" w14:textId="77777777" w:rsidR="00C24C61" w:rsidRPr="00D87E53" w:rsidRDefault="00C24C61" w:rsidP="00C24C61">
            <w:pPr>
              <w:shd w:val="clear" w:color="auto" w:fill="FFFFFF"/>
              <w:ind w:left="284" w:hanging="284"/>
              <w:jc w:val="right"/>
              <w:rPr>
                <w:rFonts w:ascii="Calibri" w:hAnsi="Calibri"/>
                <w:b/>
                <w:sz w:val="22"/>
                <w:lang w:eastAsia="en-US"/>
              </w:rPr>
            </w:pPr>
            <w:r w:rsidRPr="00D87E53">
              <w:rPr>
                <w:rFonts w:ascii="Calibri" w:hAnsi="Calibri"/>
                <w:b/>
                <w:sz w:val="22"/>
                <w:lang w:eastAsia="en-US"/>
              </w:rPr>
              <w:t>359</w:t>
            </w:r>
          </w:p>
        </w:tc>
      </w:tr>
    </w:tbl>
    <w:p w14:paraId="416E186B" w14:textId="02ACDBEA" w:rsidR="00C24C61" w:rsidRPr="00C24C61" w:rsidRDefault="00C24C61" w:rsidP="00D31DE3">
      <w:pPr>
        <w:pStyle w:val="snapInitbody"/>
      </w:pPr>
      <w:r w:rsidRPr="00C24C61">
        <w:t>The Government will design and construct a new park and ride facility on Well Station Drive in Gungahlin to support more Canberrans using the new public transport network.</w:t>
      </w:r>
      <w:r w:rsidR="000F30E1">
        <w:t xml:space="preserve"> </w:t>
      </w:r>
    </w:p>
    <w:p w14:paraId="37ABA2BA" w14:textId="77777777" w:rsidR="00C24C61" w:rsidRPr="00202E81" w:rsidRDefault="00C24C61" w:rsidP="00202E81">
      <w:pPr>
        <w:pStyle w:val="snapInittitles"/>
      </w:pPr>
      <w:r w:rsidRPr="00202E81">
        <w:t xml:space="preserve">Supporting smarter working in the new ACT Government office projects </w:t>
      </w:r>
    </w:p>
    <w:p w14:paraId="4E8E9BF3" w14:textId="77777777" w:rsidR="00C24C61" w:rsidRPr="00C24C61" w:rsidRDefault="00C24C61" w:rsidP="00D31DE3">
      <w:pPr>
        <w:pStyle w:val="snapInitbody"/>
      </w:pPr>
      <w:r w:rsidRPr="00C24C61">
        <w:t xml:space="preserve">See the Chief Minister, Treasury and Economic Directorate capital initiative </w:t>
      </w:r>
      <w:r w:rsidRPr="00C24C61">
        <w:rPr>
          <w:i/>
        </w:rPr>
        <w:t xml:space="preserve">Supporting smarter working in the new ACT Government office projects </w:t>
      </w:r>
      <w:r w:rsidRPr="00C24C61">
        <w:t>for further details.</w:t>
      </w:r>
    </w:p>
    <w:p w14:paraId="5001A613" w14:textId="080FB0B9" w:rsidR="00C24C61" w:rsidRPr="007A3A72" w:rsidRDefault="00C24C61" w:rsidP="007A3A72">
      <w:pPr>
        <w:pStyle w:val="Heading4"/>
      </w:pPr>
      <w:r w:rsidRPr="007A3A72">
        <w:t xml:space="preserve">Plant and </w:t>
      </w:r>
      <w:r w:rsidR="00B2594F">
        <w:t>E</w:t>
      </w:r>
      <w:r w:rsidRPr="007A3A72">
        <w:t>quipment</w:t>
      </w:r>
    </w:p>
    <w:p w14:paraId="6A4CF6D9" w14:textId="77777777" w:rsidR="00C24C61" w:rsidRPr="00562D40" w:rsidRDefault="00C24C61" w:rsidP="00562D40">
      <w:pPr>
        <w:pStyle w:val="snapInittitles"/>
      </w:pPr>
      <w:r w:rsidRPr="00562D40">
        <w:t xml:space="preserve">Better buses to support the new bus network </w:t>
      </w:r>
    </w:p>
    <w:tbl>
      <w:tblPr>
        <w:tblW w:w="5000" w:type="pct"/>
        <w:tblLook w:val="0000" w:firstRow="0" w:lastRow="0" w:firstColumn="0" w:lastColumn="0" w:noHBand="0" w:noVBand="0"/>
      </w:tblPr>
      <w:tblGrid>
        <w:gridCol w:w="3929"/>
        <w:gridCol w:w="1268"/>
        <w:gridCol w:w="1120"/>
        <w:gridCol w:w="1107"/>
        <w:gridCol w:w="1107"/>
        <w:gridCol w:w="1107"/>
      </w:tblGrid>
      <w:tr w:rsidR="00C24C61" w:rsidRPr="00D87E53" w14:paraId="192368F9" w14:textId="77777777" w:rsidTr="008C3168">
        <w:trPr>
          <w:cantSplit/>
        </w:trPr>
        <w:tc>
          <w:tcPr>
            <w:tcW w:w="3652" w:type="dxa"/>
            <w:tcBorders>
              <w:top w:val="single" w:sz="4" w:space="0" w:color="auto"/>
              <w:bottom w:val="single" w:sz="4" w:space="0" w:color="auto"/>
            </w:tcBorders>
          </w:tcPr>
          <w:p w14:paraId="25A6DBC5" w14:textId="77777777" w:rsidR="00C24C61" w:rsidRPr="00D87E53" w:rsidRDefault="00C24C61" w:rsidP="00C24C61">
            <w:pPr>
              <w:jc w:val="right"/>
              <w:rPr>
                <w:rFonts w:ascii="Calibri" w:hAnsi="Calibri" w:cs="Calibri"/>
                <w:color w:val="FFFFFF"/>
                <w:sz w:val="22"/>
                <w:lang w:eastAsia="en-US"/>
              </w:rPr>
            </w:pPr>
            <w:r w:rsidRPr="00D87E53">
              <w:rPr>
                <w:rFonts w:ascii="Calibri" w:hAnsi="Calibri" w:cs="Calibri"/>
                <w:color w:val="FFFFFF"/>
                <w:sz w:val="22"/>
                <w:lang w:eastAsia="en-US"/>
              </w:rPr>
              <w:t>Empty Cell</w:t>
            </w:r>
          </w:p>
        </w:tc>
        <w:tc>
          <w:tcPr>
            <w:tcW w:w="1179" w:type="dxa"/>
            <w:tcBorders>
              <w:top w:val="single" w:sz="4" w:space="0" w:color="auto"/>
              <w:bottom w:val="single" w:sz="4" w:space="0" w:color="auto"/>
            </w:tcBorders>
          </w:tcPr>
          <w:p w14:paraId="0D49CE7D"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2019­20</w:t>
            </w:r>
          </w:p>
          <w:p w14:paraId="6383548B"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$’000</w:t>
            </w:r>
          </w:p>
        </w:tc>
        <w:tc>
          <w:tcPr>
            <w:tcW w:w="1041" w:type="dxa"/>
            <w:tcBorders>
              <w:top w:val="single" w:sz="4" w:space="0" w:color="auto"/>
              <w:bottom w:val="single" w:sz="4" w:space="0" w:color="auto"/>
            </w:tcBorders>
          </w:tcPr>
          <w:p w14:paraId="404F4F1C"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2020­21</w:t>
            </w:r>
          </w:p>
          <w:p w14:paraId="3D9AAD41"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$’000</w:t>
            </w:r>
          </w:p>
        </w:tc>
        <w:tc>
          <w:tcPr>
            <w:tcW w:w="1029" w:type="dxa"/>
            <w:tcBorders>
              <w:top w:val="single" w:sz="4" w:space="0" w:color="auto"/>
              <w:bottom w:val="single" w:sz="4" w:space="0" w:color="auto"/>
            </w:tcBorders>
          </w:tcPr>
          <w:p w14:paraId="71F56669"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2021­22</w:t>
            </w:r>
          </w:p>
          <w:p w14:paraId="6E66B524"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$’000</w:t>
            </w:r>
          </w:p>
        </w:tc>
        <w:tc>
          <w:tcPr>
            <w:tcW w:w="1029" w:type="dxa"/>
            <w:tcBorders>
              <w:top w:val="single" w:sz="4" w:space="0" w:color="auto"/>
              <w:bottom w:val="single" w:sz="4" w:space="0" w:color="auto"/>
            </w:tcBorders>
          </w:tcPr>
          <w:p w14:paraId="75400E9A"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2022-23</w:t>
            </w:r>
          </w:p>
          <w:p w14:paraId="357D12C5"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$’000</w:t>
            </w:r>
          </w:p>
        </w:tc>
        <w:tc>
          <w:tcPr>
            <w:tcW w:w="1029" w:type="dxa"/>
            <w:tcBorders>
              <w:top w:val="single" w:sz="4" w:space="0" w:color="auto"/>
              <w:bottom w:val="single" w:sz="4" w:space="0" w:color="auto"/>
            </w:tcBorders>
          </w:tcPr>
          <w:p w14:paraId="1A45EDE7" w14:textId="77777777" w:rsidR="00C24C61" w:rsidRPr="00D87E53" w:rsidRDefault="00C24C61" w:rsidP="00C24C61">
            <w:pPr>
              <w:ind w:left="284" w:hanging="284"/>
              <w:jc w:val="right"/>
              <w:rPr>
                <w:rFonts w:ascii="Calibri" w:hAnsi="Calibri"/>
                <w:b/>
                <w:sz w:val="22"/>
                <w:lang w:eastAsia="en-US"/>
              </w:rPr>
            </w:pPr>
            <w:r w:rsidRPr="00D87E53">
              <w:rPr>
                <w:rFonts w:ascii="Calibri" w:hAnsi="Calibri"/>
                <w:b/>
                <w:sz w:val="22"/>
                <w:lang w:eastAsia="en-US"/>
              </w:rPr>
              <w:t>Total</w:t>
            </w:r>
          </w:p>
          <w:p w14:paraId="07C484B3" w14:textId="77777777" w:rsidR="00C24C61" w:rsidRPr="00D87E53" w:rsidRDefault="00C24C61" w:rsidP="00C24C61">
            <w:pPr>
              <w:ind w:left="284" w:hanging="284"/>
              <w:jc w:val="right"/>
              <w:rPr>
                <w:rFonts w:ascii="Calibri" w:hAnsi="Calibri"/>
                <w:b/>
                <w:sz w:val="22"/>
                <w:lang w:eastAsia="en-US"/>
              </w:rPr>
            </w:pPr>
            <w:r w:rsidRPr="00D87E53">
              <w:rPr>
                <w:rFonts w:ascii="Calibri" w:hAnsi="Calibri"/>
                <w:b/>
                <w:sz w:val="22"/>
                <w:lang w:eastAsia="en-US"/>
              </w:rPr>
              <w:t>$’000</w:t>
            </w:r>
          </w:p>
        </w:tc>
      </w:tr>
      <w:tr w:rsidR="00C24C61" w:rsidRPr="00D87E53" w14:paraId="3073D05A" w14:textId="77777777" w:rsidTr="008C3168">
        <w:trPr>
          <w:cantSplit/>
        </w:trPr>
        <w:tc>
          <w:tcPr>
            <w:tcW w:w="3652" w:type="dxa"/>
            <w:tcBorders>
              <w:top w:val="single" w:sz="4" w:space="0" w:color="auto"/>
            </w:tcBorders>
          </w:tcPr>
          <w:p w14:paraId="7E7ED6CB" w14:textId="77777777" w:rsidR="00C24C61" w:rsidRPr="00D87E53" w:rsidRDefault="00C24C61" w:rsidP="00C24C61">
            <w:pPr>
              <w:ind w:left="284" w:hanging="284"/>
              <w:rPr>
                <w:rFonts w:ascii="Calibri" w:hAnsi="Calibri"/>
                <w:sz w:val="22"/>
                <w:lang w:eastAsia="en-US"/>
              </w:rPr>
            </w:pPr>
            <w:r w:rsidRPr="00D87E53">
              <w:rPr>
                <w:rFonts w:ascii="Calibri" w:hAnsi="Calibri"/>
                <w:sz w:val="22"/>
                <w:lang w:eastAsia="en-US"/>
              </w:rPr>
              <w:t>Capital</w:t>
            </w:r>
          </w:p>
        </w:tc>
        <w:tc>
          <w:tcPr>
            <w:tcW w:w="1179" w:type="dxa"/>
            <w:tcBorders>
              <w:top w:val="single" w:sz="4" w:space="0" w:color="auto"/>
            </w:tcBorders>
          </w:tcPr>
          <w:p w14:paraId="63032EBE"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6,394</w:t>
            </w:r>
          </w:p>
        </w:tc>
        <w:tc>
          <w:tcPr>
            <w:tcW w:w="1041" w:type="dxa"/>
            <w:tcBorders>
              <w:top w:val="single" w:sz="4" w:space="0" w:color="auto"/>
            </w:tcBorders>
          </w:tcPr>
          <w:p w14:paraId="0C2518C0"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12,403</w:t>
            </w:r>
          </w:p>
        </w:tc>
        <w:tc>
          <w:tcPr>
            <w:tcW w:w="1029" w:type="dxa"/>
            <w:tcBorders>
              <w:top w:val="single" w:sz="4" w:space="0" w:color="auto"/>
            </w:tcBorders>
          </w:tcPr>
          <w:p w14:paraId="06333C8B"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12,713</w:t>
            </w:r>
          </w:p>
        </w:tc>
        <w:tc>
          <w:tcPr>
            <w:tcW w:w="1029" w:type="dxa"/>
            <w:tcBorders>
              <w:top w:val="single" w:sz="4" w:space="0" w:color="auto"/>
            </w:tcBorders>
          </w:tcPr>
          <w:p w14:paraId="76A65C36"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6,000</w:t>
            </w:r>
          </w:p>
        </w:tc>
        <w:tc>
          <w:tcPr>
            <w:tcW w:w="1029" w:type="dxa"/>
            <w:tcBorders>
              <w:top w:val="single" w:sz="4" w:space="0" w:color="auto"/>
            </w:tcBorders>
          </w:tcPr>
          <w:p w14:paraId="672C7AE7" w14:textId="77777777" w:rsidR="00C24C61" w:rsidRPr="00D87E53" w:rsidRDefault="00C24C61" w:rsidP="00C24C61">
            <w:pPr>
              <w:ind w:left="284" w:hanging="284"/>
              <w:jc w:val="right"/>
              <w:rPr>
                <w:rFonts w:ascii="Calibri" w:hAnsi="Calibri"/>
                <w:b/>
                <w:sz w:val="22"/>
                <w:lang w:eastAsia="en-US"/>
              </w:rPr>
            </w:pPr>
            <w:r w:rsidRPr="00D87E53">
              <w:rPr>
                <w:rFonts w:ascii="Calibri" w:hAnsi="Calibri"/>
                <w:b/>
                <w:sz w:val="22"/>
                <w:lang w:eastAsia="en-US"/>
              </w:rPr>
              <w:t>37,510</w:t>
            </w:r>
          </w:p>
        </w:tc>
      </w:tr>
      <w:tr w:rsidR="00C24C61" w:rsidRPr="00D87E53" w14:paraId="4F16098D" w14:textId="77777777" w:rsidTr="008C3168">
        <w:trPr>
          <w:cantSplit/>
        </w:trPr>
        <w:tc>
          <w:tcPr>
            <w:tcW w:w="3652" w:type="dxa"/>
            <w:tcBorders>
              <w:bottom w:val="single" w:sz="4" w:space="0" w:color="auto"/>
            </w:tcBorders>
          </w:tcPr>
          <w:p w14:paraId="660CDDC4" w14:textId="77777777" w:rsidR="00C24C61" w:rsidRPr="00D87E53" w:rsidRDefault="00C24C61" w:rsidP="00C24C61">
            <w:pPr>
              <w:ind w:left="284" w:hanging="284"/>
              <w:rPr>
                <w:rFonts w:ascii="Calibri" w:hAnsi="Calibri"/>
                <w:sz w:val="22"/>
                <w:lang w:eastAsia="en-US"/>
              </w:rPr>
            </w:pPr>
            <w:r w:rsidRPr="00D87E53">
              <w:rPr>
                <w:rFonts w:ascii="Calibri" w:hAnsi="Calibri"/>
                <w:sz w:val="22"/>
                <w:lang w:eastAsia="en-US"/>
              </w:rPr>
              <w:t>Capital – Provision</w:t>
            </w:r>
          </w:p>
        </w:tc>
        <w:tc>
          <w:tcPr>
            <w:tcW w:w="1179" w:type="dxa"/>
            <w:tcBorders>
              <w:bottom w:val="single" w:sz="4" w:space="0" w:color="auto"/>
            </w:tcBorders>
          </w:tcPr>
          <w:p w14:paraId="16A49693"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w:t>
            </w:r>
          </w:p>
        </w:tc>
        <w:tc>
          <w:tcPr>
            <w:tcW w:w="1041" w:type="dxa"/>
            <w:tcBorders>
              <w:bottom w:val="single" w:sz="4" w:space="0" w:color="auto"/>
            </w:tcBorders>
          </w:tcPr>
          <w:p w14:paraId="43314E3C"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w:t>
            </w:r>
          </w:p>
        </w:tc>
        <w:tc>
          <w:tcPr>
            <w:tcW w:w="1029" w:type="dxa"/>
            <w:tcBorders>
              <w:bottom w:val="single" w:sz="4" w:space="0" w:color="auto"/>
            </w:tcBorders>
          </w:tcPr>
          <w:p w14:paraId="55931C8D"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w:t>
            </w:r>
          </w:p>
        </w:tc>
        <w:tc>
          <w:tcPr>
            <w:tcW w:w="1029" w:type="dxa"/>
            <w:tcBorders>
              <w:bottom w:val="single" w:sz="4" w:space="0" w:color="auto"/>
            </w:tcBorders>
          </w:tcPr>
          <w:p w14:paraId="07BB3560"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7,000</w:t>
            </w:r>
          </w:p>
        </w:tc>
        <w:tc>
          <w:tcPr>
            <w:tcW w:w="1029" w:type="dxa"/>
            <w:tcBorders>
              <w:bottom w:val="single" w:sz="4" w:space="0" w:color="auto"/>
            </w:tcBorders>
          </w:tcPr>
          <w:p w14:paraId="33FB69C9" w14:textId="77777777" w:rsidR="00C24C61" w:rsidRPr="00D87E53" w:rsidRDefault="00C24C61" w:rsidP="00C24C61">
            <w:pPr>
              <w:ind w:left="284" w:hanging="284"/>
              <w:jc w:val="right"/>
              <w:rPr>
                <w:rFonts w:ascii="Calibri" w:hAnsi="Calibri"/>
                <w:b/>
                <w:sz w:val="22"/>
                <w:lang w:eastAsia="en-US"/>
              </w:rPr>
            </w:pPr>
            <w:r w:rsidRPr="00D87E53">
              <w:rPr>
                <w:rFonts w:ascii="Calibri" w:hAnsi="Calibri"/>
                <w:b/>
                <w:sz w:val="22"/>
                <w:lang w:eastAsia="en-US"/>
              </w:rPr>
              <w:t>7,000</w:t>
            </w:r>
          </w:p>
        </w:tc>
      </w:tr>
      <w:tr w:rsidR="00C24C61" w:rsidRPr="00D87E53" w14:paraId="5E5F764A" w14:textId="77777777" w:rsidTr="008C3168">
        <w:trPr>
          <w:cantSplit/>
        </w:trPr>
        <w:tc>
          <w:tcPr>
            <w:tcW w:w="3652" w:type="dxa"/>
            <w:tcBorders>
              <w:top w:val="single" w:sz="4" w:space="0" w:color="auto"/>
              <w:bottom w:val="single" w:sz="4" w:space="0" w:color="auto"/>
            </w:tcBorders>
          </w:tcPr>
          <w:p w14:paraId="1B7955A5" w14:textId="77777777" w:rsidR="00C24C61" w:rsidRPr="00D87E53" w:rsidRDefault="00C24C61" w:rsidP="00C24C61">
            <w:pPr>
              <w:ind w:left="284" w:hanging="284"/>
              <w:rPr>
                <w:rFonts w:ascii="Calibri" w:hAnsi="Calibri"/>
                <w:b/>
                <w:sz w:val="22"/>
                <w:lang w:eastAsia="en-US"/>
              </w:rPr>
            </w:pPr>
            <w:r w:rsidRPr="00D87E53">
              <w:rPr>
                <w:rFonts w:ascii="Calibri" w:hAnsi="Calibri"/>
                <w:b/>
                <w:sz w:val="22"/>
                <w:lang w:eastAsia="en-US"/>
              </w:rPr>
              <w:t>Total capital</w:t>
            </w:r>
          </w:p>
        </w:tc>
        <w:tc>
          <w:tcPr>
            <w:tcW w:w="1179" w:type="dxa"/>
            <w:tcBorders>
              <w:top w:val="single" w:sz="4" w:space="0" w:color="auto"/>
              <w:bottom w:val="single" w:sz="4" w:space="0" w:color="auto"/>
            </w:tcBorders>
          </w:tcPr>
          <w:p w14:paraId="18D7523E" w14:textId="77777777" w:rsidR="00C24C61" w:rsidRPr="00D87E53" w:rsidRDefault="00C24C61" w:rsidP="00C24C61">
            <w:pPr>
              <w:ind w:left="284" w:hanging="284"/>
              <w:jc w:val="right"/>
              <w:rPr>
                <w:rFonts w:ascii="Calibri" w:hAnsi="Calibri"/>
                <w:b/>
                <w:sz w:val="22"/>
                <w:lang w:eastAsia="en-US"/>
              </w:rPr>
            </w:pPr>
            <w:r w:rsidRPr="00D87E53">
              <w:rPr>
                <w:rFonts w:ascii="Calibri" w:hAnsi="Calibri"/>
                <w:b/>
                <w:sz w:val="22"/>
                <w:lang w:eastAsia="en-US"/>
              </w:rPr>
              <w:t>6,394</w:t>
            </w:r>
          </w:p>
        </w:tc>
        <w:tc>
          <w:tcPr>
            <w:tcW w:w="1041" w:type="dxa"/>
            <w:tcBorders>
              <w:top w:val="single" w:sz="4" w:space="0" w:color="auto"/>
              <w:bottom w:val="single" w:sz="4" w:space="0" w:color="auto"/>
            </w:tcBorders>
          </w:tcPr>
          <w:p w14:paraId="177AC9F3" w14:textId="77777777" w:rsidR="00C24C61" w:rsidRPr="00D87E53" w:rsidRDefault="00C24C61" w:rsidP="00C24C61">
            <w:pPr>
              <w:ind w:left="284" w:hanging="284"/>
              <w:jc w:val="right"/>
              <w:rPr>
                <w:rFonts w:ascii="Calibri" w:hAnsi="Calibri"/>
                <w:b/>
                <w:sz w:val="22"/>
                <w:lang w:eastAsia="en-US"/>
              </w:rPr>
            </w:pPr>
            <w:r w:rsidRPr="00D87E53">
              <w:rPr>
                <w:rFonts w:ascii="Calibri" w:hAnsi="Calibri"/>
                <w:b/>
                <w:sz w:val="22"/>
                <w:lang w:eastAsia="en-US"/>
              </w:rPr>
              <w:t>12,403</w:t>
            </w:r>
          </w:p>
        </w:tc>
        <w:tc>
          <w:tcPr>
            <w:tcW w:w="1029" w:type="dxa"/>
            <w:tcBorders>
              <w:top w:val="single" w:sz="4" w:space="0" w:color="auto"/>
              <w:bottom w:val="single" w:sz="4" w:space="0" w:color="auto"/>
            </w:tcBorders>
          </w:tcPr>
          <w:p w14:paraId="5CA2364F" w14:textId="77777777" w:rsidR="00C24C61" w:rsidRPr="00D87E53" w:rsidRDefault="00C24C61" w:rsidP="00C24C61">
            <w:pPr>
              <w:ind w:left="284" w:hanging="284"/>
              <w:jc w:val="right"/>
              <w:rPr>
                <w:rFonts w:ascii="Calibri" w:hAnsi="Calibri"/>
                <w:b/>
                <w:sz w:val="22"/>
                <w:lang w:eastAsia="en-US"/>
              </w:rPr>
            </w:pPr>
            <w:r w:rsidRPr="00D87E53">
              <w:rPr>
                <w:rFonts w:ascii="Calibri" w:hAnsi="Calibri"/>
                <w:b/>
                <w:sz w:val="22"/>
                <w:lang w:eastAsia="en-US"/>
              </w:rPr>
              <w:t>12,713</w:t>
            </w:r>
          </w:p>
        </w:tc>
        <w:tc>
          <w:tcPr>
            <w:tcW w:w="1029" w:type="dxa"/>
            <w:tcBorders>
              <w:top w:val="single" w:sz="4" w:space="0" w:color="auto"/>
              <w:bottom w:val="single" w:sz="4" w:space="0" w:color="auto"/>
            </w:tcBorders>
          </w:tcPr>
          <w:p w14:paraId="560A5608" w14:textId="77777777" w:rsidR="00C24C61" w:rsidRPr="00D87E53" w:rsidRDefault="00C24C61" w:rsidP="00C24C61">
            <w:pPr>
              <w:ind w:left="284" w:hanging="284"/>
              <w:jc w:val="right"/>
              <w:rPr>
                <w:rFonts w:ascii="Calibri" w:hAnsi="Calibri"/>
                <w:b/>
                <w:sz w:val="22"/>
                <w:lang w:eastAsia="en-US"/>
              </w:rPr>
            </w:pPr>
            <w:r w:rsidRPr="00D87E53">
              <w:rPr>
                <w:rFonts w:ascii="Calibri" w:hAnsi="Calibri"/>
                <w:b/>
                <w:sz w:val="22"/>
                <w:lang w:eastAsia="en-US"/>
              </w:rPr>
              <w:t>13,000</w:t>
            </w:r>
          </w:p>
        </w:tc>
        <w:tc>
          <w:tcPr>
            <w:tcW w:w="1029" w:type="dxa"/>
            <w:tcBorders>
              <w:top w:val="single" w:sz="4" w:space="0" w:color="auto"/>
              <w:bottom w:val="single" w:sz="4" w:space="0" w:color="auto"/>
            </w:tcBorders>
          </w:tcPr>
          <w:p w14:paraId="659348DF" w14:textId="77777777" w:rsidR="00C24C61" w:rsidRPr="00D87E53" w:rsidRDefault="00C24C61" w:rsidP="00C24C61">
            <w:pPr>
              <w:ind w:left="284" w:hanging="284"/>
              <w:jc w:val="right"/>
              <w:rPr>
                <w:rFonts w:ascii="Calibri" w:hAnsi="Calibri"/>
                <w:b/>
                <w:sz w:val="22"/>
                <w:lang w:eastAsia="en-US"/>
              </w:rPr>
            </w:pPr>
            <w:r w:rsidRPr="00D87E53">
              <w:rPr>
                <w:rFonts w:ascii="Calibri" w:hAnsi="Calibri"/>
                <w:b/>
                <w:sz w:val="22"/>
                <w:lang w:eastAsia="en-US"/>
              </w:rPr>
              <w:t>44,510</w:t>
            </w:r>
          </w:p>
        </w:tc>
      </w:tr>
      <w:tr w:rsidR="00C24C61" w:rsidRPr="00D87E53" w14:paraId="53127D99" w14:textId="77777777" w:rsidTr="008C3168">
        <w:trPr>
          <w:cantSplit/>
        </w:trPr>
        <w:tc>
          <w:tcPr>
            <w:tcW w:w="3652" w:type="dxa"/>
            <w:tcBorders>
              <w:top w:val="single" w:sz="4" w:space="0" w:color="auto"/>
              <w:bottom w:val="single" w:sz="4" w:space="0" w:color="auto"/>
            </w:tcBorders>
          </w:tcPr>
          <w:p w14:paraId="0F49E893" w14:textId="77777777" w:rsidR="00C24C61" w:rsidRPr="00D87E53" w:rsidRDefault="00C24C61" w:rsidP="00C24C61">
            <w:pPr>
              <w:ind w:left="284" w:hanging="284"/>
              <w:rPr>
                <w:rFonts w:ascii="Calibri" w:hAnsi="Calibri"/>
                <w:sz w:val="22"/>
                <w:lang w:eastAsia="en-US"/>
              </w:rPr>
            </w:pPr>
            <w:r w:rsidRPr="00D87E53">
              <w:rPr>
                <w:rFonts w:ascii="Calibri" w:hAnsi="Calibri"/>
                <w:sz w:val="22"/>
                <w:lang w:eastAsia="en-US"/>
              </w:rPr>
              <w:t>Depreciation</w:t>
            </w:r>
          </w:p>
        </w:tc>
        <w:tc>
          <w:tcPr>
            <w:tcW w:w="1179" w:type="dxa"/>
            <w:tcBorders>
              <w:top w:val="single" w:sz="4" w:space="0" w:color="auto"/>
              <w:bottom w:val="single" w:sz="4" w:space="0" w:color="auto"/>
            </w:tcBorders>
          </w:tcPr>
          <w:p w14:paraId="216C1443"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w:t>
            </w:r>
          </w:p>
        </w:tc>
        <w:tc>
          <w:tcPr>
            <w:tcW w:w="1041" w:type="dxa"/>
            <w:tcBorders>
              <w:top w:val="single" w:sz="4" w:space="0" w:color="auto"/>
              <w:bottom w:val="single" w:sz="4" w:space="0" w:color="auto"/>
            </w:tcBorders>
          </w:tcPr>
          <w:p w14:paraId="4A522568"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320</w:t>
            </w:r>
          </w:p>
        </w:tc>
        <w:tc>
          <w:tcPr>
            <w:tcW w:w="1029" w:type="dxa"/>
            <w:tcBorders>
              <w:top w:val="single" w:sz="4" w:space="0" w:color="auto"/>
              <w:bottom w:val="single" w:sz="4" w:space="0" w:color="auto"/>
            </w:tcBorders>
          </w:tcPr>
          <w:p w14:paraId="4C71E32B"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940</w:t>
            </w:r>
          </w:p>
        </w:tc>
        <w:tc>
          <w:tcPr>
            <w:tcW w:w="1029" w:type="dxa"/>
            <w:tcBorders>
              <w:top w:val="single" w:sz="4" w:space="0" w:color="auto"/>
              <w:bottom w:val="single" w:sz="4" w:space="0" w:color="auto"/>
            </w:tcBorders>
          </w:tcPr>
          <w:p w14:paraId="4824C109"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1,576</w:t>
            </w:r>
          </w:p>
        </w:tc>
        <w:tc>
          <w:tcPr>
            <w:tcW w:w="1029" w:type="dxa"/>
            <w:tcBorders>
              <w:top w:val="single" w:sz="4" w:space="0" w:color="auto"/>
              <w:bottom w:val="single" w:sz="4" w:space="0" w:color="auto"/>
            </w:tcBorders>
          </w:tcPr>
          <w:p w14:paraId="450E5CFF"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2,836</w:t>
            </w:r>
          </w:p>
        </w:tc>
      </w:tr>
    </w:tbl>
    <w:p w14:paraId="0769440E" w14:textId="77777777" w:rsidR="00C24C61" w:rsidRPr="00C24C61" w:rsidRDefault="00C24C61" w:rsidP="008C3168">
      <w:pPr>
        <w:pStyle w:val="snapInitbody"/>
      </w:pPr>
      <w:r w:rsidRPr="00C24C61">
        <w:t xml:space="preserve">The Government will purchase 84 modern and fuel-efficient buses to improve accessibility and passenger comfort, increase reliability and lower maintenance costs on the new public transport network. The new buses will be added to the fleet on a rolling basis so that the ACT retains the flexibility to transition to emerging types of low-emissions vehicles if these become viable in the near future. </w:t>
      </w:r>
    </w:p>
    <w:p w14:paraId="6C648F05" w14:textId="313F4156" w:rsidR="00C24C61" w:rsidRPr="007A3A72" w:rsidRDefault="00C24C61" w:rsidP="007A3A72">
      <w:pPr>
        <w:pStyle w:val="Heading3"/>
      </w:pPr>
      <w:r w:rsidRPr="007A3A72">
        <w:t xml:space="preserve">Revenue </w:t>
      </w:r>
      <w:r w:rsidR="00B2594F">
        <w:t>I</w:t>
      </w:r>
      <w:r w:rsidRPr="007A3A72">
        <w:t xml:space="preserve">nitiatives </w:t>
      </w:r>
    </w:p>
    <w:p w14:paraId="68CFAD06" w14:textId="77777777" w:rsidR="00C24C61" w:rsidRPr="00202E81" w:rsidRDefault="00C24C61" w:rsidP="00202E81">
      <w:pPr>
        <w:pStyle w:val="snapInittitles"/>
      </w:pPr>
      <w:r w:rsidRPr="00202E81">
        <w:t>Revenue associated with expense initiatives</w:t>
      </w:r>
    </w:p>
    <w:tbl>
      <w:tblPr>
        <w:tblW w:w="5000" w:type="pct"/>
        <w:tblLayout w:type="fixed"/>
        <w:tblLook w:val="0000" w:firstRow="0" w:lastRow="0" w:firstColumn="0" w:lastColumn="0" w:noHBand="0" w:noVBand="0"/>
      </w:tblPr>
      <w:tblGrid>
        <w:gridCol w:w="3929"/>
        <w:gridCol w:w="1268"/>
        <w:gridCol w:w="1120"/>
        <w:gridCol w:w="1107"/>
        <w:gridCol w:w="1107"/>
        <w:gridCol w:w="1107"/>
      </w:tblGrid>
      <w:tr w:rsidR="00C24C61" w:rsidRPr="00D87E53" w14:paraId="560061C1" w14:textId="77777777" w:rsidTr="008C3168">
        <w:trPr>
          <w:cantSplit/>
        </w:trPr>
        <w:tc>
          <w:tcPr>
            <w:tcW w:w="3652" w:type="dxa"/>
            <w:tcBorders>
              <w:top w:val="single" w:sz="4" w:space="0" w:color="auto"/>
              <w:bottom w:val="single" w:sz="4" w:space="0" w:color="auto"/>
            </w:tcBorders>
          </w:tcPr>
          <w:p w14:paraId="022DA2EA" w14:textId="77777777" w:rsidR="00C24C61" w:rsidRPr="00D87E53" w:rsidRDefault="00C24C61" w:rsidP="00C24C61">
            <w:pPr>
              <w:jc w:val="right"/>
              <w:rPr>
                <w:rFonts w:ascii="Calibri" w:hAnsi="Calibri" w:cs="Calibri"/>
                <w:color w:val="FFFFFF"/>
                <w:sz w:val="22"/>
                <w:lang w:eastAsia="en-US"/>
              </w:rPr>
            </w:pPr>
            <w:r w:rsidRPr="00D87E53">
              <w:rPr>
                <w:rFonts w:ascii="Calibri" w:hAnsi="Calibri" w:cs="Calibri"/>
                <w:color w:val="FFFFFF"/>
                <w:sz w:val="22"/>
                <w:lang w:eastAsia="en-US"/>
              </w:rPr>
              <w:t xml:space="preserve"> </w:t>
            </w:r>
          </w:p>
        </w:tc>
        <w:tc>
          <w:tcPr>
            <w:tcW w:w="1179" w:type="dxa"/>
            <w:tcBorders>
              <w:top w:val="single" w:sz="4" w:space="0" w:color="auto"/>
              <w:bottom w:val="single" w:sz="4" w:space="0" w:color="auto"/>
            </w:tcBorders>
          </w:tcPr>
          <w:p w14:paraId="2BCF956B"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2019-20</w:t>
            </w:r>
          </w:p>
          <w:p w14:paraId="55A3FC5E"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$’000</w:t>
            </w:r>
          </w:p>
        </w:tc>
        <w:tc>
          <w:tcPr>
            <w:tcW w:w="1041" w:type="dxa"/>
            <w:tcBorders>
              <w:top w:val="single" w:sz="4" w:space="0" w:color="auto"/>
              <w:bottom w:val="single" w:sz="4" w:space="0" w:color="auto"/>
            </w:tcBorders>
          </w:tcPr>
          <w:p w14:paraId="0F159278"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2020-21</w:t>
            </w:r>
          </w:p>
          <w:p w14:paraId="49A0C3C9"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$’000</w:t>
            </w:r>
          </w:p>
        </w:tc>
        <w:tc>
          <w:tcPr>
            <w:tcW w:w="1029" w:type="dxa"/>
            <w:tcBorders>
              <w:top w:val="single" w:sz="4" w:space="0" w:color="auto"/>
              <w:bottom w:val="single" w:sz="4" w:space="0" w:color="auto"/>
            </w:tcBorders>
          </w:tcPr>
          <w:p w14:paraId="3783C6B8"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2021-22</w:t>
            </w:r>
          </w:p>
          <w:p w14:paraId="556B4C5F"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$’000</w:t>
            </w:r>
          </w:p>
        </w:tc>
        <w:tc>
          <w:tcPr>
            <w:tcW w:w="1029" w:type="dxa"/>
            <w:tcBorders>
              <w:top w:val="single" w:sz="4" w:space="0" w:color="auto"/>
              <w:bottom w:val="single" w:sz="4" w:space="0" w:color="auto"/>
            </w:tcBorders>
          </w:tcPr>
          <w:p w14:paraId="105DB5F3"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2022-23</w:t>
            </w:r>
          </w:p>
          <w:p w14:paraId="7619F228"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$’000</w:t>
            </w:r>
          </w:p>
        </w:tc>
        <w:tc>
          <w:tcPr>
            <w:tcW w:w="1029" w:type="dxa"/>
            <w:tcBorders>
              <w:top w:val="single" w:sz="4" w:space="0" w:color="auto"/>
              <w:bottom w:val="single" w:sz="4" w:space="0" w:color="auto"/>
            </w:tcBorders>
          </w:tcPr>
          <w:p w14:paraId="5C6BE24A" w14:textId="77777777" w:rsidR="00C24C61" w:rsidRPr="00D87E53" w:rsidRDefault="00C24C61" w:rsidP="00C24C61">
            <w:pPr>
              <w:ind w:left="284" w:hanging="284"/>
              <w:jc w:val="right"/>
              <w:rPr>
                <w:rFonts w:ascii="Calibri" w:hAnsi="Calibri"/>
                <w:b/>
                <w:sz w:val="22"/>
                <w:lang w:eastAsia="en-US"/>
              </w:rPr>
            </w:pPr>
            <w:r w:rsidRPr="00D87E53">
              <w:rPr>
                <w:rFonts w:ascii="Calibri" w:hAnsi="Calibri"/>
                <w:b/>
                <w:sz w:val="22"/>
                <w:lang w:eastAsia="en-US"/>
              </w:rPr>
              <w:t>Total</w:t>
            </w:r>
          </w:p>
          <w:p w14:paraId="31D5112B" w14:textId="77777777" w:rsidR="00C24C61" w:rsidRPr="00D87E53" w:rsidRDefault="00C24C61" w:rsidP="00C24C61">
            <w:pPr>
              <w:ind w:left="284" w:hanging="284"/>
              <w:jc w:val="right"/>
              <w:rPr>
                <w:rFonts w:ascii="Calibri" w:hAnsi="Calibri"/>
                <w:b/>
                <w:sz w:val="22"/>
                <w:lang w:eastAsia="en-US"/>
              </w:rPr>
            </w:pPr>
            <w:r w:rsidRPr="00D87E53">
              <w:rPr>
                <w:rFonts w:ascii="Calibri" w:hAnsi="Calibri"/>
                <w:b/>
                <w:sz w:val="22"/>
                <w:lang w:eastAsia="en-US"/>
              </w:rPr>
              <w:t>$’000</w:t>
            </w:r>
          </w:p>
        </w:tc>
      </w:tr>
      <w:tr w:rsidR="00C24C61" w:rsidRPr="00D87E53" w14:paraId="5698CD89" w14:textId="77777777" w:rsidTr="008C3168">
        <w:trPr>
          <w:cantSplit/>
        </w:trPr>
        <w:tc>
          <w:tcPr>
            <w:tcW w:w="3652" w:type="dxa"/>
            <w:tcBorders>
              <w:top w:val="single" w:sz="4" w:space="0" w:color="auto"/>
            </w:tcBorders>
          </w:tcPr>
          <w:p w14:paraId="67B31FB9" w14:textId="77777777" w:rsidR="00C24C61" w:rsidRPr="00D87E53" w:rsidRDefault="00C24C61" w:rsidP="00C24C61">
            <w:pPr>
              <w:ind w:left="284" w:hanging="284"/>
              <w:rPr>
                <w:rFonts w:ascii="Calibri" w:hAnsi="Calibri"/>
                <w:sz w:val="22"/>
                <w:lang w:eastAsia="en-US"/>
              </w:rPr>
            </w:pPr>
            <w:r w:rsidRPr="00D87E53">
              <w:rPr>
                <w:rFonts w:ascii="Calibri" w:hAnsi="Calibri"/>
                <w:sz w:val="22"/>
                <w:lang w:eastAsia="en-US"/>
              </w:rPr>
              <w:t>Improving compliance for better animal management, healthier trees and a cleaner city</w:t>
            </w:r>
          </w:p>
        </w:tc>
        <w:tc>
          <w:tcPr>
            <w:tcW w:w="1179" w:type="dxa"/>
            <w:tcBorders>
              <w:top w:val="single" w:sz="4" w:space="0" w:color="auto"/>
            </w:tcBorders>
          </w:tcPr>
          <w:p w14:paraId="5DD4EAA6"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482</w:t>
            </w:r>
          </w:p>
        </w:tc>
        <w:tc>
          <w:tcPr>
            <w:tcW w:w="1041" w:type="dxa"/>
            <w:tcBorders>
              <w:top w:val="single" w:sz="4" w:space="0" w:color="auto"/>
            </w:tcBorders>
          </w:tcPr>
          <w:p w14:paraId="4C3AD877"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w:t>
            </w:r>
          </w:p>
        </w:tc>
        <w:tc>
          <w:tcPr>
            <w:tcW w:w="1029" w:type="dxa"/>
            <w:tcBorders>
              <w:top w:val="single" w:sz="4" w:space="0" w:color="auto"/>
            </w:tcBorders>
          </w:tcPr>
          <w:p w14:paraId="088F383B"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w:t>
            </w:r>
          </w:p>
        </w:tc>
        <w:tc>
          <w:tcPr>
            <w:tcW w:w="1029" w:type="dxa"/>
            <w:tcBorders>
              <w:top w:val="single" w:sz="4" w:space="0" w:color="auto"/>
            </w:tcBorders>
          </w:tcPr>
          <w:p w14:paraId="796CF198"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0</w:t>
            </w:r>
          </w:p>
        </w:tc>
        <w:tc>
          <w:tcPr>
            <w:tcW w:w="1029" w:type="dxa"/>
            <w:tcBorders>
              <w:top w:val="single" w:sz="4" w:space="0" w:color="auto"/>
            </w:tcBorders>
          </w:tcPr>
          <w:p w14:paraId="637D3CF7" w14:textId="77777777" w:rsidR="00C24C61" w:rsidRPr="00D87E53" w:rsidRDefault="00C24C61" w:rsidP="00C24C61">
            <w:pPr>
              <w:ind w:left="284" w:hanging="284"/>
              <w:jc w:val="right"/>
              <w:rPr>
                <w:rFonts w:ascii="Calibri" w:hAnsi="Calibri"/>
                <w:b/>
                <w:sz w:val="22"/>
                <w:lang w:eastAsia="en-US"/>
              </w:rPr>
            </w:pPr>
            <w:r w:rsidRPr="00D87E53">
              <w:rPr>
                <w:rFonts w:ascii="Calibri" w:hAnsi="Calibri"/>
                <w:b/>
                <w:sz w:val="22"/>
                <w:lang w:eastAsia="en-US"/>
              </w:rPr>
              <w:t>482</w:t>
            </w:r>
          </w:p>
        </w:tc>
      </w:tr>
      <w:tr w:rsidR="00C24C61" w:rsidRPr="00D87E53" w14:paraId="792E5F78" w14:textId="77777777" w:rsidTr="008C3168">
        <w:trPr>
          <w:cantSplit/>
        </w:trPr>
        <w:tc>
          <w:tcPr>
            <w:tcW w:w="3652" w:type="dxa"/>
            <w:tcBorders>
              <w:bottom w:val="single" w:sz="4" w:space="0" w:color="auto"/>
            </w:tcBorders>
          </w:tcPr>
          <w:p w14:paraId="3F11D9A3" w14:textId="77777777" w:rsidR="00C24C61" w:rsidRPr="00D87E53" w:rsidRDefault="00C24C61" w:rsidP="00C24C61">
            <w:pPr>
              <w:ind w:left="284" w:hanging="284"/>
              <w:rPr>
                <w:rFonts w:ascii="Calibri" w:hAnsi="Calibri"/>
                <w:sz w:val="22"/>
                <w:lang w:eastAsia="en-US"/>
              </w:rPr>
            </w:pPr>
            <w:r w:rsidRPr="00D87E53">
              <w:rPr>
                <w:rFonts w:ascii="Calibri" w:hAnsi="Calibri"/>
                <w:sz w:val="22"/>
                <w:lang w:eastAsia="en-US"/>
              </w:rPr>
              <w:t>Managing waste better</w:t>
            </w:r>
          </w:p>
        </w:tc>
        <w:tc>
          <w:tcPr>
            <w:tcW w:w="1179" w:type="dxa"/>
            <w:tcBorders>
              <w:bottom w:val="single" w:sz="4" w:space="0" w:color="auto"/>
            </w:tcBorders>
          </w:tcPr>
          <w:p w14:paraId="2AD70607"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1,485</w:t>
            </w:r>
          </w:p>
        </w:tc>
        <w:tc>
          <w:tcPr>
            <w:tcW w:w="1041" w:type="dxa"/>
            <w:tcBorders>
              <w:bottom w:val="single" w:sz="4" w:space="0" w:color="auto"/>
            </w:tcBorders>
          </w:tcPr>
          <w:p w14:paraId="160EFCC8"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4,740</w:t>
            </w:r>
          </w:p>
        </w:tc>
        <w:tc>
          <w:tcPr>
            <w:tcW w:w="1029" w:type="dxa"/>
            <w:tcBorders>
              <w:bottom w:val="single" w:sz="4" w:space="0" w:color="auto"/>
            </w:tcBorders>
          </w:tcPr>
          <w:p w14:paraId="58044E03"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6,210</w:t>
            </w:r>
          </w:p>
        </w:tc>
        <w:tc>
          <w:tcPr>
            <w:tcW w:w="1029" w:type="dxa"/>
            <w:tcBorders>
              <w:bottom w:val="single" w:sz="4" w:space="0" w:color="auto"/>
            </w:tcBorders>
          </w:tcPr>
          <w:p w14:paraId="38319C43" w14:textId="77777777" w:rsidR="00C24C61" w:rsidRPr="00D87E53" w:rsidRDefault="00C24C61" w:rsidP="00C24C61">
            <w:pPr>
              <w:ind w:left="284" w:hanging="284"/>
              <w:jc w:val="right"/>
              <w:rPr>
                <w:rFonts w:ascii="Calibri" w:hAnsi="Calibri"/>
                <w:sz w:val="22"/>
                <w:lang w:eastAsia="en-US"/>
              </w:rPr>
            </w:pPr>
            <w:r w:rsidRPr="00D87E53">
              <w:rPr>
                <w:rFonts w:ascii="Calibri" w:hAnsi="Calibri"/>
                <w:sz w:val="22"/>
                <w:lang w:eastAsia="en-US"/>
              </w:rPr>
              <w:t>5,880</w:t>
            </w:r>
          </w:p>
        </w:tc>
        <w:tc>
          <w:tcPr>
            <w:tcW w:w="1029" w:type="dxa"/>
            <w:tcBorders>
              <w:bottom w:val="single" w:sz="4" w:space="0" w:color="auto"/>
            </w:tcBorders>
          </w:tcPr>
          <w:p w14:paraId="624481A4" w14:textId="77777777" w:rsidR="00C24C61" w:rsidRPr="00D87E53" w:rsidRDefault="00C24C61" w:rsidP="00C24C61">
            <w:pPr>
              <w:ind w:left="284" w:hanging="284"/>
              <w:jc w:val="right"/>
              <w:rPr>
                <w:rFonts w:ascii="Calibri" w:hAnsi="Calibri"/>
                <w:b/>
                <w:sz w:val="22"/>
                <w:lang w:eastAsia="en-US"/>
              </w:rPr>
            </w:pPr>
            <w:r w:rsidRPr="00D87E53">
              <w:rPr>
                <w:rFonts w:ascii="Calibri" w:hAnsi="Calibri"/>
                <w:b/>
                <w:sz w:val="22"/>
                <w:lang w:eastAsia="en-US"/>
              </w:rPr>
              <w:t>18,315</w:t>
            </w:r>
          </w:p>
        </w:tc>
      </w:tr>
    </w:tbl>
    <w:p w14:paraId="5AC29868" w14:textId="1A2D9084" w:rsidR="00811157" w:rsidRPr="00CD05EF" w:rsidRDefault="00C24C61" w:rsidP="0060034E">
      <w:pPr>
        <w:pStyle w:val="snapInitbody"/>
      </w:pPr>
      <w:r w:rsidRPr="00C24C61">
        <w:t>Refer to Expense initiatives (Chapter 3.2) for more information.</w:t>
      </w:r>
    </w:p>
    <w:sectPr w:rsidR="00811157" w:rsidRPr="00CD05EF" w:rsidSect="00350D41">
      <w:footerReference w:type="even" r:id="rId18"/>
      <w:footerReference w:type="default" r:id="rId19"/>
      <w:headerReference w:type="first" r:id="rId20"/>
      <w:pgSz w:w="11906" w:h="16838" w:code="9"/>
      <w:pgMar w:top="1077" w:right="1134" w:bottom="90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DC9A6" w14:textId="77777777" w:rsidR="00F0697A" w:rsidRDefault="00F0697A">
      <w:r>
        <w:separator/>
      </w:r>
    </w:p>
  </w:endnote>
  <w:endnote w:type="continuationSeparator" w:id="0">
    <w:p w14:paraId="45D18F51" w14:textId="77777777" w:rsidR="00F0697A" w:rsidRDefault="00F0697A">
      <w:r>
        <w:continuationSeparator/>
      </w:r>
    </w:p>
  </w:endnote>
  <w:endnote w:type="continuationNotice" w:id="1">
    <w:p w14:paraId="62F78550" w14:textId="77777777" w:rsidR="00F0697A" w:rsidRDefault="00F069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1)">
    <w:altName w:val="Arial"/>
    <w:charset w:val="00"/>
    <w:family w:val="swiss"/>
    <w:pitch w:val="variable"/>
    <w:sig w:usb0="E0002A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00000001" w:usb1="08070000" w:usb2="00000010" w:usb3="00000000" w:csb0="00020000" w:csb1="00000000"/>
  </w:font>
  <w:font w:name="Optima-Regular">
    <w:altName w:val="Calibri"/>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29871" w14:textId="77777777" w:rsidR="00927277" w:rsidRDefault="00927277"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C29872" w14:textId="77777777" w:rsidR="00927277" w:rsidRDefault="009272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29873" w14:textId="77777777" w:rsidR="00927277" w:rsidRDefault="00927277" w:rsidP="00367373">
    <w:pPr>
      <w:pStyle w:val="Footer"/>
      <w:framePr w:wrap="around" w:vAnchor="text" w:hAnchor="page" w:x="5842" w:y="16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AC29874" w14:textId="77777777" w:rsidR="00927277" w:rsidRDefault="00927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29103" w14:textId="77777777" w:rsidR="00F0697A" w:rsidRDefault="00F0697A">
      <w:r>
        <w:separator/>
      </w:r>
    </w:p>
  </w:footnote>
  <w:footnote w:type="continuationSeparator" w:id="0">
    <w:p w14:paraId="59B540F7" w14:textId="77777777" w:rsidR="00F0697A" w:rsidRDefault="00F0697A">
      <w:r>
        <w:continuationSeparator/>
      </w:r>
    </w:p>
  </w:footnote>
  <w:footnote w:type="continuationNotice" w:id="1">
    <w:p w14:paraId="65D63698" w14:textId="77777777" w:rsidR="00F0697A" w:rsidRDefault="00F069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29876" w14:textId="7FC7D5F8" w:rsidR="00927277" w:rsidRDefault="00927277" w:rsidP="00CF58E5">
    <w:pPr>
      <w:pStyle w:val="Body"/>
    </w:pPr>
    <w:r>
      <w:rPr>
        <w:noProof/>
        <w:lang w:eastAsia="en-AU"/>
      </w:rPr>
      <w:drawing>
        <wp:anchor distT="0" distB="0" distL="114300" distR="114300" simplePos="0" relativeHeight="251658240" behindDoc="1" locked="0" layoutInCell="1" allowOverlap="1" wp14:anchorId="5AC2987A" wp14:editId="00BFCC8C">
          <wp:simplePos x="0" y="0"/>
          <wp:positionH relativeFrom="column">
            <wp:posOffset>-836295</wp:posOffset>
          </wp:positionH>
          <wp:positionV relativeFrom="page">
            <wp:posOffset>-114300</wp:posOffset>
          </wp:positionV>
          <wp:extent cx="7772400" cy="15367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536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2CE8854"/>
    <w:styleLink w:val="1ai13"/>
    <w:lvl w:ilvl="0">
      <w:start w:val="1"/>
      <w:numFmt w:val="decimal"/>
      <w:lvlText w:val="%1."/>
      <w:lvlJc w:val="left"/>
      <w:pPr>
        <w:tabs>
          <w:tab w:val="num" w:pos="1209"/>
        </w:tabs>
        <w:ind w:left="1209" w:hanging="360"/>
      </w:pPr>
    </w:lvl>
  </w:abstractNum>
  <w:abstractNum w:abstractNumId="1" w15:restartNumberingAfterBreak="0">
    <w:nsid w:val="FFFFFF81"/>
    <w:multiLevelType w:val="singleLevel"/>
    <w:tmpl w:val="2F564408"/>
    <w:styleLink w:val="1111111"/>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15:restartNumberingAfterBreak="0">
    <w:nsid w:val="08E60934"/>
    <w:multiLevelType w:val="hybridMultilevel"/>
    <w:tmpl w:val="93AA6100"/>
    <w:styleLink w:val="11111112"/>
    <w:lvl w:ilvl="0" w:tplc="D4682E1E">
      <w:start w:val="1"/>
      <w:numFmt w:val="bullet"/>
      <w:pStyle w:val="BodyTextIndent4"/>
      <w:lvlText w:val="–"/>
      <w:lvlJc w:val="left"/>
      <w:pPr>
        <w:tabs>
          <w:tab w:val="num" w:pos="2016"/>
        </w:tabs>
        <w:ind w:left="2016" w:hanging="360"/>
      </w:pPr>
      <w:rPr>
        <w:rFonts w:ascii="Times New Roman" w:hAnsi="Times New Roman" w:cs="Times New Roman"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09176078"/>
    <w:multiLevelType w:val="multilevel"/>
    <w:tmpl w:val="57085E76"/>
    <w:lvl w:ilvl="0">
      <w:start w:val="1"/>
      <w:numFmt w:val="bullet"/>
      <w:pStyle w:val="ListBullet"/>
      <w:lvlText w:val=""/>
      <w:lvlJc w:val="left"/>
      <w:pPr>
        <w:tabs>
          <w:tab w:val="num" w:pos="567"/>
        </w:tabs>
        <w:ind w:left="567" w:hanging="567"/>
      </w:pPr>
      <w:rPr>
        <w:rFonts w:ascii="Symbol" w:hAnsi="Symbol" w:hint="default"/>
        <w:b w:val="0"/>
        <w:i w:val="0"/>
        <w:color w:val="auto"/>
        <w:sz w:val="20"/>
      </w:rPr>
    </w:lvl>
    <w:lvl w:ilvl="1">
      <w:start w:val="1"/>
      <w:numFmt w:val="bullet"/>
      <w:lvlText w:val=""/>
      <w:lvlJc w:val="left"/>
      <w:pPr>
        <w:tabs>
          <w:tab w:val="num" w:pos="1134"/>
        </w:tabs>
        <w:ind w:left="1134" w:hanging="567"/>
      </w:pPr>
      <w:rPr>
        <w:rFonts w:ascii="Symbol" w:hAnsi="Symbol" w:hint="default"/>
        <w:color w:val="005984"/>
        <w:sz w:val="20"/>
      </w:rPr>
    </w:lvl>
    <w:lvl w:ilvl="2">
      <w:start w:val="1"/>
      <w:numFmt w:val="bullet"/>
      <w:lvlText w:val=""/>
      <w:lvlJc w:val="left"/>
      <w:pPr>
        <w:tabs>
          <w:tab w:val="num" w:pos="1701"/>
        </w:tabs>
        <w:ind w:left="1701" w:hanging="567"/>
      </w:pPr>
      <w:rPr>
        <w:rFonts w:ascii="Symbol" w:hAnsi="Symbol" w:hint="default"/>
        <w:color w:val="005984"/>
        <w:sz w:val="20"/>
      </w:rPr>
    </w:lvl>
    <w:lvl w:ilvl="3">
      <w:start w:val="1"/>
      <w:numFmt w:val="bullet"/>
      <w:lvlText w:val=""/>
      <w:lvlJc w:val="left"/>
      <w:pPr>
        <w:tabs>
          <w:tab w:val="num" w:pos="2268"/>
        </w:tabs>
        <w:ind w:left="2268" w:hanging="567"/>
      </w:pPr>
      <w:rPr>
        <w:rFonts w:ascii="Symbol" w:hAnsi="Symbol" w:hint="default"/>
        <w:color w:val="005984"/>
        <w:sz w:val="20"/>
      </w:rPr>
    </w:lvl>
    <w:lvl w:ilvl="4">
      <w:start w:val="1"/>
      <w:numFmt w:val="bullet"/>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15115611"/>
    <w:multiLevelType w:val="multilevel"/>
    <w:tmpl w:val="93EA0254"/>
    <w:styleLink w:val="ArticleSection23"/>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0" w15:restartNumberingAfterBreak="0">
    <w:nsid w:val="1804168A"/>
    <w:multiLevelType w:val="hybridMultilevel"/>
    <w:tmpl w:val="B30A07B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406B23"/>
    <w:multiLevelType w:val="hybridMultilevel"/>
    <w:tmpl w:val="B3983C1C"/>
    <w:lvl w:ilvl="0" w:tplc="4CCC8564">
      <w:start w:val="1"/>
      <w:numFmt w:val="lowerLetter"/>
      <w:pStyle w:val="BStablelist"/>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276A38C9"/>
    <w:multiLevelType w:val="hybridMultilevel"/>
    <w:tmpl w:val="6D2455A2"/>
    <w:lvl w:ilvl="0" w:tplc="A90EFF1A">
      <w:start w:val="1"/>
      <w:numFmt w:val="decimal"/>
      <w:pStyle w:val="BS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7D12BC8"/>
    <w:multiLevelType w:val="hybridMultilevel"/>
    <w:tmpl w:val="21507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7" w15:restartNumberingAfterBreak="0">
    <w:nsid w:val="3BB967CA"/>
    <w:multiLevelType w:val="hybridMultilevel"/>
    <w:tmpl w:val="119E4D9C"/>
    <w:lvl w:ilvl="0" w:tplc="880A59D0">
      <w:start w:val="1"/>
      <w:numFmt w:val="bullet"/>
      <w:pStyle w:val="DotPoint"/>
      <w:lvlText w:val=""/>
      <w:lvlJc w:val="left"/>
      <w:pPr>
        <w:ind w:left="360" w:hanging="360"/>
      </w:pPr>
      <w:rPr>
        <w:rFonts w:ascii="Symbol" w:hAnsi="Symbol" w:hint="default"/>
      </w:rPr>
    </w:lvl>
    <w:lvl w:ilvl="1" w:tplc="0C090019">
      <w:start w:val="1"/>
      <w:numFmt w:val="bullet"/>
      <w:pStyle w:val="SubdotPoint"/>
      <w:lvlText w:val="o"/>
      <w:lvlJc w:val="left"/>
      <w:pPr>
        <w:ind w:left="1080" w:hanging="360"/>
      </w:pPr>
      <w:rPr>
        <w:rFonts w:ascii="Courier New" w:hAnsi="Courier New" w:cs="Courier New" w:hint="default"/>
      </w:rPr>
    </w:lvl>
    <w:lvl w:ilvl="2" w:tplc="0C09001B">
      <w:start w:val="1"/>
      <w:numFmt w:val="bullet"/>
      <w:lvlText w:val=""/>
      <w:lvlJc w:val="left"/>
      <w:pPr>
        <w:ind w:left="1800" w:hanging="360"/>
      </w:pPr>
      <w:rPr>
        <w:rFonts w:ascii="Wingdings" w:hAnsi="Wingdings" w:hint="default"/>
      </w:rPr>
    </w:lvl>
    <w:lvl w:ilvl="3" w:tplc="0C09000F">
      <w:start w:val="1"/>
      <w:numFmt w:val="bullet"/>
      <w:lvlText w:val=""/>
      <w:lvlJc w:val="left"/>
      <w:pPr>
        <w:ind w:left="2520" w:hanging="360"/>
      </w:pPr>
      <w:rPr>
        <w:rFonts w:ascii="Symbol" w:hAnsi="Symbol" w:hint="default"/>
      </w:rPr>
    </w:lvl>
    <w:lvl w:ilvl="4" w:tplc="0C090019">
      <w:start w:val="1"/>
      <w:numFmt w:val="bullet"/>
      <w:lvlText w:val="o"/>
      <w:lvlJc w:val="left"/>
      <w:pPr>
        <w:ind w:left="3240" w:hanging="360"/>
      </w:pPr>
      <w:rPr>
        <w:rFonts w:ascii="Courier New" w:hAnsi="Courier New" w:cs="Courier New" w:hint="default"/>
      </w:rPr>
    </w:lvl>
    <w:lvl w:ilvl="5" w:tplc="0C09001B">
      <w:start w:val="1"/>
      <w:numFmt w:val="bullet"/>
      <w:lvlText w:val=""/>
      <w:lvlJc w:val="left"/>
      <w:pPr>
        <w:ind w:left="3960" w:hanging="360"/>
      </w:pPr>
      <w:rPr>
        <w:rFonts w:ascii="Wingdings" w:hAnsi="Wingdings" w:hint="default"/>
      </w:rPr>
    </w:lvl>
    <w:lvl w:ilvl="6" w:tplc="0C09000F">
      <w:start w:val="1"/>
      <w:numFmt w:val="bullet"/>
      <w:lvlText w:val=""/>
      <w:lvlJc w:val="left"/>
      <w:pPr>
        <w:ind w:left="4680" w:hanging="360"/>
      </w:pPr>
      <w:rPr>
        <w:rFonts w:ascii="Symbol" w:hAnsi="Symbol" w:hint="default"/>
      </w:rPr>
    </w:lvl>
    <w:lvl w:ilvl="7" w:tplc="0C090019">
      <w:start w:val="1"/>
      <w:numFmt w:val="bullet"/>
      <w:lvlText w:val="o"/>
      <w:lvlJc w:val="left"/>
      <w:pPr>
        <w:ind w:left="5400" w:hanging="360"/>
      </w:pPr>
      <w:rPr>
        <w:rFonts w:ascii="Courier New" w:hAnsi="Courier New" w:cs="Courier New" w:hint="default"/>
      </w:rPr>
    </w:lvl>
    <w:lvl w:ilvl="8" w:tplc="0C09001B">
      <w:start w:val="1"/>
      <w:numFmt w:val="bullet"/>
      <w:lvlText w:val=""/>
      <w:lvlJc w:val="left"/>
      <w:pPr>
        <w:ind w:left="6120" w:hanging="360"/>
      </w:pPr>
      <w:rPr>
        <w:rFonts w:ascii="Wingdings" w:hAnsi="Wingdings" w:hint="default"/>
      </w:rPr>
    </w:lvl>
  </w:abstractNum>
  <w:abstractNum w:abstractNumId="18" w15:restartNumberingAfterBreak="0">
    <w:nsid w:val="40A652B7"/>
    <w:multiLevelType w:val="multilevel"/>
    <w:tmpl w:val="8A1A986E"/>
    <w:styleLink w:val="1ai23"/>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452556E2"/>
    <w:multiLevelType w:val="hybridMultilevel"/>
    <w:tmpl w:val="D33EA2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3F2FF5"/>
    <w:multiLevelType w:val="hybridMultilevel"/>
    <w:tmpl w:val="0B4477AA"/>
    <w:lvl w:ilvl="0" w:tplc="160C3F6C">
      <w:start w:val="1"/>
      <w:numFmt w:val="bullet"/>
      <w:pStyle w:val="List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pStyle w:val="ListBullet3"/>
      <w:lvlText w:val=""/>
      <w:lvlJc w:val="left"/>
      <w:pPr>
        <w:ind w:left="2727" w:hanging="360"/>
      </w:pPr>
      <w:rPr>
        <w:rFonts w:ascii="Wingdings" w:hAnsi="Wingdings" w:hint="default"/>
      </w:rPr>
    </w:lvl>
    <w:lvl w:ilvl="3" w:tplc="0C090001" w:tentative="1">
      <w:start w:val="1"/>
      <w:numFmt w:val="bullet"/>
      <w:pStyle w:val="ListBullet4"/>
      <w:lvlText w:val=""/>
      <w:lvlJc w:val="left"/>
      <w:pPr>
        <w:ind w:left="3447" w:hanging="360"/>
      </w:pPr>
      <w:rPr>
        <w:rFonts w:ascii="Symbol" w:hAnsi="Symbol" w:hint="default"/>
      </w:rPr>
    </w:lvl>
    <w:lvl w:ilvl="4" w:tplc="0C090003" w:tentative="1">
      <w:start w:val="1"/>
      <w:numFmt w:val="bullet"/>
      <w:pStyle w:val="ListBullet5"/>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464A3962"/>
    <w:multiLevelType w:val="hybridMultilevel"/>
    <w:tmpl w:val="63D67E68"/>
    <w:lvl w:ilvl="0" w:tplc="ED743F8C">
      <w:start w:val="1"/>
      <w:numFmt w:val="decimal"/>
      <w:pStyle w:val="Alnotes"/>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98D7781"/>
    <w:multiLevelType w:val="hybridMultilevel"/>
    <w:tmpl w:val="BA74625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303B0C"/>
    <w:multiLevelType w:val="multilevel"/>
    <w:tmpl w:val="08090023"/>
    <w:styleLink w:val="111111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4EAA1946"/>
    <w:multiLevelType w:val="hybridMultilevel"/>
    <w:tmpl w:val="B44C51C0"/>
    <w:lvl w:ilvl="0" w:tplc="FFFFFFFF">
      <w:start w:val="1"/>
      <w:numFmt w:val="bullet"/>
      <w:lvlText w:val=""/>
      <w:lvlJc w:val="left"/>
      <w:pPr>
        <w:tabs>
          <w:tab w:val="num" w:pos="360"/>
        </w:tabs>
        <w:ind w:left="360" w:hanging="360"/>
      </w:pPr>
      <w:rPr>
        <w:rFonts w:ascii="Symbol" w:hAnsi="Symbol" w:hint="default"/>
        <w:sz w:val="16"/>
      </w:rPr>
    </w:lvl>
    <w:lvl w:ilvl="1" w:tplc="FFFFFFFF">
      <w:start w:val="24"/>
      <w:numFmt w:val="decimal"/>
      <w:pStyle w:val="Numbering"/>
      <w:lvlText w:val="%2."/>
      <w:lvlJc w:val="left"/>
      <w:pPr>
        <w:tabs>
          <w:tab w:val="num" w:pos="1440"/>
        </w:tabs>
        <w:ind w:left="1440" w:hanging="360"/>
      </w:pPr>
      <w:rPr>
        <w:rFonts w:cs="Times New Roman" w:hint="default"/>
      </w:rPr>
    </w:lvl>
    <w:lvl w:ilvl="2" w:tplc="FFFFFFFF">
      <w:start w:val="10"/>
      <w:numFmt w:val="decimal"/>
      <w:lvlText w:val="%3."/>
      <w:lvlJc w:val="left"/>
      <w:pPr>
        <w:tabs>
          <w:tab w:val="num" w:pos="2160"/>
        </w:tabs>
        <w:ind w:left="2160" w:hanging="360"/>
      </w:pPr>
      <w:rPr>
        <w:rFont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D22684"/>
    <w:multiLevelType w:val="multilevel"/>
    <w:tmpl w:val="E9D2CC8E"/>
    <w:lvl w:ilvl="0">
      <w:start w:val="1"/>
      <w:numFmt w:val="bullet"/>
      <w:pStyle w:val="Table-ListBullet"/>
      <w:lvlText w:val=""/>
      <w:lvlJc w:val="left"/>
      <w:pPr>
        <w:ind w:left="360" w:hanging="360"/>
      </w:pPr>
      <w:rPr>
        <w:rFonts w:ascii="Symbol" w:hAnsi="Symbol" w:hint="default"/>
        <w:b w:val="0"/>
        <w:i w:val="0"/>
        <w:color w:val="auto"/>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15:restartNumberingAfterBreak="0">
    <w:nsid w:val="50E65B91"/>
    <w:multiLevelType w:val="hybridMultilevel"/>
    <w:tmpl w:val="C448AC36"/>
    <w:lvl w:ilvl="0" w:tplc="0C09000F">
      <w:start w:val="1"/>
      <w:numFmt w:val="bullet"/>
      <w:pStyle w:val="Paragraph2-Bullets"/>
      <w:lvlText w:val=""/>
      <w:lvlJc w:val="left"/>
      <w:pPr>
        <w:tabs>
          <w:tab w:val="num" w:pos="567"/>
        </w:tabs>
        <w:ind w:left="567" w:hanging="567"/>
      </w:pPr>
      <w:rPr>
        <w:rFonts w:ascii="Symbol" w:hAnsi="Symbol" w:hint="default"/>
      </w:rPr>
    </w:lvl>
    <w:lvl w:ilvl="1" w:tplc="0C090019">
      <w:start w:val="1"/>
      <w:numFmt w:val="bullet"/>
      <w:lvlText w:val=""/>
      <w:lvlJc w:val="left"/>
      <w:pPr>
        <w:tabs>
          <w:tab w:val="num" w:pos="1440"/>
        </w:tabs>
        <w:ind w:left="1440" w:hanging="360"/>
      </w:pPr>
      <w:rPr>
        <w:rFonts w:ascii="Symbol" w:hAnsi="Symbol"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255168"/>
    <w:multiLevelType w:val="hybridMultilevel"/>
    <w:tmpl w:val="943A1E60"/>
    <w:styleLink w:val="1ai12"/>
    <w:lvl w:ilvl="0" w:tplc="66CE7AB2">
      <w:start w:val="1"/>
      <w:numFmt w:val="lowerLetter"/>
      <w:pStyle w:val="TableTextIndent"/>
      <w:lvlText w:val="%1."/>
      <w:lvlJc w:val="left"/>
      <w:pPr>
        <w:tabs>
          <w:tab w:val="num" w:pos="360"/>
        </w:tabs>
        <w:ind w:left="357" w:hanging="357"/>
      </w:pPr>
      <w:rPr>
        <w:rFonts w:hint="default"/>
      </w:rPr>
    </w:lvl>
    <w:lvl w:ilvl="1" w:tplc="65E473EA" w:tentative="1">
      <w:start w:val="1"/>
      <w:numFmt w:val="lowerLetter"/>
      <w:lvlText w:val="%2."/>
      <w:lvlJc w:val="left"/>
      <w:pPr>
        <w:tabs>
          <w:tab w:val="num" w:pos="1440"/>
        </w:tabs>
        <w:ind w:left="1440" w:hanging="360"/>
      </w:pPr>
    </w:lvl>
    <w:lvl w:ilvl="2" w:tplc="75AEEEBA" w:tentative="1">
      <w:start w:val="1"/>
      <w:numFmt w:val="lowerRoman"/>
      <w:lvlText w:val="%3."/>
      <w:lvlJc w:val="right"/>
      <w:pPr>
        <w:tabs>
          <w:tab w:val="num" w:pos="2160"/>
        </w:tabs>
        <w:ind w:left="2160" w:hanging="180"/>
      </w:pPr>
    </w:lvl>
    <w:lvl w:ilvl="3" w:tplc="DA349B18" w:tentative="1">
      <w:start w:val="1"/>
      <w:numFmt w:val="decimal"/>
      <w:lvlText w:val="%4."/>
      <w:lvlJc w:val="left"/>
      <w:pPr>
        <w:tabs>
          <w:tab w:val="num" w:pos="2880"/>
        </w:tabs>
        <w:ind w:left="2880" w:hanging="360"/>
      </w:pPr>
    </w:lvl>
    <w:lvl w:ilvl="4" w:tplc="6FA0C722" w:tentative="1">
      <w:start w:val="1"/>
      <w:numFmt w:val="lowerLetter"/>
      <w:lvlText w:val="%5."/>
      <w:lvlJc w:val="left"/>
      <w:pPr>
        <w:tabs>
          <w:tab w:val="num" w:pos="3600"/>
        </w:tabs>
        <w:ind w:left="3600" w:hanging="360"/>
      </w:pPr>
    </w:lvl>
    <w:lvl w:ilvl="5" w:tplc="1AF8F67A" w:tentative="1">
      <w:start w:val="1"/>
      <w:numFmt w:val="lowerRoman"/>
      <w:lvlText w:val="%6."/>
      <w:lvlJc w:val="right"/>
      <w:pPr>
        <w:tabs>
          <w:tab w:val="num" w:pos="4320"/>
        </w:tabs>
        <w:ind w:left="4320" w:hanging="180"/>
      </w:pPr>
    </w:lvl>
    <w:lvl w:ilvl="6" w:tplc="4F361E20" w:tentative="1">
      <w:start w:val="1"/>
      <w:numFmt w:val="decimal"/>
      <w:lvlText w:val="%7."/>
      <w:lvlJc w:val="left"/>
      <w:pPr>
        <w:tabs>
          <w:tab w:val="num" w:pos="5040"/>
        </w:tabs>
        <w:ind w:left="5040" w:hanging="360"/>
      </w:pPr>
    </w:lvl>
    <w:lvl w:ilvl="7" w:tplc="2CF4087E" w:tentative="1">
      <w:start w:val="1"/>
      <w:numFmt w:val="lowerLetter"/>
      <w:lvlText w:val="%8."/>
      <w:lvlJc w:val="left"/>
      <w:pPr>
        <w:tabs>
          <w:tab w:val="num" w:pos="5760"/>
        </w:tabs>
        <w:ind w:left="5760" w:hanging="360"/>
      </w:pPr>
    </w:lvl>
    <w:lvl w:ilvl="8" w:tplc="09685AB2" w:tentative="1">
      <w:start w:val="1"/>
      <w:numFmt w:val="lowerRoman"/>
      <w:lvlText w:val="%9."/>
      <w:lvlJc w:val="right"/>
      <w:pPr>
        <w:tabs>
          <w:tab w:val="num" w:pos="6480"/>
        </w:tabs>
        <w:ind w:left="6480" w:hanging="180"/>
      </w:pPr>
    </w:lvl>
  </w:abstractNum>
  <w:abstractNum w:abstractNumId="28" w15:restartNumberingAfterBreak="0">
    <w:nsid w:val="546279F5"/>
    <w:multiLevelType w:val="hybridMultilevel"/>
    <w:tmpl w:val="D9F08A4C"/>
    <w:styleLink w:val="11111113"/>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0"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1" w15:restartNumberingAfterBreak="0">
    <w:nsid w:val="568F771F"/>
    <w:multiLevelType w:val="hybridMultilevel"/>
    <w:tmpl w:val="721632FE"/>
    <w:lvl w:ilvl="0" w:tplc="6AA47BE6">
      <w:start w:val="1"/>
      <w:numFmt w:val="bullet"/>
      <w:pStyle w:val="BSbullet2"/>
      <w:lvlText w:val="-"/>
      <w:lvlJc w:val="left"/>
      <w:pPr>
        <w:ind w:left="1077" w:hanging="360"/>
      </w:pPr>
      <w:rPr>
        <w:rFonts w:ascii="Calibri" w:hAnsi="Calibri"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2"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3"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34" w15:restartNumberingAfterBreak="0">
    <w:nsid w:val="64560CB7"/>
    <w:multiLevelType w:val="multilevel"/>
    <w:tmpl w:val="CD5605E4"/>
    <w:styleLink w:val="1ai1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4F258D0"/>
    <w:multiLevelType w:val="hybridMultilevel"/>
    <w:tmpl w:val="CD8AE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312C80"/>
    <w:multiLevelType w:val="multilevel"/>
    <w:tmpl w:val="7B3077A6"/>
    <w:lvl w:ilvl="0">
      <w:start w:val="1"/>
      <w:numFmt w:val="bullet"/>
      <w:pStyle w:val="bullets"/>
      <w:lvlText w:val=""/>
      <w:lvlJc w:val="left"/>
      <w:pPr>
        <w:tabs>
          <w:tab w:val="num" w:pos="360"/>
        </w:tabs>
        <w:ind w:left="360" w:hanging="360"/>
      </w:pPr>
      <w:rPr>
        <w:rFonts w:ascii="Webdings" w:hAnsi="Webdings" w:hint="default"/>
        <w:b w:val="0"/>
        <w:i w:val="0"/>
        <w:caps w:val="0"/>
        <w:strike w:val="0"/>
        <w:dstrike w:val="0"/>
        <w:vanish w:val="0"/>
        <w:color w:val="800000"/>
        <w:sz w:val="20"/>
        <w:u w:val="none"/>
        <w:vertAlign w:val="baseline"/>
      </w:rPr>
    </w:lvl>
    <w:lvl w:ilvl="1">
      <w:start w:val="1"/>
      <w:numFmt w:val="bullet"/>
      <w:pStyle w:val="sub-bullets"/>
      <w:lvlText w:val="–"/>
      <w:lvlJc w:val="left"/>
      <w:pPr>
        <w:tabs>
          <w:tab w:val="num" w:pos="907"/>
        </w:tabs>
        <w:ind w:left="907" w:hanging="453"/>
      </w:pPr>
      <w:rPr>
        <w:rFonts w:hint="default"/>
        <w:color w:val="000000"/>
      </w:rPr>
    </w:lvl>
    <w:lvl w:ilvl="2">
      <w:start w:val="1"/>
      <w:numFmt w:val="bullet"/>
      <w:lvlText w:val=""/>
      <w:lvlJc w:val="left"/>
      <w:pPr>
        <w:tabs>
          <w:tab w:val="num" w:pos="1080"/>
        </w:tabs>
        <w:ind w:left="1080" w:hanging="360"/>
      </w:pPr>
      <w:rPr>
        <w:rFonts w:ascii="Webdings" w:hAnsi="Webdings" w:hint="default"/>
        <w:color w:val="000000"/>
      </w:rPr>
    </w:lvl>
    <w:lvl w:ilvl="3">
      <w:start w:val="1"/>
      <w:numFmt w:val="bullet"/>
      <w:lvlText w:val="-"/>
      <w:lvlJc w:val="left"/>
      <w:pPr>
        <w:tabs>
          <w:tab w:val="num" w:pos="1440"/>
        </w:tabs>
        <w:ind w:left="1440" w:hanging="360"/>
      </w:pPr>
      <w:rPr>
        <w:rFonts w:ascii="Arial" w:hAnsi="Arial" w:hint="default"/>
        <w:color w:val="00000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679D420E"/>
    <w:multiLevelType w:val="hybridMultilevel"/>
    <w:tmpl w:val="4E7EACC2"/>
    <w:lvl w:ilvl="0" w:tplc="39725C62">
      <w:start w:val="1"/>
      <w:numFmt w:val="bullet"/>
      <w:lvlText w:val=""/>
      <w:lvlJc w:val="left"/>
      <w:pPr>
        <w:tabs>
          <w:tab w:val="num" w:pos="360"/>
        </w:tabs>
        <w:ind w:left="357" w:hanging="357"/>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8D875D3"/>
    <w:multiLevelType w:val="multilevel"/>
    <w:tmpl w:val="0C09001D"/>
    <w:styleLink w:val="ArticleSection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AC129BA"/>
    <w:multiLevelType w:val="hybridMultilevel"/>
    <w:tmpl w:val="008C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6D0D3C"/>
    <w:multiLevelType w:val="hybridMultilevel"/>
    <w:tmpl w:val="CF52F4DE"/>
    <w:lvl w:ilvl="0" w:tplc="7778B734">
      <w:start w:val="1"/>
      <w:numFmt w:val="bullet"/>
      <w:pStyle w:val="snapInit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973333"/>
    <w:multiLevelType w:val="multilevel"/>
    <w:tmpl w:val="0C090023"/>
    <w:styleLink w:val="ArticleSection11"/>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15:restartNumberingAfterBreak="0">
    <w:nsid w:val="77F54521"/>
    <w:multiLevelType w:val="hybridMultilevel"/>
    <w:tmpl w:val="EC50694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87296E"/>
    <w:multiLevelType w:val="hybridMultilevel"/>
    <w:tmpl w:val="5CE2A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9405A5"/>
    <w:multiLevelType w:val="hybridMultilevel"/>
    <w:tmpl w:val="84E6D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3730AD"/>
    <w:multiLevelType w:val="multilevel"/>
    <w:tmpl w:val="0C09001F"/>
    <w:styleLink w:val="1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7F1B0FA6"/>
    <w:multiLevelType w:val="hybridMultilevel"/>
    <w:tmpl w:val="85E05738"/>
    <w:styleLink w:val="ArticleSection12"/>
    <w:lvl w:ilvl="0" w:tplc="958E0A92">
      <w:start w:val="1"/>
      <w:numFmt w:val="lowerLetter"/>
      <w:pStyle w:val="Tabletextindenta"/>
      <w:lvlText w:val="%1."/>
      <w:lvlJc w:val="left"/>
      <w:pPr>
        <w:tabs>
          <w:tab w:val="num" w:pos="360"/>
        </w:tabs>
        <w:ind w:left="357" w:hanging="357"/>
      </w:pPr>
      <w:rPr>
        <w:rFonts w:hint="default"/>
      </w:rPr>
    </w:lvl>
    <w:lvl w:ilvl="1" w:tplc="ED5465B0" w:tentative="1">
      <w:start w:val="1"/>
      <w:numFmt w:val="lowerLetter"/>
      <w:lvlText w:val="%2."/>
      <w:lvlJc w:val="left"/>
      <w:pPr>
        <w:tabs>
          <w:tab w:val="num" w:pos="1440"/>
        </w:tabs>
        <w:ind w:left="1440" w:hanging="360"/>
      </w:pPr>
    </w:lvl>
    <w:lvl w:ilvl="2" w:tplc="A3B62924" w:tentative="1">
      <w:start w:val="1"/>
      <w:numFmt w:val="lowerRoman"/>
      <w:lvlText w:val="%3."/>
      <w:lvlJc w:val="right"/>
      <w:pPr>
        <w:tabs>
          <w:tab w:val="num" w:pos="2160"/>
        </w:tabs>
        <w:ind w:left="2160" w:hanging="180"/>
      </w:pPr>
    </w:lvl>
    <w:lvl w:ilvl="3" w:tplc="C9567802" w:tentative="1">
      <w:start w:val="1"/>
      <w:numFmt w:val="decimal"/>
      <w:lvlText w:val="%4."/>
      <w:lvlJc w:val="left"/>
      <w:pPr>
        <w:tabs>
          <w:tab w:val="num" w:pos="2880"/>
        </w:tabs>
        <w:ind w:left="2880" w:hanging="360"/>
      </w:pPr>
    </w:lvl>
    <w:lvl w:ilvl="4" w:tplc="5E00A72A" w:tentative="1">
      <w:start w:val="1"/>
      <w:numFmt w:val="lowerLetter"/>
      <w:lvlText w:val="%5."/>
      <w:lvlJc w:val="left"/>
      <w:pPr>
        <w:tabs>
          <w:tab w:val="num" w:pos="3600"/>
        </w:tabs>
        <w:ind w:left="3600" w:hanging="360"/>
      </w:pPr>
    </w:lvl>
    <w:lvl w:ilvl="5" w:tplc="7E2CF69C" w:tentative="1">
      <w:start w:val="1"/>
      <w:numFmt w:val="lowerRoman"/>
      <w:lvlText w:val="%6."/>
      <w:lvlJc w:val="right"/>
      <w:pPr>
        <w:tabs>
          <w:tab w:val="num" w:pos="4320"/>
        </w:tabs>
        <w:ind w:left="4320" w:hanging="180"/>
      </w:pPr>
    </w:lvl>
    <w:lvl w:ilvl="6" w:tplc="7CD43900" w:tentative="1">
      <w:start w:val="1"/>
      <w:numFmt w:val="decimal"/>
      <w:lvlText w:val="%7."/>
      <w:lvlJc w:val="left"/>
      <w:pPr>
        <w:tabs>
          <w:tab w:val="num" w:pos="5040"/>
        </w:tabs>
        <w:ind w:left="5040" w:hanging="360"/>
      </w:pPr>
    </w:lvl>
    <w:lvl w:ilvl="7" w:tplc="3A507342" w:tentative="1">
      <w:start w:val="1"/>
      <w:numFmt w:val="lowerLetter"/>
      <w:lvlText w:val="%8."/>
      <w:lvlJc w:val="left"/>
      <w:pPr>
        <w:tabs>
          <w:tab w:val="num" w:pos="5760"/>
        </w:tabs>
        <w:ind w:left="5760" w:hanging="360"/>
      </w:pPr>
    </w:lvl>
    <w:lvl w:ilvl="8" w:tplc="0DEA11E6"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29"/>
  </w:num>
  <w:num w:numId="4">
    <w:abstractNumId w:val="23"/>
  </w:num>
  <w:num w:numId="5">
    <w:abstractNumId w:val="18"/>
  </w:num>
  <w:num w:numId="6">
    <w:abstractNumId w:val="25"/>
  </w:num>
  <w:num w:numId="7">
    <w:abstractNumId w:val="9"/>
  </w:num>
  <w:num w:numId="8">
    <w:abstractNumId w:val="33"/>
  </w:num>
  <w:num w:numId="9">
    <w:abstractNumId w:val="6"/>
  </w:num>
  <w:num w:numId="10">
    <w:abstractNumId w:val="32"/>
  </w:num>
  <w:num w:numId="11">
    <w:abstractNumId w:val="8"/>
  </w:num>
  <w:num w:numId="12">
    <w:abstractNumId w:val="2"/>
  </w:num>
  <w:num w:numId="13">
    <w:abstractNumId w:val="30"/>
  </w:num>
  <w:num w:numId="14">
    <w:abstractNumId w:val="12"/>
  </w:num>
  <w:num w:numId="15">
    <w:abstractNumId w:val="15"/>
  </w:num>
  <w:num w:numId="16">
    <w:abstractNumId w:val="3"/>
  </w:num>
  <w:num w:numId="17">
    <w:abstractNumId w:val="0"/>
  </w:num>
  <w:num w:numId="18">
    <w:abstractNumId w:val="16"/>
  </w:num>
  <w:num w:numId="19">
    <w:abstractNumId w:val="38"/>
  </w:num>
  <w:num w:numId="20">
    <w:abstractNumId w:val="37"/>
  </w:num>
  <w:num w:numId="21">
    <w:abstractNumId w:val="24"/>
  </w:num>
  <w:num w:numId="22">
    <w:abstractNumId w:val="26"/>
  </w:num>
  <w:num w:numId="23">
    <w:abstractNumId w:val="45"/>
  </w:num>
  <w:num w:numId="24">
    <w:abstractNumId w:val="34"/>
  </w:num>
  <w:num w:numId="25">
    <w:abstractNumId w:val="41"/>
  </w:num>
  <w:num w:numId="26">
    <w:abstractNumId w:val="4"/>
  </w:num>
  <w:num w:numId="27">
    <w:abstractNumId w:val="27"/>
  </w:num>
  <w:num w:numId="28">
    <w:abstractNumId w:val="46"/>
  </w:num>
  <w:num w:numId="29">
    <w:abstractNumId w:val="36"/>
  </w:num>
  <w:num w:numId="30">
    <w:abstractNumId w:val="31"/>
  </w:num>
  <w:num w:numId="31">
    <w:abstractNumId w:val="21"/>
  </w:num>
  <w:num w:numId="32">
    <w:abstractNumId w:val="13"/>
  </w:num>
  <w:num w:numId="33">
    <w:abstractNumId w:val="11"/>
  </w:num>
  <w:num w:numId="34">
    <w:abstractNumId w:val="17"/>
  </w:num>
  <w:num w:numId="35">
    <w:abstractNumId w:val="22"/>
  </w:num>
  <w:num w:numId="36">
    <w:abstractNumId w:val="28"/>
  </w:num>
  <w:num w:numId="37">
    <w:abstractNumId w:val="39"/>
  </w:num>
  <w:num w:numId="38">
    <w:abstractNumId w:val="43"/>
  </w:num>
  <w:num w:numId="39">
    <w:abstractNumId w:val="44"/>
  </w:num>
  <w:num w:numId="40">
    <w:abstractNumId w:val="14"/>
  </w:num>
  <w:num w:numId="41">
    <w:abstractNumId w:val="10"/>
  </w:num>
  <w:num w:numId="42">
    <w:abstractNumId w:val="42"/>
  </w:num>
  <w:num w:numId="43">
    <w:abstractNumId w:val="19"/>
  </w:num>
  <w:num w:numId="44">
    <w:abstractNumId w:val="35"/>
  </w:num>
  <w:num w:numId="45">
    <w:abstractNumId w:val="13"/>
    <w:lvlOverride w:ilvl="0">
      <w:startOverride w:val="1"/>
    </w:lvlOverride>
  </w:num>
  <w:num w:numId="46">
    <w:abstractNumId w:val="1"/>
  </w:num>
  <w:num w:numId="47">
    <w:abstractNumId w:val="20"/>
  </w:num>
  <w:num w:numId="48">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31F"/>
    <w:rsid w:val="0000015B"/>
    <w:rsid w:val="00000585"/>
    <w:rsid w:val="00000881"/>
    <w:rsid w:val="00001157"/>
    <w:rsid w:val="0000165C"/>
    <w:rsid w:val="00001CC1"/>
    <w:rsid w:val="0000255E"/>
    <w:rsid w:val="000027A8"/>
    <w:rsid w:val="00002C41"/>
    <w:rsid w:val="00003A1E"/>
    <w:rsid w:val="000040BA"/>
    <w:rsid w:val="000045FF"/>
    <w:rsid w:val="00004697"/>
    <w:rsid w:val="000046F3"/>
    <w:rsid w:val="00004C9A"/>
    <w:rsid w:val="000050BB"/>
    <w:rsid w:val="0000517C"/>
    <w:rsid w:val="0000588C"/>
    <w:rsid w:val="00005A28"/>
    <w:rsid w:val="00005AF7"/>
    <w:rsid w:val="00005B30"/>
    <w:rsid w:val="00005FF4"/>
    <w:rsid w:val="00006B64"/>
    <w:rsid w:val="00006F46"/>
    <w:rsid w:val="00007467"/>
    <w:rsid w:val="00007AF0"/>
    <w:rsid w:val="00010F14"/>
    <w:rsid w:val="0001150A"/>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6DD7"/>
    <w:rsid w:val="00017087"/>
    <w:rsid w:val="000176E2"/>
    <w:rsid w:val="00017887"/>
    <w:rsid w:val="00020B50"/>
    <w:rsid w:val="000215B8"/>
    <w:rsid w:val="00021975"/>
    <w:rsid w:val="00022381"/>
    <w:rsid w:val="0002251B"/>
    <w:rsid w:val="000228FE"/>
    <w:rsid w:val="00022CA9"/>
    <w:rsid w:val="00023228"/>
    <w:rsid w:val="000233EA"/>
    <w:rsid w:val="000238CB"/>
    <w:rsid w:val="000239A2"/>
    <w:rsid w:val="00023C3F"/>
    <w:rsid w:val="0002453D"/>
    <w:rsid w:val="000246AF"/>
    <w:rsid w:val="000247E6"/>
    <w:rsid w:val="00024A48"/>
    <w:rsid w:val="00024DDE"/>
    <w:rsid w:val="000252FB"/>
    <w:rsid w:val="000253A9"/>
    <w:rsid w:val="00025A2F"/>
    <w:rsid w:val="00025F23"/>
    <w:rsid w:val="00026366"/>
    <w:rsid w:val="00026723"/>
    <w:rsid w:val="00026A30"/>
    <w:rsid w:val="0002726C"/>
    <w:rsid w:val="0002757D"/>
    <w:rsid w:val="0002768E"/>
    <w:rsid w:val="00030229"/>
    <w:rsid w:val="000302A3"/>
    <w:rsid w:val="0003057E"/>
    <w:rsid w:val="00030AAE"/>
    <w:rsid w:val="00030B9E"/>
    <w:rsid w:val="00031223"/>
    <w:rsid w:val="00031E30"/>
    <w:rsid w:val="00031E69"/>
    <w:rsid w:val="00031F38"/>
    <w:rsid w:val="00031FE2"/>
    <w:rsid w:val="000320C0"/>
    <w:rsid w:val="000321B4"/>
    <w:rsid w:val="00032F54"/>
    <w:rsid w:val="0003306C"/>
    <w:rsid w:val="0003344E"/>
    <w:rsid w:val="00033717"/>
    <w:rsid w:val="0003390C"/>
    <w:rsid w:val="00033E4C"/>
    <w:rsid w:val="000340E0"/>
    <w:rsid w:val="000343C8"/>
    <w:rsid w:val="0003446B"/>
    <w:rsid w:val="00034610"/>
    <w:rsid w:val="00034E48"/>
    <w:rsid w:val="0003516D"/>
    <w:rsid w:val="000355EE"/>
    <w:rsid w:val="00035679"/>
    <w:rsid w:val="000358E8"/>
    <w:rsid w:val="00035A3E"/>
    <w:rsid w:val="00036089"/>
    <w:rsid w:val="00036236"/>
    <w:rsid w:val="00036701"/>
    <w:rsid w:val="00036EFE"/>
    <w:rsid w:val="000372C0"/>
    <w:rsid w:val="00037427"/>
    <w:rsid w:val="000378E5"/>
    <w:rsid w:val="00037B63"/>
    <w:rsid w:val="00037BE6"/>
    <w:rsid w:val="00040A4C"/>
    <w:rsid w:val="00040CFB"/>
    <w:rsid w:val="00040DD7"/>
    <w:rsid w:val="00040F25"/>
    <w:rsid w:val="000418AF"/>
    <w:rsid w:val="00041995"/>
    <w:rsid w:val="00041BF1"/>
    <w:rsid w:val="00041CAA"/>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673"/>
    <w:rsid w:val="00047B01"/>
    <w:rsid w:val="000503BF"/>
    <w:rsid w:val="00050620"/>
    <w:rsid w:val="000506CD"/>
    <w:rsid w:val="00050C3C"/>
    <w:rsid w:val="00050D10"/>
    <w:rsid w:val="00050E6A"/>
    <w:rsid w:val="0005220F"/>
    <w:rsid w:val="00053BED"/>
    <w:rsid w:val="00054130"/>
    <w:rsid w:val="00054249"/>
    <w:rsid w:val="00054338"/>
    <w:rsid w:val="000546C5"/>
    <w:rsid w:val="00054AD4"/>
    <w:rsid w:val="000550EC"/>
    <w:rsid w:val="0005513A"/>
    <w:rsid w:val="000553B2"/>
    <w:rsid w:val="00055A5F"/>
    <w:rsid w:val="00055D4B"/>
    <w:rsid w:val="00055D5E"/>
    <w:rsid w:val="00056271"/>
    <w:rsid w:val="00056298"/>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CB7"/>
    <w:rsid w:val="00061DBB"/>
    <w:rsid w:val="00061DD0"/>
    <w:rsid w:val="00061F5A"/>
    <w:rsid w:val="00063064"/>
    <w:rsid w:val="000631D9"/>
    <w:rsid w:val="0006342A"/>
    <w:rsid w:val="0006399D"/>
    <w:rsid w:val="00063A4D"/>
    <w:rsid w:val="00063DF4"/>
    <w:rsid w:val="00063EE6"/>
    <w:rsid w:val="0006459D"/>
    <w:rsid w:val="000646B1"/>
    <w:rsid w:val="00064EF0"/>
    <w:rsid w:val="0006512C"/>
    <w:rsid w:val="000659DC"/>
    <w:rsid w:val="00065AF2"/>
    <w:rsid w:val="00065FB9"/>
    <w:rsid w:val="00066893"/>
    <w:rsid w:val="00066C57"/>
    <w:rsid w:val="00066F37"/>
    <w:rsid w:val="00067018"/>
    <w:rsid w:val="00067248"/>
    <w:rsid w:val="00067529"/>
    <w:rsid w:val="00067743"/>
    <w:rsid w:val="000677B2"/>
    <w:rsid w:val="00067900"/>
    <w:rsid w:val="00067A96"/>
    <w:rsid w:val="00070148"/>
    <w:rsid w:val="0007044D"/>
    <w:rsid w:val="00070586"/>
    <w:rsid w:val="0007074A"/>
    <w:rsid w:val="000717FA"/>
    <w:rsid w:val="000719C6"/>
    <w:rsid w:val="00071BF7"/>
    <w:rsid w:val="00072408"/>
    <w:rsid w:val="000726C5"/>
    <w:rsid w:val="00072957"/>
    <w:rsid w:val="0007344A"/>
    <w:rsid w:val="00073589"/>
    <w:rsid w:val="000739EE"/>
    <w:rsid w:val="00073A77"/>
    <w:rsid w:val="00073DF3"/>
    <w:rsid w:val="00073E5F"/>
    <w:rsid w:val="00073F40"/>
    <w:rsid w:val="00073F60"/>
    <w:rsid w:val="0007435C"/>
    <w:rsid w:val="000743AC"/>
    <w:rsid w:val="0007474E"/>
    <w:rsid w:val="0007534D"/>
    <w:rsid w:val="00075471"/>
    <w:rsid w:val="000755E9"/>
    <w:rsid w:val="00075797"/>
    <w:rsid w:val="000757EE"/>
    <w:rsid w:val="00075F8C"/>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BAD"/>
    <w:rsid w:val="00082CD6"/>
    <w:rsid w:val="00082E7C"/>
    <w:rsid w:val="000837F9"/>
    <w:rsid w:val="00084C86"/>
    <w:rsid w:val="0008599F"/>
    <w:rsid w:val="00085B61"/>
    <w:rsid w:val="00085D47"/>
    <w:rsid w:val="00085D91"/>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AA3"/>
    <w:rsid w:val="00092D66"/>
    <w:rsid w:val="000932CC"/>
    <w:rsid w:val="000938E3"/>
    <w:rsid w:val="00093E89"/>
    <w:rsid w:val="00094301"/>
    <w:rsid w:val="000943A8"/>
    <w:rsid w:val="00095203"/>
    <w:rsid w:val="000952BA"/>
    <w:rsid w:val="00095480"/>
    <w:rsid w:val="00095C86"/>
    <w:rsid w:val="00095E56"/>
    <w:rsid w:val="00096103"/>
    <w:rsid w:val="0009615B"/>
    <w:rsid w:val="0009660D"/>
    <w:rsid w:val="00096802"/>
    <w:rsid w:val="00096939"/>
    <w:rsid w:val="00096C2C"/>
    <w:rsid w:val="00096D8F"/>
    <w:rsid w:val="00097786"/>
    <w:rsid w:val="000A056E"/>
    <w:rsid w:val="000A0BE0"/>
    <w:rsid w:val="000A1539"/>
    <w:rsid w:val="000A161D"/>
    <w:rsid w:val="000A1786"/>
    <w:rsid w:val="000A21CD"/>
    <w:rsid w:val="000A2225"/>
    <w:rsid w:val="000A3386"/>
    <w:rsid w:val="000A34B6"/>
    <w:rsid w:val="000A3862"/>
    <w:rsid w:val="000A3ABE"/>
    <w:rsid w:val="000A3BFE"/>
    <w:rsid w:val="000A3DD1"/>
    <w:rsid w:val="000A435D"/>
    <w:rsid w:val="000A4B05"/>
    <w:rsid w:val="000A4C6C"/>
    <w:rsid w:val="000A4EAF"/>
    <w:rsid w:val="000A501C"/>
    <w:rsid w:val="000A5475"/>
    <w:rsid w:val="000A59FF"/>
    <w:rsid w:val="000A5C70"/>
    <w:rsid w:val="000A61ED"/>
    <w:rsid w:val="000A65BC"/>
    <w:rsid w:val="000A6756"/>
    <w:rsid w:val="000A7034"/>
    <w:rsid w:val="000A762F"/>
    <w:rsid w:val="000A7647"/>
    <w:rsid w:val="000A76C9"/>
    <w:rsid w:val="000A7934"/>
    <w:rsid w:val="000A7A09"/>
    <w:rsid w:val="000A7F11"/>
    <w:rsid w:val="000B0144"/>
    <w:rsid w:val="000B0386"/>
    <w:rsid w:val="000B039C"/>
    <w:rsid w:val="000B07D4"/>
    <w:rsid w:val="000B085A"/>
    <w:rsid w:val="000B1357"/>
    <w:rsid w:val="000B16EF"/>
    <w:rsid w:val="000B1876"/>
    <w:rsid w:val="000B2114"/>
    <w:rsid w:val="000B2405"/>
    <w:rsid w:val="000B2A20"/>
    <w:rsid w:val="000B2AF8"/>
    <w:rsid w:val="000B33A7"/>
    <w:rsid w:val="000B35E3"/>
    <w:rsid w:val="000B4051"/>
    <w:rsid w:val="000B42EE"/>
    <w:rsid w:val="000B4866"/>
    <w:rsid w:val="000B4A23"/>
    <w:rsid w:val="000B54FC"/>
    <w:rsid w:val="000B58B6"/>
    <w:rsid w:val="000B5CDA"/>
    <w:rsid w:val="000B67A1"/>
    <w:rsid w:val="000B69F9"/>
    <w:rsid w:val="000B6F08"/>
    <w:rsid w:val="000B705F"/>
    <w:rsid w:val="000B7BA2"/>
    <w:rsid w:val="000C03B8"/>
    <w:rsid w:val="000C06D1"/>
    <w:rsid w:val="000C0C16"/>
    <w:rsid w:val="000C1329"/>
    <w:rsid w:val="000C1B6B"/>
    <w:rsid w:val="000C22A7"/>
    <w:rsid w:val="000C320B"/>
    <w:rsid w:val="000C363D"/>
    <w:rsid w:val="000C37C8"/>
    <w:rsid w:val="000C52BB"/>
    <w:rsid w:val="000C5437"/>
    <w:rsid w:val="000C57A3"/>
    <w:rsid w:val="000C5BD7"/>
    <w:rsid w:val="000C5D11"/>
    <w:rsid w:val="000C60EE"/>
    <w:rsid w:val="000C662B"/>
    <w:rsid w:val="000C7B0F"/>
    <w:rsid w:val="000C7C48"/>
    <w:rsid w:val="000C7E1C"/>
    <w:rsid w:val="000D0B03"/>
    <w:rsid w:val="000D0F69"/>
    <w:rsid w:val="000D108B"/>
    <w:rsid w:val="000D1282"/>
    <w:rsid w:val="000D1B74"/>
    <w:rsid w:val="000D1EE1"/>
    <w:rsid w:val="000D1F22"/>
    <w:rsid w:val="000D23EA"/>
    <w:rsid w:val="000D2483"/>
    <w:rsid w:val="000D27EB"/>
    <w:rsid w:val="000D3102"/>
    <w:rsid w:val="000D32E6"/>
    <w:rsid w:val="000D3721"/>
    <w:rsid w:val="000D3F21"/>
    <w:rsid w:val="000D4915"/>
    <w:rsid w:val="000D4CA8"/>
    <w:rsid w:val="000D51EE"/>
    <w:rsid w:val="000D52C3"/>
    <w:rsid w:val="000D5432"/>
    <w:rsid w:val="000D5DE6"/>
    <w:rsid w:val="000D6166"/>
    <w:rsid w:val="000D6BB1"/>
    <w:rsid w:val="000D71DB"/>
    <w:rsid w:val="000D7415"/>
    <w:rsid w:val="000E0796"/>
    <w:rsid w:val="000E0D39"/>
    <w:rsid w:val="000E0D95"/>
    <w:rsid w:val="000E0E64"/>
    <w:rsid w:val="000E1A1C"/>
    <w:rsid w:val="000E1A65"/>
    <w:rsid w:val="000E1A74"/>
    <w:rsid w:val="000E1C2E"/>
    <w:rsid w:val="000E203E"/>
    <w:rsid w:val="000E208D"/>
    <w:rsid w:val="000E20E8"/>
    <w:rsid w:val="000E2C55"/>
    <w:rsid w:val="000E31E8"/>
    <w:rsid w:val="000E3698"/>
    <w:rsid w:val="000E36BA"/>
    <w:rsid w:val="000E38D8"/>
    <w:rsid w:val="000E3D46"/>
    <w:rsid w:val="000E3E97"/>
    <w:rsid w:val="000E4AAD"/>
    <w:rsid w:val="000E4F34"/>
    <w:rsid w:val="000E4FE6"/>
    <w:rsid w:val="000E5AC7"/>
    <w:rsid w:val="000E5F84"/>
    <w:rsid w:val="000E610D"/>
    <w:rsid w:val="000E6774"/>
    <w:rsid w:val="000E78F7"/>
    <w:rsid w:val="000F0744"/>
    <w:rsid w:val="000F098E"/>
    <w:rsid w:val="000F0AA6"/>
    <w:rsid w:val="000F14F7"/>
    <w:rsid w:val="000F1A19"/>
    <w:rsid w:val="000F1CDC"/>
    <w:rsid w:val="000F262E"/>
    <w:rsid w:val="000F27FF"/>
    <w:rsid w:val="000F30E1"/>
    <w:rsid w:val="000F327C"/>
    <w:rsid w:val="000F39F4"/>
    <w:rsid w:val="000F4692"/>
    <w:rsid w:val="000F4F71"/>
    <w:rsid w:val="000F5085"/>
    <w:rsid w:val="000F56AC"/>
    <w:rsid w:val="000F5FDF"/>
    <w:rsid w:val="000F64AD"/>
    <w:rsid w:val="000F6BDC"/>
    <w:rsid w:val="000F6DC9"/>
    <w:rsid w:val="000F71B8"/>
    <w:rsid w:val="000F739F"/>
    <w:rsid w:val="000F73C5"/>
    <w:rsid w:val="00100B87"/>
    <w:rsid w:val="00100C37"/>
    <w:rsid w:val="00100C86"/>
    <w:rsid w:val="00101373"/>
    <w:rsid w:val="00101589"/>
    <w:rsid w:val="001017B4"/>
    <w:rsid w:val="00101BDE"/>
    <w:rsid w:val="00101C7A"/>
    <w:rsid w:val="001027CF"/>
    <w:rsid w:val="00102A07"/>
    <w:rsid w:val="00102D95"/>
    <w:rsid w:val="00102D9C"/>
    <w:rsid w:val="00103BE9"/>
    <w:rsid w:val="00103FC7"/>
    <w:rsid w:val="001040E9"/>
    <w:rsid w:val="001040EC"/>
    <w:rsid w:val="00104C21"/>
    <w:rsid w:val="00104FBE"/>
    <w:rsid w:val="001052A2"/>
    <w:rsid w:val="001056BD"/>
    <w:rsid w:val="00105761"/>
    <w:rsid w:val="0010628C"/>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388D"/>
    <w:rsid w:val="00113F1F"/>
    <w:rsid w:val="00114521"/>
    <w:rsid w:val="00114787"/>
    <w:rsid w:val="00114823"/>
    <w:rsid w:val="001148A7"/>
    <w:rsid w:val="00114932"/>
    <w:rsid w:val="00114B51"/>
    <w:rsid w:val="00114D34"/>
    <w:rsid w:val="00115181"/>
    <w:rsid w:val="001151E6"/>
    <w:rsid w:val="00115270"/>
    <w:rsid w:val="00115C21"/>
    <w:rsid w:val="00116097"/>
    <w:rsid w:val="0011629A"/>
    <w:rsid w:val="0011641A"/>
    <w:rsid w:val="00116AB3"/>
    <w:rsid w:val="00116D55"/>
    <w:rsid w:val="00116F58"/>
    <w:rsid w:val="00116FBD"/>
    <w:rsid w:val="00117E9E"/>
    <w:rsid w:val="00117F25"/>
    <w:rsid w:val="001204E3"/>
    <w:rsid w:val="001205A1"/>
    <w:rsid w:val="001205A4"/>
    <w:rsid w:val="00120DE1"/>
    <w:rsid w:val="001213A3"/>
    <w:rsid w:val="0012177B"/>
    <w:rsid w:val="00121AE3"/>
    <w:rsid w:val="00121D44"/>
    <w:rsid w:val="00122740"/>
    <w:rsid w:val="00122DF0"/>
    <w:rsid w:val="00122FB0"/>
    <w:rsid w:val="001232C5"/>
    <w:rsid w:val="00123B15"/>
    <w:rsid w:val="001244FA"/>
    <w:rsid w:val="00124546"/>
    <w:rsid w:val="0012505F"/>
    <w:rsid w:val="001250CD"/>
    <w:rsid w:val="001254E9"/>
    <w:rsid w:val="00125B92"/>
    <w:rsid w:val="00125C11"/>
    <w:rsid w:val="00126713"/>
    <w:rsid w:val="00126D22"/>
    <w:rsid w:val="001270EE"/>
    <w:rsid w:val="0012720B"/>
    <w:rsid w:val="0012762E"/>
    <w:rsid w:val="00127B24"/>
    <w:rsid w:val="00127BB6"/>
    <w:rsid w:val="00127FB0"/>
    <w:rsid w:val="001303D4"/>
    <w:rsid w:val="00130751"/>
    <w:rsid w:val="00131322"/>
    <w:rsid w:val="00131965"/>
    <w:rsid w:val="00131AFB"/>
    <w:rsid w:val="00131D3F"/>
    <w:rsid w:val="00131D95"/>
    <w:rsid w:val="001320F0"/>
    <w:rsid w:val="00132190"/>
    <w:rsid w:val="001321E2"/>
    <w:rsid w:val="00132552"/>
    <w:rsid w:val="00132F5E"/>
    <w:rsid w:val="0013344D"/>
    <w:rsid w:val="00133C57"/>
    <w:rsid w:val="001344BC"/>
    <w:rsid w:val="001347CA"/>
    <w:rsid w:val="00134B44"/>
    <w:rsid w:val="00134D46"/>
    <w:rsid w:val="001350DB"/>
    <w:rsid w:val="001353AF"/>
    <w:rsid w:val="001355EB"/>
    <w:rsid w:val="0013588C"/>
    <w:rsid w:val="00135A61"/>
    <w:rsid w:val="00135BFC"/>
    <w:rsid w:val="00135C92"/>
    <w:rsid w:val="00135E66"/>
    <w:rsid w:val="001368D9"/>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2C7E"/>
    <w:rsid w:val="00142D0F"/>
    <w:rsid w:val="00143411"/>
    <w:rsid w:val="001434FA"/>
    <w:rsid w:val="001442B1"/>
    <w:rsid w:val="001442CD"/>
    <w:rsid w:val="0014484F"/>
    <w:rsid w:val="0014496B"/>
    <w:rsid w:val="00144FA2"/>
    <w:rsid w:val="001452BE"/>
    <w:rsid w:val="0014538A"/>
    <w:rsid w:val="001454B7"/>
    <w:rsid w:val="00145717"/>
    <w:rsid w:val="001458B0"/>
    <w:rsid w:val="00145931"/>
    <w:rsid w:val="00145CD2"/>
    <w:rsid w:val="001463C0"/>
    <w:rsid w:val="00146E81"/>
    <w:rsid w:val="00147086"/>
    <w:rsid w:val="001473CD"/>
    <w:rsid w:val="00147756"/>
    <w:rsid w:val="00147AB7"/>
    <w:rsid w:val="0015006B"/>
    <w:rsid w:val="00150904"/>
    <w:rsid w:val="001517BD"/>
    <w:rsid w:val="00151BC0"/>
    <w:rsid w:val="00151BFA"/>
    <w:rsid w:val="00151F3D"/>
    <w:rsid w:val="00152293"/>
    <w:rsid w:val="00152A93"/>
    <w:rsid w:val="00152D3F"/>
    <w:rsid w:val="00153BAA"/>
    <w:rsid w:val="00153C75"/>
    <w:rsid w:val="0015415F"/>
    <w:rsid w:val="001542FF"/>
    <w:rsid w:val="0015462C"/>
    <w:rsid w:val="001547D1"/>
    <w:rsid w:val="00154F9C"/>
    <w:rsid w:val="0015585B"/>
    <w:rsid w:val="00155BAD"/>
    <w:rsid w:val="00156923"/>
    <w:rsid w:val="00156A23"/>
    <w:rsid w:val="00156BB1"/>
    <w:rsid w:val="00156BED"/>
    <w:rsid w:val="00156DB0"/>
    <w:rsid w:val="00157255"/>
    <w:rsid w:val="00157B88"/>
    <w:rsid w:val="00160900"/>
    <w:rsid w:val="00160947"/>
    <w:rsid w:val="001610FE"/>
    <w:rsid w:val="0016115D"/>
    <w:rsid w:val="0016197C"/>
    <w:rsid w:val="00161ABA"/>
    <w:rsid w:val="00161F07"/>
    <w:rsid w:val="0016245C"/>
    <w:rsid w:val="0016318D"/>
    <w:rsid w:val="00163482"/>
    <w:rsid w:val="0016363B"/>
    <w:rsid w:val="00164895"/>
    <w:rsid w:val="001648A4"/>
    <w:rsid w:val="00164ADA"/>
    <w:rsid w:val="00165330"/>
    <w:rsid w:val="00165605"/>
    <w:rsid w:val="00165792"/>
    <w:rsid w:val="001659AB"/>
    <w:rsid w:val="00165ABE"/>
    <w:rsid w:val="00165F8F"/>
    <w:rsid w:val="0016628A"/>
    <w:rsid w:val="00166D83"/>
    <w:rsid w:val="00167200"/>
    <w:rsid w:val="001704BE"/>
    <w:rsid w:val="00170817"/>
    <w:rsid w:val="00170CE5"/>
    <w:rsid w:val="00170FF7"/>
    <w:rsid w:val="00171160"/>
    <w:rsid w:val="0017189A"/>
    <w:rsid w:val="001719EE"/>
    <w:rsid w:val="00172183"/>
    <w:rsid w:val="001728CB"/>
    <w:rsid w:val="00172970"/>
    <w:rsid w:val="001734E5"/>
    <w:rsid w:val="00173CE1"/>
    <w:rsid w:val="00174751"/>
    <w:rsid w:val="001747DD"/>
    <w:rsid w:val="001751C7"/>
    <w:rsid w:val="00175FCD"/>
    <w:rsid w:val="001761B3"/>
    <w:rsid w:val="00176412"/>
    <w:rsid w:val="001764E2"/>
    <w:rsid w:val="00176562"/>
    <w:rsid w:val="00177482"/>
    <w:rsid w:val="001774D8"/>
    <w:rsid w:val="00177588"/>
    <w:rsid w:val="001779C5"/>
    <w:rsid w:val="00177FC3"/>
    <w:rsid w:val="001800E6"/>
    <w:rsid w:val="001800FA"/>
    <w:rsid w:val="00180A90"/>
    <w:rsid w:val="00181335"/>
    <w:rsid w:val="00181851"/>
    <w:rsid w:val="00181C54"/>
    <w:rsid w:val="001821E6"/>
    <w:rsid w:val="001822D7"/>
    <w:rsid w:val="0018260E"/>
    <w:rsid w:val="00182F1F"/>
    <w:rsid w:val="00182FE7"/>
    <w:rsid w:val="00183229"/>
    <w:rsid w:val="00183456"/>
    <w:rsid w:val="00183779"/>
    <w:rsid w:val="00183D51"/>
    <w:rsid w:val="00183F6B"/>
    <w:rsid w:val="001845B2"/>
    <w:rsid w:val="001849A8"/>
    <w:rsid w:val="00185011"/>
    <w:rsid w:val="001852B7"/>
    <w:rsid w:val="00185509"/>
    <w:rsid w:val="00185719"/>
    <w:rsid w:val="0018574B"/>
    <w:rsid w:val="00185CCB"/>
    <w:rsid w:val="001862BB"/>
    <w:rsid w:val="00186CFD"/>
    <w:rsid w:val="00186F03"/>
    <w:rsid w:val="001870E5"/>
    <w:rsid w:val="00187387"/>
    <w:rsid w:val="0018739F"/>
    <w:rsid w:val="001873C8"/>
    <w:rsid w:val="001875F8"/>
    <w:rsid w:val="00187A6C"/>
    <w:rsid w:val="00187CBC"/>
    <w:rsid w:val="0019036A"/>
    <w:rsid w:val="00190444"/>
    <w:rsid w:val="00190D7B"/>
    <w:rsid w:val="00190DF3"/>
    <w:rsid w:val="0019104D"/>
    <w:rsid w:val="00191DCE"/>
    <w:rsid w:val="00192451"/>
    <w:rsid w:val="0019257F"/>
    <w:rsid w:val="00192C79"/>
    <w:rsid w:val="00193B91"/>
    <w:rsid w:val="00193ED3"/>
    <w:rsid w:val="00194214"/>
    <w:rsid w:val="0019452A"/>
    <w:rsid w:val="001949F5"/>
    <w:rsid w:val="00194AD4"/>
    <w:rsid w:val="00194B72"/>
    <w:rsid w:val="00194C6D"/>
    <w:rsid w:val="00194DDD"/>
    <w:rsid w:val="001951E7"/>
    <w:rsid w:val="00195619"/>
    <w:rsid w:val="00195B32"/>
    <w:rsid w:val="00195E3B"/>
    <w:rsid w:val="00195E7B"/>
    <w:rsid w:val="00196D40"/>
    <w:rsid w:val="00196F97"/>
    <w:rsid w:val="00197372"/>
    <w:rsid w:val="00197582"/>
    <w:rsid w:val="0019761E"/>
    <w:rsid w:val="001A0305"/>
    <w:rsid w:val="001A0F4E"/>
    <w:rsid w:val="001A0FF4"/>
    <w:rsid w:val="001A120B"/>
    <w:rsid w:val="001A120F"/>
    <w:rsid w:val="001A14C2"/>
    <w:rsid w:val="001A1730"/>
    <w:rsid w:val="001A177A"/>
    <w:rsid w:val="001A177B"/>
    <w:rsid w:val="001A17EB"/>
    <w:rsid w:val="001A19AC"/>
    <w:rsid w:val="001A1A7D"/>
    <w:rsid w:val="001A1CA6"/>
    <w:rsid w:val="001A258A"/>
    <w:rsid w:val="001A2E42"/>
    <w:rsid w:val="001A2E55"/>
    <w:rsid w:val="001A2FCA"/>
    <w:rsid w:val="001A3255"/>
    <w:rsid w:val="001A32E2"/>
    <w:rsid w:val="001A37B1"/>
    <w:rsid w:val="001A3831"/>
    <w:rsid w:val="001A3C8C"/>
    <w:rsid w:val="001A3F7C"/>
    <w:rsid w:val="001A40F4"/>
    <w:rsid w:val="001A4EF6"/>
    <w:rsid w:val="001A52A3"/>
    <w:rsid w:val="001A6562"/>
    <w:rsid w:val="001A68BD"/>
    <w:rsid w:val="001A6928"/>
    <w:rsid w:val="001A6C17"/>
    <w:rsid w:val="001A7D8C"/>
    <w:rsid w:val="001A7E66"/>
    <w:rsid w:val="001B05E9"/>
    <w:rsid w:val="001B07B5"/>
    <w:rsid w:val="001B0C0C"/>
    <w:rsid w:val="001B111D"/>
    <w:rsid w:val="001B162F"/>
    <w:rsid w:val="001B1863"/>
    <w:rsid w:val="001B1A7A"/>
    <w:rsid w:val="001B1EE2"/>
    <w:rsid w:val="001B209B"/>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707A"/>
    <w:rsid w:val="001B74C0"/>
    <w:rsid w:val="001B76ED"/>
    <w:rsid w:val="001B7AC6"/>
    <w:rsid w:val="001B7E25"/>
    <w:rsid w:val="001C017E"/>
    <w:rsid w:val="001C01A5"/>
    <w:rsid w:val="001C061C"/>
    <w:rsid w:val="001C0DCF"/>
    <w:rsid w:val="001C177B"/>
    <w:rsid w:val="001C1A79"/>
    <w:rsid w:val="001C1DFC"/>
    <w:rsid w:val="001C2858"/>
    <w:rsid w:val="001C285C"/>
    <w:rsid w:val="001C2B7D"/>
    <w:rsid w:val="001C2E76"/>
    <w:rsid w:val="001C2FDB"/>
    <w:rsid w:val="001C32EA"/>
    <w:rsid w:val="001C34D7"/>
    <w:rsid w:val="001C3589"/>
    <w:rsid w:val="001C3731"/>
    <w:rsid w:val="001C3800"/>
    <w:rsid w:val="001C3A84"/>
    <w:rsid w:val="001C3BA7"/>
    <w:rsid w:val="001C3D63"/>
    <w:rsid w:val="001C4152"/>
    <w:rsid w:val="001C4246"/>
    <w:rsid w:val="001C4311"/>
    <w:rsid w:val="001C441B"/>
    <w:rsid w:val="001C452A"/>
    <w:rsid w:val="001C4727"/>
    <w:rsid w:val="001C499F"/>
    <w:rsid w:val="001C4D0A"/>
    <w:rsid w:val="001C50CA"/>
    <w:rsid w:val="001C549D"/>
    <w:rsid w:val="001C54B3"/>
    <w:rsid w:val="001C562C"/>
    <w:rsid w:val="001C62C7"/>
    <w:rsid w:val="001C69F0"/>
    <w:rsid w:val="001C6AF4"/>
    <w:rsid w:val="001C75E9"/>
    <w:rsid w:val="001C7C79"/>
    <w:rsid w:val="001C7CBE"/>
    <w:rsid w:val="001C7D84"/>
    <w:rsid w:val="001D01D4"/>
    <w:rsid w:val="001D08F7"/>
    <w:rsid w:val="001D0975"/>
    <w:rsid w:val="001D0ADC"/>
    <w:rsid w:val="001D0FDD"/>
    <w:rsid w:val="001D17FD"/>
    <w:rsid w:val="001D1843"/>
    <w:rsid w:val="001D19C8"/>
    <w:rsid w:val="001D1E2C"/>
    <w:rsid w:val="001D2019"/>
    <w:rsid w:val="001D2123"/>
    <w:rsid w:val="001D31C1"/>
    <w:rsid w:val="001D35F6"/>
    <w:rsid w:val="001D3902"/>
    <w:rsid w:val="001D3EEA"/>
    <w:rsid w:val="001D4272"/>
    <w:rsid w:val="001D50B3"/>
    <w:rsid w:val="001D52A0"/>
    <w:rsid w:val="001D52F2"/>
    <w:rsid w:val="001D5767"/>
    <w:rsid w:val="001D5CCF"/>
    <w:rsid w:val="001D5D59"/>
    <w:rsid w:val="001D6D28"/>
    <w:rsid w:val="001D6EEF"/>
    <w:rsid w:val="001E05EA"/>
    <w:rsid w:val="001E1035"/>
    <w:rsid w:val="001E1990"/>
    <w:rsid w:val="001E1A2C"/>
    <w:rsid w:val="001E1F60"/>
    <w:rsid w:val="001E20E6"/>
    <w:rsid w:val="001E2886"/>
    <w:rsid w:val="001E2CC1"/>
    <w:rsid w:val="001E31D9"/>
    <w:rsid w:val="001E4636"/>
    <w:rsid w:val="001E468C"/>
    <w:rsid w:val="001E4979"/>
    <w:rsid w:val="001E49B5"/>
    <w:rsid w:val="001E4A2B"/>
    <w:rsid w:val="001E4B25"/>
    <w:rsid w:val="001E50F4"/>
    <w:rsid w:val="001E5335"/>
    <w:rsid w:val="001E553F"/>
    <w:rsid w:val="001E5641"/>
    <w:rsid w:val="001E623A"/>
    <w:rsid w:val="001E6272"/>
    <w:rsid w:val="001E6369"/>
    <w:rsid w:val="001E63AC"/>
    <w:rsid w:val="001E73FC"/>
    <w:rsid w:val="001E7515"/>
    <w:rsid w:val="001E7934"/>
    <w:rsid w:val="001E7959"/>
    <w:rsid w:val="001E7E3C"/>
    <w:rsid w:val="001F0485"/>
    <w:rsid w:val="001F0CD7"/>
    <w:rsid w:val="001F0CE3"/>
    <w:rsid w:val="001F0DBC"/>
    <w:rsid w:val="001F1049"/>
    <w:rsid w:val="001F1192"/>
    <w:rsid w:val="001F15DF"/>
    <w:rsid w:val="001F16F2"/>
    <w:rsid w:val="001F1A50"/>
    <w:rsid w:val="001F1F59"/>
    <w:rsid w:val="001F2885"/>
    <w:rsid w:val="001F2C64"/>
    <w:rsid w:val="001F2CDD"/>
    <w:rsid w:val="001F374E"/>
    <w:rsid w:val="001F3948"/>
    <w:rsid w:val="001F3F33"/>
    <w:rsid w:val="001F463F"/>
    <w:rsid w:val="001F495E"/>
    <w:rsid w:val="001F497B"/>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EF7"/>
    <w:rsid w:val="001F7FF3"/>
    <w:rsid w:val="0020038B"/>
    <w:rsid w:val="0020072D"/>
    <w:rsid w:val="0020082D"/>
    <w:rsid w:val="00200C71"/>
    <w:rsid w:val="00200D28"/>
    <w:rsid w:val="00201216"/>
    <w:rsid w:val="002013C2"/>
    <w:rsid w:val="0020160B"/>
    <w:rsid w:val="00201783"/>
    <w:rsid w:val="00201AFE"/>
    <w:rsid w:val="00201B35"/>
    <w:rsid w:val="00201D57"/>
    <w:rsid w:val="00202337"/>
    <w:rsid w:val="002025DA"/>
    <w:rsid w:val="00202E81"/>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866"/>
    <w:rsid w:val="0021190B"/>
    <w:rsid w:val="00211A64"/>
    <w:rsid w:val="00211BFA"/>
    <w:rsid w:val="00211DD9"/>
    <w:rsid w:val="00211E14"/>
    <w:rsid w:val="0021218B"/>
    <w:rsid w:val="00212593"/>
    <w:rsid w:val="00212EFF"/>
    <w:rsid w:val="0021378D"/>
    <w:rsid w:val="00213D6A"/>
    <w:rsid w:val="00213EE7"/>
    <w:rsid w:val="00214B9A"/>
    <w:rsid w:val="00214ED9"/>
    <w:rsid w:val="00215534"/>
    <w:rsid w:val="00215640"/>
    <w:rsid w:val="00215658"/>
    <w:rsid w:val="002156C9"/>
    <w:rsid w:val="00215AE8"/>
    <w:rsid w:val="00217928"/>
    <w:rsid w:val="002179F6"/>
    <w:rsid w:val="00220240"/>
    <w:rsid w:val="002208BA"/>
    <w:rsid w:val="00220F80"/>
    <w:rsid w:val="002212FD"/>
    <w:rsid w:val="00221C43"/>
    <w:rsid w:val="00221DC9"/>
    <w:rsid w:val="00222321"/>
    <w:rsid w:val="00222565"/>
    <w:rsid w:val="00222AFE"/>
    <w:rsid w:val="00222C85"/>
    <w:rsid w:val="00222CE1"/>
    <w:rsid w:val="00222E88"/>
    <w:rsid w:val="00223CC2"/>
    <w:rsid w:val="002243E1"/>
    <w:rsid w:val="002244B7"/>
    <w:rsid w:val="00224FB2"/>
    <w:rsid w:val="00224FFA"/>
    <w:rsid w:val="0022506C"/>
    <w:rsid w:val="00225085"/>
    <w:rsid w:val="002252EC"/>
    <w:rsid w:val="002254F6"/>
    <w:rsid w:val="002261C9"/>
    <w:rsid w:val="00226FEF"/>
    <w:rsid w:val="00227061"/>
    <w:rsid w:val="002272FA"/>
    <w:rsid w:val="00227630"/>
    <w:rsid w:val="002277D4"/>
    <w:rsid w:val="00227F97"/>
    <w:rsid w:val="00227FA1"/>
    <w:rsid w:val="00231639"/>
    <w:rsid w:val="00231640"/>
    <w:rsid w:val="00231AF3"/>
    <w:rsid w:val="00231BCE"/>
    <w:rsid w:val="00231E57"/>
    <w:rsid w:val="00232710"/>
    <w:rsid w:val="002329E2"/>
    <w:rsid w:val="00232AE3"/>
    <w:rsid w:val="00232B10"/>
    <w:rsid w:val="00232FC9"/>
    <w:rsid w:val="00232FF4"/>
    <w:rsid w:val="002330E4"/>
    <w:rsid w:val="00233783"/>
    <w:rsid w:val="0023406A"/>
    <w:rsid w:val="002340FA"/>
    <w:rsid w:val="0023457A"/>
    <w:rsid w:val="002346AB"/>
    <w:rsid w:val="00234A2A"/>
    <w:rsid w:val="00234A85"/>
    <w:rsid w:val="00234C94"/>
    <w:rsid w:val="0023500A"/>
    <w:rsid w:val="00235AAD"/>
    <w:rsid w:val="00235F09"/>
    <w:rsid w:val="00235FD5"/>
    <w:rsid w:val="002366F5"/>
    <w:rsid w:val="00236863"/>
    <w:rsid w:val="00236FE7"/>
    <w:rsid w:val="00237044"/>
    <w:rsid w:val="00237CBC"/>
    <w:rsid w:val="00240658"/>
    <w:rsid w:val="0024066C"/>
    <w:rsid w:val="002407A1"/>
    <w:rsid w:val="00240EA7"/>
    <w:rsid w:val="00241072"/>
    <w:rsid w:val="00241283"/>
    <w:rsid w:val="002413BF"/>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47FC8"/>
    <w:rsid w:val="00250702"/>
    <w:rsid w:val="002507B5"/>
    <w:rsid w:val="00250B41"/>
    <w:rsid w:val="00250CF1"/>
    <w:rsid w:val="00250F34"/>
    <w:rsid w:val="0025148C"/>
    <w:rsid w:val="002527E2"/>
    <w:rsid w:val="002528E6"/>
    <w:rsid w:val="00252ABF"/>
    <w:rsid w:val="00252AE6"/>
    <w:rsid w:val="0025367C"/>
    <w:rsid w:val="0025393B"/>
    <w:rsid w:val="002539DE"/>
    <w:rsid w:val="00253EF6"/>
    <w:rsid w:val="002544EA"/>
    <w:rsid w:val="00254592"/>
    <w:rsid w:val="00254EDC"/>
    <w:rsid w:val="00255650"/>
    <w:rsid w:val="00255695"/>
    <w:rsid w:val="00255977"/>
    <w:rsid w:val="00255AD3"/>
    <w:rsid w:val="00255C8A"/>
    <w:rsid w:val="00256153"/>
    <w:rsid w:val="00256ED6"/>
    <w:rsid w:val="002570D3"/>
    <w:rsid w:val="00257376"/>
    <w:rsid w:val="002573CE"/>
    <w:rsid w:val="00257752"/>
    <w:rsid w:val="002578C4"/>
    <w:rsid w:val="00260322"/>
    <w:rsid w:val="00261092"/>
    <w:rsid w:val="00261161"/>
    <w:rsid w:val="002613E7"/>
    <w:rsid w:val="00261B5A"/>
    <w:rsid w:val="00261CB9"/>
    <w:rsid w:val="00261D17"/>
    <w:rsid w:val="00261DE6"/>
    <w:rsid w:val="0026237A"/>
    <w:rsid w:val="002623A2"/>
    <w:rsid w:val="002629FD"/>
    <w:rsid w:val="00262C33"/>
    <w:rsid w:val="00262D87"/>
    <w:rsid w:val="00263252"/>
    <w:rsid w:val="00263929"/>
    <w:rsid w:val="0026396B"/>
    <w:rsid w:val="00263A0C"/>
    <w:rsid w:val="0026498C"/>
    <w:rsid w:val="00264A36"/>
    <w:rsid w:val="002651E6"/>
    <w:rsid w:val="002660F6"/>
    <w:rsid w:val="00266296"/>
    <w:rsid w:val="0026665F"/>
    <w:rsid w:val="00266CE7"/>
    <w:rsid w:val="002670F7"/>
    <w:rsid w:val="002670F9"/>
    <w:rsid w:val="00267612"/>
    <w:rsid w:val="00270AFC"/>
    <w:rsid w:val="00270DFE"/>
    <w:rsid w:val="002714EE"/>
    <w:rsid w:val="002715E4"/>
    <w:rsid w:val="002719C2"/>
    <w:rsid w:val="00271AE4"/>
    <w:rsid w:val="00271B65"/>
    <w:rsid w:val="00271BDE"/>
    <w:rsid w:val="00271C59"/>
    <w:rsid w:val="00272188"/>
    <w:rsid w:val="002723FE"/>
    <w:rsid w:val="0027242A"/>
    <w:rsid w:val="002726DA"/>
    <w:rsid w:val="00272D0D"/>
    <w:rsid w:val="00272E49"/>
    <w:rsid w:val="0027301B"/>
    <w:rsid w:val="0027430E"/>
    <w:rsid w:val="00274836"/>
    <w:rsid w:val="00274B0D"/>
    <w:rsid w:val="00274BA8"/>
    <w:rsid w:val="00274FE0"/>
    <w:rsid w:val="00275E45"/>
    <w:rsid w:val="002769F1"/>
    <w:rsid w:val="00276C2C"/>
    <w:rsid w:val="00276C4D"/>
    <w:rsid w:val="00277039"/>
    <w:rsid w:val="00277936"/>
    <w:rsid w:val="0027793C"/>
    <w:rsid w:val="002806A9"/>
    <w:rsid w:val="00280727"/>
    <w:rsid w:val="00281791"/>
    <w:rsid w:val="00281840"/>
    <w:rsid w:val="00281DE9"/>
    <w:rsid w:val="00281EA2"/>
    <w:rsid w:val="00281F49"/>
    <w:rsid w:val="00282041"/>
    <w:rsid w:val="00282838"/>
    <w:rsid w:val="00282854"/>
    <w:rsid w:val="00282A20"/>
    <w:rsid w:val="00283063"/>
    <w:rsid w:val="0028317F"/>
    <w:rsid w:val="00283514"/>
    <w:rsid w:val="002839B5"/>
    <w:rsid w:val="00283D06"/>
    <w:rsid w:val="00283E74"/>
    <w:rsid w:val="0028414E"/>
    <w:rsid w:val="00284205"/>
    <w:rsid w:val="00284A64"/>
    <w:rsid w:val="00285514"/>
    <w:rsid w:val="002859DA"/>
    <w:rsid w:val="00285AB1"/>
    <w:rsid w:val="00286057"/>
    <w:rsid w:val="00286203"/>
    <w:rsid w:val="00286626"/>
    <w:rsid w:val="002868A7"/>
    <w:rsid w:val="00286F91"/>
    <w:rsid w:val="00287082"/>
    <w:rsid w:val="002873C4"/>
    <w:rsid w:val="00287EE3"/>
    <w:rsid w:val="002900F3"/>
    <w:rsid w:val="00290414"/>
    <w:rsid w:val="00290564"/>
    <w:rsid w:val="00290911"/>
    <w:rsid w:val="002909C2"/>
    <w:rsid w:val="00290D0B"/>
    <w:rsid w:val="00291412"/>
    <w:rsid w:val="00291CEE"/>
    <w:rsid w:val="00291E9B"/>
    <w:rsid w:val="0029219A"/>
    <w:rsid w:val="00292FD6"/>
    <w:rsid w:val="002933B3"/>
    <w:rsid w:val="00294DD4"/>
    <w:rsid w:val="0029503D"/>
    <w:rsid w:val="0029564D"/>
    <w:rsid w:val="00295F5E"/>
    <w:rsid w:val="00295F60"/>
    <w:rsid w:val="00295F71"/>
    <w:rsid w:val="0029615B"/>
    <w:rsid w:val="002967A3"/>
    <w:rsid w:val="00296C53"/>
    <w:rsid w:val="00296F85"/>
    <w:rsid w:val="002973AB"/>
    <w:rsid w:val="002977B2"/>
    <w:rsid w:val="0029781B"/>
    <w:rsid w:val="00297F31"/>
    <w:rsid w:val="002A045E"/>
    <w:rsid w:val="002A0C98"/>
    <w:rsid w:val="002A0F34"/>
    <w:rsid w:val="002A17D5"/>
    <w:rsid w:val="002A1B1B"/>
    <w:rsid w:val="002A202F"/>
    <w:rsid w:val="002A2339"/>
    <w:rsid w:val="002A2535"/>
    <w:rsid w:val="002A277B"/>
    <w:rsid w:val="002A2FA7"/>
    <w:rsid w:val="002A3342"/>
    <w:rsid w:val="002A3803"/>
    <w:rsid w:val="002A384A"/>
    <w:rsid w:val="002A38AF"/>
    <w:rsid w:val="002A4333"/>
    <w:rsid w:val="002A43BB"/>
    <w:rsid w:val="002A4618"/>
    <w:rsid w:val="002A4B04"/>
    <w:rsid w:val="002A503D"/>
    <w:rsid w:val="002A50C4"/>
    <w:rsid w:val="002A52C4"/>
    <w:rsid w:val="002A5554"/>
    <w:rsid w:val="002A6076"/>
    <w:rsid w:val="002A6132"/>
    <w:rsid w:val="002A66E2"/>
    <w:rsid w:val="002A6CA9"/>
    <w:rsid w:val="002A6F90"/>
    <w:rsid w:val="002A74CB"/>
    <w:rsid w:val="002A7776"/>
    <w:rsid w:val="002B0A88"/>
    <w:rsid w:val="002B0B42"/>
    <w:rsid w:val="002B0C9D"/>
    <w:rsid w:val="002B0F94"/>
    <w:rsid w:val="002B176B"/>
    <w:rsid w:val="002B1EC9"/>
    <w:rsid w:val="002B2464"/>
    <w:rsid w:val="002B258B"/>
    <w:rsid w:val="002B27AB"/>
    <w:rsid w:val="002B2BF7"/>
    <w:rsid w:val="002B2C02"/>
    <w:rsid w:val="002B2DAE"/>
    <w:rsid w:val="002B2ED0"/>
    <w:rsid w:val="002B3829"/>
    <w:rsid w:val="002B3DBF"/>
    <w:rsid w:val="002B4102"/>
    <w:rsid w:val="002B411A"/>
    <w:rsid w:val="002B43BC"/>
    <w:rsid w:val="002B490E"/>
    <w:rsid w:val="002B4A8C"/>
    <w:rsid w:val="002B5032"/>
    <w:rsid w:val="002B5E59"/>
    <w:rsid w:val="002B5F9F"/>
    <w:rsid w:val="002B607A"/>
    <w:rsid w:val="002B615C"/>
    <w:rsid w:val="002B61B8"/>
    <w:rsid w:val="002B642E"/>
    <w:rsid w:val="002B69FD"/>
    <w:rsid w:val="002B7B17"/>
    <w:rsid w:val="002C02A0"/>
    <w:rsid w:val="002C0CC8"/>
    <w:rsid w:val="002C11C4"/>
    <w:rsid w:val="002C16DF"/>
    <w:rsid w:val="002C1933"/>
    <w:rsid w:val="002C2BFC"/>
    <w:rsid w:val="002C34EA"/>
    <w:rsid w:val="002C3FA4"/>
    <w:rsid w:val="002C41F2"/>
    <w:rsid w:val="002C46D4"/>
    <w:rsid w:val="002C49CD"/>
    <w:rsid w:val="002C4E3A"/>
    <w:rsid w:val="002C4E96"/>
    <w:rsid w:val="002C59C5"/>
    <w:rsid w:val="002C6425"/>
    <w:rsid w:val="002C6B2A"/>
    <w:rsid w:val="002C6DB1"/>
    <w:rsid w:val="002C7220"/>
    <w:rsid w:val="002C72EF"/>
    <w:rsid w:val="002C750C"/>
    <w:rsid w:val="002C777B"/>
    <w:rsid w:val="002C7811"/>
    <w:rsid w:val="002C7F58"/>
    <w:rsid w:val="002D00FA"/>
    <w:rsid w:val="002D02C0"/>
    <w:rsid w:val="002D0586"/>
    <w:rsid w:val="002D0595"/>
    <w:rsid w:val="002D078E"/>
    <w:rsid w:val="002D0B60"/>
    <w:rsid w:val="002D0B65"/>
    <w:rsid w:val="002D0E8C"/>
    <w:rsid w:val="002D0F5E"/>
    <w:rsid w:val="002D1338"/>
    <w:rsid w:val="002D2363"/>
    <w:rsid w:val="002D3697"/>
    <w:rsid w:val="002D387F"/>
    <w:rsid w:val="002D3F34"/>
    <w:rsid w:val="002D3FEF"/>
    <w:rsid w:val="002D4114"/>
    <w:rsid w:val="002D4412"/>
    <w:rsid w:val="002D4421"/>
    <w:rsid w:val="002D45E3"/>
    <w:rsid w:val="002D47AF"/>
    <w:rsid w:val="002D4CC6"/>
    <w:rsid w:val="002D532B"/>
    <w:rsid w:val="002D59ED"/>
    <w:rsid w:val="002D5A24"/>
    <w:rsid w:val="002D5AA3"/>
    <w:rsid w:val="002D5D6A"/>
    <w:rsid w:val="002D6187"/>
    <w:rsid w:val="002D73AC"/>
    <w:rsid w:val="002D761B"/>
    <w:rsid w:val="002D7706"/>
    <w:rsid w:val="002D79D5"/>
    <w:rsid w:val="002E0255"/>
    <w:rsid w:val="002E0CC1"/>
    <w:rsid w:val="002E0D2F"/>
    <w:rsid w:val="002E0EBA"/>
    <w:rsid w:val="002E1BD6"/>
    <w:rsid w:val="002E1E8E"/>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59C2"/>
    <w:rsid w:val="002E5D27"/>
    <w:rsid w:val="002E6A58"/>
    <w:rsid w:val="002E6CE0"/>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932"/>
    <w:rsid w:val="002F4A96"/>
    <w:rsid w:val="002F4ECA"/>
    <w:rsid w:val="002F4FBF"/>
    <w:rsid w:val="002F516E"/>
    <w:rsid w:val="002F5B91"/>
    <w:rsid w:val="002F5E04"/>
    <w:rsid w:val="002F5F90"/>
    <w:rsid w:val="002F63AC"/>
    <w:rsid w:val="002F67D0"/>
    <w:rsid w:val="002F7947"/>
    <w:rsid w:val="00300045"/>
    <w:rsid w:val="003006E1"/>
    <w:rsid w:val="00300F23"/>
    <w:rsid w:val="00301102"/>
    <w:rsid w:val="00301763"/>
    <w:rsid w:val="003019F2"/>
    <w:rsid w:val="00301B48"/>
    <w:rsid w:val="00301C6C"/>
    <w:rsid w:val="00301E3C"/>
    <w:rsid w:val="0030200C"/>
    <w:rsid w:val="00302190"/>
    <w:rsid w:val="003021CB"/>
    <w:rsid w:val="00302871"/>
    <w:rsid w:val="003028F5"/>
    <w:rsid w:val="0030297F"/>
    <w:rsid w:val="00302E5C"/>
    <w:rsid w:val="003030B0"/>
    <w:rsid w:val="00303551"/>
    <w:rsid w:val="0030378F"/>
    <w:rsid w:val="003037A8"/>
    <w:rsid w:val="003040F2"/>
    <w:rsid w:val="00304321"/>
    <w:rsid w:val="00304544"/>
    <w:rsid w:val="00304930"/>
    <w:rsid w:val="00304B34"/>
    <w:rsid w:val="00304DED"/>
    <w:rsid w:val="00304EAF"/>
    <w:rsid w:val="00304F01"/>
    <w:rsid w:val="00304F08"/>
    <w:rsid w:val="00304F75"/>
    <w:rsid w:val="003055FF"/>
    <w:rsid w:val="003057AD"/>
    <w:rsid w:val="0030586D"/>
    <w:rsid w:val="00305922"/>
    <w:rsid w:val="00305DD5"/>
    <w:rsid w:val="00306577"/>
    <w:rsid w:val="003067DC"/>
    <w:rsid w:val="00306809"/>
    <w:rsid w:val="003069D8"/>
    <w:rsid w:val="00310543"/>
    <w:rsid w:val="003107A9"/>
    <w:rsid w:val="0031175C"/>
    <w:rsid w:val="00311D17"/>
    <w:rsid w:val="0031221C"/>
    <w:rsid w:val="0031223B"/>
    <w:rsid w:val="003122AA"/>
    <w:rsid w:val="003126F2"/>
    <w:rsid w:val="00312725"/>
    <w:rsid w:val="00312D6B"/>
    <w:rsid w:val="00312DD3"/>
    <w:rsid w:val="00312FD5"/>
    <w:rsid w:val="00313593"/>
    <w:rsid w:val="003139E1"/>
    <w:rsid w:val="00313FA1"/>
    <w:rsid w:val="003143A0"/>
    <w:rsid w:val="003151CA"/>
    <w:rsid w:val="003151D0"/>
    <w:rsid w:val="00315453"/>
    <w:rsid w:val="0031549A"/>
    <w:rsid w:val="00315B1A"/>
    <w:rsid w:val="00315C2C"/>
    <w:rsid w:val="0031600C"/>
    <w:rsid w:val="0031605A"/>
    <w:rsid w:val="003161D0"/>
    <w:rsid w:val="0031629A"/>
    <w:rsid w:val="0031676C"/>
    <w:rsid w:val="00316B24"/>
    <w:rsid w:val="0031737A"/>
    <w:rsid w:val="003174E7"/>
    <w:rsid w:val="00320722"/>
    <w:rsid w:val="00320AF9"/>
    <w:rsid w:val="00320C74"/>
    <w:rsid w:val="00321264"/>
    <w:rsid w:val="003212E7"/>
    <w:rsid w:val="00321355"/>
    <w:rsid w:val="003214B7"/>
    <w:rsid w:val="003215F3"/>
    <w:rsid w:val="003217FC"/>
    <w:rsid w:val="00321C9E"/>
    <w:rsid w:val="00321F49"/>
    <w:rsid w:val="00322058"/>
    <w:rsid w:val="00322350"/>
    <w:rsid w:val="00322ACA"/>
    <w:rsid w:val="00322C31"/>
    <w:rsid w:val="00322E6D"/>
    <w:rsid w:val="00322F70"/>
    <w:rsid w:val="00323387"/>
    <w:rsid w:val="003236E0"/>
    <w:rsid w:val="003236F2"/>
    <w:rsid w:val="0032393B"/>
    <w:rsid w:val="00323D7E"/>
    <w:rsid w:val="00324516"/>
    <w:rsid w:val="00324B57"/>
    <w:rsid w:val="00324BBE"/>
    <w:rsid w:val="00324C46"/>
    <w:rsid w:val="00325C26"/>
    <w:rsid w:val="00325EB7"/>
    <w:rsid w:val="00326FCE"/>
    <w:rsid w:val="003271A7"/>
    <w:rsid w:val="00327244"/>
    <w:rsid w:val="00327A3B"/>
    <w:rsid w:val="00327A96"/>
    <w:rsid w:val="00327C3F"/>
    <w:rsid w:val="00330021"/>
    <w:rsid w:val="00330266"/>
    <w:rsid w:val="00330300"/>
    <w:rsid w:val="003308F2"/>
    <w:rsid w:val="00330A3C"/>
    <w:rsid w:val="00330F22"/>
    <w:rsid w:val="003313FC"/>
    <w:rsid w:val="00332647"/>
    <w:rsid w:val="00332692"/>
    <w:rsid w:val="0033271E"/>
    <w:rsid w:val="0033277D"/>
    <w:rsid w:val="00332781"/>
    <w:rsid w:val="00332BBB"/>
    <w:rsid w:val="00333131"/>
    <w:rsid w:val="00333145"/>
    <w:rsid w:val="0033392C"/>
    <w:rsid w:val="00334123"/>
    <w:rsid w:val="00334558"/>
    <w:rsid w:val="003348F4"/>
    <w:rsid w:val="00334E05"/>
    <w:rsid w:val="003353E7"/>
    <w:rsid w:val="003355C3"/>
    <w:rsid w:val="003359DA"/>
    <w:rsid w:val="00335DBA"/>
    <w:rsid w:val="00335E48"/>
    <w:rsid w:val="00336038"/>
    <w:rsid w:val="00336934"/>
    <w:rsid w:val="00336974"/>
    <w:rsid w:val="00336AFC"/>
    <w:rsid w:val="003402F1"/>
    <w:rsid w:val="003402FF"/>
    <w:rsid w:val="003405E1"/>
    <w:rsid w:val="0034088E"/>
    <w:rsid w:val="003408B5"/>
    <w:rsid w:val="00340990"/>
    <w:rsid w:val="00340B17"/>
    <w:rsid w:val="00340C76"/>
    <w:rsid w:val="00341B81"/>
    <w:rsid w:val="00341CD2"/>
    <w:rsid w:val="00341E8C"/>
    <w:rsid w:val="0034219A"/>
    <w:rsid w:val="003421CE"/>
    <w:rsid w:val="00342299"/>
    <w:rsid w:val="00342588"/>
    <w:rsid w:val="003425FE"/>
    <w:rsid w:val="003428BC"/>
    <w:rsid w:val="00342EB3"/>
    <w:rsid w:val="00343227"/>
    <w:rsid w:val="003433C6"/>
    <w:rsid w:val="0034359D"/>
    <w:rsid w:val="003436DD"/>
    <w:rsid w:val="00343AA7"/>
    <w:rsid w:val="00343AEC"/>
    <w:rsid w:val="00343E41"/>
    <w:rsid w:val="0034463F"/>
    <w:rsid w:val="00344C5D"/>
    <w:rsid w:val="00344FBD"/>
    <w:rsid w:val="003459BF"/>
    <w:rsid w:val="00346190"/>
    <w:rsid w:val="003468B6"/>
    <w:rsid w:val="00347105"/>
    <w:rsid w:val="00347401"/>
    <w:rsid w:val="00347BBC"/>
    <w:rsid w:val="00347BE5"/>
    <w:rsid w:val="00347F01"/>
    <w:rsid w:val="00350159"/>
    <w:rsid w:val="0035051B"/>
    <w:rsid w:val="0035067B"/>
    <w:rsid w:val="00350B7A"/>
    <w:rsid w:val="00350D41"/>
    <w:rsid w:val="00350E54"/>
    <w:rsid w:val="00350F46"/>
    <w:rsid w:val="00350F59"/>
    <w:rsid w:val="00351307"/>
    <w:rsid w:val="003518F9"/>
    <w:rsid w:val="003519F2"/>
    <w:rsid w:val="00352287"/>
    <w:rsid w:val="00352393"/>
    <w:rsid w:val="00352539"/>
    <w:rsid w:val="00352900"/>
    <w:rsid w:val="00352985"/>
    <w:rsid w:val="00352994"/>
    <w:rsid w:val="00352EE1"/>
    <w:rsid w:val="00353455"/>
    <w:rsid w:val="003537B8"/>
    <w:rsid w:val="00353906"/>
    <w:rsid w:val="0035449F"/>
    <w:rsid w:val="003544D9"/>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8F9"/>
    <w:rsid w:val="00362CF0"/>
    <w:rsid w:val="00363F8E"/>
    <w:rsid w:val="00364470"/>
    <w:rsid w:val="00364548"/>
    <w:rsid w:val="003648DB"/>
    <w:rsid w:val="003649C7"/>
    <w:rsid w:val="00365899"/>
    <w:rsid w:val="003658C5"/>
    <w:rsid w:val="00365BB7"/>
    <w:rsid w:val="00365D44"/>
    <w:rsid w:val="00366020"/>
    <w:rsid w:val="00366217"/>
    <w:rsid w:val="0036648A"/>
    <w:rsid w:val="00366618"/>
    <w:rsid w:val="00366A49"/>
    <w:rsid w:val="00367373"/>
    <w:rsid w:val="003678ED"/>
    <w:rsid w:val="00367C4F"/>
    <w:rsid w:val="00367CBE"/>
    <w:rsid w:val="003709B0"/>
    <w:rsid w:val="00370B5E"/>
    <w:rsid w:val="00370C93"/>
    <w:rsid w:val="00370DF6"/>
    <w:rsid w:val="00371448"/>
    <w:rsid w:val="0037158D"/>
    <w:rsid w:val="003715B6"/>
    <w:rsid w:val="00371931"/>
    <w:rsid w:val="00371C35"/>
    <w:rsid w:val="00371CFF"/>
    <w:rsid w:val="00371D9F"/>
    <w:rsid w:val="00371EAC"/>
    <w:rsid w:val="00372B4C"/>
    <w:rsid w:val="00372E10"/>
    <w:rsid w:val="00372F8A"/>
    <w:rsid w:val="00373754"/>
    <w:rsid w:val="0037387B"/>
    <w:rsid w:val="003738C5"/>
    <w:rsid w:val="003741A0"/>
    <w:rsid w:val="00374349"/>
    <w:rsid w:val="00374A72"/>
    <w:rsid w:val="003763BA"/>
    <w:rsid w:val="0037678B"/>
    <w:rsid w:val="0037679B"/>
    <w:rsid w:val="00376C3B"/>
    <w:rsid w:val="00376E2D"/>
    <w:rsid w:val="00377231"/>
    <w:rsid w:val="00377AEA"/>
    <w:rsid w:val="003809CA"/>
    <w:rsid w:val="00380D94"/>
    <w:rsid w:val="003812E6"/>
    <w:rsid w:val="003813A3"/>
    <w:rsid w:val="003816E2"/>
    <w:rsid w:val="00381763"/>
    <w:rsid w:val="00381EDF"/>
    <w:rsid w:val="00381F19"/>
    <w:rsid w:val="00381F9C"/>
    <w:rsid w:val="0038213A"/>
    <w:rsid w:val="00382568"/>
    <w:rsid w:val="00383222"/>
    <w:rsid w:val="0038323C"/>
    <w:rsid w:val="00383981"/>
    <w:rsid w:val="003839DF"/>
    <w:rsid w:val="003846CE"/>
    <w:rsid w:val="00385819"/>
    <w:rsid w:val="003859D4"/>
    <w:rsid w:val="00385AF8"/>
    <w:rsid w:val="00386028"/>
    <w:rsid w:val="00386482"/>
    <w:rsid w:val="00386BA9"/>
    <w:rsid w:val="00387462"/>
    <w:rsid w:val="00387698"/>
    <w:rsid w:val="0038793B"/>
    <w:rsid w:val="00387AEF"/>
    <w:rsid w:val="00387B48"/>
    <w:rsid w:val="00387E17"/>
    <w:rsid w:val="00387E8D"/>
    <w:rsid w:val="003905A8"/>
    <w:rsid w:val="003908AA"/>
    <w:rsid w:val="00391629"/>
    <w:rsid w:val="00391A05"/>
    <w:rsid w:val="003925D4"/>
    <w:rsid w:val="00392EDF"/>
    <w:rsid w:val="003930F2"/>
    <w:rsid w:val="00393213"/>
    <w:rsid w:val="00393564"/>
    <w:rsid w:val="0039368C"/>
    <w:rsid w:val="003938A9"/>
    <w:rsid w:val="00393A4C"/>
    <w:rsid w:val="00393A60"/>
    <w:rsid w:val="00394089"/>
    <w:rsid w:val="003943DF"/>
    <w:rsid w:val="003947AF"/>
    <w:rsid w:val="003947CF"/>
    <w:rsid w:val="00394858"/>
    <w:rsid w:val="00394B21"/>
    <w:rsid w:val="003950B7"/>
    <w:rsid w:val="00395364"/>
    <w:rsid w:val="003959AB"/>
    <w:rsid w:val="00395EFB"/>
    <w:rsid w:val="00396EE7"/>
    <w:rsid w:val="0039703B"/>
    <w:rsid w:val="00397175"/>
    <w:rsid w:val="00397234"/>
    <w:rsid w:val="0039753B"/>
    <w:rsid w:val="003976CA"/>
    <w:rsid w:val="0039775F"/>
    <w:rsid w:val="00397974"/>
    <w:rsid w:val="003A0150"/>
    <w:rsid w:val="003A0B98"/>
    <w:rsid w:val="003A0EA1"/>
    <w:rsid w:val="003A1130"/>
    <w:rsid w:val="003A1600"/>
    <w:rsid w:val="003A17A7"/>
    <w:rsid w:val="003A20E0"/>
    <w:rsid w:val="003A23EC"/>
    <w:rsid w:val="003A25C2"/>
    <w:rsid w:val="003A26CC"/>
    <w:rsid w:val="003A2A3E"/>
    <w:rsid w:val="003A2BF3"/>
    <w:rsid w:val="003A34C5"/>
    <w:rsid w:val="003A3897"/>
    <w:rsid w:val="003A3985"/>
    <w:rsid w:val="003A3E0E"/>
    <w:rsid w:val="003A3F59"/>
    <w:rsid w:val="003A436A"/>
    <w:rsid w:val="003A4880"/>
    <w:rsid w:val="003A4D80"/>
    <w:rsid w:val="003A521B"/>
    <w:rsid w:val="003A528A"/>
    <w:rsid w:val="003A53B0"/>
    <w:rsid w:val="003A5998"/>
    <w:rsid w:val="003A62B0"/>
    <w:rsid w:val="003A63DC"/>
    <w:rsid w:val="003A6566"/>
    <w:rsid w:val="003A7014"/>
    <w:rsid w:val="003A79AA"/>
    <w:rsid w:val="003B0651"/>
    <w:rsid w:val="003B0C6A"/>
    <w:rsid w:val="003B0EC3"/>
    <w:rsid w:val="003B12E6"/>
    <w:rsid w:val="003B1500"/>
    <w:rsid w:val="003B1A15"/>
    <w:rsid w:val="003B1BDE"/>
    <w:rsid w:val="003B1DA8"/>
    <w:rsid w:val="003B1DEF"/>
    <w:rsid w:val="003B1E25"/>
    <w:rsid w:val="003B1F0B"/>
    <w:rsid w:val="003B2034"/>
    <w:rsid w:val="003B21FE"/>
    <w:rsid w:val="003B251C"/>
    <w:rsid w:val="003B265D"/>
    <w:rsid w:val="003B291B"/>
    <w:rsid w:val="003B2EF6"/>
    <w:rsid w:val="003B34D9"/>
    <w:rsid w:val="003B3622"/>
    <w:rsid w:val="003B3992"/>
    <w:rsid w:val="003B4118"/>
    <w:rsid w:val="003B45BF"/>
    <w:rsid w:val="003B4CAB"/>
    <w:rsid w:val="003B4D7F"/>
    <w:rsid w:val="003B534D"/>
    <w:rsid w:val="003B5F1D"/>
    <w:rsid w:val="003B5F20"/>
    <w:rsid w:val="003B60A7"/>
    <w:rsid w:val="003B6261"/>
    <w:rsid w:val="003B6799"/>
    <w:rsid w:val="003B6A83"/>
    <w:rsid w:val="003B7164"/>
    <w:rsid w:val="003B73D3"/>
    <w:rsid w:val="003B76F5"/>
    <w:rsid w:val="003B78A3"/>
    <w:rsid w:val="003B7927"/>
    <w:rsid w:val="003B7A61"/>
    <w:rsid w:val="003B7A9F"/>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4753"/>
    <w:rsid w:val="003C5AFB"/>
    <w:rsid w:val="003C5D79"/>
    <w:rsid w:val="003C67E9"/>
    <w:rsid w:val="003C6CAB"/>
    <w:rsid w:val="003C6FCD"/>
    <w:rsid w:val="003C79DA"/>
    <w:rsid w:val="003C7B39"/>
    <w:rsid w:val="003C7E85"/>
    <w:rsid w:val="003D0071"/>
    <w:rsid w:val="003D00C7"/>
    <w:rsid w:val="003D0130"/>
    <w:rsid w:val="003D0558"/>
    <w:rsid w:val="003D0921"/>
    <w:rsid w:val="003D158F"/>
    <w:rsid w:val="003D1B7F"/>
    <w:rsid w:val="003D1B9A"/>
    <w:rsid w:val="003D1EF8"/>
    <w:rsid w:val="003D200E"/>
    <w:rsid w:val="003D21FE"/>
    <w:rsid w:val="003D25E3"/>
    <w:rsid w:val="003D304D"/>
    <w:rsid w:val="003D320D"/>
    <w:rsid w:val="003D3636"/>
    <w:rsid w:val="003D3638"/>
    <w:rsid w:val="003D3772"/>
    <w:rsid w:val="003D5E16"/>
    <w:rsid w:val="003D62C3"/>
    <w:rsid w:val="003D6C69"/>
    <w:rsid w:val="003D6F08"/>
    <w:rsid w:val="003D7038"/>
    <w:rsid w:val="003D70AD"/>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7A9"/>
    <w:rsid w:val="003E4BE5"/>
    <w:rsid w:val="003E4D48"/>
    <w:rsid w:val="003E50EC"/>
    <w:rsid w:val="003E58AF"/>
    <w:rsid w:val="003E595A"/>
    <w:rsid w:val="003E5E45"/>
    <w:rsid w:val="003E62AF"/>
    <w:rsid w:val="003E6820"/>
    <w:rsid w:val="003E6EF5"/>
    <w:rsid w:val="003E7332"/>
    <w:rsid w:val="003E7860"/>
    <w:rsid w:val="003E7F82"/>
    <w:rsid w:val="003F12D4"/>
    <w:rsid w:val="003F18BD"/>
    <w:rsid w:val="003F1990"/>
    <w:rsid w:val="003F2D20"/>
    <w:rsid w:val="003F301A"/>
    <w:rsid w:val="003F32F7"/>
    <w:rsid w:val="003F3564"/>
    <w:rsid w:val="003F393B"/>
    <w:rsid w:val="003F3AC3"/>
    <w:rsid w:val="003F489E"/>
    <w:rsid w:val="003F4B3E"/>
    <w:rsid w:val="003F4CB4"/>
    <w:rsid w:val="003F4DBF"/>
    <w:rsid w:val="003F5788"/>
    <w:rsid w:val="003F5A54"/>
    <w:rsid w:val="003F5F43"/>
    <w:rsid w:val="003F6031"/>
    <w:rsid w:val="003F60D6"/>
    <w:rsid w:val="003F6410"/>
    <w:rsid w:val="003F657F"/>
    <w:rsid w:val="003F69E1"/>
    <w:rsid w:val="003F6C45"/>
    <w:rsid w:val="003F6DE4"/>
    <w:rsid w:val="0040019B"/>
    <w:rsid w:val="00400377"/>
    <w:rsid w:val="00400491"/>
    <w:rsid w:val="004007BB"/>
    <w:rsid w:val="00400A85"/>
    <w:rsid w:val="00400CFD"/>
    <w:rsid w:val="00400EBB"/>
    <w:rsid w:val="00400F54"/>
    <w:rsid w:val="00400F72"/>
    <w:rsid w:val="004013BC"/>
    <w:rsid w:val="00402781"/>
    <w:rsid w:val="00402B62"/>
    <w:rsid w:val="00402D20"/>
    <w:rsid w:val="0040311E"/>
    <w:rsid w:val="00403B06"/>
    <w:rsid w:val="00403B58"/>
    <w:rsid w:val="004046B9"/>
    <w:rsid w:val="00404BBB"/>
    <w:rsid w:val="00405694"/>
    <w:rsid w:val="0040572F"/>
    <w:rsid w:val="0040574E"/>
    <w:rsid w:val="00405862"/>
    <w:rsid w:val="00405982"/>
    <w:rsid w:val="00405DE5"/>
    <w:rsid w:val="00405F16"/>
    <w:rsid w:val="004061CE"/>
    <w:rsid w:val="00406872"/>
    <w:rsid w:val="004072EF"/>
    <w:rsid w:val="004075DA"/>
    <w:rsid w:val="004077E3"/>
    <w:rsid w:val="00407D9B"/>
    <w:rsid w:val="00407DF6"/>
    <w:rsid w:val="004101B2"/>
    <w:rsid w:val="00410671"/>
    <w:rsid w:val="00410A67"/>
    <w:rsid w:val="00410B8E"/>
    <w:rsid w:val="00411531"/>
    <w:rsid w:val="00411A8C"/>
    <w:rsid w:val="00411E86"/>
    <w:rsid w:val="00411EBD"/>
    <w:rsid w:val="00412522"/>
    <w:rsid w:val="004125A1"/>
    <w:rsid w:val="00412A9B"/>
    <w:rsid w:val="00413062"/>
    <w:rsid w:val="0041312C"/>
    <w:rsid w:val="0041338B"/>
    <w:rsid w:val="00413A3A"/>
    <w:rsid w:val="0041464D"/>
    <w:rsid w:val="00414C53"/>
    <w:rsid w:val="0041512E"/>
    <w:rsid w:val="00415279"/>
    <w:rsid w:val="0041530D"/>
    <w:rsid w:val="004154CD"/>
    <w:rsid w:val="00415519"/>
    <w:rsid w:val="00415E4B"/>
    <w:rsid w:val="00416059"/>
    <w:rsid w:val="004164A1"/>
    <w:rsid w:val="00416E6A"/>
    <w:rsid w:val="0041717C"/>
    <w:rsid w:val="00420DBD"/>
    <w:rsid w:val="00421119"/>
    <w:rsid w:val="0042120F"/>
    <w:rsid w:val="004219A0"/>
    <w:rsid w:val="00421AE6"/>
    <w:rsid w:val="004223E3"/>
    <w:rsid w:val="00422678"/>
    <w:rsid w:val="004227B1"/>
    <w:rsid w:val="00422942"/>
    <w:rsid w:val="00422B55"/>
    <w:rsid w:val="004230BD"/>
    <w:rsid w:val="00423342"/>
    <w:rsid w:val="0042393D"/>
    <w:rsid w:val="00423C00"/>
    <w:rsid w:val="0042409B"/>
    <w:rsid w:val="00424EE1"/>
    <w:rsid w:val="00425AE2"/>
    <w:rsid w:val="00425D7A"/>
    <w:rsid w:val="004260BB"/>
    <w:rsid w:val="004268CB"/>
    <w:rsid w:val="004269BA"/>
    <w:rsid w:val="00426A1E"/>
    <w:rsid w:val="004274EE"/>
    <w:rsid w:val="00427842"/>
    <w:rsid w:val="00427C27"/>
    <w:rsid w:val="00427CCC"/>
    <w:rsid w:val="004300CB"/>
    <w:rsid w:val="00430453"/>
    <w:rsid w:val="00430BCC"/>
    <w:rsid w:val="0043295B"/>
    <w:rsid w:val="00432B06"/>
    <w:rsid w:val="0043353C"/>
    <w:rsid w:val="0043367B"/>
    <w:rsid w:val="004336E9"/>
    <w:rsid w:val="00433981"/>
    <w:rsid w:val="00433AAE"/>
    <w:rsid w:val="00434C95"/>
    <w:rsid w:val="0043510A"/>
    <w:rsid w:val="0043628A"/>
    <w:rsid w:val="0043646E"/>
    <w:rsid w:val="004371D7"/>
    <w:rsid w:val="00437437"/>
    <w:rsid w:val="0043750A"/>
    <w:rsid w:val="004375CB"/>
    <w:rsid w:val="004378BC"/>
    <w:rsid w:val="00437DAA"/>
    <w:rsid w:val="0044013B"/>
    <w:rsid w:val="00440B48"/>
    <w:rsid w:val="00440C17"/>
    <w:rsid w:val="00440E91"/>
    <w:rsid w:val="004411AE"/>
    <w:rsid w:val="00441A68"/>
    <w:rsid w:val="00441E0E"/>
    <w:rsid w:val="004429B1"/>
    <w:rsid w:val="00442EFE"/>
    <w:rsid w:val="004433C6"/>
    <w:rsid w:val="0044349D"/>
    <w:rsid w:val="00443D48"/>
    <w:rsid w:val="00444056"/>
    <w:rsid w:val="004440B5"/>
    <w:rsid w:val="004442A4"/>
    <w:rsid w:val="00444C2D"/>
    <w:rsid w:val="00444F5C"/>
    <w:rsid w:val="00445EB3"/>
    <w:rsid w:val="0044610F"/>
    <w:rsid w:val="00446316"/>
    <w:rsid w:val="00446322"/>
    <w:rsid w:val="00446833"/>
    <w:rsid w:val="00446ACF"/>
    <w:rsid w:val="004478BA"/>
    <w:rsid w:val="00447F05"/>
    <w:rsid w:val="00450C95"/>
    <w:rsid w:val="00450CA7"/>
    <w:rsid w:val="00450E29"/>
    <w:rsid w:val="00451082"/>
    <w:rsid w:val="004513FB"/>
    <w:rsid w:val="00451C48"/>
    <w:rsid w:val="0045351A"/>
    <w:rsid w:val="004537B4"/>
    <w:rsid w:val="004539A1"/>
    <w:rsid w:val="004544BC"/>
    <w:rsid w:val="004546C3"/>
    <w:rsid w:val="00454A40"/>
    <w:rsid w:val="004551D5"/>
    <w:rsid w:val="004564BE"/>
    <w:rsid w:val="00456D24"/>
    <w:rsid w:val="00456ED3"/>
    <w:rsid w:val="0045729F"/>
    <w:rsid w:val="004573F7"/>
    <w:rsid w:val="004574E2"/>
    <w:rsid w:val="00457A81"/>
    <w:rsid w:val="00457AAB"/>
    <w:rsid w:val="004601B2"/>
    <w:rsid w:val="0046032F"/>
    <w:rsid w:val="00460519"/>
    <w:rsid w:val="0046065B"/>
    <w:rsid w:val="00460FD9"/>
    <w:rsid w:val="004610EC"/>
    <w:rsid w:val="00461268"/>
    <w:rsid w:val="00461327"/>
    <w:rsid w:val="004613C2"/>
    <w:rsid w:val="004614CA"/>
    <w:rsid w:val="004621F8"/>
    <w:rsid w:val="004622A5"/>
    <w:rsid w:val="00462646"/>
    <w:rsid w:val="004626EB"/>
    <w:rsid w:val="00462833"/>
    <w:rsid w:val="00462C08"/>
    <w:rsid w:val="00462C40"/>
    <w:rsid w:val="00462CAD"/>
    <w:rsid w:val="00463973"/>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203"/>
    <w:rsid w:val="0046733B"/>
    <w:rsid w:val="004673C3"/>
    <w:rsid w:val="004674A5"/>
    <w:rsid w:val="0046761A"/>
    <w:rsid w:val="00467837"/>
    <w:rsid w:val="00467A99"/>
    <w:rsid w:val="00467E8D"/>
    <w:rsid w:val="00467EFF"/>
    <w:rsid w:val="00470052"/>
    <w:rsid w:val="00470108"/>
    <w:rsid w:val="0047022F"/>
    <w:rsid w:val="00470832"/>
    <w:rsid w:val="0047134A"/>
    <w:rsid w:val="0047195B"/>
    <w:rsid w:val="00471E03"/>
    <w:rsid w:val="004722CE"/>
    <w:rsid w:val="004723E6"/>
    <w:rsid w:val="004729E3"/>
    <w:rsid w:val="00472D1F"/>
    <w:rsid w:val="004731B6"/>
    <w:rsid w:val="00473274"/>
    <w:rsid w:val="00473A5B"/>
    <w:rsid w:val="004741C3"/>
    <w:rsid w:val="00475940"/>
    <w:rsid w:val="004761A7"/>
    <w:rsid w:val="00476CCF"/>
    <w:rsid w:val="00476D01"/>
    <w:rsid w:val="00476F39"/>
    <w:rsid w:val="00477261"/>
    <w:rsid w:val="00477321"/>
    <w:rsid w:val="00477499"/>
    <w:rsid w:val="00477781"/>
    <w:rsid w:val="00477962"/>
    <w:rsid w:val="00477A08"/>
    <w:rsid w:val="00477FA4"/>
    <w:rsid w:val="0048043A"/>
    <w:rsid w:val="004805F1"/>
    <w:rsid w:val="00480B52"/>
    <w:rsid w:val="0048202B"/>
    <w:rsid w:val="0048212A"/>
    <w:rsid w:val="00482349"/>
    <w:rsid w:val="0048290A"/>
    <w:rsid w:val="00482B85"/>
    <w:rsid w:val="00482D1C"/>
    <w:rsid w:val="00482EC7"/>
    <w:rsid w:val="0048302C"/>
    <w:rsid w:val="0048306C"/>
    <w:rsid w:val="00483383"/>
    <w:rsid w:val="004833A8"/>
    <w:rsid w:val="00483441"/>
    <w:rsid w:val="00483EA9"/>
    <w:rsid w:val="00484659"/>
    <w:rsid w:val="0048474B"/>
    <w:rsid w:val="004847D9"/>
    <w:rsid w:val="0048490A"/>
    <w:rsid w:val="00484F1C"/>
    <w:rsid w:val="004850A5"/>
    <w:rsid w:val="004852D7"/>
    <w:rsid w:val="004853FA"/>
    <w:rsid w:val="00485A2F"/>
    <w:rsid w:val="00485B68"/>
    <w:rsid w:val="00485D1E"/>
    <w:rsid w:val="00486159"/>
    <w:rsid w:val="0048640C"/>
    <w:rsid w:val="0048672E"/>
    <w:rsid w:val="004867EE"/>
    <w:rsid w:val="00487036"/>
    <w:rsid w:val="00487104"/>
    <w:rsid w:val="00487243"/>
    <w:rsid w:val="004873A7"/>
    <w:rsid w:val="0048797C"/>
    <w:rsid w:val="00487EE1"/>
    <w:rsid w:val="004903D1"/>
    <w:rsid w:val="00490467"/>
    <w:rsid w:val="0049184C"/>
    <w:rsid w:val="00491A12"/>
    <w:rsid w:val="0049217C"/>
    <w:rsid w:val="004924E6"/>
    <w:rsid w:val="004925DF"/>
    <w:rsid w:val="00492D6B"/>
    <w:rsid w:val="00492EFA"/>
    <w:rsid w:val="004930B3"/>
    <w:rsid w:val="00493223"/>
    <w:rsid w:val="0049327D"/>
    <w:rsid w:val="004935F7"/>
    <w:rsid w:val="00493A91"/>
    <w:rsid w:val="00493D53"/>
    <w:rsid w:val="00494B73"/>
    <w:rsid w:val="00495005"/>
    <w:rsid w:val="00495E61"/>
    <w:rsid w:val="00496102"/>
    <w:rsid w:val="004969C7"/>
    <w:rsid w:val="00496D13"/>
    <w:rsid w:val="00497C0C"/>
    <w:rsid w:val="00497CE6"/>
    <w:rsid w:val="00497F1E"/>
    <w:rsid w:val="004A1197"/>
    <w:rsid w:val="004A1855"/>
    <w:rsid w:val="004A1A16"/>
    <w:rsid w:val="004A2197"/>
    <w:rsid w:val="004A2804"/>
    <w:rsid w:val="004A29B2"/>
    <w:rsid w:val="004A29B3"/>
    <w:rsid w:val="004A2EFE"/>
    <w:rsid w:val="004A2F68"/>
    <w:rsid w:val="004A3233"/>
    <w:rsid w:val="004A3560"/>
    <w:rsid w:val="004A36C6"/>
    <w:rsid w:val="004A3D9E"/>
    <w:rsid w:val="004A3DCC"/>
    <w:rsid w:val="004A4E31"/>
    <w:rsid w:val="004A5E2D"/>
    <w:rsid w:val="004A5E42"/>
    <w:rsid w:val="004A628A"/>
    <w:rsid w:val="004A6438"/>
    <w:rsid w:val="004A6976"/>
    <w:rsid w:val="004A73A7"/>
    <w:rsid w:val="004B0151"/>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39"/>
    <w:rsid w:val="004B5787"/>
    <w:rsid w:val="004B6062"/>
    <w:rsid w:val="004B6238"/>
    <w:rsid w:val="004B6510"/>
    <w:rsid w:val="004B6A79"/>
    <w:rsid w:val="004B6D08"/>
    <w:rsid w:val="004B6DD2"/>
    <w:rsid w:val="004B7126"/>
    <w:rsid w:val="004B7584"/>
    <w:rsid w:val="004B76A9"/>
    <w:rsid w:val="004C01BF"/>
    <w:rsid w:val="004C02F4"/>
    <w:rsid w:val="004C06EF"/>
    <w:rsid w:val="004C0E18"/>
    <w:rsid w:val="004C1390"/>
    <w:rsid w:val="004C14C0"/>
    <w:rsid w:val="004C1D53"/>
    <w:rsid w:val="004C20B8"/>
    <w:rsid w:val="004C2935"/>
    <w:rsid w:val="004C2B94"/>
    <w:rsid w:val="004C33E8"/>
    <w:rsid w:val="004C3B2F"/>
    <w:rsid w:val="004C3E56"/>
    <w:rsid w:val="004C42B9"/>
    <w:rsid w:val="004C44E0"/>
    <w:rsid w:val="004C4637"/>
    <w:rsid w:val="004C46C5"/>
    <w:rsid w:val="004C4911"/>
    <w:rsid w:val="004C4B9F"/>
    <w:rsid w:val="004C50FC"/>
    <w:rsid w:val="004C588A"/>
    <w:rsid w:val="004C5DEB"/>
    <w:rsid w:val="004C64AB"/>
    <w:rsid w:val="004C64F9"/>
    <w:rsid w:val="004C660B"/>
    <w:rsid w:val="004C6666"/>
    <w:rsid w:val="004C70BD"/>
    <w:rsid w:val="004C7A14"/>
    <w:rsid w:val="004C7B9E"/>
    <w:rsid w:val="004C7E97"/>
    <w:rsid w:val="004D0675"/>
    <w:rsid w:val="004D096A"/>
    <w:rsid w:val="004D0A16"/>
    <w:rsid w:val="004D0BB3"/>
    <w:rsid w:val="004D0CE2"/>
    <w:rsid w:val="004D1330"/>
    <w:rsid w:val="004D1B0D"/>
    <w:rsid w:val="004D23DA"/>
    <w:rsid w:val="004D29F0"/>
    <w:rsid w:val="004D2A84"/>
    <w:rsid w:val="004D32F6"/>
    <w:rsid w:val="004D33E4"/>
    <w:rsid w:val="004D3998"/>
    <w:rsid w:val="004D3F44"/>
    <w:rsid w:val="004D3FC2"/>
    <w:rsid w:val="004D448D"/>
    <w:rsid w:val="004D456C"/>
    <w:rsid w:val="004D485F"/>
    <w:rsid w:val="004D4D09"/>
    <w:rsid w:val="004D4FC2"/>
    <w:rsid w:val="004D52C9"/>
    <w:rsid w:val="004D55D2"/>
    <w:rsid w:val="004D59A0"/>
    <w:rsid w:val="004D6C99"/>
    <w:rsid w:val="004D734E"/>
    <w:rsid w:val="004D741D"/>
    <w:rsid w:val="004D783B"/>
    <w:rsid w:val="004E0223"/>
    <w:rsid w:val="004E0242"/>
    <w:rsid w:val="004E0A75"/>
    <w:rsid w:val="004E0B3F"/>
    <w:rsid w:val="004E0D1D"/>
    <w:rsid w:val="004E14B8"/>
    <w:rsid w:val="004E1DB4"/>
    <w:rsid w:val="004E1E35"/>
    <w:rsid w:val="004E1FC7"/>
    <w:rsid w:val="004E2110"/>
    <w:rsid w:val="004E254A"/>
    <w:rsid w:val="004E3067"/>
    <w:rsid w:val="004E3213"/>
    <w:rsid w:val="004E3255"/>
    <w:rsid w:val="004E3338"/>
    <w:rsid w:val="004E3B7A"/>
    <w:rsid w:val="004E3CEB"/>
    <w:rsid w:val="004E3E20"/>
    <w:rsid w:val="004E4659"/>
    <w:rsid w:val="004E4B03"/>
    <w:rsid w:val="004E4E17"/>
    <w:rsid w:val="004E5872"/>
    <w:rsid w:val="004E5D63"/>
    <w:rsid w:val="004E6617"/>
    <w:rsid w:val="004E67F7"/>
    <w:rsid w:val="004E693B"/>
    <w:rsid w:val="004E6ED3"/>
    <w:rsid w:val="004E7459"/>
    <w:rsid w:val="004E7D14"/>
    <w:rsid w:val="004F0192"/>
    <w:rsid w:val="004F01A7"/>
    <w:rsid w:val="004F0383"/>
    <w:rsid w:val="004F03E9"/>
    <w:rsid w:val="004F1717"/>
    <w:rsid w:val="004F1C2F"/>
    <w:rsid w:val="004F1E8F"/>
    <w:rsid w:val="004F1EC7"/>
    <w:rsid w:val="004F2066"/>
    <w:rsid w:val="004F242D"/>
    <w:rsid w:val="004F2855"/>
    <w:rsid w:val="004F32EA"/>
    <w:rsid w:val="004F3BC8"/>
    <w:rsid w:val="004F429F"/>
    <w:rsid w:val="004F42D6"/>
    <w:rsid w:val="004F4466"/>
    <w:rsid w:val="004F4562"/>
    <w:rsid w:val="004F4C9C"/>
    <w:rsid w:val="004F5155"/>
    <w:rsid w:val="004F5EC1"/>
    <w:rsid w:val="004F62FD"/>
    <w:rsid w:val="004F6332"/>
    <w:rsid w:val="004F67A2"/>
    <w:rsid w:val="004F68B0"/>
    <w:rsid w:val="004F7BDE"/>
    <w:rsid w:val="0050034B"/>
    <w:rsid w:val="00503191"/>
    <w:rsid w:val="0050326D"/>
    <w:rsid w:val="005035DD"/>
    <w:rsid w:val="00503E32"/>
    <w:rsid w:val="00503EBD"/>
    <w:rsid w:val="005047CB"/>
    <w:rsid w:val="005047F1"/>
    <w:rsid w:val="00504B40"/>
    <w:rsid w:val="00505225"/>
    <w:rsid w:val="00505D84"/>
    <w:rsid w:val="0050601B"/>
    <w:rsid w:val="005060BF"/>
    <w:rsid w:val="00506108"/>
    <w:rsid w:val="0050667D"/>
    <w:rsid w:val="005068F5"/>
    <w:rsid w:val="00506BB4"/>
    <w:rsid w:val="00506C38"/>
    <w:rsid w:val="00506C3E"/>
    <w:rsid w:val="00506E46"/>
    <w:rsid w:val="0050702C"/>
    <w:rsid w:val="00507157"/>
    <w:rsid w:val="005076AA"/>
    <w:rsid w:val="00507D4B"/>
    <w:rsid w:val="00507DA8"/>
    <w:rsid w:val="005101F9"/>
    <w:rsid w:val="005105DB"/>
    <w:rsid w:val="00510683"/>
    <w:rsid w:val="00510876"/>
    <w:rsid w:val="00510AAD"/>
    <w:rsid w:val="00510B7B"/>
    <w:rsid w:val="0051130C"/>
    <w:rsid w:val="00511429"/>
    <w:rsid w:val="00512111"/>
    <w:rsid w:val="005124E1"/>
    <w:rsid w:val="005129C7"/>
    <w:rsid w:val="005132AC"/>
    <w:rsid w:val="005139AB"/>
    <w:rsid w:val="005139B9"/>
    <w:rsid w:val="005143FD"/>
    <w:rsid w:val="00514F81"/>
    <w:rsid w:val="00515684"/>
    <w:rsid w:val="0051582F"/>
    <w:rsid w:val="00515CFA"/>
    <w:rsid w:val="00515DE5"/>
    <w:rsid w:val="0051644A"/>
    <w:rsid w:val="0051655C"/>
    <w:rsid w:val="005166BA"/>
    <w:rsid w:val="00516D97"/>
    <w:rsid w:val="00517731"/>
    <w:rsid w:val="00517788"/>
    <w:rsid w:val="005179F5"/>
    <w:rsid w:val="00517AFB"/>
    <w:rsid w:val="005207FB"/>
    <w:rsid w:val="00521139"/>
    <w:rsid w:val="0052131E"/>
    <w:rsid w:val="00521693"/>
    <w:rsid w:val="00521725"/>
    <w:rsid w:val="0052175E"/>
    <w:rsid w:val="00522AD0"/>
    <w:rsid w:val="00522B23"/>
    <w:rsid w:val="00522BFC"/>
    <w:rsid w:val="00522CA9"/>
    <w:rsid w:val="00522E09"/>
    <w:rsid w:val="00522EFA"/>
    <w:rsid w:val="005233E4"/>
    <w:rsid w:val="00523772"/>
    <w:rsid w:val="00523E8E"/>
    <w:rsid w:val="00524908"/>
    <w:rsid w:val="00524C72"/>
    <w:rsid w:val="00525088"/>
    <w:rsid w:val="005250E1"/>
    <w:rsid w:val="005258A2"/>
    <w:rsid w:val="00525972"/>
    <w:rsid w:val="00525D2D"/>
    <w:rsid w:val="00526250"/>
    <w:rsid w:val="00526351"/>
    <w:rsid w:val="0052639D"/>
    <w:rsid w:val="00526991"/>
    <w:rsid w:val="00526FBE"/>
    <w:rsid w:val="00527322"/>
    <w:rsid w:val="00527605"/>
    <w:rsid w:val="00530397"/>
    <w:rsid w:val="005304A4"/>
    <w:rsid w:val="00530B7B"/>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53A"/>
    <w:rsid w:val="00534929"/>
    <w:rsid w:val="00534C4A"/>
    <w:rsid w:val="0053552F"/>
    <w:rsid w:val="00535625"/>
    <w:rsid w:val="00535754"/>
    <w:rsid w:val="00535D54"/>
    <w:rsid w:val="00535F5D"/>
    <w:rsid w:val="005363F7"/>
    <w:rsid w:val="00536582"/>
    <w:rsid w:val="005365A8"/>
    <w:rsid w:val="00536855"/>
    <w:rsid w:val="00536A50"/>
    <w:rsid w:val="00536D53"/>
    <w:rsid w:val="00536EB7"/>
    <w:rsid w:val="005370DC"/>
    <w:rsid w:val="005376E4"/>
    <w:rsid w:val="00537CE9"/>
    <w:rsid w:val="0054035C"/>
    <w:rsid w:val="00540720"/>
    <w:rsid w:val="0054094E"/>
    <w:rsid w:val="00540AD1"/>
    <w:rsid w:val="00541E4C"/>
    <w:rsid w:val="005426C3"/>
    <w:rsid w:val="00542C0F"/>
    <w:rsid w:val="00542D06"/>
    <w:rsid w:val="00542E4E"/>
    <w:rsid w:val="00543703"/>
    <w:rsid w:val="00543A31"/>
    <w:rsid w:val="00543AE9"/>
    <w:rsid w:val="00543E2F"/>
    <w:rsid w:val="005442DF"/>
    <w:rsid w:val="00544747"/>
    <w:rsid w:val="00545029"/>
    <w:rsid w:val="00545620"/>
    <w:rsid w:val="00545AD8"/>
    <w:rsid w:val="00545D8E"/>
    <w:rsid w:val="0054612E"/>
    <w:rsid w:val="00546465"/>
    <w:rsid w:val="00546855"/>
    <w:rsid w:val="005469E6"/>
    <w:rsid w:val="00546D49"/>
    <w:rsid w:val="00546E3A"/>
    <w:rsid w:val="005474B0"/>
    <w:rsid w:val="005478D2"/>
    <w:rsid w:val="00547A54"/>
    <w:rsid w:val="00547E16"/>
    <w:rsid w:val="00547F6E"/>
    <w:rsid w:val="00550632"/>
    <w:rsid w:val="005506A3"/>
    <w:rsid w:val="005508AA"/>
    <w:rsid w:val="005509AE"/>
    <w:rsid w:val="00550C30"/>
    <w:rsid w:val="00550FB1"/>
    <w:rsid w:val="00551575"/>
    <w:rsid w:val="005516B0"/>
    <w:rsid w:val="00551A99"/>
    <w:rsid w:val="00551D50"/>
    <w:rsid w:val="00551F88"/>
    <w:rsid w:val="005525C4"/>
    <w:rsid w:val="00552759"/>
    <w:rsid w:val="0055280A"/>
    <w:rsid w:val="00552915"/>
    <w:rsid w:val="0055299B"/>
    <w:rsid w:val="00553177"/>
    <w:rsid w:val="0055321E"/>
    <w:rsid w:val="0055369D"/>
    <w:rsid w:val="005536C2"/>
    <w:rsid w:val="00553C0D"/>
    <w:rsid w:val="00553E04"/>
    <w:rsid w:val="00554195"/>
    <w:rsid w:val="00554661"/>
    <w:rsid w:val="00554BEF"/>
    <w:rsid w:val="00555085"/>
    <w:rsid w:val="0055519D"/>
    <w:rsid w:val="00555428"/>
    <w:rsid w:val="005554E9"/>
    <w:rsid w:val="0055654B"/>
    <w:rsid w:val="005566D6"/>
    <w:rsid w:val="00556839"/>
    <w:rsid w:val="0055687E"/>
    <w:rsid w:val="00556B35"/>
    <w:rsid w:val="00556ECF"/>
    <w:rsid w:val="005572EF"/>
    <w:rsid w:val="005576B2"/>
    <w:rsid w:val="0055771E"/>
    <w:rsid w:val="00557A25"/>
    <w:rsid w:val="00557F04"/>
    <w:rsid w:val="00560DE1"/>
    <w:rsid w:val="00560EB2"/>
    <w:rsid w:val="00561A9B"/>
    <w:rsid w:val="00562138"/>
    <w:rsid w:val="005622AF"/>
    <w:rsid w:val="00562366"/>
    <w:rsid w:val="00562571"/>
    <w:rsid w:val="00562BF6"/>
    <w:rsid w:val="00562C40"/>
    <w:rsid w:val="00562D40"/>
    <w:rsid w:val="00562E87"/>
    <w:rsid w:val="00562F6F"/>
    <w:rsid w:val="005630AA"/>
    <w:rsid w:val="005638C1"/>
    <w:rsid w:val="00563A1C"/>
    <w:rsid w:val="00563C46"/>
    <w:rsid w:val="005648FF"/>
    <w:rsid w:val="00564AF4"/>
    <w:rsid w:val="005651F6"/>
    <w:rsid w:val="0056540C"/>
    <w:rsid w:val="00566A41"/>
    <w:rsid w:val="00566DB5"/>
    <w:rsid w:val="0056720E"/>
    <w:rsid w:val="00567BA4"/>
    <w:rsid w:val="00567ED0"/>
    <w:rsid w:val="00567F82"/>
    <w:rsid w:val="005701D9"/>
    <w:rsid w:val="00570538"/>
    <w:rsid w:val="00570546"/>
    <w:rsid w:val="00570A2C"/>
    <w:rsid w:val="00570AD7"/>
    <w:rsid w:val="00571012"/>
    <w:rsid w:val="00571319"/>
    <w:rsid w:val="005719E7"/>
    <w:rsid w:val="0057206E"/>
    <w:rsid w:val="00572B7E"/>
    <w:rsid w:val="00572BFE"/>
    <w:rsid w:val="00572D65"/>
    <w:rsid w:val="005732F6"/>
    <w:rsid w:val="005734F0"/>
    <w:rsid w:val="0057369A"/>
    <w:rsid w:val="00573985"/>
    <w:rsid w:val="00573D75"/>
    <w:rsid w:val="00573E5C"/>
    <w:rsid w:val="00574050"/>
    <w:rsid w:val="0057449D"/>
    <w:rsid w:val="005749A3"/>
    <w:rsid w:val="00575514"/>
    <w:rsid w:val="005755AD"/>
    <w:rsid w:val="00575BD7"/>
    <w:rsid w:val="00575D8C"/>
    <w:rsid w:val="00576318"/>
    <w:rsid w:val="005765A5"/>
    <w:rsid w:val="00576830"/>
    <w:rsid w:val="005769ED"/>
    <w:rsid w:val="00576E82"/>
    <w:rsid w:val="00577101"/>
    <w:rsid w:val="00577123"/>
    <w:rsid w:val="00577189"/>
    <w:rsid w:val="0057761F"/>
    <w:rsid w:val="005778F3"/>
    <w:rsid w:val="005779E6"/>
    <w:rsid w:val="00577C5B"/>
    <w:rsid w:val="00577D0F"/>
    <w:rsid w:val="005808E8"/>
    <w:rsid w:val="005809D0"/>
    <w:rsid w:val="00580FEA"/>
    <w:rsid w:val="00581542"/>
    <w:rsid w:val="00581671"/>
    <w:rsid w:val="00582593"/>
    <w:rsid w:val="0058288A"/>
    <w:rsid w:val="00582D17"/>
    <w:rsid w:val="00582F6E"/>
    <w:rsid w:val="005833C2"/>
    <w:rsid w:val="00583B0A"/>
    <w:rsid w:val="00583BED"/>
    <w:rsid w:val="005857A6"/>
    <w:rsid w:val="005859A4"/>
    <w:rsid w:val="00585A18"/>
    <w:rsid w:val="00585D00"/>
    <w:rsid w:val="00586039"/>
    <w:rsid w:val="00586D5C"/>
    <w:rsid w:val="00586E0F"/>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4F52"/>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1902"/>
    <w:rsid w:val="005A2481"/>
    <w:rsid w:val="005A269A"/>
    <w:rsid w:val="005A26D9"/>
    <w:rsid w:val="005A27E4"/>
    <w:rsid w:val="005A286A"/>
    <w:rsid w:val="005A2D7F"/>
    <w:rsid w:val="005A3322"/>
    <w:rsid w:val="005A36EC"/>
    <w:rsid w:val="005A38A1"/>
    <w:rsid w:val="005A3BDB"/>
    <w:rsid w:val="005A3BEF"/>
    <w:rsid w:val="005A44C3"/>
    <w:rsid w:val="005A49FD"/>
    <w:rsid w:val="005A5211"/>
    <w:rsid w:val="005A5555"/>
    <w:rsid w:val="005A6096"/>
    <w:rsid w:val="005A6A32"/>
    <w:rsid w:val="005A6AC5"/>
    <w:rsid w:val="005A6C10"/>
    <w:rsid w:val="005A6E8D"/>
    <w:rsid w:val="005A6F15"/>
    <w:rsid w:val="005A7029"/>
    <w:rsid w:val="005A737B"/>
    <w:rsid w:val="005A74ED"/>
    <w:rsid w:val="005A7C48"/>
    <w:rsid w:val="005B0296"/>
    <w:rsid w:val="005B03EE"/>
    <w:rsid w:val="005B0631"/>
    <w:rsid w:val="005B0920"/>
    <w:rsid w:val="005B0E69"/>
    <w:rsid w:val="005B0F5D"/>
    <w:rsid w:val="005B12CD"/>
    <w:rsid w:val="005B1A92"/>
    <w:rsid w:val="005B1B30"/>
    <w:rsid w:val="005B1B9F"/>
    <w:rsid w:val="005B2805"/>
    <w:rsid w:val="005B2859"/>
    <w:rsid w:val="005B2EA2"/>
    <w:rsid w:val="005B3282"/>
    <w:rsid w:val="005B3546"/>
    <w:rsid w:val="005B35AA"/>
    <w:rsid w:val="005B3675"/>
    <w:rsid w:val="005B36AC"/>
    <w:rsid w:val="005B3E02"/>
    <w:rsid w:val="005B4B27"/>
    <w:rsid w:val="005B4BE9"/>
    <w:rsid w:val="005B5036"/>
    <w:rsid w:val="005B524B"/>
    <w:rsid w:val="005B52D5"/>
    <w:rsid w:val="005B5576"/>
    <w:rsid w:val="005B57B6"/>
    <w:rsid w:val="005B5804"/>
    <w:rsid w:val="005B591D"/>
    <w:rsid w:val="005B5ADE"/>
    <w:rsid w:val="005B5C55"/>
    <w:rsid w:val="005B5DC4"/>
    <w:rsid w:val="005B659B"/>
    <w:rsid w:val="005B682C"/>
    <w:rsid w:val="005B6A11"/>
    <w:rsid w:val="005B6AA2"/>
    <w:rsid w:val="005B7163"/>
    <w:rsid w:val="005B7306"/>
    <w:rsid w:val="005B7602"/>
    <w:rsid w:val="005B7675"/>
    <w:rsid w:val="005B7830"/>
    <w:rsid w:val="005B7DDB"/>
    <w:rsid w:val="005B7F53"/>
    <w:rsid w:val="005C00DE"/>
    <w:rsid w:val="005C0CF3"/>
    <w:rsid w:val="005C147E"/>
    <w:rsid w:val="005C1810"/>
    <w:rsid w:val="005C1C3F"/>
    <w:rsid w:val="005C1E9F"/>
    <w:rsid w:val="005C23A4"/>
    <w:rsid w:val="005C2C71"/>
    <w:rsid w:val="005C2DB6"/>
    <w:rsid w:val="005C2F2F"/>
    <w:rsid w:val="005C2F40"/>
    <w:rsid w:val="005C3159"/>
    <w:rsid w:val="005C33FE"/>
    <w:rsid w:val="005C3AD0"/>
    <w:rsid w:val="005C3AE5"/>
    <w:rsid w:val="005C3D13"/>
    <w:rsid w:val="005C3DE2"/>
    <w:rsid w:val="005C477A"/>
    <w:rsid w:val="005C47DE"/>
    <w:rsid w:val="005C48F5"/>
    <w:rsid w:val="005C4933"/>
    <w:rsid w:val="005C4B8B"/>
    <w:rsid w:val="005C4CD0"/>
    <w:rsid w:val="005C4DE5"/>
    <w:rsid w:val="005C50A6"/>
    <w:rsid w:val="005C50FE"/>
    <w:rsid w:val="005C52AC"/>
    <w:rsid w:val="005C532D"/>
    <w:rsid w:val="005C7131"/>
    <w:rsid w:val="005C7726"/>
    <w:rsid w:val="005C790F"/>
    <w:rsid w:val="005C7E2F"/>
    <w:rsid w:val="005D00E9"/>
    <w:rsid w:val="005D0275"/>
    <w:rsid w:val="005D0AC2"/>
    <w:rsid w:val="005D0D2D"/>
    <w:rsid w:val="005D1108"/>
    <w:rsid w:val="005D117B"/>
    <w:rsid w:val="005D1596"/>
    <w:rsid w:val="005D1782"/>
    <w:rsid w:val="005D17B9"/>
    <w:rsid w:val="005D1E03"/>
    <w:rsid w:val="005D20D0"/>
    <w:rsid w:val="005D27C0"/>
    <w:rsid w:val="005D2BE4"/>
    <w:rsid w:val="005D306F"/>
    <w:rsid w:val="005D3984"/>
    <w:rsid w:val="005D3AA0"/>
    <w:rsid w:val="005D409A"/>
    <w:rsid w:val="005D502C"/>
    <w:rsid w:val="005D5636"/>
    <w:rsid w:val="005D5BB7"/>
    <w:rsid w:val="005D5CC3"/>
    <w:rsid w:val="005D5D49"/>
    <w:rsid w:val="005D6019"/>
    <w:rsid w:val="005D6F67"/>
    <w:rsid w:val="005D6FE9"/>
    <w:rsid w:val="005D723A"/>
    <w:rsid w:val="005D7896"/>
    <w:rsid w:val="005D78F5"/>
    <w:rsid w:val="005D7902"/>
    <w:rsid w:val="005E05F9"/>
    <w:rsid w:val="005E06BD"/>
    <w:rsid w:val="005E0917"/>
    <w:rsid w:val="005E0CCE"/>
    <w:rsid w:val="005E0D7D"/>
    <w:rsid w:val="005E1841"/>
    <w:rsid w:val="005E1FF7"/>
    <w:rsid w:val="005E2653"/>
    <w:rsid w:val="005E2A08"/>
    <w:rsid w:val="005E2F1A"/>
    <w:rsid w:val="005E304B"/>
    <w:rsid w:val="005E34B0"/>
    <w:rsid w:val="005E35FB"/>
    <w:rsid w:val="005E365E"/>
    <w:rsid w:val="005E3909"/>
    <w:rsid w:val="005E4107"/>
    <w:rsid w:val="005E42E3"/>
    <w:rsid w:val="005E449E"/>
    <w:rsid w:val="005E4528"/>
    <w:rsid w:val="005E49E4"/>
    <w:rsid w:val="005E4E72"/>
    <w:rsid w:val="005E571C"/>
    <w:rsid w:val="005E70A5"/>
    <w:rsid w:val="005E74B1"/>
    <w:rsid w:val="005E7B4E"/>
    <w:rsid w:val="005F00DE"/>
    <w:rsid w:val="005F04A6"/>
    <w:rsid w:val="005F066A"/>
    <w:rsid w:val="005F12E7"/>
    <w:rsid w:val="005F13C3"/>
    <w:rsid w:val="005F1AEF"/>
    <w:rsid w:val="005F2236"/>
    <w:rsid w:val="005F24E0"/>
    <w:rsid w:val="005F2671"/>
    <w:rsid w:val="005F29C5"/>
    <w:rsid w:val="005F2A4E"/>
    <w:rsid w:val="005F2E76"/>
    <w:rsid w:val="005F2FF9"/>
    <w:rsid w:val="005F3220"/>
    <w:rsid w:val="005F3443"/>
    <w:rsid w:val="005F415D"/>
    <w:rsid w:val="005F45AF"/>
    <w:rsid w:val="005F4C69"/>
    <w:rsid w:val="005F4F3C"/>
    <w:rsid w:val="005F504C"/>
    <w:rsid w:val="005F51D3"/>
    <w:rsid w:val="005F5693"/>
    <w:rsid w:val="005F5AAD"/>
    <w:rsid w:val="005F615D"/>
    <w:rsid w:val="005F61F2"/>
    <w:rsid w:val="005F644A"/>
    <w:rsid w:val="005F6728"/>
    <w:rsid w:val="005F6B3F"/>
    <w:rsid w:val="005F6B88"/>
    <w:rsid w:val="005F6BF9"/>
    <w:rsid w:val="005F76C0"/>
    <w:rsid w:val="00600213"/>
    <w:rsid w:val="0060034E"/>
    <w:rsid w:val="00600BDB"/>
    <w:rsid w:val="00601017"/>
    <w:rsid w:val="0060120A"/>
    <w:rsid w:val="006018AA"/>
    <w:rsid w:val="00601BF3"/>
    <w:rsid w:val="00601C3A"/>
    <w:rsid w:val="00602059"/>
    <w:rsid w:val="00602283"/>
    <w:rsid w:val="00603AA1"/>
    <w:rsid w:val="00603E9C"/>
    <w:rsid w:val="00603F4E"/>
    <w:rsid w:val="006040A7"/>
    <w:rsid w:val="006045DE"/>
    <w:rsid w:val="00604687"/>
    <w:rsid w:val="006047FC"/>
    <w:rsid w:val="0060484A"/>
    <w:rsid w:val="00605A01"/>
    <w:rsid w:val="00606AC6"/>
    <w:rsid w:val="00606C10"/>
    <w:rsid w:val="0060745B"/>
    <w:rsid w:val="00607593"/>
    <w:rsid w:val="0060796E"/>
    <w:rsid w:val="0061012C"/>
    <w:rsid w:val="006104F6"/>
    <w:rsid w:val="00610C46"/>
    <w:rsid w:val="00610F08"/>
    <w:rsid w:val="006115A3"/>
    <w:rsid w:val="00611729"/>
    <w:rsid w:val="00611AD5"/>
    <w:rsid w:val="00611B39"/>
    <w:rsid w:val="00612C40"/>
    <w:rsid w:val="00612FBE"/>
    <w:rsid w:val="006139D4"/>
    <w:rsid w:val="00614446"/>
    <w:rsid w:val="00614B38"/>
    <w:rsid w:val="00614D59"/>
    <w:rsid w:val="00614FE8"/>
    <w:rsid w:val="0061580D"/>
    <w:rsid w:val="00615A74"/>
    <w:rsid w:val="00615EFD"/>
    <w:rsid w:val="006160D7"/>
    <w:rsid w:val="00616588"/>
    <w:rsid w:val="00616D1F"/>
    <w:rsid w:val="00616D71"/>
    <w:rsid w:val="00617041"/>
    <w:rsid w:val="0061749E"/>
    <w:rsid w:val="006175E0"/>
    <w:rsid w:val="00617644"/>
    <w:rsid w:val="00617769"/>
    <w:rsid w:val="006177A2"/>
    <w:rsid w:val="006177BB"/>
    <w:rsid w:val="006179B9"/>
    <w:rsid w:val="0062026C"/>
    <w:rsid w:val="006202C4"/>
    <w:rsid w:val="00620364"/>
    <w:rsid w:val="0062059D"/>
    <w:rsid w:val="00620994"/>
    <w:rsid w:val="00620F07"/>
    <w:rsid w:val="006221A0"/>
    <w:rsid w:val="00622604"/>
    <w:rsid w:val="006227DD"/>
    <w:rsid w:val="00622F82"/>
    <w:rsid w:val="0062336D"/>
    <w:rsid w:val="00623BFE"/>
    <w:rsid w:val="00623DA3"/>
    <w:rsid w:val="00623F4C"/>
    <w:rsid w:val="006245DC"/>
    <w:rsid w:val="00624CC5"/>
    <w:rsid w:val="0062536F"/>
    <w:rsid w:val="00625492"/>
    <w:rsid w:val="00625A21"/>
    <w:rsid w:val="0062605B"/>
    <w:rsid w:val="0062623D"/>
    <w:rsid w:val="00626355"/>
    <w:rsid w:val="006270C7"/>
    <w:rsid w:val="006275F5"/>
    <w:rsid w:val="0062793F"/>
    <w:rsid w:val="006279E3"/>
    <w:rsid w:val="00627FC1"/>
    <w:rsid w:val="00630012"/>
    <w:rsid w:val="006306F2"/>
    <w:rsid w:val="00630F45"/>
    <w:rsid w:val="0063109E"/>
    <w:rsid w:val="0063164B"/>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7C"/>
    <w:rsid w:val="006408E8"/>
    <w:rsid w:val="006409BD"/>
    <w:rsid w:val="00640FF1"/>
    <w:rsid w:val="00641156"/>
    <w:rsid w:val="00641B60"/>
    <w:rsid w:val="00642105"/>
    <w:rsid w:val="0064266E"/>
    <w:rsid w:val="006428AB"/>
    <w:rsid w:val="00643008"/>
    <w:rsid w:val="00643187"/>
    <w:rsid w:val="00643786"/>
    <w:rsid w:val="00643809"/>
    <w:rsid w:val="00643C58"/>
    <w:rsid w:val="00644558"/>
    <w:rsid w:val="00644768"/>
    <w:rsid w:val="00644847"/>
    <w:rsid w:val="0064523B"/>
    <w:rsid w:val="006454A0"/>
    <w:rsid w:val="006461AC"/>
    <w:rsid w:val="006462B7"/>
    <w:rsid w:val="00646435"/>
    <w:rsid w:val="0064657C"/>
    <w:rsid w:val="00646966"/>
    <w:rsid w:val="00646B49"/>
    <w:rsid w:val="006470CB"/>
    <w:rsid w:val="00647756"/>
    <w:rsid w:val="00647CA5"/>
    <w:rsid w:val="00647D6C"/>
    <w:rsid w:val="00650286"/>
    <w:rsid w:val="006507D6"/>
    <w:rsid w:val="006508F9"/>
    <w:rsid w:val="0065103A"/>
    <w:rsid w:val="006511F1"/>
    <w:rsid w:val="00651487"/>
    <w:rsid w:val="00651ADB"/>
    <w:rsid w:val="00651D2F"/>
    <w:rsid w:val="0065282D"/>
    <w:rsid w:val="00652BF8"/>
    <w:rsid w:val="00652C4A"/>
    <w:rsid w:val="00652E8D"/>
    <w:rsid w:val="006535BE"/>
    <w:rsid w:val="00653B20"/>
    <w:rsid w:val="00654146"/>
    <w:rsid w:val="00654944"/>
    <w:rsid w:val="00654964"/>
    <w:rsid w:val="00654CC7"/>
    <w:rsid w:val="0065506E"/>
    <w:rsid w:val="00655168"/>
    <w:rsid w:val="00655360"/>
    <w:rsid w:val="0065572F"/>
    <w:rsid w:val="00655928"/>
    <w:rsid w:val="0065644B"/>
    <w:rsid w:val="0065697A"/>
    <w:rsid w:val="00656B15"/>
    <w:rsid w:val="00656D99"/>
    <w:rsid w:val="00657055"/>
    <w:rsid w:val="006572E7"/>
    <w:rsid w:val="006574B5"/>
    <w:rsid w:val="00657663"/>
    <w:rsid w:val="00657B4E"/>
    <w:rsid w:val="00657D59"/>
    <w:rsid w:val="0066143C"/>
    <w:rsid w:val="00661900"/>
    <w:rsid w:val="0066191E"/>
    <w:rsid w:val="00661AAF"/>
    <w:rsid w:val="00662950"/>
    <w:rsid w:val="00662BEB"/>
    <w:rsid w:val="00663955"/>
    <w:rsid w:val="00663F92"/>
    <w:rsid w:val="006641B3"/>
    <w:rsid w:val="006641DC"/>
    <w:rsid w:val="006645ED"/>
    <w:rsid w:val="00664B0D"/>
    <w:rsid w:val="00664C8A"/>
    <w:rsid w:val="00665105"/>
    <w:rsid w:val="00665197"/>
    <w:rsid w:val="006654B0"/>
    <w:rsid w:val="0066568F"/>
    <w:rsid w:val="00665D3E"/>
    <w:rsid w:val="006660B1"/>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A59"/>
    <w:rsid w:val="00671D24"/>
    <w:rsid w:val="006720B0"/>
    <w:rsid w:val="00672293"/>
    <w:rsid w:val="00672346"/>
    <w:rsid w:val="00672368"/>
    <w:rsid w:val="00672524"/>
    <w:rsid w:val="00673D54"/>
    <w:rsid w:val="00673EB3"/>
    <w:rsid w:val="00674174"/>
    <w:rsid w:val="006743A3"/>
    <w:rsid w:val="0067479B"/>
    <w:rsid w:val="00675105"/>
    <w:rsid w:val="0067525D"/>
    <w:rsid w:val="00675C04"/>
    <w:rsid w:val="00675C6E"/>
    <w:rsid w:val="006766BA"/>
    <w:rsid w:val="00676AE5"/>
    <w:rsid w:val="00676EDF"/>
    <w:rsid w:val="00677986"/>
    <w:rsid w:val="00677B69"/>
    <w:rsid w:val="00677BA6"/>
    <w:rsid w:val="00677E60"/>
    <w:rsid w:val="0068001E"/>
    <w:rsid w:val="00680DBD"/>
    <w:rsid w:val="006810AB"/>
    <w:rsid w:val="00681808"/>
    <w:rsid w:val="00681E07"/>
    <w:rsid w:val="00681E39"/>
    <w:rsid w:val="00682864"/>
    <w:rsid w:val="006828FA"/>
    <w:rsid w:val="006831FB"/>
    <w:rsid w:val="0068354C"/>
    <w:rsid w:val="0068377F"/>
    <w:rsid w:val="00683A74"/>
    <w:rsid w:val="00683AEB"/>
    <w:rsid w:val="00683CD7"/>
    <w:rsid w:val="00683E93"/>
    <w:rsid w:val="00683FA7"/>
    <w:rsid w:val="0068432B"/>
    <w:rsid w:val="006844F6"/>
    <w:rsid w:val="006845B4"/>
    <w:rsid w:val="00684E25"/>
    <w:rsid w:val="00685DDA"/>
    <w:rsid w:val="00686418"/>
    <w:rsid w:val="00686C68"/>
    <w:rsid w:val="006870A3"/>
    <w:rsid w:val="00687527"/>
    <w:rsid w:val="006875BD"/>
    <w:rsid w:val="00687852"/>
    <w:rsid w:val="00687CA9"/>
    <w:rsid w:val="00687CD8"/>
    <w:rsid w:val="00690315"/>
    <w:rsid w:val="00690440"/>
    <w:rsid w:val="00690508"/>
    <w:rsid w:val="0069088E"/>
    <w:rsid w:val="00690BA8"/>
    <w:rsid w:val="00690D0F"/>
    <w:rsid w:val="00690F90"/>
    <w:rsid w:val="00691402"/>
    <w:rsid w:val="00691B7F"/>
    <w:rsid w:val="00691FEB"/>
    <w:rsid w:val="00692849"/>
    <w:rsid w:val="00692DC8"/>
    <w:rsid w:val="006934DC"/>
    <w:rsid w:val="00693584"/>
    <w:rsid w:val="006936A6"/>
    <w:rsid w:val="00693A50"/>
    <w:rsid w:val="0069418D"/>
    <w:rsid w:val="00694492"/>
    <w:rsid w:val="006950D2"/>
    <w:rsid w:val="006958A4"/>
    <w:rsid w:val="00695920"/>
    <w:rsid w:val="006959FD"/>
    <w:rsid w:val="006967C8"/>
    <w:rsid w:val="006968D1"/>
    <w:rsid w:val="006970A0"/>
    <w:rsid w:val="00697628"/>
    <w:rsid w:val="006978DB"/>
    <w:rsid w:val="00697CB2"/>
    <w:rsid w:val="006A0020"/>
    <w:rsid w:val="006A0727"/>
    <w:rsid w:val="006A093E"/>
    <w:rsid w:val="006A0D25"/>
    <w:rsid w:val="006A0D68"/>
    <w:rsid w:val="006A0EDA"/>
    <w:rsid w:val="006A1C3F"/>
    <w:rsid w:val="006A2469"/>
    <w:rsid w:val="006A24A0"/>
    <w:rsid w:val="006A2650"/>
    <w:rsid w:val="006A2827"/>
    <w:rsid w:val="006A292A"/>
    <w:rsid w:val="006A2A5B"/>
    <w:rsid w:val="006A2C2E"/>
    <w:rsid w:val="006A30DD"/>
    <w:rsid w:val="006A33AA"/>
    <w:rsid w:val="006A40E4"/>
    <w:rsid w:val="006A4531"/>
    <w:rsid w:val="006A4D4D"/>
    <w:rsid w:val="006A4F0E"/>
    <w:rsid w:val="006A4F9C"/>
    <w:rsid w:val="006A5806"/>
    <w:rsid w:val="006A67BD"/>
    <w:rsid w:val="006A6FCF"/>
    <w:rsid w:val="006A6FE5"/>
    <w:rsid w:val="006A74BD"/>
    <w:rsid w:val="006A7588"/>
    <w:rsid w:val="006A77E5"/>
    <w:rsid w:val="006A7828"/>
    <w:rsid w:val="006B02B3"/>
    <w:rsid w:val="006B0991"/>
    <w:rsid w:val="006B0EFA"/>
    <w:rsid w:val="006B0F0D"/>
    <w:rsid w:val="006B1587"/>
    <w:rsid w:val="006B1CEB"/>
    <w:rsid w:val="006B1D20"/>
    <w:rsid w:val="006B2357"/>
    <w:rsid w:val="006B2AB8"/>
    <w:rsid w:val="006B2AC2"/>
    <w:rsid w:val="006B2C89"/>
    <w:rsid w:val="006B2D23"/>
    <w:rsid w:val="006B2E2F"/>
    <w:rsid w:val="006B311C"/>
    <w:rsid w:val="006B333E"/>
    <w:rsid w:val="006B37B8"/>
    <w:rsid w:val="006B38A8"/>
    <w:rsid w:val="006B39FB"/>
    <w:rsid w:val="006B3E41"/>
    <w:rsid w:val="006B3F0F"/>
    <w:rsid w:val="006B46B5"/>
    <w:rsid w:val="006B48D3"/>
    <w:rsid w:val="006B4F91"/>
    <w:rsid w:val="006B51C1"/>
    <w:rsid w:val="006B533D"/>
    <w:rsid w:val="006B5598"/>
    <w:rsid w:val="006B561F"/>
    <w:rsid w:val="006B58C2"/>
    <w:rsid w:val="006B5E29"/>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366E"/>
    <w:rsid w:val="006C3A7C"/>
    <w:rsid w:val="006C3C21"/>
    <w:rsid w:val="006C4249"/>
    <w:rsid w:val="006C450B"/>
    <w:rsid w:val="006C4592"/>
    <w:rsid w:val="006C48AE"/>
    <w:rsid w:val="006C490B"/>
    <w:rsid w:val="006C4C9A"/>
    <w:rsid w:val="006C5846"/>
    <w:rsid w:val="006C5A35"/>
    <w:rsid w:val="006C5C1B"/>
    <w:rsid w:val="006C60E5"/>
    <w:rsid w:val="006C6427"/>
    <w:rsid w:val="006C68B0"/>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33EB"/>
    <w:rsid w:val="006D349E"/>
    <w:rsid w:val="006D3A28"/>
    <w:rsid w:val="006D466B"/>
    <w:rsid w:val="006D5700"/>
    <w:rsid w:val="006D58A0"/>
    <w:rsid w:val="006D5C5E"/>
    <w:rsid w:val="006D5D12"/>
    <w:rsid w:val="006D5D14"/>
    <w:rsid w:val="006D6742"/>
    <w:rsid w:val="006D69EF"/>
    <w:rsid w:val="006D6A56"/>
    <w:rsid w:val="006D6E79"/>
    <w:rsid w:val="006D702C"/>
    <w:rsid w:val="006D713F"/>
    <w:rsid w:val="006D7526"/>
    <w:rsid w:val="006D7575"/>
    <w:rsid w:val="006D7C2A"/>
    <w:rsid w:val="006E059D"/>
    <w:rsid w:val="006E0884"/>
    <w:rsid w:val="006E0F37"/>
    <w:rsid w:val="006E1825"/>
    <w:rsid w:val="006E22BA"/>
    <w:rsid w:val="006E2A54"/>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59F"/>
    <w:rsid w:val="006F0739"/>
    <w:rsid w:val="006F08DA"/>
    <w:rsid w:val="006F1050"/>
    <w:rsid w:val="006F1743"/>
    <w:rsid w:val="006F188F"/>
    <w:rsid w:val="006F1D71"/>
    <w:rsid w:val="006F1E87"/>
    <w:rsid w:val="006F1FC6"/>
    <w:rsid w:val="006F2204"/>
    <w:rsid w:val="006F22AC"/>
    <w:rsid w:val="006F230F"/>
    <w:rsid w:val="006F2339"/>
    <w:rsid w:val="006F24CA"/>
    <w:rsid w:val="006F2669"/>
    <w:rsid w:val="006F2CBE"/>
    <w:rsid w:val="006F362E"/>
    <w:rsid w:val="006F39C9"/>
    <w:rsid w:val="006F3B13"/>
    <w:rsid w:val="006F3D09"/>
    <w:rsid w:val="006F3E14"/>
    <w:rsid w:val="006F42AE"/>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17"/>
    <w:rsid w:val="007001D5"/>
    <w:rsid w:val="00700C49"/>
    <w:rsid w:val="007013C3"/>
    <w:rsid w:val="00701783"/>
    <w:rsid w:val="00701DD2"/>
    <w:rsid w:val="0070284D"/>
    <w:rsid w:val="00702938"/>
    <w:rsid w:val="007035F3"/>
    <w:rsid w:val="00703974"/>
    <w:rsid w:val="00703B06"/>
    <w:rsid w:val="00703E35"/>
    <w:rsid w:val="00704724"/>
    <w:rsid w:val="007048B5"/>
    <w:rsid w:val="00704C54"/>
    <w:rsid w:val="00704DBE"/>
    <w:rsid w:val="0070512A"/>
    <w:rsid w:val="00705404"/>
    <w:rsid w:val="007054B3"/>
    <w:rsid w:val="00705B4B"/>
    <w:rsid w:val="00706073"/>
    <w:rsid w:val="00706C8F"/>
    <w:rsid w:val="00706EE5"/>
    <w:rsid w:val="007070B2"/>
    <w:rsid w:val="00707781"/>
    <w:rsid w:val="007077C5"/>
    <w:rsid w:val="00707C22"/>
    <w:rsid w:val="00707CC2"/>
    <w:rsid w:val="00707F84"/>
    <w:rsid w:val="00710127"/>
    <w:rsid w:val="007102B8"/>
    <w:rsid w:val="00710C17"/>
    <w:rsid w:val="00710E3E"/>
    <w:rsid w:val="0071177A"/>
    <w:rsid w:val="00711B92"/>
    <w:rsid w:val="00711F91"/>
    <w:rsid w:val="00712967"/>
    <w:rsid w:val="00712EA0"/>
    <w:rsid w:val="007132D3"/>
    <w:rsid w:val="00713E5D"/>
    <w:rsid w:val="0071415C"/>
    <w:rsid w:val="00714686"/>
    <w:rsid w:val="007146CE"/>
    <w:rsid w:val="0071471F"/>
    <w:rsid w:val="00714865"/>
    <w:rsid w:val="00714938"/>
    <w:rsid w:val="00714E19"/>
    <w:rsid w:val="00715050"/>
    <w:rsid w:val="007155CF"/>
    <w:rsid w:val="00715A31"/>
    <w:rsid w:val="00715C40"/>
    <w:rsid w:val="00715D51"/>
    <w:rsid w:val="0071615B"/>
    <w:rsid w:val="00716AE7"/>
    <w:rsid w:val="00716D70"/>
    <w:rsid w:val="00717113"/>
    <w:rsid w:val="00717AC9"/>
    <w:rsid w:val="00717B73"/>
    <w:rsid w:val="0072053A"/>
    <w:rsid w:val="0072084C"/>
    <w:rsid w:val="00720F26"/>
    <w:rsid w:val="00720F95"/>
    <w:rsid w:val="007211DA"/>
    <w:rsid w:val="007211E8"/>
    <w:rsid w:val="00721ACE"/>
    <w:rsid w:val="00721DE8"/>
    <w:rsid w:val="007223C2"/>
    <w:rsid w:val="007225AD"/>
    <w:rsid w:val="0072272C"/>
    <w:rsid w:val="00722998"/>
    <w:rsid w:val="007239DD"/>
    <w:rsid w:val="007239E0"/>
    <w:rsid w:val="00723F24"/>
    <w:rsid w:val="0072479C"/>
    <w:rsid w:val="007247E1"/>
    <w:rsid w:val="007248A8"/>
    <w:rsid w:val="00724FA7"/>
    <w:rsid w:val="0072513C"/>
    <w:rsid w:val="007254C6"/>
    <w:rsid w:val="00725580"/>
    <w:rsid w:val="00725783"/>
    <w:rsid w:val="00725860"/>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4D27"/>
    <w:rsid w:val="007362E3"/>
    <w:rsid w:val="007365D6"/>
    <w:rsid w:val="00736CDF"/>
    <w:rsid w:val="00736EDD"/>
    <w:rsid w:val="007372C2"/>
    <w:rsid w:val="00737B55"/>
    <w:rsid w:val="0074001E"/>
    <w:rsid w:val="007400ED"/>
    <w:rsid w:val="0074049B"/>
    <w:rsid w:val="0074112C"/>
    <w:rsid w:val="00741866"/>
    <w:rsid w:val="00741D26"/>
    <w:rsid w:val="00741D40"/>
    <w:rsid w:val="00741DB9"/>
    <w:rsid w:val="0074208D"/>
    <w:rsid w:val="00742895"/>
    <w:rsid w:val="00742C7C"/>
    <w:rsid w:val="007435F0"/>
    <w:rsid w:val="00743E96"/>
    <w:rsid w:val="00744029"/>
    <w:rsid w:val="007440DF"/>
    <w:rsid w:val="00744329"/>
    <w:rsid w:val="007443B4"/>
    <w:rsid w:val="00744DCD"/>
    <w:rsid w:val="00744F63"/>
    <w:rsid w:val="00744F72"/>
    <w:rsid w:val="007458DC"/>
    <w:rsid w:val="007459DE"/>
    <w:rsid w:val="00745A27"/>
    <w:rsid w:val="00746109"/>
    <w:rsid w:val="0074650A"/>
    <w:rsid w:val="00746785"/>
    <w:rsid w:val="00746958"/>
    <w:rsid w:val="00747417"/>
    <w:rsid w:val="0074748F"/>
    <w:rsid w:val="0074771E"/>
    <w:rsid w:val="00747A66"/>
    <w:rsid w:val="00747CD7"/>
    <w:rsid w:val="00750154"/>
    <w:rsid w:val="00750FE0"/>
    <w:rsid w:val="00751868"/>
    <w:rsid w:val="00751B16"/>
    <w:rsid w:val="0075278F"/>
    <w:rsid w:val="00752C56"/>
    <w:rsid w:val="00753890"/>
    <w:rsid w:val="007539B7"/>
    <w:rsid w:val="00753A8E"/>
    <w:rsid w:val="00753B90"/>
    <w:rsid w:val="007540F4"/>
    <w:rsid w:val="00754142"/>
    <w:rsid w:val="00754335"/>
    <w:rsid w:val="00754671"/>
    <w:rsid w:val="0075484F"/>
    <w:rsid w:val="00755C38"/>
    <w:rsid w:val="00755DE8"/>
    <w:rsid w:val="0075606C"/>
    <w:rsid w:val="007566BB"/>
    <w:rsid w:val="0075674F"/>
    <w:rsid w:val="00756E93"/>
    <w:rsid w:val="00756F1C"/>
    <w:rsid w:val="00757A80"/>
    <w:rsid w:val="007604BC"/>
    <w:rsid w:val="00760895"/>
    <w:rsid w:val="00760AFB"/>
    <w:rsid w:val="00760EE2"/>
    <w:rsid w:val="00761793"/>
    <w:rsid w:val="00761859"/>
    <w:rsid w:val="00761A45"/>
    <w:rsid w:val="00762335"/>
    <w:rsid w:val="0076283A"/>
    <w:rsid w:val="00762CCA"/>
    <w:rsid w:val="00762E8E"/>
    <w:rsid w:val="00763B3D"/>
    <w:rsid w:val="00763BFD"/>
    <w:rsid w:val="00763DF7"/>
    <w:rsid w:val="00764A66"/>
    <w:rsid w:val="00765092"/>
    <w:rsid w:val="00765238"/>
    <w:rsid w:val="00765409"/>
    <w:rsid w:val="00765748"/>
    <w:rsid w:val="00765D40"/>
    <w:rsid w:val="007667C7"/>
    <w:rsid w:val="00766BA7"/>
    <w:rsid w:val="00766CCF"/>
    <w:rsid w:val="00766F41"/>
    <w:rsid w:val="007671EE"/>
    <w:rsid w:val="007677DA"/>
    <w:rsid w:val="00767CEB"/>
    <w:rsid w:val="00770486"/>
    <w:rsid w:val="0077106A"/>
    <w:rsid w:val="00771177"/>
    <w:rsid w:val="00771699"/>
    <w:rsid w:val="00772161"/>
    <w:rsid w:val="007724E6"/>
    <w:rsid w:val="0077286D"/>
    <w:rsid w:val="00772D16"/>
    <w:rsid w:val="007730E5"/>
    <w:rsid w:val="007736D7"/>
    <w:rsid w:val="007739AC"/>
    <w:rsid w:val="007741E8"/>
    <w:rsid w:val="00774281"/>
    <w:rsid w:val="007743B0"/>
    <w:rsid w:val="007745BF"/>
    <w:rsid w:val="007755F8"/>
    <w:rsid w:val="00775C01"/>
    <w:rsid w:val="007762F6"/>
    <w:rsid w:val="00776737"/>
    <w:rsid w:val="00776BAC"/>
    <w:rsid w:val="00776BE8"/>
    <w:rsid w:val="00776F01"/>
    <w:rsid w:val="0078026A"/>
    <w:rsid w:val="00780760"/>
    <w:rsid w:val="00780A48"/>
    <w:rsid w:val="00781112"/>
    <w:rsid w:val="00781277"/>
    <w:rsid w:val="00781DC1"/>
    <w:rsid w:val="00781F4B"/>
    <w:rsid w:val="007823A8"/>
    <w:rsid w:val="00782818"/>
    <w:rsid w:val="007829C5"/>
    <w:rsid w:val="00783B27"/>
    <w:rsid w:val="00783EFD"/>
    <w:rsid w:val="007840D9"/>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6D94"/>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BAB"/>
    <w:rsid w:val="00792DFE"/>
    <w:rsid w:val="00793831"/>
    <w:rsid w:val="00793B73"/>
    <w:rsid w:val="00793D5B"/>
    <w:rsid w:val="007943BF"/>
    <w:rsid w:val="007944CC"/>
    <w:rsid w:val="00795136"/>
    <w:rsid w:val="00795838"/>
    <w:rsid w:val="007959ED"/>
    <w:rsid w:val="007965B8"/>
    <w:rsid w:val="0079679A"/>
    <w:rsid w:val="007969AA"/>
    <w:rsid w:val="00797054"/>
    <w:rsid w:val="00797169"/>
    <w:rsid w:val="00797380"/>
    <w:rsid w:val="0079764A"/>
    <w:rsid w:val="0079791B"/>
    <w:rsid w:val="00797BC9"/>
    <w:rsid w:val="00797C1E"/>
    <w:rsid w:val="007A093C"/>
    <w:rsid w:val="007A0E6C"/>
    <w:rsid w:val="007A0EA2"/>
    <w:rsid w:val="007A115F"/>
    <w:rsid w:val="007A1371"/>
    <w:rsid w:val="007A1661"/>
    <w:rsid w:val="007A2184"/>
    <w:rsid w:val="007A21AD"/>
    <w:rsid w:val="007A2247"/>
    <w:rsid w:val="007A23C9"/>
    <w:rsid w:val="007A2479"/>
    <w:rsid w:val="007A2551"/>
    <w:rsid w:val="007A377B"/>
    <w:rsid w:val="007A3A72"/>
    <w:rsid w:val="007A3CA3"/>
    <w:rsid w:val="007A486E"/>
    <w:rsid w:val="007A4A59"/>
    <w:rsid w:val="007A53F3"/>
    <w:rsid w:val="007A5B69"/>
    <w:rsid w:val="007A6989"/>
    <w:rsid w:val="007A6D13"/>
    <w:rsid w:val="007A716F"/>
    <w:rsid w:val="007A73D1"/>
    <w:rsid w:val="007A75F8"/>
    <w:rsid w:val="007B027E"/>
    <w:rsid w:val="007B02F5"/>
    <w:rsid w:val="007B0A90"/>
    <w:rsid w:val="007B106B"/>
    <w:rsid w:val="007B1133"/>
    <w:rsid w:val="007B1493"/>
    <w:rsid w:val="007B1F0B"/>
    <w:rsid w:val="007B2479"/>
    <w:rsid w:val="007B25B4"/>
    <w:rsid w:val="007B2C6A"/>
    <w:rsid w:val="007B317A"/>
    <w:rsid w:val="007B3A87"/>
    <w:rsid w:val="007B3E2A"/>
    <w:rsid w:val="007B3F96"/>
    <w:rsid w:val="007B4042"/>
    <w:rsid w:val="007B412D"/>
    <w:rsid w:val="007B42FD"/>
    <w:rsid w:val="007B433F"/>
    <w:rsid w:val="007B4484"/>
    <w:rsid w:val="007B4AF3"/>
    <w:rsid w:val="007B4D44"/>
    <w:rsid w:val="007B4DF3"/>
    <w:rsid w:val="007B4E55"/>
    <w:rsid w:val="007B4EC4"/>
    <w:rsid w:val="007B4FB5"/>
    <w:rsid w:val="007B50D5"/>
    <w:rsid w:val="007B556E"/>
    <w:rsid w:val="007B573D"/>
    <w:rsid w:val="007B5C7E"/>
    <w:rsid w:val="007B609B"/>
    <w:rsid w:val="007B6523"/>
    <w:rsid w:val="007B6551"/>
    <w:rsid w:val="007B6CC1"/>
    <w:rsid w:val="007B6F56"/>
    <w:rsid w:val="007B6F75"/>
    <w:rsid w:val="007B6FED"/>
    <w:rsid w:val="007B6FFF"/>
    <w:rsid w:val="007B7543"/>
    <w:rsid w:val="007B79E2"/>
    <w:rsid w:val="007C0B63"/>
    <w:rsid w:val="007C11F7"/>
    <w:rsid w:val="007C1C54"/>
    <w:rsid w:val="007C1E7F"/>
    <w:rsid w:val="007C2290"/>
    <w:rsid w:val="007C2447"/>
    <w:rsid w:val="007C2A95"/>
    <w:rsid w:val="007C2D2F"/>
    <w:rsid w:val="007C2F1E"/>
    <w:rsid w:val="007C3366"/>
    <w:rsid w:val="007C340C"/>
    <w:rsid w:val="007C4058"/>
    <w:rsid w:val="007C4686"/>
    <w:rsid w:val="007C5A00"/>
    <w:rsid w:val="007C5E18"/>
    <w:rsid w:val="007C6042"/>
    <w:rsid w:val="007C6241"/>
    <w:rsid w:val="007C68BD"/>
    <w:rsid w:val="007C6983"/>
    <w:rsid w:val="007C6B95"/>
    <w:rsid w:val="007C6C85"/>
    <w:rsid w:val="007C76B6"/>
    <w:rsid w:val="007C76EB"/>
    <w:rsid w:val="007C7733"/>
    <w:rsid w:val="007C7B02"/>
    <w:rsid w:val="007D0307"/>
    <w:rsid w:val="007D03EC"/>
    <w:rsid w:val="007D0770"/>
    <w:rsid w:val="007D0900"/>
    <w:rsid w:val="007D0C05"/>
    <w:rsid w:val="007D0F06"/>
    <w:rsid w:val="007D18CC"/>
    <w:rsid w:val="007D219A"/>
    <w:rsid w:val="007D229C"/>
    <w:rsid w:val="007D2591"/>
    <w:rsid w:val="007D274F"/>
    <w:rsid w:val="007D27B0"/>
    <w:rsid w:val="007D3010"/>
    <w:rsid w:val="007D3188"/>
    <w:rsid w:val="007D33A3"/>
    <w:rsid w:val="007D34D9"/>
    <w:rsid w:val="007D373B"/>
    <w:rsid w:val="007D3A2C"/>
    <w:rsid w:val="007D3C4C"/>
    <w:rsid w:val="007D3D83"/>
    <w:rsid w:val="007D3FEF"/>
    <w:rsid w:val="007D4691"/>
    <w:rsid w:val="007D4CCD"/>
    <w:rsid w:val="007D5762"/>
    <w:rsid w:val="007D6A0A"/>
    <w:rsid w:val="007D7559"/>
    <w:rsid w:val="007D7FF8"/>
    <w:rsid w:val="007E02E8"/>
    <w:rsid w:val="007E0618"/>
    <w:rsid w:val="007E0689"/>
    <w:rsid w:val="007E0BF8"/>
    <w:rsid w:val="007E0F35"/>
    <w:rsid w:val="007E0FD2"/>
    <w:rsid w:val="007E12E8"/>
    <w:rsid w:val="007E1650"/>
    <w:rsid w:val="007E1B64"/>
    <w:rsid w:val="007E1BBB"/>
    <w:rsid w:val="007E262C"/>
    <w:rsid w:val="007E265A"/>
    <w:rsid w:val="007E353D"/>
    <w:rsid w:val="007E4401"/>
    <w:rsid w:val="007E4679"/>
    <w:rsid w:val="007E486A"/>
    <w:rsid w:val="007E4CD6"/>
    <w:rsid w:val="007E4F58"/>
    <w:rsid w:val="007E5101"/>
    <w:rsid w:val="007E62B1"/>
    <w:rsid w:val="007E62ED"/>
    <w:rsid w:val="007E680E"/>
    <w:rsid w:val="007E6CF7"/>
    <w:rsid w:val="007E71CE"/>
    <w:rsid w:val="007E784C"/>
    <w:rsid w:val="007E7993"/>
    <w:rsid w:val="007E7C66"/>
    <w:rsid w:val="007E7F21"/>
    <w:rsid w:val="007F04DD"/>
    <w:rsid w:val="007F06B8"/>
    <w:rsid w:val="007F0B73"/>
    <w:rsid w:val="007F0CDB"/>
    <w:rsid w:val="007F1074"/>
    <w:rsid w:val="007F12EC"/>
    <w:rsid w:val="007F13D0"/>
    <w:rsid w:val="007F14A5"/>
    <w:rsid w:val="007F1553"/>
    <w:rsid w:val="007F1B5B"/>
    <w:rsid w:val="007F1E74"/>
    <w:rsid w:val="007F2141"/>
    <w:rsid w:val="007F2984"/>
    <w:rsid w:val="007F2A49"/>
    <w:rsid w:val="007F2B1C"/>
    <w:rsid w:val="007F2EB1"/>
    <w:rsid w:val="007F2FBE"/>
    <w:rsid w:val="007F3851"/>
    <w:rsid w:val="007F3ACD"/>
    <w:rsid w:val="007F45C5"/>
    <w:rsid w:val="007F4CB5"/>
    <w:rsid w:val="007F4E2B"/>
    <w:rsid w:val="007F5274"/>
    <w:rsid w:val="007F5E02"/>
    <w:rsid w:val="007F62AE"/>
    <w:rsid w:val="007F6922"/>
    <w:rsid w:val="007F6C2A"/>
    <w:rsid w:val="007F70FA"/>
    <w:rsid w:val="007F71C9"/>
    <w:rsid w:val="007F7634"/>
    <w:rsid w:val="007F7CAC"/>
    <w:rsid w:val="007F7EAB"/>
    <w:rsid w:val="007F7FCA"/>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5878"/>
    <w:rsid w:val="008058AB"/>
    <w:rsid w:val="008067C1"/>
    <w:rsid w:val="00806860"/>
    <w:rsid w:val="00806C7B"/>
    <w:rsid w:val="00807627"/>
    <w:rsid w:val="00807CB9"/>
    <w:rsid w:val="0081012A"/>
    <w:rsid w:val="008103D4"/>
    <w:rsid w:val="008104FB"/>
    <w:rsid w:val="00810C07"/>
    <w:rsid w:val="00811094"/>
    <w:rsid w:val="00811157"/>
    <w:rsid w:val="00811217"/>
    <w:rsid w:val="0081167C"/>
    <w:rsid w:val="008116DA"/>
    <w:rsid w:val="008117BB"/>
    <w:rsid w:val="00811CCA"/>
    <w:rsid w:val="008122B2"/>
    <w:rsid w:val="008129B2"/>
    <w:rsid w:val="00812B66"/>
    <w:rsid w:val="00812D9C"/>
    <w:rsid w:val="00813264"/>
    <w:rsid w:val="008133B0"/>
    <w:rsid w:val="00813549"/>
    <w:rsid w:val="00813A2C"/>
    <w:rsid w:val="0081431D"/>
    <w:rsid w:val="008143B4"/>
    <w:rsid w:val="0081459C"/>
    <w:rsid w:val="0081477D"/>
    <w:rsid w:val="00814CF0"/>
    <w:rsid w:val="0081500C"/>
    <w:rsid w:val="008151C9"/>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75F"/>
    <w:rsid w:val="00822A82"/>
    <w:rsid w:val="0082315F"/>
    <w:rsid w:val="00823568"/>
    <w:rsid w:val="0082397E"/>
    <w:rsid w:val="00823C66"/>
    <w:rsid w:val="00823D79"/>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8DE"/>
    <w:rsid w:val="00831B2B"/>
    <w:rsid w:val="00831C0C"/>
    <w:rsid w:val="00831DDE"/>
    <w:rsid w:val="008325EF"/>
    <w:rsid w:val="008327BF"/>
    <w:rsid w:val="00832B66"/>
    <w:rsid w:val="008332DA"/>
    <w:rsid w:val="008332EE"/>
    <w:rsid w:val="008334F3"/>
    <w:rsid w:val="00833D88"/>
    <w:rsid w:val="00833E66"/>
    <w:rsid w:val="00834152"/>
    <w:rsid w:val="008342D1"/>
    <w:rsid w:val="008342FD"/>
    <w:rsid w:val="00834821"/>
    <w:rsid w:val="00834AF0"/>
    <w:rsid w:val="00834EC7"/>
    <w:rsid w:val="00835022"/>
    <w:rsid w:val="00835BBB"/>
    <w:rsid w:val="00836301"/>
    <w:rsid w:val="008375FB"/>
    <w:rsid w:val="00837BB4"/>
    <w:rsid w:val="00837C40"/>
    <w:rsid w:val="00837F09"/>
    <w:rsid w:val="00841451"/>
    <w:rsid w:val="008415DD"/>
    <w:rsid w:val="008416CA"/>
    <w:rsid w:val="008418E2"/>
    <w:rsid w:val="00841F59"/>
    <w:rsid w:val="00842018"/>
    <w:rsid w:val="0084215E"/>
    <w:rsid w:val="0084288B"/>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22D"/>
    <w:rsid w:val="0084675D"/>
    <w:rsid w:val="00846BDC"/>
    <w:rsid w:val="00846CC2"/>
    <w:rsid w:val="008471EB"/>
    <w:rsid w:val="00847A08"/>
    <w:rsid w:val="00847A9E"/>
    <w:rsid w:val="00847B55"/>
    <w:rsid w:val="00847F70"/>
    <w:rsid w:val="008504AA"/>
    <w:rsid w:val="0085066F"/>
    <w:rsid w:val="008508B5"/>
    <w:rsid w:val="00850940"/>
    <w:rsid w:val="00850F11"/>
    <w:rsid w:val="00850F57"/>
    <w:rsid w:val="00850FF6"/>
    <w:rsid w:val="00851246"/>
    <w:rsid w:val="00851AA5"/>
    <w:rsid w:val="00851DE0"/>
    <w:rsid w:val="00852071"/>
    <w:rsid w:val="00852280"/>
    <w:rsid w:val="0085229B"/>
    <w:rsid w:val="008525B5"/>
    <w:rsid w:val="00852680"/>
    <w:rsid w:val="00852B62"/>
    <w:rsid w:val="00852D16"/>
    <w:rsid w:val="0085342F"/>
    <w:rsid w:val="008535E9"/>
    <w:rsid w:val="00853BFF"/>
    <w:rsid w:val="00853CF1"/>
    <w:rsid w:val="00854303"/>
    <w:rsid w:val="00854326"/>
    <w:rsid w:val="0085442C"/>
    <w:rsid w:val="00854640"/>
    <w:rsid w:val="00854B33"/>
    <w:rsid w:val="00854C96"/>
    <w:rsid w:val="0085526D"/>
    <w:rsid w:val="00855706"/>
    <w:rsid w:val="008558B6"/>
    <w:rsid w:val="008560B2"/>
    <w:rsid w:val="008568CC"/>
    <w:rsid w:val="008568D3"/>
    <w:rsid w:val="00856D09"/>
    <w:rsid w:val="00856D33"/>
    <w:rsid w:val="00857845"/>
    <w:rsid w:val="00860016"/>
    <w:rsid w:val="008603DF"/>
    <w:rsid w:val="008606B3"/>
    <w:rsid w:val="00860756"/>
    <w:rsid w:val="00860800"/>
    <w:rsid w:val="00860B82"/>
    <w:rsid w:val="00860D96"/>
    <w:rsid w:val="00860F24"/>
    <w:rsid w:val="00860FD6"/>
    <w:rsid w:val="00861A61"/>
    <w:rsid w:val="00861D77"/>
    <w:rsid w:val="00862223"/>
    <w:rsid w:val="0086247F"/>
    <w:rsid w:val="008624A3"/>
    <w:rsid w:val="008628AF"/>
    <w:rsid w:val="008629C6"/>
    <w:rsid w:val="00862BDD"/>
    <w:rsid w:val="00862E5D"/>
    <w:rsid w:val="008637CA"/>
    <w:rsid w:val="00864385"/>
    <w:rsid w:val="008652A5"/>
    <w:rsid w:val="00865344"/>
    <w:rsid w:val="008656D3"/>
    <w:rsid w:val="00865787"/>
    <w:rsid w:val="0086579B"/>
    <w:rsid w:val="0086581E"/>
    <w:rsid w:val="008658AA"/>
    <w:rsid w:val="00865ACE"/>
    <w:rsid w:val="00865D31"/>
    <w:rsid w:val="00865E1D"/>
    <w:rsid w:val="00866299"/>
    <w:rsid w:val="0086632C"/>
    <w:rsid w:val="0086653F"/>
    <w:rsid w:val="00866DA4"/>
    <w:rsid w:val="00866F49"/>
    <w:rsid w:val="008671FC"/>
    <w:rsid w:val="008673F0"/>
    <w:rsid w:val="00867612"/>
    <w:rsid w:val="00867CEB"/>
    <w:rsid w:val="00867FFA"/>
    <w:rsid w:val="00870218"/>
    <w:rsid w:val="0087087C"/>
    <w:rsid w:val="0087098D"/>
    <w:rsid w:val="00871F3D"/>
    <w:rsid w:val="00872234"/>
    <w:rsid w:val="00872C36"/>
    <w:rsid w:val="00872F2D"/>
    <w:rsid w:val="00872F82"/>
    <w:rsid w:val="00873431"/>
    <w:rsid w:val="0087350B"/>
    <w:rsid w:val="00873A85"/>
    <w:rsid w:val="00873E0E"/>
    <w:rsid w:val="0087464C"/>
    <w:rsid w:val="008746D0"/>
    <w:rsid w:val="00874A48"/>
    <w:rsid w:val="008753FF"/>
    <w:rsid w:val="00875ABA"/>
    <w:rsid w:val="008761B1"/>
    <w:rsid w:val="00876243"/>
    <w:rsid w:val="0087624D"/>
    <w:rsid w:val="00876527"/>
    <w:rsid w:val="00876A0E"/>
    <w:rsid w:val="00876DD9"/>
    <w:rsid w:val="00876EA8"/>
    <w:rsid w:val="0087755A"/>
    <w:rsid w:val="0087768C"/>
    <w:rsid w:val="008779E9"/>
    <w:rsid w:val="00877B84"/>
    <w:rsid w:val="00880111"/>
    <w:rsid w:val="00880620"/>
    <w:rsid w:val="00880D36"/>
    <w:rsid w:val="008810B3"/>
    <w:rsid w:val="008815E0"/>
    <w:rsid w:val="00881E7D"/>
    <w:rsid w:val="0088248D"/>
    <w:rsid w:val="00882802"/>
    <w:rsid w:val="00882B64"/>
    <w:rsid w:val="00882F95"/>
    <w:rsid w:val="008838D6"/>
    <w:rsid w:val="0088405E"/>
    <w:rsid w:val="00884D3F"/>
    <w:rsid w:val="00885E38"/>
    <w:rsid w:val="00885E97"/>
    <w:rsid w:val="00885F5D"/>
    <w:rsid w:val="00885F8F"/>
    <w:rsid w:val="008861E2"/>
    <w:rsid w:val="00886399"/>
    <w:rsid w:val="00886531"/>
    <w:rsid w:val="00886888"/>
    <w:rsid w:val="00886E83"/>
    <w:rsid w:val="00886F42"/>
    <w:rsid w:val="0088702A"/>
    <w:rsid w:val="00887814"/>
    <w:rsid w:val="008906E8"/>
    <w:rsid w:val="00890702"/>
    <w:rsid w:val="00890AEE"/>
    <w:rsid w:val="00890C5C"/>
    <w:rsid w:val="00890D5E"/>
    <w:rsid w:val="00891061"/>
    <w:rsid w:val="0089115A"/>
    <w:rsid w:val="008912D5"/>
    <w:rsid w:val="008913BB"/>
    <w:rsid w:val="008917BD"/>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243"/>
    <w:rsid w:val="00896729"/>
    <w:rsid w:val="00896F33"/>
    <w:rsid w:val="00897019"/>
    <w:rsid w:val="00897228"/>
    <w:rsid w:val="0089758A"/>
    <w:rsid w:val="00897A59"/>
    <w:rsid w:val="00897A9E"/>
    <w:rsid w:val="008A0013"/>
    <w:rsid w:val="008A00BF"/>
    <w:rsid w:val="008A024F"/>
    <w:rsid w:val="008A112A"/>
    <w:rsid w:val="008A17F6"/>
    <w:rsid w:val="008A1E2D"/>
    <w:rsid w:val="008A23AD"/>
    <w:rsid w:val="008A24AA"/>
    <w:rsid w:val="008A2786"/>
    <w:rsid w:val="008A2C4E"/>
    <w:rsid w:val="008A2F58"/>
    <w:rsid w:val="008A3120"/>
    <w:rsid w:val="008A3238"/>
    <w:rsid w:val="008A32FF"/>
    <w:rsid w:val="008A34F7"/>
    <w:rsid w:val="008A3996"/>
    <w:rsid w:val="008A3E59"/>
    <w:rsid w:val="008A4A7D"/>
    <w:rsid w:val="008A4CDA"/>
    <w:rsid w:val="008A58B9"/>
    <w:rsid w:val="008A59AD"/>
    <w:rsid w:val="008A6033"/>
    <w:rsid w:val="008A6A67"/>
    <w:rsid w:val="008A6CB4"/>
    <w:rsid w:val="008A6D74"/>
    <w:rsid w:val="008A79F3"/>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5"/>
    <w:rsid w:val="008B2C96"/>
    <w:rsid w:val="008B2DFC"/>
    <w:rsid w:val="008B2E3B"/>
    <w:rsid w:val="008B35B1"/>
    <w:rsid w:val="008B4141"/>
    <w:rsid w:val="008B4182"/>
    <w:rsid w:val="008B4F14"/>
    <w:rsid w:val="008B5903"/>
    <w:rsid w:val="008B5AA6"/>
    <w:rsid w:val="008B5AE0"/>
    <w:rsid w:val="008B5DD4"/>
    <w:rsid w:val="008B65F5"/>
    <w:rsid w:val="008B6739"/>
    <w:rsid w:val="008B6844"/>
    <w:rsid w:val="008B6CEF"/>
    <w:rsid w:val="008B6DC7"/>
    <w:rsid w:val="008B7081"/>
    <w:rsid w:val="008B7971"/>
    <w:rsid w:val="008B7C5C"/>
    <w:rsid w:val="008B7FCD"/>
    <w:rsid w:val="008C0468"/>
    <w:rsid w:val="008C0549"/>
    <w:rsid w:val="008C139B"/>
    <w:rsid w:val="008C1C73"/>
    <w:rsid w:val="008C1FAE"/>
    <w:rsid w:val="008C25AE"/>
    <w:rsid w:val="008C2826"/>
    <w:rsid w:val="008C295E"/>
    <w:rsid w:val="008C3084"/>
    <w:rsid w:val="008C3168"/>
    <w:rsid w:val="008C3299"/>
    <w:rsid w:val="008C34A4"/>
    <w:rsid w:val="008C3517"/>
    <w:rsid w:val="008C38DD"/>
    <w:rsid w:val="008C3A1C"/>
    <w:rsid w:val="008C4399"/>
    <w:rsid w:val="008C4417"/>
    <w:rsid w:val="008C44D6"/>
    <w:rsid w:val="008C4B52"/>
    <w:rsid w:val="008C5453"/>
    <w:rsid w:val="008C58AC"/>
    <w:rsid w:val="008C5EAD"/>
    <w:rsid w:val="008C5F4C"/>
    <w:rsid w:val="008C6C1C"/>
    <w:rsid w:val="008C6DEF"/>
    <w:rsid w:val="008C7124"/>
    <w:rsid w:val="008C712A"/>
    <w:rsid w:val="008C727B"/>
    <w:rsid w:val="008C75CD"/>
    <w:rsid w:val="008C7CB3"/>
    <w:rsid w:val="008C7F31"/>
    <w:rsid w:val="008D0084"/>
    <w:rsid w:val="008D04E5"/>
    <w:rsid w:val="008D05B4"/>
    <w:rsid w:val="008D0796"/>
    <w:rsid w:val="008D1F4C"/>
    <w:rsid w:val="008D223D"/>
    <w:rsid w:val="008D2358"/>
    <w:rsid w:val="008D244A"/>
    <w:rsid w:val="008D27A4"/>
    <w:rsid w:val="008D29BD"/>
    <w:rsid w:val="008D314E"/>
    <w:rsid w:val="008D34C4"/>
    <w:rsid w:val="008D3966"/>
    <w:rsid w:val="008D3B07"/>
    <w:rsid w:val="008D3ED3"/>
    <w:rsid w:val="008D45A6"/>
    <w:rsid w:val="008D4DA5"/>
    <w:rsid w:val="008D4F05"/>
    <w:rsid w:val="008D4F10"/>
    <w:rsid w:val="008D501E"/>
    <w:rsid w:val="008D5832"/>
    <w:rsid w:val="008D58AA"/>
    <w:rsid w:val="008D6061"/>
    <w:rsid w:val="008D6442"/>
    <w:rsid w:val="008D6E22"/>
    <w:rsid w:val="008D6F74"/>
    <w:rsid w:val="008D705B"/>
    <w:rsid w:val="008D74EC"/>
    <w:rsid w:val="008D76CC"/>
    <w:rsid w:val="008D78CA"/>
    <w:rsid w:val="008D7C27"/>
    <w:rsid w:val="008D7D15"/>
    <w:rsid w:val="008D7FCB"/>
    <w:rsid w:val="008E01F4"/>
    <w:rsid w:val="008E0615"/>
    <w:rsid w:val="008E0694"/>
    <w:rsid w:val="008E0AD8"/>
    <w:rsid w:val="008E0C47"/>
    <w:rsid w:val="008E0D17"/>
    <w:rsid w:val="008E1E55"/>
    <w:rsid w:val="008E20E0"/>
    <w:rsid w:val="008E2685"/>
    <w:rsid w:val="008E2868"/>
    <w:rsid w:val="008E31E5"/>
    <w:rsid w:val="008E34AA"/>
    <w:rsid w:val="008E38D9"/>
    <w:rsid w:val="008E3A83"/>
    <w:rsid w:val="008E3AB4"/>
    <w:rsid w:val="008E4DE1"/>
    <w:rsid w:val="008E4E70"/>
    <w:rsid w:val="008E500C"/>
    <w:rsid w:val="008E5163"/>
    <w:rsid w:val="008E51F2"/>
    <w:rsid w:val="008E54C1"/>
    <w:rsid w:val="008E565F"/>
    <w:rsid w:val="008E5F89"/>
    <w:rsid w:val="008E622D"/>
    <w:rsid w:val="008E6306"/>
    <w:rsid w:val="008E63E1"/>
    <w:rsid w:val="008E64A5"/>
    <w:rsid w:val="008E6513"/>
    <w:rsid w:val="008F0938"/>
    <w:rsid w:val="008F0F14"/>
    <w:rsid w:val="008F1320"/>
    <w:rsid w:val="008F14A5"/>
    <w:rsid w:val="008F15DD"/>
    <w:rsid w:val="008F28A9"/>
    <w:rsid w:val="008F293B"/>
    <w:rsid w:val="008F2CA6"/>
    <w:rsid w:val="008F2E52"/>
    <w:rsid w:val="008F2F1D"/>
    <w:rsid w:val="008F3897"/>
    <w:rsid w:val="008F3A21"/>
    <w:rsid w:val="008F3E22"/>
    <w:rsid w:val="008F467D"/>
    <w:rsid w:val="008F4744"/>
    <w:rsid w:val="008F4C99"/>
    <w:rsid w:val="008F5229"/>
    <w:rsid w:val="008F5BEF"/>
    <w:rsid w:val="008F5C02"/>
    <w:rsid w:val="008F6321"/>
    <w:rsid w:val="008F6843"/>
    <w:rsid w:val="008F68CF"/>
    <w:rsid w:val="008F6920"/>
    <w:rsid w:val="008F6EEB"/>
    <w:rsid w:val="00900414"/>
    <w:rsid w:val="00900756"/>
    <w:rsid w:val="0090101F"/>
    <w:rsid w:val="009012DE"/>
    <w:rsid w:val="0090130F"/>
    <w:rsid w:val="00901440"/>
    <w:rsid w:val="009017A9"/>
    <w:rsid w:val="009019D8"/>
    <w:rsid w:val="00902656"/>
    <w:rsid w:val="00902915"/>
    <w:rsid w:val="00902FDE"/>
    <w:rsid w:val="009031AF"/>
    <w:rsid w:val="009032CD"/>
    <w:rsid w:val="009032E9"/>
    <w:rsid w:val="00903396"/>
    <w:rsid w:val="00903692"/>
    <w:rsid w:val="00903B70"/>
    <w:rsid w:val="00903EA1"/>
    <w:rsid w:val="00904612"/>
    <w:rsid w:val="0090496B"/>
    <w:rsid w:val="009049F7"/>
    <w:rsid w:val="00904EE2"/>
    <w:rsid w:val="009050B0"/>
    <w:rsid w:val="00905469"/>
    <w:rsid w:val="0090669D"/>
    <w:rsid w:val="0090742B"/>
    <w:rsid w:val="00907D7D"/>
    <w:rsid w:val="00907F45"/>
    <w:rsid w:val="00907FD2"/>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611"/>
    <w:rsid w:val="00917913"/>
    <w:rsid w:val="00917A26"/>
    <w:rsid w:val="00917A7D"/>
    <w:rsid w:val="00917C4A"/>
    <w:rsid w:val="00917DE4"/>
    <w:rsid w:val="00917E93"/>
    <w:rsid w:val="00920477"/>
    <w:rsid w:val="0092053F"/>
    <w:rsid w:val="00920F06"/>
    <w:rsid w:val="0092112C"/>
    <w:rsid w:val="00922136"/>
    <w:rsid w:val="00922291"/>
    <w:rsid w:val="0092248E"/>
    <w:rsid w:val="00922B2C"/>
    <w:rsid w:val="00922BB0"/>
    <w:rsid w:val="00922C38"/>
    <w:rsid w:val="00922E91"/>
    <w:rsid w:val="00923891"/>
    <w:rsid w:val="00923BCC"/>
    <w:rsid w:val="0092412C"/>
    <w:rsid w:val="00924766"/>
    <w:rsid w:val="009249F9"/>
    <w:rsid w:val="00924BC9"/>
    <w:rsid w:val="00924CF7"/>
    <w:rsid w:val="00924E41"/>
    <w:rsid w:val="009250FD"/>
    <w:rsid w:val="0092547A"/>
    <w:rsid w:val="00925AB6"/>
    <w:rsid w:val="00925F78"/>
    <w:rsid w:val="00926518"/>
    <w:rsid w:val="00926820"/>
    <w:rsid w:val="00926A54"/>
    <w:rsid w:val="00926C5F"/>
    <w:rsid w:val="00926F44"/>
    <w:rsid w:val="00927277"/>
    <w:rsid w:val="00927DCD"/>
    <w:rsid w:val="0093044F"/>
    <w:rsid w:val="0093080E"/>
    <w:rsid w:val="00930A85"/>
    <w:rsid w:val="00930ABD"/>
    <w:rsid w:val="00930CE4"/>
    <w:rsid w:val="00931273"/>
    <w:rsid w:val="0093160C"/>
    <w:rsid w:val="009316C0"/>
    <w:rsid w:val="009317AC"/>
    <w:rsid w:val="00931DCD"/>
    <w:rsid w:val="00931E44"/>
    <w:rsid w:val="009326AB"/>
    <w:rsid w:val="00932947"/>
    <w:rsid w:val="00932D18"/>
    <w:rsid w:val="00932DD8"/>
    <w:rsid w:val="00932EB2"/>
    <w:rsid w:val="0093355E"/>
    <w:rsid w:val="00934462"/>
    <w:rsid w:val="009347B0"/>
    <w:rsid w:val="00934860"/>
    <w:rsid w:val="00934ADF"/>
    <w:rsid w:val="00934B10"/>
    <w:rsid w:val="00935218"/>
    <w:rsid w:val="009354E8"/>
    <w:rsid w:val="00935FCD"/>
    <w:rsid w:val="0093638E"/>
    <w:rsid w:val="0093664F"/>
    <w:rsid w:val="00936A66"/>
    <w:rsid w:val="0093729E"/>
    <w:rsid w:val="009373B0"/>
    <w:rsid w:val="009376B2"/>
    <w:rsid w:val="00937880"/>
    <w:rsid w:val="00937BEB"/>
    <w:rsid w:val="00937C5B"/>
    <w:rsid w:val="00937E2C"/>
    <w:rsid w:val="00940111"/>
    <w:rsid w:val="00940AAA"/>
    <w:rsid w:val="00940C01"/>
    <w:rsid w:val="00940CD5"/>
    <w:rsid w:val="0094114A"/>
    <w:rsid w:val="00941410"/>
    <w:rsid w:val="00941963"/>
    <w:rsid w:val="00941B66"/>
    <w:rsid w:val="00942392"/>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B8C"/>
    <w:rsid w:val="00950094"/>
    <w:rsid w:val="009501AE"/>
    <w:rsid w:val="009501BB"/>
    <w:rsid w:val="009505BA"/>
    <w:rsid w:val="0095074E"/>
    <w:rsid w:val="00950A9F"/>
    <w:rsid w:val="009511A1"/>
    <w:rsid w:val="00951A04"/>
    <w:rsid w:val="00951C06"/>
    <w:rsid w:val="00951EA3"/>
    <w:rsid w:val="009522F6"/>
    <w:rsid w:val="0095231B"/>
    <w:rsid w:val="009529EB"/>
    <w:rsid w:val="00953040"/>
    <w:rsid w:val="0095328B"/>
    <w:rsid w:val="00953864"/>
    <w:rsid w:val="00953BF0"/>
    <w:rsid w:val="00953E2B"/>
    <w:rsid w:val="0095418E"/>
    <w:rsid w:val="0095439D"/>
    <w:rsid w:val="009543E8"/>
    <w:rsid w:val="0095519B"/>
    <w:rsid w:val="00955B2B"/>
    <w:rsid w:val="009561C0"/>
    <w:rsid w:val="009569E7"/>
    <w:rsid w:val="00956C43"/>
    <w:rsid w:val="00956E0A"/>
    <w:rsid w:val="00957317"/>
    <w:rsid w:val="009576AF"/>
    <w:rsid w:val="009578A6"/>
    <w:rsid w:val="0095793D"/>
    <w:rsid w:val="00957C7F"/>
    <w:rsid w:val="00957D83"/>
    <w:rsid w:val="009602CB"/>
    <w:rsid w:val="009605DE"/>
    <w:rsid w:val="00960BAD"/>
    <w:rsid w:val="00960E07"/>
    <w:rsid w:val="009611B8"/>
    <w:rsid w:val="009613F9"/>
    <w:rsid w:val="00961D8A"/>
    <w:rsid w:val="00961E9B"/>
    <w:rsid w:val="00961FF6"/>
    <w:rsid w:val="00962A1F"/>
    <w:rsid w:val="00962CDC"/>
    <w:rsid w:val="00962F09"/>
    <w:rsid w:val="009633CD"/>
    <w:rsid w:val="0096409E"/>
    <w:rsid w:val="00964169"/>
    <w:rsid w:val="00964188"/>
    <w:rsid w:val="00965353"/>
    <w:rsid w:val="00965DA0"/>
    <w:rsid w:val="00965DF4"/>
    <w:rsid w:val="00965E5E"/>
    <w:rsid w:val="00965F52"/>
    <w:rsid w:val="00966337"/>
    <w:rsid w:val="009663BF"/>
    <w:rsid w:val="0096653F"/>
    <w:rsid w:val="00966F63"/>
    <w:rsid w:val="00966F83"/>
    <w:rsid w:val="00966FC5"/>
    <w:rsid w:val="00967152"/>
    <w:rsid w:val="0096728B"/>
    <w:rsid w:val="00967614"/>
    <w:rsid w:val="0096765A"/>
    <w:rsid w:val="009676B9"/>
    <w:rsid w:val="0096771C"/>
    <w:rsid w:val="0096787F"/>
    <w:rsid w:val="00967ABA"/>
    <w:rsid w:val="00970174"/>
    <w:rsid w:val="0097022C"/>
    <w:rsid w:val="009702B0"/>
    <w:rsid w:val="0097065A"/>
    <w:rsid w:val="0097154A"/>
    <w:rsid w:val="009724CE"/>
    <w:rsid w:val="0097287D"/>
    <w:rsid w:val="009729C2"/>
    <w:rsid w:val="00972A23"/>
    <w:rsid w:val="0097331A"/>
    <w:rsid w:val="00973755"/>
    <w:rsid w:val="00973CCC"/>
    <w:rsid w:val="00973D33"/>
    <w:rsid w:val="00973ED1"/>
    <w:rsid w:val="0097402A"/>
    <w:rsid w:val="009741BE"/>
    <w:rsid w:val="00974CCC"/>
    <w:rsid w:val="00974FF4"/>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BA5"/>
    <w:rsid w:val="00982C36"/>
    <w:rsid w:val="0098370A"/>
    <w:rsid w:val="00983824"/>
    <w:rsid w:val="0098382C"/>
    <w:rsid w:val="00983CAD"/>
    <w:rsid w:val="009841E3"/>
    <w:rsid w:val="00984437"/>
    <w:rsid w:val="0098454B"/>
    <w:rsid w:val="009846C3"/>
    <w:rsid w:val="009847AE"/>
    <w:rsid w:val="00984EC1"/>
    <w:rsid w:val="00984F54"/>
    <w:rsid w:val="00984FE7"/>
    <w:rsid w:val="009851E4"/>
    <w:rsid w:val="00985469"/>
    <w:rsid w:val="00985479"/>
    <w:rsid w:val="00985668"/>
    <w:rsid w:val="009859E7"/>
    <w:rsid w:val="00985A98"/>
    <w:rsid w:val="00985FBB"/>
    <w:rsid w:val="009863B8"/>
    <w:rsid w:val="00986435"/>
    <w:rsid w:val="009866FB"/>
    <w:rsid w:val="00986730"/>
    <w:rsid w:val="0098674E"/>
    <w:rsid w:val="0098703A"/>
    <w:rsid w:val="00987081"/>
    <w:rsid w:val="00987365"/>
    <w:rsid w:val="009873EA"/>
    <w:rsid w:val="009879F4"/>
    <w:rsid w:val="00987D5A"/>
    <w:rsid w:val="00987D9E"/>
    <w:rsid w:val="00990165"/>
    <w:rsid w:val="009905E6"/>
    <w:rsid w:val="00990609"/>
    <w:rsid w:val="00990841"/>
    <w:rsid w:val="0099099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F50"/>
    <w:rsid w:val="009A2199"/>
    <w:rsid w:val="009A22E4"/>
    <w:rsid w:val="009A2662"/>
    <w:rsid w:val="009A2922"/>
    <w:rsid w:val="009A3056"/>
    <w:rsid w:val="009A329C"/>
    <w:rsid w:val="009A3985"/>
    <w:rsid w:val="009A40DB"/>
    <w:rsid w:val="009A4151"/>
    <w:rsid w:val="009A4AB7"/>
    <w:rsid w:val="009A5AE8"/>
    <w:rsid w:val="009A5B44"/>
    <w:rsid w:val="009A5C09"/>
    <w:rsid w:val="009A5C2F"/>
    <w:rsid w:val="009A5C76"/>
    <w:rsid w:val="009A606F"/>
    <w:rsid w:val="009A6399"/>
    <w:rsid w:val="009A6B1B"/>
    <w:rsid w:val="009A6FAF"/>
    <w:rsid w:val="009A76C5"/>
    <w:rsid w:val="009A7878"/>
    <w:rsid w:val="009A7E16"/>
    <w:rsid w:val="009B00CD"/>
    <w:rsid w:val="009B0AFA"/>
    <w:rsid w:val="009B11AC"/>
    <w:rsid w:val="009B147B"/>
    <w:rsid w:val="009B18C3"/>
    <w:rsid w:val="009B2D01"/>
    <w:rsid w:val="009B3DD5"/>
    <w:rsid w:val="009B42E8"/>
    <w:rsid w:val="009B4401"/>
    <w:rsid w:val="009B4649"/>
    <w:rsid w:val="009B4FC2"/>
    <w:rsid w:val="009B5339"/>
    <w:rsid w:val="009B54AB"/>
    <w:rsid w:val="009B58E2"/>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7A6"/>
    <w:rsid w:val="009C59DA"/>
    <w:rsid w:val="009C5EA3"/>
    <w:rsid w:val="009C63C8"/>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078"/>
    <w:rsid w:val="009D33F3"/>
    <w:rsid w:val="009D3401"/>
    <w:rsid w:val="009D41F4"/>
    <w:rsid w:val="009D423C"/>
    <w:rsid w:val="009D42EB"/>
    <w:rsid w:val="009D484B"/>
    <w:rsid w:val="009D4C13"/>
    <w:rsid w:val="009D51DC"/>
    <w:rsid w:val="009D534F"/>
    <w:rsid w:val="009D57E5"/>
    <w:rsid w:val="009D5FFA"/>
    <w:rsid w:val="009D7411"/>
    <w:rsid w:val="009D7469"/>
    <w:rsid w:val="009D7489"/>
    <w:rsid w:val="009D77CF"/>
    <w:rsid w:val="009E0506"/>
    <w:rsid w:val="009E0808"/>
    <w:rsid w:val="009E27A9"/>
    <w:rsid w:val="009E2A7B"/>
    <w:rsid w:val="009E309C"/>
    <w:rsid w:val="009E36AA"/>
    <w:rsid w:val="009E38C0"/>
    <w:rsid w:val="009E4115"/>
    <w:rsid w:val="009E449B"/>
    <w:rsid w:val="009E44BA"/>
    <w:rsid w:val="009E47BE"/>
    <w:rsid w:val="009E4F1B"/>
    <w:rsid w:val="009E510E"/>
    <w:rsid w:val="009E6485"/>
    <w:rsid w:val="009E64F9"/>
    <w:rsid w:val="009E747F"/>
    <w:rsid w:val="009E74A3"/>
    <w:rsid w:val="009E7C13"/>
    <w:rsid w:val="009E7E77"/>
    <w:rsid w:val="009F0607"/>
    <w:rsid w:val="009F09A0"/>
    <w:rsid w:val="009F11D7"/>
    <w:rsid w:val="009F1427"/>
    <w:rsid w:val="009F2037"/>
    <w:rsid w:val="009F22FF"/>
    <w:rsid w:val="009F241C"/>
    <w:rsid w:val="009F2420"/>
    <w:rsid w:val="009F275E"/>
    <w:rsid w:val="009F2A16"/>
    <w:rsid w:val="009F3288"/>
    <w:rsid w:val="009F3783"/>
    <w:rsid w:val="009F39F1"/>
    <w:rsid w:val="009F3FC5"/>
    <w:rsid w:val="009F40CE"/>
    <w:rsid w:val="009F5F47"/>
    <w:rsid w:val="009F6377"/>
    <w:rsid w:val="009F6D30"/>
    <w:rsid w:val="009F7044"/>
    <w:rsid w:val="009F7184"/>
    <w:rsid w:val="009F720D"/>
    <w:rsid w:val="009F7B90"/>
    <w:rsid w:val="00A00731"/>
    <w:rsid w:val="00A00800"/>
    <w:rsid w:val="00A00A1B"/>
    <w:rsid w:val="00A00ACD"/>
    <w:rsid w:val="00A011A4"/>
    <w:rsid w:val="00A018E2"/>
    <w:rsid w:val="00A01BAA"/>
    <w:rsid w:val="00A01BF5"/>
    <w:rsid w:val="00A01E86"/>
    <w:rsid w:val="00A01FD6"/>
    <w:rsid w:val="00A020EB"/>
    <w:rsid w:val="00A0261B"/>
    <w:rsid w:val="00A02982"/>
    <w:rsid w:val="00A02B9C"/>
    <w:rsid w:val="00A03402"/>
    <w:rsid w:val="00A043A8"/>
    <w:rsid w:val="00A04607"/>
    <w:rsid w:val="00A049EF"/>
    <w:rsid w:val="00A04D6F"/>
    <w:rsid w:val="00A05327"/>
    <w:rsid w:val="00A05B14"/>
    <w:rsid w:val="00A06050"/>
    <w:rsid w:val="00A06241"/>
    <w:rsid w:val="00A06688"/>
    <w:rsid w:val="00A070AB"/>
    <w:rsid w:val="00A0714D"/>
    <w:rsid w:val="00A0717B"/>
    <w:rsid w:val="00A07781"/>
    <w:rsid w:val="00A07C30"/>
    <w:rsid w:val="00A101BC"/>
    <w:rsid w:val="00A10268"/>
    <w:rsid w:val="00A10529"/>
    <w:rsid w:val="00A10639"/>
    <w:rsid w:val="00A10674"/>
    <w:rsid w:val="00A10907"/>
    <w:rsid w:val="00A10A1C"/>
    <w:rsid w:val="00A1175E"/>
    <w:rsid w:val="00A11BB9"/>
    <w:rsid w:val="00A12920"/>
    <w:rsid w:val="00A12A6A"/>
    <w:rsid w:val="00A134CC"/>
    <w:rsid w:val="00A13B86"/>
    <w:rsid w:val="00A1449B"/>
    <w:rsid w:val="00A14ACC"/>
    <w:rsid w:val="00A14F81"/>
    <w:rsid w:val="00A156B6"/>
    <w:rsid w:val="00A15A12"/>
    <w:rsid w:val="00A15BD2"/>
    <w:rsid w:val="00A163B6"/>
    <w:rsid w:val="00A16B49"/>
    <w:rsid w:val="00A17450"/>
    <w:rsid w:val="00A174BB"/>
    <w:rsid w:val="00A175C0"/>
    <w:rsid w:val="00A17DE4"/>
    <w:rsid w:val="00A20056"/>
    <w:rsid w:val="00A204A1"/>
    <w:rsid w:val="00A2053E"/>
    <w:rsid w:val="00A208A2"/>
    <w:rsid w:val="00A20A16"/>
    <w:rsid w:val="00A214D3"/>
    <w:rsid w:val="00A21606"/>
    <w:rsid w:val="00A2168A"/>
    <w:rsid w:val="00A21819"/>
    <w:rsid w:val="00A21B7A"/>
    <w:rsid w:val="00A22686"/>
    <w:rsid w:val="00A22C0F"/>
    <w:rsid w:val="00A22EA2"/>
    <w:rsid w:val="00A22FA9"/>
    <w:rsid w:val="00A2328E"/>
    <w:rsid w:val="00A23691"/>
    <w:rsid w:val="00A23CB6"/>
    <w:rsid w:val="00A24418"/>
    <w:rsid w:val="00A24766"/>
    <w:rsid w:val="00A24ABC"/>
    <w:rsid w:val="00A24BA0"/>
    <w:rsid w:val="00A24E04"/>
    <w:rsid w:val="00A25699"/>
    <w:rsid w:val="00A25713"/>
    <w:rsid w:val="00A25825"/>
    <w:rsid w:val="00A259A7"/>
    <w:rsid w:val="00A259F5"/>
    <w:rsid w:val="00A25ACD"/>
    <w:rsid w:val="00A25D85"/>
    <w:rsid w:val="00A266A6"/>
    <w:rsid w:val="00A26CDB"/>
    <w:rsid w:val="00A26FED"/>
    <w:rsid w:val="00A2779D"/>
    <w:rsid w:val="00A27B6D"/>
    <w:rsid w:val="00A27BF5"/>
    <w:rsid w:val="00A27D15"/>
    <w:rsid w:val="00A30D0F"/>
    <w:rsid w:val="00A30D59"/>
    <w:rsid w:val="00A310E7"/>
    <w:rsid w:val="00A3110A"/>
    <w:rsid w:val="00A31173"/>
    <w:rsid w:val="00A311F9"/>
    <w:rsid w:val="00A31B59"/>
    <w:rsid w:val="00A32253"/>
    <w:rsid w:val="00A32657"/>
    <w:rsid w:val="00A32FF7"/>
    <w:rsid w:val="00A33540"/>
    <w:rsid w:val="00A33E0B"/>
    <w:rsid w:val="00A34014"/>
    <w:rsid w:val="00A3443A"/>
    <w:rsid w:val="00A345BB"/>
    <w:rsid w:val="00A3478D"/>
    <w:rsid w:val="00A3497C"/>
    <w:rsid w:val="00A34DA6"/>
    <w:rsid w:val="00A34DE5"/>
    <w:rsid w:val="00A34E61"/>
    <w:rsid w:val="00A35134"/>
    <w:rsid w:val="00A35236"/>
    <w:rsid w:val="00A356FF"/>
    <w:rsid w:val="00A359C6"/>
    <w:rsid w:val="00A35C45"/>
    <w:rsid w:val="00A36DF6"/>
    <w:rsid w:val="00A37809"/>
    <w:rsid w:val="00A37887"/>
    <w:rsid w:val="00A37AC1"/>
    <w:rsid w:val="00A37C94"/>
    <w:rsid w:val="00A37CEB"/>
    <w:rsid w:val="00A402CC"/>
    <w:rsid w:val="00A40523"/>
    <w:rsid w:val="00A4054C"/>
    <w:rsid w:val="00A40569"/>
    <w:rsid w:val="00A40B5F"/>
    <w:rsid w:val="00A41353"/>
    <w:rsid w:val="00A41381"/>
    <w:rsid w:val="00A4171C"/>
    <w:rsid w:val="00A41904"/>
    <w:rsid w:val="00A41A67"/>
    <w:rsid w:val="00A41B8C"/>
    <w:rsid w:val="00A41E41"/>
    <w:rsid w:val="00A42328"/>
    <w:rsid w:val="00A4396D"/>
    <w:rsid w:val="00A4434C"/>
    <w:rsid w:val="00A4454B"/>
    <w:rsid w:val="00A44AC1"/>
    <w:rsid w:val="00A44FA8"/>
    <w:rsid w:val="00A4572B"/>
    <w:rsid w:val="00A457DD"/>
    <w:rsid w:val="00A45A7A"/>
    <w:rsid w:val="00A45BEF"/>
    <w:rsid w:val="00A46350"/>
    <w:rsid w:val="00A46577"/>
    <w:rsid w:val="00A46629"/>
    <w:rsid w:val="00A46B49"/>
    <w:rsid w:val="00A473F2"/>
    <w:rsid w:val="00A47415"/>
    <w:rsid w:val="00A475D4"/>
    <w:rsid w:val="00A47A60"/>
    <w:rsid w:val="00A47B9B"/>
    <w:rsid w:val="00A505A9"/>
    <w:rsid w:val="00A50895"/>
    <w:rsid w:val="00A50EF7"/>
    <w:rsid w:val="00A50F07"/>
    <w:rsid w:val="00A51219"/>
    <w:rsid w:val="00A515CF"/>
    <w:rsid w:val="00A52342"/>
    <w:rsid w:val="00A525B4"/>
    <w:rsid w:val="00A52DDB"/>
    <w:rsid w:val="00A52E32"/>
    <w:rsid w:val="00A530C2"/>
    <w:rsid w:val="00A537C1"/>
    <w:rsid w:val="00A53AD4"/>
    <w:rsid w:val="00A54666"/>
    <w:rsid w:val="00A548AD"/>
    <w:rsid w:val="00A54F7A"/>
    <w:rsid w:val="00A55557"/>
    <w:rsid w:val="00A55ED6"/>
    <w:rsid w:val="00A55F0F"/>
    <w:rsid w:val="00A5611D"/>
    <w:rsid w:val="00A562A2"/>
    <w:rsid w:val="00A564D6"/>
    <w:rsid w:val="00A56A11"/>
    <w:rsid w:val="00A56B9F"/>
    <w:rsid w:val="00A575AE"/>
    <w:rsid w:val="00A57676"/>
    <w:rsid w:val="00A57677"/>
    <w:rsid w:val="00A576F0"/>
    <w:rsid w:val="00A57702"/>
    <w:rsid w:val="00A57D4E"/>
    <w:rsid w:val="00A57F34"/>
    <w:rsid w:val="00A603C5"/>
    <w:rsid w:val="00A603C7"/>
    <w:rsid w:val="00A60442"/>
    <w:rsid w:val="00A60F6F"/>
    <w:rsid w:val="00A60F78"/>
    <w:rsid w:val="00A615DA"/>
    <w:rsid w:val="00A61D71"/>
    <w:rsid w:val="00A61E22"/>
    <w:rsid w:val="00A62036"/>
    <w:rsid w:val="00A62A21"/>
    <w:rsid w:val="00A62FA1"/>
    <w:rsid w:val="00A63372"/>
    <w:rsid w:val="00A63685"/>
    <w:rsid w:val="00A6391F"/>
    <w:rsid w:val="00A63AD5"/>
    <w:rsid w:val="00A63CE8"/>
    <w:rsid w:val="00A64825"/>
    <w:rsid w:val="00A64CC8"/>
    <w:rsid w:val="00A65045"/>
    <w:rsid w:val="00A65274"/>
    <w:rsid w:val="00A654BD"/>
    <w:rsid w:val="00A65CE8"/>
    <w:rsid w:val="00A66068"/>
    <w:rsid w:val="00A6611C"/>
    <w:rsid w:val="00A66E1A"/>
    <w:rsid w:val="00A66EEA"/>
    <w:rsid w:val="00A672A0"/>
    <w:rsid w:val="00A701D8"/>
    <w:rsid w:val="00A702DD"/>
    <w:rsid w:val="00A7053C"/>
    <w:rsid w:val="00A70CB1"/>
    <w:rsid w:val="00A7160B"/>
    <w:rsid w:val="00A71829"/>
    <w:rsid w:val="00A719FD"/>
    <w:rsid w:val="00A71E86"/>
    <w:rsid w:val="00A71F28"/>
    <w:rsid w:val="00A72A31"/>
    <w:rsid w:val="00A72E60"/>
    <w:rsid w:val="00A72E7F"/>
    <w:rsid w:val="00A73124"/>
    <w:rsid w:val="00A7350B"/>
    <w:rsid w:val="00A73704"/>
    <w:rsid w:val="00A73A0E"/>
    <w:rsid w:val="00A73C27"/>
    <w:rsid w:val="00A73E04"/>
    <w:rsid w:val="00A73E82"/>
    <w:rsid w:val="00A7431A"/>
    <w:rsid w:val="00A74467"/>
    <w:rsid w:val="00A7489D"/>
    <w:rsid w:val="00A74E34"/>
    <w:rsid w:val="00A74F3B"/>
    <w:rsid w:val="00A75020"/>
    <w:rsid w:val="00A76231"/>
    <w:rsid w:val="00A76619"/>
    <w:rsid w:val="00A76960"/>
    <w:rsid w:val="00A77953"/>
    <w:rsid w:val="00A804BB"/>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5959"/>
    <w:rsid w:val="00A86CBB"/>
    <w:rsid w:val="00A8700E"/>
    <w:rsid w:val="00A8786A"/>
    <w:rsid w:val="00A87886"/>
    <w:rsid w:val="00A87CA3"/>
    <w:rsid w:val="00A87E56"/>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959"/>
    <w:rsid w:val="00A93D64"/>
    <w:rsid w:val="00A94652"/>
    <w:rsid w:val="00A946CF"/>
    <w:rsid w:val="00A946D4"/>
    <w:rsid w:val="00A9489A"/>
    <w:rsid w:val="00A948C2"/>
    <w:rsid w:val="00A94A5B"/>
    <w:rsid w:val="00A94B6C"/>
    <w:rsid w:val="00A94D7F"/>
    <w:rsid w:val="00A94EA6"/>
    <w:rsid w:val="00A95832"/>
    <w:rsid w:val="00A95EFD"/>
    <w:rsid w:val="00A96219"/>
    <w:rsid w:val="00A96435"/>
    <w:rsid w:val="00A964F1"/>
    <w:rsid w:val="00A967F3"/>
    <w:rsid w:val="00A969BA"/>
    <w:rsid w:val="00A96F85"/>
    <w:rsid w:val="00A97014"/>
    <w:rsid w:val="00A9799E"/>
    <w:rsid w:val="00A97A19"/>
    <w:rsid w:val="00A97B93"/>
    <w:rsid w:val="00A97FDE"/>
    <w:rsid w:val="00AA05F2"/>
    <w:rsid w:val="00AA0689"/>
    <w:rsid w:val="00AA07FA"/>
    <w:rsid w:val="00AA08D3"/>
    <w:rsid w:val="00AA11BE"/>
    <w:rsid w:val="00AA13FE"/>
    <w:rsid w:val="00AA18E4"/>
    <w:rsid w:val="00AA1B8D"/>
    <w:rsid w:val="00AA20AF"/>
    <w:rsid w:val="00AA29C6"/>
    <w:rsid w:val="00AA2FF2"/>
    <w:rsid w:val="00AA3B6C"/>
    <w:rsid w:val="00AA3E9A"/>
    <w:rsid w:val="00AA3F6E"/>
    <w:rsid w:val="00AA444C"/>
    <w:rsid w:val="00AA46AF"/>
    <w:rsid w:val="00AA4AA7"/>
    <w:rsid w:val="00AA4B5D"/>
    <w:rsid w:val="00AA5729"/>
    <w:rsid w:val="00AA6683"/>
    <w:rsid w:val="00AA6CA0"/>
    <w:rsid w:val="00AA737C"/>
    <w:rsid w:val="00AA746A"/>
    <w:rsid w:val="00AA7CB8"/>
    <w:rsid w:val="00AA7E88"/>
    <w:rsid w:val="00AB116A"/>
    <w:rsid w:val="00AB151E"/>
    <w:rsid w:val="00AB1A4A"/>
    <w:rsid w:val="00AB255D"/>
    <w:rsid w:val="00AB26E0"/>
    <w:rsid w:val="00AB285F"/>
    <w:rsid w:val="00AB29DF"/>
    <w:rsid w:val="00AB2ABA"/>
    <w:rsid w:val="00AB30AB"/>
    <w:rsid w:val="00AB3B09"/>
    <w:rsid w:val="00AB3B58"/>
    <w:rsid w:val="00AB3C14"/>
    <w:rsid w:val="00AB3F7E"/>
    <w:rsid w:val="00AB487F"/>
    <w:rsid w:val="00AB49E3"/>
    <w:rsid w:val="00AB4AC0"/>
    <w:rsid w:val="00AB4B31"/>
    <w:rsid w:val="00AB4B90"/>
    <w:rsid w:val="00AB5294"/>
    <w:rsid w:val="00AB5B17"/>
    <w:rsid w:val="00AB5B73"/>
    <w:rsid w:val="00AB5C2F"/>
    <w:rsid w:val="00AB5DF0"/>
    <w:rsid w:val="00AB6141"/>
    <w:rsid w:val="00AB61F3"/>
    <w:rsid w:val="00AB6A73"/>
    <w:rsid w:val="00AB6AB5"/>
    <w:rsid w:val="00AB742B"/>
    <w:rsid w:val="00AB796F"/>
    <w:rsid w:val="00AB79D2"/>
    <w:rsid w:val="00AC0708"/>
    <w:rsid w:val="00AC0D4C"/>
    <w:rsid w:val="00AC1596"/>
    <w:rsid w:val="00AC1A41"/>
    <w:rsid w:val="00AC1EAB"/>
    <w:rsid w:val="00AC1FF7"/>
    <w:rsid w:val="00AC256D"/>
    <w:rsid w:val="00AC2B3E"/>
    <w:rsid w:val="00AC2CC0"/>
    <w:rsid w:val="00AC35BC"/>
    <w:rsid w:val="00AC3C76"/>
    <w:rsid w:val="00AC4502"/>
    <w:rsid w:val="00AC484A"/>
    <w:rsid w:val="00AC49C1"/>
    <w:rsid w:val="00AC4C87"/>
    <w:rsid w:val="00AC4F4C"/>
    <w:rsid w:val="00AC51AC"/>
    <w:rsid w:val="00AC5246"/>
    <w:rsid w:val="00AC5298"/>
    <w:rsid w:val="00AC60D4"/>
    <w:rsid w:val="00AC620A"/>
    <w:rsid w:val="00AC67D4"/>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BB6"/>
    <w:rsid w:val="00AD4F66"/>
    <w:rsid w:val="00AD55B9"/>
    <w:rsid w:val="00AD577F"/>
    <w:rsid w:val="00AD5A65"/>
    <w:rsid w:val="00AD5D61"/>
    <w:rsid w:val="00AD5EA7"/>
    <w:rsid w:val="00AD5EFC"/>
    <w:rsid w:val="00AD626B"/>
    <w:rsid w:val="00AD6BB5"/>
    <w:rsid w:val="00AD703F"/>
    <w:rsid w:val="00AD7377"/>
    <w:rsid w:val="00AD7CD9"/>
    <w:rsid w:val="00AE0340"/>
    <w:rsid w:val="00AE0DB6"/>
    <w:rsid w:val="00AE0F21"/>
    <w:rsid w:val="00AE0F65"/>
    <w:rsid w:val="00AE12C9"/>
    <w:rsid w:val="00AE1CBE"/>
    <w:rsid w:val="00AE1EED"/>
    <w:rsid w:val="00AE22A4"/>
    <w:rsid w:val="00AE28C2"/>
    <w:rsid w:val="00AE29E3"/>
    <w:rsid w:val="00AE2AC8"/>
    <w:rsid w:val="00AE2AEB"/>
    <w:rsid w:val="00AE3A79"/>
    <w:rsid w:val="00AE3DA6"/>
    <w:rsid w:val="00AE3DE3"/>
    <w:rsid w:val="00AE3FCC"/>
    <w:rsid w:val="00AE4115"/>
    <w:rsid w:val="00AE411A"/>
    <w:rsid w:val="00AE41F5"/>
    <w:rsid w:val="00AE4512"/>
    <w:rsid w:val="00AE4564"/>
    <w:rsid w:val="00AE4A57"/>
    <w:rsid w:val="00AE4A86"/>
    <w:rsid w:val="00AE5098"/>
    <w:rsid w:val="00AE5493"/>
    <w:rsid w:val="00AE551E"/>
    <w:rsid w:val="00AE58C8"/>
    <w:rsid w:val="00AE5BA5"/>
    <w:rsid w:val="00AE5C90"/>
    <w:rsid w:val="00AE662C"/>
    <w:rsid w:val="00AE68CA"/>
    <w:rsid w:val="00AE6B3C"/>
    <w:rsid w:val="00AE7542"/>
    <w:rsid w:val="00AE7D04"/>
    <w:rsid w:val="00AE7E51"/>
    <w:rsid w:val="00AF0350"/>
    <w:rsid w:val="00AF0A91"/>
    <w:rsid w:val="00AF0EBD"/>
    <w:rsid w:val="00AF0F1D"/>
    <w:rsid w:val="00AF18FE"/>
    <w:rsid w:val="00AF1A5A"/>
    <w:rsid w:val="00AF1D67"/>
    <w:rsid w:val="00AF2524"/>
    <w:rsid w:val="00AF2AC5"/>
    <w:rsid w:val="00AF2D3D"/>
    <w:rsid w:val="00AF3238"/>
    <w:rsid w:val="00AF3396"/>
    <w:rsid w:val="00AF393D"/>
    <w:rsid w:val="00AF3AE1"/>
    <w:rsid w:val="00AF4021"/>
    <w:rsid w:val="00AF4033"/>
    <w:rsid w:val="00AF4330"/>
    <w:rsid w:val="00AF469C"/>
    <w:rsid w:val="00AF475A"/>
    <w:rsid w:val="00AF4AC9"/>
    <w:rsid w:val="00AF4C00"/>
    <w:rsid w:val="00AF4F29"/>
    <w:rsid w:val="00AF5625"/>
    <w:rsid w:val="00AF5D5B"/>
    <w:rsid w:val="00AF5DFE"/>
    <w:rsid w:val="00AF6046"/>
    <w:rsid w:val="00AF62AC"/>
    <w:rsid w:val="00AF630E"/>
    <w:rsid w:val="00AF6612"/>
    <w:rsid w:val="00AF6701"/>
    <w:rsid w:val="00AF6783"/>
    <w:rsid w:val="00AF696E"/>
    <w:rsid w:val="00B007C3"/>
    <w:rsid w:val="00B00C28"/>
    <w:rsid w:val="00B01253"/>
    <w:rsid w:val="00B014FF"/>
    <w:rsid w:val="00B015AC"/>
    <w:rsid w:val="00B01BF4"/>
    <w:rsid w:val="00B01D33"/>
    <w:rsid w:val="00B0219F"/>
    <w:rsid w:val="00B02F69"/>
    <w:rsid w:val="00B0399A"/>
    <w:rsid w:val="00B03A44"/>
    <w:rsid w:val="00B041EC"/>
    <w:rsid w:val="00B042A5"/>
    <w:rsid w:val="00B04384"/>
    <w:rsid w:val="00B051C4"/>
    <w:rsid w:val="00B05705"/>
    <w:rsid w:val="00B058C0"/>
    <w:rsid w:val="00B05FB0"/>
    <w:rsid w:val="00B06E43"/>
    <w:rsid w:val="00B078E8"/>
    <w:rsid w:val="00B07C69"/>
    <w:rsid w:val="00B07D99"/>
    <w:rsid w:val="00B106A4"/>
    <w:rsid w:val="00B10F5A"/>
    <w:rsid w:val="00B11175"/>
    <w:rsid w:val="00B1140B"/>
    <w:rsid w:val="00B11693"/>
    <w:rsid w:val="00B11AB1"/>
    <w:rsid w:val="00B11B64"/>
    <w:rsid w:val="00B11B75"/>
    <w:rsid w:val="00B11BF8"/>
    <w:rsid w:val="00B11C3F"/>
    <w:rsid w:val="00B11C97"/>
    <w:rsid w:val="00B11D20"/>
    <w:rsid w:val="00B11E93"/>
    <w:rsid w:val="00B11FA5"/>
    <w:rsid w:val="00B124BF"/>
    <w:rsid w:val="00B13393"/>
    <w:rsid w:val="00B133ED"/>
    <w:rsid w:val="00B13469"/>
    <w:rsid w:val="00B13A39"/>
    <w:rsid w:val="00B13AED"/>
    <w:rsid w:val="00B13DE9"/>
    <w:rsid w:val="00B13F83"/>
    <w:rsid w:val="00B143D6"/>
    <w:rsid w:val="00B14B56"/>
    <w:rsid w:val="00B14C39"/>
    <w:rsid w:val="00B1519F"/>
    <w:rsid w:val="00B1524D"/>
    <w:rsid w:val="00B1542B"/>
    <w:rsid w:val="00B1589A"/>
    <w:rsid w:val="00B15956"/>
    <w:rsid w:val="00B15E83"/>
    <w:rsid w:val="00B164F6"/>
    <w:rsid w:val="00B165E2"/>
    <w:rsid w:val="00B16800"/>
    <w:rsid w:val="00B16CB0"/>
    <w:rsid w:val="00B16EB5"/>
    <w:rsid w:val="00B17148"/>
    <w:rsid w:val="00B17BE5"/>
    <w:rsid w:val="00B20C31"/>
    <w:rsid w:val="00B20D50"/>
    <w:rsid w:val="00B2129C"/>
    <w:rsid w:val="00B218E5"/>
    <w:rsid w:val="00B21AA4"/>
    <w:rsid w:val="00B21CF4"/>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5192"/>
    <w:rsid w:val="00B25589"/>
    <w:rsid w:val="00B2572C"/>
    <w:rsid w:val="00B2594F"/>
    <w:rsid w:val="00B25AD2"/>
    <w:rsid w:val="00B268A2"/>
    <w:rsid w:val="00B269B3"/>
    <w:rsid w:val="00B26EFF"/>
    <w:rsid w:val="00B271B4"/>
    <w:rsid w:val="00B2789A"/>
    <w:rsid w:val="00B27F73"/>
    <w:rsid w:val="00B30963"/>
    <w:rsid w:val="00B30A99"/>
    <w:rsid w:val="00B30AE1"/>
    <w:rsid w:val="00B30C4C"/>
    <w:rsid w:val="00B30D89"/>
    <w:rsid w:val="00B31621"/>
    <w:rsid w:val="00B316A1"/>
    <w:rsid w:val="00B31805"/>
    <w:rsid w:val="00B31A62"/>
    <w:rsid w:val="00B31B87"/>
    <w:rsid w:val="00B31F11"/>
    <w:rsid w:val="00B321FA"/>
    <w:rsid w:val="00B33528"/>
    <w:rsid w:val="00B33B04"/>
    <w:rsid w:val="00B33B7C"/>
    <w:rsid w:val="00B33C07"/>
    <w:rsid w:val="00B33CC1"/>
    <w:rsid w:val="00B33E4D"/>
    <w:rsid w:val="00B33EF1"/>
    <w:rsid w:val="00B34020"/>
    <w:rsid w:val="00B340CF"/>
    <w:rsid w:val="00B345EA"/>
    <w:rsid w:val="00B34939"/>
    <w:rsid w:val="00B34FCB"/>
    <w:rsid w:val="00B35A65"/>
    <w:rsid w:val="00B35BAE"/>
    <w:rsid w:val="00B36122"/>
    <w:rsid w:val="00B36358"/>
    <w:rsid w:val="00B367B2"/>
    <w:rsid w:val="00B368CF"/>
    <w:rsid w:val="00B36FC8"/>
    <w:rsid w:val="00B3739F"/>
    <w:rsid w:val="00B373BF"/>
    <w:rsid w:val="00B37494"/>
    <w:rsid w:val="00B37539"/>
    <w:rsid w:val="00B3753F"/>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811"/>
    <w:rsid w:val="00B44C63"/>
    <w:rsid w:val="00B44CDA"/>
    <w:rsid w:val="00B4516C"/>
    <w:rsid w:val="00B45A3C"/>
    <w:rsid w:val="00B4601E"/>
    <w:rsid w:val="00B46B56"/>
    <w:rsid w:val="00B46BBD"/>
    <w:rsid w:val="00B471F9"/>
    <w:rsid w:val="00B476E0"/>
    <w:rsid w:val="00B47E13"/>
    <w:rsid w:val="00B50992"/>
    <w:rsid w:val="00B50DD7"/>
    <w:rsid w:val="00B51142"/>
    <w:rsid w:val="00B51173"/>
    <w:rsid w:val="00B51849"/>
    <w:rsid w:val="00B526E6"/>
    <w:rsid w:val="00B52958"/>
    <w:rsid w:val="00B52993"/>
    <w:rsid w:val="00B52B86"/>
    <w:rsid w:val="00B52D18"/>
    <w:rsid w:val="00B53204"/>
    <w:rsid w:val="00B53649"/>
    <w:rsid w:val="00B53680"/>
    <w:rsid w:val="00B53A09"/>
    <w:rsid w:val="00B53BB5"/>
    <w:rsid w:val="00B53CAD"/>
    <w:rsid w:val="00B53D90"/>
    <w:rsid w:val="00B543BF"/>
    <w:rsid w:val="00B545DD"/>
    <w:rsid w:val="00B54727"/>
    <w:rsid w:val="00B55050"/>
    <w:rsid w:val="00B5525C"/>
    <w:rsid w:val="00B5548F"/>
    <w:rsid w:val="00B557AA"/>
    <w:rsid w:val="00B55C40"/>
    <w:rsid w:val="00B56249"/>
    <w:rsid w:val="00B5649B"/>
    <w:rsid w:val="00B56835"/>
    <w:rsid w:val="00B56B58"/>
    <w:rsid w:val="00B56BC3"/>
    <w:rsid w:val="00B56E2C"/>
    <w:rsid w:val="00B56EEF"/>
    <w:rsid w:val="00B571BD"/>
    <w:rsid w:val="00B572E8"/>
    <w:rsid w:val="00B575EA"/>
    <w:rsid w:val="00B577FC"/>
    <w:rsid w:val="00B57EDB"/>
    <w:rsid w:val="00B60770"/>
    <w:rsid w:val="00B60BDB"/>
    <w:rsid w:val="00B6149F"/>
    <w:rsid w:val="00B614D7"/>
    <w:rsid w:val="00B615AB"/>
    <w:rsid w:val="00B61C8B"/>
    <w:rsid w:val="00B61E59"/>
    <w:rsid w:val="00B628F3"/>
    <w:rsid w:val="00B63976"/>
    <w:rsid w:val="00B63E81"/>
    <w:rsid w:val="00B6414F"/>
    <w:rsid w:val="00B643E6"/>
    <w:rsid w:val="00B6443F"/>
    <w:rsid w:val="00B6469C"/>
    <w:rsid w:val="00B6486C"/>
    <w:rsid w:val="00B648B7"/>
    <w:rsid w:val="00B65324"/>
    <w:rsid w:val="00B65C17"/>
    <w:rsid w:val="00B65FC5"/>
    <w:rsid w:val="00B66202"/>
    <w:rsid w:val="00B66322"/>
    <w:rsid w:val="00B663C8"/>
    <w:rsid w:val="00B66F90"/>
    <w:rsid w:val="00B6736F"/>
    <w:rsid w:val="00B6737E"/>
    <w:rsid w:val="00B674D9"/>
    <w:rsid w:val="00B67963"/>
    <w:rsid w:val="00B679A8"/>
    <w:rsid w:val="00B67E6E"/>
    <w:rsid w:val="00B715C0"/>
    <w:rsid w:val="00B7189C"/>
    <w:rsid w:val="00B7196C"/>
    <w:rsid w:val="00B71BBB"/>
    <w:rsid w:val="00B71D92"/>
    <w:rsid w:val="00B72033"/>
    <w:rsid w:val="00B722F8"/>
    <w:rsid w:val="00B724DA"/>
    <w:rsid w:val="00B728AE"/>
    <w:rsid w:val="00B72CAD"/>
    <w:rsid w:val="00B72DF7"/>
    <w:rsid w:val="00B731E0"/>
    <w:rsid w:val="00B73838"/>
    <w:rsid w:val="00B73A44"/>
    <w:rsid w:val="00B73A94"/>
    <w:rsid w:val="00B74313"/>
    <w:rsid w:val="00B747A7"/>
    <w:rsid w:val="00B747F4"/>
    <w:rsid w:val="00B74D1A"/>
    <w:rsid w:val="00B756E7"/>
    <w:rsid w:val="00B75C96"/>
    <w:rsid w:val="00B76640"/>
    <w:rsid w:val="00B772A1"/>
    <w:rsid w:val="00B7797F"/>
    <w:rsid w:val="00B77B72"/>
    <w:rsid w:val="00B77C14"/>
    <w:rsid w:val="00B77F09"/>
    <w:rsid w:val="00B80001"/>
    <w:rsid w:val="00B80457"/>
    <w:rsid w:val="00B80AFF"/>
    <w:rsid w:val="00B80BB7"/>
    <w:rsid w:val="00B80D75"/>
    <w:rsid w:val="00B80E81"/>
    <w:rsid w:val="00B80E8D"/>
    <w:rsid w:val="00B80F06"/>
    <w:rsid w:val="00B8118D"/>
    <w:rsid w:val="00B816FC"/>
    <w:rsid w:val="00B82071"/>
    <w:rsid w:val="00B84A18"/>
    <w:rsid w:val="00B8567C"/>
    <w:rsid w:val="00B85977"/>
    <w:rsid w:val="00B85EC8"/>
    <w:rsid w:val="00B86D96"/>
    <w:rsid w:val="00B86DFA"/>
    <w:rsid w:val="00B87263"/>
    <w:rsid w:val="00B87267"/>
    <w:rsid w:val="00B873E4"/>
    <w:rsid w:val="00B8763F"/>
    <w:rsid w:val="00B87DD0"/>
    <w:rsid w:val="00B906EF"/>
    <w:rsid w:val="00B90983"/>
    <w:rsid w:val="00B91324"/>
    <w:rsid w:val="00B91957"/>
    <w:rsid w:val="00B91BF3"/>
    <w:rsid w:val="00B91F11"/>
    <w:rsid w:val="00B92236"/>
    <w:rsid w:val="00B92890"/>
    <w:rsid w:val="00B92996"/>
    <w:rsid w:val="00B930E3"/>
    <w:rsid w:val="00B9325F"/>
    <w:rsid w:val="00B9337B"/>
    <w:rsid w:val="00B934F0"/>
    <w:rsid w:val="00B9350D"/>
    <w:rsid w:val="00B936B3"/>
    <w:rsid w:val="00B9396E"/>
    <w:rsid w:val="00B93C51"/>
    <w:rsid w:val="00B93D5A"/>
    <w:rsid w:val="00B93E3E"/>
    <w:rsid w:val="00B94099"/>
    <w:rsid w:val="00B94C4C"/>
    <w:rsid w:val="00B951CA"/>
    <w:rsid w:val="00B962D7"/>
    <w:rsid w:val="00B96C6A"/>
    <w:rsid w:val="00B96DFC"/>
    <w:rsid w:val="00B97167"/>
    <w:rsid w:val="00B9738E"/>
    <w:rsid w:val="00B97519"/>
    <w:rsid w:val="00B97C4A"/>
    <w:rsid w:val="00BA01EC"/>
    <w:rsid w:val="00BA073C"/>
    <w:rsid w:val="00BA0DE8"/>
    <w:rsid w:val="00BA13CA"/>
    <w:rsid w:val="00BA16BE"/>
    <w:rsid w:val="00BA173D"/>
    <w:rsid w:val="00BA1D60"/>
    <w:rsid w:val="00BA1F09"/>
    <w:rsid w:val="00BA2650"/>
    <w:rsid w:val="00BA26D3"/>
    <w:rsid w:val="00BA287F"/>
    <w:rsid w:val="00BA2975"/>
    <w:rsid w:val="00BA2F53"/>
    <w:rsid w:val="00BA311B"/>
    <w:rsid w:val="00BA4390"/>
    <w:rsid w:val="00BA4619"/>
    <w:rsid w:val="00BA486D"/>
    <w:rsid w:val="00BA5763"/>
    <w:rsid w:val="00BA5B17"/>
    <w:rsid w:val="00BA5DD9"/>
    <w:rsid w:val="00BA6C87"/>
    <w:rsid w:val="00BA710A"/>
    <w:rsid w:val="00BA7538"/>
    <w:rsid w:val="00BA7556"/>
    <w:rsid w:val="00BA766E"/>
    <w:rsid w:val="00BA78C1"/>
    <w:rsid w:val="00BA7CBE"/>
    <w:rsid w:val="00BA7DED"/>
    <w:rsid w:val="00BA7EEB"/>
    <w:rsid w:val="00BA7F8F"/>
    <w:rsid w:val="00BB05CA"/>
    <w:rsid w:val="00BB0798"/>
    <w:rsid w:val="00BB0930"/>
    <w:rsid w:val="00BB10E1"/>
    <w:rsid w:val="00BB1349"/>
    <w:rsid w:val="00BB135B"/>
    <w:rsid w:val="00BB140D"/>
    <w:rsid w:val="00BB1425"/>
    <w:rsid w:val="00BB1675"/>
    <w:rsid w:val="00BB1C6E"/>
    <w:rsid w:val="00BB1ECC"/>
    <w:rsid w:val="00BB2208"/>
    <w:rsid w:val="00BB2EE5"/>
    <w:rsid w:val="00BB2F5D"/>
    <w:rsid w:val="00BB307D"/>
    <w:rsid w:val="00BB3173"/>
    <w:rsid w:val="00BB31E0"/>
    <w:rsid w:val="00BB37AB"/>
    <w:rsid w:val="00BB38AA"/>
    <w:rsid w:val="00BB3CDA"/>
    <w:rsid w:val="00BB510A"/>
    <w:rsid w:val="00BB5243"/>
    <w:rsid w:val="00BB5D24"/>
    <w:rsid w:val="00BB6424"/>
    <w:rsid w:val="00BB64B7"/>
    <w:rsid w:val="00BB65D9"/>
    <w:rsid w:val="00BB6D92"/>
    <w:rsid w:val="00BB6ED6"/>
    <w:rsid w:val="00BB70B9"/>
    <w:rsid w:val="00BB7C8F"/>
    <w:rsid w:val="00BB7D87"/>
    <w:rsid w:val="00BC06B9"/>
    <w:rsid w:val="00BC0717"/>
    <w:rsid w:val="00BC0AD0"/>
    <w:rsid w:val="00BC0E35"/>
    <w:rsid w:val="00BC1BB0"/>
    <w:rsid w:val="00BC2409"/>
    <w:rsid w:val="00BC24C9"/>
    <w:rsid w:val="00BC380B"/>
    <w:rsid w:val="00BC39F4"/>
    <w:rsid w:val="00BC3D45"/>
    <w:rsid w:val="00BC3E66"/>
    <w:rsid w:val="00BC3E92"/>
    <w:rsid w:val="00BC4021"/>
    <w:rsid w:val="00BC4066"/>
    <w:rsid w:val="00BC450E"/>
    <w:rsid w:val="00BC4D85"/>
    <w:rsid w:val="00BC4EBA"/>
    <w:rsid w:val="00BC531B"/>
    <w:rsid w:val="00BC548B"/>
    <w:rsid w:val="00BC574F"/>
    <w:rsid w:val="00BC5ED5"/>
    <w:rsid w:val="00BC604C"/>
    <w:rsid w:val="00BC6C96"/>
    <w:rsid w:val="00BC71C9"/>
    <w:rsid w:val="00BC7A4E"/>
    <w:rsid w:val="00BD0083"/>
    <w:rsid w:val="00BD0769"/>
    <w:rsid w:val="00BD0887"/>
    <w:rsid w:val="00BD0AB1"/>
    <w:rsid w:val="00BD10EC"/>
    <w:rsid w:val="00BD214B"/>
    <w:rsid w:val="00BD21AB"/>
    <w:rsid w:val="00BD21D9"/>
    <w:rsid w:val="00BD27E8"/>
    <w:rsid w:val="00BD3048"/>
    <w:rsid w:val="00BD378A"/>
    <w:rsid w:val="00BD3EF8"/>
    <w:rsid w:val="00BD43D6"/>
    <w:rsid w:val="00BD4538"/>
    <w:rsid w:val="00BD4965"/>
    <w:rsid w:val="00BD4B75"/>
    <w:rsid w:val="00BD5521"/>
    <w:rsid w:val="00BD5A84"/>
    <w:rsid w:val="00BD68FF"/>
    <w:rsid w:val="00BD7056"/>
    <w:rsid w:val="00BD71D7"/>
    <w:rsid w:val="00BD7214"/>
    <w:rsid w:val="00BD7DCB"/>
    <w:rsid w:val="00BE0354"/>
    <w:rsid w:val="00BE052B"/>
    <w:rsid w:val="00BE0A0D"/>
    <w:rsid w:val="00BE112F"/>
    <w:rsid w:val="00BE186B"/>
    <w:rsid w:val="00BE1890"/>
    <w:rsid w:val="00BE1AD8"/>
    <w:rsid w:val="00BE1AFA"/>
    <w:rsid w:val="00BE2137"/>
    <w:rsid w:val="00BE27ED"/>
    <w:rsid w:val="00BE2B79"/>
    <w:rsid w:val="00BE2DEA"/>
    <w:rsid w:val="00BE2F1B"/>
    <w:rsid w:val="00BE37DD"/>
    <w:rsid w:val="00BE3FDB"/>
    <w:rsid w:val="00BE47E1"/>
    <w:rsid w:val="00BE4FAB"/>
    <w:rsid w:val="00BE55B0"/>
    <w:rsid w:val="00BE5604"/>
    <w:rsid w:val="00BE5633"/>
    <w:rsid w:val="00BE65CE"/>
    <w:rsid w:val="00BE690B"/>
    <w:rsid w:val="00BE7087"/>
    <w:rsid w:val="00BE7226"/>
    <w:rsid w:val="00BE739E"/>
    <w:rsid w:val="00BE743B"/>
    <w:rsid w:val="00BE76E4"/>
    <w:rsid w:val="00BE7D09"/>
    <w:rsid w:val="00BE7D4F"/>
    <w:rsid w:val="00BF035D"/>
    <w:rsid w:val="00BF0E47"/>
    <w:rsid w:val="00BF146E"/>
    <w:rsid w:val="00BF1962"/>
    <w:rsid w:val="00BF1B58"/>
    <w:rsid w:val="00BF2143"/>
    <w:rsid w:val="00BF2496"/>
    <w:rsid w:val="00BF2BAE"/>
    <w:rsid w:val="00BF3311"/>
    <w:rsid w:val="00BF33C1"/>
    <w:rsid w:val="00BF3739"/>
    <w:rsid w:val="00BF42AF"/>
    <w:rsid w:val="00BF44B0"/>
    <w:rsid w:val="00BF45A5"/>
    <w:rsid w:val="00BF4C1E"/>
    <w:rsid w:val="00BF4DDC"/>
    <w:rsid w:val="00BF4ED6"/>
    <w:rsid w:val="00BF4F01"/>
    <w:rsid w:val="00BF527A"/>
    <w:rsid w:val="00BF5578"/>
    <w:rsid w:val="00BF568A"/>
    <w:rsid w:val="00BF5B5A"/>
    <w:rsid w:val="00BF6988"/>
    <w:rsid w:val="00BF6A3C"/>
    <w:rsid w:val="00BF6FCD"/>
    <w:rsid w:val="00BF70BC"/>
    <w:rsid w:val="00BF7587"/>
    <w:rsid w:val="00BF76E0"/>
    <w:rsid w:val="00BF7800"/>
    <w:rsid w:val="00BF78AE"/>
    <w:rsid w:val="00BF7D15"/>
    <w:rsid w:val="00C00002"/>
    <w:rsid w:val="00C0005A"/>
    <w:rsid w:val="00C002CE"/>
    <w:rsid w:val="00C0049C"/>
    <w:rsid w:val="00C00972"/>
    <w:rsid w:val="00C00CC1"/>
    <w:rsid w:val="00C01DFC"/>
    <w:rsid w:val="00C01F56"/>
    <w:rsid w:val="00C023E3"/>
    <w:rsid w:val="00C02EA8"/>
    <w:rsid w:val="00C02F48"/>
    <w:rsid w:val="00C02FBA"/>
    <w:rsid w:val="00C034FA"/>
    <w:rsid w:val="00C037CC"/>
    <w:rsid w:val="00C03877"/>
    <w:rsid w:val="00C038A1"/>
    <w:rsid w:val="00C03A74"/>
    <w:rsid w:val="00C03B25"/>
    <w:rsid w:val="00C03DFD"/>
    <w:rsid w:val="00C04493"/>
    <w:rsid w:val="00C048AD"/>
    <w:rsid w:val="00C04BEC"/>
    <w:rsid w:val="00C04D3F"/>
    <w:rsid w:val="00C04E3E"/>
    <w:rsid w:val="00C0501C"/>
    <w:rsid w:val="00C050BB"/>
    <w:rsid w:val="00C055FB"/>
    <w:rsid w:val="00C057CC"/>
    <w:rsid w:val="00C0584B"/>
    <w:rsid w:val="00C059EE"/>
    <w:rsid w:val="00C05A3B"/>
    <w:rsid w:val="00C05CF4"/>
    <w:rsid w:val="00C06015"/>
    <w:rsid w:val="00C06025"/>
    <w:rsid w:val="00C0608C"/>
    <w:rsid w:val="00C06333"/>
    <w:rsid w:val="00C0657A"/>
    <w:rsid w:val="00C0668E"/>
    <w:rsid w:val="00C0687D"/>
    <w:rsid w:val="00C06A1A"/>
    <w:rsid w:val="00C06D1C"/>
    <w:rsid w:val="00C06FDD"/>
    <w:rsid w:val="00C07156"/>
    <w:rsid w:val="00C07B0B"/>
    <w:rsid w:val="00C07DF9"/>
    <w:rsid w:val="00C103CB"/>
    <w:rsid w:val="00C10621"/>
    <w:rsid w:val="00C1091A"/>
    <w:rsid w:val="00C10C3D"/>
    <w:rsid w:val="00C11047"/>
    <w:rsid w:val="00C11815"/>
    <w:rsid w:val="00C11A34"/>
    <w:rsid w:val="00C11F12"/>
    <w:rsid w:val="00C1213F"/>
    <w:rsid w:val="00C125EC"/>
    <w:rsid w:val="00C12872"/>
    <w:rsid w:val="00C12951"/>
    <w:rsid w:val="00C136F1"/>
    <w:rsid w:val="00C13F79"/>
    <w:rsid w:val="00C14129"/>
    <w:rsid w:val="00C146F2"/>
    <w:rsid w:val="00C1480D"/>
    <w:rsid w:val="00C14DFB"/>
    <w:rsid w:val="00C14FBF"/>
    <w:rsid w:val="00C152D0"/>
    <w:rsid w:val="00C15838"/>
    <w:rsid w:val="00C15C5A"/>
    <w:rsid w:val="00C15D2F"/>
    <w:rsid w:val="00C15F6A"/>
    <w:rsid w:val="00C15FEA"/>
    <w:rsid w:val="00C1640F"/>
    <w:rsid w:val="00C16CC2"/>
    <w:rsid w:val="00C16D04"/>
    <w:rsid w:val="00C16E75"/>
    <w:rsid w:val="00C17172"/>
    <w:rsid w:val="00C17185"/>
    <w:rsid w:val="00C177A7"/>
    <w:rsid w:val="00C17A95"/>
    <w:rsid w:val="00C17D64"/>
    <w:rsid w:val="00C2002B"/>
    <w:rsid w:val="00C20242"/>
    <w:rsid w:val="00C204F0"/>
    <w:rsid w:val="00C2078F"/>
    <w:rsid w:val="00C207CF"/>
    <w:rsid w:val="00C2097E"/>
    <w:rsid w:val="00C212AE"/>
    <w:rsid w:val="00C214F1"/>
    <w:rsid w:val="00C21B13"/>
    <w:rsid w:val="00C21E89"/>
    <w:rsid w:val="00C221B5"/>
    <w:rsid w:val="00C221EE"/>
    <w:rsid w:val="00C221FA"/>
    <w:rsid w:val="00C22677"/>
    <w:rsid w:val="00C22916"/>
    <w:rsid w:val="00C22DA9"/>
    <w:rsid w:val="00C2343D"/>
    <w:rsid w:val="00C236C0"/>
    <w:rsid w:val="00C23822"/>
    <w:rsid w:val="00C23D34"/>
    <w:rsid w:val="00C23E0D"/>
    <w:rsid w:val="00C245CF"/>
    <w:rsid w:val="00C24B00"/>
    <w:rsid w:val="00C24C61"/>
    <w:rsid w:val="00C24CD0"/>
    <w:rsid w:val="00C2538E"/>
    <w:rsid w:val="00C2552C"/>
    <w:rsid w:val="00C2555B"/>
    <w:rsid w:val="00C256E6"/>
    <w:rsid w:val="00C25CCB"/>
    <w:rsid w:val="00C25FE7"/>
    <w:rsid w:val="00C2681F"/>
    <w:rsid w:val="00C2687C"/>
    <w:rsid w:val="00C2695A"/>
    <w:rsid w:val="00C269CE"/>
    <w:rsid w:val="00C26A06"/>
    <w:rsid w:val="00C26CFB"/>
    <w:rsid w:val="00C26FBD"/>
    <w:rsid w:val="00C2736D"/>
    <w:rsid w:val="00C27772"/>
    <w:rsid w:val="00C30745"/>
    <w:rsid w:val="00C30D86"/>
    <w:rsid w:val="00C30E76"/>
    <w:rsid w:val="00C30FA6"/>
    <w:rsid w:val="00C315F7"/>
    <w:rsid w:val="00C31987"/>
    <w:rsid w:val="00C31FC0"/>
    <w:rsid w:val="00C32220"/>
    <w:rsid w:val="00C328A1"/>
    <w:rsid w:val="00C32A65"/>
    <w:rsid w:val="00C32E05"/>
    <w:rsid w:val="00C33159"/>
    <w:rsid w:val="00C3317C"/>
    <w:rsid w:val="00C33512"/>
    <w:rsid w:val="00C33F05"/>
    <w:rsid w:val="00C34417"/>
    <w:rsid w:val="00C34489"/>
    <w:rsid w:val="00C350D7"/>
    <w:rsid w:val="00C3515F"/>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1A16"/>
    <w:rsid w:val="00C42669"/>
    <w:rsid w:val="00C426F8"/>
    <w:rsid w:val="00C4286C"/>
    <w:rsid w:val="00C429D9"/>
    <w:rsid w:val="00C42D69"/>
    <w:rsid w:val="00C4304F"/>
    <w:rsid w:val="00C4368F"/>
    <w:rsid w:val="00C4375F"/>
    <w:rsid w:val="00C43969"/>
    <w:rsid w:val="00C439A8"/>
    <w:rsid w:val="00C43FA6"/>
    <w:rsid w:val="00C443B7"/>
    <w:rsid w:val="00C4458C"/>
    <w:rsid w:val="00C44C83"/>
    <w:rsid w:val="00C44D8F"/>
    <w:rsid w:val="00C4556A"/>
    <w:rsid w:val="00C46320"/>
    <w:rsid w:val="00C463D0"/>
    <w:rsid w:val="00C465B7"/>
    <w:rsid w:val="00C467E5"/>
    <w:rsid w:val="00C4775A"/>
    <w:rsid w:val="00C4781E"/>
    <w:rsid w:val="00C47BF9"/>
    <w:rsid w:val="00C47C4F"/>
    <w:rsid w:val="00C50752"/>
    <w:rsid w:val="00C50958"/>
    <w:rsid w:val="00C51068"/>
    <w:rsid w:val="00C511B3"/>
    <w:rsid w:val="00C5146B"/>
    <w:rsid w:val="00C51637"/>
    <w:rsid w:val="00C51861"/>
    <w:rsid w:val="00C518AC"/>
    <w:rsid w:val="00C51939"/>
    <w:rsid w:val="00C51A88"/>
    <w:rsid w:val="00C51C0D"/>
    <w:rsid w:val="00C51EFE"/>
    <w:rsid w:val="00C5259E"/>
    <w:rsid w:val="00C525D8"/>
    <w:rsid w:val="00C52D23"/>
    <w:rsid w:val="00C52DD6"/>
    <w:rsid w:val="00C53302"/>
    <w:rsid w:val="00C53628"/>
    <w:rsid w:val="00C53847"/>
    <w:rsid w:val="00C53FBA"/>
    <w:rsid w:val="00C53FD0"/>
    <w:rsid w:val="00C5515B"/>
    <w:rsid w:val="00C5551E"/>
    <w:rsid w:val="00C55559"/>
    <w:rsid w:val="00C558C1"/>
    <w:rsid w:val="00C55AA6"/>
    <w:rsid w:val="00C55C8F"/>
    <w:rsid w:val="00C55DC3"/>
    <w:rsid w:val="00C57011"/>
    <w:rsid w:val="00C57943"/>
    <w:rsid w:val="00C57A20"/>
    <w:rsid w:val="00C57BE4"/>
    <w:rsid w:val="00C57D2B"/>
    <w:rsid w:val="00C60BD4"/>
    <w:rsid w:val="00C60D9B"/>
    <w:rsid w:val="00C61014"/>
    <w:rsid w:val="00C6150B"/>
    <w:rsid w:val="00C6170C"/>
    <w:rsid w:val="00C6179B"/>
    <w:rsid w:val="00C61B25"/>
    <w:rsid w:val="00C61DDE"/>
    <w:rsid w:val="00C61E66"/>
    <w:rsid w:val="00C61E71"/>
    <w:rsid w:val="00C62269"/>
    <w:rsid w:val="00C624F7"/>
    <w:rsid w:val="00C62909"/>
    <w:rsid w:val="00C6296C"/>
    <w:rsid w:val="00C6338D"/>
    <w:rsid w:val="00C635BB"/>
    <w:rsid w:val="00C6368F"/>
    <w:rsid w:val="00C63882"/>
    <w:rsid w:val="00C649EE"/>
    <w:rsid w:val="00C64D86"/>
    <w:rsid w:val="00C65700"/>
    <w:rsid w:val="00C65A9B"/>
    <w:rsid w:val="00C663C1"/>
    <w:rsid w:val="00C66754"/>
    <w:rsid w:val="00C667DE"/>
    <w:rsid w:val="00C66859"/>
    <w:rsid w:val="00C66B4C"/>
    <w:rsid w:val="00C66BA6"/>
    <w:rsid w:val="00C66C76"/>
    <w:rsid w:val="00C66DD3"/>
    <w:rsid w:val="00C6734F"/>
    <w:rsid w:val="00C67390"/>
    <w:rsid w:val="00C67D9E"/>
    <w:rsid w:val="00C67DD6"/>
    <w:rsid w:val="00C67EC3"/>
    <w:rsid w:val="00C70460"/>
    <w:rsid w:val="00C7053D"/>
    <w:rsid w:val="00C71146"/>
    <w:rsid w:val="00C71C6B"/>
    <w:rsid w:val="00C72801"/>
    <w:rsid w:val="00C72D44"/>
    <w:rsid w:val="00C72D45"/>
    <w:rsid w:val="00C72DA4"/>
    <w:rsid w:val="00C730F9"/>
    <w:rsid w:val="00C732E5"/>
    <w:rsid w:val="00C73456"/>
    <w:rsid w:val="00C73809"/>
    <w:rsid w:val="00C738ED"/>
    <w:rsid w:val="00C73D99"/>
    <w:rsid w:val="00C744D8"/>
    <w:rsid w:val="00C74761"/>
    <w:rsid w:val="00C747C1"/>
    <w:rsid w:val="00C749AE"/>
    <w:rsid w:val="00C7506D"/>
    <w:rsid w:val="00C75AE6"/>
    <w:rsid w:val="00C75BA8"/>
    <w:rsid w:val="00C75BF7"/>
    <w:rsid w:val="00C7601E"/>
    <w:rsid w:val="00C763B5"/>
    <w:rsid w:val="00C7641B"/>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1AD"/>
    <w:rsid w:val="00C844EA"/>
    <w:rsid w:val="00C85061"/>
    <w:rsid w:val="00C854C3"/>
    <w:rsid w:val="00C8568D"/>
    <w:rsid w:val="00C859F1"/>
    <w:rsid w:val="00C85C3A"/>
    <w:rsid w:val="00C861C3"/>
    <w:rsid w:val="00C866EA"/>
    <w:rsid w:val="00C86C5F"/>
    <w:rsid w:val="00C879B3"/>
    <w:rsid w:val="00C87D9A"/>
    <w:rsid w:val="00C902E0"/>
    <w:rsid w:val="00C909E8"/>
    <w:rsid w:val="00C90A12"/>
    <w:rsid w:val="00C914C8"/>
    <w:rsid w:val="00C9150F"/>
    <w:rsid w:val="00C9216D"/>
    <w:rsid w:val="00C926DF"/>
    <w:rsid w:val="00C92ED2"/>
    <w:rsid w:val="00C92F0E"/>
    <w:rsid w:val="00C9311A"/>
    <w:rsid w:val="00C935AB"/>
    <w:rsid w:val="00C93779"/>
    <w:rsid w:val="00C93A70"/>
    <w:rsid w:val="00C93AE4"/>
    <w:rsid w:val="00C941EE"/>
    <w:rsid w:val="00C94892"/>
    <w:rsid w:val="00C94A7C"/>
    <w:rsid w:val="00C952D1"/>
    <w:rsid w:val="00C95595"/>
    <w:rsid w:val="00C95A36"/>
    <w:rsid w:val="00C95AC1"/>
    <w:rsid w:val="00C95B2A"/>
    <w:rsid w:val="00C97036"/>
    <w:rsid w:val="00C971A3"/>
    <w:rsid w:val="00C973BA"/>
    <w:rsid w:val="00C97B38"/>
    <w:rsid w:val="00C97ED5"/>
    <w:rsid w:val="00CA0056"/>
    <w:rsid w:val="00CA03AE"/>
    <w:rsid w:val="00CA04CC"/>
    <w:rsid w:val="00CA0599"/>
    <w:rsid w:val="00CA0A47"/>
    <w:rsid w:val="00CA1333"/>
    <w:rsid w:val="00CA1659"/>
    <w:rsid w:val="00CA1DCB"/>
    <w:rsid w:val="00CA1E45"/>
    <w:rsid w:val="00CA1E51"/>
    <w:rsid w:val="00CA25E2"/>
    <w:rsid w:val="00CA28DD"/>
    <w:rsid w:val="00CA33DC"/>
    <w:rsid w:val="00CA49B2"/>
    <w:rsid w:val="00CA528B"/>
    <w:rsid w:val="00CA5E2B"/>
    <w:rsid w:val="00CA6460"/>
    <w:rsid w:val="00CA65BF"/>
    <w:rsid w:val="00CA69BF"/>
    <w:rsid w:val="00CA6AA2"/>
    <w:rsid w:val="00CA6E93"/>
    <w:rsid w:val="00CA6FC3"/>
    <w:rsid w:val="00CA7577"/>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4EF9"/>
    <w:rsid w:val="00CB54DB"/>
    <w:rsid w:val="00CB582D"/>
    <w:rsid w:val="00CB5D6E"/>
    <w:rsid w:val="00CB5D8C"/>
    <w:rsid w:val="00CB6027"/>
    <w:rsid w:val="00CB6A63"/>
    <w:rsid w:val="00CB6BAA"/>
    <w:rsid w:val="00CB6E42"/>
    <w:rsid w:val="00CB6E49"/>
    <w:rsid w:val="00CC025C"/>
    <w:rsid w:val="00CC0847"/>
    <w:rsid w:val="00CC0A26"/>
    <w:rsid w:val="00CC135F"/>
    <w:rsid w:val="00CC1635"/>
    <w:rsid w:val="00CC1E0F"/>
    <w:rsid w:val="00CC20A4"/>
    <w:rsid w:val="00CC24FA"/>
    <w:rsid w:val="00CC26E8"/>
    <w:rsid w:val="00CC33E1"/>
    <w:rsid w:val="00CC3D03"/>
    <w:rsid w:val="00CC41FD"/>
    <w:rsid w:val="00CC51CA"/>
    <w:rsid w:val="00CC565C"/>
    <w:rsid w:val="00CC5770"/>
    <w:rsid w:val="00CC6374"/>
    <w:rsid w:val="00CC6697"/>
    <w:rsid w:val="00CC6C60"/>
    <w:rsid w:val="00CC754C"/>
    <w:rsid w:val="00CC7BD1"/>
    <w:rsid w:val="00CC7C53"/>
    <w:rsid w:val="00CD04A8"/>
    <w:rsid w:val="00CD057B"/>
    <w:rsid w:val="00CD05EF"/>
    <w:rsid w:val="00CD07EA"/>
    <w:rsid w:val="00CD0AAD"/>
    <w:rsid w:val="00CD0AB8"/>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6330"/>
    <w:rsid w:val="00CD6760"/>
    <w:rsid w:val="00CD7947"/>
    <w:rsid w:val="00CD7A03"/>
    <w:rsid w:val="00CE0A44"/>
    <w:rsid w:val="00CE1D33"/>
    <w:rsid w:val="00CE22EF"/>
    <w:rsid w:val="00CE2418"/>
    <w:rsid w:val="00CE24A4"/>
    <w:rsid w:val="00CE31D2"/>
    <w:rsid w:val="00CE33DC"/>
    <w:rsid w:val="00CE3933"/>
    <w:rsid w:val="00CE39DE"/>
    <w:rsid w:val="00CE42D1"/>
    <w:rsid w:val="00CE4428"/>
    <w:rsid w:val="00CE4833"/>
    <w:rsid w:val="00CE4BE9"/>
    <w:rsid w:val="00CE5044"/>
    <w:rsid w:val="00CE51C0"/>
    <w:rsid w:val="00CE58A6"/>
    <w:rsid w:val="00CE592D"/>
    <w:rsid w:val="00CE5C93"/>
    <w:rsid w:val="00CE6621"/>
    <w:rsid w:val="00CE67B6"/>
    <w:rsid w:val="00CE6BB1"/>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5FC"/>
    <w:rsid w:val="00CF58E5"/>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91A"/>
    <w:rsid w:val="00D06A47"/>
    <w:rsid w:val="00D06B6C"/>
    <w:rsid w:val="00D0703D"/>
    <w:rsid w:val="00D07794"/>
    <w:rsid w:val="00D07B04"/>
    <w:rsid w:val="00D07EF6"/>
    <w:rsid w:val="00D102D1"/>
    <w:rsid w:val="00D10312"/>
    <w:rsid w:val="00D107D3"/>
    <w:rsid w:val="00D10AFB"/>
    <w:rsid w:val="00D10B6F"/>
    <w:rsid w:val="00D11096"/>
    <w:rsid w:val="00D12203"/>
    <w:rsid w:val="00D1276D"/>
    <w:rsid w:val="00D12C19"/>
    <w:rsid w:val="00D12F06"/>
    <w:rsid w:val="00D130E3"/>
    <w:rsid w:val="00D13588"/>
    <w:rsid w:val="00D13C85"/>
    <w:rsid w:val="00D13F3D"/>
    <w:rsid w:val="00D14FEE"/>
    <w:rsid w:val="00D15C55"/>
    <w:rsid w:val="00D162F3"/>
    <w:rsid w:val="00D164B2"/>
    <w:rsid w:val="00D168F4"/>
    <w:rsid w:val="00D16D35"/>
    <w:rsid w:val="00D170E0"/>
    <w:rsid w:val="00D172BA"/>
    <w:rsid w:val="00D179CB"/>
    <w:rsid w:val="00D17B7D"/>
    <w:rsid w:val="00D17DFF"/>
    <w:rsid w:val="00D2027D"/>
    <w:rsid w:val="00D2098E"/>
    <w:rsid w:val="00D20AA3"/>
    <w:rsid w:val="00D20C8A"/>
    <w:rsid w:val="00D2129C"/>
    <w:rsid w:val="00D21346"/>
    <w:rsid w:val="00D216BE"/>
    <w:rsid w:val="00D21D48"/>
    <w:rsid w:val="00D21E02"/>
    <w:rsid w:val="00D21F05"/>
    <w:rsid w:val="00D226BB"/>
    <w:rsid w:val="00D227ED"/>
    <w:rsid w:val="00D22A26"/>
    <w:rsid w:val="00D22EFE"/>
    <w:rsid w:val="00D24427"/>
    <w:rsid w:val="00D24C72"/>
    <w:rsid w:val="00D24DC9"/>
    <w:rsid w:val="00D24F6D"/>
    <w:rsid w:val="00D2530C"/>
    <w:rsid w:val="00D26235"/>
    <w:rsid w:val="00D26C68"/>
    <w:rsid w:val="00D26D82"/>
    <w:rsid w:val="00D27058"/>
    <w:rsid w:val="00D274BD"/>
    <w:rsid w:val="00D27C49"/>
    <w:rsid w:val="00D27C95"/>
    <w:rsid w:val="00D27EB9"/>
    <w:rsid w:val="00D3092A"/>
    <w:rsid w:val="00D316DF"/>
    <w:rsid w:val="00D31B32"/>
    <w:rsid w:val="00D31DE3"/>
    <w:rsid w:val="00D32286"/>
    <w:rsid w:val="00D325CF"/>
    <w:rsid w:val="00D32770"/>
    <w:rsid w:val="00D328F1"/>
    <w:rsid w:val="00D32B4A"/>
    <w:rsid w:val="00D33234"/>
    <w:rsid w:val="00D33285"/>
    <w:rsid w:val="00D33ECF"/>
    <w:rsid w:val="00D33FA4"/>
    <w:rsid w:val="00D33FD9"/>
    <w:rsid w:val="00D34413"/>
    <w:rsid w:val="00D344BD"/>
    <w:rsid w:val="00D34552"/>
    <w:rsid w:val="00D34946"/>
    <w:rsid w:val="00D34969"/>
    <w:rsid w:val="00D34E1B"/>
    <w:rsid w:val="00D34E57"/>
    <w:rsid w:val="00D34F7D"/>
    <w:rsid w:val="00D35752"/>
    <w:rsid w:val="00D35994"/>
    <w:rsid w:val="00D35A9B"/>
    <w:rsid w:val="00D35AA3"/>
    <w:rsid w:val="00D35E93"/>
    <w:rsid w:val="00D35F42"/>
    <w:rsid w:val="00D35FCF"/>
    <w:rsid w:val="00D35FD9"/>
    <w:rsid w:val="00D35FED"/>
    <w:rsid w:val="00D3631C"/>
    <w:rsid w:val="00D36390"/>
    <w:rsid w:val="00D36711"/>
    <w:rsid w:val="00D36ABE"/>
    <w:rsid w:val="00D36B30"/>
    <w:rsid w:val="00D36C2F"/>
    <w:rsid w:val="00D36D1A"/>
    <w:rsid w:val="00D3707F"/>
    <w:rsid w:val="00D373E6"/>
    <w:rsid w:val="00D37612"/>
    <w:rsid w:val="00D4001F"/>
    <w:rsid w:val="00D40039"/>
    <w:rsid w:val="00D401BC"/>
    <w:rsid w:val="00D40355"/>
    <w:rsid w:val="00D40508"/>
    <w:rsid w:val="00D40634"/>
    <w:rsid w:val="00D40666"/>
    <w:rsid w:val="00D4073A"/>
    <w:rsid w:val="00D408B4"/>
    <w:rsid w:val="00D40F05"/>
    <w:rsid w:val="00D4109B"/>
    <w:rsid w:val="00D410CB"/>
    <w:rsid w:val="00D41D7C"/>
    <w:rsid w:val="00D420A9"/>
    <w:rsid w:val="00D42B3B"/>
    <w:rsid w:val="00D42BA2"/>
    <w:rsid w:val="00D42CF4"/>
    <w:rsid w:val="00D42EE0"/>
    <w:rsid w:val="00D43C54"/>
    <w:rsid w:val="00D43F20"/>
    <w:rsid w:val="00D43F30"/>
    <w:rsid w:val="00D446FF"/>
    <w:rsid w:val="00D449D0"/>
    <w:rsid w:val="00D45037"/>
    <w:rsid w:val="00D4503C"/>
    <w:rsid w:val="00D45212"/>
    <w:rsid w:val="00D454F9"/>
    <w:rsid w:val="00D45870"/>
    <w:rsid w:val="00D45929"/>
    <w:rsid w:val="00D45CC4"/>
    <w:rsid w:val="00D46031"/>
    <w:rsid w:val="00D46BD4"/>
    <w:rsid w:val="00D46DB3"/>
    <w:rsid w:val="00D46E0C"/>
    <w:rsid w:val="00D46E2B"/>
    <w:rsid w:val="00D470DD"/>
    <w:rsid w:val="00D47944"/>
    <w:rsid w:val="00D47D02"/>
    <w:rsid w:val="00D50580"/>
    <w:rsid w:val="00D50827"/>
    <w:rsid w:val="00D509D9"/>
    <w:rsid w:val="00D5127E"/>
    <w:rsid w:val="00D5186D"/>
    <w:rsid w:val="00D522A0"/>
    <w:rsid w:val="00D5243F"/>
    <w:rsid w:val="00D525B8"/>
    <w:rsid w:val="00D52E9A"/>
    <w:rsid w:val="00D5340C"/>
    <w:rsid w:val="00D53AB2"/>
    <w:rsid w:val="00D53D7E"/>
    <w:rsid w:val="00D54091"/>
    <w:rsid w:val="00D54465"/>
    <w:rsid w:val="00D54841"/>
    <w:rsid w:val="00D54C0B"/>
    <w:rsid w:val="00D54F43"/>
    <w:rsid w:val="00D54FAA"/>
    <w:rsid w:val="00D5523A"/>
    <w:rsid w:val="00D55281"/>
    <w:rsid w:val="00D555DB"/>
    <w:rsid w:val="00D55FF9"/>
    <w:rsid w:val="00D560F1"/>
    <w:rsid w:val="00D569EF"/>
    <w:rsid w:val="00D56A6A"/>
    <w:rsid w:val="00D56DFB"/>
    <w:rsid w:val="00D56EE5"/>
    <w:rsid w:val="00D5749B"/>
    <w:rsid w:val="00D574AF"/>
    <w:rsid w:val="00D6008F"/>
    <w:rsid w:val="00D604E1"/>
    <w:rsid w:val="00D60BCE"/>
    <w:rsid w:val="00D612C6"/>
    <w:rsid w:val="00D614A0"/>
    <w:rsid w:val="00D61701"/>
    <w:rsid w:val="00D61B08"/>
    <w:rsid w:val="00D62B27"/>
    <w:rsid w:val="00D62B70"/>
    <w:rsid w:val="00D62B9A"/>
    <w:rsid w:val="00D62CE1"/>
    <w:rsid w:val="00D62F29"/>
    <w:rsid w:val="00D63412"/>
    <w:rsid w:val="00D6389C"/>
    <w:rsid w:val="00D63B33"/>
    <w:rsid w:val="00D63CDD"/>
    <w:rsid w:val="00D64167"/>
    <w:rsid w:val="00D6439C"/>
    <w:rsid w:val="00D64AAF"/>
    <w:rsid w:val="00D661FD"/>
    <w:rsid w:val="00D66447"/>
    <w:rsid w:val="00D665D3"/>
    <w:rsid w:val="00D66A3F"/>
    <w:rsid w:val="00D66CBB"/>
    <w:rsid w:val="00D67000"/>
    <w:rsid w:val="00D67550"/>
    <w:rsid w:val="00D70BFE"/>
    <w:rsid w:val="00D7139E"/>
    <w:rsid w:val="00D71CCA"/>
    <w:rsid w:val="00D7232B"/>
    <w:rsid w:val="00D724D3"/>
    <w:rsid w:val="00D731E5"/>
    <w:rsid w:val="00D73B5B"/>
    <w:rsid w:val="00D73E68"/>
    <w:rsid w:val="00D743C6"/>
    <w:rsid w:val="00D74EA5"/>
    <w:rsid w:val="00D74F17"/>
    <w:rsid w:val="00D75333"/>
    <w:rsid w:val="00D755C2"/>
    <w:rsid w:val="00D757AC"/>
    <w:rsid w:val="00D759D5"/>
    <w:rsid w:val="00D760B9"/>
    <w:rsid w:val="00D764D4"/>
    <w:rsid w:val="00D76532"/>
    <w:rsid w:val="00D765D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343F"/>
    <w:rsid w:val="00D844B7"/>
    <w:rsid w:val="00D844FA"/>
    <w:rsid w:val="00D845E7"/>
    <w:rsid w:val="00D849B9"/>
    <w:rsid w:val="00D84A1B"/>
    <w:rsid w:val="00D84B95"/>
    <w:rsid w:val="00D84CF4"/>
    <w:rsid w:val="00D8566E"/>
    <w:rsid w:val="00D860B8"/>
    <w:rsid w:val="00D864F0"/>
    <w:rsid w:val="00D867AB"/>
    <w:rsid w:val="00D86B96"/>
    <w:rsid w:val="00D86F5F"/>
    <w:rsid w:val="00D8731E"/>
    <w:rsid w:val="00D878B3"/>
    <w:rsid w:val="00D87E53"/>
    <w:rsid w:val="00D90081"/>
    <w:rsid w:val="00D900E5"/>
    <w:rsid w:val="00D90363"/>
    <w:rsid w:val="00D909B2"/>
    <w:rsid w:val="00D90C29"/>
    <w:rsid w:val="00D90DB1"/>
    <w:rsid w:val="00D90F30"/>
    <w:rsid w:val="00D914E7"/>
    <w:rsid w:val="00D916FF"/>
    <w:rsid w:val="00D91A9E"/>
    <w:rsid w:val="00D92340"/>
    <w:rsid w:val="00D9257D"/>
    <w:rsid w:val="00D925AD"/>
    <w:rsid w:val="00D92B44"/>
    <w:rsid w:val="00D9306E"/>
    <w:rsid w:val="00D93626"/>
    <w:rsid w:val="00D93A24"/>
    <w:rsid w:val="00D94574"/>
    <w:rsid w:val="00D946DB"/>
    <w:rsid w:val="00D94805"/>
    <w:rsid w:val="00D94C4D"/>
    <w:rsid w:val="00D95160"/>
    <w:rsid w:val="00D95240"/>
    <w:rsid w:val="00D956BC"/>
    <w:rsid w:val="00D96282"/>
    <w:rsid w:val="00D96781"/>
    <w:rsid w:val="00D9760B"/>
    <w:rsid w:val="00D97874"/>
    <w:rsid w:val="00D979AE"/>
    <w:rsid w:val="00DA0B11"/>
    <w:rsid w:val="00DA1229"/>
    <w:rsid w:val="00DA1B84"/>
    <w:rsid w:val="00DA2445"/>
    <w:rsid w:val="00DA254C"/>
    <w:rsid w:val="00DA2E7A"/>
    <w:rsid w:val="00DA3127"/>
    <w:rsid w:val="00DA31A1"/>
    <w:rsid w:val="00DA3860"/>
    <w:rsid w:val="00DA393F"/>
    <w:rsid w:val="00DA3DE7"/>
    <w:rsid w:val="00DA41BE"/>
    <w:rsid w:val="00DA42B9"/>
    <w:rsid w:val="00DA52EE"/>
    <w:rsid w:val="00DA55D1"/>
    <w:rsid w:val="00DA5E70"/>
    <w:rsid w:val="00DA6252"/>
    <w:rsid w:val="00DA6F41"/>
    <w:rsid w:val="00DA72A8"/>
    <w:rsid w:val="00DA7763"/>
    <w:rsid w:val="00DB0065"/>
    <w:rsid w:val="00DB01A5"/>
    <w:rsid w:val="00DB04D7"/>
    <w:rsid w:val="00DB09D3"/>
    <w:rsid w:val="00DB158F"/>
    <w:rsid w:val="00DB1858"/>
    <w:rsid w:val="00DB1A2F"/>
    <w:rsid w:val="00DB1DF8"/>
    <w:rsid w:val="00DB1F1F"/>
    <w:rsid w:val="00DB1F80"/>
    <w:rsid w:val="00DB2405"/>
    <w:rsid w:val="00DB257E"/>
    <w:rsid w:val="00DB27DF"/>
    <w:rsid w:val="00DB2B9F"/>
    <w:rsid w:val="00DB2EEF"/>
    <w:rsid w:val="00DB34D5"/>
    <w:rsid w:val="00DB3659"/>
    <w:rsid w:val="00DB3A2F"/>
    <w:rsid w:val="00DB4EB2"/>
    <w:rsid w:val="00DB4FA3"/>
    <w:rsid w:val="00DB537F"/>
    <w:rsid w:val="00DB56E4"/>
    <w:rsid w:val="00DB5745"/>
    <w:rsid w:val="00DB5A79"/>
    <w:rsid w:val="00DB5AFA"/>
    <w:rsid w:val="00DB6067"/>
    <w:rsid w:val="00DB63DB"/>
    <w:rsid w:val="00DB68AA"/>
    <w:rsid w:val="00DB6CFD"/>
    <w:rsid w:val="00DB6D3C"/>
    <w:rsid w:val="00DB75EB"/>
    <w:rsid w:val="00DB7784"/>
    <w:rsid w:val="00DC06C1"/>
    <w:rsid w:val="00DC08EF"/>
    <w:rsid w:val="00DC095E"/>
    <w:rsid w:val="00DC0F6B"/>
    <w:rsid w:val="00DC0FD3"/>
    <w:rsid w:val="00DC112F"/>
    <w:rsid w:val="00DC1307"/>
    <w:rsid w:val="00DC190C"/>
    <w:rsid w:val="00DC1912"/>
    <w:rsid w:val="00DC1ADD"/>
    <w:rsid w:val="00DC20A5"/>
    <w:rsid w:val="00DC21CA"/>
    <w:rsid w:val="00DC27E9"/>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AF0"/>
    <w:rsid w:val="00DD0DCD"/>
    <w:rsid w:val="00DD0ED7"/>
    <w:rsid w:val="00DD1545"/>
    <w:rsid w:val="00DD1848"/>
    <w:rsid w:val="00DD1AFE"/>
    <w:rsid w:val="00DD2727"/>
    <w:rsid w:val="00DD27BB"/>
    <w:rsid w:val="00DD2BE3"/>
    <w:rsid w:val="00DD2FCF"/>
    <w:rsid w:val="00DD326E"/>
    <w:rsid w:val="00DD34E2"/>
    <w:rsid w:val="00DD388D"/>
    <w:rsid w:val="00DD3BAE"/>
    <w:rsid w:val="00DD3F2C"/>
    <w:rsid w:val="00DD45DE"/>
    <w:rsid w:val="00DD4881"/>
    <w:rsid w:val="00DD4FAC"/>
    <w:rsid w:val="00DD5099"/>
    <w:rsid w:val="00DD52E0"/>
    <w:rsid w:val="00DD53EA"/>
    <w:rsid w:val="00DD5C27"/>
    <w:rsid w:val="00DD5DAC"/>
    <w:rsid w:val="00DD5E3C"/>
    <w:rsid w:val="00DD61C2"/>
    <w:rsid w:val="00DD66A7"/>
    <w:rsid w:val="00DD66E7"/>
    <w:rsid w:val="00DD6987"/>
    <w:rsid w:val="00DD6C14"/>
    <w:rsid w:val="00DD7025"/>
    <w:rsid w:val="00DD7316"/>
    <w:rsid w:val="00DD7912"/>
    <w:rsid w:val="00DE0B77"/>
    <w:rsid w:val="00DE0D95"/>
    <w:rsid w:val="00DE101E"/>
    <w:rsid w:val="00DE142A"/>
    <w:rsid w:val="00DE182F"/>
    <w:rsid w:val="00DE183D"/>
    <w:rsid w:val="00DE2319"/>
    <w:rsid w:val="00DE2367"/>
    <w:rsid w:val="00DE24FC"/>
    <w:rsid w:val="00DE2596"/>
    <w:rsid w:val="00DE2DA9"/>
    <w:rsid w:val="00DE35EC"/>
    <w:rsid w:val="00DE4AA5"/>
    <w:rsid w:val="00DE4AAF"/>
    <w:rsid w:val="00DE5124"/>
    <w:rsid w:val="00DE57B0"/>
    <w:rsid w:val="00DE6DD3"/>
    <w:rsid w:val="00DE7A3E"/>
    <w:rsid w:val="00DE7E3E"/>
    <w:rsid w:val="00DF02FE"/>
    <w:rsid w:val="00DF0A04"/>
    <w:rsid w:val="00DF1446"/>
    <w:rsid w:val="00DF1452"/>
    <w:rsid w:val="00DF1F5F"/>
    <w:rsid w:val="00DF2235"/>
    <w:rsid w:val="00DF266E"/>
    <w:rsid w:val="00DF2701"/>
    <w:rsid w:val="00DF2F5E"/>
    <w:rsid w:val="00DF3137"/>
    <w:rsid w:val="00DF3ABE"/>
    <w:rsid w:val="00DF404D"/>
    <w:rsid w:val="00DF40AC"/>
    <w:rsid w:val="00DF41E3"/>
    <w:rsid w:val="00DF4BD3"/>
    <w:rsid w:val="00DF4DB4"/>
    <w:rsid w:val="00DF5072"/>
    <w:rsid w:val="00DF5263"/>
    <w:rsid w:val="00DF5E9F"/>
    <w:rsid w:val="00DF5FB5"/>
    <w:rsid w:val="00DF63D0"/>
    <w:rsid w:val="00DF6535"/>
    <w:rsid w:val="00DF6786"/>
    <w:rsid w:val="00DF67F6"/>
    <w:rsid w:val="00DF6878"/>
    <w:rsid w:val="00DF68B8"/>
    <w:rsid w:val="00DF6A1D"/>
    <w:rsid w:val="00DF6AC7"/>
    <w:rsid w:val="00DF6EC6"/>
    <w:rsid w:val="00DF7824"/>
    <w:rsid w:val="00DF7CA3"/>
    <w:rsid w:val="00DF7F76"/>
    <w:rsid w:val="00E00083"/>
    <w:rsid w:val="00E003AA"/>
    <w:rsid w:val="00E00761"/>
    <w:rsid w:val="00E00779"/>
    <w:rsid w:val="00E00AFE"/>
    <w:rsid w:val="00E00BDA"/>
    <w:rsid w:val="00E013A0"/>
    <w:rsid w:val="00E013AB"/>
    <w:rsid w:val="00E0140A"/>
    <w:rsid w:val="00E01466"/>
    <w:rsid w:val="00E015C8"/>
    <w:rsid w:val="00E01762"/>
    <w:rsid w:val="00E0192E"/>
    <w:rsid w:val="00E01938"/>
    <w:rsid w:val="00E01C57"/>
    <w:rsid w:val="00E01F88"/>
    <w:rsid w:val="00E0241E"/>
    <w:rsid w:val="00E028A9"/>
    <w:rsid w:val="00E02985"/>
    <w:rsid w:val="00E02EFD"/>
    <w:rsid w:val="00E035FE"/>
    <w:rsid w:val="00E039DD"/>
    <w:rsid w:val="00E03BCB"/>
    <w:rsid w:val="00E03F86"/>
    <w:rsid w:val="00E0471A"/>
    <w:rsid w:val="00E04A18"/>
    <w:rsid w:val="00E04BF8"/>
    <w:rsid w:val="00E04E81"/>
    <w:rsid w:val="00E04F2B"/>
    <w:rsid w:val="00E050C3"/>
    <w:rsid w:val="00E05300"/>
    <w:rsid w:val="00E05C66"/>
    <w:rsid w:val="00E05D7E"/>
    <w:rsid w:val="00E05E8F"/>
    <w:rsid w:val="00E05F82"/>
    <w:rsid w:val="00E05FA2"/>
    <w:rsid w:val="00E064BB"/>
    <w:rsid w:val="00E06677"/>
    <w:rsid w:val="00E066FE"/>
    <w:rsid w:val="00E06AE0"/>
    <w:rsid w:val="00E06B9E"/>
    <w:rsid w:val="00E07412"/>
    <w:rsid w:val="00E0762A"/>
    <w:rsid w:val="00E07760"/>
    <w:rsid w:val="00E0793A"/>
    <w:rsid w:val="00E07F21"/>
    <w:rsid w:val="00E10502"/>
    <w:rsid w:val="00E1059F"/>
    <w:rsid w:val="00E10A23"/>
    <w:rsid w:val="00E10D0B"/>
    <w:rsid w:val="00E11231"/>
    <w:rsid w:val="00E11420"/>
    <w:rsid w:val="00E1183B"/>
    <w:rsid w:val="00E11AC0"/>
    <w:rsid w:val="00E11D2B"/>
    <w:rsid w:val="00E12AB2"/>
    <w:rsid w:val="00E130C3"/>
    <w:rsid w:val="00E1344D"/>
    <w:rsid w:val="00E136D2"/>
    <w:rsid w:val="00E13776"/>
    <w:rsid w:val="00E144CB"/>
    <w:rsid w:val="00E14713"/>
    <w:rsid w:val="00E15AF4"/>
    <w:rsid w:val="00E15EBD"/>
    <w:rsid w:val="00E169D3"/>
    <w:rsid w:val="00E16B56"/>
    <w:rsid w:val="00E17F4D"/>
    <w:rsid w:val="00E2019A"/>
    <w:rsid w:val="00E2141D"/>
    <w:rsid w:val="00E217D3"/>
    <w:rsid w:val="00E21BD9"/>
    <w:rsid w:val="00E22162"/>
    <w:rsid w:val="00E22365"/>
    <w:rsid w:val="00E22428"/>
    <w:rsid w:val="00E22E7B"/>
    <w:rsid w:val="00E2353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AB5"/>
    <w:rsid w:val="00E26C16"/>
    <w:rsid w:val="00E2724B"/>
    <w:rsid w:val="00E30607"/>
    <w:rsid w:val="00E30851"/>
    <w:rsid w:val="00E30BF0"/>
    <w:rsid w:val="00E30C68"/>
    <w:rsid w:val="00E3163A"/>
    <w:rsid w:val="00E31BCD"/>
    <w:rsid w:val="00E31C73"/>
    <w:rsid w:val="00E31ED6"/>
    <w:rsid w:val="00E327DD"/>
    <w:rsid w:val="00E3375B"/>
    <w:rsid w:val="00E33CCB"/>
    <w:rsid w:val="00E34669"/>
    <w:rsid w:val="00E3524F"/>
    <w:rsid w:val="00E353D6"/>
    <w:rsid w:val="00E35C45"/>
    <w:rsid w:val="00E35C9D"/>
    <w:rsid w:val="00E35DF7"/>
    <w:rsid w:val="00E36B0C"/>
    <w:rsid w:val="00E36C52"/>
    <w:rsid w:val="00E36E75"/>
    <w:rsid w:val="00E3720A"/>
    <w:rsid w:val="00E3739B"/>
    <w:rsid w:val="00E376BD"/>
    <w:rsid w:val="00E37C2D"/>
    <w:rsid w:val="00E37DD8"/>
    <w:rsid w:val="00E37E68"/>
    <w:rsid w:val="00E400BA"/>
    <w:rsid w:val="00E407F2"/>
    <w:rsid w:val="00E40838"/>
    <w:rsid w:val="00E40D1A"/>
    <w:rsid w:val="00E40F6A"/>
    <w:rsid w:val="00E41709"/>
    <w:rsid w:val="00E42121"/>
    <w:rsid w:val="00E42513"/>
    <w:rsid w:val="00E426E9"/>
    <w:rsid w:val="00E42D33"/>
    <w:rsid w:val="00E42E06"/>
    <w:rsid w:val="00E42F21"/>
    <w:rsid w:val="00E43012"/>
    <w:rsid w:val="00E436F1"/>
    <w:rsid w:val="00E43DAB"/>
    <w:rsid w:val="00E43F4D"/>
    <w:rsid w:val="00E44110"/>
    <w:rsid w:val="00E44623"/>
    <w:rsid w:val="00E44CA0"/>
    <w:rsid w:val="00E44EFD"/>
    <w:rsid w:val="00E44FEB"/>
    <w:rsid w:val="00E452B0"/>
    <w:rsid w:val="00E45476"/>
    <w:rsid w:val="00E4586E"/>
    <w:rsid w:val="00E4641C"/>
    <w:rsid w:val="00E46997"/>
    <w:rsid w:val="00E46C39"/>
    <w:rsid w:val="00E5026F"/>
    <w:rsid w:val="00E50857"/>
    <w:rsid w:val="00E50E94"/>
    <w:rsid w:val="00E50F4B"/>
    <w:rsid w:val="00E511BA"/>
    <w:rsid w:val="00E513FE"/>
    <w:rsid w:val="00E514D2"/>
    <w:rsid w:val="00E51C43"/>
    <w:rsid w:val="00E5219A"/>
    <w:rsid w:val="00E522A8"/>
    <w:rsid w:val="00E525EE"/>
    <w:rsid w:val="00E527DD"/>
    <w:rsid w:val="00E52AAE"/>
    <w:rsid w:val="00E52CA5"/>
    <w:rsid w:val="00E53136"/>
    <w:rsid w:val="00E5364D"/>
    <w:rsid w:val="00E5379B"/>
    <w:rsid w:val="00E5387C"/>
    <w:rsid w:val="00E54128"/>
    <w:rsid w:val="00E541C7"/>
    <w:rsid w:val="00E54217"/>
    <w:rsid w:val="00E5433A"/>
    <w:rsid w:val="00E544FE"/>
    <w:rsid w:val="00E54680"/>
    <w:rsid w:val="00E546B1"/>
    <w:rsid w:val="00E549B3"/>
    <w:rsid w:val="00E549B4"/>
    <w:rsid w:val="00E549F0"/>
    <w:rsid w:val="00E54E00"/>
    <w:rsid w:val="00E55606"/>
    <w:rsid w:val="00E5564C"/>
    <w:rsid w:val="00E55910"/>
    <w:rsid w:val="00E55E4F"/>
    <w:rsid w:val="00E55F78"/>
    <w:rsid w:val="00E56457"/>
    <w:rsid w:val="00E567AE"/>
    <w:rsid w:val="00E56C23"/>
    <w:rsid w:val="00E56DD3"/>
    <w:rsid w:val="00E56FCC"/>
    <w:rsid w:val="00E57656"/>
    <w:rsid w:val="00E5782D"/>
    <w:rsid w:val="00E60182"/>
    <w:rsid w:val="00E604E8"/>
    <w:rsid w:val="00E60A38"/>
    <w:rsid w:val="00E60FDD"/>
    <w:rsid w:val="00E610A6"/>
    <w:rsid w:val="00E61E00"/>
    <w:rsid w:val="00E62163"/>
    <w:rsid w:val="00E625BC"/>
    <w:rsid w:val="00E6289D"/>
    <w:rsid w:val="00E628A5"/>
    <w:rsid w:val="00E63A24"/>
    <w:rsid w:val="00E63D36"/>
    <w:rsid w:val="00E640C9"/>
    <w:rsid w:val="00E642FC"/>
    <w:rsid w:val="00E64F16"/>
    <w:rsid w:val="00E65F97"/>
    <w:rsid w:val="00E65FBB"/>
    <w:rsid w:val="00E6606F"/>
    <w:rsid w:val="00E6677D"/>
    <w:rsid w:val="00E66A48"/>
    <w:rsid w:val="00E66B58"/>
    <w:rsid w:val="00E66EF4"/>
    <w:rsid w:val="00E67811"/>
    <w:rsid w:val="00E6798D"/>
    <w:rsid w:val="00E67D4D"/>
    <w:rsid w:val="00E70345"/>
    <w:rsid w:val="00E71754"/>
    <w:rsid w:val="00E7191F"/>
    <w:rsid w:val="00E71DAD"/>
    <w:rsid w:val="00E71E15"/>
    <w:rsid w:val="00E72050"/>
    <w:rsid w:val="00E7216F"/>
    <w:rsid w:val="00E7223C"/>
    <w:rsid w:val="00E72287"/>
    <w:rsid w:val="00E723C3"/>
    <w:rsid w:val="00E7352A"/>
    <w:rsid w:val="00E739FC"/>
    <w:rsid w:val="00E73E86"/>
    <w:rsid w:val="00E74A69"/>
    <w:rsid w:val="00E74F6F"/>
    <w:rsid w:val="00E751ED"/>
    <w:rsid w:val="00E75A35"/>
    <w:rsid w:val="00E761BF"/>
    <w:rsid w:val="00E76296"/>
    <w:rsid w:val="00E76585"/>
    <w:rsid w:val="00E76F4A"/>
    <w:rsid w:val="00E774F2"/>
    <w:rsid w:val="00E77562"/>
    <w:rsid w:val="00E779F4"/>
    <w:rsid w:val="00E77ACD"/>
    <w:rsid w:val="00E77F21"/>
    <w:rsid w:val="00E80A6F"/>
    <w:rsid w:val="00E81227"/>
    <w:rsid w:val="00E8185C"/>
    <w:rsid w:val="00E82328"/>
    <w:rsid w:val="00E8265A"/>
    <w:rsid w:val="00E826BE"/>
    <w:rsid w:val="00E828E2"/>
    <w:rsid w:val="00E83118"/>
    <w:rsid w:val="00E8313E"/>
    <w:rsid w:val="00E833DE"/>
    <w:rsid w:val="00E835E1"/>
    <w:rsid w:val="00E8386A"/>
    <w:rsid w:val="00E83B08"/>
    <w:rsid w:val="00E83BB7"/>
    <w:rsid w:val="00E8423B"/>
    <w:rsid w:val="00E845C0"/>
    <w:rsid w:val="00E85164"/>
    <w:rsid w:val="00E85976"/>
    <w:rsid w:val="00E85C09"/>
    <w:rsid w:val="00E85D5B"/>
    <w:rsid w:val="00E85D6F"/>
    <w:rsid w:val="00E85F69"/>
    <w:rsid w:val="00E861EB"/>
    <w:rsid w:val="00E86448"/>
    <w:rsid w:val="00E86673"/>
    <w:rsid w:val="00E86818"/>
    <w:rsid w:val="00E86B8B"/>
    <w:rsid w:val="00E87A0A"/>
    <w:rsid w:val="00E87D33"/>
    <w:rsid w:val="00E90113"/>
    <w:rsid w:val="00E90205"/>
    <w:rsid w:val="00E904C0"/>
    <w:rsid w:val="00E906AF"/>
    <w:rsid w:val="00E918E7"/>
    <w:rsid w:val="00E91B49"/>
    <w:rsid w:val="00E91EC4"/>
    <w:rsid w:val="00E9231A"/>
    <w:rsid w:val="00E9242E"/>
    <w:rsid w:val="00E92463"/>
    <w:rsid w:val="00E924C2"/>
    <w:rsid w:val="00E92D95"/>
    <w:rsid w:val="00E935F1"/>
    <w:rsid w:val="00E93902"/>
    <w:rsid w:val="00E93F02"/>
    <w:rsid w:val="00E93F0E"/>
    <w:rsid w:val="00E94A58"/>
    <w:rsid w:val="00E94CA6"/>
    <w:rsid w:val="00E94D18"/>
    <w:rsid w:val="00E95174"/>
    <w:rsid w:val="00E95195"/>
    <w:rsid w:val="00E95697"/>
    <w:rsid w:val="00E95A2A"/>
    <w:rsid w:val="00E95E91"/>
    <w:rsid w:val="00E95EA1"/>
    <w:rsid w:val="00E9649C"/>
    <w:rsid w:val="00E96B2F"/>
    <w:rsid w:val="00E97171"/>
    <w:rsid w:val="00E972FC"/>
    <w:rsid w:val="00E9736C"/>
    <w:rsid w:val="00E97397"/>
    <w:rsid w:val="00E9796A"/>
    <w:rsid w:val="00E97FAB"/>
    <w:rsid w:val="00EA0189"/>
    <w:rsid w:val="00EA044A"/>
    <w:rsid w:val="00EA05E9"/>
    <w:rsid w:val="00EA0639"/>
    <w:rsid w:val="00EA08E0"/>
    <w:rsid w:val="00EA0A0B"/>
    <w:rsid w:val="00EA0B43"/>
    <w:rsid w:val="00EA1601"/>
    <w:rsid w:val="00EA1CB4"/>
    <w:rsid w:val="00EA1DC0"/>
    <w:rsid w:val="00EA1E4C"/>
    <w:rsid w:val="00EA25B5"/>
    <w:rsid w:val="00EA263E"/>
    <w:rsid w:val="00EA2F2D"/>
    <w:rsid w:val="00EA33B5"/>
    <w:rsid w:val="00EA3E47"/>
    <w:rsid w:val="00EA3E86"/>
    <w:rsid w:val="00EA404A"/>
    <w:rsid w:val="00EA4263"/>
    <w:rsid w:val="00EA44EA"/>
    <w:rsid w:val="00EA490D"/>
    <w:rsid w:val="00EA5266"/>
    <w:rsid w:val="00EA5B8F"/>
    <w:rsid w:val="00EA6977"/>
    <w:rsid w:val="00EA6B45"/>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076"/>
    <w:rsid w:val="00EB3453"/>
    <w:rsid w:val="00EB37BB"/>
    <w:rsid w:val="00EB38B9"/>
    <w:rsid w:val="00EB436C"/>
    <w:rsid w:val="00EB4630"/>
    <w:rsid w:val="00EB51EF"/>
    <w:rsid w:val="00EB5287"/>
    <w:rsid w:val="00EB592F"/>
    <w:rsid w:val="00EB5998"/>
    <w:rsid w:val="00EB5A3F"/>
    <w:rsid w:val="00EB6043"/>
    <w:rsid w:val="00EB6076"/>
    <w:rsid w:val="00EB6423"/>
    <w:rsid w:val="00EB6685"/>
    <w:rsid w:val="00EB73D2"/>
    <w:rsid w:val="00EB765C"/>
    <w:rsid w:val="00EB773B"/>
    <w:rsid w:val="00EB77AA"/>
    <w:rsid w:val="00EB7C85"/>
    <w:rsid w:val="00EB7CDD"/>
    <w:rsid w:val="00EC0424"/>
    <w:rsid w:val="00EC08CB"/>
    <w:rsid w:val="00EC12DC"/>
    <w:rsid w:val="00EC1861"/>
    <w:rsid w:val="00EC186C"/>
    <w:rsid w:val="00EC1905"/>
    <w:rsid w:val="00EC1F9C"/>
    <w:rsid w:val="00EC217A"/>
    <w:rsid w:val="00EC2878"/>
    <w:rsid w:val="00EC2B39"/>
    <w:rsid w:val="00EC306F"/>
    <w:rsid w:val="00EC3088"/>
    <w:rsid w:val="00EC3111"/>
    <w:rsid w:val="00EC34BD"/>
    <w:rsid w:val="00EC354D"/>
    <w:rsid w:val="00EC3578"/>
    <w:rsid w:val="00EC37CE"/>
    <w:rsid w:val="00EC39DD"/>
    <w:rsid w:val="00EC3BA1"/>
    <w:rsid w:val="00EC445F"/>
    <w:rsid w:val="00EC4A82"/>
    <w:rsid w:val="00EC5523"/>
    <w:rsid w:val="00EC5862"/>
    <w:rsid w:val="00EC5BAE"/>
    <w:rsid w:val="00EC5CB8"/>
    <w:rsid w:val="00EC60D3"/>
    <w:rsid w:val="00EC61E4"/>
    <w:rsid w:val="00EC77F9"/>
    <w:rsid w:val="00EC7F15"/>
    <w:rsid w:val="00ED0217"/>
    <w:rsid w:val="00ED0A76"/>
    <w:rsid w:val="00ED0EDB"/>
    <w:rsid w:val="00ED10B6"/>
    <w:rsid w:val="00ED12ED"/>
    <w:rsid w:val="00ED1428"/>
    <w:rsid w:val="00ED2312"/>
    <w:rsid w:val="00ED2EB5"/>
    <w:rsid w:val="00ED2FFD"/>
    <w:rsid w:val="00ED3396"/>
    <w:rsid w:val="00ED34B4"/>
    <w:rsid w:val="00ED381B"/>
    <w:rsid w:val="00ED3C4A"/>
    <w:rsid w:val="00ED42AB"/>
    <w:rsid w:val="00ED43BF"/>
    <w:rsid w:val="00ED4797"/>
    <w:rsid w:val="00ED5658"/>
    <w:rsid w:val="00ED58CF"/>
    <w:rsid w:val="00ED5FE9"/>
    <w:rsid w:val="00ED60BB"/>
    <w:rsid w:val="00ED6145"/>
    <w:rsid w:val="00ED62B3"/>
    <w:rsid w:val="00ED6514"/>
    <w:rsid w:val="00ED6E77"/>
    <w:rsid w:val="00ED7316"/>
    <w:rsid w:val="00ED78BC"/>
    <w:rsid w:val="00EE0D05"/>
    <w:rsid w:val="00EE12B8"/>
    <w:rsid w:val="00EE1AE2"/>
    <w:rsid w:val="00EE21B4"/>
    <w:rsid w:val="00EE2862"/>
    <w:rsid w:val="00EE323B"/>
    <w:rsid w:val="00EE363C"/>
    <w:rsid w:val="00EE414A"/>
    <w:rsid w:val="00EE5096"/>
    <w:rsid w:val="00EE5AC4"/>
    <w:rsid w:val="00EE5BBE"/>
    <w:rsid w:val="00EE61C4"/>
    <w:rsid w:val="00EE67CB"/>
    <w:rsid w:val="00EE69A6"/>
    <w:rsid w:val="00EE7265"/>
    <w:rsid w:val="00EE7A9B"/>
    <w:rsid w:val="00EE7C6E"/>
    <w:rsid w:val="00EE7D00"/>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1F"/>
    <w:rsid w:val="00EF73E0"/>
    <w:rsid w:val="00EF7C02"/>
    <w:rsid w:val="00F00387"/>
    <w:rsid w:val="00F00A3A"/>
    <w:rsid w:val="00F0122C"/>
    <w:rsid w:val="00F0142F"/>
    <w:rsid w:val="00F0199C"/>
    <w:rsid w:val="00F01B29"/>
    <w:rsid w:val="00F01CA0"/>
    <w:rsid w:val="00F01F8D"/>
    <w:rsid w:val="00F01FA3"/>
    <w:rsid w:val="00F02146"/>
    <w:rsid w:val="00F0247B"/>
    <w:rsid w:val="00F02566"/>
    <w:rsid w:val="00F026F2"/>
    <w:rsid w:val="00F02A3C"/>
    <w:rsid w:val="00F039EA"/>
    <w:rsid w:val="00F03A89"/>
    <w:rsid w:val="00F03ADE"/>
    <w:rsid w:val="00F03F19"/>
    <w:rsid w:val="00F041B1"/>
    <w:rsid w:val="00F04279"/>
    <w:rsid w:val="00F048DA"/>
    <w:rsid w:val="00F04B11"/>
    <w:rsid w:val="00F04F6E"/>
    <w:rsid w:val="00F052F9"/>
    <w:rsid w:val="00F053F6"/>
    <w:rsid w:val="00F0570A"/>
    <w:rsid w:val="00F0574E"/>
    <w:rsid w:val="00F064D2"/>
    <w:rsid w:val="00F067A0"/>
    <w:rsid w:val="00F0697A"/>
    <w:rsid w:val="00F06C39"/>
    <w:rsid w:val="00F07521"/>
    <w:rsid w:val="00F076B1"/>
    <w:rsid w:val="00F07A5F"/>
    <w:rsid w:val="00F07AFB"/>
    <w:rsid w:val="00F07CAF"/>
    <w:rsid w:val="00F10894"/>
    <w:rsid w:val="00F10D8C"/>
    <w:rsid w:val="00F10E35"/>
    <w:rsid w:val="00F11224"/>
    <w:rsid w:val="00F116CE"/>
    <w:rsid w:val="00F11A83"/>
    <w:rsid w:val="00F11DAA"/>
    <w:rsid w:val="00F124F3"/>
    <w:rsid w:val="00F1330A"/>
    <w:rsid w:val="00F133BA"/>
    <w:rsid w:val="00F136BD"/>
    <w:rsid w:val="00F13D21"/>
    <w:rsid w:val="00F14B1E"/>
    <w:rsid w:val="00F14C51"/>
    <w:rsid w:val="00F1525B"/>
    <w:rsid w:val="00F15AB5"/>
    <w:rsid w:val="00F15BBC"/>
    <w:rsid w:val="00F15BF9"/>
    <w:rsid w:val="00F15EDE"/>
    <w:rsid w:val="00F16024"/>
    <w:rsid w:val="00F1626D"/>
    <w:rsid w:val="00F1638B"/>
    <w:rsid w:val="00F163BA"/>
    <w:rsid w:val="00F16615"/>
    <w:rsid w:val="00F1696C"/>
    <w:rsid w:val="00F16FC4"/>
    <w:rsid w:val="00F17052"/>
    <w:rsid w:val="00F17636"/>
    <w:rsid w:val="00F1764F"/>
    <w:rsid w:val="00F2037F"/>
    <w:rsid w:val="00F20DF1"/>
    <w:rsid w:val="00F213AB"/>
    <w:rsid w:val="00F21593"/>
    <w:rsid w:val="00F22346"/>
    <w:rsid w:val="00F223CF"/>
    <w:rsid w:val="00F2265A"/>
    <w:rsid w:val="00F2273F"/>
    <w:rsid w:val="00F22978"/>
    <w:rsid w:val="00F22B7A"/>
    <w:rsid w:val="00F22B94"/>
    <w:rsid w:val="00F22E58"/>
    <w:rsid w:val="00F230C3"/>
    <w:rsid w:val="00F231D7"/>
    <w:rsid w:val="00F231FC"/>
    <w:rsid w:val="00F240ED"/>
    <w:rsid w:val="00F243F0"/>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27EAD"/>
    <w:rsid w:val="00F301ED"/>
    <w:rsid w:val="00F3042B"/>
    <w:rsid w:val="00F30767"/>
    <w:rsid w:val="00F30786"/>
    <w:rsid w:val="00F30CB8"/>
    <w:rsid w:val="00F30F75"/>
    <w:rsid w:val="00F30F8D"/>
    <w:rsid w:val="00F31565"/>
    <w:rsid w:val="00F315FD"/>
    <w:rsid w:val="00F317EE"/>
    <w:rsid w:val="00F3262E"/>
    <w:rsid w:val="00F326D2"/>
    <w:rsid w:val="00F329FF"/>
    <w:rsid w:val="00F32BB7"/>
    <w:rsid w:val="00F32CFB"/>
    <w:rsid w:val="00F32EBB"/>
    <w:rsid w:val="00F32F9D"/>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617"/>
    <w:rsid w:val="00F41707"/>
    <w:rsid w:val="00F41962"/>
    <w:rsid w:val="00F41E93"/>
    <w:rsid w:val="00F42484"/>
    <w:rsid w:val="00F4264B"/>
    <w:rsid w:val="00F4276F"/>
    <w:rsid w:val="00F42AFB"/>
    <w:rsid w:val="00F43A7E"/>
    <w:rsid w:val="00F43D4E"/>
    <w:rsid w:val="00F43E01"/>
    <w:rsid w:val="00F43F42"/>
    <w:rsid w:val="00F44A88"/>
    <w:rsid w:val="00F45034"/>
    <w:rsid w:val="00F4520B"/>
    <w:rsid w:val="00F455E3"/>
    <w:rsid w:val="00F45775"/>
    <w:rsid w:val="00F45838"/>
    <w:rsid w:val="00F45B01"/>
    <w:rsid w:val="00F461B4"/>
    <w:rsid w:val="00F4625A"/>
    <w:rsid w:val="00F4631B"/>
    <w:rsid w:val="00F469C5"/>
    <w:rsid w:val="00F46A8D"/>
    <w:rsid w:val="00F46E9E"/>
    <w:rsid w:val="00F4737A"/>
    <w:rsid w:val="00F47780"/>
    <w:rsid w:val="00F47A33"/>
    <w:rsid w:val="00F47F93"/>
    <w:rsid w:val="00F47FFE"/>
    <w:rsid w:val="00F50592"/>
    <w:rsid w:val="00F5071A"/>
    <w:rsid w:val="00F507D4"/>
    <w:rsid w:val="00F50C29"/>
    <w:rsid w:val="00F50E35"/>
    <w:rsid w:val="00F513AD"/>
    <w:rsid w:val="00F514D2"/>
    <w:rsid w:val="00F519CB"/>
    <w:rsid w:val="00F51E00"/>
    <w:rsid w:val="00F524A6"/>
    <w:rsid w:val="00F524C7"/>
    <w:rsid w:val="00F52943"/>
    <w:rsid w:val="00F52995"/>
    <w:rsid w:val="00F52E86"/>
    <w:rsid w:val="00F53092"/>
    <w:rsid w:val="00F53825"/>
    <w:rsid w:val="00F53CE9"/>
    <w:rsid w:val="00F541E9"/>
    <w:rsid w:val="00F545DB"/>
    <w:rsid w:val="00F547AA"/>
    <w:rsid w:val="00F5486B"/>
    <w:rsid w:val="00F549E1"/>
    <w:rsid w:val="00F54F7E"/>
    <w:rsid w:val="00F54FAF"/>
    <w:rsid w:val="00F55424"/>
    <w:rsid w:val="00F55477"/>
    <w:rsid w:val="00F55D02"/>
    <w:rsid w:val="00F55F2E"/>
    <w:rsid w:val="00F561DA"/>
    <w:rsid w:val="00F5728F"/>
    <w:rsid w:val="00F57424"/>
    <w:rsid w:val="00F57801"/>
    <w:rsid w:val="00F579D3"/>
    <w:rsid w:val="00F60A75"/>
    <w:rsid w:val="00F60B15"/>
    <w:rsid w:val="00F60D72"/>
    <w:rsid w:val="00F61054"/>
    <w:rsid w:val="00F61996"/>
    <w:rsid w:val="00F61FE3"/>
    <w:rsid w:val="00F620F3"/>
    <w:rsid w:val="00F62208"/>
    <w:rsid w:val="00F62238"/>
    <w:rsid w:val="00F62A1F"/>
    <w:rsid w:val="00F62AB6"/>
    <w:rsid w:val="00F62C68"/>
    <w:rsid w:val="00F63119"/>
    <w:rsid w:val="00F63720"/>
    <w:rsid w:val="00F63F0A"/>
    <w:rsid w:val="00F6471D"/>
    <w:rsid w:val="00F647D1"/>
    <w:rsid w:val="00F64943"/>
    <w:rsid w:val="00F64E49"/>
    <w:rsid w:val="00F64F90"/>
    <w:rsid w:val="00F65693"/>
    <w:rsid w:val="00F657B2"/>
    <w:rsid w:val="00F65B35"/>
    <w:rsid w:val="00F662FF"/>
    <w:rsid w:val="00F668DE"/>
    <w:rsid w:val="00F66C7C"/>
    <w:rsid w:val="00F66C9E"/>
    <w:rsid w:val="00F67189"/>
    <w:rsid w:val="00F6740A"/>
    <w:rsid w:val="00F67656"/>
    <w:rsid w:val="00F67731"/>
    <w:rsid w:val="00F67C20"/>
    <w:rsid w:val="00F707EF"/>
    <w:rsid w:val="00F70B92"/>
    <w:rsid w:val="00F70DA4"/>
    <w:rsid w:val="00F7140B"/>
    <w:rsid w:val="00F718EB"/>
    <w:rsid w:val="00F71D3F"/>
    <w:rsid w:val="00F71EB8"/>
    <w:rsid w:val="00F72A4E"/>
    <w:rsid w:val="00F731DD"/>
    <w:rsid w:val="00F73258"/>
    <w:rsid w:val="00F73369"/>
    <w:rsid w:val="00F73A85"/>
    <w:rsid w:val="00F73AA5"/>
    <w:rsid w:val="00F73B11"/>
    <w:rsid w:val="00F73B82"/>
    <w:rsid w:val="00F73F23"/>
    <w:rsid w:val="00F74075"/>
    <w:rsid w:val="00F74830"/>
    <w:rsid w:val="00F74878"/>
    <w:rsid w:val="00F74C09"/>
    <w:rsid w:val="00F75642"/>
    <w:rsid w:val="00F7564B"/>
    <w:rsid w:val="00F75820"/>
    <w:rsid w:val="00F7593D"/>
    <w:rsid w:val="00F75977"/>
    <w:rsid w:val="00F75C0C"/>
    <w:rsid w:val="00F75C2B"/>
    <w:rsid w:val="00F75C7F"/>
    <w:rsid w:val="00F75EB2"/>
    <w:rsid w:val="00F75FB8"/>
    <w:rsid w:val="00F7601B"/>
    <w:rsid w:val="00F765FF"/>
    <w:rsid w:val="00F767C2"/>
    <w:rsid w:val="00F7798B"/>
    <w:rsid w:val="00F77FFE"/>
    <w:rsid w:val="00F8054A"/>
    <w:rsid w:val="00F805BD"/>
    <w:rsid w:val="00F805EE"/>
    <w:rsid w:val="00F80751"/>
    <w:rsid w:val="00F818F1"/>
    <w:rsid w:val="00F81E7E"/>
    <w:rsid w:val="00F82170"/>
    <w:rsid w:val="00F82216"/>
    <w:rsid w:val="00F8228D"/>
    <w:rsid w:val="00F82735"/>
    <w:rsid w:val="00F82C2F"/>
    <w:rsid w:val="00F82D7F"/>
    <w:rsid w:val="00F82FFC"/>
    <w:rsid w:val="00F83835"/>
    <w:rsid w:val="00F83AB6"/>
    <w:rsid w:val="00F83D77"/>
    <w:rsid w:val="00F84219"/>
    <w:rsid w:val="00F8498B"/>
    <w:rsid w:val="00F84A59"/>
    <w:rsid w:val="00F84ADF"/>
    <w:rsid w:val="00F851CA"/>
    <w:rsid w:val="00F85816"/>
    <w:rsid w:val="00F85B1F"/>
    <w:rsid w:val="00F85B79"/>
    <w:rsid w:val="00F85C90"/>
    <w:rsid w:val="00F86137"/>
    <w:rsid w:val="00F86295"/>
    <w:rsid w:val="00F862D5"/>
    <w:rsid w:val="00F863E0"/>
    <w:rsid w:val="00F869B6"/>
    <w:rsid w:val="00F87A50"/>
    <w:rsid w:val="00F87B8C"/>
    <w:rsid w:val="00F9004A"/>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D08"/>
    <w:rsid w:val="00F96F59"/>
    <w:rsid w:val="00F970BF"/>
    <w:rsid w:val="00F9746A"/>
    <w:rsid w:val="00FA0114"/>
    <w:rsid w:val="00FA0688"/>
    <w:rsid w:val="00FA070E"/>
    <w:rsid w:val="00FA09AD"/>
    <w:rsid w:val="00FA198A"/>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96E"/>
    <w:rsid w:val="00FA5CB8"/>
    <w:rsid w:val="00FA5F3F"/>
    <w:rsid w:val="00FA6320"/>
    <w:rsid w:val="00FA6721"/>
    <w:rsid w:val="00FA6CA3"/>
    <w:rsid w:val="00FA7326"/>
    <w:rsid w:val="00FA7DB6"/>
    <w:rsid w:val="00FA7F2C"/>
    <w:rsid w:val="00FA7FE0"/>
    <w:rsid w:val="00FB02B8"/>
    <w:rsid w:val="00FB035D"/>
    <w:rsid w:val="00FB03D4"/>
    <w:rsid w:val="00FB05EA"/>
    <w:rsid w:val="00FB0701"/>
    <w:rsid w:val="00FB0740"/>
    <w:rsid w:val="00FB0B69"/>
    <w:rsid w:val="00FB1532"/>
    <w:rsid w:val="00FB222F"/>
    <w:rsid w:val="00FB22C6"/>
    <w:rsid w:val="00FB25B3"/>
    <w:rsid w:val="00FB2918"/>
    <w:rsid w:val="00FB2C82"/>
    <w:rsid w:val="00FB3EAB"/>
    <w:rsid w:val="00FB43F9"/>
    <w:rsid w:val="00FB46D3"/>
    <w:rsid w:val="00FB48C8"/>
    <w:rsid w:val="00FB4911"/>
    <w:rsid w:val="00FB5190"/>
    <w:rsid w:val="00FB5A89"/>
    <w:rsid w:val="00FB5AB0"/>
    <w:rsid w:val="00FB5ACD"/>
    <w:rsid w:val="00FB5F7C"/>
    <w:rsid w:val="00FB6069"/>
    <w:rsid w:val="00FB60CB"/>
    <w:rsid w:val="00FB6671"/>
    <w:rsid w:val="00FB6EF6"/>
    <w:rsid w:val="00FB78AF"/>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D41"/>
    <w:rsid w:val="00FC2E0F"/>
    <w:rsid w:val="00FC3771"/>
    <w:rsid w:val="00FC3C07"/>
    <w:rsid w:val="00FC3DEA"/>
    <w:rsid w:val="00FC42ED"/>
    <w:rsid w:val="00FC4405"/>
    <w:rsid w:val="00FC445B"/>
    <w:rsid w:val="00FC4604"/>
    <w:rsid w:val="00FC46B8"/>
    <w:rsid w:val="00FC48F6"/>
    <w:rsid w:val="00FC4DBC"/>
    <w:rsid w:val="00FC4E90"/>
    <w:rsid w:val="00FC4E93"/>
    <w:rsid w:val="00FC5189"/>
    <w:rsid w:val="00FC51AB"/>
    <w:rsid w:val="00FC5212"/>
    <w:rsid w:val="00FC537B"/>
    <w:rsid w:val="00FC57D0"/>
    <w:rsid w:val="00FC718E"/>
    <w:rsid w:val="00FD04F3"/>
    <w:rsid w:val="00FD09F8"/>
    <w:rsid w:val="00FD0AFB"/>
    <w:rsid w:val="00FD0D5D"/>
    <w:rsid w:val="00FD0DDC"/>
    <w:rsid w:val="00FD0E29"/>
    <w:rsid w:val="00FD0F79"/>
    <w:rsid w:val="00FD1261"/>
    <w:rsid w:val="00FD1915"/>
    <w:rsid w:val="00FD1D5C"/>
    <w:rsid w:val="00FD21FE"/>
    <w:rsid w:val="00FD2606"/>
    <w:rsid w:val="00FD2694"/>
    <w:rsid w:val="00FD2B88"/>
    <w:rsid w:val="00FD2D8A"/>
    <w:rsid w:val="00FD2DC8"/>
    <w:rsid w:val="00FD337D"/>
    <w:rsid w:val="00FD3432"/>
    <w:rsid w:val="00FD3434"/>
    <w:rsid w:val="00FD3B42"/>
    <w:rsid w:val="00FD407F"/>
    <w:rsid w:val="00FD416F"/>
    <w:rsid w:val="00FD439B"/>
    <w:rsid w:val="00FD4669"/>
    <w:rsid w:val="00FD4874"/>
    <w:rsid w:val="00FD4C16"/>
    <w:rsid w:val="00FD52CD"/>
    <w:rsid w:val="00FD541F"/>
    <w:rsid w:val="00FD57BC"/>
    <w:rsid w:val="00FD59FB"/>
    <w:rsid w:val="00FD5BD4"/>
    <w:rsid w:val="00FD61D5"/>
    <w:rsid w:val="00FD62CE"/>
    <w:rsid w:val="00FD62D4"/>
    <w:rsid w:val="00FD6BF4"/>
    <w:rsid w:val="00FD6C18"/>
    <w:rsid w:val="00FD730E"/>
    <w:rsid w:val="00FD7C13"/>
    <w:rsid w:val="00FE1613"/>
    <w:rsid w:val="00FE16B2"/>
    <w:rsid w:val="00FE1B44"/>
    <w:rsid w:val="00FE213F"/>
    <w:rsid w:val="00FE23CB"/>
    <w:rsid w:val="00FE2D92"/>
    <w:rsid w:val="00FE2ED9"/>
    <w:rsid w:val="00FE3551"/>
    <w:rsid w:val="00FE364B"/>
    <w:rsid w:val="00FE367F"/>
    <w:rsid w:val="00FE3E6A"/>
    <w:rsid w:val="00FE50AF"/>
    <w:rsid w:val="00FE5AC5"/>
    <w:rsid w:val="00FE5B28"/>
    <w:rsid w:val="00FE5B40"/>
    <w:rsid w:val="00FE6081"/>
    <w:rsid w:val="00FE60FA"/>
    <w:rsid w:val="00FE62AC"/>
    <w:rsid w:val="00FE68FF"/>
    <w:rsid w:val="00FE6D0B"/>
    <w:rsid w:val="00FE6D50"/>
    <w:rsid w:val="00FE6E0C"/>
    <w:rsid w:val="00FE6E93"/>
    <w:rsid w:val="00FE743F"/>
    <w:rsid w:val="00FE7A11"/>
    <w:rsid w:val="00FF0888"/>
    <w:rsid w:val="00FF0C82"/>
    <w:rsid w:val="00FF185C"/>
    <w:rsid w:val="00FF2056"/>
    <w:rsid w:val="00FF20F9"/>
    <w:rsid w:val="00FF2265"/>
    <w:rsid w:val="00FF2831"/>
    <w:rsid w:val="00FF29A6"/>
    <w:rsid w:val="00FF2C52"/>
    <w:rsid w:val="00FF3115"/>
    <w:rsid w:val="00FF3533"/>
    <w:rsid w:val="00FF3A35"/>
    <w:rsid w:val="00FF3DF1"/>
    <w:rsid w:val="00FF443B"/>
    <w:rsid w:val="00FF4A7F"/>
    <w:rsid w:val="00FF4D04"/>
    <w:rsid w:val="00FF4FEA"/>
    <w:rsid w:val="00FF57F1"/>
    <w:rsid w:val="00FF5AD8"/>
    <w:rsid w:val="00FF628C"/>
    <w:rsid w:val="00FF62AD"/>
    <w:rsid w:val="00FF660B"/>
    <w:rsid w:val="00FF69FD"/>
    <w:rsid w:val="00FF6A0A"/>
    <w:rsid w:val="00FF6AC2"/>
    <w:rsid w:val="00FF70DA"/>
    <w:rsid w:val="00FF7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297AA"/>
  <w15:chartTrackingRefBased/>
  <w15:docId w15:val="{6894810C-C984-4C14-8C72-5AEB0FFB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footnote text" w:uiPriority="99"/>
    <w:lsdException w:name="annotation text" w:uiPriority="99"/>
    <w:lsdException w:name="header" w:uiPriority="99"/>
    <w:lsdException w:name="footer" w:uiPriority="99"/>
    <w:lsdException w:name="index heading" w:semiHidden="1" w:unhideWhenUsed="1"/>
    <w:lsdException w:name="caption" w:qFormat="1"/>
    <w:lsdException w:name="footnote reference" w:uiPriority="99"/>
    <w:lsdException w:name="annotation reference" w:uiPriority="99"/>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Title" w:qFormat="1"/>
    <w:lsdException w:name="Default Paragraph Font" w:uiPriority="1"/>
    <w:lsdException w:name="Subtitle" w:qFormat="1"/>
    <w:lsdException w:name="Body Text Indent 3" w:uiPriority="99"/>
    <w:lsdException w:name="Hyperlink" w:uiPriority="99"/>
    <w:lsdException w:name="Followed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rsid w:val="000719C6"/>
    <w:rPr>
      <w:rFonts w:ascii="Arial" w:hAnsi="Arial"/>
      <w:sz w:val="24"/>
      <w:szCs w:val="22"/>
      <w:lang w:eastAsia="en-GB"/>
    </w:rPr>
  </w:style>
  <w:style w:type="paragraph" w:styleId="Heading1">
    <w:name w:val="heading 1"/>
    <w:next w:val="Normal"/>
    <w:link w:val="Heading1Char"/>
    <w:qFormat/>
    <w:rsid w:val="005A36EC"/>
    <w:pPr>
      <w:keepNext/>
      <w:keepLines/>
      <w:spacing w:before="720" w:after="200"/>
      <w:outlineLvl w:val="0"/>
    </w:pPr>
    <w:rPr>
      <w:rFonts w:ascii="Arial" w:hAnsi="Arial" w:cs="Arial"/>
      <w:b/>
      <w:bCs/>
      <w:kern w:val="32"/>
      <w:sz w:val="37"/>
      <w:szCs w:val="32"/>
      <w:lang w:eastAsia="en-GB"/>
    </w:rPr>
  </w:style>
  <w:style w:type="paragraph" w:styleId="Heading2">
    <w:name w:val="heading 2"/>
    <w:basedOn w:val="Heading1"/>
    <w:next w:val="Body"/>
    <w:link w:val="Heading2Char"/>
    <w:qFormat/>
    <w:rsid w:val="00866299"/>
    <w:pPr>
      <w:spacing w:before="480" w:after="240"/>
      <w:outlineLvl w:val="1"/>
    </w:pPr>
    <w:rPr>
      <w:bCs w:val="0"/>
      <w:iCs/>
      <w:sz w:val="31"/>
      <w:szCs w:val="28"/>
    </w:rPr>
  </w:style>
  <w:style w:type="paragraph" w:styleId="Heading3">
    <w:name w:val="heading 3"/>
    <w:basedOn w:val="Heading2"/>
    <w:next w:val="Body"/>
    <w:link w:val="Heading3Char"/>
    <w:qFormat/>
    <w:rsid w:val="008F15DD"/>
    <w:pPr>
      <w:spacing w:before="240" w:after="200"/>
      <w:outlineLvl w:val="2"/>
    </w:pPr>
    <w:rPr>
      <w:bCs/>
      <w:color w:val="999999"/>
      <w:sz w:val="27"/>
      <w:szCs w:val="26"/>
    </w:rPr>
  </w:style>
  <w:style w:type="paragraph" w:styleId="Heading4">
    <w:name w:val="heading 4"/>
    <w:basedOn w:val="Heading3"/>
    <w:next w:val="Body"/>
    <w:link w:val="Heading4Char"/>
    <w:qFormat/>
    <w:rsid w:val="00E26AB5"/>
    <w:pPr>
      <w:spacing w:after="180"/>
      <w:outlineLvl w:val="3"/>
    </w:pPr>
    <w:rPr>
      <w:bCs w:val="0"/>
      <w:i/>
      <w:color w:val="7F7F7F" w:themeColor="text1" w:themeTint="80"/>
      <w:sz w:val="26"/>
      <w:szCs w:val="28"/>
    </w:rPr>
  </w:style>
  <w:style w:type="paragraph" w:styleId="Heading5">
    <w:name w:val="heading 5"/>
    <w:basedOn w:val="Heading4"/>
    <w:next w:val="Normal"/>
    <w:link w:val="Heading5Char"/>
    <w:qFormat/>
    <w:rsid w:val="00335E48"/>
    <w:pPr>
      <w:spacing w:before="0"/>
      <w:outlineLvl w:val="4"/>
    </w:pPr>
    <w:rPr>
      <w:rFonts w:cs="Times New Roman"/>
      <w:b w:val="0"/>
      <w:kern w:val="0"/>
      <w:sz w:val="22"/>
      <w:szCs w:val="26"/>
    </w:rPr>
  </w:style>
  <w:style w:type="paragraph" w:styleId="Heading6">
    <w:name w:val="heading 6"/>
    <w:basedOn w:val="Heading5"/>
    <w:next w:val="Normal"/>
    <w:link w:val="Heading6Char"/>
    <w:rsid w:val="00FC0C63"/>
    <w:pPr>
      <w:spacing w:before="240" w:after="60"/>
      <w:outlineLvl w:val="5"/>
    </w:pPr>
    <w:rPr>
      <w:bCs/>
      <w:sz w:val="18"/>
    </w:rPr>
  </w:style>
  <w:style w:type="paragraph" w:styleId="Heading7">
    <w:name w:val="heading 7"/>
    <w:basedOn w:val="Heading6"/>
    <w:next w:val="Normal"/>
    <w:link w:val="Heading7Char"/>
    <w:rsid w:val="00FC0C63"/>
    <w:pPr>
      <w:outlineLvl w:val="6"/>
    </w:pPr>
    <w:rPr>
      <w:sz w:val="16"/>
      <w:szCs w:val="24"/>
    </w:rPr>
  </w:style>
  <w:style w:type="paragraph" w:styleId="Heading8">
    <w:name w:val="heading 8"/>
    <w:basedOn w:val="Heading7"/>
    <w:next w:val="Normal"/>
    <w:link w:val="Heading8Char"/>
    <w:rsid w:val="00FC0C63"/>
    <w:pPr>
      <w:outlineLvl w:val="7"/>
    </w:pPr>
    <w:rPr>
      <w:iCs w:val="0"/>
      <w:sz w:val="14"/>
    </w:rPr>
  </w:style>
  <w:style w:type="paragraph" w:styleId="Heading9">
    <w:name w:val="heading 9"/>
    <w:basedOn w:val="Normal"/>
    <w:next w:val="Normal"/>
    <w:link w:val="Heading9Char"/>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BudgetSnapshot">
    <w:name w:val="Title - Budget Snapshot"/>
    <w:basedOn w:val="Title-FrontPage"/>
    <w:semiHidden/>
    <w:rsid w:val="00982BA5"/>
    <w:rPr>
      <w:color w:val="auto"/>
    </w:rPr>
  </w:style>
  <w:style w:type="paragraph" w:styleId="ListBullet">
    <w:name w:val="List Bullet"/>
    <w:basedOn w:val="Normal"/>
    <w:qFormat/>
    <w:rsid w:val="00E62163"/>
    <w:pPr>
      <w:numPr>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sz w:val="23"/>
    </w:rPr>
  </w:style>
  <w:style w:type="paragraph" w:styleId="ListBullet2">
    <w:name w:val="List Bullet 2"/>
    <w:basedOn w:val="ListBullet"/>
    <w:rsid w:val="002E5D27"/>
    <w:pPr>
      <w:numPr>
        <w:numId w:val="47"/>
      </w:numPr>
      <w:ind w:left="1134" w:hanging="567"/>
    </w:pPr>
  </w:style>
  <w:style w:type="paragraph" w:styleId="ListBullet3">
    <w:name w:val="List Bullet 3"/>
    <w:basedOn w:val="ListBullet2"/>
    <w:rsid w:val="00E62163"/>
    <w:pPr>
      <w:numPr>
        <w:ilvl w:val="2"/>
      </w:numPr>
    </w:pPr>
  </w:style>
  <w:style w:type="paragraph" w:styleId="ListBullet4">
    <w:name w:val="List Bullet 4"/>
    <w:basedOn w:val="ListBullet3"/>
    <w:rsid w:val="00E62163"/>
    <w:pPr>
      <w:numPr>
        <w:ilvl w:val="3"/>
      </w:numPr>
    </w:pPr>
  </w:style>
  <w:style w:type="paragraph" w:styleId="BodyText2">
    <w:name w:val="Body Text 2"/>
    <w:basedOn w:val="Normal"/>
    <w:next w:val="Title-BudgetSnapshot"/>
    <w:link w:val="BodyText2Char"/>
    <w:rsid w:val="00982BA5"/>
    <w:pPr>
      <w:ind w:left="284"/>
    </w:pPr>
  </w:style>
  <w:style w:type="paragraph" w:styleId="BodyText3">
    <w:name w:val="Body Text 3"/>
    <w:basedOn w:val="BodyText2"/>
    <w:next w:val="Normal"/>
    <w:link w:val="BodyText3Char"/>
    <w:rsid w:val="00196F97"/>
    <w:pPr>
      <w:spacing w:after="180"/>
      <w:ind w:left="1134"/>
    </w:pPr>
    <w:rPr>
      <w:szCs w:val="16"/>
    </w:rPr>
  </w:style>
  <w:style w:type="paragraph" w:customStyle="1" w:styleId="Heading1-Pagebreakbefore">
    <w:name w:val="Heading 1-Pagebreak before"/>
    <w:basedOn w:val="Heading1"/>
    <w:next w:val="Body"/>
    <w:qFormat/>
    <w:rsid w:val="006720B0"/>
    <w:pPr>
      <w:pageBreakBefore/>
      <w:spacing w:before="0" w:after="360"/>
    </w:pPr>
  </w:style>
  <w:style w:type="paragraph" w:styleId="ListContinue">
    <w:name w:val="List Continue"/>
    <w:basedOn w:val="Normal"/>
    <w:rsid w:val="00982BA5"/>
    <w:pPr>
      <w:numPr>
        <w:numId w:val="8"/>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E62163"/>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rsid w:val="00A35236"/>
    <w:pPr>
      <w:ind w:left="283" w:hanging="283"/>
    </w:pPr>
  </w:style>
  <w:style w:type="paragraph" w:styleId="List2">
    <w:name w:val="List 2"/>
    <w:basedOn w:val="Normal"/>
    <w:rsid w:val="00A35236"/>
    <w:pPr>
      <w:ind w:left="566" w:hanging="283"/>
    </w:pPr>
  </w:style>
  <w:style w:type="paragraph" w:styleId="List3">
    <w:name w:val="List 3"/>
    <w:basedOn w:val="Normal"/>
    <w:rsid w:val="00A35236"/>
    <w:pPr>
      <w:ind w:left="849" w:hanging="283"/>
    </w:pPr>
  </w:style>
  <w:style w:type="paragraph" w:styleId="List4">
    <w:name w:val="List 4"/>
    <w:basedOn w:val="Normal"/>
    <w:rsid w:val="00A35236"/>
    <w:pPr>
      <w:ind w:left="1132" w:hanging="283"/>
    </w:pPr>
  </w:style>
  <w:style w:type="paragraph" w:styleId="List5">
    <w:name w:val="List 5"/>
    <w:basedOn w:val="Normal"/>
    <w:rsid w:val="00A35236"/>
    <w:pPr>
      <w:ind w:left="1415" w:hanging="283"/>
    </w:pPr>
  </w:style>
  <w:style w:type="character" w:styleId="HTMLAcronym">
    <w:name w:val="HTML Acronym"/>
    <w:basedOn w:val="DefaultParagraphFont"/>
    <w:rsid w:val="00A35236"/>
  </w:style>
  <w:style w:type="paragraph" w:styleId="HTMLAddress">
    <w:name w:val="HTML Address"/>
    <w:basedOn w:val="Normal"/>
    <w:link w:val="HTMLAddressChar"/>
    <w:rsid w:val="00A35236"/>
    <w:rPr>
      <w:i/>
      <w:iCs/>
    </w:rPr>
  </w:style>
  <w:style w:type="character" w:styleId="HTMLCite">
    <w:name w:val="HTML Cite"/>
    <w:rsid w:val="00A35236"/>
    <w:rPr>
      <w:i/>
      <w:iCs/>
    </w:rPr>
  </w:style>
  <w:style w:type="character" w:styleId="HTMLCode">
    <w:name w:val="HTML Code"/>
    <w:rsid w:val="00A35236"/>
    <w:rPr>
      <w:rFonts w:ascii="Courier New" w:hAnsi="Courier New" w:cs="Courier New"/>
      <w:sz w:val="20"/>
      <w:szCs w:val="20"/>
    </w:rPr>
  </w:style>
  <w:style w:type="character" w:styleId="HTMLDefinition">
    <w:name w:val="HTML Definition"/>
    <w:rsid w:val="00A35236"/>
    <w:rPr>
      <w:i/>
      <w:iCs/>
    </w:rPr>
  </w:style>
  <w:style w:type="character" w:styleId="HTMLKeyboard">
    <w:name w:val="HTML Keyboard"/>
    <w:rsid w:val="00A35236"/>
    <w:rPr>
      <w:rFonts w:ascii="Courier New" w:hAnsi="Courier New" w:cs="Courier New"/>
      <w:sz w:val="20"/>
      <w:szCs w:val="20"/>
    </w:rPr>
  </w:style>
  <w:style w:type="paragraph" w:styleId="HTMLPreformatted">
    <w:name w:val="HTML Preformatted"/>
    <w:basedOn w:val="Normal"/>
    <w:link w:val="HTMLPreformattedChar"/>
    <w:rsid w:val="00A35236"/>
    <w:rPr>
      <w:rFonts w:ascii="Courier New" w:hAnsi="Courier New" w:cs="Courier New"/>
      <w:sz w:val="20"/>
      <w:szCs w:val="20"/>
    </w:rPr>
  </w:style>
  <w:style w:type="character" w:styleId="HTMLSample">
    <w:name w:val="HTML Sample"/>
    <w:rsid w:val="00A35236"/>
    <w:rPr>
      <w:rFonts w:ascii="Courier New" w:hAnsi="Courier New" w:cs="Courier New"/>
    </w:rPr>
  </w:style>
  <w:style w:type="character" w:styleId="HTMLTypewriter">
    <w:name w:val="HTML Typewriter"/>
    <w:rsid w:val="00A35236"/>
    <w:rPr>
      <w:rFonts w:ascii="Courier New" w:hAnsi="Courier New" w:cs="Courier New"/>
      <w:sz w:val="20"/>
      <w:szCs w:val="20"/>
    </w:rPr>
  </w:style>
  <w:style w:type="character" w:styleId="HTMLVariable">
    <w:name w:val="HTML Variable"/>
    <w:rsid w:val="00A35236"/>
    <w:rPr>
      <w:i/>
      <w:iCs/>
    </w:rPr>
  </w:style>
  <w:style w:type="paragraph" w:styleId="BlockText">
    <w:name w:val="Block Text"/>
    <w:basedOn w:val="Normal"/>
    <w:rsid w:val="00982BA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567" w:right="567"/>
    </w:pPr>
    <w:rPr>
      <w:sz w:val="22"/>
    </w:rPr>
  </w:style>
  <w:style w:type="paragraph" w:styleId="BodyTextFirstIndent">
    <w:name w:val="Body Text First Indent"/>
    <w:basedOn w:val="Normal"/>
    <w:link w:val="BodyTextFirstIndentChar"/>
    <w:rsid w:val="00982BA5"/>
    <w:pPr>
      <w:spacing w:after="120"/>
      <w:ind w:firstLine="210"/>
    </w:pPr>
  </w:style>
  <w:style w:type="paragraph" w:styleId="BodyTextIndent">
    <w:name w:val="Body Text Indent"/>
    <w:basedOn w:val="Normal"/>
    <w:link w:val="BodyTextIndentChar"/>
    <w:rsid w:val="00353455"/>
    <w:pPr>
      <w:spacing w:after="120"/>
      <w:ind w:left="283"/>
    </w:pPr>
  </w:style>
  <w:style w:type="paragraph" w:styleId="BodyTextFirstIndent2">
    <w:name w:val="Body Text First Indent 2"/>
    <w:basedOn w:val="BodyTextIndent"/>
    <w:link w:val="BodyTextFirstIndent2Char"/>
    <w:rsid w:val="00353455"/>
    <w:pPr>
      <w:ind w:firstLine="210"/>
    </w:pPr>
  </w:style>
  <w:style w:type="paragraph" w:styleId="BodyTextIndent2">
    <w:name w:val="Body Text Indent 2"/>
    <w:basedOn w:val="Normal"/>
    <w:link w:val="BodyTextIndent2Char"/>
    <w:rsid w:val="00353455"/>
    <w:pPr>
      <w:spacing w:after="120" w:line="480" w:lineRule="auto"/>
      <w:ind w:left="283"/>
    </w:pPr>
  </w:style>
  <w:style w:type="paragraph" w:styleId="BodyTextIndent3">
    <w:name w:val="Body Text Indent 3"/>
    <w:basedOn w:val="Normal"/>
    <w:link w:val="BodyTextIndent3Char"/>
    <w:uiPriority w:val="99"/>
    <w:rsid w:val="00353455"/>
    <w:pPr>
      <w:spacing w:after="120"/>
      <w:ind w:left="283"/>
    </w:pPr>
    <w:rPr>
      <w:sz w:val="16"/>
      <w:szCs w:val="16"/>
    </w:rPr>
  </w:style>
  <w:style w:type="paragraph" w:styleId="EnvelopeAddress">
    <w:name w:val="envelope address"/>
    <w:basedOn w:val="Normal"/>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rsid w:val="008861E2"/>
    <w:rPr>
      <w:rFonts w:cs="Arial"/>
      <w:sz w:val="20"/>
      <w:szCs w:val="20"/>
    </w:rPr>
  </w:style>
  <w:style w:type="character" w:styleId="LineNumber">
    <w:name w:val="line number"/>
    <w:basedOn w:val="DefaultParagraphFont"/>
    <w:rsid w:val="008861E2"/>
  </w:style>
  <w:style w:type="paragraph" w:styleId="MessageHeader">
    <w:name w:val="Message Header"/>
    <w:basedOn w:val="Normal"/>
    <w:link w:val="MessageHeaderChar"/>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uiPriority w:val="99"/>
    <w:rsid w:val="008861E2"/>
    <w:rPr>
      <w:rFonts w:ascii="Times New Roman" w:hAnsi="Times New Roman"/>
      <w:szCs w:val="24"/>
    </w:rPr>
  </w:style>
  <w:style w:type="paragraph" w:styleId="NormalIndent">
    <w:name w:val="Normal Indent"/>
    <w:basedOn w:val="Normal"/>
    <w:rsid w:val="008861E2"/>
    <w:pPr>
      <w:ind w:left="720"/>
    </w:pPr>
  </w:style>
  <w:style w:type="paragraph" w:styleId="NoteHeading">
    <w:name w:val="Note Heading"/>
    <w:basedOn w:val="Normal"/>
    <w:next w:val="Normal"/>
    <w:link w:val="NoteHeadingChar"/>
    <w:rsid w:val="008861E2"/>
  </w:style>
  <w:style w:type="table" w:styleId="Table3Deffects1">
    <w:name w:val="Table 3D effects 1"/>
    <w:basedOn w:val="TableNormal"/>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rsid w:val="00CD07EA"/>
    <w:pPr>
      <w:numPr>
        <w:numId w:val="3"/>
      </w:numPr>
    </w:pPr>
  </w:style>
  <w:style w:type="numbering" w:styleId="ArticleSection">
    <w:name w:val="Outline List 3"/>
    <w:basedOn w:val="NoList"/>
    <w:rsid w:val="008861E2"/>
  </w:style>
  <w:style w:type="paragraph" w:styleId="Closing">
    <w:name w:val="Closing"/>
    <w:basedOn w:val="Normal"/>
    <w:link w:val="ClosingChar"/>
    <w:rsid w:val="008861E2"/>
    <w:pPr>
      <w:ind w:left="4252"/>
    </w:pPr>
  </w:style>
  <w:style w:type="paragraph" w:styleId="Date">
    <w:name w:val="Date"/>
    <w:basedOn w:val="Normal"/>
    <w:next w:val="Normal"/>
    <w:link w:val="DateChar"/>
    <w:rsid w:val="008861E2"/>
  </w:style>
  <w:style w:type="paragraph" w:styleId="E-mailSignature">
    <w:name w:val="E-mail Signature"/>
    <w:basedOn w:val="Normal"/>
    <w:link w:val="E-mailSignatureChar"/>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link w:val="SalutationChar"/>
    <w:rsid w:val="008861E2"/>
  </w:style>
  <w:style w:type="paragraph" w:styleId="Signature">
    <w:name w:val="Signature"/>
    <w:basedOn w:val="Normal"/>
    <w:link w:val="SignatureChar"/>
    <w:rsid w:val="008861E2"/>
    <w:pPr>
      <w:ind w:left="4252"/>
    </w:pPr>
  </w:style>
  <w:style w:type="table" w:styleId="TableWeb1">
    <w:name w:val="Table Web 1"/>
    <w:basedOn w:val="TableNormal"/>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Normal"/>
    <w:rsid w:val="00982BA5"/>
    <w:pPr>
      <w:numPr>
        <w:numId w:val="2"/>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rsid w:val="00AE3DA6"/>
  </w:style>
  <w:style w:type="paragraph" w:styleId="Footer">
    <w:name w:val="footer"/>
    <w:basedOn w:val="Normal"/>
    <w:link w:val="FooterChar"/>
    <w:uiPriority w:val="99"/>
    <w:unhideWhenUsed/>
    <w:rsid w:val="00B82071"/>
    <w:pPr>
      <w:tabs>
        <w:tab w:val="center" w:pos="4153"/>
        <w:tab w:val="right" w:pos="8306"/>
      </w:tabs>
    </w:pPr>
  </w:style>
  <w:style w:type="paragraph" w:styleId="Header">
    <w:name w:val="header"/>
    <w:basedOn w:val="Normal"/>
    <w:link w:val="HeaderChar"/>
    <w:uiPriority w:val="99"/>
    <w:unhideWhenUsed/>
    <w:rsid w:val="00B82071"/>
    <w:pPr>
      <w:tabs>
        <w:tab w:val="center" w:pos="4153"/>
        <w:tab w:val="right" w:pos="8306"/>
      </w:tabs>
    </w:pPr>
  </w:style>
  <w:style w:type="character" w:styleId="FootnoteReference">
    <w:name w:val="footnote reference"/>
    <w:uiPriority w:val="99"/>
    <w:rsid w:val="00336974"/>
    <w:rPr>
      <w:sz w:val="24"/>
      <w:vertAlign w:val="superscript"/>
    </w:rPr>
  </w:style>
  <w:style w:type="paragraph" w:styleId="FootnoteText">
    <w:name w:val="footnote text"/>
    <w:basedOn w:val="Normal"/>
    <w:link w:val="FootnoteTextChar"/>
    <w:uiPriority w:val="99"/>
    <w:rsid w:val="00982BA5"/>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60"/>
      <w:ind w:left="284" w:hanging="284"/>
    </w:pPr>
    <w:rPr>
      <w:sz w:val="18"/>
      <w:szCs w:val="20"/>
    </w:rPr>
  </w:style>
  <w:style w:type="character" w:styleId="Emphasis">
    <w:name w:val="Emphasis"/>
    <w:uiPriority w:val="20"/>
    <w:qFormat/>
    <w:rsid w:val="00B04384"/>
    <w:rPr>
      <w:i/>
      <w:iCs/>
    </w:rPr>
  </w:style>
  <w:style w:type="character" w:styleId="Strong">
    <w:name w:val="Strong"/>
    <w:qFormat/>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uiPriority w:val="99"/>
    <w:rsid w:val="00990ECE"/>
    <w:rPr>
      <w:color w:val="800080"/>
      <w:u w:val="single"/>
    </w:rPr>
  </w:style>
  <w:style w:type="character" w:styleId="Hyperlink">
    <w:name w:val="Hyperlink"/>
    <w:uiPriority w:val="99"/>
    <w:unhideWhenUsed/>
    <w:rsid w:val="008D3ED3"/>
    <w:rPr>
      <w:color w:val="auto"/>
      <w:u w:val="single"/>
    </w:rPr>
  </w:style>
  <w:style w:type="paragraph" w:styleId="Title">
    <w:name w:val="Title"/>
    <w:link w:val="TitleChar"/>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link w:val="SubtitleChar"/>
    <w:rsid w:val="002E40DF"/>
    <w:pPr>
      <w:spacing w:after="180"/>
      <w:outlineLvl w:val="1"/>
    </w:pPr>
    <w:rPr>
      <w:sz w:val="32"/>
      <w:szCs w:val="24"/>
    </w:rPr>
  </w:style>
  <w:style w:type="table" w:styleId="TableClassic2">
    <w:name w:val="Table Classic 2"/>
    <w:basedOn w:val="TableNormal"/>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rsid w:val="00802327"/>
  </w:style>
  <w:style w:type="table" w:styleId="TableClassic1">
    <w:name w:val="Table Classic 1"/>
    <w:basedOn w:val="TableNormal"/>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link w:val="TableheadingChar"/>
    <w:rsid w:val="00D10B6F"/>
    <w:pPr>
      <w:spacing w:before="80" w:after="60"/>
    </w:pPr>
    <w:rPr>
      <w:rFonts w:ascii="Arial" w:hAnsi="Arial"/>
      <w:b/>
      <w:szCs w:val="22"/>
      <w:lang w:eastAsia="en-GB"/>
    </w:rPr>
  </w:style>
  <w:style w:type="paragraph" w:customStyle="1" w:styleId="TableBody">
    <w:name w:val="Table Body"/>
    <w:basedOn w:val="Normal"/>
    <w:rsid w:val="00982BA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pPr>
    <w:rPr>
      <w:sz w:val="20"/>
    </w:rPr>
  </w:style>
  <w:style w:type="character" w:styleId="PageNumber">
    <w:name w:val="page number"/>
    <w:rsid w:val="00783B27"/>
    <w:rPr>
      <w:rFonts w:ascii="Arial" w:hAnsi="Arial"/>
      <w:sz w:val="24"/>
      <w:lang w:val="en-AU"/>
    </w:rPr>
  </w:style>
  <w:style w:type="paragraph" w:styleId="BodyText">
    <w:name w:val="Body Text"/>
    <w:basedOn w:val="Normal"/>
    <w:link w:val="BodyTextChar"/>
    <w:rsid w:val="00783B27"/>
    <w:pPr>
      <w:spacing w:after="120"/>
    </w:pPr>
  </w:style>
  <w:style w:type="paragraph" w:customStyle="1" w:styleId="BlockText-ListBullet">
    <w:name w:val="Block Text - List Bullet"/>
    <w:basedOn w:val="BlockText"/>
    <w:semiHidden/>
    <w:rsid w:val="00CB582D"/>
    <w:pPr>
      <w:numPr>
        <w:numId w:val="7"/>
      </w:numPr>
      <w:tabs>
        <w:tab w:val="num" w:pos="567"/>
      </w:tabs>
      <w:spacing w:after="160"/>
      <w:ind w:left="567"/>
    </w:pPr>
  </w:style>
  <w:style w:type="paragraph" w:customStyle="1" w:styleId="Table-ListBullet">
    <w:name w:val="Table - List Bullet"/>
    <w:basedOn w:val="TableBody"/>
    <w:rsid w:val="00FA5CB8"/>
    <w:pPr>
      <w:numPr>
        <w:numId w:val="6"/>
      </w:numPr>
    </w:pPr>
  </w:style>
  <w:style w:type="paragraph" w:styleId="PlainText">
    <w:name w:val="Plain Text"/>
    <w:basedOn w:val="Normal"/>
    <w:link w:val="PlainTextChar"/>
    <w:uiPriority w:val="99"/>
    <w:rsid w:val="006428AB"/>
    <w:rPr>
      <w:rFonts w:ascii="Courier New" w:hAnsi="Courier New" w:cs="Courier New"/>
      <w:sz w:val="20"/>
      <w:szCs w:val="20"/>
    </w:rPr>
  </w:style>
  <w:style w:type="table" w:customStyle="1" w:styleId="RecommendationsBox">
    <w:name w:val="Recommendations Box"/>
    <w:basedOn w:val="TableGrid"/>
    <w:semiHidden/>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semiHidden/>
    <w:rsid w:val="00F82735"/>
    <w:pPr>
      <w:spacing w:before="120" w:after="180"/>
    </w:pPr>
    <w:rPr>
      <w:rFonts w:ascii="Arial" w:hAnsi="Arial"/>
      <w:b/>
      <w:color w:val="005984"/>
      <w:sz w:val="24"/>
      <w:szCs w:val="22"/>
      <w:lang w:eastAsia="en-GB"/>
    </w:rPr>
  </w:style>
  <w:style w:type="paragraph" w:styleId="TOC1">
    <w:name w:val="toc 1"/>
    <w:next w:val="Normal"/>
    <w:autoRedefine/>
    <w:uiPriority w:val="39"/>
    <w:unhideWhenUsed/>
    <w:qFormat/>
    <w:rsid w:val="0060034E"/>
    <w:pPr>
      <w:tabs>
        <w:tab w:val="right" w:leader="dot" w:pos="9628"/>
      </w:tabs>
      <w:spacing w:before="180"/>
    </w:pPr>
    <w:rPr>
      <w:rFonts w:ascii="Arial" w:hAnsi="Arial"/>
      <w:b/>
      <w:sz w:val="24"/>
      <w:szCs w:val="22"/>
      <w:lang w:eastAsia="en-GB"/>
    </w:rPr>
  </w:style>
  <w:style w:type="paragraph" w:styleId="TOC2">
    <w:name w:val="toc 2"/>
    <w:basedOn w:val="TOC1"/>
    <w:next w:val="Normal"/>
    <w:autoRedefine/>
    <w:uiPriority w:val="39"/>
    <w:qFormat/>
    <w:rsid w:val="00422B55"/>
    <w:pPr>
      <w:spacing w:before="100"/>
      <w:ind w:left="567"/>
    </w:pPr>
    <w:rPr>
      <w:b w:val="0"/>
    </w:rPr>
  </w:style>
  <w:style w:type="paragraph" w:styleId="TOC3">
    <w:name w:val="toc 3"/>
    <w:basedOn w:val="TOC2"/>
    <w:next w:val="Normal"/>
    <w:autoRedefine/>
    <w:rsid w:val="00F70B92"/>
    <w:pPr>
      <w:ind w:left="1134"/>
    </w:pPr>
  </w:style>
  <w:style w:type="paragraph" w:styleId="TOC4">
    <w:name w:val="toc 4"/>
    <w:basedOn w:val="TOC3"/>
    <w:next w:val="Normal"/>
    <w:autoRedefine/>
    <w:rsid w:val="00F70B92"/>
    <w:pPr>
      <w:ind w:left="1701"/>
    </w:pPr>
  </w:style>
  <w:style w:type="paragraph" w:styleId="TOC5">
    <w:name w:val="toc 5"/>
    <w:basedOn w:val="TOC4"/>
    <w:next w:val="Normal"/>
    <w:autoRedefine/>
    <w:rsid w:val="00F70B92"/>
    <w:pPr>
      <w:ind w:left="2268"/>
    </w:pPr>
  </w:style>
  <w:style w:type="paragraph" w:styleId="TOC6">
    <w:name w:val="toc 6"/>
    <w:basedOn w:val="TOC5"/>
    <w:next w:val="Normal"/>
    <w:autoRedefine/>
    <w:rsid w:val="00F70B92"/>
    <w:pPr>
      <w:ind w:left="1200"/>
    </w:pPr>
  </w:style>
  <w:style w:type="paragraph" w:styleId="TOC7">
    <w:name w:val="toc 7"/>
    <w:basedOn w:val="TOC6"/>
    <w:next w:val="Normal"/>
    <w:autoRedefine/>
    <w:rsid w:val="00F70B92"/>
    <w:pPr>
      <w:ind w:left="1440"/>
    </w:pPr>
  </w:style>
  <w:style w:type="paragraph" w:styleId="TOC8">
    <w:name w:val="toc 8"/>
    <w:basedOn w:val="TOC7"/>
    <w:next w:val="Normal"/>
    <w:autoRedefine/>
    <w:rsid w:val="00F70B92"/>
    <w:pPr>
      <w:ind w:left="1680"/>
    </w:pPr>
  </w:style>
  <w:style w:type="paragraph" w:styleId="TOC9">
    <w:name w:val="toc 9"/>
    <w:basedOn w:val="TOC8"/>
    <w:next w:val="Normal"/>
    <w:autoRedefine/>
    <w:rsid w:val="00F70B92"/>
    <w:pPr>
      <w:ind w:left="1920"/>
    </w:pPr>
  </w:style>
  <w:style w:type="paragraph" w:customStyle="1" w:styleId="AcronymsList">
    <w:name w:val="Acronyms List"/>
    <w:basedOn w:val="Normal"/>
    <w:semiHidden/>
    <w:rsid w:val="00982BA5"/>
    <w:pPr>
      <w:tabs>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2268" w:hanging="2268"/>
    </w:pPr>
  </w:style>
  <w:style w:type="paragraph" w:customStyle="1" w:styleId="ListLetter">
    <w:name w:val="List Letter"/>
    <w:basedOn w:val="Normal"/>
    <w:semiHidden/>
    <w:rsid w:val="00982BA5"/>
    <w:pPr>
      <w:numPr>
        <w:numId w:val="9"/>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style>
  <w:style w:type="paragraph" w:customStyle="1" w:styleId="BlockText-ListBullet2">
    <w:name w:val="Block Text - List Bullet 2"/>
    <w:basedOn w:val="BlockText-ListBullet"/>
    <w:semiHidden/>
    <w:rsid w:val="00CB582D"/>
    <w:pPr>
      <w:numPr>
        <w:ilvl w:val="1"/>
      </w:numPr>
      <w:tabs>
        <w:tab w:val="num" w:pos="1134"/>
        <w:tab w:val="left" w:pos="1701"/>
      </w:tabs>
      <w:ind w:left="1134"/>
    </w:pPr>
  </w:style>
  <w:style w:type="paragraph" w:customStyle="1" w:styleId="BlockText-ListBullet3">
    <w:name w:val="Block Text - List Bullet 3"/>
    <w:basedOn w:val="BlockText-ListBullet2"/>
    <w:semiHidden/>
    <w:rsid w:val="00CB582D"/>
    <w:pPr>
      <w:numPr>
        <w:ilvl w:val="2"/>
      </w:numPr>
      <w:tabs>
        <w:tab w:val="num" w:pos="1701"/>
        <w:tab w:val="left" w:pos="2268"/>
      </w:tabs>
      <w:ind w:left="1701"/>
    </w:pPr>
  </w:style>
  <w:style w:type="paragraph" w:customStyle="1" w:styleId="BlockText-ListBullet4">
    <w:name w:val="Block Text - List Bullet 4"/>
    <w:basedOn w:val="BlockText-ListBullet3"/>
    <w:semiHidden/>
    <w:rsid w:val="00CB582D"/>
    <w:pPr>
      <w:numPr>
        <w:ilvl w:val="3"/>
      </w:numPr>
      <w:tabs>
        <w:tab w:val="num" w:pos="2268"/>
        <w:tab w:val="left" w:pos="2835"/>
      </w:tabs>
      <w:ind w:left="2268"/>
    </w:pPr>
  </w:style>
  <w:style w:type="paragraph" w:customStyle="1" w:styleId="BlockText-ListBullet5">
    <w:name w:val="Block Text - List Bullet 5"/>
    <w:basedOn w:val="BlockText-ListBullet4"/>
    <w:semiHidden/>
    <w:rsid w:val="00CB582D"/>
    <w:pPr>
      <w:numPr>
        <w:ilvl w:val="4"/>
      </w:numPr>
      <w:tabs>
        <w:tab w:val="num" w:pos="2835"/>
        <w:tab w:val="left" w:pos="3402"/>
      </w:tabs>
      <w:ind w:left="2835"/>
    </w:pPr>
  </w:style>
  <w:style w:type="paragraph" w:customStyle="1" w:styleId="ListLetter2">
    <w:name w:val="List Letter 2"/>
    <w:basedOn w:val="ListLetter"/>
    <w:semiHidden/>
    <w:rsid w:val="00360728"/>
    <w:pPr>
      <w:numPr>
        <w:ilvl w:val="1"/>
      </w:numPr>
    </w:pPr>
  </w:style>
  <w:style w:type="paragraph" w:customStyle="1" w:styleId="ListLetter3">
    <w:name w:val="List Letter 3"/>
    <w:basedOn w:val="ListLetter2"/>
    <w:semiHidden/>
    <w:rsid w:val="00360728"/>
    <w:pPr>
      <w:numPr>
        <w:ilvl w:val="2"/>
      </w:numPr>
    </w:pPr>
  </w:style>
  <w:style w:type="paragraph" w:customStyle="1" w:styleId="ListLetter4">
    <w:name w:val="List Letter 4"/>
    <w:basedOn w:val="ListLetter3"/>
    <w:semiHidden/>
    <w:rsid w:val="00360728"/>
    <w:pPr>
      <w:numPr>
        <w:ilvl w:val="3"/>
      </w:numPr>
    </w:pPr>
  </w:style>
  <w:style w:type="paragraph" w:customStyle="1" w:styleId="ListLetter5">
    <w:name w:val="List Letter 5"/>
    <w:basedOn w:val="ListLetter4"/>
    <w:semiHidden/>
    <w:rsid w:val="00360728"/>
    <w:pPr>
      <w:numPr>
        <w:ilvl w:val="4"/>
      </w:numPr>
    </w:pPr>
  </w:style>
  <w:style w:type="paragraph" w:customStyle="1" w:styleId="ListRoman">
    <w:name w:val="List Roman"/>
    <w:basedOn w:val="Normal"/>
    <w:semiHidden/>
    <w:rsid w:val="00982BA5"/>
    <w:pPr>
      <w:numPr>
        <w:numId w:val="10"/>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style>
  <w:style w:type="paragraph" w:customStyle="1" w:styleId="ListRoman2">
    <w:name w:val="List Roman 2"/>
    <w:basedOn w:val="ListRoman"/>
    <w:semiHidden/>
    <w:rsid w:val="00F36A43"/>
    <w:pPr>
      <w:numPr>
        <w:ilvl w:val="1"/>
      </w:numPr>
    </w:pPr>
  </w:style>
  <w:style w:type="paragraph" w:customStyle="1" w:styleId="ListRoman3">
    <w:name w:val="List Roman 3"/>
    <w:basedOn w:val="ListRoman2"/>
    <w:semiHidden/>
    <w:rsid w:val="00F36A43"/>
    <w:pPr>
      <w:numPr>
        <w:ilvl w:val="2"/>
      </w:numPr>
    </w:pPr>
  </w:style>
  <w:style w:type="paragraph" w:customStyle="1" w:styleId="ListRoman4">
    <w:name w:val="List Roman 4"/>
    <w:basedOn w:val="ListRoman3"/>
    <w:semiHidden/>
    <w:rsid w:val="00F36A43"/>
    <w:pPr>
      <w:numPr>
        <w:ilvl w:val="3"/>
      </w:numPr>
    </w:pPr>
  </w:style>
  <w:style w:type="paragraph" w:customStyle="1" w:styleId="ListRoman5">
    <w:name w:val="List Roman 5"/>
    <w:basedOn w:val="ListRoman4"/>
    <w:semiHidden/>
    <w:rsid w:val="00F36A43"/>
    <w:pPr>
      <w:numPr>
        <w:ilvl w:val="4"/>
      </w:numPr>
    </w:pPr>
  </w:style>
  <w:style w:type="paragraph" w:customStyle="1" w:styleId="BlockText-ListNumber">
    <w:name w:val="Block Text - List Number"/>
    <w:basedOn w:val="BlockText"/>
    <w:semiHidden/>
    <w:rsid w:val="0042409B"/>
    <w:pPr>
      <w:numPr>
        <w:numId w:val="11"/>
      </w:numPr>
    </w:pPr>
  </w:style>
  <w:style w:type="paragraph" w:customStyle="1" w:styleId="BlockText-ListNumber2">
    <w:name w:val="Block Text - List Number 2"/>
    <w:basedOn w:val="BlockText-ListNumber"/>
    <w:semiHidden/>
    <w:rsid w:val="00CD7A03"/>
    <w:pPr>
      <w:numPr>
        <w:ilvl w:val="1"/>
      </w:numPr>
      <w:ind w:right="0"/>
    </w:pPr>
  </w:style>
  <w:style w:type="paragraph" w:customStyle="1" w:styleId="BlockText-ListNumber3">
    <w:name w:val="Block Text - List Number 3"/>
    <w:basedOn w:val="BlockText-ListNumber2"/>
    <w:semiHidden/>
    <w:rsid w:val="0042409B"/>
    <w:pPr>
      <w:numPr>
        <w:ilvl w:val="2"/>
      </w:numPr>
    </w:pPr>
  </w:style>
  <w:style w:type="paragraph" w:customStyle="1" w:styleId="BlockText-ListNumber4">
    <w:name w:val="Block Text - List Number 4"/>
    <w:basedOn w:val="BlockText-ListNumber3"/>
    <w:semiHidden/>
    <w:rsid w:val="0042409B"/>
    <w:pPr>
      <w:numPr>
        <w:ilvl w:val="3"/>
      </w:numPr>
    </w:pPr>
  </w:style>
  <w:style w:type="paragraph" w:customStyle="1" w:styleId="BlockText-ListNumber5">
    <w:name w:val="Block Text - List Number 5"/>
    <w:basedOn w:val="BlockText-ListNumber4"/>
    <w:semiHidden/>
    <w:rsid w:val="0042409B"/>
    <w:pPr>
      <w:numPr>
        <w:ilvl w:val="4"/>
      </w:numPr>
    </w:pPr>
  </w:style>
  <w:style w:type="paragraph" w:customStyle="1" w:styleId="BlockText-ListLetter">
    <w:name w:val="Block Text - List Letter"/>
    <w:basedOn w:val="BlockText"/>
    <w:semiHidden/>
    <w:rsid w:val="00274836"/>
    <w:pPr>
      <w:numPr>
        <w:numId w:val="12"/>
      </w:numPr>
    </w:pPr>
  </w:style>
  <w:style w:type="paragraph" w:customStyle="1" w:styleId="BlockText-ListLetter2">
    <w:name w:val="Block Text - List Letter 2"/>
    <w:basedOn w:val="BlockText-ListLetter"/>
    <w:semiHidden/>
    <w:rsid w:val="00CD7A03"/>
    <w:pPr>
      <w:numPr>
        <w:ilvl w:val="1"/>
      </w:numPr>
      <w:ind w:right="0"/>
    </w:pPr>
  </w:style>
  <w:style w:type="paragraph" w:customStyle="1" w:styleId="BlockText-ListLetter3">
    <w:name w:val="Block Text - List Letter 3"/>
    <w:basedOn w:val="BlockText-ListLetter2"/>
    <w:semiHidden/>
    <w:rsid w:val="00274836"/>
    <w:pPr>
      <w:numPr>
        <w:ilvl w:val="2"/>
      </w:numPr>
    </w:pPr>
  </w:style>
  <w:style w:type="paragraph" w:customStyle="1" w:styleId="BlockText-ListLetter4">
    <w:name w:val="Block Text - List Letter 4"/>
    <w:basedOn w:val="BlockText-ListLetter3"/>
    <w:semiHidden/>
    <w:rsid w:val="00274836"/>
    <w:pPr>
      <w:numPr>
        <w:ilvl w:val="3"/>
      </w:numPr>
    </w:pPr>
  </w:style>
  <w:style w:type="paragraph" w:customStyle="1" w:styleId="BlockText-ListLetter5">
    <w:name w:val="Block Text - List Letter 5"/>
    <w:basedOn w:val="BlockText-ListLetter4"/>
    <w:semiHidden/>
    <w:rsid w:val="00274836"/>
    <w:pPr>
      <w:numPr>
        <w:ilvl w:val="4"/>
      </w:numPr>
    </w:pPr>
  </w:style>
  <w:style w:type="paragraph" w:customStyle="1" w:styleId="BlockText-ListRoman">
    <w:name w:val="Block Text - List Roman"/>
    <w:basedOn w:val="BlockText"/>
    <w:semiHidden/>
    <w:rsid w:val="00806C7B"/>
    <w:pPr>
      <w:numPr>
        <w:numId w:val="13"/>
      </w:numPr>
    </w:pPr>
  </w:style>
  <w:style w:type="paragraph" w:customStyle="1" w:styleId="BlockText-ListRoman2">
    <w:name w:val="Block Text - List Roman 2"/>
    <w:basedOn w:val="BlockText-ListRoman"/>
    <w:semiHidden/>
    <w:rsid w:val="00CD7A03"/>
    <w:pPr>
      <w:numPr>
        <w:ilvl w:val="1"/>
      </w:numPr>
      <w:ind w:right="0"/>
    </w:pPr>
  </w:style>
  <w:style w:type="paragraph" w:customStyle="1" w:styleId="BlockText-ListRoman3">
    <w:name w:val="Block Text - List Roman 3"/>
    <w:basedOn w:val="BlockText-ListRoman2"/>
    <w:semiHidden/>
    <w:rsid w:val="00806C7B"/>
    <w:pPr>
      <w:numPr>
        <w:ilvl w:val="2"/>
      </w:numPr>
    </w:pPr>
  </w:style>
  <w:style w:type="paragraph" w:customStyle="1" w:styleId="BlockText-ListRoman4">
    <w:name w:val="Block Text - List Roman 4"/>
    <w:basedOn w:val="BlockText-ListRoman3"/>
    <w:semiHidden/>
    <w:rsid w:val="00806C7B"/>
    <w:pPr>
      <w:numPr>
        <w:ilvl w:val="3"/>
      </w:numPr>
    </w:pPr>
  </w:style>
  <w:style w:type="paragraph" w:customStyle="1" w:styleId="BlockText-ListRoman5">
    <w:name w:val="Block Text - List Roman 5"/>
    <w:basedOn w:val="BlockText-ListRoman4"/>
    <w:semiHidden/>
    <w:rsid w:val="00806C7B"/>
    <w:pPr>
      <w:numPr>
        <w:ilvl w:val="4"/>
      </w:numPr>
    </w:pPr>
  </w:style>
  <w:style w:type="paragraph" w:customStyle="1" w:styleId="Table-ListNumber">
    <w:name w:val="Table - List Number"/>
    <w:basedOn w:val="TableBody"/>
    <w:semiHidden/>
    <w:rsid w:val="005D1782"/>
    <w:pPr>
      <w:numPr>
        <w:numId w:val="14"/>
      </w:numPr>
    </w:pPr>
  </w:style>
  <w:style w:type="paragraph" w:customStyle="1" w:styleId="Table-ListLetter">
    <w:name w:val="Table - List Letter"/>
    <w:basedOn w:val="TableBody"/>
    <w:rsid w:val="00FA5CB8"/>
    <w:pPr>
      <w:numPr>
        <w:numId w:val="15"/>
      </w:numPr>
    </w:pPr>
  </w:style>
  <w:style w:type="paragraph" w:customStyle="1" w:styleId="Table-ListBullet2">
    <w:name w:val="Table - List Bullet 2"/>
    <w:basedOn w:val="Table-ListBullet"/>
    <w:semiHidden/>
    <w:rsid w:val="00EA6977"/>
    <w:pPr>
      <w:numPr>
        <w:ilvl w:val="1"/>
      </w:numPr>
    </w:pPr>
  </w:style>
  <w:style w:type="paragraph" w:customStyle="1" w:styleId="Table-ListBullet3">
    <w:name w:val="Table - List Bullet 3"/>
    <w:basedOn w:val="Table-ListBullet2"/>
    <w:semiHidden/>
    <w:rsid w:val="00EA6977"/>
    <w:pPr>
      <w:numPr>
        <w:ilvl w:val="2"/>
      </w:numPr>
    </w:pPr>
  </w:style>
  <w:style w:type="paragraph" w:customStyle="1" w:styleId="Table-ListNumber2">
    <w:name w:val="Table - List Number 2"/>
    <w:basedOn w:val="Table-ListNumber"/>
    <w:semiHidden/>
    <w:rsid w:val="005D1782"/>
    <w:pPr>
      <w:numPr>
        <w:ilvl w:val="1"/>
      </w:numPr>
    </w:pPr>
  </w:style>
  <w:style w:type="paragraph" w:customStyle="1" w:styleId="Table-ListNumber3">
    <w:name w:val="Table - List Number 3"/>
    <w:basedOn w:val="Table-ListNumber2"/>
    <w:semiHidden/>
    <w:rsid w:val="005D1782"/>
    <w:pPr>
      <w:numPr>
        <w:ilvl w:val="2"/>
      </w:numPr>
    </w:pPr>
  </w:style>
  <w:style w:type="paragraph" w:customStyle="1" w:styleId="Table-ListLetter2">
    <w:name w:val="Table - List Letter 2"/>
    <w:basedOn w:val="Table-ListLetter"/>
    <w:semiHidden/>
    <w:rsid w:val="005D1782"/>
    <w:pPr>
      <w:numPr>
        <w:ilvl w:val="1"/>
      </w:numPr>
    </w:pPr>
  </w:style>
  <w:style w:type="paragraph" w:customStyle="1" w:styleId="Table-ListLetter3">
    <w:name w:val="Table - List Letter 3"/>
    <w:basedOn w:val="Table-ListLetter2"/>
    <w:semiHidden/>
    <w:rsid w:val="005D1782"/>
    <w:pPr>
      <w:numPr>
        <w:ilvl w:val="2"/>
      </w:numPr>
    </w:pPr>
  </w:style>
  <w:style w:type="paragraph" w:customStyle="1" w:styleId="Table-ListRoman">
    <w:name w:val="Table - List Roman"/>
    <w:basedOn w:val="TableBody"/>
    <w:semiHidden/>
    <w:rsid w:val="00CB6A63"/>
    <w:pPr>
      <w:numPr>
        <w:numId w:val="16"/>
      </w:numPr>
    </w:pPr>
  </w:style>
  <w:style w:type="paragraph" w:customStyle="1" w:styleId="Table-ListRoman2">
    <w:name w:val="Table - List Roman 2"/>
    <w:basedOn w:val="Table-ListRoman"/>
    <w:semiHidden/>
    <w:rsid w:val="00CB6A63"/>
    <w:pPr>
      <w:numPr>
        <w:ilvl w:val="1"/>
      </w:numPr>
    </w:pPr>
  </w:style>
  <w:style w:type="paragraph" w:customStyle="1" w:styleId="Table-ListRoman3">
    <w:name w:val="Table - List Roman 3"/>
    <w:basedOn w:val="Table-ListRoman2"/>
    <w:semiHidden/>
    <w:rsid w:val="00CB6A63"/>
    <w:pPr>
      <w:numPr>
        <w:ilvl w:val="2"/>
      </w:numPr>
    </w:pPr>
  </w:style>
  <w:style w:type="paragraph" w:customStyle="1" w:styleId="BlockText-ListContinue">
    <w:name w:val="Block Text - List Continue"/>
    <w:basedOn w:val="BlockText"/>
    <w:semiHidden/>
    <w:rsid w:val="00D76532"/>
    <w:pPr>
      <w:numPr>
        <w:numId w:val="18"/>
      </w:numPr>
    </w:pPr>
  </w:style>
  <w:style w:type="paragraph" w:customStyle="1" w:styleId="BlockText-ListContinue2">
    <w:name w:val="Block Text - List Continue 2"/>
    <w:basedOn w:val="BlockText-ListContinue"/>
    <w:semiHidden/>
    <w:rsid w:val="00D76532"/>
    <w:pPr>
      <w:numPr>
        <w:ilvl w:val="1"/>
      </w:numPr>
    </w:pPr>
  </w:style>
  <w:style w:type="paragraph" w:customStyle="1" w:styleId="BlockText-ListContinue3">
    <w:name w:val="Block Text - List Continue 3"/>
    <w:basedOn w:val="BlockText-ListContinue2"/>
    <w:semiHidden/>
    <w:rsid w:val="00D76532"/>
    <w:pPr>
      <w:numPr>
        <w:ilvl w:val="2"/>
      </w:numPr>
    </w:pPr>
  </w:style>
  <w:style w:type="paragraph" w:customStyle="1" w:styleId="BlockText-ListContinue4">
    <w:name w:val="Block Text - List Continue 4"/>
    <w:basedOn w:val="BlockText-ListContinue3"/>
    <w:semiHidden/>
    <w:rsid w:val="00D76532"/>
    <w:pPr>
      <w:numPr>
        <w:ilvl w:val="3"/>
      </w:numPr>
    </w:pPr>
  </w:style>
  <w:style w:type="paragraph" w:customStyle="1" w:styleId="BlockText-ListContinue5">
    <w:name w:val="Block Text - List Continue 5"/>
    <w:basedOn w:val="BlockText-ListContinue4"/>
    <w:semiHidden/>
    <w:rsid w:val="00D76532"/>
    <w:pPr>
      <w:numPr>
        <w:ilvl w:val="4"/>
      </w:numPr>
    </w:pPr>
  </w:style>
  <w:style w:type="paragraph" w:customStyle="1" w:styleId="Frontmatter">
    <w:name w:val="Frontmatter"/>
    <w:basedOn w:val="Normal"/>
    <w:unhideWhenUsed/>
    <w:rsid w:val="00982BA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20"/>
    </w:pPr>
    <w:rPr>
      <w:sz w:val="20"/>
    </w:rPr>
  </w:style>
  <w:style w:type="paragraph" w:customStyle="1" w:styleId="Titlepagetitle">
    <w:name w:val="Titlepage title"/>
    <w:semiHidden/>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semiHidden/>
    <w:rsid w:val="0026498C"/>
    <w:pPr>
      <w:spacing w:before="320"/>
    </w:pPr>
    <w:rPr>
      <w:sz w:val="32"/>
    </w:rPr>
  </w:style>
  <w:style w:type="character" w:customStyle="1" w:styleId="Bolditalic">
    <w:name w:val="Bold italic"/>
    <w:rsid w:val="00ED2312"/>
    <w:rPr>
      <w:b/>
      <w:i/>
    </w:rPr>
  </w:style>
  <w:style w:type="paragraph" w:styleId="DocumentMap">
    <w:name w:val="Document Map"/>
    <w:basedOn w:val="Normal"/>
    <w:link w:val="DocumentMapChar"/>
    <w:rsid w:val="00ED0217"/>
    <w:pPr>
      <w:shd w:val="clear" w:color="auto" w:fill="000080"/>
    </w:pPr>
    <w:rPr>
      <w:rFonts w:ascii="Tahoma" w:hAnsi="Tahoma" w:cs="Tahoma"/>
      <w:sz w:val="20"/>
      <w:szCs w:val="20"/>
    </w:rPr>
  </w:style>
  <w:style w:type="paragraph" w:customStyle="1" w:styleId="Wiki">
    <w:name w:val="Wiki"/>
    <w:basedOn w:val="Normal"/>
    <w:semiHidden/>
    <w:rsid w:val="00982BA5"/>
  </w:style>
  <w:style w:type="paragraph" w:styleId="Caption">
    <w:name w:val="caption"/>
    <w:basedOn w:val="Normal"/>
    <w:next w:val="Title-BudgetSnapshot"/>
    <w:rsid w:val="00982BA5"/>
    <w:rPr>
      <w:b/>
      <w:bCs/>
      <w:sz w:val="20"/>
      <w:szCs w:val="20"/>
    </w:rPr>
  </w:style>
  <w:style w:type="paragraph" w:customStyle="1" w:styleId="Logo-Centred">
    <w:name w:val="Logo - Centred"/>
    <w:basedOn w:val="Normal"/>
    <w:semiHidden/>
    <w:rsid w:val="00982BA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jc w:val="center"/>
    </w:pPr>
  </w:style>
  <w:style w:type="character" w:styleId="CommentReference">
    <w:name w:val="annotation reference"/>
    <w:uiPriority w:val="99"/>
    <w:rsid w:val="005913F7"/>
    <w:rPr>
      <w:sz w:val="16"/>
      <w:szCs w:val="16"/>
    </w:rPr>
  </w:style>
  <w:style w:type="paragraph" w:styleId="CommentText">
    <w:name w:val="annotation text"/>
    <w:basedOn w:val="Normal"/>
    <w:link w:val="CommentTextChar"/>
    <w:uiPriority w:val="99"/>
    <w:rsid w:val="005913F7"/>
    <w:rPr>
      <w:sz w:val="20"/>
      <w:szCs w:val="20"/>
    </w:rPr>
  </w:style>
  <w:style w:type="paragraph" w:styleId="BalloonText">
    <w:name w:val="Balloon Text"/>
    <w:basedOn w:val="Normal"/>
    <w:link w:val="BalloonTextChar"/>
    <w:rsid w:val="005913F7"/>
    <w:rPr>
      <w:rFonts w:ascii="Tahoma" w:hAnsi="Tahoma" w:cs="Tahoma"/>
      <w:sz w:val="16"/>
      <w:szCs w:val="16"/>
    </w:rPr>
  </w:style>
  <w:style w:type="paragraph" w:styleId="CommentSubject">
    <w:name w:val="annotation subject"/>
    <w:basedOn w:val="CommentText"/>
    <w:next w:val="CommentText"/>
    <w:link w:val="CommentSubjectChar"/>
    <w:rsid w:val="00CB148C"/>
    <w:rPr>
      <w:b/>
      <w:bCs/>
    </w:rPr>
  </w:style>
  <w:style w:type="paragraph" w:customStyle="1" w:styleId="Contentsheading">
    <w:name w:val="Contents heading"/>
    <w:semiHidden/>
    <w:unhideWhenUsed/>
    <w:rsid w:val="006720B0"/>
    <w:pPr>
      <w:pageBreakBefore/>
      <w:spacing w:after="360"/>
    </w:pPr>
    <w:rPr>
      <w:rFonts w:ascii="Arial" w:hAnsi="Arial" w:cs="Arial"/>
      <w:b/>
      <w:bCs/>
      <w:kern w:val="32"/>
      <w:sz w:val="37"/>
      <w:szCs w:val="32"/>
      <w:lang w:eastAsia="en-GB"/>
    </w:rPr>
  </w:style>
  <w:style w:type="paragraph" w:customStyle="1" w:styleId="Title-FrontPage">
    <w:name w:val="Title - Front Page"/>
    <w:semiHidden/>
    <w:rsid w:val="003E4D48"/>
    <w:pPr>
      <w:spacing w:after="180"/>
      <w:jc w:val="center"/>
    </w:pPr>
    <w:rPr>
      <w:rFonts w:ascii="Arial" w:hAnsi="Arial" w:cs="Arial"/>
      <w:b/>
      <w:bCs/>
      <w:color w:val="005984"/>
      <w:kern w:val="32"/>
      <w:sz w:val="44"/>
      <w:szCs w:val="32"/>
      <w:lang w:eastAsia="en-GB"/>
    </w:rPr>
  </w:style>
  <w:style w:type="paragraph" w:customStyle="1" w:styleId="Initiative-Bold">
    <w:name w:val="Initiative - Bold"/>
    <w:basedOn w:val="ListBullet"/>
    <w:next w:val="Initiative-Description"/>
    <w:semiHidden/>
    <w:rsid w:val="00982BA5"/>
    <w:p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after="100"/>
    </w:pPr>
    <w:rPr>
      <w:b/>
      <w:noProof/>
      <w:lang w:eastAsia="en-AU"/>
    </w:rPr>
  </w:style>
  <w:style w:type="paragraph" w:customStyle="1" w:styleId="Initiative-Description">
    <w:name w:val="Initiative - Description"/>
    <w:basedOn w:val="ListContinue"/>
    <w:next w:val="Initiative-Bold"/>
    <w:semiHidden/>
    <w:rsid w:val="00982BA5"/>
    <w:pPr>
      <w:numPr>
        <w:numId w:val="0"/>
      </w:numPr>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after="100"/>
      <w:ind w:left="567"/>
    </w:pPr>
    <w:rPr>
      <w:noProof/>
    </w:rPr>
  </w:style>
  <w:style w:type="paragraph" w:customStyle="1" w:styleId="Tick">
    <w:name w:val="Tick"/>
    <w:basedOn w:val="Normal"/>
    <w:semiHidden/>
    <w:unhideWhenUsed/>
    <w:rsid w:val="00FE1613"/>
    <w:pPr>
      <w:jc w:val="center"/>
    </w:pPr>
    <w:rPr>
      <w:b/>
      <w:sz w:val="28"/>
    </w:rPr>
  </w:style>
  <w:style w:type="character" w:customStyle="1" w:styleId="BodyTextChar">
    <w:name w:val="Body Text Char"/>
    <w:link w:val="BodyText"/>
    <w:rsid w:val="00A5611D"/>
    <w:rPr>
      <w:rFonts w:ascii="Arial" w:hAnsi="Arial"/>
      <w:sz w:val="24"/>
      <w:szCs w:val="22"/>
      <w:lang w:val="en-AU" w:eastAsia="en-GB" w:bidi="ar-SA"/>
    </w:rPr>
  </w:style>
  <w:style w:type="paragraph" w:customStyle="1" w:styleId="Issues-Discussion">
    <w:name w:val="Issues - Discussion"/>
    <w:basedOn w:val="Normal"/>
    <w:semiHidden/>
    <w:rsid w:val="00982BA5"/>
    <w:pPr>
      <w:keepLines/>
      <w:spacing w:after="180"/>
    </w:pPr>
  </w:style>
  <w:style w:type="paragraph" w:customStyle="1" w:styleId="Body">
    <w:name w:val="Body"/>
    <w:basedOn w:val="Normal"/>
    <w:qFormat/>
    <w:rsid w:val="008F5C02"/>
    <w:pPr>
      <w:spacing w:after="180"/>
    </w:pPr>
    <w:rPr>
      <w:sz w:val="23"/>
    </w:rPr>
  </w:style>
  <w:style w:type="paragraph" w:customStyle="1" w:styleId="TableTextLeft">
    <w:name w:val="Table Text Left"/>
    <w:basedOn w:val="Normal"/>
    <w:rsid w:val="00974CCC"/>
    <w:pPr>
      <w:spacing w:before="40" w:after="20"/>
      <w:ind w:left="142" w:hanging="142"/>
    </w:pPr>
    <w:rPr>
      <w:sz w:val="18"/>
      <w:szCs w:val="18"/>
      <w:lang w:eastAsia="en-US"/>
    </w:rPr>
  </w:style>
  <w:style w:type="paragraph" w:customStyle="1" w:styleId="Tablenote">
    <w:name w:val="Table note"/>
    <w:basedOn w:val="Normal"/>
    <w:semiHidden/>
    <w:rsid w:val="00850F11"/>
    <w:pPr>
      <w:spacing w:before="60"/>
    </w:pPr>
    <w:rPr>
      <w:sz w:val="18"/>
    </w:rPr>
  </w:style>
  <w:style w:type="character" w:customStyle="1" w:styleId="HeaderChar">
    <w:name w:val="Header Char"/>
    <w:link w:val="Header"/>
    <w:uiPriority w:val="99"/>
    <w:rsid w:val="003518F9"/>
    <w:rPr>
      <w:rFonts w:ascii="Arial" w:hAnsi="Arial"/>
      <w:sz w:val="24"/>
      <w:szCs w:val="22"/>
      <w:lang w:eastAsia="en-GB"/>
    </w:rPr>
  </w:style>
  <w:style w:type="paragraph" w:customStyle="1" w:styleId="TableNumber">
    <w:name w:val="Table Number"/>
    <w:basedOn w:val="Normal"/>
    <w:next w:val="Normal"/>
    <w:rsid w:val="00700117"/>
    <w:pPr>
      <w:keepNext/>
      <w:keepLines/>
      <w:spacing w:before="60"/>
      <w:jc w:val="center"/>
    </w:pPr>
    <w:rPr>
      <w:b/>
      <w:sz w:val="20"/>
      <w:szCs w:val="20"/>
      <w:lang w:eastAsia="en-US"/>
    </w:rPr>
  </w:style>
  <w:style w:type="character" w:customStyle="1" w:styleId="TablesubheadingsChar">
    <w:name w:val="Table subheadings Char"/>
    <w:link w:val="Tablesubheadings"/>
    <w:semiHidden/>
    <w:rsid w:val="004850A5"/>
    <w:rPr>
      <w:rFonts w:ascii="Arial" w:hAnsi="Arial"/>
      <w:b/>
      <w:sz w:val="18"/>
      <w:szCs w:val="22"/>
      <w:lang w:eastAsia="en-GB"/>
    </w:rPr>
  </w:style>
  <w:style w:type="paragraph" w:customStyle="1" w:styleId="Figure">
    <w:name w:val="Figure"/>
    <w:basedOn w:val="Body"/>
    <w:next w:val="Body"/>
    <w:rsid w:val="00F0142F"/>
    <w:pPr>
      <w:spacing w:before="360" w:after="240"/>
    </w:pPr>
    <w:rPr>
      <w:b/>
      <w:sz w:val="18"/>
    </w:rPr>
  </w:style>
  <w:style w:type="character" w:customStyle="1" w:styleId="FooterChar">
    <w:name w:val="Footer Char"/>
    <w:link w:val="Footer"/>
    <w:uiPriority w:val="99"/>
    <w:rsid w:val="003518F9"/>
    <w:rPr>
      <w:rFonts w:ascii="Arial" w:hAnsi="Arial"/>
      <w:sz w:val="24"/>
      <w:szCs w:val="22"/>
      <w:lang w:eastAsia="en-GB"/>
    </w:rPr>
  </w:style>
  <w:style w:type="paragraph" w:customStyle="1" w:styleId="TableTextRight">
    <w:name w:val="Table Text Right"/>
    <w:basedOn w:val="TableTextLeft"/>
    <w:rsid w:val="00974CCC"/>
    <w:pPr>
      <w:ind w:left="357" w:hanging="357"/>
      <w:jc w:val="right"/>
    </w:pPr>
    <w:rPr>
      <w:szCs w:val="20"/>
    </w:rPr>
  </w:style>
  <w:style w:type="paragraph" w:customStyle="1" w:styleId="BudgetTableTextLeft">
    <w:name w:val="Budget Table Text Left"/>
    <w:basedOn w:val="Normal"/>
    <w:uiPriority w:val="99"/>
    <w:rsid w:val="00FA5CB8"/>
    <w:pPr>
      <w:spacing w:before="40" w:after="20"/>
      <w:ind w:left="142" w:hanging="142"/>
    </w:pPr>
    <w:rPr>
      <w:sz w:val="17"/>
      <w:szCs w:val="18"/>
      <w:lang w:eastAsia="en-US"/>
    </w:rPr>
  </w:style>
  <w:style w:type="character" w:customStyle="1" w:styleId="NoteHeadingChar">
    <w:name w:val="Note Heading Char"/>
    <w:link w:val="NoteHeading"/>
    <w:rsid w:val="0082275F"/>
    <w:rPr>
      <w:rFonts w:ascii="Arial" w:hAnsi="Arial"/>
      <w:sz w:val="24"/>
      <w:szCs w:val="22"/>
      <w:lang w:val="en-AU" w:eastAsia="en-GB" w:bidi="ar-SA"/>
    </w:rPr>
  </w:style>
  <w:style w:type="character" w:customStyle="1" w:styleId="Heading2Char">
    <w:name w:val="Heading 2 Char"/>
    <w:link w:val="Heading2"/>
    <w:locked/>
    <w:rsid w:val="00866299"/>
    <w:rPr>
      <w:rFonts w:ascii="Arial" w:hAnsi="Arial" w:cs="Arial"/>
      <w:b/>
      <w:iCs/>
      <w:kern w:val="32"/>
      <w:sz w:val="31"/>
      <w:szCs w:val="28"/>
      <w:lang w:eastAsia="en-GB"/>
    </w:rPr>
  </w:style>
  <w:style w:type="paragraph" w:customStyle="1" w:styleId="Budgettable-Underlineitalic">
    <w:name w:val="Budget table - Underline italic"/>
    <w:basedOn w:val="BudgetTableTextLeft"/>
    <w:uiPriority w:val="99"/>
    <w:rsid w:val="00FA5CB8"/>
    <w:rPr>
      <w:i/>
      <w:u w:val="single"/>
    </w:rPr>
  </w:style>
  <w:style w:type="paragraph" w:customStyle="1" w:styleId="Expenditure-capitalinitiatives">
    <w:name w:val="Expenditure - capital initiatives"/>
    <w:basedOn w:val="Body"/>
    <w:semiHidden/>
    <w:rsid w:val="00C2002B"/>
    <w:rPr>
      <w:b/>
    </w:rPr>
  </w:style>
  <w:style w:type="paragraph" w:customStyle="1" w:styleId="Duration">
    <w:name w:val="Duration"/>
    <w:basedOn w:val="Body"/>
    <w:rsid w:val="002346AB"/>
    <w:rPr>
      <w:i/>
    </w:rPr>
  </w:style>
  <w:style w:type="character" w:customStyle="1" w:styleId="Heading3Char">
    <w:name w:val="Heading 3 Char"/>
    <w:link w:val="Heading3"/>
    <w:rsid w:val="008F15DD"/>
    <w:rPr>
      <w:rFonts w:ascii="Arial" w:hAnsi="Arial" w:cs="Arial"/>
      <w:b/>
      <w:bCs/>
      <w:iCs/>
      <w:color w:val="999999"/>
      <w:kern w:val="32"/>
      <w:sz w:val="27"/>
      <w:szCs w:val="26"/>
      <w:lang w:eastAsia="en-GB"/>
    </w:rPr>
  </w:style>
  <w:style w:type="character" w:customStyle="1" w:styleId="Heading4Char">
    <w:name w:val="Heading 4 Char"/>
    <w:link w:val="Heading4"/>
    <w:rsid w:val="003518F9"/>
    <w:rPr>
      <w:rFonts w:ascii="Arial" w:hAnsi="Arial" w:cs="Arial"/>
      <w:b/>
      <w:i/>
      <w:iCs/>
      <w:color w:val="7F7F7F" w:themeColor="text1" w:themeTint="80"/>
      <w:kern w:val="32"/>
      <w:sz w:val="26"/>
      <w:szCs w:val="28"/>
      <w:lang w:eastAsia="en-GB"/>
    </w:rPr>
  </w:style>
  <w:style w:type="paragraph" w:customStyle="1" w:styleId="Tablefinyrheadings">
    <w:name w:val="Table fin yr headings"/>
    <w:basedOn w:val="Normal"/>
    <w:semiHidden/>
    <w:rsid w:val="00974CCC"/>
    <w:pPr>
      <w:jc w:val="right"/>
    </w:pPr>
    <w:rPr>
      <w:b/>
      <w:sz w:val="20"/>
    </w:rPr>
  </w:style>
  <w:style w:type="paragraph" w:customStyle="1" w:styleId="Tablesubheadings">
    <w:name w:val="Table subheadings"/>
    <w:basedOn w:val="Normal"/>
    <w:link w:val="TablesubheadingsChar"/>
    <w:semiHidden/>
    <w:rsid w:val="00F64F90"/>
    <w:pPr>
      <w:spacing w:before="40" w:after="20"/>
    </w:pPr>
    <w:rPr>
      <w:b/>
      <w:sz w:val="18"/>
    </w:rPr>
  </w:style>
  <w:style w:type="paragraph" w:customStyle="1" w:styleId="TableTextRightTotals">
    <w:name w:val="Table Text Right Totals"/>
    <w:basedOn w:val="TableTextRight"/>
    <w:semiHidden/>
    <w:rsid w:val="00974CCC"/>
    <w:rPr>
      <w:b/>
      <w:bCs/>
    </w:rPr>
  </w:style>
  <w:style w:type="paragraph" w:customStyle="1" w:styleId="BudgetTablefinyrheadings">
    <w:name w:val="Budget Table fin yr headings"/>
    <w:basedOn w:val="Normal"/>
    <w:uiPriority w:val="99"/>
    <w:rsid w:val="00FA5CB8"/>
    <w:pPr>
      <w:jc w:val="right"/>
    </w:pPr>
    <w:rPr>
      <w:b/>
      <w:sz w:val="17"/>
    </w:rPr>
  </w:style>
  <w:style w:type="paragraph" w:customStyle="1" w:styleId="BudgetTableleftcolumnheading">
    <w:name w:val="Budget Table left column heading"/>
    <w:basedOn w:val="BudgetTablefinyrheadings"/>
    <w:uiPriority w:val="99"/>
    <w:rsid w:val="00FA5CB8"/>
    <w:pPr>
      <w:jc w:val="left"/>
    </w:pPr>
  </w:style>
  <w:style w:type="paragraph" w:customStyle="1" w:styleId="BudgetTableName">
    <w:name w:val="Budget Table Name"/>
    <w:basedOn w:val="Normal"/>
    <w:uiPriority w:val="98"/>
    <w:rsid w:val="00FA5CB8"/>
    <w:pPr>
      <w:keepNext/>
      <w:keepLines/>
      <w:spacing w:before="360" w:after="120"/>
    </w:pPr>
    <w:rPr>
      <w:b/>
      <w:sz w:val="20"/>
      <w:szCs w:val="20"/>
      <w:lang w:eastAsia="en-US"/>
    </w:rPr>
  </w:style>
  <w:style w:type="paragraph" w:customStyle="1" w:styleId="BudgetTablenote">
    <w:name w:val="Budget Table note"/>
    <w:basedOn w:val="Normal"/>
    <w:uiPriority w:val="99"/>
    <w:rsid w:val="00FA5CB8"/>
    <w:pPr>
      <w:spacing w:before="60"/>
    </w:pPr>
    <w:rPr>
      <w:sz w:val="18"/>
    </w:rPr>
  </w:style>
  <w:style w:type="paragraph" w:customStyle="1" w:styleId="BudgetTablesubheadings">
    <w:name w:val="Budget Table subheadings"/>
    <w:basedOn w:val="Normal"/>
    <w:link w:val="BudgetTablesubheadingsChar"/>
    <w:uiPriority w:val="99"/>
    <w:rsid w:val="00FA5CB8"/>
    <w:pPr>
      <w:spacing w:before="40" w:after="20"/>
    </w:pPr>
    <w:rPr>
      <w:b/>
      <w:sz w:val="17"/>
    </w:rPr>
  </w:style>
  <w:style w:type="character" w:customStyle="1" w:styleId="BudgetTablesubheadingsChar">
    <w:name w:val="Budget Table subheadings Char"/>
    <w:link w:val="BudgetTablesubheadings"/>
    <w:uiPriority w:val="99"/>
    <w:rsid w:val="00FA5CB8"/>
    <w:rPr>
      <w:rFonts w:ascii="Arial" w:hAnsi="Arial"/>
      <w:b/>
      <w:sz w:val="17"/>
      <w:szCs w:val="22"/>
      <w:lang w:eastAsia="en-GB"/>
    </w:rPr>
  </w:style>
  <w:style w:type="paragraph" w:customStyle="1" w:styleId="BudgetTableTextRight">
    <w:name w:val="Budget Table Text Right"/>
    <w:basedOn w:val="BudgetTableTextLeft"/>
    <w:uiPriority w:val="99"/>
    <w:rsid w:val="00FA5CB8"/>
    <w:pPr>
      <w:ind w:left="357" w:hanging="357"/>
      <w:jc w:val="right"/>
    </w:pPr>
    <w:rPr>
      <w:szCs w:val="20"/>
    </w:rPr>
  </w:style>
  <w:style w:type="paragraph" w:customStyle="1" w:styleId="BudgetTableTextRightTotals">
    <w:name w:val="Budget Table Text Right Totals"/>
    <w:basedOn w:val="BudgetTableTextRight"/>
    <w:uiPriority w:val="99"/>
    <w:rsid w:val="00FA5CB8"/>
    <w:rPr>
      <w:b/>
      <w:bCs/>
    </w:rPr>
  </w:style>
  <w:style w:type="paragraph" w:customStyle="1" w:styleId="Table-Ticknotes">
    <w:name w:val="Table - Tick notes"/>
    <w:basedOn w:val="Normal"/>
    <w:rsid w:val="00FA5CB8"/>
    <w:pPr>
      <w:jc w:val="center"/>
    </w:pPr>
    <w:rPr>
      <w:rFonts w:cs="Arial"/>
      <w:sz w:val="16"/>
      <w:szCs w:val="16"/>
    </w:rPr>
  </w:style>
  <w:style w:type="character" w:customStyle="1" w:styleId="BStabletextChar">
    <w:name w:val="BS_table text Char"/>
    <w:link w:val="BStabletext"/>
    <w:locked/>
    <w:rsid w:val="00EC217A"/>
    <w:rPr>
      <w:rFonts w:ascii="Calibri" w:hAnsi="Calibri" w:cs="Calibri"/>
      <w:bCs/>
    </w:rPr>
  </w:style>
  <w:style w:type="paragraph" w:customStyle="1" w:styleId="BStabletext">
    <w:name w:val="BS_table text"/>
    <w:basedOn w:val="Normal"/>
    <w:link w:val="BStabletextChar"/>
    <w:autoRedefine/>
    <w:rsid w:val="00EC217A"/>
    <w:pPr>
      <w:ind w:left="227" w:hanging="227"/>
    </w:pPr>
    <w:rPr>
      <w:rFonts w:ascii="Calibri" w:hAnsi="Calibri" w:cs="Calibri"/>
      <w:bCs/>
      <w:sz w:val="20"/>
      <w:szCs w:val="20"/>
      <w:lang w:eastAsia="en-AU"/>
    </w:rPr>
  </w:style>
  <w:style w:type="character" w:customStyle="1" w:styleId="BStableheadingChar">
    <w:name w:val="BS_table heading Char"/>
    <w:basedOn w:val="DefaultParagraphFont"/>
    <w:link w:val="BStableheading"/>
    <w:locked/>
    <w:rsid w:val="00EC217A"/>
    <w:rPr>
      <w:rFonts w:ascii="Calibri" w:hAnsi="Calibri" w:cs="Calibri"/>
      <w:b/>
    </w:rPr>
  </w:style>
  <w:style w:type="paragraph" w:customStyle="1" w:styleId="BStableheading">
    <w:name w:val="BS_table heading"/>
    <w:basedOn w:val="Normal"/>
    <w:link w:val="BStableheadingChar"/>
    <w:rsid w:val="00EC217A"/>
    <w:pPr>
      <w:framePr w:wrap="around" w:vAnchor="text" w:hAnchor="text" w:y="1"/>
      <w:jc w:val="right"/>
    </w:pPr>
    <w:rPr>
      <w:rFonts w:ascii="Calibri" w:hAnsi="Calibri" w:cs="Calibri"/>
      <w:b/>
      <w:sz w:val="20"/>
      <w:szCs w:val="20"/>
      <w:lang w:eastAsia="en-AU"/>
    </w:rPr>
  </w:style>
  <w:style w:type="paragraph" w:customStyle="1" w:styleId="BStabletextbold">
    <w:name w:val="BS_table text bold"/>
    <w:basedOn w:val="BStabletext"/>
    <w:rsid w:val="00EC217A"/>
    <w:rPr>
      <w:b/>
    </w:rPr>
  </w:style>
  <w:style w:type="paragraph" w:customStyle="1" w:styleId="BStablefigures">
    <w:name w:val="BS_table figures"/>
    <w:basedOn w:val="BStabletext"/>
    <w:link w:val="BStablefiguresChar"/>
    <w:autoRedefine/>
    <w:rsid w:val="00EC217A"/>
    <w:pPr>
      <w:jc w:val="right"/>
    </w:pPr>
    <w:rPr>
      <w:bCs w:val="0"/>
    </w:rPr>
  </w:style>
  <w:style w:type="character" w:customStyle="1" w:styleId="BStablefiguresChar">
    <w:name w:val="BS_table figures Char"/>
    <w:basedOn w:val="DefaultParagraphFont"/>
    <w:link w:val="BStablefigures"/>
    <w:locked/>
    <w:rsid w:val="00EC217A"/>
    <w:rPr>
      <w:rFonts w:ascii="Calibri" w:hAnsi="Calibri" w:cs="Calibri"/>
    </w:rPr>
  </w:style>
  <w:style w:type="numbering" w:customStyle="1" w:styleId="NoList1">
    <w:name w:val="No List1"/>
    <w:next w:val="NoList"/>
    <w:uiPriority w:val="99"/>
    <w:semiHidden/>
    <w:unhideWhenUsed/>
    <w:rsid w:val="00EC217A"/>
  </w:style>
  <w:style w:type="character" w:customStyle="1" w:styleId="Heading1Char">
    <w:name w:val="Heading 1 Char"/>
    <w:link w:val="Heading1"/>
    <w:locked/>
    <w:rsid w:val="00EC217A"/>
    <w:rPr>
      <w:rFonts w:ascii="Arial" w:hAnsi="Arial" w:cs="Arial"/>
      <w:b/>
      <w:bCs/>
      <w:kern w:val="32"/>
      <w:sz w:val="37"/>
      <w:szCs w:val="32"/>
      <w:lang w:eastAsia="en-GB"/>
    </w:rPr>
  </w:style>
  <w:style w:type="character" w:customStyle="1" w:styleId="Heading5Char">
    <w:name w:val="Heading 5 Char"/>
    <w:link w:val="Heading5"/>
    <w:locked/>
    <w:rsid w:val="00EC217A"/>
    <w:rPr>
      <w:rFonts w:ascii="Arial" w:hAnsi="Arial"/>
      <w:iCs/>
      <w:sz w:val="22"/>
      <w:szCs w:val="26"/>
      <w:lang w:eastAsia="en-GB"/>
    </w:rPr>
  </w:style>
  <w:style w:type="character" w:customStyle="1" w:styleId="Heading6Char">
    <w:name w:val="Heading 6 Char"/>
    <w:link w:val="Heading6"/>
    <w:locked/>
    <w:rsid w:val="00EC217A"/>
    <w:rPr>
      <w:rFonts w:ascii="Arial" w:hAnsi="Arial"/>
      <w:bCs/>
      <w:iCs/>
      <w:sz w:val="18"/>
      <w:szCs w:val="26"/>
      <w:lang w:eastAsia="en-GB"/>
    </w:rPr>
  </w:style>
  <w:style w:type="character" w:customStyle="1" w:styleId="Heading7Char">
    <w:name w:val="Heading 7 Char"/>
    <w:link w:val="Heading7"/>
    <w:locked/>
    <w:rsid w:val="00EC217A"/>
    <w:rPr>
      <w:rFonts w:ascii="Arial" w:hAnsi="Arial"/>
      <w:bCs/>
      <w:iCs/>
      <w:sz w:val="16"/>
      <w:szCs w:val="24"/>
      <w:lang w:eastAsia="en-GB"/>
    </w:rPr>
  </w:style>
  <w:style w:type="character" w:customStyle="1" w:styleId="Heading8Char">
    <w:name w:val="Heading 8 Char"/>
    <w:link w:val="Heading8"/>
    <w:locked/>
    <w:rsid w:val="00EC217A"/>
    <w:rPr>
      <w:rFonts w:ascii="Arial" w:hAnsi="Arial"/>
      <w:bCs/>
      <w:sz w:val="14"/>
      <w:szCs w:val="24"/>
      <w:lang w:eastAsia="en-GB"/>
    </w:rPr>
  </w:style>
  <w:style w:type="character" w:customStyle="1" w:styleId="Heading9Char">
    <w:name w:val="Heading 9 Char"/>
    <w:link w:val="Heading9"/>
    <w:locked/>
    <w:rsid w:val="00EC217A"/>
    <w:rPr>
      <w:rFonts w:ascii="Arial" w:hAnsi="Arial" w:cs="Arial"/>
      <w:sz w:val="24"/>
      <w:szCs w:val="22"/>
      <w:lang w:eastAsia="en-GB"/>
    </w:rPr>
  </w:style>
  <w:style w:type="paragraph" w:customStyle="1" w:styleId="TableHeadingCentre">
    <w:name w:val="Table Heading Centre"/>
    <w:basedOn w:val="Normal"/>
    <w:rsid w:val="00EC217A"/>
    <w:pPr>
      <w:keepNext/>
      <w:spacing w:before="200" w:after="200"/>
      <w:jc w:val="center"/>
    </w:pPr>
    <w:rPr>
      <w:rFonts w:ascii="Calibri" w:hAnsi="Calibri"/>
      <w:b/>
      <w:sz w:val="20"/>
      <w:szCs w:val="20"/>
      <w:lang w:eastAsia="en-US"/>
    </w:rPr>
  </w:style>
  <w:style w:type="character" w:customStyle="1" w:styleId="Heading3Char2">
    <w:name w:val="Heading 3 Char2"/>
    <w:locked/>
    <w:rsid w:val="00EC217A"/>
    <w:rPr>
      <w:rFonts w:ascii="Arial" w:hAnsi="Arial" w:cs="Arial"/>
      <w:b/>
      <w:bCs/>
      <w:sz w:val="26"/>
      <w:szCs w:val="26"/>
      <w:lang w:val="en-AU" w:eastAsia="en-US" w:bidi="ar-SA"/>
    </w:rPr>
  </w:style>
  <w:style w:type="character" w:customStyle="1" w:styleId="BodyTextIndentChar">
    <w:name w:val="Body Text Indent Char"/>
    <w:link w:val="BodyTextIndent"/>
    <w:locked/>
    <w:rsid w:val="00EC217A"/>
    <w:rPr>
      <w:rFonts w:ascii="Arial" w:hAnsi="Arial"/>
      <w:sz w:val="24"/>
      <w:szCs w:val="22"/>
      <w:lang w:eastAsia="en-GB"/>
    </w:rPr>
  </w:style>
  <w:style w:type="character" w:customStyle="1" w:styleId="BodyTextIndent2Char">
    <w:name w:val="Body Text Indent 2 Char"/>
    <w:link w:val="BodyTextIndent2"/>
    <w:locked/>
    <w:rsid w:val="00EC217A"/>
    <w:rPr>
      <w:rFonts w:ascii="Arial" w:hAnsi="Arial"/>
      <w:sz w:val="24"/>
      <w:szCs w:val="22"/>
      <w:lang w:eastAsia="en-GB"/>
    </w:rPr>
  </w:style>
  <w:style w:type="character" w:customStyle="1" w:styleId="BodyTextIndent3Char">
    <w:name w:val="Body Text Indent 3 Char"/>
    <w:link w:val="BodyTextIndent3"/>
    <w:uiPriority w:val="99"/>
    <w:locked/>
    <w:rsid w:val="00EC217A"/>
    <w:rPr>
      <w:rFonts w:ascii="Arial" w:hAnsi="Arial"/>
      <w:sz w:val="16"/>
      <w:szCs w:val="16"/>
      <w:lang w:eastAsia="en-GB"/>
    </w:rPr>
  </w:style>
  <w:style w:type="paragraph" w:customStyle="1" w:styleId="BodyTextIndent4">
    <w:name w:val="Body Text Indent 4"/>
    <w:basedOn w:val="BodyText"/>
    <w:next w:val="BodyText"/>
    <w:rsid w:val="00EC217A"/>
    <w:pPr>
      <w:keepNext/>
      <w:keepLines/>
      <w:numPr>
        <w:numId w:val="26"/>
      </w:numPr>
      <w:jc w:val="both"/>
    </w:pPr>
    <w:rPr>
      <w:rFonts w:ascii="Calibri" w:hAnsi="Calibri"/>
      <w:szCs w:val="20"/>
      <w:lang w:val="x-none" w:eastAsia="en-US"/>
    </w:rPr>
  </w:style>
  <w:style w:type="paragraph" w:customStyle="1" w:styleId="SIHeading1">
    <w:name w:val="SI Heading 1"/>
    <w:basedOn w:val="Normal"/>
    <w:next w:val="BodyText"/>
    <w:rsid w:val="00EC217A"/>
    <w:pPr>
      <w:keepNext/>
      <w:keepLines/>
      <w:spacing w:before="240" w:after="200"/>
      <w:jc w:val="center"/>
      <w:outlineLvl w:val="0"/>
    </w:pPr>
    <w:rPr>
      <w:b/>
      <w:kern w:val="28"/>
      <w:sz w:val="20"/>
      <w:szCs w:val="20"/>
      <w:lang w:eastAsia="en-US"/>
    </w:rPr>
  </w:style>
  <w:style w:type="paragraph" w:customStyle="1" w:styleId="SIHeading2">
    <w:name w:val="SI Heading 2"/>
    <w:basedOn w:val="Normal"/>
    <w:next w:val="BodyText"/>
    <w:rsid w:val="00EC217A"/>
    <w:pPr>
      <w:keepNext/>
      <w:keepLines/>
      <w:spacing w:before="200" w:after="240"/>
      <w:jc w:val="center"/>
      <w:outlineLvl w:val="0"/>
    </w:pPr>
    <w:rPr>
      <w:kern w:val="28"/>
      <w:sz w:val="20"/>
      <w:szCs w:val="20"/>
      <w:lang w:eastAsia="en-US"/>
    </w:rPr>
  </w:style>
  <w:style w:type="paragraph" w:customStyle="1" w:styleId="Tabletextindenta">
    <w:name w:val="Table text indent a"/>
    <w:aliases w:val="b,c...,c... BP3"/>
    <w:basedOn w:val="Normal"/>
    <w:autoRedefine/>
    <w:rsid w:val="00EC217A"/>
    <w:pPr>
      <w:numPr>
        <w:numId w:val="28"/>
      </w:numPr>
      <w:tabs>
        <w:tab w:val="clear" w:pos="360"/>
      </w:tabs>
      <w:spacing w:before="60" w:after="200"/>
    </w:pPr>
    <w:rPr>
      <w:rFonts w:ascii="Calibri" w:hAnsi="Calibri"/>
      <w:kern w:val="16"/>
      <w:sz w:val="20"/>
      <w:szCs w:val="24"/>
      <w:lang w:eastAsia="en-US"/>
    </w:rPr>
  </w:style>
  <w:style w:type="paragraph" w:customStyle="1" w:styleId="TableTextRightBold">
    <w:name w:val="Table Text Right Bold"/>
    <w:basedOn w:val="Normal"/>
    <w:rsid w:val="00EC217A"/>
    <w:pPr>
      <w:spacing w:before="200" w:after="200"/>
      <w:ind w:left="357" w:hanging="357"/>
      <w:jc w:val="right"/>
    </w:pPr>
    <w:rPr>
      <w:rFonts w:ascii="Calibri" w:hAnsi="Calibri"/>
      <w:b/>
      <w:sz w:val="20"/>
      <w:szCs w:val="20"/>
      <w:lang w:eastAsia="en-US"/>
    </w:rPr>
  </w:style>
  <w:style w:type="paragraph" w:customStyle="1" w:styleId="TableHeadingRight">
    <w:name w:val="Table Heading Right"/>
    <w:basedOn w:val="Normal"/>
    <w:rsid w:val="00EC217A"/>
    <w:pPr>
      <w:keepNext/>
      <w:spacing w:before="200" w:after="200"/>
      <w:jc w:val="right"/>
    </w:pPr>
    <w:rPr>
      <w:rFonts w:ascii="Calibri" w:hAnsi="Calibri"/>
      <w:b/>
      <w:sz w:val="20"/>
      <w:szCs w:val="24"/>
      <w:lang w:eastAsia="en-US"/>
    </w:rPr>
  </w:style>
  <w:style w:type="paragraph" w:customStyle="1" w:styleId="NoteText">
    <w:name w:val="Note Text"/>
    <w:basedOn w:val="Normal"/>
    <w:link w:val="NoteTextChar"/>
    <w:rsid w:val="00EC217A"/>
    <w:pPr>
      <w:spacing w:before="200" w:after="200"/>
      <w:jc w:val="both"/>
    </w:pPr>
    <w:rPr>
      <w:rFonts w:ascii="Calibri" w:hAnsi="Calibri"/>
      <w:iCs/>
      <w:sz w:val="16"/>
      <w:szCs w:val="20"/>
      <w:lang w:val="x-none" w:eastAsia="en-US"/>
    </w:rPr>
  </w:style>
  <w:style w:type="paragraph" w:customStyle="1" w:styleId="NoteHeading1">
    <w:name w:val="Note Heading1"/>
    <w:basedOn w:val="Normal"/>
    <w:autoRedefine/>
    <w:rsid w:val="00EC217A"/>
    <w:pPr>
      <w:spacing w:before="120" w:after="200"/>
      <w:ind w:left="28"/>
    </w:pPr>
    <w:rPr>
      <w:rFonts w:ascii="Calibri" w:hAnsi="Calibri"/>
      <w:b/>
      <w:bCs/>
      <w:sz w:val="20"/>
      <w:szCs w:val="20"/>
      <w:lang w:eastAsia="en-US"/>
    </w:rPr>
  </w:style>
  <w:style w:type="character" w:customStyle="1" w:styleId="BodyTextIndentChar2">
    <w:name w:val="Body Text Indent Char2"/>
    <w:locked/>
    <w:rsid w:val="00EC217A"/>
    <w:rPr>
      <w:rFonts w:cs="Times New Roman"/>
      <w:sz w:val="24"/>
      <w:szCs w:val="24"/>
      <w:lang w:val="en-AU" w:eastAsia="en-US" w:bidi="ar-SA"/>
    </w:rPr>
  </w:style>
  <w:style w:type="paragraph" w:customStyle="1" w:styleId="TableHeadingLeft">
    <w:name w:val="Table Heading Left"/>
    <w:basedOn w:val="Normal"/>
    <w:link w:val="TableHeadingLeftChar"/>
    <w:rsid w:val="00EC217A"/>
    <w:pPr>
      <w:keepNext/>
      <w:spacing w:before="200" w:after="200"/>
    </w:pPr>
    <w:rPr>
      <w:rFonts w:ascii="Calibri" w:hAnsi="Calibri"/>
      <w:b/>
      <w:sz w:val="20"/>
      <w:szCs w:val="20"/>
      <w:lang w:val="x-none" w:eastAsia="x-none"/>
    </w:rPr>
  </w:style>
  <w:style w:type="paragraph" w:customStyle="1" w:styleId="TableTextLeftBold">
    <w:name w:val="Table Text Left Bold"/>
    <w:basedOn w:val="Normal"/>
    <w:link w:val="TableTextLeftBoldChar"/>
    <w:rsid w:val="00EC217A"/>
    <w:pPr>
      <w:spacing w:before="200" w:after="200"/>
      <w:ind w:left="357" w:hanging="357"/>
    </w:pPr>
    <w:rPr>
      <w:rFonts w:ascii="Calibri" w:hAnsi="Calibri"/>
      <w:b/>
      <w:sz w:val="20"/>
      <w:szCs w:val="20"/>
      <w:lang w:val="x-none" w:eastAsia="en-US"/>
    </w:rPr>
  </w:style>
  <w:style w:type="paragraph" w:customStyle="1" w:styleId="TableNumbersRight">
    <w:name w:val="Table Numbers Right"/>
    <w:basedOn w:val="TableHeadingRight"/>
    <w:rsid w:val="00EC217A"/>
    <w:rPr>
      <w:b w:val="0"/>
    </w:rPr>
  </w:style>
  <w:style w:type="character" w:customStyle="1" w:styleId="TableHeadingLeftChar">
    <w:name w:val="Table Heading Left Char"/>
    <w:link w:val="TableHeadingLeft"/>
    <w:locked/>
    <w:rsid w:val="00EC217A"/>
    <w:rPr>
      <w:rFonts w:ascii="Calibri" w:hAnsi="Calibri"/>
      <w:b/>
      <w:lang w:val="x-none" w:eastAsia="x-none"/>
    </w:rPr>
  </w:style>
  <w:style w:type="paragraph" w:customStyle="1" w:styleId="FooterBP">
    <w:name w:val="Footer BP"/>
    <w:basedOn w:val="Normal"/>
    <w:next w:val="Normal"/>
    <w:rsid w:val="00EC217A"/>
    <w:pPr>
      <w:pBdr>
        <w:top w:val="single" w:sz="4" w:space="1" w:color="auto"/>
      </w:pBdr>
      <w:tabs>
        <w:tab w:val="center" w:pos="4536"/>
        <w:tab w:val="right" w:pos="9356"/>
      </w:tabs>
      <w:spacing w:before="200" w:after="200"/>
      <w:ind w:left="-284" w:right="-329"/>
    </w:pPr>
    <w:rPr>
      <w:rFonts w:ascii="Calibri" w:hAnsi="Calibri"/>
      <w:i/>
      <w:sz w:val="20"/>
      <w:szCs w:val="20"/>
      <w:lang w:eastAsia="en-US"/>
    </w:rPr>
  </w:style>
  <w:style w:type="character" w:customStyle="1" w:styleId="TableTextLeftBoldChar">
    <w:name w:val="Table Text Left Bold Char"/>
    <w:link w:val="TableTextLeftBold"/>
    <w:locked/>
    <w:rsid w:val="00EC217A"/>
    <w:rPr>
      <w:rFonts w:ascii="Calibri" w:hAnsi="Calibri"/>
      <w:b/>
      <w:lang w:val="x-none" w:eastAsia="en-US"/>
    </w:rPr>
  </w:style>
  <w:style w:type="paragraph" w:customStyle="1" w:styleId="Heading3TopofPage">
    <w:name w:val="Heading 3 Top of Page"/>
    <w:basedOn w:val="Heading3"/>
    <w:next w:val="BodyText"/>
    <w:link w:val="Heading3TopofPageChar"/>
    <w:rsid w:val="00EC217A"/>
    <w:pPr>
      <w:spacing w:before="0"/>
      <w:contextualSpacing/>
    </w:pPr>
    <w:rPr>
      <w:rFonts w:cs="Times New Roman"/>
      <w:iCs w:val="0"/>
      <w:color w:val="auto"/>
      <w:kern w:val="0"/>
      <w:sz w:val="24"/>
      <w:lang w:val="x-none" w:eastAsia="x-none"/>
    </w:rPr>
  </w:style>
  <w:style w:type="paragraph" w:customStyle="1" w:styleId="Heading3Centred">
    <w:name w:val="Heading 3 Centred"/>
    <w:basedOn w:val="Heading3"/>
    <w:next w:val="BodyText"/>
    <w:rsid w:val="00EC217A"/>
    <w:pPr>
      <w:spacing w:before="0"/>
      <w:contextualSpacing/>
      <w:jc w:val="center"/>
    </w:pPr>
    <w:rPr>
      <w:rFonts w:ascii="Calibri" w:hAnsi="Calibri" w:cs="Times New Roman"/>
      <w:iCs w:val="0"/>
      <w:color w:val="auto"/>
      <w:kern w:val="0"/>
      <w:sz w:val="28"/>
      <w:lang w:val="x-none" w:eastAsia="en-AU"/>
    </w:rPr>
  </w:style>
  <w:style w:type="character" w:customStyle="1" w:styleId="BodyText2Char">
    <w:name w:val="Body Text 2 Char"/>
    <w:link w:val="BodyText2"/>
    <w:locked/>
    <w:rsid w:val="00EC217A"/>
    <w:rPr>
      <w:rFonts w:ascii="Arial" w:hAnsi="Arial"/>
      <w:sz w:val="24"/>
      <w:szCs w:val="22"/>
      <w:lang w:eastAsia="en-GB"/>
    </w:rPr>
  </w:style>
  <w:style w:type="paragraph" w:customStyle="1" w:styleId="SinglePara">
    <w:name w:val="Single Para"/>
    <w:basedOn w:val="Normal"/>
    <w:rsid w:val="00EC217A"/>
    <w:pPr>
      <w:spacing w:before="200" w:after="200"/>
    </w:pPr>
    <w:rPr>
      <w:rFonts w:ascii="Calibri" w:hAnsi="Calibri"/>
      <w:szCs w:val="20"/>
      <w:lang w:eastAsia="en-US"/>
    </w:rPr>
  </w:style>
  <w:style w:type="paragraph" w:customStyle="1" w:styleId="xl25">
    <w:name w:val="xl25"/>
    <w:basedOn w:val="Normal"/>
    <w:rsid w:val="00EC217A"/>
    <w:pPr>
      <w:spacing w:before="100" w:beforeAutospacing="1" w:after="100" w:afterAutospacing="1"/>
    </w:pPr>
    <w:rPr>
      <w:rFonts w:ascii="Calibri" w:eastAsia="Arial Unicode MS" w:hAnsi="Calibri"/>
      <w:sz w:val="18"/>
      <w:szCs w:val="18"/>
      <w:lang w:eastAsia="en-US"/>
    </w:rPr>
  </w:style>
  <w:style w:type="character" w:customStyle="1" w:styleId="PlainTextChar">
    <w:name w:val="Plain Text Char"/>
    <w:link w:val="PlainText"/>
    <w:uiPriority w:val="99"/>
    <w:locked/>
    <w:rsid w:val="00EC217A"/>
    <w:rPr>
      <w:rFonts w:ascii="Courier New" w:hAnsi="Courier New" w:cs="Courier New"/>
      <w:lang w:eastAsia="en-GB"/>
    </w:rPr>
  </w:style>
  <w:style w:type="character" w:customStyle="1" w:styleId="BalloonTextChar">
    <w:name w:val="Balloon Text Char"/>
    <w:link w:val="BalloonText"/>
    <w:locked/>
    <w:rsid w:val="00EC217A"/>
    <w:rPr>
      <w:rFonts w:ascii="Tahoma" w:hAnsi="Tahoma" w:cs="Tahoma"/>
      <w:sz w:val="16"/>
      <w:szCs w:val="16"/>
      <w:lang w:eastAsia="en-GB"/>
    </w:rPr>
  </w:style>
  <w:style w:type="paragraph" w:customStyle="1" w:styleId="Sub-Heading">
    <w:name w:val="Sub-Heading"/>
    <w:basedOn w:val="Normal"/>
    <w:next w:val="BodyText"/>
    <w:rsid w:val="00EC217A"/>
    <w:pPr>
      <w:keepNext/>
      <w:spacing w:before="240" w:after="120"/>
      <w:outlineLvl w:val="0"/>
    </w:pPr>
    <w:rPr>
      <w:i/>
      <w:szCs w:val="20"/>
      <w:lang w:eastAsia="en-US"/>
    </w:rPr>
  </w:style>
  <w:style w:type="paragraph" w:customStyle="1" w:styleId="Sub-Heading2">
    <w:name w:val="Sub-Heading 2"/>
    <w:basedOn w:val="BodyText"/>
    <w:rsid w:val="00EC217A"/>
    <w:pPr>
      <w:keepNext/>
      <w:keepLines/>
      <w:spacing w:before="120"/>
      <w:jc w:val="both"/>
    </w:pPr>
    <w:rPr>
      <w:rFonts w:ascii="Calibri" w:hAnsi="Calibri"/>
      <w:i/>
      <w:szCs w:val="20"/>
      <w:lang w:val="x-none" w:eastAsia="en-US"/>
    </w:rPr>
  </w:style>
  <w:style w:type="paragraph" w:customStyle="1" w:styleId="TableName">
    <w:name w:val="Table Name"/>
    <w:basedOn w:val="Normal"/>
    <w:rsid w:val="00EC217A"/>
    <w:pPr>
      <w:keepNext/>
      <w:keepLines/>
      <w:spacing w:before="200" w:after="120"/>
      <w:jc w:val="center"/>
    </w:pPr>
    <w:rPr>
      <w:b/>
      <w:sz w:val="20"/>
      <w:szCs w:val="20"/>
      <w:lang w:eastAsia="en-US"/>
    </w:rPr>
  </w:style>
  <w:style w:type="paragraph" w:customStyle="1" w:styleId="AIblurb">
    <w:name w:val="AI blurb"/>
    <w:basedOn w:val="Normal"/>
    <w:rsid w:val="00EC217A"/>
    <w:pPr>
      <w:spacing w:before="120" w:after="240"/>
      <w:ind w:left="380"/>
      <w:jc w:val="both"/>
    </w:pPr>
    <w:rPr>
      <w:rFonts w:ascii="Calibri" w:hAnsi="Calibri"/>
      <w:sz w:val="20"/>
      <w:szCs w:val="20"/>
      <w:lang w:eastAsia="en-US"/>
    </w:rPr>
  </w:style>
  <w:style w:type="character" w:customStyle="1" w:styleId="BodyText3Char">
    <w:name w:val="Body Text 3 Char"/>
    <w:link w:val="BodyText3"/>
    <w:locked/>
    <w:rsid w:val="00EC217A"/>
    <w:rPr>
      <w:rFonts w:ascii="Arial" w:hAnsi="Arial"/>
      <w:sz w:val="24"/>
      <w:szCs w:val="16"/>
      <w:lang w:eastAsia="en-GB"/>
    </w:rPr>
  </w:style>
  <w:style w:type="paragraph" w:customStyle="1" w:styleId="AINotes">
    <w:name w:val="AI Notes"/>
    <w:basedOn w:val="Normal"/>
    <w:link w:val="AINotesChar"/>
    <w:rsid w:val="00EC217A"/>
    <w:pPr>
      <w:spacing w:before="200" w:after="200"/>
      <w:jc w:val="both"/>
    </w:pPr>
    <w:rPr>
      <w:rFonts w:ascii="Calibri" w:hAnsi="Calibri"/>
      <w:sz w:val="16"/>
      <w:szCs w:val="20"/>
      <w:lang w:val="x-none" w:eastAsia="en-US"/>
    </w:rPr>
  </w:style>
  <w:style w:type="paragraph" w:customStyle="1" w:styleId="n">
    <w:name w:val="n"/>
    <w:basedOn w:val="Normal"/>
    <w:rsid w:val="00EC217A"/>
    <w:pPr>
      <w:spacing w:before="200" w:after="200"/>
      <w:jc w:val="both"/>
    </w:pPr>
    <w:rPr>
      <w:rFonts w:ascii="Calibri" w:hAnsi="Calibri"/>
      <w:sz w:val="16"/>
      <w:szCs w:val="24"/>
      <w:lang w:eastAsia="en-US"/>
    </w:rPr>
  </w:style>
  <w:style w:type="paragraph" w:customStyle="1" w:styleId="Notes">
    <w:name w:val="Notes"/>
    <w:basedOn w:val="Normal"/>
    <w:rsid w:val="00EC217A"/>
    <w:pPr>
      <w:spacing w:before="120" w:after="200"/>
      <w:ind w:left="28"/>
    </w:pPr>
    <w:rPr>
      <w:rFonts w:ascii="Calibri" w:hAnsi="Calibri"/>
      <w:b/>
      <w:sz w:val="20"/>
      <w:szCs w:val="24"/>
      <w:lang w:eastAsia="en-US"/>
    </w:rPr>
  </w:style>
  <w:style w:type="character" w:customStyle="1" w:styleId="BodyTextFirstIndentChar">
    <w:name w:val="Body Text First Indent Char"/>
    <w:link w:val="BodyTextFirstIndent"/>
    <w:locked/>
    <w:rsid w:val="00EC217A"/>
    <w:rPr>
      <w:rFonts w:ascii="Arial" w:hAnsi="Arial"/>
      <w:sz w:val="24"/>
      <w:szCs w:val="22"/>
      <w:lang w:eastAsia="en-GB"/>
    </w:rPr>
  </w:style>
  <w:style w:type="character" w:customStyle="1" w:styleId="BodyTextFirstIndent2Char">
    <w:name w:val="Body Text First Indent 2 Char"/>
    <w:link w:val="BodyTextFirstIndent2"/>
    <w:locked/>
    <w:rsid w:val="00EC217A"/>
    <w:rPr>
      <w:rFonts w:ascii="Arial" w:hAnsi="Arial"/>
      <w:sz w:val="24"/>
      <w:szCs w:val="22"/>
      <w:lang w:eastAsia="en-GB"/>
    </w:rPr>
  </w:style>
  <w:style w:type="character" w:customStyle="1" w:styleId="ClosingChar">
    <w:name w:val="Closing Char"/>
    <w:link w:val="Closing"/>
    <w:locked/>
    <w:rsid w:val="00EC217A"/>
    <w:rPr>
      <w:rFonts w:ascii="Arial" w:hAnsi="Arial"/>
      <w:sz w:val="24"/>
      <w:szCs w:val="22"/>
      <w:lang w:eastAsia="en-GB"/>
    </w:rPr>
  </w:style>
  <w:style w:type="character" w:customStyle="1" w:styleId="DateChar">
    <w:name w:val="Date Char"/>
    <w:link w:val="Date"/>
    <w:locked/>
    <w:rsid w:val="00EC217A"/>
    <w:rPr>
      <w:rFonts w:ascii="Arial" w:hAnsi="Arial"/>
      <w:sz w:val="24"/>
      <w:szCs w:val="22"/>
      <w:lang w:eastAsia="en-GB"/>
    </w:rPr>
  </w:style>
  <w:style w:type="character" w:customStyle="1" w:styleId="E-mailSignatureChar">
    <w:name w:val="E-mail Signature Char"/>
    <w:link w:val="E-mailSignature"/>
    <w:locked/>
    <w:rsid w:val="00EC217A"/>
    <w:rPr>
      <w:rFonts w:ascii="Arial" w:hAnsi="Arial"/>
      <w:sz w:val="24"/>
      <w:szCs w:val="22"/>
      <w:lang w:eastAsia="en-GB"/>
    </w:rPr>
  </w:style>
  <w:style w:type="character" w:customStyle="1" w:styleId="HTMLAddressChar">
    <w:name w:val="HTML Address Char"/>
    <w:link w:val="HTMLAddress"/>
    <w:locked/>
    <w:rsid w:val="00EC217A"/>
    <w:rPr>
      <w:rFonts w:ascii="Arial" w:hAnsi="Arial"/>
      <w:i/>
      <w:iCs/>
      <w:sz w:val="24"/>
      <w:szCs w:val="22"/>
      <w:lang w:eastAsia="en-GB"/>
    </w:rPr>
  </w:style>
  <w:style w:type="character" w:customStyle="1" w:styleId="HTMLPreformattedChar">
    <w:name w:val="HTML Preformatted Char"/>
    <w:link w:val="HTMLPreformatted"/>
    <w:locked/>
    <w:rsid w:val="00EC217A"/>
    <w:rPr>
      <w:rFonts w:ascii="Courier New" w:hAnsi="Courier New" w:cs="Courier New"/>
      <w:lang w:eastAsia="en-GB"/>
    </w:rPr>
  </w:style>
  <w:style w:type="character" w:customStyle="1" w:styleId="MessageHeaderChar">
    <w:name w:val="Message Header Char"/>
    <w:link w:val="MessageHeader"/>
    <w:locked/>
    <w:rsid w:val="00EC217A"/>
    <w:rPr>
      <w:rFonts w:ascii="Arial" w:hAnsi="Arial" w:cs="Arial"/>
      <w:sz w:val="24"/>
      <w:szCs w:val="24"/>
      <w:shd w:val="pct20" w:color="auto" w:fill="auto"/>
      <w:lang w:eastAsia="en-GB"/>
    </w:rPr>
  </w:style>
  <w:style w:type="character" w:customStyle="1" w:styleId="SalutationChar">
    <w:name w:val="Salutation Char"/>
    <w:link w:val="Salutation"/>
    <w:locked/>
    <w:rsid w:val="00EC217A"/>
    <w:rPr>
      <w:rFonts w:ascii="Arial" w:hAnsi="Arial"/>
      <w:sz w:val="24"/>
      <w:szCs w:val="22"/>
      <w:lang w:eastAsia="en-GB"/>
    </w:rPr>
  </w:style>
  <w:style w:type="character" w:customStyle="1" w:styleId="SignatureChar">
    <w:name w:val="Signature Char"/>
    <w:link w:val="Signature"/>
    <w:locked/>
    <w:rsid w:val="00EC217A"/>
    <w:rPr>
      <w:rFonts w:ascii="Arial" w:hAnsi="Arial"/>
      <w:sz w:val="24"/>
      <w:szCs w:val="22"/>
      <w:lang w:eastAsia="en-GB"/>
    </w:rPr>
  </w:style>
  <w:style w:type="character" w:customStyle="1" w:styleId="SubtitleChar">
    <w:name w:val="Subtitle Char"/>
    <w:link w:val="Subtitle"/>
    <w:locked/>
    <w:rsid w:val="00EC217A"/>
    <w:rPr>
      <w:rFonts w:ascii="Arial" w:hAnsi="Arial" w:cs="Arial"/>
      <w:b/>
      <w:bCs/>
      <w:color w:val="333333"/>
      <w:kern w:val="28"/>
      <w:sz w:val="32"/>
      <w:szCs w:val="24"/>
      <w:lang w:eastAsia="en-GB"/>
    </w:rPr>
  </w:style>
  <w:style w:type="table" w:customStyle="1" w:styleId="TableClassic11">
    <w:name w:val="Table Classic 11"/>
    <w:basedOn w:val="TableNormal"/>
    <w:next w:val="TableClassic1"/>
    <w:rsid w:val="00EC217A"/>
    <w:rPr>
      <w:rFonts w:ascii="Calibri" w:hAnsi="Calibri"/>
      <w:lang w:val="en-US" w:eastAsia="en-US"/>
    </w:rPr>
    <w:tblPr>
      <w:tblBorders>
        <w:bottom w:val="single" w:sz="12" w:space="0" w:color="000000"/>
      </w:tblBorders>
    </w:tblPr>
    <w:tcPr>
      <w:shd w:val="clear" w:color="auto" w:fill="auto"/>
    </w:tcPr>
    <w:tblStylePr w:type="firstRow">
      <w:rPr>
        <w:rFonts w:ascii="Calibri" w:hAnsi="Calibri"/>
        <w:b/>
        <w:i w:val="0"/>
        <w:iCs/>
        <w:sz w:val="20"/>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rPr>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EC217A"/>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0">
    <w:name w:val="Table Grid1"/>
    <w:basedOn w:val="TableNormal"/>
    <w:next w:val="TableGrid"/>
    <w:rsid w:val="00EC217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
    <w:name w:val="Table List 31"/>
    <w:basedOn w:val="TableNormal"/>
    <w:next w:val="TableList3"/>
    <w:rsid w:val="00EC217A"/>
    <w:rPr>
      <w:rFonts w:ascii="Calibri" w:hAnsi="Calibri"/>
      <w:lang w:val="en-US" w:eastAsia="en-US"/>
    </w:rPr>
    <w:tblPr>
      <w:tblStyleRowBandSize w:val="1"/>
      <w:tblBorders>
        <w:top w:val="single" w:sz="12" w:space="0" w:color="000000"/>
        <w:bottom w:val="single" w:sz="12" w:space="0" w:color="000000"/>
        <w:insideH w:val="single" w:sz="6" w:space="0" w:color="000000"/>
      </w:tblBorders>
    </w:tblPr>
    <w:tcPr>
      <w:shd w:val="clear" w:color="auto" w:fill="auto"/>
    </w:tcPr>
    <w:tblStylePr w:type="firstRow">
      <w:rPr>
        <w:rFonts w:ascii="Calibri" w:hAnsi="Calibri"/>
        <w:b/>
        <w:bCs/>
        <w:color w:val="auto"/>
        <w:sz w:val="2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rPr>
        <w:rFonts w:ascii="Calibri" w:hAnsi="Calibri"/>
        <w:b/>
        <w:sz w:val="20"/>
      </w:rPr>
    </w:tblStylePr>
    <w:tblStylePr w:type="band1Horz">
      <w:rPr>
        <w:rFonts w:ascii="Calibri" w:hAnsi="Calibri"/>
        <w:sz w:val="20"/>
      </w:rPr>
    </w:tblStylePr>
    <w:tblStylePr w:type="band2Horz">
      <w:rPr>
        <w:rFonts w:ascii="Calibri" w:hAnsi="Calibri"/>
        <w:sz w:val="20"/>
      </w:rPr>
    </w:tblStylePr>
    <w:tblStylePr w:type="swCell">
      <w:rPr>
        <w:i/>
        <w:iCs/>
        <w:color w:val="000080"/>
      </w:rPr>
      <w:tblPr/>
      <w:tcPr>
        <w:tcBorders>
          <w:tl2br w:val="none" w:sz="0" w:space="0" w:color="auto"/>
          <w:tr2bl w:val="none" w:sz="0" w:space="0" w:color="auto"/>
        </w:tcBorders>
      </w:tcPr>
    </w:tblStylePr>
  </w:style>
  <w:style w:type="character" w:customStyle="1" w:styleId="TitleChar">
    <w:name w:val="Title Char"/>
    <w:link w:val="Title"/>
    <w:locked/>
    <w:rsid w:val="00EC217A"/>
    <w:rPr>
      <w:rFonts w:ascii="Arial" w:hAnsi="Arial" w:cs="Arial"/>
      <w:b/>
      <w:bCs/>
      <w:color w:val="333333"/>
      <w:kern w:val="28"/>
      <w:sz w:val="40"/>
      <w:szCs w:val="32"/>
      <w:lang w:eastAsia="en-GB"/>
    </w:rPr>
  </w:style>
  <w:style w:type="paragraph" w:customStyle="1" w:styleId="TableTextIndent">
    <w:name w:val="Table Text Indent"/>
    <w:rsid w:val="00EC217A"/>
    <w:pPr>
      <w:numPr>
        <w:numId w:val="27"/>
      </w:numPr>
      <w:spacing w:before="60"/>
      <w:ind w:left="360" w:hanging="360"/>
    </w:pPr>
    <w:rPr>
      <w:rFonts w:ascii="Calibri" w:hAnsi="Calibri"/>
      <w:szCs w:val="24"/>
      <w:lang w:eastAsia="en-US"/>
    </w:rPr>
  </w:style>
  <w:style w:type="paragraph" w:customStyle="1" w:styleId="TableHeadingCentre-BP4">
    <w:name w:val="Table Heading Centre - BP4"/>
    <w:basedOn w:val="Normal"/>
    <w:rsid w:val="00EC217A"/>
    <w:pPr>
      <w:keepNext/>
      <w:spacing w:before="200" w:after="200"/>
      <w:jc w:val="center"/>
    </w:pPr>
    <w:rPr>
      <w:rFonts w:ascii="Calibri" w:hAnsi="Calibri"/>
      <w:b/>
      <w:sz w:val="18"/>
      <w:szCs w:val="20"/>
      <w:lang w:eastAsia="en-US"/>
    </w:rPr>
  </w:style>
  <w:style w:type="paragraph" w:customStyle="1" w:styleId="TableTextRightBold-BP4">
    <w:name w:val="Table Text Right Bold - BP4"/>
    <w:basedOn w:val="Normal"/>
    <w:rsid w:val="00EC217A"/>
    <w:pPr>
      <w:spacing w:before="200" w:after="200"/>
      <w:jc w:val="right"/>
    </w:pPr>
    <w:rPr>
      <w:rFonts w:ascii="Calibri" w:hAnsi="Calibri"/>
      <w:b/>
      <w:sz w:val="18"/>
      <w:szCs w:val="20"/>
      <w:lang w:eastAsia="en-US"/>
    </w:rPr>
  </w:style>
  <w:style w:type="paragraph" w:customStyle="1" w:styleId="TableHeadingRight-BP4">
    <w:name w:val="Table Heading Right - BP4"/>
    <w:basedOn w:val="Normal"/>
    <w:rsid w:val="00EC217A"/>
    <w:pPr>
      <w:keepNext/>
      <w:spacing w:before="200" w:after="200"/>
      <w:jc w:val="right"/>
    </w:pPr>
    <w:rPr>
      <w:rFonts w:ascii="Calibri" w:hAnsi="Calibri"/>
      <w:b/>
      <w:sz w:val="18"/>
      <w:szCs w:val="24"/>
      <w:lang w:eastAsia="en-US"/>
    </w:rPr>
  </w:style>
  <w:style w:type="character" w:customStyle="1" w:styleId="NoteTextChar">
    <w:name w:val="Note Text Char"/>
    <w:link w:val="NoteText"/>
    <w:locked/>
    <w:rsid w:val="00EC217A"/>
    <w:rPr>
      <w:rFonts w:ascii="Calibri" w:hAnsi="Calibri"/>
      <w:iCs/>
      <w:sz w:val="16"/>
      <w:lang w:val="x-none" w:eastAsia="en-US"/>
    </w:rPr>
  </w:style>
  <w:style w:type="paragraph" w:customStyle="1" w:styleId="TableHeadingLeft-BP4">
    <w:name w:val="Table Heading Left - BP4"/>
    <w:basedOn w:val="Normal"/>
    <w:link w:val="TableHeadingLeft-BP4CharChar"/>
    <w:rsid w:val="00EC217A"/>
    <w:pPr>
      <w:keepNext/>
      <w:spacing w:before="200" w:after="200"/>
    </w:pPr>
    <w:rPr>
      <w:rFonts w:ascii="Calibri" w:hAnsi="Calibri"/>
      <w:b/>
      <w:sz w:val="18"/>
      <w:szCs w:val="20"/>
      <w:lang w:val="x-none" w:eastAsia="x-none"/>
    </w:rPr>
  </w:style>
  <w:style w:type="character" w:customStyle="1" w:styleId="TableHeadingLeft-BP4CharChar">
    <w:name w:val="Table Heading Left - BP4 Char Char"/>
    <w:link w:val="TableHeadingLeft-BP4"/>
    <w:locked/>
    <w:rsid w:val="00EC217A"/>
    <w:rPr>
      <w:rFonts w:ascii="Calibri" w:hAnsi="Calibri"/>
      <w:b/>
      <w:sz w:val="18"/>
      <w:lang w:val="x-none" w:eastAsia="x-none"/>
    </w:rPr>
  </w:style>
  <w:style w:type="paragraph" w:customStyle="1" w:styleId="TableTextRight-BP4">
    <w:name w:val="Table Text Right - BP4"/>
    <w:basedOn w:val="Normal"/>
    <w:rsid w:val="00EC217A"/>
    <w:pPr>
      <w:spacing w:before="200" w:after="200"/>
      <w:jc w:val="right"/>
    </w:pPr>
    <w:rPr>
      <w:rFonts w:ascii="Calibri" w:hAnsi="Calibri"/>
      <w:sz w:val="18"/>
      <w:szCs w:val="20"/>
      <w:lang w:eastAsia="en-US"/>
    </w:rPr>
  </w:style>
  <w:style w:type="paragraph" w:customStyle="1" w:styleId="TableTextLeftBold-BP4">
    <w:name w:val="Table Text Left Bold - BP4"/>
    <w:basedOn w:val="Normal"/>
    <w:link w:val="TableTextLeftBold-BP4CharChar"/>
    <w:rsid w:val="00EC217A"/>
    <w:pPr>
      <w:spacing w:before="200" w:after="200"/>
      <w:ind w:left="142" w:hanging="142"/>
    </w:pPr>
    <w:rPr>
      <w:rFonts w:ascii="Calibri" w:hAnsi="Calibri"/>
      <w:b/>
      <w:sz w:val="18"/>
      <w:szCs w:val="20"/>
      <w:lang w:val="x-none" w:eastAsia="en-US"/>
    </w:rPr>
  </w:style>
  <w:style w:type="character" w:customStyle="1" w:styleId="TableTextLeftBold-BP4CharChar">
    <w:name w:val="Table Text Left Bold - BP4 Char Char"/>
    <w:link w:val="TableTextLeftBold-BP4"/>
    <w:locked/>
    <w:rsid w:val="00EC217A"/>
    <w:rPr>
      <w:rFonts w:ascii="Calibri" w:hAnsi="Calibri"/>
      <w:b/>
      <w:sz w:val="18"/>
      <w:lang w:val="x-none" w:eastAsia="en-US"/>
    </w:rPr>
  </w:style>
  <w:style w:type="paragraph" w:customStyle="1" w:styleId="TableTextLeft-BP4">
    <w:name w:val="Table Text Left - BP4"/>
    <w:basedOn w:val="Normal"/>
    <w:link w:val="TableTextLeft-BP4Char"/>
    <w:rsid w:val="00EC217A"/>
    <w:pPr>
      <w:spacing w:before="200" w:after="200"/>
      <w:ind w:left="142" w:hanging="142"/>
    </w:pPr>
    <w:rPr>
      <w:rFonts w:ascii="Calibri" w:hAnsi="Calibri"/>
      <w:sz w:val="18"/>
      <w:szCs w:val="18"/>
      <w:lang w:val="x-none" w:eastAsia="en-US"/>
    </w:rPr>
  </w:style>
  <w:style w:type="paragraph" w:customStyle="1" w:styleId="TableNumbersRight-BP4">
    <w:name w:val="Table Numbers Right - BP4"/>
    <w:basedOn w:val="Normal"/>
    <w:rsid w:val="00EC217A"/>
    <w:pPr>
      <w:spacing w:before="200" w:after="200"/>
      <w:jc w:val="right"/>
    </w:pPr>
    <w:rPr>
      <w:rFonts w:ascii="Calibri" w:hAnsi="Calibri"/>
      <w:sz w:val="18"/>
      <w:szCs w:val="20"/>
      <w:lang w:eastAsia="en-US"/>
    </w:rPr>
  </w:style>
  <w:style w:type="paragraph" w:customStyle="1" w:styleId="AITableText">
    <w:name w:val="AI Table Text"/>
    <w:basedOn w:val="Normal"/>
    <w:link w:val="AITableTextChar"/>
    <w:rsid w:val="00EC217A"/>
    <w:pPr>
      <w:spacing w:before="200" w:after="200"/>
      <w:jc w:val="right"/>
    </w:pPr>
    <w:rPr>
      <w:rFonts w:ascii="Calibri" w:hAnsi="Calibri"/>
      <w:sz w:val="20"/>
      <w:szCs w:val="24"/>
      <w:lang w:val="x-none" w:eastAsia="en-US"/>
    </w:rPr>
  </w:style>
  <w:style w:type="character" w:customStyle="1" w:styleId="AITableTextChar">
    <w:name w:val="AI Table Text Char"/>
    <w:link w:val="AITableText"/>
    <w:locked/>
    <w:rsid w:val="00EC217A"/>
    <w:rPr>
      <w:rFonts w:ascii="Calibri" w:hAnsi="Calibri"/>
      <w:szCs w:val="24"/>
      <w:lang w:val="x-none" w:eastAsia="en-US"/>
    </w:rPr>
  </w:style>
  <w:style w:type="paragraph" w:customStyle="1" w:styleId="AIIndent">
    <w:name w:val="AI Indent"/>
    <w:basedOn w:val="Normal"/>
    <w:link w:val="AIIndentChar"/>
    <w:rsid w:val="00EC217A"/>
    <w:pPr>
      <w:tabs>
        <w:tab w:val="num" w:pos="360"/>
      </w:tabs>
      <w:spacing w:before="200" w:after="200"/>
      <w:ind w:left="357" w:hanging="357"/>
    </w:pPr>
    <w:rPr>
      <w:rFonts w:ascii="Calibri" w:hAnsi="Calibri"/>
      <w:sz w:val="20"/>
      <w:szCs w:val="20"/>
      <w:lang w:val="x-none" w:eastAsia="en-US"/>
    </w:rPr>
  </w:style>
  <w:style w:type="character" w:customStyle="1" w:styleId="AIIndentChar">
    <w:name w:val="AI Indent Char"/>
    <w:link w:val="AIIndent"/>
    <w:locked/>
    <w:rsid w:val="00EC217A"/>
    <w:rPr>
      <w:rFonts w:ascii="Calibri" w:hAnsi="Calibri"/>
      <w:lang w:val="x-none" w:eastAsia="en-US"/>
    </w:rPr>
  </w:style>
  <w:style w:type="paragraph" w:customStyle="1" w:styleId="TableHeadingCentre-BP3">
    <w:name w:val="Table Heading Centre - BP3"/>
    <w:basedOn w:val="TableHeadingCentre-BP4"/>
    <w:rsid w:val="00EC217A"/>
    <w:rPr>
      <w:sz w:val="20"/>
    </w:rPr>
  </w:style>
  <w:style w:type="paragraph" w:customStyle="1" w:styleId="TableHeadingLeft-BP3">
    <w:name w:val="Table Heading Left - BP3"/>
    <w:basedOn w:val="TableHeadingLeft-BP4"/>
    <w:rsid w:val="00EC217A"/>
    <w:rPr>
      <w:sz w:val="20"/>
    </w:rPr>
  </w:style>
  <w:style w:type="paragraph" w:customStyle="1" w:styleId="TableHeadingRight-BP3">
    <w:name w:val="Table Heading Right - BP3"/>
    <w:basedOn w:val="TableHeadingRight-BP4"/>
    <w:rsid w:val="00EC217A"/>
    <w:rPr>
      <w:sz w:val="20"/>
    </w:rPr>
  </w:style>
  <w:style w:type="paragraph" w:customStyle="1" w:styleId="TableNumbersRight-BP3">
    <w:name w:val="Table Numbers Right - BP3"/>
    <w:basedOn w:val="TableNumbersRight-BP4"/>
    <w:rsid w:val="00EC217A"/>
    <w:rPr>
      <w:sz w:val="20"/>
    </w:rPr>
  </w:style>
  <w:style w:type="paragraph" w:customStyle="1" w:styleId="TableTextLeft-BP3">
    <w:name w:val="Table Text Left - BP3"/>
    <w:basedOn w:val="TableTextLeft-BP4"/>
    <w:rsid w:val="00EC217A"/>
    <w:rPr>
      <w:sz w:val="20"/>
    </w:rPr>
  </w:style>
  <w:style w:type="paragraph" w:customStyle="1" w:styleId="TableTextLeftBold-BP3">
    <w:name w:val="Table Text Left Bold - BP3"/>
    <w:basedOn w:val="TableTextLeftBold-BP4"/>
    <w:rsid w:val="00EC217A"/>
    <w:rPr>
      <w:sz w:val="20"/>
    </w:rPr>
  </w:style>
  <w:style w:type="paragraph" w:customStyle="1" w:styleId="TableTextRight-BP3">
    <w:name w:val="Table Text Right - BP3"/>
    <w:basedOn w:val="TableTextRight-BP4"/>
    <w:rsid w:val="00EC217A"/>
    <w:rPr>
      <w:sz w:val="20"/>
    </w:rPr>
  </w:style>
  <w:style w:type="paragraph" w:customStyle="1" w:styleId="TableTextRightBold-BP3">
    <w:name w:val="Table Text Right Bold - BP3"/>
    <w:basedOn w:val="TableTextRightBold-BP4"/>
    <w:rsid w:val="00EC217A"/>
  </w:style>
  <w:style w:type="paragraph" w:customStyle="1" w:styleId="TableTextLeft-BP4FS">
    <w:name w:val="Table Text Left - BP4 FS"/>
    <w:basedOn w:val="TableTextLeft-BP4"/>
    <w:rsid w:val="00EC217A"/>
    <w:pPr>
      <w:ind w:left="227"/>
    </w:pPr>
  </w:style>
  <w:style w:type="paragraph" w:customStyle="1" w:styleId="TableHeadingCentre-BP410pt">
    <w:name w:val="Table Heading Centre - BP4 10pt"/>
    <w:basedOn w:val="TableHeadingCentre-BP4"/>
    <w:rsid w:val="00EC217A"/>
    <w:rPr>
      <w:sz w:val="20"/>
    </w:rPr>
  </w:style>
  <w:style w:type="paragraph" w:customStyle="1" w:styleId="TableHeadingLeft-BP410pt">
    <w:name w:val="Table Heading Left - BP4 10pt"/>
    <w:basedOn w:val="TableHeadingLeft-BP4"/>
    <w:rsid w:val="00EC217A"/>
    <w:rPr>
      <w:sz w:val="20"/>
    </w:rPr>
  </w:style>
  <w:style w:type="paragraph" w:customStyle="1" w:styleId="TableHeadingRight-BP410pt">
    <w:name w:val="Table Heading Right - BP4 10pt"/>
    <w:basedOn w:val="TableHeadingRight-BP4"/>
    <w:rsid w:val="00EC217A"/>
    <w:rPr>
      <w:sz w:val="20"/>
    </w:rPr>
  </w:style>
  <w:style w:type="paragraph" w:customStyle="1" w:styleId="TableTextLeft-BP410pt">
    <w:name w:val="Table Text Left - BP4 10pt"/>
    <w:basedOn w:val="TableTextLeft-BP4"/>
    <w:rsid w:val="00EC217A"/>
    <w:rPr>
      <w:sz w:val="20"/>
    </w:rPr>
  </w:style>
  <w:style w:type="paragraph" w:customStyle="1" w:styleId="TableTextLeftBold-BP410pt">
    <w:name w:val="Table Text Left Bold - BP4 10pt"/>
    <w:basedOn w:val="TableTextLeftBold-BP4"/>
    <w:rsid w:val="00EC217A"/>
    <w:rPr>
      <w:sz w:val="20"/>
    </w:rPr>
  </w:style>
  <w:style w:type="paragraph" w:customStyle="1" w:styleId="TableTextRight-BP410pt">
    <w:name w:val="Table Text Right - BP4 10pt"/>
    <w:basedOn w:val="TableTextRight-BP4"/>
    <w:rsid w:val="00EC217A"/>
    <w:rPr>
      <w:sz w:val="20"/>
    </w:rPr>
  </w:style>
  <w:style w:type="paragraph" w:customStyle="1" w:styleId="TableTextRightBold-BP410pt">
    <w:name w:val="Table Text Right Bold - BP4 10pt"/>
    <w:basedOn w:val="TableTextRightBold-BP4"/>
    <w:rsid w:val="00EC217A"/>
    <w:rPr>
      <w:sz w:val="20"/>
    </w:rPr>
  </w:style>
  <w:style w:type="paragraph" w:customStyle="1" w:styleId="TableTextNumbersBold">
    <w:name w:val="Table Text Numbers Bold"/>
    <w:basedOn w:val="Normal"/>
    <w:rsid w:val="00EC217A"/>
    <w:pPr>
      <w:spacing w:before="200" w:after="200"/>
      <w:jc w:val="right"/>
    </w:pPr>
    <w:rPr>
      <w:rFonts w:ascii="Calibri" w:hAnsi="Calibri"/>
      <w:b/>
      <w:sz w:val="18"/>
      <w:szCs w:val="20"/>
      <w:lang w:eastAsia="en-US"/>
    </w:rPr>
  </w:style>
  <w:style w:type="paragraph" w:customStyle="1" w:styleId="TableHeading0">
    <w:name w:val="Table Heading"/>
    <w:basedOn w:val="Normal"/>
    <w:link w:val="TableHeadingChar0"/>
    <w:rsid w:val="00EC217A"/>
    <w:pPr>
      <w:spacing w:before="200" w:after="120"/>
      <w:jc w:val="center"/>
    </w:pPr>
    <w:rPr>
      <w:b/>
      <w:szCs w:val="20"/>
      <w:lang w:eastAsia="en-US"/>
    </w:rPr>
  </w:style>
  <w:style w:type="paragraph" w:customStyle="1" w:styleId="TableTextLeftBoldparassmaller">
    <w:name w:val="Table Text Left Bold paras smaller"/>
    <w:basedOn w:val="TableTextLeftBold"/>
    <w:rsid w:val="00EC217A"/>
    <w:pPr>
      <w:keepNext/>
      <w:spacing w:before="20" w:after="20"/>
      <w:ind w:left="164" w:hanging="164"/>
    </w:pPr>
    <w:rPr>
      <w:sz w:val="18"/>
    </w:rPr>
  </w:style>
  <w:style w:type="paragraph" w:customStyle="1" w:styleId="TableTextNumbersCentred">
    <w:name w:val="Table Text Numbers Centred"/>
    <w:basedOn w:val="Normal"/>
    <w:rsid w:val="00EC217A"/>
    <w:pPr>
      <w:spacing w:before="200" w:after="200"/>
      <w:jc w:val="center"/>
    </w:pPr>
    <w:rPr>
      <w:rFonts w:ascii="Calibri" w:hAnsi="Calibri"/>
      <w:sz w:val="18"/>
      <w:szCs w:val="18"/>
      <w:lang w:eastAsia="en-US"/>
    </w:rPr>
  </w:style>
  <w:style w:type="paragraph" w:customStyle="1" w:styleId="aNoteText">
    <w:name w:val="a) Note Text"/>
    <w:basedOn w:val="NoteText"/>
    <w:rsid w:val="00EC217A"/>
    <w:pPr>
      <w:tabs>
        <w:tab w:val="num" w:pos="357"/>
      </w:tabs>
      <w:ind w:left="357" w:hanging="357"/>
    </w:pPr>
    <w:rPr>
      <w:szCs w:val="24"/>
    </w:rPr>
  </w:style>
  <w:style w:type="paragraph" w:customStyle="1" w:styleId="NoteTexta">
    <w:name w:val="Note Text a)"/>
    <w:basedOn w:val="NoteText"/>
    <w:rsid w:val="00EC217A"/>
    <w:pPr>
      <w:tabs>
        <w:tab w:val="num" w:pos="357"/>
      </w:tabs>
      <w:ind w:left="357" w:hanging="357"/>
    </w:pPr>
    <w:rPr>
      <w:szCs w:val="24"/>
    </w:rPr>
  </w:style>
  <w:style w:type="paragraph" w:customStyle="1" w:styleId="NoteTexta0">
    <w:name w:val="Note Text a"/>
    <w:basedOn w:val="NoteText"/>
    <w:rsid w:val="00EC217A"/>
    <w:pPr>
      <w:tabs>
        <w:tab w:val="num" w:pos="360"/>
      </w:tabs>
      <w:ind w:left="357" w:hanging="357"/>
    </w:pPr>
    <w:rPr>
      <w:szCs w:val="24"/>
    </w:rPr>
  </w:style>
  <w:style w:type="paragraph" w:customStyle="1" w:styleId="TableFootnoteText">
    <w:name w:val="Table Footnote Text"/>
    <w:basedOn w:val="FootnoteText"/>
    <w:autoRedefine/>
    <w:rsid w:val="00EC217A"/>
    <w:pPr>
      <w:keepNext/>
      <w:tabs>
        <w:tab w:val="clear" w:pos="284"/>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426"/>
      </w:tabs>
      <w:spacing w:before="200" w:after="120"/>
      <w:ind w:left="0" w:firstLine="0"/>
      <w:contextualSpacing/>
      <w:jc w:val="both"/>
    </w:pPr>
    <w:rPr>
      <w:rFonts w:ascii="Calibri" w:hAnsi="Calibri"/>
      <w:i/>
      <w:iCs/>
      <w:sz w:val="16"/>
      <w:szCs w:val="16"/>
      <w:lang w:val="x-none" w:eastAsia="en-US"/>
    </w:rPr>
  </w:style>
  <w:style w:type="character" w:customStyle="1" w:styleId="FootnoteTextChar">
    <w:name w:val="Footnote Text Char"/>
    <w:link w:val="FootnoteText"/>
    <w:uiPriority w:val="99"/>
    <w:locked/>
    <w:rsid w:val="00EC217A"/>
    <w:rPr>
      <w:rFonts w:ascii="Arial" w:hAnsi="Arial"/>
      <w:sz w:val="18"/>
      <w:lang w:eastAsia="en-GB"/>
    </w:rPr>
  </w:style>
  <w:style w:type="paragraph" w:customStyle="1" w:styleId="TableTextNumbers">
    <w:name w:val="Table Text Numbers"/>
    <w:basedOn w:val="Normal"/>
    <w:autoRedefine/>
    <w:rsid w:val="00EC217A"/>
    <w:pPr>
      <w:spacing w:before="60" w:after="60"/>
      <w:jc w:val="right"/>
    </w:pPr>
    <w:rPr>
      <w:rFonts w:ascii="Calibri" w:hAnsi="Calibri"/>
      <w:sz w:val="18"/>
      <w:szCs w:val="18"/>
      <w:lang w:eastAsia="en-US"/>
    </w:rPr>
  </w:style>
  <w:style w:type="paragraph" w:customStyle="1" w:styleId="TableTextLeftNoIndent">
    <w:name w:val="Table Text Left No Indent"/>
    <w:basedOn w:val="TableTextLeft"/>
    <w:autoRedefine/>
    <w:rsid w:val="00EC217A"/>
    <w:pPr>
      <w:spacing w:after="40"/>
      <w:ind w:left="0" w:firstLine="0"/>
    </w:pPr>
    <w:rPr>
      <w:rFonts w:ascii="Calibri" w:hAnsi="Calibri"/>
      <w:sz w:val="20"/>
      <w:lang w:val="en-GB"/>
    </w:rPr>
  </w:style>
  <w:style w:type="character" w:customStyle="1" w:styleId="AINotesChar">
    <w:name w:val="AI Notes Char"/>
    <w:link w:val="AINotes"/>
    <w:locked/>
    <w:rsid w:val="00EC217A"/>
    <w:rPr>
      <w:rFonts w:ascii="Calibri" w:hAnsi="Calibri"/>
      <w:sz w:val="16"/>
      <w:lang w:val="x-none" w:eastAsia="en-US"/>
    </w:rPr>
  </w:style>
  <w:style w:type="paragraph" w:styleId="EndnoteText">
    <w:name w:val="endnote text"/>
    <w:basedOn w:val="Normal"/>
    <w:link w:val="EndnoteTextChar"/>
    <w:rsid w:val="00EC217A"/>
    <w:pPr>
      <w:spacing w:before="200" w:after="200"/>
    </w:pPr>
    <w:rPr>
      <w:rFonts w:ascii="Calibri" w:hAnsi="Calibri"/>
      <w:sz w:val="20"/>
      <w:szCs w:val="20"/>
      <w:lang w:val="x-none" w:eastAsia="en-US"/>
    </w:rPr>
  </w:style>
  <w:style w:type="character" w:customStyle="1" w:styleId="EndnoteTextChar">
    <w:name w:val="Endnote Text Char"/>
    <w:basedOn w:val="DefaultParagraphFont"/>
    <w:link w:val="EndnoteText"/>
    <w:rsid w:val="00EC217A"/>
    <w:rPr>
      <w:rFonts w:ascii="Calibri" w:hAnsi="Calibri"/>
      <w:lang w:val="x-none" w:eastAsia="en-US"/>
    </w:rPr>
  </w:style>
  <w:style w:type="character" w:styleId="EndnoteReference">
    <w:name w:val="endnote reference"/>
    <w:rsid w:val="00EC217A"/>
    <w:rPr>
      <w:rFonts w:ascii="Calibri" w:hAnsi="Calibri"/>
      <w:vertAlign w:val="superscript"/>
    </w:rPr>
  </w:style>
  <w:style w:type="character" w:customStyle="1" w:styleId="CharChar3">
    <w:name w:val="Char Char3"/>
    <w:rsid w:val="00EC217A"/>
    <w:rPr>
      <w:rFonts w:cs="Times New Roman"/>
      <w:sz w:val="24"/>
      <w:szCs w:val="24"/>
      <w:lang w:val="en-AU" w:eastAsia="en-US" w:bidi="ar-SA"/>
    </w:rPr>
  </w:style>
  <w:style w:type="character" w:customStyle="1" w:styleId="CharChar1">
    <w:name w:val="Char Char1"/>
    <w:locked/>
    <w:rsid w:val="00EC217A"/>
    <w:rPr>
      <w:rFonts w:ascii="Arial" w:hAnsi="Arial" w:cs="Arial"/>
      <w:b/>
      <w:bCs/>
      <w:sz w:val="24"/>
      <w:szCs w:val="26"/>
      <w:lang w:val="en-AU" w:eastAsia="en-US" w:bidi="ar-SA"/>
    </w:rPr>
  </w:style>
  <w:style w:type="character" w:customStyle="1" w:styleId="CharChar">
    <w:name w:val="Char Char"/>
    <w:rsid w:val="00EC217A"/>
    <w:rPr>
      <w:rFonts w:ascii="Calibri" w:hAnsi="Calibri"/>
      <w:sz w:val="24"/>
      <w:lang w:val="en-AU" w:eastAsia="en-US" w:bidi="ar-SA"/>
    </w:rPr>
  </w:style>
  <w:style w:type="character" w:customStyle="1" w:styleId="CommentTextChar">
    <w:name w:val="Comment Text Char"/>
    <w:link w:val="CommentText"/>
    <w:uiPriority w:val="99"/>
    <w:locked/>
    <w:rsid w:val="00EC217A"/>
    <w:rPr>
      <w:rFonts w:ascii="Arial" w:hAnsi="Arial"/>
      <w:lang w:eastAsia="en-GB"/>
    </w:rPr>
  </w:style>
  <w:style w:type="character" w:customStyle="1" w:styleId="CommentSubjectChar">
    <w:name w:val="Comment Subject Char"/>
    <w:link w:val="CommentSubject"/>
    <w:locked/>
    <w:rsid w:val="00EC217A"/>
    <w:rPr>
      <w:rFonts w:ascii="Arial" w:hAnsi="Arial"/>
      <w:b/>
      <w:bCs/>
      <w:lang w:eastAsia="en-GB"/>
    </w:rPr>
  </w:style>
  <w:style w:type="character" w:customStyle="1" w:styleId="CharChar18">
    <w:name w:val="Char Char18"/>
    <w:semiHidden/>
    <w:locked/>
    <w:rsid w:val="00EC217A"/>
    <w:rPr>
      <w:rFonts w:ascii="Arial" w:hAnsi="Arial" w:cs="Arial"/>
      <w:b/>
      <w:sz w:val="24"/>
      <w:szCs w:val="24"/>
      <w:lang w:val="en-AU" w:eastAsia="en-US" w:bidi="ar-SA"/>
    </w:rPr>
  </w:style>
  <w:style w:type="character" w:customStyle="1" w:styleId="CharChar14">
    <w:name w:val="Char Char14"/>
    <w:semiHidden/>
    <w:locked/>
    <w:rsid w:val="00EC217A"/>
    <w:rPr>
      <w:rFonts w:ascii="Calibri" w:hAnsi="Calibri" w:cs="Times New Roman"/>
      <w:sz w:val="24"/>
      <w:szCs w:val="24"/>
      <w:lang w:eastAsia="en-US"/>
    </w:rPr>
  </w:style>
  <w:style w:type="paragraph" w:customStyle="1" w:styleId="PH4">
    <w:name w:val="PH4"/>
    <w:basedOn w:val="Normal"/>
    <w:rsid w:val="00EC217A"/>
    <w:pPr>
      <w:spacing w:before="120" w:after="200"/>
    </w:pPr>
    <w:rPr>
      <w:rFonts w:ascii="Calibri" w:hAnsi="Calibri"/>
      <w:b/>
      <w:sz w:val="20"/>
      <w:szCs w:val="20"/>
      <w:lang w:eastAsia="en-US"/>
    </w:rPr>
  </w:style>
  <w:style w:type="character" w:customStyle="1" w:styleId="Heading4Char2">
    <w:name w:val="Heading 4 Char2"/>
    <w:semiHidden/>
    <w:locked/>
    <w:rsid w:val="00EC217A"/>
    <w:rPr>
      <w:rFonts w:cs="Times New Roman"/>
      <w:i/>
      <w:sz w:val="24"/>
      <w:lang w:val="en-AU" w:eastAsia="en-US" w:bidi="ar-SA"/>
    </w:rPr>
  </w:style>
  <w:style w:type="character" w:customStyle="1" w:styleId="Heading7Char2">
    <w:name w:val="Heading 7 Char2"/>
    <w:semiHidden/>
    <w:locked/>
    <w:rsid w:val="00EC217A"/>
    <w:rPr>
      <w:rFonts w:ascii="Calibri" w:hAnsi="Calibri" w:cs="Times New Roman"/>
      <w:sz w:val="24"/>
      <w:szCs w:val="24"/>
      <w:lang w:eastAsia="en-US"/>
    </w:rPr>
  </w:style>
  <w:style w:type="character" w:customStyle="1" w:styleId="Heading1Char1">
    <w:name w:val="Heading 1 Char1"/>
    <w:locked/>
    <w:rsid w:val="00EC217A"/>
    <w:rPr>
      <w:rFonts w:ascii="Arial Bold" w:hAnsi="Arial Bold" w:cs="Times New Roman"/>
      <w:b/>
      <w:bCs/>
      <w:caps/>
      <w:kern w:val="28"/>
      <w:sz w:val="24"/>
      <w:szCs w:val="24"/>
      <w:lang w:val="en-AU" w:eastAsia="en-US" w:bidi="ar-SA"/>
    </w:rPr>
  </w:style>
  <w:style w:type="character" w:customStyle="1" w:styleId="Heading2Char1">
    <w:name w:val="Heading 2 Char1"/>
    <w:semiHidden/>
    <w:locked/>
    <w:rsid w:val="00EC217A"/>
    <w:rPr>
      <w:rFonts w:cs="Times New Roman"/>
      <w:b/>
      <w:iCs/>
      <w:sz w:val="24"/>
      <w:szCs w:val="24"/>
      <w:lang w:val="en-AU" w:eastAsia="en-US" w:bidi="ar-SA"/>
    </w:rPr>
  </w:style>
  <w:style w:type="character" w:customStyle="1" w:styleId="Heading3Char1">
    <w:name w:val="Heading 3 Char1"/>
    <w:semiHidden/>
    <w:locked/>
    <w:rsid w:val="00EC217A"/>
    <w:rPr>
      <w:rFonts w:ascii="Arial" w:hAnsi="Arial" w:cs="Arial"/>
      <w:b/>
      <w:sz w:val="24"/>
      <w:szCs w:val="24"/>
      <w:lang w:val="en-AU" w:eastAsia="en-US" w:bidi="ar-SA"/>
    </w:rPr>
  </w:style>
  <w:style w:type="character" w:customStyle="1" w:styleId="Heading4Char1">
    <w:name w:val="Heading 4 Char1"/>
    <w:semiHidden/>
    <w:locked/>
    <w:rsid w:val="00EC217A"/>
    <w:rPr>
      <w:rFonts w:cs="Times New Roman"/>
      <w:i/>
      <w:sz w:val="24"/>
      <w:szCs w:val="24"/>
      <w:lang w:val="en-AU" w:eastAsia="en-US" w:bidi="ar-SA"/>
    </w:rPr>
  </w:style>
  <w:style w:type="character" w:customStyle="1" w:styleId="Heading5Char1">
    <w:name w:val="Heading 5 Char1"/>
    <w:semiHidden/>
    <w:locked/>
    <w:rsid w:val="00EC217A"/>
    <w:rPr>
      <w:rFonts w:ascii="Calibri" w:hAnsi="Calibri" w:cs="Times New Roman"/>
      <w:b/>
      <w:bCs/>
      <w:i/>
      <w:iCs/>
      <w:sz w:val="26"/>
      <w:szCs w:val="26"/>
      <w:lang w:eastAsia="en-US"/>
    </w:rPr>
  </w:style>
  <w:style w:type="character" w:customStyle="1" w:styleId="Heading6Char1">
    <w:name w:val="Heading 6 Char1"/>
    <w:semiHidden/>
    <w:locked/>
    <w:rsid w:val="00EC217A"/>
    <w:rPr>
      <w:rFonts w:cs="Times New Roman"/>
      <w:b/>
      <w:bCs/>
      <w:sz w:val="24"/>
      <w:szCs w:val="24"/>
      <w:lang w:val="en-GB" w:eastAsia="en-US" w:bidi="ar-SA"/>
    </w:rPr>
  </w:style>
  <w:style w:type="character" w:customStyle="1" w:styleId="Heading8Char1">
    <w:name w:val="Heading 8 Char1"/>
    <w:semiHidden/>
    <w:locked/>
    <w:rsid w:val="00EC217A"/>
    <w:rPr>
      <w:rFonts w:ascii="Calibri" w:hAnsi="Calibri" w:cs="Times New Roman"/>
      <w:i/>
      <w:iCs/>
      <w:sz w:val="24"/>
      <w:szCs w:val="24"/>
      <w:lang w:eastAsia="en-US"/>
    </w:rPr>
  </w:style>
  <w:style w:type="character" w:customStyle="1" w:styleId="Heading9Char1">
    <w:name w:val="Heading 9 Char1"/>
    <w:semiHidden/>
    <w:locked/>
    <w:rsid w:val="00EC217A"/>
    <w:rPr>
      <w:rFonts w:ascii="Cambria" w:hAnsi="Cambria" w:cs="Times New Roman"/>
      <w:sz w:val="22"/>
      <w:szCs w:val="22"/>
      <w:lang w:eastAsia="en-US"/>
    </w:rPr>
  </w:style>
  <w:style w:type="character" w:customStyle="1" w:styleId="FootnoteTextChar1">
    <w:name w:val="Footnote Text Char1"/>
    <w:semiHidden/>
    <w:locked/>
    <w:rsid w:val="00EC217A"/>
    <w:rPr>
      <w:rFonts w:cs="Times New Roman"/>
      <w:lang w:eastAsia="en-US"/>
    </w:rPr>
  </w:style>
  <w:style w:type="character" w:customStyle="1" w:styleId="HeaderChar1">
    <w:name w:val="Header Char1"/>
    <w:semiHidden/>
    <w:locked/>
    <w:rsid w:val="00EC217A"/>
    <w:rPr>
      <w:rFonts w:cs="Times New Roman"/>
      <w:sz w:val="24"/>
      <w:szCs w:val="24"/>
      <w:lang w:eastAsia="en-US"/>
    </w:rPr>
  </w:style>
  <w:style w:type="character" w:customStyle="1" w:styleId="FooterChar1">
    <w:name w:val="Footer Char1"/>
    <w:semiHidden/>
    <w:locked/>
    <w:rsid w:val="00EC217A"/>
    <w:rPr>
      <w:rFonts w:cs="Times New Roman"/>
      <w:sz w:val="24"/>
      <w:szCs w:val="24"/>
      <w:lang w:eastAsia="en-US"/>
    </w:rPr>
  </w:style>
  <w:style w:type="character" w:customStyle="1" w:styleId="BodyTextIndentChar1">
    <w:name w:val="Body Text Indent Char1"/>
    <w:locked/>
    <w:rsid w:val="00EC217A"/>
    <w:rPr>
      <w:rFonts w:cs="Times New Roman"/>
      <w:sz w:val="24"/>
      <w:szCs w:val="24"/>
      <w:lang w:val="en-AU" w:eastAsia="en-US" w:bidi="ar-SA"/>
    </w:rPr>
  </w:style>
  <w:style w:type="character" w:customStyle="1" w:styleId="BodyTextChar1">
    <w:name w:val="Body Text Char1"/>
    <w:semiHidden/>
    <w:locked/>
    <w:rsid w:val="00EC217A"/>
    <w:rPr>
      <w:rFonts w:cs="Times New Roman"/>
      <w:sz w:val="24"/>
      <w:lang w:val="en-AU" w:eastAsia="en-US" w:bidi="ar-SA"/>
    </w:rPr>
  </w:style>
  <w:style w:type="paragraph" w:customStyle="1" w:styleId="MinorHeading">
    <w:name w:val="Minor Heading"/>
    <w:basedOn w:val="Normal"/>
    <w:rsid w:val="00EC217A"/>
    <w:pPr>
      <w:spacing w:before="200" w:after="200"/>
    </w:pPr>
    <w:rPr>
      <w:b/>
      <w:szCs w:val="20"/>
      <w:lang w:eastAsia="en-US"/>
    </w:rPr>
  </w:style>
  <w:style w:type="character" w:customStyle="1" w:styleId="PlainTextChar1">
    <w:name w:val="Plain Text Char1"/>
    <w:semiHidden/>
    <w:locked/>
    <w:rsid w:val="00EC217A"/>
    <w:rPr>
      <w:rFonts w:ascii="Courier New" w:hAnsi="Courier New" w:cs="Courier New"/>
      <w:lang w:eastAsia="en-US"/>
    </w:rPr>
  </w:style>
  <w:style w:type="character" w:customStyle="1" w:styleId="BodyTextIndent2Char1">
    <w:name w:val="Body Text Indent 2 Char1"/>
    <w:locked/>
    <w:rsid w:val="00EC217A"/>
    <w:rPr>
      <w:rFonts w:cs="Times New Roman"/>
      <w:sz w:val="24"/>
      <w:lang w:val="en-AU" w:eastAsia="en-US" w:bidi="ar-SA"/>
    </w:rPr>
  </w:style>
  <w:style w:type="character" w:customStyle="1" w:styleId="BodyTextIndent3Char1">
    <w:name w:val="Body Text Indent 3 Char1"/>
    <w:locked/>
    <w:rsid w:val="00EC217A"/>
    <w:rPr>
      <w:rFonts w:cs="Times New Roman"/>
      <w:sz w:val="24"/>
      <w:lang w:val="en-AU" w:eastAsia="en-US" w:bidi="ar-SA"/>
    </w:rPr>
  </w:style>
  <w:style w:type="paragraph" w:customStyle="1" w:styleId="PH3">
    <w:name w:val="PH3"/>
    <w:basedOn w:val="Normal"/>
    <w:rsid w:val="00EC217A"/>
    <w:pPr>
      <w:keepNext/>
      <w:spacing w:before="200" w:after="200"/>
      <w:outlineLvl w:val="0"/>
    </w:pPr>
    <w:rPr>
      <w:b/>
      <w:kern w:val="28"/>
      <w:szCs w:val="20"/>
      <w:lang w:val="en-GB" w:eastAsia="en-US"/>
    </w:rPr>
  </w:style>
  <w:style w:type="character" w:customStyle="1" w:styleId="BodyText2Char1">
    <w:name w:val="Body Text 2 Char1"/>
    <w:semiHidden/>
    <w:locked/>
    <w:rsid w:val="00EC217A"/>
    <w:rPr>
      <w:rFonts w:cs="Times New Roman"/>
      <w:sz w:val="24"/>
      <w:szCs w:val="24"/>
      <w:lang w:val="en-AU" w:eastAsia="en-US" w:bidi="ar-SA"/>
    </w:rPr>
  </w:style>
  <w:style w:type="character" w:customStyle="1" w:styleId="BodyText3Char1">
    <w:name w:val="Body Text 3 Char1"/>
    <w:semiHidden/>
    <w:locked/>
    <w:rsid w:val="00EC217A"/>
    <w:rPr>
      <w:rFonts w:cs="Times New Roman"/>
      <w:sz w:val="16"/>
      <w:szCs w:val="16"/>
      <w:lang w:val="en-AU" w:eastAsia="en-US" w:bidi="ar-SA"/>
    </w:rPr>
  </w:style>
  <w:style w:type="paragraph" w:customStyle="1" w:styleId="Numbering">
    <w:name w:val="Numbering"/>
    <w:basedOn w:val="Normal"/>
    <w:rsid w:val="00EC217A"/>
    <w:pPr>
      <w:numPr>
        <w:ilvl w:val="1"/>
        <w:numId w:val="21"/>
      </w:numPr>
      <w:spacing w:before="120" w:after="120"/>
      <w:jc w:val="both"/>
    </w:pPr>
    <w:rPr>
      <w:rFonts w:ascii="Calibri" w:hAnsi="Calibri"/>
      <w:szCs w:val="20"/>
      <w:lang w:val="en-US" w:eastAsia="en-US"/>
    </w:rPr>
  </w:style>
  <w:style w:type="paragraph" w:customStyle="1" w:styleId="AIBlurb0">
    <w:name w:val="AI Blurb"/>
    <w:basedOn w:val="Normal"/>
    <w:rsid w:val="00EC217A"/>
    <w:pPr>
      <w:spacing w:before="120" w:after="240"/>
      <w:jc w:val="both"/>
    </w:pPr>
    <w:rPr>
      <w:rFonts w:ascii="Times New (W1)" w:hAnsi="Times New (W1)"/>
      <w:sz w:val="20"/>
      <w:szCs w:val="20"/>
      <w:lang w:eastAsia="en-US"/>
    </w:rPr>
  </w:style>
  <w:style w:type="paragraph" w:customStyle="1" w:styleId="BodyText1">
    <w:name w:val="Body Text 1"/>
    <w:basedOn w:val="Normal"/>
    <w:rsid w:val="00EC217A"/>
    <w:pPr>
      <w:spacing w:before="200" w:after="200"/>
      <w:jc w:val="both"/>
    </w:pPr>
    <w:rPr>
      <w:rFonts w:ascii="Calibri" w:hAnsi="Calibri"/>
      <w:szCs w:val="20"/>
      <w:lang w:eastAsia="en-US"/>
    </w:rPr>
  </w:style>
  <w:style w:type="paragraph" w:customStyle="1" w:styleId="PH1">
    <w:name w:val="PH1"/>
    <w:basedOn w:val="Heading1"/>
    <w:rsid w:val="00EC217A"/>
    <w:pPr>
      <w:keepLines w:val="0"/>
      <w:pBdr>
        <w:bottom w:val="single" w:sz="18" w:space="2" w:color="auto"/>
      </w:pBdr>
      <w:spacing w:before="200" w:after="480"/>
      <w:jc w:val="center"/>
    </w:pPr>
    <w:rPr>
      <w:rFonts w:ascii="Calibri" w:hAnsi="Calibri" w:cs="Times New Roman"/>
      <w:bCs w:val="0"/>
      <w:kern w:val="28"/>
      <w:sz w:val="36"/>
      <w:szCs w:val="20"/>
      <w:lang w:val="en-GB" w:eastAsia="en-US"/>
    </w:rPr>
  </w:style>
  <w:style w:type="paragraph" w:customStyle="1" w:styleId="PH2">
    <w:name w:val="PH2"/>
    <w:basedOn w:val="PH1"/>
    <w:rsid w:val="00EC217A"/>
    <w:rPr>
      <w:b w:val="0"/>
      <w:sz w:val="24"/>
    </w:rPr>
  </w:style>
  <w:style w:type="paragraph" w:customStyle="1" w:styleId="PText">
    <w:name w:val="PText"/>
    <w:basedOn w:val="Normal"/>
    <w:rsid w:val="00EC217A"/>
    <w:pPr>
      <w:spacing w:before="200" w:after="200"/>
    </w:pPr>
    <w:rPr>
      <w:rFonts w:ascii="Calibri" w:hAnsi="Calibri"/>
      <w:sz w:val="20"/>
      <w:szCs w:val="20"/>
      <w:lang w:eastAsia="en-US"/>
    </w:rPr>
  </w:style>
  <w:style w:type="paragraph" w:customStyle="1" w:styleId="MajorHeading">
    <w:name w:val="Major Heading"/>
    <w:basedOn w:val="Normal"/>
    <w:rsid w:val="00EC217A"/>
    <w:pPr>
      <w:pBdr>
        <w:bottom w:val="single" w:sz="18" w:space="1" w:color="auto"/>
      </w:pBdr>
      <w:tabs>
        <w:tab w:val="right" w:pos="9072"/>
      </w:tabs>
      <w:spacing w:before="240" w:after="240"/>
    </w:pPr>
    <w:rPr>
      <w:b/>
      <w:caps/>
      <w:sz w:val="28"/>
      <w:szCs w:val="20"/>
      <w:lang w:val="en-GB" w:eastAsia="en-US"/>
    </w:rPr>
  </w:style>
  <w:style w:type="paragraph" w:customStyle="1" w:styleId="MajorHeading2">
    <w:name w:val="Major Heading 2"/>
    <w:basedOn w:val="MajorHeading1"/>
    <w:rsid w:val="00EC217A"/>
    <w:pPr>
      <w:pBdr>
        <w:bottom w:val="none" w:sz="0" w:space="0" w:color="auto"/>
      </w:pBdr>
    </w:pPr>
  </w:style>
  <w:style w:type="paragraph" w:customStyle="1" w:styleId="MajorHeading1">
    <w:name w:val="Major Heading 1"/>
    <w:basedOn w:val="Normal"/>
    <w:rsid w:val="00EC217A"/>
    <w:pPr>
      <w:pBdr>
        <w:bottom w:val="single" w:sz="18" w:space="1" w:color="auto"/>
      </w:pBdr>
      <w:tabs>
        <w:tab w:val="right" w:pos="9072"/>
      </w:tabs>
      <w:spacing w:before="240" w:after="240"/>
    </w:pPr>
    <w:rPr>
      <w:b/>
      <w:caps/>
      <w:sz w:val="28"/>
      <w:szCs w:val="20"/>
      <w:lang w:val="en-GB" w:eastAsia="en-US"/>
    </w:rPr>
  </w:style>
  <w:style w:type="paragraph" w:customStyle="1" w:styleId="Sub-Heading3">
    <w:name w:val="Sub-Heading 3"/>
    <w:basedOn w:val="Sub-Heading2"/>
    <w:rsid w:val="00EC217A"/>
    <w:pPr>
      <w:keepNext w:val="0"/>
      <w:keepLines w:val="0"/>
      <w:spacing w:after="0"/>
      <w:jc w:val="left"/>
    </w:pPr>
    <w:rPr>
      <w:sz w:val="20"/>
    </w:rPr>
  </w:style>
  <w:style w:type="paragraph" w:customStyle="1" w:styleId="Tableformat">
    <w:name w:val="Table format"/>
    <w:basedOn w:val="BodyText"/>
    <w:rsid w:val="00EC217A"/>
    <w:pPr>
      <w:keepNext/>
      <w:spacing w:before="100" w:beforeAutospacing="1" w:afterAutospacing="1"/>
      <w:jc w:val="both"/>
    </w:pPr>
    <w:rPr>
      <w:rFonts w:ascii="Calibri" w:hAnsi="Calibri"/>
      <w:b/>
      <w:sz w:val="20"/>
      <w:szCs w:val="20"/>
      <w:lang w:val="x-none" w:eastAsia="en-US"/>
    </w:rPr>
  </w:style>
  <w:style w:type="paragraph" w:customStyle="1" w:styleId="TableGraphic">
    <w:name w:val="TableGraphic"/>
    <w:basedOn w:val="Normal"/>
    <w:next w:val="Normal"/>
    <w:rsid w:val="00EC217A"/>
    <w:pPr>
      <w:keepNext/>
      <w:spacing w:before="200" w:after="20"/>
      <w:ind w:right="-113"/>
    </w:pPr>
    <w:rPr>
      <w:rFonts w:ascii="Tahoma" w:hAnsi="Tahoma"/>
      <w:b/>
      <w:color w:val="000000"/>
      <w:sz w:val="20"/>
      <w:szCs w:val="20"/>
      <w:lang w:eastAsia="en-US"/>
    </w:rPr>
  </w:style>
  <w:style w:type="paragraph" w:customStyle="1" w:styleId="Text">
    <w:name w:val="Text"/>
    <w:basedOn w:val="Normal"/>
    <w:rsid w:val="00EC217A"/>
    <w:pPr>
      <w:spacing w:before="200" w:after="200"/>
      <w:jc w:val="both"/>
    </w:pPr>
    <w:rPr>
      <w:rFonts w:ascii="Calibri" w:hAnsi="Calibri"/>
      <w:szCs w:val="20"/>
      <w:lang w:eastAsia="en-US"/>
    </w:rPr>
  </w:style>
  <w:style w:type="paragraph" w:customStyle="1" w:styleId="Text1">
    <w:name w:val="Text 1"/>
    <w:basedOn w:val="Normal"/>
    <w:rsid w:val="00EC217A"/>
    <w:pPr>
      <w:spacing w:before="200" w:after="200"/>
      <w:jc w:val="both"/>
    </w:pPr>
    <w:rPr>
      <w:szCs w:val="20"/>
      <w:lang w:eastAsia="en-US"/>
    </w:rPr>
  </w:style>
  <w:style w:type="character" w:customStyle="1" w:styleId="EmailStyle2891">
    <w:name w:val="EmailStyle2891"/>
    <w:uiPriority w:val="99"/>
    <w:rsid w:val="00EC217A"/>
    <w:rPr>
      <w:rFonts w:ascii="Arial" w:hAnsi="Arial" w:cs="Arial"/>
      <w:color w:val="000080"/>
      <w:sz w:val="20"/>
    </w:rPr>
  </w:style>
  <w:style w:type="character" w:customStyle="1" w:styleId="EmailStyle2901">
    <w:name w:val="EmailStyle2901"/>
    <w:uiPriority w:val="99"/>
    <w:rsid w:val="00EC217A"/>
    <w:rPr>
      <w:rFonts w:ascii="Arial" w:hAnsi="Arial" w:cs="Arial"/>
      <w:color w:val="auto"/>
      <w:sz w:val="20"/>
    </w:rPr>
  </w:style>
  <w:style w:type="character" w:customStyle="1" w:styleId="EmailStyle2911">
    <w:name w:val="EmailStyle2911"/>
    <w:uiPriority w:val="99"/>
    <w:rsid w:val="00EC217A"/>
    <w:rPr>
      <w:rFonts w:ascii="Arial" w:hAnsi="Arial" w:cs="Arial"/>
      <w:color w:val="auto"/>
      <w:sz w:val="20"/>
    </w:rPr>
  </w:style>
  <w:style w:type="paragraph" w:customStyle="1" w:styleId="Output1">
    <w:name w:val="Output 1"/>
    <w:basedOn w:val="Normal"/>
    <w:autoRedefine/>
    <w:rsid w:val="00EC217A"/>
    <w:pPr>
      <w:keepNext/>
      <w:keepLines/>
      <w:spacing w:before="100" w:beforeAutospacing="1" w:after="100" w:afterAutospacing="1"/>
      <w:ind w:left="425"/>
      <w:jc w:val="both"/>
    </w:pPr>
    <w:rPr>
      <w:rFonts w:ascii="Times New (W1)" w:hAnsi="Times New (W1)"/>
      <w:szCs w:val="20"/>
      <w:lang w:eastAsia="en-US"/>
    </w:rPr>
  </w:style>
  <w:style w:type="paragraph" w:customStyle="1" w:styleId="Output2">
    <w:name w:val="Output 2"/>
    <w:basedOn w:val="Output1"/>
    <w:autoRedefine/>
    <w:rsid w:val="00EC217A"/>
    <w:pPr>
      <w:ind w:left="709"/>
    </w:pPr>
    <w:rPr>
      <w:i/>
    </w:rPr>
  </w:style>
  <w:style w:type="paragraph" w:customStyle="1" w:styleId="Output2Indent">
    <w:name w:val="Output 2 Indent"/>
    <w:basedOn w:val="Output2"/>
    <w:autoRedefine/>
    <w:rsid w:val="00EC217A"/>
    <w:pPr>
      <w:keepNext w:val="0"/>
      <w:tabs>
        <w:tab w:val="num" w:pos="1429"/>
      </w:tabs>
      <w:spacing w:before="0" w:beforeAutospacing="0"/>
      <w:ind w:left="1429" w:hanging="360"/>
    </w:pPr>
  </w:style>
  <w:style w:type="character" w:customStyle="1" w:styleId="BalloonTextChar1">
    <w:name w:val="Balloon Text Char1"/>
    <w:semiHidden/>
    <w:locked/>
    <w:rsid w:val="00EC217A"/>
    <w:rPr>
      <w:rFonts w:cs="Times New Roman"/>
      <w:sz w:val="2"/>
      <w:lang w:eastAsia="en-US"/>
    </w:rPr>
  </w:style>
  <w:style w:type="paragraph" w:customStyle="1" w:styleId="Bullet">
    <w:name w:val="Bullet"/>
    <w:basedOn w:val="Normal"/>
    <w:rsid w:val="00EC217A"/>
    <w:pPr>
      <w:tabs>
        <w:tab w:val="num" w:pos="360"/>
      </w:tabs>
      <w:spacing w:before="200" w:after="200"/>
      <w:ind w:left="360" w:hanging="360"/>
    </w:pPr>
    <w:rPr>
      <w:rFonts w:ascii="Calibri" w:hAnsi="Calibri"/>
      <w:szCs w:val="20"/>
      <w:lang w:eastAsia="en-US"/>
    </w:rPr>
  </w:style>
  <w:style w:type="paragraph" w:customStyle="1" w:styleId="bullet2">
    <w:name w:val="bullet 2"/>
    <w:basedOn w:val="Normal"/>
    <w:rsid w:val="00EC217A"/>
    <w:pPr>
      <w:tabs>
        <w:tab w:val="left" w:pos="360"/>
        <w:tab w:val="left" w:pos="454"/>
      </w:tabs>
      <w:spacing w:before="200" w:after="120"/>
      <w:ind w:left="454" w:hanging="454"/>
      <w:jc w:val="both"/>
    </w:pPr>
    <w:rPr>
      <w:rFonts w:ascii="Calibri" w:hAnsi="Calibri"/>
      <w:color w:val="000000"/>
      <w:szCs w:val="20"/>
      <w:lang w:eastAsia="en-US"/>
    </w:rPr>
  </w:style>
  <w:style w:type="paragraph" w:customStyle="1" w:styleId="GalText">
    <w:name w:val="GalText"/>
    <w:basedOn w:val="Normal"/>
    <w:rsid w:val="00EC217A"/>
    <w:pPr>
      <w:spacing w:before="60" w:after="60"/>
    </w:pPr>
    <w:rPr>
      <w:rFonts w:ascii="Arial Narrow" w:hAnsi="Arial Narrow"/>
      <w:szCs w:val="20"/>
      <w:lang w:eastAsia="en-US"/>
    </w:rPr>
  </w:style>
  <w:style w:type="paragraph" w:customStyle="1" w:styleId="NumberedNotes">
    <w:name w:val="Numbered Notes"/>
    <w:basedOn w:val="FootnoteText"/>
    <w:rsid w:val="00EC217A"/>
    <w:pPr>
      <w:tabs>
        <w:tab w:val="clear" w:pos="284"/>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200"/>
      <w:ind w:left="357" w:hanging="357"/>
      <w:jc w:val="both"/>
    </w:pPr>
    <w:rPr>
      <w:rFonts w:ascii="Calibri" w:hAnsi="Calibri"/>
      <w:sz w:val="16"/>
      <w:lang w:val="x-none" w:eastAsia="en-US"/>
    </w:rPr>
  </w:style>
  <w:style w:type="paragraph" w:customStyle="1" w:styleId="PI1">
    <w:name w:val="PI 1"/>
    <w:basedOn w:val="Normal"/>
    <w:rsid w:val="00EC217A"/>
    <w:pPr>
      <w:spacing w:before="240" w:after="200"/>
    </w:pPr>
    <w:rPr>
      <w:rFonts w:ascii="Times New (W1)" w:hAnsi="Times New (W1)"/>
      <w:szCs w:val="20"/>
      <w:lang w:eastAsia="en-US"/>
    </w:rPr>
  </w:style>
  <w:style w:type="paragraph" w:customStyle="1" w:styleId="PI2">
    <w:name w:val="PI 2"/>
    <w:basedOn w:val="PI1"/>
    <w:rsid w:val="00EC217A"/>
    <w:pPr>
      <w:spacing w:after="240"/>
    </w:pPr>
    <w:rPr>
      <w:i/>
    </w:rPr>
  </w:style>
  <w:style w:type="paragraph" w:customStyle="1" w:styleId="PI2Indent">
    <w:name w:val="PI 2  Indent"/>
    <w:basedOn w:val="Normal"/>
    <w:rsid w:val="00EC217A"/>
    <w:pPr>
      <w:spacing w:before="200" w:after="200"/>
      <w:ind w:left="357" w:hanging="357"/>
    </w:pPr>
    <w:rPr>
      <w:rFonts w:ascii="Calibri" w:hAnsi="Calibri"/>
      <w:szCs w:val="20"/>
      <w:lang w:eastAsia="en-US"/>
    </w:rPr>
  </w:style>
  <w:style w:type="paragraph" w:customStyle="1" w:styleId="Style1">
    <w:name w:val="Style1"/>
    <w:basedOn w:val="AITableText"/>
    <w:link w:val="Style1Char"/>
    <w:rsid w:val="00EC217A"/>
    <w:pPr>
      <w:spacing w:before="120" w:after="240"/>
      <w:ind w:left="714" w:hanging="357"/>
    </w:pPr>
    <w:rPr>
      <w:rFonts w:ascii="Times New (W1)" w:hAnsi="Times New (W1)"/>
    </w:rPr>
  </w:style>
  <w:style w:type="paragraph" w:customStyle="1" w:styleId="Style1Indent">
    <w:name w:val="Style1 Indent"/>
    <w:basedOn w:val="Normal"/>
    <w:rsid w:val="00EC217A"/>
    <w:pPr>
      <w:tabs>
        <w:tab w:val="num" w:pos="1440"/>
      </w:tabs>
      <w:spacing w:before="200" w:after="200"/>
      <w:ind w:left="1440" w:hanging="360"/>
    </w:pPr>
    <w:rPr>
      <w:rFonts w:ascii="Calibri" w:hAnsi="Calibri"/>
      <w:sz w:val="20"/>
      <w:szCs w:val="20"/>
      <w:lang w:eastAsia="en-US"/>
    </w:rPr>
  </w:style>
  <w:style w:type="paragraph" w:customStyle="1" w:styleId="Sub-Heading1">
    <w:name w:val="Sub-Heading 1"/>
    <w:basedOn w:val="Normal"/>
    <w:next w:val="Normal"/>
    <w:autoRedefine/>
    <w:rsid w:val="00EC217A"/>
    <w:pPr>
      <w:keepNext/>
      <w:spacing w:before="240" w:after="240"/>
      <w:outlineLvl w:val="0"/>
    </w:pPr>
    <w:rPr>
      <w:i/>
      <w:szCs w:val="20"/>
      <w:lang w:eastAsia="en-US"/>
    </w:rPr>
  </w:style>
  <w:style w:type="paragraph" w:customStyle="1" w:styleId="Sub-Headings">
    <w:name w:val="Sub-Headings"/>
    <w:basedOn w:val="MinorHeading"/>
    <w:rsid w:val="00EC217A"/>
    <w:pPr>
      <w:keepNext/>
      <w:spacing w:before="240" w:after="120"/>
      <w:outlineLvl w:val="0"/>
    </w:pPr>
    <w:rPr>
      <w:rFonts w:cs="Arial"/>
      <w:b w:val="0"/>
      <w:bCs/>
      <w:i/>
      <w:szCs w:val="24"/>
    </w:rPr>
  </w:style>
  <w:style w:type="paragraph" w:customStyle="1" w:styleId="TableText">
    <w:name w:val="TableText"/>
    <w:basedOn w:val="BodyText"/>
    <w:rsid w:val="00EC217A"/>
    <w:pPr>
      <w:spacing w:before="100" w:beforeAutospacing="1" w:afterAutospacing="1"/>
    </w:pPr>
    <w:rPr>
      <w:kern w:val="28"/>
      <w:szCs w:val="20"/>
      <w:lang w:val="x-none" w:eastAsia="en-US"/>
    </w:rPr>
  </w:style>
  <w:style w:type="paragraph" w:customStyle="1" w:styleId="dot">
    <w:name w:val="dot"/>
    <w:basedOn w:val="Normal"/>
    <w:rsid w:val="00EC217A"/>
    <w:pPr>
      <w:tabs>
        <w:tab w:val="num" w:pos="360"/>
      </w:tabs>
      <w:spacing w:before="200" w:after="200"/>
      <w:ind w:left="360" w:hanging="360"/>
    </w:pPr>
    <w:rPr>
      <w:rFonts w:ascii="Calibri" w:hAnsi="Calibri"/>
      <w:szCs w:val="20"/>
      <w:lang w:eastAsia="en-US"/>
    </w:rPr>
  </w:style>
  <w:style w:type="paragraph" w:customStyle="1" w:styleId="xl30">
    <w:name w:val="xl30"/>
    <w:basedOn w:val="Normal"/>
    <w:rsid w:val="00EC217A"/>
    <w:pPr>
      <w:spacing w:before="100" w:beforeAutospacing="1" w:after="100" w:afterAutospacing="1"/>
    </w:pPr>
    <w:rPr>
      <w:rFonts w:ascii="Calibri" w:eastAsia="Arial Unicode MS" w:hAnsi="Calibri"/>
      <w:b/>
      <w:bCs/>
      <w:sz w:val="18"/>
      <w:szCs w:val="18"/>
      <w:lang w:eastAsia="en-US"/>
    </w:rPr>
  </w:style>
  <w:style w:type="paragraph" w:customStyle="1" w:styleId="Memopara">
    <w:name w:val="Memo para"/>
    <w:basedOn w:val="Numbering"/>
    <w:rsid w:val="00EC217A"/>
    <w:pPr>
      <w:numPr>
        <w:ilvl w:val="0"/>
        <w:numId w:val="0"/>
      </w:numPr>
    </w:pPr>
    <w:rPr>
      <w:szCs w:val="24"/>
    </w:rPr>
  </w:style>
  <w:style w:type="paragraph" w:customStyle="1" w:styleId="para">
    <w:name w:val="para"/>
    <w:basedOn w:val="Normal"/>
    <w:rsid w:val="00EC217A"/>
    <w:pPr>
      <w:spacing w:before="200" w:after="200"/>
    </w:pPr>
    <w:rPr>
      <w:rFonts w:ascii="Calibri" w:hAnsi="Calibri"/>
      <w:szCs w:val="20"/>
      <w:lang w:eastAsia="en-US"/>
    </w:rPr>
  </w:style>
  <w:style w:type="paragraph" w:customStyle="1" w:styleId="Paragraph2-Bullets">
    <w:name w:val="Paragraph 2 - Bullets"/>
    <w:basedOn w:val="Normal"/>
    <w:rsid w:val="00EC217A"/>
    <w:pPr>
      <w:numPr>
        <w:numId w:val="22"/>
      </w:numPr>
      <w:spacing w:before="200" w:after="200"/>
    </w:pPr>
    <w:rPr>
      <w:rFonts w:ascii="Calibri" w:hAnsi="Calibri"/>
      <w:szCs w:val="20"/>
      <w:lang w:eastAsia="en-US"/>
    </w:rPr>
  </w:style>
  <w:style w:type="character" w:customStyle="1" w:styleId="CommentTextChar1">
    <w:name w:val="Comment Text Char1"/>
    <w:locked/>
    <w:rsid w:val="00EC217A"/>
    <w:rPr>
      <w:rFonts w:cs="Times New Roman"/>
      <w:lang w:eastAsia="en-US"/>
    </w:rPr>
  </w:style>
  <w:style w:type="paragraph" w:customStyle="1" w:styleId="SIHeading1centre">
    <w:name w:val="SI Heading 1+centre"/>
    <w:basedOn w:val="SIHeading1"/>
    <w:rsid w:val="00EC217A"/>
    <w:pPr>
      <w:jc w:val="left"/>
    </w:pPr>
    <w:rPr>
      <w:rFonts w:ascii="Arial (W1)" w:hAnsi="Arial (W1)"/>
      <w:kern w:val="0"/>
      <w:lang w:val="en-GB"/>
    </w:rPr>
  </w:style>
  <w:style w:type="character" w:customStyle="1" w:styleId="Heading7Char1">
    <w:name w:val="Heading 7 Char1"/>
    <w:locked/>
    <w:rsid w:val="00EC217A"/>
    <w:rPr>
      <w:rFonts w:cs="Times New Roman"/>
      <w:sz w:val="24"/>
      <w:szCs w:val="24"/>
      <w:lang w:val="en-AU" w:eastAsia="en-US" w:bidi="ar-SA"/>
    </w:rPr>
  </w:style>
  <w:style w:type="paragraph" w:customStyle="1" w:styleId="TableName-Line2">
    <w:name w:val="Table Name - Line 2"/>
    <w:basedOn w:val="Normal"/>
    <w:autoRedefine/>
    <w:rsid w:val="00EC217A"/>
    <w:pPr>
      <w:keepNext/>
      <w:keepLines/>
      <w:spacing w:before="200" w:after="120"/>
      <w:jc w:val="center"/>
    </w:pPr>
    <w:rPr>
      <w:b/>
      <w:sz w:val="20"/>
      <w:szCs w:val="20"/>
      <w:lang w:eastAsia="en-US"/>
    </w:rPr>
  </w:style>
  <w:style w:type="paragraph" w:customStyle="1" w:styleId="TableName-Line1">
    <w:name w:val="Table Name - Line 1"/>
    <w:basedOn w:val="TableName-Line2"/>
    <w:next w:val="TableName-Line2"/>
    <w:rsid w:val="00EC217A"/>
    <w:pPr>
      <w:spacing w:after="0"/>
    </w:pPr>
  </w:style>
  <w:style w:type="paragraph" w:customStyle="1" w:styleId="font5">
    <w:name w:val="font5"/>
    <w:basedOn w:val="Normal"/>
    <w:rsid w:val="00EC217A"/>
    <w:pPr>
      <w:spacing w:before="100" w:beforeAutospacing="1" w:after="100" w:afterAutospacing="1"/>
    </w:pPr>
    <w:rPr>
      <w:rFonts w:cs="Arial"/>
      <w:b/>
      <w:bCs/>
      <w:sz w:val="16"/>
      <w:szCs w:val="16"/>
      <w:lang w:eastAsia="en-AU"/>
    </w:rPr>
  </w:style>
  <w:style w:type="paragraph" w:customStyle="1" w:styleId="font6">
    <w:name w:val="font6"/>
    <w:basedOn w:val="Normal"/>
    <w:rsid w:val="00EC217A"/>
    <w:pPr>
      <w:spacing w:before="100" w:beforeAutospacing="1" w:after="100" w:afterAutospacing="1"/>
    </w:pPr>
    <w:rPr>
      <w:rFonts w:cs="Arial"/>
      <w:b/>
      <w:bCs/>
      <w:color w:val="0000FF"/>
      <w:sz w:val="16"/>
      <w:szCs w:val="16"/>
      <w:lang w:eastAsia="en-AU"/>
    </w:rPr>
  </w:style>
  <w:style w:type="paragraph" w:customStyle="1" w:styleId="font7">
    <w:name w:val="font7"/>
    <w:basedOn w:val="Normal"/>
    <w:rsid w:val="00EC217A"/>
    <w:pPr>
      <w:spacing w:before="100" w:beforeAutospacing="1" w:after="100" w:afterAutospacing="1"/>
    </w:pPr>
    <w:rPr>
      <w:rFonts w:cs="Arial"/>
      <w:i/>
      <w:iCs/>
      <w:sz w:val="16"/>
      <w:szCs w:val="16"/>
      <w:lang w:eastAsia="en-AU"/>
    </w:rPr>
  </w:style>
  <w:style w:type="paragraph" w:customStyle="1" w:styleId="font8">
    <w:name w:val="font8"/>
    <w:basedOn w:val="Normal"/>
    <w:rsid w:val="00EC217A"/>
    <w:pPr>
      <w:spacing w:before="100" w:beforeAutospacing="1" w:after="100" w:afterAutospacing="1"/>
    </w:pPr>
    <w:rPr>
      <w:rFonts w:cs="Arial"/>
      <w:b/>
      <w:bCs/>
      <w:sz w:val="16"/>
      <w:szCs w:val="16"/>
      <w:lang w:eastAsia="en-AU"/>
    </w:rPr>
  </w:style>
  <w:style w:type="paragraph" w:customStyle="1" w:styleId="xl67">
    <w:name w:val="xl67"/>
    <w:basedOn w:val="Normal"/>
    <w:rsid w:val="00EC217A"/>
    <w:pPr>
      <w:spacing w:before="100" w:beforeAutospacing="1" w:after="100" w:afterAutospacing="1"/>
    </w:pPr>
    <w:rPr>
      <w:rFonts w:cs="Arial"/>
      <w:sz w:val="16"/>
      <w:szCs w:val="16"/>
      <w:lang w:eastAsia="en-AU"/>
    </w:rPr>
  </w:style>
  <w:style w:type="paragraph" w:customStyle="1" w:styleId="xl68">
    <w:name w:val="xl68"/>
    <w:basedOn w:val="Normal"/>
    <w:rsid w:val="00EC217A"/>
    <w:pPr>
      <w:pBdr>
        <w:top w:val="single" w:sz="4" w:space="0" w:color="auto"/>
      </w:pBdr>
      <w:spacing w:before="100" w:beforeAutospacing="1" w:after="100" w:afterAutospacing="1"/>
      <w:jc w:val="right"/>
    </w:pPr>
    <w:rPr>
      <w:rFonts w:cs="Arial"/>
      <w:b/>
      <w:bCs/>
      <w:sz w:val="16"/>
      <w:szCs w:val="16"/>
      <w:lang w:eastAsia="en-AU"/>
    </w:rPr>
  </w:style>
  <w:style w:type="paragraph" w:customStyle="1" w:styleId="xl69">
    <w:name w:val="xl69"/>
    <w:basedOn w:val="Normal"/>
    <w:rsid w:val="00EC217A"/>
    <w:pPr>
      <w:spacing w:before="100" w:beforeAutospacing="1" w:after="100" w:afterAutospacing="1"/>
      <w:jc w:val="right"/>
    </w:pPr>
    <w:rPr>
      <w:rFonts w:cs="Arial"/>
      <w:b/>
      <w:bCs/>
      <w:sz w:val="16"/>
      <w:szCs w:val="16"/>
      <w:lang w:eastAsia="en-AU"/>
    </w:rPr>
  </w:style>
  <w:style w:type="paragraph" w:customStyle="1" w:styleId="xl70">
    <w:name w:val="xl70"/>
    <w:basedOn w:val="Normal"/>
    <w:rsid w:val="00EC217A"/>
    <w:pPr>
      <w:spacing w:before="100" w:beforeAutospacing="1" w:after="100" w:afterAutospacing="1"/>
      <w:jc w:val="center"/>
    </w:pPr>
    <w:rPr>
      <w:rFonts w:cs="Arial"/>
      <w:b/>
      <w:bCs/>
      <w:sz w:val="16"/>
      <w:szCs w:val="16"/>
      <w:lang w:eastAsia="en-AU"/>
    </w:rPr>
  </w:style>
  <w:style w:type="paragraph" w:customStyle="1" w:styleId="xl71">
    <w:name w:val="xl71"/>
    <w:basedOn w:val="Normal"/>
    <w:rsid w:val="00EC217A"/>
    <w:pPr>
      <w:spacing w:before="100" w:beforeAutospacing="1" w:after="100" w:afterAutospacing="1"/>
    </w:pPr>
    <w:rPr>
      <w:rFonts w:cs="Arial"/>
      <w:b/>
      <w:bCs/>
      <w:sz w:val="16"/>
      <w:szCs w:val="16"/>
      <w:lang w:eastAsia="en-AU"/>
    </w:rPr>
  </w:style>
  <w:style w:type="paragraph" w:customStyle="1" w:styleId="xl72">
    <w:name w:val="xl72"/>
    <w:basedOn w:val="Normal"/>
    <w:rsid w:val="00EC217A"/>
    <w:pPr>
      <w:pBdr>
        <w:bottom w:val="single" w:sz="4" w:space="0" w:color="auto"/>
      </w:pBdr>
      <w:spacing w:before="100" w:beforeAutospacing="1" w:after="100" w:afterAutospacing="1"/>
      <w:jc w:val="right"/>
    </w:pPr>
    <w:rPr>
      <w:rFonts w:cs="Arial"/>
      <w:b/>
      <w:bCs/>
      <w:sz w:val="16"/>
      <w:szCs w:val="16"/>
      <w:lang w:eastAsia="en-AU"/>
    </w:rPr>
  </w:style>
  <w:style w:type="paragraph" w:customStyle="1" w:styleId="xl73">
    <w:name w:val="xl73"/>
    <w:basedOn w:val="Normal"/>
    <w:rsid w:val="00EC217A"/>
    <w:pPr>
      <w:spacing w:before="100" w:beforeAutospacing="1" w:after="100" w:afterAutospacing="1"/>
      <w:jc w:val="center"/>
    </w:pPr>
    <w:rPr>
      <w:rFonts w:cs="Arial"/>
      <w:sz w:val="16"/>
      <w:szCs w:val="16"/>
      <w:lang w:eastAsia="en-AU"/>
    </w:rPr>
  </w:style>
  <w:style w:type="paragraph" w:customStyle="1" w:styleId="xl74">
    <w:name w:val="xl74"/>
    <w:basedOn w:val="Normal"/>
    <w:rsid w:val="00EC217A"/>
    <w:pPr>
      <w:spacing w:before="100" w:beforeAutospacing="1" w:after="100" w:afterAutospacing="1"/>
    </w:pPr>
    <w:rPr>
      <w:rFonts w:cs="Arial"/>
      <w:b/>
      <w:bCs/>
      <w:sz w:val="16"/>
      <w:szCs w:val="16"/>
      <w:lang w:eastAsia="en-AU"/>
    </w:rPr>
  </w:style>
  <w:style w:type="paragraph" w:customStyle="1" w:styleId="xl75">
    <w:name w:val="xl75"/>
    <w:basedOn w:val="Normal"/>
    <w:rsid w:val="00EC217A"/>
    <w:pPr>
      <w:spacing w:before="100" w:beforeAutospacing="1" w:after="100" w:afterAutospacing="1"/>
    </w:pPr>
    <w:rPr>
      <w:rFonts w:cs="Arial"/>
      <w:sz w:val="16"/>
      <w:szCs w:val="16"/>
      <w:lang w:eastAsia="en-AU"/>
    </w:rPr>
  </w:style>
  <w:style w:type="paragraph" w:customStyle="1" w:styleId="xl76">
    <w:name w:val="xl76"/>
    <w:basedOn w:val="Normal"/>
    <w:rsid w:val="00EC217A"/>
    <w:pPr>
      <w:spacing w:before="100" w:beforeAutospacing="1" w:after="100" w:afterAutospacing="1"/>
    </w:pPr>
    <w:rPr>
      <w:rFonts w:cs="Arial"/>
      <w:sz w:val="16"/>
      <w:szCs w:val="16"/>
      <w:lang w:eastAsia="en-AU"/>
    </w:rPr>
  </w:style>
  <w:style w:type="paragraph" w:customStyle="1" w:styleId="xl77">
    <w:name w:val="xl77"/>
    <w:basedOn w:val="Normal"/>
    <w:rsid w:val="00EC217A"/>
    <w:pPr>
      <w:pBdr>
        <w:bottom w:val="single" w:sz="4" w:space="0" w:color="auto"/>
      </w:pBdr>
      <w:spacing w:before="100" w:beforeAutospacing="1" w:after="100" w:afterAutospacing="1"/>
    </w:pPr>
    <w:rPr>
      <w:rFonts w:cs="Arial"/>
      <w:b/>
      <w:bCs/>
      <w:sz w:val="16"/>
      <w:szCs w:val="16"/>
      <w:lang w:eastAsia="en-AU"/>
    </w:rPr>
  </w:style>
  <w:style w:type="paragraph" w:customStyle="1" w:styleId="xl78">
    <w:name w:val="xl78"/>
    <w:basedOn w:val="Normal"/>
    <w:rsid w:val="00EC217A"/>
    <w:pPr>
      <w:spacing w:before="100" w:beforeAutospacing="1" w:after="100" w:afterAutospacing="1"/>
    </w:pPr>
    <w:rPr>
      <w:rFonts w:cs="Arial"/>
      <w:sz w:val="16"/>
      <w:szCs w:val="16"/>
      <w:lang w:eastAsia="en-AU"/>
    </w:rPr>
  </w:style>
  <w:style w:type="paragraph" w:customStyle="1" w:styleId="xl79">
    <w:name w:val="xl79"/>
    <w:basedOn w:val="Normal"/>
    <w:rsid w:val="00EC217A"/>
    <w:pPr>
      <w:pBdr>
        <w:top w:val="single" w:sz="4" w:space="0" w:color="auto"/>
      </w:pBdr>
      <w:spacing w:before="100" w:beforeAutospacing="1" w:after="100" w:afterAutospacing="1"/>
      <w:jc w:val="right"/>
    </w:pPr>
    <w:rPr>
      <w:rFonts w:cs="Arial"/>
      <w:b/>
      <w:bCs/>
      <w:sz w:val="16"/>
      <w:szCs w:val="16"/>
      <w:lang w:eastAsia="en-AU"/>
    </w:rPr>
  </w:style>
  <w:style w:type="paragraph" w:customStyle="1" w:styleId="xl80">
    <w:name w:val="xl80"/>
    <w:basedOn w:val="Normal"/>
    <w:rsid w:val="00EC217A"/>
    <w:pPr>
      <w:spacing w:before="100" w:beforeAutospacing="1" w:after="100" w:afterAutospacing="1"/>
      <w:jc w:val="right"/>
    </w:pPr>
    <w:rPr>
      <w:rFonts w:cs="Arial"/>
      <w:b/>
      <w:bCs/>
      <w:sz w:val="16"/>
      <w:szCs w:val="16"/>
      <w:lang w:eastAsia="en-AU"/>
    </w:rPr>
  </w:style>
  <w:style w:type="paragraph" w:customStyle="1" w:styleId="xl81">
    <w:name w:val="xl81"/>
    <w:basedOn w:val="Normal"/>
    <w:rsid w:val="00EC217A"/>
    <w:pPr>
      <w:spacing w:before="100" w:beforeAutospacing="1" w:after="100" w:afterAutospacing="1"/>
      <w:jc w:val="center"/>
    </w:pPr>
    <w:rPr>
      <w:rFonts w:cs="Arial"/>
      <w:b/>
      <w:bCs/>
      <w:sz w:val="16"/>
      <w:szCs w:val="16"/>
      <w:lang w:eastAsia="en-AU"/>
    </w:rPr>
  </w:style>
  <w:style w:type="paragraph" w:customStyle="1" w:styleId="xl82">
    <w:name w:val="xl82"/>
    <w:basedOn w:val="Normal"/>
    <w:rsid w:val="00EC217A"/>
    <w:pPr>
      <w:spacing w:before="100" w:beforeAutospacing="1" w:after="100" w:afterAutospacing="1"/>
    </w:pPr>
    <w:rPr>
      <w:rFonts w:cs="Arial"/>
      <w:b/>
      <w:bCs/>
      <w:sz w:val="16"/>
      <w:szCs w:val="16"/>
      <w:lang w:eastAsia="en-AU"/>
    </w:rPr>
  </w:style>
  <w:style w:type="paragraph" w:customStyle="1" w:styleId="xl83">
    <w:name w:val="xl83"/>
    <w:basedOn w:val="Normal"/>
    <w:rsid w:val="00EC217A"/>
    <w:pPr>
      <w:pBdr>
        <w:bottom w:val="single" w:sz="4" w:space="0" w:color="auto"/>
      </w:pBdr>
      <w:spacing w:before="100" w:beforeAutospacing="1" w:after="100" w:afterAutospacing="1"/>
      <w:jc w:val="right"/>
    </w:pPr>
    <w:rPr>
      <w:rFonts w:cs="Arial"/>
      <w:b/>
      <w:bCs/>
      <w:sz w:val="16"/>
      <w:szCs w:val="16"/>
      <w:lang w:eastAsia="en-AU"/>
    </w:rPr>
  </w:style>
  <w:style w:type="paragraph" w:customStyle="1" w:styleId="xl84">
    <w:name w:val="xl84"/>
    <w:basedOn w:val="Normal"/>
    <w:rsid w:val="00EC217A"/>
    <w:pPr>
      <w:pBdr>
        <w:right w:val="single" w:sz="4" w:space="0" w:color="auto"/>
      </w:pBdr>
      <w:spacing w:before="100" w:beforeAutospacing="1" w:after="100" w:afterAutospacing="1"/>
    </w:pPr>
    <w:rPr>
      <w:rFonts w:cs="Arial"/>
      <w:b/>
      <w:bCs/>
      <w:sz w:val="16"/>
      <w:szCs w:val="16"/>
      <w:lang w:eastAsia="en-AU"/>
    </w:rPr>
  </w:style>
  <w:style w:type="paragraph" w:customStyle="1" w:styleId="xl85">
    <w:name w:val="xl85"/>
    <w:basedOn w:val="Normal"/>
    <w:rsid w:val="00EC217A"/>
    <w:pPr>
      <w:pBdr>
        <w:right w:val="single" w:sz="4" w:space="0" w:color="auto"/>
      </w:pBdr>
      <w:spacing w:before="100" w:beforeAutospacing="1" w:after="100" w:afterAutospacing="1"/>
    </w:pPr>
    <w:rPr>
      <w:rFonts w:cs="Arial"/>
      <w:sz w:val="16"/>
      <w:szCs w:val="16"/>
      <w:lang w:eastAsia="en-AU"/>
    </w:rPr>
  </w:style>
  <w:style w:type="paragraph" w:customStyle="1" w:styleId="xl86">
    <w:name w:val="xl86"/>
    <w:basedOn w:val="Normal"/>
    <w:rsid w:val="00EC217A"/>
    <w:pPr>
      <w:spacing w:before="100" w:beforeAutospacing="1" w:after="100" w:afterAutospacing="1"/>
      <w:textAlignment w:val="center"/>
    </w:pPr>
    <w:rPr>
      <w:rFonts w:cs="Arial"/>
      <w:sz w:val="16"/>
      <w:szCs w:val="16"/>
      <w:lang w:eastAsia="en-AU"/>
    </w:rPr>
  </w:style>
  <w:style w:type="paragraph" w:customStyle="1" w:styleId="xl87">
    <w:name w:val="xl87"/>
    <w:basedOn w:val="Normal"/>
    <w:rsid w:val="00EC217A"/>
    <w:pPr>
      <w:spacing w:before="100" w:beforeAutospacing="1" w:after="100" w:afterAutospacing="1"/>
      <w:textAlignment w:val="center"/>
    </w:pPr>
    <w:rPr>
      <w:rFonts w:cs="Arial"/>
      <w:sz w:val="16"/>
      <w:szCs w:val="16"/>
      <w:lang w:eastAsia="en-AU"/>
    </w:rPr>
  </w:style>
  <w:style w:type="paragraph" w:customStyle="1" w:styleId="xl88">
    <w:name w:val="xl88"/>
    <w:basedOn w:val="Normal"/>
    <w:rsid w:val="00EC217A"/>
    <w:pPr>
      <w:spacing w:before="100" w:beforeAutospacing="1" w:after="100" w:afterAutospacing="1"/>
      <w:textAlignment w:val="center"/>
    </w:pPr>
    <w:rPr>
      <w:rFonts w:cs="Arial"/>
      <w:sz w:val="16"/>
      <w:szCs w:val="16"/>
      <w:lang w:eastAsia="en-AU"/>
    </w:rPr>
  </w:style>
  <w:style w:type="paragraph" w:customStyle="1" w:styleId="xl89">
    <w:name w:val="xl89"/>
    <w:basedOn w:val="Normal"/>
    <w:rsid w:val="00EC217A"/>
    <w:pPr>
      <w:pBdr>
        <w:left w:val="single" w:sz="4" w:space="0" w:color="auto"/>
      </w:pBdr>
      <w:spacing w:before="100" w:beforeAutospacing="1" w:after="100" w:afterAutospacing="1"/>
      <w:textAlignment w:val="center"/>
    </w:pPr>
    <w:rPr>
      <w:rFonts w:cs="Arial"/>
      <w:sz w:val="16"/>
      <w:szCs w:val="16"/>
      <w:lang w:eastAsia="en-AU"/>
    </w:rPr>
  </w:style>
  <w:style w:type="paragraph" w:customStyle="1" w:styleId="xl90">
    <w:name w:val="xl90"/>
    <w:basedOn w:val="Normal"/>
    <w:rsid w:val="00EC217A"/>
    <w:pPr>
      <w:pBdr>
        <w:left w:val="single" w:sz="4" w:space="0" w:color="auto"/>
      </w:pBdr>
      <w:spacing w:before="100" w:beforeAutospacing="1" w:after="100" w:afterAutospacing="1"/>
      <w:textAlignment w:val="center"/>
    </w:pPr>
    <w:rPr>
      <w:rFonts w:cs="Arial"/>
      <w:sz w:val="16"/>
      <w:szCs w:val="16"/>
      <w:lang w:eastAsia="en-AU"/>
    </w:rPr>
  </w:style>
  <w:style w:type="paragraph" w:customStyle="1" w:styleId="xl91">
    <w:name w:val="xl91"/>
    <w:basedOn w:val="Normal"/>
    <w:rsid w:val="00EC217A"/>
    <w:pPr>
      <w:pBdr>
        <w:left w:val="single" w:sz="4" w:space="0" w:color="auto"/>
      </w:pBdr>
      <w:spacing w:before="100" w:beforeAutospacing="1" w:after="100" w:afterAutospacing="1"/>
    </w:pPr>
    <w:rPr>
      <w:rFonts w:cs="Arial"/>
      <w:sz w:val="16"/>
      <w:szCs w:val="16"/>
      <w:lang w:eastAsia="en-AU"/>
    </w:rPr>
  </w:style>
  <w:style w:type="paragraph" w:customStyle="1" w:styleId="xl92">
    <w:name w:val="xl92"/>
    <w:basedOn w:val="Normal"/>
    <w:rsid w:val="00EC217A"/>
    <w:pPr>
      <w:pBdr>
        <w:left w:val="single" w:sz="4" w:space="0" w:color="auto"/>
      </w:pBdr>
      <w:spacing w:before="100" w:beforeAutospacing="1" w:after="100" w:afterAutospacing="1"/>
    </w:pPr>
    <w:rPr>
      <w:rFonts w:cs="Arial"/>
      <w:sz w:val="16"/>
      <w:szCs w:val="16"/>
      <w:lang w:eastAsia="en-AU"/>
    </w:rPr>
  </w:style>
  <w:style w:type="paragraph" w:customStyle="1" w:styleId="xl93">
    <w:name w:val="xl93"/>
    <w:basedOn w:val="Normal"/>
    <w:rsid w:val="00EC217A"/>
    <w:pPr>
      <w:pBdr>
        <w:right w:val="single" w:sz="4" w:space="0" w:color="auto"/>
      </w:pBdr>
      <w:spacing w:before="100" w:beforeAutospacing="1" w:after="100" w:afterAutospacing="1"/>
      <w:textAlignment w:val="top"/>
    </w:pPr>
    <w:rPr>
      <w:rFonts w:cs="Arial"/>
      <w:sz w:val="16"/>
      <w:szCs w:val="16"/>
      <w:lang w:eastAsia="en-AU"/>
    </w:rPr>
  </w:style>
  <w:style w:type="paragraph" w:customStyle="1" w:styleId="xl94">
    <w:name w:val="xl94"/>
    <w:basedOn w:val="Normal"/>
    <w:rsid w:val="00EC217A"/>
    <w:pPr>
      <w:spacing w:before="100" w:beforeAutospacing="1" w:after="100" w:afterAutospacing="1"/>
      <w:textAlignment w:val="top"/>
    </w:pPr>
    <w:rPr>
      <w:rFonts w:cs="Arial"/>
      <w:sz w:val="16"/>
      <w:szCs w:val="16"/>
      <w:lang w:eastAsia="en-AU"/>
    </w:rPr>
  </w:style>
  <w:style w:type="paragraph" w:customStyle="1" w:styleId="xl95">
    <w:name w:val="xl95"/>
    <w:basedOn w:val="Normal"/>
    <w:rsid w:val="00EC217A"/>
    <w:pPr>
      <w:spacing w:before="100" w:beforeAutospacing="1" w:after="100" w:afterAutospacing="1"/>
    </w:pPr>
    <w:rPr>
      <w:rFonts w:cs="Arial"/>
      <w:sz w:val="16"/>
      <w:szCs w:val="16"/>
      <w:lang w:eastAsia="en-AU"/>
    </w:rPr>
  </w:style>
  <w:style w:type="paragraph" w:customStyle="1" w:styleId="xl96">
    <w:name w:val="xl96"/>
    <w:basedOn w:val="Normal"/>
    <w:rsid w:val="00EC217A"/>
    <w:pPr>
      <w:spacing w:before="100" w:beforeAutospacing="1" w:after="100" w:afterAutospacing="1"/>
    </w:pPr>
    <w:rPr>
      <w:rFonts w:cs="Arial"/>
      <w:b/>
      <w:bCs/>
      <w:sz w:val="16"/>
      <w:szCs w:val="16"/>
      <w:lang w:eastAsia="en-AU"/>
    </w:rPr>
  </w:style>
  <w:style w:type="paragraph" w:customStyle="1" w:styleId="xl97">
    <w:name w:val="xl97"/>
    <w:basedOn w:val="Normal"/>
    <w:rsid w:val="00EC217A"/>
    <w:pPr>
      <w:pBdr>
        <w:right w:val="single" w:sz="4" w:space="0" w:color="auto"/>
      </w:pBdr>
      <w:shd w:val="clear" w:color="auto" w:fill="FF00FF"/>
      <w:spacing w:before="100" w:beforeAutospacing="1" w:after="100" w:afterAutospacing="1"/>
    </w:pPr>
    <w:rPr>
      <w:rFonts w:cs="Arial"/>
      <w:b/>
      <w:bCs/>
      <w:sz w:val="16"/>
      <w:szCs w:val="16"/>
      <w:lang w:eastAsia="en-AU"/>
    </w:rPr>
  </w:style>
  <w:style w:type="paragraph" w:customStyle="1" w:styleId="xl98">
    <w:name w:val="xl98"/>
    <w:basedOn w:val="Normal"/>
    <w:rsid w:val="00EC217A"/>
    <w:pPr>
      <w:pBdr>
        <w:bottom w:val="single" w:sz="4" w:space="0" w:color="auto"/>
        <w:right w:val="single" w:sz="4" w:space="0" w:color="auto"/>
      </w:pBdr>
      <w:spacing w:before="100" w:beforeAutospacing="1" w:after="100" w:afterAutospacing="1"/>
    </w:pPr>
    <w:rPr>
      <w:rFonts w:cs="Arial"/>
      <w:b/>
      <w:bCs/>
      <w:sz w:val="16"/>
      <w:szCs w:val="16"/>
      <w:lang w:eastAsia="en-AU"/>
    </w:rPr>
  </w:style>
  <w:style w:type="paragraph" w:customStyle="1" w:styleId="xl24">
    <w:name w:val="xl24"/>
    <w:basedOn w:val="Normal"/>
    <w:rsid w:val="00EC217A"/>
    <w:pPr>
      <w:pBdr>
        <w:top w:val="single" w:sz="8" w:space="0" w:color="auto"/>
      </w:pBdr>
      <w:spacing w:before="100" w:beforeAutospacing="1" w:after="100" w:afterAutospacing="1"/>
    </w:pPr>
    <w:rPr>
      <w:rFonts w:ascii="Calibri" w:hAnsi="Calibri"/>
      <w:szCs w:val="20"/>
      <w:lang w:eastAsia="en-AU"/>
    </w:rPr>
  </w:style>
  <w:style w:type="paragraph" w:customStyle="1" w:styleId="xl26">
    <w:name w:val="xl26"/>
    <w:basedOn w:val="Normal"/>
    <w:rsid w:val="00EC217A"/>
    <w:pPr>
      <w:spacing w:before="100" w:beforeAutospacing="1" w:after="100" w:afterAutospacing="1"/>
    </w:pPr>
    <w:rPr>
      <w:rFonts w:ascii="Calibri" w:hAnsi="Calibri"/>
      <w:b/>
      <w:bCs/>
      <w:szCs w:val="20"/>
      <w:lang w:eastAsia="en-AU"/>
    </w:rPr>
  </w:style>
  <w:style w:type="paragraph" w:customStyle="1" w:styleId="xl27">
    <w:name w:val="xl27"/>
    <w:basedOn w:val="Normal"/>
    <w:rsid w:val="00EC217A"/>
    <w:pPr>
      <w:spacing w:before="100" w:beforeAutospacing="1" w:after="100" w:afterAutospacing="1"/>
      <w:jc w:val="right"/>
    </w:pPr>
    <w:rPr>
      <w:rFonts w:ascii="Calibri" w:hAnsi="Calibri"/>
      <w:b/>
      <w:bCs/>
      <w:szCs w:val="20"/>
      <w:lang w:eastAsia="en-AU"/>
    </w:rPr>
  </w:style>
  <w:style w:type="paragraph" w:customStyle="1" w:styleId="xl28">
    <w:name w:val="xl28"/>
    <w:basedOn w:val="Normal"/>
    <w:rsid w:val="00EC217A"/>
    <w:pPr>
      <w:pBdr>
        <w:bottom w:val="single" w:sz="8" w:space="0" w:color="auto"/>
      </w:pBdr>
      <w:spacing w:before="100" w:beforeAutospacing="1" w:after="100" w:afterAutospacing="1"/>
    </w:pPr>
    <w:rPr>
      <w:rFonts w:ascii="Calibri" w:hAnsi="Calibri"/>
      <w:szCs w:val="20"/>
      <w:lang w:eastAsia="en-AU"/>
    </w:rPr>
  </w:style>
  <w:style w:type="paragraph" w:customStyle="1" w:styleId="xl29">
    <w:name w:val="xl29"/>
    <w:basedOn w:val="Normal"/>
    <w:rsid w:val="00EC217A"/>
    <w:pPr>
      <w:pBdr>
        <w:bottom w:val="single" w:sz="8" w:space="0" w:color="auto"/>
      </w:pBdr>
      <w:spacing w:before="100" w:beforeAutospacing="1" w:after="100" w:afterAutospacing="1"/>
      <w:jc w:val="right"/>
    </w:pPr>
    <w:rPr>
      <w:rFonts w:ascii="Calibri" w:hAnsi="Calibri"/>
      <w:b/>
      <w:bCs/>
      <w:szCs w:val="20"/>
      <w:lang w:eastAsia="en-AU"/>
    </w:rPr>
  </w:style>
  <w:style w:type="paragraph" w:customStyle="1" w:styleId="xl31">
    <w:name w:val="xl31"/>
    <w:basedOn w:val="Normal"/>
    <w:rsid w:val="00EC217A"/>
    <w:pPr>
      <w:spacing w:before="100" w:beforeAutospacing="1" w:after="100" w:afterAutospacing="1"/>
      <w:jc w:val="center"/>
    </w:pPr>
    <w:rPr>
      <w:rFonts w:ascii="Calibri" w:hAnsi="Calibri"/>
      <w:szCs w:val="20"/>
      <w:lang w:eastAsia="en-AU"/>
    </w:rPr>
  </w:style>
  <w:style w:type="paragraph" w:customStyle="1" w:styleId="xl32">
    <w:name w:val="xl32"/>
    <w:basedOn w:val="Normal"/>
    <w:rsid w:val="00EC217A"/>
    <w:pPr>
      <w:spacing w:before="100" w:beforeAutospacing="1" w:after="100" w:afterAutospacing="1"/>
      <w:jc w:val="right"/>
    </w:pPr>
    <w:rPr>
      <w:rFonts w:ascii="Calibri" w:hAnsi="Calibri"/>
      <w:b/>
      <w:bCs/>
      <w:szCs w:val="20"/>
      <w:lang w:eastAsia="en-AU"/>
    </w:rPr>
  </w:style>
  <w:style w:type="paragraph" w:customStyle="1" w:styleId="xl33">
    <w:name w:val="xl33"/>
    <w:basedOn w:val="Normal"/>
    <w:rsid w:val="00EC217A"/>
    <w:pPr>
      <w:spacing w:before="100" w:beforeAutospacing="1" w:after="100" w:afterAutospacing="1"/>
    </w:pPr>
    <w:rPr>
      <w:rFonts w:ascii="Times New Roman Bold" w:hAnsi="Times New Roman Bold"/>
      <w:b/>
      <w:bCs/>
      <w:szCs w:val="20"/>
      <w:lang w:eastAsia="en-AU"/>
    </w:rPr>
  </w:style>
  <w:style w:type="paragraph" w:customStyle="1" w:styleId="xl34">
    <w:name w:val="xl34"/>
    <w:basedOn w:val="Normal"/>
    <w:rsid w:val="00EC217A"/>
    <w:pPr>
      <w:spacing w:before="100" w:beforeAutospacing="1" w:after="100" w:afterAutospacing="1"/>
      <w:ind w:firstLineChars="100" w:firstLine="100"/>
    </w:pPr>
    <w:rPr>
      <w:rFonts w:ascii="Calibri" w:hAnsi="Calibri"/>
      <w:sz w:val="18"/>
      <w:szCs w:val="18"/>
      <w:lang w:eastAsia="en-AU"/>
    </w:rPr>
  </w:style>
  <w:style w:type="paragraph" w:customStyle="1" w:styleId="xl35">
    <w:name w:val="xl35"/>
    <w:basedOn w:val="Normal"/>
    <w:rsid w:val="00EC217A"/>
    <w:pPr>
      <w:spacing w:before="100" w:beforeAutospacing="1" w:after="100" w:afterAutospacing="1"/>
      <w:jc w:val="center"/>
    </w:pPr>
    <w:rPr>
      <w:rFonts w:ascii="Calibri" w:hAnsi="Calibri"/>
      <w:sz w:val="18"/>
      <w:szCs w:val="18"/>
      <w:lang w:eastAsia="en-AU"/>
    </w:rPr>
  </w:style>
  <w:style w:type="paragraph" w:customStyle="1" w:styleId="xl36">
    <w:name w:val="xl36"/>
    <w:basedOn w:val="Normal"/>
    <w:rsid w:val="00EC217A"/>
    <w:pPr>
      <w:spacing w:before="100" w:beforeAutospacing="1" w:after="100" w:afterAutospacing="1"/>
      <w:ind w:firstLineChars="100" w:firstLine="100"/>
      <w:textAlignment w:val="top"/>
    </w:pPr>
    <w:rPr>
      <w:rFonts w:ascii="Calibri" w:hAnsi="Calibri"/>
      <w:sz w:val="18"/>
      <w:szCs w:val="18"/>
      <w:lang w:eastAsia="en-AU"/>
    </w:rPr>
  </w:style>
  <w:style w:type="paragraph" w:customStyle="1" w:styleId="xl37">
    <w:name w:val="xl37"/>
    <w:basedOn w:val="Normal"/>
    <w:rsid w:val="00EC217A"/>
    <w:pPr>
      <w:spacing w:before="100" w:beforeAutospacing="1" w:after="100" w:afterAutospacing="1"/>
      <w:ind w:firstLineChars="100" w:firstLine="100"/>
    </w:pPr>
    <w:rPr>
      <w:rFonts w:ascii="Calibri" w:hAnsi="Calibri"/>
      <w:b/>
      <w:bCs/>
      <w:sz w:val="18"/>
      <w:szCs w:val="18"/>
      <w:lang w:eastAsia="en-AU"/>
    </w:rPr>
  </w:style>
  <w:style w:type="paragraph" w:customStyle="1" w:styleId="xl38">
    <w:name w:val="xl38"/>
    <w:basedOn w:val="Normal"/>
    <w:rsid w:val="00EC217A"/>
    <w:pPr>
      <w:spacing w:before="100" w:beforeAutospacing="1" w:after="100" w:afterAutospacing="1"/>
      <w:jc w:val="center"/>
    </w:pPr>
    <w:rPr>
      <w:rFonts w:ascii="Calibri" w:hAnsi="Calibri"/>
      <w:b/>
      <w:bCs/>
      <w:sz w:val="18"/>
      <w:szCs w:val="18"/>
      <w:lang w:eastAsia="en-AU"/>
    </w:rPr>
  </w:style>
  <w:style w:type="paragraph" w:customStyle="1" w:styleId="xl39">
    <w:name w:val="xl39"/>
    <w:basedOn w:val="Normal"/>
    <w:rsid w:val="00EC217A"/>
    <w:pPr>
      <w:pBdr>
        <w:bottom w:val="single" w:sz="8" w:space="0" w:color="auto"/>
      </w:pBdr>
      <w:spacing w:before="100" w:beforeAutospacing="1" w:after="100" w:afterAutospacing="1"/>
      <w:ind w:firstLineChars="100" w:firstLine="100"/>
    </w:pPr>
    <w:rPr>
      <w:rFonts w:ascii="Calibri" w:hAnsi="Calibri"/>
      <w:sz w:val="18"/>
      <w:szCs w:val="18"/>
      <w:lang w:eastAsia="en-AU"/>
    </w:rPr>
  </w:style>
  <w:style w:type="paragraph" w:customStyle="1" w:styleId="xl40">
    <w:name w:val="xl40"/>
    <w:basedOn w:val="Normal"/>
    <w:rsid w:val="00EC217A"/>
    <w:pPr>
      <w:pBdr>
        <w:bottom w:val="single" w:sz="8" w:space="0" w:color="auto"/>
      </w:pBdr>
      <w:spacing w:before="100" w:beforeAutospacing="1" w:after="100" w:afterAutospacing="1"/>
      <w:ind w:firstLineChars="100" w:firstLine="100"/>
    </w:pPr>
    <w:rPr>
      <w:rFonts w:ascii="Calibri" w:hAnsi="Calibri"/>
      <w:b/>
      <w:bCs/>
      <w:sz w:val="18"/>
      <w:szCs w:val="18"/>
      <w:lang w:eastAsia="en-AU"/>
    </w:rPr>
  </w:style>
  <w:style w:type="paragraph" w:customStyle="1" w:styleId="xl41">
    <w:name w:val="xl41"/>
    <w:basedOn w:val="Normal"/>
    <w:rsid w:val="00EC217A"/>
    <w:pPr>
      <w:spacing w:before="100" w:beforeAutospacing="1" w:after="100" w:afterAutospacing="1"/>
      <w:jc w:val="center"/>
    </w:pPr>
    <w:rPr>
      <w:rFonts w:ascii="Calibri" w:hAnsi="Calibri"/>
      <w:b/>
      <w:bCs/>
      <w:sz w:val="18"/>
      <w:szCs w:val="18"/>
      <w:lang w:eastAsia="en-AU"/>
    </w:rPr>
  </w:style>
  <w:style w:type="paragraph" w:customStyle="1" w:styleId="xl42">
    <w:name w:val="xl42"/>
    <w:basedOn w:val="Normal"/>
    <w:rsid w:val="00EC217A"/>
    <w:pPr>
      <w:spacing w:before="100" w:beforeAutospacing="1" w:after="100" w:afterAutospacing="1"/>
    </w:pPr>
    <w:rPr>
      <w:rFonts w:ascii="Calibri" w:hAnsi="Calibri"/>
      <w:b/>
      <w:bCs/>
      <w:sz w:val="18"/>
      <w:szCs w:val="18"/>
      <w:lang w:eastAsia="en-AU"/>
    </w:rPr>
  </w:style>
  <w:style w:type="paragraph" w:customStyle="1" w:styleId="xl43">
    <w:name w:val="xl43"/>
    <w:basedOn w:val="Normal"/>
    <w:rsid w:val="00EC217A"/>
    <w:pPr>
      <w:pBdr>
        <w:bottom w:val="single" w:sz="8" w:space="0" w:color="auto"/>
      </w:pBdr>
      <w:spacing w:before="100" w:beforeAutospacing="1" w:after="100" w:afterAutospacing="1"/>
      <w:jc w:val="center"/>
    </w:pPr>
    <w:rPr>
      <w:rFonts w:ascii="Calibri" w:hAnsi="Calibri"/>
      <w:b/>
      <w:bCs/>
      <w:sz w:val="18"/>
      <w:szCs w:val="18"/>
      <w:lang w:eastAsia="en-AU"/>
    </w:rPr>
  </w:style>
  <w:style w:type="paragraph" w:customStyle="1" w:styleId="xl44">
    <w:name w:val="xl44"/>
    <w:basedOn w:val="Normal"/>
    <w:rsid w:val="00EC217A"/>
    <w:pPr>
      <w:spacing w:before="100" w:beforeAutospacing="1" w:after="100" w:afterAutospacing="1"/>
    </w:pPr>
    <w:rPr>
      <w:rFonts w:ascii="Calibri" w:hAnsi="Calibri"/>
      <w:b/>
      <w:bCs/>
      <w:szCs w:val="20"/>
      <w:lang w:eastAsia="en-AU"/>
    </w:rPr>
  </w:style>
  <w:style w:type="paragraph" w:customStyle="1" w:styleId="xl45">
    <w:name w:val="xl45"/>
    <w:basedOn w:val="Normal"/>
    <w:rsid w:val="00EC217A"/>
    <w:pPr>
      <w:spacing w:before="100" w:beforeAutospacing="1" w:after="100" w:afterAutospacing="1"/>
    </w:pPr>
    <w:rPr>
      <w:rFonts w:ascii="Calibri" w:hAnsi="Calibri"/>
      <w:szCs w:val="20"/>
      <w:lang w:eastAsia="en-AU"/>
    </w:rPr>
  </w:style>
  <w:style w:type="paragraph" w:customStyle="1" w:styleId="xl46">
    <w:name w:val="xl46"/>
    <w:basedOn w:val="Normal"/>
    <w:rsid w:val="00EC217A"/>
    <w:pPr>
      <w:spacing w:before="100" w:beforeAutospacing="1" w:after="100" w:afterAutospacing="1"/>
    </w:pPr>
    <w:rPr>
      <w:rFonts w:ascii="Calibri" w:hAnsi="Calibri"/>
      <w:sz w:val="18"/>
      <w:szCs w:val="18"/>
      <w:lang w:eastAsia="en-AU"/>
    </w:rPr>
  </w:style>
  <w:style w:type="paragraph" w:customStyle="1" w:styleId="xl47">
    <w:name w:val="xl47"/>
    <w:basedOn w:val="Normal"/>
    <w:rsid w:val="00EC217A"/>
    <w:pPr>
      <w:pBdr>
        <w:bottom w:val="single" w:sz="8" w:space="0" w:color="auto"/>
      </w:pBdr>
      <w:spacing w:before="100" w:beforeAutospacing="1" w:after="100" w:afterAutospacing="1"/>
    </w:pPr>
    <w:rPr>
      <w:rFonts w:ascii="Calibri" w:hAnsi="Calibri"/>
      <w:sz w:val="18"/>
      <w:szCs w:val="18"/>
      <w:lang w:eastAsia="en-AU"/>
    </w:rPr>
  </w:style>
  <w:style w:type="paragraph" w:customStyle="1" w:styleId="xl48">
    <w:name w:val="xl48"/>
    <w:basedOn w:val="Normal"/>
    <w:rsid w:val="00EC217A"/>
    <w:pPr>
      <w:pBdr>
        <w:bottom w:val="single" w:sz="8" w:space="0" w:color="auto"/>
      </w:pBdr>
      <w:spacing w:before="100" w:beforeAutospacing="1" w:after="100" w:afterAutospacing="1"/>
    </w:pPr>
    <w:rPr>
      <w:rFonts w:ascii="Calibri" w:hAnsi="Calibri"/>
      <w:b/>
      <w:bCs/>
      <w:sz w:val="18"/>
      <w:szCs w:val="18"/>
      <w:lang w:eastAsia="en-AU"/>
    </w:rPr>
  </w:style>
  <w:style w:type="paragraph" w:customStyle="1" w:styleId="xl49">
    <w:name w:val="xl49"/>
    <w:basedOn w:val="Normal"/>
    <w:rsid w:val="00EC217A"/>
    <w:pPr>
      <w:pBdr>
        <w:top w:val="single" w:sz="8" w:space="0" w:color="auto"/>
      </w:pBdr>
      <w:spacing w:before="100" w:beforeAutospacing="1" w:after="100" w:afterAutospacing="1"/>
    </w:pPr>
    <w:rPr>
      <w:rFonts w:ascii="Calibri" w:hAnsi="Calibri"/>
      <w:sz w:val="18"/>
      <w:szCs w:val="18"/>
      <w:lang w:eastAsia="en-AU"/>
    </w:rPr>
  </w:style>
  <w:style w:type="paragraph" w:customStyle="1" w:styleId="xl50">
    <w:name w:val="xl50"/>
    <w:basedOn w:val="Normal"/>
    <w:rsid w:val="00EC217A"/>
    <w:pPr>
      <w:spacing w:before="100" w:beforeAutospacing="1" w:after="100" w:afterAutospacing="1"/>
    </w:pPr>
    <w:rPr>
      <w:rFonts w:ascii="Calibri" w:hAnsi="Calibri"/>
      <w:b/>
      <w:bCs/>
      <w:sz w:val="18"/>
      <w:szCs w:val="18"/>
      <w:lang w:eastAsia="en-AU"/>
    </w:rPr>
  </w:style>
  <w:style w:type="paragraph" w:customStyle="1" w:styleId="xl51">
    <w:name w:val="xl51"/>
    <w:basedOn w:val="Normal"/>
    <w:rsid w:val="00EC217A"/>
    <w:pPr>
      <w:spacing w:before="100" w:beforeAutospacing="1" w:after="100" w:afterAutospacing="1"/>
    </w:pPr>
    <w:rPr>
      <w:rFonts w:ascii="Calibri" w:hAnsi="Calibri"/>
      <w:szCs w:val="20"/>
      <w:lang w:eastAsia="en-AU"/>
    </w:rPr>
  </w:style>
  <w:style w:type="paragraph" w:customStyle="1" w:styleId="xl52">
    <w:name w:val="xl52"/>
    <w:basedOn w:val="Normal"/>
    <w:rsid w:val="00EC217A"/>
    <w:pPr>
      <w:spacing w:before="100" w:beforeAutospacing="1" w:after="100" w:afterAutospacing="1"/>
      <w:jc w:val="center"/>
    </w:pPr>
    <w:rPr>
      <w:rFonts w:ascii="Calibri" w:hAnsi="Calibri"/>
      <w:sz w:val="18"/>
      <w:szCs w:val="18"/>
      <w:lang w:eastAsia="en-AU"/>
    </w:rPr>
  </w:style>
  <w:style w:type="paragraph" w:customStyle="1" w:styleId="xl53">
    <w:name w:val="xl53"/>
    <w:basedOn w:val="Normal"/>
    <w:rsid w:val="00EC217A"/>
    <w:pPr>
      <w:spacing w:before="100" w:beforeAutospacing="1" w:after="100" w:afterAutospacing="1"/>
      <w:jc w:val="center"/>
    </w:pPr>
    <w:rPr>
      <w:rFonts w:ascii="Calibri" w:hAnsi="Calibri"/>
      <w:sz w:val="18"/>
      <w:szCs w:val="18"/>
      <w:lang w:eastAsia="en-AU"/>
    </w:rPr>
  </w:style>
  <w:style w:type="paragraph" w:customStyle="1" w:styleId="xl54">
    <w:name w:val="xl54"/>
    <w:basedOn w:val="Normal"/>
    <w:rsid w:val="00EC217A"/>
    <w:pPr>
      <w:spacing w:before="100" w:beforeAutospacing="1" w:after="100" w:afterAutospacing="1"/>
    </w:pPr>
    <w:rPr>
      <w:rFonts w:ascii="Calibri" w:hAnsi="Calibri"/>
      <w:sz w:val="18"/>
      <w:szCs w:val="18"/>
      <w:lang w:eastAsia="en-AU"/>
    </w:rPr>
  </w:style>
  <w:style w:type="paragraph" w:customStyle="1" w:styleId="xl55">
    <w:name w:val="xl55"/>
    <w:basedOn w:val="Normal"/>
    <w:rsid w:val="00EC217A"/>
    <w:pPr>
      <w:spacing w:before="100" w:beforeAutospacing="1" w:after="100" w:afterAutospacing="1"/>
    </w:pPr>
    <w:rPr>
      <w:rFonts w:ascii="Calibri" w:hAnsi="Calibri"/>
      <w:sz w:val="18"/>
      <w:szCs w:val="18"/>
      <w:lang w:eastAsia="en-AU"/>
    </w:rPr>
  </w:style>
  <w:style w:type="paragraph" w:customStyle="1" w:styleId="xl56">
    <w:name w:val="xl56"/>
    <w:basedOn w:val="Normal"/>
    <w:rsid w:val="00EC217A"/>
    <w:pPr>
      <w:spacing w:before="100" w:beforeAutospacing="1" w:after="100" w:afterAutospacing="1"/>
      <w:textAlignment w:val="center"/>
    </w:pPr>
    <w:rPr>
      <w:rFonts w:ascii="Calibri" w:hAnsi="Calibri"/>
      <w:szCs w:val="20"/>
      <w:lang w:eastAsia="en-AU"/>
    </w:rPr>
  </w:style>
  <w:style w:type="paragraph" w:customStyle="1" w:styleId="xl57">
    <w:name w:val="xl57"/>
    <w:basedOn w:val="Normal"/>
    <w:rsid w:val="00EC217A"/>
    <w:pPr>
      <w:spacing w:before="100" w:beforeAutospacing="1" w:after="100" w:afterAutospacing="1"/>
      <w:ind w:firstLineChars="100" w:firstLine="100"/>
      <w:textAlignment w:val="center"/>
    </w:pPr>
    <w:rPr>
      <w:rFonts w:ascii="Calibri" w:hAnsi="Calibri"/>
      <w:sz w:val="18"/>
      <w:szCs w:val="18"/>
      <w:lang w:eastAsia="en-AU"/>
    </w:rPr>
  </w:style>
  <w:style w:type="paragraph" w:customStyle="1" w:styleId="xl58">
    <w:name w:val="xl58"/>
    <w:basedOn w:val="Normal"/>
    <w:rsid w:val="00EC217A"/>
    <w:pPr>
      <w:spacing w:before="100" w:beforeAutospacing="1" w:after="100" w:afterAutospacing="1"/>
      <w:textAlignment w:val="center"/>
    </w:pPr>
    <w:rPr>
      <w:rFonts w:ascii="Times New Roman Bold" w:hAnsi="Times New Roman Bold"/>
      <w:b/>
      <w:bCs/>
      <w:szCs w:val="20"/>
      <w:lang w:eastAsia="en-AU"/>
    </w:rPr>
  </w:style>
  <w:style w:type="paragraph" w:customStyle="1" w:styleId="xl59">
    <w:name w:val="xl59"/>
    <w:basedOn w:val="Normal"/>
    <w:rsid w:val="00EC217A"/>
    <w:pPr>
      <w:pBdr>
        <w:bottom w:val="single" w:sz="8" w:space="0" w:color="auto"/>
      </w:pBdr>
      <w:spacing w:before="100" w:beforeAutospacing="1" w:after="100" w:afterAutospacing="1"/>
      <w:ind w:firstLineChars="100" w:firstLine="100"/>
      <w:textAlignment w:val="center"/>
    </w:pPr>
    <w:rPr>
      <w:rFonts w:ascii="Calibri" w:hAnsi="Calibri"/>
      <w:b/>
      <w:bCs/>
      <w:sz w:val="18"/>
      <w:szCs w:val="18"/>
      <w:lang w:eastAsia="en-AU"/>
    </w:rPr>
  </w:style>
  <w:style w:type="paragraph" w:customStyle="1" w:styleId="xl60">
    <w:name w:val="xl60"/>
    <w:basedOn w:val="Normal"/>
    <w:rsid w:val="00EC217A"/>
    <w:pPr>
      <w:spacing w:before="100" w:beforeAutospacing="1" w:after="100" w:afterAutospacing="1"/>
      <w:jc w:val="center"/>
      <w:textAlignment w:val="center"/>
    </w:pPr>
    <w:rPr>
      <w:rFonts w:ascii="Calibri" w:hAnsi="Calibri"/>
      <w:sz w:val="18"/>
      <w:szCs w:val="18"/>
      <w:lang w:eastAsia="en-AU"/>
    </w:rPr>
  </w:style>
  <w:style w:type="paragraph" w:customStyle="1" w:styleId="xl61">
    <w:name w:val="xl61"/>
    <w:basedOn w:val="Normal"/>
    <w:rsid w:val="00EC217A"/>
    <w:pPr>
      <w:spacing w:before="100" w:beforeAutospacing="1" w:after="100" w:afterAutospacing="1"/>
      <w:textAlignment w:val="center"/>
    </w:pPr>
    <w:rPr>
      <w:rFonts w:ascii="Calibri" w:hAnsi="Calibri"/>
      <w:szCs w:val="20"/>
      <w:lang w:eastAsia="en-AU"/>
    </w:rPr>
  </w:style>
  <w:style w:type="character" w:customStyle="1" w:styleId="Heading3TopofPageChar">
    <w:name w:val="Heading 3 Top of Page Char"/>
    <w:link w:val="Heading3TopofPage"/>
    <w:locked/>
    <w:rsid w:val="00EC217A"/>
    <w:rPr>
      <w:rFonts w:ascii="Arial" w:hAnsi="Arial"/>
      <w:b/>
      <w:bCs/>
      <w:sz w:val="24"/>
      <w:szCs w:val="26"/>
      <w:lang w:val="x-none" w:eastAsia="x-none"/>
    </w:rPr>
  </w:style>
  <w:style w:type="character" w:customStyle="1" w:styleId="TableTextLeft-BP4Char">
    <w:name w:val="Table Text Left - BP4 Char"/>
    <w:link w:val="TableTextLeft-BP4"/>
    <w:locked/>
    <w:rsid w:val="00EC217A"/>
    <w:rPr>
      <w:rFonts w:ascii="Calibri" w:hAnsi="Calibri"/>
      <w:sz w:val="18"/>
      <w:szCs w:val="18"/>
      <w:lang w:val="x-none" w:eastAsia="en-US"/>
    </w:rPr>
  </w:style>
  <w:style w:type="paragraph" w:customStyle="1" w:styleId="1n">
    <w:name w:val="1. n"/>
    <w:basedOn w:val="n"/>
    <w:rsid w:val="00EC217A"/>
    <w:rPr>
      <w:iCs/>
      <w:szCs w:val="20"/>
    </w:rPr>
  </w:style>
  <w:style w:type="paragraph" w:customStyle="1" w:styleId="an">
    <w:name w:val="a. n"/>
    <w:basedOn w:val="n"/>
    <w:rsid w:val="00EC217A"/>
    <w:rPr>
      <w:iCs/>
      <w:szCs w:val="20"/>
    </w:rPr>
  </w:style>
  <w:style w:type="character" w:customStyle="1" w:styleId="CharChar2">
    <w:name w:val="Char Char2"/>
    <w:uiPriority w:val="99"/>
    <w:rsid w:val="00EC217A"/>
    <w:rPr>
      <w:rFonts w:ascii="Calibri" w:hAnsi="Calibri" w:cs="Times New Roman"/>
      <w:sz w:val="24"/>
      <w:lang w:val="en-AU" w:eastAsia="en-US" w:bidi="ar-SA"/>
    </w:rPr>
  </w:style>
  <w:style w:type="character" w:customStyle="1" w:styleId="CharChar11">
    <w:name w:val="Char Char11"/>
    <w:uiPriority w:val="99"/>
    <w:rsid w:val="00EC217A"/>
    <w:rPr>
      <w:rFonts w:ascii="Arial" w:hAnsi="Arial" w:cs="Arial"/>
      <w:b/>
      <w:bCs/>
      <w:sz w:val="26"/>
      <w:szCs w:val="26"/>
      <w:lang w:val="en-AU" w:eastAsia="en-US" w:bidi="ar-SA"/>
    </w:rPr>
  </w:style>
  <w:style w:type="table" w:styleId="ColorfulGrid-Accent2">
    <w:name w:val="Colorful Grid Accent 2"/>
    <w:basedOn w:val="TableNormal"/>
    <w:uiPriority w:val="73"/>
    <w:rsid w:val="00EC217A"/>
    <w:rPr>
      <w:rFonts w:ascii="Calibri" w:hAnsi="Calibri"/>
      <w:color w:val="000000"/>
      <w:lang w:val="en-US" w:eastAsia="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EC217A"/>
    <w:rPr>
      <w:rFonts w:ascii="Calibri" w:hAnsi="Calibri"/>
      <w:color w:val="000000"/>
      <w:lang w:val="en-US"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EC217A"/>
    <w:rPr>
      <w:rFonts w:ascii="Calibri" w:hAnsi="Calibri"/>
      <w:color w:val="000000"/>
      <w:lang w:val="en-US" w:eastAsia="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EC217A"/>
    <w:rPr>
      <w:rFonts w:ascii="Calibri" w:hAnsi="Calibri"/>
      <w:color w:val="000000"/>
      <w:lang w:val="en-US" w:eastAsia="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EC217A"/>
    <w:rPr>
      <w:rFonts w:ascii="Calibri" w:hAnsi="Calibri"/>
      <w:color w:val="000000"/>
      <w:lang w:val="en-US" w:eastAsia="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Index1">
    <w:name w:val="index 1"/>
    <w:basedOn w:val="Normal"/>
    <w:next w:val="Normal"/>
    <w:autoRedefine/>
    <w:rsid w:val="00EC217A"/>
    <w:pPr>
      <w:spacing w:before="200" w:after="200"/>
      <w:ind w:left="240" w:hanging="240"/>
    </w:pPr>
    <w:rPr>
      <w:rFonts w:ascii="Calibri" w:hAnsi="Calibri"/>
      <w:szCs w:val="20"/>
      <w:lang w:eastAsia="en-US"/>
    </w:rPr>
  </w:style>
  <w:style w:type="paragraph" w:styleId="Index2">
    <w:name w:val="index 2"/>
    <w:basedOn w:val="Normal"/>
    <w:next w:val="Normal"/>
    <w:autoRedefine/>
    <w:rsid w:val="00EC217A"/>
    <w:pPr>
      <w:spacing w:before="200" w:after="200"/>
      <w:ind w:left="480" w:hanging="240"/>
    </w:pPr>
    <w:rPr>
      <w:rFonts w:ascii="Calibri" w:hAnsi="Calibri"/>
      <w:szCs w:val="20"/>
      <w:lang w:eastAsia="en-US"/>
    </w:rPr>
  </w:style>
  <w:style w:type="paragraph" w:styleId="Index3">
    <w:name w:val="index 3"/>
    <w:basedOn w:val="Normal"/>
    <w:next w:val="Normal"/>
    <w:autoRedefine/>
    <w:rsid w:val="00EC217A"/>
    <w:pPr>
      <w:spacing w:before="200" w:after="200"/>
      <w:ind w:left="720" w:hanging="240"/>
    </w:pPr>
    <w:rPr>
      <w:rFonts w:ascii="Calibri" w:hAnsi="Calibri"/>
      <w:szCs w:val="20"/>
      <w:lang w:eastAsia="en-US"/>
    </w:rPr>
  </w:style>
  <w:style w:type="paragraph" w:styleId="Index4">
    <w:name w:val="index 4"/>
    <w:basedOn w:val="Normal"/>
    <w:next w:val="Normal"/>
    <w:autoRedefine/>
    <w:rsid w:val="00EC217A"/>
    <w:pPr>
      <w:spacing w:before="200" w:after="200"/>
      <w:ind w:left="960" w:hanging="240"/>
    </w:pPr>
    <w:rPr>
      <w:rFonts w:ascii="Calibri" w:hAnsi="Calibri"/>
      <w:szCs w:val="20"/>
      <w:lang w:eastAsia="en-US"/>
    </w:rPr>
  </w:style>
  <w:style w:type="paragraph" w:styleId="Index5">
    <w:name w:val="index 5"/>
    <w:basedOn w:val="Normal"/>
    <w:next w:val="Normal"/>
    <w:autoRedefine/>
    <w:rsid w:val="00EC217A"/>
    <w:pPr>
      <w:spacing w:before="200" w:after="200"/>
      <w:ind w:left="1200" w:hanging="240"/>
    </w:pPr>
    <w:rPr>
      <w:rFonts w:ascii="Calibri" w:hAnsi="Calibri"/>
      <w:szCs w:val="20"/>
      <w:lang w:eastAsia="en-US"/>
    </w:rPr>
  </w:style>
  <w:style w:type="paragraph" w:styleId="Index6">
    <w:name w:val="index 6"/>
    <w:basedOn w:val="Normal"/>
    <w:next w:val="Normal"/>
    <w:autoRedefine/>
    <w:rsid w:val="00EC217A"/>
    <w:pPr>
      <w:spacing w:before="200" w:after="200"/>
      <w:ind w:left="1440" w:hanging="240"/>
    </w:pPr>
    <w:rPr>
      <w:rFonts w:ascii="Calibri" w:hAnsi="Calibri"/>
      <w:szCs w:val="20"/>
      <w:lang w:eastAsia="en-US"/>
    </w:rPr>
  </w:style>
  <w:style w:type="paragraph" w:styleId="Index7">
    <w:name w:val="index 7"/>
    <w:basedOn w:val="Normal"/>
    <w:next w:val="Normal"/>
    <w:autoRedefine/>
    <w:rsid w:val="00EC217A"/>
    <w:pPr>
      <w:spacing w:before="200" w:after="200"/>
      <w:ind w:left="1680" w:hanging="240"/>
    </w:pPr>
    <w:rPr>
      <w:rFonts w:ascii="Calibri" w:hAnsi="Calibri"/>
      <w:szCs w:val="20"/>
      <w:lang w:eastAsia="en-US"/>
    </w:rPr>
  </w:style>
  <w:style w:type="paragraph" w:styleId="Index8">
    <w:name w:val="index 8"/>
    <w:basedOn w:val="Normal"/>
    <w:next w:val="Normal"/>
    <w:autoRedefine/>
    <w:rsid w:val="00EC217A"/>
    <w:pPr>
      <w:spacing w:before="200" w:after="200"/>
      <w:ind w:left="1920" w:hanging="240"/>
    </w:pPr>
    <w:rPr>
      <w:rFonts w:ascii="Calibri" w:hAnsi="Calibri"/>
      <w:szCs w:val="20"/>
      <w:lang w:eastAsia="en-US"/>
    </w:rPr>
  </w:style>
  <w:style w:type="paragraph" w:styleId="Index9">
    <w:name w:val="index 9"/>
    <w:basedOn w:val="Normal"/>
    <w:next w:val="Normal"/>
    <w:autoRedefine/>
    <w:rsid w:val="00EC217A"/>
    <w:pPr>
      <w:spacing w:before="200" w:after="200"/>
      <w:ind w:left="2160" w:hanging="240"/>
    </w:pPr>
    <w:rPr>
      <w:rFonts w:ascii="Calibri" w:hAnsi="Calibri"/>
      <w:szCs w:val="20"/>
      <w:lang w:eastAsia="en-US"/>
    </w:rPr>
  </w:style>
  <w:style w:type="paragraph" w:styleId="IndexHeading">
    <w:name w:val="index heading"/>
    <w:basedOn w:val="Normal"/>
    <w:next w:val="Index1"/>
    <w:rsid w:val="00EC217A"/>
    <w:pPr>
      <w:spacing w:before="200" w:after="200"/>
    </w:pPr>
    <w:rPr>
      <w:rFonts w:ascii="Calibri" w:hAnsi="Calibri"/>
      <w:b/>
      <w:bCs/>
      <w:szCs w:val="20"/>
      <w:lang w:eastAsia="en-US"/>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rsid w:val="00EC217A"/>
    <w:pPr>
      <w:spacing w:before="200"/>
      <w:ind w:left="357" w:hanging="357"/>
    </w:pPr>
    <w:rPr>
      <w:rFonts w:ascii="Calibri" w:hAnsi="Calibri"/>
      <w:sz w:val="16"/>
      <w:szCs w:val="24"/>
      <w:lang w:val="x-none" w:eastAsia="en-US"/>
    </w:rPr>
  </w:style>
  <w:style w:type="paragraph" w:styleId="TableofAuthorities">
    <w:name w:val="table of authorities"/>
    <w:basedOn w:val="Normal"/>
    <w:next w:val="Normal"/>
    <w:rsid w:val="00EC217A"/>
    <w:pPr>
      <w:spacing w:before="200" w:after="200"/>
      <w:ind w:left="240" w:hanging="240"/>
    </w:pPr>
    <w:rPr>
      <w:rFonts w:ascii="Calibri" w:hAnsi="Calibri"/>
      <w:szCs w:val="20"/>
      <w:lang w:eastAsia="en-US"/>
    </w:rPr>
  </w:style>
  <w:style w:type="paragraph" w:styleId="TOAHeading">
    <w:name w:val="toa heading"/>
    <w:basedOn w:val="Normal"/>
    <w:next w:val="Normal"/>
    <w:rsid w:val="00EC217A"/>
    <w:pPr>
      <w:spacing w:before="120" w:after="200"/>
    </w:pPr>
    <w:rPr>
      <w:rFonts w:ascii="Calibri" w:hAnsi="Calibri"/>
      <w:b/>
      <w:bCs/>
      <w:szCs w:val="24"/>
      <w:lang w:eastAsia="en-US"/>
    </w:rPr>
  </w:style>
  <w:style w:type="paragraph" w:styleId="Revision">
    <w:name w:val="Revision"/>
    <w:hidden/>
    <w:uiPriority w:val="99"/>
    <w:semiHidden/>
    <w:rsid w:val="00EC217A"/>
    <w:rPr>
      <w:rFonts w:ascii="Calibri" w:hAnsi="Calibri"/>
      <w:sz w:val="24"/>
      <w:lang w:eastAsia="en-US"/>
    </w:rPr>
  </w:style>
  <w:style w:type="numbering" w:customStyle="1" w:styleId="1ai1">
    <w:name w:val="1 / a / i1"/>
    <w:basedOn w:val="NoList"/>
    <w:next w:val="1ai"/>
    <w:rsid w:val="00EC217A"/>
  </w:style>
  <w:style w:type="numbering" w:customStyle="1" w:styleId="ArticleSection1">
    <w:name w:val="Article / Section1"/>
    <w:basedOn w:val="NoList"/>
    <w:next w:val="ArticleSection"/>
    <w:rsid w:val="00EC217A"/>
  </w:style>
  <w:style w:type="numbering" w:customStyle="1" w:styleId="1111111">
    <w:name w:val="1 / 1.1 / 1.1.11"/>
    <w:basedOn w:val="NoList"/>
    <w:next w:val="111111"/>
    <w:rsid w:val="00EC217A"/>
    <w:pPr>
      <w:numPr>
        <w:numId w:val="46"/>
      </w:numPr>
    </w:pPr>
  </w:style>
  <w:style w:type="character" w:customStyle="1" w:styleId="EmailStyle4191">
    <w:name w:val="EmailStyle4191"/>
    <w:rsid w:val="00EC217A"/>
    <w:rPr>
      <w:rFonts w:ascii="Arial" w:hAnsi="Arial" w:cs="Arial"/>
      <w:color w:val="000080"/>
      <w:sz w:val="20"/>
    </w:rPr>
  </w:style>
  <w:style w:type="character" w:customStyle="1" w:styleId="EmailStyle4201">
    <w:name w:val="EmailStyle4201"/>
    <w:rsid w:val="00EC217A"/>
    <w:rPr>
      <w:rFonts w:ascii="Arial" w:hAnsi="Arial" w:cs="Arial"/>
      <w:color w:val="auto"/>
      <w:sz w:val="20"/>
    </w:rPr>
  </w:style>
  <w:style w:type="character" w:customStyle="1" w:styleId="EmailStyle4211">
    <w:name w:val="EmailStyle4211"/>
    <w:rsid w:val="00EC217A"/>
    <w:rPr>
      <w:rFonts w:ascii="Arial" w:hAnsi="Arial" w:cs="Arial"/>
      <w:color w:val="auto"/>
      <w:sz w:val="20"/>
    </w:rPr>
  </w:style>
  <w:style w:type="paragraph" w:customStyle="1" w:styleId="xl64">
    <w:name w:val="xl64"/>
    <w:basedOn w:val="Normal"/>
    <w:rsid w:val="00EC217A"/>
    <w:pPr>
      <w:pBdr>
        <w:top w:val="single" w:sz="4" w:space="0" w:color="auto"/>
      </w:pBdr>
      <w:spacing w:before="100" w:beforeAutospacing="1" w:after="100" w:afterAutospacing="1"/>
      <w:jc w:val="right"/>
    </w:pPr>
    <w:rPr>
      <w:rFonts w:cs="Arial"/>
      <w:b/>
      <w:bCs/>
      <w:sz w:val="16"/>
      <w:szCs w:val="16"/>
      <w:lang w:eastAsia="en-AU"/>
    </w:rPr>
  </w:style>
  <w:style w:type="paragraph" w:customStyle="1" w:styleId="xl65">
    <w:name w:val="xl65"/>
    <w:basedOn w:val="Normal"/>
    <w:rsid w:val="00EC217A"/>
    <w:pPr>
      <w:spacing w:before="100" w:beforeAutospacing="1" w:after="100" w:afterAutospacing="1"/>
      <w:jc w:val="right"/>
    </w:pPr>
    <w:rPr>
      <w:rFonts w:cs="Arial"/>
      <w:b/>
      <w:bCs/>
      <w:sz w:val="16"/>
      <w:szCs w:val="16"/>
      <w:lang w:eastAsia="en-AU"/>
    </w:rPr>
  </w:style>
  <w:style w:type="paragraph" w:customStyle="1" w:styleId="xl66">
    <w:name w:val="xl66"/>
    <w:basedOn w:val="Normal"/>
    <w:rsid w:val="00EC217A"/>
    <w:pPr>
      <w:pBdr>
        <w:bottom w:val="single" w:sz="4" w:space="0" w:color="auto"/>
      </w:pBdr>
      <w:spacing w:before="100" w:beforeAutospacing="1" w:after="100" w:afterAutospacing="1"/>
      <w:jc w:val="right"/>
    </w:pPr>
    <w:rPr>
      <w:rFonts w:cs="Arial"/>
      <w:b/>
      <w:bCs/>
      <w:sz w:val="16"/>
      <w:szCs w:val="16"/>
      <w:lang w:eastAsia="en-AU"/>
    </w:rPr>
  </w:style>
  <w:style w:type="paragraph" w:customStyle="1" w:styleId="NoteHeading2">
    <w:name w:val="Note Heading2"/>
    <w:basedOn w:val="Normal"/>
    <w:autoRedefine/>
    <w:semiHidden/>
    <w:rsid w:val="00EC217A"/>
    <w:pPr>
      <w:spacing w:before="120" w:after="200"/>
      <w:ind w:left="28"/>
    </w:pPr>
    <w:rPr>
      <w:rFonts w:ascii="Calibri" w:hAnsi="Calibri"/>
      <w:b/>
      <w:bCs/>
      <w:sz w:val="20"/>
      <w:szCs w:val="20"/>
      <w:lang w:eastAsia="en-US"/>
    </w:rPr>
  </w:style>
  <w:style w:type="character" w:customStyle="1" w:styleId="EmailStyle4261">
    <w:name w:val="EmailStyle4261"/>
    <w:rsid w:val="00EC217A"/>
    <w:rPr>
      <w:rFonts w:ascii="Arial" w:hAnsi="Arial" w:cs="Arial"/>
      <w:color w:val="000080"/>
      <w:sz w:val="20"/>
    </w:rPr>
  </w:style>
  <w:style w:type="character" w:customStyle="1" w:styleId="EmailStyle4271">
    <w:name w:val="EmailStyle4271"/>
    <w:rsid w:val="00EC217A"/>
    <w:rPr>
      <w:rFonts w:ascii="Arial" w:hAnsi="Arial" w:cs="Arial"/>
      <w:color w:val="auto"/>
      <w:sz w:val="20"/>
    </w:rPr>
  </w:style>
  <w:style w:type="character" w:customStyle="1" w:styleId="EmailStyle4281">
    <w:name w:val="EmailStyle4281"/>
    <w:rsid w:val="00EC217A"/>
    <w:rPr>
      <w:rFonts w:ascii="Arial" w:hAnsi="Arial" w:cs="Arial"/>
      <w:color w:val="auto"/>
      <w:sz w:val="20"/>
    </w:rPr>
  </w:style>
  <w:style w:type="character" w:customStyle="1" w:styleId="EmailStyle429">
    <w:name w:val="EmailStyle429"/>
    <w:rsid w:val="00EC217A"/>
    <w:rPr>
      <w:rFonts w:ascii="Arial" w:hAnsi="Arial" w:cs="Arial"/>
      <w:color w:val="000080"/>
      <w:sz w:val="20"/>
    </w:rPr>
  </w:style>
  <w:style w:type="character" w:customStyle="1" w:styleId="EmailStyle430">
    <w:name w:val="EmailStyle430"/>
    <w:rsid w:val="00EC217A"/>
    <w:rPr>
      <w:rFonts w:ascii="Arial" w:hAnsi="Arial" w:cs="Arial"/>
      <w:color w:val="auto"/>
      <w:sz w:val="20"/>
    </w:rPr>
  </w:style>
  <w:style w:type="character" w:customStyle="1" w:styleId="EmailStyle431">
    <w:name w:val="EmailStyle431"/>
    <w:rsid w:val="00EC217A"/>
    <w:rPr>
      <w:rFonts w:ascii="Arial" w:hAnsi="Arial" w:cs="Arial"/>
      <w:color w:val="auto"/>
      <w:sz w:val="20"/>
    </w:rPr>
  </w:style>
  <w:style w:type="character" w:customStyle="1" w:styleId="EmailStyle113">
    <w:name w:val="EmailStyle113"/>
    <w:rsid w:val="00EC217A"/>
    <w:rPr>
      <w:rFonts w:ascii="Arial" w:hAnsi="Arial" w:cs="Arial"/>
      <w:color w:val="000080"/>
      <w:sz w:val="20"/>
      <w:szCs w:val="20"/>
    </w:rPr>
  </w:style>
  <w:style w:type="character" w:customStyle="1" w:styleId="EmailStyle114">
    <w:name w:val="EmailStyle114"/>
    <w:rsid w:val="00EC217A"/>
    <w:rPr>
      <w:rFonts w:ascii="Arial" w:hAnsi="Arial" w:cs="Arial"/>
      <w:color w:val="auto"/>
      <w:sz w:val="20"/>
      <w:szCs w:val="20"/>
    </w:rPr>
  </w:style>
  <w:style w:type="character" w:customStyle="1" w:styleId="EmailStyle115">
    <w:name w:val="EmailStyle115"/>
    <w:rsid w:val="00EC217A"/>
    <w:rPr>
      <w:rFonts w:ascii="Arial" w:hAnsi="Arial" w:cs="Arial"/>
      <w:color w:val="auto"/>
      <w:sz w:val="20"/>
      <w:szCs w:val="20"/>
    </w:rPr>
  </w:style>
  <w:style w:type="paragraph" w:customStyle="1" w:styleId="Heading1-BP3">
    <w:name w:val="Heading 1 - BP3"/>
    <w:basedOn w:val="Heading1"/>
    <w:next w:val="Heading1"/>
    <w:rsid w:val="00EC217A"/>
    <w:pPr>
      <w:keepLines w:val="0"/>
      <w:pBdr>
        <w:bottom w:val="single" w:sz="18" w:space="1" w:color="auto"/>
      </w:pBdr>
      <w:spacing w:before="240" w:after="480"/>
    </w:pPr>
    <w:rPr>
      <w:rFonts w:ascii="Calibri" w:hAnsi="Calibri"/>
      <w:kern w:val="28"/>
      <w:sz w:val="36"/>
      <w:szCs w:val="28"/>
      <w:lang w:val="en-GB" w:eastAsia="en-US"/>
    </w:rPr>
  </w:style>
  <w:style w:type="paragraph" w:customStyle="1" w:styleId="Heading1-BP4">
    <w:name w:val="Heading 1 - BP4"/>
    <w:basedOn w:val="Heading1-BP3"/>
    <w:rsid w:val="00EC217A"/>
    <w:pPr>
      <w:spacing w:after="240"/>
    </w:pPr>
  </w:style>
  <w:style w:type="paragraph" w:customStyle="1" w:styleId="sub-bullets">
    <w:name w:val="sub-bullets"/>
    <w:basedOn w:val="Normal"/>
    <w:rsid w:val="00EC217A"/>
    <w:pPr>
      <w:numPr>
        <w:ilvl w:val="1"/>
        <w:numId w:val="29"/>
      </w:numPr>
      <w:spacing w:before="60" w:after="60"/>
    </w:pPr>
    <w:rPr>
      <w:rFonts w:ascii="Book Antiqua" w:hAnsi="Book Antiqua"/>
      <w:szCs w:val="20"/>
      <w:lang w:val="en-US" w:eastAsia="en-US"/>
    </w:rPr>
  </w:style>
  <w:style w:type="paragraph" w:customStyle="1" w:styleId="bullets">
    <w:name w:val="bullets"/>
    <w:basedOn w:val="sub-bullets"/>
    <w:rsid w:val="00EC217A"/>
    <w:pPr>
      <w:numPr>
        <w:ilvl w:val="0"/>
      </w:numPr>
    </w:pPr>
  </w:style>
  <w:style w:type="paragraph" w:customStyle="1" w:styleId="S">
    <w:name w:val="S"/>
    <w:basedOn w:val="Normal"/>
    <w:rsid w:val="00EC217A"/>
    <w:pPr>
      <w:widowControl w:val="0"/>
      <w:spacing w:before="200" w:after="200"/>
    </w:pPr>
    <w:rPr>
      <w:rFonts w:ascii="Calibri" w:hAnsi="Calibri"/>
      <w:szCs w:val="20"/>
      <w:lang w:eastAsia="en-US"/>
    </w:rPr>
  </w:style>
  <w:style w:type="paragraph" w:customStyle="1" w:styleId="Q1A">
    <w:name w:val="Q1A"/>
    <w:basedOn w:val="Q2"/>
    <w:next w:val="Q2"/>
    <w:rsid w:val="00EC217A"/>
    <w:rPr>
      <w:caps/>
    </w:rPr>
  </w:style>
  <w:style w:type="paragraph" w:customStyle="1" w:styleId="Q2">
    <w:name w:val="Q2"/>
    <w:next w:val="Q3"/>
    <w:rsid w:val="00EC217A"/>
    <w:pPr>
      <w:tabs>
        <w:tab w:val="left" w:pos="-1440"/>
        <w:tab w:val="left" w:pos="-720"/>
        <w:tab w:val="left" w:pos="993"/>
        <w:tab w:val="left" w:pos="1560"/>
        <w:tab w:val="left" w:pos="2127"/>
      </w:tabs>
    </w:pPr>
    <w:rPr>
      <w:rFonts w:ascii="Arial" w:eastAsia="MS Mincho" w:hAnsi="Arial" w:cs="Arial"/>
      <w:b/>
      <w:bCs/>
      <w:noProof/>
      <w:sz w:val="24"/>
      <w:szCs w:val="24"/>
      <w:lang w:val="en-US" w:eastAsia="en-US"/>
    </w:rPr>
  </w:style>
  <w:style w:type="paragraph" w:customStyle="1" w:styleId="Q3">
    <w:name w:val="Q3"/>
    <w:rsid w:val="00EC217A"/>
    <w:pPr>
      <w:widowControl w:val="0"/>
      <w:tabs>
        <w:tab w:val="left" w:pos="-1440"/>
        <w:tab w:val="left" w:pos="-720"/>
        <w:tab w:val="left" w:pos="993"/>
        <w:tab w:val="left" w:pos="1560"/>
        <w:tab w:val="left" w:pos="2127"/>
      </w:tabs>
      <w:ind w:left="992" w:hanging="992"/>
      <w:jc w:val="both"/>
    </w:pPr>
    <w:rPr>
      <w:rFonts w:ascii="Arial" w:eastAsia="MS Mincho" w:hAnsi="Arial" w:cs="Arial"/>
      <w:noProof/>
      <w:lang w:val="en-US" w:eastAsia="en-US"/>
    </w:rPr>
  </w:style>
  <w:style w:type="paragraph" w:customStyle="1" w:styleId="QF2">
    <w:name w:val="QF2"/>
    <w:basedOn w:val="Normal"/>
    <w:rsid w:val="00EC217A"/>
    <w:pPr>
      <w:spacing w:before="200" w:after="50"/>
    </w:pPr>
    <w:rPr>
      <w:rFonts w:cs="Arial"/>
      <w:sz w:val="20"/>
      <w:szCs w:val="20"/>
      <w:lang w:eastAsia="en-US"/>
    </w:rPr>
  </w:style>
  <w:style w:type="character" w:customStyle="1" w:styleId="EmailStyle163">
    <w:name w:val="EmailStyle163"/>
    <w:rsid w:val="00EC217A"/>
    <w:rPr>
      <w:rFonts w:ascii="Arial" w:hAnsi="Arial" w:cs="Arial"/>
      <w:color w:val="000080"/>
      <w:sz w:val="20"/>
      <w:szCs w:val="20"/>
    </w:rPr>
  </w:style>
  <w:style w:type="paragraph" w:customStyle="1" w:styleId="xl62">
    <w:name w:val="xl62"/>
    <w:basedOn w:val="Normal"/>
    <w:rsid w:val="00EC217A"/>
    <w:pPr>
      <w:pBdr>
        <w:left w:val="single" w:sz="4" w:space="0" w:color="auto"/>
        <w:bottom w:val="single" w:sz="4" w:space="0" w:color="auto"/>
      </w:pBdr>
      <w:spacing w:before="100" w:beforeAutospacing="1" w:after="100" w:afterAutospacing="1"/>
    </w:pPr>
    <w:rPr>
      <w:rFonts w:ascii="Calibri" w:eastAsia="Arial Unicode MS" w:hAnsi="Calibri"/>
      <w:szCs w:val="20"/>
      <w:lang w:eastAsia="en-US"/>
    </w:rPr>
  </w:style>
  <w:style w:type="paragraph" w:customStyle="1" w:styleId="xl63">
    <w:name w:val="xl63"/>
    <w:basedOn w:val="Normal"/>
    <w:rsid w:val="00EC217A"/>
    <w:pPr>
      <w:pBdr>
        <w:bottom w:val="single" w:sz="4" w:space="0" w:color="auto"/>
        <w:right w:val="single" w:sz="4" w:space="0" w:color="auto"/>
      </w:pBdr>
      <w:spacing w:before="100" w:beforeAutospacing="1" w:after="100" w:afterAutospacing="1"/>
    </w:pPr>
    <w:rPr>
      <w:rFonts w:ascii="Calibri" w:eastAsia="Arial Unicode MS" w:hAnsi="Calibri"/>
      <w:szCs w:val="20"/>
      <w:lang w:eastAsia="en-US"/>
    </w:rPr>
  </w:style>
  <w:style w:type="paragraph" w:customStyle="1" w:styleId="Default">
    <w:name w:val="Default"/>
    <w:rsid w:val="00EC217A"/>
    <w:pPr>
      <w:autoSpaceDE w:val="0"/>
      <w:autoSpaceDN w:val="0"/>
      <w:adjustRightInd w:val="0"/>
    </w:pPr>
    <w:rPr>
      <w:rFonts w:ascii="Symbol" w:eastAsia="MS Mincho" w:hAnsi="Symbol"/>
      <w:color w:val="000000"/>
      <w:sz w:val="24"/>
      <w:szCs w:val="24"/>
      <w:lang w:val="en-US" w:eastAsia="en-US"/>
    </w:rPr>
  </w:style>
  <w:style w:type="paragraph" w:styleId="TOCHeading">
    <w:name w:val="TOC Heading"/>
    <w:basedOn w:val="Heading1"/>
    <w:next w:val="Normal"/>
    <w:uiPriority w:val="39"/>
    <w:unhideWhenUsed/>
    <w:qFormat/>
    <w:rsid w:val="00EC217A"/>
    <w:pPr>
      <w:spacing w:before="480" w:after="0" w:line="276" w:lineRule="auto"/>
      <w:outlineLvl w:val="9"/>
    </w:pPr>
    <w:rPr>
      <w:rFonts w:ascii="Calibri" w:hAnsi="Calibri" w:cs="Times New Roman"/>
      <w:kern w:val="0"/>
      <w:sz w:val="40"/>
      <w:szCs w:val="28"/>
      <w:lang w:val="en-US" w:eastAsia="en-US"/>
    </w:rPr>
  </w:style>
  <w:style w:type="paragraph" w:customStyle="1" w:styleId="NoteHeading3">
    <w:name w:val="Note Heading3"/>
    <w:basedOn w:val="Normal"/>
    <w:autoRedefine/>
    <w:semiHidden/>
    <w:rsid w:val="00EC217A"/>
    <w:pPr>
      <w:spacing w:before="120" w:after="200"/>
      <w:ind w:left="28"/>
    </w:pPr>
    <w:rPr>
      <w:rFonts w:ascii="Calibri" w:hAnsi="Calibri"/>
      <w:b/>
      <w:bCs/>
      <w:sz w:val="20"/>
      <w:szCs w:val="20"/>
      <w:lang w:eastAsia="en-US"/>
    </w:rPr>
  </w:style>
  <w:style w:type="character" w:customStyle="1" w:styleId="EmailStyle88">
    <w:name w:val="EmailStyle88"/>
    <w:rsid w:val="00EC217A"/>
    <w:rPr>
      <w:rFonts w:ascii="Arial" w:hAnsi="Arial" w:cs="Arial"/>
      <w:color w:val="000080"/>
      <w:sz w:val="20"/>
    </w:rPr>
  </w:style>
  <w:style w:type="character" w:customStyle="1" w:styleId="EmailStyle89">
    <w:name w:val="EmailStyle89"/>
    <w:rsid w:val="00EC217A"/>
    <w:rPr>
      <w:rFonts w:ascii="Arial" w:hAnsi="Arial" w:cs="Arial"/>
      <w:color w:val="auto"/>
      <w:sz w:val="20"/>
    </w:rPr>
  </w:style>
  <w:style w:type="character" w:customStyle="1" w:styleId="EmailStyle90">
    <w:name w:val="EmailStyle90"/>
    <w:rsid w:val="00EC217A"/>
    <w:rPr>
      <w:rFonts w:ascii="Arial" w:hAnsi="Arial" w:cs="Arial"/>
      <w:color w:val="auto"/>
      <w:sz w:val="20"/>
    </w:rPr>
  </w:style>
  <w:style w:type="paragraph" w:customStyle="1" w:styleId="Single">
    <w:name w:val="Single"/>
    <w:basedOn w:val="Normal"/>
    <w:rsid w:val="00EC217A"/>
    <w:pPr>
      <w:spacing w:before="200" w:after="200"/>
    </w:pPr>
    <w:rPr>
      <w:rFonts w:ascii="Times New Roman" w:hAnsi="Times New Roman"/>
      <w:szCs w:val="20"/>
      <w:lang w:eastAsia="en-US"/>
    </w:rPr>
  </w:style>
  <w:style w:type="paragraph" w:customStyle="1" w:styleId="Apara">
    <w:name w:val="A para"/>
    <w:basedOn w:val="Normal"/>
    <w:rsid w:val="00EC217A"/>
    <w:pPr>
      <w:tabs>
        <w:tab w:val="right" w:pos="1400"/>
        <w:tab w:val="left" w:pos="1600"/>
      </w:tabs>
      <w:spacing w:before="80" w:after="60"/>
      <w:ind w:left="1600" w:hanging="1600"/>
      <w:jc w:val="both"/>
      <w:outlineLvl w:val="6"/>
    </w:pPr>
    <w:rPr>
      <w:rFonts w:ascii="Times New Roman" w:hAnsi="Times New Roman"/>
      <w:szCs w:val="24"/>
      <w:lang w:eastAsia="en-US"/>
    </w:rPr>
  </w:style>
  <w:style w:type="paragraph" w:customStyle="1" w:styleId="Amainbullet">
    <w:name w:val="A main bullet"/>
    <w:basedOn w:val="Normal"/>
    <w:rsid w:val="00EC217A"/>
    <w:pPr>
      <w:spacing w:before="200" w:after="40"/>
      <w:ind w:left="1500" w:hanging="400"/>
      <w:jc w:val="both"/>
    </w:pPr>
    <w:rPr>
      <w:rFonts w:ascii="Times New Roman" w:hAnsi="Times New Roman"/>
      <w:szCs w:val="24"/>
      <w:lang w:eastAsia="en-US"/>
    </w:rPr>
  </w:style>
  <w:style w:type="character" w:styleId="Mention">
    <w:name w:val="Mention"/>
    <w:basedOn w:val="DefaultParagraphFont"/>
    <w:uiPriority w:val="99"/>
    <w:unhideWhenUsed/>
    <w:rsid w:val="00D743C6"/>
    <w:rPr>
      <w:color w:val="2B579A"/>
      <w:shd w:val="clear" w:color="auto" w:fill="E1DFDD"/>
    </w:rPr>
  </w:style>
  <w:style w:type="paragraph" w:customStyle="1" w:styleId="BSnote">
    <w:name w:val="BS_note"/>
    <w:basedOn w:val="NoteHeading"/>
    <w:link w:val="BSnoteChar"/>
    <w:rsid w:val="00EC217A"/>
    <w:pPr>
      <w:keepNext/>
      <w:spacing w:before="120"/>
    </w:pPr>
    <w:rPr>
      <w:rFonts w:ascii="Calibri" w:hAnsi="Calibri"/>
      <w:b/>
      <w:sz w:val="18"/>
      <w:szCs w:val="16"/>
      <w:lang w:val="x-none" w:eastAsia="en-US"/>
    </w:rPr>
  </w:style>
  <w:style w:type="paragraph" w:customStyle="1" w:styleId="Alnotes">
    <w:name w:val="Al notes"/>
    <w:basedOn w:val="ListParagraph"/>
    <w:next w:val="Normal"/>
    <w:link w:val="AlnotesChar"/>
    <w:autoRedefine/>
    <w:rsid w:val="00EC217A"/>
    <w:pPr>
      <w:numPr>
        <w:numId w:val="31"/>
      </w:numPr>
      <w:spacing w:before="0"/>
    </w:pPr>
    <w:rPr>
      <w:sz w:val="18"/>
    </w:rPr>
  </w:style>
  <w:style w:type="character" w:customStyle="1" w:styleId="BSnoteChar">
    <w:name w:val="BS_note Char"/>
    <w:link w:val="BSnote"/>
    <w:rsid w:val="00EC217A"/>
    <w:rPr>
      <w:rFonts w:ascii="Calibri" w:hAnsi="Calibri"/>
      <w:b/>
      <w:sz w:val="18"/>
      <w:szCs w:val="16"/>
      <w:lang w:val="x-none" w:eastAsia="en-US"/>
    </w:rPr>
  </w:style>
  <w:style w:type="paragraph" w:customStyle="1" w:styleId="BSbullet2">
    <w:name w:val="BS_bullet 2"/>
    <w:basedOn w:val="Normal"/>
    <w:link w:val="BSbullet2Char"/>
    <w:rsid w:val="00EC217A"/>
    <w:pPr>
      <w:numPr>
        <w:numId w:val="30"/>
      </w:numPr>
    </w:p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link w:val="ListParagraph"/>
    <w:uiPriority w:val="34"/>
    <w:rsid w:val="00EC217A"/>
    <w:rPr>
      <w:rFonts w:ascii="Calibri" w:hAnsi="Calibri"/>
      <w:sz w:val="16"/>
      <w:szCs w:val="24"/>
      <w:lang w:val="x-none" w:eastAsia="en-US"/>
    </w:rPr>
  </w:style>
  <w:style w:type="character" w:customStyle="1" w:styleId="AlnotesChar">
    <w:name w:val="Al notes Char"/>
    <w:link w:val="Alnotes"/>
    <w:rsid w:val="00EC217A"/>
    <w:rPr>
      <w:rFonts w:ascii="Calibri" w:hAnsi="Calibri"/>
      <w:sz w:val="18"/>
      <w:szCs w:val="24"/>
      <w:lang w:val="x-none" w:eastAsia="en-US"/>
    </w:rPr>
  </w:style>
  <w:style w:type="character" w:customStyle="1" w:styleId="BSbullet2Char">
    <w:name w:val="BS_bullet 2 Char"/>
    <w:basedOn w:val="DefaultParagraphFont"/>
    <w:link w:val="BSbullet2"/>
    <w:rsid w:val="00EC217A"/>
    <w:rPr>
      <w:rFonts w:ascii="Arial" w:hAnsi="Arial"/>
      <w:sz w:val="24"/>
      <w:szCs w:val="22"/>
      <w:lang w:eastAsia="en-GB"/>
    </w:rPr>
  </w:style>
  <w:style w:type="character" w:customStyle="1" w:styleId="TableheadingChar">
    <w:name w:val="Table heading Char"/>
    <w:link w:val="Tableheading"/>
    <w:rsid w:val="00EC217A"/>
    <w:rPr>
      <w:rFonts w:ascii="Arial" w:hAnsi="Arial"/>
      <w:b/>
      <w:szCs w:val="22"/>
      <w:lang w:eastAsia="en-GB"/>
    </w:rPr>
  </w:style>
  <w:style w:type="paragraph" w:customStyle="1" w:styleId="BSAItext">
    <w:name w:val="BS_AItext"/>
    <w:basedOn w:val="Normal"/>
    <w:link w:val="BSAItextChar"/>
    <w:rsid w:val="00EC217A"/>
    <w:pPr>
      <w:spacing w:before="200" w:after="200"/>
    </w:pPr>
    <w:rPr>
      <w:rFonts w:ascii="Calibri" w:hAnsi="Calibri"/>
      <w:sz w:val="20"/>
      <w:szCs w:val="20"/>
      <w:lang w:val="x-none" w:eastAsia="en-US"/>
    </w:rPr>
  </w:style>
  <w:style w:type="character" w:customStyle="1" w:styleId="BSAItextChar">
    <w:name w:val="BS_AItext Char"/>
    <w:link w:val="BSAItext"/>
    <w:rsid w:val="00EC217A"/>
    <w:rPr>
      <w:rFonts w:ascii="Calibri" w:hAnsi="Calibri"/>
      <w:lang w:val="x-none" w:eastAsia="en-US"/>
    </w:rPr>
  </w:style>
  <w:style w:type="paragraph" w:customStyle="1" w:styleId="BStablelist">
    <w:name w:val="BS_table list"/>
    <w:basedOn w:val="AIIndent"/>
    <w:link w:val="BStablelistChar"/>
    <w:rsid w:val="00EC217A"/>
    <w:pPr>
      <w:numPr>
        <w:numId w:val="33"/>
      </w:numPr>
      <w:spacing w:before="0" w:after="0"/>
    </w:pPr>
  </w:style>
  <w:style w:type="paragraph" w:styleId="NoSpacing">
    <w:name w:val="No Spacing"/>
    <w:link w:val="NoSpacingChar"/>
    <w:uiPriority w:val="1"/>
    <w:rsid w:val="00EC217A"/>
    <w:rPr>
      <w:rFonts w:ascii="Calibri" w:hAnsi="Calibri"/>
      <w:lang w:eastAsia="en-US"/>
    </w:rPr>
  </w:style>
  <w:style w:type="character" w:customStyle="1" w:styleId="BStablelistChar">
    <w:name w:val="BS_table list Char"/>
    <w:link w:val="BStablelist"/>
    <w:rsid w:val="00EC217A"/>
    <w:rPr>
      <w:rFonts w:ascii="Calibri" w:hAnsi="Calibri"/>
      <w:lang w:val="x-none" w:eastAsia="en-US"/>
    </w:rPr>
  </w:style>
  <w:style w:type="paragraph" w:customStyle="1" w:styleId="tablenospacing">
    <w:name w:val="table no spacing"/>
    <w:basedOn w:val="NoSpacing"/>
    <w:link w:val="tablenospacingChar"/>
    <w:rsid w:val="00EC217A"/>
    <w:pPr>
      <w:jc w:val="right"/>
    </w:pPr>
    <w:rPr>
      <w:b/>
      <w:lang w:val="x-none"/>
    </w:rPr>
  </w:style>
  <w:style w:type="character" w:customStyle="1" w:styleId="NoSpacingChar">
    <w:name w:val="No Spacing Char"/>
    <w:link w:val="NoSpacing"/>
    <w:uiPriority w:val="1"/>
    <w:rsid w:val="00EC217A"/>
    <w:rPr>
      <w:rFonts w:ascii="Calibri" w:hAnsi="Calibri"/>
      <w:lang w:eastAsia="en-US"/>
    </w:rPr>
  </w:style>
  <w:style w:type="character" w:customStyle="1" w:styleId="tablenospacingChar">
    <w:name w:val="table no spacing Char"/>
    <w:link w:val="tablenospacing"/>
    <w:rsid w:val="00EC217A"/>
    <w:rPr>
      <w:rFonts w:ascii="Calibri" w:hAnsi="Calibri"/>
      <w:b/>
      <w:lang w:val="x-none" w:eastAsia="en-US"/>
    </w:rPr>
  </w:style>
  <w:style w:type="table" w:customStyle="1" w:styleId="BSEEO">
    <w:name w:val="BS_EEO"/>
    <w:basedOn w:val="TableNormal"/>
    <w:uiPriority w:val="99"/>
    <w:rsid w:val="00EC217A"/>
    <w:rPr>
      <w:rFonts w:ascii="Calibri" w:hAnsi="Calibri"/>
      <w:lang w:val="en-US" w:eastAsia="en-US"/>
    </w:rPr>
    <w:tblPr/>
  </w:style>
  <w:style w:type="table" w:customStyle="1" w:styleId="Style2">
    <w:name w:val="Style2"/>
    <w:basedOn w:val="TableList3"/>
    <w:uiPriority w:val="99"/>
    <w:rsid w:val="00EC217A"/>
    <w:rPr>
      <w:rFonts w:ascii="Calibri" w:hAnsi="Calibri"/>
      <w:lang w:val="en-US" w:eastAsia="en-US"/>
    </w:rPr>
    <w:tblPr>
      <w:tblStyleRowBandSize w:val="1"/>
    </w:tblPr>
    <w:trPr>
      <w:tblHeader/>
    </w:trPr>
    <w:tcPr>
      <w:shd w:val="clear" w:color="auto" w:fill="auto"/>
      <w:vAlign w:val="bottom"/>
    </w:tcPr>
    <w:tblStylePr w:type="firstRow">
      <w:rPr>
        <w:rFonts w:ascii="Calibri" w:hAnsi="Calibri"/>
        <w:b/>
        <w:bCs/>
        <w:color w:val="auto"/>
        <w:sz w:val="2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rPr>
        <w:rFonts w:ascii="Calibri" w:hAnsi="Calibri"/>
        <w:b/>
        <w:sz w:val="20"/>
      </w:rPr>
    </w:tblStylePr>
    <w:tblStylePr w:type="band1Horz">
      <w:rPr>
        <w:rFonts w:ascii="Calibri" w:hAnsi="Calibri"/>
        <w:b w:val="0"/>
        <w:i w:val="0"/>
        <w:sz w:val="20"/>
      </w:rPr>
      <w:tblPr/>
      <w:tcPr>
        <w:tcBorders>
          <w:bottom w:val="nil"/>
        </w:tcBorders>
        <w:shd w:val="clear" w:color="auto" w:fill="auto"/>
      </w:tcPr>
    </w:tblStylePr>
    <w:tblStylePr w:type="band2Horz">
      <w:rPr>
        <w:rFonts w:ascii="Calibri" w:hAnsi="Calibri"/>
        <w:b w:val="0"/>
        <w:i w:val="0"/>
        <w:sz w:val="20"/>
      </w:rPr>
    </w:tblStylePr>
    <w:tblStylePr w:type="swCell">
      <w:rPr>
        <w:i/>
        <w:iCs/>
        <w:color w:val="000080"/>
      </w:rPr>
      <w:tblPr/>
      <w:tcPr>
        <w:tcBorders>
          <w:tl2br w:val="none" w:sz="0" w:space="0" w:color="auto"/>
          <w:tr2bl w:val="none" w:sz="0" w:space="0" w:color="auto"/>
        </w:tcBorders>
      </w:tcPr>
    </w:tblStylePr>
  </w:style>
  <w:style w:type="paragraph" w:customStyle="1" w:styleId="BStableheading1">
    <w:name w:val="BS_table heading 1"/>
    <w:basedOn w:val="NoSpacing"/>
    <w:link w:val="BStableheading1Char"/>
    <w:rsid w:val="00EC217A"/>
    <w:pPr>
      <w:framePr w:wrap="around" w:vAnchor="text" w:hAnchor="text" w:y="1"/>
      <w:jc w:val="right"/>
    </w:pPr>
    <w:rPr>
      <w:b/>
      <w:bCs/>
    </w:rPr>
  </w:style>
  <w:style w:type="character" w:customStyle="1" w:styleId="BStableheading1Char">
    <w:name w:val="BS_table heading 1 Char"/>
    <w:link w:val="BStableheading1"/>
    <w:rsid w:val="00EC217A"/>
    <w:rPr>
      <w:rFonts w:ascii="Calibri" w:hAnsi="Calibri"/>
      <w:b/>
      <w:bCs/>
      <w:lang w:eastAsia="en-US"/>
    </w:rPr>
  </w:style>
  <w:style w:type="table" w:customStyle="1" w:styleId="Style3">
    <w:name w:val="Style3"/>
    <w:basedOn w:val="TableNormal"/>
    <w:uiPriority w:val="99"/>
    <w:rsid w:val="00EC217A"/>
    <w:rPr>
      <w:rFonts w:ascii="Calibri" w:hAnsi="Calibri"/>
      <w:lang w:val="en-US" w:eastAsia="en-US"/>
    </w:rPr>
    <w:tblPr>
      <w:tblBorders>
        <w:top w:val="single" w:sz="4" w:space="0" w:color="auto"/>
      </w:tblBorders>
    </w:tblPr>
    <w:tblStylePr w:type="firstRow">
      <w:tblPr/>
      <w:tcPr>
        <w:tcBorders>
          <w:bottom w:val="nil"/>
        </w:tcBorders>
      </w:tcPr>
    </w:tblStylePr>
  </w:style>
  <w:style w:type="table" w:customStyle="1" w:styleId="BSEEL">
    <w:name w:val="BS_EEL"/>
    <w:basedOn w:val="TableSimple1"/>
    <w:uiPriority w:val="99"/>
    <w:qFormat/>
    <w:rsid w:val="00EC217A"/>
    <w:pPr>
      <w:spacing w:before="120" w:after="120"/>
      <w:jc w:val="right"/>
    </w:pPr>
    <w:rPr>
      <w:rFonts w:ascii="Calibri" w:hAnsi="Calibri"/>
      <w:lang w:val="en-US" w:eastAsia="en-US"/>
    </w:rPr>
    <w:tblPr>
      <w:tblBorders>
        <w:top w:val="single" w:sz="12" w:space="0" w:color="000000"/>
        <w:bottom w:val="single" w:sz="12" w:space="0" w:color="000000"/>
        <w:insideH w:val="single" w:sz="12" w:space="0" w:color="000000"/>
      </w:tblBorders>
    </w:tblPr>
    <w:trPr>
      <w:tblHeader/>
    </w:trPr>
    <w:tcPr>
      <w:shd w:val="clear" w:color="auto" w:fill="auto"/>
      <w:vAlign w:val="bottom"/>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BSnoteslist">
    <w:name w:val="BS_notes list"/>
    <w:basedOn w:val="Alnotes"/>
    <w:link w:val="BSnoteslistChar"/>
    <w:rsid w:val="00EC217A"/>
    <w:pPr>
      <w:numPr>
        <w:numId w:val="32"/>
      </w:numPr>
    </w:pPr>
  </w:style>
  <w:style w:type="character" w:customStyle="1" w:styleId="BSnoteslistChar">
    <w:name w:val="BS_notes list Char"/>
    <w:basedOn w:val="AlnotesChar"/>
    <w:link w:val="BSnoteslist"/>
    <w:rsid w:val="00EC217A"/>
    <w:rPr>
      <w:rFonts w:ascii="Calibri" w:hAnsi="Calibri"/>
      <w:sz w:val="18"/>
      <w:szCs w:val="24"/>
      <w:lang w:val="x-none" w:eastAsia="en-US"/>
    </w:rPr>
  </w:style>
  <w:style w:type="table" w:customStyle="1" w:styleId="Style4">
    <w:name w:val="Style4"/>
    <w:basedOn w:val="TableList3"/>
    <w:uiPriority w:val="99"/>
    <w:qFormat/>
    <w:rsid w:val="00EC217A"/>
    <w:rPr>
      <w:rFonts w:ascii="Calibri" w:hAnsi="Calibri"/>
      <w:lang w:val="en-US" w:eastAsia="en-US"/>
    </w:rPr>
    <w:tblPr>
      <w:tblStyleRowBandSize w:val="1"/>
    </w:tblPr>
    <w:tcPr>
      <w:shd w:val="clear" w:color="auto" w:fill="auto"/>
    </w:tcPr>
    <w:tblStylePr w:type="firstRow">
      <w:rPr>
        <w:rFonts w:ascii="Calibri" w:hAnsi="Calibri"/>
        <w:b/>
        <w:bCs/>
        <w:color w:val="auto"/>
        <w:sz w:val="2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rPr>
        <w:rFonts w:ascii="Calibri" w:hAnsi="Calibri"/>
        <w:b/>
        <w:sz w:val="20"/>
      </w:rPr>
    </w:tblStylePr>
    <w:tblStylePr w:type="band1Horz">
      <w:rPr>
        <w:rFonts w:ascii="Calibri" w:hAnsi="Calibri"/>
        <w:sz w:val="20"/>
      </w:rPr>
    </w:tblStylePr>
    <w:tblStylePr w:type="band2Horz">
      <w:rPr>
        <w:rFonts w:ascii="Calibri" w:hAnsi="Calibri"/>
        <w:sz w:val="20"/>
      </w:rPr>
    </w:tblStylePr>
    <w:tblStylePr w:type="swCell">
      <w:rPr>
        <w:i/>
        <w:iCs/>
        <w:color w:val="000080"/>
      </w:rPr>
      <w:tblPr/>
      <w:tcPr>
        <w:tcBorders>
          <w:tl2br w:val="none" w:sz="0" w:space="0" w:color="auto"/>
          <w:tr2bl w:val="none" w:sz="0" w:space="0" w:color="auto"/>
        </w:tcBorders>
      </w:tcPr>
    </w:tblStylePr>
  </w:style>
  <w:style w:type="character" w:customStyle="1" w:styleId="DocumentMapChar">
    <w:name w:val="Document Map Char"/>
    <w:link w:val="DocumentMap"/>
    <w:rsid w:val="00EC217A"/>
    <w:rPr>
      <w:rFonts w:ascii="Tahoma" w:hAnsi="Tahoma" w:cs="Tahoma"/>
      <w:shd w:val="clear" w:color="auto" w:fill="000080"/>
      <w:lang w:eastAsia="en-GB"/>
    </w:rPr>
  </w:style>
  <w:style w:type="paragraph" w:customStyle="1" w:styleId="BStabletextbolditalics">
    <w:name w:val="BS_table text bold italics"/>
    <w:basedOn w:val="BStabletext"/>
    <w:rsid w:val="00EC217A"/>
    <w:rPr>
      <w:rFonts w:cs="Times New Roman"/>
      <w:b/>
      <w:i/>
    </w:rPr>
  </w:style>
  <w:style w:type="paragraph" w:customStyle="1" w:styleId="BStablefiguresbolditalics">
    <w:name w:val="BS_table figures bold italics"/>
    <w:basedOn w:val="BStablefigures"/>
    <w:rsid w:val="00EC217A"/>
    <w:rPr>
      <w:rFonts w:cs="Times New Roman"/>
      <w:b/>
      <w:i/>
    </w:rPr>
  </w:style>
  <w:style w:type="paragraph" w:customStyle="1" w:styleId="BStablefiguresbold">
    <w:name w:val="BS_table figures bold"/>
    <w:basedOn w:val="BStablefigures"/>
    <w:rsid w:val="00EC217A"/>
    <w:rPr>
      <w:rFonts w:cs="Times New Roman"/>
      <w:b/>
    </w:rPr>
  </w:style>
  <w:style w:type="paragraph" w:customStyle="1" w:styleId="coversheetheading2">
    <w:name w:val="coversheet heading 2"/>
    <w:basedOn w:val="Normal"/>
    <w:rsid w:val="00EC217A"/>
    <w:pPr>
      <w:spacing w:before="240" w:after="480"/>
    </w:pPr>
    <w:rPr>
      <w:rFonts w:ascii="Calibri" w:hAnsi="Calibri"/>
      <w:b/>
      <w:sz w:val="28"/>
      <w:szCs w:val="20"/>
      <w:lang w:eastAsia="en-US"/>
    </w:rPr>
  </w:style>
  <w:style w:type="paragraph" w:customStyle="1" w:styleId="coversheetheading1">
    <w:name w:val="coversheet heading 1"/>
    <w:rsid w:val="00EC217A"/>
    <w:pPr>
      <w:spacing w:before="480" w:after="1080"/>
    </w:pPr>
    <w:rPr>
      <w:rFonts w:ascii="Calibri" w:hAnsi="Calibri"/>
      <w:b/>
      <w:sz w:val="36"/>
      <w:lang w:eastAsia="en-US"/>
    </w:rPr>
  </w:style>
  <w:style w:type="paragraph" w:customStyle="1" w:styleId="Chapters">
    <w:name w:val="Chapters"/>
    <w:basedOn w:val="Normal"/>
    <w:rsid w:val="00EC217A"/>
    <w:pPr>
      <w:tabs>
        <w:tab w:val="left" w:pos="284"/>
        <w:tab w:val="left" w:pos="1985"/>
        <w:tab w:val="left" w:pos="7797"/>
        <w:tab w:val="right" w:pos="8505"/>
      </w:tabs>
      <w:spacing w:after="200"/>
    </w:pPr>
    <w:rPr>
      <w:b/>
      <w:sz w:val="28"/>
      <w:szCs w:val="20"/>
      <w:lang w:eastAsia="en-US"/>
    </w:rPr>
  </w:style>
  <w:style w:type="character" w:customStyle="1" w:styleId="TableHeadingChar0">
    <w:name w:val="Table Heading Char"/>
    <w:link w:val="TableHeading0"/>
    <w:rsid w:val="00EC217A"/>
    <w:rPr>
      <w:rFonts w:ascii="Arial" w:hAnsi="Arial"/>
      <w:b/>
      <w:sz w:val="24"/>
      <w:lang w:eastAsia="en-US"/>
    </w:rPr>
  </w:style>
  <w:style w:type="character" w:customStyle="1" w:styleId="Style1Char">
    <w:name w:val="Style1 Char"/>
    <w:link w:val="Style1"/>
    <w:rsid w:val="00EC217A"/>
    <w:rPr>
      <w:rFonts w:ascii="Times New (W1)" w:hAnsi="Times New (W1)"/>
      <w:szCs w:val="24"/>
      <w:lang w:val="x-none" w:eastAsia="en-US"/>
    </w:rPr>
  </w:style>
  <w:style w:type="paragraph" w:customStyle="1" w:styleId="StyleHeading2ArialNarrow14pt">
    <w:name w:val="Style Heading 2 + Arial Narrow 14 pt"/>
    <w:basedOn w:val="Heading2"/>
    <w:autoRedefine/>
    <w:rsid w:val="00EC217A"/>
    <w:pPr>
      <w:keepLines w:val="0"/>
      <w:spacing w:before="60" w:afterLines="50" w:after="0"/>
      <w:jc w:val="both"/>
    </w:pPr>
    <w:rPr>
      <w:rFonts w:ascii="Calibri" w:hAnsi="Calibri" w:cs="Calibri"/>
      <w:bCs/>
      <w:iCs w:val="0"/>
      <w:caps/>
      <w:kern w:val="0"/>
      <w:sz w:val="28"/>
      <w:szCs w:val="20"/>
      <w:lang w:eastAsia="en-US"/>
    </w:rPr>
  </w:style>
  <w:style w:type="numbering" w:customStyle="1" w:styleId="NoList11">
    <w:name w:val="No List11"/>
    <w:next w:val="NoList"/>
    <w:uiPriority w:val="99"/>
    <w:semiHidden/>
    <w:unhideWhenUsed/>
    <w:rsid w:val="00EC217A"/>
  </w:style>
  <w:style w:type="paragraph" w:customStyle="1" w:styleId="Pa2">
    <w:name w:val="Pa2"/>
    <w:basedOn w:val="Default"/>
    <w:next w:val="Default"/>
    <w:rsid w:val="00EC217A"/>
    <w:rPr>
      <w:rFonts w:ascii="Optima-Regular" w:eastAsia="Times New Roman" w:hAnsi="Optima-Regular"/>
      <w:color w:val="auto"/>
      <w:sz w:val="20"/>
      <w:szCs w:val="20"/>
    </w:rPr>
  </w:style>
  <w:style w:type="paragraph" w:customStyle="1" w:styleId="Paragraphnumber">
    <w:name w:val="Paragraph number"/>
    <w:basedOn w:val="Normal"/>
    <w:rsid w:val="00EC217A"/>
    <w:pPr>
      <w:tabs>
        <w:tab w:val="num" w:pos="360"/>
      </w:tabs>
      <w:spacing w:line="360" w:lineRule="auto"/>
      <w:jc w:val="both"/>
    </w:pPr>
    <w:rPr>
      <w:rFonts w:ascii="Times New Roman" w:hAnsi="Times New Roman"/>
      <w:szCs w:val="24"/>
      <w:lang w:eastAsia="en-US"/>
    </w:rPr>
  </w:style>
  <w:style w:type="paragraph" w:customStyle="1" w:styleId="Billname">
    <w:name w:val="Billname"/>
    <w:basedOn w:val="Normal"/>
    <w:rsid w:val="00EC217A"/>
    <w:pPr>
      <w:tabs>
        <w:tab w:val="left" w:pos="2400"/>
        <w:tab w:val="left" w:pos="2880"/>
      </w:tabs>
    </w:pPr>
    <w:rPr>
      <w:rFonts w:cs="Arial"/>
      <w:b/>
      <w:bCs/>
      <w:sz w:val="40"/>
      <w:szCs w:val="40"/>
      <w:lang w:eastAsia="en-US"/>
    </w:rPr>
  </w:style>
  <w:style w:type="paragraph" w:customStyle="1" w:styleId="N-line3">
    <w:name w:val="N-line3"/>
    <w:basedOn w:val="Normal"/>
    <w:next w:val="Normal"/>
    <w:rsid w:val="00EC217A"/>
    <w:pPr>
      <w:pBdr>
        <w:bottom w:val="single" w:sz="12" w:space="1" w:color="auto"/>
      </w:pBdr>
      <w:jc w:val="both"/>
    </w:pPr>
    <w:rPr>
      <w:rFonts w:ascii="Times New Roman" w:hAnsi="Times New Roman"/>
      <w:szCs w:val="24"/>
      <w:lang w:eastAsia="en-US"/>
    </w:rPr>
  </w:style>
  <w:style w:type="paragraph" w:customStyle="1" w:styleId="madeunder">
    <w:name w:val="made under"/>
    <w:basedOn w:val="Normal"/>
    <w:rsid w:val="00EC217A"/>
    <w:pPr>
      <w:jc w:val="both"/>
    </w:pPr>
    <w:rPr>
      <w:rFonts w:ascii="Times New Roman" w:hAnsi="Times New Roman"/>
      <w:szCs w:val="24"/>
      <w:lang w:eastAsia="en-US"/>
    </w:rPr>
  </w:style>
  <w:style w:type="paragraph" w:customStyle="1" w:styleId="CoverActName">
    <w:name w:val="CoverActName"/>
    <w:basedOn w:val="Normal"/>
    <w:rsid w:val="00EC217A"/>
    <w:pPr>
      <w:tabs>
        <w:tab w:val="left" w:pos="2600"/>
      </w:tabs>
      <w:jc w:val="both"/>
    </w:pPr>
    <w:rPr>
      <w:rFonts w:cs="Arial"/>
      <w:b/>
      <w:bCs/>
      <w:szCs w:val="24"/>
      <w:lang w:eastAsia="en-US"/>
    </w:rPr>
  </w:style>
  <w:style w:type="paragraph" w:customStyle="1" w:styleId="Amain">
    <w:name w:val="A main"/>
    <w:basedOn w:val="Normal"/>
    <w:rsid w:val="00EC217A"/>
    <w:pPr>
      <w:tabs>
        <w:tab w:val="right" w:pos="900"/>
        <w:tab w:val="left" w:pos="1100"/>
      </w:tabs>
      <w:ind w:left="1100" w:hanging="1100"/>
      <w:jc w:val="both"/>
      <w:outlineLvl w:val="5"/>
    </w:pPr>
    <w:rPr>
      <w:rFonts w:ascii="Times New Roman" w:hAnsi="Times New Roman"/>
      <w:szCs w:val="24"/>
      <w:lang w:eastAsia="en-US"/>
    </w:rPr>
  </w:style>
  <w:style w:type="paragraph" w:customStyle="1" w:styleId="Header-dtpt">
    <w:name w:val="Header -dt pt"/>
    <w:basedOn w:val="Header"/>
    <w:rsid w:val="00EC217A"/>
    <w:pPr>
      <w:tabs>
        <w:tab w:val="clear" w:pos="4153"/>
        <w:tab w:val="clear" w:pos="8306"/>
        <w:tab w:val="center" w:pos="4513"/>
        <w:tab w:val="right" w:pos="9026"/>
      </w:tabs>
      <w:spacing w:beforeLines="50" w:afterLines="50"/>
    </w:pPr>
    <w:rPr>
      <w:rFonts w:ascii="Calibri" w:hAnsi="Calibri" w:cs="Calibri"/>
      <w:szCs w:val="24"/>
      <w:lang w:eastAsia="en-US"/>
    </w:rPr>
  </w:style>
  <w:style w:type="paragraph" w:customStyle="1" w:styleId="Asubpara">
    <w:name w:val="A subpara"/>
    <w:basedOn w:val="Normal"/>
    <w:rsid w:val="00EC217A"/>
    <w:pPr>
      <w:tabs>
        <w:tab w:val="right" w:pos="1900"/>
        <w:tab w:val="left" w:pos="2100"/>
      </w:tabs>
      <w:ind w:left="2100" w:hanging="2100"/>
      <w:jc w:val="both"/>
      <w:outlineLvl w:val="7"/>
    </w:pPr>
    <w:rPr>
      <w:rFonts w:ascii="Times New Roman" w:hAnsi="Times New Roman"/>
      <w:szCs w:val="24"/>
      <w:lang w:eastAsia="en-US"/>
    </w:rPr>
  </w:style>
  <w:style w:type="paragraph" w:customStyle="1" w:styleId="aDef">
    <w:name w:val="aDef"/>
    <w:basedOn w:val="Normal"/>
    <w:rsid w:val="00EC217A"/>
    <w:pPr>
      <w:ind w:left="1100"/>
      <w:jc w:val="both"/>
    </w:pPr>
    <w:rPr>
      <w:rFonts w:ascii="Times New Roman" w:hAnsi="Times New Roman"/>
      <w:szCs w:val="24"/>
      <w:lang w:eastAsia="en-US"/>
    </w:rPr>
  </w:style>
  <w:style w:type="paragraph" w:customStyle="1" w:styleId="aNote">
    <w:name w:val="aNote"/>
    <w:basedOn w:val="Normal"/>
    <w:rsid w:val="00EC217A"/>
    <w:pPr>
      <w:ind w:left="1900" w:hanging="800"/>
      <w:jc w:val="both"/>
    </w:pPr>
    <w:rPr>
      <w:rFonts w:ascii="Times New Roman" w:hAnsi="Times New Roman"/>
      <w:sz w:val="20"/>
      <w:szCs w:val="20"/>
      <w:lang w:eastAsia="en-US"/>
    </w:rPr>
  </w:style>
  <w:style w:type="paragraph" w:customStyle="1" w:styleId="AH5Sec">
    <w:name w:val="A H5 Sec"/>
    <w:basedOn w:val="Normal"/>
    <w:next w:val="Amain"/>
    <w:rsid w:val="00EC217A"/>
    <w:pPr>
      <w:keepNext/>
      <w:tabs>
        <w:tab w:val="left" w:pos="1100"/>
      </w:tabs>
      <w:ind w:left="1100" w:hanging="1100"/>
      <w:outlineLvl w:val="4"/>
    </w:pPr>
    <w:rPr>
      <w:rFonts w:cs="Arial"/>
      <w:b/>
      <w:bCs/>
      <w:szCs w:val="24"/>
      <w:lang w:eastAsia="en-US"/>
    </w:rPr>
  </w:style>
  <w:style w:type="character" w:customStyle="1" w:styleId="CharSectNo">
    <w:name w:val="CharSectNo"/>
    <w:basedOn w:val="DefaultParagraphFont"/>
    <w:rsid w:val="00EC217A"/>
  </w:style>
  <w:style w:type="character" w:customStyle="1" w:styleId="charItals">
    <w:name w:val="charItals"/>
    <w:rsid w:val="00EC217A"/>
    <w:rPr>
      <w:i/>
      <w:iCs/>
    </w:rPr>
  </w:style>
  <w:style w:type="character" w:customStyle="1" w:styleId="charBoldItals">
    <w:name w:val="charBoldItals"/>
    <w:rsid w:val="00EC217A"/>
    <w:rPr>
      <w:b/>
      <w:bCs/>
      <w:i/>
      <w:iCs/>
    </w:rPr>
  </w:style>
  <w:style w:type="paragraph" w:customStyle="1" w:styleId="BPDescBold">
    <w:name w:val="BPDescBold"/>
    <w:basedOn w:val="Normal"/>
    <w:rsid w:val="00EC217A"/>
    <w:rPr>
      <w:rFonts w:ascii="Times New Roman" w:hAnsi="Times New Roman"/>
      <w:b/>
      <w:bCs/>
      <w:sz w:val="18"/>
      <w:szCs w:val="18"/>
      <w:lang w:eastAsia="en-US"/>
    </w:rPr>
  </w:style>
  <w:style w:type="paragraph" w:customStyle="1" w:styleId="TSYBullets">
    <w:name w:val="TSY_Bullets"/>
    <w:basedOn w:val="Normal"/>
    <w:rsid w:val="00EC217A"/>
    <w:pPr>
      <w:tabs>
        <w:tab w:val="num" w:pos="425"/>
      </w:tabs>
      <w:ind w:left="425" w:hanging="425"/>
    </w:pPr>
    <w:rPr>
      <w:rFonts w:ascii="Times New Roman" w:hAnsi="Times New Roman"/>
      <w:szCs w:val="24"/>
      <w:lang w:eastAsia="en-AU"/>
    </w:rPr>
  </w:style>
  <w:style w:type="paragraph" w:customStyle="1" w:styleId="TableofContents">
    <w:name w:val="Table of Contents"/>
    <w:rsid w:val="00EC217A"/>
    <w:pPr>
      <w:jc w:val="center"/>
    </w:pPr>
    <w:rPr>
      <w:rFonts w:ascii="Arial Bold" w:hAnsi="Arial Bold" w:cs="Arial"/>
      <w:b/>
      <w:caps/>
      <w:color w:val="000080"/>
      <w:sz w:val="32"/>
      <w:szCs w:val="32"/>
      <w:lang w:eastAsia="en-US"/>
    </w:rPr>
  </w:style>
  <w:style w:type="character" w:customStyle="1" w:styleId="EmailStyle1261">
    <w:name w:val="EmailStyle1261"/>
    <w:semiHidden/>
    <w:rsid w:val="00EC217A"/>
    <w:rPr>
      <w:rFonts w:ascii="Arial" w:hAnsi="Arial" w:cs="Arial" w:hint="default"/>
      <w:color w:val="auto"/>
      <w:sz w:val="20"/>
    </w:rPr>
  </w:style>
  <w:style w:type="paragraph" w:customStyle="1" w:styleId="StyleHeading1Arial">
    <w:name w:val="Style Heading 1 + Arial"/>
    <w:basedOn w:val="Heading1"/>
    <w:link w:val="StyleHeading1ArialChar"/>
    <w:autoRedefine/>
    <w:rsid w:val="00EC217A"/>
    <w:pPr>
      <w:keepLines w:val="0"/>
      <w:spacing w:beforeLines="50" w:before="0" w:afterLines="50" w:after="120"/>
      <w:ind w:left="2268" w:hanging="2268"/>
    </w:pPr>
    <w:rPr>
      <w:rFonts w:ascii="Arial Narrow" w:hAnsi="Arial Narrow"/>
      <w:caps/>
      <w:kern w:val="0"/>
      <w:sz w:val="32"/>
      <w:lang w:eastAsia="en-US"/>
    </w:rPr>
  </w:style>
  <w:style w:type="character" w:customStyle="1" w:styleId="StyleHeading1ArialChar">
    <w:name w:val="Style Heading 1 + Arial Char"/>
    <w:link w:val="StyleHeading1Arial"/>
    <w:rsid w:val="00EC217A"/>
    <w:rPr>
      <w:rFonts w:ascii="Arial Narrow" w:hAnsi="Arial Narrow" w:cs="Arial"/>
      <w:b/>
      <w:bCs/>
      <w:caps/>
      <w:sz w:val="32"/>
      <w:szCs w:val="32"/>
      <w:lang w:eastAsia="en-US"/>
    </w:rPr>
  </w:style>
  <w:style w:type="paragraph" w:customStyle="1" w:styleId="StyleStyleHeading1ArialPalatinoLinotype12pt">
    <w:name w:val="Style Style Heading 1 + Arial + Palatino Linotype 12 pt"/>
    <w:basedOn w:val="StyleHeading1Arial"/>
    <w:link w:val="StyleStyleHeading1ArialPalatinoLinotype12ptChar"/>
    <w:rsid w:val="00EC217A"/>
    <w:rPr>
      <w:rFonts w:ascii="Palatino Linotype" w:hAnsi="Palatino Linotype"/>
      <w:sz w:val="24"/>
    </w:rPr>
  </w:style>
  <w:style w:type="character" w:customStyle="1" w:styleId="StyleStyleHeading1ArialPalatinoLinotype12ptChar">
    <w:name w:val="Style Style Heading 1 + Arial + Palatino Linotype 12 pt Char"/>
    <w:link w:val="StyleStyleHeading1ArialPalatinoLinotype12pt"/>
    <w:rsid w:val="00EC217A"/>
    <w:rPr>
      <w:rFonts w:ascii="Palatino Linotype" w:hAnsi="Palatino Linotype" w:cs="Arial"/>
      <w:b/>
      <w:bCs/>
      <w:caps/>
      <w:sz w:val="24"/>
      <w:szCs w:val="32"/>
      <w:lang w:eastAsia="en-US"/>
    </w:rPr>
  </w:style>
  <w:style w:type="paragraph" w:customStyle="1" w:styleId="xl99">
    <w:name w:val="xl99"/>
    <w:basedOn w:val="Normal"/>
    <w:rsid w:val="00EC217A"/>
    <w:pPr>
      <w:pBdr>
        <w:top w:val="single" w:sz="4" w:space="0" w:color="auto"/>
        <w:right w:val="single" w:sz="4" w:space="0" w:color="auto"/>
      </w:pBdr>
      <w:spacing w:beforeAutospacing="1" w:afterAutospacing="1"/>
      <w:jc w:val="center"/>
      <w:textAlignment w:val="top"/>
    </w:pPr>
    <w:rPr>
      <w:rFonts w:ascii="Times New Roman" w:hAnsi="Times New Roman"/>
      <w:b/>
      <w:bCs/>
      <w:sz w:val="16"/>
      <w:szCs w:val="16"/>
      <w:lang w:eastAsia="en-AU"/>
    </w:rPr>
  </w:style>
  <w:style w:type="paragraph" w:customStyle="1" w:styleId="xl100">
    <w:name w:val="xl100"/>
    <w:basedOn w:val="Normal"/>
    <w:rsid w:val="00EC217A"/>
    <w:pPr>
      <w:pBdr>
        <w:left w:val="single" w:sz="4" w:space="0" w:color="auto"/>
      </w:pBdr>
      <w:spacing w:beforeAutospacing="1" w:afterAutospacing="1"/>
      <w:textAlignment w:val="top"/>
    </w:pPr>
    <w:rPr>
      <w:rFonts w:ascii="Times New Roman" w:hAnsi="Times New Roman"/>
      <w:sz w:val="16"/>
      <w:szCs w:val="16"/>
      <w:lang w:eastAsia="en-AU"/>
    </w:rPr>
  </w:style>
  <w:style w:type="paragraph" w:customStyle="1" w:styleId="xl101">
    <w:name w:val="xl101"/>
    <w:basedOn w:val="Normal"/>
    <w:rsid w:val="00EC217A"/>
    <w:pPr>
      <w:pBdr>
        <w:left w:val="single" w:sz="4" w:space="0" w:color="auto"/>
      </w:pBdr>
      <w:spacing w:beforeAutospacing="1" w:afterAutospacing="1"/>
      <w:textAlignment w:val="top"/>
    </w:pPr>
    <w:rPr>
      <w:rFonts w:ascii="Times New Roman" w:hAnsi="Times New Roman"/>
      <w:b/>
      <w:bCs/>
      <w:sz w:val="16"/>
      <w:szCs w:val="16"/>
      <w:u w:val="single"/>
      <w:lang w:eastAsia="en-AU"/>
    </w:rPr>
  </w:style>
  <w:style w:type="paragraph" w:customStyle="1" w:styleId="xl102">
    <w:name w:val="xl102"/>
    <w:basedOn w:val="Normal"/>
    <w:rsid w:val="00EC217A"/>
    <w:pPr>
      <w:pBdr>
        <w:left w:val="single" w:sz="4" w:space="0" w:color="auto"/>
      </w:pBdr>
      <w:spacing w:beforeAutospacing="1" w:afterAutospacing="1"/>
      <w:textAlignment w:val="top"/>
    </w:pPr>
    <w:rPr>
      <w:rFonts w:ascii="Times New Roman" w:hAnsi="Times New Roman"/>
      <w:b/>
      <w:bCs/>
      <w:sz w:val="16"/>
      <w:szCs w:val="16"/>
      <w:lang w:eastAsia="en-AU"/>
    </w:rPr>
  </w:style>
  <w:style w:type="paragraph" w:customStyle="1" w:styleId="xl103">
    <w:name w:val="xl103"/>
    <w:basedOn w:val="Normal"/>
    <w:rsid w:val="00EC217A"/>
    <w:pPr>
      <w:pBdr>
        <w:left w:val="single" w:sz="4" w:space="0" w:color="auto"/>
        <w:bottom w:val="single" w:sz="4" w:space="0" w:color="auto"/>
      </w:pBdr>
      <w:spacing w:beforeAutospacing="1" w:afterAutospacing="1"/>
      <w:textAlignment w:val="top"/>
    </w:pPr>
    <w:rPr>
      <w:rFonts w:ascii="Times New Roman" w:hAnsi="Times New Roman"/>
      <w:b/>
      <w:bCs/>
      <w:sz w:val="16"/>
      <w:szCs w:val="16"/>
      <w:lang w:eastAsia="en-AU"/>
    </w:rPr>
  </w:style>
  <w:style w:type="paragraph" w:customStyle="1" w:styleId="xl104">
    <w:name w:val="xl104"/>
    <w:basedOn w:val="Normal"/>
    <w:rsid w:val="00EC217A"/>
    <w:pPr>
      <w:pBdr>
        <w:left w:val="single" w:sz="4" w:space="0" w:color="auto"/>
        <w:bottom w:val="single" w:sz="4" w:space="0" w:color="auto"/>
      </w:pBdr>
      <w:spacing w:beforeAutospacing="1" w:afterAutospacing="1"/>
    </w:pPr>
    <w:rPr>
      <w:rFonts w:ascii="Times New Roman" w:hAnsi="Times New Roman"/>
      <w:b/>
      <w:bCs/>
      <w:sz w:val="16"/>
      <w:szCs w:val="16"/>
      <w:lang w:eastAsia="en-AU"/>
    </w:rPr>
  </w:style>
  <w:style w:type="paragraph" w:customStyle="1" w:styleId="xl105">
    <w:name w:val="xl105"/>
    <w:basedOn w:val="Normal"/>
    <w:rsid w:val="00EC217A"/>
    <w:pPr>
      <w:pBdr>
        <w:left w:val="single" w:sz="4" w:space="0" w:color="auto"/>
        <w:bottom w:val="single" w:sz="4" w:space="0" w:color="auto"/>
        <w:right w:val="single" w:sz="4" w:space="0" w:color="auto"/>
      </w:pBdr>
      <w:spacing w:beforeAutospacing="1" w:afterAutospacing="1"/>
      <w:jc w:val="right"/>
    </w:pPr>
    <w:rPr>
      <w:rFonts w:ascii="Times New Roman" w:hAnsi="Times New Roman"/>
      <w:b/>
      <w:bCs/>
      <w:sz w:val="16"/>
      <w:szCs w:val="16"/>
      <w:lang w:eastAsia="en-AU"/>
    </w:rPr>
  </w:style>
  <w:style w:type="paragraph" w:customStyle="1" w:styleId="xl106">
    <w:name w:val="xl106"/>
    <w:basedOn w:val="Normal"/>
    <w:rsid w:val="00EC217A"/>
    <w:pPr>
      <w:pBdr>
        <w:left w:val="single" w:sz="4" w:space="0" w:color="auto"/>
        <w:bottom w:val="single" w:sz="4" w:space="0" w:color="auto"/>
      </w:pBdr>
      <w:spacing w:beforeAutospacing="1" w:afterAutospacing="1"/>
      <w:jc w:val="right"/>
    </w:pPr>
    <w:rPr>
      <w:rFonts w:ascii="Times New Roman" w:hAnsi="Times New Roman"/>
      <w:b/>
      <w:bCs/>
      <w:sz w:val="16"/>
      <w:szCs w:val="16"/>
      <w:lang w:eastAsia="en-AU"/>
    </w:rPr>
  </w:style>
  <w:style w:type="paragraph" w:customStyle="1" w:styleId="xl107">
    <w:name w:val="xl107"/>
    <w:basedOn w:val="Normal"/>
    <w:rsid w:val="00EC217A"/>
    <w:pPr>
      <w:pBdr>
        <w:bottom w:val="single" w:sz="4" w:space="0" w:color="auto"/>
      </w:pBdr>
      <w:spacing w:beforeAutospacing="1" w:afterAutospacing="1"/>
      <w:jc w:val="right"/>
    </w:pPr>
    <w:rPr>
      <w:rFonts w:ascii="Times New Roman" w:hAnsi="Times New Roman"/>
      <w:b/>
      <w:bCs/>
      <w:sz w:val="16"/>
      <w:szCs w:val="16"/>
      <w:lang w:eastAsia="en-AU"/>
    </w:rPr>
  </w:style>
  <w:style w:type="paragraph" w:customStyle="1" w:styleId="xl108">
    <w:name w:val="xl108"/>
    <w:basedOn w:val="Normal"/>
    <w:rsid w:val="00EC217A"/>
    <w:pPr>
      <w:pBdr>
        <w:bottom w:val="single" w:sz="4" w:space="0" w:color="auto"/>
        <w:right w:val="single" w:sz="4" w:space="0" w:color="auto"/>
      </w:pBdr>
      <w:spacing w:beforeAutospacing="1" w:afterAutospacing="1"/>
    </w:pPr>
    <w:rPr>
      <w:rFonts w:ascii="Times New Roman" w:hAnsi="Times New Roman"/>
      <w:b/>
      <w:bCs/>
      <w:sz w:val="16"/>
      <w:szCs w:val="16"/>
      <w:lang w:eastAsia="en-AU"/>
    </w:rPr>
  </w:style>
  <w:style w:type="paragraph" w:customStyle="1" w:styleId="xl109">
    <w:name w:val="xl109"/>
    <w:basedOn w:val="Normal"/>
    <w:rsid w:val="00EC217A"/>
    <w:pPr>
      <w:pBdr>
        <w:left w:val="single" w:sz="4" w:space="0" w:color="auto"/>
        <w:bottom w:val="single" w:sz="4" w:space="0" w:color="auto"/>
      </w:pBdr>
      <w:spacing w:beforeAutospacing="1" w:afterAutospacing="1"/>
      <w:jc w:val="right"/>
    </w:pPr>
    <w:rPr>
      <w:rFonts w:ascii="Times New Roman" w:hAnsi="Times New Roman"/>
      <w:b/>
      <w:bCs/>
      <w:sz w:val="16"/>
      <w:szCs w:val="16"/>
      <w:lang w:eastAsia="en-AU"/>
    </w:rPr>
  </w:style>
  <w:style w:type="paragraph" w:customStyle="1" w:styleId="xl110">
    <w:name w:val="xl110"/>
    <w:basedOn w:val="Normal"/>
    <w:rsid w:val="00EC217A"/>
    <w:pPr>
      <w:pBdr>
        <w:bottom w:val="single" w:sz="4" w:space="0" w:color="auto"/>
        <w:right w:val="single" w:sz="4" w:space="0" w:color="auto"/>
      </w:pBdr>
      <w:spacing w:beforeAutospacing="1" w:afterAutospacing="1"/>
      <w:jc w:val="right"/>
    </w:pPr>
    <w:rPr>
      <w:rFonts w:ascii="Times New Roman" w:hAnsi="Times New Roman"/>
      <w:b/>
      <w:bCs/>
      <w:sz w:val="16"/>
      <w:szCs w:val="16"/>
      <w:lang w:eastAsia="en-AU"/>
    </w:rPr>
  </w:style>
  <w:style w:type="character" w:customStyle="1" w:styleId="st1">
    <w:name w:val="st1"/>
    <w:basedOn w:val="DefaultParagraphFont"/>
    <w:rsid w:val="00EC217A"/>
  </w:style>
  <w:style w:type="paragraph" w:customStyle="1" w:styleId="TableTextLeftLevel2">
    <w:name w:val="Table  Text Left Level 2"/>
    <w:basedOn w:val="Normal"/>
    <w:link w:val="TableTextLeftLevel2Char"/>
    <w:rsid w:val="00EC217A"/>
    <w:pPr>
      <w:tabs>
        <w:tab w:val="left" w:pos="2212"/>
      </w:tabs>
      <w:ind w:left="283" w:hanging="170"/>
    </w:pPr>
    <w:rPr>
      <w:rFonts w:ascii="Calibri" w:hAnsi="Calibri" w:cs="Calibri"/>
      <w:iCs/>
      <w:sz w:val="18"/>
      <w:szCs w:val="18"/>
      <w:lang w:eastAsia="en-US"/>
    </w:rPr>
  </w:style>
  <w:style w:type="character" w:customStyle="1" w:styleId="TableTextLeftLevel2Char">
    <w:name w:val="Table  Text Left Level 2 Char"/>
    <w:link w:val="TableTextLeftLevel2"/>
    <w:rsid w:val="00EC217A"/>
    <w:rPr>
      <w:rFonts w:ascii="Calibri" w:hAnsi="Calibri" w:cs="Calibri"/>
      <w:iCs/>
      <w:sz w:val="18"/>
      <w:szCs w:val="18"/>
      <w:lang w:eastAsia="en-US"/>
    </w:rPr>
  </w:style>
  <w:style w:type="paragraph" w:customStyle="1" w:styleId="TableTextLeftLevel3">
    <w:name w:val="Table Text Left Level 3"/>
    <w:autoRedefine/>
    <w:rsid w:val="00EC217A"/>
    <w:pPr>
      <w:ind w:left="454" w:hanging="170"/>
    </w:pPr>
    <w:rPr>
      <w:iCs/>
      <w:sz w:val="18"/>
      <w:szCs w:val="18"/>
      <w:lang w:eastAsia="en-US"/>
    </w:rPr>
  </w:style>
  <w:style w:type="numbering" w:customStyle="1" w:styleId="NoList2">
    <w:name w:val="No List2"/>
    <w:next w:val="NoList"/>
    <w:uiPriority w:val="99"/>
    <w:semiHidden/>
    <w:unhideWhenUsed/>
    <w:rsid w:val="00EC217A"/>
  </w:style>
  <w:style w:type="numbering" w:customStyle="1" w:styleId="NoList3">
    <w:name w:val="No List3"/>
    <w:next w:val="NoList"/>
    <w:uiPriority w:val="99"/>
    <w:semiHidden/>
    <w:unhideWhenUsed/>
    <w:rsid w:val="00EC217A"/>
  </w:style>
  <w:style w:type="paragraph" w:customStyle="1" w:styleId="xl6436">
    <w:name w:val="xl6436"/>
    <w:basedOn w:val="Normal"/>
    <w:rsid w:val="00EC217A"/>
    <w:pPr>
      <w:spacing w:beforeAutospacing="1" w:afterAutospacing="1"/>
    </w:pPr>
    <w:rPr>
      <w:rFonts w:ascii="Calibri" w:hAnsi="Calibri"/>
      <w:szCs w:val="24"/>
      <w:lang w:eastAsia="en-AU"/>
    </w:rPr>
  </w:style>
  <w:style w:type="paragraph" w:customStyle="1" w:styleId="xl6437">
    <w:name w:val="xl6437"/>
    <w:basedOn w:val="Normal"/>
    <w:rsid w:val="00EC217A"/>
    <w:pPr>
      <w:spacing w:beforeAutospacing="1" w:afterAutospacing="1"/>
      <w:jc w:val="center"/>
    </w:pPr>
    <w:rPr>
      <w:rFonts w:ascii="Calibri" w:hAnsi="Calibri"/>
      <w:szCs w:val="24"/>
      <w:lang w:eastAsia="en-AU"/>
    </w:rPr>
  </w:style>
  <w:style w:type="paragraph" w:customStyle="1" w:styleId="xl6438">
    <w:name w:val="xl6438"/>
    <w:basedOn w:val="Normal"/>
    <w:rsid w:val="00EC217A"/>
    <w:pPr>
      <w:spacing w:beforeAutospacing="1" w:afterAutospacing="1"/>
    </w:pPr>
    <w:rPr>
      <w:rFonts w:ascii="Calibri" w:hAnsi="Calibri"/>
      <w:b/>
      <w:bCs/>
      <w:szCs w:val="24"/>
      <w:lang w:eastAsia="en-AU"/>
    </w:rPr>
  </w:style>
  <w:style w:type="paragraph" w:customStyle="1" w:styleId="xl6439">
    <w:name w:val="xl6439"/>
    <w:basedOn w:val="Normal"/>
    <w:rsid w:val="00EC217A"/>
    <w:pPr>
      <w:shd w:val="clear" w:color="000000" w:fill="EAF1DD"/>
      <w:spacing w:beforeAutospacing="1" w:afterAutospacing="1"/>
    </w:pPr>
    <w:rPr>
      <w:rFonts w:ascii="Calibri" w:hAnsi="Calibri"/>
      <w:szCs w:val="24"/>
      <w:lang w:eastAsia="en-AU"/>
    </w:rPr>
  </w:style>
  <w:style w:type="paragraph" w:customStyle="1" w:styleId="xl6440">
    <w:name w:val="xl6440"/>
    <w:basedOn w:val="Normal"/>
    <w:rsid w:val="00EC217A"/>
    <w:pPr>
      <w:spacing w:beforeAutospacing="1" w:afterAutospacing="1"/>
      <w:textAlignment w:val="center"/>
    </w:pPr>
    <w:rPr>
      <w:rFonts w:ascii="Calibri" w:hAnsi="Calibri"/>
      <w:szCs w:val="24"/>
      <w:lang w:eastAsia="en-AU"/>
    </w:rPr>
  </w:style>
  <w:style w:type="paragraph" w:customStyle="1" w:styleId="xl6441">
    <w:name w:val="xl6441"/>
    <w:basedOn w:val="Normal"/>
    <w:rsid w:val="00EC217A"/>
    <w:pPr>
      <w:spacing w:beforeAutospacing="1" w:afterAutospacing="1"/>
    </w:pPr>
    <w:rPr>
      <w:rFonts w:ascii="Calibri" w:hAnsi="Calibri"/>
      <w:szCs w:val="24"/>
      <w:lang w:eastAsia="en-AU"/>
    </w:rPr>
  </w:style>
  <w:style w:type="paragraph" w:customStyle="1" w:styleId="xl6442">
    <w:name w:val="xl6442"/>
    <w:basedOn w:val="Normal"/>
    <w:rsid w:val="00EC217A"/>
    <w:pPr>
      <w:spacing w:beforeAutospacing="1" w:afterAutospacing="1"/>
      <w:textAlignment w:val="center"/>
    </w:pPr>
    <w:rPr>
      <w:rFonts w:ascii="Calibri" w:hAnsi="Calibri"/>
      <w:b/>
      <w:bCs/>
      <w:szCs w:val="24"/>
      <w:u w:val="single"/>
      <w:lang w:eastAsia="en-AU"/>
    </w:rPr>
  </w:style>
  <w:style w:type="paragraph" w:customStyle="1" w:styleId="xl6443">
    <w:name w:val="xl6443"/>
    <w:basedOn w:val="Normal"/>
    <w:rsid w:val="00EC217A"/>
    <w:pPr>
      <w:spacing w:beforeAutospacing="1" w:afterAutospacing="1"/>
    </w:pPr>
    <w:rPr>
      <w:rFonts w:ascii="Calibri" w:hAnsi="Calibri"/>
      <w:sz w:val="18"/>
      <w:szCs w:val="18"/>
      <w:lang w:eastAsia="en-AU"/>
    </w:rPr>
  </w:style>
  <w:style w:type="paragraph" w:customStyle="1" w:styleId="xl6444">
    <w:name w:val="xl6444"/>
    <w:basedOn w:val="Normal"/>
    <w:rsid w:val="00EC217A"/>
    <w:pPr>
      <w:spacing w:beforeAutospacing="1" w:afterAutospacing="1"/>
    </w:pPr>
    <w:rPr>
      <w:rFonts w:ascii="Calibri" w:hAnsi="Calibri"/>
      <w:sz w:val="18"/>
      <w:szCs w:val="18"/>
      <w:lang w:eastAsia="en-AU"/>
    </w:rPr>
  </w:style>
  <w:style w:type="paragraph" w:customStyle="1" w:styleId="xl6445">
    <w:name w:val="xl6445"/>
    <w:basedOn w:val="Normal"/>
    <w:rsid w:val="00EC217A"/>
    <w:pPr>
      <w:spacing w:beforeAutospacing="1" w:afterAutospacing="1"/>
      <w:textAlignment w:val="center"/>
    </w:pPr>
    <w:rPr>
      <w:rFonts w:ascii="Calibri" w:hAnsi="Calibri"/>
      <w:b/>
      <w:bCs/>
      <w:sz w:val="18"/>
      <w:szCs w:val="18"/>
      <w:lang w:eastAsia="en-AU"/>
    </w:rPr>
  </w:style>
  <w:style w:type="paragraph" w:customStyle="1" w:styleId="xl6446">
    <w:name w:val="xl6446"/>
    <w:basedOn w:val="Normal"/>
    <w:rsid w:val="00EC217A"/>
    <w:pPr>
      <w:pBdr>
        <w:top w:val="single" w:sz="8" w:space="0" w:color="auto"/>
        <w:bottom w:val="single" w:sz="8" w:space="0" w:color="auto"/>
      </w:pBdr>
      <w:spacing w:beforeAutospacing="1" w:afterAutospacing="1"/>
    </w:pPr>
    <w:rPr>
      <w:rFonts w:ascii="Calibri" w:hAnsi="Calibri"/>
      <w:szCs w:val="24"/>
      <w:lang w:eastAsia="en-AU"/>
    </w:rPr>
  </w:style>
  <w:style w:type="paragraph" w:customStyle="1" w:styleId="xl6447">
    <w:name w:val="xl6447"/>
    <w:basedOn w:val="Normal"/>
    <w:rsid w:val="00EC217A"/>
    <w:pPr>
      <w:spacing w:beforeAutospacing="1" w:afterAutospacing="1"/>
      <w:textAlignment w:val="top"/>
    </w:pPr>
    <w:rPr>
      <w:rFonts w:ascii="Calibri" w:hAnsi="Calibri"/>
      <w:b/>
      <w:bCs/>
      <w:szCs w:val="24"/>
      <w:lang w:eastAsia="en-AU"/>
    </w:rPr>
  </w:style>
  <w:style w:type="paragraph" w:customStyle="1" w:styleId="xl6448">
    <w:name w:val="xl6448"/>
    <w:basedOn w:val="Normal"/>
    <w:rsid w:val="00EC217A"/>
    <w:pPr>
      <w:spacing w:beforeAutospacing="1" w:afterAutospacing="1"/>
      <w:textAlignment w:val="top"/>
    </w:pPr>
    <w:rPr>
      <w:rFonts w:ascii="Calibri" w:hAnsi="Calibri"/>
      <w:b/>
      <w:bCs/>
      <w:szCs w:val="24"/>
      <w:lang w:eastAsia="en-AU"/>
    </w:rPr>
  </w:style>
  <w:style w:type="paragraph" w:customStyle="1" w:styleId="xl6449">
    <w:name w:val="xl6449"/>
    <w:basedOn w:val="Normal"/>
    <w:rsid w:val="00EC217A"/>
    <w:pPr>
      <w:spacing w:beforeAutospacing="1" w:afterAutospacing="1"/>
      <w:jc w:val="center"/>
      <w:textAlignment w:val="top"/>
    </w:pPr>
    <w:rPr>
      <w:rFonts w:ascii="Calibri" w:hAnsi="Calibri"/>
      <w:b/>
      <w:bCs/>
      <w:szCs w:val="24"/>
      <w:lang w:eastAsia="en-AU"/>
    </w:rPr>
  </w:style>
  <w:style w:type="paragraph" w:customStyle="1" w:styleId="xl6450">
    <w:name w:val="xl6450"/>
    <w:basedOn w:val="Normal"/>
    <w:rsid w:val="00EC217A"/>
    <w:pPr>
      <w:spacing w:beforeAutospacing="1" w:afterAutospacing="1"/>
      <w:textAlignment w:val="top"/>
    </w:pPr>
    <w:rPr>
      <w:rFonts w:ascii="Calibri" w:hAnsi="Calibri"/>
      <w:szCs w:val="24"/>
      <w:lang w:eastAsia="en-AU"/>
    </w:rPr>
  </w:style>
  <w:style w:type="paragraph" w:customStyle="1" w:styleId="xl6451">
    <w:name w:val="xl6451"/>
    <w:basedOn w:val="Normal"/>
    <w:rsid w:val="00EC217A"/>
    <w:pPr>
      <w:spacing w:beforeAutospacing="1" w:afterAutospacing="1"/>
      <w:jc w:val="center"/>
      <w:textAlignment w:val="top"/>
    </w:pPr>
    <w:rPr>
      <w:rFonts w:ascii="Calibri" w:hAnsi="Calibri"/>
      <w:szCs w:val="24"/>
      <w:lang w:eastAsia="en-AU"/>
    </w:rPr>
  </w:style>
  <w:style w:type="paragraph" w:customStyle="1" w:styleId="xl6452">
    <w:name w:val="xl6452"/>
    <w:basedOn w:val="Normal"/>
    <w:rsid w:val="00EC217A"/>
    <w:pPr>
      <w:pBdr>
        <w:top w:val="single" w:sz="4" w:space="0" w:color="auto"/>
        <w:left w:val="single" w:sz="4" w:space="0" w:color="auto"/>
        <w:bottom w:val="single" w:sz="4" w:space="0" w:color="auto"/>
        <w:right w:val="single" w:sz="4" w:space="0" w:color="auto"/>
      </w:pBdr>
      <w:spacing w:beforeAutospacing="1" w:afterAutospacing="1"/>
      <w:jc w:val="right"/>
      <w:textAlignment w:val="top"/>
    </w:pPr>
    <w:rPr>
      <w:rFonts w:ascii="Calibri" w:hAnsi="Calibri"/>
      <w:b/>
      <w:bCs/>
      <w:szCs w:val="24"/>
      <w:lang w:eastAsia="en-AU"/>
    </w:rPr>
  </w:style>
  <w:style w:type="paragraph" w:customStyle="1" w:styleId="xl6453">
    <w:name w:val="xl6453"/>
    <w:basedOn w:val="Normal"/>
    <w:rsid w:val="00EC217A"/>
    <w:pPr>
      <w:pBdr>
        <w:top w:val="single" w:sz="4" w:space="0" w:color="auto"/>
        <w:bottom w:val="single" w:sz="4" w:space="0" w:color="auto"/>
      </w:pBdr>
      <w:spacing w:beforeAutospacing="1" w:afterAutospacing="1"/>
      <w:jc w:val="right"/>
      <w:textAlignment w:val="top"/>
    </w:pPr>
    <w:rPr>
      <w:rFonts w:ascii="Calibri" w:hAnsi="Calibri"/>
      <w:b/>
      <w:bCs/>
      <w:szCs w:val="24"/>
      <w:lang w:eastAsia="en-AU"/>
    </w:rPr>
  </w:style>
  <w:style w:type="paragraph" w:customStyle="1" w:styleId="xl6454">
    <w:name w:val="xl6454"/>
    <w:basedOn w:val="Normal"/>
    <w:rsid w:val="00EC217A"/>
    <w:pPr>
      <w:pBdr>
        <w:top w:val="single" w:sz="4" w:space="0" w:color="auto"/>
        <w:left w:val="single" w:sz="4" w:space="0" w:color="auto"/>
        <w:bottom w:val="single" w:sz="4" w:space="0" w:color="auto"/>
      </w:pBdr>
      <w:spacing w:beforeAutospacing="1" w:afterAutospacing="1"/>
      <w:jc w:val="right"/>
      <w:textAlignment w:val="top"/>
    </w:pPr>
    <w:rPr>
      <w:rFonts w:ascii="Calibri" w:hAnsi="Calibri"/>
      <w:b/>
      <w:bCs/>
      <w:szCs w:val="24"/>
      <w:lang w:eastAsia="en-AU"/>
    </w:rPr>
  </w:style>
  <w:style w:type="paragraph" w:customStyle="1" w:styleId="xl6455">
    <w:name w:val="xl6455"/>
    <w:basedOn w:val="Normal"/>
    <w:rsid w:val="00EC217A"/>
    <w:pPr>
      <w:pBdr>
        <w:top w:val="single" w:sz="4" w:space="0" w:color="auto"/>
        <w:bottom w:val="single" w:sz="4" w:space="0" w:color="auto"/>
        <w:right w:val="single" w:sz="4" w:space="0" w:color="auto"/>
      </w:pBdr>
      <w:spacing w:beforeAutospacing="1" w:afterAutospacing="1"/>
      <w:jc w:val="right"/>
      <w:textAlignment w:val="top"/>
    </w:pPr>
    <w:rPr>
      <w:rFonts w:ascii="Calibri" w:hAnsi="Calibri"/>
      <w:b/>
      <w:bCs/>
      <w:szCs w:val="24"/>
      <w:lang w:eastAsia="en-AU"/>
    </w:rPr>
  </w:style>
  <w:style w:type="paragraph" w:customStyle="1" w:styleId="xl6456">
    <w:name w:val="xl6456"/>
    <w:basedOn w:val="Normal"/>
    <w:rsid w:val="00EC217A"/>
    <w:pPr>
      <w:pBdr>
        <w:left w:val="single" w:sz="4" w:space="0" w:color="auto"/>
        <w:right w:val="single" w:sz="4" w:space="0" w:color="auto"/>
      </w:pBdr>
      <w:spacing w:beforeAutospacing="1" w:afterAutospacing="1"/>
      <w:textAlignment w:val="top"/>
    </w:pPr>
    <w:rPr>
      <w:rFonts w:ascii="Calibri" w:hAnsi="Calibri"/>
      <w:szCs w:val="24"/>
      <w:lang w:eastAsia="en-AU"/>
    </w:rPr>
  </w:style>
  <w:style w:type="paragraph" w:customStyle="1" w:styleId="xl6457">
    <w:name w:val="xl6457"/>
    <w:basedOn w:val="Normal"/>
    <w:rsid w:val="00EC217A"/>
    <w:pPr>
      <w:pBdr>
        <w:top w:val="single" w:sz="8" w:space="0" w:color="auto"/>
        <w:left w:val="single" w:sz="4" w:space="0" w:color="auto"/>
        <w:bottom w:val="single" w:sz="8" w:space="0" w:color="auto"/>
        <w:right w:val="single" w:sz="4" w:space="0" w:color="auto"/>
      </w:pBdr>
      <w:spacing w:beforeAutospacing="1" w:afterAutospacing="1"/>
      <w:textAlignment w:val="top"/>
    </w:pPr>
    <w:rPr>
      <w:rFonts w:ascii="Calibri" w:hAnsi="Calibri"/>
      <w:b/>
      <w:bCs/>
      <w:szCs w:val="24"/>
      <w:lang w:eastAsia="en-AU"/>
    </w:rPr>
  </w:style>
  <w:style w:type="paragraph" w:customStyle="1" w:styleId="xl6458">
    <w:name w:val="xl6458"/>
    <w:basedOn w:val="Normal"/>
    <w:rsid w:val="00EC217A"/>
    <w:pPr>
      <w:pBdr>
        <w:left w:val="single" w:sz="4" w:space="0" w:color="auto"/>
        <w:right w:val="single" w:sz="4" w:space="0" w:color="auto"/>
      </w:pBdr>
      <w:spacing w:beforeAutospacing="1" w:afterAutospacing="1"/>
      <w:jc w:val="right"/>
      <w:textAlignment w:val="top"/>
    </w:pPr>
    <w:rPr>
      <w:rFonts w:ascii="Calibri" w:hAnsi="Calibri"/>
      <w:szCs w:val="24"/>
      <w:lang w:eastAsia="en-AU"/>
    </w:rPr>
  </w:style>
  <w:style w:type="paragraph" w:customStyle="1" w:styleId="xl6459">
    <w:name w:val="xl6459"/>
    <w:basedOn w:val="Normal"/>
    <w:rsid w:val="00EC217A"/>
    <w:pPr>
      <w:pBdr>
        <w:left w:val="single" w:sz="4" w:space="0" w:color="auto"/>
      </w:pBdr>
      <w:spacing w:beforeAutospacing="1" w:afterAutospacing="1"/>
      <w:textAlignment w:val="top"/>
    </w:pPr>
    <w:rPr>
      <w:rFonts w:ascii="Calibri" w:hAnsi="Calibri"/>
      <w:szCs w:val="24"/>
      <w:lang w:eastAsia="en-AU"/>
    </w:rPr>
  </w:style>
  <w:style w:type="paragraph" w:customStyle="1" w:styleId="xl6460">
    <w:name w:val="xl6460"/>
    <w:basedOn w:val="Normal"/>
    <w:rsid w:val="00EC217A"/>
    <w:pPr>
      <w:pBdr>
        <w:left w:val="single" w:sz="4" w:space="0" w:color="auto"/>
        <w:right w:val="single" w:sz="4" w:space="0" w:color="auto"/>
      </w:pBdr>
      <w:spacing w:beforeAutospacing="1" w:afterAutospacing="1"/>
      <w:textAlignment w:val="top"/>
    </w:pPr>
    <w:rPr>
      <w:rFonts w:ascii="Calibri" w:hAnsi="Calibri"/>
      <w:color w:val="000000"/>
      <w:szCs w:val="24"/>
      <w:lang w:eastAsia="en-AU"/>
    </w:rPr>
  </w:style>
  <w:style w:type="paragraph" w:customStyle="1" w:styleId="xl6461">
    <w:name w:val="xl6461"/>
    <w:basedOn w:val="Normal"/>
    <w:rsid w:val="00EC217A"/>
    <w:pPr>
      <w:pBdr>
        <w:top w:val="single" w:sz="8" w:space="0" w:color="auto"/>
        <w:left w:val="single" w:sz="4" w:space="0" w:color="auto"/>
        <w:bottom w:val="single" w:sz="8" w:space="0" w:color="auto"/>
        <w:right w:val="single" w:sz="4" w:space="0" w:color="auto"/>
      </w:pBdr>
      <w:spacing w:beforeAutospacing="1" w:afterAutospacing="1"/>
      <w:textAlignment w:val="top"/>
    </w:pPr>
    <w:rPr>
      <w:rFonts w:ascii="Calibri" w:hAnsi="Calibri"/>
      <w:szCs w:val="24"/>
      <w:lang w:eastAsia="en-AU"/>
    </w:rPr>
  </w:style>
  <w:style w:type="paragraph" w:customStyle="1" w:styleId="xl6462">
    <w:name w:val="xl6462"/>
    <w:basedOn w:val="Normal"/>
    <w:rsid w:val="00EC217A"/>
    <w:pPr>
      <w:pBdr>
        <w:left w:val="single" w:sz="4" w:space="0" w:color="auto"/>
        <w:right w:val="single" w:sz="4" w:space="0" w:color="auto"/>
      </w:pBdr>
      <w:spacing w:beforeAutospacing="1" w:afterAutospacing="1"/>
      <w:jc w:val="right"/>
      <w:textAlignment w:val="top"/>
    </w:pPr>
    <w:rPr>
      <w:rFonts w:ascii="Calibri" w:hAnsi="Calibri"/>
      <w:color w:val="000000"/>
      <w:szCs w:val="24"/>
      <w:lang w:eastAsia="en-AU"/>
    </w:rPr>
  </w:style>
  <w:style w:type="paragraph" w:customStyle="1" w:styleId="xl6463">
    <w:name w:val="xl6463"/>
    <w:basedOn w:val="Normal"/>
    <w:rsid w:val="00EC217A"/>
    <w:pPr>
      <w:pBdr>
        <w:left w:val="single" w:sz="4" w:space="0" w:color="auto"/>
        <w:right w:val="single" w:sz="4" w:space="0" w:color="auto"/>
      </w:pBdr>
      <w:spacing w:beforeAutospacing="1" w:afterAutospacing="1"/>
      <w:jc w:val="right"/>
      <w:textAlignment w:val="top"/>
    </w:pPr>
    <w:rPr>
      <w:rFonts w:ascii="Calibri" w:hAnsi="Calibri"/>
      <w:szCs w:val="24"/>
      <w:lang w:eastAsia="en-AU"/>
    </w:rPr>
  </w:style>
  <w:style w:type="paragraph" w:customStyle="1" w:styleId="xl6464">
    <w:name w:val="xl6464"/>
    <w:basedOn w:val="Normal"/>
    <w:rsid w:val="00EC217A"/>
    <w:pPr>
      <w:pBdr>
        <w:left w:val="single" w:sz="4" w:space="0" w:color="auto"/>
        <w:bottom w:val="single" w:sz="4" w:space="0" w:color="auto"/>
        <w:right w:val="single" w:sz="4" w:space="0" w:color="auto"/>
      </w:pBdr>
      <w:spacing w:beforeAutospacing="1" w:afterAutospacing="1"/>
      <w:textAlignment w:val="top"/>
    </w:pPr>
    <w:rPr>
      <w:rFonts w:ascii="Calibri" w:hAnsi="Calibri"/>
      <w:szCs w:val="24"/>
      <w:lang w:eastAsia="en-AU"/>
    </w:rPr>
  </w:style>
  <w:style w:type="paragraph" w:customStyle="1" w:styleId="xl6465">
    <w:name w:val="xl6465"/>
    <w:basedOn w:val="Normal"/>
    <w:rsid w:val="00EC217A"/>
    <w:pPr>
      <w:pBdr>
        <w:top w:val="single" w:sz="4" w:space="0" w:color="auto"/>
        <w:left w:val="single" w:sz="4" w:space="0" w:color="auto"/>
      </w:pBdr>
      <w:spacing w:beforeAutospacing="1" w:afterAutospacing="1"/>
      <w:textAlignment w:val="top"/>
    </w:pPr>
    <w:rPr>
      <w:rFonts w:ascii="Calibri" w:hAnsi="Calibri"/>
      <w:b/>
      <w:bCs/>
      <w:szCs w:val="24"/>
      <w:u w:val="single"/>
      <w:lang w:eastAsia="en-AU"/>
    </w:rPr>
  </w:style>
  <w:style w:type="paragraph" w:customStyle="1" w:styleId="xl6466">
    <w:name w:val="xl6466"/>
    <w:basedOn w:val="Normal"/>
    <w:rsid w:val="00EC217A"/>
    <w:pPr>
      <w:pBdr>
        <w:left w:val="single" w:sz="4" w:space="0" w:color="auto"/>
      </w:pBdr>
      <w:spacing w:beforeAutospacing="1" w:afterAutospacing="1"/>
      <w:textAlignment w:val="top"/>
    </w:pPr>
    <w:rPr>
      <w:rFonts w:ascii="Calibri" w:hAnsi="Calibri"/>
      <w:szCs w:val="24"/>
      <w:lang w:eastAsia="en-AU"/>
    </w:rPr>
  </w:style>
  <w:style w:type="paragraph" w:customStyle="1" w:styleId="xl6467">
    <w:name w:val="xl6467"/>
    <w:basedOn w:val="Normal"/>
    <w:rsid w:val="00EC217A"/>
    <w:pPr>
      <w:pBdr>
        <w:top w:val="single" w:sz="8" w:space="0" w:color="auto"/>
        <w:left w:val="single" w:sz="8" w:space="0" w:color="auto"/>
        <w:bottom w:val="single" w:sz="8" w:space="0" w:color="auto"/>
      </w:pBdr>
      <w:spacing w:beforeAutospacing="1" w:afterAutospacing="1"/>
      <w:textAlignment w:val="top"/>
    </w:pPr>
    <w:rPr>
      <w:rFonts w:ascii="Calibri" w:hAnsi="Calibri"/>
      <w:b/>
      <w:bCs/>
      <w:szCs w:val="24"/>
      <w:lang w:eastAsia="en-AU"/>
    </w:rPr>
  </w:style>
  <w:style w:type="paragraph" w:customStyle="1" w:styleId="xl6468">
    <w:name w:val="xl6468"/>
    <w:basedOn w:val="Normal"/>
    <w:rsid w:val="00EC217A"/>
    <w:pPr>
      <w:pBdr>
        <w:left w:val="single" w:sz="4" w:space="0" w:color="auto"/>
      </w:pBdr>
      <w:spacing w:beforeAutospacing="1" w:afterAutospacing="1"/>
      <w:textAlignment w:val="top"/>
    </w:pPr>
    <w:rPr>
      <w:rFonts w:ascii="Calibri" w:hAnsi="Calibri"/>
      <w:b/>
      <w:bCs/>
      <w:szCs w:val="24"/>
      <w:u w:val="single"/>
      <w:lang w:eastAsia="en-AU"/>
    </w:rPr>
  </w:style>
  <w:style w:type="paragraph" w:customStyle="1" w:styleId="xl6469">
    <w:name w:val="xl6469"/>
    <w:basedOn w:val="Normal"/>
    <w:rsid w:val="00EC217A"/>
    <w:pPr>
      <w:pBdr>
        <w:top w:val="single" w:sz="8" w:space="0" w:color="auto"/>
        <w:left w:val="single" w:sz="8" w:space="0" w:color="auto"/>
        <w:bottom w:val="single" w:sz="8" w:space="0" w:color="auto"/>
      </w:pBdr>
      <w:spacing w:beforeAutospacing="1" w:afterAutospacing="1"/>
      <w:textAlignment w:val="top"/>
    </w:pPr>
    <w:rPr>
      <w:rFonts w:ascii="Calibri" w:hAnsi="Calibri"/>
      <w:szCs w:val="24"/>
      <w:lang w:eastAsia="en-AU"/>
    </w:rPr>
  </w:style>
  <w:style w:type="paragraph" w:customStyle="1" w:styleId="xl6470">
    <w:name w:val="xl6470"/>
    <w:basedOn w:val="Normal"/>
    <w:rsid w:val="00EC217A"/>
    <w:pPr>
      <w:pBdr>
        <w:left w:val="single" w:sz="4" w:space="0" w:color="auto"/>
      </w:pBdr>
      <w:spacing w:beforeAutospacing="1" w:afterAutospacing="1"/>
      <w:textAlignment w:val="top"/>
    </w:pPr>
    <w:rPr>
      <w:rFonts w:ascii="Calibri" w:hAnsi="Calibri"/>
      <w:b/>
      <w:bCs/>
      <w:szCs w:val="24"/>
      <w:u w:val="single"/>
      <w:lang w:eastAsia="en-AU"/>
    </w:rPr>
  </w:style>
  <w:style w:type="paragraph" w:customStyle="1" w:styleId="xl6471">
    <w:name w:val="xl6471"/>
    <w:basedOn w:val="Normal"/>
    <w:rsid w:val="00EC217A"/>
    <w:pPr>
      <w:pBdr>
        <w:left w:val="single" w:sz="4" w:space="0" w:color="auto"/>
        <w:bottom w:val="single" w:sz="4" w:space="0" w:color="auto"/>
      </w:pBdr>
      <w:spacing w:beforeAutospacing="1" w:afterAutospacing="1"/>
      <w:textAlignment w:val="top"/>
    </w:pPr>
    <w:rPr>
      <w:rFonts w:ascii="Calibri" w:hAnsi="Calibri"/>
      <w:b/>
      <w:bCs/>
      <w:szCs w:val="24"/>
      <w:u w:val="single"/>
      <w:lang w:eastAsia="en-AU"/>
    </w:rPr>
  </w:style>
  <w:style w:type="paragraph" w:customStyle="1" w:styleId="xl6472">
    <w:name w:val="xl6472"/>
    <w:basedOn w:val="Normal"/>
    <w:rsid w:val="00EC217A"/>
    <w:pPr>
      <w:pBdr>
        <w:top w:val="single" w:sz="4" w:space="0" w:color="auto"/>
        <w:left w:val="single" w:sz="4" w:space="0" w:color="auto"/>
        <w:right w:val="single" w:sz="4" w:space="0" w:color="auto"/>
      </w:pBdr>
      <w:spacing w:beforeAutospacing="1" w:afterAutospacing="1"/>
      <w:textAlignment w:val="top"/>
    </w:pPr>
    <w:rPr>
      <w:rFonts w:ascii="Calibri" w:hAnsi="Calibri"/>
      <w:szCs w:val="24"/>
      <w:lang w:eastAsia="en-AU"/>
    </w:rPr>
  </w:style>
  <w:style w:type="paragraph" w:customStyle="1" w:styleId="xl6473">
    <w:name w:val="xl6473"/>
    <w:basedOn w:val="Normal"/>
    <w:rsid w:val="00EC217A"/>
    <w:pPr>
      <w:pBdr>
        <w:bottom w:val="single" w:sz="4" w:space="0" w:color="auto"/>
      </w:pBdr>
      <w:spacing w:beforeAutospacing="1" w:afterAutospacing="1"/>
      <w:jc w:val="center"/>
      <w:textAlignment w:val="top"/>
    </w:pPr>
    <w:rPr>
      <w:rFonts w:ascii="Calibri" w:hAnsi="Calibri"/>
      <w:szCs w:val="24"/>
      <w:lang w:eastAsia="en-AU"/>
    </w:rPr>
  </w:style>
  <w:style w:type="paragraph" w:customStyle="1" w:styleId="xl6474">
    <w:name w:val="xl6474"/>
    <w:basedOn w:val="Normal"/>
    <w:rsid w:val="00EC217A"/>
    <w:pPr>
      <w:pBdr>
        <w:top w:val="single" w:sz="4" w:space="0" w:color="auto"/>
        <w:left w:val="single" w:sz="4" w:space="0" w:color="auto"/>
        <w:bottom w:val="single" w:sz="4" w:space="0" w:color="auto"/>
        <w:right w:val="single" w:sz="4" w:space="0" w:color="auto"/>
      </w:pBdr>
      <w:spacing w:beforeAutospacing="1" w:afterAutospacing="1"/>
      <w:jc w:val="center"/>
      <w:textAlignment w:val="top"/>
    </w:pPr>
    <w:rPr>
      <w:rFonts w:ascii="Calibri" w:hAnsi="Calibri"/>
      <w:b/>
      <w:bCs/>
      <w:szCs w:val="24"/>
      <w:lang w:eastAsia="en-AU"/>
    </w:rPr>
  </w:style>
  <w:style w:type="paragraph" w:customStyle="1" w:styleId="xl6475">
    <w:name w:val="xl6475"/>
    <w:basedOn w:val="Normal"/>
    <w:rsid w:val="00EC217A"/>
    <w:pPr>
      <w:pBdr>
        <w:top w:val="single" w:sz="4" w:space="0" w:color="auto"/>
        <w:left w:val="single" w:sz="4" w:space="0" w:color="auto"/>
        <w:right w:val="single" w:sz="4" w:space="0" w:color="auto"/>
      </w:pBdr>
      <w:spacing w:beforeAutospacing="1" w:afterAutospacing="1"/>
      <w:jc w:val="center"/>
      <w:textAlignment w:val="top"/>
    </w:pPr>
    <w:rPr>
      <w:rFonts w:ascii="Calibri" w:hAnsi="Calibri"/>
      <w:b/>
      <w:bCs/>
      <w:szCs w:val="24"/>
      <w:lang w:eastAsia="en-AU"/>
    </w:rPr>
  </w:style>
  <w:style w:type="paragraph" w:customStyle="1" w:styleId="xl6476">
    <w:name w:val="xl6476"/>
    <w:basedOn w:val="Normal"/>
    <w:rsid w:val="00EC217A"/>
    <w:pPr>
      <w:pBdr>
        <w:top w:val="single" w:sz="4" w:space="0" w:color="auto"/>
        <w:left w:val="single" w:sz="4" w:space="0" w:color="auto"/>
        <w:right w:val="single" w:sz="4" w:space="0" w:color="auto"/>
      </w:pBdr>
      <w:spacing w:beforeAutospacing="1" w:afterAutospacing="1"/>
      <w:jc w:val="right"/>
      <w:textAlignment w:val="top"/>
    </w:pPr>
    <w:rPr>
      <w:rFonts w:ascii="Calibri" w:hAnsi="Calibri"/>
      <w:b/>
      <w:bCs/>
      <w:szCs w:val="24"/>
      <w:lang w:eastAsia="en-AU"/>
    </w:rPr>
  </w:style>
  <w:style w:type="paragraph" w:customStyle="1" w:styleId="xl6477">
    <w:name w:val="xl6477"/>
    <w:basedOn w:val="Normal"/>
    <w:rsid w:val="00EC217A"/>
    <w:pPr>
      <w:pBdr>
        <w:top w:val="single" w:sz="4" w:space="0" w:color="auto"/>
        <w:left w:val="single" w:sz="4" w:space="0" w:color="auto"/>
        <w:bottom w:val="single" w:sz="4" w:space="0" w:color="auto"/>
      </w:pBdr>
      <w:spacing w:beforeAutospacing="1" w:afterAutospacing="1"/>
      <w:jc w:val="center"/>
      <w:textAlignment w:val="top"/>
    </w:pPr>
    <w:rPr>
      <w:rFonts w:ascii="Calibri" w:hAnsi="Calibri"/>
      <w:b/>
      <w:bCs/>
      <w:szCs w:val="24"/>
      <w:lang w:eastAsia="en-AU"/>
    </w:rPr>
  </w:style>
  <w:style w:type="paragraph" w:customStyle="1" w:styleId="xl6478">
    <w:name w:val="xl6478"/>
    <w:basedOn w:val="Normal"/>
    <w:rsid w:val="00EC217A"/>
    <w:pPr>
      <w:pBdr>
        <w:top w:val="single" w:sz="4" w:space="0" w:color="auto"/>
        <w:bottom w:val="single" w:sz="4" w:space="0" w:color="auto"/>
      </w:pBdr>
      <w:spacing w:beforeAutospacing="1" w:afterAutospacing="1"/>
      <w:jc w:val="center"/>
      <w:textAlignment w:val="top"/>
    </w:pPr>
    <w:rPr>
      <w:rFonts w:ascii="Calibri" w:hAnsi="Calibri"/>
      <w:b/>
      <w:bCs/>
      <w:szCs w:val="24"/>
      <w:lang w:eastAsia="en-AU"/>
    </w:rPr>
  </w:style>
  <w:style w:type="paragraph" w:customStyle="1" w:styleId="xl6479">
    <w:name w:val="xl6479"/>
    <w:basedOn w:val="Normal"/>
    <w:rsid w:val="00EC217A"/>
    <w:pPr>
      <w:pBdr>
        <w:top w:val="single" w:sz="4" w:space="0" w:color="auto"/>
        <w:bottom w:val="single" w:sz="4" w:space="0" w:color="auto"/>
        <w:right w:val="single" w:sz="4" w:space="0" w:color="auto"/>
      </w:pBdr>
      <w:spacing w:beforeAutospacing="1" w:afterAutospacing="1"/>
      <w:jc w:val="center"/>
      <w:textAlignment w:val="top"/>
    </w:pPr>
    <w:rPr>
      <w:rFonts w:ascii="Calibri" w:hAnsi="Calibri"/>
      <w:b/>
      <w:bCs/>
      <w:szCs w:val="24"/>
      <w:lang w:eastAsia="en-AU"/>
    </w:rPr>
  </w:style>
  <w:style w:type="paragraph" w:customStyle="1" w:styleId="EmptyCell">
    <w:name w:val="Empty Cell"/>
    <w:basedOn w:val="Normal"/>
    <w:rsid w:val="00EC217A"/>
    <w:pPr>
      <w:jc w:val="right"/>
    </w:pPr>
    <w:rPr>
      <w:rFonts w:ascii="Calibri" w:hAnsi="Calibri" w:cs="Calibri"/>
      <w:color w:val="FFFFFF"/>
      <w:sz w:val="12"/>
      <w:szCs w:val="20"/>
      <w:lang w:eastAsia="en-US"/>
    </w:rPr>
  </w:style>
  <w:style w:type="paragraph" w:customStyle="1" w:styleId="Noteintablealigned">
    <w:name w:val="Note in table aligned"/>
    <w:basedOn w:val="BStabletext"/>
    <w:rsid w:val="00EC217A"/>
    <w:pPr>
      <w:ind w:left="0" w:firstLine="0"/>
    </w:pPr>
    <w:rPr>
      <w:rFonts w:cs="Times New Roman"/>
    </w:rPr>
  </w:style>
  <w:style w:type="paragraph" w:customStyle="1" w:styleId="mcentred">
    <w:name w:val="$m centred"/>
    <w:basedOn w:val="BStablefiguresbold"/>
    <w:rsid w:val="00EC217A"/>
    <w:pPr>
      <w:jc w:val="center"/>
    </w:pPr>
  </w:style>
  <w:style w:type="paragraph" w:customStyle="1" w:styleId="BStablefiguresunbold">
    <w:name w:val="BS_table figures unbold"/>
    <w:basedOn w:val="BStablefigures"/>
    <w:rsid w:val="00EC217A"/>
    <w:rPr>
      <w:rFonts w:cs="Times New Roman"/>
      <w:szCs w:val="24"/>
      <w:lang w:val="x-none" w:eastAsia="en-US"/>
    </w:rPr>
  </w:style>
  <w:style w:type="paragraph" w:customStyle="1" w:styleId="BStabletextunbold">
    <w:name w:val="BS_table text unbold"/>
    <w:basedOn w:val="BStabletext"/>
    <w:rsid w:val="00EC217A"/>
    <w:rPr>
      <w:rFonts w:cs="Times New Roman"/>
      <w:lang w:val="x-none" w:eastAsia="en-US"/>
    </w:rPr>
  </w:style>
  <w:style w:type="paragraph" w:customStyle="1" w:styleId="Tabletextbolditalices">
    <w:name w:val="Table text bold italices"/>
    <w:basedOn w:val="BStabletextbolditalics"/>
    <w:rsid w:val="00EC217A"/>
    <w:rPr>
      <w:b w:val="0"/>
      <w:lang w:val="x-none" w:eastAsia="en-US"/>
    </w:rPr>
  </w:style>
  <w:style w:type="paragraph" w:customStyle="1" w:styleId="InitTextL">
    <w:name w:val="Init Text L"/>
    <w:basedOn w:val="Normal"/>
    <w:rsid w:val="00EC217A"/>
    <w:pPr>
      <w:ind w:left="284" w:hanging="284"/>
    </w:pPr>
    <w:rPr>
      <w:rFonts w:ascii="Calibri" w:hAnsi="Calibri"/>
      <w:szCs w:val="20"/>
      <w:lang w:eastAsia="en-US"/>
    </w:rPr>
  </w:style>
  <w:style w:type="paragraph" w:customStyle="1" w:styleId="InitFigR">
    <w:name w:val="Init Fig R"/>
    <w:basedOn w:val="InitTextL"/>
    <w:rsid w:val="00EC217A"/>
    <w:pPr>
      <w:jc w:val="right"/>
    </w:pPr>
  </w:style>
  <w:style w:type="paragraph" w:customStyle="1" w:styleId="InitFigBR">
    <w:name w:val="Init Fig BR"/>
    <w:basedOn w:val="InitFigR"/>
    <w:rsid w:val="00EC217A"/>
    <w:rPr>
      <w:b/>
    </w:rPr>
  </w:style>
  <w:style w:type="paragraph" w:customStyle="1" w:styleId="InitFigLBold">
    <w:name w:val="Init Fig L Bold"/>
    <w:basedOn w:val="InitTextL"/>
    <w:rsid w:val="00EC217A"/>
    <w:rPr>
      <w:b/>
    </w:rPr>
  </w:style>
  <w:style w:type="paragraph" w:customStyle="1" w:styleId="InitFigRBold">
    <w:name w:val="Init Fig R Bold"/>
    <w:basedOn w:val="InitFigR"/>
    <w:rsid w:val="00EC217A"/>
    <w:rPr>
      <w:b/>
    </w:rPr>
  </w:style>
  <w:style w:type="character" w:customStyle="1" w:styleId="Calibri12">
    <w:name w:val="Calibri 12"/>
    <w:uiPriority w:val="1"/>
    <w:rsid w:val="00EC217A"/>
    <w:rPr>
      <w:rFonts w:ascii="Calibri" w:hAnsi="Calibri" w:hint="default"/>
    </w:rPr>
  </w:style>
  <w:style w:type="paragraph" w:customStyle="1" w:styleId="DotPoint">
    <w:name w:val="Dot Point"/>
    <w:basedOn w:val="ListParagraph"/>
    <w:rsid w:val="00EC217A"/>
    <w:pPr>
      <w:numPr>
        <w:numId w:val="34"/>
      </w:numPr>
      <w:suppressAutoHyphens/>
      <w:spacing w:before="0"/>
      <w:contextualSpacing/>
    </w:pPr>
    <w:rPr>
      <w:sz w:val="24"/>
      <w:szCs w:val="20"/>
      <w:lang w:val="en-AU" w:eastAsia="en-AU"/>
    </w:rPr>
  </w:style>
  <w:style w:type="paragraph" w:customStyle="1" w:styleId="SubdotPoint">
    <w:name w:val="Subdot Point"/>
    <w:basedOn w:val="ListParagraph"/>
    <w:rsid w:val="00EC217A"/>
    <w:pPr>
      <w:numPr>
        <w:ilvl w:val="1"/>
        <w:numId w:val="34"/>
      </w:numPr>
      <w:suppressAutoHyphens/>
      <w:spacing w:before="0" w:after="240"/>
      <w:contextualSpacing/>
    </w:pPr>
    <w:rPr>
      <w:sz w:val="24"/>
      <w:szCs w:val="20"/>
      <w:lang w:val="en-AU" w:eastAsia="en-AU"/>
    </w:rPr>
  </w:style>
  <w:style w:type="paragraph" w:customStyle="1" w:styleId="ydpa1158ccdmsonormal">
    <w:name w:val="ydpa1158ccdmsonormal"/>
    <w:basedOn w:val="Normal"/>
    <w:rsid w:val="00EC217A"/>
    <w:pPr>
      <w:spacing w:before="100" w:beforeAutospacing="1" w:after="100" w:afterAutospacing="1"/>
    </w:pPr>
    <w:rPr>
      <w:rFonts w:ascii="Times New Roman" w:eastAsia="Calibri" w:hAnsi="Times New Roman"/>
      <w:szCs w:val="24"/>
      <w:lang w:eastAsia="en-AU"/>
    </w:rPr>
  </w:style>
  <w:style w:type="numbering" w:customStyle="1" w:styleId="NoList4">
    <w:name w:val="No List4"/>
    <w:next w:val="NoList"/>
    <w:uiPriority w:val="99"/>
    <w:semiHidden/>
    <w:unhideWhenUsed/>
    <w:rsid w:val="00EC217A"/>
  </w:style>
  <w:style w:type="table" w:customStyle="1" w:styleId="TableClassic12">
    <w:name w:val="Table Classic 12"/>
    <w:basedOn w:val="TableNormal"/>
    <w:next w:val="TableClassic1"/>
    <w:rsid w:val="00EC217A"/>
    <w:rPr>
      <w:rFonts w:ascii="Calibri" w:hAnsi="Calibri"/>
      <w:lang w:val="en-US" w:eastAsia="en-US"/>
    </w:rPr>
    <w:tblPr>
      <w:tblBorders>
        <w:bottom w:val="single" w:sz="12" w:space="0" w:color="000000"/>
      </w:tblBorders>
    </w:tblPr>
    <w:tcPr>
      <w:shd w:val="clear" w:color="auto" w:fill="auto"/>
    </w:tcPr>
    <w:tblStylePr w:type="firstRow">
      <w:rPr>
        <w:rFonts w:ascii="Calibri" w:hAnsi="Calibri"/>
        <w:b/>
        <w:i w:val="0"/>
        <w:iCs/>
        <w:sz w:val="20"/>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rPr>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EC217A"/>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0">
    <w:name w:val="Table Grid2"/>
    <w:basedOn w:val="TableNormal"/>
    <w:next w:val="TableGrid"/>
    <w:rsid w:val="00EC217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
    <w:name w:val="Table List 32"/>
    <w:basedOn w:val="TableNormal"/>
    <w:next w:val="TableList3"/>
    <w:rsid w:val="00EC217A"/>
    <w:rPr>
      <w:rFonts w:ascii="Calibri" w:hAnsi="Calibri"/>
      <w:lang w:val="en-US" w:eastAsia="en-US"/>
    </w:rPr>
    <w:tblPr>
      <w:tblStyleRowBandSize w:val="1"/>
      <w:tblBorders>
        <w:top w:val="single" w:sz="12" w:space="0" w:color="000000"/>
        <w:bottom w:val="single" w:sz="12" w:space="0" w:color="000000"/>
        <w:insideH w:val="single" w:sz="6" w:space="0" w:color="000000"/>
      </w:tblBorders>
    </w:tblPr>
    <w:tcPr>
      <w:shd w:val="clear" w:color="auto" w:fill="auto"/>
    </w:tcPr>
    <w:tblStylePr w:type="firstRow">
      <w:rPr>
        <w:rFonts w:ascii="Calibri" w:hAnsi="Calibri"/>
        <w:b/>
        <w:bCs/>
        <w:color w:val="auto"/>
        <w:sz w:val="2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rPr>
        <w:rFonts w:ascii="Calibri" w:hAnsi="Calibri"/>
        <w:b/>
        <w:sz w:val="20"/>
      </w:rPr>
    </w:tblStylePr>
    <w:tblStylePr w:type="band1Horz">
      <w:rPr>
        <w:rFonts w:ascii="Calibri" w:hAnsi="Calibri"/>
        <w:sz w:val="20"/>
      </w:rPr>
    </w:tblStylePr>
    <w:tblStylePr w:type="band2Horz">
      <w:rPr>
        <w:rFonts w:ascii="Calibri" w:hAnsi="Calibri"/>
        <w:sz w:val="20"/>
      </w:rPr>
    </w:tblStylePr>
    <w:tblStylePr w:type="swCell">
      <w:rPr>
        <w:i/>
        <w:iCs/>
        <w:color w:val="000080"/>
      </w:rPr>
      <w:tblPr/>
      <w:tcPr>
        <w:tcBorders>
          <w:tl2br w:val="none" w:sz="0" w:space="0" w:color="auto"/>
          <w:tr2bl w:val="none" w:sz="0" w:space="0" w:color="auto"/>
        </w:tcBorders>
      </w:tcPr>
    </w:tblStylePr>
  </w:style>
  <w:style w:type="numbering" w:customStyle="1" w:styleId="1ai2">
    <w:name w:val="1 / a / i2"/>
    <w:basedOn w:val="NoList"/>
    <w:next w:val="1ai"/>
    <w:rsid w:val="00EC217A"/>
  </w:style>
  <w:style w:type="numbering" w:customStyle="1" w:styleId="ArticleSection2">
    <w:name w:val="Article / Section2"/>
    <w:basedOn w:val="NoList"/>
    <w:next w:val="ArticleSection"/>
    <w:rsid w:val="00EC217A"/>
  </w:style>
  <w:style w:type="numbering" w:customStyle="1" w:styleId="1111112">
    <w:name w:val="1 / 1.1 / 1.1.12"/>
    <w:basedOn w:val="NoList"/>
    <w:next w:val="111111"/>
    <w:rsid w:val="00EC217A"/>
  </w:style>
  <w:style w:type="table" w:customStyle="1" w:styleId="Style21">
    <w:name w:val="Style21"/>
    <w:basedOn w:val="TableList3"/>
    <w:uiPriority w:val="99"/>
    <w:rsid w:val="00EC217A"/>
    <w:rPr>
      <w:rFonts w:ascii="Calibri" w:hAnsi="Calibri"/>
      <w:lang w:val="en-US" w:eastAsia="en-US"/>
    </w:rPr>
    <w:tblPr>
      <w:tblStyleRowBandSize w:val="1"/>
    </w:tblPr>
    <w:trPr>
      <w:tblHeader/>
    </w:trPr>
    <w:tcPr>
      <w:shd w:val="clear" w:color="auto" w:fill="auto"/>
      <w:vAlign w:val="bottom"/>
    </w:tcPr>
    <w:tblStylePr w:type="firstRow">
      <w:rPr>
        <w:rFonts w:ascii="Calibri" w:hAnsi="Calibri"/>
        <w:b/>
        <w:bCs/>
        <w:color w:val="auto"/>
        <w:sz w:val="2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rPr>
        <w:rFonts w:ascii="Calibri" w:hAnsi="Calibri"/>
        <w:b/>
        <w:sz w:val="20"/>
      </w:rPr>
    </w:tblStylePr>
    <w:tblStylePr w:type="band1Horz">
      <w:rPr>
        <w:rFonts w:ascii="Calibri" w:hAnsi="Calibri"/>
        <w:b w:val="0"/>
        <w:i w:val="0"/>
        <w:sz w:val="20"/>
      </w:rPr>
      <w:tblPr/>
      <w:tcPr>
        <w:tcBorders>
          <w:bottom w:val="nil"/>
        </w:tcBorders>
        <w:shd w:val="clear" w:color="auto" w:fill="auto"/>
      </w:tcPr>
    </w:tblStylePr>
    <w:tblStylePr w:type="band2Horz">
      <w:rPr>
        <w:rFonts w:ascii="Calibri" w:hAnsi="Calibri"/>
        <w:b w:val="0"/>
        <w:i w:val="0"/>
        <w:sz w:val="20"/>
      </w:rPr>
    </w:tblStylePr>
    <w:tblStylePr w:type="swCell">
      <w:rPr>
        <w:i/>
        <w:iCs/>
        <w:color w:val="000080"/>
      </w:rPr>
      <w:tblPr/>
      <w:tcPr>
        <w:tcBorders>
          <w:tl2br w:val="none" w:sz="0" w:space="0" w:color="auto"/>
          <w:tr2bl w:val="none" w:sz="0" w:space="0" w:color="auto"/>
        </w:tcBorders>
      </w:tcPr>
    </w:tblStylePr>
  </w:style>
  <w:style w:type="table" w:customStyle="1" w:styleId="BSEEL1">
    <w:name w:val="BS_EEL1"/>
    <w:basedOn w:val="TableSimple1"/>
    <w:uiPriority w:val="99"/>
    <w:qFormat/>
    <w:rsid w:val="00EC217A"/>
    <w:pPr>
      <w:spacing w:before="120" w:after="120"/>
      <w:jc w:val="right"/>
    </w:pPr>
    <w:rPr>
      <w:rFonts w:ascii="Calibri" w:hAnsi="Calibri"/>
      <w:lang w:val="en-US" w:eastAsia="en-US"/>
    </w:rPr>
    <w:tblPr>
      <w:tblBorders>
        <w:top w:val="single" w:sz="12" w:space="0" w:color="000000"/>
        <w:bottom w:val="single" w:sz="12" w:space="0" w:color="000000"/>
        <w:insideH w:val="single" w:sz="12" w:space="0" w:color="000000"/>
      </w:tblBorders>
    </w:tblPr>
    <w:trPr>
      <w:tblHeader/>
    </w:trPr>
    <w:tcPr>
      <w:shd w:val="clear" w:color="auto" w:fill="auto"/>
      <w:vAlign w:val="bottom"/>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tyle41">
    <w:name w:val="Style41"/>
    <w:basedOn w:val="TableList3"/>
    <w:uiPriority w:val="99"/>
    <w:qFormat/>
    <w:rsid w:val="00EC217A"/>
    <w:rPr>
      <w:rFonts w:ascii="Calibri" w:hAnsi="Calibri"/>
      <w:lang w:val="en-US" w:eastAsia="en-US"/>
    </w:rPr>
    <w:tblPr>
      <w:tblStyleRowBandSize w:val="1"/>
    </w:tblPr>
    <w:tcPr>
      <w:shd w:val="clear" w:color="auto" w:fill="auto"/>
    </w:tcPr>
    <w:tblStylePr w:type="firstRow">
      <w:rPr>
        <w:rFonts w:ascii="Calibri" w:hAnsi="Calibri"/>
        <w:b/>
        <w:bCs/>
        <w:color w:val="auto"/>
        <w:sz w:val="2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rPr>
        <w:rFonts w:ascii="Calibri" w:hAnsi="Calibri"/>
        <w:b/>
        <w:sz w:val="20"/>
      </w:rPr>
    </w:tblStylePr>
    <w:tblStylePr w:type="band1Horz">
      <w:rPr>
        <w:rFonts w:ascii="Calibri" w:hAnsi="Calibri"/>
        <w:sz w:val="20"/>
      </w:rPr>
    </w:tblStylePr>
    <w:tblStylePr w:type="band2Horz">
      <w:rPr>
        <w:rFonts w:ascii="Calibri" w:hAnsi="Calibri"/>
        <w:sz w:val="20"/>
      </w:rPr>
    </w:tblStylePr>
    <w:tblStylePr w:type="swCell">
      <w:rPr>
        <w:i/>
        <w:iCs/>
        <w:color w:val="000080"/>
      </w:rPr>
      <w:tblPr/>
      <w:tcPr>
        <w:tcBorders>
          <w:tl2br w:val="none" w:sz="0" w:space="0" w:color="auto"/>
          <w:tr2bl w:val="none" w:sz="0" w:space="0" w:color="auto"/>
        </w:tcBorders>
      </w:tcPr>
    </w:tblStylePr>
  </w:style>
  <w:style w:type="numbering" w:customStyle="1" w:styleId="NoList12">
    <w:name w:val="No List12"/>
    <w:next w:val="NoList"/>
    <w:uiPriority w:val="99"/>
    <w:semiHidden/>
    <w:unhideWhenUsed/>
    <w:rsid w:val="00EC217A"/>
  </w:style>
  <w:style w:type="numbering" w:customStyle="1" w:styleId="NoList21">
    <w:name w:val="No List21"/>
    <w:next w:val="NoList"/>
    <w:uiPriority w:val="99"/>
    <w:semiHidden/>
    <w:unhideWhenUsed/>
    <w:rsid w:val="00EC217A"/>
  </w:style>
  <w:style w:type="numbering" w:customStyle="1" w:styleId="NoList31">
    <w:name w:val="No List31"/>
    <w:next w:val="NoList"/>
    <w:uiPriority w:val="99"/>
    <w:semiHidden/>
    <w:unhideWhenUsed/>
    <w:rsid w:val="00EC217A"/>
  </w:style>
  <w:style w:type="character" w:customStyle="1" w:styleId="normaltextrun">
    <w:name w:val="normaltextrun"/>
    <w:basedOn w:val="DefaultParagraphFont"/>
    <w:rsid w:val="00EC217A"/>
  </w:style>
  <w:style w:type="numbering" w:customStyle="1" w:styleId="NoList5">
    <w:name w:val="No List5"/>
    <w:next w:val="NoList"/>
    <w:uiPriority w:val="99"/>
    <w:semiHidden/>
    <w:unhideWhenUsed/>
    <w:rsid w:val="00EC217A"/>
  </w:style>
  <w:style w:type="table" w:customStyle="1" w:styleId="TableClassic13">
    <w:name w:val="Table Classic 13"/>
    <w:basedOn w:val="TableNormal"/>
    <w:next w:val="TableClassic1"/>
    <w:rsid w:val="00EC217A"/>
    <w:rPr>
      <w:rFonts w:ascii="Calibri" w:hAnsi="Calibri"/>
    </w:rPr>
    <w:tblPr>
      <w:tblBorders>
        <w:bottom w:val="single" w:sz="12" w:space="0" w:color="000000"/>
      </w:tblBorders>
    </w:tblPr>
    <w:tcPr>
      <w:shd w:val="clear" w:color="auto" w:fill="auto"/>
    </w:tcPr>
    <w:tblStylePr w:type="firstRow">
      <w:rPr>
        <w:rFonts w:ascii="Calibri" w:hAnsi="Calibri"/>
        <w:b/>
        <w:i w:val="0"/>
        <w:iCs/>
        <w:sz w:val="20"/>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rPr>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EC217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30">
    <w:name w:val="Table Grid3"/>
    <w:basedOn w:val="TableNormal"/>
    <w:next w:val="TableGrid"/>
    <w:rsid w:val="00EC2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
    <w:name w:val="Table List 33"/>
    <w:basedOn w:val="TableNormal"/>
    <w:next w:val="TableList3"/>
    <w:rsid w:val="00EC217A"/>
    <w:rPr>
      <w:rFonts w:ascii="Calibri" w:hAnsi="Calibri"/>
    </w:rPr>
    <w:tblPr>
      <w:tblStyleRowBandSize w:val="1"/>
      <w:tblBorders>
        <w:top w:val="single" w:sz="12" w:space="0" w:color="000000"/>
        <w:bottom w:val="single" w:sz="12" w:space="0" w:color="000000"/>
        <w:insideH w:val="single" w:sz="6" w:space="0" w:color="000000"/>
      </w:tblBorders>
    </w:tblPr>
    <w:tcPr>
      <w:shd w:val="clear" w:color="auto" w:fill="auto"/>
    </w:tcPr>
    <w:tblStylePr w:type="firstRow">
      <w:rPr>
        <w:rFonts w:ascii="Calibri" w:hAnsi="Calibri"/>
        <w:b/>
        <w:bCs/>
        <w:color w:val="auto"/>
        <w:sz w:val="2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rPr>
        <w:rFonts w:ascii="Calibri" w:hAnsi="Calibri"/>
        <w:b/>
        <w:sz w:val="20"/>
      </w:rPr>
    </w:tblStylePr>
    <w:tblStylePr w:type="band1Horz">
      <w:rPr>
        <w:rFonts w:ascii="Calibri" w:hAnsi="Calibri"/>
        <w:sz w:val="20"/>
      </w:rPr>
    </w:tblStylePr>
    <w:tblStylePr w:type="band2Horz">
      <w:rPr>
        <w:rFonts w:ascii="Calibri" w:hAnsi="Calibri"/>
        <w:sz w:val="20"/>
      </w:rPr>
    </w:tblStylePr>
    <w:tblStylePr w:type="swCell">
      <w:rPr>
        <w:i/>
        <w:iCs/>
        <w:color w:val="000080"/>
      </w:rPr>
      <w:tblPr/>
      <w:tcPr>
        <w:tcBorders>
          <w:tl2br w:val="none" w:sz="0" w:space="0" w:color="auto"/>
          <w:tr2bl w:val="none" w:sz="0" w:space="0" w:color="auto"/>
        </w:tcBorders>
      </w:tcPr>
    </w:tblStylePr>
  </w:style>
  <w:style w:type="numbering" w:customStyle="1" w:styleId="1ai3">
    <w:name w:val="1 / a / i3"/>
    <w:basedOn w:val="NoList"/>
    <w:next w:val="1ai"/>
    <w:rsid w:val="00EC217A"/>
  </w:style>
  <w:style w:type="numbering" w:customStyle="1" w:styleId="ArticleSection3">
    <w:name w:val="Article / Section3"/>
    <w:basedOn w:val="NoList"/>
    <w:next w:val="ArticleSection"/>
    <w:rsid w:val="00EC217A"/>
  </w:style>
  <w:style w:type="numbering" w:customStyle="1" w:styleId="1111113">
    <w:name w:val="1 / 1.1 / 1.1.13"/>
    <w:basedOn w:val="NoList"/>
    <w:next w:val="111111"/>
    <w:rsid w:val="00EC217A"/>
  </w:style>
  <w:style w:type="table" w:customStyle="1" w:styleId="Style22">
    <w:name w:val="Style22"/>
    <w:basedOn w:val="TableList3"/>
    <w:uiPriority w:val="99"/>
    <w:rsid w:val="00EC217A"/>
    <w:rPr>
      <w:rFonts w:ascii="Calibri" w:hAnsi="Calibri"/>
    </w:rPr>
    <w:tblPr>
      <w:tblStyleRowBandSize w:val="1"/>
    </w:tblPr>
    <w:trPr>
      <w:tblHeader/>
    </w:trPr>
    <w:tcPr>
      <w:shd w:val="clear" w:color="auto" w:fill="auto"/>
      <w:vAlign w:val="bottom"/>
    </w:tcPr>
    <w:tblStylePr w:type="firstRow">
      <w:rPr>
        <w:rFonts w:ascii="Calibri" w:hAnsi="Calibri"/>
        <w:b/>
        <w:bCs/>
        <w:color w:val="auto"/>
        <w:sz w:val="2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rPr>
        <w:rFonts w:ascii="Calibri" w:hAnsi="Calibri"/>
        <w:b/>
        <w:sz w:val="20"/>
      </w:rPr>
    </w:tblStylePr>
    <w:tblStylePr w:type="band1Horz">
      <w:rPr>
        <w:rFonts w:ascii="Calibri" w:hAnsi="Calibri"/>
        <w:b w:val="0"/>
        <w:i w:val="0"/>
        <w:sz w:val="20"/>
      </w:rPr>
      <w:tblPr/>
      <w:tcPr>
        <w:tcBorders>
          <w:bottom w:val="nil"/>
        </w:tcBorders>
        <w:shd w:val="clear" w:color="auto" w:fill="auto"/>
      </w:tcPr>
    </w:tblStylePr>
    <w:tblStylePr w:type="band2Horz">
      <w:rPr>
        <w:rFonts w:ascii="Calibri" w:hAnsi="Calibri"/>
        <w:b w:val="0"/>
        <w:i w:val="0"/>
        <w:sz w:val="20"/>
      </w:rPr>
    </w:tblStylePr>
    <w:tblStylePr w:type="swCell">
      <w:rPr>
        <w:i/>
        <w:iCs/>
        <w:color w:val="000080"/>
      </w:rPr>
      <w:tblPr/>
      <w:tcPr>
        <w:tcBorders>
          <w:tl2br w:val="none" w:sz="0" w:space="0" w:color="auto"/>
          <w:tr2bl w:val="none" w:sz="0" w:space="0" w:color="auto"/>
        </w:tcBorders>
      </w:tcPr>
    </w:tblStylePr>
  </w:style>
  <w:style w:type="table" w:customStyle="1" w:styleId="Style42">
    <w:name w:val="Style42"/>
    <w:basedOn w:val="TableList3"/>
    <w:uiPriority w:val="99"/>
    <w:qFormat/>
    <w:rsid w:val="00EC217A"/>
    <w:rPr>
      <w:rFonts w:ascii="Calibri" w:hAnsi="Calibri"/>
    </w:rPr>
    <w:tblPr>
      <w:tblStyleRowBandSize w:val="1"/>
    </w:tblPr>
    <w:tcPr>
      <w:shd w:val="clear" w:color="auto" w:fill="auto"/>
    </w:tcPr>
    <w:tblStylePr w:type="firstRow">
      <w:rPr>
        <w:rFonts w:ascii="Calibri" w:hAnsi="Calibri"/>
        <w:b/>
        <w:bCs/>
        <w:color w:val="auto"/>
        <w:sz w:val="2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rPr>
        <w:rFonts w:ascii="Calibri" w:hAnsi="Calibri"/>
        <w:b/>
        <w:sz w:val="20"/>
      </w:rPr>
    </w:tblStylePr>
    <w:tblStylePr w:type="band1Horz">
      <w:rPr>
        <w:rFonts w:ascii="Calibri" w:hAnsi="Calibri"/>
        <w:sz w:val="20"/>
      </w:rPr>
    </w:tblStylePr>
    <w:tblStylePr w:type="band2Horz">
      <w:rPr>
        <w:rFonts w:ascii="Calibri" w:hAnsi="Calibri"/>
        <w:sz w:val="20"/>
      </w:rPr>
    </w:tblStylePr>
    <w:tblStylePr w:type="swCell">
      <w:rPr>
        <w:i/>
        <w:iCs/>
        <w:color w:val="000080"/>
      </w:rPr>
      <w:tblPr/>
      <w:tcPr>
        <w:tcBorders>
          <w:tl2br w:val="none" w:sz="0" w:space="0" w:color="auto"/>
          <w:tr2bl w:val="none" w:sz="0" w:space="0" w:color="auto"/>
        </w:tcBorders>
      </w:tcPr>
    </w:tblStylePr>
  </w:style>
  <w:style w:type="numbering" w:customStyle="1" w:styleId="NoList13">
    <w:name w:val="No List13"/>
    <w:next w:val="NoList"/>
    <w:uiPriority w:val="99"/>
    <w:semiHidden/>
    <w:unhideWhenUsed/>
    <w:rsid w:val="00EC217A"/>
  </w:style>
  <w:style w:type="numbering" w:customStyle="1" w:styleId="NoList22">
    <w:name w:val="No List22"/>
    <w:next w:val="NoList"/>
    <w:uiPriority w:val="99"/>
    <w:semiHidden/>
    <w:unhideWhenUsed/>
    <w:rsid w:val="00EC217A"/>
  </w:style>
  <w:style w:type="numbering" w:customStyle="1" w:styleId="NoList32">
    <w:name w:val="No List32"/>
    <w:next w:val="NoList"/>
    <w:uiPriority w:val="99"/>
    <w:semiHidden/>
    <w:unhideWhenUsed/>
    <w:rsid w:val="00EC217A"/>
  </w:style>
  <w:style w:type="character" w:styleId="UnresolvedMention">
    <w:name w:val="Unresolved Mention"/>
    <w:basedOn w:val="DefaultParagraphFont"/>
    <w:uiPriority w:val="99"/>
    <w:unhideWhenUsed/>
    <w:rsid w:val="00620F07"/>
    <w:rPr>
      <w:color w:val="605E5C"/>
      <w:shd w:val="clear" w:color="auto" w:fill="E1DFDD"/>
    </w:rPr>
  </w:style>
  <w:style w:type="table" w:customStyle="1" w:styleId="Style23">
    <w:name w:val="Style23"/>
    <w:basedOn w:val="TableList3"/>
    <w:uiPriority w:val="99"/>
    <w:rsid w:val="00FB3EAB"/>
    <w:rPr>
      <w:rFonts w:ascii="Calibri" w:hAnsi="Calibri"/>
      <w:lang w:val="en-US" w:eastAsia="en-US"/>
    </w:rPr>
    <w:tblPr>
      <w:tblStyleRowBandSize w:val="1"/>
    </w:tblPr>
    <w:trPr>
      <w:tblHeader/>
    </w:trPr>
    <w:tcPr>
      <w:shd w:val="clear" w:color="auto" w:fill="auto"/>
      <w:vAlign w:val="bottom"/>
    </w:tcPr>
    <w:tblStylePr w:type="firstRow">
      <w:rPr>
        <w:rFonts w:ascii="Calibri" w:hAnsi="Calibri"/>
        <w:b/>
        <w:bCs/>
        <w:color w:val="auto"/>
        <w:sz w:val="2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rPr>
        <w:rFonts w:ascii="Calibri" w:hAnsi="Calibri"/>
        <w:b/>
        <w:sz w:val="20"/>
      </w:rPr>
    </w:tblStylePr>
    <w:tblStylePr w:type="band1Horz">
      <w:rPr>
        <w:rFonts w:ascii="Calibri" w:hAnsi="Calibri"/>
        <w:b w:val="0"/>
        <w:i w:val="0"/>
        <w:sz w:val="20"/>
      </w:rPr>
      <w:tblPr/>
      <w:tcPr>
        <w:tcBorders>
          <w:bottom w:val="nil"/>
        </w:tcBorders>
        <w:shd w:val="clear" w:color="auto" w:fill="auto"/>
      </w:tcPr>
    </w:tblStylePr>
    <w:tblStylePr w:type="band2Horz">
      <w:rPr>
        <w:rFonts w:ascii="Calibri" w:hAnsi="Calibri"/>
        <w:b w:val="0"/>
        <w:i w:val="0"/>
        <w:sz w:val="20"/>
      </w:rPr>
    </w:tblStylePr>
    <w:tblStylePr w:type="swCell">
      <w:rPr>
        <w:i/>
        <w:iCs/>
        <w:color w:val="000080"/>
      </w:rPr>
      <w:tblPr/>
      <w:tcPr>
        <w:tcBorders>
          <w:tl2br w:val="none" w:sz="0" w:space="0" w:color="auto"/>
          <w:tr2bl w:val="none" w:sz="0" w:space="0" w:color="auto"/>
        </w:tcBorders>
      </w:tcPr>
    </w:tblStylePr>
  </w:style>
  <w:style w:type="table" w:customStyle="1" w:styleId="BSEEL2">
    <w:name w:val="BS_EEL2"/>
    <w:basedOn w:val="TableSimple1"/>
    <w:uiPriority w:val="99"/>
    <w:qFormat/>
    <w:rsid w:val="00FB3EAB"/>
    <w:pPr>
      <w:spacing w:before="120" w:after="120"/>
      <w:jc w:val="right"/>
    </w:pPr>
    <w:rPr>
      <w:rFonts w:ascii="Calibri" w:hAnsi="Calibri"/>
      <w:lang w:val="en-US" w:eastAsia="en-US"/>
    </w:rPr>
    <w:tblPr>
      <w:tblBorders>
        <w:top w:val="single" w:sz="12" w:space="0" w:color="000000"/>
        <w:bottom w:val="single" w:sz="12" w:space="0" w:color="000000"/>
        <w:insideH w:val="single" w:sz="12" w:space="0" w:color="000000"/>
      </w:tblBorders>
    </w:tblPr>
    <w:trPr>
      <w:tblHeader/>
    </w:trPr>
    <w:tcPr>
      <w:shd w:val="clear" w:color="auto" w:fill="auto"/>
      <w:vAlign w:val="bottom"/>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tyle43">
    <w:name w:val="Style43"/>
    <w:basedOn w:val="TableList3"/>
    <w:uiPriority w:val="99"/>
    <w:qFormat/>
    <w:rsid w:val="00FB3EAB"/>
    <w:rPr>
      <w:rFonts w:ascii="Calibri" w:hAnsi="Calibri"/>
      <w:lang w:val="en-US" w:eastAsia="en-US"/>
    </w:rPr>
    <w:tblPr>
      <w:tblStyleRowBandSize w:val="1"/>
    </w:tblPr>
    <w:tcPr>
      <w:shd w:val="clear" w:color="auto" w:fill="auto"/>
    </w:tcPr>
    <w:tblStylePr w:type="firstRow">
      <w:rPr>
        <w:rFonts w:ascii="Calibri" w:hAnsi="Calibri"/>
        <w:b/>
        <w:bCs/>
        <w:color w:val="auto"/>
        <w:sz w:val="2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rPr>
        <w:rFonts w:ascii="Calibri" w:hAnsi="Calibri"/>
        <w:b/>
        <w:sz w:val="20"/>
      </w:rPr>
    </w:tblStylePr>
    <w:tblStylePr w:type="band1Horz">
      <w:rPr>
        <w:rFonts w:ascii="Calibri" w:hAnsi="Calibri"/>
        <w:sz w:val="20"/>
      </w:rPr>
    </w:tblStylePr>
    <w:tblStylePr w:type="band2Horz">
      <w:rPr>
        <w:rFonts w:ascii="Calibri" w:hAnsi="Calibri"/>
        <w:sz w:val="20"/>
      </w:rPr>
    </w:tblStylePr>
    <w:tblStylePr w:type="swCell">
      <w:rPr>
        <w:i/>
        <w:iCs/>
        <w:color w:val="000080"/>
      </w:rPr>
      <w:tblPr/>
      <w:tcPr>
        <w:tcBorders>
          <w:tl2br w:val="none" w:sz="0" w:space="0" w:color="auto"/>
          <w:tr2bl w:val="none" w:sz="0" w:space="0" w:color="auto"/>
        </w:tcBorders>
      </w:tcPr>
    </w:tblStylePr>
  </w:style>
  <w:style w:type="numbering" w:customStyle="1" w:styleId="ArticleSection4">
    <w:name w:val="Article / Section4"/>
    <w:basedOn w:val="NoList"/>
    <w:next w:val="ArticleSection"/>
    <w:semiHidden/>
    <w:rsid w:val="00620F07"/>
  </w:style>
  <w:style w:type="numbering" w:customStyle="1" w:styleId="1111114">
    <w:name w:val="1 / 1.1 / 1.1.14"/>
    <w:basedOn w:val="NoList"/>
    <w:next w:val="111111"/>
    <w:semiHidden/>
    <w:rsid w:val="00620F07"/>
  </w:style>
  <w:style w:type="numbering" w:customStyle="1" w:styleId="1ai11">
    <w:name w:val="1 / a / i11"/>
    <w:basedOn w:val="NoList"/>
    <w:next w:val="1ai"/>
    <w:rsid w:val="00620F07"/>
    <w:pPr>
      <w:numPr>
        <w:numId w:val="24"/>
      </w:numPr>
    </w:pPr>
  </w:style>
  <w:style w:type="numbering" w:customStyle="1" w:styleId="ArticleSection11">
    <w:name w:val="Article / Section11"/>
    <w:basedOn w:val="NoList"/>
    <w:next w:val="ArticleSection"/>
    <w:rsid w:val="00620F07"/>
    <w:pPr>
      <w:numPr>
        <w:numId w:val="25"/>
      </w:numPr>
    </w:pPr>
  </w:style>
  <w:style w:type="numbering" w:customStyle="1" w:styleId="11111111">
    <w:name w:val="1 / 1.1 / 1.1.111"/>
    <w:basedOn w:val="NoList"/>
    <w:next w:val="111111"/>
    <w:rsid w:val="00620F07"/>
    <w:pPr>
      <w:numPr>
        <w:numId w:val="23"/>
      </w:numPr>
    </w:pPr>
  </w:style>
  <w:style w:type="numbering" w:customStyle="1" w:styleId="1ai21">
    <w:name w:val="1 / a / i21"/>
    <w:basedOn w:val="NoList"/>
    <w:next w:val="1ai"/>
    <w:rsid w:val="00990991"/>
  </w:style>
  <w:style w:type="numbering" w:customStyle="1" w:styleId="ArticleSection21">
    <w:name w:val="Article / Section21"/>
    <w:basedOn w:val="NoList"/>
    <w:next w:val="ArticleSection"/>
    <w:rsid w:val="00990991"/>
  </w:style>
  <w:style w:type="numbering" w:customStyle="1" w:styleId="11111121">
    <w:name w:val="1 / 1.1 / 1.1.121"/>
    <w:basedOn w:val="NoList"/>
    <w:next w:val="111111"/>
    <w:rsid w:val="00990991"/>
  </w:style>
  <w:style w:type="numbering" w:customStyle="1" w:styleId="ArticleSection5">
    <w:name w:val="Article / Section5"/>
    <w:basedOn w:val="NoList"/>
    <w:next w:val="ArticleSection"/>
    <w:semiHidden/>
    <w:rsid w:val="00620F07"/>
  </w:style>
  <w:style w:type="numbering" w:customStyle="1" w:styleId="1111115">
    <w:name w:val="1 / 1.1 / 1.1.15"/>
    <w:basedOn w:val="NoList"/>
    <w:next w:val="111111"/>
    <w:semiHidden/>
    <w:rsid w:val="00620F07"/>
  </w:style>
  <w:style w:type="numbering" w:customStyle="1" w:styleId="1ai12">
    <w:name w:val="1 / a / i12"/>
    <w:basedOn w:val="NoList"/>
    <w:next w:val="1ai"/>
    <w:rsid w:val="00620F07"/>
    <w:pPr>
      <w:numPr>
        <w:numId w:val="27"/>
      </w:numPr>
    </w:pPr>
  </w:style>
  <w:style w:type="numbering" w:customStyle="1" w:styleId="ArticleSection12">
    <w:name w:val="Article / Section12"/>
    <w:basedOn w:val="NoList"/>
    <w:next w:val="ArticleSection"/>
    <w:rsid w:val="00620F07"/>
    <w:pPr>
      <w:numPr>
        <w:numId w:val="28"/>
      </w:numPr>
    </w:pPr>
  </w:style>
  <w:style w:type="numbering" w:customStyle="1" w:styleId="11111112">
    <w:name w:val="1 / 1.1 / 1.1.112"/>
    <w:basedOn w:val="NoList"/>
    <w:next w:val="111111"/>
    <w:rsid w:val="00620F07"/>
    <w:pPr>
      <w:numPr>
        <w:numId w:val="26"/>
      </w:numPr>
    </w:pPr>
  </w:style>
  <w:style w:type="numbering" w:customStyle="1" w:styleId="1ai22">
    <w:name w:val="1 / a / i22"/>
    <w:basedOn w:val="NoList"/>
    <w:next w:val="1ai"/>
    <w:rsid w:val="003F5788"/>
  </w:style>
  <w:style w:type="numbering" w:customStyle="1" w:styleId="ArticleSection22">
    <w:name w:val="Article / Section22"/>
    <w:basedOn w:val="NoList"/>
    <w:next w:val="ArticleSection"/>
    <w:rsid w:val="003F5788"/>
  </w:style>
  <w:style w:type="numbering" w:customStyle="1" w:styleId="11111122">
    <w:name w:val="1 / 1.1 / 1.1.122"/>
    <w:basedOn w:val="NoList"/>
    <w:next w:val="111111"/>
    <w:rsid w:val="003F5788"/>
  </w:style>
  <w:style w:type="numbering" w:customStyle="1" w:styleId="ArticleSection6">
    <w:name w:val="Article / Section6"/>
    <w:basedOn w:val="NoList"/>
    <w:next w:val="ArticleSection"/>
    <w:semiHidden/>
    <w:rsid w:val="00620F07"/>
  </w:style>
  <w:style w:type="numbering" w:customStyle="1" w:styleId="1111116">
    <w:name w:val="1 / 1.1 / 1.1.16"/>
    <w:basedOn w:val="NoList"/>
    <w:next w:val="111111"/>
    <w:semiHidden/>
    <w:rsid w:val="00620F07"/>
  </w:style>
  <w:style w:type="paragraph" w:customStyle="1" w:styleId="msonormal0">
    <w:name w:val="msonormal"/>
    <w:basedOn w:val="Normal"/>
    <w:uiPriority w:val="99"/>
    <w:rsid w:val="00620F07"/>
    <w:pPr>
      <w:spacing w:before="200" w:after="200"/>
    </w:pPr>
    <w:rPr>
      <w:rFonts w:ascii="Calibri" w:hAnsi="Calibri"/>
      <w:szCs w:val="24"/>
      <w:lang w:eastAsia="en-US"/>
    </w:rPr>
  </w:style>
  <w:style w:type="table" w:customStyle="1" w:styleId="TableSimple11">
    <w:name w:val="Table Simple 11"/>
    <w:basedOn w:val="TableNormal"/>
    <w:next w:val="TableSimple1"/>
    <w:semiHidden/>
    <w:unhideWhenUsed/>
    <w:rsid w:val="00620F07"/>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unhideWhenUsed/>
    <w:rsid w:val="00620F07"/>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unhideWhenUsed/>
    <w:rsid w:val="00620F07"/>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1">
    <w:name w:val="Table Classic 111"/>
    <w:basedOn w:val="TableNormal"/>
    <w:next w:val="TableClassic1"/>
    <w:semiHidden/>
    <w:unhideWhenUsed/>
    <w:rsid w:val="00620F07"/>
    <w:rPr>
      <w:rFonts w:ascii="Calibri" w:hAnsi="Calibri"/>
    </w:rPr>
    <w:tblPr>
      <w:tblInd w:w="0" w:type="nil"/>
      <w:tblBorders>
        <w:bottom w:val="single" w:sz="12" w:space="0" w:color="000000"/>
      </w:tblBorders>
    </w:tblPr>
    <w:tblStylePr w:type="firstRow">
      <w:rPr>
        <w:rFonts w:ascii="Calibri" w:hAnsi="Calibri" w:cs="Calibri" w:hint="default"/>
        <w:b/>
        <w:i w:val="0"/>
        <w:iCs/>
        <w:sz w:val="20"/>
        <w:szCs w:val="20"/>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rPr>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semiHidden/>
    <w:unhideWhenUsed/>
    <w:rsid w:val="00620F07"/>
    <w:tblPr>
      <w:tblInd w:w="0" w:type="nil"/>
      <w:tblBorders>
        <w:top w:val="single" w:sz="12" w:space="0" w:color="000000"/>
        <w:bottom w:val="single" w:sz="12" w:space="0" w:color="000000"/>
      </w:tblBorders>
    </w:tbl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unhideWhenUsed/>
    <w:rsid w:val="00620F07"/>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unhideWhenUsed/>
    <w:rsid w:val="00620F07"/>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unhideWhenUsed/>
    <w:rsid w:val="00620F07"/>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unhideWhenUsed/>
    <w:rsid w:val="00620F07"/>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unhideWhenUsed/>
    <w:rsid w:val="00620F07"/>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unhideWhenUsed/>
    <w:rsid w:val="00620F07"/>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unhideWhenUsed/>
    <w:rsid w:val="00620F07"/>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unhideWhenUsed/>
    <w:rsid w:val="00620F07"/>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unhideWhenUsed/>
    <w:rsid w:val="00620F07"/>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1">
    <w:name w:val="Table Grid 11"/>
    <w:basedOn w:val="TableNormal"/>
    <w:next w:val="TableGrid1"/>
    <w:semiHidden/>
    <w:unhideWhenUsed/>
    <w:rsid w:val="00620F07"/>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unhideWhenUsed/>
    <w:rsid w:val="00620F07"/>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unhideWhenUsed/>
    <w:rsid w:val="00620F07"/>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unhideWhenUsed/>
    <w:rsid w:val="00620F07"/>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unhideWhenUsed/>
    <w:rsid w:val="00620F07"/>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unhideWhenUsed/>
    <w:rsid w:val="00620F07"/>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unhideWhenUsed/>
    <w:rsid w:val="00620F07"/>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unhideWhenUsed/>
    <w:rsid w:val="00620F07"/>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unhideWhenUsed/>
    <w:rsid w:val="00620F07"/>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unhideWhenUsed/>
    <w:rsid w:val="00620F07"/>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semiHidden/>
    <w:unhideWhenUsed/>
    <w:rsid w:val="00620F07"/>
    <w:rPr>
      <w:rFonts w:ascii="Calibri" w:hAnsi="Calibri"/>
    </w:rPr>
    <w:tblPr>
      <w:tblStyleRowBandSize w:val="1"/>
      <w:tblInd w:w="0" w:type="nil"/>
      <w:tblBorders>
        <w:top w:val="single" w:sz="12" w:space="0" w:color="000000"/>
        <w:bottom w:val="single" w:sz="12" w:space="0" w:color="000000"/>
        <w:insideH w:val="single" w:sz="6" w:space="0" w:color="000000"/>
      </w:tblBorders>
    </w:tblPr>
    <w:tblStylePr w:type="firstRow">
      <w:rPr>
        <w:rFonts w:ascii="Calibri" w:hAnsi="Calibri" w:cs="Calibri" w:hint="default"/>
        <w:b/>
        <w:bCs/>
        <w:color w:val="auto"/>
        <w:sz w:val="20"/>
        <w:szCs w:val="2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rPr>
        <w:rFonts w:ascii="Calibri" w:hAnsi="Calibri" w:cs="Calibri" w:hint="default"/>
        <w:b/>
        <w:sz w:val="20"/>
        <w:szCs w:val="20"/>
      </w:rPr>
    </w:tblStylePr>
    <w:tblStylePr w:type="band1Horz">
      <w:rPr>
        <w:rFonts w:ascii="Calibri" w:hAnsi="Calibri" w:cs="Calibri" w:hint="default"/>
        <w:sz w:val="20"/>
        <w:szCs w:val="20"/>
      </w:rPr>
    </w:tblStylePr>
    <w:tblStylePr w:type="band2Horz">
      <w:rPr>
        <w:rFonts w:ascii="Calibri" w:hAnsi="Calibri" w:cs="Calibri" w:hint="default"/>
        <w:sz w:val="20"/>
        <w:szCs w:val="20"/>
      </w:r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unhideWhenUsed/>
    <w:rsid w:val="00620F07"/>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unhideWhenUsed/>
    <w:rsid w:val="00620F07"/>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71">
    <w:name w:val="Table List 71"/>
    <w:basedOn w:val="TableNormal"/>
    <w:next w:val="TableList7"/>
    <w:semiHidden/>
    <w:unhideWhenUsed/>
    <w:rsid w:val="00620F07"/>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unhideWhenUsed/>
    <w:rsid w:val="00620F07"/>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
    <w:name w:val="Table 3D effects 11"/>
    <w:basedOn w:val="TableNormal"/>
    <w:next w:val="Table3Deffects1"/>
    <w:semiHidden/>
    <w:unhideWhenUsed/>
    <w:rsid w:val="00620F07"/>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unhideWhenUsed/>
    <w:rsid w:val="00620F07"/>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semiHidden/>
    <w:unhideWhenUsed/>
    <w:rsid w:val="00620F07"/>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unhideWhenUsed/>
    <w:rsid w:val="00620F07"/>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semiHidden/>
    <w:unhideWhenUsed/>
    <w:rsid w:val="00620F07"/>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unhideWhenUsed/>
    <w:rsid w:val="00620F07"/>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unhideWhenUsed/>
    <w:rsid w:val="00620F07"/>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unhideWhenUsed/>
    <w:rsid w:val="00620F07"/>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Style24">
    <w:name w:val="Style24"/>
    <w:basedOn w:val="TableList3"/>
    <w:uiPriority w:val="99"/>
    <w:rsid w:val="00620F07"/>
    <w:rPr>
      <w:rFonts w:ascii="Calibri" w:hAnsi="Calibri"/>
    </w:rPr>
    <w:tblPr>
      <w:tblStyleRowBandSize w:val="1"/>
      <w:tblInd w:w="0" w:type="nil"/>
    </w:tblPr>
    <w:tcPr>
      <w:shd w:val="clear" w:color="auto" w:fill="auto"/>
      <w:vAlign w:val="bottom"/>
    </w:tcPr>
    <w:tblStylePr w:type="firstRow">
      <w:rPr>
        <w:rFonts w:ascii="Calibri" w:hAnsi="Calibri" w:cs="Calibri" w:hint="default"/>
        <w:b/>
        <w:bCs/>
        <w:color w:val="auto"/>
        <w:sz w:val="20"/>
        <w:szCs w:val="2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rPr>
        <w:rFonts w:ascii="Calibri" w:hAnsi="Calibri" w:cs="Calibri" w:hint="default"/>
        <w:b/>
        <w:sz w:val="20"/>
        <w:szCs w:val="20"/>
      </w:rPr>
    </w:tblStylePr>
    <w:tblStylePr w:type="band1Horz">
      <w:rPr>
        <w:rFonts w:ascii="Calibri" w:hAnsi="Calibri" w:cs="Calibri" w:hint="default"/>
        <w:b w:val="0"/>
        <w:i w:val="0"/>
        <w:sz w:val="20"/>
        <w:szCs w:val="20"/>
      </w:rPr>
      <w:tblPr/>
      <w:tcPr>
        <w:tcBorders>
          <w:bottom w:val="nil"/>
        </w:tcBorders>
      </w:tcPr>
    </w:tblStylePr>
    <w:tblStylePr w:type="band2Horz">
      <w:rPr>
        <w:rFonts w:ascii="Calibri" w:hAnsi="Calibri" w:cs="Calibri" w:hint="default"/>
        <w:b w:val="0"/>
        <w:i w:val="0"/>
        <w:sz w:val="20"/>
        <w:szCs w:val="20"/>
      </w:rPr>
    </w:tblStylePr>
    <w:tblStylePr w:type="swCell">
      <w:rPr>
        <w:i/>
        <w:iCs/>
        <w:color w:val="000080"/>
      </w:rPr>
      <w:tblPr/>
      <w:tcPr>
        <w:tcBorders>
          <w:tl2br w:val="none" w:sz="0" w:space="0" w:color="auto"/>
          <w:tr2bl w:val="none" w:sz="0" w:space="0" w:color="auto"/>
        </w:tcBorders>
      </w:tcPr>
    </w:tblStylePr>
  </w:style>
  <w:style w:type="table" w:customStyle="1" w:styleId="BSEEL3">
    <w:name w:val="BS_EEL3"/>
    <w:basedOn w:val="TableSimple1"/>
    <w:uiPriority w:val="99"/>
    <w:qFormat/>
    <w:rsid w:val="00620F07"/>
    <w:pPr>
      <w:spacing w:before="120" w:after="120"/>
      <w:jc w:val="right"/>
    </w:pPr>
    <w:rPr>
      <w:rFonts w:ascii="Calibri" w:hAnsi="Calibri"/>
    </w:rPr>
    <w:tblPr>
      <w:tblInd w:w="0" w:type="nil"/>
      <w:tblBorders>
        <w:top w:val="single" w:sz="12" w:space="0" w:color="000000"/>
        <w:bottom w:val="single" w:sz="12" w:space="0" w:color="000000"/>
        <w:insideH w:val="single" w:sz="12" w:space="0" w:color="000000"/>
      </w:tblBorders>
    </w:tblPr>
    <w:tcPr>
      <w:shd w:val="clear" w:color="auto" w:fill="auto"/>
      <w:vAlign w:val="bottom"/>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tyle44">
    <w:name w:val="Style44"/>
    <w:basedOn w:val="TableList3"/>
    <w:uiPriority w:val="99"/>
    <w:qFormat/>
    <w:rsid w:val="00620F07"/>
    <w:rPr>
      <w:rFonts w:ascii="Calibri" w:hAnsi="Calibri"/>
    </w:rPr>
    <w:tblPr>
      <w:tblStyleRowBandSize w:val="1"/>
      <w:tblInd w:w="0" w:type="nil"/>
    </w:tblPr>
    <w:tcPr>
      <w:shd w:val="clear" w:color="auto" w:fill="auto"/>
    </w:tcPr>
    <w:tblStylePr w:type="firstRow">
      <w:rPr>
        <w:rFonts w:ascii="Calibri" w:hAnsi="Calibri" w:cs="Calibri" w:hint="default"/>
        <w:b/>
        <w:bCs/>
        <w:color w:val="auto"/>
        <w:sz w:val="20"/>
        <w:szCs w:val="2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rPr>
        <w:rFonts w:ascii="Calibri" w:hAnsi="Calibri" w:cs="Calibri" w:hint="default"/>
        <w:b/>
        <w:sz w:val="20"/>
        <w:szCs w:val="20"/>
      </w:rPr>
    </w:tblStylePr>
    <w:tblStylePr w:type="band1Horz">
      <w:rPr>
        <w:rFonts w:ascii="Calibri" w:hAnsi="Calibri" w:cs="Calibri" w:hint="default"/>
        <w:sz w:val="20"/>
        <w:szCs w:val="20"/>
      </w:rPr>
    </w:tblStylePr>
    <w:tblStylePr w:type="band2Horz">
      <w:rPr>
        <w:rFonts w:ascii="Calibri" w:hAnsi="Calibri" w:cs="Calibri" w:hint="default"/>
        <w:sz w:val="20"/>
        <w:szCs w:val="20"/>
      </w:rPr>
    </w:tblStylePr>
    <w:tblStylePr w:type="swCell">
      <w:rPr>
        <w:i/>
        <w:iCs/>
        <w:color w:val="000080"/>
      </w:rPr>
      <w:tblPr/>
      <w:tcPr>
        <w:tcBorders>
          <w:tl2br w:val="none" w:sz="0" w:space="0" w:color="auto"/>
          <w:tr2bl w:val="none" w:sz="0" w:space="0" w:color="auto"/>
        </w:tcBorders>
      </w:tcPr>
    </w:tblStylePr>
  </w:style>
  <w:style w:type="numbering" w:customStyle="1" w:styleId="1ai13">
    <w:name w:val="1 / a / i13"/>
    <w:basedOn w:val="NoList"/>
    <w:next w:val="1ai"/>
    <w:semiHidden/>
    <w:unhideWhenUsed/>
    <w:rsid w:val="00620F07"/>
    <w:pPr>
      <w:numPr>
        <w:numId w:val="17"/>
      </w:numPr>
    </w:pPr>
  </w:style>
  <w:style w:type="numbering" w:customStyle="1" w:styleId="ArticleSection13">
    <w:name w:val="Article / Section13"/>
    <w:basedOn w:val="NoList"/>
    <w:next w:val="ArticleSection"/>
    <w:semiHidden/>
    <w:unhideWhenUsed/>
    <w:rsid w:val="00620F07"/>
    <w:pPr>
      <w:numPr>
        <w:numId w:val="19"/>
      </w:numPr>
    </w:pPr>
  </w:style>
  <w:style w:type="numbering" w:customStyle="1" w:styleId="11111113">
    <w:name w:val="1 / 1.1 / 1.1.113"/>
    <w:basedOn w:val="NoList"/>
    <w:next w:val="111111"/>
    <w:semiHidden/>
    <w:unhideWhenUsed/>
    <w:rsid w:val="00620F07"/>
    <w:pPr>
      <w:numPr>
        <w:numId w:val="36"/>
      </w:numPr>
    </w:pPr>
  </w:style>
  <w:style w:type="table" w:customStyle="1" w:styleId="ColorfulGrid-Accent21">
    <w:name w:val="Colorful Grid - Accent 21"/>
    <w:basedOn w:val="TableNormal"/>
    <w:next w:val="ColorfulGrid-Accent2"/>
    <w:uiPriority w:val="73"/>
    <w:rsid w:val="00620F07"/>
    <w:rPr>
      <w:rFonts w:ascii="Calibri" w:hAnsi="Calibri"/>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rsid w:val="00620F07"/>
    <w:rPr>
      <w:rFonts w:ascii="Calibri" w:hAnsi="Calibri"/>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rsid w:val="00620F07"/>
    <w:rPr>
      <w:rFonts w:ascii="Calibri" w:hAnsi="Calibri"/>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rsid w:val="00620F07"/>
    <w:rPr>
      <w:rFonts w:ascii="Calibri" w:hAnsi="Calibri"/>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next w:val="ColorfulGrid-Accent6"/>
    <w:uiPriority w:val="73"/>
    <w:rsid w:val="00620F07"/>
    <w:rPr>
      <w:rFonts w:ascii="Calibri" w:hAnsi="Calibri"/>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numbering" w:customStyle="1" w:styleId="1ai23">
    <w:name w:val="1 / a / i23"/>
    <w:basedOn w:val="NoList"/>
    <w:next w:val="1ai"/>
    <w:rsid w:val="00620F07"/>
    <w:pPr>
      <w:numPr>
        <w:numId w:val="5"/>
      </w:numPr>
    </w:pPr>
  </w:style>
  <w:style w:type="numbering" w:customStyle="1" w:styleId="ArticleSection23">
    <w:name w:val="Article / Section23"/>
    <w:basedOn w:val="NoList"/>
    <w:next w:val="ArticleSection"/>
    <w:rsid w:val="00620F07"/>
    <w:pPr>
      <w:numPr>
        <w:numId w:val="7"/>
      </w:numPr>
    </w:pPr>
  </w:style>
  <w:style w:type="numbering" w:customStyle="1" w:styleId="11111123">
    <w:name w:val="1 / 1.1 / 1.1.123"/>
    <w:basedOn w:val="NoList"/>
    <w:next w:val="111111"/>
    <w:rsid w:val="00620F07"/>
    <w:pPr>
      <w:numPr>
        <w:numId w:val="4"/>
      </w:numPr>
    </w:pPr>
  </w:style>
  <w:style w:type="table" w:customStyle="1" w:styleId="Style31">
    <w:name w:val="Style31"/>
    <w:basedOn w:val="TableNormal"/>
    <w:uiPriority w:val="99"/>
    <w:rsid w:val="00620F07"/>
    <w:rPr>
      <w:rFonts w:ascii="Calibri" w:hAnsi="Calibri"/>
    </w:rPr>
    <w:tblPr>
      <w:tblBorders>
        <w:top w:val="single" w:sz="4" w:space="0" w:color="auto"/>
      </w:tblBorders>
    </w:tblPr>
    <w:tblStylePr w:type="firstRow">
      <w:tblPr/>
      <w:tcPr>
        <w:tcBorders>
          <w:bottom w:val="nil"/>
        </w:tcBorders>
      </w:tcPr>
    </w:tblStylePr>
  </w:style>
  <w:style w:type="numbering" w:customStyle="1" w:styleId="ArticleSection7">
    <w:name w:val="Article / Section7"/>
    <w:basedOn w:val="NoList"/>
    <w:next w:val="ArticleSection"/>
    <w:semiHidden/>
    <w:rsid w:val="00620F07"/>
  </w:style>
  <w:style w:type="numbering" w:customStyle="1" w:styleId="1111117">
    <w:name w:val="1 / 1.1 / 1.1.17"/>
    <w:basedOn w:val="NoList"/>
    <w:next w:val="111111"/>
    <w:semiHidden/>
    <w:rsid w:val="00620F07"/>
  </w:style>
  <w:style w:type="numbering" w:customStyle="1" w:styleId="1ai14">
    <w:name w:val="1 / a / i14"/>
    <w:basedOn w:val="NoList"/>
    <w:next w:val="1ai"/>
    <w:rsid w:val="00C24C61"/>
  </w:style>
  <w:style w:type="numbering" w:customStyle="1" w:styleId="ArticleSection14">
    <w:name w:val="Article / Section14"/>
    <w:basedOn w:val="NoList"/>
    <w:next w:val="ArticleSection"/>
    <w:rsid w:val="00C24C61"/>
  </w:style>
  <w:style w:type="numbering" w:customStyle="1" w:styleId="11111114">
    <w:name w:val="1 / 1.1 / 1.1.114"/>
    <w:basedOn w:val="NoList"/>
    <w:next w:val="111111"/>
    <w:rsid w:val="00C24C61"/>
  </w:style>
  <w:style w:type="numbering" w:customStyle="1" w:styleId="1ai31">
    <w:name w:val="1 / a / i31"/>
    <w:basedOn w:val="NoList"/>
    <w:next w:val="1ai"/>
    <w:rsid w:val="00C24C61"/>
  </w:style>
  <w:style w:type="numbering" w:customStyle="1" w:styleId="ArticleSection31">
    <w:name w:val="Article / Section31"/>
    <w:basedOn w:val="NoList"/>
    <w:next w:val="ArticleSection"/>
    <w:rsid w:val="00C24C61"/>
  </w:style>
  <w:style w:type="numbering" w:customStyle="1" w:styleId="11111131">
    <w:name w:val="1 / 1.1 / 1.1.131"/>
    <w:basedOn w:val="NoList"/>
    <w:next w:val="111111"/>
    <w:rsid w:val="00C24C61"/>
  </w:style>
  <w:style w:type="paragraph" w:customStyle="1" w:styleId="snapInitbullet1">
    <w:name w:val="snap Init bullet 1"/>
    <w:basedOn w:val="BodyTextIndent"/>
    <w:link w:val="snapInitbullet1Char"/>
    <w:qFormat/>
    <w:rsid w:val="00F41617"/>
    <w:pPr>
      <w:numPr>
        <w:numId w:val="48"/>
      </w:numPr>
      <w:tabs>
        <w:tab w:val="left" w:pos="567"/>
      </w:tabs>
      <w:spacing w:before="100" w:after="100"/>
      <w:ind w:left="567" w:hanging="567"/>
      <w:contextualSpacing/>
    </w:pPr>
    <w:rPr>
      <w:rFonts w:ascii="Calibri" w:hAnsi="Calibri"/>
      <w:sz w:val="22"/>
      <w:szCs w:val="24"/>
      <w:lang w:val="x-none" w:eastAsia="en-US"/>
    </w:rPr>
  </w:style>
  <w:style w:type="character" w:customStyle="1" w:styleId="snapInitbullet1Char">
    <w:name w:val="snap Init bullet 1 Char"/>
    <w:link w:val="snapInitbullet1"/>
    <w:rsid w:val="00F41617"/>
    <w:rPr>
      <w:rFonts w:ascii="Calibri" w:hAnsi="Calibri"/>
      <w:sz w:val="22"/>
      <w:szCs w:val="24"/>
      <w:lang w:val="x-none" w:eastAsia="en-US"/>
    </w:rPr>
  </w:style>
  <w:style w:type="paragraph" w:customStyle="1" w:styleId="snapTabletitle">
    <w:name w:val="snap Table title"/>
    <w:basedOn w:val="Normal"/>
    <w:qFormat/>
    <w:rsid w:val="00A402CC"/>
    <w:pPr>
      <w:keepNext/>
      <w:spacing w:before="240" w:after="100"/>
    </w:pPr>
    <w:rPr>
      <w:rFonts w:ascii="Calibri" w:hAnsi="Calibri"/>
      <w:b/>
      <w:bCs/>
      <w:color w:val="000000"/>
      <w:sz w:val="22"/>
      <w:szCs w:val="18"/>
      <w:lang w:eastAsia="en-US"/>
    </w:rPr>
  </w:style>
  <w:style w:type="paragraph" w:customStyle="1" w:styleId="snapNotesheading">
    <w:name w:val="snap Notes heading"/>
    <w:basedOn w:val="Normal"/>
    <w:qFormat/>
    <w:rsid w:val="007D03EC"/>
    <w:pPr>
      <w:keepNext/>
      <w:spacing w:before="120"/>
    </w:pPr>
    <w:rPr>
      <w:rFonts w:ascii="Calibri" w:hAnsi="Calibri" w:cs="Calibri"/>
      <w:b/>
      <w:sz w:val="18"/>
      <w:szCs w:val="16"/>
      <w:lang w:val="x-none" w:eastAsia="en-US"/>
    </w:rPr>
  </w:style>
  <w:style w:type="paragraph" w:customStyle="1" w:styleId="snapNotesbody">
    <w:name w:val="snap Notes body"/>
    <w:basedOn w:val="Normal"/>
    <w:qFormat/>
    <w:rsid w:val="007D03EC"/>
    <w:rPr>
      <w:rFonts w:ascii="Calibri" w:hAnsi="Calibri"/>
      <w:sz w:val="18"/>
      <w:szCs w:val="24"/>
      <w:lang w:val="x-none" w:eastAsia="en-US"/>
    </w:rPr>
  </w:style>
  <w:style w:type="paragraph" w:customStyle="1" w:styleId="snapInittitles">
    <w:name w:val="snap Init titles"/>
    <w:basedOn w:val="Normal"/>
    <w:qFormat/>
    <w:rsid w:val="00271B65"/>
    <w:pPr>
      <w:keepNext/>
      <w:keepLines/>
      <w:spacing w:before="200" w:after="60"/>
      <w:contextualSpacing/>
      <w:outlineLvl w:val="2"/>
    </w:pPr>
    <w:rPr>
      <w:rFonts w:ascii="Calibri" w:hAnsi="Calibri"/>
      <w:b/>
      <w:bCs/>
      <w:szCs w:val="26"/>
      <w:lang w:val="x-none" w:eastAsia="en-US"/>
    </w:rPr>
  </w:style>
  <w:style w:type="paragraph" w:customStyle="1" w:styleId="snapInitbody">
    <w:name w:val="snap Init body"/>
    <w:basedOn w:val="Normal"/>
    <w:qFormat/>
    <w:rsid w:val="008F15DD"/>
    <w:pPr>
      <w:spacing w:before="100" w:after="100"/>
    </w:pPr>
    <w:rPr>
      <w:rFonts w:ascii="Calibri" w:hAnsi="Calibri"/>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00769">
      <w:bodyDiv w:val="1"/>
      <w:marLeft w:val="0"/>
      <w:marRight w:val="0"/>
      <w:marTop w:val="0"/>
      <w:marBottom w:val="0"/>
      <w:divBdr>
        <w:top w:val="none" w:sz="0" w:space="0" w:color="auto"/>
        <w:left w:val="none" w:sz="0" w:space="0" w:color="auto"/>
        <w:bottom w:val="none" w:sz="0" w:space="0" w:color="auto"/>
        <w:right w:val="none" w:sz="0" w:space="0" w:color="auto"/>
      </w:divBdr>
    </w:div>
    <w:div w:id="1077629713">
      <w:bodyDiv w:val="1"/>
      <w:marLeft w:val="0"/>
      <w:marRight w:val="0"/>
      <w:marTop w:val="0"/>
      <w:marBottom w:val="0"/>
      <w:divBdr>
        <w:top w:val="none" w:sz="0" w:space="0" w:color="auto"/>
        <w:left w:val="none" w:sz="0" w:space="0" w:color="auto"/>
        <w:bottom w:val="none" w:sz="0" w:space="0" w:color="auto"/>
        <w:right w:val="none" w:sz="0" w:space="0" w:color="auto"/>
      </w:divBdr>
    </w:div>
    <w:div w:id="1093209243">
      <w:bodyDiv w:val="1"/>
      <w:marLeft w:val="0"/>
      <w:marRight w:val="0"/>
      <w:marTop w:val="0"/>
      <w:marBottom w:val="0"/>
      <w:divBdr>
        <w:top w:val="none" w:sz="0" w:space="0" w:color="auto"/>
        <w:left w:val="none" w:sz="0" w:space="0" w:color="auto"/>
        <w:bottom w:val="none" w:sz="0" w:space="0" w:color="auto"/>
        <w:right w:val="none" w:sz="0" w:space="0" w:color="auto"/>
      </w:divBdr>
    </w:div>
    <w:div w:id="1115104386">
      <w:bodyDiv w:val="1"/>
      <w:marLeft w:val="0"/>
      <w:marRight w:val="0"/>
      <w:marTop w:val="0"/>
      <w:marBottom w:val="0"/>
      <w:divBdr>
        <w:top w:val="none" w:sz="0" w:space="0" w:color="auto"/>
        <w:left w:val="none" w:sz="0" w:space="0" w:color="auto"/>
        <w:bottom w:val="none" w:sz="0" w:space="0" w:color="auto"/>
        <w:right w:val="none" w:sz="0" w:space="0" w:color="auto"/>
      </w:divBdr>
    </w:div>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 w:id="157963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tcoss@actcoss.org.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apps.treasury.act.gov.au/budget/budget-2019-20/home" TargetMode="External"/><Relationship Id="rId2" Type="http://schemas.openxmlformats.org/officeDocument/2006/relationships/customXml" Target="../customXml/item2.xml"/><Relationship Id="rId16" Type="http://schemas.openxmlformats.org/officeDocument/2006/relationships/hyperlink" Target="https://www.actcoss.org.au/publications/advocacy-publications/submission-housing-choices-discussion-pap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tcoss.org.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0" ma:contentTypeDescription="Create a new document." ma:contentTypeScope="" ma:versionID="8162b117008f5f3fe9f0ab747966548e">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13fc71eb8f7d8e8089edaf306fcf8877"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319ED-C453-405C-A314-C8523A1CCAC0}">
  <ds:schemaRefs>
    <ds:schemaRef ds:uri="http://schemas.microsoft.com/sharepoint/v3/contenttype/forms"/>
  </ds:schemaRefs>
</ds:datastoreItem>
</file>

<file path=customXml/itemProps2.xml><?xml version="1.0" encoding="utf-8"?>
<ds:datastoreItem xmlns:ds="http://schemas.openxmlformats.org/officeDocument/2006/customXml" ds:itemID="{E176C80F-587C-43B9-A454-A3C6C056D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377FF9-EC6C-4ACB-9D0D-0D87717EDD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3ED7A9-F0D2-4598-8E89-6C36FEE08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3</Pages>
  <Words>32823</Words>
  <Characters>192675</Characters>
  <Application>Microsoft Office Word</Application>
  <DocSecurity>0</DocSecurity>
  <Lines>12845</Lines>
  <Paragraphs>5244</Paragraphs>
  <ScaleCrop>false</ScaleCrop>
  <HeadingPairs>
    <vt:vector size="2" baseType="variant">
      <vt:variant>
        <vt:lpstr>Title</vt:lpstr>
      </vt:variant>
      <vt:variant>
        <vt:i4>1</vt:i4>
      </vt:variant>
    </vt:vector>
  </HeadingPairs>
  <TitlesOfParts>
    <vt:vector size="1" baseType="lpstr">
      <vt:lpstr>CMT</vt:lpstr>
    </vt:vector>
  </TitlesOfParts>
  <Company>ACT Council of Social Service</Company>
  <LinksUpToDate>false</LinksUpToDate>
  <CharactersWithSpaces>220254</CharactersWithSpaces>
  <SharedDoc>false</SharedDoc>
  <HLinks>
    <vt:vector size="78" baseType="variant">
      <vt:variant>
        <vt:i4>6553721</vt:i4>
      </vt:variant>
      <vt:variant>
        <vt:i4>66</vt:i4>
      </vt:variant>
      <vt:variant>
        <vt:i4>0</vt:i4>
      </vt:variant>
      <vt:variant>
        <vt:i4>5</vt:i4>
      </vt:variant>
      <vt:variant>
        <vt:lpwstr>https://apps.treasury.act.gov.au/budget/budget-2019-20/home</vt:lpwstr>
      </vt:variant>
      <vt:variant>
        <vt:lpwstr/>
      </vt:variant>
      <vt:variant>
        <vt:i4>1769492</vt:i4>
      </vt:variant>
      <vt:variant>
        <vt:i4>63</vt:i4>
      </vt:variant>
      <vt:variant>
        <vt:i4>0</vt:i4>
      </vt:variant>
      <vt:variant>
        <vt:i4>5</vt:i4>
      </vt:variant>
      <vt:variant>
        <vt:lpwstr>https://www.actcoss.org.au/publications/advocacy-publications/submission-housing-choices-discussion-paper</vt:lpwstr>
      </vt:variant>
      <vt:variant>
        <vt:lpwstr/>
      </vt:variant>
      <vt:variant>
        <vt:i4>1048628</vt:i4>
      </vt:variant>
      <vt:variant>
        <vt:i4>56</vt:i4>
      </vt:variant>
      <vt:variant>
        <vt:i4>0</vt:i4>
      </vt:variant>
      <vt:variant>
        <vt:i4>5</vt:i4>
      </vt:variant>
      <vt:variant>
        <vt:lpwstr/>
      </vt:variant>
      <vt:variant>
        <vt:lpwstr>_Toc10657547</vt:lpwstr>
      </vt:variant>
      <vt:variant>
        <vt:i4>1114164</vt:i4>
      </vt:variant>
      <vt:variant>
        <vt:i4>50</vt:i4>
      </vt:variant>
      <vt:variant>
        <vt:i4>0</vt:i4>
      </vt:variant>
      <vt:variant>
        <vt:i4>5</vt:i4>
      </vt:variant>
      <vt:variant>
        <vt:lpwstr/>
      </vt:variant>
      <vt:variant>
        <vt:lpwstr>_Toc10657546</vt:lpwstr>
      </vt:variant>
      <vt:variant>
        <vt:i4>1179700</vt:i4>
      </vt:variant>
      <vt:variant>
        <vt:i4>44</vt:i4>
      </vt:variant>
      <vt:variant>
        <vt:i4>0</vt:i4>
      </vt:variant>
      <vt:variant>
        <vt:i4>5</vt:i4>
      </vt:variant>
      <vt:variant>
        <vt:lpwstr/>
      </vt:variant>
      <vt:variant>
        <vt:lpwstr>_Toc10657545</vt:lpwstr>
      </vt:variant>
      <vt:variant>
        <vt:i4>1245236</vt:i4>
      </vt:variant>
      <vt:variant>
        <vt:i4>38</vt:i4>
      </vt:variant>
      <vt:variant>
        <vt:i4>0</vt:i4>
      </vt:variant>
      <vt:variant>
        <vt:i4>5</vt:i4>
      </vt:variant>
      <vt:variant>
        <vt:lpwstr/>
      </vt:variant>
      <vt:variant>
        <vt:lpwstr>_Toc10657544</vt:lpwstr>
      </vt:variant>
      <vt:variant>
        <vt:i4>1310772</vt:i4>
      </vt:variant>
      <vt:variant>
        <vt:i4>32</vt:i4>
      </vt:variant>
      <vt:variant>
        <vt:i4>0</vt:i4>
      </vt:variant>
      <vt:variant>
        <vt:i4>5</vt:i4>
      </vt:variant>
      <vt:variant>
        <vt:lpwstr/>
      </vt:variant>
      <vt:variant>
        <vt:lpwstr>_Toc10657543</vt:lpwstr>
      </vt:variant>
      <vt:variant>
        <vt:i4>1376308</vt:i4>
      </vt:variant>
      <vt:variant>
        <vt:i4>26</vt:i4>
      </vt:variant>
      <vt:variant>
        <vt:i4>0</vt:i4>
      </vt:variant>
      <vt:variant>
        <vt:i4>5</vt:i4>
      </vt:variant>
      <vt:variant>
        <vt:lpwstr/>
      </vt:variant>
      <vt:variant>
        <vt:lpwstr>_Toc10657542</vt:lpwstr>
      </vt:variant>
      <vt:variant>
        <vt:i4>1441844</vt:i4>
      </vt:variant>
      <vt:variant>
        <vt:i4>20</vt:i4>
      </vt:variant>
      <vt:variant>
        <vt:i4>0</vt:i4>
      </vt:variant>
      <vt:variant>
        <vt:i4>5</vt:i4>
      </vt:variant>
      <vt:variant>
        <vt:lpwstr/>
      </vt:variant>
      <vt:variant>
        <vt:lpwstr>_Toc10657541</vt:lpwstr>
      </vt:variant>
      <vt:variant>
        <vt:i4>1507380</vt:i4>
      </vt:variant>
      <vt:variant>
        <vt:i4>14</vt:i4>
      </vt:variant>
      <vt:variant>
        <vt:i4>0</vt:i4>
      </vt:variant>
      <vt:variant>
        <vt:i4>5</vt:i4>
      </vt:variant>
      <vt:variant>
        <vt:lpwstr/>
      </vt:variant>
      <vt:variant>
        <vt:lpwstr>_Toc10657540</vt:lpwstr>
      </vt:variant>
      <vt:variant>
        <vt:i4>1966131</vt:i4>
      </vt:variant>
      <vt:variant>
        <vt:i4>8</vt:i4>
      </vt:variant>
      <vt:variant>
        <vt:i4>0</vt:i4>
      </vt:variant>
      <vt:variant>
        <vt:i4>5</vt:i4>
      </vt:variant>
      <vt:variant>
        <vt:lpwstr/>
      </vt:variant>
      <vt:variant>
        <vt:lpwstr>_Toc10657539</vt:lpwstr>
      </vt:variant>
      <vt:variant>
        <vt:i4>3932192</vt:i4>
      </vt:variant>
      <vt:variant>
        <vt:i4>3</vt:i4>
      </vt:variant>
      <vt:variant>
        <vt:i4>0</vt:i4>
      </vt:variant>
      <vt:variant>
        <vt:i4>5</vt:i4>
      </vt:variant>
      <vt:variant>
        <vt:lpwstr>https://www.actcoss.org.au/</vt:lpwstr>
      </vt:variant>
      <vt:variant>
        <vt:lpwstr/>
      </vt:variant>
      <vt:variant>
        <vt:i4>721016</vt:i4>
      </vt:variant>
      <vt:variant>
        <vt:i4>0</vt:i4>
      </vt:variant>
      <vt:variant>
        <vt:i4>0</vt:i4>
      </vt:variant>
      <vt:variant>
        <vt:i4>5</vt:i4>
      </vt:variant>
      <vt:variant>
        <vt:lpwstr>mailto:actcoss@actcoss.org.au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ACT Budget Snapshot</dc:title>
  <dc:subject/>
  <dc:creator>Suzanne Richardson</dc:creator>
  <cp:keywords/>
  <cp:lastModifiedBy>Suzanne Richardson</cp:lastModifiedBy>
  <cp:revision>539</cp:revision>
  <cp:lastPrinted>2019-06-06T19:31:00Z</cp:lastPrinted>
  <dcterms:created xsi:type="dcterms:W3CDTF">2019-05-19T12:16:00Z</dcterms:created>
  <dcterms:modified xsi:type="dcterms:W3CDTF">2019-06-06T05:17:00Z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19737200</vt:r8>
  </property>
</Properties>
</file>