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29E5E" w14:textId="03AC007E" w:rsidR="00187FC7" w:rsidRPr="0082658A" w:rsidRDefault="00187FC7" w:rsidP="00187FC7">
      <w:pPr>
        <w:pStyle w:val="ParagraphHighlight"/>
        <w:jc w:val="both"/>
        <w:rPr>
          <w:rStyle w:val="IntenseEmphasis"/>
          <w:i w:val="0"/>
          <w:iCs w:val="0"/>
        </w:rPr>
      </w:pPr>
      <w:r w:rsidRPr="0082658A">
        <w:rPr>
          <w:rStyle w:val="IntenseEmphasis"/>
          <w:i w:val="0"/>
          <w:iCs w:val="0"/>
          <w:noProof/>
          <w:sz w:val="28"/>
          <w:szCs w:val="28"/>
        </w:rPr>
        <mc:AlternateContent>
          <mc:Choice Requires="wps">
            <w:drawing>
              <wp:anchor distT="0" distB="0" distL="114300" distR="114300" simplePos="0" relativeHeight="251658240" behindDoc="0" locked="0" layoutInCell="1" allowOverlap="1" wp14:anchorId="03046B99" wp14:editId="5BA08381">
                <wp:simplePos x="0" y="0"/>
                <wp:positionH relativeFrom="column">
                  <wp:posOffset>-466725</wp:posOffset>
                </wp:positionH>
                <wp:positionV relativeFrom="paragraph">
                  <wp:posOffset>-3048000</wp:posOffset>
                </wp:positionV>
                <wp:extent cx="42672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2008554"/>
                        </a:xfrm>
                        <a:prstGeom prst="rect">
                          <a:avLst/>
                        </a:prstGeom>
                        <a:noFill/>
                        <a:ln w="6350">
                          <a:noFill/>
                        </a:ln>
                      </wps:spPr>
                      <wps:txbx>
                        <w:txbxContent>
                          <w:p w14:paraId="26A7E8FA" w14:textId="2A9F1A1D" w:rsidR="00187FC7" w:rsidRPr="00257D1B" w:rsidRDefault="00187FC7" w:rsidP="00187FC7">
                            <w:pPr>
                              <w:pStyle w:val="Heading1"/>
                              <w:spacing w:line="276" w:lineRule="auto"/>
                            </w:pPr>
                            <w:r>
                              <w:t>2023 ACT Community Sector Snapshot</w:t>
                            </w:r>
                          </w:p>
                          <w:p w14:paraId="12A17D63" w14:textId="77777777" w:rsidR="00187FC7" w:rsidRDefault="00187FC7" w:rsidP="00187FC7">
                            <w:pPr>
                              <w:pStyle w:val="DocumentSubtitle"/>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46B99" id="_x0000_t202" coordsize="21600,21600" o:spt="202" path="m,l,21600r21600,l21600,xe">
                <v:stroke joinstyle="miter"/>
                <v:path gradientshapeok="t" o:connecttype="rect"/>
              </v:shapetype>
              <v:shape id="Text Box 4" o:spid="_x0000_s1026" type="#_x0000_t202" style="position:absolute;left:0;text-align:left;margin-left:-36.75pt;margin-top:-240pt;width:336pt;height:15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" filled="f" stroked="f" strokeweight=".5pt">
                <v:textbox inset="0,,0">
                  <w:txbxContent>
                    <w:p w14:paraId="26A7E8FA" w14:textId="2A9F1A1D" w:rsidR="00187FC7" w:rsidRPr="00257D1B" w:rsidRDefault="00187FC7" w:rsidP="00187FC7">
                      <w:pPr>
                        <w:pStyle w:val="Heading1"/>
                        <w:spacing w:line="276" w:lineRule="auto"/>
                      </w:pPr>
                      <w:r>
                        <w:t>2023 ACT Community Sector Snapshot</w:t>
                      </w:r>
                    </w:p>
                    <w:p w14:paraId="12A17D63" w14:textId="77777777" w:rsidR="00187FC7" w:rsidRDefault="00187FC7" w:rsidP="00187FC7">
                      <w:pPr>
                        <w:pStyle w:val="DocumentSubtitle"/>
                      </w:pPr>
                    </w:p>
                  </w:txbxContent>
                </v:textbox>
              </v:shape>
            </w:pict>
          </mc:Fallback>
        </mc:AlternateContent>
      </w:r>
      <w:r w:rsidRPr="0082658A">
        <w:rPr>
          <w:rStyle w:val="IntenseEmphasis"/>
          <w:i w:val="0"/>
          <w:iCs w:val="0"/>
          <w:sz w:val="28"/>
          <w:szCs w:val="28"/>
        </w:rPr>
        <w:t>This factsheet provides a snapshot of key findings for the ACT</w:t>
      </w:r>
      <w:r w:rsidR="009F1AEF">
        <w:rPr>
          <w:rStyle w:val="IntenseEmphasis"/>
          <w:i w:val="0"/>
          <w:iCs w:val="0"/>
          <w:sz w:val="28"/>
          <w:szCs w:val="28"/>
        </w:rPr>
        <w:t xml:space="preserve"> from</w:t>
      </w:r>
      <w:r w:rsidRPr="0082658A">
        <w:rPr>
          <w:rStyle w:val="IntenseEmphasis"/>
          <w:i w:val="0"/>
          <w:iCs w:val="0"/>
          <w:sz w:val="28"/>
          <w:szCs w:val="28"/>
        </w:rPr>
        <w:t xml:space="preserve"> </w:t>
      </w:r>
      <w:hyperlink r:id="rId11" w:history="1">
        <w:r w:rsidRPr="008164B2">
          <w:rPr>
            <w:rStyle w:val="Hyperlink"/>
            <w:sz w:val="28"/>
            <w:szCs w:val="28"/>
          </w:rPr>
          <w:t>the Australian Community Sector Survey (ACSS) 2022</w:t>
        </w:r>
      </w:hyperlink>
      <w:r>
        <w:rPr>
          <w:rStyle w:val="IntenseEmphasis"/>
          <w:i w:val="0"/>
          <w:iCs w:val="0"/>
          <w:sz w:val="28"/>
          <w:szCs w:val="28"/>
        </w:rPr>
        <w:t xml:space="preserve"> and the</w:t>
      </w:r>
      <w:r w:rsidRPr="0082658A">
        <w:rPr>
          <w:rStyle w:val="IntenseEmphasis"/>
          <w:i w:val="0"/>
          <w:iCs w:val="0"/>
          <w:sz w:val="28"/>
          <w:szCs w:val="28"/>
        </w:rPr>
        <w:t xml:space="preserve"> report </w:t>
      </w:r>
      <w:hyperlink r:id="rId12" w:history="1">
        <w:r w:rsidRPr="008D2D3B">
          <w:rPr>
            <w:rStyle w:val="Hyperlink"/>
            <w:sz w:val="28"/>
            <w:szCs w:val="28"/>
          </w:rPr>
          <w:t>At the Precipice: Australia’s Community Sector through the Cost-of-living Crisis</w:t>
        </w:r>
      </w:hyperlink>
      <w:r w:rsidRPr="0082658A">
        <w:rPr>
          <w:rStyle w:val="IntenseEmphasis"/>
          <w:i w:val="0"/>
          <w:iCs w:val="0"/>
          <w:sz w:val="28"/>
          <w:szCs w:val="28"/>
        </w:rPr>
        <w:t>. The survey and report explore financial and workforce challenges confronting community sector organisations, and what is needed to build capacity and sustainability</w:t>
      </w:r>
      <w:r w:rsidRPr="0082658A">
        <w:rPr>
          <w:rStyle w:val="IntenseEmphasis"/>
          <w:i w:val="0"/>
          <w:iCs w:val="0"/>
        </w:rPr>
        <w:t>.</w:t>
      </w:r>
      <w:r>
        <w:rPr>
          <w:rStyle w:val="IntenseEmphasis"/>
          <w:i w:val="0"/>
          <w:iCs w:val="0"/>
        </w:rPr>
        <w:t xml:space="preserve"> </w:t>
      </w:r>
    </w:p>
    <w:p w14:paraId="01623519" w14:textId="77777777" w:rsidR="00187FC7" w:rsidRDefault="00187FC7" w:rsidP="00187FC7">
      <w:pPr>
        <w:pStyle w:val="Heading2"/>
        <w:jc w:val="center"/>
      </w:pPr>
      <w:r>
        <w:drawing>
          <wp:inline distT="0" distB="0" distL="0" distR="0" wp14:anchorId="37E1CB2D" wp14:editId="6C3C499F">
            <wp:extent cx="5753100" cy="3548786"/>
            <wp:effectExtent l="0" t="0" r="0" b="0"/>
            <wp:docPr id="1670418434" name="Picture 167041843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18434" name="Picture 2" descr="Timeline&#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8791" t="9777" r="20011" b="18629"/>
                    <a:stretch/>
                  </pic:blipFill>
                  <pic:spPr bwMode="auto">
                    <a:xfrm>
                      <a:off x="0" y="0"/>
                      <a:ext cx="5766928" cy="3557316"/>
                    </a:xfrm>
                    <a:prstGeom prst="rect">
                      <a:avLst/>
                    </a:prstGeom>
                    <a:ln>
                      <a:noFill/>
                    </a:ln>
                    <a:extLst>
                      <a:ext uri="{53640926-AAD7-44D8-BBD7-CCE9431645EC}">
                        <a14:shadowObscured xmlns:a14="http://schemas.microsoft.com/office/drawing/2010/main"/>
                      </a:ext>
                    </a:extLst>
                  </pic:spPr>
                </pic:pic>
              </a:graphicData>
            </a:graphic>
          </wp:inline>
        </w:drawing>
      </w:r>
    </w:p>
    <w:p w14:paraId="2F9BB55B" w14:textId="77777777" w:rsidR="00187FC7" w:rsidRPr="00117516" w:rsidRDefault="00187FC7" w:rsidP="00187FC7">
      <w:pPr>
        <w:jc w:val="both"/>
        <w:rPr>
          <w:rStyle w:val="IntenseEmphasis"/>
          <w:i w:val="0"/>
          <w:iCs w:val="0"/>
          <w:sz w:val="28"/>
          <w:szCs w:val="28"/>
        </w:rPr>
      </w:pPr>
      <w:bookmarkStart w:id="0" w:name="_Hlk132709556"/>
      <w:r w:rsidRPr="00117516">
        <w:rPr>
          <w:rStyle w:val="IntenseEmphasis"/>
          <w:i w:val="0"/>
          <w:iCs w:val="0"/>
          <w:sz w:val="28"/>
          <w:szCs w:val="28"/>
        </w:rPr>
        <w:t>This snapshot identifies four key areas of concern for the ACT Community sector, including growing levels of disadvantage and poverty, increasing demand for support services, insufficient funding and increasing difficulty keeping services adequately staffed.</w:t>
      </w:r>
      <w:bookmarkEnd w:id="0"/>
      <w:r w:rsidRPr="00117516">
        <w:rPr>
          <w:rStyle w:val="IntenseEmphasis"/>
          <w:i w:val="0"/>
          <w:iCs w:val="0"/>
          <w:sz w:val="28"/>
          <w:szCs w:val="28"/>
        </w:rPr>
        <w:br w:type="page"/>
      </w:r>
    </w:p>
    <w:p w14:paraId="03894386" w14:textId="77777777" w:rsidR="00187FC7" w:rsidRPr="008F7966" w:rsidRDefault="00187FC7" w:rsidP="00187FC7">
      <w:pPr>
        <w:pStyle w:val="ParagraphHighlight"/>
        <w:sectPr w:rsidR="00187FC7" w:rsidRPr="008F7966" w:rsidSect="004D71F8">
          <w:headerReference w:type="default" r:id="rId14"/>
          <w:footerReference w:type="even" r:id="rId15"/>
          <w:footerReference w:type="default" r:id="rId16"/>
          <w:headerReference w:type="first" r:id="rId17"/>
          <w:footerReference w:type="first" r:id="rId18"/>
          <w:endnotePr>
            <w:numFmt w:val="decimal"/>
          </w:endnotePr>
          <w:pgSz w:w="11900" w:h="16840"/>
          <w:pgMar w:top="5585" w:right="1440" w:bottom="1440" w:left="1440" w:header="709" w:footer="709" w:gutter="0"/>
          <w:cols w:space="708"/>
          <w:titlePg/>
          <w:docGrid w:linePitch="360"/>
        </w:sectPr>
      </w:pPr>
    </w:p>
    <w:p w14:paraId="43F01407" w14:textId="388513E1" w:rsidR="00187FC7" w:rsidRDefault="00364272" w:rsidP="00996250">
      <w:pPr>
        <w:pStyle w:val="Heading2"/>
        <w:jc w:val="center"/>
      </w:pPr>
      <w:r>
        <w:lastRenderedPageBreak/>
        <w:t>Growing</w:t>
      </w:r>
      <w:r w:rsidR="00187FC7">
        <w:t xml:space="preserve"> Disadvantage</w:t>
      </w:r>
    </w:p>
    <w:p w14:paraId="47BEBFD2" w14:textId="7BD1C935" w:rsidR="00F15BB0" w:rsidRPr="00F15BB0" w:rsidRDefault="00F15BB0" w:rsidP="00F15BB0">
      <w:pPr>
        <w:jc w:val="center"/>
      </w:pPr>
      <w:r>
        <w:rPr>
          <w:noProof/>
        </w:rPr>
        <w:drawing>
          <wp:inline distT="0" distB="0" distL="0" distR="0" wp14:anchorId="3A20E200" wp14:editId="1A8AFBA2">
            <wp:extent cx="1210733" cy="1210733"/>
            <wp:effectExtent l="0" t="0" r="0" b="0"/>
            <wp:docPr id="100" name="Picture 10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ogo,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1184" cy="1221184"/>
                    </a:xfrm>
                    <a:prstGeom prst="rect">
                      <a:avLst/>
                    </a:prstGeom>
                  </pic:spPr>
                </pic:pic>
              </a:graphicData>
            </a:graphic>
          </wp:inline>
        </w:drawing>
      </w:r>
    </w:p>
    <w:p w14:paraId="035D1E7C" w14:textId="0E1E6AE0" w:rsidR="00187FC7" w:rsidRPr="00750002" w:rsidRDefault="00187FC7" w:rsidP="00187FC7">
      <w:pPr>
        <w:pStyle w:val="ParagraphHighlight"/>
        <w:rPr>
          <w:sz w:val="24"/>
          <w:szCs w:val="24"/>
        </w:rPr>
      </w:pPr>
      <w:r w:rsidRPr="00750002">
        <w:rPr>
          <w:sz w:val="24"/>
          <w:szCs w:val="24"/>
        </w:rPr>
        <w:t>More than half (56%) of ACT community sector survey staff reported that in 2022, levels of poverty and disadvantage had increased among the groups they support. Cost-of-living pressures</w:t>
      </w:r>
      <w:r w:rsidR="008050D5" w:rsidRPr="00750002">
        <w:rPr>
          <w:sz w:val="24"/>
          <w:szCs w:val="24"/>
        </w:rPr>
        <w:t xml:space="preserve"> (66%)</w:t>
      </w:r>
      <w:r w:rsidRPr="00750002">
        <w:rPr>
          <w:sz w:val="24"/>
          <w:szCs w:val="24"/>
        </w:rPr>
        <w:t xml:space="preserve">, housing and </w:t>
      </w:r>
      <w:r w:rsidR="004F3D98" w:rsidRPr="00750002">
        <w:rPr>
          <w:sz w:val="24"/>
          <w:szCs w:val="24"/>
        </w:rPr>
        <w:t>homelessness</w:t>
      </w:r>
      <w:r w:rsidR="00ED76FB" w:rsidRPr="00750002">
        <w:rPr>
          <w:sz w:val="24"/>
          <w:szCs w:val="24"/>
        </w:rPr>
        <w:t xml:space="preserve"> (61%)</w:t>
      </w:r>
      <w:r w:rsidR="004F3D98" w:rsidRPr="00750002">
        <w:rPr>
          <w:sz w:val="24"/>
          <w:szCs w:val="24"/>
        </w:rPr>
        <w:t xml:space="preserve"> and</w:t>
      </w:r>
      <w:r w:rsidRPr="00750002">
        <w:rPr>
          <w:sz w:val="24"/>
          <w:szCs w:val="24"/>
        </w:rPr>
        <w:t xml:space="preserve"> lack of mental health support</w:t>
      </w:r>
      <w:r w:rsidR="00ED76FB" w:rsidRPr="00750002">
        <w:rPr>
          <w:sz w:val="24"/>
          <w:szCs w:val="24"/>
        </w:rPr>
        <w:t xml:space="preserve"> (60%)</w:t>
      </w:r>
      <w:r w:rsidRPr="00750002">
        <w:rPr>
          <w:sz w:val="24"/>
          <w:szCs w:val="24"/>
        </w:rPr>
        <w:t xml:space="preserve"> were among the top challenges affecting the people and communities our organisations support. </w:t>
      </w:r>
    </w:p>
    <w:p w14:paraId="26672156" w14:textId="77777777" w:rsidR="00187FC7" w:rsidRDefault="00187FC7" w:rsidP="00187FC7">
      <w:pPr>
        <w:pStyle w:val="ParagraphHighlight"/>
        <w:jc w:val="center"/>
      </w:pPr>
      <w:r>
        <w:rPr>
          <w:noProof/>
        </w:rPr>
        <w:drawing>
          <wp:inline distT="0" distB="0" distL="0" distR="0" wp14:anchorId="5FE15584" wp14:editId="7FE1C1A3">
            <wp:extent cx="5124450" cy="3162300"/>
            <wp:effectExtent l="0" t="0" r="0" b="0"/>
            <wp:docPr id="1466809146" name="Chart 1">
              <a:extLst xmlns:a="http://schemas.openxmlformats.org/drawingml/2006/main">
                <a:ext uri="{FF2B5EF4-FFF2-40B4-BE49-F238E27FC236}">
                  <a16:creationId xmlns:a16="http://schemas.microsoft.com/office/drawing/2014/main" id="{612E827F-2C20-53AB-B18D-39DB129B3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76B31D" w14:textId="11B57A32" w:rsidR="00AC58F8" w:rsidRPr="00750002" w:rsidRDefault="00834755" w:rsidP="002E6170">
      <w:pPr>
        <w:pStyle w:val="ParagraphHighlight"/>
        <w:rPr>
          <w:sz w:val="24"/>
          <w:szCs w:val="24"/>
        </w:rPr>
      </w:pPr>
      <w:r w:rsidRPr="00750002">
        <w:rPr>
          <w:sz w:val="24"/>
          <w:szCs w:val="24"/>
        </w:rPr>
        <w:t xml:space="preserve">As </w:t>
      </w:r>
      <w:r w:rsidR="008A37CD">
        <w:rPr>
          <w:sz w:val="24"/>
          <w:szCs w:val="24"/>
        </w:rPr>
        <w:t>the ACTCOSS</w:t>
      </w:r>
      <w:r>
        <w:rPr>
          <w:sz w:val="24"/>
          <w:szCs w:val="24"/>
        </w:rPr>
        <w:t xml:space="preserve"> </w:t>
      </w:r>
      <w:hyperlink r:id="rId21" w:history="1">
        <w:r w:rsidRPr="00750002">
          <w:rPr>
            <w:rStyle w:val="Hyperlink"/>
            <w:sz w:val="24"/>
            <w:szCs w:val="24"/>
          </w:rPr>
          <w:t xml:space="preserve">2022 </w:t>
        </w:r>
        <w:r w:rsidR="002E6170" w:rsidRPr="00750002">
          <w:rPr>
            <w:rStyle w:val="Hyperlink"/>
            <w:sz w:val="24"/>
            <w:szCs w:val="24"/>
          </w:rPr>
          <w:t xml:space="preserve">ACT </w:t>
        </w:r>
        <w:r w:rsidRPr="00750002">
          <w:rPr>
            <w:rStyle w:val="Hyperlink"/>
            <w:sz w:val="24"/>
            <w:szCs w:val="24"/>
          </w:rPr>
          <w:t xml:space="preserve">Cost of Living </w:t>
        </w:r>
        <w:r w:rsidR="002E6170" w:rsidRPr="00750002">
          <w:rPr>
            <w:rStyle w:val="Hyperlink"/>
            <w:sz w:val="24"/>
            <w:szCs w:val="24"/>
          </w:rPr>
          <w:t>Report</w:t>
        </w:r>
      </w:hyperlink>
      <w:r w:rsidR="002E6170" w:rsidRPr="00750002">
        <w:rPr>
          <w:sz w:val="24"/>
          <w:szCs w:val="24"/>
        </w:rPr>
        <w:t xml:space="preserve"> highlighted</w:t>
      </w:r>
      <w:r w:rsidR="00801C01" w:rsidRPr="00750002">
        <w:rPr>
          <w:sz w:val="24"/>
          <w:szCs w:val="24"/>
        </w:rPr>
        <w:t>, Canberrans</w:t>
      </w:r>
      <w:r w:rsidR="00FA2D8A" w:rsidRPr="00750002">
        <w:rPr>
          <w:sz w:val="24"/>
          <w:szCs w:val="24"/>
        </w:rPr>
        <w:t xml:space="preserve"> have</w:t>
      </w:r>
      <w:r w:rsidR="00801C01" w:rsidRPr="00750002">
        <w:rPr>
          <w:sz w:val="24"/>
          <w:szCs w:val="24"/>
        </w:rPr>
        <w:t xml:space="preserve"> experienced </w:t>
      </w:r>
      <w:r w:rsidR="00F73A86" w:rsidRPr="00750002">
        <w:rPr>
          <w:sz w:val="24"/>
          <w:szCs w:val="24"/>
        </w:rPr>
        <w:t xml:space="preserve">some of the largest increases in the prices of essential goods and services in over two decades. </w:t>
      </w:r>
      <w:r w:rsidR="008C49B1" w:rsidRPr="00750002">
        <w:rPr>
          <w:sz w:val="24"/>
          <w:szCs w:val="24"/>
        </w:rPr>
        <w:t>People</w:t>
      </w:r>
      <w:r w:rsidR="00B07FCB" w:rsidRPr="00750002">
        <w:rPr>
          <w:sz w:val="24"/>
          <w:szCs w:val="24"/>
        </w:rPr>
        <w:t xml:space="preserve"> in the ACT</w:t>
      </w:r>
      <w:r w:rsidR="008C49B1" w:rsidRPr="00750002">
        <w:rPr>
          <w:sz w:val="24"/>
          <w:szCs w:val="24"/>
        </w:rPr>
        <w:t xml:space="preserve"> are now paying</w:t>
      </w:r>
      <w:r w:rsidR="00BE2F91" w:rsidRPr="00750002">
        <w:rPr>
          <w:sz w:val="24"/>
          <w:szCs w:val="24"/>
        </w:rPr>
        <w:t>, on average,</w:t>
      </w:r>
      <w:r w:rsidR="008C49B1" w:rsidRPr="00750002">
        <w:rPr>
          <w:sz w:val="24"/>
          <w:szCs w:val="24"/>
        </w:rPr>
        <w:t xml:space="preserve"> </w:t>
      </w:r>
      <w:r w:rsidR="00BE2F91" w:rsidRPr="00750002">
        <w:rPr>
          <w:sz w:val="24"/>
          <w:szCs w:val="24"/>
        </w:rPr>
        <w:t>20% more than they were five years ago for essential goods and services including transport</w:t>
      </w:r>
      <w:r w:rsidR="00FA2D8A" w:rsidRPr="00750002">
        <w:rPr>
          <w:sz w:val="24"/>
          <w:szCs w:val="24"/>
        </w:rPr>
        <w:t>, electricity, health services, housing, education, and food.</w:t>
      </w:r>
    </w:p>
    <w:p w14:paraId="10831F4B" w14:textId="77777777" w:rsidR="00AC58F8" w:rsidRDefault="00AC58F8">
      <w:pPr>
        <w:rPr>
          <w:rFonts w:cs="Arial"/>
          <w:color w:val="000000"/>
          <w:sz w:val="23"/>
          <w:szCs w:val="23"/>
          <w:lang w:val="en-US"/>
        </w:rPr>
      </w:pPr>
      <w:r>
        <w:br w:type="page"/>
      </w:r>
    </w:p>
    <w:p w14:paraId="0E84B089" w14:textId="1B7C745F" w:rsidR="00187FC7" w:rsidRPr="001370A8" w:rsidRDefault="00187FC7" w:rsidP="00187FC7">
      <w:pPr>
        <w:pStyle w:val="IntenseQuote"/>
      </w:pPr>
      <w:r w:rsidRPr="009D49BF">
        <w:lastRenderedPageBreak/>
        <w:t xml:space="preserve">Housing is by far </w:t>
      </w:r>
      <w:r w:rsidRPr="00EF199D">
        <w:t>the</w:t>
      </w:r>
      <w:r w:rsidRPr="009D49BF">
        <w:t xml:space="preserve"> biggest issue faced by vulnerable people. The only sustainable long-term solution is to build more public housing - this would solve so many problems.</w:t>
      </w:r>
      <w:r w:rsidR="000C448D">
        <w:t xml:space="preserve"> </w:t>
      </w:r>
      <w:r w:rsidR="001370A8">
        <w:br/>
      </w:r>
      <w:r w:rsidRPr="008D21EC">
        <w:rPr>
          <w:i w:val="0"/>
          <w:iCs w:val="0"/>
        </w:rPr>
        <w:t>ACT Community Sector Worker, 2022</w:t>
      </w:r>
    </w:p>
    <w:p w14:paraId="4B7A80BB" w14:textId="77777777" w:rsidR="00996250" w:rsidRDefault="00996250" w:rsidP="00996250"/>
    <w:p w14:paraId="3BA4196F" w14:textId="77777777" w:rsidR="00996250" w:rsidRPr="00996250" w:rsidRDefault="00996250" w:rsidP="00996250"/>
    <w:p w14:paraId="0FD26F87" w14:textId="77777777" w:rsidR="00187FC7" w:rsidRDefault="00187FC7" w:rsidP="00187FC7">
      <w:pPr>
        <w:pStyle w:val="ParagraphHighlight"/>
        <w:jc w:val="center"/>
      </w:pPr>
      <w:r>
        <w:rPr>
          <w:noProof/>
        </w:rPr>
        <mc:AlternateContent>
          <mc:Choice Requires="cx2">
            <w:drawing>
              <wp:inline distT="0" distB="0" distL="0" distR="0" wp14:anchorId="26DEEE95" wp14:editId="7D2221D5">
                <wp:extent cx="5810250" cy="3171825"/>
                <wp:effectExtent l="0" t="0" r="0" b="9525"/>
                <wp:docPr id="11375060" name="Chart 11375060">
                  <a:extLst xmlns:a="http://schemas.openxmlformats.org/drawingml/2006/main">
                    <a:ext uri="{FF2B5EF4-FFF2-40B4-BE49-F238E27FC236}">
                      <a16:creationId xmlns:a16="http://schemas.microsoft.com/office/drawing/2014/main" id="{6CDFDFD8-A71C-547B-5145-F708BCC9F98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xmlns:arto="http://schemas.microsoft.com/office/word/2006/arto">
            <w:drawing xmlns:w="http://schemas.openxmlformats.org/wordprocessingml/2006/main">
              <wp:inline xmlns:wp="http://schemas.openxmlformats.org/drawingml/2006/wordprocessingDrawing" xmlns:wp14="http://schemas.microsoft.com/office/word/2010/wordprocessingDrawing" distT="0" distB="0" distL="0" distR="0" wp14:anchorId="26DEEE95" wp14:editId="7D2221D5">
                <wp:extent cx="5810250" cy="3171825"/>
                <wp:effectExtent l="0" t="0" r="0" b="9525"/>
                <wp:docPr id="11375060" name="Chart 11375060">
                  <a:extLst xmlns:a="http://schemas.openxmlformats.org/drawingml/2006/main">
                    <a:ext uri="{FF2B5EF4-FFF2-40B4-BE49-F238E27FC236}">
                      <a16:creationId xmlns:a16="http://schemas.microsoft.com/office/drawing/2014/main" id="{6CDFDFD8-A71C-547B-5145-F708BCC9F98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1375060" name="Chart 11375060">
                          <a:extLst>
                            <a:ext uri="{FF2B5EF4-FFF2-40B4-BE49-F238E27FC236}">
                              <a16:creationId xmlns:a16="http://schemas.microsoft.com/office/drawing/2014/main" id="{6CDFDFD8-A71C-547B-5145-F708BCC9F985}"/>
                            </a:ext>
                          </a:extLst>
                        </pic:cNvPr>
                        <pic:cNvPicPr>
                          <a:picLocks noGrp="1" noRot="1" noChangeAspect="1" noMove="1" noResize="1" noEditPoints="1" noAdjustHandles="1" noChangeArrowheads="1" noChangeShapeType="1"/>
                        </pic:cNvPicPr>
                      </pic:nvPicPr>
                      <pic:blipFill>
                        <a:blip xmlns:r="http://schemas.openxmlformats.org/officeDocument/2006/relationships" r:embed="rId23"/>
                        <a:stretch>
                          <a:fillRect/>
                        </a:stretch>
                      </pic:blipFill>
                      <pic:spPr>
                        <a:xfrm>
                          <a:off x="0" y="0"/>
                          <a:ext cx="5810250" cy="3171825"/>
                        </a:xfrm>
                        <a:prstGeom prst="rect">
                          <a:avLst/>
                        </a:prstGeom>
                      </pic:spPr>
                    </pic:pic>
                  </a:graphicData>
                </a:graphic>
              </wp:inline>
            </w:drawing>
          </mc:Fallback>
        </mc:AlternateContent>
      </w:r>
    </w:p>
    <w:p w14:paraId="3E539411" w14:textId="77777777" w:rsidR="00AC58F8" w:rsidRDefault="00AC58F8" w:rsidP="00187FC7">
      <w:pPr>
        <w:pStyle w:val="ParagraphHighlight"/>
        <w:jc w:val="center"/>
      </w:pPr>
    </w:p>
    <w:p w14:paraId="27DE6E90" w14:textId="10892932" w:rsidR="00F15BB0" w:rsidRDefault="00F15BB0" w:rsidP="00F15BB0">
      <w:pPr>
        <w:pStyle w:val="IntenseQuote"/>
      </w:pPr>
      <w:r w:rsidRPr="00CA5839">
        <w:t xml:space="preserve">I am seeing clients who are struggling to live day to day due to rising interest rates, rent and everyday </w:t>
      </w:r>
      <w:r>
        <w:t>cost-of-living</w:t>
      </w:r>
      <w:r w:rsidRPr="00CA5839">
        <w:t xml:space="preserve"> increases</w:t>
      </w:r>
      <w:r>
        <w:t xml:space="preserve">. </w:t>
      </w:r>
      <w:r w:rsidRPr="00CA5839">
        <w:t>People on moderate incomes who are accessing emergency relief and food banks because they cannot afford groceries, they are extremely stressed and overwhelmed and cannot access adequate mental health supports</w:t>
      </w:r>
      <w:r>
        <w:t xml:space="preserve">. </w:t>
      </w:r>
      <w:r w:rsidRPr="00CA5839">
        <w:t>Clients are turning to unsuitable loan products and Buy Now Pay Later products to get by</w:t>
      </w:r>
      <w:r>
        <w:t xml:space="preserve">. </w:t>
      </w:r>
      <w:r w:rsidRPr="00CA5839">
        <w:t>Clients who are on Centrelink income support struggle even more.</w:t>
      </w:r>
      <w:r w:rsidR="000C448D">
        <w:t xml:space="preserve"> </w:t>
      </w:r>
      <w:r w:rsidR="001370A8">
        <w:br/>
      </w:r>
      <w:r w:rsidRPr="008D21EC">
        <w:rPr>
          <w:i w:val="0"/>
          <w:iCs w:val="0"/>
        </w:rPr>
        <w:t>ACT Community Sector Worker, 2022</w:t>
      </w:r>
    </w:p>
    <w:p w14:paraId="75FB75EE" w14:textId="0842A281" w:rsidR="00187FC7" w:rsidRDefault="00AC58F8" w:rsidP="00996250">
      <w:pPr>
        <w:pStyle w:val="Heading2"/>
        <w:jc w:val="center"/>
      </w:pPr>
      <w:r>
        <w:br w:type="page"/>
      </w:r>
      <w:r w:rsidR="00187FC7">
        <w:lastRenderedPageBreak/>
        <w:t>Increased Demand</w:t>
      </w:r>
    </w:p>
    <w:p w14:paraId="60AEC8B7" w14:textId="2C57107D" w:rsidR="00364272" w:rsidRPr="00364272" w:rsidRDefault="00364272" w:rsidP="00364272">
      <w:pPr>
        <w:jc w:val="center"/>
      </w:pPr>
      <w:r>
        <w:rPr>
          <w:noProof/>
        </w:rPr>
        <w:drawing>
          <wp:inline distT="0" distB="0" distL="0" distR="0" wp14:anchorId="2320567E" wp14:editId="2AA2D367">
            <wp:extent cx="1244600" cy="1244600"/>
            <wp:effectExtent l="0" t="0" r="0" b="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8886" cy="1248886"/>
                    </a:xfrm>
                    <a:prstGeom prst="rect">
                      <a:avLst/>
                    </a:prstGeom>
                  </pic:spPr>
                </pic:pic>
              </a:graphicData>
            </a:graphic>
          </wp:inline>
        </w:drawing>
      </w:r>
    </w:p>
    <w:p w14:paraId="4AE81A48" w14:textId="77777777" w:rsidR="00187FC7" w:rsidRPr="00750002" w:rsidRDefault="00187FC7" w:rsidP="00187FC7">
      <w:pPr>
        <w:pStyle w:val="ParagraphHighlight"/>
        <w:rPr>
          <w:sz w:val="24"/>
          <w:szCs w:val="24"/>
        </w:rPr>
      </w:pPr>
      <w:r w:rsidRPr="00750002">
        <w:rPr>
          <w:sz w:val="24"/>
          <w:szCs w:val="24"/>
        </w:rPr>
        <w:t xml:space="preserve">More than two thirds of participants reported that levels of demand for their main service increased (67%) and that there was growing complexity of need among service users (69%) during 2022. </w:t>
      </w:r>
    </w:p>
    <w:p w14:paraId="45450882" w14:textId="320155D8" w:rsidR="00187FC7" w:rsidRPr="00750002" w:rsidRDefault="00187FC7" w:rsidP="00187FC7">
      <w:pPr>
        <w:pStyle w:val="ParagraphHighlight"/>
        <w:rPr>
          <w:sz w:val="24"/>
          <w:szCs w:val="24"/>
        </w:rPr>
      </w:pPr>
      <w:r w:rsidRPr="00750002">
        <w:rPr>
          <w:sz w:val="24"/>
          <w:szCs w:val="24"/>
        </w:rPr>
        <w:t xml:space="preserve">Concerningly, only 4% of organisations were always able to meet the level of demand, and almost half of participants (47%) noted an increase in the number of clients that they could not support in their services. </w:t>
      </w:r>
      <w:r w:rsidR="005A73A3" w:rsidRPr="00750002">
        <w:rPr>
          <w:sz w:val="24"/>
          <w:szCs w:val="24"/>
        </w:rPr>
        <w:t xml:space="preserve">Almost half of </w:t>
      </w:r>
      <w:r w:rsidR="0089737E" w:rsidRPr="00750002">
        <w:rPr>
          <w:sz w:val="24"/>
          <w:szCs w:val="24"/>
        </w:rPr>
        <w:t xml:space="preserve">organisations </w:t>
      </w:r>
      <w:r w:rsidR="005A73A3" w:rsidRPr="00750002">
        <w:rPr>
          <w:sz w:val="24"/>
          <w:szCs w:val="24"/>
        </w:rPr>
        <w:t>(</w:t>
      </w:r>
      <w:r w:rsidR="004724DE" w:rsidRPr="00750002">
        <w:rPr>
          <w:sz w:val="24"/>
          <w:szCs w:val="24"/>
        </w:rPr>
        <w:t xml:space="preserve">43%) experienced increased wait times </w:t>
      </w:r>
      <w:r w:rsidR="0089737E" w:rsidRPr="00750002">
        <w:rPr>
          <w:sz w:val="24"/>
          <w:szCs w:val="24"/>
        </w:rPr>
        <w:t>over the last year</w:t>
      </w:r>
      <w:r w:rsidR="00BF2DD1" w:rsidRPr="00750002">
        <w:rPr>
          <w:sz w:val="24"/>
          <w:szCs w:val="24"/>
        </w:rPr>
        <w:t>.</w:t>
      </w:r>
      <w:r w:rsidR="00750002">
        <w:rPr>
          <w:sz w:val="24"/>
          <w:szCs w:val="24"/>
        </w:rPr>
        <w:br/>
      </w:r>
    </w:p>
    <w:p w14:paraId="150EA0C6" w14:textId="77777777" w:rsidR="00187FC7" w:rsidRDefault="00187FC7" w:rsidP="00187FC7">
      <w:pPr>
        <w:pStyle w:val="ParagraphHighlight"/>
      </w:pPr>
      <w:r>
        <w:rPr>
          <w:noProof/>
        </w:rPr>
        <w:drawing>
          <wp:inline distT="0" distB="0" distL="0" distR="0" wp14:anchorId="3E489045" wp14:editId="3DE3CD31">
            <wp:extent cx="5534025" cy="2743200"/>
            <wp:effectExtent l="0" t="0" r="0" b="0"/>
            <wp:docPr id="222639374" name="Chart 1">
              <a:extLst xmlns:a="http://schemas.openxmlformats.org/drawingml/2006/main">
                <a:ext uri="{FF2B5EF4-FFF2-40B4-BE49-F238E27FC236}">
                  <a16:creationId xmlns:a16="http://schemas.microsoft.com/office/drawing/2014/main" id="{AEDE91C7-060D-D627-B98C-304231644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C0D169" w14:textId="77777777" w:rsidR="002A544D" w:rsidRDefault="002A544D" w:rsidP="002A544D">
      <w:pPr>
        <w:pStyle w:val="IntenseQuote"/>
        <w:rPr>
          <w:i w:val="0"/>
        </w:rPr>
      </w:pPr>
      <w:r w:rsidRPr="00976389">
        <w:t xml:space="preserve">In addition to increasing demand and the complexity of needs, inadequate indexation (particularly in the context of inflationary pressures) </w:t>
      </w:r>
      <w:proofErr w:type="gramStart"/>
      <w:r w:rsidRPr="00976389">
        <w:t>have</w:t>
      </w:r>
      <w:proofErr w:type="gramEnd"/>
      <w:r w:rsidRPr="00976389">
        <w:t xml:space="preserve"> placed enormous strain on services and frontline staff. Exhaustion, burnout, and low morale are having a devastating effect on the workforce, and services are universally reporting difficulties attracting and retaining staff.</w:t>
      </w:r>
      <w:r>
        <w:t xml:space="preserve"> </w:t>
      </w:r>
      <w:r w:rsidRPr="008D21EC">
        <w:rPr>
          <w:i w:val="0"/>
          <w:iCs w:val="0"/>
        </w:rPr>
        <w:t>ACT Community Sector Worker, 2022</w:t>
      </w:r>
    </w:p>
    <w:p w14:paraId="04E38B00" w14:textId="77777777" w:rsidR="00187FC7" w:rsidRDefault="00187FC7" w:rsidP="006E0B4B">
      <w:pPr>
        <w:pStyle w:val="Heading2"/>
        <w:jc w:val="center"/>
      </w:pPr>
      <w:r>
        <w:lastRenderedPageBreak/>
        <w:t>Insufficient Funding</w:t>
      </w:r>
    </w:p>
    <w:p w14:paraId="400FA739" w14:textId="338F0668" w:rsidR="006E0B4B" w:rsidRPr="006E0B4B" w:rsidRDefault="006E0B4B" w:rsidP="006E0B4B">
      <w:pPr>
        <w:jc w:val="center"/>
      </w:pPr>
      <w:r>
        <w:rPr>
          <w:noProof/>
        </w:rPr>
        <w:drawing>
          <wp:inline distT="0" distB="0" distL="0" distR="0" wp14:anchorId="10F58F50" wp14:editId="3787A723">
            <wp:extent cx="1252855" cy="1252855"/>
            <wp:effectExtent l="0" t="0" r="0" b="0"/>
            <wp:docPr id="88" name="Picture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9706" cy="1259706"/>
                    </a:xfrm>
                    <a:prstGeom prst="rect">
                      <a:avLst/>
                    </a:prstGeom>
                  </pic:spPr>
                </pic:pic>
              </a:graphicData>
            </a:graphic>
          </wp:inline>
        </w:drawing>
      </w:r>
    </w:p>
    <w:p w14:paraId="58285FED" w14:textId="3F47BB10" w:rsidR="00187FC7" w:rsidRDefault="00187FC7" w:rsidP="00923F4C">
      <w:pPr>
        <w:pStyle w:val="ParagraphHighlight"/>
      </w:pPr>
      <w:r>
        <w:t xml:space="preserve">Insufficient funding for the full costs of service delivery is an enduring problem for community sector organisations. </w:t>
      </w:r>
      <w:r w:rsidR="008E582F">
        <w:t xml:space="preserve">The uncertainty and instability of funding arrangements has </w:t>
      </w:r>
      <w:r w:rsidR="00D9222C">
        <w:t xml:space="preserve">continued to </w:t>
      </w:r>
      <w:r w:rsidR="0073494C">
        <w:t xml:space="preserve">cause difficulties for organisations in long-term </w:t>
      </w:r>
      <w:r w:rsidR="00E22457">
        <w:t>strategic planning for sustainability</w:t>
      </w:r>
      <w:r w:rsidR="006B68E3">
        <w:t xml:space="preserve">. </w:t>
      </w:r>
      <w:r w:rsidR="001C0C85">
        <w:br/>
      </w:r>
      <w:r w:rsidR="001C0C85">
        <w:rPr>
          <w:noProof/>
        </w:rPr>
        <w:drawing>
          <wp:inline distT="0" distB="0" distL="0" distR="0" wp14:anchorId="44C48387" wp14:editId="693E7A03">
            <wp:extent cx="4933013" cy="2773180"/>
            <wp:effectExtent l="0" t="0" r="1270" b="8255"/>
            <wp:docPr id="938760667" name="Chart 1">
              <a:extLst xmlns:a="http://schemas.openxmlformats.org/drawingml/2006/main">
                <a:ext uri="{FF2B5EF4-FFF2-40B4-BE49-F238E27FC236}">
                  <a16:creationId xmlns:a16="http://schemas.microsoft.com/office/drawing/2014/main" id="{A736873B-24CF-8ED4-2937-B14200F8D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F4E848" w14:textId="251DCB00" w:rsidR="00187FC7" w:rsidRDefault="00187FC7" w:rsidP="00187FC7">
      <w:pPr>
        <w:pStyle w:val="IntenseQuote"/>
      </w:pPr>
      <w:r w:rsidRPr="005960FE">
        <w:t xml:space="preserve">We are now grappling with the cumulative effect of years of </w:t>
      </w:r>
      <w:r>
        <w:t>i</w:t>
      </w:r>
      <w:r w:rsidRPr="005960FE">
        <w:t>nadequate indexation - and there simply is nothing more we</w:t>
      </w:r>
      <w:r w:rsidR="00934CDF">
        <w:t xml:space="preserve"> [can]</w:t>
      </w:r>
      <w:r w:rsidRPr="005960FE">
        <w:t xml:space="preserve"> do to rein in costs or generate efficiencies without compromising our capacity to do our core functions.</w:t>
      </w:r>
      <w:r>
        <w:t xml:space="preserve"> </w:t>
      </w:r>
      <w:r w:rsidR="00156AE6">
        <w:br/>
      </w:r>
      <w:r w:rsidRPr="000C448D">
        <w:rPr>
          <w:i w:val="0"/>
          <w:iCs w:val="0"/>
        </w:rPr>
        <w:t>CEO/Senior Management</w:t>
      </w:r>
      <w:r w:rsidR="000C448D" w:rsidRPr="000C448D">
        <w:rPr>
          <w:i w:val="0"/>
          <w:iCs w:val="0"/>
        </w:rPr>
        <w:t xml:space="preserve">, </w:t>
      </w:r>
      <w:r w:rsidR="00156AE6">
        <w:rPr>
          <w:i w:val="0"/>
          <w:iCs w:val="0"/>
        </w:rPr>
        <w:t>Community Sector,</w:t>
      </w:r>
      <w:r w:rsidR="000C448D" w:rsidRPr="000C448D">
        <w:rPr>
          <w:i w:val="0"/>
          <w:iCs w:val="0"/>
        </w:rPr>
        <w:t xml:space="preserve"> 2022</w:t>
      </w:r>
    </w:p>
    <w:p w14:paraId="2B3AE75D" w14:textId="3302E62E" w:rsidR="00063A27" w:rsidRPr="00750002" w:rsidRDefault="00AA4572" w:rsidP="00187FC7">
      <w:pPr>
        <w:rPr>
          <w:sz w:val="23"/>
          <w:szCs w:val="23"/>
        </w:rPr>
      </w:pPr>
      <w:r w:rsidRPr="00750002">
        <w:rPr>
          <w:sz w:val="23"/>
          <w:szCs w:val="23"/>
        </w:rPr>
        <w:t>A staggering 8</w:t>
      </w:r>
      <w:r w:rsidR="001C0C85">
        <w:rPr>
          <w:sz w:val="23"/>
          <w:szCs w:val="23"/>
        </w:rPr>
        <w:t>4</w:t>
      </w:r>
      <w:r w:rsidRPr="00750002">
        <w:rPr>
          <w:sz w:val="23"/>
          <w:szCs w:val="23"/>
        </w:rPr>
        <w:t xml:space="preserve">% of community sector organisations in the ACT </w:t>
      </w:r>
      <w:r w:rsidR="009A335D" w:rsidRPr="00750002">
        <w:rPr>
          <w:sz w:val="23"/>
          <w:szCs w:val="23"/>
        </w:rPr>
        <w:t xml:space="preserve">have indicated that their current funding is not sufficient </w:t>
      </w:r>
      <w:r w:rsidR="006D5C57" w:rsidRPr="00750002">
        <w:rPr>
          <w:sz w:val="23"/>
          <w:szCs w:val="23"/>
        </w:rPr>
        <w:t xml:space="preserve">to adequately respond to increasing demand for their services. </w:t>
      </w:r>
      <w:r w:rsidR="00CE6A2C" w:rsidRPr="00750002">
        <w:rPr>
          <w:sz w:val="23"/>
          <w:szCs w:val="23"/>
        </w:rPr>
        <w:t>Organisations continue to face</w:t>
      </w:r>
      <w:r w:rsidR="008B65B3" w:rsidRPr="00750002">
        <w:rPr>
          <w:sz w:val="23"/>
          <w:szCs w:val="23"/>
        </w:rPr>
        <w:t xml:space="preserve"> challenges that impact upon their </w:t>
      </w:r>
      <w:r w:rsidR="00592761" w:rsidRPr="00750002">
        <w:rPr>
          <w:sz w:val="23"/>
          <w:szCs w:val="23"/>
        </w:rPr>
        <w:t>service capacity</w:t>
      </w:r>
      <w:r w:rsidR="007D0AA5" w:rsidRPr="00750002">
        <w:rPr>
          <w:sz w:val="23"/>
          <w:szCs w:val="23"/>
        </w:rPr>
        <w:t xml:space="preserve"> and ability to meet the needs of vulnerable community members. </w:t>
      </w:r>
    </w:p>
    <w:p w14:paraId="32840515" w14:textId="77777777" w:rsidR="007D0AA5" w:rsidRPr="007D0AA5" w:rsidRDefault="007D0AA5" w:rsidP="007D0AA5"/>
    <w:p w14:paraId="117FDC30" w14:textId="01B31422" w:rsidR="00187FC7" w:rsidRPr="005960FE" w:rsidRDefault="00187FC7" w:rsidP="00187FC7"/>
    <w:p w14:paraId="58AE629A" w14:textId="77777777" w:rsidR="00187FC7" w:rsidRDefault="00187FC7" w:rsidP="006E0B4B">
      <w:pPr>
        <w:pStyle w:val="Heading2"/>
        <w:jc w:val="center"/>
      </w:pPr>
      <w:r>
        <w:lastRenderedPageBreak/>
        <w:t>Staff Capacity</w:t>
      </w:r>
    </w:p>
    <w:p w14:paraId="0A53BB79" w14:textId="494BD96A" w:rsidR="006E0B4B" w:rsidRPr="006E0B4B" w:rsidRDefault="006E0B4B" w:rsidP="006E0B4B">
      <w:pPr>
        <w:jc w:val="center"/>
      </w:pPr>
      <w:r>
        <w:rPr>
          <w:noProof/>
        </w:rPr>
        <w:drawing>
          <wp:inline distT="0" distB="0" distL="0" distR="0" wp14:anchorId="7DE083C8" wp14:editId="292C8C6A">
            <wp:extent cx="1261110" cy="1261110"/>
            <wp:effectExtent l="0" t="0" r="0" b="0"/>
            <wp:docPr id="2052288956" name="Picture 20522889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5622" cy="1265622"/>
                    </a:xfrm>
                    <a:prstGeom prst="rect">
                      <a:avLst/>
                    </a:prstGeom>
                  </pic:spPr>
                </pic:pic>
              </a:graphicData>
            </a:graphic>
          </wp:inline>
        </w:drawing>
      </w:r>
    </w:p>
    <w:p w14:paraId="350983F7" w14:textId="76146F79" w:rsidR="00187FC7" w:rsidRDefault="003B6232" w:rsidP="00187FC7">
      <w:pPr>
        <w:pStyle w:val="ParagraphHighlight"/>
      </w:pPr>
      <w:r w:rsidRPr="003B6232">
        <w:rPr>
          <w:lang w:val="en-AU"/>
        </w:rPr>
        <w:t xml:space="preserve">Difficulties in recruitment and retention of trained, experienced staff is a major challenge for the ACT Community sector. </w:t>
      </w:r>
      <w:r w:rsidR="000F42D8">
        <w:rPr>
          <w:lang w:val="en-AU"/>
        </w:rPr>
        <w:t>More than two thirds</w:t>
      </w:r>
      <w:r w:rsidRPr="003B6232">
        <w:rPr>
          <w:lang w:val="en-AU"/>
        </w:rPr>
        <w:t xml:space="preserve"> </w:t>
      </w:r>
      <w:r w:rsidR="000F42D8">
        <w:rPr>
          <w:lang w:val="en-AU"/>
        </w:rPr>
        <w:t>(</w:t>
      </w:r>
      <w:r w:rsidRPr="003B6232">
        <w:rPr>
          <w:lang w:val="en-AU"/>
        </w:rPr>
        <w:t>67%</w:t>
      </w:r>
      <w:r w:rsidR="000F42D8">
        <w:rPr>
          <w:lang w:val="en-AU"/>
        </w:rPr>
        <w:t>)</w:t>
      </w:r>
      <w:r w:rsidRPr="003B6232">
        <w:rPr>
          <w:lang w:val="en-AU"/>
        </w:rPr>
        <w:t xml:space="preserve"> of organisations report that they found it more difficult to attract and retain staff in 2022.</w:t>
      </w:r>
    </w:p>
    <w:p w14:paraId="477F7644" w14:textId="238C6A7A" w:rsidR="00187FC7" w:rsidRPr="009B7EF2" w:rsidRDefault="00187FC7" w:rsidP="00187FC7">
      <w:pPr>
        <w:pStyle w:val="IntenseQuote"/>
      </w:pPr>
      <w:r w:rsidRPr="00812095">
        <w:t>Without sufficient resources to meet funding bodies' expectation</w:t>
      </w:r>
      <w:r w:rsidR="00934CDF">
        <w:t>[s]</w:t>
      </w:r>
      <w:r w:rsidRPr="00812095">
        <w:t>, staff are experiencing significant workload and burnout. We struggle to offer wages that are competitive with other sectors, particularly the public sector and given our location in the ACT.</w:t>
      </w:r>
      <w:r w:rsidR="00F606EB">
        <w:br/>
      </w:r>
      <w:r w:rsidR="00F606EB" w:rsidRPr="000C448D">
        <w:rPr>
          <w:i w:val="0"/>
          <w:iCs w:val="0"/>
        </w:rPr>
        <w:t>CEO/Senior Management,</w:t>
      </w:r>
      <w:r w:rsidR="00F606EB">
        <w:rPr>
          <w:i w:val="0"/>
          <w:iCs w:val="0"/>
        </w:rPr>
        <w:t xml:space="preserve"> Community Sector,</w:t>
      </w:r>
      <w:r w:rsidR="00F606EB" w:rsidRPr="000C448D">
        <w:rPr>
          <w:i w:val="0"/>
          <w:iCs w:val="0"/>
        </w:rPr>
        <w:t xml:space="preserve"> 2022</w:t>
      </w:r>
    </w:p>
    <w:p w14:paraId="7FE8F02E" w14:textId="1F4EEAB0" w:rsidR="00187FC7" w:rsidRDefault="00FF4E9E" w:rsidP="00FF4E9E">
      <w:pPr>
        <w:jc w:val="center"/>
      </w:pPr>
      <w:r>
        <w:rPr>
          <w:noProof/>
        </w:rPr>
        <mc:AlternateContent>
          <mc:Choice Requires="cx2">
            <w:drawing>
              <wp:inline distT="0" distB="0" distL="0" distR="0" wp14:anchorId="37ACB0FC" wp14:editId="16ADAFD6">
                <wp:extent cx="4572000" cy="2743200"/>
                <wp:effectExtent l="0" t="0" r="0" b="0"/>
                <wp:docPr id="1868367565" name="Chart 1868367565">
                  <a:extLst xmlns:a="http://schemas.openxmlformats.org/drawingml/2006/main">
                    <a:ext uri="{FF2B5EF4-FFF2-40B4-BE49-F238E27FC236}">
                      <a16:creationId xmlns:a16="http://schemas.microsoft.com/office/drawing/2014/main" id="{DEA72309-9B42-69E9-0875-A050F7A6945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arto="http://schemas.microsoft.com/office/word/2006/arto">
            <w:drawing xmlns:w="http://schemas.openxmlformats.org/wordprocessingml/2006/main">
              <wp:inline xmlns:wp="http://schemas.openxmlformats.org/drawingml/2006/wordprocessingDrawing" xmlns:wp14="http://schemas.microsoft.com/office/word/2010/wordprocessingDrawing" distT="0" distB="0" distL="0" distR="0" wp14:anchorId="37ACB0FC" wp14:editId="16ADAFD6">
                <wp:extent cx="4572000" cy="2743200"/>
                <wp:effectExtent l="0" t="0" r="0" b="0"/>
                <wp:docPr id="1868367565" name="Chart 1868367565">
                  <a:extLst xmlns:a="http://schemas.openxmlformats.org/drawingml/2006/main">
                    <a:ext uri="{FF2B5EF4-FFF2-40B4-BE49-F238E27FC236}">
                      <a16:creationId xmlns:a16="http://schemas.microsoft.com/office/drawing/2014/main" id="{DEA72309-9B42-69E9-0875-A050F7A6945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xmlns:mc="http://schemas.openxmlformats.org/markup-compatibility/2006">
                      <pic:nvPicPr>
                        <pic:cNvPr id="1868367565" name="Chart 1868367565">
                          <a:extLst>
                            <a:ext uri="{FF2B5EF4-FFF2-40B4-BE49-F238E27FC236}">
                              <a16:creationId xmlns:a16="http://schemas.microsoft.com/office/drawing/2014/main" id="{DEA72309-9B42-69E9-0875-A050F7A6945A}"/>
                            </a:ext>
                          </a:extLst>
                        </pic:cNvPr>
                        <pic:cNvPicPr>
                          <a:picLocks noGrp="1" noRot="1" noChangeAspect="1" noMove="1" noResize="1" noEditPoints="1" noAdjustHandles="1" noChangeArrowheads="1" noChangeShapeType="1"/>
                        </pic:cNvPicPr>
                      </pic:nvPicPr>
                      <pic:blipFill>
                        <a:blip xmlns:r="http://schemas.openxmlformats.org/officeDocument/2006/relationships" r:embed="rId30"/>
                        <a:stretch>
                          <a:fillRect/>
                        </a:stretch>
                      </pic:blipFill>
                      <pic:spPr>
                        <a:xfrm>
                          <a:off x="0" y="0"/>
                          <a:ext cx="4572000" cy="2743200"/>
                        </a:xfrm>
                        <a:prstGeom prst="rect">
                          <a:avLst/>
                        </a:prstGeom>
                      </pic:spPr>
                    </pic:pic>
                  </a:graphicData>
                </a:graphic>
              </wp:inline>
            </w:drawing>
          </mc:Fallback>
        </mc:AlternateContent>
      </w:r>
    </w:p>
    <w:p w14:paraId="265320FB" w14:textId="77777777" w:rsidR="00187FC7" w:rsidRPr="00352938" w:rsidRDefault="00187FC7" w:rsidP="00187FC7"/>
    <w:p w14:paraId="4C3F4722" w14:textId="0BE9BD9A" w:rsidR="008F7966" w:rsidRDefault="00A85AF6" w:rsidP="00187FC7">
      <w:r>
        <w:t xml:space="preserve">More than 80% of CEOs and Senior Managers said they received insufficient funding </w:t>
      </w:r>
      <w:r w:rsidR="00643423">
        <w:t>to employ enough staff and no organisations were funded for backfilling staff absences.</w:t>
      </w:r>
      <w:r w:rsidR="00643423" w:rsidRPr="00643423">
        <w:t xml:space="preserve"> </w:t>
      </w:r>
      <w:r w:rsidR="00FF4E9E" w:rsidRPr="00FF4E9E">
        <w:t xml:space="preserve">Increasing demand for services has </w:t>
      </w:r>
      <w:r w:rsidR="006E0047" w:rsidRPr="00FF4E9E">
        <w:t>led</w:t>
      </w:r>
      <w:r w:rsidR="00FF4E9E" w:rsidRPr="00FF4E9E">
        <w:t xml:space="preserve"> to a need for additional staff. A</w:t>
      </w:r>
      <w:r w:rsidR="00A97B7F">
        <w:t> </w:t>
      </w:r>
      <w:r w:rsidR="00FF4E9E" w:rsidRPr="00FF4E9E">
        <w:t>competitive labour market, limited funding, and high demand for skilled, experienced workers have created difficulties for organisations and placed pressure on existing staff, leading to increased stress and burnout.</w:t>
      </w:r>
    </w:p>
    <w:p w14:paraId="507E9415" w14:textId="77777777" w:rsidR="000A33AA" w:rsidRDefault="000A33AA" w:rsidP="00187FC7"/>
    <w:p w14:paraId="10AD5F6C" w14:textId="2CFDB610" w:rsidR="006D733C" w:rsidRPr="00AE16C9" w:rsidRDefault="006F067A" w:rsidP="006D733C">
      <w:pPr>
        <w:pStyle w:val="Heading3"/>
        <w:jc w:val="both"/>
        <w:rPr>
          <w:rStyle w:val="IntenseEmphasis"/>
        </w:rPr>
      </w:pPr>
      <w:r w:rsidRPr="00AE16C9">
        <w:rPr>
          <w:rStyle w:val="IntenseEmphasis"/>
        </w:rPr>
        <w:lastRenderedPageBreak/>
        <w:t xml:space="preserve">ACTCOSS </w:t>
      </w:r>
      <w:r w:rsidR="00343AB9" w:rsidRPr="00AE16C9">
        <w:rPr>
          <w:rStyle w:val="IntenseEmphasis"/>
        </w:rPr>
        <w:t>supports</w:t>
      </w:r>
      <w:r w:rsidR="00573EC3" w:rsidRPr="00AE16C9">
        <w:rPr>
          <w:rStyle w:val="IntenseEmphasis"/>
        </w:rPr>
        <w:t xml:space="preserve"> recommendations from ACOSS </w:t>
      </w:r>
      <w:r w:rsidR="000932AD" w:rsidRPr="00AE16C9">
        <w:rPr>
          <w:rStyle w:val="IntenseEmphasis"/>
        </w:rPr>
        <w:t xml:space="preserve">to </w:t>
      </w:r>
      <w:r w:rsidR="00BD705B" w:rsidRPr="00AE16C9">
        <w:rPr>
          <w:rStyle w:val="IntenseEmphasis"/>
        </w:rPr>
        <w:t>improve the sustainability of the community sector</w:t>
      </w:r>
      <w:r w:rsidR="00A055F4" w:rsidRPr="00AE16C9">
        <w:rPr>
          <w:rStyle w:val="IntenseEmphasis"/>
        </w:rPr>
        <w:t>.</w:t>
      </w:r>
      <w:r w:rsidR="006D733C" w:rsidRPr="00AE16C9">
        <w:rPr>
          <w:rStyle w:val="IntenseEmphasis"/>
        </w:rPr>
        <w:t xml:space="preserve"> </w:t>
      </w:r>
    </w:p>
    <w:p w14:paraId="1B65B1D7" w14:textId="40D33482" w:rsidR="006D733C" w:rsidRDefault="006D733C" w:rsidP="00AE16C9">
      <w:pPr>
        <w:pStyle w:val="Heading3"/>
      </w:pPr>
      <w:r>
        <w:t xml:space="preserve">This Federal Budget, </w:t>
      </w:r>
      <w:r w:rsidR="00036C23">
        <w:t>we call on the Federal Government to:</w:t>
      </w:r>
    </w:p>
    <w:p w14:paraId="3A8BF8DA" w14:textId="6AE890B1" w:rsidR="00037B59" w:rsidRPr="00672908" w:rsidRDefault="00037B59" w:rsidP="00AC5E24">
      <w:pPr>
        <w:spacing w:before="240" w:after="240"/>
        <w:ind w:left="567" w:hanging="360"/>
        <w:rPr>
          <w:rStyle w:val="Strong"/>
          <w:b w:val="0"/>
          <w:bCs w:val="0"/>
        </w:rPr>
      </w:pPr>
      <w:r w:rsidRPr="00672908">
        <w:rPr>
          <w:rStyle w:val="Strong"/>
        </w:rPr>
        <w:t xml:space="preserve">1.  Fund the full cost of service delivery, </w:t>
      </w:r>
      <w:r w:rsidRPr="00672908">
        <w:rPr>
          <w:rStyle w:val="Strong"/>
          <w:b w:val="0"/>
          <w:bCs w:val="0"/>
        </w:rPr>
        <w:t>including infrastructure, management, workforce development and administration costs in all Commonwealth grants and contracts for community services.</w:t>
      </w:r>
    </w:p>
    <w:p w14:paraId="26D69864" w14:textId="77777777" w:rsidR="00037B59" w:rsidRPr="00672908" w:rsidRDefault="00037B59" w:rsidP="00AC5E24">
      <w:pPr>
        <w:spacing w:before="240" w:after="240"/>
        <w:ind w:left="567" w:hanging="360"/>
        <w:rPr>
          <w:rStyle w:val="Strong"/>
          <w:b w:val="0"/>
          <w:bCs w:val="0"/>
        </w:rPr>
      </w:pPr>
      <w:r w:rsidRPr="00672908">
        <w:rPr>
          <w:rStyle w:val="Strong"/>
        </w:rPr>
        <w:t xml:space="preserve">2.  Create a fairer tax system </w:t>
      </w:r>
      <w:r w:rsidRPr="00672908">
        <w:rPr>
          <w:rStyle w:val="Strong"/>
          <w:b w:val="0"/>
          <w:bCs w:val="0"/>
        </w:rPr>
        <w:t>to fund quality essential services and a social security system that meets need starting by cancelling stage 3 tax cuts.</w:t>
      </w:r>
    </w:p>
    <w:p w14:paraId="11A0FBF6" w14:textId="079ED8A9" w:rsidR="00037B59" w:rsidRPr="00672908" w:rsidRDefault="00037B59" w:rsidP="00AC5E24">
      <w:pPr>
        <w:ind w:left="567" w:hanging="360"/>
        <w:rPr>
          <w:rStyle w:val="Strong"/>
          <w:b w:val="0"/>
          <w:bCs w:val="0"/>
        </w:rPr>
      </w:pPr>
      <w:r w:rsidRPr="00672908">
        <w:rPr>
          <w:rStyle w:val="Strong"/>
        </w:rPr>
        <w:t xml:space="preserve">3.   Lift base rates of income support payments </w:t>
      </w:r>
      <w:r w:rsidRPr="00672908">
        <w:rPr>
          <w:rStyle w:val="Strong"/>
          <w:b w:val="0"/>
          <w:bCs w:val="0"/>
        </w:rPr>
        <w:t>like JobSeeker and Youth</w:t>
      </w:r>
      <w:r w:rsidR="00C42B83">
        <w:rPr>
          <w:rStyle w:val="Strong"/>
          <w:b w:val="0"/>
          <w:bCs w:val="0"/>
        </w:rPr>
        <w:t> </w:t>
      </w:r>
      <w:r w:rsidRPr="00672908">
        <w:rPr>
          <w:rStyle w:val="Strong"/>
          <w:b w:val="0"/>
          <w:bCs w:val="0"/>
        </w:rPr>
        <w:t>Allowance to at least $76 a day.</w:t>
      </w:r>
    </w:p>
    <w:p w14:paraId="60D51C28" w14:textId="77777777" w:rsidR="00036C23" w:rsidRPr="00672908" w:rsidRDefault="00036C23" w:rsidP="00036C23"/>
    <w:p w14:paraId="60F41EE3" w14:textId="6487CF13" w:rsidR="00A055F4" w:rsidRPr="00A055F4" w:rsidRDefault="0076201A" w:rsidP="0076201A">
      <w:pPr>
        <w:jc w:val="center"/>
      </w:pPr>
      <w:r>
        <w:rPr>
          <w:noProof/>
        </w:rPr>
        <w:drawing>
          <wp:inline distT="0" distB="0" distL="0" distR="0" wp14:anchorId="491FF746" wp14:editId="6A5E1D6E">
            <wp:extent cx="1278255" cy="1278255"/>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8245" cy="1298245"/>
                    </a:xfrm>
                    <a:prstGeom prst="rect">
                      <a:avLst/>
                    </a:prstGeom>
                  </pic:spPr>
                </pic:pic>
              </a:graphicData>
            </a:graphic>
          </wp:inline>
        </w:drawing>
      </w:r>
    </w:p>
    <w:sectPr w:rsidR="00A055F4" w:rsidRPr="00A055F4" w:rsidSect="0022449B">
      <w:headerReference w:type="default" r:id="rId32"/>
      <w:footerReference w:type="even" r:id="rId33"/>
      <w:footerReference w:type="default" r:id="rId34"/>
      <w:headerReference w:type="first" r:id="rId35"/>
      <w:footerReference w:type="first" r:id="rId36"/>
      <w:pgSz w:w="11900" w:h="16840" w:code="9"/>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DD8E8" w14:textId="77777777" w:rsidR="00094462" w:rsidRDefault="00094462" w:rsidP="00257D1B"/>
  </w:endnote>
  <w:endnote w:type="continuationSeparator" w:id="0">
    <w:p w14:paraId="1C71EC59" w14:textId="77777777" w:rsidR="00094462" w:rsidRDefault="00094462" w:rsidP="00257D1B">
      <w:r>
        <w:continuationSeparator/>
      </w:r>
    </w:p>
  </w:endnote>
  <w:endnote w:type="continuationNotice" w:id="1">
    <w:p w14:paraId="589965DB" w14:textId="77777777" w:rsidR="00094462" w:rsidRDefault="00094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62E54D-F632-4E18-85BD-1CC2E696E620}"/>
    <w:embedBold r:id="rId2" w:fontKey="{AD2C6FB0-35DA-4032-AB88-2CF53C56B934}"/>
    <w:embedItalic r:id="rId3" w:fontKey="{D1CCB54B-98AE-4545-A7D4-B36E2A1ADF95}"/>
  </w:font>
  <w:font w:name="Times New Roman (Body CS)">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575DEF7F-BD41-4E47-B45A-AE9B0F0ADEC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57201"/>
      <w:docPartObj>
        <w:docPartGallery w:val="Page Numbers (Bottom of Page)"/>
        <w:docPartUnique/>
      </w:docPartObj>
    </w:sdtPr>
    <w:sdtContent>
      <w:p w14:paraId="4B5694CC" w14:textId="77777777" w:rsidR="00187FC7" w:rsidRDefault="0018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604613"/>
      <w:docPartObj>
        <w:docPartGallery w:val="Page Numbers (Bottom of Page)"/>
        <w:docPartUnique/>
      </w:docPartObj>
    </w:sdtPr>
    <w:sdtContent>
      <w:p w14:paraId="53973CD6" w14:textId="77777777" w:rsidR="00187FC7" w:rsidRDefault="00187FC7"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05B8B4" w14:textId="77777777" w:rsidR="00187FC7" w:rsidRDefault="00187FC7" w:rsidP="00B775E8">
    <w:pPr>
      <w:pStyle w:val="Footer"/>
      <w:rPr>
        <w:rStyle w:val="PageNumber"/>
      </w:rPr>
    </w:pPr>
  </w:p>
  <w:p w14:paraId="328BBEDD" w14:textId="77777777" w:rsidR="00187FC7" w:rsidRDefault="00187FC7"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2008571"/>
      <w:docPartObj>
        <w:docPartGallery w:val="Page Numbers (Bottom of Page)"/>
        <w:docPartUnique/>
      </w:docPartObj>
    </w:sdtPr>
    <w:sdtContent>
      <w:p w14:paraId="6700CC6C" w14:textId="77777777" w:rsidR="00187FC7" w:rsidRDefault="0018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4AF2AC5" w14:textId="77777777" w:rsidR="00187FC7" w:rsidRPr="00B775E8" w:rsidRDefault="00187FC7" w:rsidP="00B775E8">
    <w:pPr>
      <w:pStyle w:val="Footer"/>
    </w:pPr>
    <w:r>
      <w:rPr>
        <w:rStyle w:val="PageNumber"/>
      </w:rPr>
      <w:t xml:space="preserve">2023 ACT Community Sector Demand Snapshot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2414820"/>
      <w:docPartObj>
        <w:docPartGallery w:val="Page Numbers (Bottom of Page)"/>
        <w:docPartUnique/>
      </w:docPartObj>
    </w:sdtPr>
    <w:sdtContent>
      <w:p w14:paraId="76DF081F" w14:textId="77777777" w:rsidR="00187FC7" w:rsidRDefault="0018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47825F" w14:textId="77777777" w:rsidR="00187FC7" w:rsidRPr="00B775E8" w:rsidRDefault="00187FC7">
    <w:pPr>
      <w:pStyle w:val="Footer"/>
    </w:pPr>
    <w:r>
      <w:rPr>
        <w:rStyle w:val="PageNumber"/>
      </w:rPr>
      <w:t xml:space="preserve">2023 ACT Community Sector Demand Snapshot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1288351"/>
      <w:docPartObj>
        <w:docPartGallery w:val="Page Numbers (Bottom of Page)"/>
        <w:docPartUnique/>
      </w:docPartObj>
    </w:sdtPr>
    <w:sdtContent>
      <w:p w14:paraId="43E25ADD" w14:textId="5A7219CF"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03840288"/>
      <w:docPartObj>
        <w:docPartGallery w:val="Page Numbers (Bottom of Page)"/>
        <w:docPartUnique/>
      </w:docPartObj>
    </w:sdtPr>
    <w:sdtContent>
      <w:p w14:paraId="26EC9B4A" w14:textId="5F45C0B4"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8400F" w14:textId="349F6E80" w:rsidR="00697868" w:rsidRDefault="00697868" w:rsidP="00B775E8">
    <w:pPr>
      <w:pStyle w:val="Footer"/>
      <w:rPr>
        <w:rStyle w:val="PageNumber"/>
      </w:rPr>
    </w:pPr>
  </w:p>
  <w:p w14:paraId="27FBC598" w14:textId="77777777" w:rsidR="00697868" w:rsidRDefault="00697868" w:rsidP="00B775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042880"/>
      <w:docPartObj>
        <w:docPartGallery w:val="Page Numbers (Bottom of Page)"/>
        <w:docPartUnique/>
      </w:docPartObj>
    </w:sdtPr>
    <w:sdtContent>
      <w:p w14:paraId="53899C2E" w14:textId="6CF19597"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5ED9A3" w14:textId="39BABDA0" w:rsidR="00697868" w:rsidRPr="00B775E8" w:rsidRDefault="002309BE" w:rsidP="00B775E8">
    <w:pPr>
      <w:pStyle w:val="Footer"/>
    </w:pPr>
    <w:r>
      <w:rPr>
        <w:rStyle w:val="PageNumber"/>
      </w:rPr>
      <w:t xml:space="preserve">2023 ACT Community Sector Demand Snapshot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3693454"/>
      <w:docPartObj>
        <w:docPartGallery w:val="Page Numbers (Bottom of Page)"/>
        <w:docPartUnique/>
      </w:docPartObj>
    </w:sdtPr>
    <w:sdtContent>
      <w:p w14:paraId="5D902A87" w14:textId="6C70248B"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181B6B" w14:textId="3D779D6B" w:rsidR="008F7966" w:rsidRPr="00B775E8" w:rsidRDefault="00B775E8" w:rsidP="00B775E8">
    <w:pPr>
      <w:pStyle w:val="Footer"/>
    </w:pPr>
    <w:r w:rsidRPr="00B775E8">
      <w:t>Document Titl</w:t>
    </w:r>
    <w: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A4BC" w14:textId="77777777" w:rsidR="00094462" w:rsidRDefault="00094462" w:rsidP="00257D1B">
      <w:r>
        <w:separator/>
      </w:r>
    </w:p>
  </w:footnote>
  <w:footnote w:type="continuationSeparator" w:id="0">
    <w:p w14:paraId="049A7670" w14:textId="77777777" w:rsidR="00094462" w:rsidRDefault="00094462" w:rsidP="00257D1B">
      <w:r>
        <w:continuationSeparator/>
      </w:r>
    </w:p>
  </w:footnote>
  <w:footnote w:type="continuationNotice" w:id="1">
    <w:p w14:paraId="038206DC" w14:textId="77777777" w:rsidR="00094462" w:rsidRDefault="000944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0093" w14:textId="77777777" w:rsidR="00187FC7" w:rsidRDefault="00187FC7">
    <w:pPr>
      <w:pStyle w:val="Header"/>
    </w:pPr>
    <w:r>
      <w:rPr>
        <w:noProof/>
      </w:rPr>
      <w:drawing>
        <wp:anchor distT="0" distB="0" distL="114300" distR="114300" simplePos="0" relativeHeight="251658246" behindDoc="0" locked="0" layoutInCell="1" allowOverlap="1" wp14:anchorId="4C8A225C" wp14:editId="6A5502CE">
          <wp:simplePos x="0" y="0"/>
          <wp:positionH relativeFrom="column">
            <wp:posOffset>4376420</wp:posOffset>
          </wp:positionH>
          <wp:positionV relativeFrom="paragraph">
            <wp:posOffset>-70485</wp:posOffset>
          </wp:positionV>
          <wp:extent cx="1694815" cy="1023620"/>
          <wp:effectExtent l="0" t="0" r="0" b="0"/>
          <wp:wrapSquare wrapText="bothSides"/>
          <wp:docPr id="976011778" name="Graphic 97601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1F7C" w14:textId="77777777" w:rsidR="00187FC7" w:rsidRDefault="00187FC7">
    <w:pPr>
      <w:pStyle w:val="Header"/>
    </w:pPr>
    <w:r>
      <w:rPr>
        <w:noProof/>
        <w:color w:val="31619F"/>
      </w:rPr>
      <w:drawing>
        <wp:anchor distT="0" distB="0" distL="114300" distR="114300" simplePos="0" relativeHeight="251658247" behindDoc="1" locked="0" layoutInCell="1" allowOverlap="1" wp14:anchorId="5A597B71" wp14:editId="35E17964">
          <wp:simplePos x="0" y="0"/>
          <wp:positionH relativeFrom="column">
            <wp:posOffset>-904126</wp:posOffset>
          </wp:positionH>
          <wp:positionV relativeFrom="page">
            <wp:posOffset>10273</wp:posOffset>
          </wp:positionV>
          <wp:extent cx="7555414" cy="3094355"/>
          <wp:effectExtent l="0" t="0" r="1270" b="4445"/>
          <wp:wrapNone/>
          <wp:docPr id="101667422" name="Graphic 10166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601081" cy="311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FFFFFF" w:themeColor="background1"/>
        <w:sz w:val="80"/>
        <w:szCs w:val="80"/>
      </w:rPr>
      <w:drawing>
        <wp:anchor distT="0" distB="0" distL="114300" distR="114300" simplePos="0" relativeHeight="251658245" behindDoc="1" locked="0" layoutInCell="1" allowOverlap="1" wp14:anchorId="25FAB4EA" wp14:editId="1DFB48B5">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1154248443" name="Graphic 115424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4" behindDoc="1" locked="0" layoutInCell="1" allowOverlap="1" wp14:anchorId="4C20F71C" wp14:editId="27B4BF38">
              <wp:simplePos x="0" y="0"/>
              <wp:positionH relativeFrom="column">
                <wp:posOffset>-906585</wp:posOffset>
              </wp:positionH>
              <wp:positionV relativeFrom="page">
                <wp:posOffset>7815</wp:posOffset>
              </wp:positionV>
              <wp:extent cx="7557135" cy="3094355"/>
              <wp:effectExtent l="0" t="0" r="0" b="4445"/>
              <wp:wrapNone/>
              <wp:docPr id="1779376690" name="Rectangle 1779376690"/>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DD324A" id="Rectangle 1779376690" o:spid="_x0000_s1026" style="position:absolute;margin-left:-71.4pt;margin-top:.6pt;width:595.05pt;height:243.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" fillcolor="#2d6cb5" stroked="f" strokeweight="1pt">
              <w10:wrap anchory="page"/>
            </v:rect>
          </w:pict>
        </mc:Fallback>
      </mc:AlternateContent>
    </w:r>
    <w:r>
      <w:rPr>
        <w:b/>
        <w:bCs/>
        <w:noProof/>
        <w:color w:val="FFFFFF" w:themeColor="background1"/>
        <w:sz w:val="80"/>
        <w:szCs w:val="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975E" w14:textId="2844EB94" w:rsidR="00C45024" w:rsidRDefault="00C45024">
    <w:pPr>
      <w:pStyle w:val="Header"/>
    </w:pPr>
    <w:r>
      <w:rPr>
        <w:noProof/>
      </w:rPr>
      <w:drawing>
        <wp:anchor distT="0" distB="0" distL="114300" distR="114300" simplePos="0" relativeHeight="251658242" behindDoc="0" locked="0" layoutInCell="1" allowOverlap="1" wp14:anchorId="7FB49B7F" wp14:editId="7DAC1D90">
          <wp:simplePos x="0" y="0"/>
          <wp:positionH relativeFrom="column">
            <wp:posOffset>4376420</wp:posOffset>
          </wp:positionH>
          <wp:positionV relativeFrom="paragraph">
            <wp:posOffset>-70485</wp:posOffset>
          </wp:positionV>
          <wp:extent cx="1694815" cy="1023620"/>
          <wp:effectExtent l="0" t="0" r="0" b="0"/>
          <wp:wrapSquare wrapText="bothSides"/>
          <wp:docPr id="1254037861" name="Graphic 125403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CF20" w14:textId="1E05C753" w:rsidR="003430FE" w:rsidRDefault="004138B8">
    <w:pPr>
      <w:pStyle w:val="Header"/>
    </w:pPr>
    <w:r>
      <w:rPr>
        <w:noProof/>
        <w:color w:val="31619F"/>
      </w:rPr>
      <w:drawing>
        <wp:anchor distT="0" distB="0" distL="114300" distR="114300" simplePos="0" relativeHeight="251658243" behindDoc="1" locked="0" layoutInCell="1" allowOverlap="1" wp14:anchorId="5EBC888D" wp14:editId="74C138C8">
          <wp:simplePos x="0" y="0"/>
          <wp:positionH relativeFrom="column">
            <wp:posOffset>-904126</wp:posOffset>
          </wp:positionH>
          <wp:positionV relativeFrom="page">
            <wp:posOffset>10273</wp:posOffset>
          </wp:positionV>
          <wp:extent cx="7555414" cy="3094355"/>
          <wp:effectExtent l="0" t="0" r="1270" b="4445"/>
          <wp:wrapNone/>
          <wp:docPr id="1546433932" name="Graphic 154643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601081" cy="311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455">
      <w:rPr>
        <w:b/>
        <w:bCs/>
        <w:noProof/>
        <w:color w:val="FFFFFF" w:themeColor="background1"/>
        <w:sz w:val="80"/>
        <w:szCs w:val="80"/>
      </w:rPr>
      <w:drawing>
        <wp:anchor distT="0" distB="0" distL="114300" distR="114300" simplePos="0" relativeHeight="251658241" behindDoc="1" locked="0" layoutInCell="1" allowOverlap="1" wp14:anchorId="59C464D0" wp14:editId="5E042305">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1991353120" name="Graphic 199135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003430FE"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6A7EC2DE" wp14:editId="7F4345A0">
              <wp:simplePos x="0" y="0"/>
              <wp:positionH relativeFrom="column">
                <wp:posOffset>-906585</wp:posOffset>
              </wp:positionH>
              <wp:positionV relativeFrom="page">
                <wp:posOffset>7815</wp:posOffset>
              </wp:positionV>
              <wp:extent cx="7557135" cy="3094355"/>
              <wp:effectExtent l="0" t="0" r="0" b="4445"/>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62A298" id="Rectangle 1" o:spid="_x0000_s1026" style="position:absolute;margin-left:-71.4pt;margin-top:.6pt;width:595.05pt;height:243.6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" fillcolor="#2d6cb5" stroked="f" strokeweight="1pt">
              <w10:wrap anchory="page"/>
            </v:rect>
          </w:pict>
        </mc:Fallback>
      </mc:AlternateContent>
    </w:r>
    <w:r w:rsidR="003430FE">
      <w:rPr>
        <w:b/>
        <w:bCs/>
        <w:noProof/>
        <w:color w:val="FFFFFF" w:themeColor="background1"/>
        <w:sz w:val="80"/>
        <w:szCs w:val="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8FF"/>
    <w:rsid w:val="00020BF7"/>
    <w:rsid w:val="0002488A"/>
    <w:rsid w:val="00036C23"/>
    <w:rsid w:val="00037715"/>
    <w:rsid w:val="00037B59"/>
    <w:rsid w:val="00047D54"/>
    <w:rsid w:val="00057A32"/>
    <w:rsid w:val="00063A27"/>
    <w:rsid w:val="000768CA"/>
    <w:rsid w:val="00081ED9"/>
    <w:rsid w:val="000932AD"/>
    <w:rsid w:val="00094462"/>
    <w:rsid w:val="00095712"/>
    <w:rsid w:val="000A33AA"/>
    <w:rsid w:val="000B51CE"/>
    <w:rsid w:val="000B5AC2"/>
    <w:rsid w:val="000C00EA"/>
    <w:rsid w:val="000C448D"/>
    <w:rsid w:val="000D52B5"/>
    <w:rsid w:val="000D7E11"/>
    <w:rsid w:val="000E1D37"/>
    <w:rsid w:val="000E31AA"/>
    <w:rsid w:val="000F0ECB"/>
    <w:rsid w:val="000F42D8"/>
    <w:rsid w:val="000F5B94"/>
    <w:rsid w:val="00105582"/>
    <w:rsid w:val="001112C9"/>
    <w:rsid w:val="00124902"/>
    <w:rsid w:val="00133C80"/>
    <w:rsid w:val="00135CA5"/>
    <w:rsid w:val="001370A8"/>
    <w:rsid w:val="00141420"/>
    <w:rsid w:val="00145AA0"/>
    <w:rsid w:val="00150A69"/>
    <w:rsid w:val="00153998"/>
    <w:rsid w:val="00156AE6"/>
    <w:rsid w:val="0016043D"/>
    <w:rsid w:val="00170B52"/>
    <w:rsid w:val="0017171E"/>
    <w:rsid w:val="001743B2"/>
    <w:rsid w:val="00182835"/>
    <w:rsid w:val="00187FC7"/>
    <w:rsid w:val="001A2AB1"/>
    <w:rsid w:val="001C0C85"/>
    <w:rsid w:val="001E1821"/>
    <w:rsid w:val="001E1FD7"/>
    <w:rsid w:val="00215862"/>
    <w:rsid w:val="002178D0"/>
    <w:rsid w:val="0022449B"/>
    <w:rsid w:val="00226236"/>
    <w:rsid w:val="002309BE"/>
    <w:rsid w:val="00235B5A"/>
    <w:rsid w:val="00236CC8"/>
    <w:rsid w:val="00250FEB"/>
    <w:rsid w:val="00253668"/>
    <w:rsid w:val="00257D1B"/>
    <w:rsid w:val="00263C27"/>
    <w:rsid w:val="0026426A"/>
    <w:rsid w:val="00284F59"/>
    <w:rsid w:val="00285EF2"/>
    <w:rsid w:val="00286EBC"/>
    <w:rsid w:val="0029486C"/>
    <w:rsid w:val="002A544D"/>
    <w:rsid w:val="002A629B"/>
    <w:rsid w:val="002A6313"/>
    <w:rsid w:val="002C45C9"/>
    <w:rsid w:val="002D1891"/>
    <w:rsid w:val="002D6601"/>
    <w:rsid w:val="002D72BF"/>
    <w:rsid w:val="002E1B2B"/>
    <w:rsid w:val="002E3D93"/>
    <w:rsid w:val="002E43C0"/>
    <w:rsid w:val="002E6170"/>
    <w:rsid w:val="002F2B5B"/>
    <w:rsid w:val="002F72AE"/>
    <w:rsid w:val="00310037"/>
    <w:rsid w:val="003246FA"/>
    <w:rsid w:val="0032694A"/>
    <w:rsid w:val="003430FE"/>
    <w:rsid w:val="00343AB9"/>
    <w:rsid w:val="00351BE7"/>
    <w:rsid w:val="00352938"/>
    <w:rsid w:val="00357139"/>
    <w:rsid w:val="00364272"/>
    <w:rsid w:val="00366AE0"/>
    <w:rsid w:val="00372509"/>
    <w:rsid w:val="003741DD"/>
    <w:rsid w:val="003A0117"/>
    <w:rsid w:val="003A1C28"/>
    <w:rsid w:val="003B1069"/>
    <w:rsid w:val="003B6232"/>
    <w:rsid w:val="003D20CD"/>
    <w:rsid w:val="003D30C9"/>
    <w:rsid w:val="003E2EB9"/>
    <w:rsid w:val="003F46CF"/>
    <w:rsid w:val="003F7396"/>
    <w:rsid w:val="0040708C"/>
    <w:rsid w:val="004075EC"/>
    <w:rsid w:val="004138B8"/>
    <w:rsid w:val="00423061"/>
    <w:rsid w:val="00430ED0"/>
    <w:rsid w:val="00432F74"/>
    <w:rsid w:val="004333BB"/>
    <w:rsid w:val="00443716"/>
    <w:rsid w:val="00446EBB"/>
    <w:rsid w:val="00450EB7"/>
    <w:rsid w:val="00462055"/>
    <w:rsid w:val="00462365"/>
    <w:rsid w:val="004724DE"/>
    <w:rsid w:val="004767DB"/>
    <w:rsid w:val="00477454"/>
    <w:rsid w:val="00477AF4"/>
    <w:rsid w:val="00480111"/>
    <w:rsid w:val="00491A87"/>
    <w:rsid w:val="00493D0B"/>
    <w:rsid w:val="00496008"/>
    <w:rsid w:val="004B6E01"/>
    <w:rsid w:val="004C4928"/>
    <w:rsid w:val="004C778F"/>
    <w:rsid w:val="004D2986"/>
    <w:rsid w:val="004D342A"/>
    <w:rsid w:val="004D71F8"/>
    <w:rsid w:val="004E122F"/>
    <w:rsid w:val="004F3D98"/>
    <w:rsid w:val="004F4212"/>
    <w:rsid w:val="004F4E23"/>
    <w:rsid w:val="00502DC7"/>
    <w:rsid w:val="00502F1A"/>
    <w:rsid w:val="00515CFF"/>
    <w:rsid w:val="00522C79"/>
    <w:rsid w:val="0052670F"/>
    <w:rsid w:val="005312CE"/>
    <w:rsid w:val="00550780"/>
    <w:rsid w:val="0055109E"/>
    <w:rsid w:val="005530B6"/>
    <w:rsid w:val="00571979"/>
    <w:rsid w:val="00573EC3"/>
    <w:rsid w:val="00577FFB"/>
    <w:rsid w:val="00592761"/>
    <w:rsid w:val="00593787"/>
    <w:rsid w:val="005960FE"/>
    <w:rsid w:val="00596B53"/>
    <w:rsid w:val="005A1BF3"/>
    <w:rsid w:val="005A73A3"/>
    <w:rsid w:val="005B1401"/>
    <w:rsid w:val="005B2DCF"/>
    <w:rsid w:val="005B6108"/>
    <w:rsid w:val="005C6A20"/>
    <w:rsid w:val="005D349C"/>
    <w:rsid w:val="005E28D5"/>
    <w:rsid w:val="005E474C"/>
    <w:rsid w:val="005F3A33"/>
    <w:rsid w:val="005F7291"/>
    <w:rsid w:val="00606C9E"/>
    <w:rsid w:val="00614E27"/>
    <w:rsid w:val="006157CE"/>
    <w:rsid w:val="006209E4"/>
    <w:rsid w:val="00621E13"/>
    <w:rsid w:val="00623630"/>
    <w:rsid w:val="00625AA5"/>
    <w:rsid w:val="00634242"/>
    <w:rsid w:val="00643423"/>
    <w:rsid w:val="00645EF6"/>
    <w:rsid w:val="00650074"/>
    <w:rsid w:val="0065480C"/>
    <w:rsid w:val="00655A21"/>
    <w:rsid w:val="00657E12"/>
    <w:rsid w:val="0066011B"/>
    <w:rsid w:val="00660E54"/>
    <w:rsid w:val="006662A1"/>
    <w:rsid w:val="00672908"/>
    <w:rsid w:val="00673BE9"/>
    <w:rsid w:val="00675915"/>
    <w:rsid w:val="00697868"/>
    <w:rsid w:val="006A00DF"/>
    <w:rsid w:val="006A5DD9"/>
    <w:rsid w:val="006B0F8B"/>
    <w:rsid w:val="006B3070"/>
    <w:rsid w:val="006B618A"/>
    <w:rsid w:val="006B68E3"/>
    <w:rsid w:val="006C296E"/>
    <w:rsid w:val="006D2C3A"/>
    <w:rsid w:val="006D3587"/>
    <w:rsid w:val="006D5174"/>
    <w:rsid w:val="006D5C57"/>
    <w:rsid w:val="006D733C"/>
    <w:rsid w:val="006E0047"/>
    <w:rsid w:val="006E0B4B"/>
    <w:rsid w:val="006E52BE"/>
    <w:rsid w:val="006F067A"/>
    <w:rsid w:val="006F1BA5"/>
    <w:rsid w:val="00705708"/>
    <w:rsid w:val="007079A5"/>
    <w:rsid w:val="007079DE"/>
    <w:rsid w:val="00714C4D"/>
    <w:rsid w:val="007204E6"/>
    <w:rsid w:val="00723620"/>
    <w:rsid w:val="00723EF6"/>
    <w:rsid w:val="0073494C"/>
    <w:rsid w:val="00735B2C"/>
    <w:rsid w:val="00740789"/>
    <w:rsid w:val="00740FEC"/>
    <w:rsid w:val="00741A8D"/>
    <w:rsid w:val="00742CFE"/>
    <w:rsid w:val="00744240"/>
    <w:rsid w:val="00750002"/>
    <w:rsid w:val="0076201A"/>
    <w:rsid w:val="00771095"/>
    <w:rsid w:val="0077284B"/>
    <w:rsid w:val="007A0F6E"/>
    <w:rsid w:val="007A1ECE"/>
    <w:rsid w:val="007B49DF"/>
    <w:rsid w:val="007B73B3"/>
    <w:rsid w:val="007C0B5D"/>
    <w:rsid w:val="007D0AA5"/>
    <w:rsid w:val="007D0BB6"/>
    <w:rsid w:val="007D1156"/>
    <w:rsid w:val="007D180A"/>
    <w:rsid w:val="00801C01"/>
    <w:rsid w:val="008050D5"/>
    <w:rsid w:val="00812095"/>
    <w:rsid w:val="008164B2"/>
    <w:rsid w:val="00823733"/>
    <w:rsid w:val="0082658A"/>
    <w:rsid w:val="00832FA1"/>
    <w:rsid w:val="00833BAE"/>
    <w:rsid w:val="00834755"/>
    <w:rsid w:val="008355C2"/>
    <w:rsid w:val="00836D27"/>
    <w:rsid w:val="00840B0A"/>
    <w:rsid w:val="00844B1B"/>
    <w:rsid w:val="00847BD7"/>
    <w:rsid w:val="00863082"/>
    <w:rsid w:val="00867F17"/>
    <w:rsid w:val="00872CAE"/>
    <w:rsid w:val="008770A6"/>
    <w:rsid w:val="0087765A"/>
    <w:rsid w:val="008950C6"/>
    <w:rsid w:val="0089653A"/>
    <w:rsid w:val="0089737E"/>
    <w:rsid w:val="008A0F6C"/>
    <w:rsid w:val="008A3557"/>
    <w:rsid w:val="008A37CD"/>
    <w:rsid w:val="008B65B3"/>
    <w:rsid w:val="008C49B1"/>
    <w:rsid w:val="008D2D3B"/>
    <w:rsid w:val="008E4812"/>
    <w:rsid w:val="008E582F"/>
    <w:rsid w:val="008F06AD"/>
    <w:rsid w:val="008F2609"/>
    <w:rsid w:val="008F7966"/>
    <w:rsid w:val="009058FF"/>
    <w:rsid w:val="00913C5B"/>
    <w:rsid w:val="00915C6B"/>
    <w:rsid w:val="00917689"/>
    <w:rsid w:val="0092251E"/>
    <w:rsid w:val="00923F4C"/>
    <w:rsid w:val="00934CDF"/>
    <w:rsid w:val="00941B6F"/>
    <w:rsid w:val="00961E59"/>
    <w:rsid w:val="00965BCD"/>
    <w:rsid w:val="00967997"/>
    <w:rsid w:val="009749CC"/>
    <w:rsid w:val="00976389"/>
    <w:rsid w:val="009844F3"/>
    <w:rsid w:val="009860C4"/>
    <w:rsid w:val="00996250"/>
    <w:rsid w:val="009A335D"/>
    <w:rsid w:val="009B3370"/>
    <w:rsid w:val="009B3CBE"/>
    <w:rsid w:val="009B7EF2"/>
    <w:rsid w:val="009C092B"/>
    <w:rsid w:val="009C1769"/>
    <w:rsid w:val="009C4728"/>
    <w:rsid w:val="009C7833"/>
    <w:rsid w:val="009D49BF"/>
    <w:rsid w:val="009D520F"/>
    <w:rsid w:val="009F1443"/>
    <w:rsid w:val="009F1AEF"/>
    <w:rsid w:val="00A049C2"/>
    <w:rsid w:val="00A055F4"/>
    <w:rsid w:val="00A264A8"/>
    <w:rsid w:val="00A40899"/>
    <w:rsid w:val="00A429B8"/>
    <w:rsid w:val="00A449DA"/>
    <w:rsid w:val="00A529DA"/>
    <w:rsid w:val="00A52F42"/>
    <w:rsid w:val="00A63AF7"/>
    <w:rsid w:val="00A85AF6"/>
    <w:rsid w:val="00A92849"/>
    <w:rsid w:val="00A97B7F"/>
    <w:rsid w:val="00AA4572"/>
    <w:rsid w:val="00AC150A"/>
    <w:rsid w:val="00AC3203"/>
    <w:rsid w:val="00AC58F8"/>
    <w:rsid w:val="00AC5E24"/>
    <w:rsid w:val="00AC6604"/>
    <w:rsid w:val="00AC7F99"/>
    <w:rsid w:val="00AD0D38"/>
    <w:rsid w:val="00AE02D4"/>
    <w:rsid w:val="00AE0381"/>
    <w:rsid w:val="00AE1144"/>
    <w:rsid w:val="00AE16C9"/>
    <w:rsid w:val="00AE3B83"/>
    <w:rsid w:val="00AF54BF"/>
    <w:rsid w:val="00B07FCB"/>
    <w:rsid w:val="00B307AB"/>
    <w:rsid w:val="00B60B81"/>
    <w:rsid w:val="00B66B78"/>
    <w:rsid w:val="00B7196A"/>
    <w:rsid w:val="00B75548"/>
    <w:rsid w:val="00B775E8"/>
    <w:rsid w:val="00BA20D5"/>
    <w:rsid w:val="00BA2475"/>
    <w:rsid w:val="00BA7E98"/>
    <w:rsid w:val="00BB1850"/>
    <w:rsid w:val="00BC129A"/>
    <w:rsid w:val="00BC3CE0"/>
    <w:rsid w:val="00BC4705"/>
    <w:rsid w:val="00BD0D3E"/>
    <w:rsid w:val="00BD705B"/>
    <w:rsid w:val="00BE2F91"/>
    <w:rsid w:val="00BF0256"/>
    <w:rsid w:val="00BF2DD1"/>
    <w:rsid w:val="00C05786"/>
    <w:rsid w:val="00C21E0B"/>
    <w:rsid w:val="00C27E43"/>
    <w:rsid w:val="00C42B83"/>
    <w:rsid w:val="00C45024"/>
    <w:rsid w:val="00C56B46"/>
    <w:rsid w:val="00C63081"/>
    <w:rsid w:val="00C74F75"/>
    <w:rsid w:val="00C753F7"/>
    <w:rsid w:val="00C86381"/>
    <w:rsid w:val="00C87434"/>
    <w:rsid w:val="00C97A63"/>
    <w:rsid w:val="00CA4A73"/>
    <w:rsid w:val="00CA5839"/>
    <w:rsid w:val="00CC5650"/>
    <w:rsid w:val="00CC7436"/>
    <w:rsid w:val="00CD447A"/>
    <w:rsid w:val="00CE6A2C"/>
    <w:rsid w:val="00CF4834"/>
    <w:rsid w:val="00CF6363"/>
    <w:rsid w:val="00CF7A45"/>
    <w:rsid w:val="00D0534D"/>
    <w:rsid w:val="00D15B47"/>
    <w:rsid w:val="00D25340"/>
    <w:rsid w:val="00D30836"/>
    <w:rsid w:val="00D349CE"/>
    <w:rsid w:val="00D650C4"/>
    <w:rsid w:val="00D82A3F"/>
    <w:rsid w:val="00D879D4"/>
    <w:rsid w:val="00D9222C"/>
    <w:rsid w:val="00DA5492"/>
    <w:rsid w:val="00DB42BD"/>
    <w:rsid w:val="00DC1600"/>
    <w:rsid w:val="00DC4D7B"/>
    <w:rsid w:val="00DD4A12"/>
    <w:rsid w:val="00DD7234"/>
    <w:rsid w:val="00DE2D3E"/>
    <w:rsid w:val="00DE3C76"/>
    <w:rsid w:val="00DF2E24"/>
    <w:rsid w:val="00DF3336"/>
    <w:rsid w:val="00E01703"/>
    <w:rsid w:val="00E13F78"/>
    <w:rsid w:val="00E140F4"/>
    <w:rsid w:val="00E21711"/>
    <w:rsid w:val="00E22457"/>
    <w:rsid w:val="00E30522"/>
    <w:rsid w:val="00E42E58"/>
    <w:rsid w:val="00E43455"/>
    <w:rsid w:val="00E43514"/>
    <w:rsid w:val="00E44A15"/>
    <w:rsid w:val="00E56B2C"/>
    <w:rsid w:val="00E5768F"/>
    <w:rsid w:val="00E60EE8"/>
    <w:rsid w:val="00E64A4B"/>
    <w:rsid w:val="00E900E8"/>
    <w:rsid w:val="00EA208D"/>
    <w:rsid w:val="00EC1948"/>
    <w:rsid w:val="00EC2844"/>
    <w:rsid w:val="00ED6298"/>
    <w:rsid w:val="00ED76FB"/>
    <w:rsid w:val="00EE1A9F"/>
    <w:rsid w:val="00EF199D"/>
    <w:rsid w:val="00F04510"/>
    <w:rsid w:val="00F059AA"/>
    <w:rsid w:val="00F075B9"/>
    <w:rsid w:val="00F12E3C"/>
    <w:rsid w:val="00F15BB0"/>
    <w:rsid w:val="00F30EA0"/>
    <w:rsid w:val="00F3404D"/>
    <w:rsid w:val="00F4302C"/>
    <w:rsid w:val="00F438EE"/>
    <w:rsid w:val="00F43DBD"/>
    <w:rsid w:val="00F451D6"/>
    <w:rsid w:val="00F4753C"/>
    <w:rsid w:val="00F47F3F"/>
    <w:rsid w:val="00F606EB"/>
    <w:rsid w:val="00F64996"/>
    <w:rsid w:val="00F656D9"/>
    <w:rsid w:val="00F70236"/>
    <w:rsid w:val="00F73A86"/>
    <w:rsid w:val="00F92DBA"/>
    <w:rsid w:val="00F95612"/>
    <w:rsid w:val="00FA2D8A"/>
    <w:rsid w:val="00FC7B37"/>
    <w:rsid w:val="00FD1FE2"/>
    <w:rsid w:val="00FD3B9D"/>
    <w:rsid w:val="00FE39E0"/>
    <w:rsid w:val="00FF2CCB"/>
    <w:rsid w:val="00FF3C7D"/>
    <w:rsid w:val="00FF4E9E"/>
    <w:rsid w:val="00FF5613"/>
    <w:rsid w:val="00FF6778"/>
    <w:rsid w:val="00FF7A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B2E58FAB-D797-4908-B97A-AC8FD89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spacing w:before="0" w:after="20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styleId="IntenseEmphasis">
    <w:name w:val="Intense Emphasis"/>
    <w:basedOn w:val="DefaultParagraphFont"/>
    <w:uiPriority w:val="21"/>
    <w:qFormat/>
    <w:rsid w:val="00D30836"/>
    <w:rPr>
      <w:i/>
      <w:iCs/>
      <w:color w:val="2C6CB5" w:themeColor="accent1"/>
    </w:rPr>
  </w:style>
  <w:style w:type="paragraph" w:styleId="IntenseQuote">
    <w:name w:val="Intense Quote"/>
    <w:basedOn w:val="Normal"/>
    <w:next w:val="Normal"/>
    <w:link w:val="IntenseQuoteChar"/>
    <w:uiPriority w:val="30"/>
    <w:qFormat/>
    <w:rsid w:val="005960FE"/>
    <w:pPr>
      <w:pBdr>
        <w:top w:val="single" w:sz="4" w:space="10" w:color="2C6CB5" w:themeColor="accent1"/>
        <w:bottom w:val="single" w:sz="4" w:space="10" w:color="2C6CB5" w:themeColor="accent1"/>
      </w:pBdr>
      <w:spacing w:before="360" w:after="360"/>
      <w:ind w:left="864" w:right="864"/>
      <w:jc w:val="center"/>
    </w:pPr>
    <w:rPr>
      <w:i/>
      <w:iCs/>
      <w:color w:val="2C6CB5" w:themeColor="accent1"/>
    </w:rPr>
  </w:style>
  <w:style w:type="character" w:customStyle="1" w:styleId="IntenseQuoteChar">
    <w:name w:val="Intense Quote Char"/>
    <w:basedOn w:val="DefaultParagraphFont"/>
    <w:link w:val="IntenseQuote"/>
    <w:uiPriority w:val="30"/>
    <w:rsid w:val="005960FE"/>
    <w:rPr>
      <w:i/>
      <w:iCs/>
      <w:color w:val="2C6CB5" w:themeColor="accent1"/>
    </w:rPr>
  </w:style>
  <w:style w:type="character" w:styleId="Hyperlink">
    <w:name w:val="Hyperlink"/>
    <w:basedOn w:val="DefaultParagraphFont"/>
    <w:uiPriority w:val="99"/>
    <w:unhideWhenUsed/>
    <w:rsid w:val="00801C01"/>
    <w:rPr>
      <w:color w:val="2C6CB5" w:themeColor="hyperlink"/>
      <w:u w:val="single"/>
    </w:rPr>
  </w:style>
  <w:style w:type="character" w:styleId="UnresolvedMention">
    <w:name w:val="Unresolved Mention"/>
    <w:basedOn w:val="DefaultParagraphFont"/>
    <w:uiPriority w:val="99"/>
    <w:semiHidden/>
    <w:unhideWhenUsed/>
    <w:rsid w:val="00801C01"/>
    <w:rPr>
      <w:color w:val="605E5C"/>
      <w:shd w:val="clear" w:color="auto" w:fill="E1DFDD"/>
    </w:rPr>
  </w:style>
  <w:style w:type="character" w:styleId="Strong">
    <w:name w:val="Strong"/>
    <w:basedOn w:val="DefaultParagraphFont"/>
    <w:uiPriority w:val="22"/>
    <w:qFormat/>
    <w:rsid w:val="006729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003467">
      <w:bodyDiv w:val="1"/>
      <w:marLeft w:val="0"/>
      <w:marRight w:val="0"/>
      <w:marTop w:val="0"/>
      <w:marBottom w:val="0"/>
      <w:divBdr>
        <w:top w:val="none" w:sz="0" w:space="0" w:color="auto"/>
        <w:left w:val="none" w:sz="0" w:space="0" w:color="auto"/>
        <w:bottom w:val="none" w:sz="0" w:space="0" w:color="auto"/>
        <w:right w:val="none" w:sz="0" w:space="0" w:color="auto"/>
      </w:divBdr>
      <w:divsChild>
        <w:div w:id="181014650">
          <w:marLeft w:val="0"/>
          <w:marRight w:val="0"/>
          <w:marTop w:val="0"/>
          <w:marBottom w:val="0"/>
          <w:divBdr>
            <w:top w:val="none" w:sz="0" w:space="0" w:color="auto"/>
            <w:left w:val="none" w:sz="0" w:space="0" w:color="auto"/>
            <w:bottom w:val="none" w:sz="0" w:space="0" w:color="auto"/>
            <w:right w:val="none" w:sz="0" w:space="0" w:color="auto"/>
          </w:divBdr>
        </w:div>
      </w:divsChild>
    </w:div>
    <w:div w:id="818502817">
      <w:bodyDiv w:val="1"/>
      <w:marLeft w:val="0"/>
      <w:marRight w:val="0"/>
      <w:marTop w:val="0"/>
      <w:marBottom w:val="0"/>
      <w:divBdr>
        <w:top w:val="none" w:sz="0" w:space="0" w:color="auto"/>
        <w:left w:val="none" w:sz="0" w:space="0" w:color="auto"/>
        <w:bottom w:val="none" w:sz="0" w:space="0" w:color="auto"/>
        <w:right w:val="none" w:sz="0" w:space="0" w:color="auto"/>
      </w:divBdr>
    </w:div>
    <w:div w:id="1139490410">
      <w:bodyDiv w:val="1"/>
      <w:marLeft w:val="0"/>
      <w:marRight w:val="0"/>
      <w:marTop w:val="0"/>
      <w:marBottom w:val="0"/>
      <w:divBdr>
        <w:top w:val="none" w:sz="0" w:space="0" w:color="auto"/>
        <w:left w:val="none" w:sz="0" w:space="0" w:color="auto"/>
        <w:bottom w:val="none" w:sz="0" w:space="0" w:color="auto"/>
        <w:right w:val="none" w:sz="0" w:space="0" w:color="auto"/>
      </w:divBdr>
    </w:div>
    <w:div w:id="1735539774">
      <w:bodyDiv w:val="1"/>
      <w:marLeft w:val="0"/>
      <w:marRight w:val="0"/>
      <w:marTop w:val="0"/>
      <w:marBottom w:val="0"/>
      <w:divBdr>
        <w:top w:val="none" w:sz="0" w:space="0" w:color="auto"/>
        <w:left w:val="none" w:sz="0" w:space="0" w:color="auto"/>
        <w:bottom w:val="none" w:sz="0" w:space="0" w:color="auto"/>
        <w:right w:val="none" w:sz="0" w:space="0" w:color="auto"/>
      </w:divBdr>
    </w:div>
    <w:div w:id="1779328618">
      <w:bodyDiv w:val="1"/>
      <w:marLeft w:val="0"/>
      <w:marRight w:val="0"/>
      <w:marTop w:val="0"/>
      <w:marBottom w:val="0"/>
      <w:divBdr>
        <w:top w:val="none" w:sz="0" w:space="0" w:color="auto"/>
        <w:left w:val="none" w:sz="0" w:space="0" w:color="auto"/>
        <w:bottom w:val="none" w:sz="0" w:space="0" w:color="auto"/>
        <w:right w:val="none" w:sz="0" w:space="0" w:color="auto"/>
      </w:divBdr>
      <w:divsChild>
        <w:div w:id="1288656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11.png"/><Relationship Id="rId21" Type="http://schemas.openxmlformats.org/officeDocument/2006/relationships/hyperlink" Target="https://www.actcoss.org.au/publications/advocacy-publications/2022-act-cost-living-report"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acoss.org.au/acss-april-2023/" TargetMode="External"/><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microsoft.com/office/2014/relationships/chartEx" Target="charts/chartEx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oss.org.au/australian-community-sector-survey/" TargetMode="Externa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4/relationships/chartEx" Target="charts/chartEx1.xml"/><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charts/_rels/chart1.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Community%20Sector%20Policy/ACOSS%20Australian%20Community%20Sector%20Survey/ACSS%202023/ACT%20Data%20ACOSS%202022%20SURVE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ACT%20Budget/ACT%20Budget%202023-24/Budget%20submission%20notes/graphs%20on%20community%20sector%20snapshot.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ACT%20Budget/ACT%20Budget%202023-24/Budget%20submission%20notes/graphs%20on%20community%20sector%20snapshot.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actcossinc-my.sharepoint.com/personal/gabby_robertson_actcoss_org_au/Documents/ACT%20ACOSS%20Data%20Challenges%20Affect.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actcossinc.sharepoint.com/sites/AllStaffTeam/Shared%20Documents/Community%20Sector%20Policy/ACOSS%20Australian%20Community%20Sector%20Survey/ACSS%202023/ACT%20Data%20ACOSS%202022%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200">
                <a:solidFill>
                  <a:sysClr val="windowText" lastClr="000000"/>
                </a:solidFill>
                <a:latin typeface="Arial" panose="020B0604020202020204" pitchFamily="34" charset="0"/>
                <a:cs typeface="Arial" panose="020B0604020202020204" pitchFamily="34" charset="0"/>
              </a:rPr>
              <a:t>Levels of Poverty and Disadvantage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8191151781702961"/>
          <c:y val="0.11755963837853602"/>
          <c:w val="0.43137197039559244"/>
          <c:h val="0.76003632879223426"/>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 18 demand changes (ACT)'!$D$22:$D$25</c:f>
              <c:strCache>
                <c:ptCount val="4"/>
                <c:pt idx="0">
                  <c:v>Increased</c:v>
                </c:pt>
                <c:pt idx="1">
                  <c:v>Stayed the same</c:v>
                </c:pt>
                <c:pt idx="2">
                  <c:v>Decreased</c:v>
                </c:pt>
                <c:pt idx="3">
                  <c:v>Not sure N/A</c:v>
                </c:pt>
              </c:strCache>
            </c:strRef>
          </c:cat>
          <c:val>
            <c:numRef>
              <c:f>'Q 18 demand changes (ACT)'!$E$22:$E$25</c:f>
            </c:numRef>
          </c:val>
          <c:extLst>
            <c:ext xmlns:c16="http://schemas.microsoft.com/office/drawing/2014/chart" uri="{C3380CC4-5D6E-409C-BE32-E72D297353CC}">
              <c16:uniqueId val="{00000000-3673-40AC-992E-7BE4EA994312}"/>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 18 demand changes (ACT)'!$D$22:$D$25</c:f>
              <c:strCache>
                <c:ptCount val="4"/>
                <c:pt idx="0">
                  <c:v>Increased</c:v>
                </c:pt>
                <c:pt idx="1">
                  <c:v>Stayed the same</c:v>
                </c:pt>
                <c:pt idx="2">
                  <c:v>Decreased</c:v>
                </c:pt>
                <c:pt idx="3">
                  <c:v>Not sure N/A</c:v>
                </c:pt>
              </c:strCache>
            </c:strRef>
          </c:cat>
          <c:val>
            <c:numRef>
              <c:f>'Q 18 demand changes (ACT)'!$F$22:$F$25</c:f>
            </c:numRef>
          </c:val>
          <c:extLst>
            <c:ext xmlns:c16="http://schemas.microsoft.com/office/drawing/2014/chart" uri="{C3380CC4-5D6E-409C-BE32-E72D297353CC}">
              <c16:uniqueId val="{00000001-3673-40AC-992E-7BE4EA994312}"/>
            </c:ext>
          </c:extLst>
        </c:ser>
        <c:ser>
          <c:idx val="2"/>
          <c:order val="2"/>
          <c:spPr>
            <a:ln>
              <a:noFill/>
            </a:ln>
          </c:spPr>
          <c:dPt>
            <c:idx val="0"/>
            <c:bubble3D val="0"/>
            <c:spPr>
              <a:solidFill>
                <a:schemeClr val="accent2"/>
              </a:solidFill>
              <a:ln w="19050">
                <a:noFill/>
              </a:ln>
              <a:effectLst/>
            </c:spPr>
            <c:extLst>
              <c:ext xmlns:c16="http://schemas.microsoft.com/office/drawing/2014/chart" uri="{C3380CC4-5D6E-409C-BE32-E72D297353CC}">
                <c16:uniqueId val="{00000003-3673-40AC-992E-7BE4EA994312}"/>
              </c:ext>
            </c:extLst>
          </c:dPt>
          <c:dPt>
            <c:idx val="1"/>
            <c:bubble3D val="0"/>
            <c:spPr>
              <a:solidFill>
                <a:schemeClr val="accent3"/>
              </a:solidFill>
              <a:ln w="19050">
                <a:noFill/>
              </a:ln>
              <a:effectLst/>
            </c:spPr>
            <c:extLst>
              <c:ext xmlns:c16="http://schemas.microsoft.com/office/drawing/2014/chart" uri="{C3380CC4-5D6E-409C-BE32-E72D297353CC}">
                <c16:uniqueId val="{00000005-3673-40AC-992E-7BE4EA994312}"/>
              </c:ext>
            </c:extLst>
          </c:dPt>
          <c:dPt>
            <c:idx val="2"/>
            <c:bubble3D val="0"/>
            <c:spPr>
              <a:solidFill>
                <a:schemeClr val="accent1"/>
              </a:solidFill>
              <a:ln w="19050">
                <a:noFill/>
              </a:ln>
              <a:effectLst/>
            </c:spPr>
            <c:extLst>
              <c:ext xmlns:c16="http://schemas.microsoft.com/office/drawing/2014/chart" uri="{C3380CC4-5D6E-409C-BE32-E72D297353CC}">
                <c16:uniqueId val="{00000007-3673-40AC-992E-7BE4EA994312}"/>
              </c:ext>
            </c:extLst>
          </c:dPt>
          <c:dPt>
            <c:idx val="3"/>
            <c:bubble3D val="0"/>
            <c:spPr>
              <a:solidFill>
                <a:schemeClr val="accent4"/>
              </a:solidFill>
              <a:ln w="19050">
                <a:noFill/>
              </a:ln>
              <a:effectLst/>
            </c:spPr>
            <c:extLst>
              <c:ext xmlns:c16="http://schemas.microsoft.com/office/drawing/2014/chart" uri="{C3380CC4-5D6E-409C-BE32-E72D297353CC}">
                <c16:uniqueId val="{00000009-3673-40AC-992E-7BE4EA994312}"/>
              </c:ext>
            </c:extLst>
          </c:dPt>
          <c:dLbls>
            <c:dLbl>
              <c:idx val="0"/>
              <c:layout>
                <c:manualLayout>
                  <c:x val="-0.13866042420373137"/>
                  <c:y val="-9.34523184601924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73-40AC-992E-7BE4EA994312}"/>
                </c:ext>
              </c:extLst>
            </c:dLbl>
            <c:dLbl>
              <c:idx val="1"/>
              <c:layout>
                <c:manualLayout>
                  <c:x val="0.11657496866945685"/>
                  <c:y val="-7.80559096779569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73-40AC-992E-7BE4EA994312}"/>
                </c:ext>
              </c:extLst>
            </c:dLbl>
            <c:dLbl>
              <c:idx val="2"/>
              <c:layout>
                <c:manualLayout>
                  <c:x val="7.4511740086543155E-2"/>
                  <c:y val="0.1146376702912135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73-40AC-992E-7BE4EA994312}"/>
                </c:ext>
              </c:extLst>
            </c:dLbl>
            <c:dLbl>
              <c:idx val="3"/>
              <c:layout>
                <c:manualLayout>
                  <c:x val="2.9310065971483293E-2"/>
                  <c:y val="0.1091463567054118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73-40AC-992E-7BE4EA994312}"/>
                </c:ext>
              </c:extLst>
            </c:dLbl>
            <c:spPr>
              <a:noFill/>
              <a:ln>
                <a:noFill/>
              </a:ln>
              <a:effectLst/>
            </c:spPr>
            <c:txPr>
              <a:bodyPr rot="60000" spcFirstLastPara="1" vertOverflow="overflow" horzOverflow="overflow"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 18 demand changes (ACT)'!$D$22:$D$25</c:f>
              <c:strCache>
                <c:ptCount val="4"/>
                <c:pt idx="0">
                  <c:v>Increased</c:v>
                </c:pt>
                <c:pt idx="1">
                  <c:v>Stayed the same</c:v>
                </c:pt>
                <c:pt idx="2">
                  <c:v>Decreased</c:v>
                </c:pt>
                <c:pt idx="3">
                  <c:v>Not sure N/A</c:v>
                </c:pt>
              </c:strCache>
            </c:strRef>
          </c:cat>
          <c:val>
            <c:numRef>
              <c:f>'Q 18 demand changes (ACT)'!$G$22:$G$25</c:f>
              <c:numCache>
                <c:formatCode>0%</c:formatCode>
                <c:ptCount val="4"/>
                <c:pt idx="0">
                  <c:v>0.55900000000000005</c:v>
                </c:pt>
                <c:pt idx="1">
                  <c:v>0.26700000000000002</c:v>
                </c:pt>
                <c:pt idx="2">
                  <c:v>0.106</c:v>
                </c:pt>
                <c:pt idx="3">
                  <c:v>6.8000000000000005E-2</c:v>
                </c:pt>
              </c:numCache>
            </c:numRef>
          </c:val>
          <c:extLst>
            <c:ext xmlns:c16="http://schemas.microsoft.com/office/drawing/2014/chart" uri="{C3380CC4-5D6E-409C-BE32-E72D297353CC}">
              <c16:uniqueId val="{0000000A-3673-40AC-992E-7BE4EA99431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a:solidFill>
                  <a:sysClr val="windowText" lastClr="000000"/>
                </a:solidFill>
                <a:latin typeface="Arial" panose="020B0604020202020204" pitchFamily="34" charset="0"/>
                <a:cs typeface="Arial" panose="020B0604020202020204" pitchFamily="34" charset="0"/>
              </a:rPr>
              <a:t>Levels of</a:t>
            </a:r>
            <a:r>
              <a:rPr lang="en-AU" sz="1200" b="0" baseline="0">
                <a:solidFill>
                  <a:sysClr val="windowText" lastClr="000000"/>
                </a:solidFill>
                <a:latin typeface="Arial" panose="020B0604020202020204" pitchFamily="34" charset="0"/>
                <a:cs typeface="Arial" panose="020B0604020202020204" pitchFamily="34" charset="0"/>
              </a:rPr>
              <a:t> demand for service</a:t>
            </a:r>
            <a:endParaRPr lang="en-AU" sz="1200" b="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B465-4AAC-8D4C-00D9B938EEFD}"/>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B465-4AAC-8D4C-00D9B938EEFD}"/>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465-4AAC-8D4C-00D9B938EEF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465-4AAC-8D4C-00D9B938EE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Sheet1!$L$3:$L$6</c:f>
              <c:strCache>
                <c:ptCount val="4"/>
                <c:pt idx="0">
                  <c:v>Increased</c:v>
                </c:pt>
                <c:pt idx="1">
                  <c:v>Stayed the same</c:v>
                </c:pt>
                <c:pt idx="2">
                  <c:v>Decreased</c:v>
                </c:pt>
                <c:pt idx="3">
                  <c:v>Not sure</c:v>
                </c:pt>
              </c:strCache>
            </c:strRef>
          </c:cat>
          <c:val>
            <c:numRef>
              <c:f>Sheet1!$M$3:$M$6</c:f>
              <c:numCache>
                <c:formatCode>0%</c:formatCode>
                <c:ptCount val="4"/>
                <c:pt idx="0">
                  <c:v>0.66700000000000004</c:v>
                </c:pt>
                <c:pt idx="1">
                  <c:v>0.216</c:v>
                </c:pt>
                <c:pt idx="2">
                  <c:v>0.08</c:v>
                </c:pt>
                <c:pt idx="3">
                  <c:v>3.6999999999999998E-2</c:v>
                </c:pt>
              </c:numCache>
            </c:numRef>
          </c:val>
          <c:extLst>
            <c:ext xmlns:c16="http://schemas.microsoft.com/office/drawing/2014/chart" uri="{C3380CC4-5D6E-409C-BE32-E72D297353CC}">
              <c16:uniqueId val="{00000008-B465-4AAC-8D4C-00D9B938EEFD}"/>
            </c:ext>
          </c:extLst>
        </c:ser>
        <c:dLbls>
          <c:showLegendKey val="0"/>
          <c:showVal val="0"/>
          <c:showCatName val="0"/>
          <c:showSerName val="0"/>
          <c:showPercent val="0"/>
          <c:showBubbleSize val="0"/>
        </c:dLbls>
        <c:gapWidth val="50"/>
        <c:axId val="1238770607"/>
        <c:axId val="1276161791"/>
      </c:barChart>
      <c:catAx>
        <c:axId val="1238770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76161791"/>
        <c:crosses val="autoZero"/>
        <c:auto val="1"/>
        <c:lblAlgn val="ctr"/>
        <c:lblOffset val="100"/>
        <c:noMultiLvlLbl val="0"/>
      </c:catAx>
      <c:valAx>
        <c:axId val="1276161791"/>
        <c:scaling>
          <c:orientation val="minMax"/>
          <c:max val="1"/>
        </c:scaling>
        <c:delete val="0"/>
        <c:axPos val="l"/>
        <c:numFmt formatCode="0%"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8770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solidFill>
                  <a:sysClr val="windowText" lastClr="000000"/>
                </a:solidFill>
                <a:latin typeface="Arial" panose="020B0604020202020204" pitchFamily="34" charset="0"/>
                <a:cs typeface="Arial" panose="020B0604020202020204" pitchFamily="34" charset="0"/>
              </a:rPr>
              <a:t>Funding enables us to meet demand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11843183633667"/>
          <c:y val="0.14907407407407408"/>
          <c:w val="0.82910813025842123"/>
          <c:h val="0.66452938174394871"/>
        </c:manualLayout>
      </c:layout>
      <c:barChart>
        <c:barDir val="bar"/>
        <c:grouping val="clustered"/>
        <c:varyColors val="1"/>
        <c:ser>
          <c:idx val="0"/>
          <c:order val="0"/>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520-4D04-B7D1-C5C4DAD9CA25}"/>
              </c:ext>
            </c:extLst>
          </c:dPt>
          <c:dPt>
            <c:idx val="1"/>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3-C520-4D04-B7D1-C5C4DAD9CA25}"/>
              </c:ext>
            </c:extLst>
          </c:dPt>
          <c:dPt>
            <c:idx val="2"/>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5-C520-4D04-B7D1-C5C4DAD9CA25}"/>
              </c:ext>
            </c:extLst>
          </c:dPt>
          <c:cat>
            <c:strRef>
              <c:f>Sheet1!$A$29:$A$31</c:f>
              <c:strCache>
                <c:ptCount val="3"/>
                <c:pt idx="0">
                  <c:v>Yes</c:v>
                </c:pt>
                <c:pt idx="1">
                  <c:v>Not sure</c:v>
                </c:pt>
                <c:pt idx="2">
                  <c:v>No</c:v>
                </c:pt>
              </c:strCache>
            </c:strRef>
          </c:cat>
          <c:val>
            <c:numRef>
              <c:f>Sheet1!$B$29:$B$31</c:f>
              <c:numCache>
                <c:formatCode>0%</c:formatCode>
                <c:ptCount val="3"/>
                <c:pt idx="0">
                  <c:v>9.6774193548387094E-2</c:v>
                </c:pt>
                <c:pt idx="1">
                  <c:v>9.6774193548387094E-2</c:v>
                </c:pt>
                <c:pt idx="2">
                  <c:v>0.80645161290322576</c:v>
                </c:pt>
              </c:numCache>
            </c:numRef>
          </c:val>
          <c:extLst>
            <c:ext xmlns:c16="http://schemas.microsoft.com/office/drawing/2014/chart" uri="{C3380CC4-5D6E-409C-BE32-E72D297353CC}">
              <c16:uniqueId val="{00000006-C520-4D04-B7D1-C5C4DAD9CA25}"/>
            </c:ext>
          </c:extLst>
        </c:ser>
        <c:dLbls>
          <c:showLegendKey val="0"/>
          <c:showVal val="0"/>
          <c:showCatName val="0"/>
          <c:showSerName val="0"/>
          <c:showPercent val="0"/>
          <c:showBubbleSize val="0"/>
        </c:dLbls>
        <c:gapWidth val="100"/>
        <c:axId val="2041210479"/>
        <c:axId val="2041209999"/>
      </c:barChart>
      <c:valAx>
        <c:axId val="204120999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1210479"/>
        <c:crosses val="autoZero"/>
        <c:crossBetween val="between"/>
      </c:valAx>
      <c:catAx>
        <c:axId val="2041210479"/>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120999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'Q14 Challenges (ACT)'!$A$4:$A$16</cx:f>
        <cx:lvl ptCount="13">
          <cx:pt idx="0">Cost of living pressures</cx:pt>
          <cx:pt idx="1">Housing/Homelessness</cx:pt>
          <cx:pt idx="2">Lack of mental health support</cx:pt>
          <cx:pt idx="3">Social isolation</cx:pt>
          <cx:pt idx="4">Disruption caused by COVID-19</cx:pt>
          <cx:pt idx="5">Unsafe home environment</cx:pt>
          <cx:pt idx="6">Inadequate support from Centrelink</cx:pt>
          <cx:pt idx="7">Sickness/chronic health conditions</cx:pt>
          <cx:pt idx="8">Lack of health services</cx:pt>
          <cx:pt idx="9">Un- or under-employment</cx:pt>
          <cx:pt idx="10">Lack of access to digital technology</cx:pt>
          <cx:pt idx="11">Impact of disasters/extreme weather</cx:pt>
          <cx:pt idx="12">Other challenge </cx:pt>
        </cx:lvl>
      </cx:strDim>
      <cx:numDim type="val">
        <cx:f>'Q14 Challenges (ACT)'!$B$4:$B$16</cx:f>
        <cx:lvl ptCount="13" formatCode="0%">
          <cx:pt idx="0">0.65900000000000003</cx:pt>
          <cx:pt idx="1">0.60999999999999999</cx:pt>
          <cx:pt idx="2">0.59799999999999998</cx:pt>
          <cx:pt idx="3">0.55500000000000005</cx:pt>
          <cx:pt idx="4">0.53700000000000003</cx:pt>
          <cx:pt idx="5">0.48799999999999999</cx:pt>
          <cx:pt idx="6">0.47599999999999998</cx:pt>
          <cx:pt idx="7">0.45700000000000002</cx:pt>
          <cx:pt idx="8">0.39000000000000001</cx:pt>
          <cx:pt idx="9">0.35999999999999999</cx:pt>
          <cx:pt idx="10">0.24399999999999999</cx:pt>
          <cx:pt idx="11">0.11600000000000001</cx:pt>
          <cx:pt idx="12">0.11</cx:pt>
        </cx:lvl>
      </cx:numDim>
    </cx:data>
  </cx:chartData>
  <cx:chart>
    <cx:title pos="t" align="ctr" overlay="0">
      <cx:tx>
        <cx:txData>
          <cx:v>Challenges affecting the people and communities your organisation supports</cx:v>
        </cx:txData>
      </cx:tx>
      <cx:txPr>
        <a:bodyPr spcFirstLastPara="1" vertOverflow="ellipsis" horzOverflow="overflow" wrap="square" lIns="0" tIns="0" rIns="0" bIns="0" anchor="ctr" anchorCtr="1"/>
        <a:lstStyle/>
        <a:p>
          <a:pPr algn="ctr" rtl="0">
            <a:defRPr>
              <a:latin typeface="Arial" panose="020B0604020202020204" pitchFamily="34" charset="0"/>
              <a:ea typeface="Arial" panose="020B0604020202020204" pitchFamily="34" charset="0"/>
              <a:cs typeface="Arial" panose="020B0604020202020204" pitchFamily="34" charset="0"/>
            </a:defRPr>
          </a:pPr>
          <a:r>
            <a:rPr lang="en-GB" sz="1200" b="0" i="0" u="none" strike="noStrike" baseline="0">
              <a:solidFill>
                <a:sysClr val="windowText" lastClr="000000"/>
              </a:solidFill>
              <a:latin typeface="Arial" panose="020B0604020202020204" pitchFamily="34" charset="0"/>
              <a:cs typeface="Arial" panose="020B0604020202020204" pitchFamily="34" charset="0"/>
            </a:rPr>
            <a:t>Challenges affecting the people and communities your organisation supports</a:t>
          </a:r>
        </a:p>
      </cx:txPr>
    </cx:title>
    <cx:plotArea>
      <cx:plotAreaRegion>
        <cx:series layoutId="funnel" uniqueId="{098EDB7D-86B9-417D-8C9D-EE5D7E087A1B}">
          <cx:tx>
            <cx:txData>
              <cx:f>'Q14 Challenges (ACT)'!$B$3</cx:f>
              <cx:v>ACT (n= 164)</cx:v>
            </cx:txData>
          </cx:tx>
          <cx:spPr>
            <a:solidFill>
              <a:schemeClr val="accent1"/>
            </a:solidFill>
          </cx:spPr>
          <cx:dataPt idx="0">
            <cx:spPr>
              <a:solidFill>
                <a:srgbClr val="DA5037"/>
              </a:solidFill>
            </cx:spPr>
          </cx:dataPt>
          <cx:dataPt idx="1">
            <cx:spPr>
              <a:solidFill>
                <a:srgbClr val="2C6CB5"/>
              </a:solidFill>
            </cx:spPr>
          </cx:dataPt>
          <cx:dataPt idx="2">
            <cx:spPr>
              <a:solidFill>
                <a:srgbClr val="DA5037"/>
              </a:solidFill>
            </cx:spPr>
          </cx:dataPt>
          <cx:dataPt idx="3">
            <cx:spPr>
              <a:solidFill>
                <a:srgbClr val="2C6CB5"/>
              </a:solidFill>
            </cx:spPr>
          </cx:dataPt>
          <cx:dataPt idx="4">
            <cx:spPr>
              <a:solidFill>
                <a:srgbClr val="DA5037"/>
              </a:solidFill>
            </cx:spPr>
          </cx:dataPt>
          <cx:dataPt idx="6">
            <cx:spPr>
              <a:solidFill>
                <a:srgbClr val="DA5037"/>
              </a:solidFill>
            </cx:spPr>
          </cx:dataPt>
          <cx:dataPt idx="8">
            <cx:spPr>
              <a:solidFill>
                <a:srgbClr val="DA5037"/>
              </a:solidFill>
            </cx:spPr>
          </cx:dataPt>
          <cx:dataPt idx="10">
            <cx:spPr>
              <a:solidFill>
                <a:srgbClr val="DA5037"/>
              </a:solidFill>
            </cx:spPr>
          </cx:dataPt>
          <cx:dataPt idx="11">
            <cx:spPr>
              <a:solidFill>
                <a:srgbClr val="2C6CB5"/>
              </a:solidFill>
            </cx:spPr>
          </cx:dataPt>
          <cx:dataPt idx="12">
            <cx:spPr>
              <a:solidFill>
                <a:srgbClr val="DA5037"/>
              </a:solidFill>
            </cx:spPr>
          </cx:dataPt>
          <cx:dataLabels>
            <cx:txPr>
              <a:bodyPr spcFirstLastPara="1" vertOverflow="ellipsis" horzOverflow="overflow" wrap="square" lIns="0" tIns="0" rIns="0" bIns="0" anchor="ctr" anchorCtr="1"/>
              <a:lstStyle/>
              <a:p>
                <a:pPr algn="ctr" rtl="0">
                  <a:defRPr sz="800" b="1">
                    <a:solidFill>
                      <a:schemeClr val="tx1"/>
                    </a:solidFill>
                    <a:latin typeface="Arial" panose="020B0604020202020204" pitchFamily="34" charset="0"/>
                    <a:ea typeface="Arial" panose="020B0604020202020204" pitchFamily="34" charset="0"/>
                    <a:cs typeface="Arial" panose="020B0604020202020204" pitchFamily="34" charset="0"/>
                  </a:defRPr>
                </a:pPr>
                <a:endParaRPr lang="en-GB" sz="800" b="1" i="0" u="none" strike="noStrike" baseline="0">
                  <a:solidFill>
                    <a:schemeClr val="tx1"/>
                  </a:solidFill>
                  <a:latin typeface="Arial" panose="020B0604020202020204" pitchFamily="34" charset="0"/>
                  <a:cs typeface="Arial" panose="020B0604020202020204" pitchFamily="34" charset="0"/>
                </a:endParaRPr>
              </a:p>
            </cx:txPr>
            <cx:visibility seriesName="0" categoryName="0" value="1"/>
            <cx:dataLabel idx="0">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66%</a:t>
                  </a:r>
                </a:p>
              </cx:txPr>
              <cx:visibility seriesName="0" categoryName="0" value="1"/>
            </cx:dataLabel>
            <cx:dataLabel idx="1">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61%</a:t>
                  </a:r>
                </a:p>
              </cx:txPr>
              <cx:visibility seriesName="0" categoryName="0" value="1"/>
            </cx:dataLabel>
            <cx:dataLabel idx="2">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60%</a:t>
                  </a:r>
                </a:p>
              </cx:txPr>
              <cx:visibility seriesName="0" categoryName="0" value="1"/>
            </cx:dataLabel>
            <cx:dataLabel idx="3">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56%</a:t>
                  </a:r>
                </a:p>
              </cx:txPr>
              <cx:visibility seriesName="0" categoryName="0" value="1"/>
            </cx:dataLabel>
            <cx:dataLabel idx="4">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54%</a:t>
                  </a:r>
                </a:p>
              </cx:txPr>
              <cx:visibility seriesName="0" categoryName="0" value="1"/>
            </cx:dataLabel>
            <cx:dataLabel idx="5">
              <cx:txPr>
                <a:bodyPr spcFirstLastPara="1" vertOverflow="ellipsis" horzOverflow="overflow" wrap="square" lIns="0" tIns="0" rIns="0" bIns="0" anchor="ctr" anchorCtr="1"/>
                <a:lstStyle/>
                <a:p>
                  <a:pPr algn="ctr" rtl="0">
                    <a:defRPr>
                      <a:solidFill>
                        <a:schemeClr val="tx1"/>
                      </a:solidFill>
                    </a:defRPr>
                  </a:pPr>
                  <a:r>
                    <a:rPr lang="en-GB" sz="800" b="1" i="0" u="none" strike="noStrike" baseline="0">
                      <a:solidFill>
                        <a:schemeClr val="tx1"/>
                      </a:solidFill>
                      <a:latin typeface="Arial" panose="020B0604020202020204" pitchFamily="34" charset="0"/>
                      <a:cs typeface="Arial" panose="020B0604020202020204" pitchFamily="34" charset="0"/>
                    </a:rPr>
                    <a:t>49%</a:t>
                  </a:r>
                </a:p>
              </cx:txPr>
              <cx:visibility seriesName="0" categoryName="0" value="1"/>
            </cx:dataLabel>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sz="8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b="0" i="0" u="none" strike="noStrike" baseline="0">
              <a:solidFill>
                <a:sysClr val="windowText" lastClr="000000"/>
              </a:solidFill>
              <a:latin typeface="Arial" panose="020B0604020202020204" pitchFamily="34" charset="0"/>
              <a:cs typeface="Arial" panose="020B0604020202020204" pitchFamily="34"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 41 attract-retain'!$A$15:$A$18</cx:f>
        <cx:lvl ptCount="4">
          <cx:pt idx="0">More difficult</cx:pt>
          <cx:pt idx="1">About the same</cx:pt>
          <cx:pt idx="2">Not sure / not applicable</cx:pt>
          <cx:pt idx="3">Easier</cx:pt>
        </cx:lvl>
      </cx:strDim>
      <cx:numDim type="val">
        <cx:f>'Q 41 attract-retain'!$B$15:$B$18</cx:f>
        <cx:lvl ptCount="4" formatCode="0%">
          <cx:pt idx="0">0.66700000000000004</cx:pt>
          <cx:pt idx="1">0.24199999999999999</cx:pt>
          <cx:pt idx="2">0.090999999999999998</cx:pt>
          <cx:pt idx="3">0</cx:pt>
        </cx:lvl>
      </cx:numDim>
    </cx:data>
  </cx:chartData>
  <cx:chart>
    <cx:title pos="t" align="ctr" overlay="0">
      <cx:tx>
        <cx:txData>
          <cx:v>Has it become easier or more difficult to attract and retain staff, during 2022?</cx:v>
        </cx:txData>
      </cx:tx>
      <cx:txPr>
        <a:bodyPr spcFirstLastPara="1" vertOverflow="ellipsis" horzOverflow="overflow" wrap="square" lIns="0" tIns="0" rIns="0" bIns="0" anchor="ctr" anchorCtr="1"/>
        <a:lstStyle/>
        <a:p>
          <a:pPr algn="ctr" rtl="0">
            <a:defRPr sz="12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GB" sz="1200" b="0" i="0" u="none" strike="noStrike" baseline="0">
              <a:solidFill>
                <a:sysClr val="windowText" lastClr="000000"/>
              </a:solidFill>
              <a:latin typeface="Arial" panose="020B0604020202020204" pitchFamily="34" charset="0"/>
              <a:cs typeface="Arial" panose="020B0604020202020204" pitchFamily="34" charset="0"/>
            </a:rPr>
            <a:t>Has it become easier or more difficult to attract and retain staff, during 2022?</a:t>
          </a:r>
        </a:p>
      </cx:txPr>
    </cx:title>
    <cx:plotArea>
      <cx:plotAreaRegion>
        <cx:series layoutId="funnel" uniqueId="{17A3A2F8-C627-4A07-982D-DC74F92C8DCB}">
          <cx:dataPt idx="0">
            <cx:spPr>
              <a:solidFill>
                <a:srgbClr val="DA5037"/>
              </a:solidFill>
            </cx:spPr>
          </cx:dataPt>
          <cx:dataPt idx="1">
            <cx:spPr>
              <a:solidFill>
                <a:srgbClr val="F7991D"/>
              </a:solidFill>
            </cx:spPr>
          </cx:dataPt>
          <cx:dataPt idx="2">
            <cx:spPr>
              <a:solidFill>
                <a:srgbClr val="2C6CB5"/>
              </a:solidFill>
            </cx:spPr>
          </cx:dataPt>
          <cx:dataLabels>
            <cx:numFmt formatCode="0%" sourceLinked="0"/>
            <cx:txPr>
              <a:bodyPr spcFirstLastPara="1" vertOverflow="ellipsis" horzOverflow="overflow" wrap="square" lIns="0" tIns="0" rIns="0" bIns="0" anchor="ctr" anchorCtr="1"/>
              <a:lstStyle/>
              <a:p>
                <a:pPr algn="ctr" rtl="0">
                  <a:defRPr sz="800" b="1">
                    <a:solidFill>
                      <a:schemeClr val="bg1"/>
                    </a:solidFill>
                    <a:latin typeface="Arial" panose="020B0604020202020204" pitchFamily="34" charset="0"/>
                    <a:ea typeface="Arial" panose="020B0604020202020204" pitchFamily="34" charset="0"/>
                    <a:cs typeface="Arial" panose="020B0604020202020204" pitchFamily="34" charset="0"/>
                  </a:defRPr>
                </a:pPr>
                <a:endParaRPr lang="en-GB" sz="800" b="1" i="0" u="none" strike="noStrike" baseline="0">
                  <a:solidFill>
                    <a:schemeClr val="bg1"/>
                  </a:solidFill>
                  <a:latin typeface="Arial" panose="020B0604020202020204" pitchFamily="34" charset="0"/>
                  <a:cs typeface="Arial" panose="020B0604020202020204" pitchFamily="34" charset="0"/>
                </a:endParaRPr>
              </a:p>
            </cx:txPr>
            <cx:visibility seriesName="0" categoryName="0" value="1"/>
            <cx:separator>, </cx:separator>
          </cx:dataLabels>
          <cx:dataId val="0"/>
        </cx:series>
      </cx:plotAreaRegion>
      <cx:axis id="0">
        <cx:catScaling gapWidth="0.0599999987"/>
        <cx:tickLabels/>
        <cx:spPr>
          <a:ln w="12700">
            <a:solidFill>
              <a:schemeClr val="bg2"/>
            </a:solidFill>
          </a:ln>
        </cx:spPr>
        <cx:txPr>
          <a:bodyPr spcFirstLastPara="1" vertOverflow="ellipsis" horzOverflow="overflow" wrap="square" lIns="0" tIns="0" rIns="0" bIns="0" anchor="ctr" anchorCtr="1"/>
          <a:lstStyle/>
          <a:p>
            <a:pPr algn="ctr" rtl="0">
              <a:defRPr sz="80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b="0" i="0" u="none" strike="noStrike" baseline="0">
              <a:solidFill>
                <a:sysClr val="windowText" lastClr="000000"/>
              </a:solidFill>
              <a:latin typeface="Arial" panose="020B0604020202020204" pitchFamily="34" charset="0"/>
              <a:cs typeface="Arial" panose="020B06040202020202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2.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3.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4.xml><?xml version="1.0" encoding="utf-8"?>
<ds:datastoreItem xmlns:ds="http://schemas.openxmlformats.org/officeDocument/2006/customXml" ds:itemID="{185409D2-C79B-4CEF-BCBC-B2FE809A7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7</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Gabby Robertson</cp:lastModifiedBy>
  <cp:revision>282</cp:revision>
  <cp:lastPrinted>2023-04-20T02:06:00Z</cp:lastPrinted>
  <dcterms:created xsi:type="dcterms:W3CDTF">2023-04-12T17:49:00Z</dcterms:created>
  <dcterms:modified xsi:type="dcterms:W3CDTF">2023-04-20T02:06:00Z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