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F5" w:rsidRPr="003D5D86" w:rsidRDefault="00686DB4" w:rsidP="002E552D">
      <w:pPr>
        <w:jc w:val="both"/>
        <w:rPr>
          <w:sz w:val="30"/>
          <w:szCs w:val="30"/>
          <w:lang w:val="en-US"/>
        </w:rPr>
      </w:pPr>
      <w:r w:rsidRPr="003D5D86">
        <w:rPr>
          <w:sz w:val="30"/>
          <w:szCs w:val="30"/>
          <w:lang w:val="en-US"/>
        </w:rPr>
        <w:t>Community Services Directorate, ACT Government.</w:t>
      </w:r>
    </w:p>
    <w:p w:rsidR="00686DB4" w:rsidRPr="003D5D86" w:rsidRDefault="00686DB4" w:rsidP="002E552D">
      <w:pPr>
        <w:jc w:val="both"/>
        <w:rPr>
          <w:sz w:val="28"/>
          <w:szCs w:val="28"/>
          <w:lang w:val="en-US"/>
        </w:rPr>
      </w:pPr>
      <w:r w:rsidRPr="003D5D86">
        <w:rPr>
          <w:sz w:val="28"/>
          <w:szCs w:val="28"/>
          <w:lang w:val="en-US"/>
        </w:rPr>
        <w:t>Development of a Community Services Industry Plan in the ACT.</w:t>
      </w:r>
    </w:p>
    <w:p w:rsidR="00686DB4" w:rsidRPr="003D5D86" w:rsidRDefault="00686DB4" w:rsidP="002E552D">
      <w:pPr>
        <w:jc w:val="both"/>
        <w:rPr>
          <w:sz w:val="26"/>
          <w:szCs w:val="26"/>
          <w:lang w:val="en-US"/>
        </w:rPr>
      </w:pPr>
      <w:r w:rsidRPr="003D5D86">
        <w:rPr>
          <w:sz w:val="26"/>
          <w:szCs w:val="26"/>
          <w:lang w:val="en-US"/>
        </w:rPr>
        <w:t>Industry scoping paper.</w:t>
      </w:r>
    </w:p>
    <w:p w:rsidR="00686DB4" w:rsidRPr="003D5D86" w:rsidRDefault="00686DB4" w:rsidP="002E552D">
      <w:pPr>
        <w:jc w:val="both"/>
        <w:rPr>
          <w:sz w:val="24"/>
          <w:szCs w:val="24"/>
          <w:lang w:val="en-US"/>
        </w:rPr>
      </w:pPr>
      <w:r w:rsidRPr="003D5D86">
        <w:rPr>
          <w:sz w:val="24"/>
          <w:szCs w:val="24"/>
          <w:lang w:val="en-US"/>
        </w:rPr>
        <w:t>February 2016.</w:t>
      </w:r>
    </w:p>
    <w:p w:rsidR="00686DB4" w:rsidRDefault="00686DB4" w:rsidP="002E552D">
      <w:pPr>
        <w:jc w:val="both"/>
        <w:rPr>
          <w:lang w:val="en-US"/>
        </w:rPr>
      </w:pPr>
    </w:p>
    <w:p w:rsidR="00686DB4" w:rsidRPr="003D5D86" w:rsidRDefault="00686DB4" w:rsidP="002E552D">
      <w:pPr>
        <w:jc w:val="both"/>
        <w:rPr>
          <w:sz w:val="24"/>
          <w:szCs w:val="24"/>
          <w:lang w:val="en-US"/>
        </w:rPr>
      </w:pPr>
      <w:r w:rsidRPr="003D5D86">
        <w:rPr>
          <w:sz w:val="24"/>
          <w:szCs w:val="24"/>
          <w:lang w:val="en-US"/>
        </w:rPr>
        <w:t>Disclaimer</w:t>
      </w:r>
    </w:p>
    <w:p w:rsidR="00686DB4" w:rsidRPr="00686DB4" w:rsidRDefault="00686DB4" w:rsidP="002E552D">
      <w:pPr>
        <w:jc w:val="both"/>
        <w:rPr>
          <w:lang w:val="en-US"/>
        </w:rPr>
      </w:pPr>
      <w:r w:rsidRPr="00686DB4">
        <w:rPr>
          <w:lang w:val="en-US"/>
        </w:rPr>
        <w:t>Inherent Limitations</w:t>
      </w:r>
      <w:r w:rsidR="00002796">
        <w:rPr>
          <w:lang w:val="en-US"/>
        </w:rPr>
        <w:t>: t</w:t>
      </w:r>
      <w:r w:rsidRPr="00686DB4">
        <w:rPr>
          <w:lang w:val="en-US"/>
        </w:rPr>
        <w:t>his report has been prepared as outlined in the Scope Section. The services provided in connection with this engagement comprise an advisory engagement, which is not subject to assurance or other standards issued by the Australian Auditing and Assurance Standards Board and, consequently, no opinions or conclusions intended to convey assurance have been expressed. KPMG have indicated within this r</w:t>
      </w:r>
      <w:bookmarkStart w:id="0" w:name="_GoBack"/>
      <w:bookmarkEnd w:id="0"/>
      <w:r w:rsidRPr="00686DB4">
        <w:rPr>
          <w:lang w:val="en-US"/>
        </w:rPr>
        <w:t>eport the sources of the information provided.</w:t>
      </w:r>
      <w:r w:rsidR="00D87159">
        <w:rPr>
          <w:lang w:val="en-US"/>
        </w:rPr>
        <w:t xml:space="preserve"> </w:t>
      </w:r>
      <w:r w:rsidRPr="00686DB4">
        <w:rPr>
          <w:lang w:val="en-US"/>
        </w:rPr>
        <w:t>We have not sought to independently verify those sources unless otherwise noted within the report.</w:t>
      </w:r>
      <w:r w:rsidR="00D87159">
        <w:rPr>
          <w:lang w:val="en-US"/>
        </w:rPr>
        <w:t xml:space="preserve"> </w:t>
      </w:r>
      <w:r w:rsidRPr="00686DB4">
        <w:rPr>
          <w:lang w:val="en-US"/>
        </w:rPr>
        <w:t>The findings in this report have been formed on the above basis.</w:t>
      </w:r>
    </w:p>
    <w:p w:rsidR="00686DB4" w:rsidRPr="00686DB4" w:rsidRDefault="00686DB4" w:rsidP="002E552D">
      <w:pPr>
        <w:jc w:val="both"/>
        <w:rPr>
          <w:lang w:val="en-US"/>
        </w:rPr>
      </w:pPr>
      <w:r w:rsidRPr="00686DB4">
        <w:rPr>
          <w:lang w:val="en-US"/>
        </w:rPr>
        <w:t>Third Party Reliance</w:t>
      </w:r>
      <w:r w:rsidR="00002796">
        <w:rPr>
          <w:lang w:val="en-US"/>
        </w:rPr>
        <w:t>: t</w:t>
      </w:r>
      <w:r w:rsidRPr="00686DB4">
        <w:rPr>
          <w:lang w:val="en-US"/>
        </w:rPr>
        <w:t>his report is solely for the purpose set out in the Scope Section and for the Community Services Directorate, ACT Government’s information, and is not to be used for any other purpose or distributed to any other party without KPMG’s prior written consent.</w:t>
      </w:r>
    </w:p>
    <w:p w:rsidR="00686DB4" w:rsidRDefault="00686DB4" w:rsidP="002E552D">
      <w:pPr>
        <w:jc w:val="both"/>
        <w:rPr>
          <w:lang w:val="en-US"/>
        </w:rPr>
      </w:pPr>
      <w:r w:rsidRPr="00686DB4">
        <w:rPr>
          <w:lang w:val="en-US"/>
        </w:rPr>
        <w:t>This report has been prepared at the request of the Community Services Directorate, ACT Government in accordance with the terms of KPMG’s engagement letter dated 23 November 2015. Other than our responsibility to the Community Services Directorate, ACT Government neither KPMG nor any member or employee of KPMG undertakes responsibility arising in any way from reliance placed by a third party on this report.</w:t>
      </w:r>
      <w:r w:rsidR="00D87159">
        <w:rPr>
          <w:lang w:val="en-US"/>
        </w:rPr>
        <w:t xml:space="preserve"> </w:t>
      </w:r>
      <w:r w:rsidRPr="00686DB4">
        <w:rPr>
          <w:lang w:val="en-US"/>
        </w:rPr>
        <w:t>Any reliance placed is that party’s sole responsibility.</w:t>
      </w:r>
    </w:p>
    <w:p w:rsidR="00002796" w:rsidRDefault="00002796" w:rsidP="002E552D">
      <w:pPr>
        <w:jc w:val="both"/>
        <w:rPr>
          <w:lang w:val="en-US"/>
        </w:rPr>
      </w:pPr>
      <w:r>
        <w:rPr>
          <w:lang w:val="en-US"/>
        </w:rPr>
        <w:t>Accessibility: t</w:t>
      </w:r>
      <w:r w:rsidRPr="00002796">
        <w:rPr>
          <w:lang w:val="en-US"/>
        </w:rPr>
        <w:t>o comply with the</w:t>
      </w:r>
      <w:r w:rsidR="006E63B4" w:rsidRPr="00686DB4">
        <w:rPr>
          <w:lang w:val="en-US"/>
        </w:rPr>
        <w:t xml:space="preserve"> Community Services Directorate, ACT Government</w:t>
      </w:r>
      <w:r w:rsidR="006E63B4">
        <w:rPr>
          <w:lang w:val="en-US"/>
        </w:rPr>
        <w:t>’s</w:t>
      </w:r>
      <w:r w:rsidR="006E63B4" w:rsidRPr="00002796">
        <w:rPr>
          <w:lang w:val="en-US"/>
        </w:rPr>
        <w:t xml:space="preserve"> </w:t>
      </w:r>
      <w:r w:rsidRPr="00002796">
        <w:rPr>
          <w:lang w:val="en-US"/>
        </w:rPr>
        <w:t>accessibility requirements for publishing on the internet, two versions of this Report are available: a KPMG-branded PDF version and an unbranded Microsoft Word version. The KPMG-branded PDF version of this Report remains the definitive version of this Report.</w:t>
      </w:r>
    </w:p>
    <w:p w:rsidR="007F48F9" w:rsidRDefault="00002796" w:rsidP="002E552D">
      <w:pPr>
        <w:jc w:val="both"/>
        <w:rPr>
          <w:lang w:val="en-US"/>
        </w:rPr>
      </w:pPr>
      <w:r>
        <w:rPr>
          <w:lang w:val="en-US"/>
        </w:rPr>
        <w:br w:type="column"/>
      </w:r>
      <w:r w:rsidR="007F48F9">
        <w:rPr>
          <w:lang w:val="en-US"/>
        </w:rPr>
        <w:lastRenderedPageBreak/>
        <w:t>Table of contents</w:t>
      </w:r>
    </w:p>
    <w:p w:rsidR="0084187A" w:rsidRDefault="007F48F9">
      <w:pPr>
        <w:pStyle w:val="TOC1"/>
        <w:tabs>
          <w:tab w:val="left" w:pos="440"/>
          <w:tab w:val="right" w:leader="dot" w:pos="9016"/>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442184818" w:history="1">
        <w:r w:rsidR="0084187A" w:rsidRPr="00521508">
          <w:rPr>
            <w:rStyle w:val="Hyperlink"/>
            <w:noProof/>
          </w:rPr>
          <w:t>1.</w:t>
        </w:r>
        <w:r w:rsidR="0084187A">
          <w:rPr>
            <w:rFonts w:asciiTheme="minorHAnsi" w:eastAsiaTheme="minorEastAsia" w:hAnsiTheme="minorHAnsi" w:cstheme="minorBidi"/>
            <w:noProof/>
            <w:lang w:eastAsia="en-AU"/>
          </w:rPr>
          <w:tab/>
        </w:r>
        <w:r w:rsidR="0084187A" w:rsidRPr="00521508">
          <w:rPr>
            <w:rStyle w:val="Hyperlink"/>
            <w:noProof/>
          </w:rPr>
          <w:t>Introduction</w:t>
        </w:r>
        <w:r w:rsidR="0084187A">
          <w:rPr>
            <w:noProof/>
            <w:webHidden/>
          </w:rPr>
          <w:tab/>
        </w:r>
        <w:r w:rsidR="0084187A">
          <w:rPr>
            <w:noProof/>
            <w:webHidden/>
          </w:rPr>
          <w:fldChar w:fldCharType="begin"/>
        </w:r>
        <w:r w:rsidR="0084187A">
          <w:rPr>
            <w:noProof/>
            <w:webHidden/>
          </w:rPr>
          <w:instrText xml:space="preserve"> PAGEREF _Toc442184818 \h </w:instrText>
        </w:r>
        <w:r w:rsidR="0084187A">
          <w:rPr>
            <w:noProof/>
            <w:webHidden/>
          </w:rPr>
        </w:r>
        <w:r w:rsidR="0084187A">
          <w:rPr>
            <w:noProof/>
            <w:webHidden/>
          </w:rPr>
          <w:fldChar w:fldCharType="separate"/>
        </w:r>
        <w:r w:rsidR="00342B65">
          <w:rPr>
            <w:noProof/>
            <w:webHidden/>
          </w:rPr>
          <w:t>3</w:t>
        </w:r>
        <w:r w:rsidR="0084187A">
          <w:rPr>
            <w:noProof/>
            <w:webHidden/>
          </w:rPr>
          <w:fldChar w:fldCharType="end"/>
        </w:r>
      </w:hyperlink>
    </w:p>
    <w:p w:rsidR="0084187A" w:rsidRDefault="00FD6428">
      <w:pPr>
        <w:pStyle w:val="TOC2"/>
        <w:tabs>
          <w:tab w:val="left" w:pos="880"/>
          <w:tab w:val="right" w:leader="dot" w:pos="9016"/>
        </w:tabs>
        <w:rPr>
          <w:rFonts w:asciiTheme="minorHAnsi" w:eastAsiaTheme="minorEastAsia" w:hAnsiTheme="minorHAnsi" w:cstheme="minorBidi"/>
          <w:noProof/>
          <w:lang w:eastAsia="en-AU"/>
        </w:rPr>
      </w:pPr>
      <w:hyperlink w:anchor="_Toc442184819" w:history="1">
        <w:r w:rsidR="0084187A" w:rsidRPr="00521508">
          <w:rPr>
            <w:rStyle w:val="Hyperlink"/>
            <w:noProof/>
          </w:rPr>
          <w:t>1.1</w:t>
        </w:r>
        <w:r w:rsidR="0084187A">
          <w:rPr>
            <w:rFonts w:asciiTheme="minorHAnsi" w:eastAsiaTheme="minorEastAsia" w:hAnsiTheme="minorHAnsi" w:cstheme="minorBidi"/>
            <w:noProof/>
            <w:lang w:eastAsia="en-AU"/>
          </w:rPr>
          <w:tab/>
        </w:r>
        <w:r w:rsidR="0084187A" w:rsidRPr="00521508">
          <w:rPr>
            <w:rStyle w:val="Hyperlink"/>
            <w:noProof/>
          </w:rPr>
          <w:t>What is an industry plan?</w:t>
        </w:r>
        <w:r w:rsidR="0084187A">
          <w:rPr>
            <w:noProof/>
            <w:webHidden/>
          </w:rPr>
          <w:tab/>
        </w:r>
        <w:r w:rsidR="0084187A">
          <w:rPr>
            <w:noProof/>
            <w:webHidden/>
          </w:rPr>
          <w:fldChar w:fldCharType="begin"/>
        </w:r>
        <w:r w:rsidR="0084187A">
          <w:rPr>
            <w:noProof/>
            <w:webHidden/>
          </w:rPr>
          <w:instrText xml:space="preserve"> PAGEREF _Toc442184819 \h </w:instrText>
        </w:r>
        <w:r w:rsidR="0084187A">
          <w:rPr>
            <w:noProof/>
            <w:webHidden/>
          </w:rPr>
        </w:r>
        <w:r w:rsidR="0084187A">
          <w:rPr>
            <w:noProof/>
            <w:webHidden/>
          </w:rPr>
          <w:fldChar w:fldCharType="separate"/>
        </w:r>
        <w:r w:rsidR="00342B65">
          <w:rPr>
            <w:noProof/>
            <w:webHidden/>
          </w:rPr>
          <w:t>3</w:t>
        </w:r>
        <w:r w:rsidR="0084187A">
          <w:rPr>
            <w:noProof/>
            <w:webHidden/>
          </w:rPr>
          <w:fldChar w:fldCharType="end"/>
        </w:r>
      </w:hyperlink>
    </w:p>
    <w:p w:rsidR="0084187A" w:rsidRDefault="00FD6428">
      <w:pPr>
        <w:pStyle w:val="TOC2"/>
        <w:tabs>
          <w:tab w:val="left" w:pos="880"/>
          <w:tab w:val="right" w:leader="dot" w:pos="9016"/>
        </w:tabs>
        <w:rPr>
          <w:rFonts w:asciiTheme="minorHAnsi" w:eastAsiaTheme="minorEastAsia" w:hAnsiTheme="minorHAnsi" w:cstheme="minorBidi"/>
          <w:noProof/>
          <w:lang w:eastAsia="en-AU"/>
        </w:rPr>
      </w:pPr>
      <w:hyperlink w:anchor="_Toc442184820" w:history="1">
        <w:r w:rsidR="0084187A" w:rsidRPr="00521508">
          <w:rPr>
            <w:rStyle w:val="Hyperlink"/>
            <w:noProof/>
          </w:rPr>
          <w:t>1.2</w:t>
        </w:r>
        <w:r w:rsidR="0084187A">
          <w:rPr>
            <w:rFonts w:asciiTheme="minorHAnsi" w:eastAsiaTheme="minorEastAsia" w:hAnsiTheme="minorHAnsi" w:cstheme="minorBidi"/>
            <w:noProof/>
            <w:lang w:eastAsia="en-AU"/>
          </w:rPr>
          <w:tab/>
        </w:r>
        <w:r w:rsidR="0084187A" w:rsidRPr="00521508">
          <w:rPr>
            <w:rStyle w:val="Hyperlink"/>
            <w:noProof/>
          </w:rPr>
          <w:t>What does an industry plan offer?</w:t>
        </w:r>
        <w:r w:rsidR="0084187A">
          <w:rPr>
            <w:noProof/>
            <w:webHidden/>
          </w:rPr>
          <w:tab/>
        </w:r>
        <w:r w:rsidR="0084187A">
          <w:rPr>
            <w:noProof/>
            <w:webHidden/>
          </w:rPr>
          <w:fldChar w:fldCharType="begin"/>
        </w:r>
        <w:r w:rsidR="0084187A">
          <w:rPr>
            <w:noProof/>
            <w:webHidden/>
          </w:rPr>
          <w:instrText xml:space="preserve"> PAGEREF _Toc442184820 \h </w:instrText>
        </w:r>
        <w:r w:rsidR="0084187A">
          <w:rPr>
            <w:noProof/>
            <w:webHidden/>
          </w:rPr>
        </w:r>
        <w:r w:rsidR="0084187A">
          <w:rPr>
            <w:noProof/>
            <w:webHidden/>
          </w:rPr>
          <w:fldChar w:fldCharType="separate"/>
        </w:r>
        <w:r w:rsidR="00342B65">
          <w:rPr>
            <w:noProof/>
            <w:webHidden/>
          </w:rPr>
          <w:t>4</w:t>
        </w:r>
        <w:r w:rsidR="0084187A">
          <w:rPr>
            <w:noProof/>
            <w:webHidden/>
          </w:rPr>
          <w:fldChar w:fldCharType="end"/>
        </w:r>
      </w:hyperlink>
    </w:p>
    <w:p w:rsidR="0084187A" w:rsidRDefault="00FD6428">
      <w:pPr>
        <w:pStyle w:val="TOC2"/>
        <w:tabs>
          <w:tab w:val="left" w:pos="880"/>
          <w:tab w:val="right" w:leader="dot" w:pos="9016"/>
        </w:tabs>
        <w:rPr>
          <w:rFonts w:asciiTheme="minorHAnsi" w:eastAsiaTheme="minorEastAsia" w:hAnsiTheme="minorHAnsi" w:cstheme="minorBidi"/>
          <w:noProof/>
          <w:lang w:eastAsia="en-AU"/>
        </w:rPr>
      </w:pPr>
      <w:hyperlink w:anchor="_Toc442184821" w:history="1">
        <w:r w:rsidR="0084187A" w:rsidRPr="00521508">
          <w:rPr>
            <w:rStyle w:val="Hyperlink"/>
            <w:noProof/>
          </w:rPr>
          <w:t>1.3</w:t>
        </w:r>
        <w:r w:rsidR="0084187A">
          <w:rPr>
            <w:rFonts w:asciiTheme="minorHAnsi" w:eastAsiaTheme="minorEastAsia" w:hAnsiTheme="minorHAnsi" w:cstheme="minorBidi"/>
            <w:noProof/>
            <w:lang w:eastAsia="en-AU"/>
          </w:rPr>
          <w:tab/>
        </w:r>
        <w:r w:rsidR="0084187A" w:rsidRPr="00521508">
          <w:rPr>
            <w:rStyle w:val="Hyperlink"/>
            <w:noProof/>
          </w:rPr>
          <w:t>Are we an industry?</w:t>
        </w:r>
        <w:r w:rsidR="0084187A">
          <w:rPr>
            <w:noProof/>
            <w:webHidden/>
          </w:rPr>
          <w:tab/>
        </w:r>
        <w:r w:rsidR="0084187A">
          <w:rPr>
            <w:noProof/>
            <w:webHidden/>
          </w:rPr>
          <w:fldChar w:fldCharType="begin"/>
        </w:r>
        <w:r w:rsidR="0084187A">
          <w:rPr>
            <w:noProof/>
            <w:webHidden/>
          </w:rPr>
          <w:instrText xml:space="preserve"> PAGEREF _Toc442184821 \h </w:instrText>
        </w:r>
        <w:r w:rsidR="0084187A">
          <w:rPr>
            <w:noProof/>
            <w:webHidden/>
          </w:rPr>
        </w:r>
        <w:r w:rsidR="0084187A">
          <w:rPr>
            <w:noProof/>
            <w:webHidden/>
          </w:rPr>
          <w:fldChar w:fldCharType="separate"/>
        </w:r>
        <w:r w:rsidR="00342B65">
          <w:rPr>
            <w:noProof/>
            <w:webHidden/>
          </w:rPr>
          <w:t>5</w:t>
        </w:r>
        <w:r w:rsidR="0084187A">
          <w:rPr>
            <w:noProof/>
            <w:webHidden/>
          </w:rPr>
          <w:fldChar w:fldCharType="end"/>
        </w:r>
      </w:hyperlink>
    </w:p>
    <w:p w:rsidR="0084187A" w:rsidRDefault="00FD6428">
      <w:pPr>
        <w:pStyle w:val="TOC2"/>
        <w:tabs>
          <w:tab w:val="left" w:pos="880"/>
          <w:tab w:val="right" w:leader="dot" w:pos="9016"/>
        </w:tabs>
        <w:rPr>
          <w:rFonts w:asciiTheme="minorHAnsi" w:eastAsiaTheme="minorEastAsia" w:hAnsiTheme="minorHAnsi" w:cstheme="minorBidi"/>
          <w:noProof/>
          <w:lang w:eastAsia="en-AU"/>
        </w:rPr>
      </w:pPr>
      <w:hyperlink w:anchor="_Toc442184822" w:history="1">
        <w:r w:rsidR="0084187A" w:rsidRPr="00521508">
          <w:rPr>
            <w:rStyle w:val="Hyperlink"/>
            <w:noProof/>
          </w:rPr>
          <w:t>1.4</w:t>
        </w:r>
        <w:r w:rsidR="0084187A">
          <w:rPr>
            <w:rFonts w:asciiTheme="minorHAnsi" w:eastAsiaTheme="minorEastAsia" w:hAnsiTheme="minorHAnsi" w:cstheme="minorBidi"/>
            <w:noProof/>
            <w:lang w:eastAsia="en-AU"/>
          </w:rPr>
          <w:tab/>
        </w:r>
        <w:r w:rsidR="0084187A" w:rsidRPr="00521508">
          <w:rPr>
            <w:rStyle w:val="Hyperlink"/>
            <w:noProof/>
          </w:rPr>
          <w:t>Lessons learnt from previous international efforts</w:t>
        </w:r>
        <w:r w:rsidR="0084187A">
          <w:rPr>
            <w:noProof/>
            <w:webHidden/>
          </w:rPr>
          <w:tab/>
        </w:r>
        <w:r w:rsidR="0084187A">
          <w:rPr>
            <w:noProof/>
            <w:webHidden/>
          </w:rPr>
          <w:fldChar w:fldCharType="begin"/>
        </w:r>
        <w:r w:rsidR="0084187A">
          <w:rPr>
            <w:noProof/>
            <w:webHidden/>
          </w:rPr>
          <w:instrText xml:space="preserve"> PAGEREF _Toc442184822 \h </w:instrText>
        </w:r>
        <w:r w:rsidR="0084187A">
          <w:rPr>
            <w:noProof/>
            <w:webHidden/>
          </w:rPr>
        </w:r>
        <w:r w:rsidR="0084187A">
          <w:rPr>
            <w:noProof/>
            <w:webHidden/>
          </w:rPr>
          <w:fldChar w:fldCharType="separate"/>
        </w:r>
        <w:r w:rsidR="00342B65">
          <w:rPr>
            <w:noProof/>
            <w:webHidden/>
          </w:rPr>
          <w:t>6</w:t>
        </w:r>
        <w:r w:rsidR="0084187A">
          <w:rPr>
            <w:noProof/>
            <w:webHidden/>
          </w:rPr>
          <w:fldChar w:fldCharType="end"/>
        </w:r>
      </w:hyperlink>
    </w:p>
    <w:p w:rsidR="0084187A" w:rsidRDefault="00FD6428">
      <w:pPr>
        <w:pStyle w:val="TOC1"/>
        <w:tabs>
          <w:tab w:val="left" w:pos="440"/>
          <w:tab w:val="right" w:leader="dot" w:pos="9016"/>
        </w:tabs>
        <w:rPr>
          <w:rFonts w:asciiTheme="minorHAnsi" w:eastAsiaTheme="minorEastAsia" w:hAnsiTheme="minorHAnsi" w:cstheme="minorBidi"/>
          <w:noProof/>
          <w:lang w:eastAsia="en-AU"/>
        </w:rPr>
      </w:pPr>
      <w:hyperlink w:anchor="_Toc442184823" w:history="1">
        <w:r w:rsidR="0084187A" w:rsidRPr="00521508">
          <w:rPr>
            <w:rStyle w:val="Hyperlink"/>
            <w:noProof/>
          </w:rPr>
          <w:t>2.</w:t>
        </w:r>
        <w:r w:rsidR="0084187A">
          <w:rPr>
            <w:rFonts w:asciiTheme="minorHAnsi" w:eastAsiaTheme="minorEastAsia" w:hAnsiTheme="minorHAnsi" w:cstheme="minorBidi"/>
            <w:noProof/>
            <w:lang w:eastAsia="en-AU"/>
          </w:rPr>
          <w:tab/>
        </w:r>
        <w:r w:rsidR="0084187A" w:rsidRPr="00521508">
          <w:rPr>
            <w:rStyle w:val="Hyperlink"/>
            <w:noProof/>
          </w:rPr>
          <w:t>Building on past Australian Capital Territory work</w:t>
        </w:r>
        <w:r w:rsidR="0084187A">
          <w:rPr>
            <w:noProof/>
            <w:webHidden/>
          </w:rPr>
          <w:tab/>
        </w:r>
        <w:r w:rsidR="0084187A">
          <w:rPr>
            <w:noProof/>
            <w:webHidden/>
          </w:rPr>
          <w:fldChar w:fldCharType="begin"/>
        </w:r>
        <w:r w:rsidR="0084187A">
          <w:rPr>
            <w:noProof/>
            <w:webHidden/>
          </w:rPr>
          <w:instrText xml:space="preserve"> PAGEREF _Toc442184823 \h </w:instrText>
        </w:r>
        <w:r w:rsidR="0084187A">
          <w:rPr>
            <w:noProof/>
            <w:webHidden/>
          </w:rPr>
        </w:r>
        <w:r w:rsidR="0084187A">
          <w:rPr>
            <w:noProof/>
            <w:webHidden/>
          </w:rPr>
          <w:fldChar w:fldCharType="separate"/>
        </w:r>
        <w:r w:rsidR="00342B65">
          <w:rPr>
            <w:noProof/>
            <w:webHidden/>
          </w:rPr>
          <w:t>7</w:t>
        </w:r>
        <w:r w:rsidR="0084187A">
          <w:rPr>
            <w:noProof/>
            <w:webHidden/>
          </w:rPr>
          <w:fldChar w:fldCharType="end"/>
        </w:r>
      </w:hyperlink>
    </w:p>
    <w:p w:rsidR="0084187A" w:rsidRDefault="00FD6428">
      <w:pPr>
        <w:pStyle w:val="TOC1"/>
        <w:tabs>
          <w:tab w:val="left" w:pos="440"/>
          <w:tab w:val="right" w:leader="dot" w:pos="9016"/>
        </w:tabs>
        <w:rPr>
          <w:rFonts w:asciiTheme="minorHAnsi" w:eastAsiaTheme="minorEastAsia" w:hAnsiTheme="minorHAnsi" w:cstheme="minorBidi"/>
          <w:noProof/>
          <w:lang w:eastAsia="en-AU"/>
        </w:rPr>
      </w:pPr>
      <w:hyperlink w:anchor="_Toc442184824" w:history="1">
        <w:r w:rsidR="0084187A" w:rsidRPr="00521508">
          <w:rPr>
            <w:rStyle w:val="Hyperlink"/>
            <w:noProof/>
          </w:rPr>
          <w:t>3.</w:t>
        </w:r>
        <w:r w:rsidR="0084187A">
          <w:rPr>
            <w:rFonts w:asciiTheme="minorHAnsi" w:eastAsiaTheme="minorEastAsia" w:hAnsiTheme="minorHAnsi" w:cstheme="minorBidi"/>
            <w:noProof/>
            <w:lang w:eastAsia="en-AU"/>
          </w:rPr>
          <w:tab/>
        </w:r>
        <w:r w:rsidR="0084187A" w:rsidRPr="00521508">
          <w:rPr>
            <w:rStyle w:val="Hyperlink"/>
            <w:noProof/>
          </w:rPr>
          <w:t>The community services industry</w:t>
        </w:r>
        <w:r w:rsidR="0084187A">
          <w:rPr>
            <w:noProof/>
            <w:webHidden/>
          </w:rPr>
          <w:tab/>
        </w:r>
        <w:r w:rsidR="0084187A">
          <w:rPr>
            <w:noProof/>
            <w:webHidden/>
          </w:rPr>
          <w:fldChar w:fldCharType="begin"/>
        </w:r>
        <w:r w:rsidR="0084187A">
          <w:rPr>
            <w:noProof/>
            <w:webHidden/>
          </w:rPr>
          <w:instrText xml:space="preserve"> PAGEREF _Toc442184824 \h </w:instrText>
        </w:r>
        <w:r w:rsidR="0084187A">
          <w:rPr>
            <w:noProof/>
            <w:webHidden/>
          </w:rPr>
        </w:r>
        <w:r w:rsidR="0084187A">
          <w:rPr>
            <w:noProof/>
            <w:webHidden/>
          </w:rPr>
          <w:fldChar w:fldCharType="separate"/>
        </w:r>
        <w:r w:rsidR="00342B65">
          <w:rPr>
            <w:noProof/>
            <w:webHidden/>
          </w:rPr>
          <w:t>8</w:t>
        </w:r>
        <w:r w:rsidR="0084187A">
          <w:rPr>
            <w:noProof/>
            <w:webHidden/>
          </w:rPr>
          <w:fldChar w:fldCharType="end"/>
        </w:r>
      </w:hyperlink>
    </w:p>
    <w:p w:rsidR="0084187A" w:rsidRDefault="00FD6428">
      <w:pPr>
        <w:pStyle w:val="TOC2"/>
        <w:tabs>
          <w:tab w:val="right" w:leader="dot" w:pos="9016"/>
        </w:tabs>
        <w:rPr>
          <w:rFonts w:asciiTheme="minorHAnsi" w:eastAsiaTheme="minorEastAsia" w:hAnsiTheme="minorHAnsi" w:cstheme="minorBidi"/>
          <w:noProof/>
          <w:lang w:eastAsia="en-AU"/>
        </w:rPr>
      </w:pPr>
      <w:hyperlink w:anchor="_Toc442184825" w:history="1">
        <w:r w:rsidR="0084187A" w:rsidRPr="00521508">
          <w:rPr>
            <w:rStyle w:val="Hyperlink"/>
            <w:noProof/>
          </w:rPr>
          <w:t>3.1 Defining the industry</w:t>
        </w:r>
        <w:r w:rsidR="0084187A">
          <w:rPr>
            <w:noProof/>
            <w:webHidden/>
          </w:rPr>
          <w:tab/>
        </w:r>
        <w:r w:rsidR="0084187A">
          <w:rPr>
            <w:noProof/>
            <w:webHidden/>
          </w:rPr>
          <w:fldChar w:fldCharType="begin"/>
        </w:r>
        <w:r w:rsidR="0084187A">
          <w:rPr>
            <w:noProof/>
            <w:webHidden/>
          </w:rPr>
          <w:instrText xml:space="preserve"> PAGEREF _Toc442184825 \h </w:instrText>
        </w:r>
        <w:r w:rsidR="0084187A">
          <w:rPr>
            <w:noProof/>
            <w:webHidden/>
          </w:rPr>
        </w:r>
        <w:r w:rsidR="0084187A">
          <w:rPr>
            <w:noProof/>
            <w:webHidden/>
          </w:rPr>
          <w:fldChar w:fldCharType="separate"/>
        </w:r>
        <w:r w:rsidR="00342B65">
          <w:rPr>
            <w:noProof/>
            <w:webHidden/>
          </w:rPr>
          <w:t>8</w:t>
        </w:r>
        <w:r w:rsidR="0084187A">
          <w:rPr>
            <w:noProof/>
            <w:webHidden/>
          </w:rPr>
          <w:fldChar w:fldCharType="end"/>
        </w:r>
      </w:hyperlink>
    </w:p>
    <w:p w:rsidR="0084187A" w:rsidRDefault="00FD6428">
      <w:pPr>
        <w:pStyle w:val="TOC2"/>
        <w:tabs>
          <w:tab w:val="right" w:leader="dot" w:pos="9016"/>
        </w:tabs>
        <w:rPr>
          <w:rFonts w:asciiTheme="minorHAnsi" w:eastAsiaTheme="minorEastAsia" w:hAnsiTheme="minorHAnsi" w:cstheme="minorBidi"/>
          <w:noProof/>
          <w:lang w:eastAsia="en-AU"/>
        </w:rPr>
      </w:pPr>
      <w:hyperlink w:anchor="_Toc442184826" w:history="1">
        <w:r w:rsidR="0084187A" w:rsidRPr="00521508">
          <w:rPr>
            <w:rStyle w:val="Hyperlink"/>
            <w:noProof/>
          </w:rPr>
          <w:t>3.2 Profile of the sector</w:t>
        </w:r>
        <w:r w:rsidR="0084187A">
          <w:rPr>
            <w:noProof/>
            <w:webHidden/>
          </w:rPr>
          <w:tab/>
        </w:r>
        <w:r w:rsidR="0084187A">
          <w:rPr>
            <w:noProof/>
            <w:webHidden/>
          </w:rPr>
          <w:fldChar w:fldCharType="begin"/>
        </w:r>
        <w:r w:rsidR="0084187A">
          <w:rPr>
            <w:noProof/>
            <w:webHidden/>
          </w:rPr>
          <w:instrText xml:space="preserve"> PAGEREF _Toc442184826 \h </w:instrText>
        </w:r>
        <w:r w:rsidR="0084187A">
          <w:rPr>
            <w:noProof/>
            <w:webHidden/>
          </w:rPr>
        </w:r>
        <w:r w:rsidR="0084187A">
          <w:rPr>
            <w:noProof/>
            <w:webHidden/>
          </w:rPr>
          <w:fldChar w:fldCharType="separate"/>
        </w:r>
        <w:r w:rsidR="00342B65">
          <w:rPr>
            <w:noProof/>
            <w:webHidden/>
          </w:rPr>
          <w:t>9</w:t>
        </w:r>
        <w:r w:rsidR="0084187A">
          <w:rPr>
            <w:noProof/>
            <w:webHidden/>
          </w:rPr>
          <w:fldChar w:fldCharType="end"/>
        </w:r>
      </w:hyperlink>
    </w:p>
    <w:p w:rsidR="0084187A" w:rsidRDefault="00FD6428">
      <w:pPr>
        <w:pStyle w:val="TOC2"/>
        <w:tabs>
          <w:tab w:val="right" w:leader="dot" w:pos="9016"/>
        </w:tabs>
        <w:rPr>
          <w:rFonts w:asciiTheme="minorHAnsi" w:eastAsiaTheme="minorEastAsia" w:hAnsiTheme="minorHAnsi" w:cstheme="minorBidi"/>
          <w:noProof/>
          <w:lang w:eastAsia="en-AU"/>
        </w:rPr>
      </w:pPr>
      <w:hyperlink w:anchor="_Toc442184827" w:history="1">
        <w:r w:rsidR="0084187A" w:rsidRPr="00521508">
          <w:rPr>
            <w:rStyle w:val="Hyperlink"/>
            <w:noProof/>
          </w:rPr>
          <w:t>3.3 Economic importance of the sector</w:t>
        </w:r>
        <w:r w:rsidR="0084187A">
          <w:rPr>
            <w:noProof/>
            <w:webHidden/>
          </w:rPr>
          <w:tab/>
        </w:r>
        <w:r w:rsidR="0084187A">
          <w:rPr>
            <w:noProof/>
            <w:webHidden/>
          </w:rPr>
          <w:fldChar w:fldCharType="begin"/>
        </w:r>
        <w:r w:rsidR="0084187A">
          <w:rPr>
            <w:noProof/>
            <w:webHidden/>
          </w:rPr>
          <w:instrText xml:space="preserve"> PAGEREF _Toc442184827 \h </w:instrText>
        </w:r>
        <w:r w:rsidR="0084187A">
          <w:rPr>
            <w:noProof/>
            <w:webHidden/>
          </w:rPr>
        </w:r>
        <w:r w:rsidR="0084187A">
          <w:rPr>
            <w:noProof/>
            <w:webHidden/>
          </w:rPr>
          <w:fldChar w:fldCharType="separate"/>
        </w:r>
        <w:r w:rsidR="00342B65">
          <w:rPr>
            <w:noProof/>
            <w:webHidden/>
          </w:rPr>
          <w:t>10</w:t>
        </w:r>
        <w:r w:rsidR="0084187A">
          <w:rPr>
            <w:noProof/>
            <w:webHidden/>
          </w:rPr>
          <w:fldChar w:fldCharType="end"/>
        </w:r>
      </w:hyperlink>
    </w:p>
    <w:p w:rsidR="0084187A" w:rsidRDefault="00FD6428">
      <w:pPr>
        <w:pStyle w:val="TOC3"/>
        <w:tabs>
          <w:tab w:val="right" w:leader="dot" w:pos="9016"/>
        </w:tabs>
        <w:rPr>
          <w:rFonts w:asciiTheme="minorHAnsi" w:eastAsiaTheme="minorEastAsia" w:hAnsiTheme="minorHAnsi" w:cstheme="minorBidi"/>
          <w:noProof/>
          <w:lang w:eastAsia="en-AU"/>
        </w:rPr>
      </w:pPr>
      <w:hyperlink w:anchor="_Toc442184828" w:history="1">
        <w:r w:rsidR="0084187A" w:rsidRPr="00521508">
          <w:rPr>
            <w:rStyle w:val="Hyperlink"/>
            <w:noProof/>
          </w:rPr>
          <w:t>Economic contribution</w:t>
        </w:r>
        <w:r w:rsidR="0084187A">
          <w:rPr>
            <w:noProof/>
            <w:webHidden/>
          </w:rPr>
          <w:tab/>
        </w:r>
        <w:r w:rsidR="0084187A">
          <w:rPr>
            <w:noProof/>
            <w:webHidden/>
          </w:rPr>
          <w:fldChar w:fldCharType="begin"/>
        </w:r>
        <w:r w:rsidR="0084187A">
          <w:rPr>
            <w:noProof/>
            <w:webHidden/>
          </w:rPr>
          <w:instrText xml:space="preserve"> PAGEREF _Toc442184828 \h </w:instrText>
        </w:r>
        <w:r w:rsidR="0084187A">
          <w:rPr>
            <w:noProof/>
            <w:webHidden/>
          </w:rPr>
        </w:r>
        <w:r w:rsidR="0084187A">
          <w:rPr>
            <w:noProof/>
            <w:webHidden/>
          </w:rPr>
          <w:fldChar w:fldCharType="separate"/>
        </w:r>
        <w:r w:rsidR="00342B65">
          <w:rPr>
            <w:noProof/>
            <w:webHidden/>
          </w:rPr>
          <w:t>10</w:t>
        </w:r>
        <w:r w:rsidR="0084187A">
          <w:rPr>
            <w:noProof/>
            <w:webHidden/>
          </w:rPr>
          <w:fldChar w:fldCharType="end"/>
        </w:r>
      </w:hyperlink>
    </w:p>
    <w:p w:rsidR="0084187A" w:rsidRDefault="00FD6428">
      <w:pPr>
        <w:pStyle w:val="TOC3"/>
        <w:tabs>
          <w:tab w:val="right" w:leader="dot" w:pos="9016"/>
        </w:tabs>
        <w:rPr>
          <w:rFonts w:asciiTheme="minorHAnsi" w:eastAsiaTheme="minorEastAsia" w:hAnsiTheme="minorHAnsi" w:cstheme="minorBidi"/>
          <w:noProof/>
          <w:lang w:eastAsia="en-AU"/>
        </w:rPr>
      </w:pPr>
      <w:hyperlink w:anchor="_Toc442184829" w:history="1">
        <w:r w:rsidR="0084187A" w:rsidRPr="00521508">
          <w:rPr>
            <w:rStyle w:val="Hyperlink"/>
            <w:noProof/>
          </w:rPr>
          <w:t>Employment</w:t>
        </w:r>
        <w:r w:rsidR="0084187A">
          <w:rPr>
            <w:noProof/>
            <w:webHidden/>
          </w:rPr>
          <w:tab/>
        </w:r>
        <w:r w:rsidR="0084187A">
          <w:rPr>
            <w:noProof/>
            <w:webHidden/>
          </w:rPr>
          <w:fldChar w:fldCharType="begin"/>
        </w:r>
        <w:r w:rsidR="0084187A">
          <w:rPr>
            <w:noProof/>
            <w:webHidden/>
          </w:rPr>
          <w:instrText xml:space="preserve"> PAGEREF _Toc442184829 \h </w:instrText>
        </w:r>
        <w:r w:rsidR="0084187A">
          <w:rPr>
            <w:noProof/>
            <w:webHidden/>
          </w:rPr>
        </w:r>
        <w:r w:rsidR="0084187A">
          <w:rPr>
            <w:noProof/>
            <w:webHidden/>
          </w:rPr>
          <w:fldChar w:fldCharType="separate"/>
        </w:r>
        <w:r w:rsidR="00342B65">
          <w:rPr>
            <w:noProof/>
            <w:webHidden/>
          </w:rPr>
          <w:t>11</w:t>
        </w:r>
        <w:r w:rsidR="0084187A">
          <w:rPr>
            <w:noProof/>
            <w:webHidden/>
          </w:rPr>
          <w:fldChar w:fldCharType="end"/>
        </w:r>
      </w:hyperlink>
    </w:p>
    <w:p w:rsidR="0084187A" w:rsidRDefault="00FD6428">
      <w:pPr>
        <w:pStyle w:val="TOC3"/>
        <w:tabs>
          <w:tab w:val="right" w:leader="dot" w:pos="9016"/>
        </w:tabs>
        <w:rPr>
          <w:rFonts w:asciiTheme="minorHAnsi" w:eastAsiaTheme="minorEastAsia" w:hAnsiTheme="minorHAnsi" w:cstheme="minorBidi"/>
          <w:noProof/>
          <w:lang w:eastAsia="en-AU"/>
        </w:rPr>
      </w:pPr>
      <w:hyperlink w:anchor="_Toc442184830" w:history="1">
        <w:r w:rsidR="0084187A" w:rsidRPr="00521508">
          <w:rPr>
            <w:rStyle w:val="Hyperlink"/>
            <w:noProof/>
          </w:rPr>
          <w:t>Social impact, social capital and sustainability</w:t>
        </w:r>
        <w:r w:rsidR="0084187A">
          <w:rPr>
            <w:noProof/>
            <w:webHidden/>
          </w:rPr>
          <w:tab/>
        </w:r>
        <w:r w:rsidR="0084187A">
          <w:rPr>
            <w:noProof/>
            <w:webHidden/>
          </w:rPr>
          <w:fldChar w:fldCharType="begin"/>
        </w:r>
        <w:r w:rsidR="0084187A">
          <w:rPr>
            <w:noProof/>
            <w:webHidden/>
          </w:rPr>
          <w:instrText xml:space="preserve"> PAGEREF _Toc442184830 \h </w:instrText>
        </w:r>
        <w:r w:rsidR="0084187A">
          <w:rPr>
            <w:noProof/>
            <w:webHidden/>
          </w:rPr>
        </w:r>
        <w:r w:rsidR="0084187A">
          <w:rPr>
            <w:noProof/>
            <w:webHidden/>
          </w:rPr>
          <w:fldChar w:fldCharType="separate"/>
        </w:r>
        <w:r w:rsidR="00342B65">
          <w:rPr>
            <w:noProof/>
            <w:webHidden/>
          </w:rPr>
          <w:t>11</w:t>
        </w:r>
        <w:r w:rsidR="0084187A">
          <w:rPr>
            <w:noProof/>
            <w:webHidden/>
          </w:rPr>
          <w:fldChar w:fldCharType="end"/>
        </w:r>
      </w:hyperlink>
    </w:p>
    <w:p w:rsidR="0084187A" w:rsidRDefault="00FD6428">
      <w:pPr>
        <w:pStyle w:val="TOC1"/>
        <w:tabs>
          <w:tab w:val="left" w:pos="440"/>
          <w:tab w:val="right" w:leader="dot" w:pos="9016"/>
        </w:tabs>
        <w:rPr>
          <w:rFonts w:asciiTheme="minorHAnsi" w:eastAsiaTheme="minorEastAsia" w:hAnsiTheme="minorHAnsi" w:cstheme="minorBidi"/>
          <w:noProof/>
          <w:lang w:eastAsia="en-AU"/>
        </w:rPr>
      </w:pPr>
      <w:hyperlink w:anchor="_Toc442184831" w:history="1">
        <w:r w:rsidR="0084187A" w:rsidRPr="00521508">
          <w:rPr>
            <w:rStyle w:val="Hyperlink"/>
            <w:noProof/>
          </w:rPr>
          <w:t>4.</w:t>
        </w:r>
        <w:r w:rsidR="0084187A">
          <w:rPr>
            <w:rFonts w:asciiTheme="minorHAnsi" w:eastAsiaTheme="minorEastAsia" w:hAnsiTheme="minorHAnsi" w:cstheme="minorBidi"/>
            <w:noProof/>
            <w:lang w:eastAsia="en-AU"/>
          </w:rPr>
          <w:tab/>
        </w:r>
        <w:r w:rsidR="0084187A" w:rsidRPr="00521508">
          <w:rPr>
            <w:rStyle w:val="Hyperlink"/>
            <w:noProof/>
          </w:rPr>
          <w:t>Environmental challenges</w:t>
        </w:r>
        <w:r w:rsidR="0084187A">
          <w:rPr>
            <w:noProof/>
            <w:webHidden/>
          </w:rPr>
          <w:tab/>
        </w:r>
        <w:r w:rsidR="0084187A">
          <w:rPr>
            <w:noProof/>
            <w:webHidden/>
          </w:rPr>
          <w:fldChar w:fldCharType="begin"/>
        </w:r>
        <w:r w:rsidR="0084187A">
          <w:rPr>
            <w:noProof/>
            <w:webHidden/>
          </w:rPr>
          <w:instrText xml:space="preserve"> PAGEREF _Toc442184831 \h </w:instrText>
        </w:r>
        <w:r w:rsidR="0084187A">
          <w:rPr>
            <w:noProof/>
            <w:webHidden/>
          </w:rPr>
        </w:r>
        <w:r w:rsidR="0084187A">
          <w:rPr>
            <w:noProof/>
            <w:webHidden/>
          </w:rPr>
          <w:fldChar w:fldCharType="separate"/>
        </w:r>
        <w:r w:rsidR="00342B65">
          <w:rPr>
            <w:noProof/>
            <w:webHidden/>
          </w:rPr>
          <w:t>13</w:t>
        </w:r>
        <w:r w:rsidR="0084187A">
          <w:rPr>
            <w:noProof/>
            <w:webHidden/>
          </w:rPr>
          <w:fldChar w:fldCharType="end"/>
        </w:r>
      </w:hyperlink>
    </w:p>
    <w:p w:rsidR="0084187A" w:rsidRDefault="00FD6428">
      <w:pPr>
        <w:pStyle w:val="TOC1"/>
        <w:tabs>
          <w:tab w:val="left" w:pos="440"/>
          <w:tab w:val="right" w:leader="dot" w:pos="9016"/>
        </w:tabs>
        <w:rPr>
          <w:rFonts w:asciiTheme="minorHAnsi" w:eastAsiaTheme="minorEastAsia" w:hAnsiTheme="minorHAnsi" w:cstheme="minorBidi"/>
          <w:noProof/>
          <w:lang w:eastAsia="en-AU"/>
        </w:rPr>
      </w:pPr>
      <w:hyperlink w:anchor="_Toc442184832" w:history="1">
        <w:r w:rsidR="0084187A" w:rsidRPr="00521508">
          <w:rPr>
            <w:rStyle w:val="Hyperlink"/>
            <w:noProof/>
          </w:rPr>
          <w:t>5.</w:t>
        </w:r>
        <w:r w:rsidR="0084187A">
          <w:rPr>
            <w:rFonts w:asciiTheme="minorHAnsi" w:eastAsiaTheme="minorEastAsia" w:hAnsiTheme="minorHAnsi" w:cstheme="minorBidi"/>
            <w:noProof/>
            <w:lang w:eastAsia="en-AU"/>
          </w:rPr>
          <w:tab/>
        </w:r>
        <w:r w:rsidR="0084187A" w:rsidRPr="00521508">
          <w:rPr>
            <w:rStyle w:val="Hyperlink"/>
            <w:noProof/>
          </w:rPr>
          <w:t>Involvement in developing an industry plan</w:t>
        </w:r>
        <w:r w:rsidR="0084187A">
          <w:rPr>
            <w:noProof/>
            <w:webHidden/>
          </w:rPr>
          <w:tab/>
        </w:r>
        <w:r w:rsidR="0084187A">
          <w:rPr>
            <w:noProof/>
            <w:webHidden/>
          </w:rPr>
          <w:fldChar w:fldCharType="begin"/>
        </w:r>
        <w:r w:rsidR="0084187A">
          <w:rPr>
            <w:noProof/>
            <w:webHidden/>
          </w:rPr>
          <w:instrText xml:space="preserve"> PAGEREF _Toc442184832 \h </w:instrText>
        </w:r>
        <w:r w:rsidR="0084187A">
          <w:rPr>
            <w:noProof/>
            <w:webHidden/>
          </w:rPr>
        </w:r>
        <w:r w:rsidR="0084187A">
          <w:rPr>
            <w:noProof/>
            <w:webHidden/>
          </w:rPr>
          <w:fldChar w:fldCharType="separate"/>
        </w:r>
        <w:r w:rsidR="00342B65">
          <w:rPr>
            <w:noProof/>
            <w:webHidden/>
          </w:rPr>
          <w:t>14</w:t>
        </w:r>
        <w:r w:rsidR="0084187A">
          <w:rPr>
            <w:noProof/>
            <w:webHidden/>
          </w:rPr>
          <w:fldChar w:fldCharType="end"/>
        </w:r>
      </w:hyperlink>
    </w:p>
    <w:p w:rsidR="0084187A" w:rsidRDefault="00FD6428">
      <w:pPr>
        <w:pStyle w:val="TOC1"/>
        <w:tabs>
          <w:tab w:val="left" w:pos="440"/>
          <w:tab w:val="right" w:leader="dot" w:pos="9016"/>
        </w:tabs>
        <w:rPr>
          <w:rFonts w:asciiTheme="minorHAnsi" w:eastAsiaTheme="minorEastAsia" w:hAnsiTheme="minorHAnsi" w:cstheme="minorBidi"/>
          <w:noProof/>
          <w:lang w:eastAsia="en-AU"/>
        </w:rPr>
      </w:pPr>
      <w:hyperlink w:anchor="_Toc442184833" w:history="1">
        <w:r w:rsidR="0084187A" w:rsidRPr="00521508">
          <w:rPr>
            <w:rStyle w:val="Hyperlink"/>
            <w:noProof/>
          </w:rPr>
          <w:t>6.</w:t>
        </w:r>
        <w:r w:rsidR="0084187A">
          <w:rPr>
            <w:rFonts w:asciiTheme="minorHAnsi" w:eastAsiaTheme="minorEastAsia" w:hAnsiTheme="minorHAnsi" w:cstheme="minorBidi"/>
            <w:noProof/>
            <w:lang w:eastAsia="en-AU"/>
          </w:rPr>
          <w:tab/>
        </w:r>
        <w:r w:rsidR="0084187A" w:rsidRPr="00521508">
          <w:rPr>
            <w:rStyle w:val="Hyperlink"/>
            <w:noProof/>
          </w:rPr>
          <w:t>Consultation questions</w:t>
        </w:r>
        <w:r w:rsidR="0084187A">
          <w:rPr>
            <w:noProof/>
            <w:webHidden/>
          </w:rPr>
          <w:tab/>
        </w:r>
        <w:r w:rsidR="0084187A">
          <w:rPr>
            <w:noProof/>
            <w:webHidden/>
          </w:rPr>
          <w:fldChar w:fldCharType="begin"/>
        </w:r>
        <w:r w:rsidR="0084187A">
          <w:rPr>
            <w:noProof/>
            <w:webHidden/>
          </w:rPr>
          <w:instrText xml:space="preserve"> PAGEREF _Toc442184833 \h </w:instrText>
        </w:r>
        <w:r w:rsidR="0084187A">
          <w:rPr>
            <w:noProof/>
            <w:webHidden/>
          </w:rPr>
        </w:r>
        <w:r w:rsidR="0084187A">
          <w:rPr>
            <w:noProof/>
            <w:webHidden/>
          </w:rPr>
          <w:fldChar w:fldCharType="separate"/>
        </w:r>
        <w:r w:rsidR="00342B65">
          <w:rPr>
            <w:noProof/>
            <w:webHidden/>
          </w:rPr>
          <w:t>15</w:t>
        </w:r>
        <w:r w:rsidR="0084187A">
          <w:rPr>
            <w:noProof/>
            <w:webHidden/>
          </w:rPr>
          <w:fldChar w:fldCharType="end"/>
        </w:r>
      </w:hyperlink>
    </w:p>
    <w:p w:rsidR="0084187A" w:rsidRDefault="00FD6428">
      <w:pPr>
        <w:pStyle w:val="TOC2"/>
        <w:tabs>
          <w:tab w:val="left" w:pos="880"/>
          <w:tab w:val="right" w:leader="dot" w:pos="9016"/>
        </w:tabs>
        <w:rPr>
          <w:rFonts w:asciiTheme="minorHAnsi" w:eastAsiaTheme="minorEastAsia" w:hAnsiTheme="minorHAnsi" w:cstheme="minorBidi"/>
          <w:noProof/>
          <w:lang w:eastAsia="en-AU"/>
        </w:rPr>
      </w:pPr>
      <w:hyperlink w:anchor="_Toc442184834" w:history="1">
        <w:r w:rsidR="0084187A" w:rsidRPr="00521508">
          <w:rPr>
            <w:rStyle w:val="Hyperlink"/>
            <w:noProof/>
          </w:rPr>
          <w:t>6.1</w:t>
        </w:r>
        <w:r w:rsidR="0084187A">
          <w:rPr>
            <w:rFonts w:asciiTheme="minorHAnsi" w:eastAsiaTheme="minorEastAsia" w:hAnsiTheme="minorHAnsi" w:cstheme="minorBidi"/>
            <w:noProof/>
            <w:lang w:eastAsia="en-AU"/>
          </w:rPr>
          <w:tab/>
        </w:r>
        <w:r w:rsidR="0084187A" w:rsidRPr="00521508">
          <w:rPr>
            <w:rStyle w:val="Hyperlink"/>
            <w:noProof/>
          </w:rPr>
          <w:t>Themes 1 and 2 – confirming the state of the sector and establishing a common purpose</w:t>
        </w:r>
        <w:r w:rsidR="0084187A">
          <w:rPr>
            <w:noProof/>
            <w:webHidden/>
          </w:rPr>
          <w:tab/>
        </w:r>
        <w:r w:rsidR="0084187A">
          <w:rPr>
            <w:noProof/>
            <w:webHidden/>
          </w:rPr>
          <w:fldChar w:fldCharType="begin"/>
        </w:r>
        <w:r w:rsidR="0084187A">
          <w:rPr>
            <w:noProof/>
            <w:webHidden/>
          </w:rPr>
          <w:instrText xml:space="preserve"> PAGEREF _Toc442184834 \h </w:instrText>
        </w:r>
        <w:r w:rsidR="0084187A">
          <w:rPr>
            <w:noProof/>
            <w:webHidden/>
          </w:rPr>
        </w:r>
        <w:r w:rsidR="0084187A">
          <w:rPr>
            <w:noProof/>
            <w:webHidden/>
          </w:rPr>
          <w:fldChar w:fldCharType="separate"/>
        </w:r>
        <w:r w:rsidR="00342B65">
          <w:rPr>
            <w:noProof/>
            <w:webHidden/>
          </w:rPr>
          <w:t>15</w:t>
        </w:r>
        <w:r w:rsidR="0084187A">
          <w:rPr>
            <w:noProof/>
            <w:webHidden/>
          </w:rPr>
          <w:fldChar w:fldCharType="end"/>
        </w:r>
      </w:hyperlink>
    </w:p>
    <w:p w:rsidR="0084187A" w:rsidRDefault="00FD6428">
      <w:pPr>
        <w:pStyle w:val="TOC2"/>
        <w:tabs>
          <w:tab w:val="left" w:pos="880"/>
          <w:tab w:val="right" w:leader="dot" w:pos="9016"/>
        </w:tabs>
        <w:rPr>
          <w:rFonts w:asciiTheme="minorHAnsi" w:eastAsiaTheme="minorEastAsia" w:hAnsiTheme="minorHAnsi" w:cstheme="minorBidi"/>
          <w:noProof/>
          <w:lang w:eastAsia="en-AU"/>
        </w:rPr>
      </w:pPr>
      <w:hyperlink w:anchor="_Toc442184835" w:history="1">
        <w:r w:rsidR="0084187A" w:rsidRPr="00521508">
          <w:rPr>
            <w:rStyle w:val="Hyperlink"/>
            <w:noProof/>
          </w:rPr>
          <w:t>6.2</w:t>
        </w:r>
        <w:r w:rsidR="0084187A">
          <w:rPr>
            <w:rFonts w:asciiTheme="minorHAnsi" w:eastAsiaTheme="minorEastAsia" w:hAnsiTheme="minorHAnsi" w:cstheme="minorBidi"/>
            <w:noProof/>
            <w:lang w:eastAsia="en-AU"/>
          </w:rPr>
          <w:tab/>
        </w:r>
        <w:r w:rsidR="0084187A" w:rsidRPr="00521508">
          <w:rPr>
            <w:rStyle w:val="Hyperlink"/>
            <w:noProof/>
          </w:rPr>
          <w:t>Themes 3 and 4 – establishing directions for the future and establishing actions for the first three years</w:t>
        </w:r>
        <w:r w:rsidR="0084187A">
          <w:rPr>
            <w:noProof/>
            <w:webHidden/>
          </w:rPr>
          <w:tab/>
        </w:r>
        <w:r w:rsidR="0084187A">
          <w:rPr>
            <w:noProof/>
            <w:webHidden/>
          </w:rPr>
          <w:fldChar w:fldCharType="begin"/>
        </w:r>
        <w:r w:rsidR="0084187A">
          <w:rPr>
            <w:noProof/>
            <w:webHidden/>
          </w:rPr>
          <w:instrText xml:space="preserve"> PAGEREF _Toc442184835 \h </w:instrText>
        </w:r>
        <w:r w:rsidR="0084187A">
          <w:rPr>
            <w:noProof/>
            <w:webHidden/>
          </w:rPr>
        </w:r>
        <w:r w:rsidR="0084187A">
          <w:rPr>
            <w:noProof/>
            <w:webHidden/>
          </w:rPr>
          <w:fldChar w:fldCharType="separate"/>
        </w:r>
        <w:r w:rsidR="00342B65">
          <w:rPr>
            <w:noProof/>
            <w:webHidden/>
          </w:rPr>
          <w:t>16</w:t>
        </w:r>
        <w:r w:rsidR="0084187A">
          <w:rPr>
            <w:noProof/>
            <w:webHidden/>
          </w:rPr>
          <w:fldChar w:fldCharType="end"/>
        </w:r>
      </w:hyperlink>
    </w:p>
    <w:p w:rsidR="0084187A" w:rsidRDefault="00FD6428">
      <w:pPr>
        <w:pStyle w:val="TOC2"/>
        <w:tabs>
          <w:tab w:val="left" w:pos="880"/>
          <w:tab w:val="right" w:leader="dot" w:pos="9016"/>
        </w:tabs>
        <w:rPr>
          <w:rFonts w:asciiTheme="minorHAnsi" w:eastAsiaTheme="minorEastAsia" w:hAnsiTheme="minorHAnsi" w:cstheme="minorBidi"/>
          <w:noProof/>
          <w:lang w:eastAsia="en-AU"/>
        </w:rPr>
      </w:pPr>
      <w:hyperlink w:anchor="_Toc442184836" w:history="1">
        <w:r w:rsidR="0084187A" w:rsidRPr="00521508">
          <w:rPr>
            <w:rStyle w:val="Hyperlink"/>
            <w:noProof/>
          </w:rPr>
          <w:t>6.3</w:t>
        </w:r>
        <w:r w:rsidR="0084187A">
          <w:rPr>
            <w:rFonts w:asciiTheme="minorHAnsi" w:eastAsiaTheme="minorEastAsia" w:hAnsiTheme="minorHAnsi" w:cstheme="minorBidi"/>
            <w:noProof/>
            <w:lang w:eastAsia="en-AU"/>
          </w:rPr>
          <w:tab/>
        </w:r>
        <w:r w:rsidR="0084187A" w:rsidRPr="00521508">
          <w:rPr>
            <w:rStyle w:val="Hyperlink"/>
            <w:noProof/>
          </w:rPr>
          <w:t>Themes 5 and 6 – validating the draft Industry Plan and testing workforce capability and capacity</w:t>
        </w:r>
        <w:r w:rsidR="0084187A">
          <w:rPr>
            <w:noProof/>
            <w:webHidden/>
          </w:rPr>
          <w:tab/>
        </w:r>
        <w:r w:rsidR="0084187A">
          <w:rPr>
            <w:noProof/>
            <w:webHidden/>
          </w:rPr>
          <w:fldChar w:fldCharType="begin"/>
        </w:r>
        <w:r w:rsidR="0084187A">
          <w:rPr>
            <w:noProof/>
            <w:webHidden/>
          </w:rPr>
          <w:instrText xml:space="preserve"> PAGEREF _Toc442184836 \h </w:instrText>
        </w:r>
        <w:r w:rsidR="0084187A">
          <w:rPr>
            <w:noProof/>
            <w:webHidden/>
          </w:rPr>
        </w:r>
        <w:r w:rsidR="0084187A">
          <w:rPr>
            <w:noProof/>
            <w:webHidden/>
          </w:rPr>
          <w:fldChar w:fldCharType="separate"/>
        </w:r>
        <w:r w:rsidR="00342B65">
          <w:rPr>
            <w:noProof/>
            <w:webHidden/>
          </w:rPr>
          <w:t>16</w:t>
        </w:r>
        <w:r w:rsidR="0084187A">
          <w:rPr>
            <w:noProof/>
            <w:webHidden/>
          </w:rPr>
          <w:fldChar w:fldCharType="end"/>
        </w:r>
      </w:hyperlink>
    </w:p>
    <w:p w:rsidR="007F48F9" w:rsidRDefault="007F48F9" w:rsidP="002E552D">
      <w:pPr>
        <w:jc w:val="both"/>
        <w:rPr>
          <w:b/>
          <w:bCs/>
          <w:noProof/>
        </w:rPr>
      </w:pPr>
      <w:r>
        <w:rPr>
          <w:b/>
          <w:bCs/>
          <w:noProof/>
        </w:rPr>
        <w:fldChar w:fldCharType="end"/>
      </w:r>
    </w:p>
    <w:p w:rsidR="007F48F9" w:rsidRPr="00162629" w:rsidRDefault="00842AA3" w:rsidP="002E552D">
      <w:pPr>
        <w:pStyle w:val="Heading1"/>
        <w:jc w:val="both"/>
      </w:pPr>
      <w:r>
        <w:br w:type="column"/>
      </w:r>
      <w:bookmarkStart w:id="1" w:name="_Toc442184818"/>
      <w:r w:rsidR="007F48F9" w:rsidRPr="00162629">
        <w:lastRenderedPageBreak/>
        <w:t>Introduction</w:t>
      </w:r>
      <w:bookmarkEnd w:id="1"/>
    </w:p>
    <w:p w:rsidR="007F48F9" w:rsidRDefault="007F48F9" w:rsidP="002E552D">
      <w:pPr>
        <w:jc w:val="both"/>
      </w:pPr>
      <w:r>
        <w:t>As part of the ACT Government’s Community Sector Reform Program, a considerable amount of background work has been undertaken on changes impacting the community sector in the ACT.</w:t>
      </w:r>
      <w:r w:rsidR="00D87159">
        <w:t xml:space="preserve"> </w:t>
      </w:r>
      <w:r>
        <w:t>During this background work, it became evident that a Community Services Industry Plan (the Industry Plan) would help position the sector to be able to respond to the challenges which lie ahead, and help secure the future sustainability of the community services sector in the ACT.</w:t>
      </w:r>
    </w:p>
    <w:p w:rsidR="007F48F9" w:rsidRDefault="007F48F9" w:rsidP="002E552D">
      <w:pPr>
        <w:jc w:val="both"/>
      </w:pPr>
      <w:r>
        <w:t>In September 2015, an initial Community Services Industry Workshop was held and an ACT Community Services Industry Plan Steering Committee was established.</w:t>
      </w:r>
      <w:r w:rsidR="00D87159">
        <w:t xml:space="preserve"> </w:t>
      </w:r>
      <w:r>
        <w:t>The Industry Plan is being developed over the next four months and will be developed through consultation with the community sector.</w:t>
      </w:r>
      <w:r w:rsidR="00D87159">
        <w:t xml:space="preserve"> </w:t>
      </w:r>
    </w:p>
    <w:p w:rsidR="007F48F9" w:rsidRDefault="007F48F9" w:rsidP="002E552D">
      <w:pPr>
        <w:jc w:val="both"/>
      </w:pPr>
      <w:r>
        <w:t>You are invited to be a part of the consultation process to develop a Community Services Industry Plan. Consultation forums will be held in early 2016 by KPMG and the ACT Council of Social Services (ACTCOSS).</w:t>
      </w:r>
    </w:p>
    <w:p w:rsidR="007F48F9" w:rsidRDefault="007F48F9" w:rsidP="002E552D">
      <w:pPr>
        <w:jc w:val="both"/>
      </w:pPr>
      <w:r>
        <w:t>This background scoping document is designed to support consultations with community service providers and other stakeholders, and to promote thinking and discussion on: the community sector as an industry, the benefits of an Industry Plan, recent trends and how industry can participate in this important work.</w:t>
      </w:r>
    </w:p>
    <w:p w:rsidR="007F48F9" w:rsidRPr="00162629" w:rsidRDefault="00162629" w:rsidP="002E552D">
      <w:pPr>
        <w:pStyle w:val="Heading2"/>
        <w:jc w:val="both"/>
      </w:pPr>
      <w:r>
        <w:t xml:space="preserve"> </w:t>
      </w:r>
      <w:bookmarkStart w:id="2" w:name="_Toc442184819"/>
      <w:r w:rsidR="007F48F9" w:rsidRPr="00162629">
        <w:t>What is an industry plan?</w:t>
      </w:r>
      <w:bookmarkEnd w:id="2"/>
    </w:p>
    <w:p w:rsidR="007F48F9" w:rsidRDefault="007F48F9" w:rsidP="002E552D">
      <w:pPr>
        <w:jc w:val="both"/>
      </w:pPr>
      <w:r>
        <w:t>An industry plan is a unifying statement of intent for an industry over a defined time period.</w:t>
      </w:r>
      <w:r w:rsidR="00D87159">
        <w:t xml:space="preserve"> </w:t>
      </w:r>
      <w:r>
        <w:t>It provides a medium through which to develop and articulate a shared vision for the sector into the future; it describes the current state of the industry and articulates trends that are currently impacting on the sector.</w:t>
      </w:r>
      <w:r w:rsidR="00D87159">
        <w:t xml:space="preserve"> </w:t>
      </w:r>
      <w:r>
        <w:t>Industry plans are forward looking.</w:t>
      </w:r>
      <w:r w:rsidR="00D87159">
        <w:t xml:space="preserve"> </w:t>
      </w:r>
      <w:r>
        <w:t>They envisage the desired outcome for the industry for the future and the key capabilities, competencies, and infrastructure required to achieve the vision. Typically the plans are long term and look forward for 10 years, 30 years or even into the next century.</w:t>
      </w:r>
      <w:r w:rsidR="00D87159">
        <w:t xml:space="preserve"> </w:t>
      </w:r>
      <w:r>
        <w:t>Industry plans usually include a statement of actions to be completed within a shorter period of time (e.g. priorities for the first three or five years).</w:t>
      </w:r>
    </w:p>
    <w:p w:rsidR="007F48F9" w:rsidRDefault="007F48F9" w:rsidP="002E552D">
      <w:pPr>
        <w:jc w:val="both"/>
      </w:pPr>
      <w:r>
        <w:t>A common vision for the community services industry is an important aspect of the development of a Community Services Industry Plan.</w:t>
      </w:r>
      <w:r w:rsidR="00D87159">
        <w:t xml:space="preserve"> </w:t>
      </w:r>
      <w:r>
        <w:t>Different industries adopt different vision statements but industry plans typically share the following key characteristics:</w:t>
      </w:r>
    </w:p>
    <w:p w:rsidR="007F48F9" w:rsidRDefault="007F48F9" w:rsidP="002E552D">
      <w:pPr>
        <w:numPr>
          <w:ilvl w:val="0"/>
          <w:numId w:val="3"/>
        </w:numPr>
        <w:jc w:val="both"/>
      </w:pPr>
      <w:r>
        <w:t xml:space="preserve">Shared vision and purpose – </w:t>
      </w:r>
      <w:r w:rsidR="007B4463">
        <w:t>a</w:t>
      </w:r>
      <w:r>
        <w:t>n aspirational statement reflecting common purpose and intent.</w:t>
      </w:r>
    </w:p>
    <w:p w:rsidR="007F48F9" w:rsidRDefault="007F48F9" w:rsidP="002E552D">
      <w:pPr>
        <w:numPr>
          <w:ilvl w:val="0"/>
          <w:numId w:val="3"/>
        </w:numPr>
        <w:jc w:val="both"/>
      </w:pPr>
      <w:r>
        <w:t xml:space="preserve">Current state – </w:t>
      </w:r>
      <w:r w:rsidR="007B4463">
        <w:t>a</w:t>
      </w:r>
      <w:r>
        <w:t>nalysis of the core capacities and current state of the industry.</w:t>
      </w:r>
    </w:p>
    <w:p w:rsidR="007F48F9" w:rsidRDefault="007F48F9" w:rsidP="002E552D">
      <w:pPr>
        <w:numPr>
          <w:ilvl w:val="0"/>
          <w:numId w:val="3"/>
        </w:numPr>
        <w:jc w:val="both"/>
      </w:pPr>
      <w:r>
        <w:t xml:space="preserve">Challenges for the industry – </w:t>
      </w:r>
      <w:r w:rsidR="007B4463">
        <w:t>k</w:t>
      </w:r>
      <w:r>
        <w:t>ey trends impacting on the industry.</w:t>
      </w:r>
    </w:p>
    <w:p w:rsidR="007F48F9" w:rsidRDefault="007F48F9" w:rsidP="002E552D">
      <w:pPr>
        <w:numPr>
          <w:ilvl w:val="0"/>
          <w:numId w:val="3"/>
        </w:numPr>
        <w:jc w:val="both"/>
      </w:pPr>
      <w:r>
        <w:t xml:space="preserve">Future state – </w:t>
      </w:r>
      <w:r w:rsidR="007B4463">
        <w:t>w</w:t>
      </w:r>
      <w:r>
        <w:t>here does the industry see itself in the future.</w:t>
      </w:r>
    </w:p>
    <w:p w:rsidR="007F48F9" w:rsidRDefault="007F48F9" w:rsidP="002E552D">
      <w:pPr>
        <w:numPr>
          <w:ilvl w:val="0"/>
          <w:numId w:val="3"/>
        </w:numPr>
        <w:jc w:val="both"/>
      </w:pPr>
      <w:r>
        <w:t xml:space="preserve">Key approaches – </w:t>
      </w:r>
      <w:r w:rsidR="007B4463">
        <w:t>c</w:t>
      </w:r>
      <w:r>
        <w:t>ritical elements to be developed going forward.</w:t>
      </w:r>
    </w:p>
    <w:p w:rsidR="007F48F9" w:rsidRDefault="007F48F9" w:rsidP="002E552D">
      <w:pPr>
        <w:numPr>
          <w:ilvl w:val="0"/>
          <w:numId w:val="3"/>
        </w:numPr>
        <w:jc w:val="both"/>
      </w:pPr>
      <w:r>
        <w:t xml:space="preserve">Action plan – </w:t>
      </w:r>
      <w:r w:rsidR="007B4463">
        <w:t>a</w:t>
      </w:r>
      <w:r>
        <w:t xml:space="preserve"> statement that inspires a collective commitment, motivates members and outlines timeframes, roles and responsibilities for government and the sector.</w:t>
      </w:r>
    </w:p>
    <w:p w:rsidR="00F82BC5" w:rsidRDefault="007F48F9" w:rsidP="002E552D">
      <w:pPr>
        <w:jc w:val="both"/>
      </w:pPr>
      <w:r>
        <w:lastRenderedPageBreak/>
        <w:t>There are s</w:t>
      </w:r>
      <w:r w:rsidRPr="007F48F9">
        <w:t>ome examples of industry plans fr</w:t>
      </w:r>
      <w:r>
        <w:t>om other industries and sectors.</w:t>
      </w:r>
      <w:r w:rsidR="00162629" w:rsidRPr="00162629">
        <w:rPr>
          <w:rStyle w:val="FootnoteReference"/>
          <w:rFonts w:cs="Arial"/>
        </w:rPr>
        <w:footnoteReference w:id="1"/>
      </w:r>
      <w:r>
        <w:t xml:space="preserve"> </w:t>
      </w:r>
    </w:p>
    <w:p w:rsidR="00F82BC5" w:rsidRDefault="007F48F9" w:rsidP="002E552D">
      <w:pPr>
        <w:jc w:val="both"/>
      </w:pPr>
      <w:r w:rsidRPr="007F48F9">
        <w:t>The NSW Digital Economy Industry Plan</w:t>
      </w:r>
      <w:r w:rsidR="00F82BC5">
        <w:t xml:space="preserve"> has a vision that, by 2020, NSW is recognised globally for leading innovation and driving productivity gains in key sectors of the economy, enabled by strong, vibrant and connected information communication technology and creative industries. The plan aims to achieve digital leadership, build digital skills, connect regional communities, implement open data innovation, grow Sydney’s digital precinct, improve finance and investment channels, and drive infrastructure productivity. The plan has five key focus areas: industry development and investment</w:t>
      </w:r>
      <w:r w:rsidR="00FF6138">
        <w:t>;</w:t>
      </w:r>
      <w:r w:rsidR="00F82BC5">
        <w:t xml:space="preserve"> skills and research</w:t>
      </w:r>
      <w:r w:rsidR="00FF6138">
        <w:t>;</w:t>
      </w:r>
      <w:r w:rsidR="00F82BC5">
        <w:t xml:space="preserve"> global reputation</w:t>
      </w:r>
      <w:r w:rsidR="00FF6138">
        <w:t>;</w:t>
      </w:r>
      <w:r w:rsidR="00F82BC5">
        <w:t xml:space="preserve"> collaboration and networks</w:t>
      </w:r>
      <w:r w:rsidR="00FF6138">
        <w:t xml:space="preserve">; </w:t>
      </w:r>
      <w:r w:rsidR="00F82BC5">
        <w:t>and innovation.</w:t>
      </w:r>
    </w:p>
    <w:p w:rsidR="00F82BC5" w:rsidRDefault="00F82BC5" w:rsidP="002E552D">
      <w:pPr>
        <w:jc w:val="both"/>
      </w:pPr>
      <w:r>
        <w:t>New Zealand’s 30 Year Infrastructure Plan has a vision that, by 2045, New Zealand’s infrastructure is resilient and coordinated and contributes to a strong economy and high living standards. The plan’s purpose is to set a marker for New Zealand’s long-term infrastructure journey and the progress achieved, advance the debate on long-term provision of infrastructure, deliver a step change in our approach to infrastructure planning and management, provide confidence to businesses and people to invest in capital, develop skills and take risk. The plan has three key focus areas: strengthening asset</w:t>
      </w:r>
      <w:r w:rsidR="00FF6138">
        <w:t xml:space="preserve"> management practice;</w:t>
      </w:r>
      <w:r>
        <w:t xml:space="preserve"> increasing understanding of levels of service and future drivers of demand</w:t>
      </w:r>
      <w:r w:rsidR="00FF6138">
        <w:t>;</w:t>
      </w:r>
      <w:r>
        <w:t xml:space="preserve"> and optimising decision-making. </w:t>
      </w:r>
    </w:p>
    <w:p w:rsidR="00F82BC5" w:rsidRDefault="00FF6138" w:rsidP="002E552D">
      <w:pPr>
        <w:jc w:val="both"/>
      </w:pPr>
      <w:r>
        <w:t>Australia’s Creative Industries Strategy for the 21</w:t>
      </w:r>
      <w:r w:rsidRPr="00FF6138">
        <w:rPr>
          <w:vertAlign w:val="superscript"/>
        </w:rPr>
        <w:t>st</w:t>
      </w:r>
      <w:r>
        <w:t xml:space="preserve"> Century r</w:t>
      </w:r>
      <w:r w:rsidR="00F82BC5">
        <w:t>edefines an area not traditionally thought of as an industry, the arts. The Statem</w:t>
      </w:r>
      <w:r>
        <w:t>ent refers to creative industries as the generation of creative intellectual property with the potential to be commercialised. The Statement considers the industry includes: music and performing arts; film, television and radio; advertising and marketing; software development and interacting content; writing, publishing and print media; and architecture, design and visual arts. The Statement has a vision for Australia to have a competitive creative industries sector, propelling a creative, imaginative nation in the 21</w:t>
      </w:r>
      <w:r w:rsidRPr="00FF6138">
        <w:rPr>
          <w:vertAlign w:val="superscript"/>
        </w:rPr>
        <w:t>st</w:t>
      </w:r>
      <w:r>
        <w:t xml:space="preserve"> century. The Statement has three key focus areas: leverage national foundations; optimise commercial capacity; and grow creative content and services.</w:t>
      </w:r>
    </w:p>
    <w:p w:rsidR="007F48F9" w:rsidRDefault="007F48F9" w:rsidP="002E552D">
      <w:pPr>
        <w:pStyle w:val="Heading2"/>
        <w:jc w:val="both"/>
      </w:pPr>
      <w:bookmarkStart w:id="3" w:name="_Toc442184820"/>
      <w:r>
        <w:t>What does an industry plan offer?</w:t>
      </w:r>
      <w:bookmarkEnd w:id="3"/>
    </w:p>
    <w:p w:rsidR="007F48F9" w:rsidRDefault="007F48F9" w:rsidP="002E552D">
      <w:pPr>
        <w:jc w:val="both"/>
      </w:pPr>
      <w:r w:rsidRPr="007F48F9">
        <w:t>With acknowledgement of structural changes taking place, and of the need to outline desired future directions, the industry plan is seen to offer several benefits fo</w:t>
      </w:r>
      <w:r>
        <w:t>r the sector and for government:</w:t>
      </w:r>
    </w:p>
    <w:p w:rsidR="007F48F9" w:rsidRDefault="007F48F9" w:rsidP="002E552D">
      <w:pPr>
        <w:numPr>
          <w:ilvl w:val="0"/>
          <w:numId w:val="4"/>
        </w:numPr>
        <w:jc w:val="both"/>
      </w:pPr>
      <w:r>
        <w:t xml:space="preserve">Shared understanding – </w:t>
      </w:r>
      <w:r w:rsidRPr="007F48F9">
        <w:t>vision, and purpose for the sector that will assist in forward planning amidst the range of reforms occurring.</w:t>
      </w:r>
    </w:p>
    <w:p w:rsidR="007F48F9" w:rsidRDefault="007F48F9" w:rsidP="002E552D">
      <w:pPr>
        <w:numPr>
          <w:ilvl w:val="0"/>
          <w:numId w:val="4"/>
        </w:numPr>
        <w:jc w:val="both"/>
      </w:pPr>
      <w:r>
        <w:t>Future proofing – i</w:t>
      </w:r>
      <w:r w:rsidRPr="007F48F9">
        <w:t>ncrease opportunities for organisations to plan and prepare for future demand and workforce requirements by identifying emerging trends.</w:t>
      </w:r>
    </w:p>
    <w:p w:rsidR="007F48F9" w:rsidRDefault="007F48F9" w:rsidP="002E552D">
      <w:pPr>
        <w:numPr>
          <w:ilvl w:val="0"/>
          <w:numId w:val="4"/>
        </w:numPr>
        <w:jc w:val="both"/>
      </w:pPr>
      <w:r>
        <w:t>Valuing the industry</w:t>
      </w:r>
      <w:r w:rsidR="00162629">
        <w:t xml:space="preserve"> – s</w:t>
      </w:r>
      <w:r w:rsidR="00162629" w:rsidRPr="00162629">
        <w:t>hifting the dialogue to make a stronger case for the value of the industry as a contributor to the economy and to the wellbeing of the people in the ACT, and deepening the understanding of the sector within and outside the industry.</w:t>
      </w:r>
    </w:p>
    <w:p w:rsidR="007F48F9" w:rsidRDefault="007F48F9" w:rsidP="002E552D">
      <w:pPr>
        <w:numPr>
          <w:ilvl w:val="0"/>
          <w:numId w:val="4"/>
        </w:numPr>
        <w:jc w:val="both"/>
      </w:pPr>
      <w:r>
        <w:t>Engagement and alignment</w:t>
      </w:r>
      <w:r w:rsidR="00162629">
        <w:t xml:space="preserve"> – i</w:t>
      </w:r>
      <w:r w:rsidR="00162629" w:rsidRPr="00162629">
        <w:t>ncreased engagement of organisations, alignment of the sector to client needs and achievement of the desired future state.</w:t>
      </w:r>
    </w:p>
    <w:p w:rsidR="007F48F9" w:rsidRDefault="007F48F9" w:rsidP="002E552D">
      <w:pPr>
        <w:numPr>
          <w:ilvl w:val="0"/>
          <w:numId w:val="4"/>
        </w:numPr>
        <w:jc w:val="both"/>
      </w:pPr>
      <w:r>
        <w:lastRenderedPageBreak/>
        <w:t>Increased sustainability and effectiveness</w:t>
      </w:r>
      <w:r w:rsidR="00162629">
        <w:t xml:space="preserve"> – s</w:t>
      </w:r>
      <w:r w:rsidR="00162629" w:rsidRPr="00162629">
        <w:t>upport the existing Community Services reform agenda and Human Services Blueprint through positioning the sector as sustainable, effective, and strengths based.</w:t>
      </w:r>
    </w:p>
    <w:p w:rsidR="007F48F9" w:rsidRDefault="007F48F9" w:rsidP="002E552D">
      <w:pPr>
        <w:numPr>
          <w:ilvl w:val="0"/>
          <w:numId w:val="4"/>
        </w:numPr>
        <w:jc w:val="both"/>
      </w:pPr>
      <w:r>
        <w:t>Measuring progress</w:t>
      </w:r>
      <w:r w:rsidR="00162629">
        <w:t xml:space="preserve"> – d</w:t>
      </w:r>
      <w:r w:rsidR="00162629" w:rsidRPr="00162629">
        <w:t>eveloping processes to monitor progress, measure impact and assess the Industry Plan’s success.</w:t>
      </w:r>
    </w:p>
    <w:p w:rsidR="00162629" w:rsidRPr="00162629" w:rsidRDefault="00162629" w:rsidP="002E552D">
      <w:pPr>
        <w:pStyle w:val="Heading2"/>
        <w:jc w:val="both"/>
      </w:pPr>
      <w:r w:rsidRPr="00162629">
        <w:t xml:space="preserve"> </w:t>
      </w:r>
      <w:bookmarkStart w:id="4" w:name="_Toc442184821"/>
      <w:r w:rsidRPr="00162629">
        <w:t>Are we an industry?</w:t>
      </w:r>
      <w:bookmarkEnd w:id="4"/>
    </w:p>
    <w:p w:rsidR="00162629" w:rsidRDefault="00162629" w:rsidP="002E552D">
      <w:pPr>
        <w:jc w:val="both"/>
      </w:pPr>
      <w:r w:rsidRPr="00162629">
        <w:t>Many community organisations may not think of their organisation as part of an industry.</w:t>
      </w:r>
      <w:r w:rsidR="00D87159">
        <w:t xml:space="preserve"> </w:t>
      </w:r>
      <w:r w:rsidRPr="00162629">
        <w:t>Community services are predominantly purpose driven organisations where values of social justice and community service are the driving force in the organisation.</w:t>
      </w:r>
      <w:r w:rsidR="00D87159">
        <w:t xml:space="preserve"> </w:t>
      </w:r>
      <w:r w:rsidRPr="00162629">
        <w:t>In particular, there may be reluctance to conceptualise the sector as an industry if it is seen to conflict with or dilute the core values of the sector, impact on client service delivery or change the fundamental approach of organisations.</w:t>
      </w:r>
    </w:p>
    <w:p w:rsidR="00162629" w:rsidRDefault="00162629" w:rsidP="002E552D">
      <w:pPr>
        <w:jc w:val="both"/>
      </w:pPr>
      <w:r w:rsidRPr="00162629">
        <w:t>As a first step in conceptualising an industry plan for the community services sector, it may be helpful to think of the community service industry as related in terms of primary activities, and driven and united by a common purpose.</w:t>
      </w:r>
      <w:r w:rsidR="00D87159">
        <w:t xml:space="preserve"> </w:t>
      </w:r>
      <w:r w:rsidRPr="00162629">
        <w:t>Other jurisdictions have been successful in developing community sector industry plans which have retained the central focus and purpose of community services while blending this approach with commercial opportunities</w:t>
      </w:r>
      <w:r>
        <w:t xml:space="preserve">. </w:t>
      </w:r>
    </w:p>
    <w:p w:rsidR="00162629" w:rsidRDefault="00162629" w:rsidP="002E552D">
      <w:pPr>
        <w:jc w:val="both"/>
      </w:pPr>
      <w:r w:rsidRPr="00162629">
        <w:t>The distinction between for profit, commercial and the community sector is becoming increasingly blurred.</w:t>
      </w:r>
      <w:r w:rsidR="00D87159">
        <w:t xml:space="preserve"> </w:t>
      </w:r>
      <w:r w:rsidRPr="00162629">
        <w:t>With the development and implementation of the National Disability Insurance Scheme (NDIS), the modernisation of business practices, and the development of social impact investing, the demarcations that have traditionally distinguished between not for profit / profit, and the business and the community sector are no longer as marked.</w:t>
      </w:r>
    </w:p>
    <w:p w:rsidR="0012233B" w:rsidRDefault="0012233B" w:rsidP="002E552D">
      <w:pPr>
        <w:jc w:val="both"/>
      </w:pPr>
      <w:r>
        <w:t>There are s</w:t>
      </w:r>
      <w:r w:rsidRPr="007F48F9">
        <w:t xml:space="preserve">ome examples of </w:t>
      </w:r>
      <w:r>
        <w:t>Community Services Industry Plans.</w:t>
      </w:r>
    </w:p>
    <w:p w:rsidR="0012233B" w:rsidRDefault="0012233B" w:rsidP="002E552D">
      <w:pPr>
        <w:jc w:val="both"/>
      </w:pPr>
      <w:r>
        <w:t xml:space="preserve">The Tasmania Community Services Industry Plan 2009-12 has a vision for our community to be a fairer, healthier, more just and inclusive society for all. The Plan has a vision for community services to be a vibrant industry of well-governed and well-managed, non-profit community service organisations that deliver quality services for all Tasmanians; and for industry to focus on improving health and well-being, involving consumers in practice, and, in an advocacy role, on addressing poverty, disadvantage and social exclusion. The Plan has a number of key approaches: building on strengths; securing a workforce for the future; getting the right sort of investment in social services; and strengthening the social service system. </w:t>
      </w:r>
    </w:p>
    <w:p w:rsidR="0012233B" w:rsidRDefault="0012233B" w:rsidP="002E552D">
      <w:pPr>
        <w:jc w:val="both"/>
      </w:pPr>
      <w:r>
        <w:t xml:space="preserve">The Queensland Community Services Industry Alliance 2008 has a vision for the Queensland Government and non-profit Community Services Sector to work together for a better quality of life and a fair community for all Queenslanders now and in the future. The Alliance has a purpose to </w:t>
      </w:r>
      <w:r w:rsidR="00B80D21">
        <w:t>set out the expectations and commitments for the Queensland Government and the non-profit Community Services Sector to work together in a respectful, productive, forward-looking relationship that benefits the community. The Alliance has a number of goals</w:t>
      </w:r>
      <w:r w:rsidR="00DF5555">
        <w:t xml:space="preserve"> for</w:t>
      </w:r>
      <w:r w:rsidR="00B80D21">
        <w:t xml:space="preserve"> the Queensland Government and non-profit Community Services Sector will work together to: build strong working relationships; improve engagement in planning and policy; improve the sector’s capacity and sustainability; and continue to improve service quality and innovation.</w:t>
      </w:r>
    </w:p>
    <w:p w:rsidR="00162629" w:rsidRDefault="00162629" w:rsidP="002E552D">
      <w:pPr>
        <w:pStyle w:val="Heading2"/>
        <w:jc w:val="both"/>
      </w:pPr>
      <w:r w:rsidRPr="00162629">
        <w:lastRenderedPageBreak/>
        <w:t xml:space="preserve"> </w:t>
      </w:r>
      <w:bookmarkStart w:id="5" w:name="_Toc442184822"/>
      <w:r w:rsidRPr="00162629">
        <w:t>Lessons learnt from previous international efforts</w:t>
      </w:r>
      <w:bookmarkEnd w:id="5"/>
    </w:p>
    <w:p w:rsidR="00162629" w:rsidRDefault="00162629" w:rsidP="002E552D">
      <w:pPr>
        <w:jc w:val="both"/>
      </w:pPr>
      <w:r w:rsidRPr="00162629">
        <w:t>A review of prior attempts to develop industry plans in the community services sector is instructive. Since the 1980s, there have been several efforts in Australia and internationally to develop community sector agreements and industry plan</w:t>
      </w:r>
      <w:r>
        <w:t>s.</w:t>
      </w:r>
    </w:p>
    <w:p w:rsidR="00162629" w:rsidRDefault="00162629" w:rsidP="002E552D">
      <w:pPr>
        <w:jc w:val="both"/>
      </w:pPr>
      <w:r w:rsidRPr="00162629">
        <w:t>In the United Kingdom, a compact was developed between the sector and government which redefined the sector and gave organisations the option to opt in or opt out of the agreement.</w:t>
      </w:r>
      <w:r w:rsidRPr="0040735F">
        <w:rPr>
          <w:rStyle w:val="FootnoteReference"/>
        </w:rPr>
        <w:footnoteReference w:id="2"/>
      </w:r>
      <w:r w:rsidR="00D87159">
        <w:t xml:space="preserve"> </w:t>
      </w:r>
      <w:r w:rsidRPr="00162629">
        <w:t>In Canada, there were extended efforts over a seven year period to develop an agreement. Ultimately, these efforts were not successful due to a lack of unity and traction.</w:t>
      </w:r>
    </w:p>
    <w:p w:rsidR="00162629" w:rsidRDefault="00162629" w:rsidP="002E552D">
      <w:pPr>
        <w:jc w:val="both"/>
      </w:pPr>
      <w:r w:rsidRPr="00162629">
        <w:t>Previous efforts in Australia have experienced similar challenges.</w:t>
      </w:r>
      <w:r w:rsidR="00D87159">
        <w:t xml:space="preserve"> </w:t>
      </w:r>
      <w:r w:rsidRPr="00162629">
        <w:t>Responding to the industry reforms of competitive tendering and the contracting culture that were initiated in Australia in the 1980s, the Australian Council of Social Service (ACOSS) sought to set up a national industry plan in 1995.</w:t>
      </w:r>
      <w:r w:rsidR="00D87159">
        <w:t xml:space="preserve"> </w:t>
      </w:r>
      <w:r w:rsidRPr="00162629">
        <w:t xml:space="preserve">The ACOSS plan did not develop as it was not possible to align parties and gain the necessary traction to set up this type of arrangement across the </w:t>
      </w:r>
      <w:r>
        <w:t>sector at the national level.</w:t>
      </w:r>
      <w:r>
        <w:rPr>
          <w:rStyle w:val="FootnoteReference"/>
        </w:rPr>
        <w:footnoteReference w:id="3"/>
      </w:r>
    </w:p>
    <w:p w:rsidR="001E6F89" w:rsidRDefault="001E6F89" w:rsidP="002E552D">
      <w:pPr>
        <w:jc w:val="both"/>
      </w:pPr>
      <w:r>
        <w:t xml:space="preserve">The timeline for the development of community service sector industry plans in Australia, Canada and the United Kingdom includes: </w:t>
      </w:r>
    </w:p>
    <w:p w:rsidR="001E6F89" w:rsidRDefault="001E6F89" w:rsidP="001E6F89">
      <w:pPr>
        <w:pStyle w:val="ListParagraph"/>
        <w:numPr>
          <w:ilvl w:val="0"/>
          <w:numId w:val="23"/>
        </w:numPr>
        <w:jc w:val="both"/>
      </w:pPr>
      <w:r>
        <w:t>In the 1990s in Canada, the community services sector expended over 7 years negotiations between federal government and the sector.</w:t>
      </w:r>
    </w:p>
    <w:p w:rsidR="001E6F89" w:rsidRDefault="001E6F89" w:rsidP="001E6F89">
      <w:pPr>
        <w:pStyle w:val="ListParagraph"/>
        <w:numPr>
          <w:ilvl w:val="0"/>
          <w:numId w:val="23"/>
        </w:numPr>
        <w:jc w:val="both"/>
      </w:pPr>
      <w:r>
        <w:t>In 1995 in Australia, the Australian Council of Social Services made efforts to set up an industry plan that did not gain traction.</w:t>
      </w:r>
    </w:p>
    <w:p w:rsidR="001E6F89" w:rsidRDefault="001E6F89" w:rsidP="0084187A">
      <w:pPr>
        <w:pStyle w:val="ListParagraph"/>
        <w:numPr>
          <w:ilvl w:val="0"/>
          <w:numId w:val="23"/>
        </w:numPr>
        <w:jc w:val="both"/>
      </w:pPr>
      <w:r>
        <w:t>Between 1998 and 2000, in the UK a compact with the voluntary sector reframed the sector in a new light; and in Queensland the Community Service Sector Initiative and Industry Plan, which included a single streamlined funding agreement, was not implemented.</w:t>
      </w:r>
    </w:p>
    <w:p w:rsidR="001E6F89" w:rsidRDefault="001E6F89" w:rsidP="001E6F89">
      <w:pPr>
        <w:pStyle w:val="ListParagraph"/>
        <w:numPr>
          <w:ilvl w:val="0"/>
          <w:numId w:val="23"/>
        </w:numPr>
        <w:jc w:val="both"/>
      </w:pPr>
      <w:r>
        <w:t xml:space="preserve">In 2004 in Western Australia, government initiated an industry plan which was not implemented. </w:t>
      </w:r>
    </w:p>
    <w:p w:rsidR="001E6F89" w:rsidRDefault="001E6F89" w:rsidP="001E6F89">
      <w:pPr>
        <w:pStyle w:val="ListParagraph"/>
        <w:numPr>
          <w:ilvl w:val="0"/>
          <w:numId w:val="23"/>
        </w:numPr>
        <w:jc w:val="both"/>
      </w:pPr>
      <w:r>
        <w:t>In 2005 in Queensland, the Queensland Council of Social Services developed a compact which outlines the roles and responsibilities for the sector and government.</w:t>
      </w:r>
    </w:p>
    <w:p w:rsidR="001E6F89" w:rsidRDefault="001E6F89" w:rsidP="001E6F89">
      <w:pPr>
        <w:pStyle w:val="ListParagraph"/>
        <w:numPr>
          <w:ilvl w:val="0"/>
          <w:numId w:val="23"/>
        </w:numPr>
        <w:jc w:val="both"/>
      </w:pPr>
      <w:r>
        <w:t>In 2006 in New South Wales, a sector-government partnership developed.</w:t>
      </w:r>
    </w:p>
    <w:p w:rsidR="001E6F89" w:rsidRDefault="001E6F89" w:rsidP="001E6F89">
      <w:pPr>
        <w:pStyle w:val="ListParagraph"/>
        <w:numPr>
          <w:ilvl w:val="0"/>
          <w:numId w:val="23"/>
        </w:numPr>
        <w:jc w:val="both"/>
      </w:pPr>
      <w:r>
        <w:t>In 2009 in Tasmania, the Community Service Industry Plan 2009-12 was implemented.</w:t>
      </w:r>
    </w:p>
    <w:p w:rsidR="00D87159" w:rsidRDefault="00D65329" w:rsidP="002E552D">
      <w:pPr>
        <w:jc w:val="both"/>
      </w:pPr>
      <w:r>
        <w:t>The examples of undeveloped or stalled plans, versus the current successful plans in Tasmania and Queensland, provide valuable information on the necessary preconditions for achieving an industry plan in the ACT context.</w:t>
      </w:r>
    </w:p>
    <w:p w:rsidR="00D65329" w:rsidRDefault="00D65329" w:rsidP="002E552D">
      <w:pPr>
        <w:jc w:val="both"/>
      </w:pPr>
      <w:r>
        <w:t>The lessons learnt from the Queensland experience were outlined in the recent Community Services Industry Workshop.</w:t>
      </w:r>
      <w:r>
        <w:rPr>
          <w:rStyle w:val="FootnoteReference"/>
        </w:rPr>
        <w:footnoteReference w:id="4"/>
      </w:r>
      <w:r w:rsidR="00D87159">
        <w:t xml:space="preserve"> </w:t>
      </w:r>
      <w:r>
        <w:t>Some of the key factors leading to the success of the Queensland compact were: using an evidence base and starting the process with a significant piece of work analysing disadvantage over 30 years in Queensland; the significant investment of time and senior resources devoted to the development process; being inclusive and having people ‘in the room’ rather than ‘outside the room’; and working collectively to establish new ways of working together.</w:t>
      </w:r>
    </w:p>
    <w:p w:rsidR="007B4463" w:rsidRDefault="00D65329" w:rsidP="002E552D">
      <w:pPr>
        <w:jc w:val="both"/>
      </w:pPr>
      <w:r>
        <w:t xml:space="preserve">For a plan to be successful, support from both government and the sector is critical. Key players and a broad range of stakeholders need to be involved in the development of the plan, the vision needs to motivate and inspire the sector, the analysis and the actions need to be realistic and evidence </w:t>
      </w:r>
      <w:r>
        <w:lastRenderedPageBreak/>
        <w:t xml:space="preserve">based, and for successful implementation, a robust assessment needs to be made of gaps in the sector, the required actions and necessary infrastructure needed going forward. </w:t>
      </w:r>
    </w:p>
    <w:p w:rsidR="007B4463" w:rsidRDefault="007B4463" w:rsidP="002E552D">
      <w:pPr>
        <w:jc w:val="both"/>
      </w:pPr>
      <w:r w:rsidRPr="007B4463">
        <w:t>Some of the key preconditions needed to achieve a successful industry plan are</w:t>
      </w:r>
      <w:r>
        <w:t>:</w:t>
      </w:r>
    </w:p>
    <w:p w:rsidR="004C2E7E" w:rsidRDefault="004C2E7E" w:rsidP="002E552D">
      <w:pPr>
        <w:numPr>
          <w:ilvl w:val="0"/>
          <w:numId w:val="5"/>
        </w:numPr>
        <w:jc w:val="both"/>
      </w:pPr>
      <w:r>
        <w:t>Step 1: Authorising environment and support from government and the sector.</w:t>
      </w:r>
    </w:p>
    <w:p w:rsidR="004C2E7E" w:rsidRDefault="004C2E7E" w:rsidP="002E552D">
      <w:pPr>
        <w:numPr>
          <w:ilvl w:val="0"/>
          <w:numId w:val="5"/>
        </w:numPr>
        <w:jc w:val="both"/>
      </w:pPr>
      <w:r>
        <w:t>Step 2: Collaboration and coproduction to develop a plan; inclusion to reflect large and small agencies and diversity of the sector.</w:t>
      </w:r>
    </w:p>
    <w:p w:rsidR="004C2E7E" w:rsidRDefault="004C2E7E" w:rsidP="002E552D">
      <w:pPr>
        <w:numPr>
          <w:ilvl w:val="0"/>
          <w:numId w:val="5"/>
        </w:numPr>
        <w:jc w:val="both"/>
      </w:pPr>
      <w:r>
        <w:t>Step 3: Agreed, genuinely shared vision that meets the needs of the sector and of government.</w:t>
      </w:r>
    </w:p>
    <w:p w:rsidR="004C2E7E" w:rsidRDefault="004C2E7E" w:rsidP="002E552D">
      <w:pPr>
        <w:numPr>
          <w:ilvl w:val="0"/>
          <w:numId w:val="5"/>
        </w:numPr>
        <w:jc w:val="both"/>
      </w:pPr>
      <w:r>
        <w:t>Step 4: Realistic and achievable actions and timeframes that detail the planning, infrastructure and development required to achieve the outcomes and vision.</w:t>
      </w:r>
    </w:p>
    <w:p w:rsidR="004C2E7E" w:rsidRDefault="004C2E7E" w:rsidP="002E552D">
      <w:pPr>
        <w:numPr>
          <w:ilvl w:val="0"/>
          <w:numId w:val="5"/>
        </w:numPr>
        <w:jc w:val="both"/>
      </w:pPr>
      <w:r>
        <w:t>Step 5: Successful industry development plan that is implemented, measured and monitored over time.</w:t>
      </w:r>
    </w:p>
    <w:p w:rsidR="004C2E7E" w:rsidRDefault="004C2E7E" w:rsidP="002E552D">
      <w:pPr>
        <w:pStyle w:val="Heading1"/>
        <w:jc w:val="both"/>
      </w:pPr>
      <w:bookmarkStart w:id="6" w:name="_Toc442184823"/>
      <w:r>
        <w:t>Building on past Australian Capital Territory work</w:t>
      </w:r>
      <w:bookmarkEnd w:id="6"/>
    </w:p>
    <w:p w:rsidR="004C2E7E" w:rsidRDefault="004C2E7E" w:rsidP="002E552D">
      <w:pPr>
        <w:jc w:val="both"/>
      </w:pPr>
      <w:r>
        <w:t>There has already been a considerable amount of reform work and consultation undertaken with the community sector in the ACT.</w:t>
      </w:r>
      <w:r w:rsidR="00D87159">
        <w:t xml:space="preserve"> </w:t>
      </w:r>
      <w:r>
        <w:t>This has included:</w:t>
      </w:r>
    </w:p>
    <w:p w:rsidR="004C2E7E" w:rsidRDefault="004C2E7E" w:rsidP="002E552D">
      <w:pPr>
        <w:numPr>
          <w:ilvl w:val="0"/>
          <w:numId w:val="6"/>
        </w:numPr>
        <w:jc w:val="both"/>
      </w:pPr>
      <w:r>
        <w:t>Human Services Blueprint consultation in 2013 – the views of the sector were sought through an online survey, focus groups, intensive design workshop and targeted engagement as part of the development of the Human Services Blueprint.</w:t>
      </w:r>
    </w:p>
    <w:p w:rsidR="004C2E7E" w:rsidRDefault="004C2E7E" w:rsidP="002E552D">
      <w:pPr>
        <w:numPr>
          <w:ilvl w:val="0"/>
          <w:numId w:val="6"/>
        </w:numPr>
        <w:jc w:val="both"/>
      </w:pPr>
      <w:r>
        <w:t>Community services industry workshop on 16 September 2015 – stakeholder views were sought by the ACT Joint Community Governance Reference Group, with the workshop providing an opportunity to start discussions on industry recognition.</w:t>
      </w:r>
    </w:p>
    <w:p w:rsidR="004C2E7E" w:rsidRDefault="004C2E7E" w:rsidP="002E552D">
      <w:pPr>
        <w:numPr>
          <w:ilvl w:val="0"/>
          <w:numId w:val="6"/>
        </w:numPr>
        <w:jc w:val="both"/>
      </w:pPr>
      <w:r>
        <w:t>ACTCOSS briefing paper in 2015 – the briefing paper provided background to the conceptualisation and progression of an industry plan for the sector.</w:t>
      </w:r>
    </w:p>
    <w:p w:rsidR="00D87159" w:rsidRDefault="004C2E7E" w:rsidP="002E552D">
      <w:pPr>
        <w:jc w:val="both"/>
      </w:pPr>
      <w:r>
        <w:t>The sector and the ACT Government are aware of the amount of reform work that has recently been undertaken and the need to build on this work.</w:t>
      </w:r>
      <w:r w:rsidR="00D87159">
        <w:t xml:space="preserve"> </w:t>
      </w:r>
      <w:r>
        <w:t>To avoid rework and duplication, existing work will be used as a starting point for development of the Industry Plan.</w:t>
      </w:r>
      <w:r w:rsidR="00D87159">
        <w:t xml:space="preserve"> </w:t>
      </w:r>
      <w:r>
        <w:t>As ACTCOSS notes, the Industry Plan will need to complement existing reforms so the sector can meet the needs of the community ‘through both capability and capacity development and fiscal and operational sustainability’.</w:t>
      </w:r>
      <w:r>
        <w:rPr>
          <w:rStyle w:val="FootnoteReference"/>
        </w:rPr>
        <w:footnoteReference w:id="5"/>
      </w:r>
    </w:p>
    <w:p w:rsidR="004C2E7E" w:rsidRDefault="004C2E7E" w:rsidP="002E552D">
      <w:pPr>
        <w:jc w:val="both"/>
      </w:pPr>
      <w:r>
        <w:t>T</w:t>
      </w:r>
      <w:r w:rsidRPr="004C2E7E">
        <w:t>he Human Services Blueprint has developed a statement of vision and purpose for the industry</w:t>
      </w:r>
      <w:r>
        <w:t>.</w:t>
      </w:r>
    </w:p>
    <w:p w:rsidR="004C2E7E" w:rsidRDefault="004C2E7E" w:rsidP="002E552D">
      <w:pPr>
        <w:jc w:val="both"/>
      </w:pPr>
      <w:r>
        <w:t>The statement of vision is that all Canberrans have the capability to fully participate in strong, healthy and inclusive communities and are enabled by a cohesive human services system that is:</w:t>
      </w:r>
    </w:p>
    <w:p w:rsidR="004C2E7E" w:rsidRDefault="004C2E7E" w:rsidP="002E552D">
      <w:pPr>
        <w:numPr>
          <w:ilvl w:val="0"/>
          <w:numId w:val="7"/>
        </w:numPr>
        <w:jc w:val="both"/>
      </w:pPr>
      <w:r>
        <w:t>Person-centred, strengths-based and focused on achieving positive outcomes and services.</w:t>
      </w:r>
    </w:p>
    <w:p w:rsidR="004C2E7E" w:rsidRDefault="004C2E7E" w:rsidP="002E552D">
      <w:pPr>
        <w:numPr>
          <w:ilvl w:val="0"/>
          <w:numId w:val="7"/>
        </w:numPr>
        <w:jc w:val="both"/>
      </w:pPr>
      <w:r>
        <w:t>Simple to understand, access and navigate.</w:t>
      </w:r>
    </w:p>
    <w:p w:rsidR="004C2E7E" w:rsidRDefault="004C2E7E" w:rsidP="002E552D">
      <w:pPr>
        <w:numPr>
          <w:ilvl w:val="0"/>
          <w:numId w:val="7"/>
        </w:numPr>
        <w:jc w:val="both"/>
      </w:pPr>
      <w:r>
        <w:t>Adaptive to evolving changes, needs and knowledge.</w:t>
      </w:r>
    </w:p>
    <w:p w:rsidR="004C2E7E" w:rsidRDefault="004C2E7E" w:rsidP="002E552D">
      <w:pPr>
        <w:numPr>
          <w:ilvl w:val="0"/>
          <w:numId w:val="7"/>
        </w:numPr>
        <w:jc w:val="both"/>
      </w:pPr>
      <w:r>
        <w:lastRenderedPageBreak/>
        <w:t>Viable and sustainable, leveraging resources across the system to respond to current, emerging and future demand.</w:t>
      </w:r>
    </w:p>
    <w:p w:rsidR="004C2E7E" w:rsidRDefault="004C2E7E" w:rsidP="002E552D">
      <w:pPr>
        <w:numPr>
          <w:ilvl w:val="0"/>
          <w:numId w:val="7"/>
        </w:numPr>
        <w:jc w:val="both"/>
      </w:pPr>
      <w:r>
        <w:t>Working in collaboration and partnership across the system.</w:t>
      </w:r>
    </w:p>
    <w:p w:rsidR="004C2E7E" w:rsidRDefault="004C2E7E" w:rsidP="002E552D">
      <w:pPr>
        <w:jc w:val="both"/>
      </w:pPr>
      <w:r>
        <w:t>The Human Services Blueprint has a “triple aim”, and its purpose is to:</w:t>
      </w:r>
    </w:p>
    <w:p w:rsidR="004C2E7E" w:rsidRDefault="004C2E7E" w:rsidP="002E552D">
      <w:pPr>
        <w:numPr>
          <w:ilvl w:val="0"/>
          <w:numId w:val="8"/>
        </w:numPr>
        <w:jc w:val="both"/>
      </w:pPr>
      <w:r>
        <w:t>Improve the experience of people who interact with the system.</w:t>
      </w:r>
    </w:p>
    <w:p w:rsidR="004C2E7E" w:rsidRDefault="004C2E7E" w:rsidP="002E552D">
      <w:pPr>
        <w:numPr>
          <w:ilvl w:val="0"/>
          <w:numId w:val="8"/>
        </w:numPr>
        <w:jc w:val="both"/>
      </w:pPr>
      <w:r>
        <w:t>Improve the outcomes of people of the ACT.</w:t>
      </w:r>
    </w:p>
    <w:p w:rsidR="00D65329" w:rsidRDefault="004C2E7E" w:rsidP="002E552D">
      <w:pPr>
        <w:numPr>
          <w:ilvl w:val="0"/>
          <w:numId w:val="8"/>
        </w:numPr>
        <w:jc w:val="both"/>
      </w:pPr>
      <w:r>
        <w:t>Maximise the effective use of available resources (both human and financial).</w:t>
      </w:r>
    </w:p>
    <w:p w:rsidR="004C2E7E" w:rsidRDefault="004C2E7E" w:rsidP="002E552D">
      <w:pPr>
        <w:jc w:val="both"/>
      </w:pPr>
      <w:r w:rsidRPr="004C2E7E">
        <w:t>In order to achieve this vision, there are changes required in the service system to build the system into a cohesive whole.</w:t>
      </w:r>
      <w:r w:rsidR="00D87159">
        <w:t xml:space="preserve"> </w:t>
      </w:r>
      <w:r w:rsidRPr="004C2E7E">
        <w:t>The progressive changes required are</w:t>
      </w:r>
      <w:r>
        <w:t>:</w:t>
      </w:r>
    </w:p>
    <w:p w:rsidR="004C2E7E" w:rsidRDefault="004C2E7E" w:rsidP="002E552D">
      <w:pPr>
        <w:numPr>
          <w:ilvl w:val="0"/>
          <w:numId w:val="9"/>
        </w:numPr>
        <w:jc w:val="both"/>
      </w:pPr>
      <w:r>
        <w:t>Moving from crisis focused responses to responding early and preventing crisis.</w:t>
      </w:r>
    </w:p>
    <w:p w:rsidR="001216A8" w:rsidRDefault="004C2E7E" w:rsidP="002E552D">
      <w:pPr>
        <w:numPr>
          <w:ilvl w:val="0"/>
          <w:numId w:val="9"/>
        </w:numPr>
        <w:jc w:val="both"/>
      </w:pPr>
      <w:r>
        <w:t>Moving from fragmented and inefficient service delivery to a one system ap</w:t>
      </w:r>
      <w:r w:rsidR="001216A8">
        <w:t>proach, shared infrastructure and a focus on outcomes not inputs.</w:t>
      </w:r>
    </w:p>
    <w:p w:rsidR="001216A8" w:rsidRDefault="001216A8" w:rsidP="002E552D">
      <w:pPr>
        <w:numPr>
          <w:ilvl w:val="0"/>
          <w:numId w:val="9"/>
        </w:numPr>
        <w:jc w:val="both"/>
      </w:pPr>
      <w:r>
        <w:t xml:space="preserve">Moving from increasing vulnerability and demand for services to increasing resiliency and increasing early intervention and prevention to reduce demand for intensive service offers, and tailored service offers. </w:t>
      </w:r>
    </w:p>
    <w:p w:rsidR="004C2E7E" w:rsidRDefault="001216A8" w:rsidP="002E552D">
      <w:pPr>
        <w:numPr>
          <w:ilvl w:val="0"/>
          <w:numId w:val="9"/>
        </w:numPr>
        <w:jc w:val="both"/>
      </w:pPr>
      <w:r>
        <w:t xml:space="preserve">Moving from multiple reform efforts to alignment of reform efforts. </w:t>
      </w:r>
    </w:p>
    <w:p w:rsidR="00162629" w:rsidRDefault="001216A8" w:rsidP="002E552D">
      <w:pPr>
        <w:numPr>
          <w:ilvl w:val="0"/>
          <w:numId w:val="9"/>
        </w:numPr>
        <w:jc w:val="both"/>
      </w:pPr>
      <w:r>
        <w:t>Moving from constrained resources to restructure service outputs and models to work within available resourcing arrangements.</w:t>
      </w:r>
    </w:p>
    <w:p w:rsidR="001216A8" w:rsidRDefault="001216A8" w:rsidP="002E552D">
      <w:pPr>
        <w:jc w:val="both"/>
      </w:pPr>
      <w:r w:rsidRPr="001216A8">
        <w:t>Drawing on the Human Services Blueprint work, the key emerging themes that are relevant to an i</w:t>
      </w:r>
      <w:r>
        <w:t xml:space="preserve">ndustry plan are: </w:t>
      </w:r>
    </w:p>
    <w:p w:rsidR="001216A8" w:rsidRDefault="001216A8" w:rsidP="002E552D">
      <w:pPr>
        <w:numPr>
          <w:ilvl w:val="0"/>
          <w:numId w:val="10"/>
        </w:numPr>
        <w:jc w:val="both"/>
      </w:pPr>
      <w:r>
        <w:t>Person-centred.</w:t>
      </w:r>
    </w:p>
    <w:p w:rsidR="001216A8" w:rsidRDefault="001216A8" w:rsidP="002E552D">
      <w:pPr>
        <w:numPr>
          <w:ilvl w:val="0"/>
          <w:numId w:val="10"/>
        </w:numPr>
        <w:jc w:val="both"/>
      </w:pPr>
      <w:r>
        <w:t>Strengths-based.</w:t>
      </w:r>
    </w:p>
    <w:p w:rsidR="001216A8" w:rsidRDefault="001216A8" w:rsidP="002E552D">
      <w:pPr>
        <w:numPr>
          <w:ilvl w:val="0"/>
          <w:numId w:val="10"/>
        </w:numPr>
        <w:jc w:val="both"/>
      </w:pPr>
      <w:r>
        <w:t>Outcomes focused.</w:t>
      </w:r>
    </w:p>
    <w:p w:rsidR="001216A8" w:rsidRDefault="001216A8" w:rsidP="002E552D">
      <w:pPr>
        <w:numPr>
          <w:ilvl w:val="0"/>
          <w:numId w:val="10"/>
        </w:numPr>
        <w:jc w:val="both"/>
      </w:pPr>
      <w:r>
        <w:t>Simple.</w:t>
      </w:r>
    </w:p>
    <w:p w:rsidR="001216A8" w:rsidRDefault="001216A8" w:rsidP="002E552D">
      <w:pPr>
        <w:numPr>
          <w:ilvl w:val="0"/>
          <w:numId w:val="10"/>
        </w:numPr>
        <w:jc w:val="both"/>
      </w:pPr>
      <w:r>
        <w:t>Adaptive.</w:t>
      </w:r>
    </w:p>
    <w:p w:rsidR="001216A8" w:rsidRDefault="001216A8" w:rsidP="002E552D">
      <w:pPr>
        <w:numPr>
          <w:ilvl w:val="0"/>
          <w:numId w:val="10"/>
        </w:numPr>
        <w:jc w:val="both"/>
      </w:pPr>
      <w:r>
        <w:t xml:space="preserve">Sustainable. </w:t>
      </w:r>
    </w:p>
    <w:p w:rsidR="001216A8" w:rsidRDefault="001216A8" w:rsidP="002E552D">
      <w:pPr>
        <w:numPr>
          <w:ilvl w:val="0"/>
          <w:numId w:val="10"/>
        </w:numPr>
        <w:jc w:val="both"/>
      </w:pPr>
      <w:r>
        <w:t>Collaborative.</w:t>
      </w:r>
    </w:p>
    <w:p w:rsidR="001216A8" w:rsidRDefault="001216A8" w:rsidP="002E552D">
      <w:pPr>
        <w:pStyle w:val="Heading1"/>
        <w:jc w:val="both"/>
      </w:pPr>
      <w:bookmarkStart w:id="7" w:name="_Toc442184824"/>
      <w:r>
        <w:t>The community services industry</w:t>
      </w:r>
      <w:bookmarkEnd w:id="7"/>
    </w:p>
    <w:p w:rsidR="001216A8" w:rsidRDefault="001216A8" w:rsidP="002E552D">
      <w:pPr>
        <w:pStyle w:val="Heading2"/>
        <w:numPr>
          <w:ilvl w:val="0"/>
          <w:numId w:val="0"/>
        </w:numPr>
        <w:ind w:left="360"/>
        <w:jc w:val="both"/>
      </w:pPr>
      <w:bookmarkStart w:id="8" w:name="_Toc442184825"/>
      <w:r>
        <w:t>3.1 Defining the industry</w:t>
      </w:r>
      <w:bookmarkEnd w:id="8"/>
    </w:p>
    <w:p w:rsidR="001216A8" w:rsidRDefault="001216A8" w:rsidP="002E552D">
      <w:pPr>
        <w:jc w:val="both"/>
      </w:pPr>
      <w:r>
        <w:t>Community services includes a broad and diverse range of services and there is no standard definition of what constitutes community services.</w:t>
      </w:r>
      <w:r w:rsidR="00D87159">
        <w:t xml:space="preserve"> </w:t>
      </w:r>
      <w:r>
        <w:t>There are various definitions of the sector which vary according to their purpose:</w:t>
      </w:r>
    </w:p>
    <w:p w:rsidR="001216A8" w:rsidRDefault="001216A8" w:rsidP="002E552D">
      <w:pPr>
        <w:numPr>
          <w:ilvl w:val="0"/>
          <w:numId w:val="13"/>
        </w:numPr>
        <w:jc w:val="both"/>
      </w:pPr>
      <w:r>
        <w:lastRenderedPageBreak/>
        <w:t>Tax classification – for the purposes of tax exemptions, community service organisations are organisations which have a physical presence in Australia and meet the following requirements:</w:t>
      </w:r>
    </w:p>
    <w:p w:rsidR="001216A8" w:rsidRDefault="001216A8" w:rsidP="002E552D">
      <w:pPr>
        <w:numPr>
          <w:ilvl w:val="0"/>
          <w:numId w:val="13"/>
        </w:numPr>
        <w:tabs>
          <w:tab w:val="clear" w:pos="340"/>
          <w:tab w:val="num" w:pos="680"/>
        </w:tabs>
        <w:ind w:left="680"/>
        <w:jc w:val="both"/>
      </w:pPr>
      <w:r>
        <w:t xml:space="preserve"> not-for-profit society, association or club</w:t>
      </w:r>
    </w:p>
    <w:p w:rsidR="001216A8" w:rsidRDefault="001216A8" w:rsidP="002E552D">
      <w:pPr>
        <w:numPr>
          <w:ilvl w:val="0"/>
          <w:numId w:val="13"/>
        </w:numPr>
        <w:tabs>
          <w:tab w:val="clear" w:pos="340"/>
          <w:tab w:val="num" w:pos="680"/>
        </w:tabs>
        <w:ind w:left="680"/>
        <w:jc w:val="both"/>
      </w:pPr>
      <w:r>
        <w:t>established for community service purposes (except political or lobbying purposes)</w:t>
      </w:r>
    </w:p>
    <w:p w:rsidR="001216A8" w:rsidRDefault="001216A8" w:rsidP="002E552D">
      <w:pPr>
        <w:numPr>
          <w:ilvl w:val="0"/>
          <w:numId w:val="13"/>
        </w:numPr>
        <w:tabs>
          <w:tab w:val="clear" w:pos="340"/>
          <w:tab w:val="num" w:pos="680"/>
        </w:tabs>
        <w:ind w:left="680"/>
        <w:jc w:val="both"/>
      </w:pPr>
      <w:r>
        <w:t>are not a charity.</w:t>
      </w:r>
      <w:r>
        <w:rPr>
          <w:rStyle w:val="FootnoteReference"/>
        </w:rPr>
        <w:footnoteReference w:id="6"/>
      </w:r>
    </w:p>
    <w:p w:rsidR="001216A8" w:rsidRDefault="001216A8" w:rsidP="002E552D">
      <w:pPr>
        <w:numPr>
          <w:ilvl w:val="0"/>
          <w:numId w:val="13"/>
        </w:numPr>
        <w:jc w:val="both"/>
      </w:pPr>
      <w:r>
        <w:t>Industry classifications – the Australia New Zealand Standard Industry Classification (ANZIC) uses 19 different divisions to classify and group organisations according to their predominant activity. Secondary activities and organisational purpose are not considered. One division is health care and social assistance, which includes organisations whose primary activities relate to hospitals, medical and health services, residential care and social assistance.</w:t>
      </w:r>
    </w:p>
    <w:p w:rsidR="001216A8" w:rsidRDefault="001216A8" w:rsidP="002E552D">
      <w:pPr>
        <w:numPr>
          <w:ilvl w:val="0"/>
          <w:numId w:val="13"/>
        </w:numPr>
        <w:jc w:val="both"/>
      </w:pPr>
      <w:r>
        <w:t xml:space="preserve">Service activity classifications – the National Classification of Community Services, developed by the Australian Institute of Health and Welfare (AIHW), describes the type of service activity delivered, location of delivery, and target clients. There are eight classification categories, with linkage back to the ANZIC classes. </w:t>
      </w:r>
    </w:p>
    <w:p w:rsidR="001216A8" w:rsidRDefault="001216A8" w:rsidP="002E552D">
      <w:pPr>
        <w:jc w:val="both"/>
      </w:pPr>
      <w:r>
        <w:t>For the purposes of the development of the Industry Plan, it is intended to adopt a broad and inclusive definition including not for profit and for profit providers who are engaged in health and human service activities. Community services have therefore been defined to include but not be limited to the following key services:</w:t>
      </w:r>
    </w:p>
    <w:p w:rsidR="001216A8" w:rsidRDefault="001216A8" w:rsidP="002E552D">
      <w:pPr>
        <w:numPr>
          <w:ilvl w:val="0"/>
          <w:numId w:val="14"/>
        </w:numPr>
        <w:jc w:val="both"/>
      </w:pPr>
      <w:r>
        <w:t>Housing and Homelessness Services.</w:t>
      </w:r>
    </w:p>
    <w:p w:rsidR="001216A8" w:rsidRDefault="001216A8" w:rsidP="002E552D">
      <w:pPr>
        <w:numPr>
          <w:ilvl w:val="0"/>
          <w:numId w:val="14"/>
        </w:numPr>
        <w:jc w:val="both"/>
      </w:pPr>
      <w:r>
        <w:t>Child Protection Services.</w:t>
      </w:r>
    </w:p>
    <w:p w:rsidR="001216A8" w:rsidRDefault="001216A8" w:rsidP="002E552D">
      <w:pPr>
        <w:numPr>
          <w:ilvl w:val="0"/>
          <w:numId w:val="14"/>
        </w:numPr>
        <w:jc w:val="both"/>
      </w:pPr>
      <w:r>
        <w:t>Disability Services.</w:t>
      </w:r>
    </w:p>
    <w:p w:rsidR="001216A8" w:rsidRDefault="001216A8" w:rsidP="002E552D">
      <w:pPr>
        <w:numPr>
          <w:ilvl w:val="0"/>
          <w:numId w:val="14"/>
        </w:numPr>
        <w:jc w:val="both"/>
      </w:pPr>
      <w:r>
        <w:t>Community Health Services.</w:t>
      </w:r>
    </w:p>
    <w:p w:rsidR="001216A8" w:rsidRDefault="001216A8" w:rsidP="002E552D">
      <w:pPr>
        <w:numPr>
          <w:ilvl w:val="0"/>
          <w:numId w:val="14"/>
        </w:numPr>
        <w:jc w:val="both"/>
      </w:pPr>
      <w:r>
        <w:t>Aged Care.</w:t>
      </w:r>
    </w:p>
    <w:p w:rsidR="001216A8" w:rsidRDefault="001216A8" w:rsidP="002E552D">
      <w:pPr>
        <w:numPr>
          <w:ilvl w:val="0"/>
          <w:numId w:val="14"/>
        </w:numPr>
        <w:jc w:val="both"/>
      </w:pPr>
      <w:r>
        <w:t>Mental Health Services.</w:t>
      </w:r>
    </w:p>
    <w:p w:rsidR="001216A8" w:rsidRDefault="001216A8" w:rsidP="002E552D">
      <w:pPr>
        <w:numPr>
          <w:ilvl w:val="0"/>
          <w:numId w:val="14"/>
        </w:numPr>
        <w:jc w:val="both"/>
      </w:pPr>
      <w:r>
        <w:t>Drug and Alcohol Services.</w:t>
      </w:r>
    </w:p>
    <w:p w:rsidR="001216A8" w:rsidRDefault="001216A8" w:rsidP="002E552D">
      <w:pPr>
        <w:numPr>
          <w:ilvl w:val="0"/>
          <w:numId w:val="14"/>
        </w:numPr>
        <w:jc w:val="both"/>
      </w:pPr>
      <w:r>
        <w:t>Youth and Family Services.</w:t>
      </w:r>
    </w:p>
    <w:p w:rsidR="001216A8" w:rsidRDefault="001216A8" w:rsidP="002E552D">
      <w:pPr>
        <w:numPr>
          <w:ilvl w:val="0"/>
          <w:numId w:val="14"/>
        </w:numPr>
        <w:jc w:val="both"/>
      </w:pPr>
      <w:r>
        <w:t>Women’s services.</w:t>
      </w:r>
    </w:p>
    <w:p w:rsidR="001216A8" w:rsidRDefault="001216A8" w:rsidP="002E552D">
      <w:pPr>
        <w:numPr>
          <w:ilvl w:val="0"/>
          <w:numId w:val="14"/>
        </w:numPr>
        <w:jc w:val="both"/>
      </w:pPr>
      <w:r>
        <w:t>Sexual Health Services.</w:t>
      </w:r>
    </w:p>
    <w:p w:rsidR="001216A8" w:rsidRDefault="001216A8" w:rsidP="002E552D">
      <w:pPr>
        <w:numPr>
          <w:ilvl w:val="0"/>
          <w:numId w:val="14"/>
        </w:numPr>
        <w:jc w:val="both"/>
      </w:pPr>
      <w:r>
        <w:t>Culturally and Linguistically Diverse Services.</w:t>
      </w:r>
    </w:p>
    <w:p w:rsidR="001216A8" w:rsidRDefault="001216A8" w:rsidP="002E552D">
      <w:pPr>
        <w:numPr>
          <w:ilvl w:val="0"/>
          <w:numId w:val="14"/>
        </w:numPr>
        <w:jc w:val="both"/>
      </w:pPr>
      <w:r>
        <w:t>Aboriginal and Torres Strait Islander Community Services.</w:t>
      </w:r>
    </w:p>
    <w:p w:rsidR="009C1064" w:rsidRDefault="009C1064" w:rsidP="002E552D">
      <w:pPr>
        <w:pStyle w:val="Heading2"/>
        <w:numPr>
          <w:ilvl w:val="0"/>
          <w:numId w:val="0"/>
        </w:numPr>
        <w:ind w:left="720" w:hanging="360"/>
        <w:jc w:val="both"/>
      </w:pPr>
      <w:bookmarkStart w:id="9" w:name="_Toc442184826"/>
      <w:r>
        <w:t>3.2 Profile of the sector</w:t>
      </w:r>
      <w:bookmarkEnd w:id="9"/>
    </w:p>
    <w:p w:rsidR="009C1064" w:rsidRDefault="009C1064" w:rsidP="002E552D">
      <w:pPr>
        <w:jc w:val="both"/>
      </w:pPr>
      <w:r>
        <w:t>The following section profiles the community sector, although it must be kept in mind that there are different definitions of the sector and different time frames for data collection and reporting.</w:t>
      </w:r>
      <w:r w:rsidR="00D87159">
        <w:t xml:space="preserve"> </w:t>
      </w:r>
      <w:r>
        <w:t xml:space="preserve">Each definition is noted in the following section against the relevant metrics of the Australian Bureau of </w:t>
      </w:r>
      <w:r>
        <w:lastRenderedPageBreak/>
        <w:t>Statistics (ABS). It is important to note that there are differences between government and community sector organisation data, and data development is one area of focus under the proposed Industry Plan.</w:t>
      </w:r>
    </w:p>
    <w:p w:rsidR="00704E3C" w:rsidRDefault="009C1064" w:rsidP="002E552D">
      <w:pPr>
        <w:jc w:val="both"/>
      </w:pPr>
      <w:r>
        <w:t>In 2014,</w:t>
      </w:r>
      <w:r w:rsidR="00704E3C" w:rsidRPr="00403DA4">
        <w:rPr>
          <w:rStyle w:val="FootnoteReference"/>
        </w:rPr>
        <w:footnoteReference w:id="7"/>
      </w:r>
      <w:r w:rsidR="00D87159">
        <w:t xml:space="preserve"> </w:t>
      </w:r>
      <w:r>
        <w:t>based on ANZSIC Industry Classification, there were 152 organisations which provided aged care residential services, other residential care services, child care services, and other social assistance services in the ACT</w:t>
      </w:r>
      <w:r w:rsidR="00704E3C">
        <w:t>.</w:t>
      </w:r>
    </w:p>
    <w:p w:rsidR="00704E3C" w:rsidRDefault="00704E3C" w:rsidP="002E552D">
      <w:pPr>
        <w:jc w:val="both"/>
      </w:pPr>
      <w:r>
        <w:t>Currently, however, there is rapid change in the environment due to the NDIS, with a large influx of new providers. There are now more than 170 organisations registered to provide disability services in the ACT compared to 65 organisations previously identified.</w:t>
      </w:r>
      <w:r w:rsidRPr="00403DA4">
        <w:rPr>
          <w:rStyle w:val="FootnoteReference"/>
        </w:rPr>
        <w:footnoteReference w:id="8"/>
      </w:r>
      <w:r>
        <w:t xml:space="preserve"> </w:t>
      </w:r>
    </w:p>
    <w:p w:rsidR="00704E3C" w:rsidRDefault="00704E3C" w:rsidP="002E552D">
      <w:pPr>
        <w:jc w:val="both"/>
      </w:pPr>
      <w:r>
        <w:t>Based on ABS labour force statistics in August 2015, the Health Care and Community Services sector employed approximately 21,700 people (based on a four quarter average).</w:t>
      </w:r>
      <w:r w:rsidR="00D87159">
        <w:t xml:space="preserve"> </w:t>
      </w:r>
      <w:r>
        <w:t>The workforce profile shows that the majority of employees in the industry are females, with a higher proportion of part time workers than in the broader economy.</w:t>
      </w:r>
      <w:r w:rsidRPr="00403DA4">
        <w:rPr>
          <w:rStyle w:val="FootnoteReference"/>
        </w:rPr>
        <w:footnoteReference w:id="9"/>
      </w:r>
    </w:p>
    <w:p w:rsidR="00704E3C" w:rsidRDefault="00704E3C" w:rsidP="002E552D">
      <w:pPr>
        <w:pStyle w:val="Heading2"/>
        <w:numPr>
          <w:ilvl w:val="0"/>
          <w:numId w:val="0"/>
        </w:numPr>
        <w:ind w:left="720" w:hanging="360"/>
        <w:jc w:val="both"/>
      </w:pPr>
      <w:bookmarkStart w:id="10" w:name="_Toc442184827"/>
      <w:r>
        <w:t>3.3 Economic importance of the sector</w:t>
      </w:r>
      <w:bookmarkEnd w:id="10"/>
    </w:p>
    <w:p w:rsidR="00704E3C" w:rsidRDefault="00704E3C" w:rsidP="002E552D">
      <w:pPr>
        <w:jc w:val="both"/>
      </w:pPr>
      <w:r>
        <w:t>The Health and Community Services Industry is a major contributor to the ACT economy.</w:t>
      </w:r>
      <w:r w:rsidR="00D87159">
        <w:t xml:space="preserve"> </w:t>
      </w:r>
      <w:r>
        <w:t>The contribution of the industry can be seen in its economic contribution, the extent of employment provided, and the provision of volunteers.</w:t>
      </w:r>
      <w:r w:rsidR="00D87159">
        <w:t xml:space="preserve"> </w:t>
      </w:r>
      <w:r>
        <w:t>Although often not measured in economic terms, there is a multiplying effect in the economy of the social impact of the health and community services provided.</w:t>
      </w:r>
    </w:p>
    <w:p w:rsidR="00704E3C" w:rsidRDefault="00704E3C" w:rsidP="002E552D">
      <w:pPr>
        <w:pStyle w:val="Heading3"/>
        <w:jc w:val="both"/>
      </w:pPr>
      <w:bookmarkStart w:id="11" w:name="_Toc442184828"/>
      <w:r>
        <w:t>Economic contribution</w:t>
      </w:r>
      <w:bookmarkEnd w:id="11"/>
      <w:r w:rsidR="00D87159">
        <w:t xml:space="preserve"> </w:t>
      </w:r>
    </w:p>
    <w:p w:rsidR="00704E3C" w:rsidRDefault="00704E3C" w:rsidP="002E552D">
      <w:pPr>
        <w:jc w:val="both"/>
      </w:pPr>
      <w:r>
        <w:t>The ACT health and community services industry:</w:t>
      </w:r>
    </w:p>
    <w:p w:rsidR="00704E3C" w:rsidRDefault="00704E3C" w:rsidP="002E552D">
      <w:pPr>
        <w:numPr>
          <w:ilvl w:val="0"/>
          <w:numId w:val="15"/>
        </w:numPr>
        <w:jc w:val="both"/>
      </w:pPr>
      <w:r>
        <w:t>Injects more than $2.2 billion</w:t>
      </w:r>
      <w:r w:rsidRPr="00671D4E">
        <w:rPr>
          <w:rStyle w:val="FootnoteReference"/>
          <w:sz w:val="20"/>
          <w:szCs w:val="20"/>
        </w:rPr>
        <w:footnoteReference w:id="10"/>
      </w:r>
      <w:r w:rsidR="00D87159">
        <w:t xml:space="preserve"> </w:t>
      </w:r>
      <w:r>
        <w:t>to the ACT’s economy each year, accounting for a 6.8 per cent share of ACT’s economy.</w:t>
      </w:r>
    </w:p>
    <w:p w:rsidR="00704E3C" w:rsidRDefault="00704E3C" w:rsidP="002E552D">
      <w:pPr>
        <w:numPr>
          <w:ilvl w:val="0"/>
          <w:numId w:val="15"/>
        </w:numPr>
        <w:jc w:val="both"/>
      </w:pPr>
      <w:r>
        <w:t>Accounts for the ACT’s second largest industry employer, providing jobs for more than 21,700</w:t>
      </w:r>
      <w:r w:rsidRPr="00671D4E">
        <w:rPr>
          <w:rStyle w:val="FootnoteReference"/>
          <w:sz w:val="20"/>
          <w:szCs w:val="20"/>
        </w:rPr>
        <w:footnoteReference w:id="11"/>
      </w:r>
      <w:r w:rsidR="00D87159">
        <w:t xml:space="preserve"> </w:t>
      </w:r>
      <w:r>
        <w:t>people.</w:t>
      </w:r>
    </w:p>
    <w:p w:rsidR="00704E3C" w:rsidRDefault="00704E3C" w:rsidP="002E552D">
      <w:pPr>
        <w:numPr>
          <w:ilvl w:val="0"/>
          <w:numId w:val="15"/>
        </w:numPr>
        <w:jc w:val="both"/>
      </w:pPr>
      <w:r>
        <w:t>Contributes to the economic prosperity of the ACT by offering employment and business opportunities, and providing essential support for individuals and families.</w:t>
      </w:r>
    </w:p>
    <w:p w:rsidR="00704E3C" w:rsidRDefault="00704E3C" w:rsidP="002E552D">
      <w:pPr>
        <w:numPr>
          <w:ilvl w:val="0"/>
          <w:numId w:val="15"/>
        </w:numPr>
        <w:jc w:val="both"/>
      </w:pPr>
      <w:r>
        <w:t>Has the largest number of active volunteers,</w:t>
      </w:r>
      <w:r w:rsidRPr="00671D4E">
        <w:rPr>
          <w:rStyle w:val="FootnoteReference"/>
          <w:sz w:val="20"/>
          <w:szCs w:val="20"/>
        </w:rPr>
        <w:footnoteReference w:id="12"/>
      </w:r>
      <w:r>
        <w:t xml:space="preserve"> which includes the health and community/welfare sector. </w:t>
      </w:r>
    </w:p>
    <w:p w:rsidR="00704E3C" w:rsidRDefault="00704E3C" w:rsidP="002E552D">
      <w:pPr>
        <w:jc w:val="both"/>
      </w:pPr>
      <w:r>
        <w:t>In 2014–15, the Industry contributed more than $2.2 billion to the ACT’s economy.</w:t>
      </w:r>
      <w:r w:rsidR="00941C3F">
        <w:rPr>
          <w:rStyle w:val="FootnoteReference"/>
          <w:sz w:val="20"/>
          <w:szCs w:val="20"/>
        </w:rPr>
        <w:t xml:space="preserve"> </w:t>
      </w:r>
      <w:r>
        <w:t>This was the fifth largest contribution of all industries, representing a 6.8 per cent share of ACT’s economy.</w:t>
      </w:r>
    </w:p>
    <w:p w:rsidR="00704E3C" w:rsidRDefault="00704E3C" w:rsidP="002E552D">
      <w:pPr>
        <w:pStyle w:val="Heading3"/>
        <w:jc w:val="both"/>
      </w:pPr>
      <w:bookmarkStart w:id="12" w:name="_Toc442184829"/>
      <w:r>
        <w:lastRenderedPageBreak/>
        <w:t>Employment</w:t>
      </w:r>
      <w:bookmarkEnd w:id="12"/>
    </w:p>
    <w:p w:rsidR="00704E3C" w:rsidRDefault="00704E3C" w:rsidP="002E552D">
      <w:pPr>
        <w:jc w:val="both"/>
      </w:pPr>
      <w:r w:rsidRPr="00704E3C">
        <w:t>The Health and Community Services Industry is the ACT’s second largest industry employer, providing jobs for 21,700 people, which accounts for 10.4</w:t>
      </w:r>
      <w:r w:rsidR="00D87159">
        <w:t xml:space="preserve"> </w:t>
      </w:r>
      <w:r w:rsidRPr="00704E3C">
        <w:t>per cent</w:t>
      </w:r>
      <w:r w:rsidRPr="00671D4E">
        <w:rPr>
          <w:rStyle w:val="FootnoteReference"/>
          <w:rFonts w:ascii="Univers 45 Light" w:hAnsi="Univers 45 Light"/>
        </w:rPr>
        <w:footnoteReference w:id="13"/>
      </w:r>
      <w:r w:rsidRPr="00704E3C">
        <w:t xml:space="preserve"> of the Territory’s total labour market.</w:t>
      </w:r>
    </w:p>
    <w:p w:rsidR="00941C3F" w:rsidRDefault="00941C3F" w:rsidP="002E552D">
      <w:pPr>
        <w:jc w:val="both"/>
      </w:pPr>
      <w:r>
        <w:t>The Industry has consistently experienced strong growth over the medium and long-term. However, in the year to 2015, there has been a slight decline in the number of jobs in the sector.</w:t>
      </w:r>
    </w:p>
    <w:p w:rsidR="00941C3F" w:rsidRDefault="00941C3F" w:rsidP="002E552D">
      <w:pPr>
        <w:jc w:val="both"/>
      </w:pPr>
      <w:r>
        <w:t>Nationally, the Industry has delivered more new jobs to the Australian economy than any other industry. In the five years to 2015, the Industry created one in three new Australian jobs, maintaining an average annual growth of 2.8 per cent. In the ACT, the Industry has created 3,104 new jobs or 8.5 per cent of the ACT’s total employment growth over the five years to 2015.</w:t>
      </w:r>
      <w:r w:rsidR="00D87159">
        <w:t xml:space="preserve"> </w:t>
      </w:r>
      <w:r>
        <w:t>By comparison, Public Administration and Safety jobs reduced by 987 over the same period.</w:t>
      </w:r>
    </w:p>
    <w:p w:rsidR="00941C3F" w:rsidRDefault="00941C3F" w:rsidP="002E552D">
      <w:pPr>
        <w:jc w:val="both"/>
      </w:pPr>
      <w:r>
        <w:t>In 2015, there were estimated to be 1,783 fewer jobs in the Industry than in the previous year.</w:t>
      </w:r>
    </w:p>
    <w:p w:rsidR="00704E3C" w:rsidRDefault="00704E3C" w:rsidP="002E552D">
      <w:pPr>
        <w:pStyle w:val="Heading3"/>
        <w:jc w:val="both"/>
      </w:pPr>
      <w:bookmarkStart w:id="13" w:name="_Toc442184830"/>
      <w:r>
        <w:t>Social impact, social capital and sustainability</w:t>
      </w:r>
      <w:bookmarkEnd w:id="13"/>
    </w:p>
    <w:p w:rsidR="00941C3F" w:rsidRDefault="00941C3F" w:rsidP="002E552D">
      <w:pPr>
        <w:jc w:val="both"/>
      </w:pPr>
      <w:r>
        <w:t>It has been noted that the contribution of the community services portfolio is often undervalued due to the difficulty of measuring its economic contribution and challenges with measuring outcomes in the industry.</w:t>
      </w:r>
      <w:r w:rsidRPr="00403DA4">
        <w:rPr>
          <w:rStyle w:val="FootnoteReference"/>
        </w:rPr>
        <w:footnoteReference w:id="14"/>
      </w:r>
    </w:p>
    <w:p w:rsidR="00941C3F" w:rsidRDefault="00941C3F" w:rsidP="002E552D">
      <w:pPr>
        <w:jc w:val="both"/>
      </w:pPr>
      <w:r>
        <w:t>There is, however, an increasing amount of work being undertaken on conceptualising the contribution of community services as well as measuring the social and economic impact of these services.</w:t>
      </w:r>
    </w:p>
    <w:p w:rsidR="00941C3F" w:rsidRDefault="00941C3F" w:rsidP="002E552D">
      <w:pPr>
        <w:jc w:val="both"/>
      </w:pPr>
      <w:r>
        <w:t>In 2010 the Productivity Commission released its final report into the contribution of the not-for-profit or community sector.</w:t>
      </w:r>
      <w:r w:rsidRPr="00403DA4">
        <w:rPr>
          <w:vertAlign w:val="superscript"/>
        </w:rPr>
        <w:footnoteReference w:id="15"/>
      </w:r>
      <w:r w:rsidR="00D87159">
        <w:t xml:space="preserve"> </w:t>
      </w:r>
      <w:r>
        <w:t xml:space="preserve">The Productivity Commission found that community sector organisations contribute to wellbeing in four broad ways, including by connecting the community and expanding social networks available to individuals: </w:t>
      </w:r>
    </w:p>
    <w:p w:rsidR="00941C3F" w:rsidRPr="00941C3F" w:rsidRDefault="00941C3F" w:rsidP="002E552D">
      <w:pPr>
        <w:ind w:left="720"/>
        <w:jc w:val="both"/>
        <w:rPr>
          <w:i/>
        </w:rPr>
      </w:pPr>
      <w:r w:rsidRPr="00941C3F">
        <w:rPr>
          <w:i/>
        </w:rPr>
        <w:t>Connection through worship, social and sporting clubs and other organisations that promote community engagement are obvious examples, but connection can also occur through volunteering, such as with a service delivery organisation. Provision of social support services can also provide a means by which socially excluded individuals can re-engage with society.</w:t>
      </w:r>
      <w:r w:rsidRPr="00403DA4">
        <w:rPr>
          <w:vertAlign w:val="superscript"/>
        </w:rPr>
        <w:footnoteReference w:id="16"/>
      </w:r>
      <w:r w:rsidRPr="00941C3F">
        <w:rPr>
          <w:i/>
        </w:rPr>
        <w:t xml:space="preserve"> </w:t>
      </w:r>
    </w:p>
    <w:p w:rsidR="00941C3F" w:rsidRDefault="00941C3F" w:rsidP="002E552D">
      <w:pPr>
        <w:jc w:val="both"/>
      </w:pPr>
      <w:r>
        <w:t>The Productivity Commission suggested that the extent of activity by community sector organisations can be an indicator of the health of society.</w:t>
      </w:r>
      <w:r w:rsidRPr="00403DA4">
        <w:rPr>
          <w:vertAlign w:val="superscript"/>
        </w:rPr>
        <w:footnoteReference w:id="17"/>
      </w:r>
      <w:r>
        <w:t xml:space="preserve"> </w:t>
      </w:r>
    </w:p>
    <w:p w:rsidR="00941C3F" w:rsidRDefault="00941C3F" w:rsidP="002E552D">
      <w:pPr>
        <w:jc w:val="both"/>
      </w:pPr>
      <w:r>
        <w:t>In 2015 the Australian Institute of Health and Welfare (AIHW) proposed a new reporting framework on the performance of the welfare system, the contribution of the community and other sectors, and the influence of selected determinants.</w:t>
      </w:r>
      <w:r w:rsidRPr="00403DA4">
        <w:rPr>
          <w:vertAlign w:val="superscript"/>
        </w:rPr>
        <w:footnoteReference w:id="18"/>
      </w:r>
      <w:r w:rsidR="00D87159">
        <w:t xml:space="preserve"> </w:t>
      </w:r>
      <w:r>
        <w:t>The AIHW has proposed that adult volunteering be a measure of community and social engagement:</w:t>
      </w:r>
    </w:p>
    <w:p w:rsidR="00941C3F" w:rsidRPr="00BF1652" w:rsidRDefault="00941C3F" w:rsidP="002E552D">
      <w:pPr>
        <w:ind w:left="720"/>
        <w:jc w:val="both"/>
        <w:rPr>
          <w:i/>
        </w:rPr>
      </w:pPr>
      <w:r w:rsidRPr="00BF1652">
        <w:rPr>
          <w:i/>
        </w:rPr>
        <w:lastRenderedPageBreak/>
        <w:t>The contribution of volunteers to a variety of organisations helps to build social networks, increases shared values and strengthens social cohesion. By volunteering, individuals can become more outwardly focused, leading to a decrease in social isolation, greater social connections and the promotion of good mental health.</w:t>
      </w:r>
      <w:r w:rsidR="00BF1652" w:rsidRPr="00403DA4">
        <w:rPr>
          <w:vertAlign w:val="superscript"/>
        </w:rPr>
        <w:footnoteReference w:id="19"/>
      </w:r>
      <w:r w:rsidRPr="00BF1652">
        <w:rPr>
          <w:i/>
        </w:rPr>
        <w:t xml:space="preserve"> </w:t>
      </w:r>
    </w:p>
    <w:p w:rsidR="00941C3F" w:rsidRDefault="00941C3F" w:rsidP="002E552D">
      <w:pPr>
        <w:jc w:val="both"/>
      </w:pPr>
      <w:r>
        <w:t>KPMG reported in 2015 positive findings from a case study into an Aboriginal and Torres Strait Islander volunteer initiative, Indigenous Community Volunteers, which matches the capabilities of volunteers to community needs in a range of Indigenous communities.</w:t>
      </w:r>
      <w:r w:rsidR="00BF1652" w:rsidRPr="00403DA4">
        <w:rPr>
          <w:vertAlign w:val="superscript"/>
        </w:rPr>
        <w:footnoteReference w:id="20"/>
      </w:r>
      <w:r w:rsidR="00D87159">
        <w:t xml:space="preserve"> </w:t>
      </w:r>
      <w:r>
        <w:t>Improved community pride and well-being and strengthened community connectedness were reported as some of the positive findings.</w:t>
      </w:r>
      <w:r w:rsidR="00BF1652" w:rsidRPr="00403DA4">
        <w:rPr>
          <w:vertAlign w:val="superscript"/>
        </w:rPr>
        <w:footnoteReference w:id="21"/>
      </w:r>
      <w:r>
        <w:t xml:space="preserve"> </w:t>
      </w:r>
    </w:p>
    <w:p w:rsidR="00941C3F" w:rsidRDefault="00941C3F" w:rsidP="002E552D">
      <w:pPr>
        <w:jc w:val="both"/>
      </w:pPr>
      <w:r>
        <w:t>In addition, there is research that shows investment in ‘soft infrastructure’ or community sector organisations can promote social capital and sustainability.</w:t>
      </w:r>
      <w:r w:rsidR="00BF1652" w:rsidRPr="00403DA4">
        <w:rPr>
          <w:vertAlign w:val="superscript"/>
        </w:rPr>
        <w:footnoteReference w:id="22"/>
      </w:r>
      <w:r w:rsidR="00D87159">
        <w:t xml:space="preserve"> </w:t>
      </w:r>
      <w:r>
        <w:t xml:space="preserve">In 2010 Professor Cuthill considered social sustainability in the rapid urban growth area of South East Queensland in Australia. Cuthill argues that a socially sustainable community is, among other things, built on: </w:t>
      </w:r>
    </w:p>
    <w:p w:rsidR="00941C3F" w:rsidRPr="00BF1652" w:rsidRDefault="00941C3F" w:rsidP="002E552D">
      <w:pPr>
        <w:ind w:left="720"/>
        <w:jc w:val="both"/>
        <w:rPr>
          <w:i/>
        </w:rPr>
      </w:pPr>
      <w:r w:rsidRPr="00BF1652">
        <w:rPr>
          <w:i/>
        </w:rPr>
        <w:t>… equitable access to a range of health, education and community services, and government policy and processes support and provide appropriate resources to assist individuals and groups to develop their skills, knowledge and abilities to participate in social and civic networks.</w:t>
      </w:r>
      <w:r w:rsidR="00BF1652" w:rsidRPr="00403DA4">
        <w:rPr>
          <w:vertAlign w:val="superscript"/>
        </w:rPr>
        <w:footnoteReference w:id="23"/>
      </w:r>
      <w:r w:rsidRPr="00BF1652">
        <w:rPr>
          <w:i/>
        </w:rPr>
        <w:t xml:space="preserve"> </w:t>
      </w:r>
    </w:p>
    <w:p w:rsidR="00941C3F" w:rsidRDefault="00941C3F" w:rsidP="002E552D">
      <w:pPr>
        <w:jc w:val="both"/>
      </w:pPr>
      <w:r>
        <w:t>Cuthill refers to evidence of how community sector organisations increase social sustainability through early intervention for vulnerable youth, savings in health costs, reducing crime and increasing employment.</w:t>
      </w:r>
      <w:r w:rsidR="00BF1652" w:rsidRPr="00403DA4">
        <w:rPr>
          <w:vertAlign w:val="superscript"/>
        </w:rPr>
        <w:footnoteReference w:id="24"/>
      </w:r>
      <w:r w:rsidR="00D87159">
        <w:t xml:space="preserve"> </w:t>
      </w:r>
      <w:r>
        <w:t>An early intervention program for vulnerable youth run by community sector organisations in Canada, for example, has been shown to increase educational attainment and reduce the need for more costly special education.</w:t>
      </w:r>
      <w:r w:rsidR="00BF1652" w:rsidRPr="00403DA4">
        <w:rPr>
          <w:vertAlign w:val="superscript"/>
        </w:rPr>
        <w:footnoteReference w:id="25"/>
      </w:r>
      <w:r w:rsidR="00D87159">
        <w:t xml:space="preserve"> </w:t>
      </w:r>
      <w:r>
        <w:t>The various programs, including home visiting, child-focused playgroups, parent support, and school and classroom programs, were also found to save $2.50 per family for every dollar invested by government.</w:t>
      </w:r>
      <w:r w:rsidR="00BF1652" w:rsidRPr="00403DA4">
        <w:rPr>
          <w:vertAlign w:val="superscript"/>
        </w:rPr>
        <w:footnoteReference w:id="26"/>
      </w:r>
      <w:r>
        <w:t xml:space="preserve"> </w:t>
      </w:r>
    </w:p>
    <w:p w:rsidR="00941C3F" w:rsidRDefault="00941C3F" w:rsidP="002E552D">
      <w:pPr>
        <w:jc w:val="both"/>
      </w:pPr>
      <w:r>
        <w:t>An evaluation of the Keeping Them Safe child protection initiative in New South Wales has also shown positive results from investment in the community.</w:t>
      </w:r>
      <w:r w:rsidR="00BF1652" w:rsidRPr="00403DA4">
        <w:rPr>
          <w:vertAlign w:val="superscript"/>
        </w:rPr>
        <w:footnoteReference w:id="27"/>
      </w:r>
      <w:r w:rsidR="00D87159">
        <w:t xml:space="preserve"> </w:t>
      </w:r>
      <w:r>
        <w:t>The Keeping Them Safe evaluation shows that an increased investment of $100 per child within the community is associated with a decrease of 9 children and young people reported at risk of harm per 1,000 children in the population.</w:t>
      </w:r>
      <w:r w:rsidR="00BF1652" w:rsidRPr="00403DA4">
        <w:rPr>
          <w:vertAlign w:val="superscript"/>
        </w:rPr>
        <w:footnoteReference w:id="28"/>
      </w:r>
      <w:r w:rsidR="00D87159">
        <w:t xml:space="preserve"> </w:t>
      </w:r>
      <w:r>
        <w:t>Similarly, the few community organisations which are participating in social benefit bonds in other jurisdictions, are also measuring client outcomes as well as what these outcomes mean in terms of savings generated for government when the interventions are successful.</w:t>
      </w:r>
    </w:p>
    <w:p w:rsidR="00941C3F" w:rsidRDefault="00941C3F" w:rsidP="002E552D">
      <w:pPr>
        <w:jc w:val="both"/>
      </w:pPr>
      <w:r>
        <w:lastRenderedPageBreak/>
        <w:t>The GROW initiative is a community mental health program, which is operating in the Australian Capital Territory, and has been the subject of a pilot study in Western Australia by Dr Lizzie Finn to better understand its impact on psychological wellbeing.</w:t>
      </w:r>
      <w:r w:rsidR="00D87159">
        <w:t xml:space="preserve"> </w:t>
      </w:r>
      <w:r>
        <w:t>Dr Finn concluded that her ‘GROW research highlights the critical importance in the recovery journey of the community context which GROW members enter to pursue wellness.’</w:t>
      </w:r>
      <w:r w:rsidR="00BF1652" w:rsidRPr="00403DA4">
        <w:rPr>
          <w:vertAlign w:val="superscript"/>
        </w:rPr>
        <w:footnoteReference w:id="29"/>
      </w:r>
      <w:r w:rsidR="00D87159">
        <w:t xml:space="preserve"> </w:t>
      </w:r>
      <w:r>
        <w:t>Dr Finn recommends that longitudinal research into the GROW initiative and community mental health programs be conducted.</w:t>
      </w:r>
      <w:r w:rsidR="00BF1652" w:rsidRPr="00403DA4">
        <w:rPr>
          <w:vertAlign w:val="superscript"/>
        </w:rPr>
        <w:footnoteReference w:id="30"/>
      </w:r>
      <w:r>
        <w:t xml:space="preserve"> </w:t>
      </w:r>
    </w:p>
    <w:p w:rsidR="00941C3F" w:rsidRDefault="00941C3F" w:rsidP="002E552D">
      <w:pPr>
        <w:jc w:val="both"/>
      </w:pPr>
      <w:r>
        <w:t>As noted in these studies, improving outcomes for the disadvantaged as well as more generally developing strong social cohesion can result in increased employment and productivity for people, less reliance on government benefits</w:t>
      </w:r>
      <w:r w:rsidR="00BF1652" w:rsidRPr="00403DA4">
        <w:rPr>
          <w:rStyle w:val="FootnoteReference"/>
        </w:rPr>
        <w:footnoteReference w:id="31"/>
      </w:r>
      <w:r>
        <w:t xml:space="preserve"> and services across multiple agencies and the development of social capital, sustainability and increased liveability of cities.</w:t>
      </w:r>
      <w:r w:rsidR="00D87159">
        <w:t xml:space="preserve"> </w:t>
      </w:r>
      <w:r>
        <w:t xml:space="preserve">This can also be associated with broader long term benefits which may include longer term and even inter-generational savings for government. </w:t>
      </w:r>
    </w:p>
    <w:p w:rsidR="00BF1652" w:rsidRDefault="00941C3F" w:rsidP="002E552D">
      <w:pPr>
        <w:jc w:val="both"/>
      </w:pPr>
      <w:r>
        <w:t>While we wait for there to be widespread measurement of the social and economic impact of the sector, it is possible to refer to specific program outputs.</w:t>
      </w:r>
      <w:r w:rsidR="00D87159">
        <w:t xml:space="preserve"> </w:t>
      </w:r>
      <w:r>
        <w:t>These social outputs are seen to have a multiplier effect within the economy.</w:t>
      </w:r>
      <w:r w:rsidR="00BF1652" w:rsidRPr="00403DA4">
        <w:rPr>
          <w:rStyle w:val="FootnoteReference"/>
        </w:rPr>
        <w:footnoteReference w:id="32"/>
      </w:r>
      <w:r w:rsidR="00BF1652">
        <w:t xml:space="preserve"> </w:t>
      </w:r>
    </w:p>
    <w:p w:rsidR="00BF1652" w:rsidRDefault="00BF1652" w:rsidP="002E552D">
      <w:pPr>
        <w:jc w:val="both"/>
      </w:pPr>
      <w:r>
        <w:t xml:space="preserve">For example, in the ACT for the 2014-15 year, support was provided for: </w:t>
      </w:r>
    </w:p>
    <w:p w:rsidR="00BF1652" w:rsidRDefault="00BF1652" w:rsidP="002E552D">
      <w:pPr>
        <w:numPr>
          <w:ilvl w:val="0"/>
          <w:numId w:val="16"/>
        </w:numPr>
        <w:jc w:val="both"/>
      </w:pPr>
      <w:r>
        <w:t xml:space="preserve">28,533 walk in inquiries – the </w:t>
      </w:r>
      <w:r w:rsidRPr="00BF1652">
        <w:t>Human Services Gateway is a one stop access to disability, housing and homelessness services, child, youth and family supports; in 2014-15 there</w:t>
      </w:r>
      <w:r>
        <w:t xml:space="preserve"> were 28,533 walk in inquiries, </w:t>
      </w:r>
      <w:r w:rsidRPr="00BF1652">
        <w:t>an average of 2,400 a month</w:t>
      </w:r>
      <w:r>
        <w:t>.</w:t>
      </w:r>
    </w:p>
    <w:p w:rsidR="00BF1652" w:rsidRDefault="00BF1652" w:rsidP="002E552D">
      <w:pPr>
        <w:numPr>
          <w:ilvl w:val="0"/>
          <w:numId w:val="16"/>
        </w:numPr>
        <w:jc w:val="both"/>
      </w:pPr>
      <w:r>
        <w:t>59 families – t</w:t>
      </w:r>
      <w:r w:rsidRPr="00BF1652">
        <w:t>he Strengthening Families initiative supported families living with multiple and complex needs; this included 272 family members within 59 families receiving a tailored package of services as part of the program.</w:t>
      </w:r>
      <w:r w:rsidRPr="00403DA4">
        <w:rPr>
          <w:rStyle w:val="FootnoteReference"/>
        </w:rPr>
        <w:footnoteReference w:id="33"/>
      </w:r>
    </w:p>
    <w:p w:rsidR="00BF1652" w:rsidRDefault="00BF1652" w:rsidP="002E552D">
      <w:pPr>
        <w:numPr>
          <w:ilvl w:val="0"/>
          <w:numId w:val="16"/>
        </w:numPr>
        <w:jc w:val="both"/>
      </w:pPr>
      <w:r>
        <w:t>1,146 people – s</w:t>
      </w:r>
      <w:r w:rsidRPr="00BF1652">
        <w:t>ervices supported 1,146 people move into the NDIS. Preparation for full implementation of the NDIS included the provision of $8</w:t>
      </w:r>
      <w:r>
        <w:t xml:space="preserve"> million </w:t>
      </w:r>
      <w:r w:rsidRPr="00BF1652">
        <w:t>in grants through the Enhanced Service Offer (ESO). Over the first two rounds of these grants, 24,553 hours of Learning and life skills development assistance was funded, 19,587 hours of recreation/holiday program time and ‘other community access support’ of 3,589 hours was purchased.</w:t>
      </w:r>
    </w:p>
    <w:p w:rsidR="002E552D" w:rsidRDefault="002E552D" w:rsidP="002E552D">
      <w:pPr>
        <w:numPr>
          <w:ilvl w:val="0"/>
          <w:numId w:val="16"/>
        </w:numPr>
        <w:jc w:val="both"/>
      </w:pPr>
      <w:r>
        <w:t>36 young people – s</w:t>
      </w:r>
      <w:r w:rsidRPr="002E552D">
        <w:t>ervices supported 36 young people to remain in education, employment or training through supported accommodation.</w:t>
      </w:r>
    </w:p>
    <w:p w:rsidR="002E552D" w:rsidRDefault="002E552D" w:rsidP="002E552D">
      <w:pPr>
        <w:numPr>
          <w:ilvl w:val="0"/>
          <w:numId w:val="16"/>
        </w:numPr>
        <w:jc w:val="both"/>
      </w:pPr>
      <w:r>
        <w:t xml:space="preserve">27 children </w:t>
      </w:r>
      <w:r w:rsidR="00D87159">
        <w:t xml:space="preserve">– </w:t>
      </w:r>
      <w:r>
        <w:t>t</w:t>
      </w:r>
      <w:r w:rsidRPr="002E552D">
        <w:t>he Melaleuca Place Trauma Recovery Centre was opened for children up to 12 years of age who have experienced trauma or are clients of Care and Protection Services.</w:t>
      </w:r>
      <w:r w:rsidR="00D87159">
        <w:t xml:space="preserve"> </w:t>
      </w:r>
      <w:r w:rsidRPr="002E552D">
        <w:t>In the first year 27 children were supported.</w:t>
      </w:r>
    </w:p>
    <w:p w:rsidR="002E552D" w:rsidRDefault="002E552D" w:rsidP="002E552D">
      <w:pPr>
        <w:pStyle w:val="Heading1"/>
        <w:jc w:val="both"/>
      </w:pPr>
      <w:bookmarkStart w:id="14" w:name="_Toc442184831"/>
      <w:r>
        <w:t>Environmental challenges</w:t>
      </w:r>
      <w:bookmarkEnd w:id="14"/>
    </w:p>
    <w:p w:rsidR="002E552D" w:rsidRDefault="002E552D" w:rsidP="002E552D">
      <w:pPr>
        <w:jc w:val="both"/>
      </w:pPr>
      <w:r w:rsidRPr="002E552D">
        <w:t>There are a number of challenges currently facing the community services industry in the ACT and at the national level.</w:t>
      </w:r>
      <w:r w:rsidR="00D87159">
        <w:t xml:space="preserve"> </w:t>
      </w:r>
      <w:r w:rsidRPr="002E552D">
        <w:t>Some challenges are external and are impacting on all industries.</w:t>
      </w:r>
      <w:r w:rsidR="00D87159">
        <w:t xml:space="preserve"> </w:t>
      </w:r>
      <w:r w:rsidRPr="002E552D">
        <w:t xml:space="preserve">Demographic changes, for example, impact the workforce while analysis of disadvantage highlights the growing </w:t>
      </w:r>
      <w:r w:rsidRPr="002E552D">
        <w:lastRenderedPageBreak/>
        <w:t>need for services.</w:t>
      </w:r>
      <w:r w:rsidR="00D87159">
        <w:t xml:space="preserve"> </w:t>
      </w:r>
      <w:r w:rsidRPr="002E552D">
        <w:t>Digital technological advances provide opportunities to change service provision modalities as well as modernise both business and measurement functions for a whole range of organisations and businesses in the public and private sector.</w:t>
      </w:r>
      <w:r w:rsidR="00D87159">
        <w:t xml:space="preserve"> </w:t>
      </w:r>
      <w:r w:rsidRPr="002E552D">
        <w:t>Other challenges, such as the rollout of NDIS, are more unique to the industry</w:t>
      </w:r>
      <w:r>
        <w:t>.</w:t>
      </w:r>
    </w:p>
    <w:p w:rsidR="002E552D" w:rsidRDefault="002E552D" w:rsidP="002E552D">
      <w:pPr>
        <w:jc w:val="both"/>
      </w:pPr>
      <w:r>
        <w:t xml:space="preserve">Challenges include: </w:t>
      </w:r>
    </w:p>
    <w:p w:rsidR="002E552D" w:rsidRDefault="002E552D" w:rsidP="002E552D">
      <w:pPr>
        <w:numPr>
          <w:ilvl w:val="0"/>
          <w:numId w:val="17"/>
        </w:numPr>
        <w:jc w:val="both"/>
      </w:pPr>
      <w:r>
        <w:t xml:space="preserve">Disadvantage – </w:t>
      </w:r>
      <w:r>
        <w:rPr>
          <w:rFonts w:eastAsia="Batang"/>
          <w:lang w:eastAsia="ko-KR"/>
        </w:rPr>
        <w:t>u</w:t>
      </w:r>
      <w:r w:rsidRPr="00567AA1">
        <w:rPr>
          <w:rFonts w:eastAsia="Batang"/>
          <w:lang w:eastAsia="ko-KR"/>
        </w:rPr>
        <w:t>sing a Socio-Economic Indexes for Individuals (SEIFI) ‘it is estimated that more than 40,000 ACT residents experience high levels of disadvantage</w:t>
      </w:r>
      <w:r>
        <w:rPr>
          <w:rFonts w:eastAsia="Batang"/>
          <w:lang w:eastAsia="ko-KR"/>
        </w:rPr>
        <w:t xml:space="preserve">’; SEIFA </w:t>
      </w:r>
      <w:r w:rsidRPr="00567AA1">
        <w:rPr>
          <w:rFonts w:eastAsia="Batang"/>
          <w:lang w:eastAsia="ko-KR"/>
        </w:rPr>
        <w:t>at the suburb leve</w:t>
      </w:r>
      <w:r>
        <w:rPr>
          <w:rFonts w:eastAsia="Batang"/>
          <w:lang w:eastAsia="ko-KR"/>
        </w:rPr>
        <w:t>l identifies</w:t>
      </w:r>
      <w:r w:rsidRPr="00567AA1">
        <w:rPr>
          <w:rFonts w:eastAsia="Batang"/>
          <w:lang w:eastAsia="ko-KR"/>
        </w:rPr>
        <w:t xml:space="preserve"> 712 </w:t>
      </w:r>
      <w:r>
        <w:rPr>
          <w:rFonts w:eastAsia="Batang"/>
          <w:lang w:eastAsia="ko-KR"/>
        </w:rPr>
        <w:t>individuals.</w:t>
      </w:r>
      <w:r>
        <w:rPr>
          <w:rStyle w:val="FootnoteReference"/>
          <w:rFonts w:cs="Helvetica LT Std Light"/>
          <w:color w:val="000000"/>
        </w:rPr>
        <w:footnoteReference w:id="34"/>
      </w:r>
    </w:p>
    <w:p w:rsidR="002E552D" w:rsidRDefault="002E552D" w:rsidP="002E552D">
      <w:pPr>
        <w:numPr>
          <w:ilvl w:val="0"/>
          <w:numId w:val="17"/>
        </w:numPr>
        <w:jc w:val="both"/>
      </w:pPr>
      <w:r>
        <w:t>Demographic changes – ‘p</w:t>
      </w:r>
      <w:r w:rsidRPr="00567AA1">
        <w:t>opulation growth and the</w:t>
      </w:r>
      <w:r>
        <w:t xml:space="preserve"> </w:t>
      </w:r>
      <w:r w:rsidRPr="00567AA1">
        <w:t>needs of young and old</w:t>
      </w:r>
      <w:r>
        <w:t xml:space="preserve"> </w:t>
      </w:r>
      <w:r w:rsidRPr="00567AA1">
        <w:t>Canberrans</w:t>
      </w:r>
      <w:r>
        <w:t>’, including an ageing population.</w:t>
      </w:r>
      <w:r>
        <w:rPr>
          <w:rStyle w:val="FootnoteReference"/>
        </w:rPr>
        <w:footnoteReference w:id="35"/>
      </w:r>
      <w:r w:rsidR="00D87159">
        <w:t xml:space="preserve"> </w:t>
      </w:r>
    </w:p>
    <w:p w:rsidR="002E552D" w:rsidRDefault="002E552D" w:rsidP="002E552D">
      <w:pPr>
        <w:numPr>
          <w:ilvl w:val="0"/>
          <w:numId w:val="17"/>
        </w:numPr>
        <w:jc w:val="both"/>
      </w:pPr>
      <w:r>
        <w:t>New partnerships with government, business and the community – the need for ‘l</w:t>
      </w:r>
      <w:r w:rsidRPr="00567AA1">
        <w:t>eadership and collaborative partnerships across and</w:t>
      </w:r>
      <w:r>
        <w:t xml:space="preserve"> between </w:t>
      </w:r>
      <w:r w:rsidRPr="00567AA1">
        <w:t>government, business, non</w:t>
      </w:r>
      <w:r>
        <w:t>-</w:t>
      </w:r>
      <w:r w:rsidRPr="00567AA1">
        <w:t>government</w:t>
      </w:r>
      <w:r>
        <w:t xml:space="preserve"> </w:t>
      </w:r>
      <w:r w:rsidRPr="00567AA1">
        <w:t>organisations and the wider community</w:t>
      </w:r>
      <w:r>
        <w:t>.’</w:t>
      </w:r>
      <w:r>
        <w:rPr>
          <w:rStyle w:val="FootnoteReference"/>
        </w:rPr>
        <w:footnoteReference w:id="36"/>
      </w:r>
    </w:p>
    <w:p w:rsidR="002E552D" w:rsidRDefault="002E552D" w:rsidP="002E552D">
      <w:pPr>
        <w:numPr>
          <w:ilvl w:val="0"/>
          <w:numId w:val="17"/>
        </w:numPr>
        <w:jc w:val="both"/>
      </w:pPr>
      <w:r>
        <w:t>Housing affordability and diversity – t</w:t>
      </w:r>
      <w:r w:rsidRPr="002E552D">
        <w:t>he need for affordable housing and more choice in housing, ‘particularly diversity to meet the needs of people of all ages, abilities and lifestyles.’</w:t>
      </w:r>
      <w:r w:rsidRPr="002E552D">
        <w:rPr>
          <w:vertAlign w:val="superscript"/>
        </w:rPr>
        <w:footnoteReference w:id="37"/>
      </w:r>
    </w:p>
    <w:p w:rsidR="002E552D" w:rsidRDefault="002E552D" w:rsidP="002E552D">
      <w:pPr>
        <w:numPr>
          <w:ilvl w:val="0"/>
          <w:numId w:val="17"/>
        </w:numPr>
        <w:jc w:val="both"/>
      </w:pPr>
      <w:r>
        <w:t>New technologies – t</w:t>
      </w:r>
      <w:r w:rsidRPr="002E552D">
        <w:t>echnology and the use of data is creating opportunities and new mediums to improve service delivery.</w:t>
      </w:r>
    </w:p>
    <w:p w:rsidR="002E552D" w:rsidRDefault="002E552D" w:rsidP="002E552D">
      <w:pPr>
        <w:numPr>
          <w:ilvl w:val="0"/>
          <w:numId w:val="17"/>
        </w:numPr>
        <w:jc w:val="both"/>
      </w:pPr>
      <w:r>
        <w:t>Introduction of NDIS – t</w:t>
      </w:r>
      <w:r w:rsidRPr="002E552D">
        <w:t>he introduction of NDIS has created a new way of funding and delivering human services.</w:t>
      </w:r>
    </w:p>
    <w:p w:rsidR="002E552D" w:rsidRDefault="002E552D" w:rsidP="002E552D">
      <w:pPr>
        <w:numPr>
          <w:ilvl w:val="0"/>
          <w:numId w:val="17"/>
        </w:numPr>
        <w:jc w:val="both"/>
      </w:pPr>
      <w:r>
        <w:t>Procurement reforms – contracting and procurement reforms.</w:t>
      </w:r>
    </w:p>
    <w:p w:rsidR="002E552D" w:rsidRDefault="002E552D" w:rsidP="002E552D">
      <w:pPr>
        <w:numPr>
          <w:ilvl w:val="0"/>
          <w:numId w:val="17"/>
        </w:numPr>
        <w:jc w:val="both"/>
      </w:pPr>
      <w:r>
        <w:t>Social investment – n</w:t>
      </w:r>
      <w:r w:rsidRPr="002E552D">
        <w:t>ew forms of social financing including payment by outcomes and social benefit in some jurisdictions.</w:t>
      </w:r>
    </w:p>
    <w:p w:rsidR="002E552D" w:rsidRDefault="002E552D" w:rsidP="002E552D">
      <w:pPr>
        <w:numPr>
          <w:ilvl w:val="0"/>
          <w:numId w:val="17"/>
        </w:numPr>
        <w:jc w:val="both"/>
      </w:pPr>
      <w:r>
        <w:t>Productivity Commission Review into Human Services – i</w:t>
      </w:r>
      <w:r w:rsidRPr="002E552D">
        <w:t>ntroducing Competition and Informed Choice into Human Services.</w:t>
      </w:r>
      <w:r w:rsidR="00D87159">
        <w:t xml:space="preserve"> </w:t>
      </w:r>
      <w:r w:rsidRPr="002E552D">
        <w:t>This review forms part of the Commonwealth Government response to the Harper Competition Policy Review (released November 2015).</w:t>
      </w:r>
    </w:p>
    <w:p w:rsidR="002E552D" w:rsidRDefault="002E552D" w:rsidP="002E552D">
      <w:pPr>
        <w:pStyle w:val="Heading1"/>
        <w:jc w:val="both"/>
      </w:pPr>
      <w:bookmarkStart w:id="15" w:name="_Toc442184832"/>
      <w:r>
        <w:t>Involvement in developing an industry plan</w:t>
      </w:r>
      <w:bookmarkEnd w:id="15"/>
    </w:p>
    <w:p w:rsidR="002E552D" w:rsidRDefault="002E552D" w:rsidP="002E552D">
      <w:pPr>
        <w:jc w:val="both"/>
      </w:pPr>
      <w:r>
        <w:t>The analysis has shown that the community services sector makes a significant contribution to the ACT economy through employment, and through the social and economic outcomes generated by the industry. An Industry Plan presents an opportunity for the sector to be recognised as an industry, and to have its value measured.</w:t>
      </w:r>
    </w:p>
    <w:p w:rsidR="002E552D" w:rsidRDefault="002E552D" w:rsidP="002E552D">
      <w:pPr>
        <w:jc w:val="both"/>
      </w:pPr>
      <w:r>
        <w:t>KPMG is working with the ACT Government to support the development of the plan.</w:t>
      </w:r>
      <w:r w:rsidR="00D87159">
        <w:t xml:space="preserve"> </w:t>
      </w:r>
      <w:r>
        <w:t>An intensive consultation period will be conducted in early 2016 to support the development of the plan.</w:t>
      </w:r>
    </w:p>
    <w:p w:rsidR="002E552D" w:rsidRDefault="002E552D" w:rsidP="002E552D">
      <w:pPr>
        <w:jc w:val="both"/>
      </w:pPr>
      <w:r>
        <w:t>The key stages in the consultation process include:</w:t>
      </w:r>
    </w:p>
    <w:p w:rsidR="002E552D" w:rsidRDefault="002E552D" w:rsidP="002E552D">
      <w:pPr>
        <w:numPr>
          <w:ilvl w:val="0"/>
          <w:numId w:val="18"/>
        </w:numPr>
        <w:jc w:val="both"/>
      </w:pPr>
      <w:r>
        <w:lastRenderedPageBreak/>
        <w:t>Focus groups in early 2016 to confirm the state of the sector, test applicability of subsectors, and establish a common purpose.</w:t>
      </w:r>
    </w:p>
    <w:p w:rsidR="002E552D" w:rsidRDefault="002E552D" w:rsidP="002E552D">
      <w:pPr>
        <w:numPr>
          <w:ilvl w:val="0"/>
          <w:numId w:val="18"/>
        </w:numPr>
        <w:jc w:val="both"/>
      </w:pPr>
      <w:r>
        <w:t>Focus groups and interviews in February 2016 to establish directions for the future and reach agreement of roles and responsibilities.</w:t>
      </w:r>
    </w:p>
    <w:p w:rsidR="002E552D" w:rsidRDefault="002E552D" w:rsidP="002E552D">
      <w:pPr>
        <w:numPr>
          <w:ilvl w:val="0"/>
          <w:numId w:val="18"/>
        </w:numPr>
        <w:jc w:val="both"/>
      </w:pPr>
      <w:r>
        <w:t>A sector-wide survey, focus group and interviews in March 2016 to validate the draft industry plan and test the workforce capability and sector capacity.</w:t>
      </w:r>
    </w:p>
    <w:p w:rsidR="002E552D" w:rsidRDefault="002E552D" w:rsidP="002E552D">
      <w:pPr>
        <w:pStyle w:val="Heading1"/>
        <w:jc w:val="both"/>
      </w:pPr>
      <w:bookmarkStart w:id="16" w:name="_Toc442184833"/>
      <w:r>
        <w:t>Consultation questions</w:t>
      </w:r>
      <w:bookmarkEnd w:id="16"/>
    </w:p>
    <w:p w:rsidR="002E552D" w:rsidRDefault="002E552D" w:rsidP="002E552D">
      <w:pPr>
        <w:pStyle w:val="Heading2"/>
        <w:numPr>
          <w:ilvl w:val="1"/>
          <w:numId w:val="1"/>
        </w:numPr>
        <w:jc w:val="both"/>
      </w:pPr>
      <w:r>
        <w:t xml:space="preserve"> </w:t>
      </w:r>
      <w:bookmarkStart w:id="17" w:name="_Toc442184834"/>
      <w:r>
        <w:t>Themes 1 and 2 – confirming the state of the sector and establishing a common purpose</w:t>
      </w:r>
      <w:bookmarkEnd w:id="17"/>
    </w:p>
    <w:p w:rsidR="002E552D" w:rsidRDefault="002E552D" w:rsidP="002E552D">
      <w:pPr>
        <w:jc w:val="both"/>
      </w:pPr>
      <w:r>
        <w:t xml:space="preserve">Key themes and questions related to confirming the state of the sector and establishing a common purpose include: </w:t>
      </w:r>
    </w:p>
    <w:p w:rsidR="002E552D" w:rsidRDefault="002E552D" w:rsidP="002E552D">
      <w:pPr>
        <w:numPr>
          <w:ilvl w:val="0"/>
          <w:numId w:val="19"/>
        </w:numPr>
        <w:jc w:val="both"/>
      </w:pPr>
      <w:r>
        <w:t>Defining community services – c</w:t>
      </w:r>
      <w:r w:rsidRPr="002E552D">
        <w:t>onfirm the definition of Community Services that will be used in the development of the Industry Plan, and the suggestion of an “opt in” approach.</w:t>
      </w:r>
    </w:p>
    <w:p w:rsidR="002E552D" w:rsidRDefault="002E552D" w:rsidP="002E552D">
      <w:pPr>
        <w:numPr>
          <w:ilvl w:val="0"/>
          <w:numId w:val="19"/>
        </w:numPr>
        <w:jc w:val="both"/>
      </w:pPr>
      <w:r>
        <w:t>Drivers for reform – what are the main drivers for change impacting on the community services industry?</w:t>
      </w:r>
      <w:r w:rsidR="00D87159">
        <w:t xml:space="preserve"> </w:t>
      </w:r>
      <w:r>
        <w:t>What do they mean for the workforce, business structures, and financial sustainability of service providers? Are there some drivers that are more important than others in terms of the nature and extent of their impact? How is industry adapting to these changes currently?</w:t>
      </w:r>
      <w:r w:rsidR="00D87159">
        <w:t xml:space="preserve"> </w:t>
      </w:r>
      <w:r>
        <w:t>Are some organisations better equipped than others to adapt to the changes?</w:t>
      </w:r>
      <w:r w:rsidR="00D87159">
        <w:t xml:space="preserve"> </w:t>
      </w:r>
      <w:r>
        <w:t>Are organisations working together or operating in isolation from one another?</w:t>
      </w:r>
    </w:p>
    <w:p w:rsidR="002E552D" w:rsidRPr="002E552D" w:rsidRDefault="002E552D" w:rsidP="002E552D">
      <w:pPr>
        <w:numPr>
          <w:ilvl w:val="0"/>
          <w:numId w:val="19"/>
        </w:numPr>
        <w:jc w:val="both"/>
      </w:pPr>
      <w:r>
        <w:t>The major strengths of the industry – what makes the community services industry unique and what does the industry do better than other industries? What skills, capabilities and resources have been developed by the industry? How is the industry perceived by its clients, the general public and other stakeholders?</w:t>
      </w:r>
    </w:p>
    <w:p w:rsidR="002E552D" w:rsidRDefault="002E552D" w:rsidP="002E552D">
      <w:pPr>
        <w:numPr>
          <w:ilvl w:val="0"/>
          <w:numId w:val="19"/>
        </w:numPr>
        <w:jc w:val="both"/>
      </w:pPr>
      <w:r>
        <w:t>The major weaknesses being experienced in the industry – what skills, capabilities and knowledge do you think are missing from the industry? What would clients say could be improved about community services? What things do you think the industry should stop doing or that it’s not very good at?</w:t>
      </w:r>
    </w:p>
    <w:p w:rsidR="002E552D" w:rsidRDefault="002E552D" w:rsidP="002E552D">
      <w:pPr>
        <w:numPr>
          <w:ilvl w:val="0"/>
          <w:numId w:val="19"/>
        </w:numPr>
        <w:jc w:val="both"/>
      </w:pPr>
      <w:r>
        <w:t>The major opportunities facing the industry – what new developments are occurring that provide the greatest potential to better meet client needs? Where are these opportunities emanating from – national, local, provider or client led? How could the industry do things differently to take advantage of these opportunities?</w:t>
      </w:r>
    </w:p>
    <w:p w:rsidR="002E552D" w:rsidRDefault="002E552D" w:rsidP="002E552D">
      <w:pPr>
        <w:numPr>
          <w:ilvl w:val="0"/>
          <w:numId w:val="19"/>
        </w:numPr>
        <w:jc w:val="both"/>
      </w:pPr>
      <w:r>
        <w:t>The major threats facing the industry – what obstacles does the industry face in delivering quality services now and into the future? Are there threats to the ongoing viability of services?</w:t>
      </w:r>
      <w:r w:rsidR="00D87159">
        <w:t xml:space="preserve"> </w:t>
      </w:r>
      <w:r>
        <w:t>Are some services more vulnerable than others?</w:t>
      </w:r>
    </w:p>
    <w:p w:rsidR="002E552D" w:rsidRPr="002E552D" w:rsidRDefault="002E552D" w:rsidP="002E552D">
      <w:pPr>
        <w:numPr>
          <w:ilvl w:val="0"/>
          <w:numId w:val="19"/>
        </w:numPr>
        <w:jc w:val="both"/>
      </w:pPr>
      <w:r>
        <w:t>Vision for the Community Services industry in the ACT and Values and Principles – where does the industry see itself in three years and ten years?</w:t>
      </w:r>
      <w:r w:rsidR="00D87159">
        <w:t xml:space="preserve"> </w:t>
      </w:r>
      <w:r>
        <w:t xml:space="preserve">What will be different and what will be same? What would an ideal future look like for the industry and for the clients it serves? What do we want to achieve with an industry plan? What kind of community services industry do we want to create? How do we come up with a vision statement that is broad enough to capture the </w:t>
      </w:r>
      <w:r>
        <w:lastRenderedPageBreak/>
        <w:t>interests of all players in the community services sector? What should be the shared values and principles that will guide the achievement of vision for the community services industry? How are the values and principles for an industry approach different or the same as they are for individual organisations?</w:t>
      </w:r>
      <w:r w:rsidR="00D87159">
        <w:t xml:space="preserve"> </w:t>
      </w:r>
      <w:r>
        <w:t>How do we account for the mix of profit and not for profit groups?</w:t>
      </w:r>
    </w:p>
    <w:p w:rsidR="002E552D" w:rsidRDefault="002E552D" w:rsidP="002E552D">
      <w:pPr>
        <w:pStyle w:val="Heading2"/>
        <w:numPr>
          <w:ilvl w:val="1"/>
          <w:numId w:val="1"/>
        </w:numPr>
        <w:jc w:val="both"/>
      </w:pPr>
      <w:r>
        <w:t xml:space="preserve"> </w:t>
      </w:r>
      <w:bookmarkStart w:id="18" w:name="_Toc442184835"/>
      <w:r>
        <w:t>Themes 3 and 4 – establishing directions for the future and establishing actions for the first three years</w:t>
      </w:r>
      <w:bookmarkEnd w:id="18"/>
    </w:p>
    <w:p w:rsidR="002E552D" w:rsidRDefault="002E552D" w:rsidP="002E552D">
      <w:pPr>
        <w:jc w:val="both"/>
      </w:pPr>
      <w:r>
        <w:t>Key themes and questions related to establishing directions for the future and establishing actions for the first three years include:</w:t>
      </w:r>
    </w:p>
    <w:p w:rsidR="002E552D" w:rsidRDefault="002E552D" w:rsidP="002E552D">
      <w:pPr>
        <w:numPr>
          <w:ilvl w:val="0"/>
          <w:numId w:val="20"/>
        </w:numPr>
        <w:jc w:val="both"/>
      </w:pPr>
      <w:r>
        <w:t>Priority actions for the first three years – considering the organising principles, what are the priority actions for industry and government for the first three years? How should industry work together to achieve its objectives?</w:t>
      </w:r>
      <w:r w:rsidR="00D87159">
        <w:t xml:space="preserve"> </w:t>
      </w:r>
      <w:r>
        <w:t>What types of partnerships or alliances are needed?</w:t>
      </w:r>
    </w:p>
    <w:p w:rsidR="002E552D" w:rsidRDefault="002E552D" w:rsidP="002E552D">
      <w:pPr>
        <w:numPr>
          <w:ilvl w:val="0"/>
          <w:numId w:val="20"/>
        </w:numPr>
        <w:jc w:val="both"/>
      </w:pPr>
      <w:r>
        <w:t>Roles and responsibilities – what does government need to do to support implementation of the Industry Plan? What does industry need to do to support implementation of the Industry Plan? What governance mechanisms are needed to facilitate collaboration between industry and government to achieve the objectives of the Industry Plan? What role is there for other players including clients and the broader community?</w:t>
      </w:r>
    </w:p>
    <w:p w:rsidR="002E552D" w:rsidRDefault="002E552D" w:rsidP="002E552D">
      <w:pPr>
        <w:pStyle w:val="Heading2"/>
        <w:numPr>
          <w:ilvl w:val="1"/>
          <w:numId w:val="1"/>
        </w:numPr>
        <w:jc w:val="both"/>
      </w:pPr>
      <w:r>
        <w:t xml:space="preserve"> </w:t>
      </w:r>
      <w:bookmarkStart w:id="19" w:name="_Toc442184836"/>
      <w:r>
        <w:t>Themes 5 and 6 – validating the draft Industry Plan and testing workforce capability and capacity</w:t>
      </w:r>
      <w:bookmarkEnd w:id="19"/>
    </w:p>
    <w:p w:rsidR="002E552D" w:rsidRDefault="002E552D" w:rsidP="002E552D">
      <w:pPr>
        <w:jc w:val="both"/>
      </w:pPr>
      <w:r w:rsidRPr="002E552D">
        <w:t>Key themes and questions related to</w:t>
      </w:r>
      <w:r>
        <w:t xml:space="preserve"> validating the draft Industry Plan and testing workforce capability and capacity include:</w:t>
      </w:r>
    </w:p>
    <w:p w:rsidR="002E552D" w:rsidRDefault="002E552D" w:rsidP="002E552D">
      <w:pPr>
        <w:numPr>
          <w:ilvl w:val="0"/>
          <w:numId w:val="21"/>
        </w:numPr>
        <w:jc w:val="both"/>
      </w:pPr>
      <w:r>
        <w:t>Feedback on the Industry Plan – does the vision and purpose in the draft Industry Plan capture your vision for the industry for the future? Are there any significant trends or challenges for the future that have not been captured in the draft Industry Plan? Is the analysis of current capabilities and the state of the industry accurate?</w:t>
      </w:r>
      <w:r w:rsidR="00D87159">
        <w:t xml:space="preserve"> </w:t>
      </w:r>
      <w:r>
        <w:t>Are there other strengths and weaknesses that need to be added? Do you agree with the organising themes/principles in the draft Industry Plan?</w:t>
      </w:r>
      <w:r w:rsidR="00D87159">
        <w:t xml:space="preserve"> </w:t>
      </w:r>
      <w:r>
        <w:t>Are there the right number of themes? Are the agreed actions for government and the industry for the first three years realistic?</w:t>
      </w:r>
      <w:r w:rsidR="00D87159">
        <w:t xml:space="preserve"> </w:t>
      </w:r>
      <w:r>
        <w:t>Any revisions to these actions required? Other comments on the draft Industry Plan?</w:t>
      </w:r>
    </w:p>
    <w:p w:rsidR="002E552D" w:rsidRDefault="002E552D" w:rsidP="00CF12B2">
      <w:pPr>
        <w:numPr>
          <w:ilvl w:val="0"/>
          <w:numId w:val="21"/>
        </w:numPr>
        <w:tabs>
          <w:tab w:val="num" w:pos="680"/>
        </w:tabs>
        <w:jc w:val="both"/>
      </w:pPr>
      <w:r>
        <w:t>Gap analysis – considering the vision and principles in the Industry Plan, are the themes that have been identified the most relevant? Considering the organising themes that have been developed in the Industry Plan, questions about your organisation’s current state of development will also be relevant. The exact questions to be developed will be based on the Draft Industry Plan themes.</w:t>
      </w:r>
      <w:r w:rsidR="00D87159">
        <w:t xml:space="preserve"> </w:t>
      </w:r>
      <w:r>
        <w:t>Sample questions on the theme of ‘outcomes’, for example, include: has your organisation defined client outcomes? Are outcomes measured? Is relevant data available? Are the organisation’s current technological systems a barrier to measuring outcomes?</w:t>
      </w:r>
    </w:p>
    <w:p w:rsidR="00842AA3" w:rsidRDefault="00842AA3" w:rsidP="00842AA3">
      <w:pPr>
        <w:tabs>
          <w:tab w:val="num" w:pos="680"/>
        </w:tabs>
        <w:jc w:val="both"/>
      </w:pPr>
    </w:p>
    <w:p w:rsidR="002E552D" w:rsidRDefault="002E552D" w:rsidP="002E552D">
      <w:pPr>
        <w:tabs>
          <w:tab w:val="num" w:pos="680"/>
        </w:tabs>
        <w:jc w:val="both"/>
      </w:pPr>
      <w:r>
        <w:t xml:space="preserve">The relevant KPMG contact details for this document </w:t>
      </w:r>
      <w:r w:rsidR="00CE2F84">
        <w:t>are</w:t>
      </w:r>
      <w:r>
        <w:t>:</w:t>
      </w:r>
    </w:p>
    <w:p w:rsidR="002E552D" w:rsidRDefault="002E552D" w:rsidP="002E552D">
      <w:pPr>
        <w:numPr>
          <w:ilvl w:val="0"/>
          <w:numId w:val="22"/>
        </w:numPr>
        <w:jc w:val="both"/>
      </w:pPr>
      <w:r>
        <w:t>Liz Forsyth, Partner, + 61 (2) 9335 8233, lforsyth@kpmg.com.au</w:t>
      </w:r>
      <w:r w:rsidR="008D1079">
        <w:t>.</w:t>
      </w:r>
    </w:p>
    <w:p w:rsidR="002E552D" w:rsidRDefault="002E552D" w:rsidP="002E552D">
      <w:pPr>
        <w:numPr>
          <w:ilvl w:val="0"/>
          <w:numId w:val="22"/>
        </w:numPr>
        <w:jc w:val="both"/>
      </w:pPr>
      <w:r>
        <w:t>Tina Davey, Director, + 61 (7) 3225 6865, tdavey2@kpmg.com.au</w:t>
      </w:r>
      <w:r w:rsidR="008D1079">
        <w:t>.</w:t>
      </w:r>
    </w:p>
    <w:p w:rsidR="002E552D" w:rsidRDefault="002E552D" w:rsidP="007F2082">
      <w:pPr>
        <w:numPr>
          <w:ilvl w:val="0"/>
          <w:numId w:val="22"/>
        </w:numPr>
        <w:tabs>
          <w:tab w:val="num" w:pos="680"/>
        </w:tabs>
        <w:jc w:val="both"/>
      </w:pPr>
      <w:r>
        <w:lastRenderedPageBreak/>
        <w:t xml:space="preserve">Ruth Lawrence, Associate Director, + 61 (2) 9346 5554, </w:t>
      </w:r>
      <w:r w:rsidR="008D1079" w:rsidRPr="008D1079">
        <w:t>rlawrence2@kpmg.com.au</w:t>
      </w:r>
      <w:r w:rsidR="008D1079">
        <w:t>.</w:t>
      </w:r>
    </w:p>
    <w:sectPr w:rsidR="002E55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08F" w:rsidRDefault="006D408F" w:rsidP="00162629">
      <w:pPr>
        <w:spacing w:after="0" w:line="240" w:lineRule="auto"/>
      </w:pPr>
      <w:r>
        <w:separator/>
      </w:r>
    </w:p>
  </w:endnote>
  <w:endnote w:type="continuationSeparator" w:id="0">
    <w:p w:rsidR="006D408F" w:rsidRDefault="006D408F" w:rsidP="0016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45 Light">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08F" w:rsidRDefault="006D408F" w:rsidP="00162629">
      <w:pPr>
        <w:spacing w:after="0" w:line="240" w:lineRule="auto"/>
      </w:pPr>
      <w:r>
        <w:separator/>
      </w:r>
    </w:p>
  </w:footnote>
  <w:footnote w:type="continuationSeparator" w:id="0">
    <w:p w:rsidR="006D408F" w:rsidRDefault="006D408F" w:rsidP="00162629">
      <w:pPr>
        <w:spacing w:after="0" w:line="240" w:lineRule="auto"/>
      </w:pPr>
      <w:r>
        <w:continuationSeparator/>
      </w:r>
    </w:p>
  </w:footnote>
  <w:footnote w:id="1">
    <w:p w:rsidR="00162629" w:rsidRPr="003D5D86" w:rsidRDefault="00162629" w:rsidP="00162629">
      <w:pPr>
        <w:spacing w:after="0"/>
        <w:contextualSpacing/>
        <w:rPr>
          <w:rFonts w:asciiTheme="minorHAnsi" w:hAnsiTheme="minorHAnsi"/>
          <w:sz w:val="18"/>
          <w:szCs w:val="18"/>
        </w:rPr>
      </w:pPr>
      <w:r w:rsidRPr="003D5D86">
        <w:rPr>
          <w:rStyle w:val="FootnoteReference"/>
          <w:rFonts w:asciiTheme="minorHAnsi" w:hAnsiTheme="minorHAnsi"/>
          <w:sz w:val="18"/>
          <w:szCs w:val="18"/>
        </w:rPr>
        <w:footnoteRef/>
      </w:r>
      <w:r w:rsidRPr="003D5D86">
        <w:rPr>
          <w:rFonts w:asciiTheme="minorHAnsi" w:hAnsiTheme="minorHAnsi"/>
          <w:sz w:val="18"/>
          <w:szCs w:val="18"/>
        </w:rPr>
        <w:t xml:space="preserve"> New South Wales Government, </w:t>
      </w:r>
      <w:hyperlink r:id="rId1" w:history="1">
        <w:r w:rsidRPr="003D5D86">
          <w:rPr>
            <w:rStyle w:val="Hyperlink"/>
            <w:rFonts w:asciiTheme="minorHAnsi" w:hAnsiTheme="minorHAnsi"/>
            <w:sz w:val="18"/>
            <w:szCs w:val="18"/>
          </w:rPr>
          <w:t>NSW Digital Economy Industry Action Plan</w:t>
        </w:r>
      </w:hyperlink>
      <w:r w:rsidRPr="003D5D86">
        <w:rPr>
          <w:rFonts w:asciiTheme="minorHAnsi" w:hAnsiTheme="minorHAnsi"/>
          <w:sz w:val="18"/>
          <w:szCs w:val="18"/>
        </w:rPr>
        <w:t xml:space="preserve"> (25 September 2012); New Zealand Government, </w:t>
      </w:r>
      <w:hyperlink r:id="rId2" w:history="1">
        <w:r w:rsidRPr="003D5D86">
          <w:rPr>
            <w:rStyle w:val="Hyperlink"/>
            <w:rFonts w:asciiTheme="minorHAnsi" w:hAnsiTheme="minorHAnsi"/>
            <w:sz w:val="18"/>
            <w:szCs w:val="18"/>
          </w:rPr>
          <w:t>The Thirty Year New Zealand Infrastructure Plan</w:t>
        </w:r>
      </w:hyperlink>
      <w:r w:rsidRPr="003D5D86">
        <w:rPr>
          <w:rFonts w:asciiTheme="minorHAnsi" w:hAnsiTheme="minorHAnsi"/>
          <w:sz w:val="18"/>
          <w:szCs w:val="18"/>
        </w:rPr>
        <w:t xml:space="preserve"> (2015); Australian Government, </w:t>
      </w:r>
      <w:hyperlink r:id="rId3" w:history="1">
        <w:r w:rsidRPr="003D5D86">
          <w:rPr>
            <w:rStyle w:val="Hyperlink"/>
            <w:rFonts w:asciiTheme="minorHAnsi" w:hAnsiTheme="minorHAnsi"/>
            <w:sz w:val="18"/>
            <w:szCs w:val="18"/>
          </w:rPr>
          <w:t>Creative Industries: A Strategy for 21</w:t>
        </w:r>
        <w:r w:rsidRPr="003D5D86">
          <w:rPr>
            <w:rStyle w:val="Hyperlink"/>
            <w:rFonts w:asciiTheme="minorHAnsi" w:hAnsiTheme="minorHAnsi"/>
            <w:sz w:val="18"/>
            <w:szCs w:val="18"/>
            <w:vertAlign w:val="superscript"/>
          </w:rPr>
          <w:t>st</w:t>
        </w:r>
        <w:r w:rsidRPr="003D5D86">
          <w:rPr>
            <w:rStyle w:val="Hyperlink"/>
            <w:rFonts w:asciiTheme="minorHAnsi" w:hAnsiTheme="minorHAnsi"/>
            <w:sz w:val="18"/>
            <w:szCs w:val="18"/>
          </w:rPr>
          <w:t xml:space="preserve"> Century Australia</w:t>
        </w:r>
      </w:hyperlink>
      <w:r w:rsidRPr="003D5D86">
        <w:rPr>
          <w:rFonts w:asciiTheme="minorHAnsi" w:hAnsiTheme="minorHAnsi"/>
          <w:sz w:val="18"/>
          <w:szCs w:val="18"/>
        </w:rPr>
        <w:t xml:space="preserve"> (August 2011).</w:t>
      </w:r>
    </w:p>
  </w:footnote>
  <w:footnote w:id="2">
    <w:p w:rsidR="00162629" w:rsidRPr="003D5D86" w:rsidRDefault="00162629" w:rsidP="00162629">
      <w:pPr>
        <w:pStyle w:val="FootnoteText"/>
        <w:contextualSpacing/>
        <w:rPr>
          <w:rFonts w:asciiTheme="minorHAnsi" w:hAnsiTheme="minorHAnsi"/>
          <w:szCs w:val="18"/>
        </w:rPr>
      </w:pPr>
      <w:r w:rsidRPr="003D5D86">
        <w:rPr>
          <w:rStyle w:val="FootnoteReference"/>
          <w:rFonts w:asciiTheme="minorHAnsi" w:hAnsiTheme="minorHAnsi"/>
          <w:szCs w:val="18"/>
        </w:rPr>
        <w:footnoteRef/>
      </w:r>
      <w:r w:rsidRPr="003D5D86">
        <w:rPr>
          <w:rFonts w:asciiTheme="minorHAnsi" w:hAnsiTheme="minorHAnsi"/>
          <w:szCs w:val="18"/>
        </w:rPr>
        <w:t xml:space="preserve"> Melville, R, ‘Strategic issues for the not-for-profit sector’</w:t>
      </w:r>
      <w:r w:rsidRPr="003D5D86">
        <w:rPr>
          <w:rFonts w:asciiTheme="minorHAnsi" w:hAnsiTheme="minorHAnsi"/>
          <w:i/>
          <w:szCs w:val="18"/>
        </w:rPr>
        <w:t xml:space="preserve"> </w:t>
      </w:r>
      <w:r w:rsidRPr="003D5D86">
        <w:rPr>
          <w:rFonts w:asciiTheme="minorHAnsi" w:hAnsiTheme="minorHAnsi"/>
          <w:szCs w:val="18"/>
        </w:rPr>
        <w:t xml:space="preserve">(2008) </w:t>
      </w:r>
      <w:r w:rsidRPr="003D5D86">
        <w:rPr>
          <w:rFonts w:asciiTheme="minorHAnsi" w:hAnsiTheme="minorHAnsi"/>
          <w:i/>
          <w:szCs w:val="18"/>
        </w:rPr>
        <w:t>UNSW Press</w:t>
      </w:r>
      <w:r w:rsidRPr="003D5D86">
        <w:rPr>
          <w:rFonts w:asciiTheme="minorHAnsi" w:hAnsiTheme="minorHAnsi"/>
          <w:szCs w:val="18"/>
        </w:rPr>
        <w:t>.</w:t>
      </w:r>
    </w:p>
  </w:footnote>
  <w:footnote w:id="3">
    <w:p w:rsidR="00162629" w:rsidRPr="003D5D86" w:rsidRDefault="00162629" w:rsidP="00162629">
      <w:pPr>
        <w:pStyle w:val="FootnoteText"/>
        <w:contextualSpacing/>
        <w:rPr>
          <w:rFonts w:asciiTheme="minorHAnsi" w:hAnsiTheme="minorHAnsi"/>
          <w:szCs w:val="18"/>
        </w:rPr>
      </w:pPr>
      <w:r w:rsidRPr="003D5D86">
        <w:rPr>
          <w:rStyle w:val="FootnoteReference"/>
          <w:rFonts w:asciiTheme="minorHAnsi" w:hAnsiTheme="minorHAnsi"/>
          <w:szCs w:val="18"/>
        </w:rPr>
        <w:footnoteRef/>
      </w:r>
      <w:r w:rsidRPr="003D5D86">
        <w:rPr>
          <w:rFonts w:asciiTheme="minorHAnsi" w:hAnsiTheme="minorHAnsi"/>
          <w:szCs w:val="18"/>
        </w:rPr>
        <w:t xml:space="preserve"> Ibid.</w:t>
      </w:r>
    </w:p>
  </w:footnote>
  <w:footnote w:id="4">
    <w:p w:rsidR="00D65329" w:rsidRPr="003D5D86" w:rsidRDefault="00D65329" w:rsidP="00D65329">
      <w:pPr>
        <w:pStyle w:val="FootnoteText"/>
        <w:contextualSpacing/>
        <w:rPr>
          <w:rFonts w:asciiTheme="minorHAnsi" w:hAnsiTheme="minorHAnsi"/>
          <w:szCs w:val="18"/>
        </w:rPr>
      </w:pPr>
      <w:r w:rsidRPr="003D5D86">
        <w:rPr>
          <w:rStyle w:val="FootnoteReference"/>
          <w:rFonts w:asciiTheme="minorHAnsi" w:hAnsiTheme="minorHAnsi"/>
          <w:szCs w:val="18"/>
        </w:rPr>
        <w:footnoteRef/>
      </w:r>
      <w:r w:rsidRPr="003D5D86">
        <w:rPr>
          <w:rFonts w:asciiTheme="minorHAnsi" w:hAnsiTheme="minorHAnsi"/>
          <w:szCs w:val="18"/>
        </w:rPr>
        <w:t xml:space="preserve"> ACT Government, Community Services Industry Workshop, Document for workshop participants (16 September 2015).</w:t>
      </w:r>
    </w:p>
  </w:footnote>
  <w:footnote w:id="5">
    <w:p w:rsidR="004C2E7E" w:rsidRPr="003D5D86" w:rsidRDefault="004C2E7E" w:rsidP="004C2E7E">
      <w:pPr>
        <w:pStyle w:val="BodyText"/>
        <w:contextualSpacing/>
        <w:rPr>
          <w:rFonts w:asciiTheme="minorHAnsi" w:hAnsiTheme="minorHAnsi"/>
          <w:i/>
          <w:sz w:val="18"/>
          <w:szCs w:val="18"/>
        </w:rPr>
      </w:pPr>
      <w:r w:rsidRPr="003D5D86">
        <w:rPr>
          <w:rStyle w:val="FootnoteReference"/>
          <w:rFonts w:asciiTheme="minorHAnsi" w:hAnsiTheme="minorHAnsi"/>
          <w:sz w:val="18"/>
          <w:szCs w:val="18"/>
        </w:rPr>
        <w:footnoteRef/>
      </w:r>
      <w:r w:rsidRPr="003D5D86">
        <w:rPr>
          <w:rFonts w:asciiTheme="minorHAnsi" w:hAnsiTheme="minorHAnsi"/>
          <w:sz w:val="18"/>
          <w:szCs w:val="18"/>
        </w:rPr>
        <w:t xml:space="preserve"> Australian Capital Territory Council of Social Services, Briefing on the Development of a Community Services Industry Plan for the ACT (October 2015).</w:t>
      </w:r>
    </w:p>
  </w:footnote>
  <w:footnote w:id="6">
    <w:p w:rsidR="001216A8" w:rsidRPr="003D5D86" w:rsidRDefault="001216A8" w:rsidP="001216A8">
      <w:pPr>
        <w:pStyle w:val="FootnoteText"/>
        <w:contextualSpacing/>
        <w:rPr>
          <w:rFonts w:asciiTheme="minorHAnsi" w:hAnsiTheme="minorHAnsi"/>
          <w:szCs w:val="18"/>
        </w:rPr>
      </w:pPr>
      <w:r w:rsidRPr="003D5D86">
        <w:rPr>
          <w:rStyle w:val="FootnoteReference"/>
          <w:rFonts w:asciiTheme="minorHAnsi" w:hAnsiTheme="minorHAnsi"/>
          <w:szCs w:val="18"/>
        </w:rPr>
        <w:footnoteRef/>
      </w:r>
      <w:r w:rsidRPr="003D5D86">
        <w:rPr>
          <w:rFonts w:asciiTheme="minorHAnsi" w:hAnsiTheme="minorHAnsi"/>
          <w:szCs w:val="18"/>
        </w:rPr>
        <w:t xml:space="preserve"> Australian Taxation Office, </w:t>
      </w:r>
      <w:hyperlink r:id="rId4" w:history="1">
        <w:r w:rsidRPr="003D5D86">
          <w:rPr>
            <w:rStyle w:val="Hyperlink"/>
            <w:rFonts w:asciiTheme="minorHAnsi" w:hAnsiTheme="minorHAnsi"/>
            <w:szCs w:val="18"/>
          </w:rPr>
          <w:t>Income tax exemption checklist – community service organisations</w:t>
        </w:r>
      </w:hyperlink>
      <w:r w:rsidRPr="003D5D86">
        <w:rPr>
          <w:rFonts w:asciiTheme="minorHAnsi" w:hAnsiTheme="minorHAnsi"/>
          <w:szCs w:val="18"/>
        </w:rPr>
        <w:t xml:space="preserve"> (2016).</w:t>
      </w:r>
    </w:p>
  </w:footnote>
  <w:footnote w:id="7">
    <w:p w:rsidR="00704E3C" w:rsidRPr="003D5D86" w:rsidRDefault="00704E3C" w:rsidP="00704E3C">
      <w:pPr>
        <w:pStyle w:val="FootnoteText"/>
        <w:contextualSpacing/>
        <w:rPr>
          <w:rFonts w:asciiTheme="minorHAnsi" w:hAnsiTheme="minorHAnsi"/>
          <w:szCs w:val="18"/>
        </w:rPr>
      </w:pPr>
      <w:r w:rsidRPr="003D5D86">
        <w:rPr>
          <w:rStyle w:val="FootnoteReference"/>
          <w:rFonts w:asciiTheme="minorHAnsi" w:hAnsiTheme="minorHAnsi"/>
          <w:szCs w:val="18"/>
        </w:rPr>
        <w:footnoteRef/>
      </w:r>
      <w:r w:rsidRPr="003D5D86">
        <w:rPr>
          <w:rFonts w:asciiTheme="minorHAnsi" w:hAnsiTheme="minorHAnsi"/>
          <w:szCs w:val="18"/>
        </w:rPr>
        <w:t xml:space="preserve"> The 2014 ANZSIC Industry Classification data is the most up to date industry classification data currently available; the 2015 data will be available in July 2016.</w:t>
      </w:r>
    </w:p>
  </w:footnote>
  <w:footnote w:id="8">
    <w:p w:rsidR="00704E3C" w:rsidRPr="003D5D86" w:rsidRDefault="00704E3C" w:rsidP="00704E3C">
      <w:pPr>
        <w:pStyle w:val="FootnoteText"/>
        <w:contextualSpacing/>
        <w:rPr>
          <w:rFonts w:asciiTheme="minorHAnsi" w:hAnsiTheme="minorHAnsi"/>
          <w:szCs w:val="18"/>
        </w:rPr>
      </w:pPr>
      <w:r w:rsidRPr="003D5D86">
        <w:rPr>
          <w:rStyle w:val="FootnoteReference"/>
          <w:rFonts w:asciiTheme="minorHAnsi" w:hAnsiTheme="minorHAnsi"/>
          <w:szCs w:val="18"/>
        </w:rPr>
        <w:footnoteRef/>
      </w:r>
      <w:r w:rsidRPr="003D5D86">
        <w:rPr>
          <w:rFonts w:asciiTheme="minorHAnsi" w:hAnsiTheme="minorHAnsi"/>
          <w:szCs w:val="18"/>
        </w:rPr>
        <w:t xml:space="preserve"> ACT Community Services Directorate data, 2016.</w:t>
      </w:r>
    </w:p>
  </w:footnote>
  <w:footnote w:id="9">
    <w:p w:rsidR="00704E3C" w:rsidRPr="003D5D86" w:rsidRDefault="00704E3C" w:rsidP="00704E3C">
      <w:pPr>
        <w:pStyle w:val="FootnoteText"/>
        <w:contextualSpacing/>
        <w:rPr>
          <w:rFonts w:asciiTheme="minorHAnsi" w:hAnsiTheme="minorHAnsi"/>
          <w:szCs w:val="18"/>
        </w:rPr>
      </w:pPr>
      <w:r w:rsidRPr="003D5D86">
        <w:rPr>
          <w:rStyle w:val="FootnoteReference"/>
          <w:rFonts w:asciiTheme="minorHAnsi" w:hAnsiTheme="minorHAnsi"/>
          <w:szCs w:val="18"/>
        </w:rPr>
        <w:footnoteRef/>
      </w:r>
      <w:r w:rsidRPr="003D5D86">
        <w:rPr>
          <w:rFonts w:asciiTheme="minorHAnsi" w:hAnsiTheme="minorHAnsi"/>
          <w:szCs w:val="18"/>
        </w:rPr>
        <w:t xml:space="preserve"> Australian Bureau of Statistics, Labour Force, Australia, Detailed, Quarterly, August 2015 (19 September 2015) </w:t>
      </w:r>
      <w:r w:rsidRPr="003D5D86">
        <w:rPr>
          <w:rFonts w:asciiTheme="minorHAnsi" w:hAnsiTheme="minorHAnsi"/>
          <w:i/>
          <w:szCs w:val="18"/>
        </w:rPr>
        <w:t>Cat No 6291.0.55.003</w:t>
      </w:r>
      <w:r w:rsidRPr="003D5D86">
        <w:rPr>
          <w:rFonts w:asciiTheme="minorHAnsi" w:hAnsiTheme="minorHAnsi"/>
          <w:szCs w:val="18"/>
        </w:rPr>
        <w:t xml:space="preserve">. </w:t>
      </w:r>
    </w:p>
  </w:footnote>
  <w:footnote w:id="10">
    <w:p w:rsidR="00704E3C" w:rsidRPr="003D5D86" w:rsidRDefault="00704E3C" w:rsidP="00704E3C">
      <w:pPr>
        <w:pStyle w:val="FootnoteText"/>
        <w:contextualSpacing/>
        <w:rPr>
          <w:rFonts w:asciiTheme="minorHAnsi" w:hAnsiTheme="minorHAnsi"/>
          <w:szCs w:val="18"/>
        </w:rPr>
      </w:pPr>
      <w:r w:rsidRPr="003D5D86">
        <w:rPr>
          <w:rStyle w:val="FootnoteReference"/>
          <w:rFonts w:asciiTheme="minorHAnsi" w:hAnsiTheme="minorHAnsi"/>
          <w:szCs w:val="18"/>
        </w:rPr>
        <w:footnoteRef/>
      </w:r>
      <w:r w:rsidRPr="003D5D86">
        <w:rPr>
          <w:rFonts w:asciiTheme="minorHAnsi" w:hAnsiTheme="minorHAnsi"/>
          <w:szCs w:val="18"/>
        </w:rPr>
        <w:t xml:space="preserve"> Australian Bureau of Statistics, Australian National Accounts: State Accounts 2014-15 (20 November 2015) </w:t>
      </w:r>
      <w:r w:rsidRPr="003D5D86">
        <w:rPr>
          <w:rFonts w:asciiTheme="minorHAnsi" w:hAnsiTheme="minorHAnsi"/>
          <w:i/>
          <w:szCs w:val="18"/>
        </w:rPr>
        <w:t>Cat No 522.0</w:t>
      </w:r>
      <w:r w:rsidRPr="003D5D86">
        <w:rPr>
          <w:rFonts w:asciiTheme="minorHAnsi" w:hAnsiTheme="minorHAnsi"/>
          <w:szCs w:val="18"/>
        </w:rPr>
        <w:t>, Table 9.</w:t>
      </w:r>
    </w:p>
  </w:footnote>
  <w:footnote w:id="11">
    <w:p w:rsidR="00704E3C" w:rsidRPr="003D5D86" w:rsidRDefault="00704E3C" w:rsidP="00704E3C">
      <w:pPr>
        <w:pStyle w:val="FootnoteText"/>
        <w:contextualSpacing/>
        <w:rPr>
          <w:rFonts w:asciiTheme="minorHAnsi" w:hAnsiTheme="minorHAnsi"/>
          <w:szCs w:val="18"/>
        </w:rPr>
      </w:pPr>
      <w:r w:rsidRPr="003D5D86">
        <w:rPr>
          <w:rStyle w:val="FootnoteReference"/>
          <w:rFonts w:asciiTheme="minorHAnsi" w:hAnsiTheme="minorHAnsi"/>
          <w:szCs w:val="18"/>
        </w:rPr>
        <w:footnoteRef/>
      </w:r>
      <w:r w:rsidRPr="003D5D86">
        <w:rPr>
          <w:rFonts w:asciiTheme="minorHAnsi" w:hAnsiTheme="minorHAnsi"/>
          <w:szCs w:val="18"/>
        </w:rPr>
        <w:t xml:space="preserve"> Australian Bureau of Statistics, Labour Force, Australia, Detailed, Quarterly, August 2015: Four quarter average of total employed persons (19 September 2015) </w:t>
      </w:r>
      <w:r w:rsidRPr="003D5D86">
        <w:rPr>
          <w:rFonts w:asciiTheme="minorHAnsi" w:hAnsiTheme="minorHAnsi"/>
          <w:i/>
          <w:szCs w:val="18"/>
        </w:rPr>
        <w:t>Cat No 6291.0.55.003</w:t>
      </w:r>
      <w:r w:rsidRPr="003D5D86">
        <w:rPr>
          <w:rFonts w:asciiTheme="minorHAnsi" w:hAnsiTheme="minorHAnsi"/>
          <w:szCs w:val="18"/>
        </w:rPr>
        <w:t>.</w:t>
      </w:r>
    </w:p>
  </w:footnote>
  <w:footnote w:id="12">
    <w:p w:rsidR="00704E3C" w:rsidRPr="003D5D86" w:rsidRDefault="00704E3C" w:rsidP="00704E3C">
      <w:pPr>
        <w:pStyle w:val="FootnoteText"/>
        <w:contextualSpacing/>
        <w:rPr>
          <w:rFonts w:asciiTheme="minorHAnsi" w:hAnsiTheme="minorHAnsi"/>
          <w:szCs w:val="18"/>
        </w:rPr>
      </w:pPr>
      <w:r w:rsidRPr="003D5D86">
        <w:rPr>
          <w:rStyle w:val="FootnoteReference"/>
          <w:rFonts w:asciiTheme="minorHAnsi" w:hAnsiTheme="minorHAnsi"/>
          <w:szCs w:val="18"/>
        </w:rPr>
        <w:footnoteRef/>
      </w:r>
      <w:r w:rsidRPr="003D5D86">
        <w:rPr>
          <w:rFonts w:asciiTheme="minorHAnsi" w:hAnsiTheme="minorHAnsi"/>
          <w:szCs w:val="18"/>
        </w:rPr>
        <w:t xml:space="preserve"> Volunteering ACT, Self Service: The State of Volunteering in the ACT (2013).</w:t>
      </w:r>
    </w:p>
  </w:footnote>
  <w:footnote w:id="13">
    <w:p w:rsidR="00704E3C" w:rsidRPr="003D5D86" w:rsidRDefault="00704E3C" w:rsidP="00704E3C">
      <w:pPr>
        <w:pStyle w:val="FootnoteText"/>
        <w:contextualSpacing/>
        <w:rPr>
          <w:rFonts w:asciiTheme="minorHAnsi" w:hAnsiTheme="minorHAnsi"/>
          <w:szCs w:val="18"/>
        </w:rPr>
      </w:pPr>
      <w:r w:rsidRPr="003D5D86">
        <w:rPr>
          <w:rStyle w:val="FootnoteReference"/>
          <w:rFonts w:asciiTheme="minorHAnsi" w:hAnsiTheme="minorHAnsi"/>
          <w:szCs w:val="18"/>
        </w:rPr>
        <w:footnoteRef/>
      </w:r>
      <w:r w:rsidRPr="003D5D86">
        <w:rPr>
          <w:rFonts w:asciiTheme="minorHAnsi" w:hAnsiTheme="minorHAnsi"/>
          <w:szCs w:val="18"/>
        </w:rPr>
        <w:t xml:space="preserve"> Australian Bureau of Statistics, Labour Force, Australia, Detailed, Quarterly, August 2015: Four quarter average of total employed persons (19 September 2015) </w:t>
      </w:r>
      <w:r w:rsidRPr="003D5D86">
        <w:rPr>
          <w:rFonts w:asciiTheme="minorHAnsi" w:hAnsiTheme="minorHAnsi"/>
          <w:i/>
          <w:szCs w:val="18"/>
        </w:rPr>
        <w:t>Cat No 6291.0.55.003</w:t>
      </w:r>
      <w:r w:rsidRPr="003D5D86">
        <w:rPr>
          <w:rFonts w:asciiTheme="minorHAnsi" w:hAnsiTheme="minorHAnsi"/>
          <w:szCs w:val="18"/>
        </w:rPr>
        <w:t>.</w:t>
      </w:r>
    </w:p>
  </w:footnote>
  <w:footnote w:id="14">
    <w:p w:rsidR="00941C3F" w:rsidRPr="003D5D86" w:rsidRDefault="00941C3F" w:rsidP="00941C3F">
      <w:pPr>
        <w:pStyle w:val="FootnoteText"/>
        <w:contextualSpacing/>
        <w:rPr>
          <w:rFonts w:asciiTheme="minorHAnsi" w:hAnsiTheme="minorHAnsi"/>
          <w:szCs w:val="18"/>
        </w:rPr>
      </w:pPr>
      <w:r w:rsidRPr="003D5D86">
        <w:rPr>
          <w:rStyle w:val="FootnoteReference"/>
          <w:rFonts w:asciiTheme="minorHAnsi" w:hAnsiTheme="minorHAnsi"/>
          <w:szCs w:val="18"/>
        </w:rPr>
        <w:footnoteRef/>
      </w:r>
      <w:r w:rsidRPr="003D5D86">
        <w:rPr>
          <w:rFonts w:asciiTheme="minorHAnsi" w:hAnsiTheme="minorHAnsi"/>
          <w:szCs w:val="18"/>
        </w:rPr>
        <w:t xml:space="preserve"> Fieldwork, Community Services Queensland, A Community Services Industry Body (20 December 2012), 13.</w:t>
      </w:r>
    </w:p>
  </w:footnote>
  <w:footnote w:id="15">
    <w:p w:rsidR="00941C3F" w:rsidRPr="003D5D86" w:rsidRDefault="00941C3F" w:rsidP="00941C3F">
      <w:pPr>
        <w:contextualSpacing/>
        <w:rPr>
          <w:rFonts w:asciiTheme="minorHAnsi" w:hAnsiTheme="minorHAnsi"/>
          <w:sz w:val="18"/>
          <w:szCs w:val="18"/>
        </w:rPr>
      </w:pPr>
      <w:r w:rsidRPr="003D5D86">
        <w:rPr>
          <w:rFonts w:asciiTheme="minorHAnsi" w:hAnsiTheme="minorHAnsi"/>
          <w:sz w:val="18"/>
          <w:szCs w:val="18"/>
          <w:vertAlign w:val="superscript"/>
        </w:rPr>
        <w:footnoteRef/>
      </w:r>
      <w:r w:rsidRPr="003D5D86">
        <w:rPr>
          <w:rFonts w:asciiTheme="minorHAnsi" w:hAnsiTheme="minorHAnsi"/>
          <w:sz w:val="18"/>
          <w:szCs w:val="18"/>
        </w:rPr>
        <w:t xml:space="preserve"> </w:t>
      </w:r>
      <w:r w:rsidRPr="003D5D86">
        <w:rPr>
          <w:rFonts w:asciiTheme="minorHAnsi" w:eastAsia="Batang" w:hAnsiTheme="minorHAnsi"/>
          <w:sz w:val="18"/>
          <w:szCs w:val="18"/>
          <w:lang w:eastAsia="ko-KR"/>
        </w:rPr>
        <w:t>Australian Government, Productivity Commission, '</w:t>
      </w:r>
      <w:hyperlink r:id="rId5" w:history="1">
        <w:r w:rsidRPr="003D5D86">
          <w:rPr>
            <w:rStyle w:val="Hyperlink"/>
            <w:rFonts w:asciiTheme="minorHAnsi" w:eastAsia="Batang" w:hAnsiTheme="minorHAnsi"/>
            <w:sz w:val="18"/>
            <w:szCs w:val="18"/>
            <w:lang w:eastAsia="ko-KR"/>
          </w:rPr>
          <w:t>Contribution of the not-for-profit sector</w:t>
        </w:r>
      </w:hyperlink>
      <w:r w:rsidRPr="003D5D86">
        <w:rPr>
          <w:rFonts w:asciiTheme="minorHAnsi" w:eastAsia="Batang" w:hAnsiTheme="minorHAnsi"/>
          <w:sz w:val="18"/>
          <w:szCs w:val="18"/>
          <w:lang w:eastAsia="ko-KR"/>
        </w:rPr>
        <w:t>' (2010).</w:t>
      </w:r>
    </w:p>
  </w:footnote>
  <w:footnote w:id="16">
    <w:p w:rsidR="00941C3F" w:rsidRPr="003D5D86" w:rsidRDefault="00941C3F" w:rsidP="00941C3F">
      <w:pPr>
        <w:contextualSpacing/>
        <w:rPr>
          <w:rFonts w:asciiTheme="minorHAnsi" w:eastAsia="Batang" w:hAnsiTheme="minorHAnsi"/>
          <w:sz w:val="18"/>
          <w:szCs w:val="18"/>
          <w:lang w:eastAsia="ko-KR"/>
        </w:rPr>
      </w:pPr>
      <w:r w:rsidRPr="003D5D86">
        <w:rPr>
          <w:rFonts w:asciiTheme="minorHAnsi" w:hAnsiTheme="minorHAnsi"/>
          <w:sz w:val="18"/>
          <w:szCs w:val="18"/>
          <w:vertAlign w:val="superscript"/>
        </w:rPr>
        <w:footnoteRef/>
      </w:r>
      <w:r w:rsidRPr="003D5D86">
        <w:rPr>
          <w:rFonts w:asciiTheme="minorHAnsi" w:hAnsiTheme="minorHAnsi"/>
          <w:sz w:val="18"/>
          <w:szCs w:val="18"/>
        </w:rPr>
        <w:t xml:space="preserve"> </w:t>
      </w:r>
      <w:r w:rsidRPr="003D5D86">
        <w:rPr>
          <w:rFonts w:asciiTheme="minorHAnsi" w:eastAsia="Batang" w:hAnsiTheme="minorHAnsi"/>
          <w:sz w:val="18"/>
          <w:szCs w:val="18"/>
          <w:lang w:eastAsia="ko-KR"/>
        </w:rPr>
        <w:t>Ibid, 37.</w:t>
      </w:r>
    </w:p>
  </w:footnote>
  <w:footnote w:id="17">
    <w:p w:rsidR="00941C3F" w:rsidRPr="003D5D86" w:rsidRDefault="00941C3F" w:rsidP="00941C3F">
      <w:pPr>
        <w:contextualSpacing/>
        <w:rPr>
          <w:rFonts w:asciiTheme="minorHAnsi" w:eastAsia="Batang" w:hAnsiTheme="minorHAnsi"/>
          <w:sz w:val="18"/>
          <w:szCs w:val="18"/>
          <w:lang w:eastAsia="ko-KR"/>
        </w:rPr>
      </w:pPr>
      <w:r w:rsidRPr="003D5D86">
        <w:rPr>
          <w:rFonts w:asciiTheme="minorHAnsi" w:hAnsiTheme="minorHAnsi"/>
          <w:sz w:val="18"/>
          <w:szCs w:val="18"/>
          <w:vertAlign w:val="superscript"/>
        </w:rPr>
        <w:footnoteRef/>
      </w:r>
      <w:r w:rsidRPr="003D5D86">
        <w:rPr>
          <w:rFonts w:asciiTheme="minorHAnsi" w:hAnsiTheme="minorHAnsi"/>
          <w:sz w:val="18"/>
          <w:szCs w:val="18"/>
        </w:rPr>
        <w:t xml:space="preserve"> </w:t>
      </w:r>
      <w:r w:rsidRPr="003D5D86">
        <w:rPr>
          <w:rFonts w:asciiTheme="minorHAnsi" w:eastAsia="Batang" w:hAnsiTheme="minorHAnsi"/>
          <w:sz w:val="18"/>
          <w:szCs w:val="18"/>
          <w:lang w:eastAsia="ko-KR"/>
        </w:rPr>
        <w:t>Ibid, 17.</w:t>
      </w:r>
    </w:p>
  </w:footnote>
  <w:footnote w:id="18">
    <w:p w:rsidR="00941C3F" w:rsidRPr="003D5D86" w:rsidRDefault="00941C3F" w:rsidP="00941C3F">
      <w:pPr>
        <w:contextualSpacing/>
        <w:rPr>
          <w:rFonts w:asciiTheme="minorHAnsi" w:eastAsia="Batang" w:hAnsiTheme="minorHAnsi"/>
          <w:sz w:val="18"/>
          <w:szCs w:val="18"/>
          <w:lang w:eastAsia="ko-KR"/>
        </w:rPr>
      </w:pPr>
      <w:r w:rsidRPr="003D5D86">
        <w:rPr>
          <w:rFonts w:asciiTheme="minorHAnsi" w:hAnsiTheme="minorHAnsi"/>
          <w:sz w:val="18"/>
          <w:szCs w:val="18"/>
          <w:vertAlign w:val="superscript"/>
        </w:rPr>
        <w:footnoteRef/>
      </w:r>
      <w:r w:rsidRPr="003D5D86">
        <w:rPr>
          <w:rFonts w:asciiTheme="minorHAnsi" w:hAnsiTheme="minorHAnsi"/>
          <w:sz w:val="18"/>
          <w:szCs w:val="18"/>
        </w:rPr>
        <w:t xml:space="preserve"> </w:t>
      </w:r>
      <w:r w:rsidRPr="003D5D86">
        <w:rPr>
          <w:rFonts w:asciiTheme="minorHAnsi" w:eastAsia="Batang" w:hAnsiTheme="minorHAnsi"/>
          <w:sz w:val="18"/>
          <w:szCs w:val="18"/>
          <w:lang w:eastAsia="ko-KR"/>
        </w:rPr>
        <w:t>Australian Government, Australian Institute of Health and Welfare, ‘</w:t>
      </w:r>
      <w:hyperlink r:id="rId6" w:history="1">
        <w:r w:rsidRPr="003D5D86">
          <w:rPr>
            <w:rStyle w:val="Hyperlink"/>
            <w:rFonts w:asciiTheme="minorHAnsi" w:eastAsia="Batang" w:hAnsiTheme="minorHAnsi"/>
            <w:sz w:val="18"/>
            <w:szCs w:val="18"/>
            <w:lang w:eastAsia="ko-KR"/>
          </w:rPr>
          <w:t>Australia’s welfare 2015</w:t>
        </w:r>
      </w:hyperlink>
      <w:r w:rsidRPr="003D5D86">
        <w:rPr>
          <w:rFonts w:asciiTheme="minorHAnsi" w:eastAsia="Batang" w:hAnsiTheme="minorHAnsi"/>
          <w:sz w:val="18"/>
          <w:szCs w:val="18"/>
          <w:lang w:eastAsia="ko-KR"/>
        </w:rPr>
        <w:t>’ (2015), 344.</w:t>
      </w:r>
    </w:p>
  </w:footnote>
  <w:footnote w:id="19">
    <w:p w:rsidR="00BF1652" w:rsidRPr="003D5D86" w:rsidRDefault="00BF1652" w:rsidP="00BF1652">
      <w:pPr>
        <w:contextualSpacing/>
        <w:rPr>
          <w:rFonts w:asciiTheme="minorHAnsi" w:eastAsia="Batang" w:hAnsiTheme="minorHAnsi"/>
          <w:sz w:val="18"/>
          <w:szCs w:val="18"/>
          <w:lang w:eastAsia="ko-KR"/>
        </w:rPr>
      </w:pPr>
      <w:r w:rsidRPr="003D5D86">
        <w:rPr>
          <w:rFonts w:asciiTheme="minorHAnsi" w:hAnsiTheme="minorHAnsi"/>
          <w:sz w:val="18"/>
          <w:szCs w:val="18"/>
          <w:vertAlign w:val="superscript"/>
        </w:rPr>
        <w:footnoteRef/>
      </w:r>
      <w:r w:rsidRPr="003D5D86">
        <w:rPr>
          <w:rFonts w:asciiTheme="minorHAnsi" w:hAnsiTheme="minorHAnsi"/>
          <w:sz w:val="18"/>
          <w:szCs w:val="18"/>
        </w:rPr>
        <w:t xml:space="preserve"> </w:t>
      </w:r>
      <w:r w:rsidRPr="003D5D86">
        <w:rPr>
          <w:rFonts w:asciiTheme="minorHAnsi" w:eastAsia="Batang" w:hAnsiTheme="minorHAnsi"/>
          <w:sz w:val="18"/>
          <w:szCs w:val="18"/>
          <w:lang w:eastAsia="ko-KR"/>
        </w:rPr>
        <w:t>Ibid, 356.</w:t>
      </w:r>
    </w:p>
  </w:footnote>
  <w:footnote w:id="20">
    <w:p w:rsidR="00BF1652" w:rsidRPr="003D5D86" w:rsidRDefault="00BF1652" w:rsidP="00BF1652">
      <w:pPr>
        <w:contextualSpacing/>
        <w:rPr>
          <w:rFonts w:asciiTheme="minorHAnsi" w:eastAsia="Batang" w:hAnsiTheme="minorHAnsi"/>
          <w:sz w:val="18"/>
          <w:szCs w:val="18"/>
          <w:lang w:eastAsia="ko-KR"/>
        </w:rPr>
      </w:pPr>
      <w:r w:rsidRPr="003D5D86">
        <w:rPr>
          <w:rFonts w:asciiTheme="minorHAnsi" w:hAnsiTheme="minorHAnsi"/>
          <w:sz w:val="18"/>
          <w:szCs w:val="18"/>
          <w:vertAlign w:val="superscript"/>
        </w:rPr>
        <w:footnoteRef/>
      </w:r>
      <w:r w:rsidRPr="003D5D86">
        <w:rPr>
          <w:rFonts w:asciiTheme="minorHAnsi" w:hAnsiTheme="minorHAnsi"/>
          <w:sz w:val="18"/>
          <w:szCs w:val="18"/>
        </w:rPr>
        <w:t xml:space="preserve"> </w:t>
      </w:r>
      <w:r w:rsidRPr="003D5D86">
        <w:rPr>
          <w:rFonts w:asciiTheme="minorHAnsi" w:eastAsia="Batang" w:hAnsiTheme="minorHAnsi"/>
          <w:sz w:val="18"/>
          <w:szCs w:val="18"/>
          <w:lang w:eastAsia="ko-KR"/>
        </w:rPr>
        <w:t>KPMG, ‘</w:t>
      </w:r>
      <w:hyperlink r:id="rId7" w:history="1">
        <w:r w:rsidRPr="003D5D86">
          <w:rPr>
            <w:rStyle w:val="Hyperlink"/>
            <w:rFonts w:asciiTheme="minorHAnsi" w:eastAsia="Batang" w:hAnsiTheme="minorHAnsi"/>
            <w:sz w:val="18"/>
            <w:szCs w:val="18"/>
            <w:lang w:eastAsia="ko-KR"/>
          </w:rPr>
          <w:t>Economic and social impact of Indigenous Community Volunteers (ICV) activities’</w:t>
        </w:r>
      </w:hyperlink>
      <w:r w:rsidRPr="003D5D86">
        <w:rPr>
          <w:rFonts w:asciiTheme="minorHAnsi" w:eastAsia="Batang" w:hAnsiTheme="minorHAnsi"/>
          <w:sz w:val="18"/>
          <w:szCs w:val="18"/>
          <w:lang w:eastAsia="ko-KR"/>
        </w:rPr>
        <w:t xml:space="preserve"> (2015), 5.</w:t>
      </w:r>
    </w:p>
  </w:footnote>
  <w:footnote w:id="21">
    <w:p w:rsidR="00BF1652" w:rsidRPr="003D5D86" w:rsidRDefault="00BF1652" w:rsidP="00BF1652">
      <w:pPr>
        <w:contextualSpacing/>
        <w:rPr>
          <w:rFonts w:asciiTheme="minorHAnsi" w:hAnsiTheme="minorHAnsi"/>
          <w:sz w:val="18"/>
          <w:szCs w:val="18"/>
        </w:rPr>
      </w:pPr>
      <w:r w:rsidRPr="003D5D86">
        <w:rPr>
          <w:rFonts w:asciiTheme="minorHAnsi" w:hAnsiTheme="minorHAnsi"/>
          <w:sz w:val="18"/>
          <w:szCs w:val="18"/>
          <w:vertAlign w:val="superscript"/>
        </w:rPr>
        <w:footnoteRef/>
      </w:r>
      <w:r w:rsidRPr="003D5D86">
        <w:rPr>
          <w:rFonts w:asciiTheme="minorHAnsi" w:hAnsiTheme="minorHAnsi"/>
          <w:sz w:val="18"/>
          <w:szCs w:val="18"/>
        </w:rPr>
        <w:t xml:space="preserve"> </w:t>
      </w:r>
      <w:r w:rsidRPr="003D5D86">
        <w:rPr>
          <w:rFonts w:asciiTheme="minorHAnsi" w:eastAsia="Batang" w:hAnsiTheme="minorHAnsi"/>
          <w:sz w:val="18"/>
          <w:szCs w:val="18"/>
          <w:lang w:eastAsia="ko-KR"/>
        </w:rPr>
        <w:t>Ibid.</w:t>
      </w:r>
    </w:p>
  </w:footnote>
  <w:footnote w:id="22">
    <w:p w:rsidR="00BF1652" w:rsidRPr="003D5D86" w:rsidRDefault="00BF1652" w:rsidP="00BF1652">
      <w:pPr>
        <w:contextualSpacing/>
        <w:rPr>
          <w:rFonts w:asciiTheme="minorHAnsi" w:eastAsia="Batang" w:hAnsiTheme="minorHAnsi"/>
          <w:sz w:val="18"/>
          <w:szCs w:val="18"/>
          <w:lang w:eastAsia="ko-KR"/>
        </w:rPr>
      </w:pPr>
      <w:r w:rsidRPr="003D5D86">
        <w:rPr>
          <w:rFonts w:asciiTheme="minorHAnsi" w:hAnsiTheme="minorHAnsi"/>
          <w:sz w:val="18"/>
          <w:szCs w:val="18"/>
          <w:vertAlign w:val="superscript"/>
        </w:rPr>
        <w:footnoteRef/>
      </w:r>
      <w:r w:rsidRPr="003D5D86">
        <w:rPr>
          <w:rFonts w:asciiTheme="minorHAnsi" w:hAnsiTheme="minorHAnsi"/>
          <w:sz w:val="18"/>
          <w:szCs w:val="18"/>
        </w:rPr>
        <w:t xml:space="preserve"> </w:t>
      </w:r>
      <w:r w:rsidRPr="003D5D86">
        <w:rPr>
          <w:rFonts w:asciiTheme="minorHAnsi" w:eastAsia="Batang" w:hAnsiTheme="minorHAnsi"/>
          <w:sz w:val="18"/>
          <w:szCs w:val="18"/>
          <w:lang w:eastAsia="ko-KR"/>
        </w:rPr>
        <w:t>Michael Curthill, ‘Strengthening the ‘social’ in sustainable development: Developing a conceptual framework for social sustainability in a rapid urban growth region in Australia’ (2010) 18(6) Sustainable Development page 362.</w:t>
      </w:r>
    </w:p>
  </w:footnote>
  <w:footnote w:id="23">
    <w:p w:rsidR="00BF1652" w:rsidRPr="003D5D86" w:rsidRDefault="00BF1652" w:rsidP="00BF1652">
      <w:pPr>
        <w:contextualSpacing/>
        <w:rPr>
          <w:rFonts w:asciiTheme="minorHAnsi" w:hAnsiTheme="minorHAnsi"/>
          <w:sz w:val="18"/>
          <w:szCs w:val="18"/>
        </w:rPr>
      </w:pPr>
      <w:r w:rsidRPr="003D5D86">
        <w:rPr>
          <w:rFonts w:asciiTheme="minorHAnsi" w:hAnsiTheme="minorHAnsi"/>
          <w:sz w:val="18"/>
          <w:szCs w:val="18"/>
          <w:vertAlign w:val="superscript"/>
        </w:rPr>
        <w:footnoteRef/>
      </w:r>
      <w:r w:rsidRPr="003D5D86">
        <w:rPr>
          <w:rFonts w:asciiTheme="minorHAnsi" w:hAnsiTheme="minorHAnsi"/>
          <w:sz w:val="18"/>
          <w:szCs w:val="18"/>
        </w:rPr>
        <w:t xml:space="preserve"> Ibid, 368.</w:t>
      </w:r>
    </w:p>
  </w:footnote>
  <w:footnote w:id="24">
    <w:p w:rsidR="00BF1652" w:rsidRPr="003D5D86" w:rsidRDefault="00BF1652" w:rsidP="00BF1652">
      <w:pPr>
        <w:contextualSpacing/>
        <w:rPr>
          <w:rFonts w:asciiTheme="minorHAnsi" w:hAnsiTheme="minorHAnsi"/>
          <w:sz w:val="18"/>
          <w:szCs w:val="18"/>
        </w:rPr>
      </w:pPr>
      <w:r w:rsidRPr="003D5D86">
        <w:rPr>
          <w:rFonts w:asciiTheme="minorHAnsi" w:hAnsiTheme="minorHAnsi"/>
          <w:sz w:val="18"/>
          <w:szCs w:val="18"/>
          <w:vertAlign w:val="superscript"/>
        </w:rPr>
        <w:footnoteRef/>
      </w:r>
      <w:r w:rsidRPr="003D5D86">
        <w:rPr>
          <w:rFonts w:asciiTheme="minorHAnsi" w:hAnsiTheme="minorHAnsi"/>
          <w:sz w:val="18"/>
          <w:szCs w:val="18"/>
        </w:rPr>
        <w:t xml:space="preserve"> Ibid.</w:t>
      </w:r>
    </w:p>
  </w:footnote>
  <w:footnote w:id="25">
    <w:p w:rsidR="00BF1652" w:rsidRPr="003D5D86" w:rsidRDefault="00BF1652" w:rsidP="00BF1652">
      <w:pPr>
        <w:contextualSpacing/>
        <w:rPr>
          <w:rFonts w:asciiTheme="minorHAnsi" w:hAnsiTheme="minorHAnsi"/>
          <w:sz w:val="18"/>
          <w:szCs w:val="18"/>
        </w:rPr>
      </w:pPr>
      <w:r w:rsidRPr="003D5D86">
        <w:rPr>
          <w:rFonts w:asciiTheme="minorHAnsi" w:hAnsiTheme="minorHAnsi"/>
          <w:sz w:val="18"/>
          <w:szCs w:val="18"/>
          <w:vertAlign w:val="superscript"/>
        </w:rPr>
        <w:footnoteRef/>
      </w:r>
      <w:r w:rsidRPr="003D5D86">
        <w:rPr>
          <w:rFonts w:asciiTheme="minorHAnsi" w:hAnsiTheme="minorHAnsi"/>
          <w:sz w:val="18"/>
          <w:szCs w:val="18"/>
        </w:rPr>
        <w:t xml:space="preserve"> Ray DeV. Peters , Kelly Petrunka, Shahriar Khan, Angela Howell-Moneta, Geoffrey Nelson, S. Mark Pancer, Colleen Loomis, ‘Cost-Savings Analysis of the Better Beginnings, Better Futures Community-Based Project for Young Children and Their Families: A 10-Year Follow-up’ (2015) </w:t>
      </w:r>
      <w:r w:rsidRPr="003D5D86">
        <w:rPr>
          <w:rFonts w:asciiTheme="minorHAnsi" w:hAnsiTheme="minorHAnsi"/>
          <w:i/>
          <w:sz w:val="18"/>
          <w:szCs w:val="18"/>
        </w:rPr>
        <w:t>Prevention Science</w:t>
      </w:r>
      <w:r w:rsidRPr="003D5D86">
        <w:rPr>
          <w:rFonts w:asciiTheme="minorHAnsi" w:hAnsiTheme="minorHAnsi"/>
          <w:sz w:val="18"/>
          <w:szCs w:val="18"/>
        </w:rPr>
        <w:t>.</w:t>
      </w:r>
    </w:p>
  </w:footnote>
  <w:footnote w:id="26">
    <w:p w:rsidR="00BF1652" w:rsidRPr="003D5D86" w:rsidRDefault="00BF1652" w:rsidP="00BF1652">
      <w:pPr>
        <w:contextualSpacing/>
        <w:rPr>
          <w:rFonts w:asciiTheme="minorHAnsi" w:hAnsiTheme="minorHAnsi"/>
          <w:sz w:val="18"/>
          <w:szCs w:val="18"/>
        </w:rPr>
      </w:pPr>
      <w:r w:rsidRPr="003D5D86">
        <w:rPr>
          <w:rFonts w:asciiTheme="minorHAnsi" w:hAnsiTheme="minorHAnsi"/>
          <w:sz w:val="18"/>
          <w:szCs w:val="18"/>
          <w:vertAlign w:val="superscript"/>
        </w:rPr>
        <w:footnoteRef/>
      </w:r>
      <w:r w:rsidR="00D87159" w:rsidRPr="003D5D86">
        <w:rPr>
          <w:rFonts w:asciiTheme="minorHAnsi" w:hAnsiTheme="minorHAnsi"/>
          <w:sz w:val="18"/>
          <w:szCs w:val="18"/>
        </w:rPr>
        <w:t xml:space="preserve"> </w:t>
      </w:r>
      <w:r w:rsidRPr="003D5D86">
        <w:rPr>
          <w:rFonts w:asciiTheme="minorHAnsi" w:hAnsiTheme="minorHAnsi"/>
          <w:sz w:val="18"/>
          <w:szCs w:val="18"/>
        </w:rPr>
        <w:t>Ibid, 8.</w:t>
      </w:r>
    </w:p>
  </w:footnote>
  <w:footnote w:id="27">
    <w:p w:rsidR="00BF1652" w:rsidRPr="003D5D86" w:rsidRDefault="00BF1652" w:rsidP="00BF1652">
      <w:pPr>
        <w:contextualSpacing/>
        <w:rPr>
          <w:rFonts w:asciiTheme="minorHAnsi" w:hAnsiTheme="minorHAnsi"/>
          <w:sz w:val="18"/>
          <w:szCs w:val="18"/>
        </w:rPr>
      </w:pPr>
      <w:r w:rsidRPr="003D5D86">
        <w:rPr>
          <w:rFonts w:asciiTheme="minorHAnsi" w:hAnsiTheme="minorHAnsi"/>
          <w:sz w:val="18"/>
          <w:szCs w:val="18"/>
          <w:vertAlign w:val="superscript"/>
        </w:rPr>
        <w:footnoteRef/>
      </w:r>
      <w:r w:rsidRPr="003D5D86">
        <w:rPr>
          <w:rFonts w:asciiTheme="minorHAnsi" w:hAnsiTheme="minorHAnsi"/>
          <w:sz w:val="18"/>
          <w:szCs w:val="18"/>
        </w:rPr>
        <w:t xml:space="preserve"> Cassells R, Cortis N, Duncan A, Eastman C, Gao G, Giuntoli, G, Katz I, Keegan M, Macvean M,Mavisakalyan A, Shlonsky A, Skattebol, J, Smyth C and Valentine K, ‘Keep Them Safe Outcomes Evaluation Final Report’ (2014) </w:t>
      </w:r>
      <w:r w:rsidRPr="003D5D86">
        <w:rPr>
          <w:rFonts w:asciiTheme="minorHAnsi" w:hAnsiTheme="minorHAnsi"/>
          <w:i/>
          <w:sz w:val="18"/>
          <w:szCs w:val="18"/>
        </w:rPr>
        <w:t>NSW Department of Premier and Cabinet</w:t>
      </w:r>
      <w:r w:rsidRPr="003D5D86">
        <w:rPr>
          <w:rFonts w:asciiTheme="minorHAnsi" w:hAnsiTheme="minorHAnsi"/>
          <w:sz w:val="18"/>
          <w:szCs w:val="18"/>
        </w:rPr>
        <w:t>, 7.</w:t>
      </w:r>
    </w:p>
  </w:footnote>
  <w:footnote w:id="28">
    <w:p w:rsidR="00BF1652" w:rsidRPr="003D5D86" w:rsidRDefault="00BF1652" w:rsidP="00BF1652">
      <w:pPr>
        <w:contextualSpacing/>
        <w:rPr>
          <w:rFonts w:asciiTheme="minorHAnsi" w:hAnsiTheme="minorHAnsi"/>
          <w:sz w:val="18"/>
          <w:szCs w:val="18"/>
        </w:rPr>
      </w:pPr>
      <w:r w:rsidRPr="003D5D86">
        <w:rPr>
          <w:rFonts w:asciiTheme="minorHAnsi" w:hAnsiTheme="minorHAnsi"/>
          <w:sz w:val="18"/>
          <w:szCs w:val="18"/>
          <w:vertAlign w:val="superscript"/>
        </w:rPr>
        <w:footnoteRef/>
      </w:r>
      <w:r w:rsidRPr="003D5D86">
        <w:rPr>
          <w:rFonts w:asciiTheme="minorHAnsi" w:hAnsiTheme="minorHAnsi"/>
          <w:sz w:val="18"/>
          <w:szCs w:val="18"/>
        </w:rPr>
        <w:t xml:space="preserve"> Ibid, 8.</w:t>
      </w:r>
    </w:p>
  </w:footnote>
  <w:footnote w:id="29">
    <w:p w:rsidR="00BF1652" w:rsidRPr="003D5D86" w:rsidRDefault="00BF1652" w:rsidP="00BF1652">
      <w:pPr>
        <w:contextualSpacing/>
        <w:rPr>
          <w:rFonts w:asciiTheme="minorHAnsi" w:hAnsiTheme="minorHAnsi"/>
          <w:sz w:val="18"/>
          <w:szCs w:val="18"/>
        </w:rPr>
      </w:pPr>
      <w:r w:rsidRPr="003D5D86">
        <w:rPr>
          <w:rFonts w:asciiTheme="minorHAnsi" w:hAnsiTheme="minorHAnsi"/>
          <w:sz w:val="18"/>
          <w:szCs w:val="18"/>
          <w:vertAlign w:val="superscript"/>
        </w:rPr>
        <w:footnoteRef/>
      </w:r>
      <w:r w:rsidRPr="003D5D86">
        <w:rPr>
          <w:rFonts w:asciiTheme="minorHAnsi" w:hAnsiTheme="minorHAnsi"/>
          <w:sz w:val="18"/>
          <w:szCs w:val="18"/>
        </w:rPr>
        <w:t xml:space="preserve"> Lizzie D. Finn, Brian J. Bishop, Neville Sparrow, ‘Capturing Dynamic Processes of Change in GROW Mutual HelpGroups for Mental Health’ (2009) </w:t>
      </w:r>
      <w:r w:rsidRPr="003D5D86">
        <w:rPr>
          <w:rFonts w:asciiTheme="minorHAnsi" w:hAnsiTheme="minorHAnsi"/>
          <w:i/>
          <w:sz w:val="18"/>
          <w:szCs w:val="18"/>
        </w:rPr>
        <w:t>Am J Community Psychol</w:t>
      </w:r>
      <w:r w:rsidRPr="003D5D86">
        <w:rPr>
          <w:rFonts w:asciiTheme="minorHAnsi" w:hAnsiTheme="minorHAnsi"/>
          <w:sz w:val="18"/>
          <w:szCs w:val="18"/>
        </w:rPr>
        <w:t>, 8.</w:t>
      </w:r>
    </w:p>
  </w:footnote>
  <w:footnote w:id="30">
    <w:p w:rsidR="00BF1652" w:rsidRPr="003D5D86" w:rsidRDefault="00BF1652" w:rsidP="00BF1652">
      <w:pPr>
        <w:spacing w:after="0"/>
        <w:contextualSpacing/>
        <w:rPr>
          <w:rFonts w:asciiTheme="minorHAnsi" w:hAnsiTheme="minorHAnsi"/>
          <w:sz w:val="18"/>
          <w:szCs w:val="18"/>
        </w:rPr>
      </w:pPr>
      <w:r w:rsidRPr="003D5D86">
        <w:rPr>
          <w:rFonts w:asciiTheme="minorHAnsi" w:hAnsiTheme="minorHAnsi"/>
          <w:sz w:val="18"/>
          <w:szCs w:val="18"/>
          <w:vertAlign w:val="superscript"/>
        </w:rPr>
        <w:footnoteRef/>
      </w:r>
      <w:r w:rsidRPr="003D5D86">
        <w:rPr>
          <w:rFonts w:asciiTheme="minorHAnsi" w:hAnsiTheme="minorHAnsi"/>
          <w:sz w:val="18"/>
          <w:szCs w:val="18"/>
        </w:rPr>
        <w:t xml:space="preserve"> Ibid, 12.</w:t>
      </w:r>
    </w:p>
  </w:footnote>
  <w:footnote w:id="31">
    <w:p w:rsidR="00BF1652" w:rsidRPr="003D5D86" w:rsidRDefault="00BF1652" w:rsidP="00BF1652">
      <w:pPr>
        <w:pStyle w:val="FootnoteText"/>
        <w:contextualSpacing/>
        <w:rPr>
          <w:rFonts w:asciiTheme="minorHAnsi" w:hAnsiTheme="minorHAnsi"/>
          <w:szCs w:val="18"/>
        </w:rPr>
      </w:pPr>
      <w:r w:rsidRPr="003D5D86">
        <w:rPr>
          <w:rStyle w:val="FootnoteReference"/>
          <w:rFonts w:asciiTheme="minorHAnsi" w:hAnsiTheme="minorHAnsi"/>
          <w:szCs w:val="18"/>
        </w:rPr>
        <w:footnoteRef/>
      </w:r>
      <w:r w:rsidRPr="003D5D86">
        <w:rPr>
          <w:rFonts w:asciiTheme="minorHAnsi" w:hAnsiTheme="minorHAnsi"/>
          <w:szCs w:val="18"/>
        </w:rPr>
        <w:t xml:space="preserve"> Fieldwork, Community Services Queensland, A Community Services Industry Body (20 December 2012), 9. </w:t>
      </w:r>
    </w:p>
  </w:footnote>
  <w:footnote w:id="32">
    <w:p w:rsidR="00BF1652" w:rsidRPr="003D5D86" w:rsidRDefault="00BF1652" w:rsidP="00BF1652">
      <w:pPr>
        <w:pStyle w:val="FootnoteText"/>
        <w:contextualSpacing/>
        <w:rPr>
          <w:rFonts w:asciiTheme="minorHAnsi" w:hAnsiTheme="minorHAnsi"/>
          <w:szCs w:val="18"/>
        </w:rPr>
      </w:pPr>
      <w:r w:rsidRPr="003D5D86">
        <w:rPr>
          <w:rStyle w:val="FootnoteReference"/>
          <w:rFonts w:asciiTheme="minorHAnsi" w:hAnsiTheme="minorHAnsi"/>
          <w:szCs w:val="18"/>
        </w:rPr>
        <w:footnoteRef/>
      </w:r>
      <w:r w:rsidRPr="003D5D86">
        <w:rPr>
          <w:rFonts w:asciiTheme="minorHAnsi" w:hAnsiTheme="minorHAnsi"/>
          <w:szCs w:val="18"/>
        </w:rPr>
        <w:t xml:space="preserve"> Ibid.</w:t>
      </w:r>
    </w:p>
  </w:footnote>
  <w:footnote w:id="33">
    <w:p w:rsidR="00BF1652" w:rsidRPr="003D5D86" w:rsidRDefault="00BF1652" w:rsidP="00BF1652">
      <w:pPr>
        <w:pStyle w:val="FootnoteText"/>
        <w:contextualSpacing/>
        <w:rPr>
          <w:rFonts w:asciiTheme="minorHAnsi" w:hAnsiTheme="minorHAnsi"/>
          <w:szCs w:val="18"/>
        </w:rPr>
      </w:pPr>
      <w:r w:rsidRPr="003D5D86">
        <w:rPr>
          <w:rStyle w:val="FootnoteReference"/>
          <w:rFonts w:asciiTheme="minorHAnsi" w:hAnsiTheme="minorHAnsi"/>
          <w:szCs w:val="18"/>
        </w:rPr>
        <w:footnoteRef/>
      </w:r>
      <w:r w:rsidRPr="003D5D86">
        <w:rPr>
          <w:rFonts w:asciiTheme="minorHAnsi" w:hAnsiTheme="minorHAnsi"/>
          <w:szCs w:val="18"/>
        </w:rPr>
        <w:t xml:space="preserve"> Community Services Directorate data, 2015.</w:t>
      </w:r>
    </w:p>
  </w:footnote>
  <w:footnote w:id="34">
    <w:p w:rsidR="002E552D" w:rsidRPr="003D5D86" w:rsidRDefault="002E552D" w:rsidP="002E552D">
      <w:pPr>
        <w:pStyle w:val="FootnoteText"/>
        <w:contextualSpacing/>
        <w:rPr>
          <w:rFonts w:asciiTheme="minorHAnsi" w:hAnsiTheme="minorHAnsi"/>
          <w:szCs w:val="18"/>
        </w:rPr>
      </w:pPr>
      <w:r w:rsidRPr="003D5D86">
        <w:rPr>
          <w:rStyle w:val="FootnoteReference"/>
          <w:rFonts w:asciiTheme="minorHAnsi" w:hAnsiTheme="minorHAnsi"/>
          <w:szCs w:val="18"/>
        </w:rPr>
        <w:footnoteRef/>
      </w:r>
      <w:r w:rsidRPr="003D5D86">
        <w:rPr>
          <w:rFonts w:asciiTheme="minorHAnsi" w:hAnsiTheme="minorHAnsi"/>
          <w:szCs w:val="18"/>
        </w:rPr>
        <w:t xml:space="preserve"> ACT Government, Towards One Human Services System with you at the centre, 8</w:t>
      </w:r>
    </w:p>
  </w:footnote>
  <w:footnote w:id="35">
    <w:p w:rsidR="002E552D" w:rsidRPr="003D5D86" w:rsidRDefault="002E552D" w:rsidP="002E552D">
      <w:pPr>
        <w:pStyle w:val="FootnoteText"/>
        <w:contextualSpacing/>
        <w:rPr>
          <w:rFonts w:asciiTheme="minorHAnsi" w:hAnsiTheme="minorHAnsi"/>
          <w:szCs w:val="18"/>
        </w:rPr>
      </w:pPr>
      <w:r w:rsidRPr="003D5D86">
        <w:rPr>
          <w:rStyle w:val="FootnoteReference"/>
          <w:rFonts w:asciiTheme="minorHAnsi" w:hAnsiTheme="minorHAnsi"/>
          <w:szCs w:val="18"/>
        </w:rPr>
        <w:footnoteRef/>
      </w:r>
      <w:r w:rsidRPr="003D5D86">
        <w:rPr>
          <w:rFonts w:asciiTheme="minorHAnsi" w:hAnsiTheme="minorHAnsi"/>
          <w:szCs w:val="18"/>
        </w:rPr>
        <w:t xml:space="preserve"> Ibid.</w:t>
      </w:r>
    </w:p>
  </w:footnote>
  <w:footnote w:id="36">
    <w:p w:rsidR="002E552D" w:rsidRPr="003D5D86" w:rsidRDefault="002E552D" w:rsidP="002E552D">
      <w:pPr>
        <w:pStyle w:val="FootnoteText"/>
        <w:contextualSpacing/>
        <w:rPr>
          <w:rFonts w:asciiTheme="minorHAnsi" w:hAnsiTheme="minorHAnsi"/>
          <w:szCs w:val="18"/>
        </w:rPr>
      </w:pPr>
      <w:r w:rsidRPr="003D5D86">
        <w:rPr>
          <w:rStyle w:val="FootnoteReference"/>
          <w:rFonts w:asciiTheme="minorHAnsi" w:hAnsiTheme="minorHAnsi"/>
          <w:szCs w:val="18"/>
        </w:rPr>
        <w:footnoteRef/>
      </w:r>
      <w:r w:rsidRPr="003D5D86">
        <w:rPr>
          <w:rFonts w:asciiTheme="minorHAnsi" w:hAnsiTheme="minorHAnsi"/>
          <w:szCs w:val="18"/>
        </w:rPr>
        <w:t xml:space="preserve"> ACT Government, Time to talk: Canberra 2030 Outcomes Report (December 2010), 7.</w:t>
      </w:r>
    </w:p>
  </w:footnote>
  <w:footnote w:id="37">
    <w:p w:rsidR="002E552D" w:rsidRPr="003D5D86" w:rsidRDefault="002E552D" w:rsidP="002E552D">
      <w:pPr>
        <w:pStyle w:val="FootnoteText"/>
        <w:contextualSpacing/>
        <w:rPr>
          <w:rFonts w:asciiTheme="minorHAnsi" w:hAnsiTheme="minorHAnsi"/>
          <w:szCs w:val="18"/>
        </w:rPr>
      </w:pPr>
      <w:r w:rsidRPr="003D5D86">
        <w:rPr>
          <w:rStyle w:val="FootnoteReference"/>
          <w:rFonts w:asciiTheme="minorHAnsi" w:hAnsiTheme="minorHAnsi"/>
          <w:szCs w:val="18"/>
        </w:rPr>
        <w:footnoteRef/>
      </w:r>
      <w:r w:rsidRPr="003D5D86">
        <w:rPr>
          <w:rFonts w:asciiTheme="minorHAnsi" w:hAnsiTheme="minorHAnsi"/>
          <w:szCs w:val="18"/>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44F"/>
    <w:multiLevelType w:val="singleLevel"/>
    <w:tmpl w:val="61CE83A6"/>
    <w:lvl w:ilvl="0">
      <w:start w:val="1"/>
      <w:numFmt w:val="bullet"/>
      <w:lvlText w:val=""/>
      <w:lvlJc w:val="left"/>
      <w:pPr>
        <w:tabs>
          <w:tab w:val="num" w:pos="340"/>
        </w:tabs>
        <w:ind w:left="340" w:hanging="340"/>
      </w:pPr>
      <w:rPr>
        <w:rFonts w:ascii="Symbol" w:hAnsi="Symbol" w:hint="default"/>
        <w:color w:val="auto"/>
        <w:sz w:val="22"/>
      </w:rPr>
    </w:lvl>
  </w:abstractNum>
  <w:abstractNum w:abstractNumId="1">
    <w:nsid w:val="0BA86BF1"/>
    <w:multiLevelType w:val="singleLevel"/>
    <w:tmpl w:val="078848EC"/>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1DED46FF"/>
    <w:multiLevelType w:val="singleLevel"/>
    <w:tmpl w:val="AC7EC9CC"/>
    <w:lvl w:ilvl="0">
      <w:start w:val="1"/>
      <w:numFmt w:val="bullet"/>
      <w:lvlText w:val=""/>
      <w:lvlJc w:val="left"/>
      <w:pPr>
        <w:tabs>
          <w:tab w:val="num" w:pos="340"/>
        </w:tabs>
        <w:ind w:left="340" w:hanging="340"/>
      </w:pPr>
      <w:rPr>
        <w:rFonts w:ascii="Symbol" w:hAnsi="Symbol" w:hint="default"/>
        <w:color w:val="auto"/>
        <w:sz w:val="22"/>
      </w:rPr>
    </w:lvl>
  </w:abstractNum>
  <w:abstractNum w:abstractNumId="3">
    <w:nsid w:val="305439DF"/>
    <w:multiLevelType w:val="singleLevel"/>
    <w:tmpl w:val="492C78B0"/>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37516C64"/>
    <w:multiLevelType w:val="singleLevel"/>
    <w:tmpl w:val="BBBE081C"/>
    <w:lvl w:ilvl="0">
      <w:start w:val="1"/>
      <w:numFmt w:val="bullet"/>
      <w:lvlText w:val=""/>
      <w:lvlJc w:val="left"/>
      <w:pPr>
        <w:tabs>
          <w:tab w:val="num" w:pos="340"/>
        </w:tabs>
        <w:ind w:left="340" w:hanging="340"/>
      </w:pPr>
      <w:rPr>
        <w:rFonts w:ascii="Symbol" w:hAnsi="Symbol" w:hint="default"/>
        <w:color w:val="auto"/>
        <w:sz w:val="22"/>
      </w:rPr>
    </w:lvl>
  </w:abstractNum>
  <w:abstractNum w:abstractNumId="5">
    <w:nsid w:val="3FA27AAE"/>
    <w:multiLevelType w:val="singleLevel"/>
    <w:tmpl w:val="C3CAD4AC"/>
    <w:lvl w:ilvl="0">
      <w:start w:val="1"/>
      <w:numFmt w:val="bullet"/>
      <w:lvlText w:val=""/>
      <w:lvlJc w:val="left"/>
      <w:pPr>
        <w:tabs>
          <w:tab w:val="num" w:pos="340"/>
        </w:tabs>
        <w:ind w:left="340" w:hanging="340"/>
      </w:pPr>
      <w:rPr>
        <w:rFonts w:ascii="Symbol" w:hAnsi="Symbol" w:hint="default"/>
        <w:color w:val="auto"/>
        <w:sz w:val="22"/>
      </w:rPr>
    </w:lvl>
  </w:abstractNum>
  <w:abstractNum w:abstractNumId="6">
    <w:nsid w:val="463C1F0D"/>
    <w:multiLevelType w:val="singleLevel"/>
    <w:tmpl w:val="08723BD4"/>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493B1B7E"/>
    <w:multiLevelType w:val="singleLevel"/>
    <w:tmpl w:val="7834CA62"/>
    <w:lvl w:ilvl="0">
      <w:start w:val="1"/>
      <w:numFmt w:val="bullet"/>
      <w:lvlText w:val=""/>
      <w:lvlJc w:val="left"/>
      <w:pPr>
        <w:tabs>
          <w:tab w:val="num" w:pos="340"/>
        </w:tabs>
        <w:ind w:left="340" w:hanging="340"/>
      </w:pPr>
      <w:rPr>
        <w:rFonts w:ascii="Symbol" w:hAnsi="Symbol" w:hint="default"/>
        <w:color w:val="auto"/>
        <w:sz w:val="22"/>
      </w:rPr>
    </w:lvl>
  </w:abstractNum>
  <w:abstractNum w:abstractNumId="8">
    <w:nsid w:val="4BCF79D9"/>
    <w:multiLevelType w:val="singleLevel"/>
    <w:tmpl w:val="16B21896"/>
    <w:lvl w:ilvl="0">
      <w:start w:val="1"/>
      <w:numFmt w:val="bullet"/>
      <w:lvlText w:val=""/>
      <w:lvlJc w:val="left"/>
      <w:pPr>
        <w:tabs>
          <w:tab w:val="num" w:pos="340"/>
        </w:tabs>
        <w:ind w:left="340" w:hanging="340"/>
      </w:pPr>
      <w:rPr>
        <w:rFonts w:ascii="Symbol" w:hAnsi="Symbol" w:hint="default"/>
        <w:color w:val="auto"/>
        <w:sz w:val="22"/>
      </w:rPr>
    </w:lvl>
  </w:abstractNum>
  <w:abstractNum w:abstractNumId="9">
    <w:nsid w:val="4FD02425"/>
    <w:multiLevelType w:val="singleLevel"/>
    <w:tmpl w:val="ACBAEC10"/>
    <w:lvl w:ilvl="0">
      <w:start w:val="1"/>
      <w:numFmt w:val="bullet"/>
      <w:lvlText w:val=""/>
      <w:lvlJc w:val="left"/>
      <w:pPr>
        <w:tabs>
          <w:tab w:val="num" w:pos="340"/>
        </w:tabs>
        <w:ind w:left="340" w:hanging="340"/>
      </w:pPr>
      <w:rPr>
        <w:rFonts w:ascii="Symbol" w:hAnsi="Symbol" w:hint="default"/>
        <w:color w:val="auto"/>
        <w:sz w:val="22"/>
      </w:rPr>
    </w:lvl>
  </w:abstractNum>
  <w:abstractNum w:abstractNumId="10">
    <w:nsid w:val="56636251"/>
    <w:multiLevelType w:val="singleLevel"/>
    <w:tmpl w:val="B8B0A7A4"/>
    <w:lvl w:ilvl="0">
      <w:start w:val="1"/>
      <w:numFmt w:val="bullet"/>
      <w:lvlText w:val=""/>
      <w:lvlJc w:val="left"/>
      <w:pPr>
        <w:tabs>
          <w:tab w:val="num" w:pos="340"/>
        </w:tabs>
        <w:ind w:left="340" w:hanging="340"/>
      </w:pPr>
      <w:rPr>
        <w:rFonts w:ascii="Symbol" w:hAnsi="Symbol" w:hint="default"/>
        <w:color w:val="auto"/>
        <w:sz w:val="22"/>
      </w:rPr>
    </w:lvl>
  </w:abstractNum>
  <w:abstractNum w:abstractNumId="11">
    <w:nsid w:val="57065AD8"/>
    <w:multiLevelType w:val="singleLevel"/>
    <w:tmpl w:val="19D2D9A2"/>
    <w:lvl w:ilvl="0">
      <w:start w:val="1"/>
      <w:numFmt w:val="bullet"/>
      <w:lvlText w:val=""/>
      <w:lvlJc w:val="left"/>
      <w:pPr>
        <w:tabs>
          <w:tab w:val="num" w:pos="340"/>
        </w:tabs>
        <w:ind w:left="340" w:hanging="340"/>
      </w:pPr>
      <w:rPr>
        <w:rFonts w:ascii="Symbol" w:hAnsi="Symbol" w:hint="default"/>
        <w:color w:val="auto"/>
        <w:sz w:val="22"/>
      </w:rPr>
    </w:lvl>
  </w:abstractNum>
  <w:abstractNum w:abstractNumId="12">
    <w:nsid w:val="5E65218D"/>
    <w:multiLevelType w:val="singleLevel"/>
    <w:tmpl w:val="1876E3F4"/>
    <w:lvl w:ilvl="0">
      <w:start w:val="1"/>
      <w:numFmt w:val="bullet"/>
      <w:lvlText w:val=""/>
      <w:lvlJc w:val="left"/>
      <w:pPr>
        <w:tabs>
          <w:tab w:val="num" w:pos="340"/>
        </w:tabs>
        <w:ind w:left="340" w:hanging="340"/>
      </w:pPr>
      <w:rPr>
        <w:rFonts w:ascii="Symbol" w:hAnsi="Symbol" w:hint="default"/>
        <w:color w:val="auto"/>
        <w:sz w:val="22"/>
      </w:rPr>
    </w:lvl>
  </w:abstractNum>
  <w:abstractNum w:abstractNumId="13">
    <w:nsid w:val="621C298A"/>
    <w:multiLevelType w:val="singleLevel"/>
    <w:tmpl w:val="B8D2F5F0"/>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6F333FD9"/>
    <w:multiLevelType w:val="singleLevel"/>
    <w:tmpl w:val="3F6EBF50"/>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742D24CB"/>
    <w:multiLevelType w:val="multilevel"/>
    <w:tmpl w:val="7C9AAC96"/>
    <w:lvl w:ilvl="0">
      <w:start w:val="1"/>
      <w:numFmt w:val="decimal"/>
      <w:pStyle w:val="Heading1"/>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4AD6CDA"/>
    <w:multiLevelType w:val="singleLevel"/>
    <w:tmpl w:val="6AC0AE80"/>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757C5827"/>
    <w:multiLevelType w:val="singleLevel"/>
    <w:tmpl w:val="C9649CD4"/>
    <w:lvl w:ilvl="0">
      <w:start w:val="1"/>
      <w:numFmt w:val="bullet"/>
      <w:lvlText w:val=""/>
      <w:lvlJc w:val="left"/>
      <w:pPr>
        <w:tabs>
          <w:tab w:val="num" w:pos="340"/>
        </w:tabs>
        <w:ind w:left="340" w:hanging="340"/>
      </w:pPr>
      <w:rPr>
        <w:rFonts w:ascii="Symbol" w:hAnsi="Symbol" w:hint="default"/>
        <w:color w:val="auto"/>
        <w:sz w:val="22"/>
      </w:rPr>
    </w:lvl>
  </w:abstractNum>
  <w:abstractNum w:abstractNumId="18">
    <w:nsid w:val="75BC0188"/>
    <w:multiLevelType w:val="singleLevel"/>
    <w:tmpl w:val="73F02F5A"/>
    <w:lvl w:ilvl="0">
      <w:start w:val="1"/>
      <w:numFmt w:val="bullet"/>
      <w:lvlText w:val=""/>
      <w:lvlJc w:val="left"/>
      <w:pPr>
        <w:tabs>
          <w:tab w:val="num" w:pos="340"/>
        </w:tabs>
        <w:ind w:left="340" w:hanging="340"/>
      </w:pPr>
      <w:rPr>
        <w:rFonts w:ascii="Symbol" w:hAnsi="Symbol" w:hint="default"/>
        <w:color w:val="auto"/>
        <w:sz w:val="22"/>
      </w:rPr>
    </w:lvl>
  </w:abstractNum>
  <w:abstractNum w:abstractNumId="19">
    <w:nsid w:val="77D319EB"/>
    <w:multiLevelType w:val="multilevel"/>
    <w:tmpl w:val="78B67B3A"/>
    <w:lvl w:ilvl="0">
      <w:start w:val="1"/>
      <w:numFmt w:val="decimal"/>
      <w:pStyle w:val="Heading2"/>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9F50363"/>
    <w:multiLevelType w:val="singleLevel"/>
    <w:tmpl w:val="7A323C40"/>
    <w:lvl w:ilvl="0">
      <w:start w:val="1"/>
      <w:numFmt w:val="bullet"/>
      <w:lvlText w:val=""/>
      <w:lvlJc w:val="left"/>
      <w:pPr>
        <w:tabs>
          <w:tab w:val="num" w:pos="340"/>
        </w:tabs>
        <w:ind w:left="340" w:hanging="340"/>
      </w:pPr>
      <w:rPr>
        <w:rFonts w:ascii="Symbol" w:hAnsi="Symbol" w:hint="default"/>
        <w:color w:val="auto"/>
        <w:sz w:val="22"/>
      </w:rPr>
    </w:lvl>
  </w:abstractNum>
  <w:num w:numId="1">
    <w:abstractNumId w:val="15"/>
  </w:num>
  <w:num w:numId="2">
    <w:abstractNumId w:val="19"/>
  </w:num>
  <w:num w:numId="3">
    <w:abstractNumId w:val="16"/>
  </w:num>
  <w:num w:numId="4">
    <w:abstractNumId w:val="14"/>
  </w:num>
  <w:num w:numId="5">
    <w:abstractNumId w:val="9"/>
  </w:num>
  <w:num w:numId="6">
    <w:abstractNumId w:val="1"/>
  </w:num>
  <w:num w:numId="7">
    <w:abstractNumId w:val="20"/>
  </w:num>
  <w:num w:numId="8">
    <w:abstractNumId w:val="11"/>
  </w:num>
  <w:num w:numId="9">
    <w:abstractNumId w:val="5"/>
  </w:num>
  <w:num w:numId="10">
    <w:abstractNumId w:val="2"/>
  </w:num>
  <w:num w:numId="11">
    <w:abstractNumId w:val="19"/>
  </w:num>
  <w:num w:numId="1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8"/>
  </w:num>
  <w:num w:numId="15">
    <w:abstractNumId w:val="8"/>
  </w:num>
  <w:num w:numId="16">
    <w:abstractNumId w:val="6"/>
  </w:num>
  <w:num w:numId="17">
    <w:abstractNumId w:val="7"/>
  </w:num>
  <w:num w:numId="18">
    <w:abstractNumId w:val="13"/>
  </w:num>
  <w:num w:numId="19">
    <w:abstractNumId w:val="12"/>
  </w:num>
  <w:num w:numId="20">
    <w:abstractNumId w:val="4"/>
  </w:num>
  <w:num w:numId="21">
    <w:abstractNumId w:val="10"/>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AES" w:cryptAlgorithmClass="hash" w:cryptAlgorithmType="typeAny" w:cryptAlgorithmSid="14" w:cryptSpinCount="100000" w:hash="ZDngfoyoCH3/PFnkuj3UcdNMTOnPAO/lCSfwl3nCmPlLIOowxXaFYapMdDa/WQvw0k+WYaJOpY+zKx7mxSYI7Q==" w:salt="P2TD6gzHvQRIHuUkHBL/i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57"/>
    <w:rsid w:val="00002796"/>
    <w:rsid w:val="00090C3C"/>
    <w:rsid w:val="000D2A92"/>
    <w:rsid w:val="001216A8"/>
    <w:rsid w:val="0012233B"/>
    <w:rsid w:val="00162629"/>
    <w:rsid w:val="001E6F89"/>
    <w:rsid w:val="002E1A2F"/>
    <w:rsid w:val="002E552D"/>
    <w:rsid w:val="00342B65"/>
    <w:rsid w:val="003A19B8"/>
    <w:rsid w:val="003D5D86"/>
    <w:rsid w:val="004355A0"/>
    <w:rsid w:val="004C2E7E"/>
    <w:rsid w:val="005B2EE9"/>
    <w:rsid w:val="00624353"/>
    <w:rsid w:val="006271AD"/>
    <w:rsid w:val="00686DB4"/>
    <w:rsid w:val="006D408F"/>
    <w:rsid w:val="006E63B4"/>
    <w:rsid w:val="00704E3C"/>
    <w:rsid w:val="007B1F95"/>
    <w:rsid w:val="007B2357"/>
    <w:rsid w:val="007B4463"/>
    <w:rsid w:val="007F48F9"/>
    <w:rsid w:val="0084187A"/>
    <w:rsid w:val="00842AA3"/>
    <w:rsid w:val="008A01D2"/>
    <w:rsid w:val="008D1079"/>
    <w:rsid w:val="00937C0C"/>
    <w:rsid w:val="00941C3F"/>
    <w:rsid w:val="009B52ED"/>
    <w:rsid w:val="009C1064"/>
    <w:rsid w:val="00A048D3"/>
    <w:rsid w:val="00A624CB"/>
    <w:rsid w:val="00A66377"/>
    <w:rsid w:val="00B80D21"/>
    <w:rsid w:val="00BC0EF5"/>
    <w:rsid w:val="00BF1652"/>
    <w:rsid w:val="00C678B6"/>
    <w:rsid w:val="00CE2F84"/>
    <w:rsid w:val="00D56753"/>
    <w:rsid w:val="00D65329"/>
    <w:rsid w:val="00D831AE"/>
    <w:rsid w:val="00D87159"/>
    <w:rsid w:val="00DF5555"/>
    <w:rsid w:val="00EA34F0"/>
    <w:rsid w:val="00EC36E6"/>
    <w:rsid w:val="00F82BC5"/>
    <w:rsid w:val="00FD6428"/>
    <w:rsid w:val="00FF6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686DB4"/>
    <w:pPr>
      <w:keepNext/>
      <w:numPr>
        <w:numId w:val="1"/>
      </w:numPr>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62629"/>
    <w:pPr>
      <w:keepNext/>
      <w:numPr>
        <w:numId w:val="11"/>
      </w:numPr>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704E3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6DB4"/>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7F48F9"/>
    <w:pPr>
      <w:keepLines/>
      <w:spacing w:after="0"/>
      <w:outlineLvl w:val="9"/>
    </w:pPr>
    <w:rPr>
      <w:b w:val="0"/>
      <w:bCs w:val="0"/>
      <w:color w:val="2E74B5"/>
      <w:kern w:val="0"/>
      <w:lang w:val="en-US"/>
    </w:rPr>
  </w:style>
  <w:style w:type="character" w:customStyle="1" w:styleId="Heading2Char">
    <w:name w:val="Heading 2 Char"/>
    <w:link w:val="Heading2"/>
    <w:uiPriority w:val="9"/>
    <w:rsid w:val="007F48F9"/>
    <w:rPr>
      <w:rFonts w:ascii="Calibri Light" w:eastAsia="Times New Roman" w:hAnsi="Calibri Light" w:cs="Times New Roman"/>
      <w:b/>
      <w:bCs/>
      <w:i/>
      <w:iCs/>
      <w:sz w:val="28"/>
      <w:szCs w:val="28"/>
      <w:lang w:eastAsia="en-US"/>
    </w:rPr>
  </w:style>
  <w:style w:type="paragraph" w:styleId="TOC1">
    <w:name w:val="toc 1"/>
    <w:basedOn w:val="Normal"/>
    <w:next w:val="Normal"/>
    <w:autoRedefine/>
    <w:uiPriority w:val="39"/>
    <w:unhideWhenUsed/>
    <w:rsid w:val="007F48F9"/>
  </w:style>
  <w:style w:type="character" w:styleId="Hyperlink">
    <w:name w:val="Hyperlink"/>
    <w:uiPriority w:val="99"/>
    <w:unhideWhenUsed/>
    <w:rsid w:val="007F48F9"/>
    <w:rPr>
      <w:color w:val="0563C1"/>
      <w:u w:val="single"/>
    </w:rPr>
  </w:style>
  <w:style w:type="paragraph" w:styleId="TOC2">
    <w:name w:val="toc 2"/>
    <w:basedOn w:val="Normal"/>
    <w:next w:val="Normal"/>
    <w:autoRedefine/>
    <w:uiPriority w:val="39"/>
    <w:unhideWhenUsed/>
    <w:rsid w:val="007F48F9"/>
    <w:pPr>
      <w:ind w:left="220"/>
    </w:pPr>
  </w:style>
  <w:style w:type="character" w:styleId="FootnoteReference">
    <w:name w:val="footnote reference"/>
    <w:aliases w:val="(NECG) Footnote Reference"/>
    <w:unhideWhenUsed/>
    <w:rsid w:val="00162629"/>
    <w:rPr>
      <w:vertAlign w:val="superscript"/>
    </w:rPr>
  </w:style>
  <w:style w:type="paragraph" w:styleId="FootnoteText">
    <w:name w:val="footnote text"/>
    <w:aliases w:val="(NECG) Footnote Text,ALTS FOOTNOTE"/>
    <w:basedOn w:val="Normal"/>
    <w:link w:val="FootnoteTextChar"/>
    <w:qFormat/>
    <w:rsid w:val="00162629"/>
    <w:pPr>
      <w:spacing w:after="0" w:line="260" w:lineRule="atLeast"/>
    </w:pPr>
    <w:rPr>
      <w:rFonts w:ascii="Univers 45 Light" w:eastAsia="Batang" w:hAnsi="Univers 45 Light"/>
      <w:sz w:val="18"/>
      <w:szCs w:val="20"/>
      <w:lang w:eastAsia="ko-KR"/>
    </w:rPr>
  </w:style>
  <w:style w:type="character" w:customStyle="1" w:styleId="FootnoteTextChar">
    <w:name w:val="Footnote Text Char"/>
    <w:aliases w:val="(NECG) Footnote Text Char,ALTS FOOTNOTE Char"/>
    <w:basedOn w:val="DefaultParagraphFont"/>
    <w:link w:val="FootnoteText"/>
    <w:rsid w:val="00162629"/>
    <w:rPr>
      <w:rFonts w:ascii="Univers 45 Light" w:eastAsia="Batang" w:hAnsi="Univers 45 Light"/>
      <w:sz w:val="18"/>
      <w:lang w:eastAsia="ko-KR"/>
    </w:rPr>
  </w:style>
  <w:style w:type="paragraph" w:styleId="BodyText">
    <w:name w:val="Body Text"/>
    <w:aliases w:val="b,block,bt,Body text,body text,body,Body Text 1,NoticeText-List,t1,taten_body,Cargo,Letter Body,Memo Body,Body,by,b-heading 1/heading 2,bd,heading1body-heading2body,BD,b14,body1,b-heading,Fax Body,Bod,bo,full cell text,Report Body,bullet,B,bl."/>
    <w:basedOn w:val="Normal"/>
    <w:link w:val="BodyTextChar"/>
    <w:uiPriority w:val="1"/>
    <w:qFormat/>
    <w:rsid w:val="004C2E7E"/>
    <w:pPr>
      <w:spacing w:before="120" w:after="120" w:line="240" w:lineRule="auto"/>
    </w:pPr>
    <w:rPr>
      <w:rFonts w:ascii="Univers 45 Light" w:eastAsia="Batang" w:hAnsi="Univers 45 Light" w:cs="Arial"/>
      <w:sz w:val="20"/>
      <w:szCs w:val="20"/>
      <w:lang w:eastAsia="ko-KR"/>
    </w:rPr>
  </w:style>
  <w:style w:type="character" w:customStyle="1" w:styleId="BodyTextChar">
    <w:name w:val="Body Text Char"/>
    <w:aliases w:val="b Char,block Char,bt Char,Body text Char,body text Char,body Char,Body Text 1 Char,NoticeText-List Char,t1 Char,taten_body Char,Cargo Char,Letter Body Char,Memo Body Char,Body Char,by Char,b-heading 1/heading 2 Char,bd Char,BD Char,B Char"/>
    <w:basedOn w:val="DefaultParagraphFont"/>
    <w:link w:val="BodyText"/>
    <w:uiPriority w:val="1"/>
    <w:rsid w:val="004C2E7E"/>
    <w:rPr>
      <w:rFonts w:ascii="Univers 45 Light" w:eastAsia="Batang" w:hAnsi="Univers 45 Light" w:cs="Arial"/>
      <w:lang w:eastAsia="ko-KR"/>
    </w:rPr>
  </w:style>
  <w:style w:type="paragraph" w:styleId="EndnoteText">
    <w:name w:val="endnote text"/>
    <w:basedOn w:val="Normal"/>
    <w:link w:val="EndnoteTextChar"/>
    <w:uiPriority w:val="99"/>
    <w:semiHidden/>
    <w:unhideWhenUsed/>
    <w:rsid w:val="00704E3C"/>
    <w:rPr>
      <w:sz w:val="20"/>
      <w:szCs w:val="20"/>
    </w:rPr>
  </w:style>
  <w:style w:type="character" w:customStyle="1" w:styleId="EndnoteTextChar">
    <w:name w:val="Endnote Text Char"/>
    <w:basedOn w:val="DefaultParagraphFont"/>
    <w:link w:val="EndnoteText"/>
    <w:uiPriority w:val="99"/>
    <w:semiHidden/>
    <w:rsid w:val="00704E3C"/>
    <w:rPr>
      <w:lang w:eastAsia="en-US"/>
    </w:rPr>
  </w:style>
  <w:style w:type="character" w:styleId="EndnoteReference">
    <w:name w:val="endnote reference"/>
    <w:basedOn w:val="DefaultParagraphFont"/>
    <w:uiPriority w:val="99"/>
    <w:semiHidden/>
    <w:unhideWhenUsed/>
    <w:rsid w:val="00704E3C"/>
    <w:rPr>
      <w:vertAlign w:val="superscript"/>
    </w:rPr>
  </w:style>
  <w:style w:type="character" w:customStyle="1" w:styleId="Heading3Char">
    <w:name w:val="Heading 3 Char"/>
    <w:basedOn w:val="DefaultParagraphFont"/>
    <w:link w:val="Heading3"/>
    <w:uiPriority w:val="9"/>
    <w:rsid w:val="00704E3C"/>
    <w:rPr>
      <w:rFonts w:asciiTheme="majorHAnsi" w:eastAsiaTheme="majorEastAsia" w:hAnsiTheme="majorHAnsi" w:cstheme="majorBidi"/>
      <w:b/>
      <w:bCs/>
      <w:sz w:val="26"/>
      <w:szCs w:val="26"/>
      <w:lang w:eastAsia="en-US"/>
    </w:rPr>
  </w:style>
  <w:style w:type="paragraph" w:styleId="TOC3">
    <w:name w:val="toc 3"/>
    <w:basedOn w:val="Normal"/>
    <w:next w:val="Normal"/>
    <w:autoRedefine/>
    <w:uiPriority w:val="39"/>
    <w:unhideWhenUsed/>
    <w:rsid w:val="00842AA3"/>
    <w:pPr>
      <w:ind w:left="440"/>
    </w:pPr>
  </w:style>
  <w:style w:type="paragraph" w:styleId="ListParagraph">
    <w:name w:val="List Paragraph"/>
    <w:basedOn w:val="Normal"/>
    <w:uiPriority w:val="34"/>
    <w:qFormat/>
    <w:rsid w:val="00F82BC5"/>
    <w:pPr>
      <w:ind w:left="720"/>
      <w:contextualSpacing/>
    </w:pPr>
  </w:style>
  <w:style w:type="paragraph" w:styleId="BalloonText">
    <w:name w:val="Balloon Text"/>
    <w:basedOn w:val="Normal"/>
    <w:link w:val="BalloonTextChar"/>
    <w:uiPriority w:val="99"/>
    <w:semiHidden/>
    <w:unhideWhenUsed/>
    <w:rsid w:val="00342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B65"/>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686DB4"/>
    <w:pPr>
      <w:keepNext/>
      <w:numPr>
        <w:numId w:val="1"/>
      </w:numPr>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62629"/>
    <w:pPr>
      <w:keepNext/>
      <w:numPr>
        <w:numId w:val="11"/>
      </w:numPr>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704E3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6DB4"/>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7F48F9"/>
    <w:pPr>
      <w:keepLines/>
      <w:spacing w:after="0"/>
      <w:outlineLvl w:val="9"/>
    </w:pPr>
    <w:rPr>
      <w:b w:val="0"/>
      <w:bCs w:val="0"/>
      <w:color w:val="2E74B5"/>
      <w:kern w:val="0"/>
      <w:lang w:val="en-US"/>
    </w:rPr>
  </w:style>
  <w:style w:type="character" w:customStyle="1" w:styleId="Heading2Char">
    <w:name w:val="Heading 2 Char"/>
    <w:link w:val="Heading2"/>
    <w:uiPriority w:val="9"/>
    <w:rsid w:val="007F48F9"/>
    <w:rPr>
      <w:rFonts w:ascii="Calibri Light" w:eastAsia="Times New Roman" w:hAnsi="Calibri Light" w:cs="Times New Roman"/>
      <w:b/>
      <w:bCs/>
      <w:i/>
      <w:iCs/>
      <w:sz w:val="28"/>
      <w:szCs w:val="28"/>
      <w:lang w:eastAsia="en-US"/>
    </w:rPr>
  </w:style>
  <w:style w:type="paragraph" w:styleId="TOC1">
    <w:name w:val="toc 1"/>
    <w:basedOn w:val="Normal"/>
    <w:next w:val="Normal"/>
    <w:autoRedefine/>
    <w:uiPriority w:val="39"/>
    <w:unhideWhenUsed/>
    <w:rsid w:val="007F48F9"/>
  </w:style>
  <w:style w:type="character" w:styleId="Hyperlink">
    <w:name w:val="Hyperlink"/>
    <w:uiPriority w:val="99"/>
    <w:unhideWhenUsed/>
    <w:rsid w:val="007F48F9"/>
    <w:rPr>
      <w:color w:val="0563C1"/>
      <w:u w:val="single"/>
    </w:rPr>
  </w:style>
  <w:style w:type="paragraph" w:styleId="TOC2">
    <w:name w:val="toc 2"/>
    <w:basedOn w:val="Normal"/>
    <w:next w:val="Normal"/>
    <w:autoRedefine/>
    <w:uiPriority w:val="39"/>
    <w:unhideWhenUsed/>
    <w:rsid w:val="007F48F9"/>
    <w:pPr>
      <w:ind w:left="220"/>
    </w:pPr>
  </w:style>
  <w:style w:type="character" w:styleId="FootnoteReference">
    <w:name w:val="footnote reference"/>
    <w:aliases w:val="(NECG) Footnote Reference"/>
    <w:unhideWhenUsed/>
    <w:rsid w:val="00162629"/>
    <w:rPr>
      <w:vertAlign w:val="superscript"/>
    </w:rPr>
  </w:style>
  <w:style w:type="paragraph" w:styleId="FootnoteText">
    <w:name w:val="footnote text"/>
    <w:aliases w:val="(NECG) Footnote Text,ALTS FOOTNOTE"/>
    <w:basedOn w:val="Normal"/>
    <w:link w:val="FootnoteTextChar"/>
    <w:qFormat/>
    <w:rsid w:val="00162629"/>
    <w:pPr>
      <w:spacing w:after="0" w:line="260" w:lineRule="atLeast"/>
    </w:pPr>
    <w:rPr>
      <w:rFonts w:ascii="Univers 45 Light" w:eastAsia="Batang" w:hAnsi="Univers 45 Light"/>
      <w:sz w:val="18"/>
      <w:szCs w:val="20"/>
      <w:lang w:eastAsia="ko-KR"/>
    </w:rPr>
  </w:style>
  <w:style w:type="character" w:customStyle="1" w:styleId="FootnoteTextChar">
    <w:name w:val="Footnote Text Char"/>
    <w:aliases w:val="(NECG) Footnote Text Char,ALTS FOOTNOTE Char"/>
    <w:basedOn w:val="DefaultParagraphFont"/>
    <w:link w:val="FootnoteText"/>
    <w:rsid w:val="00162629"/>
    <w:rPr>
      <w:rFonts w:ascii="Univers 45 Light" w:eastAsia="Batang" w:hAnsi="Univers 45 Light"/>
      <w:sz w:val="18"/>
      <w:lang w:eastAsia="ko-KR"/>
    </w:rPr>
  </w:style>
  <w:style w:type="paragraph" w:styleId="BodyText">
    <w:name w:val="Body Text"/>
    <w:aliases w:val="b,block,bt,Body text,body text,body,Body Text 1,NoticeText-List,t1,taten_body,Cargo,Letter Body,Memo Body,Body,by,b-heading 1/heading 2,bd,heading1body-heading2body,BD,b14,body1,b-heading,Fax Body,Bod,bo,full cell text,Report Body,bullet,B,bl."/>
    <w:basedOn w:val="Normal"/>
    <w:link w:val="BodyTextChar"/>
    <w:uiPriority w:val="1"/>
    <w:qFormat/>
    <w:rsid w:val="004C2E7E"/>
    <w:pPr>
      <w:spacing w:before="120" w:after="120" w:line="240" w:lineRule="auto"/>
    </w:pPr>
    <w:rPr>
      <w:rFonts w:ascii="Univers 45 Light" w:eastAsia="Batang" w:hAnsi="Univers 45 Light" w:cs="Arial"/>
      <w:sz w:val="20"/>
      <w:szCs w:val="20"/>
      <w:lang w:eastAsia="ko-KR"/>
    </w:rPr>
  </w:style>
  <w:style w:type="character" w:customStyle="1" w:styleId="BodyTextChar">
    <w:name w:val="Body Text Char"/>
    <w:aliases w:val="b Char,block Char,bt Char,Body text Char,body text Char,body Char,Body Text 1 Char,NoticeText-List Char,t1 Char,taten_body Char,Cargo Char,Letter Body Char,Memo Body Char,Body Char,by Char,b-heading 1/heading 2 Char,bd Char,BD Char,B Char"/>
    <w:basedOn w:val="DefaultParagraphFont"/>
    <w:link w:val="BodyText"/>
    <w:uiPriority w:val="1"/>
    <w:rsid w:val="004C2E7E"/>
    <w:rPr>
      <w:rFonts w:ascii="Univers 45 Light" w:eastAsia="Batang" w:hAnsi="Univers 45 Light" w:cs="Arial"/>
      <w:lang w:eastAsia="ko-KR"/>
    </w:rPr>
  </w:style>
  <w:style w:type="paragraph" w:styleId="EndnoteText">
    <w:name w:val="endnote text"/>
    <w:basedOn w:val="Normal"/>
    <w:link w:val="EndnoteTextChar"/>
    <w:uiPriority w:val="99"/>
    <w:semiHidden/>
    <w:unhideWhenUsed/>
    <w:rsid w:val="00704E3C"/>
    <w:rPr>
      <w:sz w:val="20"/>
      <w:szCs w:val="20"/>
    </w:rPr>
  </w:style>
  <w:style w:type="character" w:customStyle="1" w:styleId="EndnoteTextChar">
    <w:name w:val="Endnote Text Char"/>
    <w:basedOn w:val="DefaultParagraphFont"/>
    <w:link w:val="EndnoteText"/>
    <w:uiPriority w:val="99"/>
    <w:semiHidden/>
    <w:rsid w:val="00704E3C"/>
    <w:rPr>
      <w:lang w:eastAsia="en-US"/>
    </w:rPr>
  </w:style>
  <w:style w:type="character" w:styleId="EndnoteReference">
    <w:name w:val="endnote reference"/>
    <w:basedOn w:val="DefaultParagraphFont"/>
    <w:uiPriority w:val="99"/>
    <w:semiHidden/>
    <w:unhideWhenUsed/>
    <w:rsid w:val="00704E3C"/>
    <w:rPr>
      <w:vertAlign w:val="superscript"/>
    </w:rPr>
  </w:style>
  <w:style w:type="character" w:customStyle="1" w:styleId="Heading3Char">
    <w:name w:val="Heading 3 Char"/>
    <w:basedOn w:val="DefaultParagraphFont"/>
    <w:link w:val="Heading3"/>
    <w:uiPriority w:val="9"/>
    <w:rsid w:val="00704E3C"/>
    <w:rPr>
      <w:rFonts w:asciiTheme="majorHAnsi" w:eastAsiaTheme="majorEastAsia" w:hAnsiTheme="majorHAnsi" w:cstheme="majorBidi"/>
      <w:b/>
      <w:bCs/>
      <w:sz w:val="26"/>
      <w:szCs w:val="26"/>
      <w:lang w:eastAsia="en-US"/>
    </w:rPr>
  </w:style>
  <w:style w:type="paragraph" w:styleId="TOC3">
    <w:name w:val="toc 3"/>
    <w:basedOn w:val="Normal"/>
    <w:next w:val="Normal"/>
    <w:autoRedefine/>
    <w:uiPriority w:val="39"/>
    <w:unhideWhenUsed/>
    <w:rsid w:val="00842AA3"/>
    <w:pPr>
      <w:ind w:left="440"/>
    </w:pPr>
  </w:style>
  <w:style w:type="paragraph" w:styleId="ListParagraph">
    <w:name w:val="List Paragraph"/>
    <w:basedOn w:val="Normal"/>
    <w:uiPriority w:val="34"/>
    <w:qFormat/>
    <w:rsid w:val="00F82BC5"/>
    <w:pPr>
      <w:ind w:left="720"/>
      <w:contextualSpacing/>
    </w:pPr>
  </w:style>
  <w:style w:type="paragraph" w:styleId="BalloonText">
    <w:name w:val="Balloon Text"/>
    <w:basedOn w:val="Normal"/>
    <w:link w:val="BalloonTextChar"/>
    <w:uiPriority w:val="99"/>
    <w:semiHidden/>
    <w:unhideWhenUsed/>
    <w:rsid w:val="00342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B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rts.gov.au/creative" TargetMode="External"/><Relationship Id="rId7" Type="http://schemas.openxmlformats.org/officeDocument/2006/relationships/hyperlink" Target="http://www.icv.com.au/socialimpact/" TargetMode="External"/><Relationship Id="rId2" Type="http://schemas.openxmlformats.org/officeDocument/2006/relationships/hyperlink" Target="http://www.infrastructure.govt.nz/plan/2015/nip-aug15.pdf" TargetMode="External"/><Relationship Id="rId1" Type="http://schemas.openxmlformats.org/officeDocument/2006/relationships/hyperlink" Target="http://www.industry.nsw.gov.au/invest-in-nsw/industry-opportunities/information-and-communication-technology/industry-action-plan-digital-economy" TargetMode="External"/><Relationship Id="rId6" Type="http://schemas.openxmlformats.org/officeDocument/2006/relationships/hyperlink" Target="http://aihw.gov.au/australias-welfare-publications/" TargetMode="External"/><Relationship Id="rId5" Type="http://schemas.openxmlformats.org/officeDocument/2006/relationships/hyperlink" Target="http://www.pc.gov.au/inquiries/completed/not-for-profit/report" TargetMode="External"/><Relationship Id="rId4" Type="http://schemas.openxmlformats.org/officeDocument/2006/relationships/hyperlink" Target="https://www.ato.gov.au/Non-profit/Your-organisation/Do-you-have-to-pay-income-tax-/Types-of-income-tax-exempt-organisations/Community-service-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15CB7-01E4-439C-8215-84958178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6284</Words>
  <Characters>35824</Characters>
  <Application>Microsoft Office Word</Application>
  <DocSecurity>12</DocSecurity>
  <Lines>298</Lines>
  <Paragraphs>84</Paragraphs>
  <ScaleCrop>false</ScaleCrop>
  <HeadingPairs>
    <vt:vector size="2" baseType="variant">
      <vt:variant>
        <vt:lpstr>Title</vt:lpstr>
      </vt:variant>
      <vt:variant>
        <vt:i4>1</vt:i4>
      </vt:variant>
    </vt:vector>
  </HeadingPairs>
  <TitlesOfParts>
    <vt:vector size="1" baseType="lpstr">
      <vt:lpstr>KPMG Scoping Paper Community Services Industry Plan ACT Feb 2016 FINAL</vt:lpstr>
    </vt:vector>
  </TitlesOfParts>
  <Company>KPMG</Company>
  <LinksUpToDate>false</LinksUpToDate>
  <CharactersWithSpaces>42024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KPMG Scoping Paper Community Services Industry Plan ACT Feb 2016 FINAL</dc:title>
  <dc:subject>ACT Government Community Services Industry Plan</dc:subject>
  <dc:creator>KPMG</dc:creator>
  <cp:keywords>community services; ACT Government; KPMG</cp:keywords>
  <cp:lastModifiedBy>Suzanne Richardson</cp:lastModifiedBy>
  <cp:revision>2</cp:revision>
  <cp:lastPrinted>2016-02-02T03:27:00Z</cp:lastPrinted>
  <dcterms:created xsi:type="dcterms:W3CDTF">2016-02-03T05:07:00Z</dcterms:created>
  <dcterms:modified xsi:type="dcterms:W3CDTF">2016-02-03T05:07:00Z</dcterms:modified>
</cp:coreProperties>
</file>