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DC" w:rsidRPr="00980D8E" w:rsidRDefault="002A55B3" w:rsidP="00B0111E">
      <w:pPr>
        <w:pStyle w:val="BodyText"/>
        <w:rPr>
          <w:rFonts w:asciiTheme="majorHAnsi" w:hAnsiTheme="majorHAnsi"/>
          <w:b/>
          <w:color w:val="8E258D"/>
          <w:sz w:val="40"/>
          <w:szCs w:val="40"/>
        </w:rPr>
      </w:pPr>
      <w:bookmarkStart w:id="0" w:name="_GoBack"/>
      <w:bookmarkEnd w:id="0"/>
      <w:r w:rsidRPr="00980D8E">
        <w:rPr>
          <w:rFonts w:asciiTheme="majorHAnsi" w:hAnsiTheme="majorHAnsi"/>
          <w:b/>
          <w:color w:val="8E258D"/>
          <w:sz w:val="40"/>
          <w:szCs w:val="40"/>
        </w:rPr>
        <w:t xml:space="preserve">Attachment A: </w:t>
      </w:r>
      <w:r w:rsidR="00D26875" w:rsidRPr="00980D8E">
        <w:rPr>
          <w:rFonts w:asciiTheme="majorHAnsi" w:hAnsiTheme="majorHAnsi"/>
          <w:b/>
          <w:color w:val="8E258D"/>
          <w:sz w:val="40"/>
          <w:szCs w:val="40"/>
        </w:rPr>
        <w:t xml:space="preserve">ACT </w:t>
      </w:r>
      <w:r w:rsidR="00364697" w:rsidRPr="00980D8E">
        <w:rPr>
          <w:rFonts w:asciiTheme="majorHAnsi" w:hAnsiTheme="majorHAnsi"/>
          <w:b/>
          <w:color w:val="8E258D"/>
          <w:sz w:val="40"/>
          <w:szCs w:val="40"/>
        </w:rPr>
        <w:t xml:space="preserve">Community Services Industry </w:t>
      </w:r>
      <w:r w:rsidRPr="00980D8E">
        <w:rPr>
          <w:rFonts w:asciiTheme="majorHAnsi" w:hAnsiTheme="majorHAnsi"/>
          <w:b/>
          <w:color w:val="8E258D"/>
          <w:sz w:val="40"/>
          <w:szCs w:val="40"/>
        </w:rPr>
        <w:t>Workforce Plan</w:t>
      </w:r>
      <w:r w:rsidR="00854496" w:rsidRPr="00980D8E">
        <w:rPr>
          <w:rFonts w:asciiTheme="majorHAnsi" w:hAnsiTheme="majorHAnsi"/>
          <w:b/>
          <w:color w:val="8E258D"/>
          <w:sz w:val="40"/>
          <w:szCs w:val="40"/>
        </w:rPr>
        <w:t xml:space="preserve"> 2017-2020</w:t>
      </w:r>
    </w:p>
    <w:p w:rsidR="00364697" w:rsidRPr="00980D8E" w:rsidRDefault="00364697" w:rsidP="00B0111E">
      <w:pPr>
        <w:pStyle w:val="BodyText"/>
        <w:rPr>
          <w:rFonts w:asciiTheme="majorHAnsi" w:hAnsiTheme="majorHAnsi"/>
          <w:b/>
          <w:color w:val="8E258D"/>
          <w:sz w:val="28"/>
          <w:szCs w:val="28"/>
        </w:rPr>
      </w:pPr>
      <w:r w:rsidRPr="00980D8E">
        <w:rPr>
          <w:rFonts w:asciiTheme="majorHAnsi" w:hAnsiTheme="majorHAnsi"/>
          <w:b/>
          <w:color w:val="8E258D"/>
          <w:sz w:val="28"/>
          <w:szCs w:val="28"/>
        </w:rPr>
        <w:t>Purpose</w:t>
      </w:r>
    </w:p>
    <w:p w:rsidR="007840DB" w:rsidRPr="00A90913" w:rsidRDefault="00B27008" w:rsidP="00A90913">
      <w:pPr>
        <w:pStyle w:val="BodyText"/>
        <w:rPr>
          <w:i/>
          <w:color w:val="8E258D"/>
          <w:sz w:val="28"/>
          <w:szCs w:val="28"/>
        </w:rPr>
      </w:pPr>
      <w:r>
        <w:rPr>
          <w:i/>
          <w:color w:val="8E258D"/>
          <w:sz w:val="28"/>
          <w:szCs w:val="28"/>
        </w:rPr>
        <w:t xml:space="preserve">The </w:t>
      </w:r>
      <w:r w:rsidR="00D26875">
        <w:rPr>
          <w:i/>
          <w:color w:val="8E258D"/>
          <w:sz w:val="28"/>
          <w:szCs w:val="28"/>
        </w:rPr>
        <w:t xml:space="preserve">ACT </w:t>
      </w:r>
      <w:r>
        <w:rPr>
          <w:i/>
          <w:color w:val="8E258D"/>
          <w:sz w:val="28"/>
          <w:szCs w:val="28"/>
        </w:rPr>
        <w:t>Community Services Industry Strategy 2016-2026</w:t>
      </w:r>
      <w:r w:rsidR="00235F99">
        <w:rPr>
          <w:i/>
          <w:color w:val="8E258D"/>
          <w:sz w:val="28"/>
          <w:szCs w:val="28"/>
        </w:rPr>
        <w:t xml:space="preserve"> (Industry Strategy)</w:t>
      </w:r>
      <w:r>
        <w:rPr>
          <w:i/>
          <w:color w:val="8E258D"/>
          <w:sz w:val="28"/>
          <w:szCs w:val="28"/>
        </w:rPr>
        <w:t xml:space="preserve"> identifies t</w:t>
      </w:r>
      <w:r w:rsidR="007840DB" w:rsidRPr="00A90913">
        <w:rPr>
          <w:i/>
          <w:color w:val="8E258D"/>
          <w:sz w:val="28"/>
          <w:szCs w:val="28"/>
        </w:rPr>
        <w:t xml:space="preserve">he need for a skilled workforce to meet the growing demand for services and provide more flexible and responsive client centred care.  </w:t>
      </w:r>
      <w:r w:rsidR="00D26875">
        <w:rPr>
          <w:i/>
          <w:color w:val="8E258D"/>
          <w:sz w:val="28"/>
          <w:szCs w:val="28"/>
        </w:rPr>
        <w:t>It promotes</w:t>
      </w:r>
      <w:r w:rsidR="007840DB" w:rsidRPr="00A90913">
        <w:rPr>
          <w:i/>
          <w:color w:val="8E258D"/>
          <w:sz w:val="28"/>
          <w:szCs w:val="28"/>
        </w:rPr>
        <w:t xml:space="preserve"> strategies which can support shared training programs and cross skilling of workers inc</w:t>
      </w:r>
      <w:r w:rsidR="00474C1D" w:rsidRPr="00A90913">
        <w:rPr>
          <w:i/>
          <w:color w:val="8E258D"/>
          <w:sz w:val="28"/>
          <w:szCs w:val="28"/>
        </w:rPr>
        <w:t xml:space="preserve">luding upskilling of volunteers. </w:t>
      </w:r>
      <w:r w:rsidR="007840DB" w:rsidRPr="00A90913">
        <w:rPr>
          <w:i/>
          <w:color w:val="8E258D"/>
          <w:sz w:val="28"/>
          <w:szCs w:val="28"/>
        </w:rPr>
        <w:t xml:space="preserve">Strategies aimed at attracting and retaining appropriately qualified staff </w:t>
      </w:r>
      <w:r>
        <w:rPr>
          <w:i/>
          <w:color w:val="8E258D"/>
          <w:sz w:val="28"/>
          <w:szCs w:val="28"/>
        </w:rPr>
        <w:t xml:space="preserve">are </w:t>
      </w:r>
      <w:r w:rsidR="00D26875">
        <w:rPr>
          <w:i/>
          <w:color w:val="8E258D"/>
          <w:sz w:val="28"/>
          <w:szCs w:val="28"/>
        </w:rPr>
        <w:t xml:space="preserve">also </w:t>
      </w:r>
      <w:r>
        <w:rPr>
          <w:i/>
          <w:color w:val="8E258D"/>
          <w:sz w:val="28"/>
          <w:szCs w:val="28"/>
        </w:rPr>
        <w:t>to</w:t>
      </w:r>
      <w:r w:rsidR="007840DB" w:rsidRPr="00A90913">
        <w:rPr>
          <w:i/>
          <w:color w:val="8E258D"/>
          <w:sz w:val="28"/>
          <w:szCs w:val="28"/>
        </w:rPr>
        <w:t xml:space="preserve"> be considered which could include joint marketing campaigns and other resource sharing initiatives.  </w:t>
      </w:r>
    </w:p>
    <w:p w:rsidR="00364697" w:rsidRPr="00D310FB" w:rsidRDefault="00364697" w:rsidP="007840DB">
      <w:r w:rsidRPr="00D310FB">
        <w:t xml:space="preserve">Two key outcomes </w:t>
      </w:r>
      <w:r w:rsidR="00D26875">
        <w:t xml:space="preserve">to be achieved through </w:t>
      </w:r>
      <w:r w:rsidRPr="00D310FB">
        <w:t xml:space="preserve">the Industry Strategy relate to the development of a workforce plan: </w:t>
      </w:r>
    </w:p>
    <w:p w:rsidR="00364697" w:rsidRPr="00D310FB" w:rsidRDefault="00FE2730" w:rsidP="007840DB">
      <w:pPr>
        <w:pStyle w:val="ListParagraph"/>
        <w:numPr>
          <w:ilvl w:val="0"/>
          <w:numId w:val="3"/>
        </w:numPr>
        <w:rPr>
          <w:i/>
        </w:rPr>
      </w:pPr>
      <w:r>
        <w:rPr>
          <w:i/>
        </w:rPr>
        <w:t>Community Services in the ACT have</w:t>
      </w:r>
      <w:r w:rsidR="00364697" w:rsidRPr="00D310FB">
        <w:rPr>
          <w:i/>
        </w:rPr>
        <w:t xml:space="preserve"> a Workforce Plan to support the recruitment and retention of individuals with the skills and abilities to meet current and future needs.</w:t>
      </w:r>
    </w:p>
    <w:p w:rsidR="00364697" w:rsidRPr="00D310FB" w:rsidRDefault="00FE2730" w:rsidP="007840DB">
      <w:pPr>
        <w:pStyle w:val="ListParagraph"/>
        <w:numPr>
          <w:ilvl w:val="0"/>
          <w:numId w:val="3"/>
        </w:numPr>
        <w:rPr>
          <w:i/>
        </w:rPr>
      </w:pPr>
      <w:r>
        <w:rPr>
          <w:i/>
        </w:rPr>
        <w:t xml:space="preserve">Community Services in the ACT </w:t>
      </w:r>
      <w:r w:rsidR="00364697" w:rsidRPr="00D310FB">
        <w:rPr>
          <w:i/>
        </w:rPr>
        <w:t xml:space="preserve">employ professional and highly skilled staff and volunteers who are committed to providing quality services.  Retention rates are high and staff are supported with recognised training programs and flexible work environments.   </w:t>
      </w:r>
    </w:p>
    <w:p w:rsidR="00364697" w:rsidRPr="00D310FB" w:rsidRDefault="00364697" w:rsidP="00364697">
      <w:r w:rsidRPr="00D310FB">
        <w:t xml:space="preserve">This </w:t>
      </w:r>
      <w:r w:rsidR="00D26875">
        <w:t xml:space="preserve">Community Services Industry </w:t>
      </w:r>
      <w:r w:rsidR="007840DB" w:rsidRPr="00D310FB">
        <w:t>Workforce Plan f</w:t>
      </w:r>
      <w:r w:rsidRPr="00D310FB">
        <w:t xml:space="preserve">ocuses on </w:t>
      </w:r>
      <w:r w:rsidR="007840DB" w:rsidRPr="00D310FB">
        <w:t>goals and actions to</w:t>
      </w:r>
      <w:r w:rsidR="00D310FB" w:rsidRPr="00D310FB">
        <w:t xml:space="preserve"> grow,</w:t>
      </w:r>
      <w:r w:rsidRPr="00D310FB">
        <w:t xml:space="preserve"> strengthen and sustain the workforce</w:t>
      </w:r>
      <w:r w:rsidR="007840DB" w:rsidRPr="00D310FB">
        <w:t xml:space="preserve"> </w:t>
      </w:r>
      <w:r w:rsidR="00474C1D">
        <w:t>to</w:t>
      </w:r>
      <w:r w:rsidR="007840DB" w:rsidRPr="00D310FB">
        <w:t xml:space="preserve"> pursue the vision outlined in the </w:t>
      </w:r>
      <w:r w:rsidR="00EE1093" w:rsidRPr="00D310FB">
        <w:t>Industry Strategy:</w:t>
      </w:r>
    </w:p>
    <w:p w:rsidR="00B0111E" w:rsidRPr="00D310FB" w:rsidRDefault="00B0111E" w:rsidP="00EE1093">
      <w:pPr>
        <w:pStyle w:val="BodyText"/>
        <w:ind w:left="340"/>
        <w:rPr>
          <w:i/>
          <w:sz w:val="22"/>
          <w:szCs w:val="22"/>
        </w:rPr>
      </w:pPr>
      <w:r w:rsidRPr="00D310FB">
        <w:rPr>
          <w:i/>
          <w:sz w:val="22"/>
          <w:szCs w:val="22"/>
        </w:rPr>
        <w:t>An inclusive, equitable and sustainable</w:t>
      </w:r>
      <w:r w:rsidR="00235F99">
        <w:rPr>
          <w:i/>
          <w:sz w:val="22"/>
          <w:szCs w:val="22"/>
        </w:rPr>
        <w:t xml:space="preserve"> </w:t>
      </w:r>
      <w:r w:rsidRPr="00D310FB">
        <w:rPr>
          <w:i/>
          <w:sz w:val="22"/>
          <w:szCs w:val="22"/>
        </w:rPr>
        <w:t>Community Services Industry will:</w:t>
      </w:r>
    </w:p>
    <w:p w:rsidR="00B0111E" w:rsidRPr="00D310FB" w:rsidRDefault="00B0111E" w:rsidP="00EE1093">
      <w:pPr>
        <w:pStyle w:val="BodyText"/>
        <w:numPr>
          <w:ilvl w:val="0"/>
          <w:numId w:val="1"/>
        </w:numPr>
        <w:tabs>
          <w:tab w:val="clear" w:pos="340"/>
          <w:tab w:val="num" w:pos="680"/>
        </w:tabs>
        <w:spacing w:before="130" w:after="130"/>
        <w:ind w:left="680"/>
        <w:jc w:val="both"/>
        <w:rPr>
          <w:i/>
          <w:sz w:val="22"/>
          <w:szCs w:val="22"/>
        </w:rPr>
      </w:pPr>
      <w:r w:rsidRPr="00D310FB">
        <w:rPr>
          <w:i/>
          <w:sz w:val="22"/>
          <w:szCs w:val="22"/>
        </w:rPr>
        <w:t xml:space="preserve">deliver quality services to create more connected communities which will support vulnerable individuals and families  to be empowered and to fully participate in their communities and to </w:t>
      </w:r>
      <w:r w:rsidR="00854496">
        <w:rPr>
          <w:i/>
          <w:sz w:val="22"/>
          <w:szCs w:val="22"/>
        </w:rPr>
        <w:t>take charge of their own future</w:t>
      </w:r>
    </w:p>
    <w:p w:rsidR="00B0111E" w:rsidRPr="00D310FB" w:rsidRDefault="00B0111E" w:rsidP="00EE1093">
      <w:pPr>
        <w:pStyle w:val="BodyText"/>
        <w:numPr>
          <w:ilvl w:val="0"/>
          <w:numId w:val="1"/>
        </w:numPr>
        <w:spacing w:before="130" w:after="130"/>
        <w:ind w:left="680"/>
        <w:jc w:val="both"/>
        <w:rPr>
          <w:i/>
          <w:sz w:val="22"/>
          <w:szCs w:val="22"/>
        </w:rPr>
      </w:pPr>
      <w:r w:rsidRPr="00D310FB">
        <w:rPr>
          <w:i/>
          <w:sz w:val="22"/>
          <w:szCs w:val="22"/>
        </w:rPr>
        <w:t>undertake community development to create social value, build social capital and improve living co</w:t>
      </w:r>
      <w:r w:rsidR="00854496">
        <w:rPr>
          <w:i/>
          <w:sz w:val="22"/>
          <w:szCs w:val="22"/>
        </w:rPr>
        <w:t>nditions</w:t>
      </w:r>
    </w:p>
    <w:p w:rsidR="00B0111E" w:rsidRPr="00D310FB" w:rsidRDefault="00B0111E" w:rsidP="00EE1093">
      <w:pPr>
        <w:pStyle w:val="BodyText"/>
        <w:numPr>
          <w:ilvl w:val="0"/>
          <w:numId w:val="1"/>
        </w:numPr>
        <w:spacing w:before="130" w:after="130"/>
        <w:ind w:left="680"/>
        <w:jc w:val="both"/>
        <w:rPr>
          <w:i/>
          <w:sz w:val="22"/>
          <w:szCs w:val="22"/>
        </w:rPr>
      </w:pPr>
      <w:r w:rsidRPr="00D310FB">
        <w:rPr>
          <w:i/>
          <w:sz w:val="22"/>
          <w:szCs w:val="22"/>
        </w:rPr>
        <w:t xml:space="preserve">put the needs of our clients and communities at </w:t>
      </w:r>
      <w:r w:rsidR="00854496">
        <w:rPr>
          <w:i/>
          <w:sz w:val="22"/>
          <w:szCs w:val="22"/>
        </w:rPr>
        <w:t>the centre of everything we do</w:t>
      </w:r>
    </w:p>
    <w:p w:rsidR="00B0111E" w:rsidRPr="00D310FB" w:rsidRDefault="00B0111E" w:rsidP="00EE1093">
      <w:pPr>
        <w:pStyle w:val="BodyText"/>
        <w:numPr>
          <w:ilvl w:val="0"/>
          <w:numId w:val="1"/>
        </w:numPr>
        <w:spacing w:before="130" w:after="130"/>
        <w:ind w:left="680"/>
        <w:jc w:val="both"/>
        <w:rPr>
          <w:b/>
          <w:i/>
          <w:color w:val="8E258D"/>
          <w:sz w:val="22"/>
          <w:szCs w:val="22"/>
        </w:rPr>
      </w:pPr>
      <w:proofErr w:type="gramStart"/>
      <w:r w:rsidRPr="00D310FB">
        <w:rPr>
          <w:i/>
          <w:sz w:val="22"/>
          <w:szCs w:val="22"/>
        </w:rPr>
        <w:t>be</w:t>
      </w:r>
      <w:proofErr w:type="gramEnd"/>
      <w:r w:rsidRPr="00D310FB">
        <w:rPr>
          <w:i/>
          <w:sz w:val="22"/>
          <w:szCs w:val="22"/>
        </w:rPr>
        <w:t xml:space="preserve"> a trusted voice on the needs of our communities with a strong evidence base that will shape policies and engage in social planning for the Territory and its regions.</w:t>
      </w:r>
    </w:p>
    <w:p w:rsidR="00FE2730" w:rsidRDefault="00FE2730" w:rsidP="00582114">
      <w:pPr>
        <w:pStyle w:val="BodyText"/>
        <w:spacing w:before="130" w:after="130"/>
        <w:jc w:val="both"/>
        <w:rPr>
          <w:sz w:val="22"/>
          <w:szCs w:val="22"/>
        </w:rPr>
      </w:pPr>
      <w:r>
        <w:rPr>
          <w:sz w:val="22"/>
          <w:szCs w:val="22"/>
        </w:rPr>
        <w:t>This Workforce Plan will endure the following actions identified in the Industry Strategy are progressed: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4079"/>
      </w:tblGrid>
      <w:tr w:rsidR="00FE2730" w:rsidRPr="00D310FB" w:rsidTr="002B36D0">
        <w:tc>
          <w:tcPr>
            <w:tcW w:w="4079" w:type="dxa"/>
          </w:tcPr>
          <w:p w:rsidR="00FE2730" w:rsidRPr="00D310FB" w:rsidRDefault="00FE2730" w:rsidP="00886DF3">
            <w:pPr>
              <w:pStyle w:val="BodyText"/>
              <w:rPr>
                <w:i/>
                <w:color w:val="8E258D"/>
                <w:sz w:val="22"/>
                <w:szCs w:val="22"/>
              </w:rPr>
            </w:pPr>
            <w:r w:rsidRPr="00D310FB">
              <w:rPr>
                <w:i/>
                <w:color w:val="8E258D"/>
                <w:sz w:val="22"/>
                <w:szCs w:val="22"/>
              </w:rPr>
              <w:t xml:space="preserve">Industry capability improvements </w:t>
            </w:r>
          </w:p>
          <w:p w:rsidR="00FE2730" w:rsidRPr="00D310FB" w:rsidRDefault="00FE2730" w:rsidP="00886DF3">
            <w:pPr>
              <w:pStyle w:val="ListParagraph"/>
            </w:pPr>
          </w:p>
          <w:p w:rsidR="00FE2730" w:rsidRPr="00D310FB" w:rsidRDefault="00FE2730" w:rsidP="00FE2730">
            <w:pPr>
              <w:pStyle w:val="ListParagraph"/>
              <w:numPr>
                <w:ilvl w:val="0"/>
                <w:numId w:val="7"/>
              </w:numPr>
            </w:pPr>
            <w:r w:rsidRPr="00D310FB">
              <w:t xml:space="preserve">Sector Development and Innovation Fund </w:t>
            </w:r>
          </w:p>
        </w:tc>
        <w:tc>
          <w:tcPr>
            <w:tcW w:w="4079" w:type="dxa"/>
          </w:tcPr>
          <w:p w:rsidR="00FE2730" w:rsidRPr="00D310FB" w:rsidRDefault="00FE2730" w:rsidP="00886DF3">
            <w:pPr>
              <w:pStyle w:val="BodyText"/>
              <w:rPr>
                <w:i/>
                <w:color w:val="8E258D"/>
                <w:sz w:val="22"/>
                <w:szCs w:val="22"/>
              </w:rPr>
            </w:pPr>
            <w:r w:rsidRPr="00D310FB">
              <w:rPr>
                <w:i/>
                <w:color w:val="8E258D"/>
                <w:sz w:val="22"/>
                <w:szCs w:val="22"/>
              </w:rPr>
              <w:t>Enhancing governance and leadership</w:t>
            </w:r>
          </w:p>
          <w:p w:rsidR="00FE2730" w:rsidRPr="00D310FB" w:rsidRDefault="00FE2730" w:rsidP="00886DF3">
            <w:pPr>
              <w:pStyle w:val="ListParagraph"/>
              <w:numPr>
                <w:ilvl w:val="0"/>
                <w:numId w:val="9"/>
              </w:numPr>
              <w:spacing w:after="160" w:line="259" w:lineRule="auto"/>
            </w:pPr>
            <w:r w:rsidRPr="00D310FB">
              <w:t>Support industry-wide collaboration</w:t>
            </w:r>
          </w:p>
          <w:p w:rsidR="00FE2730" w:rsidRPr="00D310FB" w:rsidRDefault="00FE2730" w:rsidP="00886DF3">
            <w:pPr>
              <w:spacing w:after="120"/>
              <w:rPr>
                <w:rFonts w:eastAsia="Batang" w:cs="Arial"/>
                <w:i/>
                <w:color w:val="8E258D"/>
                <w:lang w:eastAsia="ko-KR"/>
              </w:rPr>
            </w:pPr>
          </w:p>
        </w:tc>
      </w:tr>
    </w:tbl>
    <w:p w:rsidR="00582114" w:rsidRPr="00D310FB" w:rsidRDefault="00EE1093" w:rsidP="00582114">
      <w:pPr>
        <w:pStyle w:val="BodyText"/>
        <w:spacing w:before="130" w:after="130"/>
        <w:jc w:val="both"/>
        <w:rPr>
          <w:sz w:val="22"/>
          <w:szCs w:val="22"/>
        </w:rPr>
      </w:pPr>
      <w:r w:rsidRPr="00D310FB">
        <w:rPr>
          <w:sz w:val="22"/>
          <w:szCs w:val="22"/>
        </w:rPr>
        <w:t xml:space="preserve">The level of impact of the actions outlined in this </w:t>
      </w:r>
      <w:r w:rsidR="00D26875">
        <w:rPr>
          <w:sz w:val="22"/>
          <w:szCs w:val="22"/>
        </w:rPr>
        <w:t>Workforce P</w:t>
      </w:r>
      <w:r w:rsidRPr="00D310FB">
        <w:rPr>
          <w:sz w:val="22"/>
          <w:szCs w:val="22"/>
        </w:rPr>
        <w:t>lan is contingent on other key actions across the Industry Strategy priority areas being undertaken simultaneously as outlined below</w:t>
      </w:r>
      <w:r w:rsidR="005F0052">
        <w:rPr>
          <w:sz w:val="22"/>
          <w:szCs w:val="22"/>
        </w:rPr>
        <w:t>:</w:t>
      </w:r>
    </w:p>
    <w:tbl>
      <w:tblPr>
        <w:tblStyle w:val="TableGrid"/>
        <w:tblW w:w="11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3975"/>
        <w:gridCol w:w="3975"/>
      </w:tblGrid>
      <w:tr w:rsidR="00FE2730" w:rsidRPr="00D310FB" w:rsidTr="00FE2730">
        <w:tc>
          <w:tcPr>
            <w:tcW w:w="3975" w:type="dxa"/>
          </w:tcPr>
          <w:p w:rsidR="00FE2730" w:rsidRPr="00D310FB" w:rsidRDefault="00FE2730" w:rsidP="00886DF3">
            <w:pPr>
              <w:pStyle w:val="BodyText"/>
              <w:rPr>
                <w:i/>
                <w:color w:val="8E258D"/>
                <w:sz w:val="22"/>
                <w:szCs w:val="22"/>
              </w:rPr>
            </w:pPr>
            <w:r w:rsidRPr="00D310FB">
              <w:rPr>
                <w:i/>
                <w:color w:val="8E258D"/>
                <w:sz w:val="22"/>
                <w:szCs w:val="22"/>
              </w:rPr>
              <w:t xml:space="preserve">Industry capability improvements </w:t>
            </w:r>
          </w:p>
          <w:p w:rsidR="00FE2730" w:rsidRPr="00D310FB" w:rsidRDefault="00FE2730" w:rsidP="00886DF3">
            <w:pPr>
              <w:pStyle w:val="ListParagraph"/>
            </w:pPr>
          </w:p>
          <w:p w:rsidR="00FE2730" w:rsidRPr="00D310FB" w:rsidRDefault="00FE2730" w:rsidP="00886DF3">
            <w:pPr>
              <w:pStyle w:val="ListParagraph"/>
              <w:numPr>
                <w:ilvl w:val="0"/>
                <w:numId w:val="7"/>
              </w:numPr>
            </w:pPr>
            <w:r w:rsidRPr="00D310FB">
              <w:t xml:space="preserve">Common ICT infrastructure and quality systems </w:t>
            </w:r>
          </w:p>
        </w:tc>
        <w:tc>
          <w:tcPr>
            <w:tcW w:w="3975" w:type="dxa"/>
          </w:tcPr>
          <w:p w:rsidR="00FE2730" w:rsidRPr="00D310FB" w:rsidRDefault="00FE2730" w:rsidP="00886DF3">
            <w:pPr>
              <w:pStyle w:val="BodyText"/>
              <w:rPr>
                <w:i/>
                <w:color w:val="8E258D"/>
                <w:sz w:val="22"/>
                <w:szCs w:val="22"/>
              </w:rPr>
            </w:pPr>
            <w:r w:rsidRPr="00D310FB">
              <w:rPr>
                <w:i/>
                <w:color w:val="8E258D"/>
                <w:sz w:val="22"/>
                <w:szCs w:val="22"/>
              </w:rPr>
              <w:t xml:space="preserve">Exploring sustainable adaptive models to grow </w:t>
            </w:r>
          </w:p>
          <w:p w:rsidR="00FE2730" w:rsidRDefault="00FE2730" w:rsidP="00886DF3">
            <w:pPr>
              <w:pStyle w:val="ListParagraph"/>
              <w:numPr>
                <w:ilvl w:val="0"/>
                <w:numId w:val="9"/>
              </w:numPr>
              <w:spacing w:after="160" w:line="259" w:lineRule="auto"/>
            </w:pPr>
            <w:r>
              <w:t>Greater funding certainty</w:t>
            </w:r>
          </w:p>
          <w:p w:rsidR="00FE2730" w:rsidRPr="00D310FB" w:rsidRDefault="00FE2730" w:rsidP="00886DF3">
            <w:pPr>
              <w:pStyle w:val="ListParagraph"/>
              <w:numPr>
                <w:ilvl w:val="0"/>
                <w:numId w:val="9"/>
              </w:numPr>
              <w:spacing w:after="160" w:line="259" w:lineRule="auto"/>
            </w:pPr>
            <w:r>
              <w:t>New approaches to procurement</w:t>
            </w:r>
          </w:p>
          <w:p w:rsidR="00FE2730" w:rsidRPr="00D310FB" w:rsidRDefault="00FE2730" w:rsidP="00886DF3">
            <w:pPr>
              <w:pStyle w:val="BodyText"/>
              <w:spacing w:after="0"/>
              <w:rPr>
                <w:bCs/>
                <w:i/>
                <w:color w:val="0070C0"/>
                <w:sz w:val="22"/>
                <w:szCs w:val="22"/>
              </w:rPr>
            </w:pPr>
          </w:p>
        </w:tc>
        <w:tc>
          <w:tcPr>
            <w:tcW w:w="3975" w:type="dxa"/>
          </w:tcPr>
          <w:p w:rsidR="00FE2730" w:rsidRPr="00D310FB" w:rsidRDefault="00FE2730" w:rsidP="00886DF3">
            <w:pPr>
              <w:pStyle w:val="BodyText"/>
              <w:rPr>
                <w:i/>
                <w:color w:val="8E258D"/>
                <w:sz w:val="22"/>
                <w:szCs w:val="22"/>
              </w:rPr>
            </w:pPr>
            <w:r w:rsidRPr="00D310FB">
              <w:rPr>
                <w:i/>
                <w:color w:val="8E258D"/>
                <w:sz w:val="22"/>
                <w:szCs w:val="22"/>
              </w:rPr>
              <w:t>Research, planning and evaluation</w:t>
            </w:r>
          </w:p>
          <w:p w:rsidR="00FE2730" w:rsidRPr="00D310FB" w:rsidRDefault="00FE2730" w:rsidP="00886DF3">
            <w:pPr>
              <w:pStyle w:val="ListParagraph"/>
            </w:pPr>
          </w:p>
          <w:p w:rsidR="00FE2730" w:rsidRPr="00D310FB" w:rsidRDefault="00FE2730" w:rsidP="00886DF3">
            <w:pPr>
              <w:pStyle w:val="ListParagraph"/>
              <w:numPr>
                <w:ilvl w:val="0"/>
                <w:numId w:val="8"/>
              </w:numPr>
            </w:pPr>
            <w:r w:rsidRPr="00D310FB">
              <w:t xml:space="preserve">Community needs assessment </w:t>
            </w:r>
          </w:p>
          <w:p w:rsidR="00FE2730" w:rsidRPr="00D310FB" w:rsidRDefault="00FE2730" w:rsidP="00886DF3">
            <w:pPr>
              <w:pStyle w:val="ListParagraph"/>
              <w:numPr>
                <w:ilvl w:val="0"/>
                <w:numId w:val="8"/>
              </w:numPr>
              <w:spacing w:after="160" w:line="259" w:lineRule="auto"/>
            </w:pPr>
            <w:r w:rsidRPr="00D310FB">
              <w:t xml:space="preserve">Outcomes measurement framework </w:t>
            </w:r>
          </w:p>
          <w:p w:rsidR="00FE2730" w:rsidRPr="00D310FB" w:rsidRDefault="00FE2730" w:rsidP="00886DF3">
            <w:pPr>
              <w:pStyle w:val="ListParagraph"/>
              <w:numPr>
                <w:ilvl w:val="0"/>
                <w:numId w:val="8"/>
              </w:numPr>
              <w:spacing w:after="160" w:line="259" w:lineRule="auto"/>
            </w:pPr>
            <w:r w:rsidRPr="00D310FB">
              <w:t xml:space="preserve">Industry profiling </w:t>
            </w:r>
          </w:p>
          <w:p w:rsidR="00FE2730" w:rsidRPr="00D310FB" w:rsidRDefault="00FE2730" w:rsidP="00886DF3">
            <w:pPr>
              <w:pStyle w:val="BodyText"/>
              <w:spacing w:after="0"/>
              <w:rPr>
                <w:bCs/>
                <w:i/>
                <w:color w:val="0070C0"/>
                <w:sz w:val="22"/>
                <w:szCs w:val="22"/>
              </w:rPr>
            </w:pPr>
          </w:p>
        </w:tc>
      </w:tr>
    </w:tbl>
    <w:p w:rsidR="005C7070" w:rsidRPr="0083765A" w:rsidRDefault="00D26875" w:rsidP="005C7070">
      <w:pPr>
        <w:rPr>
          <w:rFonts w:eastAsia="Batang" w:cs="Arial"/>
          <w:b/>
          <w:color w:val="8E258D"/>
          <w:sz w:val="24"/>
          <w:szCs w:val="24"/>
          <w:lang w:eastAsia="ko-KR"/>
        </w:rPr>
      </w:pPr>
      <w:r>
        <w:rPr>
          <w:b/>
          <w:color w:val="8E258D"/>
          <w:sz w:val="24"/>
          <w:szCs w:val="24"/>
        </w:rPr>
        <w:t xml:space="preserve">An Industry-led </w:t>
      </w:r>
      <w:r w:rsidR="00854496">
        <w:rPr>
          <w:b/>
          <w:color w:val="8E258D"/>
          <w:sz w:val="24"/>
          <w:szCs w:val="24"/>
        </w:rPr>
        <w:t>w</w:t>
      </w:r>
      <w:r>
        <w:rPr>
          <w:b/>
          <w:color w:val="8E258D"/>
          <w:sz w:val="24"/>
          <w:szCs w:val="24"/>
        </w:rPr>
        <w:t xml:space="preserve">orkforce </w:t>
      </w:r>
      <w:r w:rsidR="00854496">
        <w:rPr>
          <w:b/>
          <w:color w:val="8E258D"/>
          <w:sz w:val="24"/>
          <w:szCs w:val="24"/>
        </w:rPr>
        <w:t>p</w:t>
      </w:r>
      <w:r>
        <w:rPr>
          <w:b/>
          <w:color w:val="8E258D"/>
          <w:sz w:val="24"/>
          <w:szCs w:val="24"/>
        </w:rPr>
        <w:t>lan</w:t>
      </w:r>
    </w:p>
    <w:p w:rsidR="005C7070" w:rsidRPr="00474C1D" w:rsidRDefault="005C7070" w:rsidP="005C7070">
      <w:pPr>
        <w:pStyle w:val="BodyText"/>
        <w:spacing w:before="130" w:after="130"/>
        <w:jc w:val="both"/>
        <w:rPr>
          <w:sz w:val="22"/>
          <w:szCs w:val="22"/>
        </w:rPr>
      </w:pPr>
      <w:r w:rsidRPr="00474C1D">
        <w:rPr>
          <w:sz w:val="22"/>
          <w:szCs w:val="22"/>
        </w:rPr>
        <w:t>T</w:t>
      </w:r>
      <w:r>
        <w:rPr>
          <w:sz w:val="22"/>
          <w:szCs w:val="22"/>
        </w:rPr>
        <w:t xml:space="preserve">he </w:t>
      </w:r>
      <w:r w:rsidRPr="00474C1D">
        <w:rPr>
          <w:sz w:val="22"/>
          <w:szCs w:val="22"/>
        </w:rPr>
        <w:t xml:space="preserve">actions </w:t>
      </w:r>
      <w:r>
        <w:rPr>
          <w:sz w:val="22"/>
          <w:szCs w:val="22"/>
        </w:rPr>
        <w:t xml:space="preserve">outlined in the table on the following page </w:t>
      </w:r>
      <w:r w:rsidRPr="00474C1D">
        <w:rPr>
          <w:sz w:val="22"/>
          <w:szCs w:val="22"/>
        </w:rPr>
        <w:t xml:space="preserve">were identified by the industry through the </w:t>
      </w:r>
      <w:r>
        <w:rPr>
          <w:sz w:val="22"/>
          <w:szCs w:val="22"/>
        </w:rPr>
        <w:t xml:space="preserve">development of the Industry Strategy, the </w:t>
      </w:r>
      <w:r w:rsidRPr="00474C1D">
        <w:rPr>
          <w:sz w:val="22"/>
          <w:szCs w:val="22"/>
        </w:rPr>
        <w:t>Joint Communi</w:t>
      </w:r>
      <w:r>
        <w:rPr>
          <w:sz w:val="22"/>
          <w:szCs w:val="22"/>
        </w:rPr>
        <w:t xml:space="preserve">ty Government Reference Group, the Industry Strategy Steering Group and </w:t>
      </w:r>
      <w:r w:rsidRPr="00474C1D">
        <w:rPr>
          <w:sz w:val="22"/>
          <w:szCs w:val="22"/>
        </w:rPr>
        <w:t>a</w:t>
      </w:r>
      <w:r>
        <w:rPr>
          <w:sz w:val="22"/>
          <w:szCs w:val="22"/>
        </w:rPr>
        <w:t>n industry-wide consultative</w:t>
      </w:r>
      <w:r w:rsidRPr="00474C1D">
        <w:rPr>
          <w:sz w:val="22"/>
          <w:szCs w:val="22"/>
        </w:rPr>
        <w:t xml:space="preserve"> workshop on 2 June 2017. The actions have been captured under four themes:</w:t>
      </w:r>
    </w:p>
    <w:p w:rsidR="005C7070" w:rsidRPr="00474C1D" w:rsidRDefault="005C7070" w:rsidP="005C7070">
      <w:pPr>
        <w:pStyle w:val="ListParagraph"/>
        <w:numPr>
          <w:ilvl w:val="0"/>
          <w:numId w:val="6"/>
        </w:numPr>
      </w:pPr>
      <w:r w:rsidRPr="00474C1D">
        <w:t xml:space="preserve">Grow the workforce to </w:t>
      </w:r>
      <w:r w:rsidR="00DB1F7A">
        <w:t>meet</w:t>
      </w:r>
      <w:r w:rsidRPr="00474C1D">
        <w:t xml:space="preserve"> current and future needs</w:t>
      </w:r>
    </w:p>
    <w:p w:rsidR="005C7070" w:rsidRPr="00474C1D" w:rsidRDefault="005C7070" w:rsidP="005C7070">
      <w:pPr>
        <w:pStyle w:val="ListParagraph"/>
        <w:numPr>
          <w:ilvl w:val="0"/>
          <w:numId w:val="6"/>
        </w:numPr>
      </w:pPr>
      <w:r w:rsidRPr="00474C1D">
        <w:t xml:space="preserve">Improve retention of </w:t>
      </w:r>
      <w:r w:rsidR="00854496">
        <w:t xml:space="preserve">the </w:t>
      </w:r>
      <w:r w:rsidRPr="00474C1D">
        <w:t>current workforce</w:t>
      </w:r>
    </w:p>
    <w:p w:rsidR="005C7070" w:rsidRPr="00474C1D" w:rsidRDefault="005C7070" w:rsidP="005C7070">
      <w:pPr>
        <w:pStyle w:val="ListParagraph"/>
        <w:numPr>
          <w:ilvl w:val="0"/>
          <w:numId w:val="6"/>
        </w:numPr>
      </w:pPr>
      <w:r w:rsidRPr="00474C1D">
        <w:t>Strengthen capability and career development</w:t>
      </w:r>
    </w:p>
    <w:p w:rsidR="005C7070" w:rsidRPr="00474C1D" w:rsidRDefault="005C7070" w:rsidP="005C7070">
      <w:pPr>
        <w:pStyle w:val="ListParagraph"/>
        <w:numPr>
          <w:ilvl w:val="0"/>
          <w:numId w:val="6"/>
        </w:numPr>
      </w:pPr>
      <w:r w:rsidRPr="00474C1D">
        <w:t>Cultivate leadership and succession planning</w:t>
      </w:r>
    </w:p>
    <w:p w:rsidR="005C7070" w:rsidRDefault="005C7070" w:rsidP="00474C1D">
      <w:r>
        <w:t xml:space="preserve">The initial actions under each theme will be monitored and refreshed as </w:t>
      </w:r>
      <w:r w:rsidR="00FE2730">
        <w:t xml:space="preserve">actions are implemented and reviewed, and as </w:t>
      </w:r>
      <w:r>
        <w:t>the workforce changes and grows</w:t>
      </w:r>
      <w:r w:rsidR="00FE2730">
        <w:t>.  This will</w:t>
      </w:r>
      <w:r>
        <w:t xml:space="preserve"> ensure that the plan remains dynamic and relevant </w:t>
      </w:r>
      <w:r w:rsidR="00FE2730">
        <w:t>as</w:t>
      </w:r>
      <w:r>
        <w:t xml:space="preserve"> the Community Services Industry</w:t>
      </w:r>
      <w:r w:rsidR="00FE2730">
        <w:t xml:space="preserve"> adapts to community expectations and changes in the operating environment</w:t>
      </w:r>
      <w:r>
        <w:t>.</w:t>
      </w:r>
      <w:r w:rsidR="00430866">
        <w:t xml:space="preserve"> The plan recognises that </w:t>
      </w:r>
      <w:r w:rsidR="00FE2730">
        <w:t xml:space="preserve">workforce development </w:t>
      </w:r>
      <w:r w:rsidR="00430866">
        <w:t xml:space="preserve">projects </w:t>
      </w:r>
      <w:r w:rsidR="00FE2730">
        <w:t>already underway (</w:t>
      </w:r>
      <w:proofErr w:type="spellStart"/>
      <w:r w:rsidR="00FE2730">
        <w:t>eg</w:t>
      </w:r>
      <w:proofErr w:type="spellEnd"/>
      <w:r w:rsidR="00FE2730">
        <w:t xml:space="preserve"> within funded programs, peak bodies or led by employers) will contribute to activity under the themes outlined above. E</w:t>
      </w:r>
      <w:r w:rsidR="00430866">
        <w:t>xisting knowledge</w:t>
      </w:r>
      <w:r w:rsidR="00FE2730">
        <w:t>,</w:t>
      </w:r>
      <w:r w:rsidR="00430866">
        <w:t xml:space="preserve"> resources </w:t>
      </w:r>
      <w:r w:rsidR="00FE2730">
        <w:t xml:space="preserve">and opportunities for collaboration </w:t>
      </w:r>
      <w:r w:rsidR="00430866">
        <w:t>will be considered</w:t>
      </w:r>
      <w:r w:rsidR="00FE2730">
        <w:t xml:space="preserve"> </w:t>
      </w:r>
      <w:r w:rsidR="00430866">
        <w:t>as actions are scoped</w:t>
      </w:r>
      <w:r w:rsidR="00FE2730">
        <w:t xml:space="preserve"> in more detail</w:t>
      </w:r>
      <w:r w:rsidR="00430866">
        <w:t>.</w:t>
      </w:r>
    </w:p>
    <w:p w:rsidR="00A817E1" w:rsidRPr="005C7070" w:rsidRDefault="00A817E1" w:rsidP="00A817E1">
      <w:pPr>
        <w:rPr>
          <w:b/>
          <w:color w:val="8E258D"/>
          <w:sz w:val="24"/>
          <w:szCs w:val="24"/>
        </w:rPr>
      </w:pPr>
      <w:r w:rsidRPr="005C7070">
        <w:rPr>
          <w:b/>
          <w:color w:val="8E258D"/>
          <w:sz w:val="24"/>
          <w:szCs w:val="24"/>
        </w:rPr>
        <w:t>Where to from here?</w:t>
      </w:r>
    </w:p>
    <w:p w:rsidR="00A817E1" w:rsidRDefault="00A817E1" w:rsidP="00A817E1">
      <w:r>
        <w:t xml:space="preserve">The Industry Strategy Steering Group (Steering Group) will oversee the implementation of the actions set out in this plan, working in collaboration with </w:t>
      </w:r>
      <w:r w:rsidR="00FE2730">
        <w:t>consumers, unions, community organisations</w:t>
      </w:r>
      <w:r>
        <w:t xml:space="preserve">, government and </w:t>
      </w:r>
      <w:r w:rsidR="00D26875">
        <w:t xml:space="preserve">the </w:t>
      </w:r>
      <w:r w:rsidR="00753CC1">
        <w:t xml:space="preserve">VET and higher </w:t>
      </w:r>
      <w:r w:rsidR="00D26875">
        <w:t>education sector</w:t>
      </w:r>
      <w:r w:rsidR="00753CC1">
        <w:t>s</w:t>
      </w:r>
      <w:r w:rsidR="00FE2730">
        <w:t xml:space="preserve">. </w:t>
      </w:r>
      <w:r>
        <w:t xml:space="preserve">As an industry-led Steering Group, membership </w:t>
      </w:r>
      <w:r w:rsidR="00FE2730">
        <w:t>will include</w:t>
      </w:r>
      <w:r>
        <w:t xml:space="preserve"> service providers, funders, consumers and unions</w:t>
      </w:r>
      <w:r w:rsidR="00C43CD3">
        <w:t xml:space="preserve"> alongside ACT Government representatives</w:t>
      </w:r>
      <w:r>
        <w:t xml:space="preserve">. </w:t>
      </w:r>
      <w:r w:rsidR="00A90913">
        <w:t xml:space="preserve">The </w:t>
      </w:r>
      <w:r>
        <w:t>Steering Group members and chair are appointed annually by the Joint Community Government Reference Group.</w:t>
      </w:r>
    </w:p>
    <w:p w:rsidR="00A817E1" w:rsidRPr="00D91BDC" w:rsidRDefault="00A817E1" w:rsidP="00A817E1">
      <w:pPr>
        <w:rPr>
          <w:b/>
          <w:color w:val="8E258D"/>
          <w:sz w:val="24"/>
          <w:szCs w:val="24"/>
        </w:rPr>
      </w:pPr>
      <w:r>
        <w:rPr>
          <w:b/>
          <w:color w:val="8E258D"/>
          <w:sz w:val="24"/>
          <w:szCs w:val="24"/>
        </w:rPr>
        <w:t>Stay Connected</w:t>
      </w:r>
    </w:p>
    <w:p w:rsidR="00102B18" w:rsidRDefault="00A817E1" w:rsidP="00A817E1">
      <w:r>
        <w:t xml:space="preserve">The themes and actions identified in this plan are a first step </w:t>
      </w:r>
      <w:r w:rsidR="00102B18">
        <w:t>in implementing the Industry Strategy.  The Industry Strategy</w:t>
      </w:r>
      <w:r w:rsidR="00E55E6D">
        <w:t xml:space="preserve"> and related material</w:t>
      </w:r>
      <w:r w:rsidR="00102B18">
        <w:t xml:space="preserve"> is available via the ACT Community Services Directorate website </w:t>
      </w:r>
      <w:hyperlink r:id="rId8" w:history="1">
        <w:r w:rsidR="00102B18" w:rsidRPr="00B106DE">
          <w:rPr>
            <w:rStyle w:val="Hyperlink"/>
          </w:rPr>
          <w:t>http://www.communityservices.act.gov.au/hcs/community-sector-reform</w:t>
        </w:r>
      </w:hyperlink>
      <w:r w:rsidR="00102B18">
        <w:t xml:space="preserve">. This Workforce Plan outlines </w:t>
      </w:r>
      <w:r>
        <w:t xml:space="preserve">a collective approach to grow, strengthen and sustain the </w:t>
      </w:r>
      <w:r w:rsidR="00102B18">
        <w:t>community services</w:t>
      </w:r>
      <w:r>
        <w:t xml:space="preserve"> workforce</w:t>
      </w:r>
      <w:r w:rsidR="00C43CD3">
        <w:t xml:space="preserve"> in the ACT</w:t>
      </w:r>
      <w:r>
        <w:t xml:space="preserve">. The next step is to make it happen with support from </w:t>
      </w:r>
      <w:r w:rsidR="008A1AA7">
        <w:t>all stakeholders</w:t>
      </w:r>
      <w:r>
        <w:t xml:space="preserve">. </w:t>
      </w:r>
    </w:p>
    <w:p w:rsidR="00A817E1" w:rsidRDefault="002808BC" w:rsidP="00A817E1">
      <w:r>
        <w:t xml:space="preserve">If you would like to know more about the Workforce Plan </w:t>
      </w:r>
      <w:r w:rsidR="008A1AA7">
        <w:t>and/</w:t>
      </w:r>
      <w:r>
        <w:t xml:space="preserve">or want to </w:t>
      </w:r>
      <w:r w:rsidR="00A817E1">
        <w:t xml:space="preserve">contribute to </w:t>
      </w:r>
      <w:r>
        <w:t>its</w:t>
      </w:r>
      <w:r w:rsidR="00A817E1">
        <w:t xml:space="preserve"> development and implementation, please </w:t>
      </w:r>
      <w:r>
        <w:t>email</w:t>
      </w:r>
      <w:r w:rsidR="00A817E1">
        <w:t>:</w:t>
      </w:r>
      <w:r w:rsidR="008A1AA7">
        <w:t xml:space="preserve"> </w:t>
      </w:r>
      <w:hyperlink r:id="rId9" w:history="1">
        <w:r w:rsidR="008C651B" w:rsidRPr="00E40D42">
          <w:rPr>
            <w:rStyle w:val="Hyperlink"/>
          </w:rPr>
          <w:t>industrystrategy@act.gov.au</w:t>
        </w:r>
      </w:hyperlink>
    </w:p>
    <w:p w:rsidR="008C651B" w:rsidRDefault="008C651B" w:rsidP="00A817E1"/>
    <w:p w:rsidR="00A817E1" w:rsidRPr="0063540B" w:rsidRDefault="00C43CD3" w:rsidP="00235F99">
      <w:pPr>
        <w:pStyle w:val="BodyText"/>
        <w:rPr>
          <w:rFonts w:asciiTheme="majorHAnsi" w:hAnsiTheme="majorHAnsi"/>
          <w:b/>
          <w:color w:val="8E258D"/>
          <w:sz w:val="40"/>
          <w:szCs w:val="40"/>
        </w:rPr>
      </w:pPr>
      <w:r w:rsidRPr="0063540B">
        <w:rPr>
          <w:rFonts w:asciiTheme="majorHAnsi" w:hAnsiTheme="majorHAnsi"/>
          <w:b/>
          <w:color w:val="8E258D"/>
          <w:sz w:val="40"/>
          <w:szCs w:val="40"/>
        </w:rPr>
        <w:lastRenderedPageBreak/>
        <w:t>ACT Community Se</w:t>
      </w:r>
      <w:r w:rsidR="00E55E6D" w:rsidRPr="0063540B">
        <w:rPr>
          <w:rFonts w:asciiTheme="majorHAnsi" w:hAnsiTheme="majorHAnsi"/>
          <w:b/>
          <w:color w:val="8E258D"/>
          <w:sz w:val="40"/>
          <w:szCs w:val="40"/>
        </w:rPr>
        <w:t xml:space="preserve">rvices Industry Workforce Plan </w:t>
      </w:r>
      <w:r w:rsidRPr="0063540B">
        <w:rPr>
          <w:rFonts w:asciiTheme="majorHAnsi" w:hAnsiTheme="majorHAnsi"/>
          <w:b/>
          <w:color w:val="8E258D"/>
          <w:sz w:val="40"/>
          <w:szCs w:val="40"/>
        </w:rPr>
        <w:t>2017-</w:t>
      </w:r>
      <w:r w:rsidR="00091FF0" w:rsidRPr="0063540B">
        <w:rPr>
          <w:rFonts w:asciiTheme="majorHAnsi" w:hAnsiTheme="majorHAnsi"/>
          <w:b/>
          <w:color w:val="8E258D"/>
          <w:sz w:val="40"/>
          <w:szCs w:val="40"/>
        </w:rPr>
        <w:t>2020</w:t>
      </w:r>
    </w:p>
    <w:p w:rsidR="00C43CD3" w:rsidRPr="0063540B" w:rsidRDefault="00C43CD3" w:rsidP="00235F99">
      <w:pPr>
        <w:pStyle w:val="BodyText"/>
        <w:rPr>
          <w:rFonts w:asciiTheme="majorHAnsi" w:hAnsiTheme="majorHAnsi"/>
          <w:b/>
          <w:color w:val="8E258D"/>
          <w:sz w:val="40"/>
          <w:szCs w:val="40"/>
        </w:rPr>
      </w:pPr>
      <w:r w:rsidRPr="0063540B">
        <w:rPr>
          <w:rFonts w:asciiTheme="majorHAnsi" w:hAnsiTheme="majorHAnsi"/>
          <w:b/>
          <w:color w:val="8E258D"/>
          <w:sz w:val="40"/>
          <w:szCs w:val="40"/>
        </w:rPr>
        <w:t>Actions</w:t>
      </w:r>
    </w:p>
    <w:tbl>
      <w:tblPr>
        <w:tblStyle w:val="TableGrid"/>
        <w:tblW w:w="15277" w:type="dxa"/>
        <w:tblLayout w:type="fixed"/>
        <w:tblLook w:val="04A0" w:firstRow="1" w:lastRow="0" w:firstColumn="1" w:lastColumn="0" w:noHBand="0" w:noVBand="1"/>
      </w:tblPr>
      <w:tblGrid>
        <w:gridCol w:w="12724"/>
        <w:gridCol w:w="851"/>
        <w:gridCol w:w="851"/>
        <w:gridCol w:w="851"/>
      </w:tblGrid>
      <w:tr w:rsidR="00C14611" w:rsidRPr="001E0B1F" w:rsidTr="00C14611">
        <w:trPr>
          <w:cantSplit/>
          <w:trHeight w:val="1662"/>
          <w:tblHeader/>
        </w:trPr>
        <w:tc>
          <w:tcPr>
            <w:tcW w:w="12724" w:type="dxa"/>
          </w:tcPr>
          <w:p w:rsidR="00C14611" w:rsidRDefault="00C14611" w:rsidP="00C14611">
            <w:pPr>
              <w:ind w:left="55" w:right="113"/>
              <w:rPr>
                <w:b/>
              </w:rPr>
            </w:pPr>
            <w:r w:rsidRPr="0063540B">
              <w:rPr>
                <w:b/>
              </w:rPr>
              <w:t>ACTIONS</w:t>
            </w:r>
          </w:p>
          <w:p w:rsidR="00C14611" w:rsidRPr="00641A6F" w:rsidRDefault="00C14611" w:rsidP="00C14611">
            <w:pPr>
              <w:ind w:left="55" w:right="113"/>
            </w:pPr>
            <w:r w:rsidRPr="00641A6F">
              <w:t>(The actions identified below have been identified as activities that are foundational, capacity building or specific actions, this ca</w:t>
            </w:r>
            <w:r>
              <w:t>tegory affects their priority for</w:t>
            </w:r>
            <w:r w:rsidRPr="00641A6F">
              <w:t xml:space="preserve"> implementation</w:t>
            </w:r>
            <w:r>
              <w:t>. See the briefing paper for further information regarding the categorisation</w:t>
            </w:r>
            <w:r w:rsidRPr="00641A6F">
              <w:t>)</w:t>
            </w:r>
          </w:p>
        </w:tc>
        <w:tc>
          <w:tcPr>
            <w:tcW w:w="851" w:type="dxa"/>
            <w:textDirection w:val="btLr"/>
          </w:tcPr>
          <w:p w:rsidR="00C14611" w:rsidRPr="0063540B" w:rsidRDefault="00C14611" w:rsidP="00C14611">
            <w:pPr>
              <w:ind w:left="55" w:right="113"/>
              <w:rPr>
                <w:b/>
              </w:rPr>
            </w:pPr>
            <w:r>
              <w:rPr>
                <w:b/>
              </w:rPr>
              <w:t>Foundation Action</w:t>
            </w:r>
          </w:p>
        </w:tc>
        <w:tc>
          <w:tcPr>
            <w:tcW w:w="851" w:type="dxa"/>
            <w:textDirection w:val="btLr"/>
          </w:tcPr>
          <w:p w:rsidR="00C14611" w:rsidRDefault="00C14611" w:rsidP="00C14611">
            <w:pPr>
              <w:ind w:left="55" w:right="113"/>
              <w:rPr>
                <w:b/>
              </w:rPr>
            </w:pPr>
            <w:r>
              <w:rPr>
                <w:b/>
              </w:rPr>
              <w:t>Specific Action (2017-18)</w:t>
            </w:r>
          </w:p>
          <w:p w:rsidR="00C14611" w:rsidRPr="0063540B" w:rsidRDefault="00C14611" w:rsidP="00C14611">
            <w:pPr>
              <w:ind w:left="55" w:right="113"/>
              <w:rPr>
                <w:b/>
              </w:rPr>
            </w:pPr>
          </w:p>
        </w:tc>
        <w:tc>
          <w:tcPr>
            <w:tcW w:w="851" w:type="dxa"/>
            <w:textDirection w:val="btLr"/>
          </w:tcPr>
          <w:p w:rsidR="00C14611" w:rsidRPr="0063540B" w:rsidRDefault="00C14611" w:rsidP="00C14611">
            <w:pPr>
              <w:ind w:left="55" w:right="113"/>
              <w:rPr>
                <w:b/>
              </w:rPr>
            </w:pPr>
            <w:r>
              <w:rPr>
                <w:b/>
              </w:rPr>
              <w:t>Capacity Building Action</w:t>
            </w:r>
          </w:p>
        </w:tc>
      </w:tr>
      <w:tr w:rsidR="00C14611" w:rsidRPr="001E0B1F" w:rsidTr="00C14611">
        <w:trPr>
          <w:trHeight w:val="412"/>
        </w:trPr>
        <w:tc>
          <w:tcPr>
            <w:tcW w:w="12724" w:type="dxa"/>
            <w:shd w:val="clear" w:color="auto" w:fill="92D050"/>
          </w:tcPr>
          <w:p w:rsidR="00C14611" w:rsidRPr="0063540B" w:rsidRDefault="00C14611" w:rsidP="00C14611">
            <w:pPr>
              <w:ind w:left="55"/>
              <w:rPr>
                <w:b/>
              </w:rPr>
            </w:pPr>
            <w:r w:rsidRPr="0063540B">
              <w:rPr>
                <w:b/>
              </w:rPr>
              <w:t xml:space="preserve">Grow the workforce to </w:t>
            </w:r>
            <w:r>
              <w:rPr>
                <w:b/>
              </w:rPr>
              <w:t>meet</w:t>
            </w:r>
            <w:r w:rsidRPr="0063540B">
              <w:rPr>
                <w:b/>
              </w:rPr>
              <w:t xml:space="preserve"> current and future needs</w:t>
            </w:r>
          </w:p>
        </w:tc>
        <w:tc>
          <w:tcPr>
            <w:tcW w:w="851" w:type="dxa"/>
            <w:shd w:val="clear" w:color="auto" w:fill="92D050"/>
          </w:tcPr>
          <w:p w:rsidR="00C14611" w:rsidRPr="0063540B" w:rsidRDefault="00C14611" w:rsidP="00C14611">
            <w:pPr>
              <w:ind w:left="55"/>
              <w:rPr>
                <w:b/>
              </w:rPr>
            </w:pPr>
          </w:p>
        </w:tc>
        <w:tc>
          <w:tcPr>
            <w:tcW w:w="851" w:type="dxa"/>
            <w:shd w:val="clear" w:color="auto" w:fill="92D050"/>
          </w:tcPr>
          <w:p w:rsidR="00C14611" w:rsidRPr="0063540B" w:rsidRDefault="00C14611" w:rsidP="00C14611">
            <w:pPr>
              <w:ind w:left="55"/>
              <w:rPr>
                <w:b/>
              </w:rPr>
            </w:pPr>
          </w:p>
        </w:tc>
        <w:tc>
          <w:tcPr>
            <w:tcW w:w="851" w:type="dxa"/>
            <w:shd w:val="clear" w:color="auto" w:fill="92D050"/>
          </w:tcPr>
          <w:p w:rsidR="00C14611" w:rsidRPr="0063540B" w:rsidRDefault="00C14611" w:rsidP="00C14611">
            <w:pPr>
              <w:ind w:left="55"/>
              <w:rPr>
                <w:b/>
              </w:rPr>
            </w:pPr>
          </w:p>
        </w:tc>
      </w:tr>
      <w:tr w:rsidR="00C14611" w:rsidRPr="001E0B1F" w:rsidTr="00C14611">
        <w:trPr>
          <w:trHeight w:val="575"/>
        </w:trPr>
        <w:tc>
          <w:tcPr>
            <w:tcW w:w="12724" w:type="dxa"/>
          </w:tcPr>
          <w:p w:rsidR="00C14611" w:rsidRPr="0063540B" w:rsidRDefault="00C14611" w:rsidP="00C14611">
            <w:pPr>
              <w:pStyle w:val="ListParagraph"/>
              <w:numPr>
                <w:ilvl w:val="1"/>
                <w:numId w:val="4"/>
              </w:numPr>
              <w:ind w:left="55" w:firstLine="0"/>
            </w:pPr>
            <w:r w:rsidRPr="0063540B">
              <w:t>Identify current and future workforce requirements</w:t>
            </w: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pStyle w:val="ListParagraph"/>
              <w:ind w:left="55"/>
              <w:rPr>
                <w:sz w:val="36"/>
                <w:szCs w:val="36"/>
              </w:rPr>
            </w:pPr>
          </w:p>
        </w:tc>
        <w:tc>
          <w:tcPr>
            <w:tcW w:w="851" w:type="dxa"/>
          </w:tcPr>
          <w:p w:rsidR="00C14611" w:rsidRPr="00641A6F" w:rsidRDefault="00C14611" w:rsidP="00C14611">
            <w:pPr>
              <w:rPr>
                <w:sz w:val="36"/>
                <w:szCs w:val="36"/>
              </w:rPr>
            </w:pPr>
          </w:p>
        </w:tc>
      </w:tr>
      <w:tr w:rsidR="00C14611" w:rsidRPr="001E0B1F" w:rsidTr="00C14611">
        <w:trPr>
          <w:trHeight w:val="575"/>
        </w:trPr>
        <w:tc>
          <w:tcPr>
            <w:tcW w:w="12724" w:type="dxa"/>
          </w:tcPr>
          <w:p w:rsidR="00C14611" w:rsidRPr="0063540B" w:rsidRDefault="00C14611" w:rsidP="00C14611">
            <w:pPr>
              <w:pStyle w:val="ListParagraph"/>
              <w:numPr>
                <w:ilvl w:val="2"/>
                <w:numId w:val="4"/>
              </w:numPr>
              <w:ind w:left="993" w:firstLine="0"/>
            </w:pPr>
            <w:r w:rsidRPr="0063540B">
              <w:t>Collect and analyse relevant data to provide the industry with a regular workforce observations and trends report to support workforce planning</w:t>
            </w: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pStyle w:val="ListParagraph"/>
              <w:ind w:left="993"/>
              <w:rPr>
                <w:sz w:val="36"/>
                <w:szCs w:val="36"/>
              </w:rPr>
            </w:pPr>
          </w:p>
        </w:tc>
        <w:tc>
          <w:tcPr>
            <w:tcW w:w="851" w:type="dxa"/>
          </w:tcPr>
          <w:p w:rsidR="00C14611" w:rsidRPr="00641A6F" w:rsidRDefault="00C14611" w:rsidP="00C14611">
            <w:pPr>
              <w:rPr>
                <w:sz w:val="36"/>
                <w:szCs w:val="36"/>
              </w:rPr>
            </w:pPr>
          </w:p>
        </w:tc>
      </w:tr>
      <w:tr w:rsidR="00C14611" w:rsidRPr="001E0B1F" w:rsidTr="00C14611">
        <w:trPr>
          <w:trHeight w:val="575"/>
        </w:trPr>
        <w:tc>
          <w:tcPr>
            <w:tcW w:w="12724" w:type="dxa"/>
          </w:tcPr>
          <w:p w:rsidR="00C14611" w:rsidRPr="0063540B" w:rsidRDefault="00C14611" w:rsidP="00C14611">
            <w:pPr>
              <w:pStyle w:val="ListParagraph"/>
              <w:numPr>
                <w:ilvl w:val="2"/>
                <w:numId w:val="4"/>
              </w:numPr>
              <w:ind w:left="993" w:firstLine="0"/>
            </w:pPr>
            <w:r w:rsidRPr="0063540B">
              <w:t xml:space="preserve">Review workforce characteristics and needs and align to Community Needs Assessment </w:t>
            </w: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pStyle w:val="ListParagraph"/>
              <w:ind w:left="993"/>
              <w:rPr>
                <w:sz w:val="36"/>
                <w:szCs w:val="36"/>
              </w:rPr>
            </w:pPr>
          </w:p>
        </w:tc>
        <w:tc>
          <w:tcPr>
            <w:tcW w:w="851" w:type="dxa"/>
          </w:tcPr>
          <w:p w:rsidR="00C14611" w:rsidRPr="00641A6F" w:rsidRDefault="00C14611" w:rsidP="00C14611">
            <w:pP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1"/>
                <w:numId w:val="4"/>
              </w:numPr>
              <w:ind w:left="55" w:firstLine="0"/>
            </w:pPr>
            <w:r w:rsidRPr="0063540B">
              <w:t>Articulate, promote and facilitate entry points to working in the sector</w:t>
            </w: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2"/>
                <w:numId w:val="4"/>
              </w:numPr>
              <w:ind w:left="993" w:firstLine="0"/>
            </w:pPr>
            <w:r w:rsidRPr="0063540B">
              <w:t>Establish minimum standards for entry/core skills required for various roles in the sector</w:t>
            </w:r>
            <w:r w:rsidR="00753CC1">
              <w:t>, including specialist roles</w:t>
            </w: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2"/>
                <w:numId w:val="4"/>
              </w:numPr>
              <w:ind w:left="993" w:firstLine="0"/>
            </w:pPr>
            <w:r w:rsidRPr="0063540B">
              <w:t xml:space="preserve"> Create and/or articulate clear entry points across sub-sectors and from other industries into the Community Services industry</w:t>
            </w: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2"/>
                <w:numId w:val="4"/>
              </w:numPr>
              <w:ind w:left="993" w:firstLine="0"/>
            </w:pPr>
            <w:r w:rsidRPr="0063540B">
              <w:t xml:space="preserve"> Develop and implement a Communication Strategy to promote the work and opportunities available in the ACT Community services Industry</w:t>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2"/>
                <w:numId w:val="4"/>
              </w:numPr>
              <w:ind w:left="993" w:firstLine="0"/>
            </w:pPr>
            <w:r w:rsidRPr="0063540B">
              <w:t>Improve Industry knowledge of the variety of ways volunteers can support the mission of community organisations</w:t>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2"/>
                <w:numId w:val="4"/>
              </w:numPr>
              <w:ind w:left="993" w:firstLine="0"/>
            </w:pPr>
            <w:r w:rsidRPr="0063540B">
              <w:t>Establish a consistent approach to the evaluation of recognition of prior learning and experience for employment</w:t>
            </w: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r>
      <w:tr w:rsidR="00C14611" w:rsidRPr="001E0B1F" w:rsidTr="00C14611">
        <w:trPr>
          <w:trHeight w:val="439"/>
        </w:trPr>
        <w:tc>
          <w:tcPr>
            <w:tcW w:w="12724" w:type="dxa"/>
          </w:tcPr>
          <w:p w:rsidR="00C14611" w:rsidRPr="0063540B" w:rsidRDefault="00C14611" w:rsidP="00C14611">
            <w:pPr>
              <w:pStyle w:val="ListParagraph"/>
              <w:numPr>
                <w:ilvl w:val="1"/>
                <w:numId w:val="4"/>
              </w:numPr>
              <w:ind w:left="55" w:firstLine="0"/>
            </w:pPr>
            <w:r w:rsidRPr="0063540B">
              <w:t xml:space="preserve">Engage and develop connection of employers with </w:t>
            </w:r>
            <w:r w:rsidR="00753CC1">
              <w:t>VET and higher</w:t>
            </w:r>
            <w:r w:rsidRPr="0063540B">
              <w:t xml:space="preserve"> education providers</w:t>
            </w:r>
          </w:p>
          <w:p w:rsidR="00C14611" w:rsidRPr="0063540B" w:rsidRDefault="00C14611" w:rsidP="00C14611">
            <w:pPr>
              <w:ind w:left="55"/>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r>
      <w:tr w:rsidR="00C14611" w:rsidRPr="001E0B1F" w:rsidTr="00C14611">
        <w:trPr>
          <w:trHeight w:val="415"/>
        </w:trPr>
        <w:tc>
          <w:tcPr>
            <w:tcW w:w="12724" w:type="dxa"/>
          </w:tcPr>
          <w:p w:rsidR="00C14611" w:rsidRDefault="00C14611" w:rsidP="00C14611">
            <w:pPr>
              <w:pStyle w:val="ListParagraph"/>
              <w:numPr>
                <w:ilvl w:val="1"/>
                <w:numId w:val="4"/>
              </w:numPr>
              <w:ind w:left="55" w:firstLine="0"/>
            </w:pPr>
            <w:r w:rsidRPr="0063540B">
              <w:t>Improve placement opportunities and support</w:t>
            </w:r>
          </w:p>
          <w:p w:rsidR="00C14611" w:rsidRPr="0063540B" w:rsidRDefault="00C14611" w:rsidP="00C14611">
            <w:pPr>
              <w:pStyle w:val="ListParagraph"/>
              <w:ind w:left="1224"/>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c>
          <w:tcPr>
            <w:tcW w:w="851" w:type="dxa"/>
          </w:tcPr>
          <w:p w:rsidR="00C14611" w:rsidRPr="00641A6F" w:rsidRDefault="009B715E" w:rsidP="00C14611">
            <w:pPr>
              <w:jc w:val="center"/>
              <w:rPr>
                <w:sz w:val="36"/>
                <w:szCs w:val="36"/>
              </w:rPr>
            </w:pPr>
            <w:r w:rsidRPr="00641A6F">
              <w:rPr>
                <w:sz w:val="36"/>
                <w:szCs w:val="36"/>
              </w:rPr>
              <w:sym w:font="Wingdings" w:char="F0FC"/>
            </w:r>
          </w:p>
        </w:tc>
      </w:tr>
      <w:tr w:rsidR="00C14611" w:rsidRPr="001E0B1F" w:rsidTr="00C14611">
        <w:trPr>
          <w:trHeight w:val="415"/>
        </w:trPr>
        <w:tc>
          <w:tcPr>
            <w:tcW w:w="12724" w:type="dxa"/>
          </w:tcPr>
          <w:p w:rsidR="00C14611" w:rsidRDefault="00C14611" w:rsidP="00C14611">
            <w:pPr>
              <w:pStyle w:val="ListParagraph"/>
              <w:numPr>
                <w:ilvl w:val="2"/>
                <w:numId w:val="4"/>
              </w:numPr>
              <w:ind w:left="993" w:firstLine="0"/>
            </w:pPr>
            <w:r w:rsidRPr="0085000C">
              <w:t>Develop student placement resources for employers</w:t>
            </w:r>
          </w:p>
          <w:p w:rsidR="00C14611" w:rsidRPr="0063540B" w:rsidRDefault="00C14611" w:rsidP="00C14611">
            <w:pPr>
              <w:pStyle w:val="ListParagraph"/>
              <w:ind w:left="55"/>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shd w:val="clear" w:color="auto" w:fill="00B0F0"/>
          </w:tcPr>
          <w:p w:rsidR="00C14611" w:rsidRPr="0063540B" w:rsidRDefault="00C14611" w:rsidP="00C14611">
            <w:pPr>
              <w:ind w:left="55"/>
              <w:rPr>
                <w:b/>
              </w:rPr>
            </w:pPr>
            <w:r w:rsidRPr="0063540B">
              <w:rPr>
                <w:b/>
              </w:rPr>
              <w:t>Improve retention of current workforce</w:t>
            </w:r>
          </w:p>
        </w:tc>
        <w:tc>
          <w:tcPr>
            <w:tcW w:w="851" w:type="dxa"/>
            <w:shd w:val="clear" w:color="auto" w:fill="00B0F0"/>
          </w:tcPr>
          <w:p w:rsidR="00C14611" w:rsidRPr="00641A6F" w:rsidRDefault="00C14611" w:rsidP="00C14611">
            <w:pPr>
              <w:jc w:val="center"/>
              <w:rPr>
                <w:sz w:val="36"/>
                <w:szCs w:val="36"/>
              </w:rPr>
            </w:pPr>
          </w:p>
        </w:tc>
        <w:tc>
          <w:tcPr>
            <w:tcW w:w="851" w:type="dxa"/>
            <w:shd w:val="clear" w:color="auto" w:fill="00B0F0"/>
          </w:tcPr>
          <w:p w:rsidR="00C14611" w:rsidRPr="00641A6F" w:rsidRDefault="00C14611" w:rsidP="00C14611">
            <w:pPr>
              <w:ind w:left="55"/>
              <w:jc w:val="center"/>
              <w:rPr>
                <w:sz w:val="36"/>
                <w:szCs w:val="36"/>
              </w:rPr>
            </w:pPr>
          </w:p>
        </w:tc>
        <w:tc>
          <w:tcPr>
            <w:tcW w:w="851" w:type="dxa"/>
            <w:shd w:val="clear" w:color="auto" w:fill="00B0F0"/>
          </w:tcPr>
          <w:p w:rsidR="00C14611" w:rsidRPr="00641A6F" w:rsidRDefault="00C14611" w:rsidP="00C14611">
            <w:pPr>
              <w:ind w:left="55"/>
              <w:jc w:val="center"/>
              <w:rPr>
                <w:sz w:val="36"/>
                <w:szCs w:val="36"/>
              </w:rPr>
            </w:pPr>
          </w:p>
        </w:tc>
      </w:tr>
      <w:tr w:rsidR="00C14611" w:rsidRPr="001E0B1F" w:rsidTr="00C14611">
        <w:trPr>
          <w:trHeight w:val="415"/>
          <w:hidden/>
        </w:trPr>
        <w:tc>
          <w:tcPr>
            <w:tcW w:w="12724" w:type="dxa"/>
          </w:tcPr>
          <w:p w:rsidR="00C14611" w:rsidRPr="0063540B" w:rsidRDefault="00C14611" w:rsidP="00C14611">
            <w:pPr>
              <w:pStyle w:val="ListParagraph"/>
              <w:numPr>
                <w:ilvl w:val="0"/>
                <w:numId w:val="5"/>
              </w:numPr>
              <w:ind w:left="55" w:firstLine="0"/>
              <w:rPr>
                <w:vanish/>
              </w:rPr>
            </w:pPr>
          </w:p>
          <w:p w:rsidR="00C14611" w:rsidRPr="0063540B" w:rsidRDefault="00C14611" w:rsidP="00C14611">
            <w:pPr>
              <w:pStyle w:val="ListParagraph"/>
              <w:numPr>
                <w:ilvl w:val="0"/>
                <w:numId w:val="5"/>
              </w:numPr>
              <w:ind w:left="55" w:firstLine="0"/>
              <w:rPr>
                <w:vanish/>
              </w:rPr>
            </w:pPr>
          </w:p>
          <w:p w:rsidR="00C14611" w:rsidRPr="0063540B" w:rsidRDefault="00C14611" w:rsidP="00C14611">
            <w:pPr>
              <w:pStyle w:val="ListParagraph"/>
              <w:numPr>
                <w:ilvl w:val="0"/>
                <w:numId w:val="4"/>
              </w:numPr>
              <w:ind w:left="55" w:firstLine="0"/>
              <w:rPr>
                <w:vanish/>
              </w:rPr>
            </w:pPr>
          </w:p>
          <w:p w:rsidR="00C14611" w:rsidRPr="0063540B" w:rsidRDefault="00C14611" w:rsidP="00C14611">
            <w:pPr>
              <w:pStyle w:val="ListParagraph"/>
              <w:numPr>
                <w:ilvl w:val="1"/>
                <w:numId w:val="4"/>
              </w:numPr>
              <w:ind w:left="55" w:firstLine="0"/>
            </w:pPr>
            <w:r w:rsidRPr="0063540B">
              <w:t>Develop Industry-wide good practice guide for retention, with a particular focus on different strategies for different cohorts within the workforce</w:t>
            </w:r>
          </w:p>
          <w:p w:rsidR="00C14611" w:rsidRPr="0063540B" w:rsidRDefault="00C14611" w:rsidP="00C14611">
            <w:pPr>
              <w:ind w:left="55"/>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16"/>
                <w:szCs w:val="16"/>
              </w:rPr>
            </w:pPr>
            <w:r w:rsidRPr="00641A6F">
              <w:rPr>
                <w:sz w:val="16"/>
                <w:szCs w:val="16"/>
              </w:rPr>
              <w:t>Action for 2018-19</w:t>
            </w: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1"/>
                <w:numId w:val="4"/>
              </w:numPr>
              <w:ind w:left="55" w:firstLine="0"/>
            </w:pPr>
            <w:r w:rsidRPr="0063540B">
              <w:t>Develop agreed framework and tools to support on</w:t>
            </w:r>
            <w:r w:rsidR="00606B2E">
              <w:t>-</w:t>
            </w:r>
            <w:r w:rsidRPr="0063540B">
              <w:t>boarding, peer support, supervision, coaching and mentoring</w:t>
            </w:r>
          </w:p>
          <w:p w:rsidR="00C14611" w:rsidRPr="0063540B" w:rsidRDefault="00C14611" w:rsidP="00C14611">
            <w:pPr>
              <w:ind w:left="55"/>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shd w:val="clear" w:color="auto" w:fill="B2A1C7" w:themeFill="accent4" w:themeFillTint="99"/>
          </w:tcPr>
          <w:p w:rsidR="00C14611" w:rsidRPr="0063540B" w:rsidRDefault="00C14611" w:rsidP="00C14611">
            <w:pPr>
              <w:ind w:left="55"/>
              <w:rPr>
                <w:b/>
              </w:rPr>
            </w:pPr>
            <w:r w:rsidRPr="0063540B">
              <w:rPr>
                <w:b/>
              </w:rPr>
              <w:t>Strengthen capability and career development</w:t>
            </w:r>
          </w:p>
        </w:tc>
        <w:tc>
          <w:tcPr>
            <w:tcW w:w="851" w:type="dxa"/>
            <w:shd w:val="clear" w:color="auto" w:fill="B2A1C7" w:themeFill="accent4" w:themeFillTint="99"/>
          </w:tcPr>
          <w:p w:rsidR="00C14611" w:rsidRPr="00641A6F" w:rsidRDefault="00C14611" w:rsidP="00C14611">
            <w:pPr>
              <w:jc w:val="center"/>
              <w:rPr>
                <w:sz w:val="36"/>
                <w:szCs w:val="36"/>
              </w:rPr>
            </w:pPr>
          </w:p>
        </w:tc>
        <w:tc>
          <w:tcPr>
            <w:tcW w:w="851" w:type="dxa"/>
            <w:shd w:val="clear" w:color="auto" w:fill="B2A1C7" w:themeFill="accent4" w:themeFillTint="99"/>
          </w:tcPr>
          <w:p w:rsidR="00C14611" w:rsidRPr="00641A6F" w:rsidRDefault="00C14611" w:rsidP="00C14611">
            <w:pPr>
              <w:jc w:val="center"/>
              <w:rPr>
                <w:sz w:val="36"/>
                <w:szCs w:val="36"/>
              </w:rPr>
            </w:pPr>
          </w:p>
        </w:tc>
        <w:tc>
          <w:tcPr>
            <w:tcW w:w="851" w:type="dxa"/>
            <w:shd w:val="clear" w:color="auto" w:fill="B2A1C7" w:themeFill="accent4" w:themeFillTint="99"/>
          </w:tcPr>
          <w:p w:rsidR="00C14611" w:rsidRPr="00641A6F" w:rsidRDefault="00C14611" w:rsidP="00C14611">
            <w:pPr>
              <w:jc w:val="center"/>
              <w:rPr>
                <w:sz w:val="36"/>
                <w:szCs w:val="36"/>
              </w:rPr>
            </w:pPr>
          </w:p>
        </w:tc>
      </w:tr>
      <w:tr w:rsidR="00C14611" w:rsidRPr="001E0B1F" w:rsidTr="00C14611">
        <w:trPr>
          <w:trHeight w:val="415"/>
          <w:hidden/>
        </w:trPr>
        <w:tc>
          <w:tcPr>
            <w:tcW w:w="12724" w:type="dxa"/>
          </w:tcPr>
          <w:p w:rsidR="00C14611" w:rsidRPr="0063540B" w:rsidRDefault="00C14611" w:rsidP="00C14611">
            <w:pPr>
              <w:pStyle w:val="ListParagraph"/>
              <w:numPr>
                <w:ilvl w:val="0"/>
                <w:numId w:val="4"/>
              </w:numPr>
              <w:ind w:left="55" w:firstLine="0"/>
              <w:rPr>
                <w:vanish/>
              </w:rPr>
            </w:pPr>
          </w:p>
          <w:p w:rsidR="00C14611" w:rsidRPr="0063540B" w:rsidRDefault="00C14611" w:rsidP="00C14611">
            <w:pPr>
              <w:pStyle w:val="ListParagraph"/>
              <w:numPr>
                <w:ilvl w:val="1"/>
                <w:numId w:val="4"/>
              </w:numPr>
              <w:ind w:left="55" w:firstLine="0"/>
            </w:pPr>
            <w:r w:rsidRPr="0063540B">
              <w:t xml:space="preserve">Develop tool to map the pathways across </w:t>
            </w:r>
            <w:r>
              <w:t xml:space="preserve">a </w:t>
            </w:r>
            <w:r w:rsidRPr="0063540B">
              <w:t xml:space="preserve">career and across </w:t>
            </w:r>
            <w:r>
              <w:t xml:space="preserve">the </w:t>
            </w:r>
            <w:r w:rsidRPr="0063540B">
              <w:t>sector</w:t>
            </w:r>
          </w:p>
          <w:p w:rsidR="00C14611" w:rsidRPr="0063540B" w:rsidRDefault="00C14611" w:rsidP="00C14611">
            <w:pPr>
              <w:pStyle w:val="ListParagraph"/>
              <w:ind w:left="55"/>
            </w:pP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1"/>
                <w:numId w:val="4"/>
              </w:numPr>
              <w:ind w:left="55" w:firstLine="0"/>
            </w:pPr>
            <w:r w:rsidRPr="0063540B">
              <w:t>Review existing workforce development programs in order to plan to reduce gaps and increase access</w:t>
            </w:r>
          </w:p>
          <w:p w:rsidR="00C14611" w:rsidRPr="0063540B" w:rsidRDefault="00C14611" w:rsidP="00C14611">
            <w:pPr>
              <w:pStyle w:val="ListParagraph"/>
              <w:ind w:left="55"/>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r>
      <w:tr w:rsidR="00C14611" w:rsidRPr="001E0B1F" w:rsidTr="00C14611">
        <w:trPr>
          <w:trHeight w:val="415"/>
        </w:trPr>
        <w:tc>
          <w:tcPr>
            <w:tcW w:w="12724" w:type="dxa"/>
          </w:tcPr>
          <w:p w:rsidR="00C14611" w:rsidRPr="0063540B" w:rsidRDefault="00C14611" w:rsidP="00C14611">
            <w:pPr>
              <w:pStyle w:val="ListParagraph"/>
              <w:numPr>
                <w:ilvl w:val="2"/>
                <w:numId w:val="4"/>
              </w:numPr>
              <w:ind w:left="993" w:firstLine="0"/>
            </w:pPr>
            <w:r w:rsidRPr="0063540B">
              <w:t>Enhance capability development available in the sector to meet the needs of people in various roles across the sector and in various stages of career progression</w:t>
            </w:r>
          </w:p>
          <w:p w:rsidR="00C14611" w:rsidRPr="0063540B" w:rsidRDefault="00C14611" w:rsidP="00C14611">
            <w:pPr>
              <w:pStyle w:val="ListParagraph"/>
              <w:ind w:left="55"/>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r>
      <w:tr w:rsidR="00C14611" w:rsidRPr="001E0B1F" w:rsidTr="00C14611">
        <w:trPr>
          <w:trHeight w:val="415"/>
        </w:trPr>
        <w:tc>
          <w:tcPr>
            <w:tcW w:w="12724" w:type="dxa"/>
          </w:tcPr>
          <w:p w:rsidR="00C14611" w:rsidRPr="0063540B" w:rsidRDefault="00C14611" w:rsidP="00C14611">
            <w:pPr>
              <w:pStyle w:val="ListParagraph"/>
              <w:numPr>
                <w:ilvl w:val="2"/>
                <w:numId w:val="4"/>
              </w:numPr>
              <w:ind w:left="993" w:firstLine="0"/>
            </w:pPr>
            <w:r w:rsidRPr="0063540B">
              <w:t>Develop the capability of employees and volunteers through accessible, fit for purpose learning and development opportunities (both formal and on-the-job)</w:t>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r>
      <w:tr w:rsidR="00C14611" w:rsidRPr="001E0B1F" w:rsidTr="00C14611">
        <w:trPr>
          <w:trHeight w:val="415"/>
        </w:trPr>
        <w:tc>
          <w:tcPr>
            <w:tcW w:w="12724" w:type="dxa"/>
          </w:tcPr>
          <w:p w:rsidR="00C14611" w:rsidRPr="0063540B" w:rsidRDefault="00C14611" w:rsidP="00C14611">
            <w:pPr>
              <w:pStyle w:val="ListParagraph"/>
              <w:numPr>
                <w:ilvl w:val="1"/>
                <w:numId w:val="4"/>
              </w:numPr>
              <w:ind w:left="55" w:firstLine="0"/>
            </w:pPr>
            <w:r w:rsidRPr="0063540B">
              <w:t>Build Capacity in mainstream organisations to work with people and communities who experience marginalisation or have complex needs</w:t>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r>
      <w:tr w:rsidR="00C14611" w:rsidRPr="001E0B1F" w:rsidTr="00C14611">
        <w:trPr>
          <w:trHeight w:val="415"/>
        </w:trPr>
        <w:tc>
          <w:tcPr>
            <w:tcW w:w="12724" w:type="dxa"/>
          </w:tcPr>
          <w:p w:rsidR="00C14611" w:rsidRPr="0063540B" w:rsidRDefault="00C14611" w:rsidP="00C14611">
            <w:pPr>
              <w:pStyle w:val="ListParagraph"/>
              <w:numPr>
                <w:ilvl w:val="1"/>
                <w:numId w:val="4"/>
              </w:numPr>
              <w:ind w:left="55" w:firstLine="0"/>
            </w:pPr>
            <w:r w:rsidRPr="0063540B">
              <w:t>Develop organisations’ capacity to backfill workers while on training or leave (</w:t>
            </w:r>
            <w:proofErr w:type="spellStart"/>
            <w:r w:rsidRPr="0063540B">
              <w:t>ie</w:t>
            </w:r>
            <w:proofErr w:type="spellEnd"/>
            <w:r w:rsidRPr="0063540B">
              <w:t xml:space="preserve"> scope the establishment of a relief pool)</w:t>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shd w:val="clear" w:color="auto" w:fill="D99594" w:themeFill="accent2" w:themeFillTint="99"/>
          </w:tcPr>
          <w:p w:rsidR="00C14611" w:rsidRPr="0063540B" w:rsidRDefault="00C14611" w:rsidP="00C14611">
            <w:pPr>
              <w:ind w:left="55"/>
              <w:rPr>
                <w:b/>
              </w:rPr>
            </w:pPr>
            <w:r w:rsidRPr="0063540B">
              <w:rPr>
                <w:b/>
              </w:rPr>
              <w:t>Cultivate leadership and succession planning</w:t>
            </w:r>
          </w:p>
        </w:tc>
        <w:tc>
          <w:tcPr>
            <w:tcW w:w="851" w:type="dxa"/>
            <w:shd w:val="clear" w:color="auto" w:fill="D99594" w:themeFill="accent2" w:themeFillTint="99"/>
          </w:tcPr>
          <w:p w:rsidR="00C14611" w:rsidRPr="00641A6F" w:rsidRDefault="00C14611" w:rsidP="00C14611">
            <w:pPr>
              <w:jc w:val="center"/>
              <w:rPr>
                <w:sz w:val="36"/>
                <w:szCs w:val="36"/>
              </w:rPr>
            </w:pPr>
          </w:p>
        </w:tc>
        <w:tc>
          <w:tcPr>
            <w:tcW w:w="851" w:type="dxa"/>
            <w:shd w:val="clear" w:color="auto" w:fill="D99594" w:themeFill="accent2" w:themeFillTint="99"/>
          </w:tcPr>
          <w:p w:rsidR="00C14611" w:rsidRPr="00641A6F" w:rsidRDefault="00C14611" w:rsidP="00C14611">
            <w:pPr>
              <w:jc w:val="center"/>
              <w:rPr>
                <w:sz w:val="36"/>
                <w:szCs w:val="36"/>
              </w:rPr>
            </w:pPr>
          </w:p>
        </w:tc>
        <w:tc>
          <w:tcPr>
            <w:tcW w:w="851" w:type="dxa"/>
            <w:shd w:val="clear" w:color="auto" w:fill="D99594" w:themeFill="accent2" w:themeFillTint="99"/>
          </w:tcPr>
          <w:p w:rsidR="00C14611" w:rsidRPr="00641A6F" w:rsidRDefault="00C14611" w:rsidP="00C14611">
            <w:pPr>
              <w:jc w:val="center"/>
              <w:rPr>
                <w:sz w:val="36"/>
                <w:szCs w:val="36"/>
              </w:rPr>
            </w:pPr>
          </w:p>
        </w:tc>
      </w:tr>
      <w:tr w:rsidR="00C14611" w:rsidRPr="001E0B1F" w:rsidTr="00C14611">
        <w:trPr>
          <w:trHeight w:val="415"/>
          <w:hidden/>
        </w:trPr>
        <w:tc>
          <w:tcPr>
            <w:tcW w:w="12724" w:type="dxa"/>
          </w:tcPr>
          <w:p w:rsidR="00C14611" w:rsidRPr="0063540B" w:rsidRDefault="00C14611" w:rsidP="00C14611">
            <w:pPr>
              <w:pStyle w:val="ListParagraph"/>
              <w:numPr>
                <w:ilvl w:val="0"/>
                <w:numId w:val="4"/>
              </w:numPr>
              <w:ind w:left="55" w:firstLine="0"/>
              <w:rPr>
                <w:vanish/>
              </w:rPr>
            </w:pPr>
          </w:p>
          <w:p w:rsidR="00C14611" w:rsidRPr="0063540B" w:rsidRDefault="00C14611" w:rsidP="00C14611">
            <w:pPr>
              <w:pStyle w:val="ListParagraph"/>
              <w:numPr>
                <w:ilvl w:val="1"/>
                <w:numId w:val="4"/>
              </w:numPr>
              <w:ind w:left="55" w:firstLine="0"/>
            </w:pPr>
            <w:r w:rsidRPr="0063540B">
              <w:t xml:space="preserve"> Develop and implement strategies to support knowledge transfer</w:t>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16"/>
                <w:szCs w:val="16"/>
              </w:rPr>
              <w:t>Action for 2018-19</w:t>
            </w: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1"/>
                <w:numId w:val="4"/>
              </w:numPr>
              <w:ind w:left="55" w:firstLine="0"/>
            </w:pPr>
            <w:r w:rsidRPr="0063540B">
              <w:t>Develop an approach to identify key and emerging leaders in the Industry</w:t>
            </w:r>
          </w:p>
          <w:p w:rsidR="00C14611" w:rsidRPr="0063540B" w:rsidRDefault="00C14611" w:rsidP="00C14611">
            <w:pPr>
              <w:pStyle w:val="ListParagraph"/>
              <w:ind w:left="55"/>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r>
      <w:tr w:rsidR="00C14611" w:rsidRPr="001E0B1F" w:rsidTr="00C14611">
        <w:trPr>
          <w:trHeight w:val="415"/>
        </w:trPr>
        <w:tc>
          <w:tcPr>
            <w:tcW w:w="12724" w:type="dxa"/>
          </w:tcPr>
          <w:p w:rsidR="00C14611" w:rsidRPr="0063540B" w:rsidRDefault="00C14611" w:rsidP="00C14611">
            <w:pPr>
              <w:pStyle w:val="ListParagraph"/>
              <w:numPr>
                <w:ilvl w:val="2"/>
                <w:numId w:val="4"/>
              </w:numPr>
              <w:ind w:left="993" w:firstLine="0"/>
            </w:pPr>
            <w:r w:rsidRPr="0063540B">
              <w:t>Create a scholarship opportunity to identify and provide support for leaders in the industry to access formal training, structured coaching or mentoring and peer networking</w:t>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1"/>
                <w:numId w:val="4"/>
              </w:numPr>
              <w:ind w:left="55" w:firstLine="0"/>
            </w:pPr>
            <w:r w:rsidRPr="0063540B">
              <w:t>Fund access to leadership development opportunities</w:t>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1"/>
                <w:numId w:val="4"/>
              </w:numPr>
              <w:ind w:left="55" w:firstLine="0"/>
            </w:pPr>
            <w:r w:rsidRPr="0063540B">
              <w:t>Align leadership practice with Industry Strategy Vision and Values</w:t>
            </w:r>
          </w:p>
          <w:p w:rsidR="00C14611" w:rsidRPr="0063540B" w:rsidRDefault="00C14611" w:rsidP="00C14611">
            <w:pPr>
              <w:pStyle w:val="ListParagraph"/>
              <w:ind w:left="55"/>
            </w:pP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r>
      <w:tr w:rsidR="00C14611" w:rsidRPr="001E0B1F" w:rsidTr="00C14611">
        <w:trPr>
          <w:trHeight w:val="415"/>
        </w:trPr>
        <w:tc>
          <w:tcPr>
            <w:tcW w:w="12724" w:type="dxa"/>
          </w:tcPr>
          <w:p w:rsidR="00C14611" w:rsidRPr="0063540B" w:rsidRDefault="00C14611" w:rsidP="00C14611">
            <w:pPr>
              <w:pStyle w:val="ListParagraph"/>
              <w:numPr>
                <w:ilvl w:val="2"/>
                <w:numId w:val="4"/>
              </w:numPr>
              <w:ind w:left="993" w:firstLine="0"/>
            </w:pPr>
            <w:r w:rsidRPr="0063540B">
              <w:t>Develop a toolkit for boards around achieving the Industry Strategy vision</w:t>
            </w:r>
          </w:p>
        </w:tc>
        <w:tc>
          <w:tcPr>
            <w:tcW w:w="851" w:type="dxa"/>
          </w:tcPr>
          <w:p w:rsidR="00C14611" w:rsidRPr="00641A6F" w:rsidRDefault="00C14611" w:rsidP="00C14611">
            <w:pPr>
              <w:jc w:val="center"/>
              <w:rPr>
                <w:sz w:val="36"/>
                <w:szCs w:val="36"/>
              </w:rPr>
            </w:pPr>
          </w:p>
        </w:tc>
        <w:tc>
          <w:tcPr>
            <w:tcW w:w="851" w:type="dxa"/>
          </w:tcPr>
          <w:p w:rsidR="00C14611" w:rsidRPr="00641A6F" w:rsidRDefault="00C14611" w:rsidP="00C14611">
            <w:pPr>
              <w:jc w:val="center"/>
              <w:rPr>
                <w:sz w:val="36"/>
                <w:szCs w:val="36"/>
              </w:rPr>
            </w:pPr>
            <w:r w:rsidRPr="00641A6F">
              <w:rPr>
                <w:sz w:val="36"/>
                <w:szCs w:val="36"/>
              </w:rPr>
              <w:sym w:font="Wingdings" w:char="F0FC"/>
            </w:r>
          </w:p>
        </w:tc>
        <w:tc>
          <w:tcPr>
            <w:tcW w:w="851" w:type="dxa"/>
          </w:tcPr>
          <w:p w:rsidR="00C14611" w:rsidRPr="00641A6F" w:rsidRDefault="00C14611" w:rsidP="00C14611">
            <w:pPr>
              <w:jc w:val="center"/>
              <w:rPr>
                <w:sz w:val="36"/>
                <w:szCs w:val="36"/>
              </w:rPr>
            </w:pPr>
          </w:p>
        </w:tc>
      </w:tr>
    </w:tbl>
    <w:p w:rsidR="009A17A3" w:rsidRPr="003C18DC" w:rsidRDefault="009A17A3" w:rsidP="009A17A3">
      <w:pPr>
        <w:pStyle w:val="BodyText"/>
        <w:spacing w:before="130" w:after="130"/>
        <w:jc w:val="both"/>
        <w:rPr>
          <w:b/>
          <w:color w:val="8E258D"/>
          <w:sz w:val="24"/>
          <w:szCs w:val="24"/>
        </w:rPr>
      </w:pPr>
    </w:p>
    <w:p w:rsidR="00B0111E" w:rsidRDefault="00B0111E" w:rsidP="00B0111E">
      <w:pPr>
        <w:pStyle w:val="BodyText"/>
        <w:rPr>
          <w:b/>
          <w:color w:val="8E258D"/>
          <w:sz w:val="24"/>
          <w:szCs w:val="24"/>
        </w:rPr>
      </w:pPr>
    </w:p>
    <w:sectPr w:rsidR="00B0111E" w:rsidSect="00B0111E">
      <w:headerReference w:type="default" r:id="rId10"/>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6DC" w:rsidRDefault="00C536DC" w:rsidP="00B0111E">
      <w:pPr>
        <w:spacing w:after="0" w:line="240" w:lineRule="auto"/>
      </w:pPr>
      <w:r>
        <w:separator/>
      </w:r>
    </w:p>
  </w:endnote>
  <w:endnote w:type="continuationSeparator" w:id="0">
    <w:p w:rsidR="00C536DC" w:rsidRDefault="00C536DC" w:rsidP="00B0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6DC" w:rsidRDefault="00C536DC" w:rsidP="00B0111E">
      <w:pPr>
        <w:spacing w:after="0" w:line="240" w:lineRule="auto"/>
      </w:pPr>
      <w:r>
        <w:separator/>
      </w:r>
    </w:p>
  </w:footnote>
  <w:footnote w:type="continuationSeparator" w:id="0">
    <w:p w:rsidR="00C536DC" w:rsidRDefault="00C536DC" w:rsidP="00B01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DB" w:rsidRDefault="00784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3ED"/>
    <w:multiLevelType w:val="hybridMultilevel"/>
    <w:tmpl w:val="5DC0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70431F"/>
    <w:multiLevelType w:val="hybridMultilevel"/>
    <w:tmpl w:val="94CAA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01ECE"/>
    <w:multiLevelType w:val="hybridMultilevel"/>
    <w:tmpl w:val="18422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F6133"/>
    <w:multiLevelType w:val="hybridMultilevel"/>
    <w:tmpl w:val="5F443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F5E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2C3953"/>
    <w:multiLevelType w:val="hybridMultilevel"/>
    <w:tmpl w:val="B4C21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61CA9"/>
    <w:multiLevelType w:val="singleLevel"/>
    <w:tmpl w:val="94FAD35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643627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3049"/>
    <w:multiLevelType w:val="hybridMultilevel"/>
    <w:tmpl w:val="4190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676179"/>
    <w:multiLevelType w:val="hybridMultilevel"/>
    <w:tmpl w:val="026AD856"/>
    <w:lvl w:ilvl="0" w:tplc="75B41BA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FC237A"/>
    <w:multiLevelType w:val="multilevel"/>
    <w:tmpl w:val="0C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0"/>
  </w:num>
  <w:num w:numId="4">
    <w:abstractNumId w:val="10"/>
  </w:num>
  <w:num w:numId="5">
    <w:abstractNumId w:val="4"/>
  </w:num>
  <w:num w:numId="6">
    <w:abstractNumId w:val="2"/>
  </w:num>
  <w:num w:numId="7">
    <w:abstractNumId w:val="3"/>
  </w:num>
  <w:num w:numId="8">
    <w:abstractNumId w:val="5"/>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88"/>
    <w:rsid w:val="0000674A"/>
    <w:rsid w:val="00091FF0"/>
    <w:rsid w:val="00102B18"/>
    <w:rsid w:val="00197FD7"/>
    <w:rsid w:val="001E0B1F"/>
    <w:rsid w:val="001E1EB3"/>
    <w:rsid w:val="00235F99"/>
    <w:rsid w:val="002808BC"/>
    <w:rsid w:val="002A55B3"/>
    <w:rsid w:val="00325983"/>
    <w:rsid w:val="00364697"/>
    <w:rsid w:val="00430866"/>
    <w:rsid w:val="004631AD"/>
    <w:rsid w:val="00474C1D"/>
    <w:rsid w:val="00510EEE"/>
    <w:rsid w:val="00543F5A"/>
    <w:rsid w:val="00582114"/>
    <w:rsid w:val="005A2B14"/>
    <w:rsid w:val="005C7070"/>
    <w:rsid w:val="005E54C0"/>
    <w:rsid w:val="005F0052"/>
    <w:rsid w:val="00606B2E"/>
    <w:rsid w:val="0063540B"/>
    <w:rsid w:val="00641A6F"/>
    <w:rsid w:val="0066348F"/>
    <w:rsid w:val="006B7034"/>
    <w:rsid w:val="00733FC6"/>
    <w:rsid w:val="00753CC1"/>
    <w:rsid w:val="007840DB"/>
    <w:rsid w:val="007D0430"/>
    <w:rsid w:val="00815FDD"/>
    <w:rsid w:val="0083765A"/>
    <w:rsid w:val="0085000C"/>
    <w:rsid w:val="00854496"/>
    <w:rsid w:val="008A1AA7"/>
    <w:rsid w:val="008C651B"/>
    <w:rsid w:val="00980D8E"/>
    <w:rsid w:val="009A17A3"/>
    <w:rsid w:val="009B715E"/>
    <w:rsid w:val="00A817E1"/>
    <w:rsid w:val="00A90913"/>
    <w:rsid w:val="00B0111E"/>
    <w:rsid w:val="00B27008"/>
    <w:rsid w:val="00B95E81"/>
    <w:rsid w:val="00BE3580"/>
    <w:rsid w:val="00C14611"/>
    <w:rsid w:val="00C43CD3"/>
    <w:rsid w:val="00C536DC"/>
    <w:rsid w:val="00C8271C"/>
    <w:rsid w:val="00D13CEB"/>
    <w:rsid w:val="00D26875"/>
    <w:rsid w:val="00D310FB"/>
    <w:rsid w:val="00D91BDC"/>
    <w:rsid w:val="00DB1F7A"/>
    <w:rsid w:val="00E55E6D"/>
    <w:rsid w:val="00EE1093"/>
    <w:rsid w:val="00EF6305"/>
    <w:rsid w:val="00F05977"/>
    <w:rsid w:val="00FD7388"/>
    <w:rsid w:val="00FE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54C30A7-203D-49D5-B248-AE9BE0F4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111E"/>
    <w:pPr>
      <w:spacing w:before="120" w:after="120" w:line="240" w:lineRule="auto"/>
    </w:pPr>
    <w:rPr>
      <w:rFonts w:eastAsia="Batang" w:cs="Arial"/>
      <w:sz w:val="20"/>
      <w:szCs w:val="20"/>
      <w:lang w:eastAsia="ko-KR"/>
    </w:rPr>
  </w:style>
  <w:style w:type="character" w:customStyle="1" w:styleId="BodyTextChar">
    <w:name w:val="Body Text Char"/>
    <w:basedOn w:val="DefaultParagraphFont"/>
    <w:link w:val="BodyText"/>
    <w:uiPriority w:val="1"/>
    <w:rsid w:val="00B0111E"/>
    <w:rPr>
      <w:rFonts w:eastAsia="Batang" w:cs="Arial"/>
      <w:sz w:val="20"/>
      <w:szCs w:val="20"/>
      <w:lang w:eastAsia="ko-KR"/>
    </w:rPr>
  </w:style>
  <w:style w:type="paragraph" w:styleId="FootnoteText">
    <w:name w:val="footnote text"/>
    <w:aliases w:val="(NECG) Footnote Text,ALTS FOOTNOTE"/>
    <w:basedOn w:val="Normal"/>
    <w:link w:val="FootnoteTextChar"/>
    <w:qFormat/>
    <w:rsid w:val="00B0111E"/>
    <w:pPr>
      <w:spacing w:before="120" w:after="0" w:line="260" w:lineRule="atLeast"/>
    </w:pPr>
    <w:rPr>
      <w:rFonts w:eastAsia="Batang" w:cs="Times New Roman"/>
      <w:sz w:val="18"/>
      <w:szCs w:val="20"/>
      <w:lang w:eastAsia="ko-KR"/>
    </w:rPr>
  </w:style>
  <w:style w:type="character" w:customStyle="1" w:styleId="FootnoteTextChar">
    <w:name w:val="Footnote Text Char"/>
    <w:aliases w:val="(NECG) Footnote Text Char,ALTS FOOTNOTE Char"/>
    <w:basedOn w:val="DefaultParagraphFont"/>
    <w:link w:val="FootnoteText"/>
    <w:rsid w:val="00B0111E"/>
    <w:rPr>
      <w:rFonts w:eastAsia="Batang" w:cs="Times New Roman"/>
      <w:sz w:val="18"/>
      <w:szCs w:val="20"/>
      <w:lang w:eastAsia="ko-KR"/>
    </w:rPr>
  </w:style>
  <w:style w:type="character" w:styleId="FootnoteReference">
    <w:name w:val="footnote reference"/>
    <w:aliases w:val="(NECG) Footnote Reference"/>
    <w:basedOn w:val="DefaultParagraphFont"/>
    <w:unhideWhenUsed/>
    <w:rsid w:val="00B0111E"/>
    <w:rPr>
      <w:vertAlign w:val="superscript"/>
    </w:rPr>
  </w:style>
  <w:style w:type="paragraph" w:styleId="Header">
    <w:name w:val="header"/>
    <w:basedOn w:val="Normal"/>
    <w:link w:val="HeaderChar"/>
    <w:uiPriority w:val="99"/>
    <w:unhideWhenUsed/>
    <w:rsid w:val="00784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0DB"/>
  </w:style>
  <w:style w:type="paragraph" w:styleId="Footer">
    <w:name w:val="footer"/>
    <w:basedOn w:val="Normal"/>
    <w:link w:val="FooterChar"/>
    <w:uiPriority w:val="99"/>
    <w:unhideWhenUsed/>
    <w:rsid w:val="00784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0DB"/>
  </w:style>
  <w:style w:type="paragraph" w:styleId="ListParagraph">
    <w:name w:val="List Paragraph"/>
    <w:basedOn w:val="Normal"/>
    <w:uiPriority w:val="34"/>
    <w:qFormat/>
    <w:rsid w:val="007840DB"/>
    <w:pPr>
      <w:ind w:left="720"/>
      <w:contextualSpacing/>
    </w:pPr>
  </w:style>
  <w:style w:type="table" w:styleId="TableGrid">
    <w:name w:val="Table Grid"/>
    <w:basedOn w:val="TableNormal"/>
    <w:uiPriority w:val="59"/>
    <w:rsid w:val="009A1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93"/>
    <w:rPr>
      <w:rFonts w:ascii="Tahoma" w:hAnsi="Tahoma" w:cs="Tahoma"/>
      <w:sz w:val="16"/>
      <w:szCs w:val="16"/>
    </w:rPr>
  </w:style>
  <w:style w:type="character" w:styleId="Hyperlink">
    <w:name w:val="Hyperlink"/>
    <w:basedOn w:val="DefaultParagraphFont"/>
    <w:uiPriority w:val="99"/>
    <w:unhideWhenUsed/>
    <w:rsid w:val="00280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services.act.gov.au/hcs/community-sector-re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ustrystrategy@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D8EB-91A1-4FF1-BB82-DD5830C6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samq</dc:creator>
  <cp:lastModifiedBy>Samantha Quimby</cp:lastModifiedBy>
  <cp:revision>15</cp:revision>
  <cp:lastPrinted>2017-08-03T06:30:00Z</cp:lastPrinted>
  <dcterms:created xsi:type="dcterms:W3CDTF">2017-08-04T04:38:00Z</dcterms:created>
  <dcterms:modified xsi:type="dcterms:W3CDTF">2018-03-09T04:16:00Z</dcterms:modified>
</cp:coreProperties>
</file>