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3F" w:rsidRDefault="00A3653F" w:rsidP="00A3653F">
      <w:pPr>
        <w:pStyle w:val="Heading1"/>
        <w:rPr>
          <w:lang w:eastAsia="en-US"/>
        </w:rPr>
      </w:pPr>
      <w:r>
        <w:rPr>
          <w:lang w:eastAsia="en-US"/>
        </w:rPr>
        <w:t>Briefing on Implementation of the ACT Community Services Industry Strategy 2016-2026</w:t>
      </w:r>
    </w:p>
    <w:p w:rsidR="00A3653F" w:rsidRDefault="00A3653F" w:rsidP="00A3653F">
      <w:pPr>
        <w:pStyle w:val="Heading2"/>
        <w:rPr>
          <w:lang w:eastAsia="en-US"/>
        </w:rPr>
      </w:pPr>
      <w:r w:rsidRPr="006E4EA6">
        <w:rPr>
          <w:lang w:eastAsia="en-US"/>
        </w:rPr>
        <w:t>Background</w:t>
      </w:r>
      <w:bookmarkStart w:id="0" w:name="_GoBack"/>
      <w:bookmarkEnd w:id="0"/>
    </w:p>
    <w:p w:rsidR="00D84986" w:rsidRDefault="00A3653F" w:rsidP="00D84986">
      <w:pPr>
        <w:rPr>
          <w:rFonts w:cs="Arial"/>
          <w:sz w:val="25"/>
          <w:szCs w:val="25"/>
          <w:lang w:eastAsia="en-AU"/>
        </w:rPr>
      </w:pPr>
      <w:r>
        <w:rPr>
          <w:lang w:eastAsia="en-US"/>
        </w:rPr>
        <w:t xml:space="preserve">The ACT Community Services Industry Strategy </w:t>
      </w:r>
      <w:r w:rsidR="00D84986">
        <w:rPr>
          <w:lang w:eastAsia="en-US"/>
        </w:rPr>
        <w:t xml:space="preserve">(available to download here: </w:t>
      </w:r>
      <w:hyperlink r:id="rId7" w:history="1">
        <w:r w:rsidR="00D84986" w:rsidRPr="00FA31BB">
          <w:rPr>
            <w:rStyle w:val="Hyperlink"/>
            <w:lang w:eastAsia="en-US"/>
          </w:rPr>
          <w:t>http://www.actcoss.org.au/sites/default/files/public/documents/2016-ACT-Community-Services-Industry-Strategy-pdf-version-1.pdf</w:t>
        </w:r>
      </w:hyperlink>
      <w:r w:rsidR="00D84986">
        <w:rPr>
          <w:lang w:eastAsia="en-US"/>
        </w:rPr>
        <w:t xml:space="preserve"> ) </w:t>
      </w:r>
      <w:r>
        <w:rPr>
          <w:lang w:eastAsia="en-US"/>
        </w:rPr>
        <w:t xml:space="preserve">was developed </w:t>
      </w:r>
      <w:r w:rsidR="00D84986">
        <w:rPr>
          <w:lang w:eastAsia="en-US"/>
        </w:rPr>
        <w:t>because it was recognised that a</w:t>
      </w:r>
      <w:r w:rsidR="00D84986" w:rsidRPr="00D84986">
        <w:rPr>
          <w:rFonts w:cs="Arial"/>
          <w:sz w:val="25"/>
          <w:szCs w:val="25"/>
          <w:lang w:eastAsia="en-AU"/>
        </w:rPr>
        <w:t xml:space="preserve">lthough </w:t>
      </w:r>
      <w:r w:rsidR="00D84986">
        <w:rPr>
          <w:rFonts w:cs="Arial"/>
          <w:sz w:val="25"/>
          <w:szCs w:val="25"/>
          <w:lang w:eastAsia="en-AU"/>
        </w:rPr>
        <w:t xml:space="preserve">community services are </w:t>
      </w:r>
      <w:r w:rsidR="00D84986" w:rsidRPr="00D84986">
        <w:rPr>
          <w:rFonts w:cs="Arial"/>
          <w:sz w:val="25"/>
          <w:szCs w:val="25"/>
          <w:lang w:eastAsia="en-AU"/>
        </w:rPr>
        <w:t xml:space="preserve">well-established, </w:t>
      </w:r>
      <w:r w:rsidR="00D84986">
        <w:rPr>
          <w:rFonts w:cs="Arial"/>
          <w:sz w:val="25"/>
          <w:szCs w:val="25"/>
          <w:lang w:eastAsia="en-AU"/>
        </w:rPr>
        <w:t>they are</w:t>
      </w:r>
      <w:r w:rsidR="00D84986" w:rsidRPr="00D84986">
        <w:rPr>
          <w:rFonts w:cs="Arial"/>
          <w:sz w:val="25"/>
          <w:szCs w:val="25"/>
          <w:lang w:eastAsia="en-AU"/>
        </w:rPr>
        <w:t xml:space="preserve"> undergoing a period of significant change, with new models of service delivery, new ways of doing business, and a stronger focus on achieving social and economic outcomes. </w:t>
      </w:r>
    </w:p>
    <w:p w:rsidR="00D84986" w:rsidRDefault="00D84986" w:rsidP="00D84986">
      <w:pPr>
        <w:rPr>
          <w:rFonts w:cs="Arial"/>
          <w:sz w:val="25"/>
          <w:szCs w:val="25"/>
          <w:lang w:eastAsia="en-AU"/>
        </w:rPr>
      </w:pPr>
    </w:p>
    <w:p w:rsidR="00D84986" w:rsidRDefault="00D84986" w:rsidP="00D84986">
      <w:pPr>
        <w:rPr>
          <w:rFonts w:cs="Arial"/>
          <w:sz w:val="25"/>
          <w:szCs w:val="25"/>
          <w:lang w:eastAsia="en-AU"/>
        </w:rPr>
      </w:pPr>
      <w:r w:rsidRPr="00D84986">
        <w:rPr>
          <w:rFonts w:cs="Arial"/>
          <w:sz w:val="25"/>
          <w:szCs w:val="25"/>
          <w:lang w:eastAsia="en-AU"/>
        </w:rPr>
        <w:t>The Industry Strategy</w:t>
      </w:r>
      <w:r>
        <w:rPr>
          <w:rFonts w:cs="Arial"/>
          <w:sz w:val="25"/>
          <w:szCs w:val="25"/>
          <w:lang w:eastAsia="en-AU"/>
        </w:rPr>
        <w:t xml:space="preserve"> </w:t>
      </w:r>
      <w:r w:rsidRPr="00D84986">
        <w:rPr>
          <w:rFonts w:cs="Arial"/>
          <w:sz w:val="25"/>
          <w:szCs w:val="25"/>
          <w:lang w:eastAsia="en-AU"/>
        </w:rPr>
        <w:t>w</w:t>
      </w:r>
      <w:r>
        <w:rPr>
          <w:rFonts w:cs="Arial"/>
          <w:sz w:val="25"/>
          <w:szCs w:val="25"/>
          <w:lang w:eastAsia="en-AU"/>
        </w:rPr>
        <w:t>as developed to</w:t>
      </w:r>
      <w:r w:rsidRPr="00D84986">
        <w:rPr>
          <w:rFonts w:cs="Arial"/>
          <w:sz w:val="25"/>
          <w:szCs w:val="25"/>
          <w:lang w:eastAsia="en-AU"/>
        </w:rPr>
        <w:t xml:space="preserve"> help community services </w:t>
      </w:r>
      <w:r w:rsidR="00B76669">
        <w:rPr>
          <w:rFonts w:cs="Arial"/>
          <w:sz w:val="25"/>
          <w:szCs w:val="25"/>
          <w:lang w:eastAsia="en-AU"/>
        </w:rPr>
        <w:t xml:space="preserve">and funders to </w:t>
      </w:r>
      <w:r w:rsidRPr="00D84986">
        <w:rPr>
          <w:rFonts w:cs="Arial"/>
          <w:sz w:val="25"/>
          <w:szCs w:val="25"/>
          <w:lang w:eastAsia="en-AU"/>
        </w:rPr>
        <w:t xml:space="preserve">navigate this period of change and </w:t>
      </w:r>
      <w:r w:rsidR="00B76669">
        <w:rPr>
          <w:rFonts w:cs="Arial"/>
          <w:sz w:val="25"/>
          <w:szCs w:val="25"/>
          <w:lang w:eastAsia="en-AU"/>
        </w:rPr>
        <w:t xml:space="preserve">jointly contribute to </w:t>
      </w:r>
      <w:r w:rsidRPr="00D84986">
        <w:rPr>
          <w:rFonts w:cs="Arial"/>
          <w:sz w:val="25"/>
          <w:szCs w:val="25"/>
          <w:lang w:eastAsia="en-AU"/>
        </w:rPr>
        <w:t>grow</w:t>
      </w:r>
      <w:r w:rsidR="00B76669">
        <w:rPr>
          <w:rFonts w:cs="Arial"/>
          <w:sz w:val="25"/>
          <w:szCs w:val="25"/>
          <w:lang w:eastAsia="en-AU"/>
        </w:rPr>
        <w:t>ing</w:t>
      </w:r>
      <w:r>
        <w:rPr>
          <w:rFonts w:cs="Arial"/>
          <w:sz w:val="25"/>
          <w:szCs w:val="25"/>
          <w:lang w:eastAsia="en-AU"/>
        </w:rPr>
        <w:t xml:space="preserve"> </w:t>
      </w:r>
      <w:r w:rsidRPr="00D84986">
        <w:rPr>
          <w:rFonts w:cs="Arial"/>
          <w:sz w:val="25"/>
          <w:szCs w:val="25"/>
          <w:lang w:eastAsia="en-AU"/>
        </w:rPr>
        <w:t xml:space="preserve">a strong and sustainable industry into the future. </w:t>
      </w:r>
      <w:r>
        <w:rPr>
          <w:rFonts w:cs="Arial"/>
          <w:sz w:val="25"/>
          <w:szCs w:val="25"/>
          <w:lang w:eastAsia="en-AU"/>
        </w:rPr>
        <w:t>The ACT Government recognised that d</w:t>
      </w:r>
      <w:r w:rsidRPr="00D84986">
        <w:rPr>
          <w:rFonts w:cs="Arial"/>
          <w:sz w:val="25"/>
          <w:szCs w:val="25"/>
          <w:lang w:eastAsia="en-AU"/>
        </w:rPr>
        <w:t>evelopment of a strong industry will have significant</w:t>
      </w:r>
      <w:r>
        <w:rPr>
          <w:rFonts w:cs="Arial"/>
          <w:sz w:val="25"/>
          <w:szCs w:val="25"/>
          <w:lang w:eastAsia="en-AU"/>
        </w:rPr>
        <w:t xml:space="preserve"> </w:t>
      </w:r>
      <w:r w:rsidRPr="00D84986">
        <w:rPr>
          <w:rFonts w:cs="Arial"/>
          <w:sz w:val="25"/>
          <w:szCs w:val="25"/>
          <w:lang w:eastAsia="en-AU"/>
        </w:rPr>
        <w:t>benefits not only for the community but also for</w:t>
      </w:r>
      <w:r>
        <w:rPr>
          <w:rFonts w:cs="Arial"/>
          <w:sz w:val="25"/>
          <w:szCs w:val="25"/>
          <w:lang w:eastAsia="en-AU"/>
        </w:rPr>
        <w:t xml:space="preserve"> </w:t>
      </w:r>
      <w:r w:rsidRPr="00D84986">
        <w:rPr>
          <w:rFonts w:cs="Arial"/>
          <w:sz w:val="25"/>
          <w:szCs w:val="25"/>
          <w:lang w:eastAsia="en-AU"/>
        </w:rPr>
        <w:t>government.</w:t>
      </w:r>
    </w:p>
    <w:p w:rsidR="00D84986" w:rsidRPr="00D84986" w:rsidRDefault="00D84986" w:rsidP="00D84986">
      <w:pPr>
        <w:rPr>
          <w:rFonts w:cs="Arial"/>
          <w:sz w:val="25"/>
          <w:szCs w:val="25"/>
          <w:lang w:eastAsia="en-AU"/>
        </w:rPr>
      </w:pPr>
    </w:p>
    <w:p w:rsidR="00A3653F" w:rsidRPr="00B76669" w:rsidRDefault="00D84986" w:rsidP="00B76669">
      <w:pPr>
        <w:rPr>
          <w:rFonts w:cs="Arial"/>
          <w:sz w:val="25"/>
          <w:szCs w:val="25"/>
          <w:lang w:eastAsia="en-AU"/>
        </w:rPr>
      </w:pPr>
      <w:r w:rsidRPr="00B76669">
        <w:rPr>
          <w:rFonts w:cs="Arial"/>
          <w:sz w:val="25"/>
          <w:szCs w:val="25"/>
          <w:lang w:eastAsia="en-AU"/>
        </w:rPr>
        <w:t xml:space="preserve">ACTCOSS believed it was critical to </w:t>
      </w:r>
      <w:r w:rsidR="00A3653F" w:rsidRPr="00B76669">
        <w:rPr>
          <w:rFonts w:cs="Arial"/>
          <w:sz w:val="25"/>
          <w:szCs w:val="25"/>
          <w:lang w:eastAsia="en-AU"/>
        </w:rPr>
        <w:t>explore why and how government and services are working differently to address the causes of inequality and exclusion, respond</w:t>
      </w:r>
      <w:r w:rsidRPr="00B76669">
        <w:rPr>
          <w:rFonts w:cs="Arial"/>
          <w:sz w:val="25"/>
          <w:szCs w:val="25"/>
          <w:lang w:eastAsia="en-AU"/>
        </w:rPr>
        <w:t>ing</w:t>
      </w:r>
      <w:r w:rsidR="00A3653F" w:rsidRPr="00B76669">
        <w:rPr>
          <w:rFonts w:cs="Arial"/>
          <w:sz w:val="25"/>
          <w:szCs w:val="25"/>
          <w:lang w:eastAsia="en-AU"/>
        </w:rPr>
        <w:t xml:space="preserve"> effectively to the needs of our community now and into the future, and </w:t>
      </w:r>
      <w:r w:rsidR="00B76669">
        <w:rPr>
          <w:rFonts w:cs="Arial"/>
          <w:sz w:val="25"/>
          <w:szCs w:val="25"/>
          <w:lang w:eastAsia="en-AU"/>
        </w:rPr>
        <w:t xml:space="preserve">better </w:t>
      </w:r>
      <w:r w:rsidR="00A3653F" w:rsidRPr="00B76669">
        <w:rPr>
          <w:rFonts w:cs="Arial"/>
          <w:sz w:val="25"/>
          <w:szCs w:val="25"/>
          <w:lang w:eastAsia="en-AU"/>
        </w:rPr>
        <w:t>align</w:t>
      </w:r>
      <w:r w:rsidRPr="00B76669">
        <w:rPr>
          <w:rFonts w:cs="Arial"/>
          <w:sz w:val="25"/>
          <w:szCs w:val="25"/>
          <w:lang w:eastAsia="en-AU"/>
        </w:rPr>
        <w:t>ing</w:t>
      </w:r>
      <w:r w:rsidR="00A3653F" w:rsidRPr="00B76669">
        <w:rPr>
          <w:rFonts w:cs="Arial"/>
          <w:sz w:val="25"/>
          <w:szCs w:val="25"/>
          <w:lang w:eastAsia="en-AU"/>
        </w:rPr>
        <w:t xml:space="preserve"> organisation goals and structures to the expectations of people who access services, workers, volunteers, governing bodies and funders</w:t>
      </w:r>
      <w:r w:rsidRPr="00B76669">
        <w:rPr>
          <w:rFonts w:cs="Arial"/>
          <w:sz w:val="25"/>
          <w:szCs w:val="25"/>
          <w:lang w:eastAsia="en-AU"/>
        </w:rPr>
        <w:t>.</w:t>
      </w:r>
    </w:p>
    <w:p w:rsidR="00B76669" w:rsidRDefault="00B76669" w:rsidP="00B76669">
      <w:pPr>
        <w:rPr>
          <w:rFonts w:cs="Arial"/>
          <w:sz w:val="25"/>
          <w:szCs w:val="25"/>
          <w:lang w:eastAsia="en-AU"/>
        </w:rPr>
      </w:pPr>
    </w:p>
    <w:p w:rsidR="00DD7B37" w:rsidRPr="00B76669" w:rsidRDefault="00DD7B37" w:rsidP="00B76669">
      <w:pPr>
        <w:rPr>
          <w:rFonts w:cs="Arial"/>
          <w:sz w:val="25"/>
          <w:szCs w:val="25"/>
          <w:lang w:eastAsia="en-AU"/>
        </w:rPr>
      </w:pPr>
      <w:r w:rsidRPr="00B76669">
        <w:rPr>
          <w:rFonts w:cs="Arial"/>
          <w:sz w:val="25"/>
          <w:szCs w:val="25"/>
          <w:lang w:eastAsia="en-AU"/>
        </w:rPr>
        <w:t>The Industry Strategy says an inclusive, equitable and sustainable Community Services Industry will:</w:t>
      </w:r>
    </w:p>
    <w:p w:rsidR="00DD7B37" w:rsidRPr="00B76669" w:rsidRDefault="00DD7B37" w:rsidP="00B76669">
      <w:pPr>
        <w:pStyle w:val="ListParagraph"/>
        <w:numPr>
          <w:ilvl w:val="0"/>
          <w:numId w:val="5"/>
        </w:numPr>
        <w:rPr>
          <w:rFonts w:cs="Arial"/>
          <w:sz w:val="25"/>
          <w:szCs w:val="25"/>
          <w:lang w:eastAsia="en-AU"/>
        </w:rPr>
      </w:pPr>
      <w:r w:rsidRPr="00B76669">
        <w:rPr>
          <w:rFonts w:cs="Arial"/>
          <w:sz w:val="25"/>
          <w:szCs w:val="25"/>
          <w:lang w:eastAsia="en-AU"/>
        </w:rPr>
        <w:t>Deliver quality services to create more connected communities which will support vulnerable individuals and families  to be empowered and to fully participate in their communities and to take charge of their own future</w:t>
      </w:r>
    </w:p>
    <w:p w:rsidR="00DD7B37" w:rsidRPr="00B76669" w:rsidRDefault="00DD7B37" w:rsidP="00B76669">
      <w:pPr>
        <w:pStyle w:val="ListParagraph"/>
        <w:numPr>
          <w:ilvl w:val="0"/>
          <w:numId w:val="5"/>
        </w:numPr>
        <w:rPr>
          <w:rFonts w:cs="Arial"/>
          <w:sz w:val="25"/>
          <w:szCs w:val="25"/>
          <w:lang w:eastAsia="en-AU"/>
        </w:rPr>
      </w:pPr>
      <w:r w:rsidRPr="00B76669">
        <w:rPr>
          <w:rFonts w:cs="Arial"/>
          <w:sz w:val="25"/>
          <w:szCs w:val="25"/>
          <w:lang w:eastAsia="en-AU"/>
        </w:rPr>
        <w:t>Undertake community development to create social value, build social capital and improve living conditions</w:t>
      </w:r>
    </w:p>
    <w:p w:rsidR="00DD7B37" w:rsidRPr="00B76669" w:rsidRDefault="00DD7B37" w:rsidP="00B76669">
      <w:pPr>
        <w:pStyle w:val="ListParagraph"/>
        <w:numPr>
          <w:ilvl w:val="0"/>
          <w:numId w:val="5"/>
        </w:numPr>
        <w:rPr>
          <w:rFonts w:cs="Arial"/>
          <w:sz w:val="25"/>
          <w:szCs w:val="25"/>
          <w:lang w:eastAsia="en-AU"/>
        </w:rPr>
      </w:pPr>
      <w:r w:rsidRPr="00B76669">
        <w:rPr>
          <w:rFonts w:cs="Arial"/>
          <w:sz w:val="25"/>
          <w:szCs w:val="25"/>
          <w:lang w:eastAsia="en-AU"/>
        </w:rPr>
        <w:t>Put the needs of our clients and communities at the centre of everything we do</w:t>
      </w:r>
    </w:p>
    <w:p w:rsidR="00DD7B37" w:rsidRPr="00B76669" w:rsidRDefault="00DD7B37" w:rsidP="00B76669">
      <w:pPr>
        <w:pStyle w:val="ListParagraph"/>
        <w:numPr>
          <w:ilvl w:val="0"/>
          <w:numId w:val="5"/>
        </w:numPr>
        <w:rPr>
          <w:rFonts w:cs="Arial"/>
          <w:sz w:val="25"/>
          <w:szCs w:val="25"/>
          <w:lang w:eastAsia="en-AU"/>
        </w:rPr>
      </w:pPr>
      <w:r w:rsidRPr="00B76669">
        <w:rPr>
          <w:rFonts w:cs="Arial"/>
          <w:sz w:val="25"/>
          <w:szCs w:val="25"/>
          <w:lang w:eastAsia="en-AU"/>
        </w:rPr>
        <w:t>Be a trusted voice on the needs of our communities with a strong evidence base that will shape policies and engage in social planning fo</w:t>
      </w:r>
      <w:r w:rsidR="00B76669">
        <w:rPr>
          <w:rFonts w:cs="Arial"/>
          <w:sz w:val="25"/>
          <w:szCs w:val="25"/>
          <w:lang w:eastAsia="en-AU"/>
        </w:rPr>
        <w:t>r the Territory and its regions</w:t>
      </w:r>
    </w:p>
    <w:p w:rsidR="001D6500" w:rsidRPr="00B76669" w:rsidRDefault="001D6500" w:rsidP="00B76669">
      <w:pPr>
        <w:rPr>
          <w:rFonts w:cs="Arial"/>
          <w:sz w:val="25"/>
          <w:szCs w:val="25"/>
          <w:lang w:eastAsia="en-AU"/>
        </w:rPr>
      </w:pPr>
      <w:r w:rsidRPr="00B76669">
        <w:rPr>
          <w:rFonts w:cs="Arial"/>
          <w:sz w:val="25"/>
          <w:szCs w:val="25"/>
          <w:lang w:eastAsia="en-AU"/>
        </w:rPr>
        <w:br w:type="page"/>
      </w:r>
    </w:p>
    <w:p w:rsidR="00A3653F" w:rsidRPr="00D84986" w:rsidRDefault="00A3653F" w:rsidP="00A3653F">
      <w:pPr>
        <w:pStyle w:val="BodyText"/>
        <w:spacing w:before="130" w:after="130"/>
        <w:jc w:val="both"/>
      </w:pPr>
      <w:r w:rsidRPr="00D84986">
        <w:lastRenderedPageBreak/>
        <w:t xml:space="preserve">The </w:t>
      </w:r>
      <w:r w:rsidR="001D6500" w:rsidRPr="00D84986">
        <w:t xml:space="preserve">Industry Strategy </w:t>
      </w:r>
      <w:r w:rsidRPr="00D84986">
        <w:t xml:space="preserve">was developed over the </w:t>
      </w:r>
      <w:r w:rsidR="00B76669">
        <w:t>past two years</w:t>
      </w:r>
      <w:r w:rsidR="00D84986">
        <w:t>:</w:t>
      </w:r>
    </w:p>
    <w:tbl>
      <w:tblPr>
        <w:tblStyle w:val="TableGrid"/>
        <w:tblW w:w="9209" w:type="dxa"/>
        <w:tblLook w:val="04A0" w:firstRow="1" w:lastRow="0" w:firstColumn="1" w:lastColumn="0" w:noHBand="0" w:noVBand="1"/>
      </w:tblPr>
      <w:tblGrid>
        <w:gridCol w:w="1980"/>
        <w:gridCol w:w="7229"/>
      </w:tblGrid>
      <w:tr w:rsidR="00D01B5F" w:rsidTr="00D01B5F">
        <w:tc>
          <w:tcPr>
            <w:tcW w:w="1980" w:type="dxa"/>
          </w:tcPr>
          <w:p w:rsidR="00D01B5F" w:rsidRDefault="00D01B5F" w:rsidP="00A87D61">
            <w:r>
              <w:t>December 2015</w:t>
            </w:r>
          </w:p>
        </w:tc>
        <w:tc>
          <w:tcPr>
            <w:tcW w:w="7229" w:type="dxa"/>
          </w:tcPr>
          <w:p w:rsidR="00D01B5F" w:rsidRDefault="00D01B5F" w:rsidP="00A87D61">
            <w:r>
              <w:t>CSD convenes a forum for JCGRG members and the Community Sector Reform Advisory Group to consider the need for a Community Services Industry Strategy.</w:t>
            </w:r>
          </w:p>
        </w:tc>
      </w:tr>
      <w:tr w:rsidR="00DD7B37" w:rsidTr="00D01B5F">
        <w:tc>
          <w:tcPr>
            <w:tcW w:w="1980" w:type="dxa"/>
          </w:tcPr>
          <w:p w:rsidR="00DD7B37" w:rsidRDefault="00DD7B37" w:rsidP="00A87D61">
            <w:r>
              <w:t>January – May 2016</w:t>
            </w:r>
          </w:p>
        </w:tc>
        <w:tc>
          <w:tcPr>
            <w:tcW w:w="7229" w:type="dxa"/>
          </w:tcPr>
          <w:p w:rsidR="00DD7B37" w:rsidRDefault="00DD7B37" w:rsidP="00A87D61">
            <w:r>
              <w:t>Community organisations engaged by KPMG via focus groups and interviews to provide insights and concerns regarding development of sustainable community services in the ACT and region.</w:t>
            </w:r>
          </w:p>
        </w:tc>
      </w:tr>
      <w:tr w:rsidR="00DD7B37" w:rsidTr="00D01B5F">
        <w:tc>
          <w:tcPr>
            <w:tcW w:w="1980" w:type="dxa"/>
          </w:tcPr>
          <w:p w:rsidR="00DD7B37" w:rsidRDefault="00DD7B37" w:rsidP="00A87D61">
            <w:r>
              <w:t>January – May 2016</w:t>
            </w:r>
          </w:p>
        </w:tc>
        <w:tc>
          <w:tcPr>
            <w:tcW w:w="7229" w:type="dxa"/>
          </w:tcPr>
          <w:p w:rsidR="00DD7B37" w:rsidRDefault="00DD7B37" w:rsidP="00D84986">
            <w:r>
              <w:t>Research and briefings shared by ACTCOSS with community organisations and government officials to inform consideration of previous investment and future need for investment in development of effective community services.</w:t>
            </w:r>
          </w:p>
        </w:tc>
      </w:tr>
      <w:tr w:rsidR="00DD7B37" w:rsidTr="00D01B5F">
        <w:tc>
          <w:tcPr>
            <w:tcW w:w="1980" w:type="dxa"/>
          </w:tcPr>
          <w:p w:rsidR="00DD7B37" w:rsidRDefault="00DD7B37" w:rsidP="00A87D61">
            <w:r>
              <w:t>May 2016</w:t>
            </w:r>
          </w:p>
        </w:tc>
        <w:tc>
          <w:tcPr>
            <w:tcW w:w="7229" w:type="dxa"/>
          </w:tcPr>
          <w:p w:rsidR="00DD7B37" w:rsidRDefault="00DD7B37" w:rsidP="00A87D61">
            <w:r>
              <w:t>Workshop was held by KPMG to guide the development of the Industry Strategy. In this workshop a number of activities and ideas were captured.</w:t>
            </w:r>
          </w:p>
        </w:tc>
      </w:tr>
      <w:tr w:rsidR="00DD7B37" w:rsidTr="00D01B5F">
        <w:tc>
          <w:tcPr>
            <w:tcW w:w="1980" w:type="dxa"/>
          </w:tcPr>
          <w:p w:rsidR="00DD7B37" w:rsidRDefault="00DD7B37" w:rsidP="00A87D61">
            <w:r>
              <w:t>July 2016</w:t>
            </w:r>
          </w:p>
        </w:tc>
        <w:tc>
          <w:tcPr>
            <w:tcW w:w="7229" w:type="dxa"/>
          </w:tcPr>
          <w:p w:rsidR="00DD7B37" w:rsidRDefault="00DD7B37" w:rsidP="00DD7B37">
            <w:r>
              <w:t xml:space="preserve">Industry Strategy released. Can be accessed </w:t>
            </w:r>
            <w:hyperlink r:id="rId8" w:history="1">
              <w:r w:rsidRPr="00C77958">
                <w:rPr>
                  <w:rStyle w:val="Hyperlink"/>
                </w:rPr>
                <w:t>here</w:t>
              </w:r>
            </w:hyperlink>
            <w:r>
              <w:t>.</w:t>
            </w:r>
          </w:p>
        </w:tc>
      </w:tr>
      <w:tr w:rsidR="00DD7B37" w:rsidTr="00D01B5F">
        <w:tc>
          <w:tcPr>
            <w:tcW w:w="1980" w:type="dxa"/>
          </w:tcPr>
          <w:p w:rsidR="00DD7B37" w:rsidRDefault="00DD7B37" w:rsidP="00A87D61">
            <w:r>
              <w:t>September 2016</w:t>
            </w:r>
          </w:p>
        </w:tc>
        <w:tc>
          <w:tcPr>
            <w:tcW w:w="7229" w:type="dxa"/>
          </w:tcPr>
          <w:p w:rsidR="00DD7B37" w:rsidRDefault="00DD7B37" w:rsidP="00A87D61">
            <w:r>
              <w:t>Commence Implementation of the Strategy.</w:t>
            </w:r>
          </w:p>
        </w:tc>
      </w:tr>
      <w:tr w:rsidR="00DD7B37" w:rsidTr="00D01B5F">
        <w:tc>
          <w:tcPr>
            <w:tcW w:w="1980" w:type="dxa"/>
          </w:tcPr>
          <w:p w:rsidR="00DD7B37" w:rsidRDefault="00DD7B37" w:rsidP="00A87D61">
            <w:r>
              <w:t>November 2016</w:t>
            </w:r>
          </w:p>
        </w:tc>
        <w:tc>
          <w:tcPr>
            <w:tcW w:w="7229" w:type="dxa"/>
          </w:tcPr>
          <w:p w:rsidR="00DD7B37" w:rsidRDefault="00DD7B37" w:rsidP="00DD7B37">
            <w:r>
              <w:t xml:space="preserve">JCGRG agreed to develop three </w:t>
            </w:r>
            <w:proofErr w:type="spellStart"/>
            <w:r>
              <w:t>three</w:t>
            </w:r>
            <w:proofErr w:type="spellEnd"/>
            <w:r>
              <w:t xml:space="preserve"> year plans to guide the implementation of the strategy. Workforce capability development was highlighted as high priority.</w:t>
            </w:r>
          </w:p>
        </w:tc>
      </w:tr>
      <w:tr w:rsidR="00DD7B37" w:rsidTr="00D01B5F">
        <w:tc>
          <w:tcPr>
            <w:tcW w:w="1980" w:type="dxa"/>
          </w:tcPr>
          <w:p w:rsidR="00DD7B37" w:rsidRDefault="00DD7B37" w:rsidP="00A87D61">
            <w:r>
              <w:t>December 2016</w:t>
            </w:r>
          </w:p>
        </w:tc>
        <w:tc>
          <w:tcPr>
            <w:tcW w:w="7229" w:type="dxa"/>
          </w:tcPr>
          <w:p w:rsidR="00DD7B37" w:rsidRDefault="00DD7B37" w:rsidP="00DD7B37">
            <w:r>
              <w:t xml:space="preserve">ACT State of the Community Sector Report published. Can be accessed </w:t>
            </w:r>
            <w:hyperlink r:id="rId9" w:history="1">
              <w:r w:rsidRPr="00C77958">
                <w:rPr>
                  <w:rStyle w:val="Hyperlink"/>
                </w:rPr>
                <w:t>here</w:t>
              </w:r>
            </w:hyperlink>
            <w:r>
              <w:t>.</w:t>
            </w:r>
          </w:p>
        </w:tc>
      </w:tr>
      <w:tr w:rsidR="00DD7B37" w:rsidTr="00D01B5F">
        <w:tc>
          <w:tcPr>
            <w:tcW w:w="1980" w:type="dxa"/>
          </w:tcPr>
          <w:p w:rsidR="00DD7B37" w:rsidRDefault="00DD7B37" w:rsidP="00A87D61">
            <w:r>
              <w:t>Nov-Mar 2017</w:t>
            </w:r>
          </w:p>
        </w:tc>
        <w:tc>
          <w:tcPr>
            <w:tcW w:w="7229" w:type="dxa"/>
          </w:tcPr>
          <w:p w:rsidR="00DD7B37" w:rsidRDefault="00DD7B37" w:rsidP="00A87D61">
            <w:r>
              <w:t>ACTCOSS and Community Services Directorate (CSD) reviewed the current investment in workforce development by ACT Government at the request of JCGRG and reviewed alignment of current activities against the priorities identified in the Industry Strategy. An Industry Strategy Steering Group was established to oversight and guide implementation.</w:t>
            </w:r>
          </w:p>
        </w:tc>
      </w:tr>
      <w:tr w:rsidR="00DD7B37" w:rsidTr="00D01B5F">
        <w:tc>
          <w:tcPr>
            <w:tcW w:w="1980" w:type="dxa"/>
          </w:tcPr>
          <w:p w:rsidR="00DD7B37" w:rsidRDefault="00DD7B37" w:rsidP="00A87D61">
            <w:r>
              <w:t>June 2017</w:t>
            </w:r>
          </w:p>
        </w:tc>
        <w:tc>
          <w:tcPr>
            <w:tcW w:w="7229" w:type="dxa"/>
          </w:tcPr>
          <w:p w:rsidR="00DD7B37" w:rsidRDefault="00D01B5F" w:rsidP="00D01B5F">
            <w:r>
              <w:t>Stakeholder w</w:t>
            </w:r>
            <w:r w:rsidR="00DD7B37">
              <w:t xml:space="preserve">orkshop convened to identify priorities for a Workforce Plan.  Attended by 70 </w:t>
            </w:r>
            <w:r>
              <w:t xml:space="preserve">community </w:t>
            </w:r>
            <w:r w:rsidR="00DD7B37">
              <w:t>organisations</w:t>
            </w:r>
            <w:r>
              <w:t>, CSD, Skills Canberra and ACT Health</w:t>
            </w:r>
            <w:r w:rsidR="00DD7B37">
              <w:t>.</w:t>
            </w:r>
          </w:p>
        </w:tc>
      </w:tr>
      <w:tr w:rsidR="00DD7B37" w:rsidTr="00D01B5F">
        <w:tc>
          <w:tcPr>
            <w:tcW w:w="1980" w:type="dxa"/>
          </w:tcPr>
          <w:p w:rsidR="00DD7B37" w:rsidRDefault="00DD7B37" w:rsidP="00A87D61">
            <w:r>
              <w:t>July 2017</w:t>
            </w:r>
          </w:p>
        </w:tc>
        <w:tc>
          <w:tcPr>
            <w:tcW w:w="7229" w:type="dxa"/>
          </w:tcPr>
          <w:p w:rsidR="00DD7B37" w:rsidRDefault="00DD7B37" w:rsidP="00A87D61">
            <w:r>
              <w:t xml:space="preserve">ACTCOSS worked with CSD and the Industry Strategy Steering Group to develop a draft Workforce Plan. </w:t>
            </w:r>
          </w:p>
        </w:tc>
      </w:tr>
      <w:tr w:rsidR="00DD7B37" w:rsidTr="00D01B5F">
        <w:tc>
          <w:tcPr>
            <w:tcW w:w="1980" w:type="dxa"/>
          </w:tcPr>
          <w:p w:rsidR="00DD7B37" w:rsidRDefault="00DD7B37" w:rsidP="00A87D61">
            <w:r>
              <w:t>August 2017</w:t>
            </w:r>
          </w:p>
        </w:tc>
        <w:tc>
          <w:tcPr>
            <w:tcW w:w="7229" w:type="dxa"/>
          </w:tcPr>
          <w:p w:rsidR="001D6500" w:rsidRPr="001D6500" w:rsidRDefault="001D6500" w:rsidP="00D01B5F">
            <w:pPr>
              <w:rPr>
                <w:rFonts w:eastAsia="Calibri" w:cs="Arial"/>
                <w:szCs w:val="24"/>
                <w:lang w:eastAsia="en-US"/>
              </w:rPr>
            </w:pPr>
            <w:r w:rsidRPr="001D6500">
              <w:rPr>
                <w:szCs w:val="24"/>
              </w:rPr>
              <w:t xml:space="preserve">The </w:t>
            </w:r>
            <w:r w:rsidR="00DD7B37" w:rsidRPr="001D6500">
              <w:rPr>
                <w:szCs w:val="24"/>
              </w:rPr>
              <w:t>JCGRG</w:t>
            </w:r>
            <w:r w:rsidRPr="001D6500">
              <w:rPr>
                <w:szCs w:val="24"/>
              </w:rPr>
              <w:t xml:space="preserve"> endorsed a </w:t>
            </w:r>
            <w:r w:rsidRPr="001D6500">
              <w:rPr>
                <w:rFonts w:eastAsia="Calibri" w:cs="Arial"/>
                <w:szCs w:val="24"/>
                <w:lang w:eastAsia="en-US"/>
              </w:rPr>
              <w:t>Workforce Plan to be implemented in 2017-2020.  The JCGRG also agreed other Industry Strategy implementation plans would be developed</w:t>
            </w:r>
            <w:r>
              <w:rPr>
                <w:rFonts w:eastAsia="Calibri" w:cs="Arial"/>
                <w:szCs w:val="24"/>
                <w:lang w:eastAsia="en-US"/>
              </w:rPr>
              <w:t>:</w:t>
            </w:r>
            <w:r w:rsidRPr="001D6500">
              <w:rPr>
                <w:rFonts w:eastAsia="Calibri" w:cs="Arial"/>
                <w:szCs w:val="24"/>
                <w:lang w:eastAsia="en-US"/>
              </w:rPr>
              <w:t xml:space="preserve"> </w:t>
            </w:r>
          </w:p>
          <w:p w:rsidR="001D6500" w:rsidRPr="001D6500" w:rsidRDefault="001D6500" w:rsidP="00D01B5F">
            <w:pPr>
              <w:pStyle w:val="ListParagraph"/>
              <w:numPr>
                <w:ilvl w:val="0"/>
                <w:numId w:val="1"/>
              </w:numPr>
              <w:rPr>
                <w:rFonts w:eastAsia="Calibri" w:cs="Arial"/>
                <w:szCs w:val="24"/>
                <w:lang w:eastAsia="en-US"/>
              </w:rPr>
            </w:pPr>
            <w:r w:rsidRPr="001D6500">
              <w:rPr>
                <w:rFonts w:eastAsia="Calibri" w:cs="Arial"/>
                <w:szCs w:val="24"/>
                <w:lang w:eastAsia="en-US"/>
              </w:rPr>
              <w:t>A Research, Planning and Evaluation Plan to be developed in early 2018 and implemented 2018-2021</w:t>
            </w:r>
          </w:p>
          <w:p w:rsidR="00DD7B37" w:rsidRPr="001D6500" w:rsidRDefault="001D6500" w:rsidP="00D01B5F">
            <w:pPr>
              <w:pStyle w:val="ListParagraph"/>
              <w:numPr>
                <w:ilvl w:val="0"/>
                <w:numId w:val="1"/>
              </w:numPr>
              <w:rPr>
                <w:rFonts w:eastAsia="Calibri" w:cs="Arial"/>
                <w:szCs w:val="24"/>
                <w:lang w:eastAsia="en-US"/>
              </w:rPr>
            </w:pPr>
            <w:r>
              <w:rPr>
                <w:rFonts w:eastAsia="Calibri" w:cs="Arial"/>
                <w:szCs w:val="24"/>
                <w:lang w:eastAsia="en-US"/>
              </w:rPr>
              <w:t>S</w:t>
            </w:r>
            <w:r w:rsidRPr="001D6500">
              <w:rPr>
                <w:rFonts w:eastAsia="Calibri" w:cs="Arial"/>
                <w:szCs w:val="24"/>
                <w:lang w:eastAsia="en-US"/>
              </w:rPr>
              <w:t xml:space="preserve">ustainable and adaptive models through which the community services sector could grow to meet community needs </w:t>
            </w:r>
            <w:r>
              <w:rPr>
                <w:rFonts w:eastAsia="Calibri" w:cs="Arial"/>
                <w:szCs w:val="24"/>
                <w:lang w:eastAsia="en-US"/>
              </w:rPr>
              <w:t xml:space="preserve">would be explored </w:t>
            </w:r>
            <w:r w:rsidRPr="001D6500">
              <w:rPr>
                <w:rFonts w:eastAsia="Calibri" w:cs="Arial"/>
                <w:szCs w:val="24"/>
                <w:lang w:eastAsia="en-US"/>
              </w:rPr>
              <w:t>during 2018-2019, so that an agreed plan could be implemented in 2019-2022</w:t>
            </w:r>
          </w:p>
        </w:tc>
      </w:tr>
      <w:tr w:rsidR="00DD7B37" w:rsidTr="00D01B5F">
        <w:tc>
          <w:tcPr>
            <w:tcW w:w="1980" w:type="dxa"/>
          </w:tcPr>
          <w:p w:rsidR="00DD7B37" w:rsidRDefault="00DD7B37" w:rsidP="00A87D61">
            <w:r>
              <w:t>September 2017</w:t>
            </w:r>
          </w:p>
        </w:tc>
        <w:tc>
          <w:tcPr>
            <w:tcW w:w="7229" w:type="dxa"/>
          </w:tcPr>
          <w:p w:rsidR="00DD7B37" w:rsidRDefault="00DD7B37" w:rsidP="00D01B5F">
            <w:r>
              <w:t>ACTCOSS work</w:t>
            </w:r>
            <w:r w:rsidR="001D6500">
              <w:t>ed</w:t>
            </w:r>
            <w:r>
              <w:t xml:space="preserve"> with CSD and the Industry Strategy Steering Committee to categorise and scope activities listed in the </w:t>
            </w:r>
            <w:r w:rsidR="00D01B5F">
              <w:t>Workforce Plan</w:t>
            </w:r>
            <w:r>
              <w:t>.</w:t>
            </w:r>
          </w:p>
        </w:tc>
      </w:tr>
    </w:tbl>
    <w:p w:rsidR="00A3653F" w:rsidRPr="00A3653F" w:rsidRDefault="00A3653F" w:rsidP="00A3653F">
      <w:pPr>
        <w:pStyle w:val="Heading2"/>
        <w:rPr>
          <w:lang w:eastAsia="en-US"/>
        </w:rPr>
      </w:pPr>
      <w:r>
        <w:rPr>
          <w:lang w:eastAsia="en-US"/>
        </w:rPr>
        <w:lastRenderedPageBreak/>
        <w:t>First stage of implementation – Workforce Planning and Investment</w:t>
      </w:r>
    </w:p>
    <w:p w:rsidR="00A3653F" w:rsidRPr="00DD7B37" w:rsidRDefault="00A3653F" w:rsidP="00A3653F">
      <w:pPr>
        <w:spacing w:after="200" w:line="276" w:lineRule="auto"/>
        <w:rPr>
          <w:rFonts w:eastAsia="Calibri" w:cs="Arial"/>
          <w:szCs w:val="24"/>
          <w:lang w:eastAsia="en-US"/>
        </w:rPr>
      </w:pPr>
      <w:r w:rsidRPr="00DD7B37">
        <w:rPr>
          <w:rFonts w:eastAsia="Calibri" w:cs="Arial"/>
          <w:szCs w:val="24"/>
          <w:lang w:eastAsia="en-US"/>
        </w:rPr>
        <w:t xml:space="preserve">The Workforce Plan </w:t>
      </w:r>
      <w:r w:rsidR="001D6500">
        <w:rPr>
          <w:rFonts w:eastAsia="Calibri" w:cs="Arial"/>
          <w:szCs w:val="24"/>
          <w:lang w:eastAsia="en-US"/>
        </w:rPr>
        <w:t xml:space="preserve">reflects the priorities and actions identified in the </w:t>
      </w:r>
      <w:r w:rsidR="00D01B5F">
        <w:rPr>
          <w:rFonts w:eastAsia="Calibri" w:cs="Arial"/>
          <w:szCs w:val="24"/>
          <w:lang w:eastAsia="en-US"/>
        </w:rPr>
        <w:t>Industry Strategy</w:t>
      </w:r>
      <w:r w:rsidR="001D6500">
        <w:rPr>
          <w:rFonts w:eastAsia="Calibri" w:cs="Arial"/>
          <w:szCs w:val="24"/>
          <w:lang w:eastAsia="en-US"/>
        </w:rPr>
        <w:t xml:space="preserve"> and outlined in more detail at the stakeholder workshop in June 2017.  It will support the community and government to:</w:t>
      </w:r>
      <w:r w:rsidRPr="00DD7B37">
        <w:rPr>
          <w:rFonts w:eastAsia="Calibri" w:cs="Arial"/>
          <w:szCs w:val="24"/>
          <w:lang w:eastAsia="en-US"/>
        </w:rPr>
        <w:t xml:space="preserve"> </w:t>
      </w:r>
    </w:p>
    <w:p w:rsidR="00A3653F" w:rsidRPr="00474C1D" w:rsidRDefault="00A3653F" w:rsidP="00A3653F">
      <w:pPr>
        <w:pStyle w:val="ListParagraph"/>
        <w:numPr>
          <w:ilvl w:val="0"/>
          <w:numId w:val="2"/>
        </w:numPr>
        <w:spacing w:after="200" w:line="276" w:lineRule="auto"/>
      </w:pPr>
      <w:r w:rsidRPr="00474C1D">
        <w:t xml:space="preserve">Grow the workforce to </w:t>
      </w:r>
      <w:r>
        <w:t>meet</w:t>
      </w:r>
      <w:r w:rsidRPr="00474C1D">
        <w:t xml:space="preserve"> current and future needs</w:t>
      </w:r>
    </w:p>
    <w:p w:rsidR="00A3653F" w:rsidRPr="00474C1D" w:rsidRDefault="00A3653F" w:rsidP="00A3653F">
      <w:pPr>
        <w:pStyle w:val="ListParagraph"/>
        <w:numPr>
          <w:ilvl w:val="0"/>
          <w:numId w:val="2"/>
        </w:numPr>
        <w:spacing w:after="200" w:line="276" w:lineRule="auto"/>
      </w:pPr>
      <w:r w:rsidRPr="00474C1D">
        <w:t xml:space="preserve">Improve retention of </w:t>
      </w:r>
      <w:r>
        <w:t xml:space="preserve">the </w:t>
      </w:r>
      <w:r w:rsidRPr="00474C1D">
        <w:t>current workforce</w:t>
      </w:r>
    </w:p>
    <w:p w:rsidR="00A3653F" w:rsidRPr="00474C1D" w:rsidRDefault="00A3653F" w:rsidP="00A3653F">
      <w:pPr>
        <w:pStyle w:val="ListParagraph"/>
        <w:numPr>
          <w:ilvl w:val="0"/>
          <w:numId w:val="2"/>
        </w:numPr>
        <w:spacing w:after="200" w:line="276" w:lineRule="auto"/>
      </w:pPr>
      <w:r w:rsidRPr="00474C1D">
        <w:t>Strengthen capability and career development</w:t>
      </w:r>
    </w:p>
    <w:p w:rsidR="00A3653F" w:rsidRPr="00474C1D" w:rsidRDefault="00A3653F" w:rsidP="00A3653F">
      <w:pPr>
        <w:pStyle w:val="ListParagraph"/>
        <w:numPr>
          <w:ilvl w:val="0"/>
          <w:numId w:val="2"/>
        </w:numPr>
        <w:spacing w:after="200" w:line="276" w:lineRule="auto"/>
      </w:pPr>
      <w:r w:rsidRPr="00474C1D">
        <w:t>Cultivate leadership and succession planning</w:t>
      </w:r>
    </w:p>
    <w:p w:rsidR="00AF191E" w:rsidRDefault="00AF191E" w:rsidP="001D6500">
      <w:pPr>
        <w:spacing w:before="240" w:after="200"/>
        <w:rPr>
          <w:rFonts w:eastAsia="Calibri" w:cs="Arial"/>
          <w:szCs w:val="24"/>
          <w:lang w:eastAsia="en-US"/>
        </w:rPr>
      </w:pPr>
      <w:r>
        <w:rPr>
          <w:rFonts w:eastAsia="Calibri" w:cs="Arial"/>
          <w:szCs w:val="24"/>
          <w:lang w:eastAsia="en-US"/>
        </w:rPr>
        <w:t>A full list of actions is provided at Attachment A.</w:t>
      </w:r>
    </w:p>
    <w:p w:rsidR="001D6500" w:rsidRPr="001D6500" w:rsidRDefault="001D6500" w:rsidP="001D6500">
      <w:pPr>
        <w:spacing w:before="240" w:after="200"/>
        <w:rPr>
          <w:rFonts w:eastAsia="Calibri" w:cs="Arial"/>
          <w:szCs w:val="24"/>
          <w:lang w:eastAsia="en-US"/>
        </w:rPr>
      </w:pPr>
      <w:r w:rsidRPr="001D6500">
        <w:rPr>
          <w:rFonts w:eastAsia="Calibri" w:cs="Arial"/>
          <w:szCs w:val="24"/>
          <w:lang w:eastAsia="en-US"/>
        </w:rPr>
        <w:t xml:space="preserve">The actions in the Workforce </w:t>
      </w:r>
      <w:r w:rsidR="00AF191E">
        <w:rPr>
          <w:rFonts w:eastAsia="Calibri" w:cs="Arial"/>
          <w:szCs w:val="24"/>
          <w:lang w:eastAsia="en-US"/>
        </w:rPr>
        <w:t>P</w:t>
      </w:r>
      <w:r w:rsidRPr="001D6500">
        <w:rPr>
          <w:rFonts w:eastAsia="Calibri" w:cs="Arial"/>
          <w:szCs w:val="24"/>
          <w:lang w:eastAsia="en-US"/>
        </w:rPr>
        <w:t>lan are divided into three categories:</w:t>
      </w:r>
    </w:p>
    <w:p w:rsidR="001D6500" w:rsidRPr="001D6500" w:rsidRDefault="001D6500" w:rsidP="001D6500">
      <w:pPr>
        <w:numPr>
          <w:ilvl w:val="0"/>
          <w:numId w:val="4"/>
        </w:numPr>
        <w:spacing w:after="200"/>
        <w:contextualSpacing/>
        <w:rPr>
          <w:rFonts w:eastAsia="Calibri" w:cs="Arial"/>
          <w:szCs w:val="24"/>
          <w:lang w:eastAsia="en-US"/>
        </w:rPr>
      </w:pPr>
      <w:r w:rsidRPr="001D6500">
        <w:rPr>
          <w:rFonts w:eastAsia="Calibri" w:cs="Arial"/>
          <w:szCs w:val="24"/>
          <w:lang w:eastAsia="en-US"/>
        </w:rPr>
        <w:t>Foundation actions (to be funded using the remaining funds from the 0.34% levy)</w:t>
      </w:r>
    </w:p>
    <w:p w:rsidR="001D6500" w:rsidRPr="001D6500" w:rsidRDefault="001D6500" w:rsidP="001D6500">
      <w:pPr>
        <w:numPr>
          <w:ilvl w:val="0"/>
          <w:numId w:val="4"/>
        </w:numPr>
        <w:spacing w:after="200"/>
        <w:contextualSpacing/>
        <w:rPr>
          <w:rFonts w:eastAsia="Calibri" w:cs="Arial"/>
          <w:szCs w:val="24"/>
          <w:lang w:eastAsia="en-US"/>
        </w:rPr>
      </w:pPr>
      <w:r w:rsidRPr="001D6500">
        <w:rPr>
          <w:rFonts w:eastAsia="Calibri" w:cs="Arial"/>
          <w:szCs w:val="24"/>
          <w:lang w:eastAsia="en-US"/>
        </w:rPr>
        <w:t>Actions that can be progressed through short-term specific projects (to be funded using the remaining funds from the 0.34% levy</w:t>
      </w:r>
      <w:r>
        <w:rPr>
          <w:rFonts w:eastAsia="Calibri" w:cs="Arial"/>
          <w:szCs w:val="24"/>
          <w:lang w:eastAsia="en-US"/>
        </w:rPr>
        <w:t xml:space="preserve"> and additional funds if needed, which would have to be secured either from existing sources or via  new budget allocation</w:t>
      </w:r>
      <w:r w:rsidRPr="001D6500">
        <w:rPr>
          <w:rFonts w:eastAsia="Calibri" w:cs="Arial"/>
          <w:szCs w:val="24"/>
          <w:lang w:eastAsia="en-US"/>
        </w:rPr>
        <w:t>)</w:t>
      </w:r>
    </w:p>
    <w:p w:rsidR="001D6500" w:rsidRPr="001D6500" w:rsidRDefault="001D6500" w:rsidP="001D6500">
      <w:pPr>
        <w:numPr>
          <w:ilvl w:val="0"/>
          <w:numId w:val="4"/>
        </w:numPr>
        <w:spacing w:after="200"/>
        <w:contextualSpacing/>
        <w:rPr>
          <w:rFonts w:eastAsia="Calibri" w:cs="Arial"/>
          <w:szCs w:val="24"/>
          <w:lang w:eastAsia="en-US"/>
        </w:rPr>
      </w:pPr>
      <w:r w:rsidRPr="001D6500">
        <w:rPr>
          <w:rFonts w:eastAsia="Calibri" w:cs="Arial"/>
          <w:szCs w:val="24"/>
          <w:lang w:eastAsia="en-US"/>
        </w:rPr>
        <w:t xml:space="preserve">Capacity Building actions (to be progressed via existing roles and responsibilities </w:t>
      </w:r>
      <w:r>
        <w:rPr>
          <w:rFonts w:eastAsia="Calibri" w:cs="Arial"/>
          <w:szCs w:val="24"/>
          <w:lang w:eastAsia="en-US"/>
        </w:rPr>
        <w:t>and additional funds if needed, which would have to be secured via a new budget allocation</w:t>
      </w:r>
      <w:r w:rsidRPr="001D6500">
        <w:rPr>
          <w:rFonts w:eastAsia="Calibri" w:cs="Arial"/>
          <w:szCs w:val="24"/>
          <w:lang w:eastAsia="en-US"/>
        </w:rPr>
        <w:t>)</w:t>
      </w:r>
    </w:p>
    <w:p w:rsidR="001D6500" w:rsidRPr="001D6500" w:rsidRDefault="001D6500" w:rsidP="001D6500">
      <w:pPr>
        <w:spacing w:before="240" w:after="200"/>
        <w:contextualSpacing/>
        <w:rPr>
          <w:rFonts w:eastAsia="Calibri" w:cs="Arial"/>
          <w:szCs w:val="24"/>
          <w:lang w:eastAsia="en-US"/>
        </w:rPr>
      </w:pPr>
    </w:p>
    <w:p w:rsidR="001D6500" w:rsidRPr="001D6500" w:rsidRDefault="001D6500" w:rsidP="001D6500">
      <w:pPr>
        <w:spacing w:before="240" w:after="200"/>
        <w:contextualSpacing/>
        <w:rPr>
          <w:rFonts w:eastAsia="Calibri" w:cs="Arial"/>
          <w:szCs w:val="24"/>
          <w:lang w:eastAsia="en-US"/>
        </w:rPr>
      </w:pPr>
      <w:r w:rsidRPr="001D6500">
        <w:rPr>
          <w:rFonts w:eastAsia="Calibri" w:cs="Arial"/>
          <w:szCs w:val="24"/>
          <w:lang w:eastAsia="en-US"/>
        </w:rPr>
        <w:t xml:space="preserve">The Actions shaded in </w:t>
      </w:r>
      <w:r w:rsidRPr="001D6500">
        <w:rPr>
          <w:rFonts w:eastAsia="Calibri" w:cs="Arial"/>
          <w:szCs w:val="24"/>
          <w:shd w:val="clear" w:color="auto" w:fill="C5E0B3" w:themeFill="accent6" w:themeFillTint="66"/>
          <w:lang w:eastAsia="en-US"/>
        </w:rPr>
        <w:t>green</w:t>
      </w:r>
      <w:r w:rsidRPr="001D6500">
        <w:rPr>
          <w:rFonts w:eastAsia="Calibri" w:cs="Arial"/>
          <w:szCs w:val="24"/>
          <w:lang w:eastAsia="en-US"/>
        </w:rPr>
        <w:t xml:space="preserve"> could be progressed in 2017-18 </w:t>
      </w:r>
    </w:p>
    <w:p w:rsidR="001D6500" w:rsidRPr="001D6500" w:rsidRDefault="001D6500" w:rsidP="001D6500">
      <w:pPr>
        <w:pStyle w:val="Heading3"/>
        <w:rPr>
          <w:sz w:val="28"/>
          <w:szCs w:val="28"/>
        </w:rPr>
      </w:pPr>
      <w:r w:rsidRPr="001D6500">
        <w:rPr>
          <w:sz w:val="28"/>
          <w:szCs w:val="28"/>
        </w:rPr>
        <w:t>Foundation data and frameworks</w:t>
      </w:r>
    </w:p>
    <w:p w:rsidR="001D6500" w:rsidRPr="001D6500" w:rsidRDefault="001D6500" w:rsidP="001D6500">
      <w:pPr>
        <w:spacing w:after="200"/>
        <w:rPr>
          <w:rFonts w:eastAsia="Calibri" w:cs="Arial"/>
          <w:szCs w:val="24"/>
          <w:lang w:eastAsia="en-US"/>
        </w:rPr>
      </w:pPr>
      <w:r w:rsidRPr="001D6500">
        <w:rPr>
          <w:rFonts w:eastAsia="Calibri" w:cs="Arial"/>
          <w:szCs w:val="24"/>
          <w:lang w:eastAsia="en-US"/>
        </w:rPr>
        <w:t>The foundation actions provide a baseline against which to evaluate the plan, confirm the evidence base for subsequent actions, and inform decision-making around the sequencing of future actions. These actions should be funded from the levy.</w:t>
      </w:r>
      <w:r w:rsidR="00D01B5F">
        <w:rPr>
          <w:rFonts w:eastAsia="Calibri" w:cs="Arial"/>
          <w:szCs w:val="24"/>
          <w:lang w:eastAsia="en-US"/>
        </w:rPr>
        <w:t xml:space="preserve"> </w:t>
      </w:r>
      <w:r w:rsidRPr="001D6500">
        <w:rPr>
          <w:rFonts w:eastAsia="Calibri" w:cs="Arial"/>
          <w:szCs w:val="24"/>
          <w:lang w:eastAsia="en-US"/>
        </w:rPr>
        <w:t>Foundation Actions are</w:t>
      </w:r>
    </w:p>
    <w:p w:rsidR="001D6500" w:rsidRPr="001D6500" w:rsidRDefault="001D6500" w:rsidP="00D01B5F">
      <w:pPr>
        <w:shd w:val="clear" w:color="auto" w:fill="C2D69B"/>
        <w:rPr>
          <w:rFonts w:eastAsia="Calibri" w:cs="Arial"/>
          <w:szCs w:val="24"/>
          <w:lang w:eastAsia="en-US"/>
        </w:rPr>
      </w:pPr>
      <w:r w:rsidRPr="001D6500">
        <w:rPr>
          <w:rFonts w:eastAsia="Calibri" w:cs="Arial"/>
          <w:szCs w:val="24"/>
          <w:lang w:eastAsia="en-US"/>
        </w:rPr>
        <w:t>1.1.</w:t>
      </w:r>
      <w:r w:rsidRPr="001D6500">
        <w:rPr>
          <w:rFonts w:eastAsia="Calibri" w:cs="Arial"/>
          <w:szCs w:val="24"/>
          <w:lang w:eastAsia="en-US"/>
        </w:rPr>
        <w:tab/>
        <w:t>Identify current and future workforce requirements</w:t>
      </w:r>
    </w:p>
    <w:p w:rsidR="001D6500" w:rsidRPr="001D6500" w:rsidRDefault="001D6500" w:rsidP="00D01B5F">
      <w:pPr>
        <w:shd w:val="clear" w:color="auto" w:fill="C2D69B"/>
        <w:rPr>
          <w:rFonts w:eastAsia="Calibri" w:cs="Arial"/>
          <w:szCs w:val="24"/>
          <w:lang w:eastAsia="en-US"/>
        </w:rPr>
      </w:pPr>
      <w:r w:rsidRPr="001D6500">
        <w:rPr>
          <w:rFonts w:eastAsia="Calibri" w:cs="Arial"/>
          <w:szCs w:val="24"/>
          <w:lang w:eastAsia="en-US"/>
        </w:rPr>
        <w:t>1.2.</w:t>
      </w:r>
      <w:r w:rsidRPr="001D6500">
        <w:rPr>
          <w:rFonts w:eastAsia="Calibri" w:cs="Arial"/>
          <w:szCs w:val="24"/>
          <w:lang w:eastAsia="en-US"/>
        </w:rPr>
        <w:tab/>
        <w:t>Articulate, promote and facilitate entry points to working in the sector</w:t>
      </w:r>
      <w:r w:rsidR="00251063">
        <w:rPr>
          <w:rFonts w:eastAsia="Calibri" w:cs="Arial"/>
          <w:szCs w:val="24"/>
          <w:lang w:eastAsia="en-US"/>
        </w:rPr>
        <w:t>, including to specialist roles</w:t>
      </w:r>
    </w:p>
    <w:p w:rsidR="001D6500" w:rsidRPr="001D6500" w:rsidRDefault="001D6500" w:rsidP="001D6500">
      <w:pPr>
        <w:shd w:val="clear" w:color="auto" w:fill="C2D69B"/>
        <w:spacing w:after="200"/>
        <w:rPr>
          <w:rFonts w:eastAsia="Calibri" w:cs="Arial"/>
          <w:szCs w:val="24"/>
          <w:lang w:eastAsia="en-US"/>
        </w:rPr>
      </w:pPr>
      <w:r w:rsidRPr="001D6500">
        <w:rPr>
          <w:rFonts w:eastAsia="Calibri" w:cs="Arial"/>
          <w:szCs w:val="24"/>
          <w:lang w:eastAsia="en-US"/>
        </w:rPr>
        <w:t>3.1.</w:t>
      </w:r>
      <w:r w:rsidRPr="001D6500">
        <w:rPr>
          <w:rFonts w:eastAsia="Calibri" w:cs="Arial"/>
          <w:szCs w:val="24"/>
          <w:lang w:eastAsia="en-US"/>
        </w:rPr>
        <w:tab/>
        <w:t xml:space="preserve">Develop a tool to map the pathways across a career and across the sector </w:t>
      </w:r>
    </w:p>
    <w:p w:rsidR="001D6500" w:rsidRPr="001D6500" w:rsidRDefault="001D6500" w:rsidP="001D6500">
      <w:pPr>
        <w:pStyle w:val="Heading3"/>
        <w:rPr>
          <w:sz w:val="28"/>
          <w:szCs w:val="28"/>
        </w:rPr>
      </w:pPr>
      <w:r w:rsidRPr="001D6500">
        <w:rPr>
          <w:sz w:val="28"/>
          <w:szCs w:val="28"/>
        </w:rPr>
        <w:t>Short-term specific projects</w:t>
      </w:r>
    </w:p>
    <w:p w:rsidR="00D01B5F" w:rsidRDefault="001D6500" w:rsidP="001D6500">
      <w:pPr>
        <w:spacing w:after="200"/>
        <w:rPr>
          <w:rFonts w:eastAsia="Calibri" w:cs="Arial"/>
          <w:szCs w:val="24"/>
          <w:lang w:eastAsia="en-US"/>
        </w:rPr>
      </w:pPr>
      <w:r w:rsidRPr="001D6500">
        <w:rPr>
          <w:rFonts w:eastAsia="Calibri" w:cs="Arial"/>
          <w:szCs w:val="24"/>
          <w:lang w:eastAsia="en-US"/>
        </w:rPr>
        <w:t xml:space="preserve">Short-term specific projects are discreet actions that have been </w:t>
      </w:r>
      <w:r w:rsidR="00D01B5F">
        <w:rPr>
          <w:rFonts w:eastAsia="Calibri" w:cs="Arial"/>
          <w:szCs w:val="24"/>
          <w:lang w:eastAsia="en-US"/>
        </w:rPr>
        <w:t>suggest</w:t>
      </w:r>
      <w:r w:rsidRPr="001D6500">
        <w:rPr>
          <w:rFonts w:eastAsia="Calibri" w:cs="Arial"/>
          <w:szCs w:val="24"/>
          <w:lang w:eastAsia="en-US"/>
        </w:rPr>
        <w:t xml:space="preserve">ed by the sector. While some are dependent on the foundation work outlined </w:t>
      </w:r>
      <w:r w:rsidR="00AF191E">
        <w:rPr>
          <w:rFonts w:eastAsia="Calibri" w:cs="Arial"/>
          <w:szCs w:val="24"/>
          <w:lang w:eastAsia="en-US"/>
        </w:rPr>
        <w:t>above</w:t>
      </w:r>
      <w:r w:rsidRPr="001D6500">
        <w:rPr>
          <w:rFonts w:eastAsia="Calibri" w:cs="Arial"/>
          <w:szCs w:val="24"/>
          <w:lang w:eastAsia="en-US"/>
        </w:rPr>
        <w:t xml:space="preserve">, a number of these actions could commence this financial year. </w:t>
      </w:r>
    </w:p>
    <w:p w:rsidR="001D6500" w:rsidRPr="001D6500" w:rsidRDefault="00D01B5F" w:rsidP="001D6500">
      <w:pPr>
        <w:spacing w:after="200"/>
        <w:rPr>
          <w:rFonts w:eastAsia="Calibri" w:cs="Arial"/>
          <w:szCs w:val="24"/>
          <w:lang w:eastAsia="en-US"/>
        </w:rPr>
      </w:pPr>
      <w:r>
        <w:rPr>
          <w:rFonts w:eastAsia="Calibri" w:cs="Arial"/>
          <w:szCs w:val="24"/>
          <w:lang w:eastAsia="en-US"/>
        </w:rPr>
        <w:t xml:space="preserve">Implementation of these projects will be prioritised following a survey of stakeholders in October seeking their views on priorities. </w:t>
      </w:r>
      <w:r w:rsidR="001D6500" w:rsidRPr="001D6500">
        <w:rPr>
          <w:rFonts w:eastAsia="Calibri" w:cs="Arial"/>
          <w:szCs w:val="24"/>
          <w:lang w:eastAsia="en-US"/>
        </w:rPr>
        <w:t>These short term projects should be funded from the levy</w:t>
      </w:r>
      <w:r w:rsidRPr="00D01B5F">
        <w:rPr>
          <w:rFonts w:eastAsia="Calibri" w:cs="Arial"/>
          <w:szCs w:val="24"/>
          <w:lang w:eastAsia="en-US"/>
        </w:rPr>
        <w:t xml:space="preserve"> </w:t>
      </w:r>
      <w:r>
        <w:rPr>
          <w:rFonts w:eastAsia="Calibri" w:cs="Arial"/>
          <w:szCs w:val="24"/>
          <w:lang w:eastAsia="en-US"/>
        </w:rPr>
        <w:t>and additional funds if needed, which would have to be secured either from existing sources or via a new budget allocation</w:t>
      </w:r>
      <w:r w:rsidR="001D6500" w:rsidRPr="001D6500">
        <w:rPr>
          <w:rFonts w:eastAsia="Calibri" w:cs="Arial"/>
          <w:szCs w:val="24"/>
          <w:lang w:eastAsia="en-US"/>
        </w:rPr>
        <w:t>.</w:t>
      </w:r>
    </w:p>
    <w:p w:rsidR="001D6500" w:rsidRPr="001D6500" w:rsidRDefault="001D6500" w:rsidP="00D01B5F">
      <w:pPr>
        <w:rPr>
          <w:rFonts w:eastAsia="Calibri" w:cs="Arial"/>
          <w:szCs w:val="24"/>
          <w:lang w:eastAsia="en-US"/>
        </w:rPr>
      </w:pPr>
      <w:r w:rsidRPr="001D6500">
        <w:rPr>
          <w:rFonts w:eastAsia="Calibri" w:cs="Arial"/>
          <w:szCs w:val="24"/>
          <w:lang w:eastAsia="en-US"/>
        </w:rPr>
        <w:lastRenderedPageBreak/>
        <w:t>The short-term specific projects that could commence this financial year are:</w:t>
      </w:r>
    </w:p>
    <w:p w:rsidR="001D6500" w:rsidRPr="001D6500" w:rsidRDefault="001D6500" w:rsidP="00D01B5F">
      <w:pPr>
        <w:shd w:val="clear" w:color="auto" w:fill="C2D69B"/>
        <w:rPr>
          <w:rFonts w:eastAsia="Calibri" w:cs="Arial"/>
          <w:szCs w:val="24"/>
          <w:lang w:eastAsia="en-US"/>
        </w:rPr>
      </w:pPr>
      <w:r w:rsidRPr="001D6500">
        <w:rPr>
          <w:rFonts w:eastAsia="Calibri" w:cs="Arial"/>
          <w:szCs w:val="24"/>
          <w:lang w:eastAsia="en-US"/>
        </w:rPr>
        <w:t>1.2.3.</w:t>
      </w:r>
      <w:r w:rsidRPr="001D6500">
        <w:rPr>
          <w:rFonts w:eastAsia="Calibri" w:cs="Arial"/>
          <w:szCs w:val="24"/>
          <w:lang w:eastAsia="en-US"/>
        </w:rPr>
        <w:tab/>
        <w:t xml:space="preserve"> Develop and implement a communication strategy to promote the work and opportunities available in the ACT community services industry</w:t>
      </w:r>
    </w:p>
    <w:p w:rsidR="001D6500" w:rsidRPr="001D6500" w:rsidRDefault="001D6500" w:rsidP="00D01B5F">
      <w:pPr>
        <w:shd w:val="clear" w:color="auto" w:fill="C2D69B"/>
        <w:rPr>
          <w:rFonts w:eastAsia="Calibri" w:cs="Arial"/>
          <w:szCs w:val="24"/>
          <w:lang w:eastAsia="en-US"/>
        </w:rPr>
      </w:pPr>
      <w:r w:rsidRPr="001D6500">
        <w:rPr>
          <w:rFonts w:eastAsia="Calibri" w:cs="Arial"/>
          <w:szCs w:val="24"/>
          <w:lang w:eastAsia="en-US"/>
        </w:rPr>
        <w:t>1.2.4.</w:t>
      </w:r>
      <w:r w:rsidRPr="001D6500">
        <w:rPr>
          <w:rFonts w:eastAsia="Calibri" w:cs="Arial"/>
          <w:szCs w:val="24"/>
          <w:lang w:eastAsia="en-US"/>
        </w:rPr>
        <w:tab/>
        <w:t>Improve industry knowledge of the variety of ways volunteers can support the mission of community organisations</w:t>
      </w:r>
    </w:p>
    <w:p w:rsidR="001D6500" w:rsidRPr="001D6500" w:rsidRDefault="001D6500" w:rsidP="00D01B5F">
      <w:pPr>
        <w:shd w:val="clear" w:color="auto" w:fill="C2D69B"/>
        <w:rPr>
          <w:rFonts w:eastAsia="Calibri" w:cs="Arial"/>
          <w:szCs w:val="24"/>
          <w:lang w:eastAsia="en-US"/>
        </w:rPr>
      </w:pPr>
      <w:r w:rsidRPr="001D6500">
        <w:rPr>
          <w:rFonts w:eastAsia="Calibri" w:cs="Arial"/>
          <w:szCs w:val="24"/>
          <w:lang w:eastAsia="en-US"/>
        </w:rPr>
        <w:t>1.4.1.</w:t>
      </w:r>
      <w:r w:rsidRPr="001D6500">
        <w:rPr>
          <w:rFonts w:eastAsia="Calibri" w:cs="Arial"/>
          <w:szCs w:val="24"/>
          <w:lang w:eastAsia="en-US"/>
        </w:rPr>
        <w:tab/>
        <w:t xml:space="preserve">Develop student placement resources for employers </w:t>
      </w:r>
    </w:p>
    <w:p w:rsidR="001D6500" w:rsidRPr="001D6500" w:rsidRDefault="001D6500" w:rsidP="00D01B5F">
      <w:pPr>
        <w:shd w:val="clear" w:color="auto" w:fill="C2D69B"/>
        <w:rPr>
          <w:rFonts w:eastAsia="Calibri" w:cs="Arial"/>
          <w:szCs w:val="24"/>
          <w:lang w:eastAsia="en-US"/>
        </w:rPr>
      </w:pPr>
      <w:r w:rsidRPr="001D6500">
        <w:rPr>
          <w:rFonts w:eastAsia="Calibri" w:cs="Arial"/>
          <w:szCs w:val="24"/>
          <w:lang w:eastAsia="en-US"/>
        </w:rPr>
        <w:t>2.2.</w:t>
      </w:r>
      <w:r w:rsidRPr="001D6500">
        <w:rPr>
          <w:rFonts w:eastAsia="Calibri" w:cs="Arial"/>
          <w:szCs w:val="24"/>
          <w:lang w:eastAsia="en-US"/>
        </w:rPr>
        <w:tab/>
        <w:t>Develop agreed framework and tools to support on-boarding, peer support, supervision, coaching and mentoring</w:t>
      </w:r>
    </w:p>
    <w:p w:rsidR="001D6500" w:rsidRPr="001D6500" w:rsidRDefault="001D6500" w:rsidP="00D01B5F">
      <w:pPr>
        <w:shd w:val="clear" w:color="auto" w:fill="C2D69B"/>
        <w:rPr>
          <w:rFonts w:eastAsia="Calibri" w:cs="Arial"/>
          <w:szCs w:val="24"/>
          <w:lang w:eastAsia="en-US"/>
        </w:rPr>
      </w:pPr>
      <w:r w:rsidRPr="001D6500">
        <w:rPr>
          <w:rFonts w:eastAsia="Calibri" w:cs="Arial"/>
          <w:szCs w:val="24"/>
          <w:lang w:eastAsia="en-US"/>
        </w:rPr>
        <w:t>3.4.</w:t>
      </w:r>
      <w:r w:rsidRPr="001D6500">
        <w:rPr>
          <w:rFonts w:eastAsia="Calibri" w:cs="Arial"/>
          <w:szCs w:val="24"/>
          <w:lang w:eastAsia="en-US"/>
        </w:rPr>
        <w:tab/>
        <w:t>Develop organisations’ capacity to backfill workers while on training or leave (i.e. scope the establishment of a relief pool of workers for community services)</w:t>
      </w:r>
    </w:p>
    <w:p w:rsidR="001D6500" w:rsidRPr="001D6500" w:rsidRDefault="001D6500" w:rsidP="00D01B5F">
      <w:pPr>
        <w:shd w:val="clear" w:color="auto" w:fill="C2D69B"/>
        <w:rPr>
          <w:rFonts w:eastAsia="Calibri" w:cs="Arial"/>
          <w:szCs w:val="24"/>
          <w:lang w:eastAsia="en-US"/>
        </w:rPr>
      </w:pPr>
      <w:r w:rsidRPr="001D6500">
        <w:rPr>
          <w:rFonts w:eastAsia="Calibri" w:cs="Arial"/>
          <w:szCs w:val="24"/>
          <w:lang w:eastAsia="en-US"/>
        </w:rPr>
        <w:t>4.3.</w:t>
      </w:r>
      <w:r w:rsidRPr="001D6500">
        <w:rPr>
          <w:rFonts w:eastAsia="Calibri" w:cs="Arial"/>
          <w:szCs w:val="24"/>
          <w:lang w:eastAsia="en-US"/>
        </w:rPr>
        <w:tab/>
        <w:t>Fund access to leadership development opportunities</w:t>
      </w:r>
    </w:p>
    <w:p w:rsidR="001D6500" w:rsidRDefault="001D6500" w:rsidP="00D01B5F">
      <w:pPr>
        <w:shd w:val="clear" w:color="auto" w:fill="C2D69B"/>
        <w:rPr>
          <w:rFonts w:eastAsia="Calibri" w:cs="Arial"/>
          <w:szCs w:val="24"/>
          <w:lang w:eastAsia="en-US"/>
        </w:rPr>
      </w:pPr>
      <w:r w:rsidRPr="001D6500">
        <w:rPr>
          <w:rFonts w:eastAsia="Calibri" w:cs="Arial"/>
          <w:szCs w:val="24"/>
          <w:lang w:eastAsia="en-US"/>
        </w:rPr>
        <w:t>4.4.</w:t>
      </w:r>
      <w:r w:rsidRPr="001D6500">
        <w:rPr>
          <w:rFonts w:eastAsia="Calibri" w:cs="Arial"/>
          <w:szCs w:val="24"/>
          <w:lang w:eastAsia="en-US"/>
        </w:rPr>
        <w:tab/>
        <w:t>Align leadership practice with Industry Strategy vision and values</w:t>
      </w:r>
    </w:p>
    <w:p w:rsidR="00D01B5F" w:rsidRPr="001D6500" w:rsidRDefault="00D01B5F" w:rsidP="00D01B5F">
      <w:pPr>
        <w:shd w:val="clear" w:color="auto" w:fill="FFFFFF" w:themeFill="background1"/>
        <w:rPr>
          <w:rFonts w:eastAsia="Calibri" w:cs="Arial"/>
          <w:szCs w:val="24"/>
          <w:lang w:eastAsia="en-US"/>
        </w:rPr>
      </w:pPr>
    </w:p>
    <w:p w:rsidR="001D6500" w:rsidRPr="001D6500" w:rsidRDefault="001D6500" w:rsidP="001D6500">
      <w:pPr>
        <w:spacing w:after="200"/>
        <w:rPr>
          <w:rFonts w:eastAsia="Calibri" w:cs="Arial"/>
          <w:szCs w:val="24"/>
          <w:lang w:eastAsia="en-US"/>
        </w:rPr>
      </w:pPr>
      <w:r w:rsidRPr="001D6500">
        <w:rPr>
          <w:rFonts w:eastAsia="Calibri" w:cs="Arial"/>
          <w:szCs w:val="24"/>
          <w:lang w:eastAsia="en-US"/>
        </w:rPr>
        <w:t xml:space="preserve">Specific actions that are </w:t>
      </w:r>
      <w:r w:rsidRPr="001D6500">
        <w:rPr>
          <w:rFonts w:eastAsia="Calibri" w:cs="Arial"/>
          <w:b/>
          <w:szCs w:val="24"/>
          <w:lang w:eastAsia="en-US"/>
        </w:rPr>
        <w:t>dependent on data and frameworks developed through the foundation actions</w:t>
      </w:r>
      <w:r w:rsidRPr="001D6500">
        <w:rPr>
          <w:rFonts w:eastAsia="Calibri" w:cs="Arial"/>
          <w:szCs w:val="24"/>
          <w:lang w:eastAsia="en-US"/>
        </w:rPr>
        <w:t xml:space="preserve"> but could be </w:t>
      </w:r>
      <w:r w:rsidRPr="001D6500">
        <w:rPr>
          <w:rFonts w:eastAsia="Calibri" w:cs="Arial"/>
          <w:b/>
          <w:szCs w:val="24"/>
          <w:lang w:eastAsia="en-US"/>
        </w:rPr>
        <w:t xml:space="preserve">scoped and funded in 2018-19 </w:t>
      </w:r>
      <w:r w:rsidRPr="001D6500">
        <w:rPr>
          <w:rFonts w:eastAsia="Calibri" w:cs="Arial"/>
          <w:szCs w:val="24"/>
          <w:lang w:eastAsia="en-US"/>
        </w:rPr>
        <w:t>are:</w:t>
      </w:r>
    </w:p>
    <w:p w:rsidR="001D6500" w:rsidRPr="001D6500" w:rsidRDefault="001D6500" w:rsidP="00D01B5F">
      <w:pPr>
        <w:rPr>
          <w:rFonts w:eastAsia="Calibri" w:cs="Arial"/>
          <w:szCs w:val="24"/>
          <w:lang w:eastAsia="en-US"/>
        </w:rPr>
      </w:pPr>
      <w:r w:rsidRPr="001D6500">
        <w:rPr>
          <w:rFonts w:eastAsia="Calibri" w:cs="Arial"/>
          <w:szCs w:val="24"/>
          <w:lang w:eastAsia="en-US"/>
        </w:rPr>
        <w:t>1.4.</w:t>
      </w:r>
      <w:r w:rsidRPr="001D6500">
        <w:rPr>
          <w:rFonts w:eastAsia="Calibri" w:cs="Arial"/>
          <w:szCs w:val="24"/>
          <w:lang w:eastAsia="en-US"/>
        </w:rPr>
        <w:tab/>
        <w:t>Improve placement opportunities and support (for students and/or professional growth)</w:t>
      </w:r>
      <w:r w:rsidRPr="001D6500" w:rsidDel="006B2C71">
        <w:rPr>
          <w:rFonts w:eastAsia="Calibri" w:cs="Arial"/>
          <w:szCs w:val="24"/>
          <w:lang w:eastAsia="en-US"/>
        </w:rPr>
        <w:t xml:space="preserve"> </w:t>
      </w:r>
    </w:p>
    <w:p w:rsidR="001D6500" w:rsidRPr="001D6500" w:rsidRDefault="001D6500" w:rsidP="00D01B5F">
      <w:pPr>
        <w:rPr>
          <w:rFonts w:eastAsia="Calibri" w:cs="Arial"/>
          <w:szCs w:val="24"/>
          <w:lang w:eastAsia="en-US"/>
        </w:rPr>
      </w:pPr>
      <w:r w:rsidRPr="001D6500">
        <w:rPr>
          <w:rFonts w:eastAsia="Calibri" w:cs="Arial"/>
          <w:szCs w:val="24"/>
          <w:lang w:eastAsia="en-US"/>
        </w:rPr>
        <w:t>2.1.</w:t>
      </w:r>
      <w:r w:rsidRPr="001D6500">
        <w:rPr>
          <w:rFonts w:eastAsia="Calibri" w:cs="Arial"/>
          <w:szCs w:val="24"/>
          <w:lang w:eastAsia="en-US"/>
        </w:rPr>
        <w:tab/>
        <w:t>Develop industry-wide good practice guide for retention, with a particular focus on different strategies for different cohorts within the workforce</w:t>
      </w:r>
    </w:p>
    <w:p w:rsidR="001D6500" w:rsidRPr="001D6500" w:rsidRDefault="001D6500" w:rsidP="001D6500">
      <w:pPr>
        <w:spacing w:after="200"/>
        <w:rPr>
          <w:rFonts w:eastAsia="Calibri" w:cs="Arial"/>
          <w:szCs w:val="24"/>
          <w:lang w:eastAsia="en-US"/>
        </w:rPr>
      </w:pPr>
      <w:r w:rsidRPr="001D6500">
        <w:rPr>
          <w:rFonts w:eastAsia="Calibri" w:cs="Arial"/>
          <w:szCs w:val="24"/>
          <w:lang w:eastAsia="en-US"/>
        </w:rPr>
        <w:t>4.1</w:t>
      </w:r>
      <w:r w:rsidRPr="001D6500">
        <w:rPr>
          <w:rFonts w:eastAsia="Calibri" w:cs="Arial"/>
          <w:szCs w:val="24"/>
          <w:lang w:eastAsia="en-US"/>
        </w:rPr>
        <w:tab/>
        <w:t>Develop and implement strategies to support knowledge transfer</w:t>
      </w:r>
    </w:p>
    <w:p w:rsidR="001D6500" w:rsidRPr="001D6500" w:rsidRDefault="001D6500" w:rsidP="001D6500">
      <w:pPr>
        <w:pStyle w:val="Heading3"/>
        <w:rPr>
          <w:sz w:val="28"/>
          <w:szCs w:val="28"/>
        </w:rPr>
      </w:pPr>
      <w:r w:rsidRPr="001D6500">
        <w:rPr>
          <w:sz w:val="28"/>
          <w:szCs w:val="28"/>
        </w:rPr>
        <w:t>Capacity building actions</w:t>
      </w:r>
    </w:p>
    <w:p w:rsidR="001D6500" w:rsidRPr="001D6500" w:rsidRDefault="001D6500" w:rsidP="001D6500">
      <w:pPr>
        <w:spacing w:after="200"/>
        <w:rPr>
          <w:rFonts w:eastAsia="Calibri" w:cs="Arial"/>
          <w:szCs w:val="24"/>
          <w:lang w:eastAsia="en-US"/>
        </w:rPr>
      </w:pPr>
      <w:r w:rsidRPr="001D6500">
        <w:rPr>
          <w:rFonts w:eastAsia="Calibri" w:cs="Arial"/>
          <w:szCs w:val="24"/>
          <w:lang w:eastAsia="en-US"/>
        </w:rPr>
        <w:t>Capacity building actions are those which are dependent on the foundation actions and/or require a wider scope and longer timeframe. These actions could be progressed via existing roles and responsibilities (</w:t>
      </w:r>
      <w:proofErr w:type="spellStart"/>
      <w:r w:rsidRPr="001D6500">
        <w:rPr>
          <w:rFonts w:eastAsia="Calibri" w:cs="Arial"/>
          <w:szCs w:val="24"/>
          <w:lang w:eastAsia="en-US"/>
        </w:rPr>
        <w:t>eg</w:t>
      </w:r>
      <w:proofErr w:type="spellEnd"/>
      <w:r w:rsidRPr="001D6500">
        <w:rPr>
          <w:rFonts w:eastAsia="Calibri" w:cs="Arial"/>
          <w:szCs w:val="24"/>
          <w:lang w:eastAsia="en-US"/>
        </w:rPr>
        <w:t xml:space="preserve"> peak body activities, review of workforce development programs within specific funding programs)</w:t>
      </w:r>
      <w:r w:rsidR="00D01B5F">
        <w:rPr>
          <w:rFonts w:eastAsia="Calibri" w:cs="Arial"/>
          <w:szCs w:val="24"/>
          <w:lang w:eastAsia="en-US"/>
        </w:rPr>
        <w:t xml:space="preserve"> and additional funds if needed, which would have to be secured either from existing sources or via a new budget allocation</w:t>
      </w:r>
      <w:r w:rsidRPr="001D6500">
        <w:rPr>
          <w:rFonts w:eastAsia="Calibri" w:cs="Arial"/>
          <w:szCs w:val="24"/>
          <w:lang w:eastAsia="en-US"/>
        </w:rPr>
        <w:t>. The capacity building actions are:</w:t>
      </w:r>
    </w:p>
    <w:p w:rsidR="001D6500" w:rsidRPr="001D6500" w:rsidRDefault="001D6500" w:rsidP="00D01B5F">
      <w:pPr>
        <w:rPr>
          <w:rFonts w:eastAsia="Calibri" w:cs="Arial"/>
          <w:szCs w:val="24"/>
          <w:lang w:eastAsia="en-US"/>
        </w:rPr>
      </w:pPr>
      <w:r w:rsidRPr="001D6500">
        <w:rPr>
          <w:rFonts w:eastAsia="Calibri" w:cs="Arial"/>
          <w:szCs w:val="24"/>
          <w:lang w:eastAsia="en-US"/>
        </w:rPr>
        <w:t>1.3.</w:t>
      </w:r>
      <w:r w:rsidRPr="001D6500">
        <w:rPr>
          <w:rFonts w:eastAsia="Calibri" w:cs="Arial"/>
          <w:szCs w:val="24"/>
          <w:lang w:eastAsia="en-US"/>
        </w:rPr>
        <w:tab/>
        <w:t xml:space="preserve">Engage and develop connection of employers with </w:t>
      </w:r>
      <w:r w:rsidR="00251063">
        <w:rPr>
          <w:rFonts w:eastAsia="Calibri" w:cs="Arial"/>
          <w:szCs w:val="24"/>
          <w:lang w:eastAsia="en-US"/>
        </w:rPr>
        <w:t>VET and higher</w:t>
      </w:r>
      <w:r w:rsidRPr="001D6500">
        <w:rPr>
          <w:rFonts w:eastAsia="Calibri" w:cs="Arial"/>
          <w:szCs w:val="24"/>
          <w:lang w:eastAsia="en-US"/>
        </w:rPr>
        <w:t xml:space="preserve"> education providers</w:t>
      </w:r>
    </w:p>
    <w:p w:rsidR="001D6500" w:rsidRPr="001D6500" w:rsidRDefault="001D6500" w:rsidP="00D01B5F">
      <w:pPr>
        <w:rPr>
          <w:rFonts w:eastAsia="Calibri" w:cs="Arial"/>
          <w:szCs w:val="24"/>
          <w:lang w:eastAsia="en-US"/>
        </w:rPr>
      </w:pPr>
      <w:r w:rsidRPr="001D6500">
        <w:rPr>
          <w:rFonts w:eastAsia="Calibri" w:cs="Arial"/>
          <w:szCs w:val="24"/>
          <w:lang w:eastAsia="en-US"/>
        </w:rPr>
        <w:t>3.2.</w:t>
      </w:r>
      <w:r w:rsidRPr="001D6500">
        <w:rPr>
          <w:rFonts w:eastAsia="Calibri" w:cs="Arial"/>
          <w:szCs w:val="24"/>
          <w:lang w:eastAsia="en-US"/>
        </w:rPr>
        <w:tab/>
        <w:t>Review existing workforce development programs in order to plan to reduce gaps and increase access</w:t>
      </w:r>
    </w:p>
    <w:p w:rsidR="001D6500" w:rsidRPr="001D6500" w:rsidRDefault="001D6500" w:rsidP="00D01B5F">
      <w:pPr>
        <w:rPr>
          <w:rFonts w:eastAsia="Calibri" w:cs="Arial"/>
          <w:szCs w:val="24"/>
          <w:lang w:eastAsia="en-US"/>
        </w:rPr>
      </w:pPr>
      <w:r w:rsidRPr="001D6500">
        <w:rPr>
          <w:rFonts w:eastAsia="Calibri" w:cs="Arial"/>
          <w:szCs w:val="24"/>
          <w:lang w:eastAsia="en-US"/>
        </w:rPr>
        <w:t>3.3.</w:t>
      </w:r>
      <w:r w:rsidRPr="001D6500">
        <w:rPr>
          <w:rFonts w:eastAsia="Calibri" w:cs="Arial"/>
          <w:szCs w:val="24"/>
          <w:lang w:eastAsia="en-US"/>
        </w:rPr>
        <w:tab/>
        <w:t>Build capacity in mainstream organisations to work with people and communities who experience marginalisation or have complex needs</w:t>
      </w:r>
    </w:p>
    <w:p w:rsidR="001D6500" w:rsidRPr="001D6500" w:rsidRDefault="001D6500" w:rsidP="00D01B5F">
      <w:pPr>
        <w:rPr>
          <w:rFonts w:eastAsia="Calibri" w:cs="Arial"/>
          <w:szCs w:val="24"/>
          <w:lang w:eastAsia="en-US"/>
        </w:rPr>
      </w:pPr>
      <w:r w:rsidRPr="001D6500">
        <w:rPr>
          <w:rFonts w:eastAsia="Calibri" w:cs="Arial"/>
          <w:szCs w:val="24"/>
          <w:lang w:eastAsia="en-US"/>
        </w:rPr>
        <w:t>4.2.</w:t>
      </w:r>
      <w:r w:rsidRPr="001D6500">
        <w:rPr>
          <w:rFonts w:eastAsia="Calibri" w:cs="Arial"/>
          <w:szCs w:val="24"/>
          <w:lang w:eastAsia="en-US"/>
        </w:rPr>
        <w:tab/>
        <w:t>Develop an approach to identify key and emerging leaders in the industry</w:t>
      </w:r>
    </w:p>
    <w:p w:rsidR="00056294" w:rsidRPr="001D6500" w:rsidRDefault="00056294" w:rsidP="001D6500">
      <w:pPr>
        <w:rPr>
          <w:szCs w:val="24"/>
        </w:rPr>
      </w:pPr>
    </w:p>
    <w:sectPr w:rsidR="00056294" w:rsidRPr="001D6500" w:rsidSect="005A274C">
      <w:headerReference w:type="default" r:id="rId10"/>
      <w:footerReference w:type="default" r:id="rId11"/>
      <w:headerReference w:type="first" r:id="rId12"/>
      <w:pgSz w:w="11906" w:h="16838"/>
      <w:pgMar w:top="2268"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53F" w:rsidRDefault="00A3653F" w:rsidP="00A3653F">
      <w:r>
        <w:separator/>
      </w:r>
    </w:p>
  </w:endnote>
  <w:endnote w:type="continuationSeparator" w:id="0">
    <w:p w:rsidR="00A3653F" w:rsidRDefault="00A3653F" w:rsidP="00A3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232856"/>
      <w:docPartObj>
        <w:docPartGallery w:val="Page Numbers (Bottom of Page)"/>
        <w:docPartUnique/>
      </w:docPartObj>
    </w:sdtPr>
    <w:sdtEndPr>
      <w:rPr>
        <w:noProof/>
      </w:rPr>
    </w:sdtEndPr>
    <w:sdtContent>
      <w:p w:rsidR="00AF191E" w:rsidRDefault="00AF191E">
        <w:pPr>
          <w:pStyle w:val="Footer"/>
          <w:jc w:val="right"/>
        </w:pPr>
        <w:r>
          <w:fldChar w:fldCharType="begin"/>
        </w:r>
        <w:r>
          <w:instrText xml:space="preserve"> PAGE   \* MERGEFORMAT </w:instrText>
        </w:r>
        <w:r>
          <w:fldChar w:fldCharType="separate"/>
        </w:r>
        <w:r w:rsidR="005A274C">
          <w:rPr>
            <w:noProof/>
          </w:rPr>
          <w:t>3</w:t>
        </w:r>
        <w:r>
          <w:rPr>
            <w:noProof/>
          </w:rPr>
          <w:fldChar w:fldCharType="end"/>
        </w:r>
      </w:p>
    </w:sdtContent>
  </w:sdt>
  <w:p w:rsidR="00AF191E" w:rsidRDefault="00AF1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53F" w:rsidRDefault="00A3653F" w:rsidP="00A3653F">
      <w:r>
        <w:separator/>
      </w:r>
    </w:p>
  </w:footnote>
  <w:footnote w:type="continuationSeparator" w:id="0">
    <w:p w:rsidR="00A3653F" w:rsidRDefault="00A3653F" w:rsidP="00A36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3F" w:rsidRDefault="00A3653F">
    <w:pPr>
      <w:pStyle w:val="Header"/>
    </w:pPr>
  </w:p>
  <w:p w:rsidR="00A3653F" w:rsidRDefault="00A36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4C" w:rsidRDefault="005A274C">
    <w:pPr>
      <w:pStyle w:val="Header"/>
    </w:pPr>
    <w:r>
      <w:rPr>
        <w:b/>
        <w:noProof/>
        <w:color w:val="808080"/>
        <w:sz w:val="36"/>
        <w:lang w:eastAsia="en-AU"/>
      </w:rPr>
      <w:drawing>
        <wp:anchor distT="0" distB="0" distL="114300" distR="114300" simplePos="0" relativeHeight="251659264" behindDoc="0" locked="0" layoutInCell="1" allowOverlap="1" wp14:anchorId="1C2BAB89" wp14:editId="52607A50">
          <wp:simplePos x="0" y="0"/>
          <wp:positionH relativeFrom="column">
            <wp:posOffset>0</wp:posOffset>
          </wp:positionH>
          <wp:positionV relativeFrom="paragraph">
            <wp:posOffset>-635</wp:posOffset>
          </wp:positionV>
          <wp:extent cx="23145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8667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01ECE"/>
    <w:multiLevelType w:val="hybridMultilevel"/>
    <w:tmpl w:val="18422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8979EE"/>
    <w:multiLevelType w:val="hybridMultilevel"/>
    <w:tmpl w:val="C41CE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B91734"/>
    <w:multiLevelType w:val="hybridMultilevel"/>
    <w:tmpl w:val="C84C9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161CA9"/>
    <w:multiLevelType w:val="singleLevel"/>
    <w:tmpl w:val="94FAD352"/>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697C041A"/>
    <w:multiLevelType w:val="hybridMultilevel"/>
    <w:tmpl w:val="FE048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3F"/>
    <w:rsid w:val="00056294"/>
    <w:rsid w:val="001D6500"/>
    <w:rsid w:val="00251063"/>
    <w:rsid w:val="005A274C"/>
    <w:rsid w:val="00A3653F"/>
    <w:rsid w:val="00AF191E"/>
    <w:rsid w:val="00B76669"/>
    <w:rsid w:val="00D01B5F"/>
    <w:rsid w:val="00D84986"/>
    <w:rsid w:val="00DD7B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94E378-76D9-4D61-836F-4F56C69B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53F"/>
    <w:pPr>
      <w:spacing w:after="0" w:line="240" w:lineRule="auto"/>
    </w:pPr>
    <w:rPr>
      <w:rFonts w:ascii="Arial" w:eastAsia="Times New Roman" w:hAnsi="Arial" w:cs="Times New Roman"/>
      <w:sz w:val="24"/>
      <w:lang w:eastAsia="en-GB"/>
    </w:rPr>
  </w:style>
  <w:style w:type="paragraph" w:styleId="Heading1">
    <w:name w:val="heading 1"/>
    <w:next w:val="BodyText"/>
    <w:link w:val="Heading1Char"/>
    <w:qFormat/>
    <w:rsid w:val="00A3653F"/>
    <w:pPr>
      <w:keepNext/>
      <w:keepLines/>
      <w:spacing w:before="600" w:after="240" w:line="240" w:lineRule="auto"/>
      <w:outlineLvl w:val="0"/>
    </w:pPr>
    <w:rPr>
      <w:rFonts w:ascii="Arial" w:eastAsia="Times New Roman" w:hAnsi="Arial" w:cs="Arial"/>
      <w:b/>
      <w:bCs/>
      <w:color w:val="005984"/>
      <w:kern w:val="32"/>
      <w:sz w:val="32"/>
      <w:szCs w:val="32"/>
      <w:lang w:eastAsia="en-GB"/>
    </w:rPr>
  </w:style>
  <w:style w:type="paragraph" w:styleId="Heading2">
    <w:name w:val="heading 2"/>
    <w:basedOn w:val="Heading1"/>
    <w:next w:val="BodyText"/>
    <w:link w:val="Heading2Char"/>
    <w:qFormat/>
    <w:rsid w:val="00A3653F"/>
    <w:pPr>
      <w:spacing w:before="480"/>
      <w:outlineLvl w:val="1"/>
    </w:pPr>
    <w:rPr>
      <w:bCs w:val="0"/>
      <w:iCs/>
      <w:color w:val="404040"/>
      <w:sz w:val="27"/>
      <w:szCs w:val="28"/>
    </w:rPr>
  </w:style>
  <w:style w:type="paragraph" w:styleId="Heading3">
    <w:name w:val="heading 3"/>
    <w:basedOn w:val="Normal"/>
    <w:next w:val="Normal"/>
    <w:link w:val="Heading3Char"/>
    <w:uiPriority w:val="9"/>
    <w:unhideWhenUsed/>
    <w:qFormat/>
    <w:rsid w:val="001D650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53F"/>
    <w:rPr>
      <w:rFonts w:ascii="Arial" w:eastAsia="Times New Roman" w:hAnsi="Arial" w:cs="Arial"/>
      <w:b/>
      <w:bCs/>
      <w:color w:val="005984"/>
      <w:kern w:val="32"/>
      <w:sz w:val="32"/>
      <w:szCs w:val="32"/>
      <w:lang w:eastAsia="en-GB"/>
    </w:rPr>
  </w:style>
  <w:style w:type="character" w:customStyle="1" w:styleId="Heading2Char">
    <w:name w:val="Heading 2 Char"/>
    <w:basedOn w:val="DefaultParagraphFont"/>
    <w:link w:val="Heading2"/>
    <w:rsid w:val="00A3653F"/>
    <w:rPr>
      <w:rFonts w:ascii="Arial" w:eastAsia="Times New Roman" w:hAnsi="Arial" w:cs="Arial"/>
      <w:b/>
      <w:iCs/>
      <w:color w:val="404040"/>
      <w:kern w:val="32"/>
      <w:sz w:val="27"/>
      <w:szCs w:val="28"/>
      <w:lang w:eastAsia="en-GB"/>
    </w:rPr>
  </w:style>
  <w:style w:type="paragraph" w:styleId="ListParagraph">
    <w:name w:val="List Paragraph"/>
    <w:basedOn w:val="Normal"/>
    <w:uiPriority w:val="34"/>
    <w:unhideWhenUsed/>
    <w:qFormat/>
    <w:rsid w:val="00A3653F"/>
    <w:pPr>
      <w:ind w:left="720"/>
      <w:contextualSpacing/>
    </w:pPr>
  </w:style>
  <w:style w:type="paragraph" w:styleId="BodyText">
    <w:name w:val="Body Text"/>
    <w:basedOn w:val="Normal"/>
    <w:link w:val="BodyTextChar"/>
    <w:uiPriority w:val="99"/>
    <w:semiHidden/>
    <w:unhideWhenUsed/>
    <w:rsid w:val="00A3653F"/>
    <w:pPr>
      <w:spacing w:after="120"/>
    </w:pPr>
  </w:style>
  <w:style w:type="character" w:customStyle="1" w:styleId="BodyTextChar">
    <w:name w:val="Body Text Char"/>
    <w:basedOn w:val="DefaultParagraphFont"/>
    <w:link w:val="BodyText"/>
    <w:uiPriority w:val="99"/>
    <w:semiHidden/>
    <w:rsid w:val="00A3653F"/>
    <w:rPr>
      <w:rFonts w:ascii="Arial" w:eastAsia="Times New Roman" w:hAnsi="Arial" w:cs="Times New Roman"/>
      <w:sz w:val="24"/>
      <w:lang w:eastAsia="en-GB"/>
    </w:rPr>
  </w:style>
  <w:style w:type="paragraph" w:styleId="Header">
    <w:name w:val="header"/>
    <w:basedOn w:val="Normal"/>
    <w:link w:val="HeaderChar"/>
    <w:uiPriority w:val="99"/>
    <w:unhideWhenUsed/>
    <w:rsid w:val="00A3653F"/>
    <w:pPr>
      <w:tabs>
        <w:tab w:val="center" w:pos="4513"/>
        <w:tab w:val="right" w:pos="9026"/>
      </w:tabs>
    </w:pPr>
  </w:style>
  <w:style w:type="character" w:customStyle="1" w:styleId="HeaderChar">
    <w:name w:val="Header Char"/>
    <w:basedOn w:val="DefaultParagraphFont"/>
    <w:link w:val="Header"/>
    <w:uiPriority w:val="99"/>
    <w:rsid w:val="00A3653F"/>
    <w:rPr>
      <w:rFonts w:ascii="Arial" w:eastAsia="Times New Roman" w:hAnsi="Arial" w:cs="Times New Roman"/>
      <w:sz w:val="24"/>
      <w:lang w:eastAsia="en-GB"/>
    </w:rPr>
  </w:style>
  <w:style w:type="paragraph" w:styleId="Footer">
    <w:name w:val="footer"/>
    <w:basedOn w:val="Normal"/>
    <w:link w:val="FooterChar"/>
    <w:uiPriority w:val="99"/>
    <w:unhideWhenUsed/>
    <w:rsid w:val="00A3653F"/>
    <w:pPr>
      <w:tabs>
        <w:tab w:val="center" w:pos="4513"/>
        <w:tab w:val="right" w:pos="9026"/>
      </w:tabs>
    </w:pPr>
  </w:style>
  <w:style w:type="character" w:customStyle="1" w:styleId="FooterChar">
    <w:name w:val="Footer Char"/>
    <w:basedOn w:val="DefaultParagraphFont"/>
    <w:link w:val="Footer"/>
    <w:uiPriority w:val="99"/>
    <w:rsid w:val="00A3653F"/>
    <w:rPr>
      <w:rFonts w:ascii="Arial" w:eastAsia="Times New Roman" w:hAnsi="Arial" w:cs="Times New Roman"/>
      <w:sz w:val="24"/>
      <w:lang w:eastAsia="en-GB"/>
    </w:rPr>
  </w:style>
  <w:style w:type="table" w:styleId="TableGrid">
    <w:name w:val="Table Grid"/>
    <w:basedOn w:val="TableNormal"/>
    <w:uiPriority w:val="59"/>
    <w:rsid w:val="00A36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53F"/>
    <w:rPr>
      <w:color w:val="0563C1" w:themeColor="hyperlink"/>
      <w:u w:val="single"/>
    </w:rPr>
  </w:style>
  <w:style w:type="character" w:customStyle="1" w:styleId="Heading3Char">
    <w:name w:val="Heading 3 Char"/>
    <w:basedOn w:val="DefaultParagraphFont"/>
    <w:link w:val="Heading3"/>
    <w:uiPriority w:val="9"/>
    <w:rsid w:val="001D6500"/>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7732">
      <w:bodyDiv w:val="1"/>
      <w:marLeft w:val="0"/>
      <w:marRight w:val="0"/>
      <w:marTop w:val="0"/>
      <w:marBottom w:val="0"/>
      <w:divBdr>
        <w:top w:val="none" w:sz="0" w:space="0" w:color="auto"/>
        <w:left w:val="none" w:sz="0" w:space="0" w:color="auto"/>
        <w:bottom w:val="none" w:sz="0" w:space="0" w:color="auto"/>
        <w:right w:val="none" w:sz="0" w:space="0" w:color="auto"/>
      </w:divBdr>
      <w:divsChild>
        <w:div w:id="1670408728">
          <w:marLeft w:val="0"/>
          <w:marRight w:val="0"/>
          <w:marTop w:val="0"/>
          <w:marBottom w:val="0"/>
          <w:divBdr>
            <w:top w:val="none" w:sz="0" w:space="0" w:color="auto"/>
            <w:left w:val="none" w:sz="0" w:space="0" w:color="auto"/>
            <w:bottom w:val="none" w:sz="0" w:space="0" w:color="auto"/>
            <w:right w:val="none" w:sz="0" w:space="0" w:color="auto"/>
          </w:divBdr>
        </w:div>
        <w:div w:id="828861354">
          <w:marLeft w:val="0"/>
          <w:marRight w:val="0"/>
          <w:marTop w:val="0"/>
          <w:marBottom w:val="0"/>
          <w:divBdr>
            <w:top w:val="none" w:sz="0" w:space="0" w:color="auto"/>
            <w:left w:val="none" w:sz="0" w:space="0" w:color="auto"/>
            <w:bottom w:val="none" w:sz="0" w:space="0" w:color="auto"/>
            <w:right w:val="none" w:sz="0" w:space="0" w:color="auto"/>
          </w:divBdr>
        </w:div>
        <w:div w:id="272978653">
          <w:marLeft w:val="0"/>
          <w:marRight w:val="0"/>
          <w:marTop w:val="0"/>
          <w:marBottom w:val="0"/>
          <w:divBdr>
            <w:top w:val="none" w:sz="0" w:space="0" w:color="auto"/>
            <w:left w:val="none" w:sz="0" w:space="0" w:color="auto"/>
            <w:bottom w:val="none" w:sz="0" w:space="0" w:color="auto"/>
            <w:right w:val="none" w:sz="0" w:space="0" w:color="auto"/>
          </w:divBdr>
        </w:div>
        <w:div w:id="302542681">
          <w:marLeft w:val="0"/>
          <w:marRight w:val="0"/>
          <w:marTop w:val="0"/>
          <w:marBottom w:val="0"/>
          <w:divBdr>
            <w:top w:val="none" w:sz="0" w:space="0" w:color="auto"/>
            <w:left w:val="none" w:sz="0" w:space="0" w:color="auto"/>
            <w:bottom w:val="none" w:sz="0" w:space="0" w:color="auto"/>
            <w:right w:val="none" w:sz="0" w:space="0" w:color="auto"/>
          </w:divBdr>
        </w:div>
        <w:div w:id="1141537172">
          <w:marLeft w:val="0"/>
          <w:marRight w:val="0"/>
          <w:marTop w:val="0"/>
          <w:marBottom w:val="0"/>
          <w:divBdr>
            <w:top w:val="none" w:sz="0" w:space="0" w:color="auto"/>
            <w:left w:val="none" w:sz="0" w:space="0" w:color="auto"/>
            <w:bottom w:val="none" w:sz="0" w:space="0" w:color="auto"/>
            <w:right w:val="none" w:sz="0" w:space="0" w:color="auto"/>
          </w:divBdr>
        </w:div>
        <w:div w:id="1645546898">
          <w:marLeft w:val="0"/>
          <w:marRight w:val="0"/>
          <w:marTop w:val="0"/>
          <w:marBottom w:val="0"/>
          <w:divBdr>
            <w:top w:val="none" w:sz="0" w:space="0" w:color="auto"/>
            <w:left w:val="none" w:sz="0" w:space="0" w:color="auto"/>
            <w:bottom w:val="none" w:sz="0" w:space="0" w:color="auto"/>
            <w:right w:val="none" w:sz="0" w:space="0" w:color="auto"/>
          </w:divBdr>
        </w:div>
        <w:div w:id="445583283">
          <w:marLeft w:val="0"/>
          <w:marRight w:val="0"/>
          <w:marTop w:val="0"/>
          <w:marBottom w:val="0"/>
          <w:divBdr>
            <w:top w:val="none" w:sz="0" w:space="0" w:color="auto"/>
            <w:left w:val="none" w:sz="0" w:space="0" w:color="auto"/>
            <w:bottom w:val="none" w:sz="0" w:space="0" w:color="auto"/>
            <w:right w:val="none" w:sz="0" w:space="0" w:color="auto"/>
          </w:divBdr>
        </w:div>
        <w:div w:id="1156871655">
          <w:marLeft w:val="0"/>
          <w:marRight w:val="0"/>
          <w:marTop w:val="0"/>
          <w:marBottom w:val="0"/>
          <w:divBdr>
            <w:top w:val="none" w:sz="0" w:space="0" w:color="auto"/>
            <w:left w:val="none" w:sz="0" w:space="0" w:color="auto"/>
            <w:bottom w:val="none" w:sz="0" w:space="0" w:color="auto"/>
            <w:right w:val="none" w:sz="0" w:space="0" w:color="auto"/>
          </w:divBdr>
        </w:div>
        <w:div w:id="1072194154">
          <w:marLeft w:val="0"/>
          <w:marRight w:val="0"/>
          <w:marTop w:val="0"/>
          <w:marBottom w:val="0"/>
          <w:divBdr>
            <w:top w:val="none" w:sz="0" w:space="0" w:color="auto"/>
            <w:left w:val="none" w:sz="0" w:space="0" w:color="auto"/>
            <w:bottom w:val="none" w:sz="0" w:space="0" w:color="auto"/>
            <w:right w:val="none" w:sz="0" w:space="0" w:color="auto"/>
          </w:divBdr>
        </w:div>
        <w:div w:id="255092703">
          <w:marLeft w:val="0"/>
          <w:marRight w:val="0"/>
          <w:marTop w:val="0"/>
          <w:marBottom w:val="0"/>
          <w:divBdr>
            <w:top w:val="none" w:sz="0" w:space="0" w:color="auto"/>
            <w:left w:val="none" w:sz="0" w:space="0" w:color="auto"/>
            <w:bottom w:val="none" w:sz="0" w:space="0" w:color="auto"/>
            <w:right w:val="none" w:sz="0" w:space="0" w:color="auto"/>
          </w:divBdr>
        </w:div>
        <w:div w:id="51931484">
          <w:marLeft w:val="0"/>
          <w:marRight w:val="0"/>
          <w:marTop w:val="0"/>
          <w:marBottom w:val="0"/>
          <w:divBdr>
            <w:top w:val="none" w:sz="0" w:space="0" w:color="auto"/>
            <w:left w:val="none" w:sz="0" w:space="0" w:color="auto"/>
            <w:bottom w:val="none" w:sz="0" w:space="0" w:color="auto"/>
            <w:right w:val="none" w:sz="0" w:space="0" w:color="auto"/>
          </w:divBdr>
        </w:div>
        <w:div w:id="427392284">
          <w:marLeft w:val="0"/>
          <w:marRight w:val="0"/>
          <w:marTop w:val="0"/>
          <w:marBottom w:val="0"/>
          <w:divBdr>
            <w:top w:val="none" w:sz="0" w:space="0" w:color="auto"/>
            <w:left w:val="none" w:sz="0" w:space="0" w:color="auto"/>
            <w:bottom w:val="none" w:sz="0" w:space="0" w:color="auto"/>
            <w:right w:val="none" w:sz="0" w:space="0" w:color="auto"/>
          </w:divBdr>
        </w:div>
        <w:div w:id="1045980114">
          <w:marLeft w:val="0"/>
          <w:marRight w:val="0"/>
          <w:marTop w:val="0"/>
          <w:marBottom w:val="0"/>
          <w:divBdr>
            <w:top w:val="none" w:sz="0" w:space="0" w:color="auto"/>
            <w:left w:val="none" w:sz="0" w:space="0" w:color="auto"/>
            <w:bottom w:val="none" w:sz="0" w:space="0" w:color="auto"/>
            <w:right w:val="none" w:sz="0" w:space="0" w:color="auto"/>
          </w:divBdr>
        </w:div>
        <w:div w:id="445664806">
          <w:marLeft w:val="0"/>
          <w:marRight w:val="0"/>
          <w:marTop w:val="0"/>
          <w:marBottom w:val="0"/>
          <w:divBdr>
            <w:top w:val="none" w:sz="0" w:space="0" w:color="auto"/>
            <w:left w:val="none" w:sz="0" w:space="0" w:color="auto"/>
            <w:bottom w:val="none" w:sz="0" w:space="0" w:color="auto"/>
            <w:right w:val="none" w:sz="0" w:space="0" w:color="auto"/>
          </w:divBdr>
        </w:div>
        <w:div w:id="368802810">
          <w:marLeft w:val="0"/>
          <w:marRight w:val="0"/>
          <w:marTop w:val="0"/>
          <w:marBottom w:val="0"/>
          <w:divBdr>
            <w:top w:val="none" w:sz="0" w:space="0" w:color="auto"/>
            <w:left w:val="none" w:sz="0" w:space="0" w:color="auto"/>
            <w:bottom w:val="none" w:sz="0" w:space="0" w:color="auto"/>
            <w:right w:val="none" w:sz="0" w:space="0" w:color="auto"/>
          </w:divBdr>
        </w:div>
        <w:div w:id="1606573915">
          <w:marLeft w:val="0"/>
          <w:marRight w:val="0"/>
          <w:marTop w:val="0"/>
          <w:marBottom w:val="0"/>
          <w:divBdr>
            <w:top w:val="none" w:sz="0" w:space="0" w:color="auto"/>
            <w:left w:val="none" w:sz="0" w:space="0" w:color="auto"/>
            <w:bottom w:val="none" w:sz="0" w:space="0" w:color="auto"/>
            <w:right w:val="none" w:sz="0" w:space="0" w:color="auto"/>
          </w:divBdr>
        </w:div>
        <w:div w:id="1534155307">
          <w:marLeft w:val="0"/>
          <w:marRight w:val="0"/>
          <w:marTop w:val="0"/>
          <w:marBottom w:val="0"/>
          <w:divBdr>
            <w:top w:val="none" w:sz="0" w:space="0" w:color="auto"/>
            <w:left w:val="none" w:sz="0" w:space="0" w:color="auto"/>
            <w:bottom w:val="none" w:sz="0" w:space="0" w:color="auto"/>
            <w:right w:val="none" w:sz="0" w:space="0" w:color="auto"/>
          </w:divBdr>
        </w:div>
        <w:div w:id="971640333">
          <w:marLeft w:val="0"/>
          <w:marRight w:val="0"/>
          <w:marTop w:val="0"/>
          <w:marBottom w:val="0"/>
          <w:divBdr>
            <w:top w:val="none" w:sz="0" w:space="0" w:color="auto"/>
            <w:left w:val="none" w:sz="0" w:space="0" w:color="auto"/>
            <w:bottom w:val="none" w:sz="0" w:space="0" w:color="auto"/>
            <w:right w:val="none" w:sz="0" w:space="0" w:color="auto"/>
          </w:divBdr>
        </w:div>
        <w:div w:id="423771429">
          <w:marLeft w:val="0"/>
          <w:marRight w:val="0"/>
          <w:marTop w:val="0"/>
          <w:marBottom w:val="0"/>
          <w:divBdr>
            <w:top w:val="none" w:sz="0" w:space="0" w:color="auto"/>
            <w:left w:val="none" w:sz="0" w:space="0" w:color="auto"/>
            <w:bottom w:val="none" w:sz="0" w:space="0" w:color="auto"/>
            <w:right w:val="none" w:sz="0" w:space="0" w:color="auto"/>
          </w:divBdr>
        </w:div>
        <w:div w:id="1183934386">
          <w:marLeft w:val="0"/>
          <w:marRight w:val="0"/>
          <w:marTop w:val="0"/>
          <w:marBottom w:val="0"/>
          <w:divBdr>
            <w:top w:val="none" w:sz="0" w:space="0" w:color="auto"/>
            <w:left w:val="none" w:sz="0" w:space="0" w:color="auto"/>
            <w:bottom w:val="none" w:sz="0" w:space="0" w:color="auto"/>
            <w:right w:val="none" w:sz="0" w:space="0" w:color="auto"/>
          </w:divBdr>
        </w:div>
        <w:div w:id="1023896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coss.org.au/sites/default/files/public/documents/2016-ACT-Community-Services-Industry-Strategy-pdf-version-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coss.org.au/sites/default/files/public/documents/2016-ACT-Community-Services-Industry-Strategy-pdf-version-1.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tcoss.org.au/sites/default/files/public/publications/2016-report-state-of-the-community-service-sector-act.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Helyar</dc:creator>
  <cp:keywords/>
  <dc:description/>
  <cp:lastModifiedBy>Suzanne Richardson</cp:lastModifiedBy>
  <cp:revision>4</cp:revision>
  <dcterms:created xsi:type="dcterms:W3CDTF">2017-09-12T05:50:00Z</dcterms:created>
  <dcterms:modified xsi:type="dcterms:W3CDTF">2017-09-21T06:52:00Z</dcterms:modified>
</cp:coreProperties>
</file>