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051E" w14:textId="58042D66" w:rsidR="00F62238" w:rsidRPr="001D19C8" w:rsidRDefault="00022E37" w:rsidP="003F3AC3">
      <w:pPr>
        <w:pStyle w:val="BodyText"/>
      </w:pPr>
      <w:r>
        <w:rPr>
          <w:noProof/>
          <w:lang w:eastAsia="en-AU"/>
        </w:rPr>
        <w:drawing>
          <wp:anchor distT="0" distB="0" distL="114300" distR="114300" simplePos="0" relativeHeight="251658752" behindDoc="1" locked="0" layoutInCell="1" allowOverlap="1" wp14:anchorId="5107053D" wp14:editId="367BDEAD">
            <wp:simplePos x="0" y="0"/>
            <wp:positionH relativeFrom="column">
              <wp:posOffset>-1368425</wp:posOffset>
            </wp:positionH>
            <wp:positionV relativeFrom="page">
              <wp:posOffset>-14605</wp:posOffset>
            </wp:positionV>
            <wp:extent cx="7923530" cy="1101725"/>
            <wp:effectExtent l="0" t="0" r="127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p>
    <w:p w14:paraId="5107051F" w14:textId="7A0B0BFA" w:rsidR="00F62238" w:rsidRPr="00E0328F" w:rsidRDefault="00022E37" w:rsidP="005726CC">
      <w:pPr>
        <w:pStyle w:val="Logo-Centred"/>
        <w:spacing w:before="840" w:after="120"/>
        <w:ind w:left="4536"/>
        <w:jc w:val="right"/>
        <w:rPr>
          <w:b/>
          <w:color w:val="808080"/>
          <w:sz w:val="36"/>
        </w:rPr>
      </w:pPr>
      <w:r>
        <w:rPr>
          <w:b/>
          <w:noProof/>
          <w:color w:val="808080"/>
          <w:sz w:val="36"/>
          <w:lang w:eastAsia="en-AU"/>
        </w:rPr>
        <w:drawing>
          <wp:anchor distT="0" distB="0" distL="114300" distR="114300" simplePos="0" relativeHeight="251656704" behindDoc="0" locked="0" layoutInCell="1" allowOverlap="1" wp14:anchorId="5107053E" wp14:editId="50037D56">
            <wp:simplePos x="0" y="0"/>
            <wp:positionH relativeFrom="column">
              <wp:posOffset>-11430</wp:posOffset>
            </wp:positionH>
            <wp:positionV relativeFrom="paragraph">
              <wp:posOffset>145415</wp:posOffset>
            </wp:positionV>
            <wp:extent cx="2314575" cy="866775"/>
            <wp:effectExtent l="0" t="0" r="9525" b="9525"/>
            <wp:wrapNone/>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pic:spPr>
                </pic:pic>
              </a:graphicData>
            </a:graphic>
            <wp14:sizeRelH relativeFrom="page">
              <wp14:pctWidth>0</wp14:pctWidth>
            </wp14:sizeRelH>
            <wp14:sizeRelV relativeFrom="page">
              <wp14:pctHeight>0</wp14:pctHeight>
            </wp14:sizeRelV>
          </wp:anchor>
        </w:drawing>
      </w:r>
      <w:r w:rsidR="00E631EA">
        <w:rPr>
          <w:b/>
          <w:color w:val="808080"/>
          <w:sz w:val="36"/>
        </w:rPr>
        <w:t>Factsheet</w:t>
      </w:r>
    </w:p>
    <w:p w14:paraId="51070520" w14:textId="6FC49777" w:rsidR="00E0328F" w:rsidRPr="005726CC" w:rsidRDefault="00E631EA" w:rsidP="00E0328F">
      <w:pPr>
        <w:pStyle w:val="BodyText"/>
        <w:ind w:left="4536"/>
        <w:jc w:val="right"/>
        <w:rPr>
          <w:color w:val="808080"/>
          <w:sz w:val="20"/>
        </w:rPr>
      </w:pPr>
      <w:r>
        <w:rPr>
          <w:color w:val="808080"/>
          <w:sz w:val="20"/>
        </w:rPr>
        <w:t>October 2018</w:t>
      </w:r>
    </w:p>
    <w:p w14:paraId="51070521" w14:textId="0056DCFC" w:rsidR="00F62238" w:rsidRDefault="007B0FE5" w:rsidP="00EB681F">
      <w:pPr>
        <w:pStyle w:val="Titleofpositionstatement"/>
      </w:pPr>
      <w:r w:rsidRPr="007B0FE5">
        <w:t xml:space="preserve">Gambling </w:t>
      </w:r>
      <w:r w:rsidR="000825DC">
        <w:t>h</w:t>
      </w:r>
      <w:r w:rsidRPr="007B0FE5">
        <w:t>arm in the ACT</w:t>
      </w:r>
    </w:p>
    <w:p w14:paraId="5B18ADA8" w14:textId="1C10044C" w:rsidR="007B0FE5" w:rsidRDefault="007B0FE5" w:rsidP="00125A2F">
      <w:pPr>
        <w:pStyle w:val="BodyText"/>
        <w:rPr>
          <w:lang w:eastAsia="en-US"/>
        </w:rPr>
      </w:pPr>
      <w:r w:rsidRPr="007B0FE5">
        <w:rPr>
          <w:lang w:eastAsia="en-US"/>
        </w:rPr>
        <w:t xml:space="preserve">This factsheet </w:t>
      </w:r>
      <w:r w:rsidR="002554FB">
        <w:rPr>
          <w:lang w:eastAsia="en-US"/>
        </w:rPr>
        <w:t>provides</w:t>
      </w:r>
      <w:r w:rsidRPr="007B0FE5">
        <w:rPr>
          <w:lang w:eastAsia="en-US"/>
        </w:rPr>
        <w:t xml:space="preserve"> an overview of the extent of gambling harm in Australia and the ACT, outline</w:t>
      </w:r>
      <w:r w:rsidR="003646CA">
        <w:rPr>
          <w:lang w:eastAsia="en-US"/>
        </w:rPr>
        <w:t>s</w:t>
      </w:r>
      <w:r w:rsidRPr="007B0FE5">
        <w:rPr>
          <w:lang w:eastAsia="en-US"/>
        </w:rPr>
        <w:t xml:space="preserve"> </w:t>
      </w:r>
      <w:r w:rsidR="00B05C36">
        <w:rPr>
          <w:lang w:eastAsia="en-US"/>
        </w:rPr>
        <w:t xml:space="preserve">statistics on </w:t>
      </w:r>
      <w:r w:rsidRPr="007B0FE5">
        <w:rPr>
          <w:lang w:eastAsia="en-US"/>
        </w:rPr>
        <w:t>the prevalence of harm</w:t>
      </w:r>
      <w:r w:rsidR="003646CA">
        <w:rPr>
          <w:lang w:eastAsia="en-US"/>
        </w:rPr>
        <w:t>,</w:t>
      </w:r>
      <w:r w:rsidRPr="007B0FE5">
        <w:rPr>
          <w:lang w:eastAsia="en-US"/>
        </w:rPr>
        <w:t xml:space="preserve"> and outline</w:t>
      </w:r>
      <w:r w:rsidR="003646CA">
        <w:rPr>
          <w:lang w:eastAsia="en-US"/>
        </w:rPr>
        <w:t>s</w:t>
      </w:r>
      <w:r w:rsidRPr="007B0FE5">
        <w:rPr>
          <w:lang w:eastAsia="en-US"/>
        </w:rPr>
        <w:t xml:space="preserve"> </w:t>
      </w:r>
      <w:r w:rsidR="003646CA">
        <w:rPr>
          <w:lang w:eastAsia="en-US"/>
        </w:rPr>
        <w:t>ACTCOSS’</w:t>
      </w:r>
      <w:bookmarkStart w:id="0" w:name="_GoBack"/>
      <w:bookmarkEnd w:id="0"/>
      <w:r w:rsidRPr="007B0FE5">
        <w:rPr>
          <w:lang w:eastAsia="en-US"/>
        </w:rPr>
        <w:t xml:space="preserve"> advocacy asks.  </w:t>
      </w:r>
    </w:p>
    <w:p w14:paraId="223F85B2" w14:textId="30AED98E" w:rsidR="001947C6" w:rsidRDefault="001947C6" w:rsidP="001947C6">
      <w:pPr>
        <w:pStyle w:val="Heading1"/>
        <w:rPr>
          <w:lang w:eastAsia="en-US"/>
        </w:rPr>
      </w:pPr>
      <w:r>
        <w:rPr>
          <w:lang w:eastAsia="en-US"/>
        </w:rPr>
        <w:t>What is gambling harm?</w:t>
      </w:r>
    </w:p>
    <w:p w14:paraId="4AC62F51" w14:textId="13A44B05" w:rsidR="004E5DEB" w:rsidRDefault="005D2D5C" w:rsidP="00125A2F">
      <w:pPr>
        <w:pStyle w:val="BodyText"/>
        <w:rPr>
          <w:lang w:eastAsia="en-US"/>
        </w:rPr>
      </w:pPr>
      <w:r w:rsidRPr="005D2D5C">
        <w:rPr>
          <w:lang w:eastAsia="en-US"/>
        </w:rPr>
        <w:t xml:space="preserve">Gambling harm </w:t>
      </w:r>
      <w:r w:rsidR="00B4203A">
        <w:rPr>
          <w:lang w:eastAsia="en-US"/>
        </w:rPr>
        <w:t>can be experienced in several ways</w:t>
      </w:r>
      <w:r w:rsidRPr="005D2D5C">
        <w:rPr>
          <w:lang w:eastAsia="en-US"/>
        </w:rPr>
        <w:t xml:space="preserve">: </w:t>
      </w:r>
      <w:r w:rsidR="00395A02">
        <w:rPr>
          <w:lang w:eastAsia="en-US"/>
        </w:rPr>
        <w:t>‘</w:t>
      </w:r>
      <w:r w:rsidRPr="005D2D5C">
        <w:rPr>
          <w:lang w:eastAsia="en-US"/>
        </w:rPr>
        <w:t>Financial harm, relationship disruption, emotional or psychological distress, decrements to health, cultural harm, reduced work or study performance and criminal activity</w:t>
      </w:r>
      <w:r w:rsidR="00395A02">
        <w:rPr>
          <w:lang w:eastAsia="en-US"/>
        </w:rPr>
        <w:t>’</w:t>
      </w:r>
      <w:r w:rsidRPr="005D2D5C">
        <w:rPr>
          <w:lang w:eastAsia="en-US"/>
        </w:rPr>
        <w:t>. These harms can</w:t>
      </w:r>
      <w:r w:rsidR="008634F3">
        <w:rPr>
          <w:lang w:eastAsia="en-US"/>
        </w:rPr>
        <w:t xml:space="preserve"> </w:t>
      </w:r>
      <w:r w:rsidR="00395A02">
        <w:rPr>
          <w:lang w:eastAsia="en-US"/>
        </w:rPr>
        <w:t>be experienced as ‘</w:t>
      </w:r>
      <w:r w:rsidRPr="005D2D5C">
        <w:rPr>
          <w:lang w:eastAsia="en-US"/>
        </w:rPr>
        <w:t>general harms (which occur at any time), crisis harms, which are associated with attempts to seek help, and legacy harms, which occur long after gambling has ceased</w:t>
      </w:r>
      <w:r w:rsidR="00395A02">
        <w:rPr>
          <w:lang w:eastAsia="en-US"/>
        </w:rPr>
        <w:t>’</w:t>
      </w:r>
      <w:r w:rsidRPr="005D2D5C">
        <w:rPr>
          <w:lang w:eastAsia="en-US"/>
        </w:rPr>
        <w:t>.</w:t>
      </w:r>
      <w:r w:rsidR="00395A02">
        <w:rPr>
          <w:rStyle w:val="EndnoteReference"/>
          <w:lang w:eastAsia="en-US"/>
        </w:rPr>
        <w:endnoteReference w:id="1"/>
      </w:r>
    </w:p>
    <w:p w14:paraId="20DEBFA2" w14:textId="77D8B51D" w:rsidR="008A5F8E" w:rsidRPr="007B0FE5" w:rsidRDefault="008A5F8E" w:rsidP="008A5F8E">
      <w:pPr>
        <w:pStyle w:val="Heading1"/>
        <w:rPr>
          <w:lang w:eastAsia="en-US"/>
        </w:rPr>
      </w:pPr>
      <w:r>
        <w:rPr>
          <w:lang w:eastAsia="en-US"/>
        </w:rPr>
        <w:t xml:space="preserve">Key </w:t>
      </w:r>
      <w:r w:rsidR="00122B37">
        <w:rPr>
          <w:lang w:eastAsia="en-US"/>
        </w:rPr>
        <w:t>facts</w:t>
      </w:r>
    </w:p>
    <w:p w14:paraId="71FA91A4" w14:textId="5469357F" w:rsidR="007B0FE5" w:rsidRPr="007B0FE5" w:rsidRDefault="00DA7D65" w:rsidP="00125A2F">
      <w:pPr>
        <w:pStyle w:val="BodyText"/>
        <w:rPr>
          <w:lang w:eastAsia="en-US"/>
        </w:rPr>
      </w:pPr>
      <w:r>
        <w:rPr>
          <w:lang w:eastAsia="en-US"/>
        </w:rPr>
        <w:t>The data</w:t>
      </w:r>
      <w:r w:rsidR="007B0FE5" w:rsidRPr="007B0FE5">
        <w:rPr>
          <w:lang w:eastAsia="en-US"/>
        </w:rPr>
        <w:t xml:space="preserve"> indicates that gambling is a high cost, low return activity for the ACT community</w:t>
      </w:r>
      <w:r w:rsidR="00464642">
        <w:rPr>
          <w:lang w:eastAsia="en-US"/>
        </w:rPr>
        <w:t xml:space="preserve"> and across Australia more broadly</w:t>
      </w:r>
      <w:r w:rsidR="004038A0">
        <w:rPr>
          <w:lang w:eastAsia="en-US"/>
        </w:rPr>
        <w:t>:</w:t>
      </w:r>
    </w:p>
    <w:p w14:paraId="34B2370A" w14:textId="6A5AC4F8" w:rsidR="007B0FE5" w:rsidRPr="007B0FE5" w:rsidRDefault="007F4840" w:rsidP="00125A2F">
      <w:pPr>
        <w:pStyle w:val="ListBullet"/>
      </w:pPr>
      <w:r>
        <w:t>The total gaming</w:t>
      </w:r>
      <w:r w:rsidR="00CC29BB">
        <w:t xml:space="preserve"> </w:t>
      </w:r>
      <w:r w:rsidR="00ED72BC">
        <w:t>losses</w:t>
      </w:r>
      <w:r w:rsidR="007B0FE5" w:rsidRPr="007B0FE5">
        <w:t xml:space="preserve"> in ACT </w:t>
      </w:r>
      <w:r w:rsidR="00BA4DBF">
        <w:t xml:space="preserve">in </w:t>
      </w:r>
      <w:r w:rsidR="007B0FE5" w:rsidRPr="007B0FE5">
        <w:t>201</w:t>
      </w:r>
      <w:r w:rsidR="00CC29BB">
        <w:t>6</w:t>
      </w:r>
      <w:r w:rsidR="007B0FE5" w:rsidRPr="007B0FE5">
        <w:t>-1</w:t>
      </w:r>
      <w:r w:rsidR="00CC29BB">
        <w:t xml:space="preserve">7 </w:t>
      </w:r>
      <w:r w:rsidR="00BA4DBF">
        <w:t>amounted to</w:t>
      </w:r>
      <w:r w:rsidR="007B0FE5" w:rsidRPr="007B0FE5">
        <w:t xml:space="preserve"> </w:t>
      </w:r>
      <w:r w:rsidR="00022E37">
        <w:t>around</w:t>
      </w:r>
      <w:r w:rsidR="007B0FE5" w:rsidRPr="007B0FE5">
        <w:t xml:space="preserve"> $2</w:t>
      </w:r>
      <w:r w:rsidR="00D53EF8">
        <w:t>4</w:t>
      </w:r>
      <w:r w:rsidR="007B0FE5" w:rsidRPr="007B0FE5">
        <w:t xml:space="preserve">2 million. The </w:t>
      </w:r>
      <w:proofErr w:type="gramStart"/>
      <w:r w:rsidR="007B0FE5" w:rsidRPr="007B0FE5">
        <w:t>vast majority</w:t>
      </w:r>
      <w:proofErr w:type="gramEnd"/>
      <w:r w:rsidR="007B0FE5" w:rsidRPr="007B0FE5">
        <w:t xml:space="preserve"> of </w:t>
      </w:r>
      <w:r w:rsidR="00BA4DBF">
        <w:t xml:space="preserve">losses </w:t>
      </w:r>
      <w:r w:rsidR="00DC528B">
        <w:t xml:space="preserve">(93%) </w:t>
      </w:r>
      <w:r w:rsidR="007B0FE5" w:rsidRPr="007B0FE5">
        <w:t>came from gaming. This equate</w:t>
      </w:r>
      <w:r w:rsidR="00F8199F">
        <w:t>d</w:t>
      </w:r>
      <w:r w:rsidR="007B0FE5" w:rsidRPr="007B0FE5">
        <w:t xml:space="preserve"> to</w:t>
      </w:r>
      <w:r w:rsidR="002B4E62">
        <w:t xml:space="preserve"> gambling losses of</w:t>
      </w:r>
      <w:r w:rsidR="007B0FE5" w:rsidRPr="007B0FE5">
        <w:t xml:space="preserve"> $7</w:t>
      </w:r>
      <w:r w:rsidR="00AD02F5">
        <w:t>64</w:t>
      </w:r>
      <w:r w:rsidR="007B0FE5" w:rsidRPr="007B0FE5">
        <w:t xml:space="preserve"> per person </w:t>
      </w:r>
      <w:r w:rsidR="00B13AD9">
        <w:t>over the year</w:t>
      </w:r>
      <w:r w:rsidR="007B0FE5" w:rsidRPr="007B0FE5">
        <w:t>.</w:t>
      </w:r>
      <w:r w:rsidR="00CC29BB" w:rsidRPr="007B0FE5">
        <w:rPr>
          <w:vertAlign w:val="superscript"/>
        </w:rPr>
        <w:endnoteReference w:id="2"/>
      </w:r>
      <w:r w:rsidR="00CC29BB" w:rsidRPr="007B0FE5">
        <w:t xml:space="preserve"> </w:t>
      </w:r>
      <w:r w:rsidR="007B0FE5" w:rsidRPr="007B0FE5">
        <w:t xml:space="preserve"> </w:t>
      </w:r>
    </w:p>
    <w:p w14:paraId="33F65B37" w14:textId="1D766DE2" w:rsidR="007B0FE5" w:rsidRPr="007B0FE5" w:rsidRDefault="007B0FE5" w:rsidP="00125A2F">
      <w:pPr>
        <w:pStyle w:val="ListBullet"/>
      </w:pPr>
      <w:r w:rsidRPr="007B0FE5">
        <w:t>The estimated total gaming tax revenue in the ACT for 2017-</w:t>
      </w:r>
      <w:r w:rsidR="00B13AD9">
        <w:t>18</w:t>
      </w:r>
      <w:r w:rsidRPr="007B0FE5">
        <w:t xml:space="preserve"> was $34.2 million.</w:t>
      </w:r>
      <w:r w:rsidRPr="007B0FE5">
        <w:rPr>
          <w:vertAlign w:val="superscript"/>
        </w:rPr>
        <w:endnoteReference w:id="3"/>
      </w:r>
    </w:p>
    <w:p w14:paraId="0D162BFE" w14:textId="023EE060" w:rsidR="007B0FE5" w:rsidRPr="007B0FE5" w:rsidRDefault="009250DC" w:rsidP="00125A2F">
      <w:pPr>
        <w:pStyle w:val="ListBullet"/>
      </w:pPr>
      <w:r>
        <w:t>The</w:t>
      </w:r>
      <w:r w:rsidR="007B0FE5" w:rsidRPr="007B0FE5">
        <w:t xml:space="preserve"> social cost of problem gambling in Australia</w:t>
      </w:r>
      <w:r w:rsidR="002B4E62">
        <w:t xml:space="preserve"> </w:t>
      </w:r>
      <w:r w:rsidR="007E39A7">
        <w:t xml:space="preserve">over one year </w:t>
      </w:r>
      <w:r>
        <w:t xml:space="preserve">has been estimated to be </w:t>
      </w:r>
      <w:r w:rsidR="007B0FE5" w:rsidRPr="007B0FE5">
        <w:t>between $4.7 and $8.4 billion</w:t>
      </w:r>
      <w:r w:rsidR="002B4E62">
        <w:t>.</w:t>
      </w:r>
      <w:r w:rsidR="007B0FE5" w:rsidRPr="007B0FE5">
        <w:t xml:space="preserve"> </w:t>
      </w:r>
      <w:r w:rsidR="002C24BD">
        <w:t xml:space="preserve">The </w:t>
      </w:r>
      <w:r w:rsidR="009B079D">
        <w:t>social (non-financial)</w:t>
      </w:r>
      <w:r w:rsidR="00792ED0">
        <w:t xml:space="preserve"> </w:t>
      </w:r>
      <w:r w:rsidR="002C24BD">
        <w:t>cost</w:t>
      </w:r>
      <w:r w:rsidR="00BE2447">
        <w:t>s</w:t>
      </w:r>
      <w:r w:rsidR="002C24BD">
        <w:t xml:space="preserve"> per </w:t>
      </w:r>
      <w:r w:rsidR="007B0FE5" w:rsidRPr="007B0FE5">
        <w:t xml:space="preserve">problem gambler </w:t>
      </w:r>
      <w:r w:rsidR="00BE2447">
        <w:t>w</w:t>
      </w:r>
      <w:r w:rsidR="000825DC">
        <w:t>ere</w:t>
      </w:r>
      <w:r w:rsidR="00BE2447">
        <w:t xml:space="preserve"> estimated to be </w:t>
      </w:r>
      <w:r w:rsidR="007B0FE5" w:rsidRPr="007B0FE5">
        <w:t>between $10</w:t>
      </w:r>
      <w:r w:rsidR="00BE2447">
        <w:t>,</w:t>
      </w:r>
      <w:r w:rsidR="007B0FE5" w:rsidRPr="007B0FE5">
        <w:t>000 and $30</w:t>
      </w:r>
      <w:r w:rsidR="00BE2447">
        <w:t>,</w:t>
      </w:r>
      <w:r w:rsidR="007B0FE5" w:rsidRPr="007B0FE5">
        <w:t>000.</w:t>
      </w:r>
      <w:r w:rsidR="0020724A" w:rsidRPr="007B0FE5">
        <w:rPr>
          <w:vertAlign w:val="superscript"/>
        </w:rPr>
        <w:endnoteReference w:id="4"/>
      </w:r>
    </w:p>
    <w:p w14:paraId="4862A3AD" w14:textId="4E5FBF86" w:rsidR="008A5F8E" w:rsidRDefault="008A5F8E" w:rsidP="00C3212A">
      <w:pPr>
        <w:pStyle w:val="BodyText"/>
        <w:rPr>
          <w:lang w:eastAsia="en-US"/>
        </w:rPr>
      </w:pPr>
      <w:r w:rsidRPr="007B0FE5">
        <w:rPr>
          <w:lang w:eastAsia="en-US"/>
        </w:rPr>
        <w:t xml:space="preserve">.  </w:t>
      </w:r>
    </w:p>
    <w:p w14:paraId="44DB7055" w14:textId="4A435FAE" w:rsidR="008A5F8E" w:rsidRDefault="00F64767" w:rsidP="008A5F8E">
      <w:pPr>
        <w:pStyle w:val="Heading1"/>
        <w:rPr>
          <w:lang w:eastAsia="en-US"/>
        </w:rPr>
      </w:pPr>
      <w:r>
        <w:rPr>
          <w:lang w:eastAsia="en-US"/>
        </w:rPr>
        <w:lastRenderedPageBreak/>
        <w:t>What needs to change?</w:t>
      </w:r>
    </w:p>
    <w:p w14:paraId="15BA748C" w14:textId="6A6497B3" w:rsidR="00122B37" w:rsidRPr="00122B37" w:rsidRDefault="00122B37" w:rsidP="00122B37">
      <w:pPr>
        <w:pStyle w:val="BodyText"/>
        <w:rPr>
          <w:lang w:eastAsia="en-US"/>
        </w:rPr>
      </w:pPr>
      <w:r>
        <w:rPr>
          <w:lang w:eastAsia="en-US"/>
        </w:rPr>
        <w:t xml:space="preserve">The ACT has a relatively high number of </w:t>
      </w:r>
      <w:r w:rsidRPr="007B0FE5">
        <w:rPr>
          <w:lang w:eastAsia="en-US"/>
        </w:rPr>
        <w:t>Electronic Gaming Machines</w:t>
      </w:r>
      <w:r>
        <w:rPr>
          <w:lang w:eastAsia="en-US"/>
        </w:rPr>
        <w:t xml:space="preserve"> (EGMs</w:t>
      </w:r>
      <w:r w:rsidR="000A6C09">
        <w:rPr>
          <w:lang w:eastAsia="en-US"/>
        </w:rPr>
        <w:t>, known colloquially as pokies</w:t>
      </w:r>
      <w:r>
        <w:rPr>
          <w:lang w:eastAsia="en-US"/>
        </w:rPr>
        <w:t xml:space="preserve">). EGMs </w:t>
      </w:r>
      <w:r w:rsidRPr="001625E5">
        <w:rPr>
          <w:lang w:eastAsia="en-US"/>
        </w:rPr>
        <w:t xml:space="preserve">are spread across the </w:t>
      </w:r>
      <w:r>
        <w:rPr>
          <w:lang w:eastAsia="en-US"/>
        </w:rPr>
        <w:t>ACT</w:t>
      </w:r>
      <w:r w:rsidRPr="001625E5">
        <w:rPr>
          <w:lang w:eastAsia="en-US"/>
        </w:rPr>
        <w:t xml:space="preserve"> in multiple venues</w:t>
      </w:r>
      <w:r>
        <w:rPr>
          <w:lang w:eastAsia="en-US"/>
        </w:rPr>
        <w:t>,</w:t>
      </w:r>
      <w:r w:rsidRPr="001625E5">
        <w:rPr>
          <w:lang w:eastAsia="en-US"/>
        </w:rPr>
        <w:t xml:space="preserve"> </w:t>
      </w:r>
      <w:r w:rsidRPr="007B0FE5">
        <w:rPr>
          <w:lang w:eastAsia="en-US"/>
        </w:rPr>
        <w:t>gambling takings are high, the maximum amounts you can bet are relatively high, the regulatory settings are relaxed</w:t>
      </w:r>
      <w:r>
        <w:rPr>
          <w:lang w:eastAsia="en-US"/>
        </w:rPr>
        <w:t>,</w:t>
      </w:r>
      <w:r w:rsidRPr="007B0FE5">
        <w:rPr>
          <w:lang w:eastAsia="en-US"/>
        </w:rPr>
        <w:t xml:space="preserve"> and the level of community benefit from</w:t>
      </w:r>
      <w:r>
        <w:rPr>
          <w:lang w:eastAsia="en-US"/>
        </w:rPr>
        <w:t xml:space="preserve"> </w:t>
      </w:r>
      <w:r w:rsidRPr="007B0FE5">
        <w:rPr>
          <w:lang w:eastAsia="en-US"/>
        </w:rPr>
        <w:t xml:space="preserve">venues is limited and </w:t>
      </w:r>
      <w:r>
        <w:rPr>
          <w:lang w:eastAsia="en-US"/>
        </w:rPr>
        <w:t>unclear</w:t>
      </w:r>
      <w:r w:rsidR="000A6C09">
        <w:rPr>
          <w:lang w:eastAsia="en-US"/>
        </w:rPr>
        <w:t>.</w:t>
      </w:r>
    </w:p>
    <w:p w14:paraId="408A9C36" w14:textId="237BB5D9" w:rsidR="007B0FE5" w:rsidRPr="007B0FE5" w:rsidRDefault="00A005D1" w:rsidP="00125A2F">
      <w:pPr>
        <w:pStyle w:val="BodyText"/>
        <w:rPr>
          <w:lang w:eastAsia="en-US"/>
        </w:rPr>
      </w:pPr>
      <w:r>
        <w:rPr>
          <w:lang w:eastAsia="en-US"/>
        </w:rPr>
        <w:t xml:space="preserve">The Canberra </w:t>
      </w:r>
      <w:r w:rsidR="007B0FE5" w:rsidRPr="007B0FE5">
        <w:rPr>
          <w:lang w:eastAsia="en-US"/>
        </w:rPr>
        <w:t>Gambling Reform Alliance has made recommendations towards a harm minimisation approach including</w:t>
      </w:r>
      <w:r w:rsidR="000C68BD">
        <w:rPr>
          <w:lang w:eastAsia="en-US"/>
        </w:rPr>
        <w:t>:</w:t>
      </w:r>
      <w:r w:rsidR="007B0FE5" w:rsidRPr="007B0FE5">
        <w:rPr>
          <w:lang w:eastAsia="en-US"/>
        </w:rPr>
        <w:t xml:space="preserve"> mandatory pre-commitment for all poker machine venues</w:t>
      </w:r>
      <w:r w:rsidR="000C68BD">
        <w:rPr>
          <w:lang w:eastAsia="en-US"/>
        </w:rPr>
        <w:t xml:space="preserve">; </w:t>
      </w:r>
      <w:r w:rsidR="007B0FE5" w:rsidRPr="007B0FE5">
        <w:rPr>
          <w:lang w:eastAsia="en-US"/>
        </w:rPr>
        <w:t>$1 bet limits on all machines</w:t>
      </w:r>
      <w:r w:rsidR="000C68BD">
        <w:rPr>
          <w:lang w:eastAsia="en-US"/>
        </w:rPr>
        <w:t>;</w:t>
      </w:r>
      <w:r w:rsidR="007B0FE5" w:rsidRPr="007B0FE5">
        <w:rPr>
          <w:lang w:eastAsia="en-US"/>
        </w:rPr>
        <w:t xml:space="preserve"> aligning the rules on EFTPOS machines with ATMs</w:t>
      </w:r>
      <w:r w:rsidR="000C68BD">
        <w:rPr>
          <w:lang w:eastAsia="en-US"/>
        </w:rPr>
        <w:t xml:space="preserve">; </w:t>
      </w:r>
      <w:r w:rsidR="007B0FE5" w:rsidRPr="007B0FE5">
        <w:rPr>
          <w:lang w:eastAsia="en-US"/>
        </w:rPr>
        <w:t>reducing the number of poker machines operating in the ACT by half</w:t>
      </w:r>
      <w:r w:rsidR="000C68BD">
        <w:rPr>
          <w:lang w:eastAsia="en-US"/>
        </w:rPr>
        <w:t>;</w:t>
      </w:r>
      <w:r w:rsidR="007B0FE5" w:rsidRPr="007B0FE5">
        <w:rPr>
          <w:lang w:eastAsia="en-US"/>
        </w:rPr>
        <w:t xml:space="preserve"> and calling for an overhaul of the community contributions scheme.</w:t>
      </w:r>
    </w:p>
    <w:tbl>
      <w:tblPr>
        <w:tblW w:w="0" w:type="auto"/>
        <w:shd w:val="clear" w:color="auto" w:fill="DEEAF6"/>
        <w:tblCellMar>
          <w:top w:w="57" w:type="dxa"/>
          <w:bottom w:w="57" w:type="dxa"/>
        </w:tblCellMar>
        <w:tblLook w:val="04A0" w:firstRow="1" w:lastRow="0" w:firstColumn="1" w:lastColumn="0" w:noHBand="0" w:noVBand="1"/>
      </w:tblPr>
      <w:tblGrid>
        <w:gridCol w:w="8504"/>
      </w:tblGrid>
      <w:tr w:rsidR="00476D8A" w:rsidRPr="007B0FE5" w14:paraId="24016B12" w14:textId="77777777" w:rsidTr="00476D8A">
        <w:trPr>
          <w:trHeight w:val="5273"/>
        </w:trPr>
        <w:tc>
          <w:tcPr>
            <w:tcW w:w="8720" w:type="dxa"/>
            <w:shd w:val="clear" w:color="auto" w:fill="DEEAF6"/>
            <w:tcMar>
              <w:top w:w="170" w:type="dxa"/>
              <w:left w:w="170" w:type="dxa"/>
              <w:bottom w:w="170" w:type="dxa"/>
              <w:right w:w="170" w:type="dxa"/>
            </w:tcMar>
          </w:tcPr>
          <w:p w14:paraId="460F984E" w14:textId="69C42898" w:rsidR="007B0FE5" w:rsidRPr="007B0FE5" w:rsidRDefault="007B0FE5" w:rsidP="000D0D94">
            <w:pPr>
              <w:pStyle w:val="BodyText"/>
            </w:pPr>
            <w:r w:rsidRPr="00476D8A">
              <w:rPr>
                <w:b/>
                <w:bCs/>
              </w:rPr>
              <w:t>Quote us</w:t>
            </w:r>
            <w:r w:rsidRPr="007B0FE5">
              <w:t xml:space="preserve"> ►: “While we don't often think that we are impacted by gambling harm, once we start talking to the people we know and the services which help we realise this is a much bigger issue which touches us all. </w:t>
            </w:r>
            <w:r w:rsidR="001779B0">
              <w:t>Recent research</w:t>
            </w:r>
            <w:r w:rsidR="00EB6E80">
              <w:t xml:space="preserve"> has</w:t>
            </w:r>
            <w:r w:rsidR="001779B0">
              <w:t xml:space="preserve"> found</w:t>
            </w:r>
            <w:r w:rsidRPr="007B0FE5">
              <w:t xml:space="preserve"> tha</w:t>
            </w:r>
            <w:r w:rsidR="00EA63F0">
              <w:t>t, on average</w:t>
            </w:r>
            <w:r w:rsidR="00EB6E80">
              <w:t>,</w:t>
            </w:r>
            <w:r w:rsidR="003C7A7F">
              <w:t xml:space="preserve"> </w:t>
            </w:r>
            <w:r w:rsidR="00993A1D">
              <w:t xml:space="preserve">the </w:t>
            </w:r>
            <w:r w:rsidR="00D31C66">
              <w:t xml:space="preserve">harm experienced by a </w:t>
            </w:r>
            <w:r w:rsidRPr="007B0FE5">
              <w:t>high</w:t>
            </w:r>
            <w:r w:rsidR="00944086">
              <w:t>-</w:t>
            </w:r>
            <w:r w:rsidRPr="007B0FE5">
              <w:t xml:space="preserve">risk gambler affects </w:t>
            </w:r>
            <w:r w:rsidR="00D31C66">
              <w:t xml:space="preserve">six other people, </w:t>
            </w:r>
            <w:r w:rsidR="00993A1D">
              <w:t>for a</w:t>
            </w:r>
            <w:r w:rsidRPr="007B0FE5">
              <w:t xml:space="preserve"> moderate</w:t>
            </w:r>
            <w:r w:rsidR="00944086">
              <w:t>-</w:t>
            </w:r>
            <w:r w:rsidRPr="007B0FE5">
              <w:t>risk gambler</w:t>
            </w:r>
            <w:r w:rsidR="00993A1D">
              <w:t xml:space="preserve"> it is</w:t>
            </w:r>
            <w:r w:rsidR="001B0E13">
              <w:t xml:space="preserve"> three</w:t>
            </w:r>
            <w:r w:rsidRPr="007B0FE5">
              <w:t xml:space="preserve"> others, and </w:t>
            </w:r>
            <w:r w:rsidR="001B0E13">
              <w:t>a</w:t>
            </w:r>
            <w:r w:rsidRPr="007B0FE5">
              <w:t xml:space="preserve"> low</w:t>
            </w:r>
            <w:r w:rsidR="00944086">
              <w:t>-</w:t>
            </w:r>
            <w:r w:rsidRPr="007B0FE5">
              <w:t xml:space="preserve">risk gambler </w:t>
            </w:r>
            <w:r w:rsidR="001B0E13">
              <w:t>affects one o</w:t>
            </w:r>
            <w:r w:rsidRPr="007B0FE5">
              <w:t>ther person.</w:t>
            </w:r>
            <w:r w:rsidR="001B0E13">
              <w:t xml:space="preserve"> These ‘others’ who are </w:t>
            </w:r>
            <w:r w:rsidRPr="007B0FE5">
              <w:t>adversely affected include children, other family, friends and employer</w:t>
            </w:r>
            <w:r w:rsidR="00DC4D25">
              <w:t>s</w:t>
            </w:r>
            <w:r w:rsidR="000D0D94">
              <w:t>.</w:t>
            </w:r>
            <w:r w:rsidRPr="000D0D94">
              <w:rPr>
                <w:rStyle w:val="FootnoteReference"/>
              </w:rPr>
              <w:endnoteReference w:id="5"/>
            </w:r>
          </w:p>
          <w:p w14:paraId="5F52D01C" w14:textId="326A24CD" w:rsidR="007B0FE5" w:rsidRPr="007B0FE5" w:rsidRDefault="007B0FE5" w:rsidP="000D0D94">
            <w:pPr>
              <w:pStyle w:val="BodyText"/>
            </w:pPr>
            <w:r w:rsidRPr="007B0FE5">
              <w:t xml:space="preserve">The </w:t>
            </w:r>
            <w:r w:rsidR="002B40A0">
              <w:t xml:space="preserve">gambling </w:t>
            </w:r>
            <w:r w:rsidR="00DA3D48">
              <w:t>i</w:t>
            </w:r>
            <w:r w:rsidRPr="007B0FE5">
              <w:t>ndustry’s claims of community benefit do not stand up to reasoned analysis.  Only a small proportion of clubs</w:t>
            </w:r>
            <w:r w:rsidR="00DA3D48">
              <w:t>’</w:t>
            </w:r>
            <w:r w:rsidRPr="007B0FE5">
              <w:t xml:space="preserve"> funds are returned via community contributions and much of this is opaque – through in</w:t>
            </w:r>
            <w:r w:rsidR="00DA3D48">
              <w:t>-</w:t>
            </w:r>
            <w:r w:rsidRPr="007B0FE5">
              <w:t xml:space="preserve">kind contributions and benefits related to the business model of clubs.  A smaller proportion still is set aside </w:t>
            </w:r>
            <w:proofErr w:type="gramStart"/>
            <w:r w:rsidRPr="007B0FE5">
              <w:t>for the purpose of</w:t>
            </w:r>
            <w:proofErr w:type="gramEnd"/>
            <w:r w:rsidRPr="007B0FE5">
              <w:t xml:space="preserve"> managing the consequences of gambling harm.  </w:t>
            </w:r>
          </w:p>
          <w:p w14:paraId="0706B1F8" w14:textId="10F1A609" w:rsidR="007B0FE5" w:rsidRPr="007B0FE5" w:rsidRDefault="007B0FE5" w:rsidP="000D0D94">
            <w:pPr>
              <w:pStyle w:val="BodyText"/>
            </w:pPr>
            <w:r w:rsidRPr="007B0FE5">
              <w:t>Lived experience advocates have pointed out that the gambling industr</w:t>
            </w:r>
            <w:r w:rsidR="00DA3D48">
              <w:t>y’s</w:t>
            </w:r>
            <w:r w:rsidRPr="007B0FE5">
              <w:t xml:space="preserve"> messaging which attempts to place personal responsibility with gamblers themselves fails to acknowledge the addictive nature of gambling products or adequate safeguards needed to prevent people from harmful gambling. Personal responsibility </w:t>
            </w:r>
            <w:proofErr w:type="gramStart"/>
            <w:r w:rsidRPr="007B0FE5">
              <w:t>has to</w:t>
            </w:r>
            <w:proofErr w:type="gramEnd"/>
            <w:r w:rsidRPr="007B0FE5">
              <w:t xml:space="preserve"> be matched by the responsibility of industry to be open about the intentional addictive design of their machines.</w:t>
            </w:r>
          </w:p>
          <w:p w14:paraId="26E62ADF" w14:textId="51372F8E" w:rsidR="007B0FE5" w:rsidRPr="007B0FE5" w:rsidRDefault="007B0FE5" w:rsidP="000D0D94">
            <w:pPr>
              <w:pStyle w:val="BodyText"/>
            </w:pPr>
            <w:r w:rsidRPr="007B0FE5">
              <w:t>There are things that governments and the community can and should do to address gambling harm. That is why it's time we saw positive action such as mandatory pre-commitment for all poker machine venues, $1 bet limits on all machines, aligning the rules on EFTPOS machines with ATMs, reducing the number of poker machines operating in the ACT by half, and an overhaul of the community contributions scheme</w:t>
            </w:r>
            <w:r w:rsidR="00385DE4">
              <w:t>”</w:t>
            </w:r>
            <w:r w:rsidRPr="007B0FE5">
              <w:t>.</w:t>
            </w:r>
          </w:p>
          <w:p w14:paraId="67077431" w14:textId="77777777" w:rsidR="007B0FE5" w:rsidRPr="007B0FE5" w:rsidRDefault="007B0FE5" w:rsidP="000D0D94">
            <w:pPr>
              <w:pStyle w:val="BodyText"/>
            </w:pPr>
            <w:r w:rsidRPr="007B0FE5">
              <w:t xml:space="preserve">Susan Helyar, Director, ACTCOSS </w:t>
            </w:r>
          </w:p>
        </w:tc>
      </w:tr>
    </w:tbl>
    <w:p w14:paraId="65756143" w14:textId="499974A8" w:rsidR="007B0FE5" w:rsidRPr="007B0FE5" w:rsidRDefault="00474ADF" w:rsidP="00155172">
      <w:pPr>
        <w:pStyle w:val="Heading1"/>
        <w:rPr>
          <w:rFonts w:eastAsia="Calibri"/>
          <w:lang w:eastAsia="en-US"/>
        </w:rPr>
      </w:pPr>
      <w:r>
        <w:rPr>
          <w:rFonts w:eastAsia="Calibri"/>
          <w:lang w:eastAsia="en-US"/>
        </w:rPr>
        <w:lastRenderedPageBreak/>
        <w:t xml:space="preserve">Pokies in the ACT – </w:t>
      </w:r>
      <w:r w:rsidR="00D13725">
        <w:rPr>
          <w:rFonts w:eastAsia="Calibri"/>
          <w:lang w:eastAsia="en-US"/>
        </w:rPr>
        <w:t>crunching the numbers</w:t>
      </w:r>
    </w:p>
    <w:p w14:paraId="63212B5E" w14:textId="38AE388F" w:rsidR="007B0FE5" w:rsidRPr="007B0FE5" w:rsidRDefault="007B0FE5" w:rsidP="006104EE">
      <w:pPr>
        <w:pStyle w:val="ListBullet"/>
      </w:pPr>
      <w:bookmarkStart w:id="2" w:name="_Hlk525746176"/>
      <w:r w:rsidRPr="007B0FE5">
        <w:t>In 2016</w:t>
      </w:r>
      <w:r w:rsidRPr="007B0FE5">
        <w:rPr>
          <w:rFonts w:ascii="Cambria Math" w:hAnsi="Cambria Math" w:cs="Cambria Math"/>
        </w:rPr>
        <w:t>‐</w:t>
      </w:r>
      <w:r w:rsidRPr="007B0FE5">
        <w:t>17,</w:t>
      </w:r>
      <w:r w:rsidR="00FD359F">
        <w:t xml:space="preserve"> </w:t>
      </w:r>
      <w:r w:rsidR="00727158">
        <w:t>G</w:t>
      </w:r>
      <w:r w:rsidRPr="007B0FE5">
        <w:t xml:space="preserve">ross </w:t>
      </w:r>
      <w:r w:rsidR="00727158">
        <w:t>G</w:t>
      </w:r>
      <w:r w:rsidRPr="007B0FE5">
        <w:t xml:space="preserve">aming </w:t>
      </w:r>
      <w:r w:rsidR="00727158">
        <w:t>M</w:t>
      </w:r>
      <w:r w:rsidRPr="007B0FE5">
        <w:t xml:space="preserve">achine </w:t>
      </w:r>
      <w:r w:rsidR="00727158">
        <w:t>R</w:t>
      </w:r>
      <w:r w:rsidRPr="007B0FE5">
        <w:t xml:space="preserve">evenue </w:t>
      </w:r>
      <w:r w:rsidRPr="007B0FE5">
        <w:rPr>
          <w:b/>
        </w:rPr>
        <w:t>(</w:t>
      </w:r>
      <w:r w:rsidR="009E0925">
        <w:rPr>
          <w:b/>
        </w:rPr>
        <w:t xml:space="preserve">user gaming </w:t>
      </w:r>
      <w:r w:rsidRPr="007B0FE5">
        <w:rPr>
          <w:b/>
        </w:rPr>
        <w:t>losses)</w:t>
      </w:r>
      <w:r w:rsidRPr="007B0FE5">
        <w:t xml:space="preserve"> </w:t>
      </w:r>
      <w:bookmarkStart w:id="3" w:name="_Hlk524714568"/>
      <w:r w:rsidR="00E85E7D">
        <w:t>at</w:t>
      </w:r>
      <w:r w:rsidR="00727158">
        <w:t xml:space="preserve"> ACT clubs </w:t>
      </w:r>
      <w:r w:rsidRPr="007B0FE5">
        <w:t xml:space="preserve">was </w:t>
      </w:r>
      <w:bookmarkStart w:id="4" w:name="_Hlk524715002"/>
      <w:r w:rsidRPr="007B0FE5">
        <w:rPr>
          <w:b/>
        </w:rPr>
        <w:t>$168.4 million</w:t>
      </w:r>
      <w:r w:rsidRPr="007B0FE5">
        <w:t xml:space="preserve"> </w:t>
      </w:r>
      <w:bookmarkEnd w:id="3"/>
      <w:bookmarkEnd w:id="4"/>
      <w:r w:rsidRPr="007B0FE5">
        <w:t>(i.e. revenue after players’ winnings have been paid).</w:t>
      </w:r>
      <w:r w:rsidRPr="007B0FE5">
        <w:rPr>
          <w:vertAlign w:val="superscript"/>
        </w:rPr>
        <w:endnoteReference w:id="6"/>
      </w:r>
      <w:r w:rsidRPr="007B0FE5">
        <w:t xml:space="preserve"> </w:t>
      </w:r>
    </w:p>
    <w:p w14:paraId="0A89A1CC" w14:textId="3256E974" w:rsidR="007B0FE5" w:rsidRPr="007B0FE5" w:rsidRDefault="007B0FE5" w:rsidP="006104EE">
      <w:pPr>
        <w:pStyle w:val="ListBullet"/>
      </w:pPr>
      <w:r w:rsidRPr="007B0FE5">
        <w:t xml:space="preserve">In 2016-17, </w:t>
      </w:r>
      <w:r w:rsidR="00B612BC">
        <w:t>N</w:t>
      </w:r>
      <w:r w:rsidRPr="007B0FE5">
        <w:t xml:space="preserve">et </w:t>
      </w:r>
      <w:r w:rsidR="00B612BC">
        <w:t>G</w:t>
      </w:r>
      <w:r w:rsidRPr="007B0FE5">
        <w:t xml:space="preserve">aming </w:t>
      </w:r>
      <w:r w:rsidR="00B612BC">
        <w:t>M</w:t>
      </w:r>
      <w:r w:rsidRPr="007B0FE5">
        <w:t xml:space="preserve">achine </w:t>
      </w:r>
      <w:r w:rsidR="00B612BC">
        <w:t>R</w:t>
      </w:r>
      <w:r w:rsidRPr="007B0FE5">
        <w:t xml:space="preserve">evenue </w:t>
      </w:r>
      <w:r w:rsidRPr="007B0FE5">
        <w:rPr>
          <w:b/>
        </w:rPr>
        <w:t>(</w:t>
      </w:r>
      <w:r w:rsidR="00CE1502">
        <w:rPr>
          <w:b/>
        </w:rPr>
        <w:t xml:space="preserve">venue gaming </w:t>
      </w:r>
      <w:r w:rsidRPr="007B0FE5">
        <w:rPr>
          <w:b/>
        </w:rPr>
        <w:t>profits)</w:t>
      </w:r>
      <w:r w:rsidRPr="007B0FE5">
        <w:t xml:space="preserve"> was </w:t>
      </w:r>
      <w:r w:rsidRPr="007B0FE5">
        <w:rPr>
          <w:b/>
        </w:rPr>
        <w:t>$94.6 million</w:t>
      </w:r>
      <w:r w:rsidRPr="007B0FE5">
        <w:t xml:space="preserve"> (i.e. gross gaming revenue less gaming machine taxes and a 24% deduction for costs to manage the gaming machines).</w:t>
      </w:r>
      <w:r w:rsidRPr="007B0FE5">
        <w:rPr>
          <w:vertAlign w:val="superscript"/>
        </w:rPr>
        <w:endnoteReference w:id="7"/>
      </w:r>
    </w:p>
    <w:p w14:paraId="5D10D11F" w14:textId="4A84DDF5" w:rsidR="007B0FE5" w:rsidRPr="007B0FE5" w:rsidRDefault="007B0FE5" w:rsidP="006104EE">
      <w:pPr>
        <w:pStyle w:val="ListBullet"/>
        <w:rPr>
          <w:color w:val="FF0000"/>
        </w:rPr>
      </w:pPr>
      <w:r w:rsidRPr="007B0FE5">
        <w:t xml:space="preserve">In 2015-16, </w:t>
      </w:r>
      <w:r w:rsidR="00B46118" w:rsidRPr="00EA2484">
        <w:t>per capita EGM expenditure</w:t>
      </w:r>
      <w:r w:rsidR="00B46118" w:rsidRPr="005C4E91">
        <w:rPr>
          <w:b/>
        </w:rPr>
        <w:t xml:space="preserve"> (user gaming losses) </w:t>
      </w:r>
      <w:r w:rsidR="00B46118" w:rsidRPr="00EA2484">
        <w:t>in the ACT was</w:t>
      </w:r>
      <w:r w:rsidR="00B46118" w:rsidRPr="005C4E91">
        <w:rPr>
          <w:b/>
        </w:rPr>
        <w:t xml:space="preserve"> </w:t>
      </w:r>
      <w:r w:rsidRPr="005C4E91">
        <w:rPr>
          <w:b/>
        </w:rPr>
        <w:t>$537</w:t>
      </w:r>
      <w:r w:rsidR="00B46118">
        <w:rPr>
          <w:b/>
        </w:rPr>
        <w:t xml:space="preserve"> per adult</w:t>
      </w:r>
      <w:r w:rsidR="005C4E91">
        <w:rPr>
          <w:b/>
        </w:rPr>
        <w:t xml:space="preserve"> </w:t>
      </w:r>
      <w:r w:rsidR="005C4E91" w:rsidRPr="00EA2484">
        <w:t>and</w:t>
      </w:r>
      <w:r w:rsidR="005C4E91">
        <w:rPr>
          <w:b/>
        </w:rPr>
        <w:t xml:space="preserve"> $</w:t>
      </w:r>
      <w:r w:rsidRPr="007B0FE5">
        <w:rPr>
          <w:b/>
        </w:rPr>
        <w:t>36,352</w:t>
      </w:r>
      <w:r w:rsidR="005C4E91">
        <w:rPr>
          <w:b/>
        </w:rPr>
        <w:t xml:space="preserve"> per gaming machine</w:t>
      </w:r>
      <w:r w:rsidRPr="007B0FE5">
        <w:t>.</w:t>
      </w:r>
      <w:r w:rsidRPr="007B0FE5">
        <w:rPr>
          <w:vertAlign w:val="superscript"/>
        </w:rPr>
        <w:endnoteReference w:id="8"/>
      </w:r>
      <w:r w:rsidRPr="007B0FE5">
        <w:t xml:space="preserve"> </w:t>
      </w:r>
    </w:p>
    <w:p w14:paraId="69336D13" w14:textId="69FC3ED2" w:rsidR="007B0FE5" w:rsidRPr="007B0FE5" w:rsidRDefault="00800D53" w:rsidP="006104EE">
      <w:pPr>
        <w:pStyle w:val="ListBullet"/>
      </w:pPr>
      <w:r>
        <w:t xml:space="preserve">In 2016-17, </w:t>
      </w:r>
      <w:r w:rsidR="007B0FE5" w:rsidRPr="007B0FE5">
        <w:t xml:space="preserve">ACT Clubs reported total </w:t>
      </w:r>
      <w:r w:rsidR="007B0FE5" w:rsidRPr="007B0FE5">
        <w:rPr>
          <w:b/>
        </w:rPr>
        <w:t xml:space="preserve">community contributions </w:t>
      </w:r>
      <w:r w:rsidR="007B0FE5" w:rsidRPr="007B0FE5">
        <w:t xml:space="preserve">of </w:t>
      </w:r>
      <w:r w:rsidR="007B0FE5" w:rsidRPr="007B0FE5">
        <w:rPr>
          <w:b/>
        </w:rPr>
        <w:t>$11.9 million</w:t>
      </w:r>
      <w:r w:rsidR="007B0FE5" w:rsidRPr="007B0FE5">
        <w:t xml:space="preserve"> which was </w:t>
      </w:r>
      <w:r w:rsidR="007B0FE5" w:rsidRPr="007B0FE5">
        <w:rPr>
          <w:b/>
        </w:rPr>
        <w:t xml:space="preserve">12.6% </w:t>
      </w:r>
      <w:r w:rsidR="007B0FE5" w:rsidRPr="007B0FE5">
        <w:t>of their net gaming machine revenue.</w:t>
      </w:r>
      <w:r w:rsidR="007B0FE5" w:rsidRPr="007B0FE5">
        <w:rPr>
          <w:vertAlign w:val="superscript"/>
        </w:rPr>
        <w:endnoteReference w:id="9"/>
      </w:r>
      <w:r w:rsidR="007B0FE5" w:rsidRPr="007B0FE5">
        <w:t xml:space="preserve"> </w:t>
      </w:r>
    </w:p>
    <w:p w14:paraId="74EC516F" w14:textId="4F6BD81A" w:rsidR="007B0FE5" w:rsidRDefault="007B0FE5" w:rsidP="006104EE">
      <w:pPr>
        <w:pStyle w:val="ListBullet"/>
      </w:pPr>
      <w:r w:rsidRPr="007B0FE5">
        <w:t xml:space="preserve">The </w:t>
      </w:r>
      <w:r w:rsidRPr="007B0FE5">
        <w:rPr>
          <w:b/>
        </w:rPr>
        <w:t>total losses on pokies by Canberrans reporting harm in the ACT is more than twice their losses on any other form of gambling</w:t>
      </w:r>
      <w:r w:rsidRPr="007B0FE5">
        <w:t>.</w:t>
      </w:r>
      <w:r w:rsidRPr="007B0FE5">
        <w:rPr>
          <w:vertAlign w:val="superscript"/>
        </w:rPr>
        <w:endnoteReference w:id="10"/>
      </w:r>
      <w:r w:rsidRPr="007B0FE5">
        <w:t xml:space="preserve"> This is not surprising, given the ready availability and density of </w:t>
      </w:r>
      <w:r w:rsidR="005D6457">
        <w:t>EGMs</w:t>
      </w:r>
      <w:r w:rsidRPr="007B0FE5">
        <w:t xml:space="preserve"> in the ACT, 98.7% of which </w:t>
      </w:r>
      <w:proofErr w:type="gramStart"/>
      <w:r w:rsidRPr="007B0FE5">
        <w:t>are located in</w:t>
      </w:r>
      <w:proofErr w:type="gramEnd"/>
      <w:r w:rsidRPr="007B0FE5">
        <w:t xml:space="preserve"> clubs.</w:t>
      </w:r>
      <w:r w:rsidRPr="007B0FE5">
        <w:rPr>
          <w:vertAlign w:val="superscript"/>
        </w:rPr>
        <w:endnoteReference w:id="11"/>
      </w:r>
      <w:r w:rsidRPr="007B0FE5">
        <w:t xml:space="preserve"> </w:t>
      </w:r>
    </w:p>
    <w:p w14:paraId="774E3DCD" w14:textId="7C38ECEC" w:rsidR="00DB3E68" w:rsidRPr="007B0FE5" w:rsidRDefault="00DB3E68" w:rsidP="006104EE">
      <w:pPr>
        <w:pStyle w:val="ListBullet"/>
      </w:pPr>
      <w:r>
        <w:t xml:space="preserve">There are </w:t>
      </w:r>
      <w:r w:rsidR="00543087" w:rsidRPr="00FC5F9D">
        <w:rPr>
          <w:b/>
        </w:rPr>
        <w:t>16.8 EGMs per 1,000 adults in the ACT</w:t>
      </w:r>
      <w:r w:rsidR="00543087">
        <w:t xml:space="preserve"> compared to 16.3 in NSW and 5.6 in Victoria.</w:t>
      </w:r>
      <w:r w:rsidR="00543087">
        <w:rPr>
          <w:rStyle w:val="EndnoteReference"/>
        </w:rPr>
        <w:endnoteReference w:id="12"/>
      </w:r>
    </w:p>
    <w:p w14:paraId="28FCFFDE" w14:textId="58C73381" w:rsidR="007B0FE5" w:rsidRPr="007B0FE5" w:rsidRDefault="007B0FE5" w:rsidP="006104EE">
      <w:pPr>
        <w:pStyle w:val="ListBullet"/>
      </w:pPr>
      <w:r w:rsidRPr="007B0FE5">
        <w:rPr>
          <w:b/>
        </w:rPr>
        <w:t>Maximum bets</w:t>
      </w:r>
      <w:r w:rsidR="00B770B7">
        <w:rPr>
          <w:b/>
        </w:rPr>
        <w:t xml:space="preserve"> on EGMs </w:t>
      </w:r>
      <w:r w:rsidRPr="007B0FE5">
        <w:rPr>
          <w:b/>
        </w:rPr>
        <w:t>in the ACT</w:t>
      </w:r>
      <w:r w:rsidR="00067D95">
        <w:rPr>
          <w:b/>
        </w:rPr>
        <w:t xml:space="preserve"> and NSW</w:t>
      </w:r>
      <w:r w:rsidRPr="007B0FE5">
        <w:rPr>
          <w:b/>
        </w:rPr>
        <w:t xml:space="preserve"> are higher</w:t>
      </w:r>
      <w:r w:rsidRPr="007B0FE5">
        <w:t xml:space="preserve"> than </w:t>
      </w:r>
      <w:r w:rsidR="00067D95">
        <w:t>all other jurisdictions</w:t>
      </w:r>
      <w:r w:rsidRPr="007B0FE5">
        <w:t>.</w:t>
      </w:r>
      <w:r w:rsidRPr="007B0FE5">
        <w:rPr>
          <w:vertAlign w:val="superscript"/>
        </w:rPr>
        <w:endnoteReference w:id="13"/>
      </w:r>
    </w:p>
    <w:p w14:paraId="0CF0BAE6" w14:textId="68909BF7" w:rsidR="007B0FE5" w:rsidRPr="007B0FE5" w:rsidRDefault="007B0FE5" w:rsidP="006104EE">
      <w:pPr>
        <w:pStyle w:val="ListBullet"/>
      </w:pPr>
      <w:r w:rsidRPr="007B0FE5">
        <w:t xml:space="preserve">In 2014, there were around </w:t>
      </w:r>
      <w:r w:rsidRPr="00553A1F">
        <w:rPr>
          <w:b/>
        </w:rPr>
        <w:t>14,988 adults</w:t>
      </w:r>
      <w:r w:rsidRPr="007B0FE5">
        <w:t xml:space="preserve"> in the ACT who reported symptoms of</w:t>
      </w:r>
      <w:r w:rsidRPr="007B0FE5">
        <w:rPr>
          <w:b/>
        </w:rPr>
        <w:t xml:space="preserve"> </w:t>
      </w:r>
      <w:r w:rsidR="007259ED">
        <w:rPr>
          <w:b/>
        </w:rPr>
        <w:t>problem gambling</w:t>
      </w:r>
      <w:r w:rsidRPr="007B0FE5">
        <w:t xml:space="preserve"> with </w:t>
      </w:r>
      <w:r w:rsidRPr="007B0FE5">
        <w:rPr>
          <w:b/>
        </w:rPr>
        <w:t>1,110</w:t>
      </w:r>
      <w:r w:rsidRPr="007B0FE5">
        <w:t xml:space="preserve"> of these experiencing </w:t>
      </w:r>
      <w:r w:rsidRPr="007B0FE5">
        <w:rPr>
          <w:b/>
        </w:rPr>
        <w:t>severe risks</w:t>
      </w:r>
      <w:r w:rsidRPr="007B0FE5">
        <w:t>.</w:t>
      </w:r>
      <w:r w:rsidRPr="007B0FE5">
        <w:rPr>
          <w:vertAlign w:val="superscript"/>
        </w:rPr>
        <w:endnoteReference w:id="14"/>
      </w:r>
    </w:p>
    <w:bookmarkEnd w:id="2"/>
    <w:p w14:paraId="0A3EB577" w14:textId="717DEA37" w:rsidR="007B0FE5" w:rsidRPr="007B0FE5" w:rsidRDefault="007B0FE5" w:rsidP="006104EE">
      <w:pPr>
        <w:pStyle w:val="ListBullet"/>
      </w:pPr>
      <w:r w:rsidRPr="007B0FE5">
        <w:t>Recent research highlights that</w:t>
      </w:r>
      <w:r w:rsidR="0008360A">
        <w:t xml:space="preserve"> </w:t>
      </w:r>
      <w:r w:rsidR="00D5756F" w:rsidRPr="004A5083">
        <w:rPr>
          <w:b/>
        </w:rPr>
        <w:t xml:space="preserve">average </w:t>
      </w:r>
      <w:r w:rsidRPr="004A5083">
        <w:rPr>
          <w:b/>
        </w:rPr>
        <w:t xml:space="preserve">EGM </w:t>
      </w:r>
      <w:r w:rsidR="00D5756F" w:rsidRPr="004A5083">
        <w:rPr>
          <w:b/>
        </w:rPr>
        <w:t xml:space="preserve">gambling </w:t>
      </w:r>
      <w:r w:rsidRPr="004A5083">
        <w:rPr>
          <w:b/>
        </w:rPr>
        <w:t>tax rates in the ACT</w:t>
      </w:r>
      <w:r w:rsidR="00884EE2" w:rsidRPr="004A5083">
        <w:rPr>
          <w:b/>
        </w:rPr>
        <w:t xml:space="preserve"> (19.8%)</w:t>
      </w:r>
      <w:r w:rsidRPr="004A5083">
        <w:rPr>
          <w:b/>
        </w:rPr>
        <w:t xml:space="preserve"> are</w:t>
      </w:r>
      <w:r w:rsidR="00D5756F" w:rsidRPr="004A5083">
        <w:rPr>
          <w:b/>
        </w:rPr>
        <w:t xml:space="preserve"> </w:t>
      </w:r>
      <w:r w:rsidRPr="004A5083">
        <w:rPr>
          <w:b/>
        </w:rPr>
        <w:t xml:space="preserve">the lowest </w:t>
      </w:r>
      <w:r w:rsidR="0039023B" w:rsidRPr="004A5083">
        <w:rPr>
          <w:b/>
        </w:rPr>
        <w:t>in Australia</w:t>
      </w:r>
      <w:r w:rsidR="00D5756F">
        <w:t xml:space="preserve">, </w:t>
      </w:r>
      <w:r w:rsidR="004A5083">
        <w:t>well below the national average (29.9%)</w:t>
      </w:r>
      <w:r w:rsidRPr="007B0FE5">
        <w:t>.</w:t>
      </w:r>
      <w:r w:rsidRPr="007B0FE5">
        <w:rPr>
          <w:vertAlign w:val="superscript"/>
        </w:rPr>
        <w:endnoteReference w:id="15"/>
      </w:r>
      <w:r w:rsidRPr="007B0FE5">
        <w:t xml:space="preserve"> </w:t>
      </w:r>
    </w:p>
    <w:p w14:paraId="22C45AA4" w14:textId="1A69FA68" w:rsidR="007B0FE5" w:rsidRPr="007B0FE5" w:rsidRDefault="00E60713" w:rsidP="006104EE">
      <w:pPr>
        <w:pStyle w:val="ListBullet"/>
      </w:pPr>
      <w:r>
        <w:t>It is estimated that</w:t>
      </w:r>
      <w:r w:rsidR="00F27DA7">
        <w:t xml:space="preserve"> </w:t>
      </w:r>
      <w:r w:rsidR="007B0FE5" w:rsidRPr="007B0FE5">
        <w:t xml:space="preserve">1.1% of the ACT population </w:t>
      </w:r>
      <w:r w:rsidR="007B0FE5" w:rsidRPr="007B0FE5">
        <w:rPr>
          <w:b/>
        </w:rPr>
        <w:t>(3,285 people) could be spending as much as $32,177 per person annually</w:t>
      </w:r>
      <w:r w:rsidR="007B0FE5" w:rsidRPr="007B0FE5">
        <w:t xml:space="preserve"> (</w:t>
      </w:r>
      <w:r w:rsidR="00267DA2">
        <w:t xml:space="preserve">equivalent to </w:t>
      </w:r>
      <w:r w:rsidR="007B0FE5" w:rsidRPr="007B0FE5">
        <w:t>62%</w:t>
      </w:r>
      <w:r w:rsidR="009F3D94">
        <w:t xml:space="preserve"> </w:t>
      </w:r>
      <w:r w:rsidR="007B0FE5" w:rsidRPr="007B0FE5">
        <w:t>of EGM revenue).</w:t>
      </w:r>
      <w:r w:rsidR="007B0FE5" w:rsidRPr="007B0FE5">
        <w:rPr>
          <w:vertAlign w:val="superscript"/>
        </w:rPr>
        <w:endnoteReference w:id="16"/>
      </w:r>
    </w:p>
    <w:p w14:paraId="61D61932" w14:textId="2E85215B" w:rsidR="007B0FE5" w:rsidRPr="007B0FE5" w:rsidRDefault="007B0FE5" w:rsidP="006104EE">
      <w:pPr>
        <w:pStyle w:val="ListBullet"/>
      </w:pPr>
      <w:r w:rsidRPr="007B0FE5">
        <w:t xml:space="preserve">The ACT Government </w:t>
      </w:r>
      <w:r w:rsidR="00E040AD">
        <w:t>aims</w:t>
      </w:r>
      <w:r w:rsidRPr="007B0FE5">
        <w:t xml:space="preserve"> to reduce the number of EGMs operating in the ACT to 4,000 by </w:t>
      </w:r>
      <w:r w:rsidR="000C31A7">
        <w:t xml:space="preserve">1 May </w:t>
      </w:r>
      <w:r w:rsidRPr="007B0FE5">
        <w:t>2020.</w:t>
      </w:r>
      <w:r w:rsidRPr="007B0FE5">
        <w:rPr>
          <w:vertAlign w:val="superscript"/>
        </w:rPr>
        <w:endnoteReference w:id="17"/>
      </w:r>
      <w:r w:rsidRPr="007B0FE5">
        <w:t xml:space="preserve"> </w:t>
      </w:r>
      <w:r w:rsidR="00EE6881">
        <w:t xml:space="preserve">As at 31 August 2018 there were </w:t>
      </w:r>
      <w:r w:rsidRPr="007B0FE5">
        <w:rPr>
          <w:b/>
        </w:rPr>
        <w:t xml:space="preserve">4,377 </w:t>
      </w:r>
      <w:r w:rsidR="00E10181">
        <w:rPr>
          <w:b/>
        </w:rPr>
        <w:t xml:space="preserve">gaming </w:t>
      </w:r>
      <w:r w:rsidRPr="007B0FE5">
        <w:rPr>
          <w:b/>
        </w:rPr>
        <w:t>machines in operation in the ACT</w:t>
      </w:r>
      <w:r w:rsidRPr="007B0FE5">
        <w:t>.</w:t>
      </w:r>
      <w:r w:rsidRPr="007B0FE5">
        <w:rPr>
          <w:vertAlign w:val="superscript"/>
        </w:rPr>
        <w:endnoteReference w:id="18"/>
      </w:r>
      <w:r w:rsidRPr="007B0FE5">
        <w:t xml:space="preserve"> </w:t>
      </w:r>
    </w:p>
    <w:p w14:paraId="6D918846" w14:textId="03D89CD0" w:rsidR="007B0FE5" w:rsidRPr="007B0FE5" w:rsidRDefault="007B0FE5" w:rsidP="00155172">
      <w:pPr>
        <w:pStyle w:val="Heading1"/>
        <w:rPr>
          <w:rFonts w:eastAsia="Calibri"/>
          <w:lang w:eastAsia="en-US"/>
        </w:rPr>
      </w:pPr>
      <w:r w:rsidRPr="007B0FE5">
        <w:rPr>
          <w:rFonts w:eastAsia="Calibri"/>
          <w:lang w:eastAsia="en-US"/>
        </w:rPr>
        <w:t>C</w:t>
      </w:r>
      <w:r w:rsidR="00D13725">
        <w:rPr>
          <w:rFonts w:eastAsia="Calibri"/>
          <w:lang w:eastAsia="en-US"/>
        </w:rPr>
        <w:t>ounting the c</w:t>
      </w:r>
      <w:r w:rsidRPr="007B0FE5">
        <w:rPr>
          <w:rFonts w:eastAsia="Calibri"/>
          <w:lang w:eastAsia="en-US"/>
        </w:rPr>
        <w:t>osts</w:t>
      </w:r>
    </w:p>
    <w:p w14:paraId="0325E1F7" w14:textId="6DBBC474" w:rsidR="007B0FE5" w:rsidRPr="007B0FE5" w:rsidRDefault="007B0FE5" w:rsidP="00A67257">
      <w:pPr>
        <w:pStyle w:val="BodyText"/>
        <w:rPr>
          <w:rFonts w:eastAsia="Calibri"/>
          <w:lang w:eastAsia="en-US"/>
        </w:rPr>
      </w:pPr>
      <w:r w:rsidRPr="007B0FE5">
        <w:rPr>
          <w:rFonts w:eastAsia="Calibri"/>
          <w:lang w:eastAsia="en-US"/>
        </w:rPr>
        <w:t xml:space="preserve">In Australia, </w:t>
      </w:r>
      <w:r w:rsidRPr="007B0FE5">
        <w:rPr>
          <w:rFonts w:eastAsia="Calibri"/>
          <w:b/>
          <w:bCs/>
          <w:lang w:eastAsia="en-US"/>
        </w:rPr>
        <w:t>people who play machines at high intensity</w:t>
      </w:r>
      <w:r w:rsidR="00C711C8">
        <w:rPr>
          <w:rFonts w:eastAsia="Calibri"/>
          <w:b/>
          <w:bCs/>
          <w:lang w:eastAsia="en-US"/>
        </w:rPr>
        <w:t xml:space="preserve"> can </w:t>
      </w:r>
      <w:r w:rsidR="00A429A4">
        <w:rPr>
          <w:rFonts w:eastAsia="Calibri"/>
          <w:b/>
          <w:bCs/>
          <w:lang w:eastAsia="en-US"/>
        </w:rPr>
        <w:t>easily lose</w:t>
      </w:r>
      <w:r w:rsidR="00BA1AB0">
        <w:rPr>
          <w:rFonts w:eastAsia="Calibri"/>
          <w:b/>
          <w:bCs/>
          <w:lang w:eastAsia="en-US"/>
        </w:rPr>
        <w:t xml:space="preserve"> $1,500 or more</w:t>
      </w:r>
      <w:r w:rsidR="00A429A4">
        <w:rPr>
          <w:rFonts w:eastAsia="Calibri"/>
          <w:b/>
          <w:bCs/>
          <w:lang w:eastAsia="en-US"/>
        </w:rPr>
        <w:t xml:space="preserve"> in an hour</w:t>
      </w:r>
      <w:r w:rsidR="00E34509">
        <w:rPr>
          <w:rFonts w:eastAsia="Calibri"/>
          <w:bCs/>
          <w:lang w:eastAsia="en-US"/>
        </w:rPr>
        <w:t>.</w:t>
      </w:r>
      <w:r w:rsidRPr="007B0FE5">
        <w:rPr>
          <w:rFonts w:eastAsia="Calibri"/>
          <w:vertAlign w:val="superscript"/>
          <w:lang w:eastAsia="en-US"/>
        </w:rPr>
        <w:endnoteReference w:id="19"/>
      </w:r>
      <w:r w:rsidRPr="007B0FE5">
        <w:rPr>
          <w:rFonts w:eastAsia="Calibri"/>
          <w:lang w:eastAsia="en-US"/>
        </w:rPr>
        <w:t xml:space="preserve"> </w:t>
      </w:r>
      <w:r w:rsidR="004E7ABF">
        <w:rPr>
          <w:rFonts w:eastAsia="Calibri"/>
          <w:lang w:eastAsia="en-US"/>
        </w:rPr>
        <w:t>It has been estimated that t</w:t>
      </w:r>
      <w:r w:rsidRPr="007B0FE5">
        <w:rPr>
          <w:rFonts w:eastAsia="Calibri"/>
          <w:lang w:eastAsia="en-US"/>
        </w:rPr>
        <w:t>hose who experience significant gambling harm spend an average of $21,000 annually</w:t>
      </w:r>
      <w:r w:rsidR="00032EF5">
        <w:rPr>
          <w:rFonts w:eastAsia="Calibri"/>
          <w:lang w:eastAsia="en-US"/>
        </w:rPr>
        <w:t>.</w:t>
      </w:r>
      <w:r w:rsidRPr="007B0FE5">
        <w:rPr>
          <w:rFonts w:eastAsia="Calibri"/>
          <w:vertAlign w:val="superscript"/>
          <w:lang w:eastAsia="en-US"/>
        </w:rPr>
        <w:endnoteReference w:id="20"/>
      </w:r>
    </w:p>
    <w:p w14:paraId="5F5A7002" w14:textId="20BD1750" w:rsidR="007B0FE5" w:rsidRPr="007B0FE5" w:rsidRDefault="007B0FE5" w:rsidP="00B3313B">
      <w:pPr>
        <w:pStyle w:val="BodyText"/>
        <w:rPr>
          <w:rFonts w:eastAsia="Calibri"/>
          <w:lang w:eastAsia="en-US"/>
        </w:rPr>
      </w:pPr>
      <w:r w:rsidRPr="007B0FE5">
        <w:rPr>
          <w:rFonts w:eastAsia="Calibri"/>
          <w:lang w:eastAsia="en-US"/>
        </w:rPr>
        <w:lastRenderedPageBreak/>
        <w:t>There is a similar trend in Canberra. In the ACT in 201</w:t>
      </w:r>
      <w:r w:rsidR="00276951">
        <w:rPr>
          <w:rFonts w:eastAsia="Calibri"/>
          <w:lang w:eastAsia="en-US"/>
        </w:rPr>
        <w:t>5</w:t>
      </w:r>
      <w:r w:rsidRPr="007B0FE5">
        <w:rPr>
          <w:rFonts w:eastAsia="Calibri"/>
          <w:lang w:eastAsia="en-US"/>
        </w:rPr>
        <w:t xml:space="preserve">, those who used </w:t>
      </w:r>
      <w:r w:rsidR="00B3313B">
        <w:rPr>
          <w:rFonts w:eastAsia="Calibri"/>
          <w:lang w:eastAsia="en-US"/>
        </w:rPr>
        <w:t>EGMs</w:t>
      </w:r>
      <w:r w:rsidRPr="007B0FE5">
        <w:rPr>
          <w:rFonts w:eastAsia="Calibri"/>
          <w:lang w:eastAsia="en-US"/>
        </w:rPr>
        <w:t xml:space="preserve"> spent (or lost) an average of $2,869.</w:t>
      </w:r>
      <w:r w:rsidRPr="007B0FE5">
        <w:rPr>
          <w:rFonts w:eastAsia="Calibri"/>
          <w:vertAlign w:val="superscript"/>
          <w:lang w:eastAsia="en-US"/>
        </w:rPr>
        <w:endnoteReference w:id="21"/>
      </w:r>
      <w:r w:rsidRPr="007B0FE5">
        <w:rPr>
          <w:rFonts w:eastAsia="Calibri"/>
          <w:lang w:eastAsia="en-US"/>
        </w:rPr>
        <w:t xml:space="preserve"> </w:t>
      </w:r>
      <w:r w:rsidR="00884225">
        <w:rPr>
          <w:rFonts w:eastAsia="Calibri"/>
          <w:lang w:eastAsia="en-US"/>
        </w:rPr>
        <w:t>It has been estimated</w:t>
      </w:r>
      <w:r w:rsidRPr="007B0FE5">
        <w:rPr>
          <w:rFonts w:eastAsia="Calibri"/>
          <w:lang w:eastAsia="en-US"/>
        </w:rPr>
        <w:t xml:space="preserve"> that </w:t>
      </w:r>
      <w:r w:rsidRPr="007B0FE5">
        <w:rPr>
          <w:rFonts w:eastAsia="Calibri"/>
          <w:b/>
          <w:bCs/>
          <w:lang w:eastAsia="en-US"/>
        </w:rPr>
        <w:t>around 1.1</w:t>
      </w:r>
      <w:r w:rsidR="009F3D94">
        <w:rPr>
          <w:rFonts w:eastAsia="Calibri"/>
          <w:b/>
          <w:bCs/>
          <w:lang w:eastAsia="en-US"/>
        </w:rPr>
        <w:t>%</w:t>
      </w:r>
      <w:r w:rsidRPr="007B0FE5">
        <w:rPr>
          <w:rFonts w:eastAsia="Calibri"/>
          <w:b/>
          <w:bCs/>
          <w:lang w:eastAsia="en-US"/>
        </w:rPr>
        <w:t xml:space="preserve"> of the ACT population (3,285 people) could be spending as much as $32,177 per person annually</w:t>
      </w:r>
      <w:r w:rsidRPr="007B0FE5">
        <w:rPr>
          <w:rFonts w:eastAsia="Calibri"/>
          <w:lang w:eastAsia="en-US"/>
        </w:rPr>
        <w:t xml:space="preserve">, around </w:t>
      </w:r>
      <w:r w:rsidRPr="007B0FE5">
        <w:rPr>
          <w:rFonts w:eastAsia="Calibri"/>
          <w:b/>
          <w:bCs/>
          <w:lang w:eastAsia="en-US"/>
        </w:rPr>
        <w:t>$61</w:t>
      </w:r>
      <w:r w:rsidR="005A1A35">
        <w:rPr>
          <w:rFonts w:eastAsia="Calibri"/>
          <w:b/>
          <w:bCs/>
          <w:lang w:eastAsia="en-US"/>
        </w:rPr>
        <w:t>7</w:t>
      </w:r>
      <w:r w:rsidRPr="007B0FE5">
        <w:rPr>
          <w:rFonts w:eastAsia="Calibri"/>
          <w:b/>
          <w:bCs/>
          <w:lang w:eastAsia="en-US"/>
        </w:rPr>
        <w:t xml:space="preserve"> </w:t>
      </w:r>
      <w:r w:rsidR="005A1A35">
        <w:rPr>
          <w:rFonts w:eastAsia="Calibri"/>
          <w:b/>
          <w:bCs/>
          <w:lang w:eastAsia="en-US"/>
        </w:rPr>
        <w:t>per</w:t>
      </w:r>
      <w:r w:rsidRPr="007B0FE5">
        <w:rPr>
          <w:rFonts w:eastAsia="Calibri"/>
          <w:b/>
          <w:bCs/>
          <w:lang w:eastAsia="en-US"/>
        </w:rPr>
        <w:t xml:space="preserve"> week</w:t>
      </w:r>
      <w:r w:rsidRPr="007B0FE5">
        <w:rPr>
          <w:rFonts w:eastAsia="Calibri"/>
          <w:lang w:eastAsia="en-US"/>
        </w:rPr>
        <w:t xml:space="preserve"> (</w:t>
      </w:r>
      <w:r w:rsidR="00825C74">
        <w:rPr>
          <w:rFonts w:eastAsia="Calibri"/>
          <w:lang w:eastAsia="en-US"/>
        </w:rPr>
        <w:t xml:space="preserve">equivalent to </w:t>
      </w:r>
      <w:r w:rsidRPr="007B0FE5">
        <w:rPr>
          <w:rFonts w:eastAsia="Calibri"/>
          <w:lang w:eastAsia="en-US"/>
        </w:rPr>
        <w:t>62</w:t>
      </w:r>
      <w:r w:rsidR="00825C74">
        <w:rPr>
          <w:rFonts w:eastAsia="Calibri"/>
          <w:lang w:eastAsia="en-US"/>
        </w:rPr>
        <w:t>%</w:t>
      </w:r>
      <w:r w:rsidRPr="007B0FE5">
        <w:rPr>
          <w:rFonts w:eastAsia="Calibri"/>
          <w:lang w:eastAsia="en-US"/>
        </w:rPr>
        <w:t xml:space="preserve"> of EGM revenue).</w:t>
      </w:r>
      <w:r w:rsidRPr="007B0FE5">
        <w:rPr>
          <w:rFonts w:eastAsia="Calibri"/>
          <w:vertAlign w:val="superscript"/>
          <w:lang w:eastAsia="en-US"/>
        </w:rPr>
        <w:endnoteReference w:id="22"/>
      </w:r>
    </w:p>
    <w:p w14:paraId="2B87EE2C" w14:textId="4F64543B" w:rsidR="007B0FE5" w:rsidRPr="007B0FE5" w:rsidRDefault="00292B99" w:rsidP="006C279D">
      <w:pPr>
        <w:pStyle w:val="BodyText"/>
        <w:rPr>
          <w:rFonts w:eastAsia="Calibri"/>
          <w:lang w:eastAsia="en-US"/>
        </w:rPr>
      </w:pPr>
      <w:r>
        <w:rPr>
          <w:rFonts w:eastAsia="Calibri"/>
          <w:lang w:eastAsia="en-US"/>
        </w:rPr>
        <w:t>Gambling</w:t>
      </w:r>
      <w:r w:rsidR="007B0FE5" w:rsidRPr="007B0FE5">
        <w:rPr>
          <w:rFonts w:eastAsia="Calibri"/>
          <w:lang w:eastAsia="en-US"/>
        </w:rPr>
        <w:t xml:space="preserve"> harm </w:t>
      </w:r>
      <w:r w:rsidR="00112151">
        <w:rPr>
          <w:rFonts w:eastAsia="Calibri"/>
          <w:lang w:eastAsia="en-US"/>
        </w:rPr>
        <w:t xml:space="preserve">can include suicide, depression, relationship breakdown, </w:t>
      </w:r>
      <w:r w:rsidR="00F974F5">
        <w:rPr>
          <w:rFonts w:eastAsia="Calibri"/>
          <w:lang w:eastAsia="en-US"/>
        </w:rPr>
        <w:t>crime, lowered work productivity, job loss and</w:t>
      </w:r>
      <w:r w:rsidR="007B0FE5" w:rsidRPr="007B0FE5">
        <w:rPr>
          <w:rFonts w:eastAsia="Calibri"/>
          <w:lang w:eastAsia="en-US"/>
        </w:rPr>
        <w:t xml:space="preserve"> bankruptcy.</w:t>
      </w:r>
      <w:r w:rsidR="007B0FE5" w:rsidRPr="007B0FE5">
        <w:rPr>
          <w:rFonts w:eastAsia="Calibri"/>
          <w:vertAlign w:val="superscript"/>
          <w:lang w:eastAsia="en-US"/>
        </w:rPr>
        <w:endnoteReference w:id="23"/>
      </w:r>
      <w:r w:rsidR="007B0FE5" w:rsidRPr="007B0FE5">
        <w:rPr>
          <w:rFonts w:eastAsia="Calibri"/>
          <w:lang w:eastAsia="en-US"/>
        </w:rPr>
        <w:t xml:space="preserve"> Results from a 2015 survey show that</w:t>
      </w:r>
      <w:r w:rsidR="0098398D">
        <w:rPr>
          <w:rFonts w:eastAsia="Calibri"/>
          <w:lang w:eastAsia="en-US"/>
        </w:rPr>
        <w:t xml:space="preserve"> </w:t>
      </w:r>
      <w:r w:rsidR="0098398D" w:rsidRPr="008A15E6">
        <w:rPr>
          <w:rFonts w:eastAsia="Calibri"/>
          <w:b/>
          <w:lang w:eastAsia="en-US"/>
        </w:rPr>
        <w:t>over</w:t>
      </w:r>
      <w:r w:rsidR="007B0FE5" w:rsidRPr="008A15E6">
        <w:rPr>
          <w:rFonts w:eastAsia="Calibri"/>
          <w:b/>
          <w:lang w:eastAsia="en-US"/>
        </w:rPr>
        <w:t xml:space="preserve"> </w:t>
      </w:r>
      <w:bookmarkStart w:id="6" w:name="_Hlk525748627"/>
      <w:r w:rsidR="007B0FE5" w:rsidRPr="008A15E6">
        <w:rPr>
          <w:rFonts w:eastAsia="Calibri"/>
          <w:b/>
          <w:bCs/>
          <w:lang w:eastAsia="en-US"/>
        </w:rPr>
        <w:t>a</w:t>
      </w:r>
      <w:r w:rsidR="007B0FE5" w:rsidRPr="007B0FE5">
        <w:rPr>
          <w:rFonts w:eastAsia="Calibri"/>
          <w:b/>
          <w:bCs/>
          <w:lang w:eastAsia="en-US"/>
        </w:rPr>
        <w:t xml:space="preserve"> quarter</w:t>
      </w:r>
      <w:r w:rsidR="0098398D">
        <w:rPr>
          <w:rFonts w:eastAsia="Calibri"/>
          <w:b/>
          <w:bCs/>
          <w:lang w:eastAsia="en-US"/>
        </w:rPr>
        <w:t xml:space="preserve"> (26.</w:t>
      </w:r>
      <w:r w:rsidR="001E55B7">
        <w:rPr>
          <w:rFonts w:eastAsia="Calibri"/>
          <w:b/>
          <w:bCs/>
          <w:lang w:eastAsia="en-US"/>
        </w:rPr>
        <w:t>7%)</w:t>
      </w:r>
      <w:r w:rsidR="007B0FE5" w:rsidRPr="007B0FE5">
        <w:rPr>
          <w:rFonts w:eastAsia="Calibri"/>
          <w:b/>
          <w:bCs/>
          <w:lang w:eastAsia="en-US"/>
        </w:rPr>
        <w:t xml:space="preserve"> of households containing a person experiencing significant harm from gambling were unable to pay the mortgage or rent on time, and </w:t>
      </w:r>
      <w:r w:rsidR="000B5138">
        <w:rPr>
          <w:rFonts w:eastAsia="Calibri"/>
          <w:b/>
          <w:bCs/>
          <w:lang w:eastAsia="en-US"/>
        </w:rPr>
        <w:t>over one in five (21.</w:t>
      </w:r>
      <w:r w:rsidR="0064287F">
        <w:rPr>
          <w:rFonts w:eastAsia="Calibri"/>
          <w:b/>
          <w:bCs/>
          <w:lang w:eastAsia="en-US"/>
        </w:rPr>
        <w:t xml:space="preserve">4%) </w:t>
      </w:r>
      <w:r w:rsidR="007B0FE5" w:rsidRPr="007B0FE5">
        <w:rPr>
          <w:rFonts w:eastAsia="Calibri"/>
          <w:b/>
          <w:bCs/>
          <w:lang w:eastAsia="en-US"/>
        </w:rPr>
        <w:t>went without meals</w:t>
      </w:r>
      <w:bookmarkEnd w:id="6"/>
      <w:r w:rsidR="007B0FE5" w:rsidRPr="007B0FE5">
        <w:rPr>
          <w:rFonts w:eastAsia="Calibri"/>
          <w:lang w:eastAsia="en-US"/>
        </w:rPr>
        <w:t>.</w:t>
      </w:r>
      <w:r w:rsidR="007B0FE5" w:rsidRPr="007B0FE5">
        <w:rPr>
          <w:rFonts w:eastAsia="Calibri"/>
          <w:vertAlign w:val="superscript"/>
          <w:lang w:eastAsia="en-US"/>
        </w:rPr>
        <w:endnoteReference w:id="24"/>
      </w:r>
      <w:r w:rsidR="007B0FE5" w:rsidRPr="007B0FE5">
        <w:rPr>
          <w:rFonts w:eastAsia="Calibri"/>
          <w:lang w:eastAsia="en-US"/>
        </w:rPr>
        <w:t xml:space="preserve"> People</w:t>
      </w:r>
      <w:r w:rsidR="00FE5CEF">
        <w:rPr>
          <w:rFonts w:eastAsia="Calibri"/>
          <w:lang w:eastAsia="en-US"/>
        </w:rPr>
        <w:t xml:space="preserve"> experiencing gambling harm who</w:t>
      </w:r>
      <w:r w:rsidR="007B0FE5" w:rsidRPr="007B0FE5">
        <w:rPr>
          <w:rFonts w:eastAsia="Calibri"/>
          <w:lang w:eastAsia="en-US"/>
        </w:rPr>
        <w:t xml:space="preserve"> </w:t>
      </w:r>
      <w:r w:rsidR="00FE5CEF">
        <w:rPr>
          <w:rFonts w:eastAsia="Calibri"/>
          <w:lang w:eastAsia="en-US"/>
        </w:rPr>
        <w:t xml:space="preserve">are </w:t>
      </w:r>
      <w:r w:rsidR="007B0FE5" w:rsidRPr="007B0FE5">
        <w:rPr>
          <w:rFonts w:eastAsia="Calibri"/>
          <w:lang w:eastAsia="en-US"/>
        </w:rPr>
        <w:t>living on</w:t>
      </w:r>
      <w:r w:rsidR="00FE5CEF">
        <w:rPr>
          <w:rFonts w:eastAsia="Calibri"/>
          <w:lang w:eastAsia="en-US"/>
        </w:rPr>
        <w:t xml:space="preserve"> the</w:t>
      </w:r>
      <w:r w:rsidR="007B0FE5" w:rsidRPr="007B0FE5">
        <w:rPr>
          <w:rFonts w:eastAsia="Calibri"/>
          <w:lang w:eastAsia="en-US"/>
        </w:rPr>
        <w:t xml:space="preserve"> lowe</w:t>
      </w:r>
      <w:r w:rsidR="00FE5CEF">
        <w:rPr>
          <w:rFonts w:eastAsia="Calibri"/>
          <w:lang w:eastAsia="en-US"/>
        </w:rPr>
        <w:t>st</w:t>
      </w:r>
      <w:r w:rsidR="007B0FE5" w:rsidRPr="007B0FE5">
        <w:rPr>
          <w:rFonts w:eastAsia="Calibri"/>
          <w:lang w:eastAsia="en-US"/>
        </w:rPr>
        <w:t xml:space="preserve"> incomes spend a</w:t>
      </w:r>
      <w:r w:rsidR="00FE5CEF">
        <w:rPr>
          <w:rFonts w:eastAsia="Calibri"/>
          <w:lang w:eastAsia="en-US"/>
        </w:rPr>
        <w:t xml:space="preserve"> much</w:t>
      </w:r>
      <w:r w:rsidR="007B0FE5" w:rsidRPr="007B0FE5">
        <w:rPr>
          <w:rFonts w:eastAsia="Calibri"/>
          <w:lang w:eastAsia="en-US"/>
        </w:rPr>
        <w:t xml:space="preserve"> higher proportion of their household disposable income on gambling </w:t>
      </w:r>
      <w:r w:rsidR="009F3D94" w:rsidRPr="007B0FE5">
        <w:rPr>
          <w:rFonts w:eastAsia="Calibri"/>
          <w:lang w:eastAsia="en-US"/>
        </w:rPr>
        <w:t>(</w:t>
      </w:r>
      <w:r w:rsidR="009F3D94">
        <w:rPr>
          <w:rFonts w:eastAsia="Calibri"/>
          <w:lang w:eastAsia="en-US"/>
        </w:rPr>
        <w:t>26.5</w:t>
      </w:r>
      <w:r w:rsidR="009F3D94" w:rsidRPr="007B0FE5">
        <w:rPr>
          <w:rFonts w:eastAsia="Calibri"/>
          <w:lang w:eastAsia="en-US"/>
        </w:rPr>
        <w:t>%</w:t>
      </w:r>
      <w:r w:rsidR="009F3D94">
        <w:rPr>
          <w:rFonts w:eastAsia="Calibri"/>
          <w:lang w:eastAsia="en-US"/>
        </w:rPr>
        <w:t>)</w:t>
      </w:r>
      <w:r w:rsidR="009F3D94" w:rsidRPr="007B0FE5">
        <w:rPr>
          <w:rFonts w:eastAsia="Calibri"/>
          <w:lang w:eastAsia="en-US"/>
        </w:rPr>
        <w:t xml:space="preserve"> </w:t>
      </w:r>
      <w:r w:rsidR="007B0FE5" w:rsidRPr="007B0FE5">
        <w:rPr>
          <w:rFonts w:eastAsia="Calibri"/>
          <w:lang w:eastAsia="en-US"/>
        </w:rPr>
        <w:t xml:space="preserve">than those </w:t>
      </w:r>
      <w:r w:rsidR="004E26CB">
        <w:rPr>
          <w:rFonts w:eastAsia="Calibri"/>
          <w:lang w:eastAsia="en-US"/>
        </w:rPr>
        <w:t>in the highest income bracket</w:t>
      </w:r>
      <w:r w:rsidR="007B0FE5" w:rsidRPr="007B0FE5">
        <w:rPr>
          <w:rFonts w:eastAsia="Calibri"/>
          <w:lang w:eastAsia="en-US"/>
        </w:rPr>
        <w:t xml:space="preserve"> </w:t>
      </w:r>
      <w:r w:rsidR="009F3D94">
        <w:rPr>
          <w:rFonts w:eastAsia="Calibri"/>
          <w:lang w:eastAsia="en-US"/>
        </w:rPr>
        <w:t>(</w:t>
      </w:r>
      <w:r w:rsidR="004E26CB">
        <w:rPr>
          <w:rFonts w:eastAsia="Calibri"/>
          <w:lang w:eastAsia="en-US"/>
        </w:rPr>
        <w:t>3.</w:t>
      </w:r>
      <w:r w:rsidR="007B0FE5" w:rsidRPr="007B0FE5">
        <w:rPr>
          <w:rFonts w:eastAsia="Calibri"/>
          <w:lang w:eastAsia="en-US"/>
        </w:rPr>
        <w:t>4%).</w:t>
      </w:r>
      <w:r w:rsidR="004E26CB">
        <w:rPr>
          <w:rStyle w:val="EndnoteReference"/>
          <w:rFonts w:eastAsia="Calibri"/>
          <w:lang w:eastAsia="en-US"/>
        </w:rPr>
        <w:endnoteReference w:id="25"/>
      </w:r>
      <w:r w:rsidR="007B0FE5" w:rsidRPr="007B0FE5">
        <w:rPr>
          <w:rFonts w:eastAsia="Calibri"/>
          <w:lang w:eastAsia="en-US"/>
        </w:rPr>
        <w:t xml:space="preserve"> </w:t>
      </w:r>
    </w:p>
    <w:p w14:paraId="1482268A" w14:textId="257C1DDB" w:rsidR="0085705E" w:rsidRDefault="0085705E" w:rsidP="00D01F1D">
      <w:pPr>
        <w:pStyle w:val="BodyText"/>
        <w:rPr>
          <w:rFonts w:eastAsia="Calibri"/>
          <w:lang w:eastAsia="en-US"/>
        </w:rPr>
      </w:pPr>
      <w:r>
        <w:rPr>
          <w:rFonts w:eastAsia="Calibri"/>
          <w:lang w:eastAsia="en-US"/>
        </w:rPr>
        <w:t>The harmful</w:t>
      </w:r>
      <w:r w:rsidR="007B0FE5" w:rsidRPr="007B0FE5">
        <w:rPr>
          <w:rFonts w:eastAsia="Calibri"/>
          <w:lang w:eastAsia="en-US"/>
        </w:rPr>
        <w:t xml:space="preserve"> impacts of gambling are not just</w:t>
      </w:r>
      <w:r w:rsidR="00C428AE">
        <w:rPr>
          <w:rFonts w:eastAsia="Calibri"/>
          <w:lang w:eastAsia="en-US"/>
        </w:rPr>
        <w:t xml:space="preserve"> financial</w:t>
      </w:r>
      <w:r w:rsidR="00EB372B">
        <w:rPr>
          <w:rFonts w:eastAsia="Calibri"/>
          <w:lang w:eastAsia="en-US"/>
        </w:rPr>
        <w:t xml:space="preserve"> and </w:t>
      </w:r>
      <w:r w:rsidR="006F294B">
        <w:rPr>
          <w:rFonts w:eastAsia="Calibri"/>
          <w:lang w:eastAsia="en-US"/>
        </w:rPr>
        <w:t>extend beyond the person gambling</w:t>
      </w:r>
      <w:r w:rsidR="007B0FE5" w:rsidRPr="007B0FE5">
        <w:rPr>
          <w:rFonts w:eastAsia="Calibri"/>
          <w:lang w:eastAsia="en-US"/>
        </w:rPr>
        <w:t>.</w:t>
      </w:r>
    </w:p>
    <w:p w14:paraId="18C8D89E" w14:textId="40C0BE69" w:rsidR="007B0FE5" w:rsidRPr="007B0FE5" w:rsidRDefault="007B0FE5" w:rsidP="0085705E">
      <w:pPr>
        <w:pStyle w:val="BlockText"/>
        <w:rPr>
          <w:rFonts w:eastAsia="Calibri"/>
          <w:lang w:eastAsia="en-US"/>
        </w:rPr>
      </w:pPr>
      <w:r w:rsidRPr="007B0FE5">
        <w:rPr>
          <w:rFonts w:eastAsia="Calibri"/>
          <w:lang w:eastAsia="en-US"/>
        </w:rPr>
        <w:t>The harms associated with problem gambling extend beyond the individual. They include health problems, including significant comorbidities with substance-use disorder, depression and anxiety disorders, and social problems, including housing instability, criminality, relationship difficulties, family violence, and suicide.</w:t>
      </w:r>
      <w:r w:rsidRPr="007B0FE5">
        <w:rPr>
          <w:rFonts w:eastAsia="Calibri"/>
          <w:vertAlign w:val="superscript"/>
          <w:lang w:eastAsia="en-US"/>
        </w:rPr>
        <w:endnoteReference w:id="26"/>
      </w:r>
    </w:p>
    <w:p w14:paraId="6C2AD593" w14:textId="725DACC0" w:rsidR="007B0FE5" w:rsidRPr="007B0FE5" w:rsidRDefault="007B0FE5" w:rsidP="00822A7E">
      <w:pPr>
        <w:pStyle w:val="BodyText"/>
        <w:rPr>
          <w:rFonts w:eastAsia="Calibri"/>
          <w:lang w:eastAsia="en-US"/>
        </w:rPr>
      </w:pPr>
      <w:r w:rsidRPr="00BA6F23">
        <w:rPr>
          <w:rFonts w:eastAsia="Calibri"/>
          <w:szCs w:val="24"/>
          <w:lang w:eastAsia="en-US"/>
        </w:rPr>
        <w:t xml:space="preserve">These problems are far reaching. </w:t>
      </w:r>
      <w:r w:rsidRPr="009F3D94">
        <w:rPr>
          <w:szCs w:val="24"/>
          <w:lang w:eastAsia="en-AU"/>
        </w:rPr>
        <w:t>Recent research found that</w:t>
      </w:r>
      <w:r w:rsidR="008B723F" w:rsidRPr="009F3D94">
        <w:rPr>
          <w:szCs w:val="24"/>
          <w:lang w:eastAsia="en-AU"/>
        </w:rPr>
        <w:t>,</w:t>
      </w:r>
      <w:r w:rsidRPr="009F3D94">
        <w:rPr>
          <w:szCs w:val="24"/>
          <w:lang w:eastAsia="en-AU"/>
        </w:rPr>
        <w:t xml:space="preserve"> on average</w:t>
      </w:r>
      <w:r w:rsidR="008B723F" w:rsidRPr="009F3D94">
        <w:rPr>
          <w:szCs w:val="24"/>
          <w:lang w:eastAsia="en-AU"/>
        </w:rPr>
        <w:t>,</w:t>
      </w:r>
      <w:r w:rsidRPr="009F3D94">
        <w:rPr>
          <w:szCs w:val="24"/>
          <w:lang w:eastAsia="en-AU"/>
        </w:rPr>
        <w:t xml:space="preserve"> high-risk gamblers affect around </w:t>
      </w:r>
      <w:r w:rsidR="009F3D94">
        <w:rPr>
          <w:szCs w:val="24"/>
          <w:lang w:eastAsia="en-AU"/>
        </w:rPr>
        <w:t xml:space="preserve">six </w:t>
      </w:r>
      <w:r w:rsidRPr="009F3D94">
        <w:rPr>
          <w:szCs w:val="24"/>
          <w:lang w:eastAsia="en-AU"/>
        </w:rPr>
        <w:t>others.</w:t>
      </w:r>
      <w:r w:rsidRPr="009F3D94">
        <w:rPr>
          <w:szCs w:val="24"/>
          <w:vertAlign w:val="superscript"/>
          <w:lang w:eastAsia="en-AU"/>
        </w:rPr>
        <w:endnoteReference w:id="27"/>
      </w:r>
      <w:r w:rsidR="00822A7E" w:rsidRPr="009F3D94">
        <w:rPr>
          <w:szCs w:val="24"/>
          <w:lang w:eastAsia="en-AU"/>
        </w:rPr>
        <w:t xml:space="preserve"> On this basis it has been estimate</w:t>
      </w:r>
      <w:r w:rsidR="006E7B75" w:rsidRPr="009F3D94">
        <w:rPr>
          <w:szCs w:val="24"/>
          <w:lang w:eastAsia="en-AU"/>
        </w:rPr>
        <w:t>d</w:t>
      </w:r>
      <w:r w:rsidR="00822A7E" w:rsidRPr="009F3D94">
        <w:rPr>
          <w:szCs w:val="24"/>
          <w:lang w:eastAsia="en-AU"/>
        </w:rPr>
        <w:t xml:space="preserve"> that </w:t>
      </w:r>
      <w:r w:rsidR="00A31B0C" w:rsidRPr="009F3D94">
        <w:rPr>
          <w:szCs w:val="24"/>
          <w:lang w:eastAsia="en-AU"/>
        </w:rPr>
        <w:t>‘</w:t>
      </w:r>
      <w:r w:rsidRPr="009F3D94">
        <w:rPr>
          <w:szCs w:val="24"/>
          <w:lang w:eastAsia="en-AU"/>
        </w:rPr>
        <w:t>over 47,000 people in the ACT are affected by gambling harms at any one time. This is equivalent to 11.8% of the total ACT population</w:t>
      </w:r>
      <w:r w:rsidR="00A31B0C">
        <w:rPr>
          <w:lang w:eastAsia="en-AU"/>
        </w:rPr>
        <w:t>’</w:t>
      </w:r>
      <w:r w:rsidRPr="007B0FE5">
        <w:rPr>
          <w:lang w:eastAsia="en-AU"/>
        </w:rPr>
        <w:t>.</w:t>
      </w:r>
      <w:r w:rsidRPr="007B0FE5">
        <w:rPr>
          <w:vertAlign w:val="superscript"/>
          <w:lang w:eastAsia="en-AU"/>
        </w:rPr>
        <w:endnoteReference w:id="28"/>
      </w:r>
    </w:p>
    <w:p w14:paraId="209C01B6" w14:textId="6D21320A" w:rsidR="007B0FE5" w:rsidRPr="007B0FE5" w:rsidRDefault="007B0FE5" w:rsidP="00155172">
      <w:pPr>
        <w:pStyle w:val="Heading1"/>
        <w:rPr>
          <w:rFonts w:eastAsia="Calibri"/>
          <w:lang w:eastAsia="en-US"/>
        </w:rPr>
      </w:pPr>
      <w:r w:rsidRPr="007B0FE5">
        <w:rPr>
          <w:rFonts w:eastAsia="Calibri"/>
          <w:lang w:eastAsia="en-US"/>
        </w:rPr>
        <w:t xml:space="preserve">Electronic </w:t>
      </w:r>
      <w:r w:rsidR="00FA373F">
        <w:rPr>
          <w:rFonts w:eastAsia="Calibri"/>
          <w:lang w:eastAsia="en-US"/>
        </w:rPr>
        <w:t>g</w:t>
      </w:r>
      <w:r w:rsidRPr="007B0FE5">
        <w:rPr>
          <w:rFonts w:eastAsia="Calibri"/>
          <w:lang w:eastAsia="en-US"/>
        </w:rPr>
        <w:t xml:space="preserve">aming </w:t>
      </w:r>
      <w:r w:rsidR="00FA373F">
        <w:rPr>
          <w:rFonts w:eastAsia="Calibri"/>
          <w:lang w:eastAsia="en-US"/>
        </w:rPr>
        <w:t>m</w:t>
      </w:r>
      <w:r w:rsidRPr="007B0FE5">
        <w:rPr>
          <w:rFonts w:eastAsia="Calibri"/>
          <w:lang w:eastAsia="en-US"/>
        </w:rPr>
        <w:t>achines</w:t>
      </w:r>
      <w:r w:rsidR="007F23E4">
        <w:rPr>
          <w:rFonts w:eastAsia="Calibri"/>
          <w:lang w:eastAsia="en-US"/>
        </w:rPr>
        <w:t>: who’s playing who</w:t>
      </w:r>
      <w:r w:rsidR="008447DE">
        <w:rPr>
          <w:rFonts w:eastAsia="Calibri"/>
          <w:lang w:eastAsia="en-US"/>
        </w:rPr>
        <w:t>?</w:t>
      </w:r>
    </w:p>
    <w:p w14:paraId="1BFA6ECC" w14:textId="2A29117F" w:rsidR="007B0FE5" w:rsidRDefault="007B0FE5" w:rsidP="008447DE">
      <w:pPr>
        <w:pStyle w:val="BodyText"/>
        <w:rPr>
          <w:lang w:eastAsia="en-US"/>
        </w:rPr>
      </w:pPr>
      <w:r w:rsidRPr="008447DE">
        <w:rPr>
          <w:lang w:eastAsia="en-US"/>
        </w:rPr>
        <w:t xml:space="preserve">There is evidence that </w:t>
      </w:r>
      <w:r w:rsidR="00CF343C">
        <w:rPr>
          <w:lang w:eastAsia="en-US"/>
        </w:rPr>
        <w:t>e</w:t>
      </w:r>
      <w:r w:rsidRPr="008447DE">
        <w:rPr>
          <w:lang w:eastAsia="en-US"/>
        </w:rPr>
        <w:t xml:space="preserve">lectronic </w:t>
      </w:r>
      <w:r w:rsidR="00CF343C">
        <w:rPr>
          <w:lang w:eastAsia="en-US"/>
        </w:rPr>
        <w:t>g</w:t>
      </w:r>
      <w:r w:rsidRPr="008447DE">
        <w:rPr>
          <w:lang w:eastAsia="en-US"/>
        </w:rPr>
        <w:t xml:space="preserve">aming </w:t>
      </w:r>
      <w:r w:rsidR="00CF343C">
        <w:rPr>
          <w:lang w:eastAsia="en-US"/>
        </w:rPr>
        <w:t>m</w:t>
      </w:r>
      <w:r w:rsidRPr="008447DE">
        <w:rPr>
          <w:lang w:eastAsia="en-US"/>
        </w:rPr>
        <w:t xml:space="preserve">achines </w:t>
      </w:r>
      <w:r w:rsidR="0052359F">
        <w:rPr>
          <w:lang w:eastAsia="en-US"/>
        </w:rPr>
        <w:t xml:space="preserve">(EGMs) </w:t>
      </w:r>
      <w:r w:rsidRPr="008447DE">
        <w:rPr>
          <w:lang w:eastAsia="en-US"/>
        </w:rPr>
        <w:t xml:space="preserve">are particularly harmful because of intentional features which cause people to lose track of time and spending on the machines. </w:t>
      </w:r>
      <w:r w:rsidR="009942BA">
        <w:rPr>
          <w:lang w:eastAsia="en-US"/>
        </w:rPr>
        <w:t>Key findings from a recent study were</w:t>
      </w:r>
      <w:r w:rsidR="008447DE">
        <w:rPr>
          <w:lang w:eastAsia="en-US"/>
        </w:rPr>
        <w:t>:</w:t>
      </w:r>
    </w:p>
    <w:p w14:paraId="1CD32D8C" w14:textId="75957C81" w:rsidR="008447DE" w:rsidRDefault="0D7130B8" w:rsidP="0D7130B8">
      <w:pPr>
        <w:pStyle w:val="ListBullet"/>
        <w:rPr>
          <w:lang w:eastAsia="en-US"/>
        </w:rPr>
      </w:pPr>
      <w:r w:rsidRPr="0D7130B8">
        <w:rPr>
          <w:lang w:eastAsia="en-US"/>
        </w:rPr>
        <w:t>Electronic gaming machines (EGMs) are computers utilising sophisticated techniques, designed to maximise spending and ‘time on device’ per user.</w:t>
      </w:r>
    </w:p>
    <w:p w14:paraId="3880ED49" w14:textId="259A299D" w:rsidR="00357C6F" w:rsidRDefault="009942BA" w:rsidP="00CB1752">
      <w:pPr>
        <w:pStyle w:val="ListBullet"/>
        <w:rPr>
          <w:lang w:eastAsia="en-US"/>
        </w:rPr>
      </w:pPr>
      <w:r w:rsidRPr="009942BA">
        <w:rPr>
          <w:lang w:eastAsia="en-US"/>
        </w:rPr>
        <w:t>EGM designs very successfully employ psychological principals to maximise users’ bet sizes and machine usage. These characteristics have the effect of increasing the addictive potential of EGMs.</w:t>
      </w:r>
    </w:p>
    <w:p w14:paraId="263B27AE" w14:textId="6C16F915" w:rsidR="009942BA" w:rsidRDefault="009942BA" w:rsidP="00CB1752">
      <w:pPr>
        <w:pStyle w:val="ListBullet"/>
        <w:rPr>
          <w:lang w:eastAsia="en-US"/>
        </w:rPr>
      </w:pPr>
      <w:r w:rsidRPr="009942BA">
        <w:rPr>
          <w:lang w:eastAsia="en-US"/>
        </w:rPr>
        <w:t xml:space="preserve">Users of EGMs, and policy makers as well, are mostly not well informed about the way the machines work, or the complex </w:t>
      </w:r>
      <w:r w:rsidR="00A06350">
        <w:rPr>
          <w:lang w:eastAsia="en-US"/>
        </w:rPr>
        <w:t>‘</w:t>
      </w:r>
      <w:r w:rsidRPr="009942BA">
        <w:rPr>
          <w:lang w:eastAsia="en-US"/>
        </w:rPr>
        <w:t>game maths</w:t>
      </w:r>
      <w:r w:rsidR="00A06350">
        <w:rPr>
          <w:lang w:eastAsia="en-US"/>
        </w:rPr>
        <w:t>’</w:t>
      </w:r>
      <w:r w:rsidRPr="009942BA">
        <w:rPr>
          <w:lang w:eastAsia="en-US"/>
        </w:rPr>
        <w:t xml:space="preserve"> behind them.</w:t>
      </w:r>
    </w:p>
    <w:p w14:paraId="00784D8C" w14:textId="599275A9" w:rsidR="00CB1752" w:rsidRPr="007B0FE5" w:rsidRDefault="00CB1752" w:rsidP="00CB1752">
      <w:pPr>
        <w:pStyle w:val="ListBullet"/>
        <w:rPr>
          <w:lang w:eastAsia="en-US"/>
        </w:rPr>
      </w:pPr>
      <w:r w:rsidRPr="00CB1752">
        <w:rPr>
          <w:lang w:eastAsia="en-US"/>
        </w:rPr>
        <w:lastRenderedPageBreak/>
        <w:t xml:space="preserve">Internationally, Australian EGMs are known for their ability to maximise users’ spending and </w:t>
      </w:r>
      <w:r w:rsidR="00A06350">
        <w:rPr>
          <w:lang w:eastAsia="en-US"/>
        </w:rPr>
        <w:t>‘</w:t>
      </w:r>
      <w:r w:rsidRPr="00CB1752">
        <w:rPr>
          <w:lang w:eastAsia="en-US"/>
        </w:rPr>
        <w:t>time on device</w:t>
      </w:r>
      <w:r w:rsidR="00A06350">
        <w:rPr>
          <w:lang w:eastAsia="en-US"/>
        </w:rPr>
        <w:t>’</w:t>
      </w:r>
      <w:r w:rsidRPr="00CB1752">
        <w:rPr>
          <w:lang w:eastAsia="en-US"/>
        </w:rPr>
        <w:t>, yet Australia has been slow to develop adequate policy responses to reduce harms.</w:t>
      </w:r>
      <w:r>
        <w:rPr>
          <w:rStyle w:val="EndnoteReference"/>
          <w:lang w:eastAsia="en-US"/>
        </w:rPr>
        <w:endnoteReference w:id="29"/>
      </w:r>
    </w:p>
    <w:p w14:paraId="55905CE7" w14:textId="77E73FC6" w:rsidR="007B0FE5" w:rsidRPr="007B0FE5" w:rsidRDefault="00D32D42" w:rsidP="00674782">
      <w:pPr>
        <w:pStyle w:val="Heading2"/>
        <w:rPr>
          <w:lang w:eastAsia="en-US"/>
        </w:rPr>
      </w:pPr>
      <w:r>
        <w:rPr>
          <w:lang w:eastAsia="en-US"/>
        </w:rPr>
        <w:t>EGM parameters in the ACT and Australasia</w:t>
      </w:r>
    </w:p>
    <w:p w14:paraId="7F293379" w14:textId="77777777" w:rsidR="001B30F5" w:rsidRPr="007B0FE5" w:rsidRDefault="001B30F5" w:rsidP="001B30F5">
      <w:pPr>
        <w:pStyle w:val="BodyText"/>
        <w:rPr>
          <w:rFonts w:eastAsia="Calibri"/>
          <w:lang w:eastAsia="en-US"/>
        </w:rPr>
      </w:pPr>
      <w:r w:rsidRPr="007B0FE5">
        <w:rPr>
          <w:rFonts w:eastAsia="Calibri"/>
          <w:lang w:eastAsia="en-AU"/>
        </w:rPr>
        <w:t xml:space="preserve">All Australasian jurisdictions (including the ACT) refer to the Australia/New Zealand Gaming Machine Standards in their regulatory arrangements. </w:t>
      </w:r>
      <w:r w:rsidRPr="007B0FE5">
        <w:rPr>
          <w:rFonts w:eastAsia="Calibri"/>
          <w:lang w:eastAsia="en-US"/>
        </w:rPr>
        <w:t xml:space="preserve">EGM parameters refer to certain characteristics of EGMs and considerable variation is permitted between Australasian jurisdictions. </w:t>
      </w:r>
    </w:p>
    <w:p w14:paraId="1E48DE11" w14:textId="777D8C37" w:rsidR="007B0FE5" w:rsidRPr="007B0FE5" w:rsidRDefault="005D466F" w:rsidP="005D466F">
      <w:pPr>
        <w:pStyle w:val="BodyText"/>
        <w:rPr>
          <w:lang w:eastAsia="en-US"/>
        </w:rPr>
      </w:pPr>
      <w:r>
        <w:rPr>
          <w:lang w:eastAsia="en-US"/>
        </w:rPr>
        <w:t>A comparison</w:t>
      </w:r>
      <w:r w:rsidR="00BF18BA">
        <w:rPr>
          <w:lang w:eastAsia="en-US"/>
        </w:rPr>
        <w:t xml:space="preserve"> table</w:t>
      </w:r>
      <w:r>
        <w:rPr>
          <w:lang w:eastAsia="en-US"/>
        </w:rPr>
        <w:t xml:space="preserve"> of</w:t>
      </w:r>
      <w:r w:rsidR="007B0FE5" w:rsidRPr="007B0FE5">
        <w:rPr>
          <w:lang w:eastAsia="en-US"/>
        </w:rPr>
        <w:t xml:space="preserve"> the bet limit, design and settings for </w:t>
      </w:r>
      <w:r>
        <w:rPr>
          <w:lang w:eastAsia="en-US"/>
        </w:rPr>
        <w:t>EGMs</w:t>
      </w:r>
      <w:r w:rsidR="007B0FE5" w:rsidRPr="007B0FE5">
        <w:rPr>
          <w:lang w:eastAsia="en-US"/>
        </w:rPr>
        <w:t xml:space="preserve"> </w:t>
      </w:r>
      <w:r>
        <w:rPr>
          <w:lang w:eastAsia="en-US"/>
        </w:rPr>
        <w:t>across Australasian</w:t>
      </w:r>
      <w:r w:rsidR="007B0FE5" w:rsidRPr="007B0FE5">
        <w:rPr>
          <w:lang w:eastAsia="en-US"/>
        </w:rPr>
        <w:t xml:space="preserve"> jurisdictions </w:t>
      </w:r>
      <w:r w:rsidR="00275773">
        <w:rPr>
          <w:lang w:eastAsia="en-US"/>
        </w:rPr>
        <w:t>shows</w:t>
      </w:r>
      <w:r w:rsidR="007B0FE5" w:rsidRPr="007B0FE5">
        <w:rPr>
          <w:lang w:eastAsia="en-US"/>
        </w:rPr>
        <w:t xml:space="preserve"> that the ACT has: </w:t>
      </w:r>
    </w:p>
    <w:p w14:paraId="6C7BE4FA" w14:textId="77777777" w:rsidR="007B0FE5" w:rsidRPr="007B0FE5" w:rsidRDefault="007B0FE5" w:rsidP="005D466F">
      <w:pPr>
        <w:pStyle w:val="ListBullet"/>
        <w:rPr>
          <w:lang w:eastAsia="en-US"/>
        </w:rPr>
      </w:pPr>
      <w:r w:rsidRPr="007B0FE5">
        <w:rPr>
          <w:lang w:eastAsia="en-US"/>
        </w:rPr>
        <w:t>No regulated settings for the amounts that can be loaded as credits on a machine at any one time</w:t>
      </w:r>
    </w:p>
    <w:p w14:paraId="680C2A80" w14:textId="77777777" w:rsidR="007B0FE5" w:rsidRPr="007B0FE5" w:rsidRDefault="007B0FE5" w:rsidP="005D466F">
      <w:pPr>
        <w:pStyle w:val="ListBullet"/>
        <w:rPr>
          <w:lang w:eastAsia="en-US"/>
        </w:rPr>
      </w:pPr>
      <w:r w:rsidRPr="007B0FE5">
        <w:rPr>
          <w:lang w:eastAsia="en-US"/>
        </w:rPr>
        <w:t>No requirements for a time display to show people the time of day – unlike ALL other jurisdictions surveyed</w:t>
      </w:r>
    </w:p>
    <w:p w14:paraId="35C76F0E" w14:textId="479E7342" w:rsidR="007B0FE5" w:rsidRPr="007B0FE5" w:rsidRDefault="007B0FE5" w:rsidP="005D466F">
      <w:pPr>
        <w:pStyle w:val="ListBullet"/>
        <w:rPr>
          <w:lang w:eastAsia="en-US"/>
        </w:rPr>
      </w:pPr>
      <w:r w:rsidRPr="007B0FE5">
        <w:rPr>
          <w:lang w:eastAsia="en-US"/>
        </w:rPr>
        <w:t>Allows losses to be disguised as wins – i</w:t>
      </w:r>
      <w:r w:rsidR="00664F2F">
        <w:rPr>
          <w:lang w:eastAsia="en-US"/>
        </w:rPr>
        <w:t>.e.</w:t>
      </w:r>
      <w:r w:rsidRPr="007B0FE5">
        <w:rPr>
          <w:lang w:eastAsia="en-US"/>
        </w:rPr>
        <w:t xml:space="preserve"> sounds, lights and cues for a win are also used for losses </w:t>
      </w:r>
    </w:p>
    <w:p w14:paraId="3EFC3DE8" w14:textId="1C609EB4" w:rsidR="007B0FE5" w:rsidRPr="007B0FE5" w:rsidRDefault="007B0FE5" w:rsidP="005D466F">
      <w:pPr>
        <w:pStyle w:val="ListBullet"/>
        <w:rPr>
          <w:lang w:eastAsia="en-US"/>
        </w:rPr>
      </w:pPr>
      <w:r w:rsidRPr="007B0FE5">
        <w:rPr>
          <w:lang w:eastAsia="en-US"/>
        </w:rPr>
        <w:t xml:space="preserve">Higher </w:t>
      </w:r>
      <w:r w:rsidR="00664F2F">
        <w:rPr>
          <w:lang w:eastAsia="en-US"/>
        </w:rPr>
        <w:t xml:space="preserve">maximum </w:t>
      </w:r>
      <w:r w:rsidRPr="007B0FE5">
        <w:rPr>
          <w:lang w:eastAsia="en-US"/>
        </w:rPr>
        <w:t>bets ($10) than Victoria, Q</w:t>
      </w:r>
      <w:r w:rsidR="009F3D94">
        <w:rPr>
          <w:lang w:eastAsia="en-US"/>
        </w:rPr>
        <w:t>ueensland</w:t>
      </w:r>
      <w:r w:rsidRPr="007B0FE5">
        <w:rPr>
          <w:lang w:eastAsia="en-US"/>
        </w:rPr>
        <w:t>, Tas</w:t>
      </w:r>
      <w:r w:rsidR="009F3D94">
        <w:rPr>
          <w:lang w:eastAsia="en-US"/>
        </w:rPr>
        <w:t>mania</w:t>
      </w:r>
      <w:r w:rsidRPr="007B0FE5">
        <w:rPr>
          <w:lang w:eastAsia="en-US"/>
        </w:rPr>
        <w:t>, S</w:t>
      </w:r>
      <w:r w:rsidR="009F3D94">
        <w:rPr>
          <w:lang w:eastAsia="en-US"/>
        </w:rPr>
        <w:t xml:space="preserve">outh </w:t>
      </w:r>
      <w:r w:rsidRPr="007B0FE5">
        <w:rPr>
          <w:lang w:eastAsia="en-US"/>
        </w:rPr>
        <w:t>A</w:t>
      </w:r>
      <w:r w:rsidR="009F3D94">
        <w:rPr>
          <w:lang w:eastAsia="en-US"/>
        </w:rPr>
        <w:t>ustralia</w:t>
      </w:r>
      <w:r w:rsidRPr="007B0FE5">
        <w:rPr>
          <w:lang w:eastAsia="en-US"/>
        </w:rPr>
        <w:t xml:space="preserve"> and N</w:t>
      </w:r>
      <w:r w:rsidR="009F3D94">
        <w:rPr>
          <w:lang w:eastAsia="en-US"/>
        </w:rPr>
        <w:t xml:space="preserve">ew </w:t>
      </w:r>
      <w:r w:rsidRPr="007B0FE5">
        <w:rPr>
          <w:lang w:eastAsia="en-US"/>
        </w:rPr>
        <w:t>Z</w:t>
      </w:r>
      <w:r w:rsidR="009F3D94">
        <w:rPr>
          <w:lang w:eastAsia="en-US"/>
        </w:rPr>
        <w:t>ealand</w:t>
      </w:r>
      <w:r w:rsidRPr="007B0FE5">
        <w:rPr>
          <w:lang w:eastAsia="en-US"/>
        </w:rPr>
        <w:t xml:space="preserve"> </w:t>
      </w:r>
    </w:p>
    <w:p w14:paraId="6DDFD49B" w14:textId="1EFF2BAC" w:rsidR="007B0FE5" w:rsidRPr="007B0FE5" w:rsidRDefault="007B0FE5" w:rsidP="005D466F">
      <w:pPr>
        <w:pStyle w:val="ListBullet"/>
        <w:rPr>
          <w:lang w:eastAsia="en-US"/>
        </w:rPr>
      </w:pPr>
      <w:r w:rsidRPr="007B0FE5">
        <w:rPr>
          <w:lang w:eastAsia="en-US"/>
        </w:rPr>
        <w:t>No settings for the maximum amount that can be won on a machine</w:t>
      </w:r>
      <w:r w:rsidR="005D466F">
        <w:rPr>
          <w:lang w:eastAsia="en-US"/>
        </w:rPr>
        <w:t>.</w:t>
      </w:r>
      <w:r w:rsidR="005D466F" w:rsidRPr="005D466F">
        <w:rPr>
          <w:vertAlign w:val="superscript"/>
          <w:lang w:eastAsia="en-US"/>
        </w:rPr>
        <w:t xml:space="preserve"> </w:t>
      </w:r>
      <w:r w:rsidR="005D466F" w:rsidRPr="007B0FE5">
        <w:rPr>
          <w:vertAlign w:val="superscript"/>
          <w:lang w:eastAsia="en-US"/>
        </w:rPr>
        <w:endnoteReference w:id="30"/>
      </w:r>
      <w:r w:rsidR="005D466F" w:rsidRPr="007B0FE5">
        <w:rPr>
          <w:lang w:eastAsia="en-US"/>
        </w:rPr>
        <w:t xml:space="preserve"> </w:t>
      </w:r>
      <w:r w:rsidRPr="007B0FE5">
        <w:rPr>
          <w:lang w:eastAsia="en-US"/>
        </w:rPr>
        <w:t xml:space="preserve"> </w:t>
      </w:r>
    </w:p>
    <w:p w14:paraId="3E279A35" w14:textId="5AE02FCD" w:rsidR="007B0FE5" w:rsidRPr="007B0FE5" w:rsidRDefault="007B0FE5" w:rsidP="0054053C">
      <w:pPr>
        <w:pStyle w:val="Tableheading"/>
        <w:rPr>
          <w:rFonts w:eastAsia="Calibri"/>
          <w:szCs w:val="20"/>
          <w:lang w:eastAsia="en-AU"/>
        </w:rPr>
      </w:pPr>
      <w:r w:rsidRPr="007B0FE5">
        <w:rPr>
          <w:rFonts w:eastAsia="Calibri"/>
          <w:lang w:eastAsia="en-AU"/>
        </w:rPr>
        <w:t>EGM parameter settings – clubs &amp; hotels, Australasia</w:t>
      </w:r>
      <w:r w:rsidR="000B63AE">
        <w:rPr>
          <w:rStyle w:val="EndnoteReference"/>
          <w:rFonts w:eastAsia="Calibri"/>
          <w:lang w:eastAsia="en-AU"/>
        </w:rPr>
        <w:endnoteReference w:id="31"/>
      </w:r>
    </w:p>
    <w:tbl>
      <w:tblPr>
        <w:tblpPr w:leftFromText="180" w:rightFromText="180" w:vertAnchor="text"/>
        <w:tblW w:w="0" w:type="auto"/>
        <w:tblCellMar>
          <w:left w:w="0" w:type="dxa"/>
          <w:right w:w="0" w:type="dxa"/>
        </w:tblCellMar>
        <w:tblLook w:val="04A0" w:firstRow="1" w:lastRow="0" w:firstColumn="1" w:lastColumn="0" w:noHBand="0" w:noVBand="1"/>
      </w:tblPr>
      <w:tblGrid>
        <w:gridCol w:w="1546"/>
        <w:gridCol w:w="974"/>
        <w:gridCol w:w="1006"/>
        <w:gridCol w:w="1006"/>
        <w:gridCol w:w="972"/>
        <w:gridCol w:w="1006"/>
        <w:gridCol w:w="1006"/>
        <w:gridCol w:w="968"/>
      </w:tblGrid>
      <w:tr w:rsidR="007B0FE5" w:rsidRPr="007B0FE5" w14:paraId="0467968F" w14:textId="77777777" w:rsidTr="00F9303C">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53BC46" w14:textId="77777777" w:rsidR="007B0FE5" w:rsidRPr="0062588A" w:rsidRDefault="007B0FE5" w:rsidP="0062588A">
            <w:pPr>
              <w:pStyle w:val="TableBody"/>
              <w:rPr>
                <w:rFonts w:eastAsia="Calibri"/>
                <w:b/>
                <w:lang w:eastAsia="en-US"/>
              </w:rPr>
            </w:pPr>
            <w:r w:rsidRPr="0062588A">
              <w:rPr>
                <w:rFonts w:eastAsia="Calibri"/>
                <w:b/>
                <w:lang w:eastAsia="en-US"/>
              </w:rPr>
              <w:t>Parameter</w:t>
            </w:r>
          </w:p>
        </w:tc>
        <w:tc>
          <w:tcPr>
            <w:tcW w:w="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A74CF" w14:textId="77777777" w:rsidR="007B0FE5" w:rsidRPr="0062588A" w:rsidRDefault="007B0FE5" w:rsidP="0062588A">
            <w:pPr>
              <w:pStyle w:val="TableBody"/>
              <w:rPr>
                <w:rFonts w:eastAsia="Calibri"/>
                <w:b/>
                <w:lang w:eastAsia="en-US"/>
              </w:rPr>
            </w:pPr>
            <w:r w:rsidRPr="0062588A">
              <w:rPr>
                <w:rFonts w:eastAsia="Calibri"/>
                <w:b/>
                <w:lang w:eastAsia="en-US"/>
              </w:rPr>
              <w:t>ACT</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02FEC" w14:textId="77777777" w:rsidR="007B0FE5" w:rsidRPr="0062588A" w:rsidRDefault="007B0FE5" w:rsidP="0062588A">
            <w:pPr>
              <w:pStyle w:val="TableBody"/>
              <w:rPr>
                <w:rFonts w:eastAsia="Calibri"/>
                <w:b/>
                <w:lang w:eastAsia="en-US"/>
              </w:rPr>
            </w:pPr>
            <w:r w:rsidRPr="0062588A">
              <w:rPr>
                <w:rFonts w:eastAsia="Calibri"/>
                <w:b/>
                <w:lang w:eastAsia="en-US"/>
              </w:rPr>
              <w:t>NSW</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B3AFC" w14:textId="77777777" w:rsidR="007B0FE5" w:rsidRPr="0062588A" w:rsidRDefault="007B0FE5" w:rsidP="0062588A">
            <w:pPr>
              <w:pStyle w:val="TableBody"/>
              <w:rPr>
                <w:rFonts w:eastAsia="Calibri"/>
                <w:b/>
                <w:lang w:eastAsia="en-US"/>
              </w:rPr>
            </w:pPr>
            <w:r w:rsidRPr="0062588A">
              <w:rPr>
                <w:rFonts w:eastAsia="Calibri"/>
                <w:b/>
                <w:lang w:eastAsia="en-US"/>
              </w:rPr>
              <w:t>Vic</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2D5F9" w14:textId="77777777" w:rsidR="007B0FE5" w:rsidRPr="0062588A" w:rsidRDefault="007B0FE5" w:rsidP="0062588A">
            <w:pPr>
              <w:pStyle w:val="TableBody"/>
              <w:rPr>
                <w:rFonts w:eastAsia="Calibri"/>
                <w:b/>
                <w:lang w:eastAsia="en-US"/>
              </w:rPr>
            </w:pPr>
            <w:r w:rsidRPr="0062588A">
              <w:rPr>
                <w:rFonts w:eastAsia="Calibri"/>
                <w:b/>
                <w:lang w:eastAsia="en-US"/>
              </w:rPr>
              <w:t>Qld</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379808" w14:textId="77777777" w:rsidR="007B0FE5" w:rsidRPr="0062588A" w:rsidRDefault="007B0FE5" w:rsidP="0062588A">
            <w:pPr>
              <w:pStyle w:val="TableBody"/>
              <w:rPr>
                <w:rFonts w:eastAsia="Calibri"/>
                <w:b/>
                <w:lang w:eastAsia="en-US"/>
              </w:rPr>
            </w:pPr>
            <w:r w:rsidRPr="0062588A">
              <w:rPr>
                <w:rFonts w:eastAsia="Calibri"/>
                <w:b/>
                <w:lang w:eastAsia="en-US"/>
              </w:rPr>
              <w:t>SA</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05E4B" w14:textId="77777777" w:rsidR="007B0FE5" w:rsidRPr="0062588A" w:rsidRDefault="007B0FE5" w:rsidP="0062588A">
            <w:pPr>
              <w:pStyle w:val="TableBody"/>
              <w:rPr>
                <w:rFonts w:eastAsia="Calibri"/>
                <w:b/>
                <w:lang w:eastAsia="en-US"/>
              </w:rPr>
            </w:pPr>
            <w:r w:rsidRPr="0062588A">
              <w:rPr>
                <w:rFonts w:eastAsia="Calibri"/>
                <w:b/>
                <w:lang w:eastAsia="en-US"/>
              </w:rPr>
              <w:t>Tas</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E58F5" w14:textId="77777777" w:rsidR="007B0FE5" w:rsidRPr="0062588A" w:rsidRDefault="007B0FE5" w:rsidP="0062588A">
            <w:pPr>
              <w:pStyle w:val="TableBody"/>
              <w:rPr>
                <w:rFonts w:eastAsia="Calibri"/>
                <w:b/>
                <w:lang w:eastAsia="en-US"/>
              </w:rPr>
            </w:pPr>
            <w:r w:rsidRPr="0062588A">
              <w:rPr>
                <w:rFonts w:eastAsia="Calibri"/>
                <w:b/>
                <w:lang w:eastAsia="en-US"/>
              </w:rPr>
              <w:t>NZ</w:t>
            </w:r>
          </w:p>
        </w:tc>
      </w:tr>
      <w:tr w:rsidR="007B0FE5" w:rsidRPr="007B0FE5" w14:paraId="0B567105" w14:textId="77777777" w:rsidTr="00F9303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7A07A" w14:textId="77777777" w:rsidR="007B0FE5" w:rsidRPr="007B0FE5" w:rsidRDefault="007B0FE5" w:rsidP="0062588A">
            <w:pPr>
              <w:pStyle w:val="TableBody"/>
              <w:rPr>
                <w:rFonts w:eastAsia="Calibri"/>
                <w:lang w:eastAsia="en-US"/>
              </w:rPr>
            </w:pPr>
            <w:r w:rsidRPr="007B0FE5">
              <w:rPr>
                <w:rFonts w:eastAsia="Calibri"/>
                <w:lang w:eastAsia="en-US"/>
              </w:rPr>
              <w:t>Max Bet</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14:paraId="60A42875" w14:textId="77777777" w:rsidR="007B0FE5" w:rsidRPr="007B0FE5" w:rsidRDefault="007B0FE5" w:rsidP="0062588A">
            <w:pPr>
              <w:pStyle w:val="TableBody"/>
              <w:rPr>
                <w:rFonts w:eastAsia="Calibri"/>
                <w:lang w:eastAsia="en-US"/>
              </w:rPr>
            </w:pPr>
            <w:r w:rsidRPr="007B0FE5">
              <w:rPr>
                <w:rFonts w:eastAsia="Calibri"/>
                <w:lang w:eastAsia="en-US"/>
              </w:rPr>
              <w:t>$10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14B0FCEE" w14:textId="77777777" w:rsidR="007B0FE5" w:rsidRPr="007B0FE5" w:rsidRDefault="007B0FE5" w:rsidP="0062588A">
            <w:pPr>
              <w:pStyle w:val="TableBody"/>
              <w:rPr>
                <w:rFonts w:eastAsia="Calibri"/>
                <w:lang w:eastAsia="en-US"/>
              </w:rPr>
            </w:pPr>
            <w:r w:rsidRPr="007B0FE5">
              <w:rPr>
                <w:rFonts w:eastAsia="Calibri"/>
                <w:lang w:eastAsia="en-US"/>
              </w:rPr>
              <w:t>$10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64E3E391" w14:textId="77777777" w:rsidR="007B0FE5" w:rsidRPr="007B0FE5" w:rsidRDefault="007B0FE5" w:rsidP="0062588A">
            <w:pPr>
              <w:pStyle w:val="TableBody"/>
              <w:rPr>
                <w:rFonts w:eastAsia="Calibri"/>
                <w:lang w:eastAsia="en-US"/>
              </w:rPr>
            </w:pPr>
            <w:r w:rsidRPr="007B0FE5">
              <w:rPr>
                <w:rFonts w:eastAsia="Calibri"/>
                <w:lang w:eastAsia="en-US"/>
              </w:rPr>
              <w:t>$5</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159E18DB" w14:textId="77777777" w:rsidR="007B0FE5" w:rsidRPr="007B0FE5" w:rsidRDefault="007B0FE5" w:rsidP="0062588A">
            <w:pPr>
              <w:pStyle w:val="TableBody"/>
              <w:rPr>
                <w:rFonts w:eastAsia="Calibri"/>
                <w:lang w:eastAsia="en-US"/>
              </w:rPr>
            </w:pPr>
            <w:r w:rsidRPr="007B0FE5">
              <w:rPr>
                <w:rFonts w:eastAsia="Calibri"/>
                <w:lang w:eastAsia="en-US"/>
              </w:rPr>
              <w:t>$5</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6D2C419A" w14:textId="77777777" w:rsidR="007B0FE5" w:rsidRPr="007B0FE5" w:rsidRDefault="007B0FE5" w:rsidP="0062588A">
            <w:pPr>
              <w:pStyle w:val="TableBody"/>
              <w:rPr>
                <w:rFonts w:eastAsia="Calibri"/>
                <w:lang w:eastAsia="en-US"/>
              </w:rPr>
            </w:pPr>
            <w:r w:rsidRPr="007B0FE5">
              <w:rPr>
                <w:rFonts w:eastAsia="Calibri"/>
                <w:lang w:eastAsia="en-US"/>
              </w:rPr>
              <w:t>$5</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55DDAC0D" w14:textId="77777777" w:rsidR="007B0FE5" w:rsidRPr="007B0FE5" w:rsidRDefault="007B0FE5" w:rsidP="0062588A">
            <w:pPr>
              <w:pStyle w:val="TableBody"/>
              <w:rPr>
                <w:rFonts w:eastAsia="Calibri"/>
                <w:lang w:eastAsia="en-US"/>
              </w:rPr>
            </w:pPr>
            <w:r w:rsidRPr="007B0FE5">
              <w:rPr>
                <w:rFonts w:eastAsia="Calibri"/>
                <w:lang w:eastAsia="en-US"/>
              </w:rPr>
              <w:t>$5</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341E5959" w14:textId="77777777" w:rsidR="007B0FE5" w:rsidRPr="007B0FE5" w:rsidRDefault="007B0FE5" w:rsidP="0062588A">
            <w:pPr>
              <w:pStyle w:val="TableBody"/>
              <w:rPr>
                <w:rFonts w:eastAsia="Calibri"/>
                <w:lang w:eastAsia="en-US"/>
              </w:rPr>
            </w:pPr>
            <w:r w:rsidRPr="007B0FE5">
              <w:rPr>
                <w:rFonts w:eastAsia="Calibri"/>
                <w:lang w:eastAsia="en-US"/>
              </w:rPr>
              <w:t>$2.50</w:t>
            </w:r>
          </w:p>
        </w:tc>
      </w:tr>
      <w:tr w:rsidR="007B0FE5" w:rsidRPr="007B0FE5" w14:paraId="0EBA88BB" w14:textId="77777777" w:rsidTr="00F9303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A7D73" w14:textId="77777777" w:rsidR="007B0FE5" w:rsidRPr="007B0FE5" w:rsidRDefault="007B0FE5" w:rsidP="0062588A">
            <w:pPr>
              <w:pStyle w:val="TableBody"/>
              <w:rPr>
                <w:rFonts w:eastAsia="Calibri"/>
                <w:lang w:eastAsia="en-US"/>
              </w:rPr>
            </w:pPr>
            <w:r w:rsidRPr="007B0FE5">
              <w:rPr>
                <w:rFonts w:eastAsia="Calibri"/>
                <w:lang w:eastAsia="en-US"/>
              </w:rPr>
              <w:t>Load Up</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14:paraId="74EB53D4" w14:textId="77777777" w:rsidR="007B0FE5" w:rsidRPr="007B0FE5" w:rsidRDefault="007B0FE5" w:rsidP="0062588A">
            <w:pPr>
              <w:pStyle w:val="TableBody"/>
              <w:rPr>
                <w:rFonts w:eastAsia="Calibri"/>
                <w:lang w:eastAsia="en-US"/>
              </w:rPr>
            </w:pPr>
            <w:r w:rsidRPr="007B0FE5">
              <w:rPr>
                <w:rFonts w:eastAsia="Calibri"/>
                <w:lang w:eastAsia="en-US"/>
              </w:rPr>
              <w:t>NS</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02FBEEEB" w14:textId="77777777" w:rsidR="007B0FE5" w:rsidRPr="007B0FE5" w:rsidRDefault="007B0FE5" w:rsidP="0062588A">
            <w:pPr>
              <w:pStyle w:val="TableBody"/>
              <w:rPr>
                <w:rFonts w:eastAsia="Calibri"/>
                <w:lang w:eastAsia="en-US"/>
              </w:rPr>
            </w:pPr>
            <w:r w:rsidRPr="007B0FE5">
              <w:rPr>
                <w:rFonts w:eastAsia="Calibri"/>
                <w:lang w:eastAsia="en-US"/>
              </w:rPr>
              <w:t>$7,500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16096D70" w14:textId="77777777" w:rsidR="007B0FE5" w:rsidRPr="007B0FE5" w:rsidRDefault="007B0FE5" w:rsidP="0062588A">
            <w:pPr>
              <w:pStyle w:val="TableBody"/>
              <w:rPr>
                <w:rFonts w:eastAsia="Calibri"/>
                <w:lang w:eastAsia="en-US"/>
              </w:rPr>
            </w:pPr>
            <w:r w:rsidRPr="007B0FE5">
              <w:rPr>
                <w:rFonts w:eastAsia="Calibri"/>
                <w:lang w:eastAsia="en-US"/>
              </w:rPr>
              <w:t>$1,000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02B820C9" w14:textId="77777777" w:rsidR="007B0FE5" w:rsidRPr="007B0FE5" w:rsidRDefault="007B0FE5" w:rsidP="0062588A">
            <w:pPr>
              <w:pStyle w:val="TableBody"/>
              <w:rPr>
                <w:rFonts w:eastAsia="Calibri"/>
                <w:lang w:eastAsia="en-US"/>
              </w:rPr>
            </w:pPr>
            <w:r w:rsidRPr="007B0FE5">
              <w:rPr>
                <w:rFonts w:eastAsia="Calibri"/>
                <w:lang w:eastAsia="en-US"/>
              </w:rPr>
              <w:t>$100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6CCE60E2" w14:textId="77777777" w:rsidR="007B0FE5" w:rsidRPr="007B0FE5" w:rsidRDefault="007B0FE5" w:rsidP="0062588A">
            <w:pPr>
              <w:pStyle w:val="TableBody"/>
              <w:rPr>
                <w:rFonts w:eastAsia="Calibri"/>
                <w:lang w:eastAsia="en-US"/>
              </w:rPr>
            </w:pPr>
            <w:r w:rsidRPr="007B0FE5">
              <w:rPr>
                <w:rFonts w:eastAsia="Calibri"/>
                <w:lang w:eastAsia="en-US"/>
              </w:rPr>
              <w:t>Coin</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4467C234" w14:textId="77777777" w:rsidR="007B0FE5" w:rsidRPr="007B0FE5" w:rsidRDefault="007B0FE5" w:rsidP="0062588A">
            <w:pPr>
              <w:pStyle w:val="TableBody"/>
              <w:rPr>
                <w:rFonts w:eastAsia="Calibri"/>
                <w:lang w:eastAsia="en-US"/>
              </w:rPr>
            </w:pPr>
            <w:r w:rsidRPr="007B0FE5">
              <w:rPr>
                <w:rFonts w:eastAsia="Calibri"/>
                <w:lang w:eastAsia="en-US"/>
              </w:rPr>
              <w:t>Coin</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5B921849" w14:textId="77777777" w:rsidR="007B0FE5" w:rsidRPr="007B0FE5" w:rsidRDefault="007B0FE5" w:rsidP="0062588A">
            <w:pPr>
              <w:pStyle w:val="TableBody"/>
              <w:rPr>
                <w:rFonts w:eastAsia="Calibri"/>
                <w:lang w:eastAsia="en-US"/>
              </w:rPr>
            </w:pPr>
            <w:r w:rsidRPr="007B0FE5">
              <w:rPr>
                <w:rFonts w:eastAsia="Calibri"/>
                <w:lang w:eastAsia="en-US"/>
              </w:rPr>
              <w:t>$5,979</w:t>
            </w:r>
          </w:p>
        </w:tc>
      </w:tr>
      <w:tr w:rsidR="007B0FE5" w:rsidRPr="007B0FE5" w14:paraId="51183A40" w14:textId="77777777" w:rsidTr="00F9303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C2A1A" w14:textId="77777777" w:rsidR="007B0FE5" w:rsidRPr="007B0FE5" w:rsidRDefault="007B0FE5" w:rsidP="0062588A">
            <w:pPr>
              <w:pStyle w:val="TableBody"/>
              <w:rPr>
                <w:rFonts w:eastAsia="Calibri"/>
                <w:lang w:eastAsia="en-US"/>
              </w:rPr>
            </w:pPr>
            <w:r w:rsidRPr="007B0FE5">
              <w:rPr>
                <w:rFonts w:eastAsia="Calibri"/>
                <w:lang w:eastAsia="en-US"/>
              </w:rPr>
              <w:t>Max Win</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14:paraId="4487FBD1" w14:textId="77777777" w:rsidR="007B0FE5" w:rsidRPr="007B0FE5" w:rsidRDefault="007B0FE5" w:rsidP="0062588A">
            <w:pPr>
              <w:pStyle w:val="TableBody"/>
              <w:rPr>
                <w:rFonts w:eastAsia="Calibri"/>
                <w:lang w:eastAsia="en-US"/>
              </w:rPr>
            </w:pPr>
            <w:r w:rsidRPr="007B0FE5">
              <w:rPr>
                <w:rFonts w:eastAsia="Calibri"/>
                <w:lang w:eastAsia="en-US"/>
              </w:rPr>
              <w:t>NS</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2FD448A2" w14:textId="77777777" w:rsidR="007B0FE5" w:rsidRPr="007B0FE5" w:rsidRDefault="007B0FE5" w:rsidP="0062588A">
            <w:pPr>
              <w:pStyle w:val="TableBody"/>
              <w:rPr>
                <w:rFonts w:eastAsia="Calibri"/>
                <w:lang w:eastAsia="en-US"/>
              </w:rPr>
            </w:pPr>
            <w:r w:rsidRPr="007B0FE5">
              <w:rPr>
                <w:rFonts w:eastAsia="Calibri"/>
                <w:lang w:eastAsia="en-US"/>
              </w:rPr>
              <w:t>$10,000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7DF3422B" w14:textId="77777777" w:rsidR="007B0FE5" w:rsidRPr="007B0FE5" w:rsidRDefault="007B0FE5" w:rsidP="0062588A">
            <w:pPr>
              <w:pStyle w:val="TableBody"/>
              <w:rPr>
                <w:rFonts w:eastAsia="Calibri"/>
                <w:lang w:eastAsia="en-US"/>
              </w:rPr>
            </w:pPr>
            <w:r w:rsidRPr="007B0FE5">
              <w:rPr>
                <w:rFonts w:eastAsia="Calibri"/>
                <w:lang w:eastAsia="en-US"/>
              </w:rPr>
              <w:t>$10,000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783E6B39" w14:textId="77777777" w:rsidR="007B0FE5" w:rsidRPr="007B0FE5" w:rsidRDefault="007B0FE5" w:rsidP="0062588A">
            <w:pPr>
              <w:pStyle w:val="TableBody"/>
              <w:rPr>
                <w:rFonts w:eastAsia="Calibri"/>
                <w:lang w:eastAsia="en-US"/>
              </w:rPr>
            </w:pPr>
            <w:r w:rsidRPr="007B0FE5">
              <w:rPr>
                <w:rFonts w:eastAsia="Calibri"/>
                <w:lang w:eastAsia="en-US"/>
              </w:rPr>
              <w:t>NS</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0DA45070" w14:textId="77777777" w:rsidR="007B0FE5" w:rsidRPr="007B0FE5" w:rsidRDefault="007B0FE5" w:rsidP="0062588A">
            <w:pPr>
              <w:pStyle w:val="TableBody"/>
              <w:rPr>
                <w:rFonts w:eastAsia="Calibri"/>
                <w:lang w:eastAsia="en-US"/>
              </w:rPr>
            </w:pPr>
            <w:r w:rsidRPr="007B0FE5">
              <w:rPr>
                <w:rFonts w:eastAsia="Calibri"/>
                <w:lang w:eastAsia="en-US"/>
              </w:rPr>
              <w:t>$10,000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73AE8D5C" w14:textId="77777777" w:rsidR="007B0FE5" w:rsidRPr="007B0FE5" w:rsidRDefault="007B0FE5" w:rsidP="0062588A">
            <w:pPr>
              <w:pStyle w:val="TableBody"/>
              <w:rPr>
                <w:rFonts w:eastAsia="Calibri"/>
                <w:lang w:eastAsia="en-US"/>
              </w:rPr>
            </w:pPr>
            <w:r w:rsidRPr="007B0FE5">
              <w:rPr>
                <w:rFonts w:eastAsia="Calibri"/>
                <w:lang w:eastAsia="en-US"/>
              </w:rPr>
              <w:t>$10,000</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0A71F6DD" w14:textId="77777777" w:rsidR="007B0FE5" w:rsidRPr="007B0FE5" w:rsidRDefault="007B0FE5" w:rsidP="0062588A">
            <w:pPr>
              <w:pStyle w:val="TableBody"/>
              <w:rPr>
                <w:rFonts w:eastAsia="Calibri"/>
                <w:lang w:eastAsia="en-US"/>
              </w:rPr>
            </w:pPr>
            <w:r w:rsidRPr="007B0FE5">
              <w:rPr>
                <w:rFonts w:eastAsia="Calibri"/>
                <w:lang w:eastAsia="en-US"/>
              </w:rPr>
              <w:t>$500</w:t>
            </w:r>
          </w:p>
        </w:tc>
      </w:tr>
      <w:tr w:rsidR="007B0FE5" w:rsidRPr="007B0FE5" w14:paraId="0A1E4174" w14:textId="77777777" w:rsidTr="00F9303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F8B68" w14:textId="77777777" w:rsidR="007B0FE5" w:rsidRPr="007B0FE5" w:rsidRDefault="007B0FE5" w:rsidP="0062588A">
            <w:pPr>
              <w:pStyle w:val="TableBody"/>
              <w:rPr>
                <w:rFonts w:eastAsia="Calibri"/>
                <w:lang w:eastAsia="en-US"/>
              </w:rPr>
            </w:pPr>
            <w:r w:rsidRPr="007B0FE5">
              <w:rPr>
                <w:rFonts w:eastAsia="Calibri"/>
                <w:lang w:eastAsia="en-US"/>
              </w:rPr>
              <w:t>Time Display</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14:paraId="1D13ECAD" w14:textId="77777777" w:rsidR="007B0FE5" w:rsidRPr="007B0FE5" w:rsidRDefault="007B0FE5" w:rsidP="0062588A">
            <w:pPr>
              <w:pStyle w:val="TableBody"/>
              <w:rPr>
                <w:rFonts w:eastAsia="Calibri"/>
                <w:lang w:eastAsia="en-US"/>
              </w:rPr>
            </w:pPr>
            <w:r w:rsidRPr="007B0FE5">
              <w:rPr>
                <w:rFonts w:eastAsia="Calibri"/>
                <w:lang w:eastAsia="en-US"/>
              </w:rPr>
              <w:t>N</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206B5ECC" w14:textId="77777777" w:rsidR="007B0FE5" w:rsidRPr="007B0FE5" w:rsidRDefault="007B0FE5" w:rsidP="0062588A">
            <w:pPr>
              <w:pStyle w:val="TableBody"/>
              <w:rPr>
                <w:rFonts w:eastAsia="Calibri"/>
                <w:lang w:eastAsia="en-US"/>
              </w:rPr>
            </w:pPr>
            <w:r w:rsidRPr="007B0FE5">
              <w:rPr>
                <w:rFonts w:eastAsia="Calibri"/>
                <w:lang w:eastAsia="en-US"/>
              </w:rPr>
              <w:t>Y</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5220898E" w14:textId="77777777" w:rsidR="007B0FE5" w:rsidRPr="007B0FE5" w:rsidRDefault="007B0FE5" w:rsidP="0062588A">
            <w:pPr>
              <w:pStyle w:val="TableBody"/>
              <w:rPr>
                <w:rFonts w:eastAsia="Calibri"/>
                <w:lang w:eastAsia="en-US"/>
              </w:rPr>
            </w:pPr>
            <w:r w:rsidRPr="007B0FE5">
              <w:rPr>
                <w:rFonts w:eastAsia="Calibri"/>
                <w:lang w:eastAsia="en-US"/>
              </w:rPr>
              <w:t>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4549F76F" w14:textId="77777777" w:rsidR="007B0FE5" w:rsidRPr="007B0FE5" w:rsidRDefault="007B0FE5" w:rsidP="0062588A">
            <w:pPr>
              <w:pStyle w:val="TableBody"/>
              <w:rPr>
                <w:rFonts w:eastAsia="Calibri"/>
                <w:lang w:eastAsia="en-US"/>
              </w:rPr>
            </w:pPr>
            <w:r w:rsidRPr="007B0FE5">
              <w:rPr>
                <w:rFonts w:eastAsia="Calibri"/>
                <w:lang w:eastAsia="en-US"/>
              </w:rPr>
              <w:t>Y</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41A637EA" w14:textId="77777777" w:rsidR="007B0FE5" w:rsidRPr="007B0FE5" w:rsidRDefault="007B0FE5" w:rsidP="0062588A">
            <w:pPr>
              <w:pStyle w:val="TableBody"/>
              <w:rPr>
                <w:rFonts w:eastAsia="Calibri"/>
                <w:lang w:eastAsia="en-US"/>
              </w:rPr>
            </w:pPr>
            <w:r w:rsidRPr="007B0FE5">
              <w:rPr>
                <w:rFonts w:eastAsia="Calibri"/>
                <w:lang w:eastAsia="en-US"/>
              </w:rPr>
              <w:t>Y</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20BBD6A3" w14:textId="77777777" w:rsidR="007B0FE5" w:rsidRPr="007B0FE5" w:rsidRDefault="007B0FE5" w:rsidP="0062588A">
            <w:pPr>
              <w:pStyle w:val="TableBody"/>
              <w:rPr>
                <w:rFonts w:eastAsia="Calibri"/>
                <w:lang w:eastAsia="en-US"/>
              </w:rPr>
            </w:pPr>
            <w:r w:rsidRPr="007B0FE5">
              <w:rPr>
                <w:rFonts w:eastAsia="Calibri"/>
                <w:lang w:eastAsia="en-US"/>
              </w:rPr>
              <w:t>Y</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612601C1" w14:textId="77777777" w:rsidR="007B0FE5" w:rsidRPr="007B0FE5" w:rsidRDefault="007B0FE5" w:rsidP="0062588A">
            <w:pPr>
              <w:pStyle w:val="TableBody"/>
              <w:rPr>
                <w:rFonts w:eastAsia="Calibri"/>
                <w:lang w:eastAsia="en-US"/>
              </w:rPr>
            </w:pPr>
            <w:r w:rsidRPr="007B0FE5">
              <w:rPr>
                <w:rFonts w:eastAsia="Calibri"/>
                <w:lang w:eastAsia="en-US"/>
              </w:rPr>
              <w:t>Y</w:t>
            </w:r>
          </w:p>
        </w:tc>
      </w:tr>
      <w:tr w:rsidR="007B0FE5" w:rsidRPr="007B0FE5" w14:paraId="11873B2F" w14:textId="77777777" w:rsidTr="00F9303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1A7AD" w14:textId="77777777" w:rsidR="007B0FE5" w:rsidRPr="007B0FE5" w:rsidRDefault="007B0FE5" w:rsidP="0062588A">
            <w:pPr>
              <w:pStyle w:val="TableBody"/>
              <w:rPr>
                <w:rFonts w:eastAsia="Calibri"/>
                <w:lang w:eastAsia="en-US"/>
              </w:rPr>
            </w:pPr>
            <w:r w:rsidRPr="007B0FE5">
              <w:rPr>
                <w:rFonts w:eastAsia="Calibri"/>
                <w:lang w:eastAsia="en-US"/>
              </w:rPr>
              <w:t>Min RTP</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14:paraId="314A7BF4" w14:textId="77777777" w:rsidR="007B0FE5" w:rsidRPr="007B0FE5" w:rsidRDefault="007B0FE5" w:rsidP="0062588A">
            <w:pPr>
              <w:pStyle w:val="TableBody"/>
              <w:rPr>
                <w:rFonts w:eastAsia="Calibri"/>
                <w:lang w:eastAsia="en-US"/>
              </w:rPr>
            </w:pPr>
            <w:r w:rsidRPr="007B0FE5">
              <w:rPr>
                <w:rFonts w:eastAsia="Calibri"/>
                <w:lang w:eastAsia="en-US"/>
              </w:rPr>
              <w:t>87%</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11820CE5" w14:textId="77777777" w:rsidR="007B0FE5" w:rsidRPr="007B0FE5" w:rsidRDefault="007B0FE5" w:rsidP="0062588A">
            <w:pPr>
              <w:pStyle w:val="TableBody"/>
              <w:rPr>
                <w:rFonts w:eastAsia="Calibri"/>
                <w:lang w:eastAsia="en-US"/>
              </w:rPr>
            </w:pPr>
            <w:r w:rsidRPr="007B0FE5">
              <w:rPr>
                <w:rFonts w:eastAsia="Calibri"/>
                <w:lang w:eastAsia="en-US"/>
              </w:rPr>
              <w:t>85%</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45356B15" w14:textId="77777777" w:rsidR="007B0FE5" w:rsidRPr="007B0FE5" w:rsidRDefault="007B0FE5" w:rsidP="0062588A">
            <w:pPr>
              <w:pStyle w:val="TableBody"/>
              <w:rPr>
                <w:rFonts w:eastAsia="Calibri"/>
                <w:lang w:eastAsia="en-US"/>
              </w:rPr>
            </w:pPr>
            <w:r w:rsidRPr="007B0FE5">
              <w:rPr>
                <w:rFonts w:eastAsia="Calibri"/>
                <w:lang w:eastAsia="en-US"/>
              </w:rPr>
              <w:t>85%</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2D59DFD1" w14:textId="77777777" w:rsidR="007B0FE5" w:rsidRPr="007B0FE5" w:rsidRDefault="007B0FE5" w:rsidP="0062588A">
            <w:pPr>
              <w:pStyle w:val="TableBody"/>
              <w:rPr>
                <w:rFonts w:eastAsia="Calibri"/>
                <w:lang w:eastAsia="en-US"/>
              </w:rPr>
            </w:pPr>
            <w:r w:rsidRPr="007B0FE5">
              <w:rPr>
                <w:rFonts w:eastAsia="Calibri"/>
                <w:lang w:eastAsia="en-US"/>
              </w:rPr>
              <w:t>85%</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6BEC30EF" w14:textId="77777777" w:rsidR="007B0FE5" w:rsidRPr="007B0FE5" w:rsidRDefault="007B0FE5" w:rsidP="0062588A">
            <w:pPr>
              <w:pStyle w:val="TableBody"/>
              <w:rPr>
                <w:rFonts w:eastAsia="Calibri"/>
                <w:lang w:eastAsia="en-US"/>
              </w:rPr>
            </w:pPr>
            <w:r w:rsidRPr="007B0FE5">
              <w:rPr>
                <w:rFonts w:eastAsia="Calibri"/>
                <w:lang w:eastAsia="en-US"/>
              </w:rPr>
              <w:t>87.5%</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5F1E431F" w14:textId="77777777" w:rsidR="007B0FE5" w:rsidRPr="007B0FE5" w:rsidRDefault="007B0FE5" w:rsidP="0062588A">
            <w:pPr>
              <w:pStyle w:val="TableBody"/>
              <w:rPr>
                <w:rFonts w:eastAsia="Calibri"/>
                <w:lang w:eastAsia="en-US"/>
              </w:rPr>
            </w:pPr>
            <w:r w:rsidRPr="007B0FE5">
              <w:rPr>
                <w:rFonts w:eastAsia="Calibri"/>
                <w:lang w:eastAsia="en-US"/>
              </w:rPr>
              <w:t>85%</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2701F7AC" w14:textId="77777777" w:rsidR="007B0FE5" w:rsidRPr="007B0FE5" w:rsidRDefault="007B0FE5" w:rsidP="0062588A">
            <w:pPr>
              <w:pStyle w:val="TableBody"/>
              <w:rPr>
                <w:rFonts w:eastAsia="Calibri"/>
                <w:lang w:eastAsia="en-US"/>
              </w:rPr>
            </w:pPr>
            <w:r w:rsidRPr="007B0FE5">
              <w:rPr>
                <w:rFonts w:eastAsia="Calibri"/>
                <w:lang w:eastAsia="en-US"/>
              </w:rPr>
              <w:t>78%</w:t>
            </w:r>
          </w:p>
        </w:tc>
      </w:tr>
      <w:tr w:rsidR="007B0FE5" w:rsidRPr="007B0FE5" w14:paraId="3250CF29" w14:textId="77777777" w:rsidTr="00F9303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6284F" w14:textId="77777777" w:rsidR="007B0FE5" w:rsidRPr="007B0FE5" w:rsidRDefault="007B0FE5" w:rsidP="0062588A">
            <w:pPr>
              <w:pStyle w:val="TableBody"/>
              <w:rPr>
                <w:rFonts w:eastAsia="Calibri"/>
                <w:lang w:eastAsia="en-US"/>
              </w:rPr>
            </w:pPr>
            <w:r w:rsidRPr="007B0FE5">
              <w:rPr>
                <w:rFonts w:eastAsia="Calibri"/>
                <w:lang w:eastAsia="en-US"/>
              </w:rPr>
              <w:t>LDW permitted</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14:paraId="7D7514F2" w14:textId="77777777" w:rsidR="007B0FE5" w:rsidRPr="007B0FE5" w:rsidRDefault="007B0FE5" w:rsidP="0062588A">
            <w:pPr>
              <w:pStyle w:val="TableBody"/>
              <w:rPr>
                <w:rFonts w:eastAsia="Calibri"/>
                <w:lang w:eastAsia="en-US"/>
              </w:rPr>
            </w:pPr>
            <w:r w:rsidRPr="007B0FE5">
              <w:rPr>
                <w:rFonts w:eastAsia="Calibri"/>
                <w:lang w:eastAsia="en-US"/>
              </w:rPr>
              <w:t>Y</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0FB1753D" w14:textId="77777777" w:rsidR="007B0FE5" w:rsidRPr="007B0FE5" w:rsidRDefault="007B0FE5" w:rsidP="0062588A">
            <w:pPr>
              <w:pStyle w:val="TableBody"/>
              <w:rPr>
                <w:rFonts w:eastAsia="Calibri"/>
                <w:lang w:eastAsia="en-US"/>
              </w:rPr>
            </w:pPr>
            <w:r w:rsidRPr="007B0FE5">
              <w:rPr>
                <w:rFonts w:eastAsia="Calibri"/>
                <w:lang w:eastAsia="en-US"/>
              </w:rPr>
              <w:t>Y</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25EB593D" w14:textId="77777777" w:rsidR="007B0FE5" w:rsidRPr="007B0FE5" w:rsidRDefault="007B0FE5" w:rsidP="0062588A">
            <w:pPr>
              <w:pStyle w:val="TableBody"/>
              <w:rPr>
                <w:rFonts w:eastAsia="Calibri"/>
                <w:lang w:eastAsia="en-US"/>
              </w:rPr>
            </w:pPr>
            <w:r w:rsidRPr="007B0FE5">
              <w:rPr>
                <w:rFonts w:eastAsia="Calibri"/>
                <w:lang w:eastAsia="en-US"/>
              </w:rPr>
              <w:t>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50CB35DA" w14:textId="77777777" w:rsidR="007B0FE5" w:rsidRPr="007B0FE5" w:rsidRDefault="007B0FE5" w:rsidP="0062588A">
            <w:pPr>
              <w:pStyle w:val="TableBody"/>
              <w:rPr>
                <w:rFonts w:eastAsia="Calibri"/>
                <w:lang w:eastAsia="en-US"/>
              </w:rPr>
            </w:pPr>
            <w:r w:rsidRPr="007B0FE5">
              <w:rPr>
                <w:rFonts w:eastAsia="Calibri"/>
                <w:lang w:eastAsia="en-US"/>
              </w:rPr>
              <w:t>N</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1EDDCAFB" w14:textId="77777777" w:rsidR="007B0FE5" w:rsidRPr="007B0FE5" w:rsidRDefault="007B0FE5" w:rsidP="0062588A">
            <w:pPr>
              <w:pStyle w:val="TableBody"/>
              <w:rPr>
                <w:rFonts w:eastAsia="Calibri"/>
                <w:lang w:eastAsia="en-US"/>
              </w:rPr>
            </w:pPr>
            <w:r w:rsidRPr="007B0FE5">
              <w:rPr>
                <w:rFonts w:eastAsia="Calibri"/>
                <w:lang w:eastAsia="en-US"/>
              </w:rPr>
              <w:t>Y</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3DC0D068" w14:textId="77777777" w:rsidR="007B0FE5" w:rsidRPr="007B0FE5" w:rsidRDefault="007B0FE5" w:rsidP="0062588A">
            <w:pPr>
              <w:pStyle w:val="TableBody"/>
              <w:rPr>
                <w:rFonts w:eastAsia="Calibri"/>
                <w:lang w:eastAsia="en-US"/>
              </w:rPr>
            </w:pPr>
            <w:r w:rsidRPr="007B0FE5">
              <w:rPr>
                <w:rFonts w:eastAsia="Calibri"/>
                <w:lang w:eastAsia="en-US"/>
              </w:rPr>
              <w:t>N</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2907FBBA" w14:textId="77777777" w:rsidR="007B0FE5" w:rsidRPr="007B0FE5" w:rsidRDefault="007B0FE5" w:rsidP="0062588A">
            <w:pPr>
              <w:pStyle w:val="TableBody"/>
              <w:rPr>
                <w:rFonts w:eastAsia="Calibri"/>
                <w:lang w:eastAsia="en-US"/>
              </w:rPr>
            </w:pPr>
            <w:r w:rsidRPr="007B0FE5">
              <w:rPr>
                <w:rFonts w:eastAsia="Calibri"/>
                <w:lang w:eastAsia="en-US"/>
              </w:rPr>
              <w:t>Y</w:t>
            </w:r>
          </w:p>
        </w:tc>
      </w:tr>
      <w:tr w:rsidR="007B0FE5" w:rsidRPr="007B0FE5" w14:paraId="4188FBBB" w14:textId="77777777" w:rsidTr="00F9303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82166" w14:textId="77777777" w:rsidR="007B0FE5" w:rsidRPr="007B0FE5" w:rsidRDefault="007B0FE5" w:rsidP="0062588A">
            <w:pPr>
              <w:pStyle w:val="TableBody"/>
              <w:rPr>
                <w:rFonts w:eastAsia="Calibri"/>
                <w:lang w:eastAsia="en-US"/>
              </w:rPr>
            </w:pPr>
            <w:r w:rsidRPr="007B0FE5">
              <w:rPr>
                <w:rFonts w:eastAsia="Calibri"/>
                <w:lang w:eastAsia="en-US"/>
              </w:rPr>
              <w:t>Uneven reels</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14:paraId="5B962729" w14:textId="77777777" w:rsidR="007B0FE5" w:rsidRPr="007B0FE5" w:rsidRDefault="007B0FE5" w:rsidP="0062588A">
            <w:pPr>
              <w:pStyle w:val="TableBody"/>
              <w:rPr>
                <w:rFonts w:eastAsia="Calibri"/>
                <w:lang w:eastAsia="en-US"/>
              </w:rPr>
            </w:pPr>
            <w:r w:rsidRPr="007B0FE5">
              <w:rPr>
                <w:rFonts w:eastAsia="Calibri"/>
                <w:lang w:eastAsia="en-US"/>
              </w:rPr>
              <w:t>NS</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2A693952" w14:textId="77777777" w:rsidR="007B0FE5" w:rsidRPr="007B0FE5" w:rsidRDefault="007B0FE5" w:rsidP="0062588A">
            <w:pPr>
              <w:pStyle w:val="TableBody"/>
              <w:rPr>
                <w:rFonts w:eastAsia="Calibri"/>
                <w:lang w:eastAsia="en-US"/>
              </w:rPr>
            </w:pPr>
            <w:r w:rsidRPr="007B0FE5">
              <w:rPr>
                <w:rFonts w:eastAsia="Calibri"/>
                <w:lang w:eastAsia="en-US"/>
              </w:rPr>
              <w:t>NS</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21C8C812" w14:textId="77777777" w:rsidR="007B0FE5" w:rsidRPr="007B0FE5" w:rsidRDefault="007B0FE5" w:rsidP="0062588A">
            <w:pPr>
              <w:pStyle w:val="TableBody"/>
              <w:rPr>
                <w:rFonts w:eastAsia="Calibri"/>
                <w:lang w:eastAsia="en-US"/>
              </w:rPr>
            </w:pPr>
            <w:r w:rsidRPr="007B0FE5">
              <w:rPr>
                <w:rFonts w:eastAsia="Calibri"/>
                <w:lang w:eastAsia="en-US"/>
              </w:rPr>
              <w:t>NS</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2EB026BE" w14:textId="77777777" w:rsidR="007B0FE5" w:rsidRPr="007B0FE5" w:rsidRDefault="007B0FE5" w:rsidP="0062588A">
            <w:pPr>
              <w:pStyle w:val="TableBody"/>
              <w:rPr>
                <w:rFonts w:eastAsia="Calibri"/>
                <w:lang w:eastAsia="en-US"/>
              </w:rPr>
            </w:pPr>
            <w:r w:rsidRPr="007B0FE5">
              <w:rPr>
                <w:rFonts w:eastAsia="Calibri"/>
                <w:lang w:eastAsia="en-US"/>
              </w:rPr>
              <w:t>NS</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36CB1673" w14:textId="77777777" w:rsidR="007B0FE5" w:rsidRPr="007B0FE5" w:rsidRDefault="007B0FE5" w:rsidP="0062588A">
            <w:pPr>
              <w:pStyle w:val="TableBody"/>
              <w:rPr>
                <w:rFonts w:eastAsia="Calibri"/>
                <w:lang w:eastAsia="en-US"/>
              </w:rPr>
            </w:pPr>
            <w:r w:rsidRPr="007B0FE5">
              <w:rPr>
                <w:rFonts w:eastAsia="Calibri"/>
                <w:lang w:eastAsia="en-US"/>
              </w:rPr>
              <w:t>NS</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282901EF" w14:textId="77777777" w:rsidR="007B0FE5" w:rsidRPr="007B0FE5" w:rsidRDefault="007B0FE5" w:rsidP="0062588A">
            <w:pPr>
              <w:pStyle w:val="TableBody"/>
              <w:rPr>
                <w:rFonts w:eastAsia="Calibri"/>
                <w:lang w:eastAsia="en-US"/>
              </w:rPr>
            </w:pPr>
            <w:r w:rsidRPr="007B0FE5">
              <w:rPr>
                <w:rFonts w:eastAsia="Calibri"/>
                <w:lang w:eastAsia="en-US"/>
              </w:rPr>
              <w:t>NS</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483C0497" w14:textId="77777777" w:rsidR="007B0FE5" w:rsidRPr="007B0FE5" w:rsidRDefault="007B0FE5" w:rsidP="0062588A">
            <w:pPr>
              <w:pStyle w:val="TableBody"/>
              <w:rPr>
                <w:rFonts w:eastAsia="Calibri"/>
                <w:lang w:eastAsia="en-US"/>
              </w:rPr>
            </w:pPr>
            <w:r w:rsidRPr="007B0FE5">
              <w:rPr>
                <w:rFonts w:eastAsia="Calibri"/>
                <w:lang w:eastAsia="en-US"/>
              </w:rPr>
              <w:t>NS</w:t>
            </w:r>
          </w:p>
        </w:tc>
      </w:tr>
    </w:tbl>
    <w:p w14:paraId="5971EEF6" w14:textId="77777777" w:rsidR="009F3D94" w:rsidRDefault="009F3D94" w:rsidP="007B0FE5">
      <w:pPr>
        <w:spacing w:line="259" w:lineRule="auto"/>
        <w:rPr>
          <w:rFonts w:eastAsia="Calibri"/>
          <w:b/>
        </w:rPr>
      </w:pPr>
    </w:p>
    <w:p w14:paraId="4AE063AE" w14:textId="02E935D4" w:rsidR="007B0FE5" w:rsidRPr="004D0E0C" w:rsidRDefault="007B0FE5" w:rsidP="007B0FE5">
      <w:pPr>
        <w:spacing w:line="259" w:lineRule="auto"/>
        <w:rPr>
          <w:rStyle w:val="FootnoteReference"/>
          <w:rFonts w:eastAsia="Calibri"/>
        </w:rPr>
      </w:pPr>
      <w:r w:rsidRPr="004D0E0C">
        <w:rPr>
          <w:rStyle w:val="FootnoteReference"/>
          <w:rFonts w:eastAsia="Calibri"/>
          <w:b/>
        </w:rPr>
        <w:t>Max Bet</w:t>
      </w:r>
      <w:r w:rsidR="00620A7B" w:rsidRPr="004D0E0C">
        <w:rPr>
          <w:rStyle w:val="FootnoteReference"/>
          <w:rFonts w:eastAsia="Calibri"/>
          <w:b/>
        </w:rPr>
        <w:t xml:space="preserve"> =</w:t>
      </w:r>
      <w:r w:rsidR="00620A7B" w:rsidRPr="004D0E0C">
        <w:rPr>
          <w:rStyle w:val="FootnoteReference"/>
          <w:rFonts w:eastAsia="Calibri"/>
        </w:rPr>
        <w:t xml:space="preserve"> </w:t>
      </w:r>
      <w:r w:rsidRPr="004D0E0C">
        <w:rPr>
          <w:rStyle w:val="FootnoteReference"/>
          <w:rFonts w:eastAsia="Calibri"/>
        </w:rPr>
        <w:t>The maximum amount that can be bet per spin on an EGM</w:t>
      </w:r>
      <w:r w:rsidR="00620A7B" w:rsidRPr="004D0E0C">
        <w:rPr>
          <w:rStyle w:val="FootnoteReference"/>
          <w:rFonts w:eastAsia="Calibri"/>
        </w:rPr>
        <w:t xml:space="preserve">; </w:t>
      </w:r>
      <w:r w:rsidRPr="004D0E0C">
        <w:rPr>
          <w:rStyle w:val="FootnoteReference"/>
          <w:rFonts w:eastAsia="Calibri"/>
          <w:b/>
        </w:rPr>
        <w:t>Load Up</w:t>
      </w:r>
      <w:r w:rsidR="00620A7B" w:rsidRPr="004D0E0C">
        <w:rPr>
          <w:rStyle w:val="FootnoteReference"/>
          <w:rFonts w:eastAsia="Calibri"/>
          <w:b/>
        </w:rPr>
        <w:t xml:space="preserve"> =</w:t>
      </w:r>
      <w:r w:rsidR="009F3D94">
        <w:rPr>
          <w:rFonts w:eastAsia="Calibri"/>
          <w:b/>
        </w:rPr>
        <w:t xml:space="preserve"> </w:t>
      </w:r>
      <w:r w:rsidRPr="004D0E0C">
        <w:rPr>
          <w:rStyle w:val="FootnoteReference"/>
          <w:rFonts w:eastAsia="Calibri"/>
        </w:rPr>
        <w:t>The maximum amount of money that can be loaded as credits at any one time on an EGM</w:t>
      </w:r>
      <w:r w:rsidR="00620A7B" w:rsidRPr="004D0E0C">
        <w:rPr>
          <w:rStyle w:val="FootnoteReference"/>
          <w:rFonts w:eastAsia="Calibri"/>
        </w:rPr>
        <w:t xml:space="preserve">; </w:t>
      </w:r>
      <w:r w:rsidRPr="004D0E0C">
        <w:rPr>
          <w:rStyle w:val="FootnoteReference"/>
          <w:rFonts w:eastAsia="Calibri"/>
          <w:b/>
        </w:rPr>
        <w:t xml:space="preserve">Max </w:t>
      </w:r>
      <w:r w:rsidR="004D0E0C" w:rsidRPr="004D0E0C">
        <w:rPr>
          <w:rStyle w:val="FootnoteReference"/>
          <w:rFonts w:eastAsia="Calibri"/>
          <w:b/>
        </w:rPr>
        <w:t>W</w:t>
      </w:r>
      <w:r w:rsidRPr="004D0E0C">
        <w:rPr>
          <w:rStyle w:val="FootnoteReference"/>
          <w:rFonts w:eastAsia="Calibri"/>
          <w:b/>
        </w:rPr>
        <w:t>in</w:t>
      </w:r>
      <w:r w:rsidR="00620A7B" w:rsidRPr="004D0E0C">
        <w:rPr>
          <w:rStyle w:val="FootnoteReference"/>
          <w:rFonts w:eastAsia="Calibri"/>
          <w:b/>
        </w:rPr>
        <w:t xml:space="preserve"> =</w:t>
      </w:r>
      <w:r w:rsidRPr="004D0E0C">
        <w:rPr>
          <w:rStyle w:val="FootnoteReference"/>
          <w:rFonts w:eastAsia="Calibri"/>
        </w:rPr>
        <w:t xml:space="preserve"> The maximum amount that can be won on an EGM</w:t>
      </w:r>
      <w:r w:rsidR="00620A7B" w:rsidRPr="004D0E0C">
        <w:rPr>
          <w:rStyle w:val="FootnoteReference"/>
          <w:rFonts w:eastAsia="Calibri"/>
        </w:rPr>
        <w:t xml:space="preserve">; </w:t>
      </w:r>
      <w:r w:rsidRPr="004D0E0C">
        <w:rPr>
          <w:rStyle w:val="FootnoteReference"/>
          <w:rFonts w:eastAsia="Calibri"/>
          <w:b/>
        </w:rPr>
        <w:t>Time Display</w:t>
      </w:r>
      <w:r w:rsidR="00620A7B" w:rsidRPr="004D0E0C">
        <w:rPr>
          <w:rStyle w:val="FootnoteReference"/>
          <w:rFonts w:eastAsia="Calibri"/>
          <w:b/>
        </w:rPr>
        <w:t xml:space="preserve"> =</w:t>
      </w:r>
      <w:r w:rsidRPr="004D0E0C">
        <w:rPr>
          <w:rStyle w:val="FootnoteReference"/>
          <w:rFonts w:eastAsia="Calibri"/>
        </w:rPr>
        <w:t xml:space="preserve"> Time of day</w:t>
      </w:r>
      <w:r w:rsidR="00620A7B" w:rsidRPr="004D0E0C">
        <w:rPr>
          <w:rStyle w:val="FootnoteReference"/>
          <w:rFonts w:eastAsia="Calibri"/>
        </w:rPr>
        <w:t xml:space="preserve">; </w:t>
      </w:r>
      <w:r w:rsidRPr="004D0E0C">
        <w:rPr>
          <w:rStyle w:val="FootnoteReference"/>
          <w:rFonts w:eastAsia="Calibri"/>
          <w:b/>
        </w:rPr>
        <w:t>Min RTP</w:t>
      </w:r>
      <w:r w:rsidR="00620A7B" w:rsidRPr="004D0E0C">
        <w:rPr>
          <w:rStyle w:val="FootnoteReference"/>
          <w:rFonts w:eastAsia="Calibri"/>
          <w:b/>
        </w:rPr>
        <w:t xml:space="preserve"> =</w:t>
      </w:r>
      <w:r w:rsidRPr="004D0E0C">
        <w:rPr>
          <w:rStyle w:val="FootnoteReference"/>
          <w:rFonts w:eastAsia="Calibri"/>
        </w:rPr>
        <w:t xml:space="preserve"> The minimum percentage of money an EGM will return (pay back) to players over the game cycle, including 'wins' re-wagered</w:t>
      </w:r>
      <w:r w:rsidR="00620A7B" w:rsidRPr="004D0E0C">
        <w:rPr>
          <w:rStyle w:val="FootnoteReference"/>
          <w:rFonts w:eastAsia="Calibri"/>
        </w:rPr>
        <w:t xml:space="preserve">; </w:t>
      </w:r>
      <w:r w:rsidRPr="004D0E0C">
        <w:rPr>
          <w:rStyle w:val="FootnoteReference"/>
          <w:rFonts w:eastAsia="Calibri"/>
          <w:b/>
        </w:rPr>
        <w:t>LDW</w:t>
      </w:r>
      <w:r w:rsidR="00620A7B" w:rsidRPr="004D0E0C">
        <w:rPr>
          <w:rStyle w:val="FootnoteReference"/>
          <w:rFonts w:eastAsia="Calibri"/>
          <w:b/>
        </w:rPr>
        <w:t xml:space="preserve"> =</w:t>
      </w:r>
      <w:r w:rsidRPr="004D0E0C">
        <w:rPr>
          <w:rStyle w:val="FootnoteReference"/>
          <w:rFonts w:eastAsia="Calibri"/>
        </w:rPr>
        <w:t xml:space="preserve"> Losses disguised as wins e.g. losses with celebratory sounds and visual cues of a ‘win’</w:t>
      </w:r>
      <w:r w:rsidR="00620A7B" w:rsidRPr="004D0E0C">
        <w:rPr>
          <w:rStyle w:val="FootnoteReference"/>
          <w:rFonts w:eastAsia="Calibri"/>
        </w:rPr>
        <w:t xml:space="preserve">; </w:t>
      </w:r>
      <w:r w:rsidRPr="004D0E0C">
        <w:rPr>
          <w:rStyle w:val="FootnoteReference"/>
          <w:rFonts w:eastAsia="Calibri"/>
          <w:b/>
        </w:rPr>
        <w:t>NS</w:t>
      </w:r>
      <w:r w:rsidR="00620A7B" w:rsidRPr="004D0E0C">
        <w:rPr>
          <w:rStyle w:val="FootnoteReference"/>
          <w:rFonts w:eastAsia="Calibri"/>
          <w:b/>
        </w:rPr>
        <w:t xml:space="preserve"> =</w:t>
      </w:r>
      <w:r w:rsidRPr="004D0E0C">
        <w:rPr>
          <w:rStyle w:val="FootnoteReference"/>
          <w:rFonts w:eastAsia="Calibri"/>
          <w:b/>
        </w:rPr>
        <w:t xml:space="preserve"> </w:t>
      </w:r>
      <w:r w:rsidRPr="004D0E0C">
        <w:rPr>
          <w:rStyle w:val="FootnoteReference"/>
          <w:rFonts w:eastAsia="Calibri"/>
        </w:rPr>
        <w:t>No standard</w:t>
      </w:r>
      <w:r w:rsidR="00620A7B" w:rsidRPr="004D0E0C">
        <w:rPr>
          <w:rStyle w:val="FootnoteReference"/>
          <w:rFonts w:eastAsia="Calibri"/>
        </w:rPr>
        <w:t>.</w:t>
      </w:r>
    </w:p>
    <w:p w14:paraId="07055F8B" w14:textId="4BA00D56" w:rsidR="007B0FE5" w:rsidRPr="007B0FE5" w:rsidRDefault="007B0FE5" w:rsidP="007B0F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rPr>
          <w:sz w:val="21"/>
          <w:lang w:eastAsia="en-US"/>
        </w:rPr>
      </w:pPr>
    </w:p>
    <w:p w14:paraId="742F0520" w14:textId="266983F8" w:rsidR="007B0FE5" w:rsidRDefault="007B0FE5" w:rsidP="00155172">
      <w:pPr>
        <w:pStyle w:val="Heading1"/>
        <w:rPr>
          <w:lang w:eastAsia="en-US"/>
        </w:rPr>
      </w:pPr>
      <w:r w:rsidRPr="007B0FE5">
        <w:rPr>
          <w:lang w:eastAsia="en-US"/>
        </w:rPr>
        <w:lastRenderedPageBreak/>
        <w:t xml:space="preserve">Further reading </w:t>
      </w:r>
    </w:p>
    <w:p w14:paraId="168DDE93" w14:textId="73AD79D6" w:rsidR="000B0B60" w:rsidRDefault="000B0B60" w:rsidP="003E0099">
      <w:pPr>
        <w:pStyle w:val="BodyText"/>
        <w:rPr>
          <w:szCs w:val="24"/>
          <w:lang w:eastAsia="en-US"/>
        </w:rPr>
      </w:pPr>
      <w:r w:rsidRPr="00BA6F23">
        <w:rPr>
          <w:szCs w:val="24"/>
          <w:lang w:eastAsia="en-US"/>
        </w:rPr>
        <w:t xml:space="preserve">ACT Audit Office, </w:t>
      </w:r>
      <w:r w:rsidRPr="00BA6F23">
        <w:rPr>
          <w:i/>
          <w:szCs w:val="24"/>
          <w:lang w:eastAsia="en-US"/>
        </w:rPr>
        <w:t>ACT Auditor–General’s Report: ACT Clubs’ Community Contributions</w:t>
      </w:r>
      <w:r w:rsidRPr="00BA6F23">
        <w:rPr>
          <w:szCs w:val="24"/>
          <w:lang w:eastAsia="en-US"/>
        </w:rPr>
        <w:t>, Report No. 5, Publishing Services, Shared Services, Chief Minister, Treasury and Economic Development Directorate, ACT Government, Canberra, 2018.</w:t>
      </w:r>
    </w:p>
    <w:p w14:paraId="38F895FD" w14:textId="6C305DDD" w:rsidR="003E0099" w:rsidRPr="0052359F" w:rsidRDefault="00935DC1" w:rsidP="003E0099">
      <w:pPr>
        <w:pStyle w:val="BodyText"/>
        <w:rPr>
          <w:szCs w:val="24"/>
          <w:lang w:eastAsia="en-US"/>
        </w:rPr>
      </w:pPr>
      <w:r w:rsidRPr="0052359F">
        <w:rPr>
          <w:szCs w:val="24"/>
          <w:lang w:eastAsia="en-US"/>
        </w:rPr>
        <w:t>ACT</w:t>
      </w:r>
      <w:r w:rsidR="00B64DCE">
        <w:rPr>
          <w:szCs w:val="24"/>
          <w:lang w:eastAsia="en-US"/>
        </w:rPr>
        <w:t xml:space="preserve"> </w:t>
      </w:r>
      <w:r w:rsidRPr="0052359F">
        <w:rPr>
          <w:szCs w:val="24"/>
          <w:lang w:eastAsia="en-US"/>
        </w:rPr>
        <w:t>C</w:t>
      </w:r>
      <w:r w:rsidR="00B64DCE">
        <w:rPr>
          <w:szCs w:val="24"/>
          <w:lang w:eastAsia="en-US"/>
        </w:rPr>
        <w:t xml:space="preserve">ouncil of Social Service (ACTCOSS) </w:t>
      </w:r>
      <w:r w:rsidR="00ED5891" w:rsidRPr="0052359F">
        <w:rPr>
          <w:szCs w:val="24"/>
          <w:lang w:eastAsia="en-US"/>
        </w:rPr>
        <w:t>&amp; C</w:t>
      </w:r>
      <w:r w:rsidR="00B64DCE">
        <w:rPr>
          <w:szCs w:val="24"/>
          <w:lang w:eastAsia="en-US"/>
        </w:rPr>
        <w:t xml:space="preserve">anberra </w:t>
      </w:r>
      <w:r w:rsidR="00ED5891" w:rsidRPr="0052359F">
        <w:rPr>
          <w:szCs w:val="24"/>
          <w:lang w:eastAsia="en-US"/>
        </w:rPr>
        <w:t>G</w:t>
      </w:r>
      <w:r w:rsidR="00B64DCE">
        <w:rPr>
          <w:szCs w:val="24"/>
          <w:lang w:eastAsia="en-US"/>
        </w:rPr>
        <w:t xml:space="preserve">ambling </w:t>
      </w:r>
      <w:r w:rsidR="00ED5891" w:rsidRPr="0052359F">
        <w:rPr>
          <w:szCs w:val="24"/>
          <w:lang w:eastAsia="en-US"/>
        </w:rPr>
        <w:t>R</w:t>
      </w:r>
      <w:r w:rsidR="00B64DCE">
        <w:rPr>
          <w:szCs w:val="24"/>
          <w:lang w:eastAsia="en-US"/>
        </w:rPr>
        <w:t xml:space="preserve">eform </w:t>
      </w:r>
      <w:r w:rsidR="00ED5891" w:rsidRPr="0052359F">
        <w:rPr>
          <w:szCs w:val="24"/>
          <w:lang w:eastAsia="en-US"/>
        </w:rPr>
        <w:t>A</w:t>
      </w:r>
      <w:r w:rsidR="00B64DCE">
        <w:rPr>
          <w:szCs w:val="24"/>
          <w:lang w:eastAsia="en-US"/>
        </w:rPr>
        <w:t>lliance (CGRA)</w:t>
      </w:r>
      <w:r w:rsidRPr="00BA6F23">
        <w:rPr>
          <w:szCs w:val="24"/>
          <w:lang w:eastAsia="en-US"/>
        </w:rPr>
        <w:t xml:space="preserve">, </w:t>
      </w:r>
      <w:r w:rsidRPr="00BA6F23">
        <w:rPr>
          <w:i/>
          <w:szCs w:val="24"/>
          <w:lang w:eastAsia="en-US"/>
        </w:rPr>
        <w:t xml:space="preserve">Stories of </w:t>
      </w:r>
      <w:r w:rsidR="002A0C34" w:rsidRPr="00BA6F23">
        <w:rPr>
          <w:i/>
          <w:szCs w:val="24"/>
          <w:lang w:eastAsia="en-US"/>
        </w:rPr>
        <w:t>chance: stories about the costs of gambling to the Canberra community and the resilience of those who experience harm and come back</w:t>
      </w:r>
      <w:r w:rsidR="00ED5891" w:rsidRPr="00BA6F23">
        <w:rPr>
          <w:i/>
          <w:szCs w:val="24"/>
          <w:lang w:eastAsia="en-US"/>
        </w:rPr>
        <w:t>,</w:t>
      </w:r>
      <w:r w:rsidR="00ED5891" w:rsidRPr="0052359F">
        <w:rPr>
          <w:szCs w:val="24"/>
          <w:lang w:eastAsia="en-US"/>
        </w:rPr>
        <w:t xml:space="preserve"> ACTCOSS, Canberra, 2018.</w:t>
      </w:r>
    </w:p>
    <w:p w14:paraId="79B3E2D9" w14:textId="7B4DD95A" w:rsidR="00796327" w:rsidRDefault="00796327" w:rsidP="003E0099">
      <w:pPr>
        <w:pStyle w:val="BodyText"/>
        <w:rPr>
          <w:szCs w:val="24"/>
          <w:lang w:eastAsia="en-US"/>
        </w:rPr>
      </w:pPr>
      <w:r w:rsidRPr="00BA6F23">
        <w:rPr>
          <w:szCs w:val="24"/>
          <w:lang w:eastAsia="en-US"/>
        </w:rPr>
        <w:t xml:space="preserve">ACT Gaming and Racing Commission, </w:t>
      </w:r>
      <w:r w:rsidRPr="00BA6F23">
        <w:rPr>
          <w:i/>
          <w:szCs w:val="24"/>
          <w:lang w:eastAsia="en-US"/>
        </w:rPr>
        <w:t>Gambling Harm Prevention Plan 2017-18: A public health approach to gambling harm</w:t>
      </w:r>
      <w:r w:rsidRPr="00BA6F23">
        <w:rPr>
          <w:szCs w:val="24"/>
          <w:lang w:eastAsia="en-US"/>
        </w:rPr>
        <w:t>, ACT Gaming and Racing Commission, Canberra, 2017</w:t>
      </w:r>
      <w:r w:rsidR="0052359F" w:rsidRPr="00BA6F23">
        <w:rPr>
          <w:szCs w:val="24"/>
          <w:lang w:eastAsia="en-US"/>
        </w:rPr>
        <w:t>.</w:t>
      </w:r>
    </w:p>
    <w:p w14:paraId="74983AD1" w14:textId="517251EA" w:rsidR="00A52811" w:rsidRPr="00BA6F23" w:rsidRDefault="00A52811" w:rsidP="003E0099">
      <w:pPr>
        <w:pStyle w:val="BodyText"/>
        <w:rPr>
          <w:szCs w:val="24"/>
          <w:lang w:eastAsia="en-US"/>
        </w:rPr>
      </w:pPr>
      <w:r w:rsidRPr="00BA6F23">
        <w:rPr>
          <w:szCs w:val="24"/>
          <w:lang w:eastAsia="en-US"/>
        </w:rPr>
        <w:t xml:space="preserve">Centre for Gambling Research ANU, </w:t>
      </w:r>
      <w:r w:rsidRPr="00BA6F23">
        <w:rPr>
          <w:i/>
          <w:szCs w:val="24"/>
          <w:lang w:eastAsia="en-US"/>
        </w:rPr>
        <w:t>2014 ACT Gambling Prevalence Study – Summary of Findings</w:t>
      </w:r>
      <w:r w:rsidRPr="00BA6F23">
        <w:rPr>
          <w:szCs w:val="24"/>
          <w:lang w:eastAsia="en-US"/>
        </w:rPr>
        <w:t>, Australian National University, commissioned by ACT Gambling and Racing Commission, Canberra, 2015.</w:t>
      </w:r>
    </w:p>
    <w:p w14:paraId="153B227C" w14:textId="1969D296" w:rsidR="00ED5891" w:rsidRPr="00BA6F23" w:rsidRDefault="00A83D35" w:rsidP="003E0099">
      <w:pPr>
        <w:pStyle w:val="BodyText"/>
        <w:rPr>
          <w:szCs w:val="24"/>
          <w:lang w:eastAsia="en-US"/>
        </w:rPr>
      </w:pPr>
      <w:r w:rsidRPr="00BA6F23">
        <w:rPr>
          <w:szCs w:val="24"/>
          <w:lang w:eastAsia="en-US"/>
        </w:rPr>
        <w:t>Livingstone</w:t>
      </w:r>
      <w:r w:rsidR="00E904F3">
        <w:rPr>
          <w:szCs w:val="24"/>
          <w:lang w:eastAsia="en-US"/>
        </w:rPr>
        <w:t xml:space="preserve"> </w:t>
      </w:r>
      <w:r w:rsidR="00E904F3" w:rsidRPr="00BA6F23">
        <w:rPr>
          <w:szCs w:val="24"/>
          <w:lang w:eastAsia="en-US"/>
        </w:rPr>
        <w:t>C</w:t>
      </w:r>
      <w:r w:rsidRPr="00BA6F23">
        <w:rPr>
          <w:szCs w:val="24"/>
          <w:lang w:eastAsia="en-US"/>
        </w:rPr>
        <w:t xml:space="preserve">, </w:t>
      </w:r>
      <w:r w:rsidRPr="00BA6F23">
        <w:rPr>
          <w:i/>
          <w:szCs w:val="24"/>
          <w:lang w:eastAsia="en-US"/>
        </w:rPr>
        <w:t>A blueprint for preventing and minimising harm from electronic gaming machines in the ACT</w:t>
      </w:r>
      <w:r w:rsidRPr="00BA6F23">
        <w:rPr>
          <w:szCs w:val="24"/>
          <w:lang w:eastAsia="en-US"/>
        </w:rPr>
        <w:t>, Canberra Alliance for Gambling Reform, Gambling &amp; Social Determinants Unit, School of Public Health and Preventive Medicine, Monash University, Melbourne, 2018</w:t>
      </w:r>
      <w:r w:rsidR="00CB33E0" w:rsidRPr="00BA6F23">
        <w:rPr>
          <w:szCs w:val="24"/>
          <w:lang w:eastAsia="en-US"/>
        </w:rPr>
        <w:t>.</w:t>
      </w:r>
    </w:p>
    <w:p w14:paraId="7EC629AE" w14:textId="7AFD9554" w:rsidR="00307D49" w:rsidRPr="00BA6F23" w:rsidRDefault="00307D49" w:rsidP="003E0099">
      <w:pPr>
        <w:pStyle w:val="BodyText"/>
        <w:rPr>
          <w:szCs w:val="24"/>
          <w:lang w:eastAsia="en-US"/>
        </w:rPr>
      </w:pPr>
      <w:r w:rsidRPr="00BA6F23">
        <w:rPr>
          <w:szCs w:val="24"/>
          <w:lang w:eastAsia="en-US"/>
        </w:rPr>
        <w:t>Livingstone</w:t>
      </w:r>
      <w:r w:rsidR="00E904F3">
        <w:rPr>
          <w:szCs w:val="24"/>
          <w:lang w:eastAsia="en-US"/>
        </w:rPr>
        <w:t xml:space="preserve"> </w:t>
      </w:r>
      <w:r w:rsidR="00E904F3" w:rsidRPr="00BA6F23">
        <w:rPr>
          <w:szCs w:val="24"/>
          <w:lang w:eastAsia="en-US"/>
        </w:rPr>
        <w:t>C</w:t>
      </w:r>
      <w:r w:rsidRPr="00BA6F23">
        <w:rPr>
          <w:szCs w:val="24"/>
          <w:lang w:eastAsia="en-US"/>
        </w:rPr>
        <w:t xml:space="preserve">, L Francis, </w:t>
      </w:r>
      <w:r w:rsidR="006469BC">
        <w:rPr>
          <w:szCs w:val="24"/>
          <w:lang w:eastAsia="en-US"/>
        </w:rPr>
        <w:t>&amp;</w:t>
      </w:r>
      <w:r w:rsidRPr="00BA6F23">
        <w:rPr>
          <w:szCs w:val="24"/>
          <w:lang w:eastAsia="en-US"/>
        </w:rPr>
        <w:t xml:space="preserve"> M Johnson, </w:t>
      </w:r>
      <w:r w:rsidRPr="00BA6F23">
        <w:rPr>
          <w:i/>
          <w:szCs w:val="24"/>
          <w:lang w:eastAsia="en-US"/>
        </w:rPr>
        <w:t>Benefits and costs associated with licensed clubs operating poker machines in the ACT</w:t>
      </w:r>
      <w:r w:rsidRPr="00BA6F23">
        <w:rPr>
          <w:szCs w:val="24"/>
          <w:lang w:eastAsia="en-US"/>
        </w:rPr>
        <w:t>, Monash University, commissioned by Foundation for Alcohol Research and Education (FARE), Canberra, 2017.</w:t>
      </w:r>
    </w:p>
    <w:p w14:paraId="43015028" w14:textId="6EBB05E1" w:rsidR="00CB33E0" w:rsidRPr="00BA6F23" w:rsidRDefault="00CB33E0" w:rsidP="003E0099">
      <w:pPr>
        <w:pStyle w:val="BodyText"/>
        <w:rPr>
          <w:szCs w:val="24"/>
          <w:lang w:eastAsia="en-US"/>
        </w:rPr>
      </w:pPr>
      <w:r w:rsidRPr="00BA6F23">
        <w:rPr>
          <w:szCs w:val="24"/>
          <w:lang w:eastAsia="en-US"/>
        </w:rPr>
        <w:t xml:space="preserve">Productivity Commission, </w:t>
      </w:r>
      <w:r w:rsidRPr="00BA6F23">
        <w:rPr>
          <w:i/>
          <w:szCs w:val="24"/>
          <w:lang w:eastAsia="en-US"/>
        </w:rPr>
        <w:t xml:space="preserve">Gambling. Productivity Commission Inquiry Report. Volume </w:t>
      </w:r>
      <w:r w:rsidR="00022E37" w:rsidRPr="00BA6F23">
        <w:rPr>
          <w:i/>
          <w:szCs w:val="24"/>
          <w:lang w:eastAsia="en-US"/>
        </w:rPr>
        <w:t>1,</w:t>
      </w:r>
      <w:r w:rsidR="00307D49" w:rsidRPr="00BA6F23">
        <w:rPr>
          <w:szCs w:val="24"/>
          <w:lang w:eastAsia="en-US"/>
        </w:rPr>
        <w:t xml:space="preserve"> </w:t>
      </w:r>
      <w:r w:rsidRPr="00BA6F23">
        <w:rPr>
          <w:szCs w:val="24"/>
          <w:lang w:eastAsia="en-US"/>
        </w:rPr>
        <w:t>Report no. 50</w:t>
      </w:r>
      <w:r w:rsidR="00307D49" w:rsidRPr="00BA6F23">
        <w:rPr>
          <w:szCs w:val="24"/>
          <w:lang w:eastAsia="en-US"/>
        </w:rPr>
        <w:t>,</w:t>
      </w:r>
      <w:r w:rsidRPr="00BA6F23">
        <w:rPr>
          <w:szCs w:val="24"/>
          <w:lang w:eastAsia="en-US"/>
        </w:rPr>
        <w:t xml:space="preserve"> Productivity Commission, Canberra, 2010.</w:t>
      </w:r>
    </w:p>
    <w:p w14:paraId="17458006" w14:textId="77777777" w:rsidR="00CB33E0" w:rsidRPr="003E0099" w:rsidRDefault="00CB33E0" w:rsidP="003E0099">
      <w:pPr>
        <w:pStyle w:val="BodyText"/>
        <w:rPr>
          <w:lang w:eastAsia="en-US"/>
        </w:rPr>
      </w:pPr>
    </w:p>
    <w:p w14:paraId="4AE48E37" w14:textId="77777777" w:rsidR="007B0FE5" w:rsidRPr="007B0FE5" w:rsidRDefault="007B0FE5" w:rsidP="00155172">
      <w:pPr>
        <w:pStyle w:val="Heading1"/>
        <w:rPr>
          <w:lang w:eastAsia="en-US"/>
        </w:rPr>
      </w:pPr>
      <w:r w:rsidRPr="007B0FE5">
        <w:rPr>
          <w:lang w:eastAsia="en-US"/>
        </w:rPr>
        <w:t xml:space="preserve">Connect </w:t>
      </w:r>
    </w:p>
    <w:p w14:paraId="3D30BBE8" w14:textId="77777777" w:rsidR="007B0FE5" w:rsidRPr="007B0FE5" w:rsidRDefault="007B0FE5" w:rsidP="007B0F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rPr>
          <w:rFonts w:eastAsia="Calibri"/>
          <w:noProof/>
          <w:sz w:val="21"/>
          <w:lang w:eastAsia="en-AU"/>
        </w:rPr>
      </w:pPr>
      <w:r w:rsidRPr="007B0FE5">
        <w:rPr>
          <w:sz w:val="21"/>
        </w:rPr>
        <w:t xml:space="preserve">ACTCOSS website: </w:t>
      </w:r>
      <w:hyperlink r:id="rId13" w:history="1">
        <w:r w:rsidRPr="007B0FE5">
          <w:rPr>
            <w:rFonts w:eastAsia="Calibri"/>
            <w:noProof/>
            <w:color w:val="0000FF"/>
            <w:sz w:val="21"/>
            <w:u w:val="single"/>
            <w:lang w:eastAsia="en-AU"/>
          </w:rPr>
          <w:t>www.actcoss.org.au</w:t>
        </w:r>
      </w:hyperlink>
      <w:r w:rsidRPr="007B0FE5">
        <w:rPr>
          <w:rFonts w:eastAsia="Calibri"/>
          <w:noProof/>
          <w:sz w:val="21"/>
          <w:lang w:eastAsia="en-AU"/>
        </w:rPr>
        <w:t xml:space="preserve"> | Twitter: </w:t>
      </w:r>
      <w:hyperlink r:id="rId14" w:history="1">
        <w:r w:rsidRPr="007B0FE5">
          <w:rPr>
            <w:rFonts w:eastAsia="Calibri"/>
            <w:noProof/>
            <w:color w:val="0000FF"/>
            <w:sz w:val="21"/>
            <w:u w:val="single"/>
            <w:lang w:eastAsia="en-AU"/>
          </w:rPr>
          <w:t>@ACTCOSS</w:t>
        </w:r>
      </w:hyperlink>
      <w:r w:rsidRPr="007B0FE5">
        <w:rPr>
          <w:rFonts w:eastAsia="Calibri"/>
          <w:noProof/>
          <w:sz w:val="21"/>
          <w:lang w:eastAsia="en-AU"/>
        </w:rPr>
        <w:t xml:space="preserve"> </w:t>
      </w:r>
    </w:p>
    <w:p w14:paraId="11A58AA7" w14:textId="6174FAA5" w:rsidR="007B0FE5" w:rsidRPr="007B0FE5" w:rsidRDefault="007B0FE5" w:rsidP="007B0F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rPr>
          <w:rFonts w:eastAsia="Calibri"/>
          <w:noProof/>
          <w:sz w:val="21"/>
          <w:lang w:eastAsia="en-AU"/>
        </w:rPr>
      </w:pPr>
      <w:r w:rsidRPr="007B0FE5">
        <w:rPr>
          <w:rFonts w:eastAsia="Calibri"/>
          <w:noProof/>
          <w:sz w:val="21"/>
          <w:lang w:eastAsia="en-AU"/>
        </w:rPr>
        <w:t>Canberra Gambling Reform Alliance</w:t>
      </w:r>
      <w:r w:rsidR="00612556">
        <w:rPr>
          <w:rFonts w:eastAsia="Calibri"/>
          <w:noProof/>
          <w:sz w:val="21"/>
          <w:lang w:eastAsia="en-AU"/>
        </w:rPr>
        <w:t xml:space="preserve">: </w:t>
      </w:r>
      <w:hyperlink r:id="rId15" w:history="1">
        <w:r w:rsidR="00250A93" w:rsidRPr="00DE651C">
          <w:rPr>
            <w:rStyle w:val="Hyperlink"/>
            <w:rFonts w:eastAsia="Calibri"/>
            <w:noProof/>
            <w:sz w:val="21"/>
            <w:lang w:eastAsia="en-AU"/>
          </w:rPr>
          <w:t>www.facebook.com/CanberraGamblingReformAlliance</w:t>
        </w:r>
      </w:hyperlink>
      <w:r w:rsidR="00250A93">
        <w:rPr>
          <w:rFonts w:eastAsia="Calibri"/>
          <w:noProof/>
          <w:sz w:val="21"/>
          <w:lang w:eastAsia="en-AU"/>
        </w:rPr>
        <w:t xml:space="preserve"> </w:t>
      </w:r>
      <w:r w:rsidRPr="007B0FE5">
        <w:rPr>
          <w:rFonts w:eastAsia="Calibri"/>
          <w:noProof/>
          <w:sz w:val="21"/>
          <w:lang w:eastAsia="en-AU"/>
        </w:rPr>
        <w:t xml:space="preserve"> </w:t>
      </w:r>
    </w:p>
    <w:p w14:paraId="51070538" w14:textId="77777777" w:rsidR="001E0977" w:rsidRDefault="001E0977" w:rsidP="001E0977">
      <w:pPr>
        <w:pStyle w:val="BodyText"/>
      </w:pPr>
    </w:p>
    <w:p w14:paraId="51070539" w14:textId="1845846E" w:rsidR="001E0977" w:rsidRDefault="00022E37" w:rsidP="001E0977">
      <w:pPr>
        <w:pStyle w:val="Contactdetails"/>
      </w:pPr>
      <w:r>
        <w:rPr>
          <w:noProof/>
          <w:lang w:eastAsia="en-AU"/>
        </w:rPr>
        <mc:AlternateContent>
          <mc:Choice Requires="wps">
            <w:drawing>
              <wp:anchor distT="0" distB="0" distL="114300" distR="114300" simplePos="0" relativeHeight="251657728" behindDoc="0" locked="0" layoutInCell="1" allowOverlap="1" wp14:anchorId="5107053F" wp14:editId="7DE6BF4A">
                <wp:simplePos x="0" y="0"/>
                <wp:positionH relativeFrom="column">
                  <wp:posOffset>-514350</wp:posOffset>
                </wp:positionH>
                <wp:positionV relativeFrom="paragraph">
                  <wp:posOffset>68580</wp:posOffset>
                </wp:positionV>
                <wp:extent cx="6490970" cy="0"/>
                <wp:effectExtent l="13335" t="12065" r="10795" b="6985"/>
                <wp:wrapNone/>
                <wp:docPr id="1" name="Straight Connector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D25773">
              <v:line id="Straight Connector 329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40.5pt,5.4pt" to="470.6pt,5.4pt" w14:anchorId="0A0AB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V/IAIAADkEAAAOAAAAZHJzL2Uyb0RvYy54bWysU8GO2jAQvVfqP1i5QxIILESEVZVAL9su&#10;EtsPMLaTWHVsyzYEVPXfOzYEse2lqqpIztgz8/zmzXj1fO4EOjFjuZJFlI6TCDFJFOWyKaJvb9vR&#10;IkLWYUmxUJIV0YXZ6Hn98cOq1zmbqFYJygwCEGnzXhdR65zO49iSlnXYjpVmEpy1Mh12sDVNTA3u&#10;Ab0T8SRJ5nGvDNVGEWYtnFZXZ7QO+HXNiHuta8scEkUE3FxYTVgPfo3XK5w3BuuWkxsN/A8sOswl&#10;XHqHqrDD6Gj4H1AdJ0ZZVbsxUV2s6poTFmqAatLkt2r2LdYs1ALiWH2Xyf4/WPL1tDOIU+hdhCTu&#10;oEV7ZzBvWodKJSUIqAyaTpZTL1WvbQ4ZpdwZXyw5y71+UeS7RVKVLZYNC5TfLhpwUp8Rv0vxG6vh&#10;wkP/RVGIwUengm7n2nQeEhRB59Cey7097OwQgcN5tkyWT9BFMvhinA+J2lj3makOeaOIBJdeOZzj&#10;04t1ngjOhxB/LNWWCxG6LyTqi2g5m8xCglWCU+/0YdY0h1IYdMIwP4vEf6Eq8DyGGXWUNIC1DNPN&#10;zXaYi6sNlwvp8aAUoHOzrgPyA4raLDaLbJRN5ptRllTV6NO2zEbzbfo0q6ZVWVbpT08tzfKWU8qk&#10;ZzcMa5r93TDcns11zO7jepchfo8e9AKywz+QDr307bsOwkHRy84MPYb5DMG3t+QfwOMe7McXv/4F&#10;AAD//wMAUEsDBBQABgAIAAAAIQC6nEdR3gAAAAkBAAAPAAAAZHJzL2Rvd25yZXYueG1sTI9BS8NA&#10;EIXvgv9hGcFbu5siWmM2JRQKgoK2Kl632TGJ7s6G7LZJ/70jHvQ47z3evK9YTd6JIw6xC6QhmysQ&#10;SHWwHTUaXl82syWImAxZ4wKhhhNGWJXnZ4XJbRhpi8ddagSXUMyNhjalPpcy1i16E+ehR2LvIwze&#10;JD6HRtrBjFzunVwodS296Yg/tKbHdYv11+7gNbint8etqcaHim7u39XntN7Q80nry4upugORcEp/&#10;YfiZz9Oh5E37cCAbhdMwW2bMkthQjMCB26tsAWL/K8iykP8Jym8AAAD//wMAUEsBAi0AFAAGAAgA&#10;AAAhALaDOJL+AAAA4QEAABMAAAAAAAAAAAAAAAAAAAAAAFtDb250ZW50X1R5cGVzXS54bWxQSwEC&#10;LQAUAAYACAAAACEAOP0h/9YAAACUAQAACwAAAAAAAAAAAAAAAAAvAQAAX3JlbHMvLnJlbHNQSwEC&#10;LQAUAAYACAAAACEA3CwVfyACAAA5BAAADgAAAAAAAAAAAAAAAAAuAgAAZHJzL2Uyb0RvYy54bWxQ&#10;SwECLQAUAAYACAAAACEAupxHUd4AAAAJAQAADwAAAAAAAAAAAAAAAAB6BAAAZHJzL2Rvd25yZXYu&#10;eG1sUEsFBgAAAAAEAAQA8wAAAIUFAAAAAA==&#10;"/>
            </w:pict>
          </mc:Fallback>
        </mc:AlternateContent>
      </w:r>
    </w:p>
    <w:p w14:paraId="5107053A" w14:textId="77777777" w:rsidR="001E0977" w:rsidRDefault="001E0977" w:rsidP="001E0977">
      <w:pPr>
        <w:pStyle w:val="Contactdetails"/>
      </w:pPr>
      <w:r>
        <w:t xml:space="preserve">ACT Council of Social Service Inc. </w:t>
      </w:r>
      <w:proofErr w:type="gramStart"/>
      <w:r>
        <w:t>|  Weston</w:t>
      </w:r>
      <w:proofErr w:type="gramEnd"/>
      <w:r>
        <w:t xml:space="preserve"> Community Hub, 1/6 </w:t>
      </w:r>
      <w:proofErr w:type="spellStart"/>
      <w:r>
        <w:t>Gritten</w:t>
      </w:r>
      <w:proofErr w:type="spellEnd"/>
      <w:r>
        <w:t xml:space="preserve"> St, Weston ACT 2611</w:t>
      </w:r>
      <w:r>
        <w:br/>
        <w:t>Ph: 02 6202 7200  |  actcoss@actcoss.org.au  |  www.actcoss.org.au</w:t>
      </w:r>
    </w:p>
    <w:p w14:paraId="5107053B" w14:textId="77777777" w:rsidR="001E0977" w:rsidRDefault="001E0977" w:rsidP="001E0977">
      <w:pPr>
        <w:pStyle w:val="Contactdetails"/>
      </w:pPr>
    </w:p>
    <w:p w14:paraId="5107053C" w14:textId="77777777" w:rsidR="001E0977" w:rsidRPr="001E0977" w:rsidRDefault="001E0977" w:rsidP="001E0977">
      <w:pPr>
        <w:pStyle w:val="Contactdetails"/>
      </w:pPr>
      <w:r>
        <w:t>ACTCOSS is committed to reconciliation, acknowledges the traditional custodians of the land and pays respect to elders past and present.</w:t>
      </w:r>
    </w:p>
    <w:sectPr w:rsidR="001E0977" w:rsidRPr="001E0977" w:rsidSect="001E0977">
      <w:footerReference w:type="even" r:id="rId16"/>
      <w:footerReference w:type="default" r:id="rId17"/>
      <w:footerReference w:type="first" r:id="rId18"/>
      <w:endnotePr>
        <w:numFmt w:val="decimal"/>
      </w:endnotePr>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33FB" w14:textId="77777777" w:rsidR="004A2660" w:rsidRDefault="004A2660">
      <w:r>
        <w:separator/>
      </w:r>
    </w:p>
    <w:p w14:paraId="6D9A1D1E" w14:textId="77777777" w:rsidR="004A2660" w:rsidRDefault="004A2660"/>
  </w:endnote>
  <w:endnote w:type="continuationSeparator" w:id="0">
    <w:p w14:paraId="7CE71648" w14:textId="77777777" w:rsidR="004A2660" w:rsidRDefault="004A2660">
      <w:r>
        <w:continuationSeparator/>
      </w:r>
    </w:p>
    <w:p w14:paraId="484EC5BC" w14:textId="77777777" w:rsidR="004A2660" w:rsidRDefault="004A2660"/>
  </w:endnote>
  <w:endnote w:id="1">
    <w:p w14:paraId="664D2D18" w14:textId="6CB871B8" w:rsidR="00395A02" w:rsidRDefault="00395A02">
      <w:pPr>
        <w:pStyle w:val="EndnoteText"/>
      </w:pPr>
      <w:bookmarkStart w:id="1" w:name="_Hlk525904909"/>
      <w:bookmarkEnd w:id="1"/>
      <w:r w:rsidRPr="00545D2F">
        <w:endnoteRef/>
      </w:r>
      <w:r w:rsidRPr="00545D2F">
        <w:t xml:space="preserve"> </w:t>
      </w:r>
      <w:r w:rsidR="00332082">
        <w:tab/>
      </w:r>
      <w:r w:rsidR="008A6AED">
        <w:t>Victorian Responsible Gambling Foundation</w:t>
      </w:r>
      <w:r w:rsidR="008C46E3">
        <w:t xml:space="preserve"> website</w:t>
      </w:r>
      <w:r w:rsidR="008A6AED">
        <w:t xml:space="preserve">, </w:t>
      </w:r>
      <w:r w:rsidR="008A6AED">
        <w:rPr>
          <w:i/>
          <w:iCs/>
        </w:rPr>
        <w:t>Glossary</w:t>
      </w:r>
      <w:r w:rsidR="008A6AED">
        <w:t>, viewed 8 October 2018,</w:t>
      </w:r>
      <w:r w:rsidR="008C46E3">
        <w:t xml:space="preserve"> &lt;</w:t>
      </w:r>
      <w:hyperlink r:id="rId1" w:history="1">
        <w:r w:rsidR="00994062" w:rsidRPr="00DE651C">
          <w:rPr>
            <w:rStyle w:val="Hyperlink"/>
          </w:rPr>
          <w:t>https://responsiblegambling.vic.gov.au/resources/glossary/</w:t>
        </w:r>
      </w:hyperlink>
      <w:r w:rsidR="006E2A25">
        <w:t>&gt;.</w:t>
      </w:r>
    </w:p>
  </w:endnote>
  <w:endnote w:id="2">
    <w:p w14:paraId="094F5788" w14:textId="7AEF90E8" w:rsidR="00CC29BB" w:rsidRDefault="00CC29BB" w:rsidP="00CC29BB">
      <w:pPr>
        <w:pStyle w:val="EndnoteText"/>
      </w:pPr>
      <w:r w:rsidRPr="00332082">
        <w:endnoteRef/>
      </w:r>
      <w:r w:rsidRPr="00332082">
        <w:t xml:space="preserve"> </w:t>
      </w:r>
      <w:r w:rsidR="00332082">
        <w:tab/>
      </w:r>
      <w:r>
        <w:t xml:space="preserve">Queensland Government Statistician's Office, Queensland Treasury, </w:t>
      </w:r>
      <w:r>
        <w:rPr>
          <w:i/>
        </w:rPr>
        <w:t>Australian Gambling Statistics 199</w:t>
      </w:r>
      <w:r w:rsidR="009B7CFA">
        <w:rPr>
          <w:i/>
        </w:rPr>
        <w:t>1</w:t>
      </w:r>
      <w:r>
        <w:rPr>
          <w:i/>
        </w:rPr>
        <w:t>-92 to 2016-17, 34th edition, State Tables,</w:t>
      </w:r>
      <w:r>
        <w:t xml:space="preserve"> Queensland Government Statistician's Office, Queensland Treasury, Brisbane, 2017, Table ACT 50 p.424 &amp; Table ACT 5</w:t>
      </w:r>
      <w:r w:rsidR="00022E37">
        <w:t>2</w:t>
      </w:r>
      <w:r>
        <w:t xml:space="preserve"> p.426, viewed 8 October 2018, &lt;</w:t>
      </w:r>
      <w:r w:rsidR="00BB17A2" w:rsidRPr="00BB17A2">
        <w:rPr>
          <w:rStyle w:val="Hyperlink"/>
        </w:rPr>
        <w:t>http://www.qgso.qld.gov.au/products/reports/aus-gambling-stats/aus-gambling-stats-34th-edn-state-tables.pdf</w:t>
      </w:r>
      <w:r>
        <w:t>&gt;.</w:t>
      </w:r>
    </w:p>
  </w:endnote>
  <w:endnote w:id="3">
    <w:p w14:paraId="2448205A" w14:textId="5397183B" w:rsidR="007B0FE5" w:rsidRDefault="007B0FE5" w:rsidP="007B0FE5">
      <w:pPr>
        <w:pStyle w:val="EndnoteText"/>
      </w:pPr>
      <w:r w:rsidRPr="00332082">
        <w:endnoteRef/>
      </w:r>
      <w:r w:rsidRPr="00332082">
        <w:t xml:space="preserve"> </w:t>
      </w:r>
      <w:r w:rsidR="00332082">
        <w:tab/>
      </w:r>
      <w:r>
        <w:t xml:space="preserve">ACT Government, </w:t>
      </w:r>
      <w:r w:rsidR="00DE6195" w:rsidRPr="00DE6195">
        <w:rPr>
          <w:i/>
        </w:rPr>
        <w:t xml:space="preserve">Australian Capital Territory </w:t>
      </w:r>
      <w:r w:rsidRPr="00DE6195">
        <w:rPr>
          <w:i/>
        </w:rPr>
        <w:t>Budget 2018-19, Budget Paper 3: Budget Outlook</w:t>
      </w:r>
      <w:r>
        <w:t xml:space="preserve">, </w:t>
      </w:r>
      <w:r w:rsidR="009B7CFA">
        <w:t xml:space="preserve">Chief </w:t>
      </w:r>
      <w:r w:rsidR="0031519E">
        <w:t>Minister,</w:t>
      </w:r>
      <w:r w:rsidR="0031519E" w:rsidRPr="00377AB6">
        <w:t xml:space="preserve"> Treasury</w:t>
      </w:r>
      <w:r w:rsidRPr="00377AB6">
        <w:t xml:space="preserve"> and E</w:t>
      </w:r>
      <w:r>
        <w:t xml:space="preserve">conomic Development Directorate, Canberra, 2018, p.239 , viewed 24 September 2018, </w:t>
      </w:r>
      <w:r w:rsidR="003B51F2">
        <w:t>&lt;</w:t>
      </w:r>
      <w:hyperlink r:id="rId2" w:history="1">
        <w:r w:rsidR="003B51F2" w:rsidRPr="00475C6C">
          <w:rPr>
            <w:rStyle w:val="Hyperlink"/>
          </w:rPr>
          <w:t>https://apps.treasury.act.gov.au/__data/assets/pdf_file/0007/1206817/Budget-Paper-3-Budget-Outlook-2018-19.pdf</w:t>
        </w:r>
      </w:hyperlink>
      <w:r w:rsidR="003B51F2" w:rsidRPr="00994062">
        <w:t>&gt;.</w:t>
      </w:r>
    </w:p>
  </w:endnote>
  <w:endnote w:id="4">
    <w:p w14:paraId="400A3ABF" w14:textId="66896453" w:rsidR="0020724A" w:rsidRDefault="0020724A" w:rsidP="0020724A">
      <w:pPr>
        <w:pStyle w:val="EndnoteText"/>
      </w:pPr>
      <w:r w:rsidRPr="00332082">
        <w:endnoteRef/>
      </w:r>
      <w:r w:rsidRPr="00332082">
        <w:t xml:space="preserve"> </w:t>
      </w:r>
      <w:r w:rsidR="00332082">
        <w:tab/>
      </w:r>
      <w:r>
        <w:t xml:space="preserve">Productivity Commission, </w:t>
      </w:r>
      <w:r>
        <w:rPr>
          <w:i/>
        </w:rPr>
        <w:t>Gambling. Productivity Commission Inquiry Report. Volume 1.</w:t>
      </w:r>
      <w:r w:rsidR="00AF66D8" w:rsidRPr="00AF66D8">
        <w:t>,</w:t>
      </w:r>
      <w:r w:rsidRPr="00AF66D8">
        <w:t xml:space="preserve"> </w:t>
      </w:r>
      <w:r>
        <w:t>Report no. 50</w:t>
      </w:r>
      <w:r w:rsidR="00AF66D8">
        <w:t>,</w:t>
      </w:r>
      <w:r>
        <w:t xml:space="preserve"> Productivity Commission, Canberra, 2010, p.48 &amp; p.6.34 , viewed 22 August 2018, &lt;</w:t>
      </w:r>
      <w:hyperlink r:id="rId3" w:history="1">
        <w:r w:rsidRPr="001C634F">
          <w:rPr>
            <w:rStyle w:val="Hyperlink"/>
          </w:rPr>
          <w:t>https://www.pc.gov.au/inquiries/completed/gambling-2010/report/gambling-report-volume1.pdf</w:t>
        </w:r>
      </w:hyperlink>
      <w:r>
        <w:rPr>
          <w:rStyle w:val="Hyperlink"/>
          <w:color w:val="auto"/>
          <w:u w:val="none"/>
        </w:rPr>
        <w:t>&gt;</w:t>
      </w:r>
      <w:r w:rsidR="00BA6F23">
        <w:rPr>
          <w:rStyle w:val="Hyperlink"/>
          <w:color w:val="auto"/>
          <w:u w:val="none"/>
        </w:rPr>
        <w:t>.</w:t>
      </w:r>
      <w:r>
        <w:rPr>
          <w:rStyle w:val="Hyperlink"/>
          <w:color w:val="auto"/>
          <w:u w:val="none"/>
        </w:rPr>
        <w:t xml:space="preserve"> </w:t>
      </w:r>
    </w:p>
  </w:endnote>
  <w:endnote w:id="5">
    <w:p w14:paraId="4399BCB3" w14:textId="3FDABCA3" w:rsidR="007B0FE5" w:rsidRDefault="007B0FE5" w:rsidP="007B0FE5">
      <w:pPr>
        <w:pStyle w:val="EndnoteText"/>
      </w:pPr>
      <w:r w:rsidRPr="00332082">
        <w:endnoteRef/>
      </w:r>
      <w:r w:rsidRPr="00332082">
        <w:t xml:space="preserve"> </w:t>
      </w:r>
      <w:r w:rsidR="00332082">
        <w:tab/>
      </w:r>
      <w:r w:rsidR="00367E77" w:rsidRPr="00367E77">
        <w:t xml:space="preserve">C Livingstone, </w:t>
      </w:r>
      <w:r w:rsidR="00367E77" w:rsidRPr="00367E77">
        <w:rPr>
          <w:i/>
        </w:rPr>
        <w:t>A blueprint for preventing and minimising harm from electronic gaming machines in the ACT</w:t>
      </w:r>
      <w:r w:rsidR="00367E77" w:rsidRPr="00367E77">
        <w:t>, Canberra Alliance for Gambling Reform, Gambling &amp; Social Determinants Unit, School of Public Health and Preventive Medicine, Monash University, Melbourne, 2018,</w:t>
      </w:r>
      <w:r w:rsidRPr="00E85553">
        <w:rPr>
          <w:szCs w:val="16"/>
        </w:rPr>
        <w:t xml:space="preserve"> p.</w:t>
      </w:r>
      <w:r>
        <w:rPr>
          <w:szCs w:val="16"/>
        </w:rPr>
        <w:t>5</w:t>
      </w:r>
      <w:r w:rsidR="00666450">
        <w:rPr>
          <w:szCs w:val="16"/>
        </w:rPr>
        <w:t>, viewed 8 October 2018, &lt;</w:t>
      </w:r>
      <w:hyperlink r:id="rId4" w:history="1">
        <w:r w:rsidR="00666450" w:rsidRPr="00E26C3E">
          <w:rPr>
            <w:rStyle w:val="Hyperlink"/>
            <w:szCs w:val="16"/>
          </w:rPr>
          <w:t>https://www.anglicare.com.au/wp-content/uploads/2018/10/A-blueprint-for-preventing-and-minimising-harm-from-EGMs-in-the-ACT-Final-2Oct2018128288.pdf</w:t>
        </w:r>
      </w:hyperlink>
      <w:r w:rsidR="00666450">
        <w:rPr>
          <w:szCs w:val="16"/>
        </w:rPr>
        <w:t>&gt;.</w:t>
      </w:r>
    </w:p>
  </w:endnote>
  <w:endnote w:id="6">
    <w:p w14:paraId="7BE907D9" w14:textId="4583960D" w:rsidR="007B0FE5" w:rsidRDefault="007B0FE5" w:rsidP="007B0FE5">
      <w:pPr>
        <w:pStyle w:val="EndnoteText"/>
      </w:pPr>
      <w:r w:rsidRPr="00332082">
        <w:endnoteRef/>
      </w:r>
      <w:r w:rsidRPr="00332082">
        <w:t xml:space="preserve"> </w:t>
      </w:r>
      <w:r w:rsidR="00332082">
        <w:tab/>
      </w:r>
      <w:r w:rsidRPr="00FE19C0">
        <w:rPr>
          <w:szCs w:val="16"/>
        </w:rPr>
        <w:t xml:space="preserve">ACT Audit Office, </w:t>
      </w:r>
      <w:r w:rsidRPr="00FE19C0">
        <w:rPr>
          <w:i/>
          <w:szCs w:val="16"/>
        </w:rPr>
        <w:t>ACT Auditor–General’s Report</w:t>
      </w:r>
      <w:r>
        <w:rPr>
          <w:i/>
          <w:szCs w:val="16"/>
        </w:rPr>
        <w:t>:</w:t>
      </w:r>
      <w:r w:rsidRPr="00FE19C0">
        <w:rPr>
          <w:i/>
          <w:szCs w:val="16"/>
        </w:rPr>
        <w:t xml:space="preserve"> A</w:t>
      </w:r>
      <w:r>
        <w:rPr>
          <w:i/>
          <w:szCs w:val="16"/>
        </w:rPr>
        <w:t>CT</w:t>
      </w:r>
      <w:r w:rsidRPr="00FE19C0">
        <w:rPr>
          <w:i/>
          <w:szCs w:val="16"/>
        </w:rPr>
        <w:t xml:space="preserve"> Clubs’ Community Contributions</w:t>
      </w:r>
      <w:r>
        <w:rPr>
          <w:i/>
          <w:szCs w:val="16"/>
        </w:rPr>
        <w:t>,</w:t>
      </w:r>
      <w:r w:rsidRPr="00FE19C0">
        <w:rPr>
          <w:szCs w:val="16"/>
        </w:rPr>
        <w:t xml:space="preserve"> Report No. 5</w:t>
      </w:r>
      <w:r>
        <w:rPr>
          <w:szCs w:val="16"/>
        </w:rPr>
        <w:t>,</w:t>
      </w:r>
      <w:r w:rsidRPr="00FE19C0">
        <w:rPr>
          <w:szCs w:val="16"/>
        </w:rPr>
        <w:t xml:space="preserve"> Publishing Services, Shared Services, Chief Minister, Treasury and Economic Development Directorate, ACT Government</w:t>
      </w:r>
      <w:r>
        <w:rPr>
          <w:szCs w:val="16"/>
        </w:rPr>
        <w:t>,</w:t>
      </w:r>
      <w:r w:rsidRPr="00FE19C0">
        <w:rPr>
          <w:szCs w:val="16"/>
        </w:rPr>
        <w:t xml:space="preserve"> </w:t>
      </w:r>
      <w:r w:rsidR="00307D49">
        <w:rPr>
          <w:szCs w:val="16"/>
        </w:rPr>
        <w:t xml:space="preserve">Canberra, </w:t>
      </w:r>
      <w:r w:rsidRPr="00FE19C0">
        <w:rPr>
          <w:szCs w:val="16"/>
        </w:rPr>
        <w:t>2018, p.1</w:t>
      </w:r>
      <w:r>
        <w:rPr>
          <w:szCs w:val="16"/>
        </w:rPr>
        <w:t>,</w:t>
      </w:r>
      <w:r w:rsidRPr="00FE19C0">
        <w:rPr>
          <w:szCs w:val="16"/>
        </w:rPr>
        <w:t xml:space="preserve"> </w:t>
      </w:r>
      <w:r w:rsidR="00066C28">
        <w:rPr>
          <w:szCs w:val="16"/>
        </w:rPr>
        <w:t xml:space="preserve">viewed 8 October 2018, </w:t>
      </w:r>
      <w:r w:rsidRPr="00FE19C0">
        <w:rPr>
          <w:szCs w:val="16"/>
        </w:rPr>
        <w:t>&lt;</w:t>
      </w:r>
      <w:hyperlink r:id="rId5" w:history="1">
        <w:r w:rsidRPr="000C44C7">
          <w:rPr>
            <w:rStyle w:val="Hyperlink"/>
            <w:szCs w:val="16"/>
          </w:rPr>
          <w:t>http://www.audit.act.gov.au/__data/assets/pdf_file/0003/1193610/Report-No-5-of-2018-ACT-clubs-community-contributions.pdf</w:t>
        </w:r>
      </w:hyperlink>
      <w:r w:rsidRPr="00FE19C0">
        <w:rPr>
          <w:szCs w:val="16"/>
        </w:rPr>
        <w:t>&gt;</w:t>
      </w:r>
      <w:r>
        <w:rPr>
          <w:szCs w:val="16"/>
        </w:rPr>
        <w:t>.</w:t>
      </w:r>
    </w:p>
  </w:endnote>
  <w:endnote w:id="7">
    <w:p w14:paraId="35DF1475" w14:textId="64204C95" w:rsidR="007B0FE5" w:rsidRPr="00FE19C0" w:rsidRDefault="007B0FE5" w:rsidP="007B0FE5">
      <w:pPr>
        <w:pStyle w:val="EndnoteText"/>
        <w:rPr>
          <w:szCs w:val="16"/>
        </w:rPr>
      </w:pPr>
      <w:r w:rsidRPr="00332082">
        <w:endnoteRef/>
      </w:r>
      <w:r w:rsidRPr="000C43C4">
        <w:rPr>
          <w:rStyle w:val="EndnoteReference"/>
        </w:rPr>
        <w:t xml:space="preserve"> </w:t>
      </w:r>
      <w:r w:rsidR="00332082">
        <w:tab/>
      </w:r>
      <w:r>
        <w:rPr>
          <w:szCs w:val="16"/>
        </w:rPr>
        <w:t>i</w:t>
      </w:r>
      <w:r w:rsidRPr="00FE19C0">
        <w:rPr>
          <w:szCs w:val="16"/>
        </w:rPr>
        <w:t>bid</w:t>
      </w:r>
      <w:r>
        <w:rPr>
          <w:szCs w:val="16"/>
        </w:rPr>
        <w:t>.</w:t>
      </w:r>
    </w:p>
  </w:endnote>
  <w:endnote w:id="8">
    <w:p w14:paraId="4A209376" w14:textId="4626E47E" w:rsidR="007B0FE5" w:rsidRPr="00FE19C0" w:rsidRDefault="007B0FE5" w:rsidP="007B0FE5">
      <w:pPr>
        <w:pStyle w:val="EndnoteText"/>
        <w:rPr>
          <w:szCs w:val="16"/>
        </w:rPr>
      </w:pPr>
      <w:r w:rsidRPr="00332082">
        <w:endnoteRef/>
      </w:r>
      <w:r w:rsidRPr="00332082">
        <w:t xml:space="preserve"> </w:t>
      </w:r>
      <w:r w:rsidR="00332082">
        <w:tab/>
      </w:r>
      <w:r>
        <w:t xml:space="preserve">C </w:t>
      </w:r>
      <w:r w:rsidRPr="00E85553">
        <w:rPr>
          <w:szCs w:val="16"/>
        </w:rPr>
        <w:t xml:space="preserve">Livingstone, </w:t>
      </w:r>
      <w:r w:rsidRPr="00E85553">
        <w:rPr>
          <w:i/>
          <w:szCs w:val="16"/>
        </w:rPr>
        <w:t xml:space="preserve">A blueprint for </w:t>
      </w:r>
      <w:r w:rsidR="00883B75">
        <w:rPr>
          <w:i/>
          <w:szCs w:val="16"/>
        </w:rPr>
        <w:t>preventing and minimising harm from electronic gaming machines in the ACT</w:t>
      </w:r>
      <w:r w:rsidRPr="00AA0019">
        <w:t>,</w:t>
      </w:r>
      <w:r w:rsidR="00EC29C5">
        <w:t xml:space="preserve"> Canberra Alliance for Gambling Reform, </w:t>
      </w:r>
      <w:r w:rsidRPr="00E85553">
        <w:rPr>
          <w:szCs w:val="16"/>
        </w:rPr>
        <w:t xml:space="preserve">Gambling &amp; Social Determinants Unit, School of Public Health and Preventive Medicine, Monash University, </w:t>
      </w:r>
      <w:r w:rsidR="00EC29C5">
        <w:rPr>
          <w:szCs w:val="16"/>
        </w:rPr>
        <w:t xml:space="preserve">Melbourne, </w:t>
      </w:r>
      <w:r w:rsidRPr="00E85553">
        <w:rPr>
          <w:szCs w:val="16"/>
        </w:rPr>
        <w:t>2018</w:t>
      </w:r>
      <w:r>
        <w:rPr>
          <w:szCs w:val="16"/>
        </w:rPr>
        <w:t>,</w:t>
      </w:r>
      <w:r w:rsidRPr="00E85553">
        <w:rPr>
          <w:szCs w:val="16"/>
        </w:rPr>
        <w:t xml:space="preserve"> p</w:t>
      </w:r>
      <w:r>
        <w:rPr>
          <w:szCs w:val="16"/>
        </w:rPr>
        <w:t>p</w:t>
      </w:r>
      <w:r w:rsidRPr="00E85553">
        <w:rPr>
          <w:szCs w:val="16"/>
        </w:rPr>
        <w:t>.</w:t>
      </w:r>
      <w:r>
        <w:rPr>
          <w:szCs w:val="16"/>
        </w:rPr>
        <w:t>5</w:t>
      </w:r>
      <w:r w:rsidR="00D96BEF">
        <w:rPr>
          <w:szCs w:val="16"/>
        </w:rPr>
        <w:t>-</w:t>
      </w:r>
      <w:r>
        <w:rPr>
          <w:szCs w:val="16"/>
        </w:rPr>
        <w:t>1</w:t>
      </w:r>
      <w:r w:rsidR="00047CBC">
        <w:rPr>
          <w:szCs w:val="16"/>
        </w:rPr>
        <w:t>1</w:t>
      </w:r>
      <w:r w:rsidR="00916AB8">
        <w:rPr>
          <w:szCs w:val="16"/>
        </w:rPr>
        <w:t>, viewed 8 October 2018, &lt;</w:t>
      </w:r>
      <w:hyperlink r:id="rId6" w:history="1">
        <w:r w:rsidR="00883B75" w:rsidRPr="00E26C3E">
          <w:rPr>
            <w:rStyle w:val="Hyperlink"/>
            <w:szCs w:val="16"/>
          </w:rPr>
          <w:t>https://www.anglicare.com.au/wp-content/uploads/2018/10/A-blueprint-for-preventing-and-minimising-harm-from-EGMs-in-the-ACT-Final-2Oct2018128288.pdf</w:t>
        </w:r>
      </w:hyperlink>
      <w:r w:rsidR="00883B75">
        <w:rPr>
          <w:szCs w:val="16"/>
        </w:rPr>
        <w:t xml:space="preserve">&gt;. </w:t>
      </w:r>
    </w:p>
  </w:endnote>
  <w:endnote w:id="9">
    <w:p w14:paraId="5EC5F03B" w14:textId="5D1892FC" w:rsidR="007B0FE5" w:rsidRPr="00FE19C0" w:rsidRDefault="007B0FE5" w:rsidP="007B0FE5">
      <w:pPr>
        <w:pStyle w:val="EndnoteText"/>
        <w:rPr>
          <w:szCs w:val="16"/>
        </w:rPr>
      </w:pPr>
      <w:r w:rsidRPr="00332082">
        <w:endnoteRef/>
      </w:r>
      <w:r w:rsidRPr="00332082">
        <w:t xml:space="preserve"> </w:t>
      </w:r>
      <w:r w:rsidR="00332082">
        <w:tab/>
      </w:r>
      <w:r w:rsidR="00F62B3A" w:rsidRPr="00F62B3A">
        <w:rPr>
          <w:szCs w:val="16"/>
        </w:rPr>
        <w:t>ACT Audit Office</w:t>
      </w:r>
      <w:r w:rsidR="001D6DAF">
        <w:rPr>
          <w:szCs w:val="16"/>
        </w:rPr>
        <w:t xml:space="preserve">, op. cit., </w:t>
      </w:r>
      <w:r>
        <w:rPr>
          <w:szCs w:val="16"/>
        </w:rPr>
        <w:t>p</w:t>
      </w:r>
      <w:r w:rsidR="00F902EA">
        <w:rPr>
          <w:szCs w:val="16"/>
        </w:rPr>
        <w:t>.</w:t>
      </w:r>
      <w:r>
        <w:rPr>
          <w:szCs w:val="16"/>
        </w:rPr>
        <w:t>13</w:t>
      </w:r>
      <w:r w:rsidR="005521C5">
        <w:rPr>
          <w:szCs w:val="16"/>
        </w:rPr>
        <w:t>.</w:t>
      </w:r>
      <w:r>
        <w:rPr>
          <w:szCs w:val="16"/>
        </w:rPr>
        <w:t xml:space="preserve"> </w:t>
      </w:r>
    </w:p>
  </w:endnote>
  <w:endnote w:id="10">
    <w:p w14:paraId="6A9DE385" w14:textId="12CBA5E4" w:rsidR="007B0FE5" w:rsidRDefault="007B0FE5" w:rsidP="007B0FE5">
      <w:pPr>
        <w:pStyle w:val="EndnoteText"/>
      </w:pPr>
      <w:r w:rsidRPr="00332082">
        <w:endnoteRef/>
      </w:r>
      <w:r w:rsidRPr="00332082">
        <w:t xml:space="preserve"> </w:t>
      </w:r>
      <w:r w:rsidR="00332082">
        <w:tab/>
      </w:r>
      <w:r w:rsidRPr="00FE19C0">
        <w:rPr>
          <w:szCs w:val="16"/>
        </w:rPr>
        <w:t xml:space="preserve">ACT </w:t>
      </w:r>
      <w:r w:rsidR="00F837EB">
        <w:rPr>
          <w:szCs w:val="16"/>
        </w:rPr>
        <w:t>Gaming and Racing Commission</w:t>
      </w:r>
      <w:r w:rsidRPr="00FE19C0">
        <w:rPr>
          <w:szCs w:val="16"/>
        </w:rPr>
        <w:t xml:space="preserve">, </w:t>
      </w:r>
      <w:r w:rsidRPr="00FE19C0">
        <w:rPr>
          <w:i/>
          <w:szCs w:val="16"/>
        </w:rPr>
        <w:t>Gambling Harm Prevention Plan 2017-18: A public health approach to gambling harm,</w:t>
      </w:r>
      <w:r w:rsidRPr="00FE19C0">
        <w:rPr>
          <w:szCs w:val="16"/>
        </w:rPr>
        <w:t xml:space="preserve"> </w:t>
      </w:r>
      <w:r w:rsidR="00F837EB">
        <w:rPr>
          <w:szCs w:val="16"/>
        </w:rPr>
        <w:t xml:space="preserve">ACT Gaming and Racing Commission, Canberra, </w:t>
      </w:r>
      <w:r w:rsidRPr="00FE19C0">
        <w:rPr>
          <w:szCs w:val="16"/>
        </w:rPr>
        <w:t>2017, p.8, viewed 26 September 2018, &lt;</w:t>
      </w:r>
      <w:hyperlink r:id="rId7" w:history="1">
        <w:r w:rsidRPr="000C44C7">
          <w:rPr>
            <w:rStyle w:val="Hyperlink"/>
            <w:szCs w:val="16"/>
          </w:rPr>
          <w:t>https://www.gamblingandracing.act.gov.au/__data/assets/pdf_file/0006/1123197/Harm-Prevention-Plan-2017-20181.pdf</w:t>
        </w:r>
      </w:hyperlink>
      <w:r w:rsidRPr="00FE19C0">
        <w:rPr>
          <w:szCs w:val="16"/>
        </w:rPr>
        <w:t>&gt;.</w:t>
      </w:r>
    </w:p>
  </w:endnote>
  <w:endnote w:id="11">
    <w:p w14:paraId="462E4839" w14:textId="29A7D53A" w:rsidR="007B0FE5" w:rsidRPr="00FE19C0" w:rsidRDefault="007B0FE5" w:rsidP="007B0FE5">
      <w:pPr>
        <w:pStyle w:val="EndnoteText"/>
        <w:rPr>
          <w:szCs w:val="16"/>
        </w:rPr>
      </w:pPr>
      <w:r w:rsidRPr="00332082">
        <w:endnoteRef/>
      </w:r>
      <w:r w:rsidRPr="00332082">
        <w:t xml:space="preserve"> </w:t>
      </w:r>
      <w:bookmarkStart w:id="5" w:name="_Hlk526958123"/>
      <w:r w:rsidR="00332082">
        <w:tab/>
      </w:r>
      <w:r>
        <w:t xml:space="preserve">C </w:t>
      </w:r>
      <w:r w:rsidRPr="00B67128">
        <w:rPr>
          <w:szCs w:val="16"/>
        </w:rPr>
        <w:t>Livingstone</w:t>
      </w:r>
      <w:r>
        <w:rPr>
          <w:szCs w:val="16"/>
        </w:rPr>
        <w:t xml:space="preserve">, L </w:t>
      </w:r>
      <w:r w:rsidRPr="00B67128">
        <w:rPr>
          <w:szCs w:val="16"/>
        </w:rPr>
        <w:t>Francis</w:t>
      </w:r>
      <w:r>
        <w:rPr>
          <w:szCs w:val="16"/>
        </w:rPr>
        <w:t>, and M</w:t>
      </w:r>
      <w:r w:rsidRPr="00B67128">
        <w:rPr>
          <w:szCs w:val="16"/>
        </w:rPr>
        <w:t xml:space="preserve"> Johnson</w:t>
      </w:r>
      <w:r>
        <w:rPr>
          <w:szCs w:val="16"/>
        </w:rPr>
        <w:t xml:space="preserve">, </w:t>
      </w:r>
      <w:r w:rsidRPr="00AA6D4B">
        <w:rPr>
          <w:i/>
          <w:szCs w:val="16"/>
        </w:rPr>
        <w:t>Benefits and costs associated with licensed</w:t>
      </w:r>
      <w:r>
        <w:rPr>
          <w:i/>
          <w:szCs w:val="16"/>
        </w:rPr>
        <w:t xml:space="preserve"> clubs</w:t>
      </w:r>
      <w:r w:rsidRPr="00AA6D4B">
        <w:rPr>
          <w:i/>
          <w:szCs w:val="16"/>
        </w:rPr>
        <w:t xml:space="preserve"> operating poker machines in the ACT</w:t>
      </w:r>
      <w:r w:rsidRPr="00B67128">
        <w:rPr>
          <w:szCs w:val="16"/>
        </w:rPr>
        <w:t xml:space="preserve">, </w:t>
      </w:r>
      <w:r>
        <w:rPr>
          <w:szCs w:val="16"/>
        </w:rPr>
        <w:t>Monash University, commissioned by Foundation for Alcohol Research and Education (FARE),</w:t>
      </w:r>
      <w:r w:rsidRPr="00B67128">
        <w:rPr>
          <w:szCs w:val="16"/>
        </w:rPr>
        <w:t xml:space="preserve"> </w:t>
      </w:r>
      <w:r w:rsidR="00121A81">
        <w:rPr>
          <w:szCs w:val="16"/>
        </w:rPr>
        <w:t xml:space="preserve">Canberra, </w:t>
      </w:r>
      <w:r>
        <w:rPr>
          <w:szCs w:val="16"/>
        </w:rPr>
        <w:t>2017</w:t>
      </w:r>
      <w:bookmarkEnd w:id="5"/>
      <w:r>
        <w:rPr>
          <w:szCs w:val="16"/>
        </w:rPr>
        <w:t xml:space="preserve">, </w:t>
      </w:r>
      <w:r w:rsidRPr="00B67128">
        <w:rPr>
          <w:szCs w:val="16"/>
        </w:rPr>
        <w:t>p</w:t>
      </w:r>
      <w:r>
        <w:rPr>
          <w:szCs w:val="16"/>
        </w:rPr>
        <w:t>.</w:t>
      </w:r>
      <w:r w:rsidRPr="00B67128">
        <w:rPr>
          <w:szCs w:val="16"/>
        </w:rPr>
        <w:t>30</w:t>
      </w:r>
      <w:r>
        <w:rPr>
          <w:szCs w:val="16"/>
        </w:rPr>
        <w:t>, viewed 5 September 2018, &lt;</w:t>
      </w:r>
      <w:hyperlink r:id="rId8" w:history="1">
        <w:r w:rsidRPr="003119B9">
          <w:rPr>
            <w:rStyle w:val="Hyperlink"/>
            <w:szCs w:val="16"/>
          </w:rPr>
          <w:t>http://fare.org.au/wp-content/uploads/Community-benefits-claimed-by-licensed-</w:t>
        </w:r>
        <w:r>
          <w:rPr>
            <w:rStyle w:val="Hyperlink"/>
            <w:szCs w:val="16"/>
          </w:rPr>
          <w:t>Clubs</w:t>
        </w:r>
        <w:r w:rsidRPr="003119B9">
          <w:rPr>
            <w:rStyle w:val="Hyperlink"/>
            <w:szCs w:val="16"/>
          </w:rPr>
          <w:t>-operating-poker-machines-in-the-ACT-FINAL.pdf</w:t>
        </w:r>
      </w:hyperlink>
      <w:r>
        <w:rPr>
          <w:szCs w:val="16"/>
        </w:rPr>
        <w:t>&gt;.</w:t>
      </w:r>
    </w:p>
  </w:endnote>
  <w:endnote w:id="12">
    <w:p w14:paraId="2EE614D8" w14:textId="26ABCACB" w:rsidR="00543087" w:rsidRDefault="00543087">
      <w:pPr>
        <w:pStyle w:val="EndnoteText"/>
      </w:pPr>
      <w:r w:rsidRPr="00332082">
        <w:endnoteRef/>
      </w:r>
      <w:r w:rsidRPr="00332082">
        <w:t xml:space="preserve"> </w:t>
      </w:r>
      <w:r w:rsidR="00332082">
        <w:tab/>
      </w:r>
      <w:r w:rsidR="00A33391">
        <w:t xml:space="preserve">C Livingstone, L Francis, and M Johnson, op. cit., </w:t>
      </w:r>
      <w:r w:rsidR="00FC5F9D">
        <w:t>p.30.</w:t>
      </w:r>
    </w:p>
  </w:endnote>
  <w:endnote w:id="13">
    <w:p w14:paraId="7895838D" w14:textId="278F947B" w:rsidR="007B0FE5" w:rsidRPr="00FE19C0" w:rsidRDefault="007B0FE5" w:rsidP="007B0FE5">
      <w:pPr>
        <w:pStyle w:val="EndnoteText"/>
        <w:rPr>
          <w:szCs w:val="16"/>
        </w:rPr>
      </w:pPr>
      <w:r w:rsidRPr="00332082">
        <w:endnoteRef/>
      </w:r>
      <w:r w:rsidRPr="00332082">
        <w:t xml:space="preserve"> </w:t>
      </w:r>
      <w:r w:rsidR="00332082">
        <w:tab/>
      </w:r>
      <w:r>
        <w:t xml:space="preserve">C </w:t>
      </w:r>
      <w:r w:rsidRPr="00FE19C0">
        <w:rPr>
          <w:szCs w:val="16"/>
        </w:rPr>
        <w:t xml:space="preserve">Livingstone, </w:t>
      </w:r>
      <w:r w:rsidR="00920AEF">
        <w:rPr>
          <w:szCs w:val="16"/>
        </w:rPr>
        <w:t xml:space="preserve">2018, </w:t>
      </w:r>
      <w:r w:rsidR="00220FB3" w:rsidRPr="00220FB3">
        <w:rPr>
          <w:szCs w:val="16"/>
        </w:rPr>
        <w:t>op. cit.,</w:t>
      </w:r>
      <w:r w:rsidRPr="00FE19C0">
        <w:rPr>
          <w:szCs w:val="16"/>
        </w:rPr>
        <w:t xml:space="preserve"> p.</w:t>
      </w:r>
      <w:r w:rsidR="00220FB3">
        <w:rPr>
          <w:szCs w:val="16"/>
        </w:rPr>
        <w:t>1</w:t>
      </w:r>
      <w:r w:rsidRPr="00FE19C0">
        <w:rPr>
          <w:szCs w:val="16"/>
        </w:rPr>
        <w:t>6.</w:t>
      </w:r>
    </w:p>
  </w:endnote>
  <w:endnote w:id="14">
    <w:p w14:paraId="1AE4B80E" w14:textId="4A3FF824" w:rsidR="007B0FE5" w:rsidRPr="00494ECD" w:rsidRDefault="007B0FE5" w:rsidP="007B0FE5">
      <w:pPr>
        <w:pStyle w:val="EndnoteText"/>
      </w:pPr>
      <w:r w:rsidRPr="00332082">
        <w:endnoteRef/>
      </w:r>
      <w:r w:rsidRPr="00332082">
        <w:t xml:space="preserve"> </w:t>
      </w:r>
      <w:r w:rsidR="00332082">
        <w:tab/>
      </w:r>
      <w:r w:rsidR="00D207E7">
        <w:t xml:space="preserve">Centre for Gambling Research ANU, </w:t>
      </w:r>
      <w:r w:rsidR="00D207E7" w:rsidRPr="00BA6F23">
        <w:rPr>
          <w:i/>
        </w:rPr>
        <w:t>2014 ACT Gambling Prevalence Study – Summary of Findings,</w:t>
      </w:r>
      <w:r w:rsidR="00D207E7">
        <w:t xml:space="preserve"> The Australian National University</w:t>
      </w:r>
      <w:r w:rsidR="00CF342F">
        <w:t xml:space="preserve">, commissioned by ACT Gambling and Racing Commission, </w:t>
      </w:r>
      <w:r w:rsidR="00D501BE">
        <w:t xml:space="preserve">Canberra, </w:t>
      </w:r>
      <w:r w:rsidR="00CF342F">
        <w:t xml:space="preserve">2015, p.2, </w:t>
      </w:r>
      <w:r w:rsidR="00BA6F23">
        <w:t xml:space="preserve">viewed 10 October 2018, </w:t>
      </w:r>
      <w:r>
        <w:rPr>
          <w:szCs w:val="16"/>
        </w:rPr>
        <w:t>&lt;</w:t>
      </w:r>
      <w:hyperlink r:id="rId9" w:history="1">
        <w:r w:rsidRPr="003119B9">
          <w:rPr>
            <w:rStyle w:val="Hyperlink"/>
            <w:szCs w:val="16"/>
          </w:rPr>
          <w:t>https://www.gamblingandracing.act.gov.au/__data/assets/pdf_file/0004/846904/2014-Survey-on-Gambling,-Health-and-Wellbeing-in-the-ACT-Summary-of-Findings.pdf</w:t>
        </w:r>
      </w:hyperlink>
      <w:r>
        <w:rPr>
          <w:szCs w:val="16"/>
        </w:rPr>
        <w:t>&gt;.</w:t>
      </w:r>
    </w:p>
  </w:endnote>
  <w:endnote w:id="15">
    <w:p w14:paraId="5375A011" w14:textId="131F6588" w:rsidR="007B0FE5" w:rsidRPr="00BC576D" w:rsidRDefault="007B0FE5" w:rsidP="007B0FE5">
      <w:pPr>
        <w:pStyle w:val="EndnoteText"/>
        <w:rPr>
          <w:szCs w:val="16"/>
        </w:rPr>
      </w:pPr>
      <w:r w:rsidRPr="00332082">
        <w:endnoteRef/>
      </w:r>
      <w:r w:rsidRPr="00332082">
        <w:t xml:space="preserve"> </w:t>
      </w:r>
      <w:r w:rsidR="00332082">
        <w:tab/>
      </w:r>
      <w:r>
        <w:t xml:space="preserve">C </w:t>
      </w:r>
      <w:r w:rsidRPr="00BC576D">
        <w:rPr>
          <w:szCs w:val="16"/>
        </w:rPr>
        <w:t xml:space="preserve">Livingstone, </w:t>
      </w:r>
      <w:r w:rsidR="00920AEF">
        <w:rPr>
          <w:szCs w:val="16"/>
        </w:rPr>
        <w:t xml:space="preserve">2018, </w:t>
      </w:r>
      <w:r w:rsidR="00884EE2" w:rsidRPr="00884EE2">
        <w:rPr>
          <w:szCs w:val="16"/>
        </w:rPr>
        <w:t>op. cit.</w:t>
      </w:r>
      <w:r w:rsidRPr="00884EE2">
        <w:rPr>
          <w:szCs w:val="16"/>
        </w:rPr>
        <w:t>,</w:t>
      </w:r>
      <w:r>
        <w:rPr>
          <w:szCs w:val="16"/>
        </w:rPr>
        <w:t xml:space="preserve"> </w:t>
      </w:r>
      <w:r w:rsidRPr="00BC576D">
        <w:rPr>
          <w:szCs w:val="16"/>
        </w:rPr>
        <w:t>p.2</w:t>
      </w:r>
      <w:r w:rsidR="00833FE3">
        <w:rPr>
          <w:szCs w:val="16"/>
        </w:rPr>
        <w:t>3</w:t>
      </w:r>
      <w:r>
        <w:rPr>
          <w:szCs w:val="16"/>
        </w:rPr>
        <w:t>.</w:t>
      </w:r>
      <w:r w:rsidRPr="00BC576D">
        <w:rPr>
          <w:szCs w:val="16"/>
        </w:rPr>
        <w:t xml:space="preserve"> </w:t>
      </w:r>
    </w:p>
  </w:endnote>
  <w:endnote w:id="16">
    <w:p w14:paraId="628A81BE" w14:textId="3686CDD3" w:rsidR="007B0FE5" w:rsidRPr="00494ECD" w:rsidRDefault="007B0FE5" w:rsidP="007B0FE5">
      <w:pPr>
        <w:pStyle w:val="EndnoteText"/>
        <w:rPr>
          <w:szCs w:val="16"/>
        </w:rPr>
      </w:pPr>
      <w:r w:rsidRPr="00332082">
        <w:endnoteRef/>
      </w:r>
      <w:r w:rsidRPr="00332082">
        <w:t xml:space="preserve"> </w:t>
      </w:r>
      <w:r w:rsidR="00332082">
        <w:tab/>
      </w:r>
      <w:r>
        <w:t xml:space="preserve">C </w:t>
      </w:r>
      <w:r w:rsidRPr="00B67128">
        <w:rPr>
          <w:szCs w:val="16"/>
        </w:rPr>
        <w:t>Livingstone</w:t>
      </w:r>
      <w:r>
        <w:rPr>
          <w:szCs w:val="16"/>
        </w:rPr>
        <w:t xml:space="preserve">, L </w:t>
      </w:r>
      <w:r w:rsidRPr="00B67128">
        <w:rPr>
          <w:szCs w:val="16"/>
        </w:rPr>
        <w:t>Francis</w:t>
      </w:r>
      <w:r>
        <w:rPr>
          <w:szCs w:val="16"/>
        </w:rPr>
        <w:t>, and M</w:t>
      </w:r>
      <w:r w:rsidRPr="00B67128">
        <w:rPr>
          <w:szCs w:val="16"/>
        </w:rPr>
        <w:t xml:space="preserve"> Johnson</w:t>
      </w:r>
      <w:r>
        <w:rPr>
          <w:szCs w:val="16"/>
        </w:rPr>
        <w:t>,</w:t>
      </w:r>
      <w:r w:rsidR="000D5E25">
        <w:rPr>
          <w:szCs w:val="16"/>
        </w:rPr>
        <w:t xml:space="preserve"> op. cit., </w:t>
      </w:r>
      <w:r w:rsidRPr="00B67128">
        <w:rPr>
          <w:szCs w:val="16"/>
        </w:rPr>
        <w:t>p</w:t>
      </w:r>
      <w:r>
        <w:rPr>
          <w:szCs w:val="16"/>
        </w:rPr>
        <w:t>.</w:t>
      </w:r>
      <w:r w:rsidRPr="00B67128">
        <w:rPr>
          <w:szCs w:val="16"/>
        </w:rPr>
        <w:t>3</w:t>
      </w:r>
      <w:r>
        <w:rPr>
          <w:szCs w:val="16"/>
        </w:rPr>
        <w:t>2.</w:t>
      </w:r>
    </w:p>
  </w:endnote>
  <w:endnote w:id="17">
    <w:p w14:paraId="76A0407E" w14:textId="6C92F310" w:rsidR="007B0FE5" w:rsidRDefault="007B0FE5" w:rsidP="007B0FE5">
      <w:pPr>
        <w:pStyle w:val="EndnoteText"/>
      </w:pPr>
      <w:r w:rsidRPr="00332082">
        <w:endnoteRef/>
      </w:r>
      <w:r w:rsidRPr="00332082">
        <w:t xml:space="preserve"> </w:t>
      </w:r>
      <w:r w:rsidR="00332082">
        <w:tab/>
      </w:r>
      <w:r>
        <w:t xml:space="preserve">D </w:t>
      </w:r>
      <w:r w:rsidRPr="00BC576D">
        <w:rPr>
          <w:szCs w:val="16"/>
        </w:rPr>
        <w:t xml:space="preserve">Burdon, </w:t>
      </w:r>
      <w:r w:rsidR="00CA2C6C">
        <w:rPr>
          <w:szCs w:val="16"/>
        </w:rPr>
        <w:t>‘</w:t>
      </w:r>
      <w:r w:rsidRPr="00CA2C6C">
        <w:rPr>
          <w:szCs w:val="16"/>
        </w:rPr>
        <w:t>ACT government to force clubs to surrender poker machine licences from next year</w:t>
      </w:r>
      <w:r w:rsidR="00CA2C6C">
        <w:rPr>
          <w:szCs w:val="16"/>
        </w:rPr>
        <w:t>’</w:t>
      </w:r>
      <w:r w:rsidRPr="00BC576D">
        <w:rPr>
          <w:i/>
          <w:szCs w:val="16"/>
        </w:rPr>
        <w:t xml:space="preserve">, </w:t>
      </w:r>
      <w:r w:rsidR="00255619" w:rsidRPr="00CA2C6C">
        <w:rPr>
          <w:i/>
          <w:szCs w:val="16"/>
        </w:rPr>
        <w:t xml:space="preserve">The </w:t>
      </w:r>
      <w:r w:rsidRPr="00CA2C6C">
        <w:rPr>
          <w:i/>
          <w:szCs w:val="16"/>
        </w:rPr>
        <w:t>Canberra Times</w:t>
      </w:r>
      <w:r w:rsidRPr="00BC576D">
        <w:rPr>
          <w:szCs w:val="16"/>
        </w:rPr>
        <w:t>, 3 April 2018,</w:t>
      </w:r>
      <w:r w:rsidR="00BA6F23">
        <w:rPr>
          <w:szCs w:val="16"/>
        </w:rPr>
        <w:t xml:space="preserve"> viewed 10 October 2018,</w:t>
      </w:r>
      <w:r>
        <w:rPr>
          <w:szCs w:val="16"/>
        </w:rPr>
        <w:t xml:space="preserve"> &lt;</w:t>
      </w:r>
      <w:hyperlink r:id="rId10" w:history="1">
        <w:r w:rsidRPr="000C44C7">
          <w:rPr>
            <w:rStyle w:val="Hyperlink"/>
            <w:szCs w:val="16"/>
          </w:rPr>
          <w:t>https://www.canberratimes.com.au/national/act/act-government-to-force-Clubs-to-surrender-poker-machine-licences-from-next-year-20180403-h0y9k3.html</w:t>
        </w:r>
      </w:hyperlink>
      <w:r>
        <w:rPr>
          <w:szCs w:val="16"/>
        </w:rPr>
        <w:t xml:space="preserve">&gt;. </w:t>
      </w:r>
      <w:r>
        <w:t xml:space="preserve"> </w:t>
      </w:r>
    </w:p>
  </w:endnote>
  <w:endnote w:id="18">
    <w:p w14:paraId="7CD7263E" w14:textId="5C839DBA" w:rsidR="007B0FE5" w:rsidRPr="00BC576D" w:rsidRDefault="007B0FE5" w:rsidP="007B0FE5">
      <w:pPr>
        <w:pStyle w:val="EndnoteText"/>
        <w:rPr>
          <w:szCs w:val="16"/>
        </w:rPr>
      </w:pPr>
      <w:r w:rsidRPr="00332082">
        <w:endnoteRef/>
      </w:r>
      <w:r w:rsidRPr="00332082">
        <w:t xml:space="preserve"> </w:t>
      </w:r>
      <w:r w:rsidR="00332082">
        <w:tab/>
      </w:r>
      <w:r w:rsidRPr="00BC576D">
        <w:rPr>
          <w:szCs w:val="16"/>
        </w:rPr>
        <w:t xml:space="preserve">ACT Gambling and Racing Commission, </w:t>
      </w:r>
      <w:r w:rsidRPr="00494ECD">
        <w:rPr>
          <w:rStyle w:val="Emphasis"/>
        </w:rPr>
        <w:t xml:space="preserve">Gaming Machine Reform Package - Trading Scheme: Information </w:t>
      </w:r>
      <w:r>
        <w:rPr>
          <w:rStyle w:val="Emphasis"/>
        </w:rPr>
        <w:t>p</w:t>
      </w:r>
      <w:r w:rsidRPr="00494ECD">
        <w:rPr>
          <w:rStyle w:val="Emphasis"/>
        </w:rPr>
        <w:t xml:space="preserve">rovided </w:t>
      </w:r>
      <w:r>
        <w:rPr>
          <w:rStyle w:val="Emphasis"/>
        </w:rPr>
        <w:t>a</w:t>
      </w:r>
      <w:r w:rsidRPr="00494ECD">
        <w:rPr>
          <w:rStyle w:val="Emphasis"/>
        </w:rPr>
        <w:t xml:space="preserve">s </w:t>
      </w:r>
      <w:r>
        <w:rPr>
          <w:rStyle w:val="Emphasis"/>
        </w:rPr>
        <w:t>a</w:t>
      </w:r>
      <w:r w:rsidRPr="00494ECD">
        <w:rPr>
          <w:rStyle w:val="Emphasis"/>
        </w:rPr>
        <w:t>t 31 August 2018</w:t>
      </w:r>
      <w:r w:rsidRPr="00BC576D">
        <w:rPr>
          <w:szCs w:val="16"/>
        </w:rPr>
        <w:t>,</w:t>
      </w:r>
      <w:r>
        <w:rPr>
          <w:szCs w:val="16"/>
        </w:rPr>
        <w:t xml:space="preserve"> </w:t>
      </w:r>
      <w:r w:rsidRPr="00BC576D">
        <w:rPr>
          <w:szCs w:val="16"/>
        </w:rPr>
        <w:t>ACT Gambling and Racing Commission</w:t>
      </w:r>
      <w:r>
        <w:rPr>
          <w:szCs w:val="16"/>
        </w:rPr>
        <w:t xml:space="preserve">, </w:t>
      </w:r>
      <w:r w:rsidR="00F902EA">
        <w:rPr>
          <w:szCs w:val="16"/>
        </w:rPr>
        <w:t xml:space="preserve">Canberra, </w:t>
      </w:r>
      <w:r>
        <w:rPr>
          <w:szCs w:val="16"/>
        </w:rPr>
        <w:t xml:space="preserve">2018, </w:t>
      </w:r>
      <w:r w:rsidR="00605A86">
        <w:rPr>
          <w:szCs w:val="16"/>
        </w:rPr>
        <w:t>viewed 10 October 2018,</w:t>
      </w:r>
      <w:r w:rsidR="00E34509">
        <w:rPr>
          <w:szCs w:val="16"/>
        </w:rPr>
        <w:t xml:space="preserve"> </w:t>
      </w:r>
      <w:r w:rsidRPr="00BC576D">
        <w:rPr>
          <w:szCs w:val="16"/>
        </w:rPr>
        <w:t>&lt;</w:t>
      </w:r>
      <w:hyperlink r:id="rId11" w:history="1">
        <w:r w:rsidRPr="00494ECD">
          <w:rPr>
            <w:rStyle w:val="Hyperlink"/>
          </w:rPr>
          <w:t>https://www.gamblingandracing.act.gov.au/__data/assets/pdf_file/0008/1253852/Trading-Scheme-Information-as-at-31-August-2018.pdf</w:t>
        </w:r>
      </w:hyperlink>
      <w:r w:rsidRPr="00BC576D">
        <w:rPr>
          <w:szCs w:val="16"/>
        </w:rPr>
        <w:t>&gt;</w:t>
      </w:r>
      <w:r>
        <w:rPr>
          <w:szCs w:val="16"/>
        </w:rPr>
        <w:t>.</w:t>
      </w:r>
    </w:p>
  </w:endnote>
  <w:endnote w:id="19">
    <w:p w14:paraId="64E31E1E" w14:textId="4046DE95" w:rsidR="007B0FE5" w:rsidRDefault="007B0FE5" w:rsidP="007B0FE5">
      <w:pPr>
        <w:pStyle w:val="EndnoteText"/>
      </w:pPr>
      <w:r w:rsidRPr="00332082">
        <w:endnoteRef/>
      </w:r>
      <w:r w:rsidRPr="00332082">
        <w:t xml:space="preserve"> </w:t>
      </w:r>
      <w:r w:rsidR="00332082">
        <w:tab/>
      </w:r>
      <w:r>
        <w:t>P</w:t>
      </w:r>
      <w:r w:rsidR="00E52591">
        <w:t xml:space="preserve">roductivity Commission, op. cit., </w:t>
      </w:r>
      <w:r w:rsidR="00314679">
        <w:t>p</w:t>
      </w:r>
      <w:r>
        <w:t>.</w:t>
      </w:r>
      <w:r w:rsidR="00A429A4">
        <w:t>2, 25.</w:t>
      </w:r>
    </w:p>
  </w:endnote>
  <w:endnote w:id="20">
    <w:p w14:paraId="78076001" w14:textId="79D5D730" w:rsidR="007B0FE5" w:rsidRDefault="007B0FE5" w:rsidP="007B0FE5">
      <w:pPr>
        <w:pStyle w:val="EndnoteText"/>
      </w:pPr>
      <w:r w:rsidRPr="00332082">
        <w:endnoteRef/>
      </w:r>
      <w:r w:rsidRPr="00332082">
        <w:t xml:space="preserve"> </w:t>
      </w:r>
      <w:r w:rsidR="00332082">
        <w:tab/>
      </w:r>
      <w:r w:rsidR="00EF4323">
        <w:t>ibid,</w:t>
      </w:r>
      <w:r>
        <w:t xml:space="preserve"> p.</w:t>
      </w:r>
      <w:r w:rsidR="00EF4323">
        <w:t>5.33.</w:t>
      </w:r>
    </w:p>
  </w:endnote>
  <w:endnote w:id="21">
    <w:p w14:paraId="4DFAF0E9" w14:textId="1BAD3D35" w:rsidR="007B0FE5" w:rsidRDefault="007B0FE5" w:rsidP="007B0FE5">
      <w:pPr>
        <w:pStyle w:val="EndnoteText"/>
      </w:pPr>
      <w:r w:rsidRPr="00332082">
        <w:endnoteRef/>
      </w:r>
      <w:r w:rsidR="0024783F" w:rsidRPr="00332082">
        <w:t xml:space="preserve"> </w:t>
      </w:r>
      <w:r w:rsidR="00332082">
        <w:tab/>
      </w:r>
      <w:r w:rsidR="0024783F">
        <w:t>C</w:t>
      </w:r>
      <w:r>
        <w:t xml:space="preserve"> Livingstone</w:t>
      </w:r>
      <w:r w:rsidR="0024783F">
        <w:t xml:space="preserve">, L </w:t>
      </w:r>
      <w:r>
        <w:t>Francis</w:t>
      </w:r>
      <w:r w:rsidR="00BA6F23">
        <w:t>,</w:t>
      </w:r>
      <w:r w:rsidR="0024783F">
        <w:t xml:space="preserve"> and M</w:t>
      </w:r>
      <w:r>
        <w:t xml:space="preserve"> Johnso</w:t>
      </w:r>
      <w:r w:rsidR="0024783F">
        <w:t>n, op. cit.,</w:t>
      </w:r>
      <w:r>
        <w:rPr>
          <w:i/>
        </w:rPr>
        <w:t xml:space="preserve"> </w:t>
      </w:r>
      <w:r w:rsidR="00330D21">
        <w:t>p.32.</w:t>
      </w:r>
    </w:p>
  </w:endnote>
  <w:endnote w:id="22">
    <w:p w14:paraId="2EF8FFE0" w14:textId="42265046" w:rsidR="007B0FE5" w:rsidRDefault="007B0FE5" w:rsidP="007B0FE5">
      <w:pPr>
        <w:pStyle w:val="EndnoteText"/>
      </w:pPr>
      <w:r w:rsidRPr="00E67989">
        <w:endnoteRef/>
      </w:r>
      <w:r w:rsidRPr="00E67989">
        <w:t xml:space="preserve"> </w:t>
      </w:r>
      <w:r w:rsidR="00E67989">
        <w:tab/>
      </w:r>
      <w:r w:rsidR="006C279D">
        <w:t>ibid.</w:t>
      </w:r>
    </w:p>
  </w:endnote>
  <w:endnote w:id="23">
    <w:p w14:paraId="217CF710" w14:textId="52E26FCF" w:rsidR="007B0FE5" w:rsidRDefault="007B0FE5" w:rsidP="007B0FE5">
      <w:pPr>
        <w:pStyle w:val="EndnoteText"/>
      </w:pPr>
      <w:r w:rsidRPr="00E67989">
        <w:endnoteRef/>
      </w:r>
      <w:r w:rsidRPr="00E67989">
        <w:t xml:space="preserve"> </w:t>
      </w:r>
      <w:r w:rsidR="00E67989">
        <w:tab/>
      </w:r>
      <w:r>
        <w:t>Productivity Commission</w:t>
      </w:r>
      <w:r w:rsidR="00B1293A">
        <w:t>, op. cit., p.16.</w:t>
      </w:r>
    </w:p>
  </w:endnote>
  <w:endnote w:id="24">
    <w:p w14:paraId="521EED9D" w14:textId="272066BD" w:rsidR="007B0FE5" w:rsidRDefault="007B0FE5" w:rsidP="007B0FE5">
      <w:pPr>
        <w:pStyle w:val="EndnoteText"/>
      </w:pPr>
      <w:r w:rsidRPr="00E67989">
        <w:endnoteRef/>
      </w:r>
      <w:r w:rsidRPr="00E67989">
        <w:t xml:space="preserve"> </w:t>
      </w:r>
      <w:r w:rsidR="006B4C5B">
        <w:tab/>
      </w:r>
      <w:r w:rsidR="009843F3">
        <w:t xml:space="preserve">A </w:t>
      </w:r>
      <w:r>
        <w:t xml:space="preserve">Armstrong &amp; </w:t>
      </w:r>
      <w:r w:rsidR="009843F3">
        <w:t xml:space="preserve">M </w:t>
      </w:r>
      <w:r>
        <w:t>Carroll</w:t>
      </w:r>
      <w:r w:rsidR="009843F3">
        <w:t>,</w:t>
      </w:r>
      <w:r w:rsidRPr="001B10A4">
        <w:rPr>
          <w:i/>
        </w:rPr>
        <w:t xml:space="preserve"> Gambling activity in Australia</w:t>
      </w:r>
      <w:r w:rsidR="00F10EF3">
        <w:rPr>
          <w:i/>
        </w:rPr>
        <w:t>,</w:t>
      </w:r>
      <w:r>
        <w:t xml:space="preserve"> Australian Gambling Research Centre, Australian Institute of Family Studies</w:t>
      </w:r>
      <w:r w:rsidR="0020412E">
        <w:t xml:space="preserve">, Melbourne, </w:t>
      </w:r>
      <w:r>
        <w:t>2017, p.55</w:t>
      </w:r>
      <w:r w:rsidR="0020412E">
        <w:t xml:space="preserve">, viewed 10 October 2018, </w:t>
      </w:r>
      <w:r>
        <w:t xml:space="preserve"> &lt;</w:t>
      </w:r>
      <w:hyperlink r:id="rId12" w:history="1">
        <w:r w:rsidRPr="00076F3E">
          <w:rPr>
            <w:rStyle w:val="Hyperlink"/>
          </w:rPr>
          <w:t>https://aifs.gov.au/agrc/sites/default/files/publication-documents/rr-gambling_activity_in_australia_0.pdf</w:t>
        </w:r>
      </w:hyperlink>
      <w:r>
        <w:t>&gt;</w:t>
      </w:r>
      <w:r w:rsidR="00985489">
        <w:t xml:space="preserve">. </w:t>
      </w:r>
      <w:r>
        <w:t xml:space="preserve"> </w:t>
      </w:r>
    </w:p>
  </w:endnote>
  <w:endnote w:id="25">
    <w:p w14:paraId="0B08BA8E" w14:textId="21123987" w:rsidR="004E26CB" w:rsidRDefault="004E26CB">
      <w:pPr>
        <w:pStyle w:val="EndnoteText"/>
      </w:pPr>
      <w:r w:rsidRPr="006B4C5B">
        <w:endnoteRef/>
      </w:r>
      <w:r w:rsidRPr="006B4C5B">
        <w:t xml:space="preserve"> </w:t>
      </w:r>
      <w:r w:rsidR="006B4C5B">
        <w:tab/>
      </w:r>
      <w:r w:rsidR="00D01F1D">
        <w:t>ibid, p.54.</w:t>
      </w:r>
    </w:p>
  </w:endnote>
  <w:endnote w:id="26">
    <w:p w14:paraId="078E80D9" w14:textId="5335B3DA" w:rsidR="007B0FE5" w:rsidRDefault="007B0FE5" w:rsidP="007B0FE5">
      <w:pPr>
        <w:pStyle w:val="EndnoteText"/>
      </w:pPr>
      <w:r w:rsidRPr="006B4C5B">
        <w:endnoteRef/>
      </w:r>
      <w:r w:rsidRPr="006B4C5B">
        <w:t xml:space="preserve"> </w:t>
      </w:r>
      <w:r w:rsidR="006B4C5B">
        <w:tab/>
      </w:r>
      <w:r w:rsidR="00253219">
        <w:t xml:space="preserve">SL </w:t>
      </w:r>
      <w:r w:rsidRPr="001045AB">
        <w:t xml:space="preserve">Thomas &amp; </w:t>
      </w:r>
      <w:r w:rsidR="00253219">
        <w:t xml:space="preserve">SD </w:t>
      </w:r>
      <w:r w:rsidRPr="001045AB">
        <w:t>Thomas,</w:t>
      </w:r>
      <w:r w:rsidR="00253219">
        <w:t xml:space="preserve"> ‘</w:t>
      </w:r>
      <w:r w:rsidRPr="001045AB">
        <w:t>The big gamble:</w:t>
      </w:r>
      <w:r w:rsidR="0065550A">
        <w:t xml:space="preserve"> the </w:t>
      </w:r>
      <w:r w:rsidRPr="001045AB">
        <w:t>need for a comprehensive research approach to understanding the causes and consequence</w:t>
      </w:r>
      <w:r>
        <w:t>s of gambling harm in Australia</w:t>
      </w:r>
      <w:r w:rsidR="00253219">
        <w:t>’</w:t>
      </w:r>
      <w:r>
        <w:t>,</w:t>
      </w:r>
      <w:r w:rsidRPr="001045AB">
        <w:t xml:space="preserve"> </w:t>
      </w:r>
      <w:r w:rsidRPr="001045AB">
        <w:rPr>
          <w:i/>
        </w:rPr>
        <w:t>Australasian Epidemiologist,</w:t>
      </w:r>
      <w:r w:rsidRPr="001045AB">
        <w:t xml:space="preserve"> </w:t>
      </w:r>
      <w:r w:rsidR="00253219">
        <w:t>22(1)</w:t>
      </w:r>
      <w:r w:rsidR="0065550A">
        <w:t>, p.</w:t>
      </w:r>
      <w:r>
        <w:t>40</w:t>
      </w:r>
      <w:r w:rsidR="0065550A">
        <w:t>, 2015, viewed 10 October 2018, &lt;</w:t>
      </w:r>
      <w:r w:rsidR="008B723F" w:rsidRPr="008B723F">
        <w:t>https://search.informit.com.au/documentSummary;dn=464375040112591;res=IELHEA</w:t>
      </w:r>
      <w:r w:rsidR="008B723F">
        <w:t>&gt;.</w:t>
      </w:r>
    </w:p>
  </w:endnote>
  <w:endnote w:id="27">
    <w:p w14:paraId="00F1AC06" w14:textId="4E419ACB" w:rsidR="007B0FE5" w:rsidRDefault="007B0FE5" w:rsidP="007B0FE5">
      <w:pPr>
        <w:pStyle w:val="EndnoteText"/>
      </w:pPr>
      <w:r w:rsidRPr="006B4C5B">
        <w:endnoteRef/>
      </w:r>
      <w:r w:rsidRPr="006B4C5B">
        <w:t xml:space="preserve"> </w:t>
      </w:r>
      <w:r w:rsidR="006B4C5B">
        <w:tab/>
      </w:r>
      <w:r>
        <w:t>B Goodwin, M Browne, M Rockloff</w:t>
      </w:r>
      <w:r w:rsidR="00BA6F23">
        <w:t>,</w:t>
      </w:r>
      <w:r>
        <w:t xml:space="preserve"> and J</w:t>
      </w:r>
      <w:r w:rsidRPr="003A5B7E">
        <w:t xml:space="preserve"> Rose</w:t>
      </w:r>
      <w:r>
        <w:t>,</w:t>
      </w:r>
      <w:r w:rsidRPr="003A5B7E">
        <w:t xml:space="preserve"> </w:t>
      </w:r>
      <w:r w:rsidRPr="00F9303C">
        <w:rPr>
          <w:i/>
        </w:rPr>
        <w:t>A typical problem gambler affects six others, International Gambling Studies,</w:t>
      </w:r>
      <w:r w:rsidRPr="003A5B7E">
        <w:t xml:space="preserve"> 17:2, 276-289, </w:t>
      </w:r>
      <w:r>
        <w:t xml:space="preserve">2017, </w:t>
      </w:r>
      <w:r w:rsidRPr="003A5B7E">
        <w:t>DOI: 10.1080/14459795.2017.1331252</w:t>
      </w:r>
      <w:r>
        <w:t xml:space="preserve"> </w:t>
      </w:r>
    </w:p>
  </w:endnote>
  <w:endnote w:id="28">
    <w:p w14:paraId="52611594" w14:textId="45DC4D77" w:rsidR="007B0FE5" w:rsidRDefault="007B0FE5" w:rsidP="007B0FE5">
      <w:pPr>
        <w:pStyle w:val="EndnoteText"/>
      </w:pPr>
      <w:r w:rsidRPr="006B4C5B">
        <w:endnoteRef/>
      </w:r>
      <w:r w:rsidRPr="006B4C5B">
        <w:t xml:space="preserve"> </w:t>
      </w:r>
      <w:r w:rsidR="006B4C5B">
        <w:tab/>
      </w:r>
      <w:r>
        <w:t>C Livingstone,</w:t>
      </w:r>
      <w:r w:rsidR="006E7B75">
        <w:t xml:space="preserve"> </w:t>
      </w:r>
      <w:r w:rsidR="007F1E77">
        <w:t xml:space="preserve">2018, </w:t>
      </w:r>
      <w:r w:rsidR="006E7B75">
        <w:t xml:space="preserve">op. cit., </w:t>
      </w:r>
      <w:r>
        <w:t>p.5.</w:t>
      </w:r>
    </w:p>
  </w:endnote>
  <w:endnote w:id="29">
    <w:p w14:paraId="2BBA46D1" w14:textId="2F94A167" w:rsidR="00CB1752" w:rsidRDefault="00CB1752">
      <w:pPr>
        <w:pStyle w:val="EndnoteText"/>
      </w:pPr>
      <w:r w:rsidRPr="006B4C5B">
        <w:endnoteRef/>
      </w:r>
      <w:r w:rsidRPr="006B4C5B">
        <w:t xml:space="preserve"> </w:t>
      </w:r>
      <w:r w:rsidR="006B4C5B">
        <w:tab/>
      </w:r>
      <w:r w:rsidR="00DE363A">
        <w:t xml:space="preserve">C Livingstone, </w:t>
      </w:r>
      <w:r w:rsidR="00DE363A" w:rsidRPr="00AC6279">
        <w:rPr>
          <w:i/>
        </w:rPr>
        <w:t xml:space="preserve">How </w:t>
      </w:r>
      <w:r w:rsidR="00141969" w:rsidRPr="00AC6279">
        <w:rPr>
          <w:i/>
        </w:rPr>
        <w:t>electronic gaming machines work: EGM structural characteristics</w:t>
      </w:r>
      <w:r w:rsidR="00141969">
        <w:t xml:space="preserve">, </w:t>
      </w:r>
      <w:r w:rsidR="00345DDD">
        <w:t>AGRC Discussion Paper 8, Australian Gambling Research Centre, Australian Institute of Family Studies</w:t>
      </w:r>
      <w:r w:rsidR="00883E49">
        <w:t>, Melbourne, 2017, p.</w:t>
      </w:r>
      <w:r w:rsidR="00AC6279">
        <w:t>2, viewed 10 October 2018, &lt;</w:t>
      </w:r>
      <w:hyperlink r:id="rId13" w:history="1">
        <w:r w:rsidR="00AC6279" w:rsidRPr="007D7463">
          <w:rPr>
            <w:rStyle w:val="Hyperlink"/>
          </w:rPr>
          <w:t>https://aifs.gov.au/agrc/sites/default/files/publication-documents/1706_argc_dp8_how_electronic_gambling_machines_work.pdf</w:t>
        </w:r>
      </w:hyperlink>
      <w:r w:rsidR="00AC6279">
        <w:t xml:space="preserve">&gt;. </w:t>
      </w:r>
    </w:p>
  </w:endnote>
  <w:endnote w:id="30">
    <w:p w14:paraId="5DC9BA5B" w14:textId="7400B7B8" w:rsidR="005D466F" w:rsidRDefault="005D466F" w:rsidP="005D466F">
      <w:pPr>
        <w:pStyle w:val="EndnoteText"/>
      </w:pPr>
      <w:r w:rsidRPr="006B4C5B">
        <w:endnoteRef/>
      </w:r>
      <w:r>
        <w:t xml:space="preserve"> </w:t>
      </w:r>
      <w:r w:rsidR="006B4C5B">
        <w:tab/>
      </w:r>
      <w:r w:rsidR="00581B50">
        <w:t xml:space="preserve">ibid, </w:t>
      </w:r>
      <w:r>
        <w:t>pp.14-16</w:t>
      </w:r>
      <w:r w:rsidR="00581B50">
        <w:t>.</w:t>
      </w:r>
    </w:p>
  </w:endnote>
  <w:endnote w:id="31">
    <w:p w14:paraId="6596B844" w14:textId="35A5E38E" w:rsidR="000B63AE" w:rsidRDefault="000B63AE">
      <w:pPr>
        <w:pStyle w:val="EndnoteText"/>
      </w:pPr>
      <w:r w:rsidRPr="006B4C5B">
        <w:endnoteRef/>
      </w:r>
      <w:r w:rsidRPr="006B4C5B">
        <w:t xml:space="preserve"> </w:t>
      </w:r>
      <w:r w:rsidR="006B4C5B">
        <w:tab/>
      </w:r>
      <w:r>
        <w:t>ibid, p. 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0548"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70549" w14:textId="77777777" w:rsidR="005363F7" w:rsidRDefault="005363F7"/>
  <w:p w14:paraId="5107054A" w14:textId="77777777" w:rsidR="005363F7" w:rsidRDefault="005363F7"/>
  <w:p w14:paraId="5107054B"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054C"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840">
      <w:rPr>
        <w:rStyle w:val="PageNumber"/>
        <w:noProof/>
      </w:rPr>
      <w:t>1</w:t>
    </w:r>
    <w:r>
      <w:rPr>
        <w:rStyle w:val="PageNumber"/>
      </w:rPr>
      <w:fldChar w:fldCharType="end"/>
    </w:r>
  </w:p>
  <w:p w14:paraId="5107054D" w14:textId="77777777" w:rsidR="005363F7" w:rsidRDefault="005363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054E"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5107054F" w14:textId="77777777" w:rsidR="00302FD8" w:rsidRDefault="00302FD8"/>
  <w:p w14:paraId="51070550"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17A6" w14:textId="77777777" w:rsidR="004A2660" w:rsidRDefault="004A2660">
      <w:r>
        <w:separator/>
      </w:r>
    </w:p>
    <w:p w14:paraId="63E81F08" w14:textId="77777777" w:rsidR="004A2660" w:rsidRDefault="004A2660"/>
  </w:footnote>
  <w:footnote w:type="continuationSeparator" w:id="0">
    <w:p w14:paraId="7A93117D" w14:textId="77777777" w:rsidR="004A2660" w:rsidRDefault="004A2660">
      <w:r>
        <w:continuationSeparator/>
      </w:r>
    </w:p>
    <w:p w14:paraId="7712E816" w14:textId="77777777" w:rsidR="004A2660" w:rsidRDefault="004A26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0DA573C"/>
    <w:multiLevelType w:val="hybridMultilevel"/>
    <w:tmpl w:val="BEF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49B43A8"/>
    <w:multiLevelType w:val="hybridMultilevel"/>
    <w:tmpl w:val="B33A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2"/>
  </w:num>
  <w:num w:numId="4">
    <w:abstractNumId w:val="20"/>
  </w:num>
  <w:num w:numId="5">
    <w:abstractNumId w:val="18"/>
  </w:num>
  <w:num w:numId="6">
    <w:abstractNumId w:val="21"/>
  </w:num>
  <w:num w:numId="7">
    <w:abstractNumId w:val="12"/>
  </w:num>
  <w:num w:numId="8">
    <w:abstractNumId w:val="25"/>
  </w:num>
  <w:num w:numId="9">
    <w:abstractNumId w:val="9"/>
  </w:num>
  <w:num w:numId="10">
    <w:abstractNumId w:val="24"/>
  </w:num>
  <w:num w:numId="11">
    <w:abstractNumId w:val="11"/>
  </w:num>
  <w:num w:numId="12">
    <w:abstractNumId w:val="6"/>
  </w:num>
  <w:num w:numId="13">
    <w:abstractNumId w:val="23"/>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7"/>
  </w:num>
  <w:num w:numId="25">
    <w:abstractNumId w:val="26"/>
  </w:num>
  <w:num w:numId="26">
    <w:abstractNumId w:val="15"/>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C2"/>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2E37"/>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EF5"/>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69"/>
    <w:rsid w:val="00044D90"/>
    <w:rsid w:val="0004507D"/>
    <w:rsid w:val="000454CC"/>
    <w:rsid w:val="00046C0E"/>
    <w:rsid w:val="00046F42"/>
    <w:rsid w:val="000471FF"/>
    <w:rsid w:val="00047B01"/>
    <w:rsid w:val="00047CBC"/>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86E"/>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C28"/>
    <w:rsid w:val="00066F37"/>
    <w:rsid w:val="00067018"/>
    <w:rsid w:val="00067248"/>
    <w:rsid w:val="00067529"/>
    <w:rsid w:val="000677B2"/>
    <w:rsid w:val="00067900"/>
    <w:rsid w:val="00067A96"/>
    <w:rsid w:val="00067D95"/>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5E37"/>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DC"/>
    <w:rsid w:val="000825FA"/>
    <w:rsid w:val="00082CD6"/>
    <w:rsid w:val="00082E7C"/>
    <w:rsid w:val="0008360A"/>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6C09"/>
    <w:rsid w:val="000A762F"/>
    <w:rsid w:val="000A7647"/>
    <w:rsid w:val="000A76C9"/>
    <w:rsid w:val="000A7831"/>
    <w:rsid w:val="000A7934"/>
    <w:rsid w:val="000A7A09"/>
    <w:rsid w:val="000A7F11"/>
    <w:rsid w:val="000B0144"/>
    <w:rsid w:val="000B0386"/>
    <w:rsid w:val="000B039C"/>
    <w:rsid w:val="000B07D4"/>
    <w:rsid w:val="000B0B60"/>
    <w:rsid w:val="000B1357"/>
    <w:rsid w:val="000B16EF"/>
    <w:rsid w:val="000B1876"/>
    <w:rsid w:val="000B2114"/>
    <w:rsid w:val="000B2A20"/>
    <w:rsid w:val="000B2AF8"/>
    <w:rsid w:val="000B35E3"/>
    <w:rsid w:val="000B4051"/>
    <w:rsid w:val="000B4866"/>
    <w:rsid w:val="000B4A23"/>
    <w:rsid w:val="000B5138"/>
    <w:rsid w:val="000B54FC"/>
    <w:rsid w:val="000B58B6"/>
    <w:rsid w:val="000B5CDA"/>
    <w:rsid w:val="000B63AE"/>
    <w:rsid w:val="000B69F9"/>
    <w:rsid w:val="000B6F08"/>
    <w:rsid w:val="000B705F"/>
    <w:rsid w:val="000B7BA2"/>
    <w:rsid w:val="000C03B8"/>
    <w:rsid w:val="000C06D1"/>
    <w:rsid w:val="000C0C16"/>
    <w:rsid w:val="000C1329"/>
    <w:rsid w:val="000C1B6B"/>
    <w:rsid w:val="000C22A7"/>
    <w:rsid w:val="000C31A7"/>
    <w:rsid w:val="000C363D"/>
    <w:rsid w:val="000C37C8"/>
    <w:rsid w:val="000C43C4"/>
    <w:rsid w:val="000C52BB"/>
    <w:rsid w:val="000C5437"/>
    <w:rsid w:val="000C57A3"/>
    <w:rsid w:val="000C5BD7"/>
    <w:rsid w:val="000C5D11"/>
    <w:rsid w:val="000C60EE"/>
    <w:rsid w:val="000C662B"/>
    <w:rsid w:val="000C68BD"/>
    <w:rsid w:val="000C7B0F"/>
    <w:rsid w:val="000C7C48"/>
    <w:rsid w:val="000D0B03"/>
    <w:rsid w:val="000D0D94"/>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5E25"/>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2EF"/>
    <w:rsid w:val="000F73C5"/>
    <w:rsid w:val="00100B87"/>
    <w:rsid w:val="00100C37"/>
    <w:rsid w:val="00100C86"/>
    <w:rsid w:val="00101373"/>
    <w:rsid w:val="00101589"/>
    <w:rsid w:val="001017B4"/>
    <w:rsid w:val="001027CF"/>
    <w:rsid w:val="00102A07"/>
    <w:rsid w:val="00102D95"/>
    <w:rsid w:val="00102D9C"/>
    <w:rsid w:val="00103BE9"/>
    <w:rsid w:val="00103FC7"/>
    <w:rsid w:val="001040C3"/>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151"/>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81"/>
    <w:rsid w:val="00121AE3"/>
    <w:rsid w:val="00121D44"/>
    <w:rsid w:val="00122740"/>
    <w:rsid w:val="00122B37"/>
    <w:rsid w:val="00122DF0"/>
    <w:rsid w:val="001232C5"/>
    <w:rsid w:val="00123B15"/>
    <w:rsid w:val="001244FA"/>
    <w:rsid w:val="0012505F"/>
    <w:rsid w:val="001250CD"/>
    <w:rsid w:val="001254E9"/>
    <w:rsid w:val="00125A2F"/>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1969"/>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172"/>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25E5"/>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1A5F"/>
    <w:rsid w:val="00172183"/>
    <w:rsid w:val="001728CB"/>
    <w:rsid w:val="00172970"/>
    <w:rsid w:val="001734E5"/>
    <w:rsid w:val="00173CE1"/>
    <w:rsid w:val="00174751"/>
    <w:rsid w:val="001747DD"/>
    <w:rsid w:val="001751C7"/>
    <w:rsid w:val="001761B3"/>
    <w:rsid w:val="00176412"/>
    <w:rsid w:val="00176562"/>
    <w:rsid w:val="001774D8"/>
    <w:rsid w:val="00177588"/>
    <w:rsid w:val="001779B0"/>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7C6"/>
    <w:rsid w:val="001949F5"/>
    <w:rsid w:val="00194AD4"/>
    <w:rsid w:val="00194B72"/>
    <w:rsid w:val="00194C6D"/>
    <w:rsid w:val="00194DDD"/>
    <w:rsid w:val="0019533C"/>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0E13"/>
    <w:rsid w:val="001B111D"/>
    <w:rsid w:val="001B162F"/>
    <w:rsid w:val="001B1863"/>
    <w:rsid w:val="001B1A7A"/>
    <w:rsid w:val="001B1EE2"/>
    <w:rsid w:val="001B2112"/>
    <w:rsid w:val="001B211B"/>
    <w:rsid w:val="001B2807"/>
    <w:rsid w:val="001B28B6"/>
    <w:rsid w:val="001B29BA"/>
    <w:rsid w:val="001B2F70"/>
    <w:rsid w:val="001B2FCD"/>
    <w:rsid w:val="001B30F5"/>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DAF"/>
    <w:rsid w:val="001D6EEF"/>
    <w:rsid w:val="001D7E58"/>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5B7"/>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5AA"/>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2E"/>
    <w:rsid w:val="00204192"/>
    <w:rsid w:val="00205671"/>
    <w:rsid w:val="00206353"/>
    <w:rsid w:val="0020643D"/>
    <w:rsid w:val="00206802"/>
    <w:rsid w:val="00206878"/>
    <w:rsid w:val="00206882"/>
    <w:rsid w:val="0020724A"/>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0FB3"/>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3F"/>
    <w:rsid w:val="002478AE"/>
    <w:rsid w:val="002478E4"/>
    <w:rsid w:val="002479B4"/>
    <w:rsid w:val="00250702"/>
    <w:rsid w:val="002507B5"/>
    <w:rsid w:val="00250A93"/>
    <w:rsid w:val="00250F34"/>
    <w:rsid w:val="0025148C"/>
    <w:rsid w:val="002527E2"/>
    <w:rsid w:val="002528E6"/>
    <w:rsid w:val="00252ABF"/>
    <w:rsid w:val="00252AE6"/>
    <w:rsid w:val="00253219"/>
    <w:rsid w:val="0025367C"/>
    <w:rsid w:val="0025393B"/>
    <w:rsid w:val="002539DE"/>
    <w:rsid w:val="00253EF6"/>
    <w:rsid w:val="002544EA"/>
    <w:rsid w:val="00254592"/>
    <w:rsid w:val="002554FB"/>
    <w:rsid w:val="00255619"/>
    <w:rsid w:val="00255650"/>
    <w:rsid w:val="00255695"/>
    <w:rsid w:val="00255977"/>
    <w:rsid w:val="00255AD3"/>
    <w:rsid w:val="00255C8A"/>
    <w:rsid w:val="002565ED"/>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54ED"/>
    <w:rsid w:val="002660F6"/>
    <w:rsid w:val="002662DE"/>
    <w:rsid w:val="00266CE7"/>
    <w:rsid w:val="002670F7"/>
    <w:rsid w:val="002670F9"/>
    <w:rsid w:val="00267612"/>
    <w:rsid w:val="00267DA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773"/>
    <w:rsid w:val="00275E45"/>
    <w:rsid w:val="00276951"/>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4C3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B99"/>
    <w:rsid w:val="00292FD6"/>
    <w:rsid w:val="002933B3"/>
    <w:rsid w:val="00294D77"/>
    <w:rsid w:val="00294DD4"/>
    <w:rsid w:val="0029564D"/>
    <w:rsid w:val="00295F5E"/>
    <w:rsid w:val="00295F60"/>
    <w:rsid w:val="00295F71"/>
    <w:rsid w:val="0029615B"/>
    <w:rsid w:val="002965BC"/>
    <w:rsid w:val="00296F85"/>
    <w:rsid w:val="002973AB"/>
    <w:rsid w:val="002977B2"/>
    <w:rsid w:val="0029781B"/>
    <w:rsid w:val="00297F31"/>
    <w:rsid w:val="002A045E"/>
    <w:rsid w:val="002A0C34"/>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0A0"/>
    <w:rsid w:val="002B4102"/>
    <w:rsid w:val="002B411A"/>
    <w:rsid w:val="002B43BC"/>
    <w:rsid w:val="002B490E"/>
    <w:rsid w:val="002B4A8C"/>
    <w:rsid w:val="002B4E62"/>
    <w:rsid w:val="002B5E59"/>
    <w:rsid w:val="002B5F9F"/>
    <w:rsid w:val="002B607A"/>
    <w:rsid w:val="002B615C"/>
    <w:rsid w:val="002B61B8"/>
    <w:rsid w:val="002B642E"/>
    <w:rsid w:val="002C0CC8"/>
    <w:rsid w:val="002C11C4"/>
    <w:rsid w:val="002C16DF"/>
    <w:rsid w:val="002C1933"/>
    <w:rsid w:val="002C1C71"/>
    <w:rsid w:val="002C24BD"/>
    <w:rsid w:val="002C2BFC"/>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2FA1"/>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75F"/>
    <w:rsid w:val="002F089B"/>
    <w:rsid w:val="002F0B7D"/>
    <w:rsid w:val="002F0C87"/>
    <w:rsid w:val="002F0EC7"/>
    <w:rsid w:val="002F1736"/>
    <w:rsid w:val="002F1993"/>
    <w:rsid w:val="002F1CBD"/>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3FB"/>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D49"/>
    <w:rsid w:val="00310543"/>
    <w:rsid w:val="003107A9"/>
    <w:rsid w:val="0031175C"/>
    <w:rsid w:val="00311D17"/>
    <w:rsid w:val="0031221C"/>
    <w:rsid w:val="003122AA"/>
    <w:rsid w:val="00312D6B"/>
    <w:rsid w:val="00312DD3"/>
    <w:rsid w:val="00312FD5"/>
    <w:rsid w:val="00313593"/>
    <w:rsid w:val="003139E1"/>
    <w:rsid w:val="00314320"/>
    <w:rsid w:val="00314679"/>
    <w:rsid w:val="0031519E"/>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14B"/>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D21"/>
    <w:rsid w:val="00330F22"/>
    <w:rsid w:val="0033208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5DDD"/>
    <w:rsid w:val="00346190"/>
    <w:rsid w:val="003468B6"/>
    <w:rsid w:val="00346958"/>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C6F"/>
    <w:rsid w:val="00357D2F"/>
    <w:rsid w:val="00360728"/>
    <w:rsid w:val="00360A0C"/>
    <w:rsid w:val="0036104C"/>
    <w:rsid w:val="003617F5"/>
    <w:rsid w:val="003628F9"/>
    <w:rsid w:val="00362CF0"/>
    <w:rsid w:val="00363F8E"/>
    <w:rsid w:val="00364470"/>
    <w:rsid w:val="00364548"/>
    <w:rsid w:val="003646CA"/>
    <w:rsid w:val="003648DB"/>
    <w:rsid w:val="003649C7"/>
    <w:rsid w:val="00365899"/>
    <w:rsid w:val="00365BB7"/>
    <w:rsid w:val="00365D44"/>
    <w:rsid w:val="00366020"/>
    <w:rsid w:val="00366217"/>
    <w:rsid w:val="00366618"/>
    <w:rsid w:val="00366A49"/>
    <w:rsid w:val="003678ED"/>
    <w:rsid w:val="00367C4F"/>
    <w:rsid w:val="00367CBE"/>
    <w:rsid w:val="00367E77"/>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3E87"/>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5DE4"/>
    <w:rsid w:val="00386482"/>
    <w:rsid w:val="00386BA9"/>
    <w:rsid w:val="00387462"/>
    <w:rsid w:val="00387698"/>
    <w:rsid w:val="0038793B"/>
    <w:rsid w:val="00387AEF"/>
    <w:rsid w:val="00387B48"/>
    <w:rsid w:val="00387E8D"/>
    <w:rsid w:val="0039023B"/>
    <w:rsid w:val="003905A8"/>
    <w:rsid w:val="003908AA"/>
    <w:rsid w:val="00391281"/>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5A02"/>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4E86"/>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1F2"/>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0FA"/>
    <w:rsid w:val="003C5AFB"/>
    <w:rsid w:val="003C67E9"/>
    <w:rsid w:val="003C6FCD"/>
    <w:rsid w:val="003C79DA"/>
    <w:rsid w:val="003C7A7F"/>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099"/>
    <w:rsid w:val="003E02FB"/>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3F7C8A"/>
    <w:rsid w:val="0040019B"/>
    <w:rsid w:val="00400377"/>
    <w:rsid w:val="00400491"/>
    <w:rsid w:val="004006BD"/>
    <w:rsid w:val="004007BB"/>
    <w:rsid w:val="00400CFD"/>
    <w:rsid w:val="00400F72"/>
    <w:rsid w:val="004013BC"/>
    <w:rsid w:val="00402B62"/>
    <w:rsid w:val="00402D20"/>
    <w:rsid w:val="0040311E"/>
    <w:rsid w:val="004038A0"/>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67AF"/>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47A4B"/>
    <w:rsid w:val="00450CA7"/>
    <w:rsid w:val="00450E29"/>
    <w:rsid w:val="00451082"/>
    <w:rsid w:val="00451C48"/>
    <w:rsid w:val="0045351A"/>
    <w:rsid w:val="004537B4"/>
    <w:rsid w:val="004539A1"/>
    <w:rsid w:val="004544BC"/>
    <w:rsid w:val="004546C3"/>
    <w:rsid w:val="00454A40"/>
    <w:rsid w:val="004551D5"/>
    <w:rsid w:val="00455F58"/>
    <w:rsid w:val="004564BE"/>
    <w:rsid w:val="00456655"/>
    <w:rsid w:val="00456D24"/>
    <w:rsid w:val="0045729F"/>
    <w:rsid w:val="004573F7"/>
    <w:rsid w:val="004574E2"/>
    <w:rsid w:val="00457A81"/>
    <w:rsid w:val="00457AAB"/>
    <w:rsid w:val="004601B2"/>
    <w:rsid w:val="0046032F"/>
    <w:rsid w:val="00460519"/>
    <w:rsid w:val="0046065B"/>
    <w:rsid w:val="00460FD9"/>
    <w:rsid w:val="004610EC"/>
    <w:rsid w:val="004611B1"/>
    <w:rsid w:val="00461268"/>
    <w:rsid w:val="00461327"/>
    <w:rsid w:val="004614CA"/>
    <w:rsid w:val="004621F8"/>
    <w:rsid w:val="004622A5"/>
    <w:rsid w:val="00462646"/>
    <w:rsid w:val="004626EB"/>
    <w:rsid w:val="00462C08"/>
    <w:rsid w:val="00462C40"/>
    <w:rsid w:val="00463ECF"/>
    <w:rsid w:val="004640A5"/>
    <w:rsid w:val="0046428D"/>
    <w:rsid w:val="0046450E"/>
    <w:rsid w:val="00464642"/>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ADF"/>
    <w:rsid w:val="00475940"/>
    <w:rsid w:val="004761A7"/>
    <w:rsid w:val="00476CCF"/>
    <w:rsid w:val="00476D01"/>
    <w:rsid w:val="00476D8A"/>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660"/>
    <w:rsid w:val="004A2804"/>
    <w:rsid w:val="004A29B2"/>
    <w:rsid w:val="004A29B3"/>
    <w:rsid w:val="004A2F68"/>
    <w:rsid w:val="004A36C6"/>
    <w:rsid w:val="004A3D9E"/>
    <w:rsid w:val="004A4E31"/>
    <w:rsid w:val="004A5083"/>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59D3"/>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0E0C"/>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90A"/>
    <w:rsid w:val="004E0A75"/>
    <w:rsid w:val="004E0B3F"/>
    <w:rsid w:val="004E0D1D"/>
    <w:rsid w:val="004E14B8"/>
    <w:rsid w:val="004E1DB4"/>
    <w:rsid w:val="004E1E35"/>
    <w:rsid w:val="004E2110"/>
    <w:rsid w:val="004E254A"/>
    <w:rsid w:val="004E26CB"/>
    <w:rsid w:val="004E3213"/>
    <w:rsid w:val="004E3255"/>
    <w:rsid w:val="004E3338"/>
    <w:rsid w:val="004E3B7A"/>
    <w:rsid w:val="004E3CEB"/>
    <w:rsid w:val="004E4659"/>
    <w:rsid w:val="004E4B03"/>
    <w:rsid w:val="004E4E17"/>
    <w:rsid w:val="004E5872"/>
    <w:rsid w:val="004E5D63"/>
    <w:rsid w:val="004E5DEB"/>
    <w:rsid w:val="004E6617"/>
    <w:rsid w:val="004E693B"/>
    <w:rsid w:val="004E6ED3"/>
    <w:rsid w:val="004E7459"/>
    <w:rsid w:val="004E7ABF"/>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25A9"/>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1D4D"/>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0AF9"/>
    <w:rsid w:val="00521139"/>
    <w:rsid w:val="00521725"/>
    <w:rsid w:val="0052175E"/>
    <w:rsid w:val="00522AD0"/>
    <w:rsid w:val="00522B23"/>
    <w:rsid w:val="00522BFC"/>
    <w:rsid w:val="00522CA9"/>
    <w:rsid w:val="00522E09"/>
    <w:rsid w:val="00522EFA"/>
    <w:rsid w:val="005233E4"/>
    <w:rsid w:val="0052359F"/>
    <w:rsid w:val="00523E8E"/>
    <w:rsid w:val="0052476F"/>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4ED"/>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53C"/>
    <w:rsid w:val="00540720"/>
    <w:rsid w:val="0054094E"/>
    <w:rsid w:val="00540AD1"/>
    <w:rsid w:val="005426C3"/>
    <w:rsid w:val="00542C0F"/>
    <w:rsid w:val="00542D06"/>
    <w:rsid w:val="00542E4E"/>
    <w:rsid w:val="00543087"/>
    <w:rsid w:val="00543A31"/>
    <w:rsid w:val="00543AE9"/>
    <w:rsid w:val="00543E2F"/>
    <w:rsid w:val="005442DF"/>
    <w:rsid w:val="00544747"/>
    <w:rsid w:val="00545029"/>
    <w:rsid w:val="00545620"/>
    <w:rsid w:val="00545AD8"/>
    <w:rsid w:val="00545D2F"/>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1C5"/>
    <w:rsid w:val="005525C4"/>
    <w:rsid w:val="00552759"/>
    <w:rsid w:val="0055280A"/>
    <w:rsid w:val="00552915"/>
    <w:rsid w:val="0055299B"/>
    <w:rsid w:val="0055321E"/>
    <w:rsid w:val="005536C2"/>
    <w:rsid w:val="00553A1F"/>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1B50"/>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43"/>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1A35"/>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4E91"/>
    <w:rsid w:val="005C50A6"/>
    <w:rsid w:val="005C50FE"/>
    <w:rsid w:val="005C52AC"/>
    <w:rsid w:val="005C532D"/>
    <w:rsid w:val="005C7131"/>
    <w:rsid w:val="005C731B"/>
    <w:rsid w:val="005C7726"/>
    <w:rsid w:val="005C7E2F"/>
    <w:rsid w:val="005D00E9"/>
    <w:rsid w:val="005D0275"/>
    <w:rsid w:val="005D0D2D"/>
    <w:rsid w:val="005D117B"/>
    <w:rsid w:val="005D1596"/>
    <w:rsid w:val="005D1782"/>
    <w:rsid w:val="005D17B9"/>
    <w:rsid w:val="005D1E03"/>
    <w:rsid w:val="005D20D0"/>
    <w:rsid w:val="005D27C0"/>
    <w:rsid w:val="005D2BE4"/>
    <w:rsid w:val="005D2D5C"/>
    <w:rsid w:val="005D306F"/>
    <w:rsid w:val="005D3984"/>
    <w:rsid w:val="005D466F"/>
    <w:rsid w:val="005D502C"/>
    <w:rsid w:val="005D5636"/>
    <w:rsid w:val="005D5BB7"/>
    <w:rsid w:val="005D5CC3"/>
    <w:rsid w:val="005D5D49"/>
    <w:rsid w:val="005D6019"/>
    <w:rsid w:val="005D6457"/>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35D"/>
    <w:rsid w:val="006018AA"/>
    <w:rsid w:val="00601BF3"/>
    <w:rsid w:val="00601C3A"/>
    <w:rsid w:val="00602059"/>
    <w:rsid w:val="00602283"/>
    <w:rsid w:val="00603AA1"/>
    <w:rsid w:val="00603E9C"/>
    <w:rsid w:val="00603ED7"/>
    <w:rsid w:val="00603F4E"/>
    <w:rsid w:val="006040A7"/>
    <w:rsid w:val="00604687"/>
    <w:rsid w:val="0060484A"/>
    <w:rsid w:val="00605A01"/>
    <w:rsid w:val="00605A86"/>
    <w:rsid w:val="00606C10"/>
    <w:rsid w:val="0060745B"/>
    <w:rsid w:val="00607593"/>
    <w:rsid w:val="0061012C"/>
    <w:rsid w:val="006104EE"/>
    <w:rsid w:val="006107BA"/>
    <w:rsid w:val="00610C46"/>
    <w:rsid w:val="00610F08"/>
    <w:rsid w:val="006115A3"/>
    <w:rsid w:val="00611729"/>
    <w:rsid w:val="00611AD5"/>
    <w:rsid w:val="00611B39"/>
    <w:rsid w:val="00612556"/>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0A7B"/>
    <w:rsid w:val="00622604"/>
    <w:rsid w:val="006227DD"/>
    <w:rsid w:val="00622F82"/>
    <w:rsid w:val="0062336D"/>
    <w:rsid w:val="00623DA3"/>
    <w:rsid w:val="00623F4C"/>
    <w:rsid w:val="006245DC"/>
    <w:rsid w:val="0062536F"/>
    <w:rsid w:val="00625492"/>
    <w:rsid w:val="0062588A"/>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ED2"/>
    <w:rsid w:val="00637F03"/>
    <w:rsid w:val="006408E8"/>
    <w:rsid w:val="006409BD"/>
    <w:rsid w:val="00640E50"/>
    <w:rsid w:val="00640FF1"/>
    <w:rsid w:val="00641156"/>
    <w:rsid w:val="00641B60"/>
    <w:rsid w:val="0064266E"/>
    <w:rsid w:val="0064287F"/>
    <w:rsid w:val="006428AB"/>
    <w:rsid w:val="00643008"/>
    <w:rsid w:val="00643809"/>
    <w:rsid w:val="00643C58"/>
    <w:rsid w:val="00644558"/>
    <w:rsid w:val="00644768"/>
    <w:rsid w:val="00644847"/>
    <w:rsid w:val="006454A0"/>
    <w:rsid w:val="006461AC"/>
    <w:rsid w:val="006462B7"/>
    <w:rsid w:val="00646435"/>
    <w:rsid w:val="00646966"/>
    <w:rsid w:val="006469BC"/>
    <w:rsid w:val="00646B49"/>
    <w:rsid w:val="006470CB"/>
    <w:rsid w:val="00647756"/>
    <w:rsid w:val="00647CA5"/>
    <w:rsid w:val="00650286"/>
    <w:rsid w:val="006507D6"/>
    <w:rsid w:val="006508C4"/>
    <w:rsid w:val="0065103A"/>
    <w:rsid w:val="006511F1"/>
    <w:rsid w:val="00651487"/>
    <w:rsid w:val="0065282D"/>
    <w:rsid w:val="00652C4A"/>
    <w:rsid w:val="00652E8D"/>
    <w:rsid w:val="006535BE"/>
    <w:rsid w:val="00653B20"/>
    <w:rsid w:val="00654944"/>
    <w:rsid w:val="00654964"/>
    <w:rsid w:val="0065506E"/>
    <w:rsid w:val="00655168"/>
    <w:rsid w:val="0065550A"/>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4F2F"/>
    <w:rsid w:val="00665105"/>
    <w:rsid w:val="00665197"/>
    <w:rsid w:val="006654B0"/>
    <w:rsid w:val="0066568F"/>
    <w:rsid w:val="00665D3E"/>
    <w:rsid w:val="0066618F"/>
    <w:rsid w:val="00666450"/>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4782"/>
    <w:rsid w:val="00675105"/>
    <w:rsid w:val="0067525D"/>
    <w:rsid w:val="00675C04"/>
    <w:rsid w:val="00675C6E"/>
    <w:rsid w:val="006766BA"/>
    <w:rsid w:val="00676AE5"/>
    <w:rsid w:val="00676EDF"/>
    <w:rsid w:val="006772FB"/>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87F76"/>
    <w:rsid w:val="00690440"/>
    <w:rsid w:val="00690508"/>
    <w:rsid w:val="00690577"/>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6AF"/>
    <w:rsid w:val="006B37B8"/>
    <w:rsid w:val="006B38A8"/>
    <w:rsid w:val="006B39FB"/>
    <w:rsid w:val="006B3E41"/>
    <w:rsid w:val="006B46B5"/>
    <w:rsid w:val="006B48D3"/>
    <w:rsid w:val="006B4C5B"/>
    <w:rsid w:val="006B4F91"/>
    <w:rsid w:val="006B51C1"/>
    <w:rsid w:val="006B533D"/>
    <w:rsid w:val="006B5598"/>
    <w:rsid w:val="006B7472"/>
    <w:rsid w:val="006B74A7"/>
    <w:rsid w:val="006B74DC"/>
    <w:rsid w:val="006B7619"/>
    <w:rsid w:val="006B7943"/>
    <w:rsid w:val="006C0AEF"/>
    <w:rsid w:val="006C0D30"/>
    <w:rsid w:val="006C1086"/>
    <w:rsid w:val="006C1447"/>
    <w:rsid w:val="006C279D"/>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BFE"/>
    <w:rsid w:val="006D7C2A"/>
    <w:rsid w:val="006E0884"/>
    <w:rsid w:val="006E0F37"/>
    <w:rsid w:val="006E1825"/>
    <w:rsid w:val="006E2A25"/>
    <w:rsid w:val="006E3531"/>
    <w:rsid w:val="006E3A95"/>
    <w:rsid w:val="006E3CF2"/>
    <w:rsid w:val="006E3D94"/>
    <w:rsid w:val="006E4094"/>
    <w:rsid w:val="006E47D5"/>
    <w:rsid w:val="006E4FAE"/>
    <w:rsid w:val="006E510B"/>
    <w:rsid w:val="006E519B"/>
    <w:rsid w:val="006E577F"/>
    <w:rsid w:val="006E59C4"/>
    <w:rsid w:val="006E5A7C"/>
    <w:rsid w:val="006E75EF"/>
    <w:rsid w:val="006E79D5"/>
    <w:rsid w:val="006E7B75"/>
    <w:rsid w:val="006F00AF"/>
    <w:rsid w:val="006F00F4"/>
    <w:rsid w:val="006F0739"/>
    <w:rsid w:val="006F08DA"/>
    <w:rsid w:val="006F1050"/>
    <w:rsid w:val="006F1743"/>
    <w:rsid w:val="006F188F"/>
    <w:rsid w:val="006F1E87"/>
    <w:rsid w:val="006F1FC6"/>
    <w:rsid w:val="006F2204"/>
    <w:rsid w:val="006F2339"/>
    <w:rsid w:val="006F24CA"/>
    <w:rsid w:val="006F2669"/>
    <w:rsid w:val="006F294B"/>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6F78"/>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9ED"/>
    <w:rsid w:val="00725E2E"/>
    <w:rsid w:val="007262F0"/>
    <w:rsid w:val="0072645E"/>
    <w:rsid w:val="007266A0"/>
    <w:rsid w:val="007269B3"/>
    <w:rsid w:val="00727158"/>
    <w:rsid w:val="007277F8"/>
    <w:rsid w:val="00727ECC"/>
    <w:rsid w:val="00727FD8"/>
    <w:rsid w:val="0073003E"/>
    <w:rsid w:val="00730601"/>
    <w:rsid w:val="00730D41"/>
    <w:rsid w:val="00730DB4"/>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37EE3"/>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4D5"/>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501"/>
    <w:rsid w:val="00792625"/>
    <w:rsid w:val="00792959"/>
    <w:rsid w:val="00792DFE"/>
    <w:rsid w:val="00792ED0"/>
    <w:rsid w:val="00793831"/>
    <w:rsid w:val="00793B73"/>
    <w:rsid w:val="00793D5B"/>
    <w:rsid w:val="007943BF"/>
    <w:rsid w:val="007944CC"/>
    <w:rsid w:val="00795136"/>
    <w:rsid w:val="00795838"/>
    <w:rsid w:val="007959ED"/>
    <w:rsid w:val="00796327"/>
    <w:rsid w:val="007969AA"/>
    <w:rsid w:val="00797054"/>
    <w:rsid w:val="00797169"/>
    <w:rsid w:val="00797380"/>
    <w:rsid w:val="0079764A"/>
    <w:rsid w:val="0079791B"/>
    <w:rsid w:val="00797BC9"/>
    <w:rsid w:val="00797C1E"/>
    <w:rsid w:val="00797CAD"/>
    <w:rsid w:val="007A093C"/>
    <w:rsid w:val="007A0E6C"/>
    <w:rsid w:val="007A0EA2"/>
    <w:rsid w:val="007A115F"/>
    <w:rsid w:val="007A1371"/>
    <w:rsid w:val="007A21AD"/>
    <w:rsid w:val="007A2247"/>
    <w:rsid w:val="007A23C9"/>
    <w:rsid w:val="007A2479"/>
    <w:rsid w:val="007A2551"/>
    <w:rsid w:val="007A3097"/>
    <w:rsid w:val="007A4A59"/>
    <w:rsid w:val="007A53F3"/>
    <w:rsid w:val="007A6989"/>
    <w:rsid w:val="007A73D1"/>
    <w:rsid w:val="007A75F8"/>
    <w:rsid w:val="007B027E"/>
    <w:rsid w:val="007B02F5"/>
    <w:rsid w:val="007B0A90"/>
    <w:rsid w:val="007B0FE5"/>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5B0"/>
    <w:rsid w:val="007C2A95"/>
    <w:rsid w:val="007C2D2F"/>
    <w:rsid w:val="007C2E6C"/>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B0F"/>
    <w:rsid w:val="007E02E8"/>
    <w:rsid w:val="007E0618"/>
    <w:rsid w:val="007E0689"/>
    <w:rsid w:val="007E0BF8"/>
    <w:rsid w:val="007E12E8"/>
    <w:rsid w:val="007E1650"/>
    <w:rsid w:val="007E1B64"/>
    <w:rsid w:val="007E1BBB"/>
    <w:rsid w:val="007E262C"/>
    <w:rsid w:val="007E265A"/>
    <w:rsid w:val="007E353D"/>
    <w:rsid w:val="007E39A7"/>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1E77"/>
    <w:rsid w:val="007F2141"/>
    <w:rsid w:val="007F23E4"/>
    <w:rsid w:val="007F2984"/>
    <w:rsid w:val="007F2A49"/>
    <w:rsid w:val="007F2B1C"/>
    <w:rsid w:val="007F2EB1"/>
    <w:rsid w:val="007F2FBE"/>
    <w:rsid w:val="007F3851"/>
    <w:rsid w:val="007F3ACD"/>
    <w:rsid w:val="007F45C5"/>
    <w:rsid w:val="007F4840"/>
    <w:rsid w:val="007F5E02"/>
    <w:rsid w:val="007F62AE"/>
    <w:rsid w:val="007F6922"/>
    <w:rsid w:val="007F6C2A"/>
    <w:rsid w:val="007F70FA"/>
    <w:rsid w:val="007F71C9"/>
    <w:rsid w:val="007F7634"/>
    <w:rsid w:val="007F7CAC"/>
    <w:rsid w:val="007F7EAB"/>
    <w:rsid w:val="008000DF"/>
    <w:rsid w:val="00800D53"/>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3B30"/>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7E"/>
    <w:rsid w:val="00822A82"/>
    <w:rsid w:val="0082315F"/>
    <w:rsid w:val="00823568"/>
    <w:rsid w:val="0082397E"/>
    <w:rsid w:val="00824DD9"/>
    <w:rsid w:val="0082547D"/>
    <w:rsid w:val="00825AC1"/>
    <w:rsid w:val="00825C2B"/>
    <w:rsid w:val="00825C74"/>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1DE8"/>
    <w:rsid w:val="008325EF"/>
    <w:rsid w:val="008327BF"/>
    <w:rsid w:val="00832B66"/>
    <w:rsid w:val="0083315B"/>
    <w:rsid w:val="008332DA"/>
    <w:rsid w:val="008332EE"/>
    <w:rsid w:val="008334F3"/>
    <w:rsid w:val="00833743"/>
    <w:rsid w:val="00833D88"/>
    <w:rsid w:val="00833E66"/>
    <w:rsid w:val="00833FE3"/>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7DE"/>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05E"/>
    <w:rsid w:val="00857845"/>
    <w:rsid w:val="00860016"/>
    <w:rsid w:val="008603DF"/>
    <w:rsid w:val="008606B3"/>
    <w:rsid w:val="00860756"/>
    <w:rsid w:val="00860B82"/>
    <w:rsid w:val="00860D96"/>
    <w:rsid w:val="00860F24"/>
    <w:rsid w:val="00860FD6"/>
    <w:rsid w:val="008615BE"/>
    <w:rsid w:val="00861A61"/>
    <w:rsid w:val="00861D77"/>
    <w:rsid w:val="00862223"/>
    <w:rsid w:val="0086247F"/>
    <w:rsid w:val="008624A3"/>
    <w:rsid w:val="008628AF"/>
    <w:rsid w:val="008629C6"/>
    <w:rsid w:val="00862BDD"/>
    <w:rsid w:val="00862E5D"/>
    <w:rsid w:val="008634F3"/>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3F0D"/>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3B75"/>
    <w:rsid w:val="00883E49"/>
    <w:rsid w:val="0088405E"/>
    <w:rsid w:val="00884225"/>
    <w:rsid w:val="00884D3F"/>
    <w:rsid w:val="00884EE2"/>
    <w:rsid w:val="00885E97"/>
    <w:rsid w:val="00885F5D"/>
    <w:rsid w:val="008861E2"/>
    <w:rsid w:val="00886399"/>
    <w:rsid w:val="00886888"/>
    <w:rsid w:val="00886E83"/>
    <w:rsid w:val="00886F42"/>
    <w:rsid w:val="008901DB"/>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252"/>
    <w:rsid w:val="00896729"/>
    <w:rsid w:val="00896F33"/>
    <w:rsid w:val="00897228"/>
    <w:rsid w:val="0089758A"/>
    <w:rsid w:val="00897A59"/>
    <w:rsid w:val="00897A9E"/>
    <w:rsid w:val="008A0013"/>
    <w:rsid w:val="008A00BF"/>
    <w:rsid w:val="008A024F"/>
    <w:rsid w:val="008A112A"/>
    <w:rsid w:val="008A15E6"/>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5F8E"/>
    <w:rsid w:val="008A6033"/>
    <w:rsid w:val="008A6AED"/>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23F"/>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6E3"/>
    <w:rsid w:val="008C4B52"/>
    <w:rsid w:val="008C5453"/>
    <w:rsid w:val="008C5EAD"/>
    <w:rsid w:val="008C5F4C"/>
    <w:rsid w:val="008C62A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5AE6"/>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6AB8"/>
    <w:rsid w:val="0091729A"/>
    <w:rsid w:val="00917913"/>
    <w:rsid w:val="00917A26"/>
    <w:rsid w:val="00917A7D"/>
    <w:rsid w:val="00917C4A"/>
    <w:rsid w:val="00917E93"/>
    <w:rsid w:val="00920477"/>
    <w:rsid w:val="0092053F"/>
    <w:rsid w:val="00920AE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DC"/>
    <w:rsid w:val="009250FD"/>
    <w:rsid w:val="009252E0"/>
    <w:rsid w:val="0092547A"/>
    <w:rsid w:val="00925F78"/>
    <w:rsid w:val="00926518"/>
    <w:rsid w:val="00926820"/>
    <w:rsid w:val="00926A54"/>
    <w:rsid w:val="00926C5F"/>
    <w:rsid w:val="00926DC7"/>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072"/>
    <w:rsid w:val="0093355E"/>
    <w:rsid w:val="00934462"/>
    <w:rsid w:val="009347B0"/>
    <w:rsid w:val="00934860"/>
    <w:rsid w:val="00934ADF"/>
    <w:rsid w:val="00934B10"/>
    <w:rsid w:val="00935218"/>
    <w:rsid w:val="009354E8"/>
    <w:rsid w:val="00935DC1"/>
    <w:rsid w:val="00935FCD"/>
    <w:rsid w:val="0093638E"/>
    <w:rsid w:val="0093664F"/>
    <w:rsid w:val="00936A66"/>
    <w:rsid w:val="00936D4F"/>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086"/>
    <w:rsid w:val="00944141"/>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398D"/>
    <w:rsid w:val="009841E3"/>
    <w:rsid w:val="009843F3"/>
    <w:rsid w:val="00984437"/>
    <w:rsid w:val="0098454B"/>
    <w:rsid w:val="009846C3"/>
    <w:rsid w:val="009847AE"/>
    <w:rsid w:val="00984EC1"/>
    <w:rsid w:val="00984F54"/>
    <w:rsid w:val="00985093"/>
    <w:rsid w:val="009851E4"/>
    <w:rsid w:val="00985469"/>
    <w:rsid w:val="00985479"/>
    <w:rsid w:val="0098548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1D"/>
    <w:rsid w:val="00993A62"/>
    <w:rsid w:val="00994062"/>
    <w:rsid w:val="009942BA"/>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05E1"/>
    <w:rsid w:val="009B079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B7CFA"/>
    <w:rsid w:val="009C04A7"/>
    <w:rsid w:val="009C0845"/>
    <w:rsid w:val="009C087B"/>
    <w:rsid w:val="009C0EAA"/>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0925"/>
    <w:rsid w:val="009E14A5"/>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01B"/>
    <w:rsid w:val="009F11D7"/>
    <w:rsid w:val="009F1427"/>
    <w:rsid w:val="009F2037"/>
    <w:rsid w:val="009F22FF"/>
    <w:rsid w:val="009F241C"/>
    <w:rsid w:val="009F275E"/>
    <w:rsid w:val="009F2A16"/>
    <w:rsid w:val="009F3288"/>
    <w:rsid w:val="009F3783"/>
    <w:rsid w:val="009F39F1"/>
    <w:rsid w:val="009F3D94"/>
    <w:rsid w:val="009F3FC5"/>
    <w:rsid w:val="009F40CE"/>
    <w:rsid w:val="009F5F47"/>
    <w:rsid w:val="009F6377"/>
    <w:rsid w:val="009F6D30"/>
    <w:rsid w:val="009F7044"/>
    <w:rsid w:val="009F7184"/>
    <w:rsid w:val="009F720D"/>
    <w:rsid w:val="009F7B90"/>
    <w:rsid w:val="00A005D1"/>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63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0C"/>
    <w:rsid w:val="00A31B59"/>
    <w:rsid w:val="00A32253"/>
    <w:rsid w:val="00A32657"/>
    <w:rsid w:val="00A32FF7"/>
    <w:rsid w:val="00A33391"/>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29A4"/>
    <w:rsid w:val="00A4396D"/>
    <w:rsid w:val="00A4434C"/>
    <w:rsid w:val="00A4454B"/>
    <w:rsid w:val="00A44AC1"/>
    <w:rsid w:val="00A44FA8"/>
    <w:rsid w:val="00A457DD"/>
    <w:rsid w:val="00A45BEF"/>
    <w:rsid w:val="00A46132"/>
    <w:rsid w:val="00A46350"/>
    <w:rsid w:val="00A46577"/>
    <w:rsid w:val="00A46629"/>
    <w:rsid w:val="00A46B49"/>
    <w:rsid w:val="00A473F2"/>
    <w:rsid w:val="00A47415"/>
    <w:rsid w:val="00A47B9B"/>
    <w:rsid w:val="00A505A9"/>
    <w:rsid w:val="00A50811"/>
    <w:rsid w:val="00A50895"/>
    <w:rsid w:val="00A50EF7"/>
    <w:rsid w:val="00A51219"/>
    <w:rsid w:val="00A52342"/>
    <w:rsid w:val="00A525B4"/>
    <w:rsid w:val="00A52811"/>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57"/>
    <w:rsid w:val="00A672A0"/>
    <w:rsid w:val="00A701D8"/>
    <w:rsid w:val="00A702DD"/>
    <w:rsid w:val="00A7053C"/>
    <w:rsid w:val="00A71829"/>
    <w:rsid w:val="00A71F28"/>
    <w:rsid w:val="00A72A31"/>
    <w:rsid w:val="00A72E60"/>
    <w:rsid w:val="00A72E7F"/>
    <w:rsid w:val="00A7350B"/>
    <w:rsid w:val="00A735D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3D35"/>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01E"/>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6279"/>
    <w:rsid w:val="00AC76D1"/>
    <w:rsid w:val="00AC7ABF"/>
    <w:rsid w:val="00AC7EDE"/>
    <w:rsid w:val="00AD02F5"/>
    <w:rsid w:val="00AD03F0"/>
    <w:rsid w:val="00AD0D35"/>
    <w:rsid w:val="00AD1986"/>
    <w:rsid w:val="00AD1E31"/>
    <w:rsid w:val="00AD1EA4"/>
    <w:rsid w:val="00AD20A6"/>
    <w:rsid w:val="00AD2B5B"/>
    <w:rsid w:val="00AD2D8E"/>
    <w:rsid w:val="00AD2E0E"/>
    <w:rsid w:val="00AD36EC"/>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3BB"/>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6D8"/>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5C36"/>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293A"/>
    <w:rsid w:val="00B13393"/>
    <w:rsid w:val="00B133ED"/>
    <w:rsid w:val="00B13469"/>
    <w:rsid w:val="00B13A39"/>
    <w:rsid w:val="00B13AD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13B"/>
    <w:rsid w:val="00B33B04"/>
    <w:rsid w:val="00B33B7C"/>
    <w:rsid w:val="00B33C07"/>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03A"/>
    <w:rsid w:val="00B42D76"/>
    <w:rsid w:val="00B431EB"/>
    <w:rsid w:val="00B432C9"/>
    <w:rsid w:val="00B433DD"/>
    <w:rsid w:val="00B43AF3"/>
    <w:rsid w:val="00B43BDF"/>
    <w:rsid w:val="00B44C63"/>
    <w:rsid w:val="00B4516C"/>
    <w:rsid w:val="00B45A3C"/>
    <w:rsid w:val="00B4601E"/>
    <w:rsid w:val="00B46118"/>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2BC"/>
    <w:rsid w:val="00B614D7"/>
    <w:rsid w:val="00B61C8B"/>
    <w:rsid w:val="00B61E59"/>
    <w:rsid w:val="00B628F3"/>
    <w:rsid w:val="00B63E81"/>
    <w:rsid w:val="00B6414F"/>
    <w:rsid w:val="00B643E6"/>
    <w:rsid w:val="00B6443F"/>
    <w:rsid w:val="00B6469C"/>
    <w:rsid w:val="00B64783"/>
    <w:rsid w:val="00B6486C"/>
    <w:rsid w:val="00B648B7"/>
    <w:rsid w:val="00B64DCE"/>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225"/>
    <w:rsid w:val="00B76640"/>
    <w:rsid w:val="00B770B7"/>
    <w:rsid w:val="00B772A1"/>
    <w:rsid w:val="00B7797F"/>
    <w:rsid w:val="00B77B72"/>
    <w:rsid w:val="00B80BB7"/>
    <w:rsid w:val="00B80D75"/>
    <w:rsid w:val="00B80E8D"/>
    <w:rsid w:val="00B80F06"/>
    <w:rsid w:val="00B8118D"/>
    <w:rsid w:val="00B816FC"/>
    <w:rsid w:val="00B82071"/>
    <w:rsid w:val="00B84A18"/>
    <w:rsid w:val="00B84D80"/>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AB0"/>
    <w:rsid w:val="00BA1D60"/>
    <w:rsid w:val="00BA1F09"/>
    <w:rsid w:val="00BA2650"/>
    <w:rsid w:val="00BA26D3"/>
    <w:rsid w:val="00BA287F"/>
    <w:rsid w:val="00BA2975"/>
    <w:rsid w:val="00BA2F53"/>
    <w:rsid w:val="00BA4390"/>
    <w:rsid w:val="00BA4619"/>
    <w:rsid w:val="00BA486D"/>
    <w:rsid w:val="00BA4DBF"/>
    <w:rsid w:val="00BA5763"/>
    <w:rsid w:val="00BA5B17"/>
    <w:rsid w:val="00BA5DD9"/>
    <w:rsid w:val="00BA6C87"/>
    <w:rsid w:val="00BA6F23"/>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7A2"/>
    <w:rsid w:val="00BB2208"/>
    <w:rsid w:val="00BB2EE5"/>
    <w:rsid w:val="00BB2F5D"/>
    <w:rsid w:val="00BB3173"/>
    <w:rsid w:val="00BB31E0"/>
    <w:rsid w:val="00BB330E"/>
    <w:rsid w:val="00BB3CDA"/>
    <w:rsid w:val="00BB510A"/>
    <w:rsid w:val="00BB5243"/>
    <w:rsid w:val="00BB5D24"/>
    <w:rsid w:val="00BB6424"/>
    <w:rsid w:val="00BB64B7"/>
    <w:rsid w:val="00BB65D9"/>
    <w:rsid w:val="00BB6D92"/>
    <w:rsid w:val="00BB6ED6"/>
    <w:rsid w:val="00BB70B9"/>
    <w:rsid w:val="00BB7D87"/>
    <w:rsid w:val="00BC02F3"/>
    <w:rsid w:val="00BC06B9"/>
    <w:rsid w:val="00BC0AD0"/>
    <w:rsid w:val="00BC0E35"/>
    <w:rsid w:val="00BC130C"/>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0C6B"/>
    <w:rsid w:val="00BE112F"/>
    <w:rsid w:val="00BE186B"/>
    <w:rsid w:val="00BE1890"/>
    <w:rsid w:val="00BE1AD8"/>
    <w:rsid w:val="00BE1AFA"/>
    <w:rsid w:val="00BE2447"/>
    <w:rsid w:val="00BE27ED"/>
    <w:rsid w:val="00BE2DEA"/>
    <w:rsid w:val="00BE2F1B"/>
    <w:rsid w:val="00BE37DD"/>
    <w:rsid w:val="00BE3FDB"/>
    <w:rsid w:val="00BE47E1"/>
    <w:rsid w:val="00BE482F"/>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8BA"/>
    <w:rsid w:val="00BF1962"/>
    <w:rsid w:val="00BF1B58"/>
    <w:rsid w:val="00BF2143"/>
    <w:rsid w:val="00BF2496"/>
    <w:rsid w:val="00BF2DA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8D8"/>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76D"/>
    <w:rsid w:val="00C21B13"/>
    <w:rsid w:val="00C21E89"/>
    <w:rsid w:val="00C221EE"/>
    <w:rsid w:val="00C221FA"/>
    <w:rsid w:val="00C22916"/>
    <w:rsid w:val="00C22DA9"/>
    <w:rsid w:val="00C236C0"/>
    <w:rsid w:val="00C23822"/>
    <w:rsid w:val="00C23D34"/>
    <w:rsid w:val="00C23E0D"/>
    <w:rsid w:val="00C2491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12A"/>
    <w:rsid w:val="00C32220"/>
    <w:rsid w:val="00C3245E"/>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8AE"/>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628"/>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1C8"/>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699A"/>
    <w:rsid w:val="00C97036"/>
    <w:rsid w:val="00C973BA"/>
    <w:rsid w:val="00C97B38"/>
    <w:rsid w:val="00C97ED5"/>
    <w:rsid w:val="00CA0056"/>
    <w:rsid w:val="00CA04CC"/>
    <w:rsid w:val="00CA0599"/>
    <w:rsid w:val="00CA0A47"/>
    <w:rsid w:val="00CA1333"/>
    <w:rsid w:val="00CA1DCB"/>
    <w:rsid w:val="00CA1E51"/>
    <w:rsid w:val="00CA25E2"/>
    <w:rsid w:val="00CA2C6C"/>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752"/>
    <w:rsid w:val="00CB1D08"/>
    <w:rsid w:val="00CB1EB9"/>
    <w:rsid w:val="00CB25F1"/>
    <w:rsid w:val="00CB2739"/>
    <w:rsid w:val="00CB33E0"/>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9BB"/>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02B0"/>
    <w:rsid w:val="00CE1502"/>
    <w:rsid w:val="00CE1D33"/>
    <w:rsid w:val="00CE22EF"/>
    <w:rsid w:val="00CE24A4"/>
    <w:rsid w:val="00CE31D2"/>
    <w:rsid w:val="00CE33DC"/>
    <w:rsid w:val="00CE39DE"/>
    <w:rsid w:val="00CE42D1"/>
    <w:rsid w:val="00CE4428"/>
    <w:rsid w:val="00CE473B"/>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42F"/>
    <w:rsid w:val="00CF343C"/>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363"/>
    <w:rsid w:val="00CF7716"/>
    <w:rsid w:val="00CF7815"/>
    <w:rsid w:val="00CF7AB8"/>
    <w:rsid w:val="00CF7D51"/>
    <w:rsid w:val="00D0000D"/>
    <w:rsid w:val="00D018AA"/>
    <w:rsid w:val="00D01B14"/>
    <w:rsid w:val="00D01F1D"/>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416"/>
    <w:rsid w:val="00D06A47"/>
    <w:rsid w:val="00D06B6C"/>
    <w:rsid w:val="00D0703D"/>
    <w:rsid w:val="00D07794"/>
    <w:rsid w:val="00D07B04"/>
    <w:rsid w:val="00D07EF6"/>
    <w:rsid w:val="00D101DC"/>
    <w:rsid w:val="00D102D1"/>
    <w:rsid w:val="00D10312"/>
    <w:rsid w:val="00D107D3"/>
    <w:rsid w:val="00D10AFB"/>
    <w:rsid w:val="00D10B6F"/>
    <w:rsid w:val="00D12C19"/>
    <w:rsid w:val="00D12F06"/>
    <w:rsid w:val="00D130E3"/>
    <w:rsid w:val="00D13588"/>
    <w:rsid w:val="00D13725"/>
    <w:rsid w:val="00D13C85"/>
    <w:rsid w:val="00D13F3D"/>
    <w:rsid w:val="00D14FEE"/>
    <w:rsid w:val="00D164B2"/>
    <w:rsid w:val="00D168F4"/>
    <w:rsid w:val="00D16D35"/>
    <w:rsid w:val="00D170E0"/>
    <w:rsid w:val="00D172BA"/>
    <w:rsid w:val="00D179CB"/>
    <w:rsid w:val="00D17B7D"/>
    <w:rsid w:val="00D17DFF"/>
    <w:rsid w:val="00D207E7"/>
    <w:rsid w:val="00D20AA3"/>
    <w:rsid w:val="00D20C8A"/>
    <w:rsid w:val="00D216BE"/>
    <w:rsid w:val="00D21E02"/>
    <w:rsid w:val="00D226BB"/>
    <w:rsid w:val="00D227ED"/>
    <w:rsid w:val="00D22A26"/>
    <w:rsid w:val="00D22EFE"/>
    <w:rsid w:val="00D238C8"/>
    <w:rsid w:val="00D24427"/>
    <w:rsid w:val="00D24C72"/>
    <w:rsid w:val="00D26235"/>
    <w:rsid w:val="00D26C68"/>
    <w:rsid w:val="00D26D82"/>
    <w:rsid w:val="00D27058"/>
    <w:rsid w:val="00D27C49"/>
    <w:rsid w:val="00D27C95"/>
    <w:rsid w:val="00D27EB9"/>
    <w:rsid w:val="00D3092A"/>
    <w:rsid w:val="00D316DF"/>
    <w:rsid w:val="00D31B32"/>
    <w:rsid w:val="00D31C66"/>
    <w:rsid w:val="00D32286"/>
    <w:rsid w:val="00D325CF"/>
    <w:rsid w:val="00D328F1"/>
    <w:rsid w:val="00D32B4A"/>
    <w:rsid w:val="00D32D42"/>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1BE"/>
    <w:rsid w:val="00D50580"/>
    <w:rsid w:val="00D50827"/>
    <w:rsid w:val="00D509D9"/>
    <w:rsid w:val="00D5127E"/>
    <w:rsid w:val="00D5186D"/>
    <w:rsid w:val="00D522A0"/>
    <w:rsid w:val="00D5243F"/>
    <w:rsid w:val="00D525B8"/>
    <w:rsid w:val="00D5340C"/>
    <w:rsid w:val="00D53AB2"/>
    <w:rsid w:val="00D53D7E"/>
    <w:rsid w:val="00D53EF8"/>
    <w:rsid w:val="00D54091"/>
    <w:rsid w:val="00D54841"/>
    <w:rsid w:val="00D54C0B"/>
    <w:rsid w:val="00D54F43"/>
    <w:rsid w:val="00D5523A"/>
    <w:rsid w:val="00D555DB"/>
    <w:rsid w:val="00D55FF9"/>
    <w:rsid w:val="00D560F1"/>
    <w:rsid w:val="00D56A6A"/>
    <w:rsid w:val="00D5749B"/>
    <w:rsid w:val="00D574AF"/>
    <w:rsid w:val="00D5756F"/>
    <w:rsid w:val="00D6008F"/>
    <w:rsid w:val="00D604E1"/>
    <w:rsid w:val="00D60BCE"/>
    <w:rsid w:val="00D614A0"/>
    <w:rsid w:val="00D61B08"/>
    <w:rsid w:val="00D62B27"/>
    <w:rsid w:val="00D62B70"/>
    <w:rsid w:val="00D62CE1"/>
    <w:rsid w:val="00D62DC8"/>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6BEF"/>
    <w:rsid w:val="00D97874"/>
    <w:rsid w:val="00D979AE"/>
    <w:rsid w:val="00DA0B11"/>
    <w:rsid w:val="00DA1229"/>
    <w:rsid w:val="00DA1B84"/>
    <w:rsid w:val="00DA2445"/>
    <w:rsid w:val="00DA254C"/>
    <w:rsid w:val="00DA2E7A"/>
    <w:rsid w:val="00DA3127"/>
    <w:rsid w:val="00DA3860"/>
    <w:rsid w:val="00DA393F"/>
    <w:rsid w:val="00DA3D48"/>
    <w:rsid w:val="00DA3DE7"/>
    <w:rsid w:val="00DA41BE"/>
    <w:rsid w:val="00DA42B9"/>
    <w:rsid w:val="00DA52EE"/>
    <w:rsid w:val="00DA5DDB"/>
    <w:rsid w:val="00DA5E70"/>
    <w:rsid w:val="00DA6252"/>
    <w:rsid w:val="00DA6F41"/>
    <w:rsid w:val="00DA72A8"/>
    <w:rsid w:val="00DA7763"/>
    <w:rsid w:val="00DA7D65"/>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3E68"/>
    <w:rsid w:val="00DB4501"/>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25"/>
    <w:rsid w:val="00DC4D53"/>
    <w:rsid w:val="00DC4E77"/>
    <w:rsid w:val="00DC5153"/>
    <w:rsid w:val="00DC5289"/>
    <w:rsid w:val="00DC528B"/>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363A"/>
    <w:rsid w:val="00DE4AA5"/>
    <w:rsid w:val="00DE4AAF"/>
    <w:rsid w:val="00DE5124"/>
    <w:rsid w:val="00DE57B0"/>
    <w:rsid w:val="00DE6195"/>
    <w:rsid w:val="00DE6DD3"/>
    <w:rsid w:val="00DE7A3E"/>
    <w:rsid w:val="00DE7E3E"/>
    <w:rsid w:val="00DF03CB"/>
    <w:rsid w:val="00DF0A04"/>
    <w:rsid w:val="00DF1446"/>
    <w:rsid w:val="00DF1452"/>
    <w:rsid w:val="00DF1F5F"/>
    <w:rsid w:val="00DF2235"/>
    <w:rsid w:val="00DF2701"/>
    <w:rsid w:val="00DF312E"/>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0AD"/>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34A"/>
    <w:rsid w:val="00E07412"/>
    <w:rsid w:val="00E0762A"/>
    <w:rsid w:val="00E07760"/>
    <w:rsid w:val="00E0793A"/>
    <w:rsid w:val="00E07F21"/>
    <w:rsid w:val="00E1018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3F71"/>
    <w:rsid w:val="00E34509"/>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91"/>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713"/>
    <w:rsid w:val="00E60A38"/>
    <w:rsid w:val="00E60FDD"/>
    <w:rsid w:val="00E610A6"/>
    <w:rsid w:val="00E61292"/>
    <w:rsid w:val="00E61E00"/>
    <w:rsid w:val="00E625BC"/>
    <w:rsid w:val="00E628A5"/>
    <w:rsid w:val="00E631EA"/>
    <w:rsid w:val="00E63D36"/>
    <w:rsid w:val="00E640C9"/>
    <w:rsid w:val="00E642FC"/>
    <w:rsid w:val="00E64F16"/>
    <w:rsid w:val="00E65F97"/>
    <w:rsid w:val="00E65FBB"/>
    <w:rsid w:val="00E6606F"/>
    <w:rsid w:val="00E6677D"/>
    <w:rsid w:val="00E66A48"/>
    <w:rsid w:val="00E67811"/>
    <w:rsid w:val="00E67989"/>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E7D"/>
    <w:rsid w:val="00E85F69"/>
    <w:rsid w:val="00E861EB"/>
    <w:rsid w:val="00E86448"/>
    <w:rsid w:val="00E86673"/>
    <w:rsid w:val="00E86818"/>
    <w:rsid w:val="00E86A81"/>
    <w:rsid w:val="00E86B8B"/>
    <w:rsid w:val="00E87A0A"/>
    <w:rsid w:val="00E87D33"/>
    <w:rsid w:val="00E90205"/>
    <w:rsid w:val="00E904C0"/>
    <w:rsid w:val="00E904F3"/>
    <w:rsid w:val="00E906AF"/>
    <w:rsid w:val="00E918E7"/>
    <w:rsid w:val="00E91B49"/>
    <w:rsid w:val="00E91EC4"/>
    <w:rsid w:val="00E9231A"/>
    <w:rsid w:val="00E924C2"/>
    <w:rsid w:val="00E92D95"/>
    <w:rsid w:val="00E92FD1"/>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484"/>
    <w:rsid w:val="00EA25B5"/>
    <w:rsid w:val="00EA263E"/>
    <w:rsid w:val="00EA2F2D"/>
    <w:rsid w:val="00EA33B5"/>
    <w:rsid w:val="00EA3E47"/>
    <w:rsid w:val="00EA3E86"/>
    <w:rsid w:val="00EA404A"/>
    <w:rsid w:val="00EA4263"/>
    <w:rsid w:val="00EA44EA"/>
    <w:rsid w:val="00EA490D"/>
    <w:rsid w:val="00EA5266"/>
    <w:rsid w:val="00EA5B8F"/>
    <w:rsid w:val="00EA63F0"/>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2B"/>
    <w:rsid w:val="00EB37BB"/>
    <w:rsid w:val="00EB38B9"/>
    <w:rsid w:val="00EB436C"/>
    <w:rsid w:val="00EB4630"/>
    <w:rsid w:val="00EB5287"/>
    <w:rsid w:val="00EB592F"/>
    <w:rsid w:val="00EB5998"/>
    <w:rsid w:val="00EB5A3F"/>
    <w:rsid w:val="00EB6043"/>
    <w:rsid w:val="00EB6076"/>
    <w:rsid w:val="00EB6423"/>
    <w:rsid w:val="00EB6685"/>
    <w:rsid w:val="00EB681F"/>
    <w:rsid w:val="00EB6E80"/>
    <w:rsid w:val="00EB73D2"/>
    <w:rsid w:val="00EB765C"/>
    <w:rsid w:val="00EB773B"/>
    <w:rsid w:val="00EB7CDD"/>
    <w:rsid w:val="00EC12DC"/>
    <w:rsid w:val="00EC186C"/>
    <w:rsid w:val="00EC1905"/>
    <w:rsid w:val="00EC2632"/>
    <w:rsid w:val="00EC2878"/>
    <w:rsid w:val="00EC29C5"/>
    <w:rsid w:val="00EC306F"/>
    <w:rsid w:val="00EC3088"/>
    <w:rsid w:val="00EC34BD"/>
    <w:rsid w:val="00EC354D"/>
    <w:rsid w:val="00EC37CE"/>
    <w:rsid w:val="00EC3BA1"/>
    <w:rsid w:val="00EC4267"/>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891"/>
    <w:rsid w:val="00ED58A1"/>
    <w:rsid w:val="00ED5FE9"/>
    <w:rsid w:val="00ED60BB"/>
    <w:rsid w:val="00ED6145"/>
    <w:rsid w:val="00ED62B3"/>
    <w:rsid w:val="00ED6514"/>
    <w:rsid w:val="00ED6E77"/>
    <w:rsid w:val="00ED72BC"/>
    <w:rsid w:val="00ED7316"/>
    <w:rsid w:val="00EE0D05"/>
    <w:rsid w:val="00EE12B8"/>
    <w:rsid w:val="00EE1AE2"/>
    <w:rsid w:val="00EE21B4"/>
    <w:rsid w:val="00EE323B"/>
    <w:rsid w:val="00EE363C"/>
    <w:rsid w:val="00EE414A"/>
    <w:rsid w:val="00EE5096"/>
    <w:rsid w:val="00EE5BBE"/>
    <w:rsid w:val="00EE61C4"/>
    <w:rsid w:val="00EE6881"/>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23"/>
    <w:rsid w:val="00EF43B2"/>
    <w:rsid w:val="00EF46CE"/>
    <w:rsid w:val="00EF4B16"/>
    <w:rsid w:val="00EF4B1B"/>
    <w:rsid w:val="00EF4D6F"/>
    <w:rsid w:val="00EF51BB"/>
    <w:rsid w:val="00EF5441"/>
    <w:rsid w:val="00EF589C"/>
    <w:rsid w:val="00EF5E38"/>
    <w:rsid w:val="00EF5FEC"/>
    <w:rsid w:val="00EF5FFE"/>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0EF3"/>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DA7"/>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766"/>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B3A"/>
    <w:rsid w:val="00F62C68"/>
    <w:rsid w:val="00F63119"/>
    <w:rsid w:val="00F63720"/>
    <w:rsid w:val="00F63F0A"/>
    <w:rsid w:val="00F6471D"/>
    <w:rsid w:val="00F64767"/>
    <w:rsid w:val="00F647D1"/>
    <w:rsid w:val="00F648A0"/>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BD9"/>
    <w:rsid w:val="00F77FFE"/>
    <w:rsid w:val="00F8054A"/>
    <w:rsid w:val="00F805BD"/>
    <w:rsid w:val="00F805EE"/>
    <w:rsid w:val="00F80751"/>
    <w:rsid w:val="00F8199F"/>
    <w:rsid w:val="00F81E7E"/>
    <w:rsid w:val="00F82170"/>
    <w:rsid w:val="00F82216"/>
    <w:rsid w:val="00F8228D"/>
    <w:rsid w:val="00F82735"/>
    <w:rsid w:val="00F82C2F"/>
    <w:rsid w:val="00F82D7F"/>
    <w:rsid w:val="00F82FFC"/>
    <w:rsid w:val="00F837EB"/>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02EA"/>
    <w:rsid w:val="00F90C7A"/>
    <w:rsid w:val="00F918F7"/>
    <w:rsid w:val="00F91B1B"/>
    <w:rsid w:val="00F91BB5"/>
    <w:rsid w:val="00F91D51"/>
    <w:rsid w:val="00F91E4F"/>
    <w:rsid w:val="00F91FE9"/>
    <w:rsid w:val="00F92159"/>
    <w:rsid w:val="00F923EC"/>
    <w:rsid w:val="00F92476"/>
    <w:rsid w:val="00F92801"/>
    <w:rsid w:val="00F93325"/>
    <w:rsid w:val="00F93628"/>
    <w:rsid w:val="00F93EAD"/>
    <w:rsid w:val="00F93FAE"/>
    <w:rsid w:val="00F941CC"/>
    <w:rsid w:val="00F957DA"/>
    <w:rsid w:val="00F96A8B"/>
    <w:rsid w:val="00F96F59"/>
    <w:rsid w:val="00F970BF"/>
    <w:rsid w:val="00F9746A"/>
    <w:rsid w:val="00F974F5"/>
    <w:rsid w:val="00FA0114"/>
    <w:rsid w:val="00FA0688"/>
    <w:rsid w:val="00FA070E"/>
    <w:rsid w:val="00FA09AD"/>
    <w:rsid w:val="00FA208E"/>
    <w:rsid w:val="00FA20A2"/>
    <w:rsid w:val="00FA2305"/>
    <w:rsid w:val="00FA23AA"/>
    <w:rsid w:val="00FA303A"/>
    <w:rsid w:val="00FA364C"/>
    <w:rsid w:val="00FA373F"/>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5F9D"/>
    <w:rsid w:val="00FC718E"/>
    <w:rsid w:val="00FD04F3"/>
    <w:rsid w:val="00FD09F8"/>
    <w:rsid w:val="00FD0D5D"/>
    <w:rsid w:val="00FD0DDC"/>
    <w:rsid w:val="00FD0F79"/>
    <w:rsid w:val="00FD1261"/>
    <w:rsid w:val="00FD1915"/>
    <w:rsid w:val="00FD2606"/>
    <w:rsid w:val="00FD2694"/>
    <w:rsid w:val="00FD28C2"/>
    <w:rsid w:val="00FD2B88"/>
    <w:rsid w:val="00FD2D8A"/>
    <w:rsid w:val="00FD2DC8"/>
    <w:rsid w:val="00FD337D"/>
    <w:rsid w:val="00FD3432"/>
    <w:rsid w:val="00FD3434"/>
    <w:rsid w:val="00FD359F"/>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3BF2"/>
    <w:rsid w:val="00FE4F95"/>
    <w:rsid w:val="00FE50AF"/>
    <w:rsid w:val="00FE5AC5"/>
    <w:rsid w:val="00FE5B28"/>
    <w:rsid w:val="00FE5CEF"/>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D713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7051E"/>
  <w15:chartTrackingRefBased/>
  <w15:docId w15:val="{93DF2ABC-B21D-476B-BC97-65D08BAC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D2F"/>
    <w:rPr>
      <w:rFonts w:ascii="Arial" w:hAnsi="Arial"/>
      <w:sz w:val="24"/>
      <w:szCs w:val="22"/>
      <w:lang w:eastAsia="en-GB"/>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250A93"/>
    <w:pPr>
      <w:spacing w:before="36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EndnoteText">
    <w:name w:val="endnote text"/>
    <w:basedOn w:val="Normal"/>
    <w:link w:val="EndnoteTextChar"/>
    <w:rsid w:val="00332082"/>
    <w:pPr>
      <w:tabs>
        <w:tab w:val="left" w:pos="397"/>
      </w:tabs>
      <w:ind w:left="397" w:hanging="397"/>
    </w:pPr>
    <w:rPr>
      <w:sz w:val="20"/>
      <w:szCs w:val="20"/>
    </w:rPr>
  </w:style>
  <w:style w:type="character" w:customStyle="1" w:styleId="EndnoteTextChar">
    <w:name w:val="Endnote Text Char"/>
    <w:link w:val="EndnoteText"/>
    <w:rsid w:val="00332082"/>
    <w:rPr>
      <w:rFonts w:ascii="Arial" w:hAnsi="Arial"/>
      <w:lang w:eastAsia="en-GB"/>
    </w:rPr>
  </w:style>
  <w:style w:type="character" w:styleId="EndnoteReference">
    <w:name w:val="endnote reference"/>
    <w:uiPriority w:val="99"/>
    <w:semiHidden/>
    <w:unhideWhenUsed/>
    <w:rsid w:val="007B0FE5"/>
    <w:rPr>
      <w:vertAlign w:val="superscript"/>
    </w:rPr>
  </w:style>
  <w:style w:type="character" w:customStyle="1" w:styleId="UnresolvedMention1">
    <w:name w:val="Unresolved Mention1"/>
    <w:uiPriority w:val="99"/>
    <w:semiHidden/>
    <w:unhideWhenUsed/>
    <w:rsid w:val="006E2A25"/>
    <w:rPr>
      <w:color w:val="605E5C"/>
      <w:shd w:val="clear" w:color="auto" w:fill="E1DFDD"/>
    </w:rPr>
  </w:style>
  <w:style w:type="character" w:customStyle="1" w:styleId="UnresolvedMention2">
    <w:name w:val="Unresolved Mention2"/>
    <w:basedOn w:val="DefaultParagraphFont"/>
    <w:uiPriority w:val="99"/>
    <w:semiHidden/>
    <w:unhideWhenUsed/>
    <w:rsid w:val="0099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coss.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facebook.com/CanberraGamblingReformAlli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ctcos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fare.org.au/wp-content/uploads/Community-benefits-claimed-by-licensed-clubs-operating-poker-machines-in-the-ACT-FINAL.pdf" TargetMode="External"/><Relationship Id="rId13" Type="http://schemas.openxmlformats.org/officeDocument/2006/relationships/hyperlink" Target="https://aifs.gov.au/agrc/sites/default/files/publication-documents/1706_argc_dp8_how_electronic_gambling_machines_work.pdf" TargetMode="External"/><Relationship Id="rId3" Type="http://schemas.openxmlformats.org/officeDocument/2006/relationships/hyperlink" Target="https://www.pc.gov.au/inquiries/completed/gambling-2010/report/gambling-report-volume1.pdf" TargetMode="External"/><Relationship Id="rId7" Type="http://schemas.openxmlformats.org/officeDocument/2006/relationships/hyperlink" Target="https://www.gamblingandracing.act.gov.au/__data/assets/pdf_file/0006/1123197/Harm-Prevention-Plan-2017-20181.pdf" TargetMode="External"/><Relationship Id="rId12" Type="http://schemas.openxmlformats.org/officeDocument/2006/relationships/hyperlink" Target="https://aifs.gov.au/agrc/sites/default/files/publication-documents/rr-gambling_activity_in_australia_0.pdf" TargetMode="External"/><Relationship Id="rId2" Type="http://schemas.openxmlformats.org/officeDocument/2006/relationships/hyperlink" Target="https://apps.treasury.act.gov.au/__data/assets/pdf_file/0007/1206817/Budget-Paper-3-Budget-Outlook-2018-19.pdf" TargetMode="External"/><Relationship Id="rId1" Type="http://schemas.openxmlformats.org/officeDocument/2006/relationships/hyperlink" Target="https://responsiblegambling.vic.gov.au/resources/glossary/" TargetMode="External"/><Relationship Id="rId6" Type="http://schemas.openxmlformats.org/officeDocument/2006/relationships/hyperlink" Target="https://www.anglicare.com.au/wp-content/uploads/2018/10/A-blueprint-for-preventing-and-minimising-harm-from-EGMs-in-the-ACT-Final-2Oct2018128288.pdf" TargetMode="External"/><Relationship Id="rId11" Type="http://schemas.openxmlformats.org/officeDocument/2006/relationships/hyperlink" Target="https://www.gamblingandracing.act.gov.au/__data/assets/pdf_file/0008/1253852/Trading-Scheme-Information-as-at-31-August-2018.pdf" TargetMode="External"/><Relationship Id="rId5" Type="http://schemas.openxmlformats.org/officeDocument/2006/relationships/hyperlink" Target="http://www.audit.act.gov.au/__data/assets/pdf_file/0003/1193610/Report-No-5-of-2018-ACT-clubs-community-contributions.pdf" TargetMode="External"/><Relationship Id="rId10" Type="http://schemas.openxmlformats.org/officeDocument/2006/relationships/hyperlink" Target="https://www.canberratimes.com.au/national/act/act-government-to-force-Clubs-to-surrender-poker-machine-licences-from-next-year-20180403-h0y9k3.html" TargetMode="External"/><Relationship Id="rId4" Type="http://schemas.openxmlformats.org/officeDocument/2006/relationships/hyperlink" Target="https://www.anglicare.com.au/wp-content/uploads/2018/10/A-blueprint-for-preventing-and-minimising-harm-from-EGMs-in-the-ACT-Final-2Oct2018128288.pdf" TargetMode="External"/><Relationship Id="rId9" Type="http://schemas.openxmlformats.org/officeDocument/2006/relationships/hyperlink" Target="https://www.gamblingandracing.act.gov.au/__data/assets/pdf_file/0004/846904/2014-Survey-on-Gambling,-Health-and-Wellbeing-in-the-ACT-Summary-of-Fin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7a2d8d95a460c1dcc45588483d1f43f6">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d6f7163fa8d86bb1a185eb66b40dcfd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Craig Wallace</DisplayName>
        <AccountId>21</AccountId>
        <AccountType/>
      </UserInfo>
      <UserInfo>
        <DisplayName>Suzanne Richardson</DisplayName>
        <AccountId>6</AccountId>
        <AccountType/>
      </UserInfo>
      <UserInfo>
        <DisplayName>Carmel Sefian</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2.xml><?xml version="1.0" encoding="utf-8"?>
<ds:datastoreItem xmlns:ds="http://schemas.openxmlformats.org/officeDocument/2006/customXml" ds:itemID="{03FFD0CA-A4AC-411F-91B9-55EB9D29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 ds:uri="ef2741e4-cc31-428c-aca2-d2da616e4ed0"/>
  </ds:schemaRefs>
</ds:datastoreItem>
</file>

<file path=customXml/itemProps4.xml><?xml version="1.0" encoding="utf-8"?>
<ds:datastoreItem xmlns:ds="http://schemas.openxmlformats.org/officeDocument/2006/customXml" ds:itemID="{986FC368-094B-4049-AC1A-B6FA7542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1925</Words>
  <Characters>10304</Characters>
  <Application>Microsoft Office Word</Application>
  <DocSecurity>0</DocSecurity>
  <Lines>271</Lines>
  <Paragraphs>156</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Gambling harm in the ACT</dc:title>
  <dc:subject/>
  <dc:creator/>
  <cp:keywords/>
  <cp:lastModifiedBy>Suzanne Richardson</cp:lastModifiedBy>
  <cp:revision>36</cp:revision>
  <cp:lastPrinted>2011-07-22T02:29:00Z</cp:lastPrinted>
  <dcterms:created xsi:type="dcterms:W3CDTF">2018-10-11T05:35:00Z</dcterms:created>
  <dcterms:modified xsi:type="dcterms:W3CDTF">2018-10-12T05:12:00Z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ies>
</file>