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16AC4BE5" w:rsidR="00B77E46" w:rsidRPr="009903E4" w:rsidRDefault="00A17C85" w:rsidP="00B50635">
      <w:pPr>
        <w:ind w:right="-8"/>
        <w:rPr>
          <w:rFonts w:cs="Arial"/>
          <w:szCs w:val="20"/>
        </w:rPr>
      </w:pPr>
      <w:r w:rsidRPr="00A17C85">
        <w:rPr>
          <w:rFonts w:cs="Arial"/>
          <w:szCs w:val="20"/>
        </w:rPr>
        <w:t>Committee Secretary</w:t>
      </w:r>
      <w:r w:rsidRPr="00A17C85">
        <w:rPr>
          <w:rFonts w:cs="Arial"/>
          <w:szCs w:val="20"/>
        </w:rPr>
        <w:br/>
        <w:t>House of Representatives Select Committee on Workforce Australia Employment Services</w:t>
      </w:r>
      <w:r w:rsidRPr="00A17C85">
        <w:rPr>
          <w:rFonts w:cs="Arial"/>
          <w:szCs w:val="20"/>
        </w:rPr>
        <w:br/>
        <w:t>PO Box 6021</w:t>
      </w:r>
      <w:r w:rsidRPr="00A17C85">
        <w:rPr>
          <w:rFonts w:cs="Arial"/>
          <w:szCs w:val="20"/>
        </w:rPr>
        <w:br/>
        <w:t>Parliament House</w:t>
      </w:r>
      <w:r w:rsidRPr="00A17C85">
        <w:rPr>
          <w:rFonts w:cs="Arial"/>
          <w:szCs w:val="20"/>
        </w:rPr>
        <w:br/>
        <w:t>Canberra ACT 2600</w:t>
      </w:r>
      <w:r w:rsidR="00B50635" w:rsidRPr="009903E4">
        <w:rPr>
          <w:rFonts w:cs="Arial"/>
          <w:szCs w:val="20"/>
        </w:rPr>
        <w:br/>
      </w:r>
      <w:r w:rsidR="004E7A36" w:rsidRPr="004E7A36">
        <w:rPr>
          <w:rFonts w:cs="Arial"/>
          <w:szCs w:val="20"/>
        </w:rPr>
        <w:t>waes.reps@aph.gov.au</w:t>
      </w:r>
    </w:p>
    <w:p w14:paraId="39DFD895" w14:textId="5A63459D" w:rsidR="00B50635" w:rsidRPr="009903E4" w:rsidRDefault="002B18CD" w:rsidP="00B50635">
      <w:pPr>
        <w:rPr>
          <w:rFonts w:cs="Arial"/>
          <w:szCs w:val="20"/>
        </w:rPr>
      </w:pPr>
      <w:r>
        <w:rPr>
          <w:rFonts w:cs="Arial"/>
          <w:szCs w:val="20"/>
        </w:rPr>
        <w:t>29/11/22</w:t>
      </w:r>
    </w:p>
    <w:p w14:paraId="0C1C1E8B" w14:textId="372108CE" w:rsidR="00B50635" w:rsidRDefault="00B50635" w:rsidP="00B50635">
      <w:pPr>
        <w:rPr>
          <w:rFonts w:cs="Arial"/>
          <w:szCs w:val="20"/>
        </w:rPr>
      </w:pPr>
      <w:r w:rsidRPr="009903E4">
        <w:rPr>
          <w:rFonts w:cs="Arial"/>
          <w:szCs w:val="20"/>
        </w:rPr>
        <w:t xml:space="preserve">Dear </w:t>
      </w:r>
      <w:r w:rsidR="00C001C0" w:rsidRPr="00A17C85">
        <w:rPr>
          <w:rFonts w:cs="Arial"/>
          <w:szCs w:val="20"/>
        </w:rPr>
        <w:t>Committee on Workforce Australia Employment Services</w:t>
      </w:r>
    </w:p>
    <w:p w14:paraId="32423429" w14:textId="01AED8A0" w:rsidR="00F9543D" w:rsidRPr="00141333" w:rsidRDefault="00CE6BAA" w:rsidP="00B50635">
      <w:pPr>
        <w:rPr>
          <w:b/>
          <w:bCs/>
        </w:rPr>
      </w:pPr>
      <w:r w:rsidRPr="00141333">
        <w:rPr>
          <w:b/>
          <w:bCs/>
        </w:rPr>
        <w:t>PARENTSNEXT PROGRAM INQUIRY</w:t>
      </w:r>
    </w:p>
    <w:p w14:paraId="73B8021D" w14:textId="6F3906DD" w:rsidR="004D0694" w:rsidRDefault="004D0694" w:rsidP="00BB0FDC">
      <w:r w:rsidRPr="004D0694">
        <w:t>The ACT Council of Social Service (ACTCOSS) advocates for social justice in the ACT and represents not-for-profit community organisations. ACTCOSS’s vision is for Canberra to be a just, safe and sustainable community in which everyone has the opportunity for self-determination and a fair share of resources and services.</w:t>
      </w:r>
      <w:r>
        <w:t xml:space="preserve"> ACTCOSS welcomes the opportunity to respond to the </w:t>
      </w:r>
      <w:r w:rsidR="00F3255C">
        <w:t>I</w:t>
      </w:r>
      <w:r>
        <w:t xml:space="preserve">nquiry into </w:t>
      </w:r>
      <w:r w:rsidR="005B7189">
        <w:t xml:space="preserve">the ParentsNext program. </w:t>
      </w:r>
    </w:p>
    <w:p w14:paraId="3EC8897A" w14:textId="307EC161" w:rsidR="004D0694" w:rsidRDefault="4ED6F00A" w:rsidP="00BB0FDC">
      <w:r>
        <w:t xml:space="preserve">ACTCOSS, as a part of the national network of Councils of Social Service, endorses the submissions and recommendations made by the </w:t>
      </w:r>
      <w:hyperlink r:id="rId11">
        <w:r w:rsidRPr="79AAC190">
          <w:rPr>
            <w:rStyle w:val="Hyperlink"/>
          </w:rPr>
          <w:t>Australian Council of Social Service (ACOSS)</w:t>
        </w:r>
      </w:hyperlink>
      <w:r>
        <w:t xml:space="preserve"> and the </w:t>
      </w:r>
      <w:hyperlink r:id="rId12">
        <w:r w:rsidRPr="79AAC190">
          <w:rPr>
            <w:rStyle w:val="Hyperlink"/>
          </w:rPr>
          <w:t>Western Australian Council of Social Service (WACOSS)</w:t>
        </w:r>
      </w:hyperlink>
      <w:r>
        <w:t xml:space="preserve"> to the inquir</w:t>
      </w:r>
      <w:r w:rsidR="6A06099D">
        <w:t>ies</w:t>
      </w:r>
      <w:r w:rsidR="39E3E7A9">
        <w:t xml:space="preserve"> in 2019</w:t>
      </w:r>
      <w:r>
        <w:t xml:space="preserve">. </w:t>
      </w:r>
      <w:r w:rsidR="6A06099D">
        <w:t>In addition, ACTCOSS supports</w:t>
      </w:r>
      <w:r w:rsidR="71E761C8">
        <w:t xml:space="preserve"> and endorses</w:t>
      </w:r>
      <w:r w:rsidR="6A06099D">
        <w:t xml:space="preserve"> the recommendation</w:t>
      </w:r>
      <w:r w:rsidR="0384D52C">
        <w:t>s</w:t>
      </w:r>
      <w:r w:rsidR="6A06099D">
        <w:t xml:space="preserve"> from the </w:t>
      </w:r>
      <w:hyperlink r:id="rId13">
        <w:r w:rsidR="6A06099D" w:rsidRPr="79AAC190">
          <w:rPr>
            <w:rStyle w:val="Hyperlink"/>
          </w:rPr>
          <w:t>National Council of Single Mothers and Their Children (NCSMC)</w:t>
        </w:r>
      </w:hyperlink>
      <w:r w:rsidR="34D88842">
        <w:t xml:space="preserve"> in 2022 and ACOSS’s submission to this inquiry</w:t>
      </w:r>
      <w:r w:rsidR="39E3E7A9">
        <w:t>.</w:t>
      </w:r>
    </w:p>
    <w:p w14:paraId="64A02F5E" w14:textId="6DE21704" w:rsidR="005B7189" w:rsidRDefault="005B7189" w:rsidP="00BB0FDC">
      <w:r>
        <w:t xml:space="preserve">ACTCOSS shares the deep concerns of these organisations and individuals that ParentsNext is perpetuating harm </w:t>
      </w:r>
      <w:r w:rsidR="00D04997">
        <w:t>against</w:t>
      </w:r>
      <w:r>
        <w:t xml:space="preserve"> familie</w:t>
      </w:r>
      <w:r w:rsidR="00D04997">
        <w:t>s</w:t>
      </w:r>
      <w:r w:rsidR="003D10D9">
        <w:t xml:space="preserve"> relying</w:t>
      </w:r>
      <w:r>
        <w:t xml:space="preserve"> on income support</w:t>
      </w:r>
      <w:r w:rsidR="00301D6C">
        <w:t xml:space="preserve"> to meet basic costs of living</w:t>
      </w:r>
      <w:r>
        <w:t xml:space="preserve">. </w:t>
      </w:r>
      <w:r w:rsidR="00D04997">
        <w:t>We</w:t>
      </w:r>
      <w:r>
        <w:t xml:space="preserve"> </w:t>
      </w:r>
      <w:r w:rsidR="00D04997">
        <w:t>are deeply</w:t>
      </w:r>
      <w:r>
        <w:t xml:space="preserve"> concerned by the </w:t>
      </w:r>
      <w:r w:rsidR="00345CDE">
        <w:t xml:space="preserve">reported </w:t>
      </w:r>
      <w:r>
        <w:t xml:space="preserve">experiences of </w:t>
      </w:r>
      <w:r w:rsidR="6A06099D">
        <w:t>s</w:t>
      </w:r>
      <w:r w:rsidR="39E3E7A9">
        <w:t>ole parent</w:t>
      </w:r>
      <w:r w:rsidR="6A06099D">
        <w:t xml:space="preserve"> participants</w:t>
      </w:r>
      <w:r w:rsidR="5E632979">
        <w:t xml:space="preserve"> including many </w:t>
      </w:r>
      <w:r>
        <w:t xml:space="preserve">Aboriginal and Torres Strait Islander </w:t>
      </w:r>
      <w:r w:rsidR="5E632979">
        <w:t>peoples</w:t>
      </w:r>
      <w:r w:rsidR="6A06099D">
        <w:t>.</w:t>
      </w:r>
      <w:r>
        <w:t xml:space="preserve"> </w:t>
      </w:r>
      <w:r w:rsidR="00345CDE">
        <w:t>While w</w:t>
      </w:r>
      <w:r>
        <w:t xml:space="preserve">e recognise and welcome </w:t>
      </w:r>
      <w:r w:rsidR="00345CDE">
        <w:t xml:space="preserve">government </w:t>
      </w:r>
      <w:r>
        <w:t>support</w:t>
      </w:r>
      <w:r w:rsidR="00345CDE">
        <w:t>ed</w:t>
      </w:r>
      <w:r>
        <w:t xml:space="preserve"> programs to enable</w:t>
      </w:r>
      <w:r w:rsidR="00E435D6">
        <w:t xml:space="preserve"> parents on low-incomes or experiencing disadvantage</w:t>
      </w:r>
      <w:r>
        <w:t xml:space="preserve"> to access education, job skills and community inclusion,</w:t>
      </w:r>
      <w:r w:rsidR="00345CDE">
        <w:t xml:space="preserve"> these programs must not include punitive elements or mandatory activity participation. </w:t>
      </w:r>
      <w:r>
        <w:t xml:space="preserve">ACTCOSS supports ACOSS and NCSMC’s recommendation to scrap </w:t>
      </w:r>
      <w:r w:rsidR="00225D92">
        <w:t>ParentsNext and replace the program with a voluntary, inclusive, culturally safe and supportive service to access advocacy and education in a</w:t>
      </w:r>
      <w:r w:rsidR="00C63FF7">
        <w:t xml:space="preserve">n empowering </w:t>
      </w:r>
      <w:r w:rsidR="00225D92">
        <w:t xml:space="preserve">environment. </w:t>
      </w:r>
    </w:p>
    <w:p w14:paraId="7A2D2C50" w14:textId="3E05341C" w:rsidR="00F2189B" w:rsidRDefault="00345CDE" w:rsidP="00F2189B">
      <w:r>
        <w:t xml:space="preserve">Were </w:t>
      </w:r>
      <w:r w:rsidR="005154F9">
        <w:t xml:space="preserve">ParentsNext </w:t>
      </w:r>
      <w:r>
        <w:t xml:space="preserve">to </w:t>
      </w:r>
      <w:r w:rsidR="005154F9">
        <w:t>continue as a mandatory</w:t>
      </w:r>
      <w:r>
        <w:t xml:space="preserve"> and</w:t>
      </w:r>
      <w:r w:rsidR="005154F9">
        <w:t xml:space="preserve"> punitive program, a significant </w:t>
      </w:r>
      <w:r w:rsidR="00BC5AEC">
        <w:t>number</w:t>
      </w:r>
      <w:r w:rsidR="005154F9">
        <w:t xml:space="preserve"> of participants and their children will continue to be at risk of severe harm. Participants experiencing the lowest levels of wellbeing and highest stress levels will be at the highest risk of inadvertent breaches of program conditions leading to payment suspension or cancellation. </w:t>
      </w:r>
      <w:r w:rsidR="005154F9" w:rsidRPr="00FC1DEE">
        <w:rPr>
          <w:b/>
          <w:bCs/>
        </w:rPr>
        <w:t>The threat of losing income causes intense, unnecessary stress</w:t>
      </w:r>
      <w:r w:rsidR="005154F9">
        <w:t xml:space="preserve"> on parents who are already juggling full-time caring work as well as circumstances such as housing stress, </w:t>
      </w:r>
      <w:r w:rsidR="005154F9" w:rsidRPr="005154F9">
        <w:t>intimate partner or family violence, mental illness, disability, social isolation</w:t>
      </w:r>
      <w:r w:rsidR="005154F9">
        <w:t xml:space="preserve"> and </w:t>
      </w:r>
      <w:r w:rsidR="005154F9" w:rsidRPr="005154F9">
        <w:t>physical or mental health issues caused by pregnancy and birth</w:t>
      </w:r>
      <w:r w:rsidR="005154F9">
        <w:t xml:space="preserve">. </w:t>
      </w:r>
      <w:r w:rsidR="00F2189B">
        <w:t xml:space="preserve">Data on the frequency and spread of payment suspensions and cancellations shows that of the vulnerable participants in ParentsNext, those who are most marginalised are most likely to suffer financial </w:t>
      </w:r>
      <w:r w:rsidR="00F2189B">
        <w:lastRenderedPageBreak/>
        <w:t xml:space="preserve">penalties. </w:t>
      </w:r>
      <w:r w:rsidR="00472826">
        <w:t xml:space="preserve">For example, </w:t>
      </w:r>
      <w:r w:rsidR="00F2189B">
        <w:t xml:space="preserve">Aboriginal and Torres Strait Islander participants are more likely to have their payments suspended than </w:t>
      </w:r>
      <w:r w:rsidR="00704953">
        <w:t xml:space="preserve">non-Aboriginal and Torres Strait Islander </w:t>
      </w:r>
      <w:r w:rsidR="00F2189B">
        <w:t>participants</w:t>
      </w:r>
      <w:r w:rsidR="00D751A5">
        <w:t>.</w:t>
      </w:r>
      <w:r w:rsidR="00B94E6C">
        <w:rPr>
          <w:rStyle w:val="FootnoteReference"/>
        </w:rPr>
        <w:footnoteReference w:id="2"/>
      </w:r>
      <w:r w:rsidR="00F2189B">
        <w:t xml:space="preserve"> </w:t>
      </w:r>
    </w:p>
    <w:p w14:paraId="3C4726D5" w14:textId="40043C72" w:rsidR="005154F9" w:rsidRPr="00DB1339" w:rsidRDefault="00CA033E" w:rsidP="00BB0FDC">
      <w:r>
        <w:t>The vast majo</w:t>
      </w:r>
      <w:r w:rsidR="005330B6">
        <w:t>rity of the p</w:t>
      </w:r>
      <w:r w:rsidR="000C74A6">
        <w:t xml:space="preserve">eople </w:t>
      </w:r>
      <w:r w:rsidR="005330B6">
        <w:t>captured by ParentsNext mandatory participation requirements are single mothers.</w:t>
      </w:r>
      <w:r w:rsidR="0024143E">
        <w:t xml:space="preserve"> Research shows </w:t>
      </w:r>
      <w:r w:rsidR="00E67E6C">
        <w:t xml:space="preserve">that </w:t>
      </w:r>
      <w:r w:rsidR="00E67E6C" w:rsidRPr="00FB0E21">
        <w:rPr>
          <w:b/>
          <w:bCs/>
        </w:rPr>
        <w:t xml:space="preserve">near 60% of single mothers have experienced </w:t>
      </w:r>
      <w:r w:rsidR="00FB0E21" w:rsidRPr="00FB0E21">
        <w:rPr>
          <w:b/>
          <w:bCs/>
        </w:rPr>
        <w:t>intimate partner violence</w:t>
      </w:r>
      <w:r w:rsidR="00D751A5">
        <w:rPr>
          <w:b/>
          <w:bCs/>
        </w:rPr>
        <w:t>.</w:t>
      </w:r>
      <w:r w:rsidR="0008688A" w:rsidRPr="009F1C16">
        <w:rPr>
          <w:rStyle w:val="FootnoteReference"/>
        </w:rPr>
        <w:footnoteReference w:id="3"/>
      </w:r>
      <w:r w:rsidR="00FB0E21">
        <w:t xml:space="preserve"> While this is objectively an</w:t>
      </w:r>
      <w:r w:rsidR="00674D8A">
        <w:t xml:space="preserve"> indefensible </w:t>
      </w:r>
      <w:r w:rsidR="00967983">
        <w:t xml:space="preserve">rate of violence, it is further indefensible for the </w:t>
      </w:r>
      <w:r w:rsidR="00E5793C">
        <w:t>F</w:t>
      </w:r>
      <w:r w:rsidR="00967983">
        <w:t xml:space="preserve">ederal </w:t>
      </w:r>
      <w:r w:rsidR="00E5793C">
        <w:t>G</w:t>
      </w:r>
      <w:r w:rsidR="00967983">
        <w:t xml:space="preserve">overnment to subject single mothers to </w:t>
      </w:r>
      <w:r w:rsidR="00DA4537">
        <w:t>mandatory programs that reproduce many of the features of abusive relationships through financial and social control</w:t>
      </w:r>
      <w:r w:rsidR="003B34CC">
        <w:t xml:space="preserve"> mechanisms. Many of the</w:t>
      </w:r>
      <w:r w:rsidR="006C3BC5">
        <w:t xml:space="preserve"> single mother participants in ParentsNext are single mothers </w:t>
      </w:r>
      <w:r w:rsidR="006C3BC5" w:rsidRPr="006C3BC5">
        <w:rPr>
          <w:b/>
          <w:bCs/>
        </w:rPr>
        <w:t>because they have escaped abusive and violent partners</w:t>
      </w:r>
      <w:r w:rsidR="00DB1339">
        <w:t xml:space="preserve"> with their children, who may also have experienced violence </w:t>
      </w:r>
      <w:r w:rsidR="00BE70D8">
        <w:t xml:space="preserve">or trauma. This group of vulnerable women </w:t>
      </w:r>
      <w:r w:rsidR="0066498C">
        <w:t>require material and emotional support</w:t>
      </w:r>
      <w:r w:rsidR="00B73D42">
        <w:t xml:space="preserve">, which the </w:t>
      </w:r>
      <w:r w:rsidR="00CC24B2">
        <w:t>F</w:t>
      </w:r>
      <w:r w:rsidR="00B73D42">
        <w:t xml:space="preserve">ederal </w:t>
      </w:r>
      <w:r w:rsidR="00CC24B2">
        <w:t>G</w:t>
      </w:r>
      <w:r w:rsidR="00B73D42">
        <w:t xml:space="preserve">overnment are partially responsible for delivering. </w:t>
      </w:r>
      <w:r w:rsidR="0070649C">
        <w:t xml:space="preserve">Instead, they are currently subjected to the Targeted Compliance Framework, a system in which they are threatened with </w:t>
      </w:r>
      <w:r w:rsidR="0042116F">
        <w:t xml:space="preserve">accumulating demerit points that may lead to income support payment suspension or cancellation for vague infractions such as </w:t>
      </w:r>
      <w:r w:rsidR="00722BEA">
        <w:t>not “</w:t>
      </w:r>
      <w:proofErr w:type="spellStart"/>
      <w:r w:rsidR="00722BEA">
        <w:t>behav</w:t>
      </w:r>
      <w:proofErr w:type="spellEnd"/>
      <w:r w:rsidR="00722BEA">
        <w:t>[</w:t>
      </w:r>
      <w:proofErr w:type="spellStart"/>
      <w:r w:rsidR="00722BEA">
        <w:t>ing</w:t>
      </w:r>
      <w:proofErr w:type="spellEnd"/>
      <w:r w:rsidR="00722BEA">
        <w:t>]</w:t>
      </w:r>
      <w:r w:rsidR="00722BEA" w:rsidRPr="00722BEA">
        <w:t xml:space="preserve"> appropriately at an activity</w:t>
      </w:r>
      <w:r w:rsidR="00722BEA">
        <w:t>”</w:t>
      </w:r>
      <w:r w:rsidR="00913A52">
        <w:t>.</w:t>
      </w:r>
      <w:r w:rsidR="000E61F5">
        <w:rPr>
          <w:rStyle w:val="FootnoteReference"/>
        </w:rPr>
        <w:footnoteReference w:id="4"/>
      </w:r>
      <w:r w:rsidR="00722BEA">
        <w:t xml:space="preserve"> </w:t>
      </w:r>
      <w:r w:rsidR="000C0985">
        <w:t>T</w:t>
      </w:r>
      <w:r w:rsidR="00EB6B0D">
        <w:t xml:space="preserve">hreats, difficult to understand systems of behavioural control and </w:t>
      </w:r>
      <w:r w:rsidR="00B6728E">
        <w:t xml:space="preserve">authoritative monitoring are clearly not helping victim survivors of intimate partner violence to heal and recover, and they risk causing further traumatisation. </w:t>
      </w:r>
    </w:p>
    <w:p w14:paraId="375F7B48" w14:textId="0F47DEDC" w:rsidR="00866AFC" w:rsidRDefault="005154F9" w:rsidP="79AAC190">
      <w:r>
        <w:t xml:space="preserve">The ParentsNext program conditions are predicated on </w:t>
      </w:r>
      <w:r w:rsidR="007835B4">
        <w:t>“</w:t>
      </w:r>
      <w:r w:rsidR="007835B4" w:rsidRPr="007835B4">
        <w:t>target</w:t>
      </w:r>
      <w:r w:rsidR="00C11F90">
        <w:t>[</w:t>
      </w:r>
      <w:proofErr w:type="spellStart"/>
      <w:r w:rsidR="00C11F90">
        <w:t>ing</w:t>
      </w:r>
      <w:proofErr w:type="spellEnd"/>
      <w:r w:rsidR="00C11F90">
        <w:t>]</w:t>
      </w:r>
      <w:r w:rsidR="007835B4" w:rsidRPr="007835B4">
        <w:t xml:space="preserve"> early intervention assistance to parents </w:t>
      </w:r>
      <w:r w:rsidR="007835B4" w:rsidRPr="007835B4">
        <w:rPr>
          <w:b/>
          <w:bCs/>
        </w:rPr>
        <w:t>at risk of long-term welfare dependency</w:t>
      </w:r>
      <w:r w:rsidR="007835B4">
        <w:t>”</w:t>
      </w:r>
      <w:r w:rsidR="0067659A">
        <w:t>.</w:t>
      </w:r>
      <w:r w:rsidR="004B2397">
        <w:rPr>
          <w:rStyle w:val="FootnoteReference"/>
        </w:rPr>
        <w:footnoteReference w:id="5"/>
      </w:r>
      <w:r w:rsidR="0050160F">
        <w:t xml:space="preserve"> </w:t>
      </w:r>
      <w:r w:rsidR="67189DFC">
        <w:t>However, o</w:t>
      </w:r>
      <w:r w:rsidRPr="005154F9">
        <w:t xml:space="preserve">vert, paternalistic control mechanisms </w:t>
      </w:r>
      <w:r w:rsidR="1EC69E8B" w:rsidRPr="005154F9">
        <w:t xml:space="preserve">can, in fact, </w:t>
      </w:r>
      <w:r w:rsidRPr="005154F9">
        <w:t xml:space="preserve">create circumstances of disempowerment and dependency </w:t>
      </w:r>
      <w:r w:rsidR="71339696" w:rsidRPr="005154F9">
        <w:t xml:space="preserve">by </w:t>
      </w:r>
      <w:r w:rsidR="00866AFC" w:rsidRPr="005154F9">
        <w:t>impairing</w:t>
      </w:r>
      <w:r w:rsidRPr="005154F9">
        <w:t xml:space="preserve"> their ability to make choices for themselves</w:t>
      </w:r>
      <w:r w:rsidR="00866AFC">
        <w:t>.</w:t>
      </w:r>
      <w:r w:rsidR="389D19DE">
        <w:t xml:space="preserve"> ParentsNext is based on an underlying assumption that receipt of income support by parents is bad. However, </w:t>
      </w:r>
      <w:r w:rsidR="50A97784">
        <w:t xml:space="preserve">a </w:t>
      </w:r>
      <w:r w:rsidR="389D19DE">
        <w:t>parent</w:t>
      </w:r>
      <w:r w:rsidR="2904B187">
        <w:t xml:space="preserve"> may </w:t>
      </w:r>
      <w:r w:rsidR="00866AFC">
        <w:t>lack access to appropriate opportunities</w:t>
      </w:r>
      <w:r w:rsidR="05BB97AD">
        <w:t xml:space="preserve"> including employment and childcare</w:t>
      </w:r>
      <w:r w:rsidR="4A757D1C">
        <w:t xml:space="preserve"> particularly</w:t>
      </w:r>
      <w:r w:rsidR="00866AFC">
        <w:t xml:space="preserve">, </w:t>
      </w:r>
      <w:r w:rsidR="4E6957DB">
        <w:t xml:space="preserve">or </w:t>
      </w:r>
      <w:r w:rsidR="00866AFC">
        <w:t xml:space="preserve">they </w:t>
      </w:r>
      <w:r w:rsidR="43E87F95">
        <w:t xml:space="preserve">are </w:t>
      </w:r>
      <w:r w:rsidR="00866AFC">
        <w:t>experienc</w:t>
      </w:r>
      <w:r w:rsidR="4FA11B87">
        <w:t>ing</w:t>
      </w:r>
      <w:r w:rsidR="00866AFC">
        <w:t xml:space="preserve"> mental ill health or disability</w:t>
      </w:r>
      <w:r w:rsidR="3D1995A9">
        <w:t>.</w:t>
      </w:r>
      <w:r w:rsidR="232EBD55">
        <w:t xml:space="preserve"> </w:t>
      </w:r>
      <w:r w:rsidR="3F5A4F82">
        <w:t>I</w:t>
      </w:r>
      <w:r w:rsidR="232EBD55">
        <w:t>ncome support provides stability and security for them and their children.</w:t>
      </w:r>
    </w:p>
    <w:p w14:paraId="036B4F58" w14:textId="14C8D14B" w:rsidR="00740D94" w:rsidRDefault="0008046B" w:rsidP="005154F9">
      <w:r>
        <w:t>Many ParentsNext participants have reported that the external, for-profit agencies delivering the program have acted in an inflexible</w:t>
      </w:r>
      <w:r w:rsidR="00120BA6">
        <w:t xml:space="preserve"> </w:t>
      </w:r>
      <w:r>
        <w:t xml:space="preserve">manner. It is inexplicable that while participants are expected to accept conditions that include financial punishment, program providers receive financial rewards regardless of whether or not they have materially worked to create a positive outcome for a participant. </w:t>
      </w:r>
      <w:r w:rsidR="006323C1">
        <w:t>Auditing of program providers</w:t>
      </w:r>
      <w:r>
        <w:t xml:space="preserve"> </w:t>
      </w:r>
      <w:r w:rsidR="006323C1">
        <w:t>found</w:t>
      </w:r>
      <w:r>
        <w:t xml:space="preserve"> evidence of multiple discrepancies in reported and actual outcomes, resulting in wasted expenditure</w:t>
      </w:r>
      <w:r w:rsidR="0067659A">
        <w:t>.</w:t>
      </w:r>
      <w:r w:rsidR="00E53382">
        <w:rPr>
          <w:rStyle w:val="FootnoteReference"/>
        </w:rPr>
        <w:footnoteReference w:id="6"/>
      </w:r>
      <w:r>
        <w:t xml:space="preserve"> Post-reform features of the program such as the Participation Fund have </w:t>
      </w:r>
      <w:r w:rsidR="006323C1">
        <w:t xml:space="preserve">also </w:t>
      </w:r>
      <w:r>
        <w:t xml:space="preserve">been found to be widely underutilised. External agency staffing </w:t>
      </w:r>
      <w:r>
        <w:lastRenderedPageBreak/>
        <w:t>lacks government oversight and training consistency, resulting in under</w:t>
      </w:r>
      <w:r w:rsidR="00527876">
        <w:t xml:space="preserve"> </w:t>
      </w:r>
      <w:r>
        <w:t xml:space="preserve">skilled, overworked staff operating in conditions with poor complaint handling procedures, a lack of trauma </w:t>
      </w:r>
      <w:r w:rsidR="00C73C9F">
        <w:t xml:space="preserve">or </w:t>
      </w:r>
      <w:r>
        <w:t>cultural</w:t>
      </w:r>
      <w:r w:rsidR="00C73C9F">
        <w:t xml:space="preserve"> safety</w:t>
      </w:r>
      <w:r>
        <w:t xml:space="preserve"> training and high caseloads. Participants are expected to share extremely sensitive and private information with these program providers, often repeatedly, receiving little support or acknowledgement of their circumstances. </w:t>
      </w:r>
    </w:p>
    <w:p w14:paraId="30B1432B" w14:textId="290CD114" w:rsidR="00F2189B" w:rsidRDefault="00537555" w:rsidP="005154F9">
      <w:r>
        <w:t xml:space="preserve">As it is presented as a work skills, education and labour market participation program, the inclusion of parenting skill related activities in ParentsNext is a stigmatising </w:t>
      </w:r>
      <w:r w:rsidR="00AC1A52">
        <w:t>because it suggests</w:t>
      </w:r>
      <w:r>
        <w:t xml:space="preserve"> that parents in receipt of income support, particularly those in ‘targeted’ populations, </w:t>
      </w:r>
      <w:r w:rsidR="00C338A0">
        <w:t xml:space="preserve">are </w:t>
      </w:r>
      <w:r>
        <w:t xml:space="preserve">inherently inferior parents. Enforced library visits, parenting skill groups and playgroups are </w:t>
      </w:r>
      <w:r w:rsidR="007F74BB">
        <w:t xml:space="preserve">not related to employment skills or workforce participation. Participants have reported that the mandatory nature of these activities is demoralising and often disruptive to their parenting </w:t>
      </w:r>
      <w:r w:rsidR="552E1A67">
        <w:t xml:space="preserve">or employment </w:t>
      </w:r>
      <w:r w:rsidR="007F74BB">
        <w:t xml:space="preserve">routines. </w:t>
      </w:r>
      <w:r w:rsidR="365B66B3">
        <w:t>For example, ACTCOSS’s own staff have had to take time off to attend ParentsNext appointments.</w:t>
      </w:r>
      <w:r w:rsidR="007F74BB">
        <w:t xml:space="preserve"> Government mandated parenting activities in the context of a punitive workforce skills and education program for parents who have no inherent child protection </w:t>
      </w:r>
      <w:r w:rsidR="00272C97">
        <w:t>risk,</w:t>
      </w:r>
      <w:r w:rsidR="007F74BB">
        <w:t xml:space="preserve"> and no associated reports are an overreach with no clear objective or evidence base for efficacy. </w:t>
      </w:r>
    </w:p>
    <w:p w14:paraId="5A42E27A" w14:textId="4E1FBE4D" w:rsidR="005154F9" w:rsidRPr="005154F9" w:rsidRDefault="008B7221" w:rsidP="005154F9">
      <w:r>
        <w:t xml:space="preserve">ACTCOSS strongly recommends that the </w:t>
      </w:r>
      <w:r w:rsidR="00866AFC">
        <w:t>ParentsNext</w:t>
      </w:r>
      <w:r>
        <w:t xml:space="preserve"> program as it exists be dissolved. In its place, we are joining ACOSS and NCSMC in calling for</w:t>
      </w:r>
      <w:r w:rsidR="00866AFC">
        <w:t xml:space="preserve"> a voluntary, strengths-focused and </w:t>
      </w:r>
      <w:r w:rsidR="0008046B">
        <w:t>penalty-free</w:t>
      </w:r>
      <w:r w:rsidR="00866AFC">
        <w:t xml:space="preserve"> program intended to support and legitimise parents</w:t>
      </w:r>
      <w:r>
        <w:t xml:space="preserve"> on income support payments</w:t>
      </w:r>
      <w:r w:rsidR="00866AFC">
        <w:t xml:space="preserve"> to achieve their goals with </w:t>
      </w:r>
      <w:r w:rsidR="00FF3A2A">
        <w:t>safe and inclusive</w:t>
      </w:r>
      <w:r w:rsidR="00866AFC">
        <w:t xml:space="preserve"> support</w:t>
      </w:r>
      <w:r w:rsidR="00FF3A2A">
        <w:t>s</w:t>
      </w:r>
      <w:r w:rsidR="00866AFC">
        <w:t xml:space="preserve"> and financial assistance</w:t>
      </w:r>
      <w:r>
        <w:t xml:space="preserve">. We urge the government to prioritise wellbeing, support and </w:t>
      </w:r>
      <w:r w:rsidR="00272C97">
        <w:t>evidence-based</w:t>
      </w:r>
      <w:r>
        <w:t xml:space="preserve"> policy </w:t>
      </w:r>
      <w:r w:rsidR="00F2189B">
        <w:t xml:space="preserve">to improve wellbeing and outcomes for parenting payment recipients and their children. </w:t>
      </w:r>
    </w:p>
    <w:p w14:paraId="71FB3AD3" w14:textId="0F0BFBC5" w:rsidR="0024143E" w:rsidRDefault="0024143E" w:rsidP="00AF5C07">
      <w:pPr>
        <w:ind w:left="360"/>
        <w:rPr>
          <w:rFonts w:cs="Arial"/>
          <w:szCs w:val="20"/>
        </w:rPr>
      </w:pPr>
    </w:p>
    <w:p w14:paraId="44BE0D1C" w14:textId="77777777" w:rsidR="00272C97" w:rsidRDefault="00272C97" w:rsidP="00272C97">
      <w:pPr>
        <w:rPr>
          <w:rFonts w:eastAsiaTheme="minorHAnsi"/>
          <w:lang w:val="en-US" w:eastAsia="en-US"/>
        </w:rPr>
      </w:pPr>
      <w:r>
        <w:rPr>
          <w:rFonts w:eastAsiaTheme="minorHAnsi"/>
          <w:noProof/>
          <w:lang w:val="en-US" w:eastAsia="en-US"/>
        </w:rPr>
        <w:drawing>
          <wp:anchor distT="0" distB="0" distL="114300" distR="114300" simplePos="0" relativeHeight="251658240" behindDoc="1" locked="0" layoutInCell="1" allowOverlap="1" wp14:anchorId="726D8507" wp14:editId="6E9542FE">
            <wp:simplePos x="0" y="0"/>
            <wp:positionH relativeFrom="column">
              <wp:posOffset>2540</wp:posOffset>
            </wp:positionH>
            <wp:positionV relativeFrom="paragraph">
              <wp:posOffset>206375</wp:posOffset>
            </wp:positionV>
            <wp:extent cx="1682750" cy="671830"/>
            <wp:effectExtent l="0" t="0" r="0" b="0"/>
            <wp:wrapTight wrapText="bothSides">
              <wp:wrapPolygon edited="0">
                <wp:start x="0" y="0"/>
                <wp:lineTo x="0" y="20824"/>
                <wp:lineTo x="21274" y="20824"/>
                <wp:lineTo x="21274" y="0"/>
                <wp:lineTo x="0" y="0"/>
              </wp:wrapPolygon>
            </wp:wrapTight>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2750" cy="671830"/>
                    </a:xfrm>
                    <a:prstGeom prst="rect">
                      <a:avLst/>
                    </a:prstGeom>
                  </pic:spPr>
                </pic:pic>
              </a:graphicData>
            </a:graphic>
            <wp14:sizeRelH relativeFrom="margin">
              <wp14:pctWidth>0</wp14:pctWidth>
            </wp14:sizeRelH>
            <wp14:sizeRelV relativeFrom="margin">
              <wp14:pctHeight>0</wp14:pctHeight>
            </wp14:sizeRelV>
          </wp:anchor>
        </w:drawing>
      </w:r>
      <w:r w:rsidRPr="00F00747">
        <w:rPr>
          <w:rFonts w:eastAsiaTheme="minorHAnsi"/>
          <w:lang w:val="en-US" w:eastAsia="en-US"/>
        </w:rPr>
        <w:t>Yours sincerely</w:t>
      </w:r>
    </w:p>
    <w:p w14:paraId="4A09C22A" w14:textId="77777777" w:rsidR="00272C97" w:rsidRDefault="00272C97" w:rsidP="00272C97">
      <w:pPr>
        <w:rPr>
          <w:rFonts w:eastAsiaTheme="minorHAnsi"/>
          <w:lang w:val="en-US" w:eastAsia="en-US"/>
        </w:rPr>
      </w:pPr>
    </w:p>
    <w:p w14:paraId="736A9AAC" w14:textId="77777777" w:rsidR="00272C97" w:rsidRDefault="00272C97" w:rsidP="00272C97">
      <w:pPr>
        <w:rPr>
          <w:rFonts w:eastAsiaTheme="minorHAnsi"/>
          <w:lang w:eastAsia="en-US"/>
        </w:rPr>
      </w:pPr>
    </w:p>
    <w:p w14:paraId="5BBCBB62" w14:textId="77777777" w:rsidR="00272C97" w:rsidRPr="0083507C" w:rsidRDefault="00272C97" w:rsidP="00272C97">
      <w:pPr>
        <w:rPr>
          <w:rFonts w:eastAsiaTheme="minorHAnsi"/>
          <w:lang w:val="en-US" w:eastAsia="en-US"/>
        </w:rPr>
      </w:pPr>
      <w:r>
        <w:rPr>
          <w:rFonts w:eastAsiaTheme="minorHAnsi"/>
          <w:lang w:eastAsia="en-US"/>
        </w:rPr>
        <w:t>Dr Emma Campbell</w:t>
      </w:r>
      <w:r w:rsidRPr="00F00747">
        <w:rPr>
          <w:rFonts w:eastAsiaTheme="minorHAnsi"/>
          <w:lang w:val="en-US" w:eastAsia="en-US"/>
        </w:rPr>
        <w:br/>
      </w:r>
      <w:r>
        <w:rPr>
          <w:rFonts w:eastAsiaTheme="minorHAnsi"/>
          <w:lang w:val="en-US" w:eastAsia="en-US"/>
        </w:rPr>
        <w:t>Chief Executive Officer</w:t>
      </w:r>
      <w:r w:rsidRPr="00F00747">
        <w:rPr>
          <w:rFonts w:eastAsiaTheme="minorHAnsi"/>
          <w:lang w:val="en-US" w:eastAsia="en-US"/>
        </w:rPr>
        <w:br/>
      </w:r>
      <w:r>
        <w:rPr>
          <w:rFonts w:eastAsiaTheme="minorHAnsi"/>
          <w:lang w:val="en-US" w:eastAsia="en-US"/>
        </w:rPr>
        <w:t>ACT Council of Social Service</w:t>
      </w:r>
      <w:r>
        <w:rPr>
          <w:rFonts w:eastAsiaTheme="minorHAnsi"/>
          <w:lang w:val="en-US" w:eastAsia="en-US"/>
        </w:rPr>
        <w:br/>
        <w:t>ceo@actcoss.org.au</w:t>
      </w:r>
    </w:p>
    <w:p w14:paraId="11BBDA5A" w14:textId="530BE33E" w:rsidR="00484941" w:rsidRDefault="00E717B0" w:rsidP="00E717B0">
      <w:pPr>
        <w:pStyle w:val="Heading1"/>
        <w:rPr>
          <w:rFonts w:cs="Arial"/>
        </w:rPr>
      </w:pPr>
      <w:r>
        <w:lastRenderedPageBreak/>
        <w:t>Recommendations relating to ParentsNext</w:t>
      </w:r>
    </w:p>
    <w:tbl>
      <w:tblPr>
        <w:tblStyle w:val="TableGrid"/>
        <w:tblpPr w:leftFromText="180" w:rightFromText="180" w:vertAnchor="text" w:horzAnchor="margin" w:tblpY="5972"/>
        <w:tblW w:w="0" w:type="auto"/>
        <w:tblLook w:val="04A0" w:firstRow="1" w:lastRow="0" w:firstColumn="1" w:lastColumn="0" w:noHBand="0" w:noVBand="1"/>
      </w:tblPr>
      <w:tblGrid>
        <w:gridCol w:w="9020"/>
      </w:tblGrid>
      <w:tr w:rsidR="008130B8" w:rsidRPr="00070024" w14:paraId="7593671D" w14:textId="77777777" w:rsidTr="00B45747">
        <w:trPr>
          <w:trHeight w:val="567"/>
        </w:trPr>
        <w:tc>
          <w:tcPr>
            <w:tcW w:w="9020" w:type="dxa"/>
            <w:tcBorders>
              <w:top w:val="nil"/>
              <w:left w:val="nil"/>
              <w:bottom w:val="nil"/>
              <w:right w:val="nil"/>
            </w:tcBorders>
            <w:shd w:val="clear" w:color="auto" w:fill="E3F3F3"/>
            <w:vAlign w:val="center"/>
          </w:tcPr>
          <w:p w14:paraId="0786E750" w14:textId="77777777" w:rsidR="00FE5CB0" w:rsidRPr="00FE5CB0" w:rsidRDefault="008130B8" w:rsidP="00B45747">
            <w:pPr>
              <w:pStyle w:val="TableContentsL2"/>
            </w:pPr>
            <w:r w:rsidRPr="003D3085">
              <w:rPr>
                <w:b/>
                <w:bCs/>
              </w:rPr>
              <w:t xml:space="preserve">Recommendation </w:t>
            </w:r>
            <w:r>
              <w:rPr>
                <w:b/>
                <w:bCs/>
              </w:rPr>
              <w:t>9</w:t>
            </w:r>
            <w:r w:rsidRPr="003D3085">
              <w:rPr>
                <w:b/>
                <w:bCs/>
              </w:rPr>
              <w:t>:</w:t>
            </w:r>
            <w:r>
              <w:t xml:space="preserve"> </w:t>
            </w:r>
            <w:r w:rsidR="00FE5CB0" w:rsidRPr="00FE5CB0">
              <w:t>Ensure that staff interacting with participants are professionals with training in employment counselling, cultural safety and trauma management</w:t>
            </w:r>
          </w:p>
          <w:p w14:paraId="5D648D73" w14:textId="77777777" w:rsidR="008130B8" w:rsidRPr="00070024" w:rsidRDefault="008130B8" w:rsidP="00B45747">
            <w:pPr>
              <w:pStyle w:val="TableContentsL2"/>
            </w:pPr>
          </w:p>
        </w:tc>
      </w:tr>
    </w:tbl>
    <w:p w14:paraId="29B556A6" w14:textId="77777777" w:rsidR="008D322F" w:rsidRDefault="008D322F" w:rsidP="0083507C">
      <w:pPr>
        <w:rPr>
          <w:rFonts w:eastAsiaTheme="minorHAnsi"/>
          <w:lang w:val="en-US" w:eastAsia="en-US"/>
        </w:rPr>
      </w:pPr>
    </w:p>
    <w:tbl>
      <w:tblPr>
        <w:tblStyle w:val="TableGrid"/>
        <w:tblpPr w:leftFromText="180" w:rightFromText="180" w:vertAnchor="text" w:horzAnchor="margin" w:tblpY="237"/>
        <w:tblW w:w="0" w:type="auto"/>
        <w:tblLook w:val="04A0" w:firstRow="1" w:lastRow="0" w:firstColumn="1" w:lastColumn="0" w:noHBand="0" w:noVBand="1"/>
      </w:tblPr>
      <w:tblGrid>
        <w:gridCol w:w="9020"/>
      </w:tblGrid>
      <w:tr w:rsidR="00622996" w:rsidRPr="00622996" w14:paraId="6CBA1E48" w14:textId="77777777" w:rsidTr="00622996">
        <w:trPr>
          <w:trHeight w:val="574"/>
        </w:trPr>
        <w:tc>
          <w:tcPr>
            <w:tcW w:w="9020" w:type="dxa"/>
            <w:tcBorders>
              <w:top w:val="nil"/>
              <w:left w:val="nil"/>
              <w:bottom w:val="nil"/>
              <w:right w:val="nil"/>
            </w:tcBorders>
            <w:shd w:val="clear" w:color="auto" w:fill="2D6CB5"/>
            <w:vAlign w:val="center"/>
          </w:tcPr>
          <w:p w14:paraId="01FD47DA" w14:textId="01C2AEDA" w:rsidR="00622996" w:rsidRPr="00622996" w:rsidRDefault="00E960A4" w:rsidP="00622996">
            <w:pPr>
              <w:autoSpaceDE w:val="0"/>
              <w:autoSpaceDN w:val="0"/>
              <w:adjustRightInd w:val="0"/>
              <w:spacing w:after="0" w:line="220" w:lineRule="atLeast"/>
              <w:textAlignment w:val="center"/>
              <w:rPr>
                <w:rFonts w:eastAsia="Calibri" w:cs="Arial"/>
                <w:b/>
                <w:color w:val="FFFFFF"/>
                <w:sz w:val="18"/>
                <w:szCs w:val="18"/>
                <w:lang w:val="en-US" w:eastAsia="en-US"/>
              </w:rPr>
            </w:pPr>
            <w:r>
              <w:rPr>
                <w:rFonts w:eastAsia="Calibri" w:cs="Arial"/>
                <w:b/>
                <w:color w:val="FFFFFF"/>
                <w:sz w:val="18"/>
                <w:szCs w:val="18"/>
                <w:lang w:val="en-US" w:eastAsia="en-US"/>
              </w:rPr>
              <w:t>R</w:t>
            </w:r>
            <w:r w:rsidR="00622996" w:rsidRPr="00622996">
              <w:rPr>
                <w:rFonts w:eastAsia="Calibri" w:cs="Arial"/>
                <w:b/>
                <w:color w:val="FFFFFF"/>
                <w:sz w:val="18"/>
                <w:szCs w:val="18"/>
                <w:lang w:val="en-US" w:eastAsia="en-US"/>
              </w:rPr>
              <w:t>ecommendation</w:t>
            </w:r>
            <w:r>
              <w:rPr>
                <w:rFonts w:eastAsia="Calibri" w:cs="Arial"/>
                <w:b/>
                <w:color w:val="FFFFFF"/>
                <w:sz w:val="18"/>
                <w:szCs w:val="18"/>
                <w:lang w:val="en-US" w:eastAsia="en-US"/>
              </w:rPr>
              <w:t>s</w:t>
            </w:r>
          </w:p>
        </w:tc>
      </w:tr>
      <w:tr w:rsidR="00622996" w:rsidRPr="00622996" w14:paraId="200186CD" w14:textId="77777777" w:rsidTr="00622996">
        <w:trPr>
          <w:trHeight w:val="567"/>
        </w:trPr>
        <w:tc>
          <w:tcPr>
            <w:tcW w:w="9020" w:type="dxa"/>
            <w:tcBorders>
              <w:top w:val="nil"/>
              <w:left w:val="nil"/>
              <w:bottom w:val="nil"/>
              <w:right w:val="nil"/>
            </w:tcBorders>
            <w:shd w:val="clear" w:color="auto" w:fill="FFF7E1"/>
            <w:vAlign w:val="center"/>
          </w:tcPr>
          <w:p w14:paraId="5CF9CD25" w14:textId="40225114" w:rsidR="003631C9" w:rsidRPr="00AF5C07" w:rsidRDefault="003631C9" w:rsidP="003631C9">
            <w:pPr>
              <w:pStyle w:val="TableContentsL2"/>
            </w:pPr>
            <w:r w:rsidRPr="003D3085">
              <w:rPr>
                <w:b/>
                <w:bCs/>
              </w:rPr>
              <w:t>Recommendation 1:</w:t>
            </w:r>
            <w:r>
              <w:t xml:space="preserve"> </w:t>
            </w:r>
            <w:r w:rsidRPr="00AF5C07">
              <w:t>Immediately cease applying the Targeted Compliance Framework</w:t>
            </w:r>
            <w:r w:rsidR="003424F6">
              <w:t xml:space="preserve">, </w:t>
            </w:r>
            <w:r w:rsidRPr="00AF5C07">
              <w:t>demerit point system</w:t>
            </w:r>
            <w:r w:rsidR="003424F6">
              <w:t xml:space="preserve"> and automated payment suspensions</w:t>
            </w:r>
            <w:r w:rsidR="003424F6" w:rsidRPr="00AF5C07">
              <w:t xml:space="preserve"> </w:t>
            </w:r>
            <w:r w:rsidRPr="00AF5C07">
              <w:t>to ParentsNext participants</w:t>
            </w:r>
          </w:p>
          <w:p w14:paraId="3B289C50" w14:textId="763FE95E" w:rsidR="00622996" w:rsidRPr="00622996" w:rsidRDefault="00622996" w:rsidP="00622996">
            <w:pPr>
              <w:spacing w:after="0" w:line="220" w:lineRule="exact"/>
              <w:rPr>
                <w:rFonts w:eastAsia="Calibri" w:cs="Times New Roman (Body CS)"/>
                <w:color w:val="auto"/>
                <w:sz w:val="18"/>
                <w:szCs w:val="16"/>
                <w:lang w:eastAsia="en-US"/>
              </w:rPr>
            </w:pPr>
          </w:p>
        </w:tc>
      </w:tr>
      <w:tr w:rsidR="00622996" w:rsidRPr="00622996" w14:paraId="284F6190" w14:textId="77777777" w:rsidTr="00622996">
        <w:trPr>
          <w:trHeight w:val="567"/>
        </w:trPr>
        <w:tc>
          <w:tcPr>
            <w:tcW w:w="9020" w:type="dxa"/>
            <w:tcBorders>
              <w:top w:val="nil"/>
              <w:left w:val="nil"/>
              <w:bottom w:val="nil"/>
              <w:right w:val="nil"/>
            </w:tcBorders>
            <w:shd w:val="clear" w:color="auto" w:fill="E3F3F3"/>
            <w:vAlign w:val="center"/>
          </w:tcPr>
          <w:p w14:paraId="759D22DD" w14:textId="03445D62" w:rsidR="00622996" w:rsidRPr="00622996" w:rsidRDefault="00622996" w:rsidP="00622996">
            <w:pPr>
              <w:spacing w:after="0" w:line="220" w:lineRule="exact"/>
              <w:rPr>
                <w:rFonts w:eastAsia="Calibri" w:cs="Times New Roman (Body CS)"/>
                <w:color w:val="auto"/>
                <w:sz w:val="18"/>
                <w:szCs w:val="16"/>
                <w:lang w:eastAsia="en-US"/>
              </w:rPr>
            </w:pPr>
            <w:r w:rsidRPr="00622996">
              <w:rPr>
                <w:rFonts w:eastAsia="Calibri" w:cs="Times New Roman (Body CS)"/>
                <w:b/>
                <w:bCs/>
                <w:color w:val="auto"/>
                <w:sz w:val="18"/>
                <w:szCs w:val="16"/>
                <w:lang w:eastAsia="en-US"/>
              </w:rPr>
              <w:t>Recommendation 2:</w:t>
            </w:r>
            <w:r w:rsidRPr="00622996">
              <w:rPr>
                <w:rFonts w:eastAsia="Calibri" w:cs="Times New Roman (Body CS)"/>
                <w:color w:val="auto"/>
                <w:sz w:val="18"/>
                <w:szCs w:val="16"/>
                <w:lang w:eastAsia="en-US"/>
              </w:rPr>
              <w:t xml:space="preserve"> </w:t>
            </w:r>
            <w:r w:rsidR="003424F6" w:rsidRPr="003424F6">
              <w:t xml:space="preserve"> </w:t>
            </w:r>
            <w:r w:rsidR="003424F6" w:rsidRPr="003424F6">
              <w:rPr>
                <w:rFonts w:eastAsia="Calibri" w:cs="Times New Roman (Body CS)"/>
                <w:color w:val="auto"/>
                <w:sz w:val="18"/>
                <w:szCs w:val="16"/>
                <w:lang w:eastAsia="en-US"/>
              </w:rPr>
              <w:t>Remove mandatory, punitive and parenting education related elements of ParentsNext</w:t>
            </w:r>
          </w:p>
        </w:tc>
      </w:tr>
      <w:tr w:rsidR="00622996" w:rsidRPr="00622996" w14:paraId="2E49BD59" w14:textId="77777777" w:rsidTr="00622996">
        <w:trPr>
          <w:trHeight w:val="567"/>
        </w:trPr>
        <w:tc>
          <w:tcPr>
            <w:tcW w:w="9020" w:type="dxa"/>
            <w:tcBorders>
              <w:top w:val="nil"/>
              <w:left w:val="nil"/>
              <w:bottom w:val="nil"/>
              <w:right w:val="nil"/>
            </w:tcBorders>
            <w:shd w:val="clear" w:color="auto" w:fill="FFF7E1"/>
            <w:vAlign w:val="center"/>
          </w:tcPr>
          <w:p w14:paraId="085E8CBC" w14:textId="662D1291" w:rsidR="00622996" w:rsidRPr="00622996" w:rsidRDefault="00622996" w:rsidP="00622996">
            <w:pPr>
              <w:spacing w:after="0" w:line="220" w:lineRule="exact"/>
              <w:rPr>
                <w:rFonts w:eastAsia="Calibri" w:cs="Times New Roman (Body CS)"/>
                <w:color w:val="auto"/>
                <w:sz w:val="18"/>
                <w:szCs w:val="16"/>
                <w:lang w:eastAsia="en-US"/>
              </w:rPr>
            </w:pPr>
            <w:r w:rsidRPr="00622996">
              <w:rPr>
                <w:rFonts w:eastAsia="Calibri" w:cs="Times New Roman (Body CS)"/>
                <w:b/>
                <w:bCs/>
                <w:color w:val="auto"/>
                <w:sz w:val="18"/>
                <w:szCs w:val="16"/>
                <w:lang w:eastAsia="en-US"/>
              </w:rPr>
              <w:t>Recommendation 3:</w:t>
            </w:r>
            <w:r w:rsidRPr="00622996">
              <w:rPr>
                <w:rFonts w:eastAsia="Calibri" w:cs="Times New Roman (Body CS)"/>
                <w:color w:val="auto"/>
                <w:sz w:val="18"/>
                <w:szCs w:val="16"/>
                <w:lang w:eastAsia="en-US"/>
              </w:rPr>
              <w:t xml:space="preserve"> </w:t>
            </w:r>
            <w:r w:rsidR="005D155B" w:rsidRPr="005D155B">
              <w:t xml:space="preserve"> </w:t>
            </w:r>
            <w:r w:rsidR="005D155B" w:rsidRPr="005D155B">
              <w:rPr>
                <w:rFonts w:eastAsia="Calibri" w:cs="Times New Roman (Body CS)"/>
                <w:color w:val="auto"/>
                <w:sz w:val="18"/>
                <w:szCs w:val="16"/>
                <w:lang w:eastAsia="en-US"/>
              </w:rPr>
              <w:t>Scrap the Targeted Compliance Framework system for all income support recipients</w:t>
            </w:r>
            <w:r w:rsidR="00EE4FCF">
              <w:rPr>
                <w:rFonts w:eastAsia="Calibri" w:cs="Times New Roman (Body CS)"/>
                <w:color w:val="auto"/>
                <w:sz w:val="18"/>
                <w:szCs w:val="16"/>
                <w:lang w:eastAsia="en-US"/>
              </w:rPr>
              <w:t>, not just ParentsNext participants</w:t>
            </w:r>
          </w:p>
        </w:tc>
      </w:tr>
      <w:tr w:rsidR="00622996" w:rsidRPr="00622996" w14:paraId="1FDAD90A" w14:textId="77777777" w:rsidTr="00622996">
        <w:trPr>
          <w:trHeight w:val="567"/>
        </w:trPr>
        <w:tc>
          <w:tcPr>
            <w:tcW w:w="9020" w:type="dxa"/>
            <w:tcBorders>
              <w:top w:val="nil"/>
              <w:left w:val="nil"/>
              <w:bottom w:val="nil"/>
              <w:right w:val="nil"/>
            </w:tcBorders>
            <w:shd w:val="clear" w:color="auto" w:fill="E3F3F3"/>
            <w:vAlign w:val="center"/>
          </w:tcPr>
          <w:p w14:paraId="5DF1C9E2" w14:textId="1368173E" w:rsidR="00622996" w:rsidRPr="00622996" w:rsidRDefault="00622996" w:rsidP="00622996">
            <w:pPr>
              <w:spacing w:after="0" w:line="220" w:lineRule="exact"/>
              <w:rPr>
                <w:rFonts w:eastAsia="Calibri" w:cs="Times New Roman (Body CS)"/>
                <w:color w:val="auto"/>
                <w:sz w:val="18"/>
                <w:szCs w:val="16"/>
                <w:lang w:eastAsia="en-US"/>
              </w:rPr>
            </w:pPr>
            <w:r w:rsidRPr="00622996">
              <w:rPr>
                <w:rFonts w:eastAsia="Calibri" w:cs="Times New Roman (Body CS)"/>
                <w:b/>
                <w:bCs/>
                <w:color w:val="auto"/>
                <w:sz w:val="18"/>
                <w:szCs w:val="16"/>
                <w:lang w:eastAsia="en-US"/>
              </w:rPr>
              <w:t>Recommendation 4:</w:t>
            </w:r>
            <w:r w:rsidRPr="00622996">
              <w:rPr>
                <w:rFonts w:eastAsia="Calibri" w:cs="Times New Roman (Body CS)"/>
                <w:color w:val="auto"/>
                <w:sz w:val="18"/>
                <w:szCs w:val="16"/>
                <w:lang w:eastAsia="en-US"/>
              </w:rPr>
              <w:t xml:space="preserve"> </w:t>
            </w:r>
            <w:r w:rsidR="005D155B" w:rsidRPr="005D155B">
              <w:t xml:space="preserve"> </w:t>
            </w:r>
            <w:r w:rsidR="005D155B" w:rsidRPr="005D155B">
              <w:rPr>
                <w:rFonts w:eastAsia="Calibri" w:cs="Times New Roman (Body CS)"/>
                <w:color w:val="auto"/>
                <w:sz w:val="18"/>
                <w:szCs w:val="16"/>
                <w:lang w:eastAsia="en-US"/>
              </w:rPr>
              <w:t>Continue providing resources through the Participation Fund to those who volunteer to receive them while the program is wound down</w:t>
            </w:r>
          </w:p>
        </w:tc>
      </w:tr>
      <w:tr w:rsidR="00622996" w:rsidRPr="00622996" w14:paraId="347BB058" w14:textId="77777777" w:rsidTr="00A84D84">
        <w:trPr>
          <w:trHeight w:val="567"/>
        </w:trPr>
        <w:tc>
          <w:tcPr>
            <w:tcW w:w="9020" w:type="dxa"/>
            <w:tcBorders>
              <w:top w:val="nil"/>
              <w:left w:val="nil"/>
              <w:bottom w:val="nil"/>
              <w:right w:val="nil"/>
            </w:tcBorders>
            <w:shd w:val="clear" w:color="auto" w:fill="FFF7E1"/>
            <w:vAlign w:val="center"/>
          </w:tcPr>
          <w:p w14:paraId="34022C74" w14:textId="77777777" w:rsidR="00622996" w:rsidRDefault="005D155B" w:rsidP="00B45747">
            <w:pPr>
              <w:pStyle w:val="TableContentsL2"/>
            </w:pPr>
            <w:r w:rsidRPr="003D3085">
              <w:rPr>
                <w:b/>
                <w:bCs/>
              </w:rPr>
              <w:t xml:space="preserve">Recommendation </w:t>
            </w:r>
            <w:r>
              <w:rPr>
                <w:b/>
                <w:bCs/>
              </w:rPr>
              <w:t>5</w:t>
            </w:r>
            <w:r w:rsidRPr="003D3085">
              <w:rPr>
                <w:b/>
                <w:bCs/>
              </w:rPr>
              <w:t>:</w:t>
            </w:r>
            <w:r>
              <w:t xml:space="preserve"> </w:t>
            </w:r>
            <w:r w:rsidRPr="00FE5CB0">
              <w:t>Consult with participants in the development of a new, voluntary, generalised and support-focused work and education resources program for people who face barriers to entry into education or workforce</w:t>
            </w:r>
          </w:p>
          <w:p w14:paraId="0C04F019" w14:textId="23274155" w:rsidR="00B45747" w:rsidRPr="00B45747" w:rsidRDefault="00B45747" w:rsidP="00B45747">
            <w:pPr>
              <w:pStyle w:val="TableContentsL2"/>
            </w:pPr>
          </w:p>
        </w:tc>
      </w:tr>
      <w:tr w:rsidR="00542969" w:rsidRPr="00622996" w14:paraId="7EFAA14D" w14:textId="77777777" w:rsidTr="00542969">
        <w:trPr>
          <w:trHeight w:val="567"/>
        </w:trPr>
        <w:tc>
          <w:tcPr>
            <w:tcW w:w="9020" w:type="dxa"/>
            <w:tcBorders>
              <w:top w:val="nil"/>
              <w:left w:val="nil"/>
              <w:bottom w:val="nil"/>
              <w:right w:val="nil"/>
            </w:tcBorders>
            <w:shd w:val="clear" w:color="auto" w:fill="E3F3F3"/>
            <w:vAlign w:val="center"/>
          </w:tcPr>
          <w:p w14:paraId="34CA593F" w14:textId="69A15DA7" w:rsidR="00542969" w:rsidRDefault="00B45747" w:rsidP="00B45747">
            <w:pPr>
              <w:pStyle w:val="TableContentsL2"/>
            </w:pPr>
            <w:r w:rsidRPr="003D3085">
              <w:rPr>
                <w:b/>
                <w:bCs/>
              </w:rPr>
              <w:t xml:space="preserve">Recommendation </w:t>
            </w:r>
            <w:r>
              <w:rPr>
                <w:b/>
                <w:bCs/>
              </w:rPr>
              <w:t>6</w:t>
            </w:r>
            <w:r w:rsidRPr="003D3085">
              <w:rPr>
                <w:b/>
                <w:bCs/>
              </w:rPr>
              <w:t>:</w:t>
            </w:r>
            <w:r>
              <w:t xml:space="preserve"> </w:t>
            </w:r>
            <w:r w:rsidRPr="00FE5CB0">
              <w:t>Develop a separate support service for parents who are experiencing or have experiencing intimate partner or family violence as outlined in NCSMC submission to safeguard information sharing and prevent re</w:t>
            </w:r>
            <w:r w:rsidR="001428D7">
              <w:t>-</w:t>
            </w:r>
            <w:r w:rsidRPr="00FE5CB0">
              <w:t>traumatisatio</w:t>
            </w:r>
            <w:r>
              <w:t>n</w:t>
            </w:r>
          </w:p>
          <w:p w14:paraId="6CCC919A" w14:textId="52702F10" w:rsidR="00B45747" w:rsidRPr="00B45747" w:rsidRDefault="00B45747" w:rsidP="00B45747">
            <w:pPr>
              <w:pStyle w:val="TableContentsL2"/>
            </w:pPr>
          </w:p>
        </w:tc>
      </w:tr>
      <w:tr w:rsidR="00542969" w:rsidRPr="00622996" w14:paraId="5BA353C8" w14:textId="77777777" w:rsidTr="00542969">
        <w:trPr>
          <w:trHeight w:val="567"/>
        </w:trPr>
        <w:tc>
          <w:tcPr>
            <w:tcW w:w="9020" w:type="dxa"/>
            <w:tcBorders>
              <w:top w:val="nil"/>
              <w:left w:val="nil"/>
              <w:bottom w:val="nil"/>
              <w:right w:val="nil"/>
            </w:tcBorders>
            <w:shd w:val="clear" w:color="auto" w:fill="FFF7E1"/>
            <w:vAlign w:val="center"/>
          </w:tcPr>
          <w:p w14:paraId="7D82235F" w14:textId="77777777" w:rsidR="00B45747" w:rsidRPr="00070024" w:rsidRDefault="00B45747" w:rsidP="00B45747">
            <w:pPr>
              <w:pStyle w:val="TableContentsL2"/>
            </w:pPr>
            <w:r w:rsidRPr="003D3085">
              <w:rPr>
                <w:b/>
                <w:bCs/>
              </w:rPr>
              <w:t xml:space="preserve">Recommendation </w:t>
            </w:r>
            <w:r>
              <w:rPr>
                <w:b/>
                <w:bCs/>
              </w:rPr>
              <w:t>7</w:t>
            </w:r>
            <w:r w:rsidRPr="003D3085">
              <w:rPr>
                <w:b/>
                <w:bCs/>
              </w:rPr>
              <w:t>:</w:t>
            </w:r>
            <w:r>
              <w:t xml:space="preserve"> </w:t>
            </w:r>
            <w:r w:rsidRPr="00FE5CB0">
              <w:t>Build support services and programs on a values foundation of empowerment, agency and choice over preventing ‘welfare dependency’, an unhelpful framing that serves to worsen stigmatisation for vulnerable people experiencing stressful life circumstances</w:t>
            </w:r>
          </w:p>
          <w:p w14:paraId="4630DD37" w14:textId="77777777" w:rsidR="00542969" w:rsidRPr="00622996" w:rsidRDefault="00542969" w:rsidP="00622996">
            <w:pPr>
              <w:spacing w:after="0" w:line="220" w:lineRule="exact"/>
              <w:rPr>
                <w:rFonts w:eastAsia="Calibri" w:cs="Times New Roman (Body CS)"/>
                <w:b/>
                <w:bCs/>
                <w:color w:val="auto"/>
                <w:sz w:val="18"/>
                <w:szCs w:val="16"/>
                <w:lang w:eastAsia="en-US"/>
              </w:rPr>
            </w:pPr>
          </w:p>
        </w:tc>
      </w:tr>
      <w:tr w:rsidR="00542969" w:rsidRPr="00622996" w14:paraId="4EDCB22D" w14:textId="77777777" w:rsidTr="00542969">
        <w:trPr>
          <w:trHeight w:val="567"/>
        </w:trPr>
        <w:tc>
          <w:tcPr>
            <w:tcW w:w="9020" w:type="dxa"/>
            <w:tcBorders>
              <w:top w:val="nil"/>
              <w:left w:val="nil"/>
              <w:bottom w:val="nil"/>
              <w:right w:val="nil"/>
            </w:tcBorders>
            <w:shd w:val="clear" w:color="auto" w:fill="E3F3F3"/>
            <w:vAlign w:val="center"/>
          </w:tcPr>
          <w:p w14:paraId="0AA1D826" w14:textId="77777777" w:rsidR="00B45747" w:rsidRPr="00FE5CB0" w:rsidRDefault="00B45747" w:rsidP="00B45747">
            <w:pPr>
              <w:pStyle w:val="TableContentsL2"/>
            </w:pPr>
            <w:r w:rsidRPr="003D3085">
              <w:rPr>
                <w:b/>
                <w:bCs/>
              </w:rPr>
              <w:t xml:space="preserve">Recommendation </w:t>
            </w:r>
            <w:r>
              <w:rPr>
                <w:b/>
                <w:bCs/>
              </w:rPr>
              <w:t>8</w:t>
            </w:r>
            <w:r w:rsidRPr="003D3085">
              <w:rPr>
                <w:b/>
                <w:bCs/>
              </w:rPr>
              <w:t>:</w:t>
            </w:r>
            <w:r>
              <w:t xml:space="preserve"> </w:t>
            </w:r>
            <w:r w:rsidRPr="00FE5CB0">
              <w:t>Ensure that future programs and services are grounded in culturally safe practices for Aboriginal and Torres Strait Islander families</w:t>
            </w:r>
          </w:p>
          <w:p w14:paraId="2C262817" w14:textId="77777777" w:rsidR="00542969" w:rsidRPr="00622996" w:rsidRDefault="00542969" w:rsidP="00622996">
            <w:pPr>
              <w:spacing w:after="0" w:line="220" w:lineRule="exact"/>
              <w:rPr>
                <w:rFonts w:eastAsia="Calibri" w:cs="Times New Roman (Body CS)"/>
                <w:b/>
                <w:bCs/>
                <w:color w:val="auto"/>
                <w:sz w:val="18"/>
                <w:szCs w:val="16"/>
                <w:lang w:eastAsia="en-US"/>
              </w:rPr>
            </w:pPr>
          </w:p>
        </w:tc>
      </w:tr>
      <w:tr w:rsidR="00542969" w:rsidRPr="00622996" w14:paraId="4A243485" w14:textId="77777777" w:rsidTr="00542969">
        <w:trPr>
          <w:trHeight w:val="567"/>
        </w:trPr>
        <w:tc>
          <w:tcPr>
            <w:tcW w:w="9020" w:type="dxa"/>
            <w:tcBorders>
              <w:top w:val="nil"/>
              <w:left w:val="nil"/>
              <w:bottom w:val="nil"/>
              <w:right w:val="nil"/>
            </w:tcBorders>
            <w:shd w:val="clear" w:color="auto" w:fill="FFF7E1"/>
            <w:vAlign w:val="center"/>
          </w:tcPr>
          <w:p w14:paraId="22F72222" w14:textId="77777777" w:rsidR="00B45747" w:rsidRPr="00FE5CB0" w:rsidRDefault="00B45747" w:rsidP="00B45747">
            <w:pPr>
              <w:pStyle w:val="TableContentsL2"/>
            </w:pPr>
            <w:r w:rsidRPr="003D3085">
              <w:rPr>
                <w:b/>
                <w:bCs/>
              </w:rPr>
              <w:t xml:space="preserve">Recommendation </w:t>
            </w:r>
            <w:r>
              <w:rPr>
                <w:b/>
                <w:bCs/>
              </w:rPr>
              <w:t>9</w:t>
            </w:r>
            <w:r w:rsidRPr="003D3085">
              <w:rPr>
                <w:b/>
                <w:bCs/>
              </w:rPr>
              <w:t>:</w:t>
            </w:r>
            <w:r>
              <w:t xml:space="preserve"> </w:t>
            </w:r>
            <w:r w:rsidRPr="00FE5CB0">
              <w:t>Ensure that staff interacting with participants are professionals with training in employment counselling, cultural safety and trauma management</w:t>
            </w:r>
          </w:p>
          <w:p w14:paraId="044E47C6" w14:textId="77777777" w:rsidR="00542969" w:rsidRPr="00622996" w:rsidRDefault="00542969" w:rsidP="00622996">
            <w:pPr>
              <w:spacing w:after="0" w:line="220" w:lineRule="exact"/>
              <w:rPr>
                <w:rFonts w:eastAsia="Calibri" w:cs="Times New Roman (Body CS)"/>
                <w:b/>
                <w:bCs/>
                <w:color w:val="auto"/>
                <w:sz w:val="18"/>
                <w:szCs w:val="16"/>
                <w:lang w:eastAsia="en-US"/>
              </w:rPr>
            </w:pPr>
          </w:p>
        </w:tc>
      </w:tr>
      <w:tr w:rsidR="00542969" w:rsidRPr="00622996" w14:paraId="1AF99B02" w14:textId="77777777" w:rsidTr="00542969">
        <w:trPr>
          <w:trHeight w:val="567"/>
        </w:trPr>
        <w:tc>
          <w:tcPr>
            <w:tcW w:w="9020" w:type="dxa"/>
            <w:tcBorders>
              <w:top w:val="nil"/>
              <w:left w:val="nil"/>
              <w:bottom w:val="nil"/>
              <w:right w:val="nil"/>
            </w:tcBorders>
            <w:shd w:val="clear" w:color="auto" w:fill="E3F3F3"/>
            <w:vAlign w:val="center"/>
          </w:tcPr>
          <w:p w14:paraId="776CC0BD" w14:textId="77777777" w:rsidR="00B45747" w:rsidRDefault="00B45747" w:rsidP="00B45747">
            <w:pPr>
              <w:pStyle w:val="TableContentsL2"/>
            </w:pPr>
            <w:r w:rsidRPr="003D3085">
              <w:rPr>
                <w:b/>
                <w:bCs/>
              </w:rPr>
              <w:t xml:space="preserve">Recommendation </w:t>
            </w:r>
            <w:r>
              <w:rPr>
                <w:b/>
                <w:bCs/>
              </w:rPr>
              <w:t>10</w:t>
            </w:r>
            <w:r w:rsidRPr="003D3085">
              <w:rPr>
                <w:b/>
                <w:bCs/>
              </w:rPr>
              <w:t>:</w:t>
            </w:r>
            <w:r>
              <w:t xml:space="preserve"> </w:t>
            </w:r>
            <w:r w:rsidRPr="00FE5CB0">
              <w:rPr>
                <w:rFonts w:cs="Arial"/>
                <w:szCs w:val="20"/>
              </w:rPr>
              <w:t xml:space="preserve"> </w:t>
            </w:r>
            <w:r w:rsidRPr="00FE5CB0">
              <w:t>Prioritise child wellbeing and ensure full recognition of the value of unpaid caring labour, particularly for sole parents with children younger than school age and/or parents with or caring for children with a disability</w:t>
            </w:r>
          </w:p>
          <w:p w14:paraId="124277C6" w14:textId="77777777" w:rsidR="00542969" w:rsidRPr="00622996" w:rsidRDefault="00542969" w:rsidP="00622996">
            <w:pPr>
              <w:spacing w:after="0" w:line="220" w:lineRule="exact"/>
              <w:rPr>
                <w:rFonts w:eastAsia="Calibri" w:cs="Times New Roman (Body CS)"/>
                <w:b/>
                <w:bCs/>
                <w:color w:val="auto"/>
                <w:sz w:val="18"/>
                <w:szCs w:val="16"/>
                <w:lang w:eastAsia="en-US"/>
              </w:rPr>
            </w:pPr>
          </w:p>
        </w:tc>
      </w:tr>
      <w:tr w:rsidR="00E20B32" w:rsidRPr="00622996" w14:paraId="328BC640" w14:textId="77777777" w:rsidTr="00E20B32">
        <w:trPr>
          <w:trHeight w:val="567"/>
        </w:trPr>
        <w:tc>
          <w:tcPr>
            <w:tcW w:w="9020" w:type="dxa"/>
            <w:tcBorders>
              <w:top w:val="nil"/>
              <w:left w:val="nil"/>
              <w:bottom w:val="nil"/>
              <w:right w:val="nil"/>
            </w:tcBorders>
            <w:shd w:val="clear" w:color="auto" w:fill="FFF7E1"/>
            <w:vAlign w:val="center"/>
          </w:tcPr>
          <w:p w14:paraId="62069B96" w14:textId="2B08BF21" w:rsidR="00E20B32" w:rsidRPr="003D3085" w:rsidRDefault="00E20B32" w:rsidP="00B45747">
            <w:pPr>
              <w:pStyle w:val="TableContentsL2"/>
              <w:rPr>
                <w:b/>
                <w:bCs/>
              </w:rPr>
            </w:pPr>
            <w:r w:rsidRPr="003D3085">
              <w:rPr>
                <w:b/>
                <w:bCs/>
              </w:rPr>
              <w:t xml:space="preserve">Recommendation </w:t>
            </w:r>
            <w:r>
              <w:rPr>
                <w:b/>
                <w:bCs/>
              </w:rPr>
              <w:t>11</w:t>
            </w:r>
            <w:r w:rsidRPr="003D3085">
              <w:rPr>
                <w:b/>
                <w:bCs/>
              </w:rPr>
              <w:t>:</w:t>
            </w:r>
            <w:r>
              <w:t xml:space="preserve"> </w:t>
            </w:r>
            <w:r w:rsidRPr="00FE5CB0">
              <w:rPr>
                <w:rFonts w:cs="Arial"/>
                <w:szCs w:val="20"/>
              </w:rPr>
              <w:t xml:space="preserve"> </w:t>
            </w:r>
            <w:r>
              <w:rPr>
                <w:rFonts w:cs="Arial"/>
                <w:szCs w:val="20"/>
              </w:rPr>
              <w:t xml:space="preserve">Increase the rate of all income support payments </w:t>
            </w:r>
            <w:r w:rsidR="00E960A4">
              <w:rPr>
                <w:rFonts w:cs="Arial"/>
                <w:szCs w:val="20"/>
              </w:rPr>
              <w:t>to at least $</w:t>
            </w:r>
            <w:r w:rsidR="004D0252">
              <w:rPr>
                <w:rFonts w:cs="Arial"/>
                <w:szCs w:val="20"/>
              </w:rPr>
              <w:t>73</w:t>
            </w:r>
            <w:r w:rsidR="00E960A4">
              <w:rPr>
                <w:rFonts w:cs="Arial"/>
                <w:szCs w:val="20"/>
              </w:rPr>
              <w:t xml:space="preserve"> per day</w:t>
            </w:r>
          </w:p>
        </w:tc>
      </w:tr>
    </w:tbl>
    <w:p w14:paraId="5636CF2E" w14:textId="77777777" w:rsidR="008D322F" w:rsidRDefault="008D322F" w:rsidP="0083507C">
      <w:pPr>
        <w:rPr>
          <w:rFonts w:eastAsiaTheme="minorHAnsi"/>
          <w:lang w:val="en-US" w:eastAsia="en-US"/>
        </w:rPr>
      </w:pPr>
    </w:p>
    <w:p w14:paraId="400D9900" w14:textId="77777777" w:rsidR="00FE5CB0" w:rsidRDefault="00FE5CB0">
      <w:pPr>
        <w:rPr>
          <w:rFonts w:eastAsiaTheme="minorHAnsi"/>
          <w:lang w:val="en-US" w:eastAsia="en-US"/>
        </w:rPr>
      </w:pPr>
    </w:p>
    <w:p w14:paraId="5328BA58" w14:textId="77777777" w:rsidR="00FE5CB0" w:rsidRDefault="00FE5CB0">
      <w:pPr>
        <w:rPr>
          <w:rFonts w:eastAsiaTheme="minorHAnsi"/>
          <w:lang w:val="en-US" w:eastAsia="en-US"/>
        </w:rPr>
      </w:pPr>
    </w:p>
    <w:p w14:paraId="784C1B96" w14:textId="77777777" w:rsidR="00622996" w:rsidRPr="00622996" w:rsidRDefault="00622996" w:rsidP="00622996">
      <w:pPr>
        <w:spacing w:after="0" w:line="240" w:lineRule="auto"/>
        <w:rPr>
          <w:rFonts w:eastAsia="Calibri" w:cs="Times New Roman (Body CS)"/>
          <w:noProof/>
          <w:color w:val="auto"/>
          <w:sz w:val="24"/>
          <w:lang w:eastAsia="en-US"/>
        </w:rPr>
      </w:pPr>
    </w:p>
    <w:p w14:paraId="76008650" w14:textId="77777777" w:rsidR="00FE5CB0" w:rsidRDefault="00FE5CB0">
      <w:pPr>
        <w:rPr>
          <w:rFonts w:eastAsiaTheme="minorHAnsi"/>
          <w:lang w:val="en-US" w:eastAsia="en-US"/>
        </w:rPr>
      </w:pPr>
    </w:p>
    <w:p w14:paraId="2AC87032" w14:textId="77777777" w:rsidR="00FE5CB0" w:rsidRDefault="00FE5CB0">
      <w:pPr>
        <w:rPr>
          <w:rFonts w:eastAsiaTheme="minorHAnsi"/>
          <w:lang w:val="en-US" w:eastAsia="en-US"/>
        </w:rPr>
      </w:pPr>
    </w:p>
    <w:p w14:paraId="153566B5" w14:textId="77777777" w:rsidR="00FE5CB0" w:rsidRDefault="00FE5CB0">
      <w:pPr>
        <w:rPr>
          <w:rFonts w:eastAsiaTheme="minorHAnsi"/>
          <w:lang w:val="en-US" w:eastAsia="en-US"/>
        </w:rPr>
      </w:pPr>
    </w:p>
    <w:p w14:paraId="0FB87EFF" w14:textId="77777777" w:rsidR="00FE5CB0" w:rsidRDefault="00FE5CB0">
      <w:pPr>
        <w:rPr>
          <w:rFonts w:eastAsiaTheme="minorHAnsi"/>
          <w:lang w:val="en-US" w:eastAsia="en-US"/>
        </w:rPr>
      </w:pPr>
    </w:p>
    <w:p w14:paraId="53E77901" w14:textId="77777777" w:rsidR="00D603B0" w:rsidRDefault="00D603B0">
      <w:pPr>
        <w:rPr>
          <w:rFonts w:eastAsiaTheme="minorHAnsi"/>
          <w:lang w:val="en-US" w:eastAsia="en-US"/>
        </w:rPr>
      </w:pPr>
    </w:p>
    <w:p w14:paraId="6A816ACF" w14:textId="77777777" w:rsidR="00D603B0" w:rsidRDefault="00D603B0">
      <w:pPr>
        <w:rPr>
          <w:rFonts w:eastAsiaTheme="minorHAnsi"/>
          <w:lang w:val="en-US" w:eastAsia="en-US"/>
        </w:rPr>
      </w:pPr>
    </w:p>
    <w:p w14:paraId="0A2B56FE" w14:textId="77777777" w:rsidR="00542969" w:rsidRDefault="00542969">
      <w:pPr>
        <w:rPr>
          <w:rFonts w:eastAsiaTheme="minorHAnsi"/>
          <w:lang w:val="en-US" w:eastAsia="en-US"/>
        </w:rPr>
      </w:pPr>
    </w:p>
    <w:p w14:paraId="2ADD0B3E" w14:textId="77777777" w:rsidR="00542969" w:rsidRDefault="00542969">
      <w:pPr>
        <w:rPr>
          <w:rFonts w:eastAsiaTheme="minorHAnsi"/>
          <w:lang w:val="en-US" w:eastAsia="en-US"/>
        </w:rPr>
      </w:pPr>
    </w:p>
    <w:p w14:paraId="457E82BF" w14:textId="77777777" w:rsidR="00542969" w:rsidRDefault="00542969">
      <w:pPr>
        <w:rPr>
          <w:rFonts w:eastAsiaTheme="minorHAnsi"/>
          <w:lang w:val="en-US" w:eastAsia="en-US"/>
        </w:rPr>
      </w:pPr>
    </w:p>
    <w:p w14:paraId="161701FC" w14:textId="77777777" w:rsidR="00542969" w:rsidRDefault="00542969">
      <w:pPr>
        <w:rPr>
          <w:rFonts w:eastAsiaTheme="minorHAnsi"/>
          <w:lang w:val="en-US" w:eastAsia="en-US"/>
        </w:rPr>
      </w:pPr>
    </w:p>
    <w:p w14:paraId="0FF8D7E7" w14:textId="77777777" w:rsidR="00542969" w:rsidRDefault="00542969">
      <w:pPr>
        <w:rPr>
          <w:rFonts w:eastAsiaTheme="minorHAnsi"/>
          <w:lang w:val="en-US" w:eastAsia="en-US"/>
        </w:rPr>
      </w:pPr>
    </w:p>
    <w:p w14:paraId="7A5D0391" w14:textId="77777777" w:rsidR="00B45747" w:rsidRDefault="00B45747">
      <w:pPr>
        <w:rPr>
          <w:rFonts w:eastAsiaTheme="minorHAnsi"/>
          <w:lang w:val="en-US" w:eastAsia="en-US"/>
        </w:rPr>
      </w:pPr>
    </w:p>
    <w:p w14:paraId="17565121" w14:textId="77777777" w:rsidR="00B45747" w:rsidRDefault="00B45747">
      <w:pPr>
        <w:rPr>
          <w:rFonts w:eastAsiaTheme="minorHAnsi"/>
          <w:lang w:val="en-US" w:eastAsia="en-US"/>
        </w:rPr>
      </w:pPr>
    </w:p>
    <w:p w14:paraId="0C4FFD1E" w14:textId="77777777" w:rsidR="00B45747" w:rsidRDefault="00B45747">
      <w:pPr>
        <w:rPr>
          <w:rFonts w:eastAsiaTheme="minorHAnsi"/>
          <w:lang w:val="en-US" w:eastAsia="en-US"/>
        </w:rPr>
      </w:pPr>
    </w:p>
    <w:p w14:paraId="7C8A7EF2" w14:textId="77777777" w:rsidR="00B45747" w:rsidRDefault="00B45747">
      <w:pPr>
        <w:rPr>
          <w:rFonts w:eastAsiaTheme="minorHAnsi"/>
          <w:lang w:val="en-US" w:eastAsia="en-US"/>
        </w:rPr>
      </w:pPr>
    </w:p>
    <w:p w14:paraId="53764DCE" w14:textId="77777777" w:rsidR="00B45747" w:rsidRDefault="00B45747">
      <w:pPr>
        <w:rPr>
          <w:rFonts w:eastAsiaTheme="minorHAnsi"/>
          <w:lang w:val="en-US" w:eastAsia="en-US"/>
        </w:rPr>
      </w:pPr>
    </w:p>
    <w:p w14:paraId="0CEE7A73" w14:textId="77777777" w:rsidR="00B45747" w:rsidRDefault="00B45747">
      <w:pPr>
        <w:rPr>
          <w:rFonts w:eastAsiaTheme="minorHAnsi"/>
          <w:lang w:val="en-US" w:eastAsia="en-US"/>
        </w:rPr>
      </w:pPr>
    </w:p>
    <w:p w14:paraId="219904E1" w14:textId="77777777" w:rsidR="00F90823" w:rsidRDefault="00F90823">
      <w:pPr>
        <w:rPr>
          <w:rFonts w:eastAsiaTheme="minorHAnsi"/>
          <w:lang w:val="en-US" w:eastAsia="en-US"/>
        </w:rPr>
      </w:pPr>
    </w:p>
    <w:sectPr w:rsidR="00F90823" w:rsidSect="00EA37B8">
      <w:headerReference w:type="default" r:id="rId15"/>
      <w:footerReference w:type="even" r:id="rId16"/>
      <w:footerReference w:type="default" r:id="rId17"/>
      <w:headerReference w:type="first" r:id="rId18"/>
      <w:footerReference w:type="first" r:id="rId19"/>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0946" w14:textId="77777777" w:rsidR="00613220" w:rsidRDefault="00613220" w:rsidP="00B50635">
      <w:pPr>
        <w:spacing w:after="0" w:line="240" w:lineRule="auto"/>
      </w:pPr>
      <w:r>
        <w:separator/>
      </w:r>
    </w:p>
  </w:endnote>
  <w:endnote w:type="continuationSeparator" w:id="0">
    <w:p w14:paraId="18923B65" w14:textId="77777777" w:rsidR="00613220" w:rsidRDefault="00613220" w:rsidP="00B50635">
      <w:pPr>
        <w:spacing w:after="0" w:line="240" w:lineRule="auto"/>
      </w:pPr>
      <w:r>
        <w:continuationSeparator/>
      </w:r>
    </w:p>
  </w:endnote>
  <w:endnote w:type="continuationNotice" w:id="1">
    <w:p w14:paraId="5AF198B0" w14:textId="77777777" w:rsidR="00613220" w:rsidRDefault="00613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073" w14:textId="324A2602" w:rsidR="00B77E46" w:rsidRDefault="00B7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26C" w14:textId="482A6CA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5FC0" w14:textId="77777777" w:rsidR="00613220" w:rsidRDefault="00613220" w:rsidP="00B50635">
      <w:pPr>
        <w:spacing w:after="0" w:line="240" w:lineRule="auto"/>
      </w:pPr>
      <w:r>
        <w:separator/>
      </w:r>
    </w:p>
  </w:footnote>
  <w:footnote w:type="continuationSeparator" w:id="0">
    <w:p w14:paraId="47B0310E" w14:textId="77777777" w:rsidR="00613220" w:rsidRDefault="00613220" w:rsidP="00B50635">
      <w:pPr>
        <w:spacing w:after="0" w:line="240" w:lineRule="auto"/>
      </w:pPr>
      <w:r>
        <w:continuationSeparator/>
      </w:r>
    </w:p>
  </w:footnote>
  <w:footnote w:type="continuationNotice" w:id="1">
    <w:p w14:paraId="129DC954" w14:textId="77777777" w:rsidR="00613220" w:rsidRDefault="00613220">
      <w:pPr>
        <w:spacing w:after="0" w:line="240" w:lineRule="auto"/>
      </w:pPr>
    </w:p>
  </w:footnote>
  <w:footnote w:id="2">
    <w:p w14:paraId="3FF875A7" w14:textId="21FAC24A" w:rsidR="00B94E6C" w:rsidRPr="00272C97" w:rsidRDefault="00B94E6C">
      <w:pPr>
        <w:pStyle w:val="FootnoteText"/>
      </w:pPr>
      <w:r>
        <w:rPr>
          <w:rStyle w:val="FootnoteReference"/>
        </w:rPr>
        <w:footnoteRef/>
      </w:r>
      <w:r>
        <w:t xml:space="preserve"> </w:t>
      </w:r>
      <w:r w:rsidR="00314DD6" w:rsidRPr="00314DD6">
        <w:rPr>
          <w:lang w:val="en-US"/>
        </w:rPr>
        <w:t>L Henriques-Gomes</w:t>
      </w:r>
      <w:r w:rsidR="004B6F10">
        <w:rPr>
          <w:lang w:val="en-US"/>
        </w:rPr>
        <w:t xml:space="preserve">, </w:t>
      </w:r>
      <w:hyperlink r:id="rId1" w:history="1">
        <w:r w:rsidR="004B6F10" w:rsidRPr="0008688A">
          <w:rPr>
            <w:rStyle w:val="Hyperlink"/>
            <w:i/>
            <w:iCs/>
          </w:rPr>
          <w:t>One in five parents had payments cut in first six months of new welfare program</w:t>
        </w:r>
      </w:hyperlink>
      <w:r w:rsidR="004B6F10">
        <w:t xml:space="preserve">, </w:t>
      </w:r>
      <w:r w:rsidR="005A7947">
        <w:t>the Guardian, 7</w:t>
      </w:r>
      <w:r w:rsidR="000B0FE9">
        <w:t xml:space="preserve"> February 2019, accessed </w:t>
      </w:r>
      <w:r w:rsidR="00C622ED">
        <w:t>21 November 2022</w:t>
      </w:r>
      <w:r w:rsidR="0008688A">
        <w:t xml:space="preserve">. </w:t>
      </w:r>
    </w:p>
  </w:footnote>
  <w:footnote w:id="3">
    <w:p w14:paraId="527FEF28" w14:textId="1B420234" w:rsidR="0008688A" w:rsidRPr="00272C97" w:rsidRDefault="0008688A">
      <w:pPr>
        <w:pStyle w:val="FootnoteText"/>
      </w:pPr>
      <w:r>
        <w:rPr>
          <w:rStyle w:val="FootnoteReference"/>
        </w:rPr>
        <w:footnoteRef/>
      </w:r>
      <w:r>
        <w:t xml:space="preserve"> </w:t>
      </w:r>
      <w:r w:rsidR="00E75BAF">
        <w:t xml:space="preserve">A Summers, </w:t>
      </w:r>
      <w:hyperlink r:id="rId2" w:history="1">
        <w:r w:rsidR="00C26A5D" w:rsidRPr="00C26A5D">
          <w:rPr>
            <w:rStyle w:val="Hyperlink"/>
            <w:i/>
            <w:iCs/>
          </w:rPr>
          <w:t>The Choice violence or poverty</w:t>
        </w:r>
      </w:hyperlink>
      <w:r w:rsidR="00C26A5D">
        <w:t xml:space="preserve">, </w:t>
      </w:r>
      <w:r w:rsidR="00256283">
        <w:t>University of Technology Sydney</w:t>
      </w:r>
      <w:r w:rsidR="00E54E68">
        <w:t>, p 15</w:t>
      </w:r>
      <w:r w:rsidR="00F343B9">
        <w:t xml:space="preserve">, accessed 17 November 2022. </w:t>
      </w:r>
    </w:p>
  </w:footnote>
  <w:footnote w:id="4">
    <w:p w14:paraId="51052DDB" w14:textId="56A4311C" w:rsidR="0050160F" w:rsidRPr="00272C97" w:rsidRDefault="000E61F5">
      <w:pPr>
        <w:pStyle w:val="FootnoteText"/>
      </w:pPr>
      <w:r>
        <w:rPr>
          <w:rStyle w:val="FootnoteReference"/>
        </w:rPr>
        <w:footnoteRef/>
      </w:r>
      <w:r>
        <w:t xml:space="preserve"> Workforce Australia, </w:t>
      </w:r>
      <w:hyperlink r:id="rId3" w:history="1">
        <w:r w:rsidR="002F07E2" w:rsidRPr="002F07E2">
          <w:rPr>
            <w:rStyle w:val="Hyperlink"/>
            <w:i/>
            <w:iCs/>
          </w:rPr>
          <w:t>Targeted Compliance Framework Brochure</w:t>
        </w:r>
      </w:hyperlink>
      <w:r w:rsidR="002F07E2">
        <w:t xml:space="preserve">, </w:t>
      </w:r>
      <w:r w:rsidR="00330902">
        <w:t>Commonwealth of Australia</w:t>
      </w:r>
      <w:r w:rsidR="0087583A">
        <w:t xml:space="preserve">, </w:t>
      </w:r>
      <w:r w:rsidR="004D3D49">
        <w:t xml:space="preserve">n.d., </w:t>
      </w:r>
      <w:r w:rsidR="00CC671A">
        <w:t xml:space="preserve">accessed 24 November 2022. </w:t>
      </w:r>
    </w:p>
  </w:footnote>
  <w:footnote w:id="5">
    <w:p w14:paraId="0A4254D8" w14:textId="2CF0CB63" w:rsidR="004B2397" w:rsidRPr="00AF127F" w:rsidRDefault="004B2397">
      <w:pPr>
        <w:pStyle w:val="FootnoteText"/>
      </w:pPr>
      <w:r>
        <w:rPr>
          <w:rStyle w:val="FootnoteReference"/>
        </w:rPr>
        <w:footnoteRef/>
      </w:r>
      <w:r>
        <w:t xml:space="preserve"> </w:t>
      </w:r>
      <w:r w:rsidR="00CE0B18">
        <w:t xml:space="preserve">The </w:t>
      </w:r>
      <w:r w:rsidR="00330902">
        <w:t>Department of Social Services</w:t>
      </w:r>
      <w:r w:rsidR="00CE0B18">
        <w:t xml:space="preserve">, </w:t>
      </w:r>
      <w:hyperlink r:id="rId4" w:history="1">
        <w:r w:rsidR="00CE0B18" w:rsidRPr="00CE0B18">
          <w:rPr>
            <w:rStyle w:val="Hyperlink"/>
            <w:i/>
            <w:iCs/>
          </w:rPr>
          <w:t>Social Security Guide</w:t>
        </w:r>
      </w:hyperlink>
      <w:r w:rsidR="00190D85">
        <w:t xml:space="preserve">, </w:t>
      </w:r>
      <w:r w:rsidR="0013731B">
        <w:t xml:space="preserve">7 </w:t>
      </w:r>
      <w:r w:rsidR="00C75F6E">
        <w:t xml:space="preserve">November 2022, accessed </w:t>
      </w:r>
      <w:r w:rsidR="0050160F">
        <w:t>24 November 2022.</w:t>
      </w:r>
    </w:p>
  </w:footnote>
  <w:footnote w:id="6">
    <w:p w14:paraId="719B46B2" w14:textId="68C163D8" w:rsidR="00E22F7C" w:rsidRPr="00640F72" w:rsidRDefault="00E53382" w:rsidP="00E22F7C">
      <w:pPr>
        <w:pStyle w:val="FootnoteText"/>
      </w:pPr>
      <w:r>
        <w:rPr>
          <w:rStyle w:val="FootnoteReference"/>
        </w:rPr>
        <w:footnoteRef/>
      </w:r>
      <w:r>
        <w:t xml:space="preserve"> </w:t>
      </w:r>
      <w:r w:rsidR="00DF5E8A">
        <w:t>L Henriques-Gomes</w:t>
      </w:r>
      <w:r w:rsidR="00E22F7C">
        <w:t>,</w:t>
      </w:r>
      <w:r w:rsidR="00E22F7C">
        <w:rPr>
          <w:rFonts w:ascii="Georgia" w:eastAsia="Times New Roman" w:hAnsi="Georgia" w:cs="Times New Roman"/>
          <w:color w:val="121212"/>
          <w:kern w:val="36"/>
          <w:sz w:val="48"/>
          <w:szCs w:val="48"/>
          <w:lang w:eastAsia="en-AU"/>
        </w:rPr>
        <w:t xml:space="preserve"> </w:t>
      </w:r>
      <w:hyperlink r:id="rId5" w:history="1">
        <w:r w:rsidR="00E22F7C" w:rsidRPr="00E22F7C">
          <w:rPr>
            <w:rStyle w:val="Hyperlink"/>
            <w:i/>
            <w:iCs/>
          </w:rPr>
          <w:t>Job agencies running ParentsNext scheme made invalid claims for taxpayer-funded bonuses, audit finds</w:t>
        </w:r>
      </w:hyperlink>
      <w:r w:rsidR="00640F72">
        <w:t xml:space="preserve">, The Guardian, 2 September 2022, accessed 15 November 2022. </w:t>
      </w:r>
    </w:p>
    <w:p w14:paraId="507CDD5B" w14:textId="6CF4025D" w:rsidR="00E53382" w:rsidRPr="00E22F7C" w:rsidRDefault="00E53382">
      <w:pPr>
        <w:pStyle w:val="FootnoteText"/>
        <w:rPr>
          <w:i/>
          <w:iCs/>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B36E85">
            <v:shapetype id="_x0000_t202" coordsize="21600,21600" o:spt="202" path="m,l,21600r21600,l21600,xe" w14:anchorId="44191C09">
              <v:stroke joinstyle="miter"/>
              <v:path gradientshapeok="t" o:connecttype="rect"/>
            </v:shapetype>
            <v:shape id="Text Box 9"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v:textbox inset="0,0,0,0">
                <w:txbxContent>
                  <w:p w:rsidRPr="00B77E46" w:rsidR="001B0D65" w:rsidP="00B77E46" w:rsidRDefault="001B0D65" w14:paraId="1F9E3E17" w14:textId="15DDE10F">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r>
                    <w:r w:rsidRPr="00B77E46">
                      <w:rPr>
                        <w:rStyle w:val="A1"/>
                        <w:rFonts w:ascii="Arial" w:hAnsi="Arial" w:cs="Arial"/>
                        <w:sz w:val="20"/>
                        <w:szCs w:val="20"/>
                      </w:rPr>
                      <w:t>Weston ACT 2611</w:t>
                    </w:r>
                  </w:p>
                  <w:p w:rsidRPr="00B77E46" w:rsidR="00B50635" w:rsidP="00B77E46" w:rsidRDefault="00B50635" w14:paraId="32F74C83" w14:textId="482C6F3B">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Pr="00B77E46" w:rsidR="001B0D65">
                      <w:rPr>
                        <w:rStyle w:val="A1"/>
                        <w:rFonts w:ascii="Arial" w:hAnsi="Arial" w:cs="Arial"/>
                        <w:sz w:val="20"/>
                        <w:szCs w:val="20"/>
                      </w:rPr>
                      <w:t>02</w:t>
                    </w:r>
                    <w:r w:rsidRPr="00B77E46">
                      <w:rPr>
                        <w:rStyle w:val="A1"/>
                        <w:rFonts w:ascii="Arial" w:hAnsi="Arial" w:cs="Arial"/>
                        <w:sz w:val="20"/>
                        <w:szCs w:val="20"/>
                      </w:rPr>
                      <w:t xml:space="preserve"> </w:t>
                    </w:r>
                    <w:r w:rsidRPr="00B77E46" w:rsidR="001B0D65">
                      <w:rPr>
                        <w:rStyle w:val="A1"/>
                        <w:rFonts w:ascii="Arial" w:hAnsi="Arial" w:cs="Arial"/>
                        <w:sz w:val="20"/>
                        <w:szCs w:val="20"/>
                      </w:rPr>
                      <w:t>7200</w:t>
                    </w:r>
                    <w:r w:rsidRPr="00B77E46">
                      <w:rPr>
                        <w:rStyle w:val="A1"/>
                        <w:rFonts w:ascii="Arial" w:hAnsi="Arial" w:cs="Arial"/>
                        <w:sz w:val="20"/>
                        <w:szCs w:val="20"/>
                      </w:rPr>
                      <w:br/>
                    </w:r>
                    <w:r w:rsidRPr="00B77E46" w:rsidR="001B0D65">
                      <w:rPr>
                        <w:rStyle w:val="A1"/>
                        <w:rFonts w:ascii="Arial" w:hAnsi="Arial" w:cs="Arial"/>
                        <w:sz w:val="20"/>
                        <w:szCs w:val="20"/>
                      </w:rPr>
                      <w:t>actcoss</w:t>
                    </w:r>
                    <w:r w:rsidRPr="00B77E46">
                      <w:rPr>
                        <w:rStyle w:val="A1"/>
                        <w:rFonts w:ascii="Arial" w:hAnsi="Arial" w:cs="Arial"/>
                        <w:sz w:val="20"/>
                        <w:szCs w:val="20"/>
                      </w:rPr>
                      <w:t>@</w:t>
                    </w:r>
                    <w:r w:rsidRPr="00B77E46" w:rsidR="001B0D65">
                      <w:rPr>
                        <w:rStyle w:val="A1"/>
                        <w:rFonts w:ascii="Arial" w:hAnsi="Arial" w:cs="Arial"/>
                        <w:sz w:val="20"/>
                        <w:szCs w:val="20"/>
                      </w:rPr>
                      <w:t>actcoss.org.au</w:t>
                    </w:r>
                  </w:p>
                  <w:p w:rsidRPr="00B77E46" w:rsidR="00B50635" w:rsidP="00B77E46" w:rsidRDefault="001B0D65" w14:paraId="1E6C62C8" w14:textId="41A6DB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Pr="00B77E46" w:rsidR="00B50635">
                      <w:rPr>
                        <w:rStyle w:val="A1"/>
                        <w:rFonts w:ascii="Arial" w:hAnsi="Arial" w:cs="Arial"/>
                        <w:sz w:val="20"/>
                        <w:szCs w:val="20"/>
                      </w:rPr>
                      <w:t>.au</w:t>
                    </w:r>
                    <w:r w:rsidRPr="00B77E46" w:rsid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6D9F"/>
    <w:multiLevelType w:val="hybridMultilevel"/>
    <w:tmpl w:val="CE5E8BA0"/>
    <w:lvl w:ilvl="0" w:tplc="DF4AA0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556B9A"/>
    <w:multiLevelType w:val="hybridMultilevel"/>
    <w:tmpl w:val="9A6C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4287390">
    <w:abstractNumId w:val="0"/>
  </w:num>
  <w:num w:numId="2" w16cid:durableId="101714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7D42"/>
    <w:rsid w:val="00013B28"/>
    <w:rsid w:val="000321D1"/>
    <w:rsid w:val="00045838"/>
    <w:rsid w:val="00052221"/>
    <w:rsid w:val="0008046B"/>
    <w:rsid w:val="0008688A"/>
    <w:rsid w:val="000B0FE9"/>
    <w:rsid w:val="000B3A1E"/>
    <w:rsid w:val="000C0985"/>
    <w:rsid w:val="000C74A6"/>
    <w:rsid w:val="000D49C7"/>
    <w:rsid w:val="000E61F5"/>
    <w:rsid w:val="00100AC8"/>
    <w:rsid w:val="001010B9"/>
    <w:rsid w:val="00120BA6"/>
    <w:rsid w:val="00127650"/>
    <w:rsid w:val="0013731B"/>
    <w:rsid w:val="00141333"/>
    <w:rsid w:val="001428D7"/>
    <w:rsid w:val="00152011"/>
    <w:rsid w:val="001528B1"/>
    <w:rsid w:val="00155EDC"/>
    <w:rsid w:val="00162F96"/>
    <w:rsid w:val="00190D85"/>
    <w:rsid w:val="00196AEB"/>
    <w:rsid w:val="001B0D65"/>
    <w:rsid w:val="001F77A3"/>
    <w:rsid w:val="00200B24"/>
    <w:rsid w:val="00201459"/>
    <w:rsid w:val="00210A44"/>
    <w:rsid w:val="00225D92"/>
    <w:rsid w:val="0024143E"/>
    <w:rsid w:val="00253319"/>
    <w:rsid w:val="00255B75"/>
    <w:rsid w:val="00256283"/>
    <w:rsid w:val="00272C97"/>
    <w:rsid w:val="002A209F"/>
    <w:rsid w:val="002B18CD"/>
    <w:rsid w:val="002D450C"/>
    <w:rsid w:val="002D65EB"/>
    <w:rsid w:val="002E21E6"/>
    <w:rsid w:val="002E3EBE"/>
    <w:rsid w:val="002F07E2"/>
    <w:rsid w:val="002F4864"/>
    <w:rsid w:val="00301D6C"/>
    <w:rsid w:val="003023C1"/>
    <w:rsid w:val="00304BF8"/>
    <w:rsid w:val="003060B4"/>
    <w:rsid w:val="00314DD6"/>
    <w:rsid w:val="003236FF"/>
    <w:rsid w:val="00330902"/>
    <w:rsid w:val="0033162D"/>
    <w:rsid w:val="003424F6"/>
    <w:rsid w:val="00345CDE"/>
    <w:rsid w:val="003631C9"/>
    <w:rsid w:val="003851DC"/>
    <w:rsid w:val="003938C3"/>
    <w:rsid w:val="003A5AAA"/>
    <w:rsid w:val="003B34CC"/>
    <w:rsid w:val="003B47A7"/>
    <w:rsid w:val="003D10D9"/>
    <w:rsid w:val="003D615E"/>
    <w:rsid w:val="003E5AFC"/>
    <w:rsid w:val="003E71EC"/>
    <w:rsid w:val="003F5DFC"/>
    <w:rsid w:val="003F7B8E"/>
    <w:rsid w:val="004075F0"/>
    <w:rsid w:val="00413F64"/>
    <w:rsid w:val="0042116F"/>
    <w:rsid w:val="00472826"/>
    <w:rsid w:val="00484452"/>
    <w:rsid w:val="00484941"/>
    <w:rsid w:val="004A6C7C"/>
    <w:rsid w:val="004A7875"/>
    <w:rsid w:val="004B2397"/>
    <w:rsid w:val="004B6F10"/>
    <w:rsid w:val="004C14C0"/>
    <w:rsid w:val="004D0252"/>
    <w:rsid w:val="004D0694"/>
    <w:rsid w:val="004D3D49"/>
    <w:rsid w:val="004D7B23"/>
    <w:rsid w:val="004E4D8E"/>
    <w:rsid w:val="004E7A36"/>
    <w:rsid w:val="004F7885"/>
    <w:rsid w:val="0050160F"/>
    <w:rsid w:val="005154F9"/>
    <w:rsid w:val="0052736F"/>
    <w:rsid w:val="00527876"/>
    <w:rsid w:val="005330B6"/>
    <w:rsid w:val="00537555"/>
    <w:rsid w:val="00542969"/>
    <w:rsid w:val="005858AE"/>
    <w:rsid w:val="005A7947"/>
    <w:rsid w:val="005B1410"/>
    <w:rsid w:val="005B48EA"/>
    <w:rsid w:val="005B7189"/>
    <w:rsid w:val="005C2C0B"/>
    <w:rsid w:val="005D155B"/>
    <w:rsid w:val="00602028"/>
    <w:rsid w:val="00613220"/>
    <w:rsid w:val="00621E13"/>
    <w:rsid w:val="00622996"/>
    <w:rsid w:val="006323C1"/>
    <w:rsid w:val="00640F72"/>
    <w:rsid w:val="00651A1B"/>
    <w:rsid w:val="00656399"/>
    <w:rsid w:val="0066498C"/>
    <w:rsid w:val="00674A7B"/>
    <w:rsid w:val="00674D8A"/>
    <w:rsid w:val="0067659A"/>
    <w:rsid w:val="00693E2C"/>
    <w:rsid w:val="00697A7F"/>
    <w:rsid w:val="006A0138"/>
    <w:rsid w:val="006A6425"/>
    <w:rsid w:val="006C3BC5"/>
    <w:rsid w:val="006C6965"/>
    <w:rsid w:val="006F69A9"/>
    <w:rsid w:val="0070308D"/>
    <w:rsid w:val="00704953"/>
    <w:rsid w:val="0070649C"/>
    <w:rsid w:val="00722BEA"/>
    <w:rsid w:val="00722F0A"/>
    <w:rsid w:val="00740D94"/>
    <w:rsid w:val="00751227"/>
    <w:rsid w:val="00762D58"/>
    <w:rsid w:val="00767D12"/>
    <w:rsid w:val="00771095"/>
    <w:rsid w:val="0077158B"/>
    <w:rsid w:val="007835B4"/>
    <w:rsid w:val="00795CC2"/>
    <w:rsid w:val="007B467E"/>
    <w:rsid w:val="007C14D6"/>
    <w:rsid w:val="007C422F"/>
    <w:rsid w:val="007C7DE3"/>
    <w:rsid w:val="007F2389"/>
    <w:rsid w:val="007F74BB"/>
    <w:rsid w:val="008010BE"/>
    <w:rsid w:val="00804087"/>
    <w:rsid w:val="008130B8"/>
    <w:rsid w:val="0083448B"/>
    <w:rsid w:val="00834733"/>
    <w:rsid w:val="0083507C"/>
    <w:rsid w:val="00853B2B"/>
    <w:rsid w:val="00866AFC"/>
    <w:rsid w:val="0087583A"/>
    <w:rsid w:val="008A09E0"/>
    <w:rsid w:val="008B389C"/>
    <w:rsid w:val="008B7221"/>
    <w:rsid w:val="008D322F"/>
    <w:rsid w:val="008D6E9A"/>
    <w:rsid w:val="008E0AF7"/>
    <w:rsid w:val="008F38A0"/>
    <w:rsid w:val="00900701"/>
    <w:rsid w:val="0090083A"/>
    <w:rsid w:val="00907C52"/>
    <w:rsid w:val="00913A52"/>
    <w:rsid w:val="00927224"/>
    <w:rsid w:val="00931691"/>
    <w:rsid w:val="0093473D"/>
    <w:rsid w:val="00967983"/>
    <w:rsid w:val="009711FD"/>
    <w:rsid w:val="009E76FB"/>
    <w:rsid w:val="009F1C16"/>
    <w:rsid w:val="009F6886"/>
    <w:rsid w:val="00A02870"/>
    <w:rsid w:val="00A17C85"/>
    <w:rsid w:val="00A23654"/>
    <w:rsid w:val="00A343F2"/>
    <w:rsid w:val="00A520A3"/>
    <w:rsid w:val="00A5453F"/>
    <w:rsid w:val="00A612C4"/>
    <w:rsid w:val="00A7087A"/>
    <w:rsid w:val="00A7132B"/>
    <w:rsid w:val="00A84D84"/>
    <w:rsid w:val="00AC1A52"/>
    <w:rsid w:val="00AF127F"/>
    <w:rsid w:val="00AF5C07"/>
    <w:rsid w:val="00AF5E27"/>
    <w:rsid w:val="00B2000D"/>
    <w:rsid w:val="00B219D5"/>
    <w:rsid w:val="00B26C14"/>
    <w:rsid w:val="00B3751B"/>
    <w:rsid w:val="00B45747"/>
    <w:rsid w:val="00B50635"/>
    <w:rsid w:val="00B60B59"/>
    <w:rsid w:val="00B6728E"/>
    <w:rsid w:val="00B7385B"/>
    <w:rsid w:val="00B73D42"/>
    <w:rsid w:val="00B77E46"/>
    <w:rsid w:val="00B94E6C"/>
    <w:rsid w:val="00B95057"/>
    <w:rsid w:val="00BB0FDC"/>
    <w:rsid w:val="00BC5AEC"/>
    <w:rsid w:val="00BD2CE8"/>
    <w:rsid w:val="00BE70D8"/>
    <w:rsid w:val="00BF433D"/>
    <w:rsid w:val="00C001C0"/>
    <w:rsid w:val="00C028B2"/>
    <w:rsid w:val="00C11F90"/>
    <w:rsid w:val="00C237A2"/>
    <w:rsid w:val="00C26A5D"/>
    <w:rsid w:val="00C338A0"/>
    <w:rsid w:val="00C52094"/>
    <w:rsid w:val="00C56190"/>
    <w:rsid w:val="00C622ED"/>
    <w:rsid w:val="00C63FF7"/>
    <w:rsid w:val="00C73C9F"/>
    <w:rsid w:val="00C75F6E"/>
    <w:rsid w:val="00C86969"/>
    <w:rsid w:val="00C87562"/>
    <w:rsid w:val="00C94802"/>
    <w:rsid w:val="00CA033E"/>
    <w:rsid w:val="00CC24B2"/>
    <w:rsid w:val="00CC34FE"/>
    <w:rsid w:val="00CC671A"/>
    <w:rsid w:val="00CE0B18"/>
    <w:rsid w:val="00CE6BAA"/>
    <w:rsid w:val="00D04997"/>
    <w:rsid w:val="00D3095C"/>
    <w:rsid w:val="00D31990"/>
    <w:rsid w:val="00D5362D"/>
    <w:rsid w:val="00D56A2D"/>
    <w:rsid w:val="00D603B0"/>
    <w:rsid w:val="00D751A5"/>
    <w:rsid w:val="00D75AE4"/>
    <w:rsid w:val="00DA3148"/>
    <w:rsid w:val="00DA4537"/>
    <w:rsid w:val="00DB1339"/>
    <w:rsid w:val="00DB5888"/>
    <w:rsid w:val="00DC2996"/>
    <w:rsid w:val="00DC3296"/>
    <w:rsid w:val="00DD428F"/>
    <w:rsid w:val="00DF37BD"/>
    <w:rsid w:val="00DF5E8A"/>
    <w:rsid w:val="00E03440"/>
    <w:rsid w:val="00E063BB"/>
    <w:rsid w:val="00E07B36"/>
    <w:rsid w:val="00E20B32"/>
    <w:rsid w:val="00E22F7C"/>
    <w:rsid w:val="00E26831"/>
    <w:rsid w:val="00E435D6"/>
    <w:rsid w:val="00E43A56"/>
    <w:rsid w:val="00E53382"/>
    <w:rsid w:val="00E54E68"/>
    <w:rsid w:val="00E5756C"/>
    <w:rsid w:val="00E5793C"/>
    <w:rsid w:val="00E67E6C"/>
    <w:rsid w:val="00E717B0"/>
    <w:rsid w:val="00E71D1F"/>
    <w:rsid w:val="00E71E42"/>
    <w:rsid w:val="00E75BAF"/>
    <w:rsid w:val="00E91D9A"/>
    <w:rsid w:val="00E92BE4"/>
    <w:rsid w:val="00E960A4"/>
    <w:rsid w:val="00E96E7C"/>
    <w:rsid w:val="00EA37B8"/>
    <w:rsid w:val="00EA79F3"/>
    <w:rsid w:val="00EB4563"/>
    <w:rsid w:val="00EB6B0D"/>
    <w:rsid w:val="00EE4FCF"/>
    <w:rsid w:val="00F018FF"/>
    <w:rsid w:val="00F04B6A"/>
    <w:rsid w:val="00F1650F"/>
    <w:rsid w:val="00F2189B"/>
    <w:rsid w:val="00F3255C"/>
    <w:rsid w:val="00F343B9"/>
    <w:rsid w:val="00F6780C"/>
    <w:rsid w:val="00F70CDB"/>
    <w:rsid w:val="00F7521F"/>
    <w:rsid w:val="00F90823"/>
    <w:rsid w:val="00F9543D"/>
    <w:rsid w:val="00FB081E"/>
    <w:rsid w:val="00FB0E21"/>
    <w:rsid w:val="00FC1DEE"/>
    <w:rsid w:val="00FE5CB0"/>
    <w:rsid w:val="00FF3A2A"/>
    <w:rsid w:val="02F2ED13"/>
    <w:rsid w:val="0384D52C"/>
    <w:rsid w:val="05BB97AD"/>
    <w:rsid w:val="1587A585"/>
    <w:rsid w:val="17EF8C77"/>
    <w:rsid w:val="197ADEA6"/>
    <w:rsid w:val="19E3A826"/>
    <w:rsid w:val="1B5263F2"/>
    <w:rsid w:val="1E7BA705"/>
    <w:rsid w:val="1EC69E8B"/>
    <w:rsid w:val="232EBD55"/>
    <w:rsid w:val="275285E2"/>
    <w:rsid w:val="2841B9E8"/>
    <w:rsid w:val="2904B187"/>
    <w:rsid w:val="29387736"/>
    <w:rsid w:val="2AD44797"/>
    <w:rsid w:val="2B815BB9"/>
    <w:rsid w:val="2DCCA6C8"/>
    <w:rsid w:val="2EA822C2"/>
    <w:rsid w:val="34D88842"/>
    <w:rsid w:val="365B66B3"/>
    <w:rsid w:val="389D19DE"/>
    <w:rsid w:val="3996F686"/>
    <w:rsid w:val="39E3E7A9"/>
    <w:rsid w:val="3D1995A9"/>
    <w:rsid w:val="3F5A4F82"/>
    <w:rsid w:val="43E87F95"/>
    <w:rsid w:val="467F47EC"/>
    <w:rsid w:val="4A757D1C"/>
    <w:rsid w:val="4DEF95E7"/>
    <w:rsid w:val="4E64FB99"/>
    <w:rsid w:val="4E6957DB"/>
    <w:rsid w:val="4ED6F00A"/>
    <w:rsid w:val="4FA11B87"/>
    <w:rsid w:val="50A97784"/>
    <w:rsid w:val="5140DAEF"/>
    <w:rsid w:val="552E1A67"/>
    <w:rsid w:val="57F2B582"/>
    <w:rsid w:val="5E632979"/>
    <w:rsid w:val="5FF7C71A"/>
    <w:rsid w:val="67189DFC"/>
    <w:rsid w:val="6A06099D"/>
    <w:rsid w:val="71339696"/>
    <w:rsid w:val="71E761C8"/>
    <w:rsid w:val="74262689"/>
    <w:rsid w:val="75FE3E71"/>
    <w:rsid w:val="79AAC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5CFFB147-B194-4C2E-B723-00E8A98E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44"/>
    <w:pPr>
      <w:spacing w:after="200" w:line="260" w:lineRule="exact"/>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BB0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0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NoSpacing">
    <w:name w:val="No Spacing"/>
    <w:uiPriority w:val="1"/>
    <w:qFormat/>
    <w:rsid w:val="00BB0FDC"/>
    <w:rPr>
      <w:rFonts w:eastAsiaTheme="minorEastAsia" w:cstheme="minorBidi"/>
      <w:color w:val="000000" w:themeColor="text1"/>
      <w:sz w:val="20"/>
      <w:lang w:eastAsia="en-GB"/>
    </w:rPr>
  </w:style>
  <w:style w:type="character" w:customStyle="1" w:styleId="Heading1Char">
    <w:name w:val="Heading 1 Char"/>
    <w:basedOn w:val="DefaultParagraphFont"/>
    <w:link w:val="Heading1"/>
    <w:uiPriority w:val="9"/>
    <w:rsid w:val="00BB0FDC"/>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5154F9"/>
    <w:pPr>
      <w:spacing w:after="160" w:line="259" w:lineRule="auto"/>
      <w:ind w:left="720"/>
      <w:contextualSpacing/>
    </w:pPr>
    <w:rPr>
      <w:rFonts w:asciiTheme="minorHAnsi" w:eastAsiaTheme="minorHAnsi" w:hAnsiTheme="minorHAnsi"/>
      <w:color w:val="auto"/>
      <w:sz w:val="22"/>
      <w:szCs w:val="22"/>
      <w:lang w:eastAsia="en-US"/>
    </w:rPr>
  </w:style>
  <w:style w:type="character" w:styleId="Hyperlink">
    <w:name w:val="Hyperlink"/>
    <w:basedOn w:val="DefaultParagraphFont"/>
    <w:uiPriority w:val="99"/>
    <w:unhideWhenUsed/>
    <w:rsid w:val="007835B4"/>
    <w:rPr>
      <w:color w:val="0563C1" w:themeColor="hyperlink"/>
      <w:u w:val="single"/>
    </w:rPr>
  </w:style>
  <w:style w:type="character" w:styleId="UnresolvedMention">
    <w:name w:val="Unresolved Mention"/>
    <w:basedOn w:val="DefaultParagraphFont"/>
    <w:uiPriority w:val="99"/>
    <w:semiHidden/>
    <w:unhideWhenUsed/>
    <w:rsid w:val="007835B4"/>
    <w:rPr>
      <w:color w:val="605E5C"/>
      <w:shd w:val="clear" w:color="auto" w:fill="E1DFDD"/>
    </w:rPr>
  </w:style>
  <w:style w:type="table" w:styleId="TableGrid">
    <w:name w:val="Table Grid"/>
    <w:basedOn w:val="TableNormal"/>
    <w:uiPriority w:val="39"/>
    <w:rsid w:val="0083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2">
    <w:name w:val="Table Heading 2"/>
    <w:basedOn w:val="Normal"/>
    <w:qFormat/>
    <w:rsid w:val="0083507C"/>
    <w:pPr>
      <w:framePr w:hSpace="180" w:wrap="around" w:vAnchor="text" w:hAnchor="text" w:y="280"/>
      <w:autoSpaceDE w:val="0"/>
      <w:autoSpaceDN w:val="0"/>
      <w:adjustRightInd w:val="0"/>
      <w:spacing w:after="0" w:line="220" w:lineRule="atLeast"/>
      <w:textAlignment w:val="center"/>
    </w:pPr>
    <w:rPr>
      <w:rFonts w:eastAsiaTheme="minorHAnsi" w:cs="Arial"/>
      <w:b/>
      <w:color w:val="FFFFFF" w:themeColor="background1"/>
      <w:sz w:val="18"/>
      <w:szCs w:val="18"/>
      <w:lang w:val="en-US" w:eastAsia="en-US"/>
    </w:rPr>
  </w:style>
  <w:style w:type="paragraph" w:customStyle="1" w:styleId="TableContentsL2">
    <w:name w:val="Table Contents L2"/>
    <w:basedOn w:val="Normal"/>
    <w:qFormat/>
    <w:rsid w:val="0083507C"/>
    <w:pPr>
      <w:spacing w:after="0" w:line="220" w:lineRule="exact"/>
    </w:pPr>
    <w:rPr>
      <w:rFonts w:eastAsiaTheme="minorHAnsi" w:cs="Times New Roman (Body CS)"/>
      <w:color w:val="auto"/>
      <w:sz w:val="18"/>
      <w:szCs w:val="16"/>
      <w:lang w:eastAsia="en-US"/>
    </w:rPr>
  </w:style>
  <w:style w:type="paragraph" w:styleId="FootnoteText">
    <w:name w:val="footnote text"/>
    <w:basedOn w:val="Normal"/>
    <w:link w:val="FootnoteTextChar"/>
    <w:uiPriority w:val="99"/>
    <w:semiHidden/>
    <w:unhideWhenUsed/>
    <w:rsid w:val="00B94E6C"/>
    <w:pPr>
      <w:spacing w:after="0" w:line="240" w:lineRule="auto"/>
    </w:pPr>
    <w:rPr>
      <w:szCs w:val="20"/>
    </w:rPr>
  </w:style>
  <w:style w:type="character" w:customStyle="1" w:styleId="FootnoteTextChar">
    <w:name w:val="Footnote Text Char"/>
    <w:basedOn w:val="DefaultParagraphFont"/>
    <w:link w:val="FootnoteText"/>
    <w:uiPriority w:val="99"/>
    <w:semiHidden/>
    <w:rsid w:val="00B94E6C"/>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B94E6C"/>
    <w:rPr>
      <w:vertAlign w:val="superscript"/>
    </w:rPr>
  </w:style>
  <w:style w:type="character" w:styleId="FollowedHyperlink">
    <w:name w:val="FollowedHyperlink"/>
    <w:basedOn w:val="DefaultParagraphFont"/>
    <w:uiPriority w:val="99"/>
    <w:semiHidden/>
    <w:unhideWhenUsed/>
    <w:rsid w:val="0008688A"/>
    <w:rPr>
      <w:color w:val="954F72" w:themeColor="followedHyperlink"/>
      <w:u w:val="single"/>
    </w:rPr>
  </w:style>
  <w:style w:type="character" w:customStyle="1" w:styleId="Heading2Char">
    <w:name w:val="Heading 2 Char"/>
    <w:basedOn w:val="DefaultParagraphFont"/>
    <w:link w:val="Heading2"/>
    <w:uiPriority w:val="9"/>
    <w:semiHidden/>
    <w:rsid w:val="00CE0B18"/>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4D0252"/>
    <w:rPr>
      <w:sz w:val="16"/>
      <w:szCs w:val="16"/>
    </w:rPr>
  </w:style>
  <w:style w:type="paragraph" w:styleId="CommentText">
    <w:name w:val="annotation text"/>
    <w:basedOn w:val="Normal"/>
    <w:link w:val="CommentTextChar"/>
    <w:uiPriority w:val="99"/>
    <w:unhideWhenUsed/>
    <w:rsid w:val="004D0252"/>
    <w:pPr>
      <w:spacing w:line="240" w:lineRule="auto"/>
    </w:pPr>
    <w:rPr>
      <w:szCs w:val="20"/>
    </w:rPr>
  </w:style>
  <w:style w:type="character" w:customStyle="1" w:styleId="CommentTextChar">
    <w:name w:val="Comment Text Char"/>
    <w:basedOn w:val="DefaultParagraphFont"/>
    <w:link w:val="CommentText"/>
    <w:uiPriority w:val="99"/>
    <w:rsid w:val="004D0252"/>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4D0252"/>
    <w:rPr>
      <w:b/>
      <w:bCs/>
    </w:rPr>
  </w:style>
  <w:style w:type="character" w:customStyle="1" w:styleId="CommentSubjectChar">
    <w:name w:val="Comment Subject Char"/>
    <w:basedOn w:val="CommentTextChar"/>
    <w:link w:val="CommentSubject"/>
    <w:uiPriority w:val="99"/>
    <w:semiHidden/>
    <w:rsid w:val="004D0252"/>
    <w:rPr>
      <w:rFonts w:eastAsiaTheme="minorEastAsia" w:cstheme="minorBidi"/>
      <w:b/>
      <w:bCs/>
      <w:color w:val="000000" w:themeColor="text1"/>
      <w:sz w:val="20"/>
      <w:szCs w:val="20"/>
      <w:lang w:eastAsia="en-GB"/>
    </w:rPr>
  </w:style>
  <w:style w:type="character" w:styleId="Mention">
    <w:name w:val="Mention"/>
    <w:basedOn w:val="DefaultParagraphFont"/>
    <w:uiPriority w:val="99"/>
    <w:unhideWhenUsed/>
    <w:rsid w:val="004D02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227">
      <w:bodyDiv w:val="1"/>
      <w:marLeft w:val="0"/>
      <w:marRight w:val="0"/>
      <w:marTop w:val="0"/>
      <w:marBottom w:val="0"/>
      <w:divBdr>
        <w:top w:val="none" w:sz="0" w:space="0" w:color="auto"/>
        <w:left w:val="none" w:sz="0" w:space="0" w:color="auto"/>
        <w:bottom w:val="none" w:sz="0" w:space="0" w:color="auto"/>
        <w:right w:val="none" w:sz="0" w:space="0" w:color="auto"/>
      </w:divBdr>
    </w:div>
    <w:div w:id="228082341">
      <w:bodyDiv w:val="1"/>
      <w:marLeft w:val="0"/>
      <w:marRight w:val="0"/>
      <w:marTop w:val="0"/>
      <w:marBottom w:val="0"/>
      <w:divBdr>
        <w:top w:val="none" w:sz="0" w:space="0" w:color="auto"/>
        <w:left w:val="none" w:sz="0" w:space="0" w:color="auto"/>
        <w:bottom w:val="none" w:sz="0" w:space="0" w:color="auto"/>
        <w:right w:val="none" w:sz="0" w:space="0" w:color="auto"/>
      </w:divBdr>
    </w:div>
    <w:div w:id="344332370">
      <w:bodyDiv w:val="1"/>
      <w:marLeft w:val="0"/>
      <w:marRight w:val="0"/>
      <w:marTop w:val="0"/>
      <w:marBottom w:val="0"/>
      <w:divBdr>
        <w:top w:val="none" w:sz="0" w:space="0" w:color="auto"/>
        <w:left w:val="none" w:sz="0" w:space="0" w:color="auto"/>
        <w:bottom w:val="none" w:sz="0" w:space="0" w:color="auto"/>
        <w:right w:val="none" w:sz="0" w:space="0" w:color="auto"/>
      </w:divBdr>
      <w:divsChild>
        <w:div w:id="505173740">
          <w:marLeft w:val="0"/>
          <w:marRight w:val="0"/>
          <w:marTop w:val="0"/>
          <w:marBottom w:val="0"/>
          <w:divBdr>
            <w:top w:val="none" w:sz="0" w:space="0" w:color="auto"/>
            <w:left w:val="none" w:sz="0" w:space="0" w:color="auto"/>
            <w:bottom w:val="none" w:sz="0" w:space="0" w:color="auto"/>
            <w:right w:val="none" w:sz="0" w:space="0" w:color="auto"/>
          </w:divBdr>
        </w:div>
        <w:div w:id="1140683981">
          <w:marLeft w:val="3975"/>
          <w:marRight w:val="0"/>
          <w:marTop w:val="0"/>
          <w:marBottom w:val="0"/>
          <w:divBdr>
            <w:top w:val="none" w:sz="0" w:space="0" w:color="auto"/>
            <w:left w:val="none" w:sz="0" w:space="0" w:color="auto"/>
            <w:bottom w:val="none" w:sz="0" w:space="0" w:color="auto"/>
            <w:right w:val="none" w:sz="0" w:space="0" w:color="auto"/>
          </w:divBdr>
        </w:div>
      </w:divsChild>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615142855">
      <w:bodyDiv w:val="1"/>
      <w:marLeft w:val="0"/>
      <w:marRight w:val="0"/>
      <w:marTop w:val="0"/>
      <w:marBottom w:val="0"/>
      <w:divBdr>
        <w:top w:val="none" w:sz="0" w:space="0" w:color="auto"/>
        <w:left w:val="none" w:sz="0" w:space="0" w:color="auto"/>
        <w:bottom w:val="none" w:sz="0" w:space="0" w:color="auto"/>
        <w:right w:val="none" w:sz="0" w:space="0" w:color="auto"/>
      </w:divBdr>
    </w:div>
    <w:div w:id="962156154">
      <w:bodyDiv w:val="1"/>
      <w:marLeft w:val="0"/>
      <w:marRight w:val="0"/>
      <w:marTop w:val="0"/>
      <w:marBottom w:val="0"/>
      <w:divBdr>
        <w:top w:val="none" w:sz="0" w:space="0" w:color="auto"/>
        <w:left w:val="none" w:sz="0" w:space="0" w:color="auto"/>
        <w:bottom w:val="none" w:sz="0" w:space="0" w:color="auto"/>
        <w:right w:val="none" w:sz="0" w:space="0" w:color="auto"/>
      </w:divBdr>
    </w:div>
    <w:div w:id="1001079654">
      <w:bodyDiv w:val="1"/>
      <w:marLeft w:val="0"/>
      <w:marRight w:val="0"/>
      <w:marTop w:val="0"/>
      <w:marBottom w:val="0"/>
      <w:divBdr>
        <w:top w:val="none" w:sz="0" w:space="0" w:color="auto"/>
        <w:left w:val="none" w:sz="0" w:space="0" w:color="auto"/>
        <w:bottom w:val="none" w:sz="0" w:space="0" w:color="auto"/>
        <w:right w:val="none" w:sz="0" w:space="0" w:color="auto"/>
      </w:divBdr>
      <w:divsChild>
        <w:div w:id="582568920">
          <w:marLeft w:val="3975"/>
          <w:marRight w:val="0"/>
          <w:marTop w:val="0"/>
          <w:marBottom w:val="0"/>
          <w:divBdr>
            <w:top w:val="none" w:sz="0" w:space="0" w:color="auto"/>
            <w:left w:val="none" w:sz="0" w:space="0" w:color="auto"/>
            <w:bottom w:val="none" w:sz="0" w:space="0" w:color="auto"/>
            <w:right w:val="none" w:sz="0" w:space="0" w:color="auto"/>
          </w:divBdr>
        </w:div>
        <w:div w:id="1427922311">
          <w:marLeft w:val="0"/>
          <w:marRight w:val="0"/>
          <w:marTop w:val="0"/>
          <w:marBottom w:val="0"/>
          <w:divBdr>
            <w:top w:val="none" w:sz="0" w:space="0" w:color="auto"/>
            <w:left w:val="none" w:sz="0" w:space="0" w:color="auto"/>
            <w:bottom w:val="none" w:sz="0" w:space="0" w:color="auto"/>
            <w:right w:val="none" w:sz="0" w:space="0" w:color="auto"/>
          </w:divBdr>
        </w:div>
      </w:divsChild>
    </w:div>
    <w:div w:id="1287589500">
      <w:bodyDiv w:val="1"/>
      <w:marLeft w:val="0"/>
      <w:marRight w:val="0"/>
      <w:marTop w:val="0"/>
      <w:marBottom w:val="0"/>
      <w:divBdr>
        <w:top w:val="none" w:sz="0" w:space="0" w:color="auto"/>
        <w:left w:val="none" w:sz="0" w:space="0" w:color="auto"/>
        <w:bottom w:val="none" w:sz="0" w:space="0" w:color="auto"/>
        <w:right w:val="none" w:sz="0" w:space="0" w:color="auto"/>
      </w:divBdr>
    </w:div>
    <w:div w:id="1369795498">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649434631">
      <w:bodyDiv w:val="1"/>
      <w:marLeft w:val="0"/>
      <w:marRight w:val="0"/>
      <w:marTop w:val="0"/>
      <w:marBottom w:val="0"/>
      <w:divBdr>
        <w:top w:val="none" w:sz="0" w:space="0" w:color="auto"/>
        <w:left w:val="none" w:sz="0" w:space="0" w:color="auto"/>
        <w:bottom w:val="none" w:sz="0" w:space="0" w:color="auto"/>
        <w:right w:val="none" w:sz="0" w:space="0" w:color="auto"/>
      </w:divBdr>
    </w:div>
    <w:div w:id="17762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Committees/House/Workforce_Australia_Employment_Services/WorkforceAustralia/Submiss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coss.org.au/library/wacoss-submission-parentsne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oss.org.au/report/submissions-to-parentsnext-inqui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workforceaustralia.gov.au/content/documents/individuals/obligations/learn/compliance-demerits/targeted-compliance-framework-brochure.pdf" TargetMode="External"/><Relationship Id="rId2" Type="http://schemas.openxmlformats.org/officeDocument/2006/relationships/hyperlink" Target="https://www.violenceorpoverty.com/" TargetMode="External"/><Relationship Id="rId1" Type="http://schemas.openxmlformats.org/officeDocument/2006/relationships/hyperlink" Target="https://www.theguardian.com/australia-news/2019/feb/07/one-in-five-parents-had-payments-cut-in-first-six-months-of-new-welfare-program" TargetMode="External"/><Relationship Id="rId5" Type="http://schemas.openxmlformats.org/officeDocument/2006/relationships/hyperlink" Target="https://www.theguardian.com/australia-news/2022/sep/02/job-agencies-running-parentsnext-scheme-made-invalid-claims-for-taxpayer-funded-bonuses-audit-finds" TargetMode="External"/><Relationship Id="rId4" Type="http://schemas.openxmlformats.org/officeDocument/2006/relationships/hyperlink" Target="https://guides.dss.gov.au/social-security-guide/3/1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A7A3-9B7D-40E2-89F1-96F547274BB5}"/>
</file>

<file path=customXml/itemProps2.xml><?xml version="1.0" encoding="utf-8"?>
<ds:datastoreItem xmlns:ds="http://schemas.openxmlformats.org/officeDocument/2006/customXml" ds:itemID="{6BBAC8E5-32B4-4E8F-AF3A-50BE2E12ECE9}">
  <ds:schemaRefs>
    <ds:schemaRef ds:uri="http://schemas.microsoft.com/sharepoint/v3/contenttype/forms"/>
  </ds:schemaRefs>
</ds:datastoreItem>
</file>

<file path=customXml/itemProps3.xml><?xml version="1.0" encoding="utf-8"?>
<ds:datastoreItem xmlns:ds="http://schemas.openxmlformats.org/officeDocument/2006/customXml" ds:itemID="{053135F2-B2E2-4E9C-AB57-EBCE4BEA0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FA92C-9E76-425E-A779-50424BE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Gabby Robertson</cp:lastModifiedBy>
  <cp:revision>173</cp:revision>
  <dcterms:created xsi:type="dcterms:W3CDTF">2022-11-24T05:37:00Z</dcterms:created>
  <dcterms:modified xsi:type="dcterms:W3CDTF">2023-03-01T00:40:00Z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