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0170" w14:textId="59FE952B" w:rsidR="00B77E46" w:rsidRPr="009903E4" w:rsidRDefault="00C75373" w:rsidP="00B50635">
      <w:pPr>
        <w:ind w:right="-8"/>
        <w:rPr>
          <w:rFonts w:cs="Arial"/>
          <w:szCs w:val="20"/>
        </w:rPr>
      </w:pPr>
      <w:r>
        <w:rPr>
          <w:rFonts w:cs="Arial"/>
          <w:szCs w:val="20"/>
        </w:rPr>
        <w:t>Standing Committee on Justice and Community Safety</w:t>
      </w:r>
      <w:r w:rsidR="00B50635" w:rsidRPr="009903E4">
        <w:rPr>
          <w:rFonts w:cs="Arial"/>
          <w:szCs w:val="20"/>
        </w:rPr>
        <w:br/>
      </w:r>
      <w:r>
        <w:rPr>
          <w:rFonts w:cs="Arial"/>
          <w:szCs w:val="20"/>
        </w:rPr>
        <w:t>ACT Legislative Assembly</w:t>
      </w:r>
      <w:r w:rsidR="00B50635" w:rsidRPr="009903E4">
        <w:rPr>
          <w:rFonts w:cs="Arial"/>
          <w:szCs w:val="20"/>
        </w:rPr>
        <w:br/>
      </w:r>
      <w:r>
        <w:rPr>
          <w:rFonts w:cs="Arial"/>
          <w:szCs w:val="20"/>
        </w:rPr>
        <w:t>GPO Box 1020, Canberra, ACT 2601</w:t>
      </w:r>
      <w:r w:rsidR="00B77E46">
        <w:rPr>
          <w:rFonts w:cs="Arial"/>
          <w:szCs w:val="20"/>
        </w:rPr>
        <w:br/>
      </w:r>
      <w:r w:rsidRPr="00C75373">
        <w:rPr>
          <w:rFonts w:cs="Arial"/>
          <w:szCs w:val="20"/>
        </w:rPr>
        <w:t>LACommitteeJCS@parliament.act.gov.au</w:t>
      </w:r>
    </w:p>
    <w:p w14:paraId="39DFD895" w14:textId="77777777" w:rsidR="00B50635" w:rsidRPr="009903E4" w:rsidRDefault="00B50635" w:rsidP="00B50635">
      <w:pPr>
        <w:rPr>
          <w:rFonts w:cs="Arial"/>
          <w:szCs w:val="20"/>
        </w:rPr>
      </w:pPr>
    </w:p>
    <w:p w14:paraId="660E908E" w14:textId="48184D69" w:rsidR="004D3FD8" w:rsidRDefault="004D3FD8" w:rsidP="004D3FD8">
      <w:pPr>
        <w:rPr>
          <w:rFonts w:cs="Arial"/>
          <w:szCs w:val="20"/>
        </w:rPr>
      </w:pPr>
      <w:r>
        <w:rPr>
          <w:rFonts w:cs="Arial"/>
          <w:szCs w:val="20"/>
        </w:rPr>
        <w:t>19 January 2023</w:t>
      </w:r>
    </w:p>
    <w:p w14:paraId="0C1C1E8B" w14:textId="078AA70D" w:rsidR="00B50635" w:rsidRDefault="00B50635" w:rsidP="00B50635">
      <w:pPr>
        <w:rPr>
          <w:rFonts w:cs="Arial"/>
          <w:szCs w:val="20"/>
        </w:rPr>
      </w:pPr>
      <w:r w:rsidRPr="009903E4">
        <w:rPr>
          <w:rFonts w:cs="Arial"/>
          <w:szCs w:val="20"/>
        </w:rPr>
        <w:t xml:space="preserve">Dear </w:t>
      </w:r>
      <w:r w:rsidR="00C75373">
        <w:rPr>
          <w:rFonts w:cs="Arial"/>
          <w:szCs w:val="20"/>
        </w:rPr>
        <w:t>Committee</w:t>
      </w:r>
    </w:p>
    <w:p w14:paraId="2DCC7491" w14:textId="32880F61" w:rsidR="00B50635" w:rsidRPr="00C75373" w:rsidRDefault="00C75373" w:rsidP="00B50635">
      <w:pPr>
        <w:rPr>
          <w:rFonts w:cs="Arial"/>
          <w:b/>
          <w:bCs/>
          <w:szCs w:val="20"/>
        </w:rPr>
      </w:pPr>
      <w:r w:rsidRPr="00C75373">
        <w:rPr>
          <w:rFonts w:cs="Arial"/>
          <w:b/>
          <w:bCs/>
          <w:szCs w:val="20"/>
        </w:rPr>
        <w:t>Corrections and Sentencing Legislation Amendment Bill 2022</w:t>
      </w:r>
    </w:p>
    <w:p w14:paraId="32423429" w14:textId="77777777" w:rsidR="00F9543D" w:rsidRPr="009903E4" w:rsidRDefault="00F9543D" w:rsidP="00B50635">
      <w:pPr>
        <w:rPr>
          <w:rFonts w:cs="Arial"/>
          <w:szCs w:val="20"/>
        </w:rPr>
      </w:pPr>
    </w:p>
    <w:p w14:paraId="1FC0EB13" w14:textId="087F3E8F" w:rsidR="00D930F5" w:rsidRDefault="00D930F5" w:rsidP="00B50635">
      <w:r>
        <w:t xml:space="preserve">As the peak body representing the needs of the community services sector and marginalised communities in the ACT, the ACT Council of Social Service (ACTCOSS) welcomes the opportunity to participate in the consultation process for the Inquiry into the Corrections and Sentencing Legislation Amendment Bill 2022. </w:t>
      </w:r>
      <w:r w:rsidR="00B30AAE">
        <w:t xml:space="preserve">Our feedback on this Bill relates </w:t>
      </w:r>
      <w:r w:rsidR="00311087">
        <w:t xml:space="preserve">to the proposed changes to facilitate the upcoming smoking ban at the Alexander Maconochie Centre. </w:t>
      </w:r>
    </w:p>
    <w:p w14:paraId="3C7817DB" w14:textId="2665DB06" w:rsidR="001A4B3E" w:rsidRDefault="001A4B3E" w:rsidP="00B50635">
      <w:r>
        <w:t>Smoking Ba</w:t>
      </w:r>
      <w:r w:rsidR="00311087">
        <w:t>n</w:t>
      </w:r>
    </w:p>
    <w:p w14:paraId="7E75D976" w14:textId="6AECBA7C" w:rsidR="006A391A" w:rsidRDefault="00090303" w:rsidP="00B50635">
      <w:r>
        <w:t xml:space="preserve">ACTCOSS </w:t>
      </w:r>
      <w:r w:rsidR="006C290D">
        <w:t>is supportive of moves to reduce the rate of smoking at the Alexander Maconochie Centre</w:t>
      </w:r>
      <w:r w:rsidR="002F2724">
        <w:t xml:space="preserve"> to protect the health of </w:t>
      </w:r>
      <w:r w:rsidR="006049CF">
        <w:t>detainees and staff</w:t>
      </w:r>
      <w:r w:rsidR="00F73FEE">
        <w:t xml:space="preserve">, however we are seriously concerned about how detainees will be supported through this significant change to their daily lives. </w:t>
      </w:r>
      <w:r w:rsidR="006A355D">
        <w:t xml:space="preserve">In particular, we </w:t>
      </w:r>
      <w:r w:rsidR="00800E2A">
        <w:t xml:space="preserve">urge the ACT Government to ensure that </w:t>
      </w:r>
      <w:r w:rsidR="001C68BD">
        <w:t xml:space="preserve">therapeutic support to quit smoking is culturally </w:t>
      </w:r>
      <w:r w:rsidR="00C520D7">
        <w:t>safe and community</w:t>
      </w:r>
      <w:r w:rsidR="00FE3BA0">
        <w:t>-</w:t>
      </w:r>
      <w:r w:rsidR="00C520D7">
        <w:t>led where appropriate, as well as accessible</w:t>
      </w:r>
      <w:r w:rsidR="006C3DF2">
        <w:t xml:space="preserve"> and ongoing. </w:t>
      </w:r>
    </w:p>
    <w:p w14:paraId="5D67EB93" w14:textId="0695D427" w:rsidR="00E748CB" w:rsidRDefault="00C20C47" w:rsidP="00B50635">
      <w:r>
        <w:t>Given their expertise in the sector, we are supportive of ATODA</w:t>
      </w:r>
      <w:r w:rsidR="002F464D">
        <w:t>’s position on the provision of adequate therapeutic support</w:t>
      </w:r>
      <w:r w:rsidR="00834F4D">
        <w:t xml:space="preserve">, namely that it should include multiple types of nicotine replacement therapy, specialist counselling services and ongoing support to cease smoking upon exit from prison. </w:t>
      </w:r>
      <w:r w:rsidR="00394A75">
        <w:t xml:space="preserve">As the prison is the detainees’ </w:t>
      </w:r>
      <w:r w:rsidR="006528BF">
        <w:t xml:space="preserve">home, we </w:t>
      </w:r>
      <w:r w:rsidR="00FF64D5">
        <w:t>encourage</w:t>
      </w:r>
      <w:r w:rsidR="006528BF">
        <w:t xml:space="preserve"> the </w:t>
      </w:r>
      <w:r w:rsidR="006751CA">
        <w:t>G</w:t>
      </w:r>
      <w:r w:rsidR="006528BF">
        <w:t xml:space="preserve">overnment to </w:t>
      </w:r>
      <w:r w:rsidR="006751CA">
        <w:t>regard</w:t>
      </w:r>
      <w:r w:rsidR="006528BF">
        <w:t xml:space="preserve"> the ban as akin to a ban in a private residence</w:t>
      </w:r>
      <w:r w:rsidR="00D3661F">
        <w:t>, in that the human rights of both smoking and non-smoking detainees must be kept in focus</w:t>
      </w:r>
      <w:r w:rsidR="006C05C6">
        <w:t xml:space="preserve"> at policy and implementation levels. </w:t>
      </w:r>
      <w:r w:rsidR="00FF46D1">
        <w:t xml:space="preserve">The ban intends to improve health outcomes for all detainees and </w:t>
      </w:r>
      <w:r w:rsidR="009D6051">
        <w:t>staff;</w:t>
      </w:r>
      <w:r w:rsidR="00FF46D1">
        <w:t xml:space="preserve"> </w:t>
      </w:r>
      <w:r w:rsidR="0044090D">
        <w:t>therefore,</w:t>
      </w:r>
      <w:r w:rsidR="00FF46D1">
        <w:t xml:space="preserve"> implementation </w:t>
      </w:r>
      <w:r w:rsidR="00922409">
        <w:t xml:space="preserve">must include careful consideration of how multiple and ongoing supports </w:t>
      </w:r>
      <w:r w:rsidR="00E25582">
        <w:t>will</w:t>
      </w:r>
      <w:r w:rsidR="00922409">
        <w:t xml:space="preserve"> be put in place</w:t>
      </w:r>
      <w:r w:rsidR="00545FD0">
        <w:t xml:space="preserve"> to reduce potential negative outcomes that may impact upon the health and human rights of </w:t>
      </w:r>
      <w:r w:rsidR="00D83BC2">
        <w:t xml:space="preserve">all </w:t>
      </w:r>
      <w:r w:rsidR="00545FD0">
        <w:t>detainees</w:t>
      </w:r>
      <w:r w:rsidR="00D83BC2">
        <w:t>.</w:t>
      </w:r>
      <w:r w:rsidR="00E24833">
        <w:t xml:space="preserve"> As detainees are consistently entering and exiting the prison, </w:t>
      </w:r>
      <w:r w:rsidR="008475DC">
        <w:t>supports must be evenly accessible across all areas of the prison</w:t>
      </w:r>
      <w:r w:rsidR="007F2BFD">
        <w:t>, including in planning for release.</w:t>
      </w:r>
    </w:p>
    <w:p w14:paraId="00088B66" w14:textId="77F2C3D3" w:rsidR="008D057E" w:rsidRDefault="006949F8" w:rsidP="00B50635">
      <w:r>
        <w:t xml:space="preserve">As </w:t>
      </w:r>
      <w:r w:rsidR="00355B34">
        <w:t>one of the last</w:t>
      </w:r>
      <w:r>
        <w:t xml:space="preserve"> Australian </w:t>
      </w:r>
      <w:r w:rsidR="007A34AD">
        <w:t>jurisdictions</w:t>
      </w:r>
      <w:r>
        <w:t xml:space="preserve"> </w:t>
      </w:r>
      <w:r w:rsidR="00355B34">
        <w:t>to</w:t>
      </w:r>
      <w:r>
        <w:t xml:space="preserve"> put in place </w:t>
      </w:r>
      <w:r w:rsidRPr="00BC63B8">
        <w:t>smoking ban</w:t>
      </w:r>
      <w:r w:rsidR="00D23489" w:rsidRPr="00BC63B8">
        <w:t>s</w:t>
      </w:r>
      <w:r>
        <w:t xml:space="preserve"> in prisons, the ACT is well placed to learn from the experiences and outcomes of other jurisdictions. A report on the </w:t>
      </w:r>
      <w:r w:rsidR="00EF325E">
        <w:t>successes</w:t>
      </w:r>
      <w:r>
        <w:t xml:space="preserve"> and uninten</w:t>
      </w:r>
      <w:r w:rsidR="00EF325E">
        <w:t xml:space="preserve">ded consequences of a smoking ban in </w:t>
      </w:r>
      <w:hyperlink r:id="rId10" w:history="1">
        <w:r w:rsidR="00221098">
          <w:rPr>
            <w:rStyle w:val="Hyperlink"/>
          </w:rPr>
          <w:t>Northern Territory (NT) prisons</w:t>
        </w:r>
      </w:hyperlink>
      <w:r w:rsidR="00EF325E">
        <w:t xml:space="preserve"> </w:t>
      </w:r>
      <w:r w:rsidR="00E42949">
        <w:t>showed that detainees placed a high value on being provided with multiple forms of support beyond</w:t>
      </w:r>
      <w:r w:rsidR="00E55FC4">
        <w:t xml:space="preserve">, and sometimes instead of, </w:t>
      </w:r>
      <w:r w:rsidR="00E42949">
        <w:t>nicotine replacement therapy (NRT)</w:t>
      </w:r>
      <w:r w:rsidR="0044090D">
        <w:t xml:space="preserve">. </w:t>
      </w:r>
      <w:r w:rsidR="00672E06">
        <w:t xml:space="preserve">These supports largely hinge on </w:t>
      </w:r>
      <w:r w:rsidR="00C8699D">
        <w:t xml:space="preserve">realising solutions to </w:t>
      </w:r>
      <w:r w:rsidR="00E55FC4">
        <w:t xml:space="preserve">a major </w:t>
      </w:r>
      <w:r w:rsidR="00672E06">
        <w:t xml:space="preserve">pre-existing issue in the AMC identified in the </w:t>
      </w:r>
      <w:r w:rsidR="00672E06">
        <w:lastRenderedPageBreak/>
        <w:t xml:space="preserve">2022 </w:t>
      </w:r>
      <w:hyperlink r:id="rId11" w:history="1">
        <w:r w:rsidR="00672E06" w:rsidRPr="00021745">
          <w:rPr>
            <w:rStyle w:val="Hyperlink"/>
          </w:rPr>
          <w:t>Healthy Prison Review</w:t>
        </w:r>
      </w:hyperlink>
      <w:r w:rsidR="00B57DD1">
        <w:t xml:space="preserve"> (HPR)</w:t>
      </w:r>
      <w:r w:rsidR="0010640A">
        <w:t>, that of boredom stemming from a lack of meaningful and consistent work</w:t>
      </w:r>
      <w:r w:rsidR="00E55FC4">
        <w:t>,</w:t>
      </w:r>
      <w:r w:rsidR="0010640A">
        <w:t xml:space="preserve"> activities</w:t>
      </w:r>
      <w:r w:rsidR="00E55FC4">
        <w:t xml:space="preserve"> and programs</w:t>
      </w:r>
      <w:r w:rsidR="00221098">
        <w:t xml:space="preserve"> for detainees to occupy themselves</w:t>
      </w:r>
      <w:r w:rsidR="00E55FC4">
        <w:t>, learn</w:t>
      </w:r>
      <w:r w:rsidR="00F96118">
        <w:t xml:space="preserve"> new skills</w:t>
      </w:r>
      <w:r w:rsidR="00E55FC4">
        <w:t xml:space="preserve"> an</w:t>
      </w:r>
      <w:r w:rsidR="00EE7AC7">
        <w:t xml:space="preserve">d co-operate in their rehabilitation journey. </w:t>
      </w:r>
      <w:r w:rsidR="00A133DA">
        <w:t xml:space="preserve">A transition to a non-smoking prison </w:t>
      </w:r>
      <w:r w:rsidR="00C76C82">
        <w:t>requires that detainees have consistent and ongoing replacements for smoking as a</w:t>
      </w:r>
      <w:r w:rsidR="00B44ED5">
        <w:t xml:space="preserve"> habitual, reliable </w:t>
      </w:r>
      <w:r w:rsidR="00C76C82">
        <w:t>activity</w:t>
      </w:r>
      <w:r w:rsidR="00B44ED5">
        <w:t xml:space="preserve"> that may stave off boredom and provide pleasure,</w:t>
      </w:r>
      <w:r w:rsidR="00C76C82">
        <w:t xml:space="preserve"> as well as support for withdrawals from physical dependence on nicotine. </w:t>
      </w:r>
      <w:r w:rsidR="0043385B" w:rsidRPr="0043385B">
        <w:t>A lack of activity to replace smoking may lead to negative behavioural outcomes as well as increased risks of detainees seeking self-medication through misuse of NRT products, smuggling and trade of tobacco products and increased usage of other illegal drugs.</w:t>
      </w:r>
      <w:r w:rsidR="00370F38">
        <w:t xml:space="preserve"> </w:t>
      </w:r>
      <w:r w:rsidR="004C158F">
        <w:t>These issues should be dealt with in a proactive manner through effective policy and ensuring that all detainees, including new and returning detainees</w:t>
      </w:r>
      <w:r w:rsidR="002B37B1">
        <w:t xml:space="preserve">, are </w:t>
      </w:r>
      <w:r w:rsidR="000862A6">
        <w:t>given opportunities to engage in meaningful and appropriate activities from their first day entering the priso</w:t>
      </w:r>
      <w:r w:rsidR="00D25D52">
        <w:t xml:space="preserve">n. </w:t>
      </w:r>
    </w:p>
    <w:p w14:paraId="4F9E9E2E" w14:textId="141E94CE" w:rsidR="00F7165E" w:rsidRDefault="000E2118" w:rsidP="00B50635">
      <w:r>
        <w:t xml:space="preserve">In addition, the rollout of NRT </w:t>
      </w:r>
      <w:r w:rsidR="00E15489">
        <w:t>to detainees must be considerate of individual needs. Research and policy documents from other Australian jurisdictions indicate that NRT</w:t>
      </w:r>
      <w:r w:rsidR="00BC23AE">
        <w:t xml:space="preserve"> given to detainees</w:t>
      </w:r>
      <w:r w:rsidR="00E15489">
        <w:t xml:space="preserve"> is largely limited to nicotine patches. </w:t>
      </w:r>
      <w:r w:rsidR="00784B49">
        <w:t>Equivalence of care to community members should be</w:t>
      </w:r>
      <w:r w:rsidR="006A2B06">
        <w:t xml:space="preserve"> considered</w:t>
      </w:r>
      <w:r w:rsidR="00784B49">
        <w:t xml:space="preserve">, as individuals </w:t>
      </w:r>
      <w:r w:rsidR="008D575D">
        <w:t xml:space="preserve">will </w:t>
      </w:r>
      <w:r w:rsidR="00784B49">
        <w:t>have different needs regarding the type</w:t>
      </w:r>
      <w:r w:rsidR="008D575D">
        <w:t xml:space="preserve">, strength and amount of NRT they require to reduce the physical and emotional stress caused by withdrawal symptoms. </w:t>
      </w:r>
      <w:r w:rsidR="00C220CD">
        <w:t xml:space="preserve">Maximising choice </w:t>
      </w:r>
      <w:r w:rsidR="00625D22">
        <w:t xml:space="preserve">and control for </w:t>
      </w:r>
      <w:r w:rsidR="000F3EC4">
        <w:t>detainees who smoke in their process to quitting</w:t>
      </w:r>
      <w:r w:rsidR="0089095E">
        <w:t xml:space="preserve"> </w:t>
      </w:r>
      <w:r w:rsidR="00D74711">
        <w:t xml:space="preserve">maintains the most respect for the rights of detainees who otherwise have little control over their </w:t>
      </w:r>
      <w:r w:rsidR="00F90AD0">
        <w:t xml:space="preserve">conditions of daily life. </w:t>
      </w:r>
      <w:r w:rsidR="00683726">
        <w:t xml:space="preserve">ACTCOSS recommends that the transition to a smoke-free prison </w:t>
      </w:r>
      <w:r w:rsidR="001946E8">
        <w:t xml:space="preserve">involve co-design and leadership from detainees </w:t>
      </w:r>
      <w:r w:rsidR="006C375A">
        <w:t xml:space="preserve">around these sorts of decisions, as well as </w:t>
      </w:r>
      <w:r w:rsidR="00665A4F">
        <w:t>through program</w:t>
      </w:r>
      <w:r w:rsidR="00341985">
        <w:t xml:space="preserve"> delivery</w:t>
      </w:r>
      <w:r w:rsidR="00665A4F">
        <w:t xml:space="preserve">, groups and </w:t>
      </w:r>
      <w:r w:rsidR="00341985">
        <w:t xml:space="preserve">direct </w:t>
      </w:r>
      <w:r w:rsidR="00665A4F">
        <w:t xml:space="preserve">peer support. </w:t>
      </w:r>
    </w:p>
    <w:p w14:paraId="1DDA07F0" w14:textId="16BB2468" w:rsidR="00166EB9" w:rsidRDefault="008C56E4" w:rsidP="00E306B1">
      <w:pPr>
        <w:jc w:val="both"/>
      </w:pPr>
      <w:r>
        <w:t xml:space="preserve">ACTCOSS has </w:t>
      </w:r>
      <w:r w:rsidR="00307890">
        <w:t xml:space="preserve">continuously called for </w:t>
      </w:r>
      <w:r w:rsidR="007E1676">
        <w:t>Aboriginal and Torres Strait Islander led responses to the issue of smoking in the AMC</w:t>
      </w:r>
      <w:r w:rsidR="006A2B06">
        <w:t xml:space="preserve">. The </w:t>
      </w:r>
      <w:hyperlink r:id="rId12" w:history="1">
        <w:r w:rsidR="006A2B06" w:rsidRPr="00B57DD1">
          <w:rPr>
            <w:rStyle w:val="Hyperlink"/>
          </w:rPr>
          <w:t>Deadly Connections</w:t>
        </w:r>
      </w:hyperlink>
      <w:r w:rsidR="006A2B06">
        <w:t xml:space="preserve"> report accompanying the HPR </w:t>
      </w:r>
      <w:r w:rsidR="00D16B14">
        <w:t xml:space="preserve">highlights issues already impacting Aboriginal and Torres Strait Islander detainees that </w:t>
      </w:r>
      <w:r w:rsidR="004E3034">
        <w:t xml:space="preserve">reinforce serious concerns regarding the ability of the AMC to enforce a smoking ban in a culturally safe and supportive manner. </w:t>
      </w:r>
      <w:r w:rsidR="00B06B3A">
        <w:t xml:space="preserve">Aboriginal and Torres Strait Islander detainees </w:t>
      </w:r>
      <w:r w:rsidR="00FE142F">
        <w:t xml:space="preserve">reported </w:t>
      </w:r>
      <w:r w:rsidR="001B1BE2">
        <w:t xml:space="preserve">ongoing problems with accessing </w:t>
      </w:r>
      <w:r w:rsidR="00FE142F">
        <w:t>Alcohol and Other Drug (AOD) support programs</w:t>
      </w:r>
      <w:r w:rsidR="00E9726D">
        <w:t xml:space="preserve"> as well as more general issues with a lack of access to cultural </w:t>
      </w:r>
      <w:r w:rsidR="005C3562">
        <w:t xml:space="preserve">supports and programs. </w:t>
      </w:r>
      <w:r w:rsidR="000F1F1A">
        <w:t xml:space="preserve">ACTCOSS is therefore supportive of </w:t>
      </w:r>
      <w:hyperlink r:id="rId13" w:history="1">
        <w:r w:rsidR="004676D7">
          <w:rPr>
            <w:rStyle w:val="Hyperlink"/>
          </w:rPr>
          <w:t>Winnunga CEO Julie Tongs'</w:t>
        </w:r>
      </w:hyperlink>
      <w:r w:rsidR="004676D7">
        <w:t xml:space="preserve"> </w:t>
      </w:r>
      <w:r w:rsidR="00207A2A">
        <w:t>lack of support for the</w:t>
      </w:r>
      <w:r w:rsidR="007F6676">
        <w:t xml:space="preserve"> smoke-free transition</w:t>
      </w:r>
      <w:r w:rsidR="00207A2A">
        <w:t xml:space="preserve"> due to the </w:t>
      </w:r>
      <w:r w:rsidR="007721A1">
        <w:t>likelihood of an emergent ‘black market’ for tobac</w:t>
      </w:r>
      <w:r w:rsidR="00C56E0F">
        <w:t>c</w:t>
      </w:r>
      <w:r w:rsidR="007721A1">
        <w:t>o products and associated</w:t>
      </w:r>
      <w:r w:rsidR="00207A2A">
        <w:t xml:space="preserve"> impacts on </w:t>
      </w:r>
      <w:r w:rsidR="007F6676">
        <w:t xml:space="preserve">the wellbeing of Aboriginal and/or Torres Strait Islander detainees. </w:t>
      </w:r>
      <w:r w:rsidR="004676D7">
        <w:t xml:space="preserve">ACTCOSS </w:t>
      </w:r>
      <w:r w:rsidR="005265EC">
        <w:t xml:space="preserve">strongly recommends that Winnunga </w:t>
      </w:r>
      <w:r w:rsidR="00210067">
        <w:t>be heavily involved in the delivery of services and supports to Aboriginal and Torres Strait Islander detainees</w:t>
      </w:r>
      <w:r w:rsidR="00AF0955">
        <w:t xml:space="preserve"> and prioritis</w:t>
      </w:r>
      <w:r w:rsidR="00B639B0">
        <w:t>e</w:t>
      </w:r>
      <w:r w:rsidR="00362774">
        <w:t xml:space="preserve"> </w:t>
      </w:r>
      <w:r w:rsidR="00AF0955">
        <w:t xml:space="preserve">ongoing consultation to ensure that new </w:t>
      </w:r>
      <w:r w:rsidR="009926C2">
        <w:t>detainees who smoke continue receiving culturally appropriate supports to quit when entering the prison.</w:t>
      </w:r>
    </w:p>
    <w:p w14:paraId="3AC4EE99" w14:textId="64552334" w:rsidR="00604353" w:rsidRDefault="004D66CF" w:rsidP="00893AEB">
      <w:pPr>
        <w:jc w:val="both"/>
      </w:pPr>
      <w:r>
        <w:t xml:space="preserve">It is also of concern that </w:t>
      </w:r>
      <w:r w:rsidR="00F83CFE">
        <w:t>Aboriginal</w:t>
      </w:r>
      <w:r>
        <w:t xml:space="preserve"> and Torres Strait Islander detainees </w:t>
      </w:r>
      <w:r w:rsidR="00F83CFE">
        <w:t xml:space="preserve">are </w:t>
      </w:r>
      <w:r w:rsidR="00C44F4C">
        <w:t xml:space="preserve">both more likely to smoke and </w:t>
      </w:r>
      <w:r w:rsidR="00F83CFE">
        <w:t xml:space="preserve">more likely to </w:t>
      </w:r>
      <w:r w:rsidR="00271BC8">
        <w:t>be subject to disciplinary measures in AMC. This concern also extends to</w:t>
      </w:r>
      <w:r w:rsidR="006D5834">
        <w:t xml:space="preserve"> other</w:t>
      </w:r>
      <w:r w:rsidR="00271BC8">
        <w:t xml:space="preserve"> detainee</w:t>
      </w:r>
      <w:r w:rsidR="006D5834">
        <w:t xml:space="preserve">s </w:t>
      </w:r>
      <w:r w:rsidR="00271BC8">
        <w:t>with mental ill</w:t>
      </w:r>
      <w:r w:rsidR="003534D2">
        <w:t>-health and/or disability, as research shows that detainees</w:t>
      </w:r>
      <w:r w:rsidR="00F34E6D">
        <w:t xml:space="preserve"> living with conditions such as</w:t>
      </w:r>
      <w:r w:rsidR="003534D2">
        <w:t xml:space="preserve"> </w:t>
      </w:r>
      <w:hyperlink r:id="rId14" w:history="1">
        <w:r w:rsidR="00F34E6D">
          <w:rPr>
            <w:rStyle w:val="Hyperlink"/>
          </w:rPr>
          <w:t>Attention Deficit Hyperactivity Disorder</w:t>
        </w:r>
      </w:hyperlink>
      <w:r w:rsidR="00F34E6D">
        <w:t xml:space="preserve"> (ADHD)</w:t>
      </w:r>
      <w:r w:rsidR="004A3B49">
        <w:t xml:space="preserve"> are also more likely to be dependent on nicotine and</w:t>
      </w:r>
      <w:r w:rsidR="00693B4F">
        <w:t xml:space="preserve"> are likely to</w:t>
      </w:r>
      <w:r w:rsidR="004A3B49">
        <w:t xml:space="preserve"> experience </w:t>
      </w:r>
      <w:r w:rsidR="002B6F65">
        <w:t>symptoms that may cause negative behavioural outcomes</w:t>
      </w:r>
      <w:r w:rsidR="00693B4F">
        <w:t xml:space="preserve"> </w:t>
      </w:r>
      <w:r w:rsidR="00293809">
        <w:t>when non-smoking rules are enforced.</w:t>
      </w:r>
      <w:r w:rsidR="00E937AE">
        <w:t xml:space="preserve"> ACTCOSS is concerned for the wellbeing of these detainees, as they </w:t>
      </w:r>
      <w:r w:rsidR="00500C19">
        <w:t xml:space="preserve">may </w:t>
      </w:r>
      <w:r w:rsidR="00E937AE">
        <w:t>require intensive</w:t>
      </w:r>
      <w:r w:rsidR="00C00EB4">
        <w:t xml:space="preserve"> positive support</w:t>
      </w:r>
      <w:r w:rsidR="00500C19">
        <w:t>s</w:t>
      </w:r>
      <w:r w:rsidR="008362FC">
        <w:t xml:space="preserve"> to avoid </w:t>
      </w:r>
      <w:r w:rsidR="00565675">
        <w:t>negative ou</w:t>
      </w:r>
      <w:r w:rsidR="00D91EF8">
        <w:t>tco</w:t>
      </w:r>
      <w:r w:rsidR="00893AEB">
        <w:t>mes that may lead to unnecessary application of punitive measures</w:t>
      </w:r>
      <w:r w:rsidR="00D91EF8">
        <w:t xml:space="preserve">. </w:t>
      </w:r>
      <w:r w:rsidR="00893AEB">
        <w:t>I</w:t>
      </w:r>
      <w:r w:rsidR="00604353">
        <w:t xml:space="preserve">n order to </w:t>
      </w:r>
      <w:r w:rsidR="004755AE">
        <w:t>further support</w:t>
      </w:r>
      <w:r w:rsidR="0065705D">
        <w:t xml:space="preserve"> </w:t>
      </w:r>
      <w:r w:rsidR="00604353">
        <w:t>detainees with</w:t>
      </w:r>
      <w:r w:rsidR="00893AEB">
        <w:t xml:space="preserve"> disabilities,</w:t>
      </w:r>
      <w:r w:rsidR="00604353">
        <w:t xml:space="preserve"> low</w:t>
      </w:r>
      <w:r w:rsidR="00916710">
        <w:t>er</w:t>
      </w:r>
      <w:r w:rsidR="00F61323">
        <w:t xml:space="preserve"> </w:t>
      </w:r>
      <w:r w:rsidR="0065705D">
        <w:t>literacy</w:t>
      </w:r>
      <w:r w:rsidR="00BE40DB">
        <w:t xml:space="preserve"> or </w:t>
      </w:r>
      <w:r w:rsidR="00604353">
        <w:t>English as a second language</w:t>
      </w:r>
      <w:r w:rsidR="00570FA3">
        <w:t>, any written resources</w:t>
      </w:r>
      <w:r w:rsidR="00564071">
        <w:t xml:space="preserve"> to support detainees to quit smoking</w:t>
      </w:r>
      <w:r w:rsidR="00570FA3">
        <w:t xml:space="preserve"> should be pro</w:t>
      </w:r>
      <w:r w:rsidR="003776B6">
        <w:t xml:space="preserve">vided in </w:t>
      </w:r>
      <w:hyperlink r:id="rId15" w:history="1">
        <w:r w:rsidR="00E32F47" w:rsidRPr="00E32F47">
          <w:rPr>
            <w:rStyle w:val="Hyperlink"/>
          </w:rPr>
          <w:t>P</w:t>
        </w:r>
        <w:r w:rsidR="003776B6" w:rsidRPr="00E32F47">
          <w:rPr>
            <w:rStyle w:val="Hyperlink"/>
          </w:rPr>
          <w:t>lain and</w:t>
        </w:r>
        <w:r w:rsidR="00E32F47" w:rsidRPr="00E32F47">
          <w:rPr>
            <w:rStyle w:val="Hyperlink"/>
          </w:rPr>
          <w:t xml:space="preserve">/or </w:t>
        </w:r>
        <w:r w:rsidR="003776B6" w:rsidRPr="00E32F47">
          <w:rPr>
            <w:rStyle w:val="Hyperlink"/>
          </w:rPr>
          <w:t>Easy English</w:t>
        </w:r>
      </w:hyperlink>
      <w:r w:rsidR="00F61323">
        <w:t xml:space="preserve"> a</w:t>
      </w:r>
      <w:r w:rsidR="004608E7">
        <w:t xml:space="preserve">s well as in accessible </w:t>
      </w:r>
      <w:r w:rsidR="003627D3">
        <w:t>audio-visual</w:t>
      </w:r>
      <w:r w:rsidR="004608E7">
        <w:t xml:space="preserve"> formats. </w:t>
      </w:r>
    </w:p>
    <w:p w14:paraId="2D23DF21" w14:textId="6F36F5AF" w:rsidR="00BE40DB" w:rsidRDefault="008E5AE8" w:rsidP="00893AEB">
      <w:pPr>
        <w:jc w:val="both"/>
      </w:pPr>
      <w:r>
        <w:lastRenderedPageBreak/>
        <w:t xml:space="preserve">As the Bill specifies that the Director General will </w:t>
      </w:r>
      <w:r w:rsidR="000363B4">
        <w:t xml:space="preserve">only declare the entire AMC facility as smoke-free </w:t>
      </w:r>
      <w:r w:rsidR="00133CD8">
        <w:t xml:space="preserve">if they are reasonably satisfied that appropriate therapeutic support is available, </w:t>
      </w:r>
      <w:r w:rsidR="00C63477">
        <w:t xml:space="preserve">it is essential that the procedures </w:t>
      </w:r>
      <w:r w:rsidR="006A747C">
        <w:t xml:space="preserve">governing these decisions are transparent. </w:t>
      </w:r>
      <w:r w:rsidR="000B0CAE">
        <w:t>It is currently unclear</w:t>
      </w:r>
      <w:r w:rsidR="00C75861">
        <w:t xml:space="preserve"> what kind of</w:t>
      </w:r>
      <w:r w:rsidR="000B0CAE">
        <w:t xml:space="preserve"> data will </w:t>
      </w:r>
      <w:r w:rsidR="00C61CE2">
        <w:t>indicate</w:t>
      </w:r>
      <w:r w:rsidR="006651B0">
        <w:t xml:space="preserve"> a satisfactory level of supports</w:t>
      </w:r>
      <w:r w:rsidR="00C75861">
        <w:t xml:space="preserve"> or how it will be collected. </w:t>
      </w:r>
    </w:p>
    <w:p w14:paraId="6224A2B2" w14:textId="51EC793B" w:rsidR="005F4D3D" w:rsidRDefault="005F4D3D" w:rsidP="00893AEB">
      <w:pPr>
        <w:jc w:val="both"/>
      </w:pPr>
      <w:r>
        <w:t xml:space="preserve">We would be happy to discuss this submission further as necessary. </w:t>
      </w:r>
      <w:r w:rsidR="00980448">
        <w:t xml:space="preserve">Please contact </w:t>
      </w:r>
      <w:r w:rsidR="00033B33">
        <w:t xml:space="preserve">myself, </w:t>
      </w:r>
      <w:r w:rsidR="00597E8E">
        <w:t xml:space="preserve">or policy officer Gabby Robertson on </w:t>
      </w:r>
      <w:hyperlink r:id="rId16" w:history="1">
        <w:r w:rsidR="002832D5" w:rsidRPr="00D9228D">
          <w:rPr>
            <w:rStyle w:val="Hyperlink"/>
          </w:rPr>
          <w:t>gabby.robertson@actcoss.org.au</w:t>
        </w:r>
      </w:hyperlink>
      <w:r w:rsidR="002832D5">
        <w:t xml:space="preserve">. </w:t>
      </w:r>
    </w:p>
    <w:p w14:paraId="724B2822" w14:textId="77777777" w:rsidR="00F9543D" w:rsidRPr="009903E4" w:rsidRDefault="00F9543D" w:rsidP="00B50635">
      <w:pPr>
        <w:rPr>
          <w:rFonts w:cs="Arial"/>
          <w:szCs w:val="20"/>
        </w:rPr>
      </w:pPr>
    </w:p>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1BA32328" w14:textId="7D608D21" w:rsidR="00B50635" w:rsidRPr="00F00747" w:rsidRDefault="007F7E0B" w:rsidP="00B50635">
      <w:pPr>
        <w:rPr>
          <w:rFonts w:eastAsiaTheme="minorHAnsi"/>
          <w:lang w:val="en-US" w:eastAsia="en-US"/>
        </w:rPr>
      </w:pPr>
      <w:r>
        <w:rPr>
          <w:rFonts w:eastAsiaTheme="minorHAnsi"/>
          <w:noProof/>
          <w:lang w:val="en-US" w:eastAsia="en-US"/>
        </w:rPr>
        <w:drawing>
          <wp:inline distT="0" distB="0" distL="0" distR="0" wp14:anchorId="7C1324D1" wp14:editId="2D425471">
            <wp:extent cx="1838618" cy="790575"/>
            <wp:effectExtent l="0" t="0" r="9525" b="0"/>
            <wp:docPr id="3" name="Picture 3" descr="A picture containing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awn mow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1197" cy="795984"/>
                    </a:xfrm>
                    <a:prstGeom prst="rect">
                      <a:avLst/>
                    </a:prstGeom>
                  </pic:spPr>
                </pic:pic>
              </a:graphicData>
            </a:graphic>
          </wp:inline>
        </w:drawing>
      </w:r>
    </w:p>
    <w:p w14:paraId="29FEB8B4" w14:textId="7B01C3A8" w:rsidR="00621E13" w:rsidRPr="00CD4B44" w:rsidRDefault="007F7E0B">
      <w:pPr>
        <w:rPr>
          <w:rFonts w:eastAsiaTheme="minorHAnsi"/>
          <w:lang w:val="en-US" w:eastAsia="en-US"/>
        </w:rPr>
      </w:pPr>
      <w:r>
        <w:rPr>
          <w:rFonts w:eastAsiaTheme="minorHAnsi"/>
          <w:lang w:eastAsia="en-US"/>
        </w:rPr>
        <w:t>Dr Gemma Killen</w:t>
      </w:r>
      <w:r w:rsidR="00B50635" w:rsidRPr="00F00747">
        <w:rPr>
          <w:rFonts w:eastAsiaTheme="minorHAnsi"/>
          <w:lang w:val="en-US" w:eastAsia="en-US"/>
        </w:rPr>
        <w:br/>
      </w:r>
      <w:r>
        <w:rPr>
          <w:rFonts w:eastAsiaTheme="minorHAnsi"/>
          <w:lang w:val="en-US" w:eastAsia="en-US"/>
        </w:rPr>
        <w:t>Interim Chief Executive Officer</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Pr>
          <w:rFonts w:eastAsiaTheme="minorHAnsi"/>
          <w:lang w:val="en-US" w:eastAsia="en-US"/>
        </w:rPr>
        <w:t>ceo@actcoss.org.au</w:t>
      </w:r>
    </w:p>
    <w:sectPr w:rsidR="00621E13" w:rsidRPr="00CD4B44" w:rsidSect="00EA37B8">
      <w:headerReference w:type="default" r:id="rId18"/>
      <w:footerReference w:type="even" r:id="rId19"/>
      <w:footerReference w:type="default" r:id="rId20"/>
      <w:headerReference w:type="first" r:id="rId21"/>
      <w:footerReference w:type="first" r:id="rId22"/>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9A24" w14:textId="77777777" w:rsidR="00AE483D" w:rsidRDefault="00AE483D" w:rsidP="00B50635">
      <w:pPr>
        <w:spacing w:after="0" w:line="240" w:lineRule="auto"/>
      </w:pPr>
      <w:r>
        <w:separator/>
      </w:r>
    </w:p>
  </w:endnote>
  <w:endnote w:type="continuationSeparator" w:id="0">
    <w:p w14:paraId="6596F493" w14:textId="77777777" w:rsidR="00AE483D" w:rsidRDefault="00AE483D" w:rsidP="00B50635">
      <w:pPr>
        <w:spacing w:after="0" w:line="240" w:lineRule="auto"/>
      </w:pPr>
      <w:r>
        <w:continuationSeparator/>
      </w:r>
    </w:p>
  </w:endnote>
  <w:endnote w:type="continuationNotice" w:id="1">
    <w:p w14:paraId="672D3D8B" w14:textId="77777777" w:rsidR="00AE483D" w:rsidRDefault="00AE4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Content>
      <w:p w14:paraId="4476E073" w14:textId="324A2602" w:rsidR="00B77E46" w:rsidRDefault="00B7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Content>
      <w:p w14:paraId="4488826C" w14:textId="482A6CA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66A9" w14:textId="77777777" w:rsidR="00AE483D" w:rsidRDefault="00AE483D" w:rsidP="00B50635">
      <w:pPr>
        <w:spacing w:after="0" w:line="240" w:lineRule="auto"/>
      </w:pPr>
      <w:r>
        <w:separator/>
      </w:r>
    </w:p>
  </w:footnote>
  <w:footnote w:type="continuationSeparator" w:id="0">
    <w:p w14:paraId="02BF4AC6" w14:textId="77777777" w:rsidR="00AE483D" w:rsidRDefault="00AE483D" w:rsidP="00B50635">
      <w:pPr>
        <w:spacing w:after="0" w:line="240" w:lineRule="auto"/>
      </w:pPr>
      <w:r>
        <w:continuationSeparator/>
      </w:r>
    </w:p>
  </w:footnote>
  <w:footnote w:type="continuationNotice" w:id="1">
    <w:p w14:paraId="5D8A7A83" w14:textId="77777777" w:rsidR="00AE483D" w:rsidRDefault="00AE4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07B04"/>
    <w:multiLevelType w:val="hybridMultilevel"/>
    <w:tmpl w:val="608443D6"/>
    <w:lvl w:ilvl="0" w:tplc="DB6EC1FC">
      <w:start w:val="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70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14102"/>
    <w:rsid w:val="00014869"/>
    <w:rsid w:val="00021745"/>
    <w:rsid w:val="000232CC"/>
    <w:rsid w:val="00033B33"/>
    <w:rsid w:val="00033F8C"/>
    <w:rsid w:val="00036290"/>
    <w:rsid w:val="000363B4"/>
    <w:rsid w:val="000612DF"/>
    <w:rsid w:val="00066256"/>
    <w:rsid w:val="00071BC7"/>
    <w:rsid w:val="00072928"/>
    <w:rsid w:val="000862A6"/>
    <w:rsid w:val="00086839"/>
    <w:rsid w:val="00090303"/>
    <w:rsid w:val="00095414"/>
    <w:rsid w:val="000B0CAE"/>
    <w:rsid w:val="000C6DB9"/>
    <w:rsid w:val="000D7C7B"/>
    <w:rsid w:val="000E2118"/>
    <w:rsid w:val="000F1F1A"/>
    <w:rsid w:val="000F3EC4"/>
    <w:rsid w:val="0010640A"/>
    <w:rsid w:val="00110347"/>
    <w:rsid w:val="00133CD8"/>
    <w:rsid w:val="0014378C"/>
    <w:rsid w:val="00166EB9"/>
    <w:rsid w:val="0018701E"/>
    <w:rsid w:val="001914F4"/>
    <w:rsid w:val="001946E8"/>
    <w:rsid w:val="001A4B3E"/>
    <w:rsid w:val="001B0D65"/>
    <w:rsid w:val="001B1BE2"/>
    <w:rsid w:val="001C68BD"/>
    <w:rsid w:val="001F0178"/>
    <w:rsid w:val="00207A2A"/>
    <w:rsid w:val="00210067"/>
    <w:rsid w:val="0021298E"/>
    <w:rsid w:val="00213B86"/>
    <w:rsid w:val="00221098"/>
    <w:rsid w:val="00230CDA"/>
    <w:rsid w:val="00271BC8"/>
    <w:rsid w:val="002832D5"/>
    <w:rsid w:val="00293809"/>
    <w:rsid w:val="002A209F"/>
    <w:rsid w:val="002B37B1"/>
    <w:rsid w:val="002B6F65"/>
    <w:rsid w:val="002D313F"/>
    <w:rsid w:val="002D4015"/>
    <w:rsid w:val="002D504C"/>
    <w:rsid w:val="002F2724"/>
    <w:rsid w:val="002F464D"/>
    <w:rsid w:val="00300CAA"/>
    <w:rsid w:val="003060B4"/>
    <w:rsid w:val="00307890"/>
    <w:rsid w:val="00311087"/>
    <w:rsid w:val="003121F1"/>
    <w:rsid w:val="00341552"/>
    <w:rsid w:val="00341985"/>
    <w:rsid w:val="003534D2"/>
    <w:rsid w:val="00355B34"/>
    <w:rsid w:val="00362774"/>
    <w:rsid w:val="003627D3"/>
    <w:rsid w:val="00370F38"/>
    <w:rsid w:val="0037678D"/>
    <w:rsid w:val="003776B6"/>
    <w:rsid w:val="003856B6"/>
    <w:rsid w:val="00394A75"/>
    <w:rsid w:val="003955DA"/>
    <w:rsid w:val="003C746A"/>
    <w:rsid w:val="003F6852"/>
    <w:rsid w:val="003F7BB6"/>
    <w:rsid w:val="0043385B"/>
    <w:rsid w:val="0044090D"/>
    <w:rsid w:val="004608E7"/>
    <w:rsid w:val="00466621"/>
    <w:rsid w:val="004676D7"/>
    <w:rsid w:val="004755AE"/>
    <w:rsid w:val="004A3B49"/>
    <w:rsid w:val="004B10CE"/>
    <w:rsid w:val="004B630D"/>
    <w:rsid w:val="004C158F"/>
    <w:rsid w:val="004D3FD8"/>
    <w:rsid w:val="004D66CF"/>
    <w:rsid w:val="004E3034"/>
    <w:rsid w:val="004E391B"/>
    <w:rsid w:val="004F02CD"/>
    <w:rsid w:val="00500C19"/>
    <w:rsid w:val="00515466"/>
    <w:rsid w:val="005265EC"/>
    <w:rsid w:val="0053748F"/>
    <w:rsid w:val="00545FD0"/>
    <w:rsid w:val="00564071"/>
    <w:rsid w:val="00565675"/>
    <w:rsid w:val="00570002"/>
    <w:rsid w:val="00570159"/>
    <w:rsid w:val="00570FA3"/>
    <w:rsid w:val="00597E8E"/>
    <w:rsid w:val="005C2733"/>
    <w:rsid w:val="005C3562"/>
    <w:rsid w:val="005E4FFE"/>
    <w:rsid w:val="005F4D3D"/>
    <w:rsid w:val="00604353"/>
    <w:rsid w:val="006049CF"/>
    <w:rsid w:val="00621E13"/>
    <w:rsid w:val="00625D22"/>
    <w:rsid w:val="006427AD"/>
    <w:rsid w:val="006528BF"/>
    <w:rsid w:val="006544F6"/>
    <w:rsid w:val="0065705D"/>
    <w:rsid w:val="006651B0"/>
    <w:rsid w:val="00665A4F"/>
    <w:rsid w:val="00667133"/>
    <w:rsid w:val="00672E06"/>
    <w:rsid w:val="006751CA"/>
    <w:rsid w:val="0067636B"/>
    <w:rsid w:val="00683726"/>
    <w:rsid w:val="00693B4F"/>
    <w:rsid w:val="006949F8"/>
    <w:rsid w:val="006A18B3"/>
    <w:rsid w:val="006A2B06"/>
    <w:rsid w:val="006A355D"/>
    <w:rsid w:val="006A391A"/>
    <w:rsid w:val="006A747C"/>
    <w:rsid w:val="006C05C6"/>
    <w:rsid w:val="006C290D"/>
    <w:rsid w:val="006C375A"/>
    <w:rsid w:val="006C3DF2"/>
    <w:rsid w:val="006D1714"/>
    <w:rsid w:val="006D5834"/>
    <w:rsid w:val="0071765C"/>
    <w:rsid w:val="00750C38"/>
    <w:rsid w:val="0075102C"/>
    <w:rsid w:val="007628F9"/>
    <w:rsid w:val="00767D12"/>
    <w:rsid w:val="00771095"/>
    <w:rsid w:val="0077158B"/>
    <w:rsid w:val="007721A1"/>
    <w:rsid w:val="00784B49"/>
    <w:rsid w:val="00793FAC"/>
    <w:rsid w:val="007A34AD"/>
    <w:rsid w:val="007D0996"/>
    <w:rsid w:val="007D2230"/>
    <w:rsid w:val="007E1676"/>
    <w:rsid w:val="007F0E1E"/>
    <w:rsid w:val="007F2BFD"/>
    <w:rsid w:val="007F6676"/>
    <w:rsid w:val="007F7E0B"/>
    <w:rsid w:val="0080087A"/>
    <w:rsid w:val="00800E2A"/>
    <w:rsid w:val="008112E1"/>
    <w:rsid w:val="00833D34"/>
    <w:rsid w:val="00834F4D"/>
    <w:rsid w:val="008362FC"/>
    <w:rsid w:val="0084105C"/>
    <w:rsid w:val="008475DC"/>
    <w:rsid w:val="0089095E"/>
    <w:rsid w:val="00893AEB"/>
    <w:rsid w:val="008C56E4"/>
    <w:rsid w:val="008D057E"/>
    <w:rsid w:val="008D575D"/>
    <w:rsid w:val="008E5AE8"/>
    <w:rsid w:val="008F38A0"/>
    <w:rsid w:val="009128AF"/>
    <w:rsid w:val="00916710"/>
    <w:rsid w:val="00922409"/>
    <w:rsid w:val="0092351A"/>
    <w:rsid w:val="00932914"/>
    <w:rsid w:val="00977476"/>
    <w:rsid w:val="00980448"/>
    <w:rsid w:val="009926C2"/>
    <w:rsid w:val="009D6051"/>
    <w:rsid w:val="009F27B9"/>
    <w:rsid w:val="009F32E4"/>
    <w:rsid w:val="00A0019A"/>
    <w:rsid w:val="00A133DA"/>
    <w:rsid w:val="00A17D9E"/>
    <w:rsid w:val="00A22D2E"/>
    <w:rsid w:val="00A765A5"/>
    <w:rsid w:val="00A9375F"/>
    <w:rsid w:val="00A94CFB"/>
    <w:rsid w:val="00A969FB"/>
    <w:rsid w:val="00AA4267"/>
    <w:rsid w:val="00AB76AB"/>
    <w:rsid w:val="00AE483D"/>
    <w:rsid w:val="00AE49BC"/>
    <w:rsid w:val="00AF0955"/>
    <w:rsid w:val="00B06B3A"/>
    <w:rsid w:val="00B17477"/>
    <w:rsid w:val="00B30AAE"/>
    <w:rsid w:val="00B44ED5"/>
    <w:rsid w:val="00B50635"/>
    <w:rsid w:val="00B57DD1"/>
    <w:rsid w:val="00B6254A"/>
    <w:rsid w:val="00B639B0"/>
    <w:rsid w:val="00B728A2"/>
    <w:rsid w:val="00B77E46"/>
    <w:rsid w:val="00B92D2B"/>
    <w:rsid w:val="00BC23AE"/>
    <w:rsid w:val="00BC63B8"/>
    <w:rsid w:val="00BD37BA"/>
    <w:rsid w:val="00BE40DB"/>
    <w:rsid w:val="00BF0B17"/>
    <w:rsid w:val="00BF72C5"/>
    <w:rsid w:val="00C00EB4"/>
    <w:rsid w:val="00C13C31"/>
    <w:rsid w:val="00C20C47"/>
    <w:rsid w:val="00C220CD"/>
    <w:rsid w:val="00C37B03"/>
    <w:rsid w:val="00C404AF"/>
    <w:rsid w:val="00C44F4C"/>
    <w:rsid w:val="00C520D7"/>
    <w:rsid w:val="00C536C4"/>
    <w:rsid w:val="00C56E0F"/>
    <w:rsid w:val="00C61CE2"/>
    <w:rsid w:val="00C63477"/>
    <w:rsid w:val="00C75373"/>
    <w:rsid w:val="00C75861"/>
    <w:rsid w:val="00C76C82"/>
    <w:rsid w:val="00C85D30"/>
    <w:rsid w:val="00C8699D"/>
    <w:rsid w:val="00C90264"/>
    <w:rsid w:val="00CD4B44"/>
    <w:rsid w:val="00D13380"/>
    <w:rsid w:val="00D16B14"/>
    <w:rsid w:val="00D21D1E"/>
    <w:rsid w:val="00D22973"/>
    <w:rsid w:val="00D23489"/>
    <w:rsid w:val="00D25D52"/>
    <w:rsid w:val="00D3661F"/>
    <w:rsid w:val="00D74711"/>
    <w:rsid w:val="00D83BC2"/>
    <w:rsid w:val="00D91EF8"/>
    <w:rsid w:val="00D92AD8"/>
    <w:rsid w:val="00D930F5"/>
    <w:rsid w:val="00DC6319"/>
    <w:rsid w:val="00DE0A6B"/>
    <w:rsid w:val="00DE2423"/>
    <w:rsid w:val="00E02B78"/>
    <w:rsid w:val="00E052B6"/>
    <w:rsid w:val="00E15489"/>
    <w:rsid w:val="00E24833"/>
    <w:rsid w:val="00E25582"/>
    <w:rsid w:val="00E306B1"/>
    <w:rsid w:val="00E31F0C"/>
    <w:rsid w:val="00E32F47"/>
    <w:rsid w:val="00E42949"/>
    <w:rsid w:val="00E43444"/>
    <w:rsid w:val="00E55FC4"/>
    <w:rsid w:val="00E748CB"/>
    <w:rsid w:val="00E92BE4"/>
    <w:rsid w:val="00E937AE"/>
    <w:rsid w:val="00E9726D"/>
    <w:rsid w:val="00EA2EB9"/>
    <w:rsid w:val="00EA37B8"/>
    <w:rsid w:val="00EC5433"/>
    <w:rsid w:val="00ED412E"/>
    <w:rsid w:val="00EE7AC7"/>
    <w:rsid w:val="00EF325E"/>
    <w:rsid w:val="00EF779A"/>
    <w:rsid w:val="00F018FF"/>
    <w:rsid w:val="00F17277"/>
    <w:rsid w:val="00F23138"/>
    <w:rsid w:val="00F34E6D"/>
    <w:rsid w:val="00F43800"/>
    <w:rsid w:val="00F4501D"/>
    <w:rsid w:val="00F61323"/>
    <w:rsid w:val="00F7165E"/>
    <w:rsid w:val="00F73FEE"/>
    <w:rsid w:val="00F83CFE"/>
    <w:rsid w:val="00F90AD0"/>
    <w:rsid w:val="00F9543D"/>
    <w:rsid w:val="00F96118"/>
    <w:rsid w:val="00FA6DCE"/>
    <w:rsid w:val="00FB0D0E"/>
    <w:rsid w:val="00FB1082"/>
    <w:rsid w:val="00FB1C50"/>
    <w:rsid w:val="00FB3879"/>
    <w:rsid w:val="00FD5DA5"/>
    <w:rsid w:val="00FE142F"/>
    <w:rsid w:val="00FE3BA0"/>
    <w:rsid w:val="00FE41DA"/>
    <w:rsid w:val="00FF46D1"/>
    <w:rsid w:val="00FF6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8FA1D8FA-A1B6-4040-AE7E-CF80C441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paragraph" w:styleId="ListParagraph">
    <w:name w:val="List Paragraph"/>
    <w:basedOn w:val="Normal"/>
    <w:uiPriority w:val="34"/>
    <w:qFormat/>
    <w:rsid w:val="00311087"/>
    <w:pPr>
      <w:ind w:left="720"/>
      <w:contextualSpacing/>
    </w:pPr>
  </w:style>
  <w:style w:type="character" w:styleId="CommentReference">
    <w:name w:val="annotation reference"/>
    <w:basedOn w:val="DefaultParagraphFont"/>
    <w:uiPriority w:val="99"/>
    <w:semiHidden/>
    <w:unhideWhenUsed/>
    <w:rsid w:val="0092351A"/>
    <w:rPr>
      <w:sz w:val="16"/>
      <w:szCs w:val="16"/>
    </w:rPr>
  </w:style>
  <w:style w:type="paragraph" w:styleId="CommentText">
    <w:name w:val="annotation text"/>
    <w:basedOn w:val="Normal"/>
    <w:link w:val="CommentTextChar"/>
    <w:uiPriority w:val="99"/>
    <w:unhideWhenUsed/>
    <w:rsid w:val="0092351A"/>
    <w:pPr>
      <w:spacing w:line="240" w:lineRule="auto"/>
    </w:pPr>
    <w:rPr>
      <w:szCs w:val="20"/>
    </w:rPr>
  </w:style>
  <w:style w:type="character" w:customStyle="1" w:styleId="CommentTextChar">
    <w:name w:val="Comment Text Char"/>
    <w:basedOn w:val="DefaultParagraphFont"/>
    <w:link w:val="CommentText"/>
    <w:uiPriority w:val="99"/>
    <w:rsid w:val="0092351A"/>
    <w:rPr>
      <w:rFonts w:eastAsiaTheme="minorEastAsia" w:cstheme="minorBidi"/>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92351A"/>
    <w:rPr>
      <w:b/>
      <w:bCs/>
    </w:rPr>
  </w:style>
  <w:style w:type="character" w:customStyle="1" w:styleId="CommentSubjectChar">
    <w:name w:val="Comment Subject Char"/>
    <w:basedOn w:val="CommentTextChar"/>
    <w:link w:val="CommentSubject"/>
    <w:uiPriority w:val="99"/>
    <w:semiHidden/>
    <w:rsid w:val="0092351A"/>
    <w:rPr>
      <w:rFonts w:eastAsiaTheme="minorEastAsia" w:cstheme="minorBidi"/>
      <w:b/>
      <w:bCs/>
      <w:color w:val="000000" w:themeColor="text1"/>
      <w:sz w:val="20"/>
      <w:szCs w:val="20"/>
      <w:lang w:eastAsia="en-GB"/>
    </w:rPr>
  </w:style>
  <w:style w:type="character" w:styleId="Hyperlink">
    <w:name w:val="Hyperlink"/>
    <w:basedOn w:val="DefaultParagraphFont"/>
    <w:uiPriority w:val="99"/>
    <w:unhideWhenUsed/>
    <w:rsid w:val="00BF72C5"/>
    <w:rPr>
      <w:color w:val="0563C1" w:themeColor="hyperlink"/>
      <w:u w:val="single"/>
    </w:rPr>
  </w:style>
  <w:style w:type="character" w:styleId="UnresolvedMention">
    <w:name w:val="Unresolved Mention"/>
    <w:basedOn w:val="DefaultParagraphFont"/>
    <w:uiPriority w:val="99"/>
    <w:semiHidden/>
    <w:unhideWhenUsed/>
    <w:rsid w:val="00BF72C5"/>
    <w:rPr>
      <w:color w:val="605E5C"/>
      <w:shd w:val="clear" w:color="auto" w:fill="E1DFDD"/>
    </w:rPr>
  </w:style>
  <w:style w:type="paragraph" w:styleId="Revision">
    <w:name w:val="Revision"/>
    <w:hidden/>
    <w:uiPriority w:val="99"/>
    <w:semiHidden/>
    <w:rsid w:val="00014102"/>
    <w:rPr>
      <w:rFonts w:eastAsiaTheme="minorEastAsia" w:cstheme="minorBidi"/>
      <w:color w:val="000000" w:themeColor="text1"/>
      <w:sz w:val="20"/>
      <w:lang w:eastAsia="en-GB"/>
    </w:rPr>
  </w:style>
  <w:style w:type="character" w:styleId="FollowedHyperlink">
    <w:name w:val="FollowedHyperlink"/>
    <w:basedOn w:val="DefaultParagraphFont"/>
    <w:uiPriority w:val="99"/>
    <w:semiHidden/>
    <w:unhideWhenUsed/>
    <w:rsid w:val="0084105C"/>
    <w:rPr>
      <w:color w:val="954F72" w:themeColor="followedHyperlink"/>
      <w:u w:val="single"/>
    </w:rPr>
  </w:style>
  <w:style w:type="character" w:styleId="Mention">
    <w:name w:val="Mention"/>
    <w:basedOn w:val="DefaultParagraphFont"/>
    <w:uiPriority w:val="99"/>
    <w:unhideWhenUsed/>
    <w:rsid w:val="00FB10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tynews.com.au/2022/government-stubs-out-prison-smok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ics.act.gov.au/__data/assets/pdf_file/0008/2111894/Deadly-Connections-AMC-amended-report.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gabby.robertson@actcoss.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s.act.gov.au/reports-and-publications/healthy-prison-reviews/healthy-prison-reviews/healthy-prison-review-of-the-alexander-maconochie-centre-20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entreforinclusivedesign.org.au/wp-content/uploads/2020/04/Easy-English-vs-Plain-English_accessible.pdf" TargetMode="External"/><Relationship Id="rId23" Type="http://schemas.openxmlformats.org/officeDocument/2006/relationships/fontTable" Target="fontTable.xml"/><Relationship Id="rId10" Type="http://schemas.openxmlformats.org/officeDocument/2006/relationships/hyperlink" Target="https://ris.cdu.edu.au/ws/files/12471778/PHRP_26_02_02_Prisons1.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linelibrary.wiley.com/doi/full/10.1002/ajmg.b.32822"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All Staff Team Members</DisplayName>
        <AccountId>102</AccountId>
        <AccountType/>
      </UserInfo>
    </SharedWithUsers>
    <Notes xmlns="32918964-d11d-4bda-ba04-9b8184f6a173" xsi:nil="true"/>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c3e069f8daaf7e80f84daa64d2aa81a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cf1af703a07f602cb5f492ab024847e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s>
</ds:datastoreItem>
</file>

<file path=customXml/itemProps2.xml><?xml version="1.0" encoding="utf-8"?>
<ds:datastoreItem xmlns:ds="http://schemas.openxmlformats.org/officeDocument/2006/customXml" ds:itemID="{587C75E6-9A2B-4C05-B4C1-8C6DE9C319FC}"/>
</file>

<file path=customXml/itemProps3.xml><?xml version="1.0" encoding="utf-8"?>
<ds:datastoreItem xmlns:ds="http://schemas.openxmlformats.org/officeDocument/2006/customXml" ds:itemID="{AE2FEDA7-97E5-4BAF-9890-6D9B8C22E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6347</TotalTime>
  <Pages>1</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Links>
    <vt:vector size="42" baseType="variant">
      <vt:variant>
        <vt:i4>65591</vt:i4>
      </vt:variant>
      <vt:variant>
        <vt:i4>21</vt:i4>
      </vt:variant>
      <vt:variant>
        <vt:i4>0</vt:i4>
      </vt:variant>
      <vt:variant>
        <vt:i4>5</vt:i4>
      </vt:variant>
      <vt:variant>
        <vt:lpwstr>mailto:gabby.robertson@actcoss.org.au</vt:lpwstr>
      </vt:variant>
      <vt:variant>
        <vt:lpwstr/>
      </vt:variant>
      <vt:variant>
        <vt:i4>7798868</vt:i4>
      </vt:variant>
      <vt:variant>
        <vt:i4>18</vt:i4>
      </vt:variant>
      <vt:variant>
        <vt:i4>0</vt:i4>
      </vt:variant>
      <vt:variant>
        <vt:i4>5</vt:i4>
      </vt:variant>
      <vt:variant>
        <vt:lpwstr>https://centreforinclusivedesign.org.au/wp-content/uploads/2020/04/Easy-English-vs-Plain-English_accessible.pdf</vt:lpwstr>
      </vt:variant>
      <vt:variant>
        <vt:lpwstr/>
      </vt:variant>
      <vt:variant>
        <vt:i4>1966085</vt:i4>
      </vt:variant>
      <vt:variant>
        <vt:i4>15</vt:i4>
      </vt:variant>
      <vt:variant>
        <vt:i4>0</vt:i4>
      </vt:variant>
      <vt:variant>
        <vt:i4>5</vt:i4>
      </vt:variant>
      <vt:variant>
        <vt:lpwstr>https://onlinelibrary.wiley.com/doi/full/10.1002/ajmg.b.32822</vt:lpwstr>
      </vt:variant>
      <vt:variant>
        <vt:lpwstr/>
      </vt:variant>
      <vt:variant>
        <vt:i4>393299</vt:i4>
      </vt:variant>
      <vt:variant>
        <vt:i4>12</vt:i4>
      </vt:variant>
      <vt:variant>
        <vt:i4>0</vt:i4>
      </vt:variant>
      <vt:variant>
        <vt:i4>5</vt:i4>
      </vt:variant>
      <vt:variant>
        <vt:lpwstr>https://citynews.com.au/2022/government-stubs-out-prison-smoking/</vt:lpwstr>
      </vt:variant>
      <vt:variant>
        <vt:lpwstr/>
      </vt:variant>
      <vt:variant>
        <vt:i4>2228300</vt:i4>
      </vt:variant>
      <vt:variant>
        <vt:i4>9</vt:i4>
      </vt:variant>
      <vt:variant>
        <vt:i4>0</vt:i4>
      </vt:variant>
      <vt:variant>
        <vt:i4>5</vt:i4>
      </vt:variant>
      <vt:variant>
        <vt:lpwstr>https://www.ics.act.gov.au/__data/assets/pdf_file/0008/2111894/Deadly-Connections-AMC-amended-report.pdf</vt:lpwstr>
      </vt:variant>
      <vt:variant>
        <vt:lpwstr/>
      </vt:variant>
      <vt:variant>
        <vt:i4>2752567</vt:i4>
      </vt:variant>
      <vt:variant>
        <vt:i4>6</vt:i4>
      </vt:variant>
      <vt:variant>
        <vt:i4>0</vt:i4>
      </vt:variant>
      <vt:variant>
        <vt:i4>5</vt:i4>
      </vt:variant>
      <vt:variant>
        <vt:lpwstr>https://www.ics.act.gov.au/reports-and-publications/healthy-prison-reviews/healthy-prison-reviews/healthy-prison-review-of-the-alexander-maconochie-centre-2022</vt:lpwstr>
      </vt:variant>
      <vt:variant>
        <vt:lpwstr/>
      </vt:variant>
      <vt:variant>
        <vt:i4>2818089</vt:i4>
      </vt:variant>
      <vt:variant>
        <vt:i4>3</vt:i4>
      </vt:variant>
      <vt:variant>
        <vt:i4>0</vt:i4>
      </vt:variant>
      <vt:variant>
        <vt:i4>5</vt:i4>
      </vt:variant>
      <vt:variant>
        <vt:lpwstr>https://ris.cdu.edu.au/ws/files/12471778/PHRP_26_02_02_Prisons1.pdf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Patrick Johnson</cp:lastModifiedBy>
  <cp:revision>255</cp:revision>
  <cp:lastPrinted>2023-03-01T02:56:00Z</cp:lastPrinted>
  <dcterms:created xsi:type="dcterms:W3CDTF">2023-01-08T09:17:00Z</dcterms:created>
  <dcterms:modified xsi:type="dcterms:W3CDTF">2023-03-01T02:56:00Z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