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F4722" w14:textId="77DF3AA4" w:rsidR="008F7966" w:rsidRDefault="008F7966" w:rsidP="00F7487C">
      <w:pPr>
        <w:pStyle w:val="Heading2"/>
      </w:pPr>
    </w:p>
    <w:p w14:paraId="6346A4DC" w14:textId="6EC094B1" w:rsidR="00565FBB" w:rsidRDefault="00565FBB" w:rsidP="00565FBB"/>
    <w:p w14:paraId="40C99432" w14:textId="44DC9CAC" w:rsidR="00565FBB" w:rsidRDefault="00565FBB" w:rsidP="00565FBB"/>
    <w:p w14:paraId="06F1D218" w14:textId="77777777" w:rsidR="00565FBB" w:rsidRDefault="00565FBB" w:rsidP="00565FBB"/>
    <w:p w14:paraId="05580C07" w14:textId="77777777" w:rsidR="00565FBB" w:rsidRDefault="00565FBB" w:rsidP="00565FBB"/>
    <w:p w14:paraId="23529D6B" w14:textId="77777777" w:rsidR="00565FBB" w:rsidRDefault="00565FBB" w:rsidP="00565FBB"/>
    <w:p w14:paraId="173861FD" w14:textId="17B23B1F" w:rsidR="00565FBB" w:rsidRDefault="00565FBB" w:rsidP="00565FBB"/>
    <w:p w14:paraId="38EA626E" w14:textId="4B77A9E5" w:rsidR="00565FBB" w:rsidRDefault="00565FBB" w:rsidP="00565FBB"/>
    <w:p w14:paraId="298189BF" w14:textId="77777777" w:rsidR="00565FBB" w:rsidRDefault="00565FBB" w:rsidP="00565FBB"/>
    <w:p w14:paraId="103E1106" w14:textId="77777777" w:rsidR="00565FBB" w:rsidRDefault="00565FBB" w:rsidP="00565FBB"/>
    <w:p w14:paraId="354BB5C2" w14:textId="3097355F" w:rsidR="00565FBB" w:rsidRDefault="00565FBB" w:rsidP="00565FBB"/>
    <w:p w14:paraId="1E1A2539" w14:textId="37735452" w:rsidR="00493316" w:rsidRDefault="5D7B7524" w:rsidP="00F7487C">
      <w:pPr>
        <w:pStyle w:val="Heading2"/>
      </w:pPr>
      <w:r>
        <w:t xml:space="preserve">For a just and fair Canberra, the ACT Government must: </w:t>
      </w:r>
    </w:p>
    <w:p w14:paraId="183B8D48" w14:textId="56F6F44B" w:rsidR="00AB2C3B" w:rsidRPr="00AB2C3B" w:rsidRDefault="00AB2C3B" w:rsidP="00AB2C3B">
      <w:pPr>
        <w:pStyle w:val="ListBullet"/>
        <w:rPr>
          <w:rFonts w:cs="Arial"/>
          <w:color w:val="000000"/>
          <w:shd w:val="clear" w:color="auto" w:fill="FFFFFF"/>
        </w:rPr>
      </w:pPr>
      <w:r w:rsidRPr="00AB2C3B">
        <w:rPr>
          <w:rFonts w:cs="Arial"/>
          <w:color w:val="000000"/>
          <w:shd w:val="clear" w:color="auto" w:fill="FFFFFF"/>
        </w:rPr>
        <w:t>Fund the ACT National Preventative Mechanisms (NPMs) - Inspector of Correcti</w:t>
      </w:r>
      <w:r w:rsidR="00BA1053">
        <w:rPr>
          <w:rFonts w:cs="Arial"/>
          <w:color w:val="000000"/>
          <w:shd w:val="clear" w:color="auto" w:fill="FFFFFF"/>
        </w:rPr>
        <w:t>ve</w:t>
      </w:r>
      <w:r w:rsidRPr="00AB2C3B">
        <w:rPr>
          <w:rFonts w:cs="Arial"/>
          <w:color w:val="000000"/>
          <w:shd w:val="clear" w:color="auto" w:fill="FFFFFF"/>
        </w:rPr>
        <w:t xml:space="preserve"> Services, the Human Rights Commission and the ACT Ombudsman adequately to carry out monitoring relating to the implementation of OPCAT requirements in the ACT </w:t>
      </w:r>
    </w:p>
    <w:p w14:paraId="3FA7C026" w14:textId="77777777" w:rsidR="00AB2C3B" w:rsidRPr="00AB2C3B" w:rsidRDefault="00AB2C3B" w:rsidP="00AB2C3B">
      <w:pPr>
        <w:pStyle w:val="ListBullet"/>
        <w:rPr>
          <w:rFonts w:cs="Arial"/>
          <w:color w:val="000000"/>
          <w:shd w:val="clear" w:color="auto" w:fill="FFFFFF"/>
        </w:rPr>
      </w:pPr>
      <w:r w:rsidRPr="00AB2C3B">
        <w:rPr>
          <w:rFonts w:cs="Arial"/>
          <w:color w:val="000000"/>
          <w:shd w:val="clear" w:color="auto" w:fill="FFFFFF"/>
        </w:rPr>
        <w:t>Dedicate funding to establishing an independent advocacy voice for culturally and linguistically diverse Canberrans in the ACT</w:t>
      </w:r>
    </w:p>
    <w:p w14:paraId="2183461A" w14:textId="77777777" w:rsidR="00AB2C3B" w:rsidRPr="00AB2C3B" w:rsidRDefault="00AB2C3B" w:rsidP="00AB2C3B">
      <w:pPr>
        <w:pStyle w:val="ListBullet"/>
        <w:rPr>
          <w:rFonts w:cs="Arial"/>
          <w:color w:val="000000"/>
          <w:shd w:val="clear" w:color="auto" w:fill="FFFFFF"/>
        </w:rPr>
      </w:pPr>
      <w:r w:rsidRPr="00AB2C3B">
        <w:rPr>
          <w:rFonts w:cs="Arial"/>
          <w:color w:val="000000"/>
          <w:shd w:val="clear" w:color="auto" w:fill="FFFFFF"/>
        </w:rPr>
        <w:t>Provide increased funding to community legal services to ensure equitable access to legal supports for all ACT residents, including women and children, Aboriginal and/or Torres Strait Islander people, people with disabilities and other Canberrans facing legal disadvantage</w:t>
      </w:r>
    </w:p>
    <w:p w14:paraId="4425142F" w14:textId="77777777" w:rsidR="00AB2C3B" w:rsidRPr="00AB2C3B" w:rsidRDefault="00AB2C3B" w:rsidP="00AB2C3B">
      <w:pPr>
        <w:pStyle w:val="ListBullet"/>
        <w:rPr>
          <w:rFonts w:cs="Arial"/>
          <w:color w:val="000000"/>
          <w:shd w:val="clear" w:color="auto" w:fill="FFFFFF"/>
        </w:rPr>
      </w:pPr>
      <w:r w:rsidRPr="00AB2C3B">
        <w:rPr>
          <w:rFonts w:cs="Arial"/>
          <w:color w:val="000000"/>
          <w:shd w:val="clear" w:color="auto" w:fill="FFFFFF"/>
        </w:rPr>
        <w:t>Increase funding for grant opportunities to cover bonds and rent for refugee and migrant groups settling in the ACT</w:t>
      </w:r>
    </w:p>
    <w:p w14:paraId="5D842684" w14:textId="77777777" w:rsidR="00AB2C3B" w:rsidRPr="00AB2C3B" w:rsidRDefault="00AB2C3B" w:rsidP="00AB2C3B">
      <w:pPr>
        <w:pStyle w:val="ListBullet"/>
        <w:rPr>
          <w:rFonts w:cs="Arial"/>
          <w:color w:val="000000"/>
          <w:shd w:val="clear" w:color="auto" w:fill="FFFFFF"/>
        </w:rPr>
      </w:pPr>
      <w:r w:rsidRPr="00AB2C3B">
        <w:rPr>
          <w:rFonts w:cs="Arial"/>
          <w:color w:val="000000"/>
          <w:shd w:val="clear" w:color="auto" w:fill="FFFFFF"/>
        </w:rPr>
        <w:t>Commit to review police complaints handling mechanisms to ensure greater practical independence, accountability and transparency of investigations</w:t>
      </w:r>
    </w:p>
    <w:p w14:paraId="31C66ED2" w14:textId="77777777" w:rsidR="00AB2C3B" w:rsidRPr="00AB2C3B" w:rsidRDefault="00AB2C3B" w:rsidP="00AB2C3B">
      <w:pPr>
        <w:pStyle w:val="ListBullet"/>
        <w:rPr>
          <w:rFonts w:cs="Arial"/>
          <w:color w:val="000000"/>
          <w:shd w:val="clear" w:color="auto" w:fill="FFFFFF"/>
        </w:rPr>
      </w:pPr>
      <w:r w:rsidRPr="00AB2C3B">
        <w:rPr>
          <w:rFonts w:cs="Arial"/>
          <w:color w:val="000000"/>
          <w:shd w:val="clear" w:color="auto" w:fill="FFFFFF"/>
        </w:rPr>
        <w:t xml:space="preserve">Invest in solutions to address racism experienced by children and young people as outlined in the </w:t>
      </w:r>
      <w:hyperlink r:id="rId11" w:history="1">
        <w:r w:rsidRPr="00AB2C3B">
          <w:rPr>
            <w:rStyle w:val="Hyperlink"/>
            <w:rFonts w:cs="Arial"/>
            <w:shd w:val="clear" w:color="auto" w:fill="FFFFFF"/>
          </w:rPr>
          <w:t>ACTHRC 'It really stabs me' Report 2023</w:t>
        </w:r>
      </w:hyperlink>
    </w:p>
    <w:p w14:paraId="0652F738" w14:textId="79D7473F" w:rsidR="00AB2C3B" w:rsidRPr="00AB2C3B" w:rsidRDefault="00AB2C3B" w:rsidP="00AB2C3B">
      <w:pPr>
        <w:pStyle w:val="ListBullet"/>
        <w:rPr>
          <w:rFonts w:cs="Arial"/>
          <w:color w:val="000000"/>
          <w:shd w:val="clear" w:color="auto" w:fill="FFFFFF"/>
        </w:rPr>
      </w:pPr>
      <w:r w:rsidRPr="00AB2C3B">
        <w:rPr>
          <w:rFonts w:cs="Arial"/>
          <w:color w:val="000000"/>
          <w:shd w:val="clear" w:color="auto" w:fill="FFFFFF"/>
        </w:rPr>
        <w:t>Fund a multicultural health service to provide culturally sensitive care</w:t>
      </w:r>
    </w:p>
    <w:p w14:paraId="6CF12428" w14:textId="4743925E" w:rsidR="00B41969" w:rsidRPr="00B41969" w:rsidRDefault="00B41969" w:rsidP="00B41969">
      <w:pPr>
        <w:pStyle w:val="ListBullet"/>
        <w:rPr>
          <w:rFonts w:cs="Arial"/>
          <w:color w:val="000000"/>
          <w:shd w:val="clear" w:color="auto" w:fill="FFFFFF"/>
        </w:rPr>
      </w:pPr>
      <w:r w:rsidRPr="00B41969">
        <w:rPr>
          <w:rFonts w:cs="Arial"/>
          <w:color w:val="000000"/>
          <w:shd w:val="clear" w:color="auto" w:fill="FFFFFF"/>
        </w:rPr>
        <w:t xml:space="preserve">Incorporate all Economic, Social and Cultural Rights in the ACT Human Rights Act (2004) including: the right to housing; the right to an adequate standard of living; the right to physical and mental health; and the right to a healthy environment </w:t>
      </w:r>
    </w:p>
    <w:p w14:paraId="2F958914" w14:textId="5C80D67E" w:rsidR="00B41969" w:rsidRPr="00A73B10" w:rsidRDefault="00B41969" w:rsidP="00B41969">
      <w:pPr>
        <w:pStyle w:val="ListBullet"/>
        <w:rPr>
          <w:rFonts w:cs="Arial"/>
          <w:color w:val="000000"/>
          <w:shd w:val="clear" w:color="auto" w:fill="FFFFFF"/>
        </w:rPr>
      </w:pPr>
      <w:r w:rsidRPr="00A73B10">
        <w:rPr>
          <w:rFonts w:cs="Arial"/>
          <w:color w:val="000000"/>
          <w:shd w:val="clear" w:color="auto" w:fill="FFFFFF"/>
        </w:rPr>
        <w:t xml:space="preserve">Improve access to the ACT Human Rights Act (2004) by </w:t>
      </w:r>
      <w:r w:rsidR="00CB5D94" w:rsidRPr="00A73B10">
        <w:rPr>
          <w:rFonts w:cs="Arial"/>
          <w:color w:val="000000"/>
          <w:shd w:val="clear" w:color="auto" w:fill="FFFFFF"/>
        </w:rPr>
        <w:t>implementing the ‘No rights without remedy’</w:t>
      </w:r>
      <w:r w:rsidRPr="00A73B10">
        <w:rPr>
          <w:rFonts w:cs="Arial"/>
          <w:color w:val="000000"/>
          <w:shd w:val="clear" w:color="auto" w:fill="FFFFFF"/>
        </w:rPr>
        <w:t xml:space="preserve"> direct complaints mechanism through the ACT Human Rights Commission followed by referral to the ACT Civil and Administrative Tribunal (ACAT) if the complaint cannot be resolved </w:t>
      </w:r>
    </w:p>
    <w:p w14:paraId="16B89F4E" w14:textId="77777777" w:rsidR="00B41969" w:rsidRPr="00B41969" w:rsidRDefault="00B41969" w:rsidP="00B41969">
      <w:pPr>
        <w:pStyle w:val="ListBullet"/>
        <w:rPr>
          <w:rFonts w:cs="Arial"/>
          <w:color w:val="000000"/>
          <w:shd w:val="clear" w:color="auto" w:fill="FFFFFF"/>
        </w:rPr>
      </w:pPr>
      <w:r w:rsidRPr="00B41969">
        <w:rPr>
          <w:rFonts w:cs="Arial"/>
          <w:color w:val="000000"/>
          <w:shd w:val="clear" w:color="auto" w:fill="FFFFFF"/>
        </w:rPr>
        <w:lastRenderedPageBreak/>
        <w:t xml:space="preserve">Embed human rights principles and obligations in all procurement processes and service contracts </w:t>
      </w:r>
    </w:p>
    <w:p w14:paraId="52205681" w14:textId="77777777" w:rsidR="00B41969" w:rsidRPr="00A73B10" w:rsidRDefault="00B41969" w:rsidP="00B41969">
      <w:pPr>
        <w:pStyle w:val="ListBullet"/>
        <w:rPr>
          <w:rFonts w:cs="Arial"/>
          <w:color w:val="000000"/>
          <w:shd w:val="clear" w:color="auto" w:fill="FFFFFF"/>
        </w:rPr>
      </w:pPr>
      <w:r w:rsidRPr="00A73B10">
        <w:rPr>
          <w:rFonts w:cs="Arial"/>
          <w:color w:val="000000"/>
          <w:shd w:val="clear" w:color="auto" w:fill="FFFFFF"/>
        </w:rPr>
        <w:t xml:space="preserve">Publicly commit to a Federal Human Rights Act </w:t>
      </w:r>
    </w:p>
    <w:p w14:paraId="48B8AB64" w14:textId="207E85E4" w:rsidR="00DD3886" w:rsidRPr="00575FFE" w:rsidRDefault="00DD3886" w:rsidP="00575FFE">
      <w:pPr>
        <w:pStyle w:val="ListBullet"/>
        <w:rPr>
          <w:rFonts w:cs="Arial"/>
          <w:color w:val="000000"/>
          <w:shd w:val="clear" w:color="auto" w:fill="FFFFFF"/>
        </w:rPr>
      </w:pPr>
      <w:r>
        <w:rPr>
          <w:rFonts w:cs="Arial"/>
          <w:color w:val="000000"/>
          <w:shd w:val="clear" w:color="auto" w:fill="FFFFFF"/>
        </w:rPr>
        <w:t>Progress</w:t>
      </w:r>
      <w:r w:rsidRPr="00DD3886">
        <w:rPr>
          <w:rFonts w:cs="Arial"/>
          <w:color w:val="000000"/>
          <w:shd w:val="clear" w:color="auto" w:fill="FFFFFF"/>
        </w:rPr>
        <w:t xml:space="preserve"> a Treaty process for the ACT, as expressed in the</w:t>
      </w:r>
      <w:r w:rsidR="001D4E58">
        <w:rPr>
          <w:rFonts w:cs="Arial"/>
          <w:color w:val="000000"/>
          <w:shd w:val="clear" w:color="auto" w:fill="FFFFFF"/>
        </w:rPr>
        <w:t xml:space="preserve"> </w:t>
      </w:r>
      <w:hyperlink r:id="rId12" w:history="1">
        <w:r w:rsidR="001D4E58">
          <w:rPr>
            <w:rStyle w:val="Hyperlink"/>
            <w:rFonts w:cs="Arial"/>
            <w:shd w:val="clear" w:color="auto" w:fill="FFFFFF"/>
          </w:rPr>
          <w:t>ACT Aboriginal and Torres Strait Islander Agreement 2019-2028</w:t>
        </w:r>
      </w:hyperlink>
      <w:r w:rsidR="001D4E58">
        <w:rPr>
          <w:rFonts w:cs="Arial"/>
          <w:color w:val="000000"/>
          <w:shd w:val="clear" w:color="auto" w:fill="FFFFFF"/>
        </w:rPr>
        <w:t>.</w:t>
      </w:r>
    </w:p>
    <w:p w14:paraId="1F316E9A" w14:textId="77777777" w:rsidR="00B41969" w:rsidRPr="00B41969" w:rsidRDefault="00B41969" w:rsidP="00B41969">
      <w:pPr>
        <w:pStyle w:val="ListBullet"/>
        <w:numPr>
          <w:ilvl w:val="0"/>
          <w:numId w:val="0"/>
        </w:numPr>
        <w:rPr>
          <w:rFonts w:cs="Arial"/>
          <w:color w:val="000000"/>
          <w:shd w:val="clear" w:color="auto" w:fill="FFFFFF"/>
        </w:rPr>
      </w:pPr>
    </w:p>
    <w:p w14:paraId="3DAEEC7B" w14:textId="2493498A" w:rsidR="00515A16" w:rsidRPr="000B0C6F" w:rsidRDefault="00515A16" w:rsidP="00515A16">
      <w:pPr>
        <w:pStyle w:val="Heading2"/>
      </w:pPr>
      <w:r w:rsidRPr="000B0C6F">
        <w:t xml:space="preserve">The </w:t>
      </w:r>
      <w:r>
        <w:t>Justification</w:t>
      </w:r>
    </w:p>
    <w:p w14:paraId="356F767A" w14:textId="1020FA8B" w:rsidR="00540619" w:rsidRDefault="00540619" w:rsidP="00B345EF">
      <w:pPr>
        <w:pStyle w:val="ListBullet"/>
      </w:pPr>
      <w:r w:rsidRPr="00183018">
        <w:t xml:space="preserve">The </w:t>
      </w:r>
      <w:hyperlink r:id="rId13" w:history="1">
        <w:r w:rsidRPr="00183018">
          <w:rPr>
            <w:rStyle w:val="Hyperlink"/>
          </w:rPr>
          <w:t>ACTHRC 'It really stabs me' Report 2023</w:t>
        </w:r>
      </w:hyperlink>
      <w:r w:rsidRPr="00183018">
        <w:t xml:space="preserve"> found that 54% of </w:t>
      </w:r>
      <w:r>
        <w:t>culturally and linguistically diverse</w:t>
      </w:r>
      <w:r w:rsidRPr="00183018">
        <w:t xml:space="preserve"> identifying children/young people surveyed reported experiencing racism, (with 92% of Aboriginal or Torres Strait Islander children/young people reporting racism).</w:t>
      </w:r>
    </w:p>
    <w:p w14:paraId="78992BEC" w14:textId="6BB7E235" w:rsidR="000F24A7" w:rsidRDefault="000F24A7" w:rsidP="00B345EF">
      <w:pPr>
        <w:pStyle w:val="ListBullet"/>
      </w:pPr>
      <w:r w:rsidRPr="000F24A7">
        <w:t xml:space="preserve">Better Renting’s </w:t>
      </w:r>
      <w:hyperlink r:id="rId14" w:tgtFrame="_blank" w:history="1">
        <w:r w:rsidRPr="000F24A7">
          <w:rPr>
            <w:rStyle w:val="Hyperlink"/>
          </w:rPr>
          <w:t>Unsafe as Houses</w:t>
        </w:r>
      </w:hyperlink>
      <w:r w:rsidRPr="000F24A7">
        <w:t xml:space="preserve"> report estimated that there were 42 deaths attributable to cold temperatures in substandard housing from 2009-17.</w:t>
      </w:r>
    </w:p>
    <w:p w14:paraId="6E43D8AA" w14:textId="77777777" w:rsidR="002D7218" w:rsidRDefault="00DB59A7" w:rsidP="00B345EF">
      <w:pPr>
        <w:pStyle w:val="ListBullet"/>
      </w:pPr>
      <w:r w:rsidRPr="00DB59A7">
        <w:t>Aboriginal and/or Torres Strait Islander people experience worse health outcomes in the ACT; 4</w:t>
      </w:r>
      <w:r w:rsidR="00003258">
        <w:t>1.6</w:t>
      </w:r>
      <w:r w:rsidRPr="00DB59A7">
        <w:t>% identify as having a disability, and 80</w:t>
      </w:r>
      <w:r w:rsidR="00245B92">
        <w:t>.5</w:t>
      </w:r>
      <w:r w:rsidRPr="00DB59A7">
        <w:t>% say they have one or more current long-term health conditions.</w:t>
      </w:r>
      <w:r w:rsidRPr="00DB59A7">
        <w:rPr>
          <w:vertAlign w:val="superscript"/>
        </w:rPr>
        <w:footnoteReference w:id="1"/>
      </w:r>
      <w:r w:rsidRPr="00DB59A7">
        <w:t xml:space="preserve"> </w:t>
      </w:r>
    </w:p>
    <w:p w14:paraId="1B4CEE23" w14:textId="4FD8C2D0" w:rsidR="00FA5024" w:rsidRDefault="00DB59A7" w:rsidP="00B345EF">
      <w:pPr>
        <w:pStyle w:val="ListBullet"/>
      </w:pPr>
      <w:r w:rsidRPr="00DB59A7">
        <w:t>Across the general population in the ACT, 19.4% identify as having a disability.</w:t>
      </w:r>
      <w:r w:rsidRPr="00DB59A7">
        <w:rPr>
          <w:vertAlign w:val="superscript"/>
        </w:rPr>
        <w:footnoteReference w:id="2"/>
      </w:r>
    </w:p>
    <w:p w14:paraId="7687A750" w14:textId="77777777" w:rsidR="001856C4" w:rsidRDefault="001856C4" w:rsidP="001856C4">
      <w:pPr>
        <w:pStyle w:val="ListBullet"/>
      </w:pPr>
      <w:r>
        <w:t>Aboriginal and/or Torres Strait Islander people in the ACT are over-policed and over-incarcerated. Although Indigenous people make up less than 2% of the Territory’s population, they make up a quarter of the population in the Alexander Maconochie Centre (AMC).</w:t>
      </w:r>
      <w:r>
        <w:rPr>
          <w:rStyle w:val="FootnoteReference"/>
        </w:rPr>
        <w:footnoteReference w:id="3"/>
      </w:r>
      <w:r>
        <w:t xml:space="preserve"> </w:t>
      </w:r>
    </w:p>
    <w:p w14:paraId="09EDCC39" w14:textId="22857FE1" w:rsidR="001856C4" w:rsidRDefault="001856C4" w:rsidP="001856C4">
      <w:pPr>
        <w:pStyle w:val="ListBullet"/>
      </w:pPr>
      <w:r>
        <w:t>Aboriginal and/or Torres Strait Islander people in the ACT are imprisoned at 19 times the rate of non-Indigenous people and are subject to community corrections orders at 12 times the rate of non-Indigenous people.</w:t>
      </w:r>
      <w:r>
        <w:rPr>
          <w:rStyle w:val="FootnoteReference"/>
        </w:rPr>
        <w:footnoteReference w:id="4"/>
      </w:r>
      <w:r>
        <w:t xml:space="preserve"> </w:t>
      </w:r>
    </w:p>
    <w:p w14:paraId="77260DD6" w14:textId="500E1371" w:rsidR="001856C4" w:rsidRDefault="001856C4" w:rsidP="001856C4">
      <w:pPr>
        <w:pStyle w:val="ListBullet"/>
      </w:pPr>
      <w:r>
        <w:t>The proportion of prisoners who are Aboriginal and/or Torres Strait Islander in the ACT has doubled over the last ten years, from 13% in 2011 to almost 26% in 2021.</w:t>
      </w:r>
      <w:r>
        <w:rPr>
          <w:rStyle w:val="FootnoteReference"/>
        </w:rPr>
        <w:footnoteReference w:id="5"/>
      </w:r>
      <w:r>
        <w:t xml:space="preserve"> The ACT also has Australia’s highest rate of recidivism for Aboriginal and/or Torres Strait Islander people, with 91% of Indigenous detainees in the AMC having experienced prior imprisonment.</w:t>
      </w:r>
    </w:p>
    <w:p w14:paraId="455A91A4" w14:textId="0E572D56" w:rsidR="00B345EF" w:rsidRPr="00B345EF" w:rsidRDefault="00B345EF" w:rsidP="00B345EF">
      <w:pPr>
        <w:pStyle w:val="ListBullet"/>
      </w:pPr>
      <w:r w:rsidRPr="00B345EF">
        <w:lastRenderedPageBreak/>
        <w:t xml:space="preserve">In 2019, the ACT Auditor-General published its report, </w:t>
      </w:r>
      <w:hyperlink r:id="rId15" w:history="1">
        <w:r w:rsidR="00A30C2E" w:rsidRPr="00A30C2E">
          <w:rPr>
            <w:rStyle w:val="Hyperlink"/>
          </w:rPr>
          <w:t>Recognition and implementation of obligations under the Human Rights Act 2004</w:t>
        </w:r>
      </w:hyperlink>
      <w:r w:rsidR="00A30C2E">
        <w:t xml:space="preserve">. </w:t>
      </w:r>
      <w:r w:rsidRPr="00B345EF">
        <w:t xml:space="preserve">It found that: </w:t>
      </w:r>
    </w:p>
    <w:p w14:paraId="3E922429" w14:textId="77777777" w:rsidR="00B345EF" w:rsidRPr="00B345EF" w:rsidRDefault="00B345EF" w:rsidP="00752B85">
      <w:pPr>
        <w:pStyle w:val="ListBullet2"/>
      </w:pPr>
      <w:r w:rsidRPr="00B345EF">
        <w:t xml:space="preserve">Although proposed legislation requires a completed ‘Human Rights Scrutiny Assessment’, information for ACT agencies that provides guidance and explanation on the Human Rights Act is dated and mostly limited to legislation  </w:t>
      </w:r>
    </w:p>
    <w:p w14:paraId="0781FBBC" w14:textId="77777777" w:rsidR="00B345EF" w:rsidRPr="00B345EF" w:rsidRDefault="00B345EF" w:rsidP="00752B85">
      <w:pPr>
        <w:pStyle w:val="ListBullet2"/>
      </w:pPr>
      <w:r w:rsidRPr="00B345EF">
        <w:t xml:space="preserve">There is varied commitment to embedding a human rights culture across ACT Government Directorates </w:t>
      </w:r>
    </w:p>
    <w:p w14:paraId="20A30FAD" w14:textId="77777777" w:rsidR="00B345EF" w:rsidRPr="00B345EF" w:rsidRDefault="00B345EF" w:rsidP="00752B85">
      <w:pPr>
        <w:pStyle w:val="ListBullet2"/>
      </w:pPr>
      <w:r w:rsidRPr="00B345EF">
        <w:t xml:space="preserve">Agencies should amend annual reports of Directorates to include minimum standards for format for human rights activities to be reported  </w:t>
      </w:r>
    </w:p>
    <w:p w14:paraId="2A9D120D" w14:textId="77777777" w:rsidR="00B345EF" w:rsidRPr="00B345EF" w:rsidRDefault="00B345EF" w:rsidP="00752B85">
      <w:pPr>
        <w:pStyle w:val="ListBullet2"/>
      </w:pPr>
      <w:r w:rsidRPr="00B345EF">
        <w:t xml:space="preserve">Agencies should identify additional, meaningful information to be reported that will allow for assessments of the development of human rights culture. </w:t>
      </w:r>
    </w:p>
    <w:p w14:paraId="0090BFDC" w14:textId="77777777" w:rsidR="008B39D2" w:rsidRDefault="00B345EF" w:rsidP="00CE4286">
      <w:pPr>
        <w:pStyle w:val="ListBullet"/>
      </w:pPr>
      <w:r w:rsidRPr="00B345EF">
        <w:t xml:space="preserve">In the </w:t>
      </w:r>
      <w:hyperlink r:id="rId16" w:history="1">
        <w:r w:rsidR="00DA5CFF">
          <w:rPr>
            <w:rStyle w:val="Hyperlink"/>
          </w:rPr>
          <w:t>ACT Human Rights Commission’s snapshot</w:t>
        </w:r>
      </w:hyperlink>
      <w:r w:rsidR="00DA5CFF">
        <w:t xml:space="preserve"> </w:t>
      </w:r>
      <w:r w:rsidRPr="00B345EF">
        <w:t xml:space="preserve">of 10 years of the ACT Human Rights Act 2004, the Commissioner noted: </w:t>
      </w:r>
    </w:p>
    <w:p w14:paraId="79ACF7E6" w14:textId="4EBE9617" w:rsidR="00B345EF" w:rsidRPr="00B345EF" w:rsidRDefault="00B345EF" w:rsidP="008B39D2">
      <w:pPr>
        <w:pStyle w:val="ListBullet2"/>
      </w:pPr>
      <w:r w:rsidRPr="00B345EF">
        <w:t xml:space="preserve">A continued lack of systemic education on the Human Rights Act inside the bureaucracy </w:t>
      </w:r>
    </w:p>
    <w:p w14:paraId="7BAF20C5" w14:textId="77777777" w:rsidR="00B345EF" w:rsidRPr="00B345EF" w:rsidRDefault="00B345EF" w:rsidP="008B39D2">
      <w:pPr>
        <w:pStyle w:val="ListBullet2"/>
      </w:pPr>
      <w:r w:rsidRPr="00B345EF">
        <w:t xml:space="preserve">The Justice and Community Safety Directorate should play a role in disseminating knowledge about the operation of the Human Rights Act more broadly </w:t>
      </w:r>
    </w:p>
    <w:p w14:paraId="08892D44" w14:textId="77777777" w:rsidR="00B345EF" w:rsidRPr="00B345EF" w:rsidRDefault="00B345EF" w:rsidP="008B39D2">
      <w:pPr>
        <w:pStyle w:val="ListBullet2"/>
      </w:pPr>
      <w:r w:rsidRPr="00B345EF">
        <w:t xml:space="preserve">The ACT Government Solicitor could share its expertise by providing short updates on legal developments that may impact ACT Government program or policy planning. </w:t>
      </w:r>
    </w:p>
    <w:p w14:paraId="34BE88B0" w14:textId="1E802DEA" w:rsidR="00515A16" w:rsidRDefault="00515A16" w:rsidP="00515A16">
      <w:pPr>
        <w:rPr>
          <w:rFonts w:cs="Arial"/>
          <w:b/>
          <w:bCs/>
          <w:color w:val="005984"/>
          <w:kern w:val="32"/>
          <w:sz w:val="32"/>
          <w:szCs w:val="32"/>
        </w:rPr>
      </w:pPr>
    </w:p>
    <w:p w14:paraId="0C8E94E4" w14:textId="7EB78642" w:rsidR="00515A16" w:rsidRDefault="00515A16" w:rsidP="00515A16">
      <w:pPr>
        <w:pStyle w:val="Heading2"/>
      </w:pPr>
      <w:r>
        <w:t xml:space="preserve">The Issues </w:t>
      </w:r>
    </w:p>
    <w:p w14:paraId="0A165171" w14:textId="67E64022" w:rsidR="00B345EF" w:rsidRPr="00B345EF" w:rsidRDefault="00B345EF" w:rsidP="00B345EF">
      <w:pPr>
        <w:pStyle w:val="ListBullet"/>
      </w:pPr>
      <w:r w:rsidRPr="00B345EF">
        <w:t>Human rights are universal, indivisible, interdependent and interrelated; they are enjoyed by everyone regardless of gender, race, disability, and other points of difference.  </w:t>
      </w:r>
    </w:p>
    <w:p w14:paraId="153F1347" w14:textId="29C5DBC1" w:rsidR="00B345EF" w:rsidRPr="00B345EF" w:rsidRDefault="00B345EF" w:rsidP="00B345EF">
      <w:pPr>
        <w:pStyle w:val="ListBullet"/>
      </w:pPr>
      <w:r w:rsidRPr="00B345EF">
        <w:t xml:space="preserve">The </w:t>
      </w:r>
      <w:r w:rsidRPr="00B345EF">
        <w:rPr>
          <w:i/>
          <w:iCs/>
        </w:rPr>
        <w:t>ACT Human Rights Act (2004)</w:t>
      </w:r>
      <w:r w:rsidRPr="00B345EF">
        <w:t xml:space="preserve"> does not include all Economic, Social and Cultural (ESC) Rights other than the right to education and worker’s rights. Safeguarding all ESC Rights in the ACT will establish a robust human rights framework that recognises the interrelated nature of economic, social, cultural, civil and political rights. </w:t>
      </w:r>
    </w:p>
    <w:p w14:paraId="2FD33940" w14:textId="1FD64790" w:rsidR="00B345EF" w:rsidRPr="00B345EF" w:rsidRDefault="00B345EF" w:rsidP="00B345EF">
      <w:pPr>
        <w:pStyle w:val="ListBullet"/>
      </w:pPr>
      <w:r w:rsidRPr="00B345EF">
        <w:t>Poor access to legal assistance</w:t>
      </w:r>
      <w:r w:rsidR="00793319">
        <w:t xml:space="preserve"> and advocacy</w:t>
      </w:r>
      <w:r w:rsidRPr="00B345EF">
        <w:t xml:space="preserve"> means that many Canberrans do not receive equality before the law. Unequal access to legal services drives poverty and disadvantage for Canberrans unable to enforce their legal rights in family, criminal, social security, financial, housing, employment and other matters. </w:t>
      </w:r>
    </w:p>
    <w:p w14:paraId="55481767" w14:textId="4AEDC72A" w:rsidR="00B345EF" w:rsidRPr="008226EF" w:rsidRDefault="00B345EF" w:rsidP="008226EF">
      <w:pPr>
        <w:pStyle w:val="ListBullet"/>
      </w:pPr>
      <w:r w:rsidRPr="008226EF">
        <w:t xml:space="preserve">The </w:t>
      </w:r>
      <w:r w:rsidR="005A6749" w:rsidRPr="008226EF">
        <w:t xml:space="preserve">successful </w:t>
      </w:r>
      <w:r w:rsidR="005A6749" w:rsidRPr="008226EF">
        <w:rPr>
          <w:i/>
          <w:iCs/>
        </w:rPr>
        <w:t xml:space="preserve">No Rights Without Remedy </w:t>
      </w:r>
      <w:r w:rsidR="005A6749" w:rsidRPr="008226EF">
        <w:t xml:space="preserve">Petition </w:t>
      </w:r>
      <w:r w:rsidR="007770FB" w:rsidRPr="008226EF">
        <w:t xml:space="preserve">needs to be fully implemented including to enable a </w:t>
      </w:r>
      <w:r w:rsidR="000215D0" w:rsidRPr="008226EF">
        <w:t xml:space="preserve">direct complaint handling mechanism to the ACT Human Rights Commission with referral to the ACT Civil and Administrative Appeals Tribunal if the complaint is not resolved (as in discrimination matters). </w:t>
      </w:r>
      <w:r w:rsidR="008226EF" w:rsidRPr="008226EF">
        <w:t xml:space="preserve">The full implementation will </w:t>
      </w:r>
      <w:r w:rsidRPr="008226EF">
        <w:t xml:space="preserve">improve accessibility of the </w:t>
      </w:r>
      <w:r w:rsidRPr="008226EF">
        <w:rPr>
          <w:i/>
          <w:iCs/>
        </w:rPr>
        <w:t xml:space="preserve">ACT Human Rights Act (2004) </w:t>
      </w:r>
      <w:r w:rsidRPr="008226EF">
        <w:t xml:space="preserve">and further realise its goal </w:t>
      </w:r>
      <w:r w:rsidRPr="008226EF">
        <w:lastRenderedPageBreak/>
        <w:t>to foster human rights compliance with the ACT. </w:t>
      </w:r>
      <w:r w:rsidR="008E3C4A">
        <w:t>These entities will need dedicated funding for their expanded remit</w:t>
      </w:r>
      <w:r w:rsidR="000512D9">
        <w:t>, including an additional educative function.</w:t>
      </w:r>
    </w:p>
    <w:p w14:paraId="49B6AB60" w14:textId="77777777" w:rsidR="00B345EF" w:rsidRPr="00B345EF" w:rsidRDefault="00B345EF" w:rsidP="00B345EF">
      <w:pPr>
        <w:pStyle w:val="ListBullet"/>
      </w:pPr>
      <w:r w:rsidRPr="00B345EF">
        <w:t>Policy design and implementation can be improved by ensuring that human rights principles and practice is a core to ACT Government work. For example, ensuring human rights principles are included in procurement processes protect workers from exploitation and encourage employers, who wish to win government contracts, to improve their human rights adherence.  </w:t>
      </w:r>
    </w:p>
    <w:p w14:paraId="51D6A389" w14:textId="38DAF2E8" w:rsidR="00656B36" w:rsidRDefault="00B345EF" w:rsidP="00D511B3">
      <w:pPr>
        <w:pStyle w:val="ListBullet"/>
      </w:pPr>
      <w:r w:rsidRPr="00B345EF">
        <w:t>In line with the recommendation of the 2018 Australian Law Reform Commission, in its Pathways to Justice Inquiry into the Incarceration Rate of Aboriginal and Torre</w:t>
      </w:r>
      <w:r w:rsidR="004D0B32">
        <w:t>s</w:t>
      </w:r>
      <w:r w:rsidRPr="00B345EF">
        <w:t xml:space="preserve"> Strait Islander Peoples, the ACT Government should commit to review its police complaints handling mechanisms to ensure improved accountability, independence and transparency.  </w:t>
      </w:r>
    </w:p>
    <w:p w14:paraId="3E53D82F" w14:textId="77777777" w:rsidR="00656B36" w:rsidRDefault="00656B36" w:rsidP="00565FBB"/>
    <w:tbl>
      <w:tblPr>
        <w:tblStyle w:val="Table3"/>
        <w:tblpPr w:leftFromText="180" w:rightFromText="180" w:vertAnchor="text" w:horzAnchor="margin" w:tblpY="137"/>
        <w:tblW w:w="5000" w:type="pct"/>
        <w:tblLook w:val="00A0" w:firstRow="1" w:lastRow="0" w:firstColumn="1" w:lastColumn="0" w:noHBand="0" w:noVBand="0"/>
      </w:tblPr>
      <w:tblGrid>
        <w:gridCol w:w="9020"/>
      </w:tblGrid>
      <w:tr w:rsidR="00207CC8" w:rsidRPr="00FC5277" w14:paraId="6B2521AA" w14:textId="77777777" w:rsidTr="00070219">
        <w:trPr>
          <w:cnfStyle w:val="100000000000" w:firstRow="1" w:lastRow="0" w:firstColumn="0" w:lastColumn="0" w:oddVBand="0" w:evenVBand="0" w:oddHBand="0"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5000" w:type="pct"/>
          </w:tcPr>
          <w:p w14:paraId="66F54A02" w14:textId="77777777" w:rsidR="00207CC8" w:rsidRPr="00FC5277" w:rsidRDefault="00207CC8" w:rsidP="00070219">
            <w:pPr>
              <w:rPr>
                <w:bCs/>
                <w:sz w:val="20"/>
                <w:szCs w:val="20"/>
              </w:rPr>
            </w:pPr>
            <w:r w:rsidRPr="00FC5277">
              <w:rPr>
                <w:bCs/>
                <w:sz w:val="20"/>
                <w:szCs w:val="20"/>
              </w:rPr>
              <w:t xml:space="preserve">Delivering commitments in the ACT Parliamentary and Governing Agreement </w:t>
            </w:r>
          </w:p>
        </w:tc>
      </w:tr>
      <w:tr w:rsidR="00207CC8" w:rsidRPr="00FC5277" w14:paraId="15082C73" w14:textId="77777777" w:rsidTr="00070219">
        <w:trPr>
          <w:trHeight w:val="567"/>
        </w:trPr>
        <w:tc>
          <w:tcPr>
            <w:cnfStyle w:val="000010000000" w:firstRow="0" w:lastRow="0" w:firstColumn="0" w:lastColumn="0" w:oddVBand="1" w:evenVBand="0" w:oddHBand="0" w:evenHBand="0" w:firstRowFirstColumn="0" w:firstRowLastColumn="0" w:lastRowFirstColumn="0" w:lastRowLastColumn="0"/>
            <w:tcW w:w="5000" w:type="pct"/>
          </w:tcPr>
          <w:p w14:paraId="0A896907" w14:textId="1F055C91" w:rsidR="00207CC8" w:rsidRPr="00FC5277" w:rsidRDefault="00207CC8" w:rsidP="00070219">
            <w:pPr>
              <w:pStyle w:val="BodyText"/>
              <w:rPr>
                <w:sz w:val="20"/>
                <w:szCs w:val="20"/>
              </w:rPr>
            </w:pPr>
            <w:r w:rsidRPr="00FC5277">
              <w:rPr>
                <w:sz w:val="20"/>
                <w:szCs w:val="20"/>
              </w:rPr>
              <w:t xml:space="preserve">The Government should prioritise some of its commitments </w:t>
            </w:r>
            <w:r w:rsidRPr="00FC5277">
              <w:rPr>
                <w:b/>
                <w:bCs/>
                <w:sz w:val="20"/>
                <w:szCs w:val="20"/>
              </w:rPr>
              <w:t xml:space="preserve">under the </w:t>
            </w:r>
            <w:hyperlink r:id="rId17" w:tgtFrame="_blank" w:history="1">
              <w:r w:rsidRPr="00FC5277">
                <w:rPr>
                  <w:rStyle w:val="Hyperlink"/>
                  <w:b/>
                  <w:bCs/>
                  <w:sz w:val="20"/>
                  <w:szCs w:val="20"/>
                </w:rPr>
                <w:t>Parliamentary and Governing Agreement</w:t>
              </w:r>
            </w:hyperlink>
            <w:r w:rsidRPr="00FC5277">
              <w:rPr>
                <w:sz w:val="20"/>
                <w:szCs w:val="20"/>
              </w:rPr>
              <w:t xml:space="preserve"> for this term of Government as they relate to </w:t>
            </w:r>
            <w:r w:rsidR="001F1A16">
              <w:rPr>
                <w:sz w:val="20"/>
                <w:szCs w:val="20"/>
              </w:rPr>
              <w:t>human rights</w:t>
            </w:r>
            <w:r w:rsidRPr="00FC5277">
              <w:rPr>
                <w:sz w:val="20"/>
                <w:szCs w:val="20"/>
              </w:rPr>
              <w:t xml:space="preserve"> – these include</w:t>
            </w:r>
            <w:r w:rsidR="001F1A16">
              <w:rPr>
                <w:sz w:val="20"/>
                <w:szCs w:val="20"/>
              </w:rPr>
              <w:t>, within the ACT Greens Policy Platform for the 10</w:t>
            </w:r>
            <w:r w:rsidR="001F1A16" w:rsidRPr="001F1A16">
              <w:rPr>
                <w:sz w:val="20"/>
                <w:szCs w:val="20"/>
                <w:vertAlign w:val="superscript"/>
              </w:rPr>
              <w:t>th</w:t>
            </w:r>
            <w:r w:rsidR="001F1A16">
              <w:rPr>
                <w:sz w:val="20"/>
                <w:szCs w:val="20"/>
              </w:rPr>
              <w:t xml:space="preserve"> Assembly</w:t>
            </w:r>
            <w:r w:rsidRPr="00FC5277">
              <w:rPr>
                <w:sz w:val="20"/>
                <w:szCs w:val="20"/>
              </w:rPr>
              <w:t>:  </w:t>
            </w:r>
          </w:p>
          <w:p w14:paraId="548EE52B" w14:textId="4435D3DF" w:rsidR="00207CC8" w:rsidRDefault="00192623" w:rsidP="00207CC8">
            <w:pPr>
              <w:pStyle w:val="ListBullet"/>
              <w:tabs>
                <w:tab w:val="num" w:pos="567"/>
              </w:tabs>
              <w:rPr>
                <w:sz w:val="20"/>
                <w:szCs w:val="20"/>
              </w:rPr>
            </w:pPr>
            <w:r>
              <w:rPr>
                <w:sz w:val="20"/>
                <w:szCs w:val="20"/>
              </w:rPr>
              <w:t>Consider introducing the “right to a healthy environment” into the Human Rights Act, and look at rights of nature</w:t>
            </w:r>
          </w:p>
          <w:p w14:paraId="4F83F984" w14:textId="77C1279D" w:rsidR="00207CC8" w:rsidRPr="00B872A2" w:rsidRDefault="00B872A2" w:rsidP="00B872A2">
            <w:pPr>
              <w:pStyle w:val="ListBullet"/>
              <w:tabs>
                <w:tab w:val="num" w:pos="567"/>
              </w:tabs>
              <w:rPr>
                <w:sz w:val="20"/>
                <w:szCs w:val="20"/>
              </w:rPr>
            </w:pPr>
            <w:r>
              <w:rPr>
                <w:sz w:val="20"/>
                <w:szCs w:val="20"/>
              </w:rPr>
              <w:t>Establish a First Nations Commissioner in the Human Rights Commission.</w:t>
            </w:r>
          </w:p>
        </w:tc>
      </w:tr>
    </w:tbl>
    <w:p w14:paraId="609490F3" w14:textId="77777777" w:rsidR="00656B36" w:rsidRDefault="00656B36" w:rsidP="00565FBB"/>
    <w:p w14:paraId="41A1D670" w14:textId="77777777" w:rsidR="00656B36" w:rsidRDefault="00656B36" w:rsidP="00565FBB"/>
    <w:p w14:paraId="07C38F6F" w14:textId="77777777" w:rsidR="00656B36" w:rsidRDefault="00656B36" w:rsidP="00565FBB"/>
    <w:p w14:paraId="7AF9E1D9" w14:textId="77777777" w:rsidR="00656B36" w:rsidRDefault="00656B36" w:rsidP="00565FBB"/>
    <w:p w14:paraId="217F493B" w14:textId="77777777" w:rsidR="00656B36" w:rsidRPr="00565FBB" w:rsidRDefault="00656B36" w:rsidP="00565FBB"/>
    <w:sectPr w:rsidR="00656B36" w:rsidRPr="00565FBB" w:rsidSect="00955FF9">
      <w:headerReference w:type="default" r:id="rId18"/>
      <w:footerReference w:type="default" r:id="rId19"/>
      <w:headerReference w:type="first" r:id="rId20"/>
      <w:footerReference w:type="first" r:id="rId21"/>
      <w:pgSz w:w="11900" w:h="16840"/>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3D900" w14:textId="77777777" w:rsidR="00F15832" w:rsidRDefault="00F15832" w:rsidP="00257D1B"/>
  </w:endnote>
  <w:endnote w:type="continuationSeparator" w:id="0">
    <w:p w14:paraId="21EA4E27" w14:textId="77777777" w:rsidR="00F15832" w:rsidRDefault="00F15832" w:rsidP="00257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8CA6DE6-682B-4E3B-B564-B5D4A564B57A}"/>
    <w:embedBold r:id="rId2" w:fontKey="{32A99009-41D4-4CAA-8B70-80D673CC783D}"/>
    <w:embedItalic r:id="rId3" w:fontKey="{43BD9CB0-D5F3-43BE-AA22-0BEB58B86949}"/>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3A3ABF9F-78AC-408E-AE19-9D1ABF92DB18}"/>
    <w:embedItalic r:id="rId5" w:fontKey="{BEA1E47F-B250-4E5C-B68D-87210179B763}"/>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835066"/>
      <w:docPartObj>
        <w:docPartGallery w:val="Page Numbers (Bottom of Page)"/>
        <w:docPartUnique/>
      </w:docPartObj>
    </w:sdtPr>
    <w:sdtEndPr>
      <w:rPr>
        <w:noProof/>
      </w:rPr>
    </w:sdtEndPr>
    <w:sdtContent>
      <w:p w14:paraId="06AD86E5" w14:textId="77777777" w:rsidR="00EB53A2" w:rsidRDefault="00EB53A2" w:rsidP="00EB53A2">
        <w:pPr>
          <w:pStyle w:val="Footer"/>
          <w:jc w:val="right"/>
        </w:pPr>
        <w:r>
          <w:fldChar w:fldCharType="begin"/>
        </w:r>
        <w:r>
          <w:instrText xml:space="preserve"> PAGE   \* MERGEFORMAT </w:instrText>
        </w:r>
        <w:r>
          <w:fldChar w:fldCharType="separate"/>
        </w:r>
        <w:r>
          <w:t>1</w:t>
        </w:r>
        <w:r>
          <w:rPr>
            <w:noProof/>
          </w:rPr>
          <w:fldChar w:fldCharType="end"/>
        </w:r>
      </w:p>
    </w:sdtContent>
  </w:sdt>
  <w:p w14:paraId="73287FB1" w14:textId="3FBF166A" w:rsidR="002C6A0D" w:rsidRDefault="00146ABC">
    <w:pPr>
      <w:pStyle w:val="Footer"/>
    </w:pPr>
    <w:r>
      <w:t>Human Rights</w:t>
    </w:r>
    <w:r w:rsidR="00EB53A2">
      <w:t xml:space="preserve"> – ACTCOSS 2023 Policy Brief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F435" w14:textId="77777777" w:rsidR="00B030CE" w:rsidRDefault="00B030CE">
    <w:pPr>
      <w:pStyle w:val="Footer"/>
      <w:jc w:val="right"/>
    </w:pPr>
    <w:r>
      <w:fldChar w:fldCharType="begin"/>
    </w:r>
    <w:r>
      <w:instrText xml:space="preserve"> PAGE   \* MERGEFORMAT </w:instrText>
    </w:r>
    <w:r>
      <w:fldChar w:fldCharType="separate"/>
    </w:r>
    <w:r>
      <w:rPr>
        <w:noProof/>
      </w:rPr>
      <w:t>2</w:t>
    </w:r>
    <w:r>
      <w:rPr>
        <w:noProof/>
      </w:rPr>
      <w:fldChar w:fldCharType="end"/>
    </w:r>
  </w:p>
  <w:p w14:paraId="678CD001" w14:textId="0D7EC770" w:rsidR="002C6A0D" w:rsidRDefault="00146ABC">
    <w:pPr>
      <w:pStyle w:val="Footer"/>
    </w:pPr>
    <w:r>
      <w:t>Human Rights</w:t>
    </w:r>
    <w:r w:rsidR="00B030CE">
      <w:t xml:space="preserve"> – ACTCOSS 2023 Policy Brief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D19D1" w14:textId="77777777" w:rsidR="00F15832" w:rsidRDefault="00F15832" w:rsidP="00257D1B">
      <w:r>
        <w:separator/>
      </w:r>
    </w:p>
  </w:footnote>
  <w:footnote w:type="continuationSeparator" w:id="0">
    <w:p w14:paraId="2B72B65D" w14:textId="77777777" w:rsidR="00F15832" w:rsidRDefault="00F15832" w:rsidP="00257D1B">
      <w:r>
        <w:continuationSeparator/>
      </w:r>
    </w:p>
  </w:footnote>
  <w:footnote w:id="1">
    <w:p w14:paraId="3E764FDC" w14:textId="393A3A96" w:rsidR="00DB59A7" w:rsidRPr="008A66CB" w:rsidRDefault="00DB59A7" w:rsidP="0049477C">
      <w:pPr>
        <w:pStyle w:val="FootnoteText"/>
        <w:spacing w:after="0"/>
        <w:rPr>
          <w:lang w:val="en-US"/>
        </w:rPr>
      </w:pPr>
      <w:r>
        <w:rPr>
          <w:rStyle w:val="FootnoteReference"/>
        </w:rPr>
        <w:footnoteRef/>
      </w:r>
      <w:r>
        <w:t xml:space="preserve"> </w:t>
      </w:r>
      <w:r>
        <w:rPr>
          <w:lang w:val="en-US"/>
        </w:rPr>
        <w:t>Australian Bureau of Statistics, 20</w:t>
      </w:r>
      <w:r w:rsidR="008C72C6">
        <w:rPr>
          <w:lang w:val="en-US"/>
        </w:rPr>
        <w:t>21</w:t>
      </w:r>
      <w:r>
        <w:rPr>
          <w:lang w:val="en-US"/>
        </w:rPr>
        <w:t xml:space="preserve">, </w:t>
      </w:r>
      <w:hyperlink r:id="rId1" w:history="1">
        <w:r w:rsidRPr="00526013">
          <w:rPr>
            <w:rStyle w:val="Hyperlink"/>
            <w:lang w:val="en-US"/>
          </w:rPr>
          <w:t>Data by region: Aboriginal and Torres Strait Islander Peoples</w:t>
        </w:r>
      </w:hyperlink>
      <w:r>
        <w:rPr>
          <w:lang w:val="en-US"/>
        </w:rPr>
        <w:t>, accessed 1</w:t>
      </w:r>
      <w:r w:rsidR="008C72C6">
        <w:rPr>
          <w:lang w:val="en-US"/>
        </w:rPr>
        <w:t>0 May 2</w:t>
      </w:r>
      <w:r>
        <w:rPr>
          <w:lang w:val="en-US"/>
        </w:rPr>
        <w:t>02</w:t>
      </w:r>
      <w:r w:rsidR="008C72C6">
        <w:rPr>
          <w:lang w:val="en-US"/>
        </w:rPr>
        <w:t>3</w:t>
      </w:r>
      <w:r>
        <w:rPr>
          <w:lang w:val="en-US"/>
        </w:rPr>
        <w:t>.</w:t>
      </w:r>
    </w:p>
  </w:footnote>
  <w:footnote w:id="2">
    <w:p w14:paraId="5BE28B81" w14:textId="1FEA4165" w:rsidR="00DB59A7" w:rsidRPr="00727742" w:rsidRDefault="00DB59A7" w:rsidP="0049477C">
      <w:pPr>
        <w:pStyle w:val="FootnoteText"/>
        <w:spacing w:after="0"/>
        <w:rPr>
          <w:lang w:val="en-US"/>
        </w:rPr>
      </w:pPr>
      <w:r>
        <w:rPr>
          <w:rStyle w:val="FootnoteReference"/>
        </w:rPr>
        <w:footnoteRef/>
      </w:r>
      <w:r>
        <w:t xml:space="preserve"> </w:t>
      </w:r>
      <w:r w:rsidRPr="0061235C">
        <w:t>A</w:t>
      </w:r>
      <w:r w:rsidR="008C72C6">
        <w:t xml:space="preserve">ustralian </w:t>
      </w:r>
      <w:r w:rsidRPr="0061235C">
        <w:t>B</w:t>
      </w:r>
      <w:r w:rsidR="008C72C6">
        <w:t xml:space="preserve">ureau of </w:t>
      </w:r>
      <w:r w:rsidRPr="0061235C">
        <w:t>S</w:t>
      </w:r>
      <w:r w:rsidR="008C72C6">
        <w:t>tatistics</w:t>
      </w:r>
      <w:r w:rsidRPr="0061235C">
        <w:t>,</w:t>
      </w:r>
      <w:r w:rsidR="008C72C6">
        <w:t xml:space="preserve"> 2021</w:t>
      </w:r>
      <w:r w:rsidRPr="0061235C">
        <w:t xml:space="preserve"> </w:t>
      </w:r>
      <w:hyperlink r:id="rId2" w:history="1">
        <w:r w:rsidRPr="0061235C">
          <w:rPr>
            <w:rStyle w:val="Hyperlink"/>
            <w:i/>
            <w:iCs/>
          </w:rPr>
          <w:t>4430.0 - Disability, Ageing and Carers, Australia: Summary of Findings, 2018</w:t>
        </w:r>
      </w:hyperlink>
      <w:r w:rsidRPr="0061235C">
        <w:t>, ABS, 2019, accessed 22 June 2021</w:t>
      </w:r>
    </w:p>
  </w:footnote>
  <w:footnote w:id="3">
    <w:p w14:paraId="27989706" w14:textId="77777777" w:rsidR="001856C4" w:rsidRPr="003838F6" w:rsidRDefault="001856C4" w:rsidP="0049477C">
      <w:pPr>
        <w:pStyle w:val="FootnoteText"/>
        <w:spacing w:after="0"/>
        <w:rPr>
          <w:lang w:val="en-US"/>
        </w:rPr>
      </w:pPr>
      <w:r>
        <w:rPr>
          <w:rStyle w:val="FootnoteReference"/>
        </w:rPr>
        <w:footnoteRef/>
      </w:r>
      <w:r>
        <w:t xml:space="preserve"> </w:t>
      </w:r>
      <w:r>
        <w:rPr>
          <w:lang w:val="en-US"/>
        </w:rPr>
        <w:t xml:space="preserve">Australian Government Productivity Commission, 2022, </w:t>
      </w:r>
      <w:hyperlink r:id="rId3" w:history="1">
        <w:r w:rsidRPr="00352311">
          <w:rPr>
            <w:rStyle w:val="Hyperlink"/>
            <w:lang w:val="en-US"/>
          </w:rPr>
          <w:t>Report on Government Services 2022: Justice</w:t>
        </w:r>
      </w:hyperlink>
      <w:r>
        <w:rPr>
          <w:lang w:val="en-US"/>
        </w:rPr>
        <w:t>, accessed 28 January 2022</w:t>
      </w:r>
    </w:p>
  </w:footnote>
  <w:footnote w:id="4">
    <w:p w14:paraId="23E695C7" w14:textId="77777777" w:rsidR="001856C4" w:rsidRPr="00F15B83" w:rsidRDefault="001856C4" w:rsidP="0049477C">
      <w:pPr>
        <w:pStyle w:val="FootnoteText"/>
        <w:spacing w:after="0"/>
        <w:rPr>
          <w:lang w:val="en-US"/>
        </w:rPr>
      </w:pPr>
      <w:r>
        <w:rPr>
          <w:rStyle w:val="FootnoteReference"/>
        </w:rPr>
        <w:footnoteRef/>
      </w:r>
      <w:r>
        <w:t xml:space="preserve"> </w:t>
      </w:r>
      <w:r>
        <w:rPr>
          <w:lang w:val="en-US"/>
        </w:rPr>
        <w:t>Ibid.</w:t>
      </w:r>
    </w:p>
  </w:footnote>
  <w:footnote w:id="5">
    <w:p w14:paraId="600CC08B" w14:textId="77777777" w:rsidR="001856C4" w:rsidRPr="00B54580" w:rsidRDefault="001856C4" w:rsidP="0049477C">
      <w:pPr>
        <w:pStyle w:val="FootnoteText"/>
        <w:spacing w:after="0"/>
        <w:rPr>
          <w:lang w:val="en-US"/>
        </w:rPr>
      </w:pPr>
      <w:r>
        <w:rPr>
          <w:rStyle w:val="FootnoteReference"/>
        </w:rPr>
        <w:footnoteRef/>
      </w:r>
      <w:r>
        <w:t xml:space="preserve"> </w:t>
      </w:r>
      <w:r>
        <w:rPr>
          <w:lang w:val="en-US"/>
        </w:rPr>
        <w:t xml:space="preserve">Australian Bureau of Statistics, 2021, </w:t>
      </w:r>
      <w:hyperlink r:id="rId4" w:anchor="data-download" w:history="1">
        <w:r w:rsidRPr="009819EF">
          <w:rPr>
            <w:rStyle w:val="Hyperlink"/>
            <w:lang w:val="en-US"/>
          </w:rPr>
          <w:t>Prisoners in Australia</w:t>
        </w:r>
      </w:hyperlink>
      <w:r>
        <w:rPr>
          <w:lang w:val="en-US"/>
        </w:rPr>
        <w:t>: Prisoner characteristics, States and territories, accessed 1</w:t>
      </w:r>
      <w:r w:rsidRPr="005A2CCB">
        <w:rPr>
          <w:vertAlign w:val="superscript"/>
          <w:lang w:val="en-US"/>
        </w:rPr>
        <w:t>st</w:t>
      </w:r>
      <w:r>
        <w:rPr>
          <w:lang w:val="en-US"/>
        </w:rPr>
        <w:t xml:space="preserve"> March,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EC3F" w14:textId="79598B35" w:rsidR="00076C29" w:rsidRDefault="00656B36">
    <w:pPr>
      <w:pStyle w:val="Header"/>
    </w:pPr>
    <w:r>
      <w:rPr>
        <w:noProof/>
      </w:rPr>
      <w:drawing>
        <wp:anchor distT="0" distB="0" distL="114300" distR="114300" simplePos="0" relativeHeight="251669504" behindDoc="0" locked="0" layoutInCell="1" allowOverlap="1" wp14:anchorId="78E3F759" wp14:editId="44154676">
          <wp:simplePos x="0" y="0"/>
          <wp:positionH relativeFrom="column">
            <wp:posOffset>4624705</wp:posOffset>
          </wp:positionH>
          <wp:positionV relativeFrom="paragraph">
            <wp:posOffset>-348805</wp:posOffset>
          </wp:positionV>
          <wp:extent cx="1694815" cy="1023620"/>
          <wp:effectExtent l="0" t="0" r="0" b="0"/>
          <wp:wrapSquare wrapText="bothSides"/>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10D7" w14:textId="7B3E5E2C" w:rsidR="00494929" w:rsidRDefault="00656B36" w:rsidP="0038563B">
    <w:pPr>
      <w:pStyle w:val="Header"/>
      <w:tabs>
        <w:tab w:val="clear" w:pos="4513"/>
        <w:tab w:val="clear" w:pos="9026"/>
        <w:tab w:val="left" w:pos="5638"/>
      </w:tabs>
    </w:pPr>
    <w:r w:rsidRPr="00E43455">
      <w:rPr>
        <w:noProof/>
      </w:rPr>
      <mc:AlternateContent>
        <mc:Choice Requires="wps">
          <w:drawing>
            <wp:anchor distT="0" distB="0" distL="114300" distR="114300" simplePos="0" relativeHeight="251673600" behindDoc="0" locked="0" layoutInCell="1" allowOverlap="1" wp14:anchorId="44FC1835" wp14:editId="30BA93DE">
              <wp:simplePos x="0" y="0"/>
              <wp:positionH relativeFrom="column">
                <wp:posOffset>-153341</wp:posOffset>
              </wp:positionH>
              <wp:positionV relativeFrom="paragraph">
                <wp:posOffset>534035</wp:posOffset>
              </wp:positionV>
              <wp:extent cx="4267200" cy="2008554"/>
              <wp:effectExtent l="0" t="0" r="0" b="0"/>
              <wp:wrapNone/>
              <wp:docPr id="4" name="Text Box 4"/>
              <wp:cNvGraphicFramePr/>
              <a:graphic xmlns:a="http://schemas.openxmlformats.org/drawingml/2006/main">
                <a:graphicData uri="http://schemas.microsoft.com/office/word/2010/wordprocessingShape">
                  <wps:wsp>
                    <wps:cNvSpPr txBox="1"/>
                    <wps:spPr>
                      <a:xfrm>
                        <a:off x="0" y="0"/>
                        <a:ext cx="4267200" cy="2008554"/>
                      </a:xfrm>
                      <a:prstGeom prst="rect">
                        <a:avLst/>
                      </a:prstGeom>
                      <a:noFill/>
                      <a:ln w="6350">
                        <a:noFill/>
                      </a:ln>
                    </wps:spPr>
                    <wps:txbx>
                      <w:txbxContent>
                        <w:p w14:paraId="2CD216D2" w14:textId="7B2DAF32" w:rsidR="0033558A" w:rsidRPr="00257D1B" w:rsidRDefault="008F45EC" w:rsidP="00DF284E">
                          <w:pPr>
                            <w:pStyle w:val="Heading1"/>
                            <w:numPr>
                              <w:ilvl w:val="0"/>
                              <w:numId w:val="0"/>
                            </w:numPr>
                          </w:pPr>
                          <w:r>
                            <w:t>Human Rights Jurisdiction</w:t>
                          </w:r>
                        </w:p>
                        <w:p w14:paraId="12C23408" w14:textId="6F30D63E" w:rsidR="0033558A" w:rsidRDefault="008F45EC" w:rsidP="0033558A">
                          <w:pPr>
                            <w:pStyle w:val="DocumentSubtitle"/>
                          </w:pPr>
                          <w:r>
                            <w:t>2023 Policy Brief</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FC1835" id="_x0000_t202" coordsize="21600,21600" o:spt="202" path="m,l,21600r21600,l21600,xe">
              <v:stroke joinstyle="miter"/>
              <v:path gradientshapeok="t" o:connecttype="rect"/>
            </v:shapetype>
            <v:shape id="Text Box 4" o:spid="_x0000_s1026" type="#_x0000_t202" style="position:absolute;margin-left:-12.05pt;margin-top:42.05pt;width:336pt;height:158.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" filled="f" stroked="f" strokeweight=".5pt">
              <v:textbox inset="0,,0">
                <w:txbxContent>
                  <w:p w14:paraId="2CD216D2" w14:textId="7B2DAF32" w:rsidR="0033558A" w:rsidRPr="00257D1B" w:rsidRDefault="008F45EC" w:rsidP="00DF284E">
                    <w:pPr>
                      <w:pStyle w:val="Heading1"/>
                      <w:numPr>
                        <w:ilvl w:val="0"/>
                        <w:numId w:val="0"/>
                      </w:numPr>
                    </w:pPr>
                    <w:r>
                      <w:t>Human Rights Jurisdiction</w:t>
                    </w:r>
                  </w:p>
                  <w:p w14:paraId="12C23408" w14:textId="6F30D63E" w:rsidR="0033558A" w:rsidRDefault="008F45EC" w:rsidP="0033558A">
                    <w:pPr>
                      <w:pStyle w:val="DocumentSubtitle"/>
                    </w:pPr>
                    <w:r>
                      <w:t>2023 Policy Brief</w:t>
                    </w:r>
                  </w:p>
                </w:txbxContent>
              </v:textbox>
            </v:shape>
          </w:pict>
        </mc:Fallback>
      </mc:AlternateContent>
    </w:r>
    <w:r>
      <w:rPr>
        <w:b/>
        <w:bCs/>
        <w:noProof/>
        <w:color w:val="FFFFFF" w:themeColor="background1"/>
        <w:sz w:val="80"/>
        <w:szCs w:val="80"/>
      </w:rPr>
      <w:drawing>
        <wp:anchor distT="0" distB="0" distL="114300" distR="114300" simplePos="0" relativeHeight="251675648" behindDoc="1" locked="0" layoutInCell="1" allowOverlap="1" wp14:anchorId="78613E99" wp14:editId="386DB2E1">
          <wp:simplePos x="0" y="0"/>
          <wp:positionH relativeFrom="column">
            <wp:posOffset>4489260</wp:posOffset>
          </wp:positionH>
          <wp:positionV relativeFrom="paragraph">
            <wp:posOffset>-70428</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Pr>
        <w:noProof/>
        <w:color w:val="31619F"/>
      </w:rPr>
      <w:drawing>
        <wp:anchor distT="0" distB="0" distL="114300" distR="114300" simplePos="0" relativeHeight="251677696" behindDoc="1" locked="0" layoutInCell="1" allowOverlap="1" wp14:anchorId="27710951" wp14:editId="44B4AD6A">
          <wp:simplePos x="0" y="0"/>
          <wp:positionH relativeFrom="page">
            <wp:align>right</wp:align>
          </wp:positionH>
          <wp:positionV relativeFrom="page">
            <wp:align>top</wp:align>
          </wp:positionV>
          <wp:extent cx="7555230" cy="3094355"/>
          <wp:effectExtent l="0" t="0" r="7620" b="0"/>
          <wp:wrapNone/>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b="1264"/>
                  <a:stretch/>
                </pic:blipFill>
                <pic:spPr bwMode="auto">
                  <a:xfrm>
                    <a:off x="0" y="0"/>
                    <a:ext cx="7555230"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7D1B">
      <w:rPr>
        <w:b/>
        <w:bCs/>
        <w:noProof/>
        <w:color w:val="FFFFFF" w:themeColor="background1"/>
        <w:sz w:val="80"/>
        <w:szCs w:val="80"/>
      </w:rPr>
      <mc:AlternateContent>
        <mc:Choice Requires="wps">
          <w:drawing>
            <wp:anchor distT="0" distB="0" distL="114300" distR="114300" simplePos="0" relativeHeight="251668479" behindDoc="1" locked="0" layoutInCell="1" allowOverlap="1" wp14:anchorId="2005C590" wp14:editId="4418C032">
              <wp:simplePos x="0" y="0"/>
              <wp:positionH relativeFrom="page">
                <wp:align>left</wp:align>
              </wp:positionH>
              <wp:positionV relativeFrom="page">
                <wp:align>top</wp:align>
              </wp:positionV>
              <wp:extent cx="7557135" cy="3094355"/>
              <wp:effectExtent l="0" t="0" r="5715" b="0"/>
              <wp:wrapNone/>
              <wp:docPr id="1" name="Rectangle 1"/>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1" style="position:absolute;margin-left:0;margin-top:0;width:595.05pt;height:243.65pt;z-index:-25164800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2d6cb5" stroked="f" strokeweight="1pt" w14:anchorId="1E4A5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">
              <w10:wrap anchorx="page" anchory="page"/>
            </v:rect>
          </w:pict>
        </mc:Fallback>
      </mc:AlternateContent>
    </w:r>
    <w:r w:rsidR="00494929">
      <w:rPr>
        <w:b/>
        <w:bCs/>
        <w:noProof/>
        <w:color w:val="FFFFFF" w:themeColor="background1"/>
        <w:sz w:val="80"/>
        <w:szCs w:val="80"/>
      </w:rPr>
      <w:t xml:space="preserve"> </w:t>
    </w:r>
    <w:r w:rsidR="0038563B">
      <w:rPr>
        <w:b/>
        <w:bCs/>
        <w:noProof/>
        <w:color w:val="FFFFFF" w:themeColor="background1"/>
        <w:sz w:val="80"/>
        <w:szCs w:val="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4B8B"/>
    <w:multiLevelType w:val="hybridMultilevel"/>
    <w:tmpl w:val="AC302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C21E78"/>
    <w:multiLevelType w:val="hybridMultilevel"/>
    <w:tmpl w:val="3924766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76078"/>
    <w:multiLevelType w:val="hybridMultilevel"/>
    <w:tmpl w:val="22A8C7DA"/>
    <w:lvl w:ilvl="0" w:tplc="B03803A0">
      <w:start w:val="1"/>
      <w:numFmt w:val="bullet"/>
      <w:pStyle w:val="ListBullet"/>
      <w:lvlText w:val=""/>
      <w:lvlJc w:val="left"/>
      <w:pPr>
        <w:tabs>
          <w:tab w:val="num" w:pos="567"/>
        </w:tabs>
        <w:ind w:left="567" w:hanging="567"/>
      </w:pPr>
      <w:rPr>
        <w:rFonts w:ascii="Symbol" w:hAnsi="Symbol" w:hint="default"/>
        <w:b w:val="0"/>
        <w:i w:val="0"/>
        <w:color w:val="005984"/>
        <w:sz w:val="20"/>
      </w:rPr>
    </w:lvl>
    <w:lvl w:ilvl="1" w:tplc="6F14BC2E">
      <w:start w:val="1"/>
      <w:numFmt w:val="bullet"/>
      <w:pStyle w:val="ListBullet2"/>
      <w:lvlText w:val=""/>
      <w:lvlJc w:val="left"/>
      <w:pPr>
        <w:tabs>
          <w:tab w:val="num" w:pos="1134"/>
        </w:tabs>
        <w:ind w:left="1134" w:hanging="567"/>
      </w:pPr>
      <w:rPr>
        <w:rFonts w:ascii="Symbol" w:hAnsi="Symbol" w:hint="default"/>
        <w:color w:val="005984"/>
        <w:sz w:val="20"/>
      </w:rPr>
    </w:lvl>
    <w:lvl w:ilvl="2" w:tplc="ACA00B76">
      <w:start w:val="1"/>
      <w:numFmt w:val="bullet"/>
      <w:pStyle w:val="ListBullet3"/>
      <w:lvlText w:val=""/>
      <w:lvlJc w:val="left"/>
      <w:pPr>
        <w:tabs>
          <w:tab w:val="num" w:pos="1701"/>
        </w:tabs>
        <w:ind w:left="1701" w:hanging="567"/>
      </w:pPr>
      <w:rPr>
        <w:rFonts w:ascii="Symbol" w:hAnsi="Symbol" w:hint="default"/>
        <w:color w:val="005984"/>
        <w:sz w:val="20"/>
      </w:rPr>
    </w:lvl>
    <w:lvl w:ilvl="3" w:tplc="121AC776">
      <w:start w:val="1"/>
      <w:numFmt w:val="bullet"/>
      <w:pStyle w:val="ListBullet4"/>
      <w:lvlText w:val=""/>
      <w:lvlJc w:val="left"/>
      <w:pPr>
        <w:tabs>
          <w:tab w:val="num" w:pos="2268"/>
        </w:tabs>
        <w:ind w:left="2268" w:hanging="567"/>
      </w:pPr>
      <w:rPr>
        <w:rFonts w:ascii="Symbol" w:hAnsi="Symbol" w:hint="default"/>
        <w:color w:val="005984"/>
        <w:sz w:val="20"/>
      </w:rPr>
    </w:lvl>
    <w:lvl w:ilvl="4" w:tplc="8DC0A4A8">
      <w:start w:val="1"/>
      <w:numFmt w:val="bullet"/>
      <w:pStyle w:val="ListBullet5"/>
      <w:lvlText w:val=""/>
      <w:lvlJc w:val="left"/>
      <w:pPr>
        <w:tabs>
          <w:tab w:val="num" w:pos="2835"/>
        </w:tabs>
        <w:ind w:left="2835" w:hanging="567"/>
      </w:pPr>
      <w:rPr>
        <w:rFonts w:ascii="Symbol" w:hAnsi="Symbol" w:hint="default"/>
        <w:color w:val="005984"/>
        <w:sz w:val="20"/>
      </w:rPr>
    </w:lvl>
    <w:lvl w:ilvl="5" w:tplc="609CB1EC">
      <w:start w:val="1"/>
      <w:numFmt w:val="decimal"/>
      <w:lvlText w:val=""/>
      <w:lvlJc w:val="left"/>
      <w:pPr>
        <w:tabs>
          <w:tab w:val="num" w:pos="2160"/>
        </w:tabs>
        <w:ind w:left="2160" w:hanging="360"/>
      </w:pPr>
    </w:lvl>
    <w:lvl w:ilvl="6" w:tplc="537C1A4A">
      <w:start w:val="1"/>
      <w:numFmt w:val="decimal"/>
      <w:lvlText w:val=""/>
      <w:lvlJc w:val="left"/>
      <w:pPr>
        <w:tabs>
          <w:tab w:val="num" w:pos="2520"/>
        </w:tabs>
        <w:ind w:left="2520" w:hanging="360"/>
      </w:pPr>
    </w:lvl>
    <w:lvl w:ilvl="7" w:tplc="DA1AC76E">
      <w:start w:val="1"/>
      <w:numFmt w:val="decimal"/>
      <w:lvlText w:val=""/>
      <w:lvlJc w:val="left"/>
      <w:pPr>
        <w:tabs>
          <w:tab w:val="num" w:pos="2880"/>
        </w:tabs>
        <w:ind w:left="2880" w:hanging="360"/>
      </w:pPr>
    </w:lvl>
    <w:lvl w:ilvl="8" w:tplc="620A7CE4">
      <w:start w:val="1"/>
      <w:numFmt w:val="decimal"/>
      <w:lvlText w:val=""/>
      <w:lvlJc w:val="left"/>
      <w:pPr>
        <w:tabs>
          <w:tab w:val="num" w:pos="3240"/>
        </w:tabs>
        <w:ind w:left="3240" w:hanging="360"/>
      </w:pPr>
    </w:lvl>
  </w:abstractNum>
  <w:abstractNum w:abstractNumId="3" w15:restartNumberingAfterBreak="0">
    <w:nsid w:val="09374643"/>
    <w:multiLevelType w:val="hybridMultilevel"/>
    <w:tmpl w:val="910295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10696D"/>
    <w:multiLevelType w:val="hybridMultilevel"/>
    <w:tmpl w:val="2AE4D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2270CD"/>
    <w:multiLevelType w:val="multilevel"/>
    <w:tmpl w:val="89A2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0A2B71"/>
    <w:multiLevelType w:val="hybridMultilevel"/>
    <w:tmpl w:val="B37E9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4C25F4"/>
    <w:multiLevelType w:val="multilevel"/>
    <w:tmpl w:val="6B6C69FA"/>
    <w:lvl w:ilvl="0">
      <w:start w:val="1"/>
      <w:numFmt w:val="bullet"/>
      <w:pStyle w:val="List-Ask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E63CAD"/>
    <w:multiLevelType w:val="hybridMultilevel"/>
    <w:tmpl w:val="53ECDF06"/>
    <w:lvl w:ilvl="0" w:tplc="FFFFFFFF">
      <w:start w:val="1"/>
      <w:numFmt w:val="bullet"/>
      <w:lvlText w:val=""/>
      <w:lvlJc w:val="left"/>
      <w:pPr>
        <w:tabs>
          <w:tab w:val="num" w:pos="567"/>
        </w:tabs>
        <w:ind w:left="567" w:hanging="567"/>
      </w:pPr>
      <w:rPr>
        <w:rFonts w:ascii="Symbol" w:hAnsi="Symbol" w:hint="default"/>
        <w:b w:val="0"/>
        <w:i w:val="0"/>
        <w:color w:val="005984"/>
        <w:sz w:val="20"/>
      </w:rPr>
    </w:lvl>
    <w:lvl w:ilvl="1" w:tplc="0C090001">
      <w:start w:val="1"/>
      <w:numFmt w:val="bullet"/>
      <w:lvlText w:val=""/>
      <w:lvlJc w:val="left"/>
      <w:pPr>
        <w:ind w:left="927" w:hanging="360"/>
      </w:pPr>
      <w:rPr>
        <w:rFonts w:ascii="Symbol" w:hAnsi="Symbol" w:hint="default"/>
      </w:rPr>
    </w:lvl>
    <w:lvl w:ilvl="2" w:tplc="FFFFFFFF">
      <w:start w:val="1"/>
      <w:numFmt w:val="bullet"/>
      <w:lvlText w:val=""/>
      <w:lvlJc w:val="left"/>
      <w:pPr>
        <w:tabs>
          <w:tab w:val="num" w:pos="1701"/>
        </w:tabs>
        <w:ind w:left="1701" w:hanging="567"/>
      </w:pPr>
      <w:rPr>
        <w:rFonts w:ascii="Symbol" w:hAnsi="Symbol" w:hint="default"/>
        <w:color w:val="005984"/>
        <w:sz w:val="20"/>
      </w:rPr>
    </w:lvl>
    <w:lvl w:ilvl="3" w:tplc="FFFFFFFF">
      <w:start w:val="1"/>
      <w:numFmt w:val="bullet"/>
      <w:lvlText w:val=""/>
      <w:lvlJc w:val="left"/>
      <w:pPr>
        <w:tabs>
          <w:tab w:val="num" w:pos="2268"/>
        </w:tabs>
        <w:ind w:left="2268" w:hanging="567"/>
      </w:pPr>
      <w:rPr>
        <w:rFonts w:ascii="Symbol" w:hAnsi="Symbol" w:hint="default"/>
        <w:color w:val="005984"/>
        <w:sz w:val="20"/>
      </w:rPr>
    </w:lvl>
    <w:lvl w:ilvl="4" w:tplc="FFFFFFFF">
      <w:start w:val="1"/>
      <w:numFmt w:val="bullet"/>
      <w:lvlText w:val=""/>
      <w:lvlJc w:val="left"/>
      <w:pPr>
        <w:tabs>
          <w:tab w:val="num" w:pos="2835"/>
        </w:tabs>
        <w:ind w:left="2835" w:hanging="567"/>
      </w:pPr>
      <w:rPr>
        <w:rFonts w:ascii="Symbol" w:hAnsi="Symbol" w:hint="default"/>
        <w:color w:val="005984"/>
        <w:sz w:val="20"/>
      </w:rPr>
    </w:lvl>
    <w:lvl w:ilvl="5" w:tplc="FFFFFFFF">
      <w:start w:val="1"/>
      <w:numFmt w:val="decimal"/>
      <w:lvlText w:val=""/>
      <w:lvlJc w:val="left"/>
      <w:pPr>
        <w:tabs>
          <w:tab w:val="num" w:pos="2160"/>
        </w:tabs>
        <w:ind w:left="2160" w:hanging="360"/>
      </w:pPr>
    </w:lvl>
    <w:lvl w:ilvl="6" w:tplc="FFFFFFFF">
      <w:start w:val="1"/>
      <w:numFmt w:val="decimal"/>
      <w:lvlText w:val=""/>
      <w:lvlJc w:val="left"/>
      <w:pPr>
        <w:tabs>
          <w:tab w:val="num" w:pos="2520"/>
        </w:tabs>
        <w:ind w:left="2520" w:hanging="360"/>
      </w:pPr>
    </w:lvl>
    <w:lvl w:ilvl="7" w:tplc="FFFFFFFF">
      <w:start w:val="1"/>
      <w:numFmt w:val="decimal"/>
      <w:lvlText w:val=""/>
      <w:lvlJc w:val="left"/>
      <w:pPr>
        <w:tabs>
          <w:tab w:val="num" w:pos="2880"/>
        </w:tabs>
        <w:ind w:left="2880" w:hanging="360"/>
      </w:pPr>
    </w:lvl>
    <w:lvl w:ilvl="8" w:tplc="FFFFFFFF">
      <w:start w:val="1"/>
      <w:numFmt w:val="decimal"/>
      <w:lvlText w:val=""/>
      <w:lvlJc w:val="left"/>
      <w:pPr>
        <w:tabs>
          <w:tab w:val="num" w:pos="3240"/>
        </w:tabs>
        <w:ind w:left="3240" w:hanging="360"/>
      </w:pPr>
    </w:lvl>
  </w:abstractNum>
  <w:abstractNum w:abstractNumId="9"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307075F1"/>
    <w:multiLevelType w:val="hybridMultilevel"/>
    <w:tmpl w:val="D1C2A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6A67A7"/>
    <w:multiLevelType w:val="hybridMultilevel"/>
    <w:tmpl w:val="8E642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A42FE8"/>
    <w:multiLevelType w:val="hybridMultilevel"/>
    <w:tmpl w:val="18D028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8137249"/>
    <w:multiLevelType w:val="hybridMultilevel"/>
    <w:tmpl w:val="72C21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BC0364"/>
    <w:multiLevelType w:val="hybridMultilevel"/>
    <w:tmpl w:val="7D689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3802D4"/>
    <w:multiLevelType w:val="hybridMultilevel"/>
    <w:tmpl w:val="6F1AC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C368AD"/>
    <w:multiLevelType w:val="multilevel"/>
    <w:tmpl w:val="00CCE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F84E26"/>
    <w:multiLevelType w:val="hybridMultilevel"/>
    <w:tmpl w:val="A37EA9CE"/>
    <w:lvl w:ilvl="0" w:tplc="FFFFFFFF">
      <w:start w:val="1"/>
      <w:numFmt w:val="bullet"/>
      <w:lvlText w:val=""/>
      <w:lvlJc w:val="left"/>
      <w:pPr>
        <w:tabs>
          <w:tab w:val="num" w:pos="567"/>
        </w:tabs>
        <w:ind w:left="567" w:hanging="567"/>
      </w:pPr>
      <w:rPr>
        <w:rFonts w:ascii="Symbol" w:hAnsi="Symbol" w:hint="default"/>
        <w:b w:val="0"/>
        <w:i w:val="0"/>
        <w:color w:val="005984"/>
        <w:sz w:val="20"/>
      </w:rPr>
    </w:lvl>
    <w:lvl w:ilvl="1" w:tplc="0C090005">
      <w:start w:val="1"/>
      <w:numFmt w:val="bullet"/>
      <w:lvlText w:val=""/>
      <w:lvlJc w:val="left"/>
      <w:pPr>
        <w:ind w:left="927" w:hanging="360"/>
      </w:pPr>
      <w:rPr>
        <w:rFonts w:ascii="Wingdings" w:hAnsi="Wingdings" w:hint="default"/>
      </w:rPr>
    </w:lvl>
    <w:lvl w:ilvl="2" w:tplc="FFFFFFFF">
      <w:start w:val="1"/>
      <w:numFmt w:val="bullet"/>
      <w:lvlText w:val=""/>
      <w:lvlJc w:val="left"/>
      <w:pPr>
        <w:tabs>
          <w:tab w:val="num" w:pos="1701"/>
        </w:tabs>
        <w:ind w:left="1701" w:hanging="567"/>
      </w:pPr>
      <w:rPr>
        <w:rFonts w:ascii="Symbol" w:hAnsi="Symbol" w:hint="default"/>
        <w:color w:val="005984"/>
        <w:sz w:val="20"/>
      </w:rPr>
    </w:lvl>
    <w:lvl w:ilvl="3" w:tplc="FFFFFFFF">
      <w:start w:val="1"/>
      <w:numFmt w:val="bullet"/>
      <w:lvlText w:val=""/>
      <w:lvlJc w:val="left"/>
      <w:pPr>
        <w:tabs>
          <w:tab w:val="num" w:pos="2268"/>
        </w:tabs>
        <w:ind w:left="2268" w:hanging="567"/>
      </w:pPr>
      <w:rPr>
        <w:rFonts w:ascii="Symbol" w:hAnsi="Symbol" w:hint="default"/>
        <w:color w:val="005984"/>
        <w:sz w:val="20"/>
      </w:rPr>
    </w:lvl>
    <w:lvl w:ilvl="4" w:tplc="FFFFFFFF">
      <w:start w:val="1"/>
      <w:numFmt w:val="bullet"/>
      <w:lvlText w:val=""/>
      <w:lvlJc w:val="left"/>
      <w:pPr>
        <w:tabs>
          <w:tab w:val="num" w:pos="2835"/>
        </w:tabs>
        <w:ind w:left="2835" w:hanging="567"/>
      </w:pPr>
      <w:rPr>
        <w:rFonts w:ascii="Symbol" w:hAnsi="Symbol" w:hint="default"/>
        <w:color w:val="005984"/>
        <w:sz w:val="20"/>
      </w:rPr>
    </w:lvl>
    <w:lvl w:ilvl="5" w:tplc="FFFFFFFF">
      <w:start w:val="1"/>
      <w:numFmt w:val="decimal"/>
      <w:lvlText w:val=""/>
      <w:lvlJc w:val="left"/>
      <w:pPr>
        <w:tabs>
          <w:tab w:val="num" w:pos="2160"/>
        </w:tabs>
        <w:ind w:left="2160" w:hanging="360"/>
      </w:pPr>
    </w:lvl>
    <w:lvl w:ilvl="6" w:tplc="FFFFFFFF">
      <w:start w:val="1"/>
      <w:numFmt w:val="decimal"/>
      <w:lvlText w:val=""/>
      <w:lvlJc w:val="left"/>
      <w:pPr>
        <w:tabs>
          <w:tab w:val="num" w:pos="2520"/>
        </w:tabs>
        <w:ind w:left="2520" w:hanging="360"/>
      </w:pPr>
    </w:lvl>
    <w:lvl w:ilvl="7" w:tplc="FFFFFFFF">
      <w:start w:val="1"/>
      <w:numFmt w:val="decimal"/>
      <w:lvlText w:val=""/>
      <w:lvlJc w:val="left"/>
      <w:pPr>
        <w:tabs>
          <w:tab w:val="num" w:pos="2880"/>
        </w:tabs>
        <w:ind w:left="2880" w:hanging="360"/>
      </w:pPr>
    </w:lvl>
    <w:lvl w:ilvl="8" w:tplc="FFFFFFFF">
      <w:start w:val="1"/>
      <w:numFmt w:val="decimal"/>
      <w:lvlText w:val=""/>
      <w:lvlJc w:val="left"/>
      <w:pPr>
        <w:tabs>
          <w:tab w:val="num" w:pos="3240"/>
        </w:tabs>
        <w:ind w:left="3240" w:hanging="360"/>
      </w:pPr>
    </w:lvl>
  </w:abstractNum>
  <w:abstractNum w:abstractNumId="18" w15:restartNumberingAfterBreak="0">
    <w:nsid w:val="43FA06DC"/>
    <w:multiLevelType w:val="multilevel"/>
    <w:tmpl w:val="AFBE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546E6F"/>
    <w:multiLevelType w:val="hybridMultilevel"/>
    <w:tmpl w:val="BD26F9C2"/>
    <w:lvl w:ilvl="0" w:tplc="1B584224">
      <w:start w:val="1"/>
      <w:numFmt w:val="bullet"/>
      <w:lvlText w:val=""/>
      <w:lvlJc w:val="left"/>
      <w:pPr>
        <w:ind w:left="1440" w:hanging="360"/>
      </w:pPr>
      <w:rPr>
        <w:rFonts w:ascii="Symbol" w:hAnsi="Symbol"/>
      </w:rPr>
    </w:lvl>
    <w:lvl w:ilvl="1" w:tplc="D264FAAC">
      <w:start w:val="1"/>
      <w:numFmt w:val="bullet"/>
      <w:lvlText w:val=""/>
      <w:lvlJc w:val="left"/>
      <w:pPr>
        <w:ind w:left="1440" w:hanging="360"/>
      </w:pPr>
      <w:rPr>
        <w:rFonts w:ascii="Symbol" w:hAnsi="Symbol"/>
      </w:rPr>
    </w:lvl>
    <w:lvl w:ilvl="2" w:tplc="2C88D7DE">
      <w:start w:val="1"/>
      <w:numFmt w:val="bullet"/>
      <w:lvlText w:val=""/>
      <w:lvlJc w:val="left"/>
      <w:pPr>
        <w:ind w:left="1440" w:hanging="360"/>
      </w:pPr>
      <w:rPr>
        <w:rFonts w:ascii="Symbol" w:hAnsi="Symbol"/>
      </w:rPr>
    </w:lvl>
    <w:lvl w:ilvl="3" w:tplc="FDCC15F4">
      <w:start w:val="1"/>
      <w:numFmt w:val="bullet"/>
      <w:lvlText w:val=""/>
      <w:lvlJc w:val="left"/>
      <w:pPr>
        <w:ind w:left="1440" w:hanging="360"/>
      </w:pPr>
      <w:rPr>
        <w:rFonts w:ascii="Symbol" w:hAnsi="Symbol"/>
      </w:rPr>
    </w:lvl>
    <w:lvl w:ilvl="4" w:tplc="9AE0F342">
      <w:start w:val="1"/>
      <w:numFmt w:val="bullet"/>
      <w:lvlText w:val=""/>
      <w:lvlJc w:val="left"/>
      <w:pPr>
        <w:ind w:left="1440" w:hanging="360"/>
      </w:pPr>
      <w:rPr>
        <w:rFonts w:ascii="Symbol" w:hAnsi="Symbol"/>
      </w:rPr>
    </w:lvl>
    <w:lvl w:ilvl="5" w:tplc="BB1CB740">
      <w:start w:val="1"/>
      <w:numFmt w:val="bullet"/>
      <w:lvlText w:val=""/>
      <w:lvlJc w:val="left"/>
      <w:pPr>
        <w:ind w:left="1440" w:hanging="360"/>
      </w:pPr>
      <w:rPr>
        <w:rFonts w:ascii="Symbol" w:hAnsi="Symbol"/>
      </w:rPr>
    </w:lvl>
    <w:lvl w:ilvl="6" w:tplc="AEB028BA">
      <w:start w:val="1"/>
      <w:numFmt w:val="bullet"/>
      <w:lvlText w:val=""/>
      <w:lvlJc w:val="left"/>
      <w:pPr>
        <w:ind w:left="1440" w:hanging="360"/>
      </w:pPr>
      <w:rPr>
        <w:rFonts w:ascii="Symbol" w:hAnsi="Symbol"/>
      </w:rPr>
    </w:lvl>
    <w:lvl w:ilvl="7" w:tplc="F14C7534">
      <w:start w:val="1"/>
      <w:numFmt w:val="bullet"/>
      <w:lvlText w:val=""/>
      <w:lvlJc w:val="left"/>
      <w:pPr>
        <w:ind w:left="1440" w:hanging="360"/>
      </w:pPr>
      <w:rPr>
        <w:rFonts w:ascii="Symbol" w:hAnsi="Symbol"/>
      </w:rPr>
    </w:lvl>
    <w:lvl w:ilvl="8" w:tplc="C86EB664">
      <w:start w:val="1"/>
      <w:numFmt w:val="bullet"/>
      <w:lvlText w:val=""/>
      <w:lvlJc w:val="left"/>
      <w:pPr>
        <w:ind w:left="1440" w:hanging="360"/>
      </w:pPr>
      <w:rPr>
        <w:rFonts w:ascii="Symbol" w:hAnsi="Symbol"/>
      </w:rPr>
    </w:lvl>
  </w:abstractNum>
  <w:abstractNum w:abstractNumId="20" w15:restartNumberingAfterBreak="0">
    <w:nsid w:val="4B705004"/>
    <w:multiLevelType w:val="hybridMultilevel"/>
    <w:tmpl w:val="E2AC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786EA8"/>
    <w:multiLevelType w:val="hybridMultilevel"/>
    <w:tmpl w:val="71705C22"/>
    <w:lvl w:ilvl="0" w:tplc="FD78AB92">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B796D78"/>
    <w:multiLevelType w:val="multilevel"/>
    <w:tmpl w:val="26F4C10A"/>
    <w:lvl w:ilvl="0">
      <w:start w:val="1"/>
      <w:numFmt w:val="lowerRoman"/>
      <w:pStyle w:val="ListRoman"/>
      <w:lvlText w:val="%1."/>
      <w:lvlJc w:val="left"/>
      <w:pPr>
        <w:tabs>
          <w:tab w:val="num" w:pos="567"/>
        </w:tabs>
        <w:ind w:left="567" w:hanging="567"/>
      </w:pPr>
      <w:rPr>
        <w:rFonts w:hint="default"/>
        <w:b w:val="0"/>
        <w:i w:val="0"/>
        <w:color w:val="auto"/>
      </w:rPr>
    </w:lvl>
    <w:lvl w:ilvl="1">
      <w:start w:val="1"/>
      <w:numFmt w:val="lowerRoman"/>
      <w:pStyle w:val="ListRoman2"/>
      <w:lvlText w:val="%2."/>
      <w:lvlJc w:val="left"/>
      <w:pPr>
        <w:tabs>
          <w:tab w:val="num" w:pos="1134"/>
        </w:tabs>
        <w:ind w:left="1134" w:hanging="567"/>
      </w:pPr>
      <w:rPr>
        <w:rFonts w:hint="default"/>
        <w:b w:val="0"/>
        <w:i w:val="0"/>
        <w:color w:val="auto"/>
      </w:rPr>
    </w:lvl>
    <w:lvl w:ilvl="2">
      <w:start w:val="1"/>
      <w:numFmt w:val="lowerRoman"/>
      <w:pStyle w:val="ListRoman3"/>
      <w:lvlText w:val="%3."/>
      <w:lvlJc w:val="left"/>
      <w:pPr>
        <w:tabs>
          <w:tab w:val="num" w:pos="1701"/>
        </w:tabs>
        <w:ind w:left="1701" w:hanging="567"/>
      </w:pPr>
      <w:rPr>
        <w:rFonts w:hint="default"/>
        <w:b w:val="0"/>
        <w:i w:val="0"/>
        <w:color w:val="auto"/>
      </w:rPr>
    </w:lvl>
    <w:lvl w:ilvl="3">
      <w:start w:val="1"/>
      <w:numFmt w:val="lowerRoman"/>
      <w:pStyle w:val="ListRoman4"/>
      <w:lvlText w:val="%4."/>
      <w:lvlJc w:val="left"/>
      <w:pPr>
        <w:tabs>
          <w:tab w:val="num" w:pos="2268"/>
        </w:tabs>
        <w:ind w:left="2268" w:hanging="567"/>
      </w:pPr>
      <w:rPr>
        <w:rFonts w:hint="default"/>
        <w:b w:val="0"/>
        <w:i w:val="0"/>
        <w:color w:val="auto"/>
      </w:rPr>
    </w:lvl>
    <w:lvl w:ilvl="4">
      <w:start w:val="1"/>
      <w:numFmt w:val="lowerRoman"/>
      <w:pStyle w:val="ListRoman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3" w15:restartNumberingAfterBreak="0">
    <w:nsid w:val="5E9F3460"/>
    <w:multiLevelType w:val="multilevel"/>
    <w:tmpl w:val="E6F6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CA091B"/>
    <w:multiLevelType w:val="multilevel"/>
    <w:tmpl w:val="0732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8E4070"/>
    <w:multiLevelType w:val="multilevel"/>
    <w:tmpl w:val="0C090023"/>
    <w:styleLink w:val="ArticleSection"/>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6" w15:restartNumberingAfterBreak="0">
    <w:nsid w:val="79A33C56"/>
    <w:multiLevelType w:val="hybridMultilevel"/>
    <w:tmpl w:val="44B670EE"/>
    <w:lvl w:ilvl="0" w:tplc="131EE65E">
      <w:numFmt w:val="bullet"/>
      <w:lvlText w:val=""/>
      <w:lvlJc w:val="left"/>
      <w:pPr>
        <w:ind w:left="552" w:hanging="552"/>
      </w:pPr>
      <w:rPr>
        <w:rFonts w:ascii="Symbol" w:eastAsia="Symbol" w:hAnsi="Symbol" w:cs="Symbol" w:hint="default"/>
        <w:color w:val="005984"/>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A183967"/>
    <w:multiLevelType w:val="hybridMultilevel"/>
    <w:tmpl w:val="B83EC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1F67ED"/>
    <w:multiLevelType w:val="hybridMultilevel"/>
    <w:tmpl w:val="68F869C4"/>
    <w:lvl w:ilvl="0" w:tplc="F7B6B040">
      <w:start w:val="1"/>
      <w:numFmt w:val="bullet"/>
      <w:lvlText w:val=""/>
      <w:lvlJc w:val="left"/>
      <w:pPr>
        <w:ind w:left="1440" w:hanging="360"/>
      </w:pPr>
      <w:rPr>
        <w:rFonts w:ascii="Symbol" w:hAnsi="Symbol"/>
      </w:rPr>
    </w:lvl>
    <w:lvl w:ilvl="1" w:tplc="22626D66">
      <w:start w:val="1"/>
      <w:numFmt w:val="bullet"/>
      <w:lvlText w:val=""/>
      <w:lvlJc w:val="left"/>
      <w:pPr>
        <w:ind w:left="1440" w:hanging="360"/>
      </w:pPr>
      <w:rPr>
        <w:rFonts w:ascii="Symbol" w:hAnsi="Symbol"/>
      </w:rPr>
    </w:lvl>
    <w:lvl w:ilvl="2" w:tplc="3F8C3AB6">
      <w:start w:val="1"/>
      <w:numFmt w:val="bullet"/>
      <w:lvlText w:val=""/>
      <w:lvlJc w:val="left"/>
      <w:pPr>
        <w:ind w:left="1440" w:hanging="360"/>
      </w:pPr>
      <w:rPr>
        <w:rFonts w:ascii="Symbol" w:hAnsi="Symbol"/>
      </w:rPr>
    </w:lvl>
    <w:lvl w:ilvl="3" w:tplc="B650CFAC">
      <w:start w:val="1"/>
      <w:numFmt w:val="bullet"/>
      <w:lvlText w:val=""/>
      <w:lvlJc w:val="left"/>
      <w:pPr>
        <w:ind w:left="1440" w:hanging="360"/>
      </w:pPr>
      <w:rPr>
        <w:rFonts w:ascii="Symbol" w:hAnsi="Symbol"/>
      </w:rPr>
    </w:lvl>
    <w:lvl w:ilvl="4" w:tplc="7928531C">
      <w:start w:val="1"/>
      <w:numFmt w:val="bullet"/>
      <w:lvlText w:val=""/>
      <w:lvlJc w:val="left"/>
      <w:pPr>
        <w:ind w:left="1440" w:hanging="360"/>
      </w:pPr>
      <w:rPr>
        <w:rFonts w:ascii="Symbol" w:hAnsi="Symbol"/>
      </w:rPr>
    </w:lvl>
    <w:lvl w:ilvl="5" w:tplc="C76AD036">
      <w:start w:val="1"/>
      <w:numFmt w:val="bullet"/>
      <w:lvlText w:val=""/>
      <w:lvlJc w:val="left"/>
      <w:pPr>
        <w:ind w:left="1440" w:hanging="360"/>
      </w:pPr>
      <w:rPr>
        <w:rFonts w:ascii="Symbol" w:hAnsi="Symbol"/>
      </w:rPr>
    </w:lvl>
    <w:lvl w:ilvl="6" w:tplc="5DA28348">
      <w:start w:val="1"/>
      <w:numFmt w:val="bullet"/>
      <w:lvlText w:val=""/>
      <w:lvlJc w:val="left"/>
      <w:pPr>
        <w:ind w:left="1440" w:hanging="360"/>
      </w:pPr>
      <w:rPr>
        <w:rFonts w:ascii="Symbol" w:hAnsi="Symbol"/>
      </w:rPr>
    </w:lvl>
    <w:lvl w:ilvl="7" w:tplc="D1B471A2">
      <w:start w:val="1"/>
      <w:numFmt w:val="bullet"/>
      <w:lvlText w:val=""/>
      <w:lvlJc w:val="left"/>
      <w:pPr>
        <w:ind w:left="1440" w:hanging="360"/>
      </w:pPr>
      <w:rPr>
        <w:rFonts w:ascii="Symbol" w:hAnsi="Symbol"/>
      </w:rPr>
    </w:lvl>
    <w:lvl w:ilvl="8" w:tplc="B2587DF2">
      <w:start w:val="1"/>
      <w:numFmt w:val="bullet"/>
      <w:lvlText w:val=""/>
      <w:lvlJc w:val="left"/>
      <w:pPr>
        <w:ind w:left="1440" w:hanging="360"/>
      </w:pPr>
      <w:rPr>
        <w:rFonts w:ascii="Symbol" w:hAnsi="Symbol"/>
      </w:rPr>
    </w:lvl>
  </w:abstractNum>
  <w:num w:numId="1" w16cid:durableId="825779347">
    <w:abstractNumId w:val="13"/>
  </w:num>
  <w:num w:numId="2" w16cid:durableId="372579172">
    <w:abstractNumId w:val="21"/>
  </w:num>
  <w:num w:numId="3" w16cid:durableId="800654704">
    <w:abstractNumId w:val="2"/>
  </w:num>
  <w:num w:numId="4" w16cid:durableId="832182467">
    <w:abstractNumId w:val="20"/>
  </w:num>
  <w:num w:numId="5" w16cid:durableId="691339801">
    <w:abstractNumId w:val="10"/>
  </w:num>
  <w:num w:numId="6" w16cid:durableId="365910268">
    <w:abstractNumId w:val="4"/>
  </w:num>
  <w:num w:numId="7" w16cid:durableId="1292900735">
    <w:abstractNumId w:val="24"/>
  </w:num>
  <w:num w:numId="8" w16cid:durableId="1494759826">
    <w:abstractNumId w:val="18"/>
  </w:num>
  <w:num w:numId="9" w16cid:durableId="1150289155">
    <w:abstractNumId w:val="7"/>
  </w:num>
  <w:num w:numId="10" w16cid:durableId="2006279482">
    <w:abstractNumId w:val="23"/>
  </w:num>
  <w:num w:numId="11" w16cid:durableId="150633647">
    <w:abstractNumId w:val="8"/>
  </w:num>
  <w:num w:numId="12" w16cid:durableId="1221480471">
    <w:abstractNumId w:val="17"/>
  </w:num>
  <w:num w:numId="13" w16cid:durableId="1035351566">
    <w:abstractNumId w:val="25"/>
    <w:lvlOverride w:ilvl="0">
      <w:lvl w:ilvl="0">
        <w:start w:val="1"/>
        <w:numFmt w:val="upperRoman"/>
        <w:pStyle w:val="Heading1"/>
        <w:lvlText w:val="Article %1."/>
        <w:lvlJc w:val="left"/>
        <w:pPr>
          <w:ind w:left="0" w:firstLine="0"/>
        </w:pPr>
      </w:lvl>
    </w:lvlOverride>
  </w:num>
  <w:num w:numId="14" w16cid:durableId="1922904273">
    <w:abstractNumId w:val="6"/>
  </w:num>
  <w:num w:numId="15" w16cid:durableId="135337118">
    <w:abstractNumId w:val="0"/>
  </w:num>
  <w:num w:numId="16" w16cid:durableId="476537458">
    <w:abstractNumId w:val="27"/>
  </w:num>
  <w:num w:numId="17" w16cid:durableId="778454569">
    <w:abstractNumId w:val="22"/>
  </w:num>
  <w:num w:numId="18" w16cid:durableId="1752266435">
    <w:abstractNumId w:val="14"/>
  </w:num>
  <w:num w:numId="19" w16cid:durableId="305164296">
    <w:abstractNumId w:val="9"/>
  </w:num>
  <w:num w:numId="20" w16cid:durableId="323557028">
    <w:abstractNumId w:val="26"/>
  </w:num>
  <w:num w:numId="21" w16cid:durableId="1230193719">
    <w:abstractNumId w:val="1"/>
  </w:num>
  <w:num w:numId="22" w16cid:durableId="933705545">
    <w:abstractNumId w:val="3"/>
  </w:num>
  <w:num w:numId="23" w16cid:durableId="768742365">
    <w:abstractNumId w:val="15"/>
  </w:num>
  <w:num w:numId="24" w16cid:durableId="1246188887">
    <w:abstractNumId w:val="25"/>
  </w:num>
  <w:num w:numId="25" w16cid:durableId="75638391">
    <w:abstractNumId w:val="28"/>
  </w:num>
  <w:num w:numId="26" w16cid:durableId="1776438521">
    <w:abstractNumId w:val="19"/>
  </w:num>
  <w:num w:numId="27" w16cid:durableId="1080063082">
    <w:abstractNumId w:val="11"/>
  </w:num>
  <w:num w:numId="28" w16cid:durableId="1622302927">
    <w:abstractNumId w:val="12"/>
  </w:num>
  <w:num w:numId="29" w16cid:durableId="145362873">
    <w:abstractNumId w:val="5"/>
  </w:num>
  <w:num w:numId="30" w16cid:durableId="16813953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1B"/>
    <w:rsid w:val="0000133D"/>
    <w:rsid w:val="00003258"/>
    <w:rsid w:val="000215D0"/>
    <w:rsid w:val="00037C3B"/>
    <w:rsid w:val="000431AA"/>
    <w:rsid w:val="000512D9"/>
    <w:rsid w:val="00076C29"/>
    <w:rsid w:val="000C0043"/>
    <w:rsid w:val="000C3677"/>
    <w:rsid w:val="000E31AA"/>
    <w:rsid w:val="000F24A7"/>
    <w:rsid w:val="000F5B94"/>
    <w:rsid w:val="00124062"/>
    <w:rsid w:val="001329F9"/>
    <w:rsid w:val="00135CA5"/>
    <w:rsid w:val="001448A6"/>
    <w:rsid w:val="00146ABC"/>
    <w:rsid w:val="00151C23"/>
    <w:rsid w:val="00152541"/>
    <w:rsid w:val="001639C7"/>
    <w:rsid w:val="00164469"/>
    <w:rsid w:val="001856C4"/>
    <w:rsid w:val="0019100E"/>
    <w:rsid w:val="00192623"/>
    <w:rsid w:val="001D4E58"/>
    <w:rsid w:val="001E2211"/>
    <w:rsid w:val="001F1A16"/>
    <w:rsid w:val="00200525"/>
    <w:rsid w:val="00207CC8"/>
    <w:rsid w:val="00232131"/>
    <w:rsid w:val="00233283"/>
    <w:rsid w:val="0023760C"/>
    <w:rsid w:val="0024366E"/>
    <w:rsid w:val="00245B92"/>
    <w:rsid w:val="00257D1B"/>
    <w:rsid w:val="00262BFB"/>
    <w:rsid w:val="00263149"/>
    <w:rsid w:val="00282A09"/>
    <w:rsid w:val="00284F59"/>
    <w:rsid w:val="00286EBC"/>
    <w:rsid w:val="002C4DB6"/>
    <w:rsid w:val="002C6A0D"/>
    <w:rsid w:val="002D5027"/>
    <w:rsid w:val="002D7218"/>
    <w:rsid w:val="002E20C9"/>
    <w:rsid w:val="002E3D93"/>
    <w:rsid w:val="002E62D0"/>
    <w:rsid w:val="0033558A"/>
    <w:rsid w:val="003430FE"/>
    <w:rsid w:val="00345E70"/>
    <w:rsid w:val="00360B58"/>
    <w:rsid w:val="0038563B"/>
    <w:rsid w:val="003A31AA"/>
    <w:rsid w:val="003D30C9"/>
    <w:rsid w:val="003F367C"/>
    <w:rsid w:val="003F46CF"/>
    <w:rsid w:val="004138B8"/>
    <w:rsid w:val="00417D69"/>
    <w:rsid w:val="00462055"/>
    <w:rsid w:val="00470AC5"/>
    <w:rsid w:val="00493316"/>
    <w:rsid w:val="0049477C"/>
    <w:rsid w:val="00494929"/>
    <w:rsid w:val="004D0B32"/>
    <w:rsid w:val="004F2A66"/>
    <w:rsid w:val="00511F1F"/>
    <w:rsid w:val="00515A16"/>
    <w:rsid w:val="00515CFF"/>
    <w:rsid w:val="00521AAC"/>
    <w:rsid w:val="00527E59"/>
    <w:rsid w:val="00540619"/>
    <w:rsid w:val="00563E01"/>
    <w:rsid w:val="00565FBB"/>
    <w:rsid w:val="00575FFE"/>
    <w:rsid w:val="0058000F"/>
    <w:rsid w:val="005A6749"/>
    <w:rsid w:val="005B1401"/>
    <w:rsid w:val="005B5179"/>
    <w:rsid w:val="005C54CC"/>
    <w:rsid w:val="00621CF1"/>
    <w:rsid w:val="00621E13"/>
    <w:rsid w:val="00623630"/>
    <w:rsid w:val="00650074"/>
    <w:rsid w:val="00656B36"/>
    <w:rsid w:val="00663933"/>
    <w:rsid w:val="006960F2"/>
    <w:rsid w:val="00697868"/>
    <w:rsid w:val="006C1A08"/>
    <w:rsid w:val="006D0B6C"/>
    <w:rsid w:val="006F1B39"/>
    <w:rsid w:val="006F34FD"/>
    <w:rsid w:val="0070172E"/>
    <w:rsid w:val="00705708"/>
    <w:rsid w:val="00711056"/>
    <w:rsid w:val="007209C3"/>
    <w:rsid w:val="00741A8D"/>
    <w:rsid w:val="00752B85"/>
    <w:rsid w:val="007558D3"/>
    <w:rsid w:val="00760F45"/>
    <w:rsid w:val="00771095"/>
    <w:rsid w:val="007770FB"/>
    <w:rsid w:val="00781E82"/>
    <w:rsid w:val="00786FA5"/>
    <w:rsid w:val="00793319"/>
    <w:rsid w:val="007A1ECE"/>
    <w:rsid w:val="007A5A90"/>
    <w:rsid w:val="007B1BB0"/>
    <w:rsid w:val="007E4FAD"/>
    <w:rsid w:val="007E5A81"/>
    <w:rsid w:val="007F3B6D"/>
    <w:rsid w:val="008226EF"/>
    <w:rsid w:val="00827EA9"/>
    <w:rsid w:val="008336F4"/>
    <w:rsid w:val="00847BD7"/>
    <w:rsid w:val="008679AC"/>
    <w:rsid w:val="00867F17"/>
    <w:rsid w:val="00894A03"/>
    <w:rsid w:val="008A0F6C"/>
    <w:rsid w:val="008A3557"/>
    <w:rsid w:val="008A54E4"/>
    <w:rsid w:val="008B1F6E"/>
    <w:rsid w:val="008B39D2"/>
    <w:rsid w:val="008C72C6"/>
    <w:rsid w:val="008D124B"/>
    <w:rsid w:val="008E3C4A"/>
    <w:rsid w:val="008F45EC"/>
    <w:rsid w:val="008F7966"/>
    <w:rsid w:val="0092080A"/>
    <w:rsid w:val="00925C8E"/>
    <w:rsid w:val="00940E08"/>
    <w:rsid w:val="00955FF9"/>
    <w:rsid w:val="009860C4"/>
    <w:rsid w:val="0098666A"/>
    <w:rsid w:val="009C0649"/>
    <w:rsid w:val="009C10E2"/>
    <w:rsid w:val="009F6BDA"/>
    <w:rsid w:val="00A0264D"/>
    <w:rsid w:val="00A17E77"/>
    <w:rsid w:val="00A30C2E"/>
    <w:rsid w:val="00A3699A"/>
    <w:rsid w:val="00A4239E"/>
    <w:rsid w:val="00A479A6"/>
    <w:rsid w:val="00A73B10"/>
    <w:rsid w:val="00AB2C3B"/>
    <w:rsid w:val="00AB453C"/>
    <w:rsid w:val="00AC49D2"/>
    <w:rsid w:val="00AC6D7B"/>
    <w:rsid w:val="00AC77CA"/>
    <w:rsid w:val="00AE1144"/>
    <w:rsid w:val="00B030CE"/>
    <w:rsid w:val="00B345EF"/>
    <w:rsid w:val="00B41969"/>
    <w:rsid w:val="00B547EE"/>
    <w:rsid w:val="00B775E8"/>
    <w:rsid w:val="00B872A2"/>
    <w:rsid w:val="00BA1053"/>
    <w:rsid w:val="00BA5906"/>
    <w:rsid w:val="00BB6474"/>
    <w:rsid w:val="00BC3CE0"/>
    <w:rsid w:val="00BD7A73"/>
    <w:rsid w:val="00BF03D1"/>
    <w:rsid w:val="00C06327"/>
    <w:rsid w:val="00C07ED4"/>
    <w:rsid w:val="00C40BEB"/>
    <w:rsid w:val="00C45024"/>
    <w:rsid w:val="00C65C1D"/>
    <w:rsid w:val="00C7124C"/>
    <w:rsid w:val="00CA6250"/>
    <w:rsid w:val="00CB1573"/>
    <w:rsid w:val="00CB5D94"/>
    <w:rsid w:val="00CD7564"/>
    <w:rsid w:val="00CE4286"/>
    <w:rsid w:val="00D01420"/>
    <w:rsid w:val="00D15B47"/>
    <w:rsid w:val="00D4041A"/>
    <w:rsid w:val="00D44983"/>
    <w:rsid w:val="00D545D8"/>
    <w:rsid w:val="00D61465"/>
    <w:rsid w:val="00D8053E"/>
    <w:rsid w:val="00DA5CFF"/>
    <w:rsid w:val="00DB59A7"/>
    <w:rsid w:val="00DD3886"/>
    <w:rsid w:val="00DF284E"/>
    <w:rsid w:val="00DF2E24"/>
    <w:rsid w:val="00DF4358"/>
    <w:rsid w:val="00DF54E8"/>
    <w:rsid w:val="00E140F4"/>
    <w:rsid w:val="00E43455"/>
    <w:rsid w:val="00E43514"/>
    <w:rsid w:val="00E44A15"/>
    <w:rsid w:val="00E61412"/>
    <w:rsid w:val="00E61CDA"/>
    <w:rsid w:val="00E851DB"/>
    <w:rsid w:val="00E95BF9"/>
    <w:rsid w:val="00EB1011"/>
    <w:rsid w:val="00EB53A2"/>
    <w:rsid w:val="00EC6240"/>
    <w:rsid w:val="00EC7977"/>
    <w:rsid w:val="00EE7C2F"/>
    <w:rsid w:val="00F15832"/>
    <w:rsid w:val="00F51A8F"/>
    <w:rsid w:val="00F55246"/>
    <w:rsid w:val="00F72044"/>
    <w:rsid w:val="00F7487C"/>
    <w:rsid w:val="00F82439"/>
    <w:rsid w:val="00FA5024"/>
    <w:rsid w:val="00FD1FE2"/>
    <w:rsid w:val="00FD3B9D"/>
    <w:rsid w:val="00FE72AD"/>
    <w:rsid w:val="00FF65C0"/>
    <w:rsid w:val="3BB1571A"/>
    <w:rsid w:val="5D7B752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2BF8"/>
  <w15:chartTrackingRefBased/>
  <w15:docId w15:val="{F40E9E3B-6A88-F24F-BFB0-9EA58FDB1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CA5"/>
    <w:pPr>
      <w:numPr>
        <w:numId w:val="13"/>
      </w:numPr>
      <w:spacing w:after="360"/>
      <w:outlineLvl w:val="0"/>
    </w:pPr>
    <w:rPr>
      <w:b/>
      <w:bCs/>
      <w:color w:val="FFF7E1"/>
      <w:sz w:val="70"/>
      <w:szCs w:val="70"/>
    </w:rPr>
  </w:style>
  <w:style w:type="paragraph" w:styleId="Heading2">
    <w:name w:val="heading 2"/>
    <w:basedOn w:val="DocumentSubtitle"/>
    <w:next w:val="Normal"/>
    <w:link w:val="Heading2Char"/>
    <w:uiPriority w:val="9"/>
    <w:unhideWhenUsed/>
    <w:qFormat/>
    <w:rsid w:val="00F7487C"/>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8F7966"/>
    <w:pPr>
      <w:keepNext/>
      <w:keepLines/>
      <w:numPr>
        <w:ilvl w:val="2"/>
        <w:numId w:val="13"/>
      </w:numPr>
      <w:spacing w:before="480" w:after="240"/>
      <w:outlineLvl w:val="2"/>
    </w:pPr>
    <w:rPr>
      <w:rFonts w:eastAsiaTheme="majorEastAsia" w:cs="Arial"/>
      <w:color w:val="000000" w:themeColor="text1"/>
      <w:sz w:val="30"/>
      <w:szCs w:val="30"/>
    </w:rPr>
  </w:style>
  <w:style w:type="paragraph" w:styleId="Heading4">
    <w:name w:val="heading 4"/>
    <w:basedOn w:val="Heading3"/>
    <w:next w:val="Normal"/>
    <w:link w:val="Heading4Char"/>
    <w:uiPriority w:val="9"/>
    <w:unhideWhenUsed/>
    <w:qFormat/>
    <w:rsid w:val="008F7966"/>
    <w:pPr>
      <w:numPr>
        <w:ilvl w:val="3"/>
      </w:numPr>
      <w:spacing w:before="0" w:after="200"/>
      <w:outlineLvl w:val="3"/>
    </w:pPr>
  </w:style>
  <w:style w:type="paragraph" w:styleId="Heading5">
    <w:name w:val="heading 5"/>
    <w:basedOn w:val="Normal"/>
    <w:next w:val="Normal"/>
    <w:link w:val="Heading5Char"/>
    <w:uiPriority w:val="9"/>
    <w:semiHidden/>
    <w:unhideWhenUsed/>
    <w:qFormat/>
    <w:rsid w:val="00781E82"/>
    <w:pPr>
      <w:keepNext/>
      <w:keepLines/>
      <w:numPr>
        <w:ilvl w:val="4"/>
        <w:numId w:val="13"/>
      </w:numPr>
      <w:spacing w:before="40"/>
      <w:outlineLvl w:val="4"/>
    </w:pPr>
    <w:rPr>
      <w:rFonts w:asciiTheme="majorHAnsi" w:eastAsiaTheme="majorEastAsia" w:hAnsiTheme="majorHAnsi" w:cstheme="majorBidi"/>
      <w:color w:val="215087" w:themeColor="accent1" w:themeShade="BF"/>
    </w:rPr>
  </w:style>
  <w:style w:type="paragraph" w:styleId="Heading6">
    <w:name w:val="heading 6"/>
    <w:basedOn w:val="Normal"/>
    <w:next w:val="Normal"/>
    <w:link w:val="Heading6Char"/>
    <w:uiPriority w:val="9"/>
    <w:semiHidden/>
    <w:unhideWhenUsed/>
    <w:qFormat/>
    <w:rsid w:val="00781E82"/>
    <w:pPr>
      <w:keepNext/>
      <w:keepLines/>
      <w:numPr>
        <w:ilvl w:val="5"/>
        <w:numId w:val="13"/>
      </w:numPr>
      <w:tabs>
        <w:tab w:val="num" w:pos="360"/>
      </w:tabs>
      <w:spacing w:before="40"/>
      <w:ind w:left="0" w:firstLine="0"/>
      <w:outlineLvl w:val="5"/>
    </w:pPr>
    <w:rPr>
      <w:rFonts w:asciiTheme="majorHAnsi" w:eastAsiaTheme="majorEastAsia" w:hAnsiTheme="majorHAnsi" w:cstheme="majorBidi"/>
      <w:color w:val="16355A" w:themeColor="accent1" w:themeShade="7F"/>
    </w:rPr>
  </w:style>
  <w:style w:type="paragraph" w:styleId="Heading7">
    <w:name w:val="heading 7"/>
    <w:basedOn w:val="Normal"/>
    <w:next w:val="Normal"/>
    <w:link w:val="Heading7Char"/>
    <w:uiPriority w:val="9"/>
    <w:semiHidden/>
    <w:unhideWhenUsed/>
    <w:qFormat/>
    <w:rsid w:val="00781E82"/>
    <w:pPr>
      <w:keepNext/>
      <w:keepLines/>
      <w:numPr>
        <w:ilvl w:val="6"/>
        <w:numId w:val="13"/>
      </w:numPr>
      <w:tabs>
        <w:tab w:val="num" w:pos="360"/>
      </w:tabs>
      <w:spacing w:before="40"/>
      <w:ind w:left="0" w:firstLine="0"/>
      <w:outlineLvl w:val="6"/>
    </w:pPr>
    <w:rPr>
      <w:rFonts w:asciiTheme="majorHAnsi" w:eastAsiaTheme="majorEastAsia" w:hAnsiTheme="majorHAnsi" w:cstheme="majorBidi"/>
      <w:i/>
      <w:iCs/>
      <w:color w:val="16355A" w:themeColor="accent1" w:themeShade="7F"/>
    </w:rPr>
  </w:style>
  <w:style w:type="paragraph" w:styleId="Heading8">
    <w:name w:val="heading 8"/>
    <w:basedOn w:val="Normal"/>
    <w:next w:val="Normal"/>
    <w:link w:val="Heading8Char"/>
    <w:uiPriority w:val="9"/>
    <w:semiHidden/>
    <w:unhideWhenUsed/>
    <w:qFormat/>
    <w:rsid w:val="00781E82"/>
    <w:pPr>
      <w:keepNext/>
      <w:keepLines/>
      <w:numPr>
        <w:ilvl w:val="7"/>
        <w:numId w:val="13"/>
      </w:numPr>
      <w:tabs>
        <w:tab w:val="num" w:pos="360"/>
      </w:tabs>
      <w:spacing w:before="4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1E82"/>
    <w:pPr>
      <w:keepNext/>
      <w:keepLines/>
      <w:numPr>
        <w:ilvl w:val="8"/>
        <w:numId w:val="13"/>
      </w:numPr>
      <w:tabs>
        <w:tab w:val="num" w:pos="360"/>
      </w:tabs>
      <w:spacing w:before="4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135CA5"/>
    <w:rPr>
      <w:b/>
      <w:bCs/>
      <w:color w:val="FFF7E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F7487C"/>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29"/>
      <w:szCs w:val="29"/>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7966"/>
    <w:rPr>
      <w:rFonts w:eastAsiaTheme="majorEastAsia" w:cs="Arial"/>
      <w:color w:val="000000" w:themeColor="text1"/>
      <w:sz w:val="30"/>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3D30C9"/>
    <w:pPr>
      <w:spacing w:after="115"/>
    </w:p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table" w:customStyle="1" w:styleId="Table1">
    <w:name w:val="Table 1"/>
    <w:basedOn w:val="TableNormal"/>
    <w:uiPriority w:val="99"/>
    <w:rsid w:val="00462055"/>
    <w:pPr>
      <w:spacing w:before="120" w:after="120"/>
    </w:pPr>
    <w:rPr>
      <w:sz w:val="18"/>
    </w:rPr>
    <w:tblPr>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tcPr>
    </w:tblStylePr>
  </w:style>
  <w:style w:type="table" w:customStyle="1" w:styleId="Table2">
    <w:name w:val="Table 2"/>
    <w:basedOn w:val="TableNormal"/>
    <w:uiPriority w:val="99"/>
    <w:rsid w:val="00462055"/>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3">
    <w:name w:val="Table 3"/>
    <w:basedOn w:val="TableNormal"/>
    <w:uiPriority w:val="99"/>
    <w:rsid w:val="00462055"/>
    <w:pPr>
      <w:spacing w:before="120" w:after="120"/>
    </w:pPr>
    <w:rPr>
      <w:sz w:val="18"/>
    </w:rPr>
    <w:tblPr>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tblPr/>
      <w:tcPr>
        <w:shd w:val="clear" w:color="auto" w:fill="FFF7E1"/>
      </w:tcPr>
    </w:tblStylePr>
    <w:tblStylePr w:type="band2Vert">
      <w:rPr>
        <w:rFonts w:ascii="Arial" w:hAnsi="Arial"/>
      </w:rPr>
      <w:tblPr/>
      <w:tcPr>
        <w:shd w:val="clear" w:color="auto" w:fill="E3F3F3"/>
      </w:tcPr>
    </w:tblStylePr>
  </w:style>
  <w:style w:type="character" w:customStyle="1" w:styleId="normaltextrun">
    <w:name w:val="normaltextrun"/>
    <w:basedOn w:val="DefaultParagraphFont"/>
    <w:rsid w:val="00FE72AD"/>
  </w:style>
  <w:style w:type="paragraph" w:styleId="FootnoteText">
    <w:name w:val="footnote text"/>
    <w:basedOn w:val="BodyText"/>
    <w:link w:val="FootnoteTextChar"/>
    <w:rsid w:val="00FE72AD"/>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60" w:line="264" w:lineRule="auto"/>
      <w:ind w:left="284" w:hanging="284"/>
    </w:pPr>
    <w:rPr>
      <w:rFonts w:eastAsia="Times New Roman" w:cs="Times New Roman"/>
      <w:sz w:val="18"/>
      <w:szCs w:val="20"/>
      <w:lang w:eastAsia="en-GB"/>
    </w:rPr>
  </w:style>
  <w:style w:type="character" w:customStyle="1" w:styleId="FootnoteTextChar">
    <w:name w:val="Footnote Text Char"/>
    <w:basedOn w:val="DefaultParagraphFont"/>
    <w:link w:val="FootnoteText"/>
    <w:rsid w:val="00FE72AD"/>
    <w:rPr>
      <w:rFonts w:eastAsia="Times New Roman" w:cs="Times New Roman"/>
      <w:sz w:val="18"/>
      <w:szCs w:val="20"/>
      <w:lang w:eastAsia="en-GB"/>
    </w:rPr>
  </w:style>
  <w:style w:type="character" w:styleId="FootnoteReference">
    <w:name w:val="footnote reference"/>
    <w:rsid w:val="00FE72AD"/>
    <w:rPr>
      <w:sz w:val="24"/>
      <w:vertAlign w:val="superscript"/>
    </w:rPr>
  </w:style>
  <w:style w:type="character" w:styleId="Hyperlink">
    <w:name w:val="Hyperlink"/>
    <w:rsid w:val="00FE72AD"/>
    <w:rPr>
      <w:color w:val="0000FF"/>
      <w:u w:val="single"/>
    </w:rPr>
  </w:style>
  <w:style w:type="paragraph" w:styleId="ListBullet">
    <w:name w:val="List Bullet"/>
    <w:basedOn w:val="BodyText"/>
    <w:qFormat/>
    <w:rsid w:val="00511F1F"/>
    <w:pPr>
      <w:numPr>
        <w:numId w:val="3"/>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heme="majorEastAsia" w:cs="Times New Roman"/>
      <w:sz w:val="22"/>
      <w:szCs w:val="22"/>
      <w:lang w:eastAsia="en-GB"/>
    </w:rPr>
  </w:style>
  <w:style w:type="paragraph" w:styleId="ListBullet2">
    <w:name w:val="List Bullet 2"/>
    <w:basedOn w:val="ListBullet"/>
    <w:unhideWhenUsed/>
    <w:rsid w:val="00FE72AD"/>
    <w:pPr>
      <w:numPr>
        <w:ilvl w:val="1"/>
      </w:numPr>
      <w:tabs>
        <w:tab w:val="clear" w:pos="1134"/>
        <w:tab w:val="num" w:pos="360"/>
      </w:tabs>
    </w:pPr>
  </w:style>
  <w:style w:type="paragraph" w:styleId="ListBullet3">
    <w:name w:val="List Bullet 3"/>
    <w:basedOn w:val="ListBullet2"/>
    <w:rsid w:val="00FE72AD"/>
    <w:pPr>
      <w:numPr>
        <w:ilvl w:val="2"/>
      </w:numPr>
      <w:tabs>
        <w:tab w:val="clear" w:pos="1701"/>
        <w:tab w:val="num" w:pos="360"/>
      </w:tabs>
    </w:pPr>
  </w:style>
  <w:style w:type="paragraph" w:styleId="ListBullet4">
    <w:name w:val="List Bullet 4"/>
    <w:basedOn w:val="ListBullet3"/>
    <w:rsid w:val="00FE72AD"/>
    <w:pPr>
      <w:numPr>
        <w:ilvl w:val="3"/>
      </w:numPr>
      <w:tabs>
        <w:tab w:val="clear" w:pos="2268"/>
        <w:tab w:val="num" w:pos="360"/>
      </w:tabs>
    </w:pPr>
  </w:style>
  <w:style w:type="paragraph" w:styleId="ListBullet5">
    <w:name w:val="List Bullet 5"/>
    <w:basedOn w:val="ListBullet4"/>
    <w:rsid w:val="00FE72AD"/>
    <w:pPr>
      <w:numPr>
        <w:ilvl w:val="4"/>
      </w:numPr>
      <w:tabs>
        <w:tab w:val="clear" w:pos="2835"/>
        <w:tab w:val="num" w:pos="360"/>
      </w:tabs>
    </w:pPr>
  </w:style>
  <w:style w:type="paragraph" w:styleId="BodyText">
    <w:name w:val="Body Text"/>
    <w:basedOn w:val="Normal"/>
    <w:link w:val="BodyTextChar"/>
    <w:uiPriority w:val="99"/>
    <w:unhideWhenUsed/>
    <w:rsid w:val="00FE72AD"/>
    <w:pPr>
      <w:spacing w:after="120"/>
    </w:pPr>
  </w:style>
  <w:style w:type="character" w:customStyle="1" w:styleId="BodyTextChar">
    <w:name w:val="Body Text Char"/>
    <w:basedOn w:val="DefaultParagraphFont"/>
    <w:link w:val="BodyText"/>
    <w:rsid w:val="00FE72AD"/>
  </w:style>
  <w:style w:type="paragraph" w:styleId="ListParagraph">
    <w:name w:val="List Paragraph"/>
    <w:basedOn w:val="Normal"/>
    <w:uiPriority w:val="34"/>
    <w:qFormat/>
    <w:rsid w:val="007B1BB0"/>
    <w:pPr>
      <w:spacing w:after="160" w:line="259" w:lineRule="auto"/>
      <w:ind w:left="720"/>
      <w:contextualSpacing/>
    </w:pPr>
    <w:rPr>
      <w:rFonts w:asciiTheme="minorHAnsi" w:hAnsiTheme="minorHAnsi" w:cstheme="minorBidi"/>
      <w:sz w:val="22"/>
      <w:szCs w:val="22"/>
    </w:rPr>
  </w:style>
  <w:style w:type="paragraph" w:customStyle="1" w:styleId="paragraph0">
    <w:name w:val="paragraph"/>
    <w:basedOn w:val="Normal"/>
    <w:rsid w:val="00C06327"/>
    <w:pPr>
      <w:spacing w:before="100" w:beforeAutospacing="1" w:after="100" w:afterAutospacing="1"/>
    </w:pPr>
    <w:rPr>
      <w:rFonts w:ascii="Times New Roman" w:eastAsia="Times New Roman" w:hAnsi="Times New Roman" w:cs="Times New Roman"/>
      <w:lang w:eastAsia="en-AU"/>
    </w:rPr>
  </w:style>
  <w:style w:type="character" w:customStyle="1" w:styleId="eop">
    <w:name w:val="eop"/>
    <w:basedOn w:val="DefaultParagraphFont"/>
    <w:rsid w:val="00C06327"/>
  </w:style>
  <w:style w:type="paragraph" w:customStyle="1" w:styleId="List-Asks">
    <w:name w:val="List - Asks"/>
    <w:basedOn w:val="ListBullet"/>
    <w:qFormat/>
    <w:rsid w:val="00CD7564"/>
    <w:pPr>
      <w:numPr>
        <w:numId w:val="9"/>
      </w:numPr>
    </w:pPr>
    <w:rPr>
      <w:rFonts w:eastAsia="Times New Roman"/>
      <w:b/>
      <w:bCs/>
      <w:sz w:val="24"/>
    </w:rPr>
  </w:style>
  <w:style w:type="paragraph" w:styleId="BodyTextFirstIndent">
    <w:name w:val="Body Text First Indent"/>
    <w:basedOn w:val="BodyText"/>
    <w:link w:val="BodyTextFirstIndentChar"/>
    <w:uiPriority w:val="99"/>
    <w:semiHidden/>
    <w:unhideWhenUsed/>
    <w:rsid w:val="00781E82"/>
    <w:pPr>
      <w:spacing w:after="0"/>
      <w:ind w:firstLine="360"/>
    </w:pPr>
  </w:style>
  <w:style w:type="character" w:customStyle="1" w:styleId="BodyTextFirstIndentChar">
    <w:name w:val="Body Text First Indent Char"/>
    <w:basedOn w:val="BodyTextChar"/>
    <w:link w:val="BodyTextFirstIndent"/>
    <w:uiPriority w:val="99"/>
    <w:semiHidden/>
    <w:rsid w:val="00781E82"/>
  </w:style>
  <w:style w:type="character" w:customStyle="1" w:styleId="Heading5Char">
    <w:name w:val="Heading 5 Char"/>
    <w:basedOn w:val="DefaultParagraphFont"/>
    <w:link w:val="Heading5"/>
    <w:uiPriority w:val="9"/>
    <w:semiHidden/>
    <w:rsid w:val="00781E82"/>
    <w:rPr>
      <w:rFonts w:asciiTheme="majorHAnsi" w:eastAsiaTheme="majorEastAsia" w:hAnsiTheme="majorHAnsi" w:cstheme="majorBidi"/>
      <w:color w:val="215087" w:themeColor="accent1" w:themeShade="BF"/>
    </w:rPr>
  </w:style>
  <w:style w:type="character" w:customStyle="1" w:styleId="Heading6Char">
    <w:name w:val="Heading 6 Char"/>
    <w:basedOn w:val="DefaultParagraphFont"/>
    <w:link w:val="Heading6"/>
    <w:uiPriority w:val="9"/>
    <w:semiHidden/>
    <w:rsid w:val="00781E82"/>
    <w:rPr>
      <w:rFonts w:asciiTheme="majorHAnsi" w:eastAsiaTheme="majorEastAsia" w:hAnsiTheme="majorHAnsi" w:cstheme="majorBidi"/>
      <w:color w:val="16355A" w:themeColor="accent1" w:themeShade="7F"/>
    </w:rPr>
  </w:style>
  <w:style w:type="character" w:customStyle="1" w:styleId="Heading7Char">
    <w:name w:val="Heading 7 Char"/>
    <w:basedOn w:val="DefaultParagraphFont"/>
    <w:link w:val="Heading7"/>
    <w:uiPriority w:val="9"/>
    <w:semiHidden/>
    <w:rsid w:val="00781E82"/>
    <w:rPr>
      <w:rFonts w:asciiTheme="majorHAnsi" w:eastAsiaTheme="majorEastAsia" w:hAnsiTheme="majorHAnsi" w:cstheme="majorBidi"/>
      <w:i/>
      <w:iCs/>
      <w:color w:val="16355A" w:themeColor="accent1" w:themeShade="7F"/>
    </w:rPr>
  </w:style>
  <w:style w:type="character" w:customStyle="1" w:styleId="Heading8Char">
    <w:name w:val="Heading 8 Char"/>
    <w:basedOn w:val="DefaultParagraphFont"/>
    <w:link w:val="Heading8"/>
    <w:uiPriority w:val="9"/>
    <w:semiHidden/>
    <w:rsid w:val="00781E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1E8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semiHidden/>
    <w:unhideWhenUsed/>
    <w:rsid w:val="00781E82"/>
    <w:pPr>
      <w:numPr>
        <w:numId w:val="24"/>
      </w:numPr>
    </w:pPr>
  </w:style>
  <w:style w:type="character" w:styleId="UnresolvedMention">
    <w:name w:val="Unresolved Mention"/>
    <w:basedOn w:val="DefaultParagraphFont"/>
    <w:uiPriority w:val="99"/>
    <w:semiHidden/>
    <w:unhideWhenUsed/>
    <w:rsid w:val="00781E82"/>
    <w:rPr>
      <w:color w:val="605E5C"/>
      <w:shd w:val="clear" w:color="auto" w:fill="E1DFDD"/>
    </w:rPr>
  </w:style>
  <w:style w:type="character" w:styleId="CommentReference">
    <w:name w:val="annotation reference"/>
    <w:basedOn w:val="DefaultParagraphFont"/>
    <w:uiPriority w:val="99"/>
    <w:semiHidden/>
    <w:unhideWhenUsed/>
    <w:rsid w:val="00DF4358"/>
    <w:rPr>
      <w:sz w:val="16"/>
      <w:szCs w:val="16"/>
    </w:rPr>
  </w:style>
  <w:style w:type="paragraph" w:styleId="CommentText">
    <w:name w:val="annotation text"/>
    <w:basedOn w:val="Normal"/>
    <w:link w:val="CommentTextChar"/>
    <w:uiPriority w:val="99"/>
    <w:unhideWhenUsed/>
    <w:rsid w:val="00DF4358"/>
    <w:rPr>
      <w:sz w:val="20"/>
      <w:szCs w:val="20"/>
    </w:rPr>
  </w:style>
  <w:style w:type="character" w:customStyle="1" w:styleId="CommentTextChar">
    <w:name w:val="Comment Text Char"/>
    <w:basedOn w:val="DefaultParagraphFont"/>
    <w:link w:val="CommentText"/>
    <w:uiPriority w:val="99"/>
    <w:rsid w:val="00DF4358"/>
    <w:rPr>
      <w:sz w:val="20"/>
      <w:szCs w:val="20"/>
    </w:rPr>
  </w:style>
  <w:style w:type="paragraph" w:styleId="CommentSubject">
    <w:name w:val="annotation subject"/>
    <w:basedOn w:val="CommentText"/>
    <w:next w:val="CommentText"/>
    <w:link w:val="CommentSubjectChar"/>
    <w:uiPriority w:val="99"/>
    <w:semiHidden/>
    <w:unhideWhenUsed/>
    <w:rsid w:val="00DF4358"/>
    <w:rPr>
      <w:b/>
      <w:bCs/>
    </w:rPr>
  </w:style>
  <w:style w:type="character" w:customStyle="1" w:styleId="CommentSubjectChar">
    <w:name w:val="Comment Subject Char"/>
    <w:basedOn w:val="CommentTextChar"/>
    <w:link w:val="CommentSubject"/>
    <w:uiPriority w:val="99"/>
    <w:semiHidden/>
    <w:rsid w:val="00DF4358"/>
    <w:rPr>
      <w:b/>
      <w:bCs/>
      <w:sz w:val="20"/>
      <w:szCs w:val="20"/>
    </w:rPr>
  </w:style>
  <w:style w:type="paragraph" w:customStyle="1" w:styleId="ListRoman">
    <w:name w:val="List Roman"/>
    <w:basedOn w:val="BodyText"/>
    <w:rsid w:val="00493316"/>
    <w:pPr>
      <w:numPr>
        <w:numId w:val="17"/>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imes New Roman" w:cs="Times New Roman"/>
      <w:sz w:val="22"/>
      <w:szCs w:val="22"/>
      <w:lang w:eastAsia="en-GB"/>
    </w:rPr>
  </w:style>
  <w:style w:type="paragraph" w:customStyle="1" w:styleId="ListRoman2">
    <w:name w:val="List Roman 2"/>
    <w:basedOn w:val="ListRoman"/>
    <w:unhideWhenUsed/>
    <w:rsid w:val="00493316"/>
    <w:pPr>
      <w:numPr>
        <w:ilvl w:val="1"/>
      </w:numPr>
      <w:tabs>
        <w:tab w:val="clear" w:pos="1134"/>
      </w:tabs>
    </w:pPr>
  </w:style>
  <w:style w:type="paragraph" w:customStyle="1" w:styleId="ListRoman3">
    <w:name w:val="List Roman 3"/>
    <w:basedOn w:val="ListRoman2"/>
    <w:semiHidden/>
    <w:rsid w:val="00493316"/>
    <w:pPr>
      <w:numPr>
        <w:ilvl w:val="2"/>
      </w:numPr>
      <w:tabs>
        <w:tab w:val="clear" w:pos="1701"/>
      </w:tabs>
    </w:pPr>
  </w:style>
  <w:style w:type="paragraph" w:customStyle="1" w:styleId="ListRoman4">
    <w:name w:val="List Roman 4"/>
    <w:basedOn w:val="ListRoman3"/>
    <w:semiHidden/>
    <w:rsid w:val="00493316"/>
    <w:pPr>
      <w:numPr>
        <w:ilvl w:val="3"/>
      </w:numPr>
      <w:tabs>
        <w:tab w:val="clear" w:pos="2268"/>
      </w:tabs>
    </w:pPr>
  </w:style>
  <w:style w:type="paragraph" w:customStyle="1" w:styleId="ListRoman5">
    <w:name w:val="List Roman 5"/>
    <w:basedOn w:val="ListRoman4"/>
    <w:semiHidden/>
    <w:rsid w:val="00493316"/>
    <w:pPr>
      <w:numPr>
        <w:ilvl w:val="4"/>
      </w:numPr>
    </w:pPr>
  </w:style>
  <w:style w:type="paragraph" w:customStyle="1" w:styleId="Table-ListNumber">
    <w:name w:val="Table - List Number"/>
    <w:basedOn w:val="Normal"/>
    <w:rsid w:val="00E95BF9"/>
    <w:pPr>
      <w:numPr>
        <w:numId w:val="19"/>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pPr>
    <w:rPr>
      <w:rFonts w:eastAsia="Times New Roman" w:cs="Times New Roman"/>
      <w:sz w:val="20"/>
      <w:szCs w:val="22"/>
      <w:lang w:eastAsia="en-GB"/>
    </w:rPr>
  </w:style>
  <w:style w:type="paragraph" w:customStyle="1" w:styleId="Table-ListNumber2">
    <w:name w:val="Table - List Number 2"/>
    <w:basedOn w:val="Table-ListNumber"/>
    <w:unhideWhenUsed/>
    <w:rsid w:val="00E95BF9"/>
    <w:pPr>
      <w:numPr>
        <w:ilvl w:val="1"/>
      </w:numPr>
      <w:tabs>
        <w:tab w:val="clear" w:pos="567"/>
      </w:tabs>
    </w:pPr>
  </w:style>
  <w:style w:type="paragraph" w:customStyle="1" w:styleId="Table-ListNumber3">
    <w:name w:val="Table - List Number 3"/>
    <w:basedOn w:val="Table-ListNumber2"/>
    <w:unhideWhenUsed/>
    <w:rsid w:val="00E95BF9"/>
    <w:pPr>
      <w:numPr>
        <w:ilvl w:val="2"/>
      </w:numPr>
    </w:pPr>
  </w:style>
  <w:style w:type="character" w:customStyle="1" w:styleId="findhit">
    <w:name w:val="findhit"/>
    <w:basedOn w:val="DefaultParagraphFont"/>
    <w:rsid w:val="00515A16"/>
  </w:style>
  <w:style w:type="character" w:styleId="FollowedHyperlink">
    <w:name w:val="FollowedHyperlink"/>
    <w:basedOn w:val="DefaultParagraphFont"/>
    <w:uiPriority w:val="99"/>
    <w:semiHidden/>
    <w:unhideWhenUsed/>
    <w:rsid w:val="006F34FD"/>
    <w:rPr>
      <w:color w:val="2C6CB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247955">
      <w:bodyDiv w:val="1"/>
      <w:marLeft w:val="0"/>
      <w:marRight w:val="0"/>
      <w:marTop w:val="0"/>
      <w:marBottom w:val="0"/>
      <w:divBdr>
        <w:top w:val="none" w:sz="0" w:space="0" w:color="auto"/>
        <w:left w:val="none" w:sz="0" w:space="0" w:color="auto"/>
        <w:bottom w:val="none" w:sz="0" w:space="0" w:color="auto"/>
        <w:right w:val="none" w:sz="0" w:space="0" w:color="auto"/>
      </w:divBdr>
      <w:divsChild>
        <w:div w:id="1087340031">
          <w:marLeft w:val="0"/>
          <w:marRight w:val="0"/>
          <w:marTop w:val="0"/>
          <w:marBottom w:val="0"/>
          <w:divBdr>
            <w:top w:val="none" w:sz="0" w:space="0" w:color="auto"/>
            <w:left w:val="none" w:sz="0" w:space="0" w:color="auto"/>
            <w:bottom w:val="none" w:sz="0" w:space="0" w:color="auto"/>
            <w:right w:val="none" w:sz="0" w:space="0" w:color="auto"/>
          </w:divBdr>
        </w:div>
        <w:div w:id="1001591303">
          <w:marLeft w:val="0"/>
          <w:marRight w:val="0"/>
          <w:marTop w:val="0"/>
          <w:marBottom w:val="0"/>
          <w:divBdr>
            <w:top w:val="none" w:sz="0" w:space="0" w:color="auto"/>
            <w:left w:val="none" w:sz="0" w:space="0" w:color="auto"/>
            <w:bottom w:val="none" w:sz="0" w:space="0" w:color="auto"/>
            <w:right w:val="none" w:sz="0" w:space="0" w:color="auto"/>
          </w:divBdr>
        </w:div>
      </w:divsChild>
    </w:div>
    <w:div w:id="389353099">
      <w:bodyDiv w:val="1"/>
      <w:marLeft w:val="0"/>
      <w:marRight w:val="0"/>
      <w:marTop w:val="0"/>
      <w:marBottom w:val="0"/>
      <w:divBdr>
        <w:top w:val="none" w:sz="0" w:space="0" w:color="auto"/>
        <w:left w:val="none" w:sz="0" w:space="0" w:color="auto"/>
        <w:bottom w:val="none" w:sz="0" w:space="0" w:color="auto"/>
        <w:right w:val="none" w:sz="0" w:space="0" w:color="auto"/>
      </w:divBdr>
      <w:divsChild>
        <w:div w:id="1034502060">
          <w:marLeft w:val="0"/>
          <w:marRight w:val="0"/>
          <w:marTop w:val="0"/>
          <w:marBottom w:val="0"/>
          <w:divBdr>
            <w:top w:val="none" w:sz="0" w:space="0" w:color="auto"/>
            <w:left w:val="none" w:sz="0" w:space="0" w:color="auto"/>
            <w:bottom w:val="none" w:sz="0" w:space="0" w:color="auto"/>
            <w:right w:val="none" w:sz="0" w:space="0" w:color="auto"/>
          </w:divBdr>
        </w:div>
        <w:div w:id="833182117">
          <w:marLeft w:val="0"/>
          <w:marRight w:val="0"/>
          <w:marTop w:val="0"/>
          <w:marBottom w:val="0"/>
          <w:divBdr>
            <w:top w:val="none" w:sz="0" w:space="0" w:color="auto"/>
            <w:left w:val="none" w:sz="0" w:space="0" w:color="auto"/>
            <w:bottom w:val="none" w:sz="0" w:space="0" w:color="auto"/>
            <w:right w:val="none" w:sz="0" w:space="0" w:color="auto"/>
          </w:divBdr>
        </w:div>
        <w:div w:id="713165298">
          <w:marLeft w:val="0"/>
          <w:marRight w:val="0"/>
          <w:marTop w:val="0"/>
          <w:marBottom w:val="0"/>
          <w:divBdr>
            <w:top w:val="none" w:sz="0" w:space="0" w:color="auto"/>
            <w:left w:val="none" w:sz="0" w:space="0" w:color="auto"/>
            <w:bottom w:val="none" w:sz="0" w:space="0" w:color="auto"/>
            <w:right w:val="none" w:sz="0" w:space="0" w:color="auto"/>
          </w:divBdr>
        </w:div>
        <w:div w:id="633560301">
          <w:marLeft w:val="0"/>
          <w:marRight w:val="0"/>
          <w:marTop w:val="0"/>
          <w:marBottom w:val="0"/>
          <w:divBdr>
            <w:top w:val="none" w:sz="0" w:space="0" w:color="auto"/>
            <w:left w:val="none" w:sz="0" w:space="0" w:color="auto"/>
            <w:bottom w:val="none" w:sz="0" w:space="0" w:color="auto"/>
            <w:right w:val="none" w:sz="0" w:space="0" w:color="auto"/>
          </w:divBdr>
        </w:div>
        <w:div w:id="73554728">
          <w:marLeft w:val="0"/>
          <w:marRight w:val="0"/>
          <w:marTop w:val="0"/>
          <w:marBottom w:val="0"/>
          <w:divBdr>
            <w:top w:val="none" w:sz="0" w:space="0" w:color="auto"/>
            <w:left w:val="none" w:sz="0" w:space="0" w:color="auto"/>
            <w:bottom w:val="none" w:sz="0" w:space="0" w:color="auto"/>
            <w:right w:val="none" w:sz="0" w:space="0" w:color="auto"/>
          </w:divBdr>
        </w:div>
        <w:div w:id="522716617">
          <w:marLeft w:val="0"/>
          <w:marRight w:val="0"/>
          <w:marTop w:val="0"/>
          <w:marBottom w:val="0"/>
          <w:divBdr>
            <w:top w:val="none" w:sz="0" w:space="0" w:color="auto"/>
            <w:left w:val="none" w:sz="0" w:space="0" w:color="auto"/>
            <w:bottom w:val="none" w:sz="0" w:space="0" w:color="auto"/>
            <w:right w:val="none" w:sz="0" w:space="0" w:color="auto"/>
          </w:divBdr>
        </w:div>
        <w:div w:id="1905753123">
          <w:marLeft w:val="0"/>
          <w:marRight w:val="0"/>
          <w:marTop w:val="0"/>
          <w:marBottom w:val="0"/>
          <w:divBdr>
            <w:top w:val="none" w:sz="0" w:space="0" w:color="auto"/>
            <w:left w:val="none" w:sz="0" w:space="0" w:color="auto"/>
            <w:bottom w:val="none" w:sz="0" w:space="0" w:color="auto"/>
            <w:right w:val="none" w:sz="0" w:space="0" w:color="auto"/>
          </w:divBdr>
        </w:div>
        <w:div w:id="2013218260">
          <w:marLeft w:val="0"/>
          <w:marRight w:val="0"/>
          <w:marTop w:val="0"/>
          <w:marBottom w:val="0"/>
          <w:divBdr>
            <w:top w:val="none" w:sz="0" w:space="0" w:color="auto"/>
            <w:left w:val="none" w:sz="0" w:space="0" w:color="auto"/>
            <w:bottom w:val="none" w:sz="0" w:space="0" w:color="auto"/>
            <w:right w:val="none" w:sz="0" w:space="0" w:color="auto"/>
          </w:divBdr>
        </w:div>
        <w:div w:id="1782457200">
          <w:marLeft w:val="0"/>
          <w:marRight w:val="0"/>
          <w:marTop w:val="0"/>
          <w:marBottom w:val="0"/>
          <w:divBdr>
            <w:top w:val="none" w:sz="0" w:space="0" w:color="auto"/>
            <w:left w:val="none" w:sz="0" w:space="0" w:color="auto"/>
            <w:bottom w:val="none" w:sz="0" w:space="0" w:color="auto"/>
            <w:right w:val="none" w:sz="0" w:space="0" w:color="auto"/>
          </w:divBdr>
        </w:div>
        <w:div w:id="598759090">
          <w:marLeft w:val="0"/>
          <w:marRight w:val="0"/>
          <w:marTop w:val="0"/>
          <w:marBottom w:val="0"/>
          <w:divBdr>
            <w:top w:val="none" w:sz="0" w:space="0" w:color="auto"/>
            <w:left w:val="none" w:sz="0" w:space="0" w:color="auto"/>
            <w:bottom w:val="none" w:sz="0" w:space="0" w:color="auto"/>
            <w:right w:val="none" w:sz="0" w:space="0" w:color="auto"/>
          </w:divBdr>
        </w:div>
      </w:divsChild>
    </w:div>
    <w:div w:id="509178720">
      <w:bodyDiv w:val="1"/>
      <w:marLeft w:val="0"/>
      <w:marRight w:val="0"/>
      <w:marTop w:val="0"/>
      <w:marBottom w:val="0"/>
      <w:divBdr>
        <w:top w:val="none" w:sz="0" w:space="0" w:color="auto"/>
        <w:left w:val="none" w:sz="0" w:space="0" w:color="auto"/>
        <w:bottom w:val="none" w:sz="0" w:space="0" w:color="auto"/>
        <w:right w:val="none" w:sz="0" w:space="0" w:color="auto"/>
      </w:divBdr>
      <w:divsChild>
        <w:div w:id="1710494353">
          <w:marLeft w:val="0"/>
          <w:marRight w:val="0"/>
          <w:marTop w:val="0"/>
          <w:marBottom w:val="0"/>
          <w:divBdr>
            <w:top w:val="none" w:sz="0" w:space="0" w:color="auto"/>
            <w:left w:val="none" w:sz="0" w:space="0" w:color="auto"/>
            <w:bottom w:val="none" w:sz="0" w:space="0" w:color="auto"/>
            <w:right w:val="none" w:sz="0" w:space="0" w:color="auto"/>
          </w:divBdr>
        </w:div>
        <w:div w:id="923957610">
          <w:marLeft w:val="0"/>
          <w:marRight w:val="0"/>
          <w:marTop w:val="0"/>
          <w:marBottom w:val="0"/>
          <w:divBdr>
            <w:top w:val="none" w:sz="0" w:space="0" w:color="auto"/>
            <w:left w:val="none" w:sz="0" w:space="0" w:color="auto"/>
            <w:bottom w:val="none" w:sz="0" w:space="0" w:color="auto"/>
            <w:right w:val="none" w:sz="0" w:space="0" w:color="auto"/>
          </w:divBdr>
        </w:div>
        <w:div w:id="67072549">
          <w:marLeft w:val="0"/>
          <w:marRight w:val="0"/>
          <w:marTop w:val="0"/>
          <w:marBottom w:val="0"/>
          <w:divBdr>
            <w:top w:val="none" w:sz="0" w:space="0" w:color="auto"/>
            <w:left w:val="none" w:sz="0" w:space="0" w:color="auto"/>
            <w:bottom w:val="none" w:sz="0" w:space="0" w:color="auto"/>
            <w:right w:val="none" w:sz="0" w:space="0" w:color="auto"/>
          </w:divBdr>
        </w:div>
      </w:divsChild>
    </w:div>
    <w:div w:id="776604581">
      <w:bodyDiv w:val="1"/>
      <w:marLeft w:val="0"/>
      <w:marRight w:val="0"/>
      <w:marTop w:val="0"/>
      <w:marBottom w:val="0"/>
      <w:divBdr>
        <w:top w:val="none" w:sz="0" w:space="0" w:color="auto"/>
        <w:left w:val="none" w:sz="0" w:space="0" w:color="auto"/>
        <w:bottom w:val="none" w:sz="0" w:space="0" w:color="auto"/>
        <w:right w:val="none" w:sz="0" w:space="0" w:color="auto"/>
      </w:divBdr>
      <w:divsChild>
        <w:div w:id="766079614">
          <w:marLeft w:val="0"/>
          <w:marRight w:val="0"/>
          <w:marTop w:val="0"/>
          <w:marBottom w:val="0"/>
          <w:divBdr>
            <w:top w:val="none" w:sz="0" w:space="0" w:color="auto"/>
            <w:left w:val="none" w:sz="0" w:space="0" w:color="auto"/>
            <w:bottom w:val="none" w:sz="0" w:space="0" w:color="auto"/>
            <w:right w:val="none" w:sz="0" w:space="0" w:color="auto"/>
          </w:divBdr>
        </w:div>
        <w:div w:id="1494906776">
          <w:marLeft w:val="0"/>
          <w:marRight w:val="0"/>
          <w:marTop w:val="0"/>
          <w:marBottom w:val="0"/>
          <w:divBdr>
            <w:top w:val="none" w:sz="0" w:space="0" w:color="auto"/>
            <w:left w:val="none" w:sz="0" w:space="0" w:color="auto"/>
            <w:bottom w:val="none" w:sz="0" w:space="0" w:color="auto"/>
            <w:right w:val="none" w:sz="0" w:space="0" w:color="auto"/>
          </w:divBdr>
        </w:div>
        <w:div w:id="1145901956">
          <w:marLeft w:val="0"/>
          <w:marRight w:val="0"/>
          <w:marTop w:val="0"/>
          <w:marBottom w:val="0"/>
          <w:divBdr>
            <w:top w:val="none" w:sz="0" w:space="0" w:color="auto"/>
            <w:left w:val="none" w:sz="0" w:space="0" w:color="auto"/>
            <w:bottom w:val="none" w:sz="0" w:space="0" w:color="auto"/>
            <w:right w:val="none" w:sz="0" w:space="0" w:color="auto"/>
          </w:divBdr>
        </w:div>
      </w:divsChild>
    </w:div>
    <w:div w:id="1042245035">
      <w:bodyDiv w:val="1"/>
      <w:marLeft w:val="0"/>
      <w:marRight w:val="0"/>
      <w:marTop w:val="0"/>
      <w:marBottom w:val="0"/>
      <w:divBdr>
        <w:top w:val="none" w:sz="0" w:space="0" w:color="auto"/>
        <w:left w:val="none" w:sz="0" w:space="0" w:color="auto"/>
        <w:bottom w:val="none" w:sz="0" w:space="0" w:color="auto"/>
        <w:right w:val="none" w:sz="0" w:space="0" w:color="auto"/>
      </w:divBdr>
      <w:divsChild>
        <w:div w:id="1645767897">
          <w:marLeft w:val="0"/>
          <w:marRight w:val="0"/>
          <w:marTop w:val="0"/>
          <w:marBottom w:val="0"/>
          <w:divBdr>
            <w:top w:val="none" w:sz="0" w:space="0" w:color="auto"/>
            <w:left w:val="none" w:sz="0" w:space="0" w:color="auto"/>
            <w:bottom w:val="none" w:sz="0" w:space="0" w:color="auto"/>
            <w:right w:val="none" w:sz="0" w:space="0" w:color="auto"/>
          </w:divBdr>
        </w:div>
        <w:div w:id="1433357652">
          <w:marLeft w:val="0"/>
          <w:marRight w:val="0"/>
          <w:marTop w:val="0"/>
          <w:marBottom w:val="0"/>
          <w:divBdr>
            <w:top w:val="none" w:sz="0" w:space="0" w:color="auto"/>
            <w:left w:val="none" w:sz="0" w:space="0" w:color="auto"/>
            <w:bottom w:val="none" w:sz="0" w:space="0" w:color="auto"/>
            <w:right w:val="none" w:sz="0" w:space="0" w:color="auto"/>
          </w:divBdr>
        </w:div>
        <w:div w:id="414940514">
          <w:marLeft w:val="0"/>
          <w:marRight w:val="0"/>
          <w:marTop w:val="0"/>
          <w:marBottom w:val="0"/>
          <w:divBdr>
            <w:top w:val="none" w:sz="0" w:space="0" w:color="auto"/>
            <w:left w:val="none" w:sz="0" w:space="0" w:color="auto"/>
            <w:bottom w:val="none" w:sz="0" w:space="0" w:color="auto"/>
            <w:right w:val="none" w:sz="0" w:space="0" w:color="auto"/>
          </w:divBdr>
        </w:div>
      </w:divsChild>
    </w:div>
    <w:div w:id="1177311423">
      <w:bodyDiv w:val="1"/>
      <w:marLeft w:val="0"/>
      <w:marRight w:val="0"/>
      <w:marTop w:val="0"/>
      <w:marBottom w:val="0"/>
      <w:divBdr>
        <w:top w:val="none" w:sz="0" w:space="0" w:color="auto"/>
        <w:left w:val="none" w:sz="0" w:space="0" w:color="auto"/>
        <w:bottom w:val="none" w:sz="0" w:space="0" w:color="auto"/>
        <w:right w:val="none" w:sz="0" w:space="0" w:color="auto"/>
      </w:divBdr>
      <w:divsChild>
        <w:div w:id="934635399">
          <w:marLeft w:val="0"/>
          <w:marRight w:val="0"/>
          <w:marTop w:val="0"/>
          <w:marBottom w:val="0"/>
          <w:divBdr>
            <w:top w:val="none" w:sz="0" w:space="0" w:color="auto"/>
            <w:left w:val="none" w:sz="0" w:space="0" w:color="auto"/>
            <w:bottom w:val="none" w:sz="0" w:space="0" w:color="auto"/>
            <w:right w:val="none" w:sz="0" w:space="0" w:color="auto"/>
          </w:divBdr>
        </w:div>
        <w:div w:id="982587492">
          <w:marLeft w:val="0"/>
          <w:marRight w:val="0"/>
          <w:marTop w:val="0"/>
          <w:marBottom w:val="0"/>
          <w:divBdr>
            <w:top w:val="none" w:sz="0" w:space="0" w:color="auto"/>
            <w:left w:val="none" w:sz="0" w:space="0" w:color="auto"/>
            <w:bottom w:val="none" w:sz="0" w:space="0" w:color="auto"/>
            <w:right w:val="none" w:sz="0" w:space="0" w:color="auto"/>
          </w:divBdr>
        </w:div>
      </w:divsChild>
    </w:div>
    <w:div w:id="1270237456">
      <w:bodyDiv w:val="1"/>
      <w:marLeft w:val="0"/>
      <w:marRight w:val="0"/>
      <w:marTop w:val="0"/>
      <w:marBottom w:val="0"/>
      <w:divBdr>
        <w:top w:val="none" w:sz="0" w:space="0" w:color="auto"/>
        <w:left w:val="none" w:sz="0" w:space="0" w:color="auto"/>
        <w:bottom w:val="none" w:sz="0" w:space="0" w:color="auto"/>
        <w:right w:val="none" w:sz="0" w:space="0" w:color="auto"/>
      </w:divBdr>
      <w:divsChild>
        <w:div w:id="781072343">
          <w:marLeft w:val="0"/>
          <w:marRight w:val="0"/>
          <w:marTop w:val="0"/>
          <w:marBottom w:val="0"/>
          <w:divBdr>
            <w:top w:val="none" w:sz="0" w:space="0" w:color="auto"/>
            <w:left w:val="none" w:sz="0" w:space="0" w:color="auto"/>
            <w:bottom w:val="none" w:sz="0" w:space="0" w:color="auto"/>
            <w:right w:val="none" w:sz="0" w:space="0" w:color="auto"/>
          </w:divBdr>
        </w:div>
        <w:div w:id="1203862901">
          <w:marLeft w:val="0"/>
          <w:marRight w:val="0"/>
          <w:marTop w:val="0"/>
          <w:marBottom w:val="0"/>
          <w:divBdr>
            <w:top w:val="none" w:sz="0" w:space="0" w:color="auto"/>
            <w:left w:val="none" w:sz="0" w:space="0" w:color="auto"/>
            <w:bottom w:val="none" w:sz="0" w:space="0" w:color="auto"/>
            <w:right w:val="none" w:sz="0" w:space="0" w:color="auto"/>
          </w:divBdr>
        </w:div>
        <w:div w:id="299774925">
          <w:marLeft w:val="0"/>
          <w:marRight w:val="0"/>
          <w:marTop w:val="0"/>
          <w:marBottom w:val="0"/>
          <w:divBdr>
            <w:top w:val="none" w:sz="0" w:space="0" w:color="auto"/>
            <w:left w:val="none" w:sz="0" w:space="0" w:color="auto"/>
            <w:bottom w:val="none" w:sz="0" w:space="0" w:color="auto"/>
            <w:right w:val="none" w:sz="0" w:space="0" w:color="auto"/>
          </w:divBdr>
        </w:div>
      </w:divsChild>
    </w:div>
    <w:div w:id="1776897780">
      <w:bodyDiv w:val="1"/>
      <w:marLeft w:val="0"/>
      <w:marRight w:val="0"/>
      <w:marTop w:val="0"/>
      <w:marBottom w:val="0"/>
      <w:divBdr>
        <w:top w:val="none" w:sz="0" w:space="0" w:color="auto"/>
        <w:left w:val="none" w:sz="0" w:space="0" w:color="auto"/>
        <w:bottom w:val="none" w:sz="0" w:space="0" w:color="auto"/>
        <w:right w:val="none" w:sz="0" w:space="0" w:color="auto"/>
      </w:divBdr>
      <w:divsChild>
        <w:div w:id="783110975">
          <w:marLeft w:val="0"/>
          <w:marRight w:val="0"/>
          <w:marTop w:val="0"/>
          <w:marBottom w:val="0"/>
          <w:divBdr>
            <w:top w:val="none" w:sz="0" w:space="0" w:color="auto"/>
            <w:left w:val="none" w:sz="0" w:space="0" w:color="auto"/>
            <w:bottom w:val="none" w:sz="0" w:space="0" w:color="auto"/>
            <w:right w:val="none" w:sz="0" w:space="0" w:color="auto"/>
          </w:divBdr>
        </w:div>
        <w:div w:id="1609503913">
          <w:marLeft w:val="0"/>
          <w:marRight w:val="0"/>
          <w:marTop w:val="0"/>
          <w:marBottom w:val="0"/>
          <w:divBdr>
            <w:top w:val="none" w:sz="0" w:space="0" w:color="auto"/>
            <w:left w:val="none" w:sz="0" w:space="0" w:color="auto"/>
            <w:bottom w:val="none" w:sz="0" w:space="0" w:color="auto"/>
            <w:right w:val="none" w:sz="0" w:space="0" w:color="auto"/>
          </w:divBdr>
        </w:div>
        <w:div w:id="181287846">
          <w:marLeft w:val="0"/>
          <w:marRight w:val="0"/>
          <w:marTop w:val="0"/>
          <w:marBottom w:val="0"/>
          <w:divBdr>
            <w:top w:val="none" w:sz="0" w:space="0" w:color="auto"/>
            <w:left w:val="none" w:sz="0" w:space="0" w:color="auto"/>
            <w:bottom w:val="none" w:sz="0" w:space="0" w:color="auto"/>
            <w:right w:val="none" w:sz="0" w:space="0" w:color="auto"/>
          </w:divBdr>
        </w:div>
        <w:div w:id="611938298">
          <w:marLeft w:val="0"/>
          <w:marRight w:val="0"/>
          <w:marTop w:val="0"/>
          <w:marBottom w:val="0"/>
          <w:divBdr>
            <w:top w:val="none" w:sz="0" w:space="0" w:color="auto"/>
            <w:left w:val="none" w:sz="0" w:space="0" w:color="auto"/>
            <w:bottom w:val="none" w:sz="0" w:space="0" w:color="auto"/>
            <w:right w:val="none" w:sz="0" w:space="0" w:color="auto"/>
          </w:divBdr>
        </w:div>
      </w:divsChild>
    </w:div>
    <w:div w:id="1800830809">
      <w:bodyDiv w:val="1"/>
      <w:marLeft w:val="0"/>
      <w:marRight w:val="0"/>
      <w:marTop w:val="0"/>
      <w:marBottom w:val="0"/>
      <w:divBdr>
        <w:top w:val="none" w:sz="0" w:space="0" w:color="auto"/>
        <w:left w:val="none" w:sz="0" w:space="0" w:color="auto"/>
        <w:bottom w:val="none" w:sz="0" w:space="0" w:color="auto"/>
        <w:right w:val="none" w:sz="0" w:space="0" w:color="auto"/>
      </w:divBdr>
      <w:divsChild>
        <w:div w:id="1172523190">
          <w:marLeft w:val="0"/>
          <w:marRight w:val="0"/>
          <w:marTop w:val="0"/>
          <w:marBottom w:val="0"/>
          <w:divBdr>
            <w:top w:val="none" w:sz="0" w:space="0" w:color="auto"/>
            <w:left w:val="none" w:sz="0" w:space="0" w:color="auto"/>
            <w:bottom w:val="none" w:sz="0" w:space="0" w:color="auto"/>
            <w:right w:val="none" w:sz="0" w:space="0" w:color="auto"/>
          </w:divBdr>
        </w:div>
        <w:div w:id="19671363">
          <w:marLeft w:val="0"/>
          <w:marRight w:val="0"/>
          <w:marTop w:val="0"/>
          <w:marBottom w:val="0"/>
          <w:divBdr>
            <w:top w:val="none" w:sz="0" w:space="0" w:color="auto"/>
            <w:left w:val="none" w:sz="0" w:space="0" w:color="auto"/>
            <w:bottom w:val="none" w:sz="0" w:space="0" w:color="auto"/>
            <w:right w:val="none" w:sz="0" w:space="0" w:color="auto"/>
          </w:divBdr>
        </w:div>
        <w:div w:id="2138528580">
          <w:marLeft w:val="0"/>
          <w:marRight w:val="0"/>
          <w:marTop w:val="0"/>
          <w:marBottom w:val="0"/>
          <w:divBdr>
            <w:top w:val="none" w:sz="0" w:space="0" w:color="auto"/>
            <w:left w:val="none" w:sz="0" w:space="0" w:color="auto"/>
            <w:bottom w:val="none" w:sz="0" w:space="0" w:color="auto"/>
            <w:right w:val="none" w:sz="0" w:space="0" w:color="auto"/>
          </w:divBdr>
        </w:div>
        <w:div w:id="1460150435">
          <w:marLeft w:val="0"/>
          <w:marRight w:val="0"/>
          <w:marTop w:val="0"/>
          <w:marBottom w:val="0"/>
          <w:divBdr>
            <w:top w:val="none" w:sz="0" w:space="0" w:color="auto"/>
            <w:left w:val="none" w:sz="0" w:space="0" w:color="auto"/>
            <w:bottom w:val="none" w:sz="0" w:space="0" w:color="auto"/>
            <w:right w:val="none" w:sz="0" w:space="0" w:color="auto"/>
          </w:divBdr>
        </w:div>
        <w:div w:id="663512242">
          <w:marLeft w:val="0"/>
          <w:marRight w:val="0"/>
          <w:marTop w:val="0"/>
          <w:marBottom w:val="0"/>
          <w:divBdr>
            <w:top w:val="none" w:sz="0" w:space="0" w:color="auto"/>
            <w:left w:val="none" w:sz="0" w:space="0" w:color="auto"/>
            <w:bottom w:val="none" w:sz="0" w:space="0" w:color="auto"/>
            <w:right w:val="none" w:sz="0" w:space="0" w:color="auto"/>
          </w:divBdr>
        </w:div>
        <w:div w:id="681200811">
          <w:marLeft w:val="0"/>
          <w:marRight w:val="0"/>
          <w:marTop w:val="0"/>
          <w:marBottom w:val="0"/>
          <w:divBdr>
            <w:top w:val="none" w:sz="0" w:space="0" w:color="auto"/>
            <w:left w:val="none" w:sz="0" w:space="0" w:color="auto"/>
            <w:bottom w:val="none" w:sz="0" w:space="0" w:color="auto"/>
            <w:right w:val="none" w:sz="0" w:space="0" w:color="auto"/>
          </w:divBdr>
        </w:div>
        <w:div w:id="1513489038">
          <w:marLeft w:val="0"/>
          <w:marRight w:val="0"/>
          <w:marTop w:val="0"/>
          <w:marBottom w:val="0"/>
          <w:divBdr>
            <w:top w:val="none" w:sz="0" w:space="0" w:color="auto"/>
            <w:left w:val="none" w:sz="0" w:space="0" w:color="auto"/>
            <w:bottom w:val="none" w:sz="0" w:space="0" w:color="auto"/>
            <w:right w:val="none" w:sz="0" w:space="0" w:color="auto"/>
          </w:divBdr>
        </w:div>
        <w:div w:id="283462805">
          <w:marLeft w:val="0"/>
          <w:marRight w:val="0"/>
          <w:marTop w:val="0"/>
          <w:marBottom w:val="0"/>
          <w:divBdr>
            <w:top w:val="none" w:sz="0" w:space="0" w:color="auto"/>
            <w:left w:val="none" w:sz="0" w:space="0" w:color="auto"/>
            <w:bottom w:val="none" w:sz="0" w:space="0" w:color="auto"/>
            <w:right w:val="none" w:sz="0" w:space="0" w:color="auto"/>
          </w:divBdr>
        </w:div>
        <w:div w:id="328876183">
          <w:marLeft w:val="0"/>
          <w:marRight w:val="0"/>
          <w:marTop w:val="0"/>
          <w:marBottom w:val="0"/>
          <w:divBdr>
            <w:top w:val="none" w:sz="0" w:space="0" w:color="auto"/>
            <w:left w:val="none" w:sz="0" w:space="0" w:color="auto"/>
            <w:bottom w:val="none" w:sz="0" w:space="0" w:color="auto"/>
            <w:right w:val="none" w:sz="0" w:space="0" w:color="auto"/>
          </w:divBdr>
        </w:div>
        <w:div w:id="1966540433">
          <w:marLeft w:val="0"/>
          <w:marRight w:val="0"/>
          <w:marTop w:val="0"/>
          <w:marBottom w:val="0"/>
          <w:divBdr>
            <w:top w:val="none" w:sz="0" w:space="0" w:color="auto"/>
            <w:left w:val="none" w:sz="0" w:space="0" w:color="auto"/>
            <w:bottom w:val="none" w:sz="0" w:space="0" w:color="auto"/>
            <w:right w:val="none" w:sz="0" w:space="0" w:color="auto"/>
          </w:divBdr>
        </w:div>
      </w:divsChild>
    </w:div>
    <w:div w:id="1985892383">
      <w:bodyDiv w:val="1"/>
      <w:marLeft w:val="0"/>
      <w:marRight w:val="0"/>
      <w:marTop w:val="0"/>
      <w:marBottom w:val="0"/>
      <w:divBdr>
        <w:top w:val="none" w:sz="0" w:space="0" w:color="auto"/>
        <w:left w:val="none" w:sz="0" w:space="0" w:color="auto"/>
        <w:bottom w:val="none" w:sz="0" w:space="0" w:color="auto"/>
        <w:right w:val="none" w:sz="0" w:space="0" w:color="auto"/>
      </w:divBdr>
      <w:divsChild>
        <w:div w:id="503740542">
          <w:marLeft w:val="0"/>
          <w:marRight w:val="0"/>
          <w:marTop w:val="0"/>
          <w:marBottom w:val="0"/>
          <w:divBdr>
            <w:top w:val="none" w:sz="0" w:space="0" w:color="auto"/>
            <w:left w:val="none" w:sz="0" w:space="0" w:color="auto"/>
            <w:bottom w:val="none" w:sz="0" w:space="0" w:color="auto"/>
            <w:right w:val="none" w:sz="0" w:space="0" w:color="auto"/>
          </w:divBdr>
        </w:div>
        <w:div w:id="1250307902">
          <w:marLeft w:val="0"/>
          <w:marRight w:val="0"/>
          <w:marTop w:val="0"/>
          <w:marBottom w:val="0"/>
          <w:divBdr>
            <w:top w:val="none" w:sz="0" w:space="0" w:color="auto"/>
            <w:left w:val="none" w:sz="0" w:space="0" w:color="auto"/>
            <w:bottom w:val="none" w:sz="0" w:space="0" w:color="auto"/>
            <w:right w:val="none" w:sz="0" w:space="0" w:color="auto"/>
          </w:divBdr>
        </w:div>
      </w:divsChild>
    </w:div>
    <w:div w:id="1988391868">
      <w:bodyDiv w:val="1"/>
      <w:marLeft w:val="0"/>
      <w:marRight w:val="0"/>
      <w:marTop w:val="0"/>
      <w:marBottom w:val="0"/>
      <w:divBdr>
        <w:top w:val="none" w:sz="0" w:space="0" w:color="auto"/>
        <w:left w:val="none" w:sz="0" w:space="0" w:color="auto"/>
        <w:bottom w:val="none" w:sz="0" w:space="0" w:color="auto"/>
        <w:right w:val="none" w:sz="0" w:space="0" w:color="auto"/>
      </w:divBdr>
      <w:divsChild>
        <w:div w:id="349258430">
          <w:marLeft w:val="0"/>
          <w:marRight w:val="0"/>
          <w:marTop w:val="0"/>
          <w:marBottom w:val="0"/>
          <w:divBdr>
            <w:top w:val="none" w:sz="0" w:space="0" w:color="auto"/>
            <w:left w:val="none" w:sz="0" w:space="0" w:color="auto"/>
            <w:bottom w:val="none" w:sz="0" w:space="0" w:color="auto"/>
            <w:right w:val="none" w:sz="0" w:space="0" w:color="auto"/>
          </w:divBdr>
        </w:div>
        <w:div w:id="2109688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rc.act.gov.au/wp-content/uploads/2023/03/It-really-stabs-me_2023.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communityservices.act.gov.au/atsia/agreement-2019-2028" TargetMode="External"/><Relationship Id="rId17" Type="http://schemas.openxmlformats.org/officeDocument/2006/relationships/hyperlink" Target="https://www.cmtedd.act.gov.au/__data/assets/pdf_file/0003/1654077/Parliamentary-Agreement-for-the-10th-Legislative-Assembly.pdf" TargetMode="External"/><Relationship Id="rId2" Type="http://schemas.openxmlformats.org/officeDocument/2006/relationships/customXml" Target="../customXml/item2.xml"/><Relationship Id="rId16" Type="http://schemas.openxmlformats.org/officeDocument/2006/relationships/hyperlink" Target="https://hrc.act.gov.au/wp-content/uploads/2015/03/HRA-10-yr-snapshot-HRDC-webversion.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rc.act.gov.au/wp-content/uploads/2023/03/It-really-stabs-me_2023.pdf" TargetMode="External"/><Relationship Id="rId5" Type="http://schemas.openxmlformats.org/officeDocument/2006/relationships/numbering" Target="numbering.xml"/><Relationship Id="rId15" Type="http://schemas.openxmlformats.org/officeDocument/2006/relationships/hyperlink" Target="https://www.audit.act.gov.au/__data/assets/pdf_file/0018/1322460/Report-No-2-of-2019-Recognition-and-implementation-of-obligations-under-the-HRA-2004.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etterrenting.org.au/unsafe_as_hous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pc.gov.au/research/ongoing/report-on-government-services/2022/justice" TargetMode="External"/><Relationship Id="rId2" Type="http://schemas.openxmlformats.org/officeDocument/2006/relationships/hyperlink" Target="https://www.abs.gov.au/ausstats/abs@.nsf/Latestproducts/4430.0Main%20Features52018" TargetMode="External"/><Relationship Id="rId1" Type="http://schemas.openxmlformats.org/officeDocument/2006/relationships/hyperlink" Target="https://dbr.abs.gov.au/region.html?lyr=ste&amp;rgn=8" TargetMode="External"/><Relationship Id="rId4" Type="http://schemas.openxmlformats.org/officeDocument/2006/relationships/hyperlink" Target="https://www.abs.gov.au/statistics/people/crime-and-justice/prisoners-australia/latest-relea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3" ma:contentTypeDescription="Create a new document." ma:contentTypeScope="" ma:versionID="eb2252b06a48bff722b152afd4cf923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8c6ebd67d87678d3e1544cfbbdabf4c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customXml/itemProps2.xml><?xml version="1.0" encoding="utf-8"?>
<ds:datastoreItem xmlns:ds="http://schemas.openxmlformats.org/officeDocument/2006/customXml" ds:itemID="{7D1D9C36-1B95-4899-BFFE-2A87A49BD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61A59F-A8B0-4F97-A366-52AF9F0729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B38755-D93F-4F12-B1F8-9A06EA5DF4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4</Pages>
  <Words>1226</Words>
  <Characters>6994</Characters>
  <Application>Microsoft Office Word</Application>
  <DocSecurity>0</DocSecurity>
  <Lines>58</Lines>
  <Paragraphs>16</Paragraphs>
  <ScaleCrop>false</ScaleCrop>
  <Company/>
  <LinksUpToDate>false</LinksUpToDate>
  <CharactersWithSpaces>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Gemma Killen</cp:lastModifiedBy>
  <cp:revision>168</cp:revision>
  <dcterms:created xsi:type="dcterms:W3CDTF">2022-11-29T01:47:00Z</dcterms:created>
  <dcterms:modified xsi:type="dcterms:W3CDTF">2023-05-30T23:48:00Z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ies>
</file>