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75DF1872" w:rsidR="00B77E46" w:rsidRPr="009903E4" w:rsidRDefault="00601703" w:rsidP="00B50635">
      <w:pPr>
        <w:ind w:right="-8"/>
        <w:rPr>
          <w:rFonts w:cs="Arial"/>
          <w:szCs w:val="20"/>
        </w:rPr>
      </w:pPr>
      <w:r w:rsidRPr="00601703">
        <w:rPr>
          <w:rFonts w:cs="Arial"/>
          <w:szCs w:val="20"/>
        </w:rPr>
        <w:t>Standing Committee on Justice and Community Safety</w:t>
      </w:r>
      <w:r w:rsidR="00B50635" w:rsidRPr="009903E4">
        <w:rPr>
          <w:rFonts w:cs="Arial"/>
          <w:szCs w:val="20"/>
        </w:rPr>
        <w:br/>
      </w:r>
      <w:r w:rsidR="00167D92">
        <w:rPr>
          <w:rFonts w:cs="Arial"/>
          <w:szCs w:val="20"/>
        </w:rPr>
        <w:t xml:space="preserve">ACT Legislative Assembly </w:t>
      </w:r>
      <w:r w:rsidR="00B50635" w:rsidRPr="009903E4">
        <w:rPr>
          <w:rFonts w:cs="Arial"/>
          <w:szCs w:val="20"/>
        </w:rPr>
        <w:br/>
      </w:r>
      <w:r w:rsidR="001C0D00">
        <w:rPr>
          <w:rFonts w:cs="Arial"/>
          <w:szCs w:val="20"/>
        </w:rPr>
        <w:t xml:space="preserve">Canberra, ACT </w:t>
      </w:r>
      <w:r w:rsidR="00B77E46">
        <w:rPr>
          <w:rFonts w:cs="Arial"/>
          <w:szCs w:val="20"/>
        </w:rPr>
        <w:br/>
      </w:r>
      <w:r w:rsidR="001C0D00">
        <w:rPr>
          <w:rFonts w:cs="Arial"/>
          <w:szCs w:val="20"/>
        </w:rPr>
        <w:t xml:space="preserve">via email: </w:t>
      </w:r>
      <w:r w:rsidR="00340262" w:rsidRPr="00340262">
        <w:rPr>
          <w:rFonts w:cs="Arial"/>
          <w:szCs w:val="20"/>
        </w:rPr>
        <w:t>LACommitteeJCS@parliament.act.gov.au</w:t>
      </w:r>
    </w:p>
    <w:p w14:paraId="39DFD895" w14:textId="77777777" w:rsidR="00B50635" w:rsidRPr="009903E4" w:rsidRDefault="00B50635" w:rsidP="00B50635">
      <w:pPr>
        <w:rPr>
          <w:rFonts w:cs="Arial"/>
          <w:szCs w:val="20"/>
        </w:rPr>
      </w:pPr>
    </w:p>
    <w:p w14:paraId="5B84AE35" w14:textId="1C93114F" w:rsidR="00B50635" w:rsidRPr="009903E4" w:rsidRDefault="00B50635" w:rsidP="00B50635">
      <w:pPr>
        <w:rPr>
          <w:rFonts w:cs="Arial"/>
          <w:szCs w:val="20"/>
        </w:rPr>
      </w:pPr>
      <w:r>
        <w:rPr>
          <w:rFonts w:cs="Arial"/>
          <w:szCs w:val="20"/>
        </w:rPr>
        <w:fldChar w:fldCharType="begin"/>
      </w:r>
      <w:r>
        <w:rPr>
          <w:rFonts w:cs="Arial"/>
          <w:szCs w:val="20"/>
        </w:rPr>
        <w:instrText xml:space="preserve"> DATE \@ "d MMMM yyyy" </w:instrText>
      </w:r>
      <w:r>
        <w:rPr>
          <w:rFonts w:cs="Arial"/>
          <w:szCs w:val="20"/>
        </w:rPr>
        <w:fldChar w:fldCharType="separate"/>
      </w:r>
      <w:r w:rsidR="00072C7D">
        <w:rPr>
          <w:rFonts w:cs="Arial"/>
          <w:noProof/>
          <w:szCs w:val="20"/>
        </w:rPr>
        <w:t>13 June 2023</w:t>
      </w:r>
      <w:r>
        <w:rPr>
          <w:rFonts w:cs="Arial"/>
          <w:szCs w:val="20"/>
        </w:rPr>
        <w:fldChar w:fldCharType="end"/>
      </w:r>
    </w:p>
    <w:p w14:paraId="4B8AE2A5" w14:textId="674CB1E0" w:rsidR="000A3664" w:rsidRDefault="001C0D00" w:rsidP="00B07477">
      <w:pPr>
        <w:rPr>
          <w:rFonts w:cs="Arial"/>
          <w:szCs w:val="20"/>
        </w:rPr>
      </w:pPr>
      <w:r>
        <w:rPr>
          <w:rFonts w:cs="Arial"/>
          <w:szCs w:val="20"/>
        </w:rPr>
        <w:t>To the Committee</w:t>
      </w:r>
    </w:p>
    <w:p w14:paraId="6225D5CA" w14:textId="402AFB17" w:rsidR="000A3664" w:rsidRDefault="000A3664" w:rsidP="00B07477">
      <w:pPr>
        <w:rPr>
          <w:rFonts w:cs="Arial"/>
          <w:szCs w:val="20"/>
        </w:rPr>
      </w:pPr>
      <w:r>
        <w:rPr>
          <w:rFonts w:cs="Arial"/>
          <w:szCs w:val="20"/>
        </w:rPr>
        <w:t xml:space="preserve">DRAFT </w:t>
      </w:r>
      <w:r w:rsidRPr="008B0374">
        <w:rPr>
          <w:rFonts w:cs="Arial"/>
          <w:szCs w:val="20"/>
        </w:rPr>
        <w:t>JUSTICE (AGE OF CRIMINAL RESPONSIBILITY) LEGISLATION AMENDMENT BILL</w:t>
      </w:r>
      <w:r>
        <w:rPr>
          <w:rFonts w:cs="Arial"/>
          <w:szCs w:val="20"/>
        </w:rPr>
        <w:t xml:space="preserve"> 2023</w:t>
      </w:r>
    </w:p>
    <w:p w14:paraId="4265EFDF" w14:textId="44FBB9F9" w:rsidR="0099726F" w:rsidRDefault="00C915DF" w:rsidP="00B07477">
      <w:pPr>
        <w:rPr>
          <w:rFonts w:cs="Arial"/>
          <w:szCs w:val="20"/>
        </w:rPr>
      </w:pPr>
      <w:r>
        <w:rPr>
          <w:rFonts w:cs="Arial"/>
          <w:szCs w:val="20"/>
        </w:rPr>
        <w:t xml:space="preserve">ACTCOSS welcomes the opportunity to respond to the public consultation for the Draft </w:t>
      </w:r>
      <w:r w:rsidR="008B0374" w:rsidRPr="008B0374">
        <w:rPr>
          <w:rFonts w:cs="Arial"/>
          <w:szCs w:val="20"/>
        </w:rPr>
        <w:t>Justice (Age of Criminal Responsibility) Legislation Amendment Bill</w:t>
      </w:r>
      <w:r w:rsidR="008B0374">
        <w:rPr>
          <w:rFonts w:cs="Arial"/>
          <w:szCs w:val="20"/>
        </w:rPr>
        <w:t xml:space="preserve"> 2023. </w:t>
      </w:r>
      <w:r w:rsidR="00884FC3">
        <w:rPr>
          <w:rFonts w:cs="Arial"/>
          <w:szCs w:val="20"/>
        </w:rPr>
        <w:t xml:space="preserve">As </w:t>
      </w:r>
      <w:r w:rsidR="00661E97">
        <w:rPr>
          <w:rFonts w:cs="Arial"/>
          <w:szCs w:val="20"/>
        </w:rPr>
        <w:t>affirmed</w:t>
      </w:r>
      <w:r w:rsidR="00884FC3">
        <w:rPr>
          <w:rFonts w:cs="Arial"/>
          <w:szCs w:val="20"/>
        </w:rPr>
        <w:t xml:space="preserve"> throughout our advocacy</w:t>
      </w:r>
      <w:r w:rsidR="00083592">
        <w:rPr>
          <w:rFonts w:cs="Arial"/>
          <w:szCs w:val="20"/>
        </w:rPr>
        <w:t xml:space="preserve"> and feedback</w:t>
      </w:r>
      <w:r w:rsidR="00884FC3">
        <w:rPr>
          <w:rFonts w:cs="Arial"/>
          <w:szCs w:val="20"/>
        </w:rPr>
        <w:t xml:space="preserve"> on this issue, ACTCOSS is strongly in favour of </w:t>
      </w:r>
      <w:r w:rsidR="00CD542F">
        <w:rPr>
          <w:rFonts w:cs="Arial"/>
          <w:szCs w:val="20"/>
        </w:rPr>
        <w:t>increasing the minimum age of criminal responsibility</w:t>
      </w:r>
      <w:r w:rsidR="00064162">
        <w:rPr>
          <w:rFonts w:cs="Arial"/>
          <w:szCs w:val="20"/>
        </w:rPr>
        <w:t xml:space="preserve"> </w:t>
      </w:r>
      <w:r w:rsidR="00B5142C">
        <w:rPr>
          <w:rFonts w:cs="Arial"/>
          <w:szCs w:val="20"/>
        </w:rPr>
        <w:t>(MACR)</w:t>
      </w:r>
      <w:r w:rsidR="00064162">
        <w:rPr>
          <w:rFonts w:cs="Arial"/>
          <w:szCs w:val="20"/>
        </w:rPr>
        <w:t xml:space="preserve"> to at least 14 years of age. </w:t>
      </w:r>
      <w:r w:rsidR="005B2F5D">
        <w:rPr>
          <w:rFonts w:cs="Arial"/>
          <w:szCs w:val="20"/>
        </w:rPr>
        <w:t xml:space="preserve">It is essential for the wellbeing of the ACT community </w:t>
      </w:r>
      <w:r w:rsidR="001A0842">
        <w:rPr>
          <w:rFonts w:cs="Arial"/>
          <w:szCs w:val="20"/>
        </w:rPr>
        <w:t>that the ACT government work to</w:t>
      </w:r>
      <w:r w:rsidR="00C85EDD">
        <w:rPr>
          <w:rFonts w:cs="Arial"/>
          <w:szCs w:val="20"/>
        </w:rPr>
        <w:t xml:space="preserve"> consistently reduce the number of children who are in contact with the justice system and </w:t>
      </w:r>
      <w:r w:rsidR="007B6A6F">
        <w:rPr>
          <w:rFonts w:cs="Arial"/>
          <w:szCs w:val="20"/>
        </w:rPr>
        <w:t xml:space="preserve">eliminate the overrepresentation of Aboriginal and Torres Strait Islander children in the justice system. </w:t>
      </w:r>
      <w:r w:rsidR="008B40A4">
        <w:rPr>
          <w:rFonts w:cs="Arial"/>
          <w:szCs w:val="20"/>
        </w:rPr>
        <w:t xml:space="preserve">As the first Australian jurisdiction to </w:t>
      </w:r>
      <w:r w:rsidR="00661E97">
        <w:rPr>
          <w:rFonts w:cs="Arial"/>
          <w:szCs w:val="20"/>
        </w:rPr>
        <w:t>commit</w:t>
      </w:r>
      <w:r w:rsidR="008B40A4">
        <w:rPr>
          <w:rFonts w:cs="Arial"/>
          <w:szCs w:val="20"/>
        </w:rPr>
        <w:t xml:space="preserve"> to</w:t>
      </w:r>
      <w:r w:rsidR="00661E97">
        <w:rPr>
          <w:rFonts w:cs="Arial"/>
          <w:szCs w:val="20"/>
        </w:rPr>
        <w:t xml:space="preserve"> </w:t>
      </w:r>
      <w:r w:rsidR="008B40A4">
        <w:rPr>
          <w:rFonts w:cs="Arial"/>
          <w:szCs w:val="20"/>
        </w:rPr>
        <w:t>legislating a</w:t>
      </w:r>
      <w:r w:rsidR="005A09CD">
        <w:rPr>
          <w:rFonts w:cs="Arial"/>
          <w:szCs w:val="20"/>
        </w:rPr>
        <w:t xml:space="preserve"> higher</w:t>
      </w:r>
      <w:r w:rsidR="00661E97">
        <w:rPr>
          <w:rFonts w:cs="Arial"/>
          <w:szCs w:val="20"/>
        </w:rPr>
        <w:t xml:space="preserve"> </w:t>
      </w:r>
      <w:r w:rsidR="008B40A4">
        <w:rPr>
          <w:rFonts w:cs="Arial"/>
          <w:szCs w:val="20"/>
        </w:rPr>
        <w:t>age of criminal responsibility</w:t>
      </w:r>
      <w:r w:rsidR="0099726F">
        <w:rPr>
          <w:rFonts w:cs="Arial"/>
          <w:szCs w:val="20"/>
        </w:rPr>
        <w:t xml:space="preserve">, the ACT must be an example to other jurisdictions </w:t>
      </w:r>
      <w:r w:rsidR="003C5D61">
        <w:rPr>
          <w:rFonts w:cs="Arial"/>
          <w:szCs w:val="20"/>
        </w:rPr>
        <w:t xml:space="preserve">of the positive impacts </w:t>
      </w:r>
      <w:r w:rsidR="00D63E46">
        <w:rPr>
          <w:rFonts w:cs="Arial"/>
          <w:szCs w:val="20"/>
        </w:rPr>
        <w:t xml:space="preserve">we can have on the lives of children, </w:t>
      </w:r>
      <w:proofErr w:type="gramStart"/>
      <w:r w:rsidR="00D63E46">
        <w:rPr>
          <w:rFonts w:cs="Arial"/>
          <w:szCs w:val="20"/>
        </w:rPr>
        <w:t>families</w:t>
      </w:r>
      <w:proofErr w:type="gramEnd"/>
      <w:r w:rsidR="00D63E46">
        <w:rPr>
          <w:rFonts w:cs="Arial"/>
          <w:szCs w:val="20"/>
        </w:rPr>
        <w:t xml:space="preserve"> and the whole community. </w:t>
      </w:r>
    </w:p>
    <w:p w14:paraId="69474576" w14:textId="268F8BD8" w:rsidR="00B26CD0" w:rsidRDefault="00A645E2" w:rsidP="00B26CD0">
      <w:pPr>
        <w:rPr>
          <w:rFonts w:cs="Arial"/>
          <w:szCs w:val="20"/>
        </w:rPr>
      </w:pPr>
      <w:r>
        <w:rPr>
          <w:rFonts w:cs="Arial"/>
          <w:szCs w:val="20"/>
        </w:rPr>
        <w:t>T</w:t>
      </w:r>
      <w:r w:rsidR="00E02DD8">
        <w:rPr>
          <w:rFonts w:cs="Arial"/>
          <w:szCs w:val="20"/>
        </w:rPr>
        <w:t xml:space="preserve">he purpose of the criminal justice system on a broad scale is </w:t>
      </w:r>
      <w:r w:rsidR="00976099">
        <w:rPr>
          <w:rFonts w:cs="Arial"/>
          <w:szCs w:val="20"/>
        </w:rPr>
        <w:t>well</w:t>
      </w:r>
      <w:r w:rsidR="00E02DD8">
        <w:rPr>
          <w:rFonts w:cs="Arial"/>
          <w:szCs w:val="20"/>
        </w:rPr>
        <w:t xml:space="preserve"> understood to be</w:t>
      </w:r>
      <w:r w:rsidR="00CA08B1">
        <w:rPr>
          <w:rFonts w:cs="Arial"/>
          <w:szCs w:val="20"/>
        </w:rPr>
        <w:t>:</w:t>
      </w:r>
    </w:p>
    <w:p w14:paraId="68AAB0AC" w14:textId="52D24FAB" w:rsidR="008542E1" w:rsidRPr="00645B82" w:rsidRDefault="00E02DD8" w:rsidP="00645B82">
      <w:pPr>
        <w:pStyle w:val="ListParagraph"/>
        <w:numPr>
          <w:ilvl w:val="0"/>
          <w:numId w:val="4"/>
        </w:numPr>
        <w:rPr>
          <w:rFonts w:cs="Arial"/>
          <w:szCs w:val="20"/>
        </w:rPr>
      </w:pPr>
      <w:r w:rsidRPr="00645B82">
        <w:rPr>
          <w:rFonts w:cs="Arial"/>
          <w:szCs w:val="20"/>
        </w:rPr>
        <w:t xml:space="preserve">protection of </w:t>
      </w:r>
      <w:r w:rsidR="008542E1" w:rsidRPr="00645B82">
        <w:rPr>
          <w:rFonts w:cs="Arial"/>
          <w:szCs w:val="20"/>
        </w:rPr>
        <w:t>individuals and communities from harm, and</w:t>
      </w:r>
    </w:p>
    <w:p w14:paraId="5BEFC510" w14:textId="4085AF6D" w:rsidR="008542E1" w:rsidRPr="00645B82" w:rsidRDefault="008542E1" w:rsidP="00645B82">
      <w:pPr>
        <w:pStyle w:val="ListParagraph"/>
        <w:numPr>
          <w:ilvl w:val="0"/>
          <w:numId w:val="4"/>
        </w:numPr>
        <w:rPr>
          <w:rFonts w:cs="Arial"/>
          <w:szCs w:val="20"/>
        </w:rPr>
      </w:pPr>
      <w:r w:rsidRPr="00645B82">
        <w:rPr>
          <w:rFonts w:cs="Arial"/>
          <w:szCs w:val="20"/>
        </w:rPr>
        <w:t xml:space="preserve">protection of </w:t>
      </w:r>
      <w:r w:rsidR="00E02DD8" w:rsidRPr="00645B82">
        <w:rPr>
          <w:rFonts w:cs="Arial"/>
          <w:szCs w:val="20"/>
        </w:rPr>
        <w:t>p</w:t>
      </w:r>
      <w:r w:rsidR="00FA3690" w:rsidRPr="00645B82">
        <w:rPr>
          <w:rFonts w:cs="Arial"/>
          <w:szCs w:val="20"/>
        </w:rPr>
        <w:t xml:space="preserve">ersonal </w:t>
      </w:r>
      <w:r w:rsidRPr="00645B82">
        <w:rPr>
          <w:rFonts w:cs="Arial"/>
          <w:szCs w:val="20"/>
        </w:rPr>
        <w:t>and/</w:t>
      </w:r>
      <w:r w:rsidR="00FA3690" w:rsidRPr="00645B82">
        <w:rPr>
          <w:rFonts w:cs="Arial"/>
          <w:szCs w:val="20"/>
        </w:rPr>
        <w:t>or private property from harm</w:t>
      </w:r>
      <w:r w:rsidR="00A645E2" w:rsidRPr="00645B82">
        <w:rPr>
          <w:rFonts w:cs="Arial"/>
          <w:szCs w:val="20"/>
        </w:rPr>
        <w:t>.</w:t>
      </w:r>
    </w:p>
    <w:p w14:paraId="6B1B671C" w14:textId="674E399D" w:rsidR="00217A22" w:rsidRDefault="007561D4" w:rsidP="008542E1">
      <w:pPr>
        <w:rPr>
          <w:rFonts w:cs="Arial"/>
          <w:szCs w:val="20"/>
        </w:rPr>
      </w:pPr>
      <w:r>
        <w:rPr>
          <w:rFonts w:cs="Arial"/>
          <w:szCs w:val="20"/>
        </w:rPr>
        <w:t>T</w:t>
      </w:r>
      <w:r w:rsidR="00FA3690" w:rsidRPr="008542E1">
        <w:rPr>
          <w:rFonts w:cs="Arial"/>
          <w:szCs w:val="20"/>
        </w:rPr>
        <w:t>he scale</w:t>
      </w:r>
      <w:r w:rsidR="00A645E2">
        <w:rPr>
          <w:rFonts w:cs="Arial"/>
          <w:szCs w:val="20"/>
        </w:rPr>
        <w:t xml:space="preserve">, </w:t>
      </w:r>
      <w:r w:rsidR="00FA3690" w:rsidRPr="008542E1">
        <w:rPr>
          <w:rFonts w:cs="Arial"/>
          <w:szCs w:val="20"/>
        </w:rPr>
        <w:t>purpose</w:t>
      </w:r>
      <w:r w:rsidR="00A645E2">
        <w:rPr>
          <w:rFonts w:cs="Arial"/>
          <w:szCs w:val="20"/>
        </w:rPr>
        <w:t xml:space="preserve"> and intended outcomes</w:t>
      </w:r>
      <w:r w:rsidR="00FA3690" w:rsidRPr="008542E1">
        <w:rPr>
          <w:rFonts w:cs="Arial"/>
          <w:szCs w:val="20"/>
        </w:rPr>
        <w:t xml:space="preserve"> of punishment can be less clear. For adults, it is assumed that punishment </w:t>
      </w:r>
      <w:r w:rsidR="00B70FCF" w:rsidRPr="008542E1">
        <w:rPr>
          <w:rFonts w:cs="Arial"/>
          <w:szCs w:val="20"/>
        </w:rPr>
        <w:t xml:space="preserve">for harms committed, </w:t>
      </w:r>
      <w:r w:rsidR="00FA3690" w:rsidRPr="008542E1">
        <w:rPr>
          <w:rFonts w:cs="Arial"/>
          <w:szCs w:val="20"/>
        </w:rPr>
        <w:t>dealt by the</w:t>
      </w:r>
      <w:r w:rsidR="00B70FCF" w:rsidRPr="008542E1">
        <w:rPr>
          <w:rFonts w:cs="Arial"/>
          <w:szCs w:val="20"/>
        </w:rPr>
        <w:t xml:space="preserve"> socially legitimised system of courts empowered by the state,</w:t>
      </w:r>
      <w:r w:rsidR="002D1203" w:rsidRPr="008542E1">
        <w:rPr>
          <w:rFonts w:cs="Arial"/>
          <w:szCs w:val="20"/>
        </w:rPr>
        <w:t xml:space="preserve"> is understood by the offende</w:t>
      </w:r>
      <w:r w:rsidR="00686C5B" w:rsidRPr="008542E1">
        <w:rPr>
          <w:rFonts w:cs="Arial"/>
          <w:szCs w:val="20"/>
        </w:rPr>
        <w:t>r, victim(s</w:t>
      </w:r>
      <w:proofErr w:type="gramStart"/>
      <w:r w:rsidR="00686C5B" w:rsidRPr="008542E1">
        <w:rPr>
          <w:rFonts w:cs="Arial"/>
          <w:szCs w:val="20"/>
        </w:rPr>
        <w:t>)</w:t>
      </w:r>
      <w:proofErr w:type="gramEnd"/>
      <w:r w:rsidR="00686C5B" w:rsidRPr="008542E1">
        <w:rPr>
          <w:rFonts w:cs="Arial"/>
          <w:szCs w:val="20"/>
        </w:rPr>
        <w:t xml:space="preserve"> and stakeholders to</w:t>
      </w:r>
      <w:r w:rsidR="003F47F0" w:rsidRPr="008542E1">
        <w:rPr>
          <w:rFonts w:cs="Arial"/>
          <w:szCs w:val="20"/>
        </w:rPr>
        <w:t xml:space="preserve"> deprive the offender of something of </w:t>
      </w:r>
      <w:r w:rsidR="00616F5F" w:rsidRPr="008542E1">
        <w:rPr>
          <w:rFonts w:cs="Arial"/>
          <w:szCs w:val="20"/>
        </w:rPr>
        <w:t>significant</w:t>
      </w:r>
      <w:r w:rsidR="003F47F0" w:rsidRPr="008542E1">
        <w:rPr>
          <w:rFonts w:cs="Arial"/>
          <w:szCs w:val="20"/>
        </w:rPr>
        <w:t xml:space="preserve"> val</w:t>
      </w:r>
      <w:r w:rsidR="007C77BB" w:rsidRPr="008542E1">
        <w:rPr>
          <w:rFonts w:cs="Arial"/>
          <w:szCs w:val="20"/>
        </w:rPr>
        <w:t>ue. Full</w:t>
      </w:r>
      <w:r w:rsidR="00B17B65" w:rsidRPr="008542E1">
        <w:rPr>
          <w:rFonts w:cs="Arial"/>
          <w:szCs w:val="20"/>
        </w:rPr>
        <w:t xml:space="preserve"> deprivation of</w:t>
      </w:r>
      <w:r w:rsidR="007C77BB" w:rsidRPr="008542E1">
        <w:rPr>
          <w:rFonts w:cs="Arial"/>
          <w:szCs w:val="20"/>
        </w:rPr>
        <w:t xml:space="preserve"> liberty (imprisonment), partial</w:t>
      </w:r>
      <w:r w:rsidR="00B17B65" w:rsidRPr="008542E1">
        <w:rPr>
          <w:rFonts w:cs="Arial"/>
          <w:szCs w:val="20"/>
        </w:rPr>
        <w:t xml:space="preserve"> deprivation of</w:t>
      </w:r>
      <w:r w:rsidR="007C77BB" w:rsidRPr="008542E1">
        <w:rPr>
          <w:rFonts w:cs="Arial"/>
          <w:szCs w:val="20"/>
        </w:rPr>
        <w:t xml:space="preserve"> liberty (</w:t>
      </w:r>
      <w:r w:rsidR="00055486" w:rsidRPr="008542E1">
        <w:rPr>
          <w:rFonts w:cs="Arial"/>
          <w:szCs w:val="20"/>
        </w:rPr>
        <w:t xml:space="preserve">treatment orders, community corrections orders, </w:t>
      </w:r>
      <w:r w:rsidR="00DD6146" w:rsidRPr="008542E1">
        <w:rPr>
          <w:rFonts w:cs="Arial"/>
          <w:szCs w:val="20"/>
        </w:rPr>
        <w:t>protective orders) or money (fines</w:t>
      </w:r>
      <w:r w:rsidR="00DD373A">
        <w:rPr>
          <w:rFonts w:cs="Arial"/>
          <w:szCs w:val="20"/>
        </w:rPr>
        <w:t xml:space="preserve"> and bonds</w:t>
      </w:r>
      <w:r w:rsidR="00DD6146" w:rsidRPr="008542E1">
        <w:rPr>
          <w:rFonts w:cs="Arial"/>
          <w:szCs w:val="20"/>
        </w:rPr>
        <w:t xml:space="preserve">) make up the </w:t>
      </w:r>
      <w:r w:rsidR="00DD373A">
        <w:rPr>
          <w:rFonts w:cs="Arial"/>
          <w:szCs w:val="20"/>
        </w:rPr>
        <w:t>landscape</w:t>
      </w:r>
      <w:r w:rsidR="00DD6146" w:rsidRPr="008542E1">
        <w:rPr>
          <w:rFonts w:cs="Arial"/>
          <w:szCs w:val="20"/>
        </w:rPr>
        <w:t xml:space="preserve"> of punishments </w:t>
      </w:r>
      <w:r w:rsidR="00B17B65" w:rsidRPr="008542E1">
        <w:rPr>
          <w:rFonts w:cs="Arial"/>
          <w:szCs w:val="20"/>
        </w:rPr>
        <w:t>delivered</w:t>
      </w:r>
      <w:r w:rsidR="002E49C9" w:rsidRPr="008542E1">
        <w:rPr>
          <w:rFonts w:cs="Arial"/>
          <w:szCs w:val="20"/>
        </w:rPr>
        <w:t xml:space="preserve"> by the criminal justice system in Australia</w:t>
      </w:r>
      <w:r w:rsidR="0093048E">
        <w:rPr>
          <w:rFonts w:cs="Arial"/>
          <w:szCs w:val="20"/>
        </w:rPr>
        <w:t>.</w:t>
      </w:r>
      <w:r w:rsidR="008225DD">
        <w:rPr>
          <w:rStyle w:val="FootnoteReference"/>
          <w:rFonts w:cs="Arial"/>
          <w:szCs w:val="20"/>
        </w:rPr>
        <w:footnoteReference w:id="2"/>
      </w:r>
      <w:r w:rsidR="002E49C9" w:rsidRPr="008542E1">
        <w:rPr>
          <w:rFonts w:cs="Arial"/>
          <w:szCs w:val="20"/>
        </w:rPr>
        <w:t xml:space="preserve"> </w:t>
      </w:r>
      <w:r w:rsidR="00E562AC">
        <w:rPr>
          <w:rFonts w:cs="Arial"/>
          <w:szCs w:val="20"/>
        </w:rPr>
        <w:t>T</w:t>
      </w:r>
      <w:r w:rsidR="00E47A64">
        <w:rPr>
          <w:rFonts w:cs="Arial"/>
          <w:szCs w:val="20"/>
        </w:rPr>
        <w:t xml:space="preserve">he criminal justice system </w:t>
      </w:r>
      <w:r w:rsidR="00E562AC">
        <w:rPr>
          <w:rFonts w:cs="Arial"/>
          <w:szCs w:val="20"/>
        </w:rPr>
        <w:t>is expected to ensure</w:t>
      </w:r>
      <w:r w:rsidR="00E47A64">
        <w:rPr>
          <w:rFonts w:cs="Arial"/>
          <w:szCs w:val="20"/>
        </w:rPr>
        <w:t xml:space="preserve"> that the offender has a reason</w:t>
      </w:r>
      <w:r w:rsidR="00FF7953">
        <w:rPr>
          <w:rFonts w:cs="Arial"/>
          <w:szCs w:val="20"/>
        </w:rPr>
        <w:t>able understanding of:</w:t>
      </w:r>
    </w:p>
    <w:p w14:paraId="4CD42EDB" w14:textId="0C3727AD" w:rsidR="00FF7953" w:rsidRDefault="00FF7953" w:rsidP="00FF7953">
      <w:pPr>
        <w:pStyle w:val="ListParagraph"/>
        <w:numPr>
          <w:ilvl w:val="0"/>
          <w:numId w:val="3"/>
        </w:numPr>
        <w:rPr>
          <w:rFonts w:cs="Arial"/>
          <w:szCs w:val="20"/>
        </w:rPr>
      </w:pPr>
      <w:r>
        <w:rPr>
          <w:rFonts w:cs="Arial"/>
          <w:szCs w:val="20"/>
        </w:rPr>
        <w:t>Their offence</w:t>
      </w:r>
    </w:p>
    <w:p w14:paraId="4A89308F" w14:textId="4E61F620" w:rsidR="00495A8F" w:rsidRDefault="00495A8F" w:rsidP="00495A8F">
      <w:pPr>
        <w:pStyle w:val="ListParagraph"/>
        <w:numPr>
          <w:ilvl w:val="0"/>
          <w:numId w:val="3"/>
        </w:numPr>
        <w:rPr>
          <w:rFonts w:cs="Arial"/>
          <w:szCs w:val="20"/>
        </w:rPr>
      </w:pPr>
      <w:r>
        <w:rPr>
          <w:rFonts w:cs="Arial"/>
          <w:szCs w:val="20"/>
        </w:rPr>
        <w:t>The impact of their offence</w:t>
      </w:r>
    </w:p>
    <w:p w14:paraId="064A2244" w14:textId="21E6EDE3" w:rsidR="00495A8F" w:rsidRDefault="00495A8F" w:rsidP="00495A8F">
      <w:pPr>
        <w:pStyle w:val="ListParagraph"/>
        <w:numPr>
          <w:ilvl w:val="0"/>
          <w:numId w:val="3"/>
        </w:numPr>
        <w:rPr>
          <w:rFonts w:cs="Arial"/>
          <w:szCs w:val="20"/>
        </w:rPr>
      </w:pPr>
      <w:r>
        <w:rPr>
          <w:rFonts w:cs="Arial"/>
          <w:szCs w:val="20"/>
        </w:rPr>
        <w:t xml:space="preserve">Their role, </w:t>
      </w:r>
      <w:proofErr w:type="gramStart"/>
      <w:r>
        <w:rPr>
          <w:rFonts w:cs="Arial"/>
          <w:szCs w:val="20"/>
        </w:rPr>
        <w:t>rights</w:t>
      </w:r>
      <w:proofErr w:type="gramEnd"/>
      <w:r w:rsidR="008225DD">
        <w:rPr>
          <w:rFonts w:cs="Arial"/>
          <w:szCs w:val="20"/>
        </w:rPr>
        <w:t xml:space="preserve"> and</w:t>
      </w:r>
      <w:r>
        <w:rPr>
          <w:rFonts w:cs="Arial"/>
          <w:szCs w:val="20"/>
        </w:rPr>
        <w:t xml:space="preserve"> obligations</w:t>
      </w:r>
      <w:r w:rsidR="008225DD">
        <w:rPr>
          <w:rFonts w:cs="Arial"/>
          <w:szCs w:val="20"/>
        </w:rPr>
        <w:t xml:space="preserve"> in the trial process</w:t>
      </w:r>
      <w:r>
        <w:rPr>
          <w:rFonts w:cs="Arial"/>
          <w:szCs w:val="20"/>
        </w:rPr>
        <w:t xml:space="preserve"> and </w:t>
      </w:r>
    </w:p>
    <w:p w14:paraId="77B2F0B5" w14:textId="73F88349" w:rsidR="00495A8F" w:rsidRDefault="00495A8F" w:rsidP="00495A8F">
      <w:pPr>
        <w:pStyle w:val="ListParagraph"/>
        <w:numPr>
          <w:ilvl w:val="0"/>
          <w:numId w:val="3"/>
        </w:numPr>
        <w:rPr>
          <w:rFonts w:cs="Arial"/>
          <w:szCs w:val="20"/>
        </w:rPr>
      </w:pPr>
      <w:r>
        <w:rPr>
          <w:rFonts w:cs="Arial"/>
          <w:szCs w:val="20"/>
        </w:rPr>
        <w:t xml:space="preserve">The scale, </w:t>
      </w:r>
      <w:proofErr w:type="gramStart"/>
      <w:r>
        <w:rPr>
          <w:rFonts w:cs="Arial"/>
          <w:szCs w:val="20"/>
        </w:rPr>
        <w:t>length</w:t>
      </w:r>
      <w:proofErr w:type="gramEnd"/>
      <w:r>
        <w:rPr>
          <w:rFonts w:cs="Arial"/>
          <w:szCs w:val="20"/>
        </w:rPr>
        <w:t xml:space="preserve"> and purpose of their punishment</w:t>
      </w:r>
      <w:r w:rsidR="00645B82">
        <w:rPr>
          <w:rFonts w:cs="Arial"/>
          <w:szCs w:val="20"/>
        </w:rPr>
        <w:t>.</w:t>
      </w:r>
    </w:p>
    <w:p w14:paraId="586301CF" w14:textId="2372A272" w:rsidR="008225DD" w:rsidRPr="005D1202" w:rsidRDefault="004756E9" w:rsidP="00DE0850">
      <w:pPr>
        <w:rPr>
          <w:rFonts w:cs="Arial"/>
          <w:szCs w:val="20"/>
        </w:rPr>
      </w:pPr>
      <w:r>
        <w:rPr>
          <w:rFonts w:cs="Arial"/>
          <w:szCs w:val="20"/>
        </w:rPr>
        <w:t>The expectation</w:t>
      </w:r>
      <w:r w:rsidR="00E419FB">
        <w:rPr>
          <w:rFonts w:cs="Arial"/>
          <w:szCs w:val="20"/>
        </w:rPr>
        <w:t xml:space="preserve"> </w:t>
      </w:r>
      <w:r w:rsidR="003C79AA">
        <w:rPr>
          <w:rFonts w:cs="Arial"/>
          <w:szCs w:val="20"/>
        </w:rPr>
        <w:t xml:space="preserve">contained in understanding of the offence itself and its </w:t>
      </w:r>
      <w:r w:rsidR="00EB4369">
        <w:rPr>
          <w:rFonts w:cs="Arial"/>
          <w:szCs w:val="20"/>
        </w:rPr>
        <w:t>impact is</w:t>
      </w:r>
      <w:r w:rsidR="001B2838">
        <w:rPr>
          <w:rFonts w:cs="Arial"/>
          <w:szCs w:val="20"/>
        </w:rPr>
        <w:t xml:space="preserve"> the concept of </w:t>
      </w:r>
      <w:proofErr w:type="spellStart"/>
      <w:r w:rsidR="001B2838">
        <w:rPr>
          <w:rFonts w:cs="Arial"/>
          <w:i/>
          <w:iCs/>
          <w:szCs w:val="20"/>
        </w:rPr>
        <w:t>mens</w:t>
      </w:r>
      <w:proofErr w:type="spellEnd"/>
      <w:r w:rsidR="001B2838">
        <w:rPr>
          <w:rFonts w:cs="Arial"/>
          <w:i/>
          <w:iCs/>
          <w:szCs w:val="20"/>
        </w:rPr>
        <w:t xml:space="preserve"> rea</w:t>
      </w:r>
      <w:r w:rsidR="001B2838">
        <w:rPr>
          <w:rFonts w:cs="Arial"/>
          <w:szCs w:val="20"/>
        </w:rPr>
        <w:t xml:space="preserve">, </w:t>
      </w:r>
      <w:r w:rsidR="007271F2">
        <w:rPr>
          <w:rFonts w:cs="Arial"/>
          <w:szCs w:val="20"/>
        </w:rPr>
        <w:t xml:space="preserve">which </w:t>
      </w:r>
      <w:r w:rsidR="002D512A">
        <w:rPr>
          <w:rFonts w:cs="Arial"/>
          <w:szCs w:val="20"/>
        </w:rPr>
        <w:t xml:space="preserve">is best </w:t>
      </w:r>
      <w:r w:rsidR="007271F2">
        <w:rPr>
          <w:rFonts w:cs="Arial"/>
          <w:szCs w:val="20"/>
        </w:rPr>
        <w:t>understood as criminal intent</w:t>
      </w:r>
      <w:r w:rsidR="00EF2BAD">
        <w:rPr>
          <w:rFonts w:cs="Arial"/>
          <w:szCs w:val="20"/>
        </w:rPr>
        <w:t xml:space="preserve"> or criminal liability. </w:t>
      </w:r>
      <w:r w:rsidR="00D4693F">
        <w:rPr>
          <w:rFonts w:cs="Arial"/>
          <w:szCs w:val="20"/>
        </w:rPr>
        <w:t xml:space="preserve">The Australian Law Reform Commission </w:t>
      </w:r>
      <w:r w:rsidR="001F3E89">
        <w:rPr>
          <w:rFonts w:cs="Arial"/>
          <w:szCs w:val="20"/>
        </w:rPr>
        <w:t xml:space="preserve">cites this quote from </w:t>
      </w:r>
      <w:r w:rsidR="001F3E89" w:rsidRPr="001F3E89">
        <w:rPr>
          <w:rStyle w:val="BookTitle"/>
        </w:rPr>
        <w:t>Principles of Criminal La</w:t>
      </w:r>
      <w:r w:rsidR="005D1202">
        <w:rPr>
          <w:rStyle w:val="BookTitle"/>
        </w:rPr>
        <w:t>w</w:t>
      </w:r>
      <w:r w:rsidR="005D1202">
        <w:rPr>
          <w:rStyle w:val="BookTitle"/>
          <w:b w:val="0"/>
          <w:bCs w:val="0"/>
        </w:rPr>
        <w:t>:</w:t>
      </w:r>
    </w:p>
    <w:p w14:paraId="034C3A76" w14:textId="531E026F" w:rsidR="001F3E89" w:rsidRDefault="001F3E89" w:rsidP="001F3E89">
      <w:pPr>
        <w:pStyle w:val="Quote"/>
      </w:pPr>
      <w:r w:rsidRPr="001F3E89">
        <w:lastRenderedPageBreak/>
        <w:t>The essence of the principle of </w:t>
      </w:r>
      <w:proofErr w:type="spellStart"/>
      <w:r w:rsidRPr="001F3E89">
        <w:t>mens</w:t>
      </w:r>
      <w:proofErr w:type="spellEnd"/>
      <w:r w:rsidRPr="001F3E89">
        <w:t xml:space="preserve"> rea is that criminal liability should be imposed only on persons who are sufficiently aware of what they are doing, and of the consequences it may have, that they can fairly be said to have chosen the behaviour and consequences</w:t>
      </w:r>
      <w:r>
        <w:t>.</w:t>
      </w:r>
      <w:r w:rsidR="005D1202" w:rsidRPr="005D1202">
        <w:rPr>
          <w:rStyle w:val="FootnoteReference"/>
          <w:i w:val="0"/>
          <w:iCs w:val="0"/>
          <w:spacing w:val="5"/>
        </w:rPr>
        <w:t xml:space="preserve"> </w:t>
      </w:r>
      <w:r w:rsidR="005D1202" w:rsidRPr="005D1202">
        <w:rPr>
          <w:rStyle w:val="FootnoteReference"/>
          <w:i w:val="0"/>
          <w:iCs w:val="0"/>
          <w:spacing w:val="5"/>
        </w:rPr>
        <w:footnoteReference w:id="3"/>
      </w:r>
    </w:p>
    <w:p w14:paraId="1ED5D6EA" w14:textId="0A621ABC" w:rsidR="00BA1C6A" w:rsidRDefault="00AC0B95" w:rsidP="001F3E89">
      <w:r>
        <w:t>S</w:t>
      </w:r>
      <w:r w:rsidR="00475815">
        <w:t>etting the age of criminal responsibility at its current position of 10 years old</w:t>
      </w:r>
      <w:r>
        <w:t xml:space="preserve"> indicates</w:t>
      </w:r>
      <w:r w:rsidR="009574E9">
        <w:t xml:space="preserve"> an acknowledgment from</w:t>
      </w:r>
      <w:r w:rsidR="00475815">
        <w:t xml:space="preserve"> the ACT government that children below the age of 10 do not possess </w:t>
      </w:r>
      <w:proofErr w:type="spellStart"/>
      <w:r w:rsidR="007117BF" w:rsidRPr="00AC0B95">
        <w:rPr>
          <w:i/>
          <w:iCs/>
        </w:rPr>
        <w:t>mens</w:t>
      </w:r>
      <w:proofErr w:type="spellEnd"/>
      <w:r w:rsidR="007117BF" w:rsidRPr="00AC0B95">
        <w:rPr>
          <w:i/>
          <w:iCs/>
        </w:rPr>
        <w:t xml:space="preserve"> rea</w:t>
      </w:r>
      <w:r w:rsidR="007117BF">
        <w:t>.</w:t>
      </w:r>
      <w:r w:rsidR="00283FDA">
        <w:t xml:space="preserve"> By setting the </w:t>
      </w:r>
      <w:r w:rsidR="000F5E3E">
        <w:t>MACR</w:t>
      </w:r>
      <w:r w:rsidR="00283FDA">
        <w:t xml:space="preserve"> at 14 years, it follows that the government is </w:t>
      </w:r>
      <w:r w:rsidR="00AD1D5C">
        <w:t xml:space="preserve">acknowledging that children under the age of 14 do not possess </w:t>
      </w:r>
      <w:proofErr w:type="spellStart"/>
      <w:r w:rsidR="00AD1D5C" w:rsidRPr="00980FC9">
        <w:rPr>
          <w:i/>
          <w:iCs/>
        </w:rPr>
        <w:t>mens</w:t>
      </w:r>
      <w:proofErr w:type="spellEnd"/>
      <w:r w:rsidR="00AD1D5C" w:rsidRPr="00980FC9">
        <w:rPr>
          <w:i/>
          <w:iCs/>
        </w:rPr>
        <w:t xml:space="preserve"> rea</w:t>
      </w:r>
      <w:r w:rsidR="00AD1D5C">
        <w:t>. By setting the age of criminal responsibility at</w:t>
      </w:r>
      <w:r w:rsidR="00BA1C6A">
        <w:t>:</w:t>
      </w:r>
    </w:p>
    <w:p w14:paraId="0B9BD41B" w14:textId="77777777" w:rsidR="00BA1C6A" w:rsidRDefault="00AD1D5C" w:rsidP="00BA1C6A">
      <w:pPr>
        <w:pStyle w:val="ListParagraph"/>
        <w:numPr>
          <w:ilvl w:val="0"/>
          <w:numId w:val="5"/>
        </w:numPr>
      </w:pPr>
      <w:r>
        <w:t xml:space="preserve">12 years of age for two years, </w:t>
      </w:r>
    </w:p>
    <w:p w14:paraId="29E89B38" w14:textId="77777777" w:rsidR="00BA1C6A" w:rsidRDefault="00AD1D5C" w:rsidP="00BA1C6A">
      <w:pPr>
        <w:pStyle w:val="ListParagraph"/>
        <w:numPr>
          <w:ilvl w:val="0"/>
          <w:numId w:val="5"/>
        </w:numPr>
      </w:pPr>
      <w:r>
        <w:t xml:space="preserve">then at 14 years of age </w:t>
      </w:r>
    </w:p>
    <w:p w14:paraId="1395C622" w14:textId="5460AEC6" w:rsidR="00604546" w:rsidRDefault="00AD1D5C" w:rsidP="00BA1C6A">
      <w:pPr>
        <w:pStyle w:val="ListParagraph"/>
        <w:numPr>
          <w:ilvl w:val="0"/>
          <w:numId w:val="5"/>
        </w:numPr>
      </w:pPr>
      <w:r>
        <w:t xml:space="preserve">except in the case of a </w:t>
      </w:r>
      <w:r w:rsidR="002B3141">
        <w:t>12- or 13-year-old</w:t>
      </w:r>
      <w:r>
        <w:t xml:space="preserve"> committing</w:t>
      </w:r>
      <w:r w:rsidR="00604546">
        <w:t>:</w:t>
      </w:r>
    </w:p>
    <w:p w14:paraId="59ECF87D" w14:textId="794FF27E" w:rsidR="00604546" w:rsidRDefault="002143EC" w:rsidP="00604546">
      <w:pPr>
        <w:pStyle w:val="ListParagraph"/>
        <w:numPr>
          <w:ilvl w:val="1"/>
          <w:numId w:val="5"/>
        </w:numPr>
      </w:pPr>
      <w:r>
        <w:t>murder,</w:t>
      </w:r>
    </w:p>
    <w:p w14:paraId="6A5C7298" w14:textId="6AF2A279" w:rsidR="00604546" w:rsidRDefault="002143EC" w:rsidP="00604546">
      <w:pPr>
        <w:pStyle w:val="ListParagraph"/>
        <w:numPr>
          <w:ilvl w:val="1"/>
          <w:numId w:val="5"/>
        </w:numPr>
      </w:pPr>
      <w:r>
        <w:t>sexual assault</w:t>
      </w:r>
      <w:r w:rsidR="00C70E23">
        <w:t xml:space="preserve"> in the fir</w:t>
      </w:r>
      <w:r w:rsidR="00E97284">
        <w:t>st degree</w:t>
      </w:r>
      <w:r>
        <w:t>,</w:t>
      </w:r>
      <w:r w:rsidR="00C70E23">
        <w:t xml:space="preserve"> </w:t>
      </w:r>
    </w:p>
    <w:p w14:paraId="263CD7E2" w14:textId="77777777" w:rsidR="00604546" w:rsidRDefault="00C70E23" w:rsidP="00604546">
      <w:pPr>
        <w:pStyle w:val="ListParagraph"/>
        <w:numPr>
          <w:ilvl w:val="1"/>
          <w:numId w:val="5"/>
        </w:numPr>
      </w:pPr>
      <w:r>
        <w:t xml:space="preserve">intentionally inflicting </w:t>
      </w:r>
      <w:r w:rsidR="001360FF">
        <w:t>grievous bodily harm</w:t>
      </w:r>
      <w:r w:rsidR="00604546">
        <w:t>,</w:t>
      </w:r>
    </w:p>
    <w:p w14:paraId="76E8E4B8" w14:textId="0B16B367" w:rsidR="00D86A3A" w:rsidRDefault="001360FF" w:rsidP="00D86A3A">
      <w:pPr>
        <w:pStyle w:val="ListParagraph"/>
        <w:numPr>
          <w:ilvl w:val="1"/>
          <w:numId w:val="5"/>
        </w:numPr>
      </w:pPr>
      <w:r>
        <w:t xml:space="preserve">or </w:t>
      </w:r>
      <w:r w:rsidR="002E0E6B">
        <w:t>an act of indecency in the first degree</w:t>
      </w:r>
      <w:r w:rsidR="00CB6260">
        <w:t>,</w:t>
      </w:r>
    </w:p>
    <w:p w14:paraId="2F7B6499" w14:textId="30415650" w:rsidR="00DB4259" w:rsidRDefault="00D86A3A" w:rsidP="00D86A3A">
      <w:r>
        <w:t>T</w:t>
      </w:r>
      <w:r w:rsidR="00CB6260">
        <w:t>he government is acknowledging that children under</w:t>
      </w:r>
      <w:r w:rsidR="00E97284">
        <w:t xml:space="preserve"> the age of 14 do not possess </w:t>
      </w:r>
      <w:proofErr w:type="spellStart"/>
      <w:r w:rsidR="00E97284" w:rsidRPr="00540800">
        <w:rPr>
          <w:i/>
          <w:iCs/>
        </w:rPr>
        <w:t>mens</w:t>
      </w:r>
      <w:proofErr w:type="spellEnd"/>
      <w:r w:rsidR="00E97284" w:rsidRPr="00540800">
        <w:rPr>
          <w:i/>
          <w:iCs/>
        </w:rPr>
        <w:t xml:space="preserve"> rea</w:t>
      </w:r>
      <w:r w:rsidR="00785724">
        <w:t>.</w:t>
      </w:r>
      <w:r w:rsidR="00E97284">
        <w:t xml:space="preserve"> </w:t>
      </w:r>
      <w:r w:rsidR="00785724">
        <w:t>U</w:t>
      </w:r>
      <w:r w:rsidR="00E97284">
        <w:t xml:space="preserve">nless it is </w:t>
      </w:r>
      <w:r w:rsidR="00381C53">
        <w:t>deemed to be</w:t>
      </w:r>
      <w:r w:rsidR="00E97284">
        <w:t xml:space="preserve"> in the interest </w:t>
      </w:r>
      <w:r w:rsidR="00381C53">
        <w:t>of</w:t>
      </w:r>
      <w:r w:rsidR="00E97284">
        <w:t xml:space="preserve"> public </w:t>
      </w:r>
      <w:r w:rsidR="00381C53">
        <w:t>safety</w:t>
      </w:r>
      <w:r w:rsidR="00E97284">
        <w:t xml:space="preserve"> that they do</w:t>
      </w:r>
      <w:r w:rsidR="00295C90">
        <w:t xml:space="preserve"> in which case</w:t>
      </w:r>
      <w:r w:rsidR="00BA1C6A">
        <w:t xml:space="preserve"> </w:t>
      </w:r>
      <w:r w:rsidR="003110FE">
        <w:t>12- and 13-year-olds</w:t>
      </w:r>
      <w:r w:rsidR="00BA1C6A">
        <w:t xml:space="preserve"> </w:t>
      </w:r>
      <w:r w:rsidR="00E2669A">
        <w:t>may</w:t>
      </w:r>
      <w:r w:rsidR="00471F60">
        <w:t xml:space="preserve"> possess</w:t>
      </w:r>
      <w:r w:rsidR="00BA1C6A">
        <w:t xml:space="preserve"> </w:t>
      </w:r>
      <w:proofErr w:type="spellStart"/>
      <w:r w:rsidR="00BA1C6A" w:rsidRPr="00540800">
        <w:rPr>
          <w:i/>
          <w:iCs/>
        </w:rPr>
        <w:t>mens</w:t>
      </w:r>
      <w:proofErr w:type="spellEnd"/>
      <w:r w:rsidR="00BA1C6A" w:rsidRPr="00540800">
        <w:rPr>
          <w:i/>
          <w:iCs/>
        </w:rPr>
        <w:t xml:space="preserve"> rea</w:t>
      </w:r>
      <w:r w:rsidR="00BA1C6A">
        <w:t xml:space="preserve">. </w:t>
      </w:r>
      <w:r w:rsidR="00471F60">
        <w:t>This is a significant evidentiary burden for this legislation to carry, as it is</w:t>
      </w:r>
      <w:r w:rsidR="0018574F">
        <w:t xml:space="preserve"> a “</w:t>
      </w:r>
      <w:r w:rsidR="0018574F" w:rsidRPr="0018574F">
        <w:t>challenging and contentious area from a human rights perspective</w:t>
      </w:r>
      <w:r w:rsidR="0018574F">
        <w:t>”</w:t>
      </w:r>
      <w:r w:rsidR="00B249E7">
        <w:t>.</w:t>
      </w:r>
      <w:r w:rsidR="001B7940">
        <w:rPr>
          <w:rStyle w:val="FootnoteReference"/>
        </w:rPr>
        <w:footnoteReference w:id="4"/>
      </w:r>
      <w:r w:rsidR="001B7940">
        <w:t xml:space="preserve"> It is </w:t>
      </w:r>
      <w:r w:rsidR="00471F60">
        <w:t xml:space="preserve">essential that the </w:t>
      </w:r>
      <w:r w:rsidR="00BB185F">
        <w:t xml:space="preserve">government </w:t>
      </w:r>
      <w:proofErr w:type="gramStart"/>
      <w:r w:rsidR="00BB185F">
        <w:t>is able to</w:t>
      </w:r>
      <w:proofErr w:type="gramEnd"/>
      <w:r w:rsidR="00BB185F">
        <w:t xml:space="preserve"> show evidence that the public receives the benefit of improved safety in exchange for infringing upon the rights of children. </w:t>
      </w:r>
    </w:p>
    <w:p w14:paraId="6F4E2F87" w14:textId="0B29AED0" w:rsidR="000C419D" w:rsidRPr="000C419D" w:rsidRDefault="000C419D" w:rsidP="00D86A3A">
      <w:pPr>
        <w:rPr>
          <w:b/>
          <w:bCs/>
          <w:i/>
          <w:iCs/>
        </w:rPr>
      </w:pPr>
      <w:r w:rsidRPr="000C419D">
        <w:rPr>
          <w:b/>
          <w:bCs/>
          <w:i/>
          <w:iCs/>
        </w:rPr>
        <w:t>Exceptions</w:t>
      </w:r>
    </w:p>
    <w:p w14:paraId="78D29FA7" w14:textId="75A06CB0" w:rsidR="00E5176F" w:rsidRDefault="00E5176F" w:rsidP="00D86A3A">
      <w:r>
        <w:t xml:space="preserve">ACTCOSS does not </w:t>
      </w:r>
      <w:r w:rsidR="0026635B">
        <w:t xml:space="preserve">endorse the inclusion of exceptions </w:t>
      </w:r>
      <w:r w:rsidR="003710FD">
        <w:t xml:space="preserve">as we believe they undermine the validity of </w:t>
      </w:r>
      <w:r w:rsidR="00A908CF">
        <w:t>the legislation.</w:t>
      </w:r>
      <w:r w:rsidR="002814B7">
        <w:t xml:space="preserve"> </w:t>
      </w:r>
      <w:r w:rsidR="002A7DD3">
        <w:t>At a minimum, we urge the Government to consider the inclusion of a review clause for the exceptions</w:t>
      </w:r>
      <w:r w:rsidR="00E4492C">
        <w:t xml:space="preserve"> with a clear pathway to removal if they are not demonstrated to have a positive or protective impact on young people or the ACT community. </w:t>
      </w:r>
      <w:r w:rsidR="002F2375">
        <w:t xml:space="preserve">While </w:t>
      </w:r>
      <w:r w:rsidR="002F2375">
        <w:rPr>
          <w:i/>
          <w:iCs/>
        </w:rPr>
        <w:t>doli incapax</w:t>
      </w:r>
      <w:r w:rsidR="002F2375">
        <w:t xml:space="preserve"> will continue to apply to young people under 14, </w:t>
      </w:r>
      <w:r w:rsidR="004B12D0">
        <w:t>we believe, as does the Australian Medical Association and the Law Council of Australia</w:t>
      </w:r>
      <w:r w:rsidR="00953723">
        <w:t>,</w:t>
      </w:r>
      <w:r w:rsidR="004B12D0">
        <w:t xml:space="preserve"> that this legal presumption is not adequate to protect young people encountering the justice system</w:t>
      </w:r>
      <w:r w:rsidR="00E225F4">
        <w:t>.</w:t>
      </w:r>
      <w:r w:rsidR="00E225F4">
        <w:rPr>
          <w:rStyle w:val="FootnoteReference"/>
        </w:rPr>
        <w:footnoteReference w:id="5"/>
      </w:r>
      <w:r w:rsidR="00E225F4">
        <w:t xml:space="preserve"> Children often face lengthy wait times in remand and in custody</w:t>
      </w:r>
      <w:r w:rsidR="00DC5A86">
        <w:t xml:space="preserve"> while matters of </w:t>
      </w:r>
      <w:r w:rsidR="00DC5A86">
        <w:rPr>
          <w:i/>
          <w:iCs/>
        </w:rPr>
        <w:t xml:space="preserve">doli incapax </w:t>
      </w:r>
      <w:r w:rsidR="00DC5A86">
        <w:t>is debated and decided</w:t>
      </w:r>
      <w:r w:rsidR="00DB3020">
        <w:t xml:space="preserve">. This often relies on judicial discretion for implementation which can lead to an increase in racial bias. We are concerned that the breadth of exceptions listed in the legislation may also lead to </w:t>
      </w:r>
      <w:r w:rsidR="0071397C">
        <w:t>racial bias, resulting in a higher proportion of Aboriginal and/or Torres Strait Islander young people in youth detention.</w:t>
      </w:r>
    </w:p>
    <w:p w14:paraId="1CA4F673" w14:textId="5DEACD73" w:rsidR="00A02719" w:rsidRPr="00A02719" w:rsidRDefault="00A02719" w:rsidP="00D86A3A">
      <w:pPr>
        <w:rPr>
          <w:b/>
          <w:bCs/>
          <w:i/>
          <w:iCs/>
        </w:rPr>
      </w:pPr>
      <w:r>
        <w:rPr>
          <w:b/>
          <w:bCs/>
          <w:i/>
          <w:iCs/>
        </w:rPr>
        <w:lastRenderedPageBreak/>
        <w:t>Therapeutic Supports</w:t>
      </w:r>
    </w:p>
    <w:p w14:paraId="439D86D3" w14:textId="750E0F58" w:rsidR="00387C6D" w:rsidRDefault="00465BAB" w:rsidP="00D86A3A">
      <w:r>
        <w:t xml:space="preserve">While specific charges of children in the ACT are not publicly available, </w:t>
      </w:r>
      <w:r w:rsidR="008B794D">
        <w:t xml:space="preserve">national </w:t>
      </w:r>
      <w:r>
        <w:t xml:space="preserve">ABS data shows that 15.5% of </w:t>
      </w:r>
      <w:r w:rsidR="0068344E">
        <w:t>crimes committed by children and young people aged 10-17 years old are committed by children aged 12-13 years</w:t>
      </w:r>
      <w:r w:rsidR="003E7D48">
        <w:t>.</w:t>
      </w:r>
      <w:r w:rsidR="003E7D48">
        <w:rPr>
          <w:rStyle w:val="FootnoteReference"/>
        </w:rPr>
        <w:footnoteReference w:id="6"/>
      </w:r>
      <w:r w:rsidR="009F679C">
        <w:t xml:space="preserve"> </w:t>
      </w:r>
      <w:r w:rsidR="006762F0">
        <w:t xml:space="preserve">The ACT </w:t>
      </w:r>
      <w:r w:rsidR="00936D65">
        <w:t>convicted a total of 223 youth offenders aged 10-17 years in 2021-22</w:t>
      </w:r>
      <w:r w:rsidR="002C7DB6">
        <w:t>.</w:t>
      </w:r>
      <w:r w:rsidR="002C7DB6">
        <w:rPr>
          <w:rStyle w:val="FootnoteReference"/>
        </w:rPr>
        <w:footnoteReference w:id="7"/>
      </w:r>
      <w:r w:rsidR="002C7DB6">
        <w:t xml:space="preserve"> If the national statistics on the age range of crimes applies generally to the ACT, this would </w:t>
      </w:r>
      <w:r w:rsidR="00255D46">
        <w:t xml:space="preserve">indicate that </w:t>
      </w:r>
      <w:r w:rsidR="002B008E">
        <w:t xml:space="preserve">approximately </w:t>
      </w:r>
      <w:r w:rsidR="00001C9E">
        <w:t>35 children aged 12-13 years are convicted of</w:t>
      </w:r>
      <w:r w:rsidR="002B008E">
        <w:t xml:space="preserve"> any</w:t>
      </w:r>
      <w:r w:rsidR="00001C9E">
        <w:t xml:space="preserve"> </w:t>
      </w:r>
      <w:r w:rsidR="002B008E">
        <w:t xml:space="preserve">offences </w:t>
      </w:r>
      <w:r w:rsidR="00001C9E">
        <w:t>in a year.</w:t>
      </w:r>
      <w:r w:rsidR="00891D68">
        <w:t xml:space="preserve"> </w:t>
      </w:r>
      <w:r w:rsidR="007F4B8F">
        <w:t>W</w:t>
      </w:r>
      <w:r w:rsidR="00AA7785">
        <w:t xml:space="preserve">e are strongly in favour of providing </w:t>
      </w:r>
      <w:r w:rsidR="00D64038">
        <w:t xml:space="preserve">holistic and therapeutic supports </w:t>
      </w:r>
      <w:r w:rsidR="00785F5A">
        <w:t>as an alternative to the criminal justice system</w:t>
      </w:r>
      <w:r w:rsidR="00E93D4D">
        <w:t xml:space="preserve">, and </w:t>
      </w:r>
      <w:r w:rsidR="00464841">
        <w:t>the very few, if any,</w:t>
      </w:r>
      <w:r w:rsidR="00E93D4D">
        <w:t xml:space="preserve"> children in </w:t>
      </w:r>
      <w:r w:rsidR="00464841">
        <w:t>this</w:t>
      </w:r>
      <w:r w:rsidR="00E93D4D">
        <w:t xml:space="preserve"> age </w:t>
      </w:r>
      <w:r w:rsidR="00464841">
        <w:t>group</w:t>
      </w:r>
      <w:r w:rsidR="00F0623A">
        <w:t xml:space="preserve"> </w:t>
      </w:r>
      <w:r w:rsidR="006424A1">
        <w:t xml:space="preserve">convicted of the exceptional offenses are likely to be more in need of </w:t>
      </w:r>
      <w:r w:rsidR="00A12A4B">
        <w:t xml:space="preserve">therapeutic supports than </w:t>
      </w:r>
      <w:r w:rsidR="009A54CE">
        <w:t xml:space="preserve">children facing lesser charges. </w:t>
      </w:r>
      <w:r w:rsidR="001D760D">
        <w:t>These statistics also speak generally to the small numbers of children and young people who face contact with the criminal justice system in the ACT</w:t>
      </w:r>
      <w:r w:rsidR="00D94FB5">
        <w:t xml:space="preserve"> in general, </w:t>
      </w:r>
      <w:r w:rsidR="00EC43DC">
        <w:t xml:space="preserve">and that </w:t>
      </w:r>
      <w:r w:rsidR="000010D7">
        <w:t xml:space="preserve">investment in and provision of alternatives to </w:t>
      </w:r>
      <w:r w:rsidR="00C335A4">
        <w:t xml:space="preserve">punitive </w:t>
      </w:r>
      <w:r w:rsidR="008A1D2C">
        <w:t xml:space="preserve">responses </w:t>
      </w:r>
      <w:r w:rsidR="00572822">
        <w:t xml:space="preserve">should be </w:t>
      </w:r>
      <w:r w:rsidR="009E23B3">
        <w:t xml:space="preserve">in place </w:t>
      </w:r>
      <w:r w:rsidR="00BC4780">
        <w:t xml:space="preserve">quickly and </w:t>
      </w:r>
      <w:r w:rsidR="009E23B3">
        <w:t>efficiently</w:t>
      </w:r>
      <w:r w:rsidR="00FF6AC6">
        <w:t xml:space="preserve">. </w:t>
      </w:r>
    </w:p>
    <w:p w14:paraId="01BF37FA" w14:textId="14FEC1BF" w:rsidR="006448D5" w:rsidRDefault="009C5B2C" w:rsidP="009C5B2C">
      <w:r>
        <w:t>According to</w:t>
      </w:r>
      <w:r w:rsidR="000D313C">
        <w:t xml:space="preserve"> feedback from members working in the space of alcohol and other drugs (AOD), </w:t>
      </w:r>
      <w:r w:rsidR="006A3EC4">
        <w:t>children and young people who are exposed to AOD issues through personal or familial experience</w:t>
      </w:r>
      <w:r w:rsidR="00725666">
        <w:t xml:space="preserve"> are at a higher risk of offending behaviour. The </w:t>
      </w:r>
      <w:r w:rsidR="001C4B73">
        <w:t xml:space="preserve">sector is seeking funding to improve services for children and young people who may require </w:t>
      </w:r>
      <w:r w:rsidR="00026E33">
        <w:t xml:space="preserve">treatment, </w:t>
      </w:r>
      <w:proofErr w:type="gramStart"/>
      <w:r w:rsidR="001C4B73">
        <w:t>support</w:t>
      </w:r>
      <w:proofErr w:type="gramEnd"/>
      <w:r w:rsidR="001C4B73">
        <w:t xml:space="preserve"> and rehabilitation services as an alternative to criminal conviction. </w:t>
      </w:r>
    </w:p>
    <w:p w14:paraId="6CCD4929" w14:textId="09ACCC3C" w:rsidR="009C5B2C" w:rsidRPr="009C5B2C" w:rsidRDefault="009C5B2C" w:rsidP="009C5B2C">
      <w:pPr>
        <w:rPr>
          <w:lang w:val="en-US"/>
        </w:rPr>
      </w:pPr>
      <w:r w:rsidRPr="009C5B2C">
        <w:rPr>
          <w:lang w:val="en-US"/>
        </w:rPr>
        <w:t xml:space="preserve">Exposure to ATOD issues, either directly as a young person or in their families, is a significant risk factor for offending </w:t>
      </w:r>
      <w:proofErr w:type="spellStart"/>
      <w:r w:rsidRPr="009C5B2C">
        <w:rPr>
          <w:lang w:val="en-US"/>
        </w:rPr>
        <w:t>behaviours</w:t>
      </w:r>
      <w:proofErr w:type="spellEnd"/>
      <w:r w:rsidRPr="009C5B2C">
        <w:rPr>
          <w:lang w:val="en-US"/>
        </w:rPr>
        <w:t xml:space="preserve">. ATODA has advocated in their </w:t>
      </w:r>
      <w:hyperlink r:id="rId11" w:history="1">
        <w:r w:rsidRPr="009C5B2C">
          <w:rPr>
            <w:rStyle w:val="Hyperlink"/>
            <w:lang w:val="en-US"/>
          </w:rPr>
          <w:t>2023-2024 ACT Budget Submission</w:t>
        </w:r>
      </w:hyperlink>
      <w:r w:rsidRPr="009C5B2C">
        <w:rPr>
          <w:lang w:val="en-US"/>
        </w:rPr>
        <w:t xml:space="preserve"> for additional funding for ATOD services, give people currently seeking treatment, care and support for ATOD issues are experiencing waiting lists in the ACT. Increasing funding to ATOD services will be a critical investment to achieve the individual, family</w:t>
      </w:r>
      <w:r w:rsidR="004A4B70" w:rsidRPr="009C5B2C">
        <w:rPr>
          <w:lang w:val="en-US"/>
        </w:rPr>
        <w:t>,</w:t>
      </w:r>
      <w:r w:rsidRPr="009C5B2C">
        <w:rPr>
          <w:lang w:val="en-US"/>
        </w:rPr>
        <w:t xml:space="preserve"> and community wellbeing objectives of the Inquiry into Justice (Age of Criminal Responsibility) Legislation Amendment Bill 2023. </w:t>
      </w:r>
      <w:r w:rsidR="00CC6568">
        <w:rPr>
          <w:lang w:val="en-US"/>
        </w:rPr>
        <w:t xml:space="preserve">Increased investment in </w:t>
      </w:r>
      <w:r w:rsidR="004E47AC">
        <w:rPr>
          <w:lang w:val="en-US"/>
        </w:rPr>
        <w:t>evidence-based programs</w:t>
      </w:r>
      <w:r w:rsidR="00344118">
        <w:rPr>
          <w:lang w:val="en-US"/>
        </w:rPr>
        <w:t xml:space="preserve"> that currently provide </w:t>
      </w:r>
      <w:r w:rsidR="004B2914">
        <w:rPr>
          <w:lang w:val="en-US"/>
        </w:rPr>
        <w:t xml:space="preserve">treatment and support to children will </w:t>
      </w:r>
      <w:r w:rsidR="00FE7F99">
        <w:rPr>
          <w:lang w:val="en-US"/>
        </w:rPr>
        <w:t>be essential to building a system of non</w:t>
      </w:r>
      <w:r w:rsidR="000D5C37">
        <w:rPr>
          <w:lang w:val="en-US"/>
        </w:rPr>
        <w:t xml:space="preserve">-punitive alternatives to criminal justice for children and young people under the MACR. </w:t>
      </w:r>
    </w:p>
    <w:p w14:paraId="4B691D48" w14:textId="77777777" w:rsidR="000D5C37" w:rsidRDefault="001F3B4E" w:rsidP="00D86A3A">
      <w:r>
        <w:t xml:space="preserve">Studies show </w:t>
      </w:r>
      <w:r w:rsidR="00D7002D">
        <w:t>strong links between yo</w:t>
      </w:r>
      <w:r w:rsidR="005B2135">
        <w:t xml:space="preserve">uth contact with the </w:t>
      </w:r>
      <w:r w:rsidR="00E747C4">
        <w:t>criminal</w:t>
      </w:r>
      <w:r w:rsidR="005B2135">
        <w:t xml:space="preserve"> justice system and </w:t>
      </w:r>
      <w:r w:rsidR="001337FE">
        <w:t>Adverse Childhood Experiences (ACEs)</w:t>
      </w:r>
      <w:r w:rsidR="00566ED7">
        <w:t>, a term to describe</w:t>
      </w:r>
      <w:r w:rsidR="001337FE">
        <w:t xml:space="preserve"> </w:t>
      </w:r>
      <w:r w:rsidR="00B739E6">
        <w:t>abuse, neglect</w:t>
      </w:r>
      <w:r w:rsidR="003B6E45">
        <w:t xml:space="preserve"> and</w:t>
      </w:r>
      <w:r w:rsidR="00B739E6">
        <w:t xml:space="preserve"> traumatic life events </w:t>
      </w:r>
      <w:r w:rsidR="003B6E45">
        <w:t xml:space="preserve">experienced by an individual </w:t>
      </w:r>
      <w:r w:rsidR="00201DAA">
        <w:t>in childhood</w:t>
      </w:r>
      <w:r w:rsidR="003B6E45">
        <w:t xml:space="preserve"> as well as</w:t>
      </w:r>
      <w:r w:rsidR="00201DAA">
        <w:t xml:space="preserve"> their</w:t>
      </w:r>
      <w:r w:rsidR="003B6E45">
        <w:t xml:space="preserve"> familial and community circumstances such as </w:t>
      </w:r>
      <w:r w:rsidR="00681719">
        <w:t>substance</w:t>
      </w:r>
      <w:r w:rsidR="00E63C02">
        <w:t xml:space="preserve"> </w:t>
      </w:r>
      <w:r w:rsidR="00361870">
        <w:t>misuse, mental ill-health and community violence.</w:t>
      </w:r>
      <w:r w:rsidR="001F486A">
        <w:rPr>
          <w:rStyle w:val="FootnoteReference"/>
        </w:rPr>
        <w:footnoteReference w:id="8"/>
      </w:r>
      <w:r w:rsidR="000B0326">
        <w:t xml:space="preserve"> </w:t>
      </w:r>
      <w:r w:rsidR="00ED57DB">
        <w:t xml:space="preserve">ACEs are understood to be cumulative, </w:t>
      </w:r>
      <w:r w:rsidR="00552566">
        <w:t xml:space="preserve">as each </w:t>
      </w:r>
      <w:r w:rsidR="002767E2">
        <w:t xml:space="preserve">marker that applies to an individual increases their risk of negative long term outcomes, including criminal convictions. </w:t>
      </w:r>
      <w:r w:rsidR="003D0587">
        <w:t>Aboriginal and/or Torres Strait Islander children are more likely to have multiple ACEs</w:t>
      </w:r>
      <w:r w:rsidR="00662DFF">
        <w:t>,</w:t>
      </w:r>
      <w:r w:rsidR="003D0587">
        <w:t xml:space="preserve"> </w:t>
      </w:r>
      <w:r w:rsidR="002A6305">
        <w:t xml:space="preserve">which are also compounded by the higher likelihood of contact with statutory child protection agencies and </w:t>
      </w:r>
      <w:r w:rsidR="00F50A09">
        <w:t>placement in out-of-home care</w:t>
      </w:r>
      <w:r w:rsidR="00756729">
        <w:t xml:space="preserve"> (OOHC)</w:t>
      </w:r>
      <w:r w:rsidR="00F50A09">
        <w:t>.</w:t>
      </w:r>
      <w:r w:rsidR="00F50A09">
        <w:rPr>
          <w:rStyle w:val="FootnoteReference"/>
        </w:rPr>
        <w:footnoteReference w:id="9"/>
      </w:r>
      <w:r w:rsidR="00F47E12">
        <w:t xml:space="preserve"> For nearly every child (97%) w</w:t>
      </w:r>
      <w:r w:rsidR="00756729">
        <w:t xml:space="preserve">ho experienced an OOHC placement and </w:t>
      </w:r>
      <w:r w:rsidR="00F47E12">
        <w:t xml:space="preserve">a </w:t>
      </w:r>
      <w:r w:rsidR="00D632B9">
        <w:t xml:space="preserve">justice supervision order, </w:t>
      </w:r>
      <w:r w:rsidR="00F47E12">
        <w:t xml:space="preserve">their </w:t>
      </w:r>
      <w:r w:rsidR="006C32BF">
        <w:t xml:space="preserve">OOHC </w:t>
      </w:r>
      <w:r w:rsidR="006C32BF">
        <w:lastRenderedPageBreak/>
        <w:t>placement</w:t>
      </w:r>
      <w:r w:rsidR="009173E0">
        <w:t xml:space="preserve"> preceded their conviction</w:t>
      </w:r>
      <w:r w:rsidR="006C32BF">
        <w:t>.</w:t>
      </w:r>
      <w:r w:rsidR="006C32BF">
        <w:rPr>
          <w:rStyle w:val="FootnoteReference"/>
        </w:rPr>
        <w:footnoteReference w:id="10"/>
      </w:r>
      <w:r w:rsidR="006C32BF">
        <w:t xml:space="preserve"> </w:t>
      </w:r>
      <w:r w:rsidR="00454E86">
        <w:t xml:space="preserve">These studies, among a plethora of other available evidence, shows the importance of </w:t>
      </w:r>
      <w:r w:rsidR="008D5FF4">
        <w:t>ensuring that the MACR is part of a broader proactive plan to ensure that children</w:t>
      </w:r>
      <w:r w:rsidR="006974A7">
        <w:t xml:space="preserve">’s rights and wellbeing are at the forefront of policy decisions. </w:t>
      </w:r>
      <w:r w:rsidR="003E6919">
        <w:t>A</w:t>
      </w:r>
      <w:r w:rsidR="00E75A26">
        <w:t xml:space="preserve">s </w:t>
      </w:r>
      <w:r w:rsidR="003E6919">
        <w:t xml:space="preserve">Aboriginal and Torres Strait Islander </w:t>
      </w:r>
      <w:r w:rsidR="001937DB">
        <w:t xml:space="preserve">communities </w:t>
      </w:r>
      <w:r w:rsidR="00E75A26">
        <w:t xml:space="preserve">are most evidently impacted by </w:t>
      </w:r>
      <w:r w:rsidR="005004EE">
        <w:t xml:space="preserve">an ongoing lack of resources, </w:t>
      </w:r>
      <w:proofErr w:type="gramStart"/>
      <w:r w:rsidR="005004EE">
        <w:t>control</w:t>
      </w:r>
      <w:proofErr w:type="gramEnd"/>
      <w:r w:rsidR="005004EE">
        <w:t xml:space="preserve"> and self-determination </w:t>
      </w:r>
      <w:r w:rsidR="00BD53C2">
        <w:t>over</w:t>
      </w:r>
      <w:r w:rsidR="005004EE">
        <w:t xml:space="preserve"> the wellbeing of children and families</w:t>
      </w:r>
      <w:r w:rsidR="00BD53C2">
        <w:t xml:space="preserve">, </w:t>
      </w:r>
      <w:r w:rsidR="00FB2671">
        <w:t xml:space="preserve">it is essential that all levels of government, including police and statutory authorities, are </w:t>
      </w:r>
      <w:r w:rsidR="002617FB">
        <w:t xml:space="preserve">making </w:t>
      </w:r>
      <w:r w:rsidR="00775BE5">
        <w:t xml:space="preserve">swift changes to align their practices with the aims of the </w:t>
      </w:r>
      <w:r w:rsidR="0029588B">
        <w:t xml:space="preserve">MACR legislation. </w:t>
      </w:r>
    </w:p>
    <w:p w14:paraId="3ACD420B" w14:textId="34A91DC6" w:rsidR="009B7028" w:rsidRDefault="00083E8E" w:rsidP="00B07477">
      <w:r>
        <w:t>Getting children out of prisons and</w:t>
      </w:r>
      <w:r w:rsidR="00ED6250">
        <w:t xml:space="preserve"> </w:t>
      </w:r>
      <w:r w:rsidR="00722695">
        <w:t>courts is a</w:t>
      </w:r>
      <w:r w:rsidR="00ED6250">
        <w:t xml:space="preserve"> goal</w:t>
      </w:r>
      <w:r w:rsidR="00722695">
        <w:t xml:space="preserve"> that</w:t>
      </w:r>
      <w:r w:rsidR="00ED6250">
        <w:t xml:space="preserve"> is reliant on the provision of </w:t>
      </w:r>
      <w:r w:rsidR="00A03905">
        <w:t xml:space="preserve">broad, impactful and </w:t>
      </w:r>
      <w:proofErr w:type="gramStart"/>
      <w:r w:rsidR="00A03905">
        <w:t>community controlled</w:t>
      </w:r>
      <w:proofErr w:type="gramEnd"/>
      <w:r w:rsidR="00A03905">
        <w:t xml:space="preserve"> services </w:t>
      </w:r>
      <w:r w:rsidR="00976664">
        <w:t xml:space="preserve">focused on prevention, before children and young people have contact with police and </w:t>
      </w:r>
      <w:r>
        <w:t xml:space="preserve">criminal justice systems. </w:t>
      </w:r>
      <w:r w:rsidR="00722695">
        <w:t xml:space="preserve">This legislation must not allow </w:t>
      </w:r>
      <w:r w:rsidR="00FF2E4D">
        <w:t>services to be established that continue to</w:t>
      </w:r>
      <w:r w:rsidR="00722695">
        <w:t xml:space="preserve"> </w:t>
      </w:r>
      <w:r w:rsidR="00A74D6E">
        <w:t>traumatise and criminalise children</w:t>
      </w:r>
      <w:r w:rsidR="00654058">
        <w:t xml:space="preserve"> under the guise of therapeutic support. At present, it is claimed that Bimberi Youth Justice Centre already operates under a therapeutic framework, however as we understand criminal justice concepts, imprisonment is very much a punishment</w:t>
      </w:r>
      <w:r w:rsidR="006C5580">
        <w:t xml:space="preserve"> through deprivation of liberty.</w:t>
      </w:r>
      <w:r w:rsidR="00DB0057">
        <w:rPr>
          <w:rStyle w:val="FootnoteReference"/>
        </w:rPr>
        <w:footnoteReference w:id="11"/>
      </w:r>
      <w:r w:rsidR="006C5580">
        <w:t xml:space="preserve"> While therapy may be provided as a part of rehabilitation, </w:t>
      </w:r>
      <w:r w:rsidR="002853EE">
        <w:t xml:space="preserve">the establishment of </w:t>
      </w:r>
      <w:r w:rsidR="00D83827">
        <w:t xml:space="preserve">processes </w:t>
      </w:r>
      <w:r w:rsidR="00EC6EF6">
        <w:t>in the MACR legislation such as the Therapeutic Support Panel, intensive therapy order and intensive therapy place must not</w:t>
      </w:r>
      <w:r w:rsidR="00D83827">
        <w:t xml:space="preserve"> </w:t>
      </w:r>
      <w:r w:rsidR="00410FF3">
        <w:t>be</w:t>
      </w:r>
      <w:r w:rsidR="005243B7">
        <w:t xml:space="preserve">come alternative carceral sites. </w:t>
      </w:r>
      <w:r w:rsidR="00137115">
        <w:t xml:space="preserve">Assessment of needs, decision making processes and </w:t>
      </w:r>
      <w:r w:rsidR="008C5F5C">
        <w:t xml:space="preserve">orders or placements made for children under the MACR </w:t>
      </w:r>
      <w:r w:rsidR="00240881">
        <w:t xml:space="preserve">must be understood to be a wholly alternative process to criminal proceedings to </w:t>
      </w:r>
      <w:r w:rsidR="00175FD0">
        <w:t xml:space="preserve">meet the needs of children </w:t>
      </w:r>
      <w:r w:rsidR="00CF4F31">
        <w:t>and respect their rights.</w:t>
      </w:r>
      <w:r w:rsidR="0009619F">
        <w:t xml:space="preserve"> ACTCOSS opposes the involvement of police in these proce</w:t>
      </w:r>
      <w:r w:rsidR="00BE3A8B">
        <w:t xml:space="preserve">sses as </w:t>
      </w:r>
      <w:r w:rsidR="00976C66">
        <w:t xml:space="preserve">these decisions should be left to suitably qualified professionals and community members who are not linked to the criminal justice system. </w:t>
      </w:r>
    </w:p>
    <w:p w14:paraId="72CBC611" w14:textId="793EDD07" w:rsidR="00390371" w:rsidRPr="00A02719" w:rsidRDefault="00390371" w:rsidP="00390371">
      <w:pPr>
        <w:rPr>
          <w:b/>
          <w:bCs/>
          <w:i/>
          <w:iCs/>
        </w:rPr>
      </w:pPr>
      <w:r>
        <w:rPr>
          <w:b/>
          <w:bCs/>
          <w:i/>
          <w:iCs/>
        </w:rPr>
        <w:t>Conclusion</w:t>
      </w:r>
    </w:p>
    <w:p w14:paraId="1E189DEC" w14:textId="2197CF78" w:rsidR="004500BB" w:rsidRDefault="00390371" w:rsidP="00B07477">
      <w:r>
        <w:t xml:space="preserve">ACTCOSS is committed to ensuring that the MACR legislation achieves the </w:t>
      </w:r>
      <w:r w:rsidR="003C403E">
        <w:t>aim of minimising the criminalisation of children and youth, ensuring their rights are upheld and they are provided with all necessary support</w:t>
      </w:r>
      <w:r w:rsidR="003A4027">
        <w:t>s</w:t>
      </w:r>
      <w:r w:rsidR="003C403E">
        <w:t xml:space="preserve"> and resources to grow into </w:t>
      </w:r>
      <w:r w:rsidR="00C63E57">
        <w:t xml:space="preserve">adults who </w:t>
      </w:r>
      <w:proofErr w:type="gramStart"/>
      <w:r w:rsidR="00C63E57">
        <w:t>are able to</w:t>
      </w:r>
      <w:proofErr w:type="gramEnd"/>
      <w:r w:rsidR="00C63E57">
        <w:t xml:space="preserve"> enjoy li</w:t>
      </w:r>
      <w:r w:rsidR="003A4027">
        <w:t>ving</w:t>
      </w:r>
      <w:r w:rsidR="00C63E57">
        <w:t xml:space="preserve"> free</w:t>
      </w:r>
      <w:r w:rsidR="00E83FAE">
        <w:t>ly</w:t>
      </w:r>
      <w:r w:rsidR="00C63E57">
        <w:t xml:space="preserve"> in their communities. </w:t>
      </w:r>
      <w:r w:rsidR="00E83FAE">
        <w:t xml:space="preserve">We hope to work alongside the ACT government and the community sector to deliver these aims </w:t>
      </w:r>
      <w:r w:rsidR="00917B70">
        <w:t xml:space="preserve">and ensure a safer and more just community for </w:t>
      </w:r>
      <w:r w:rsidR="00335AF3">
        <w:t xml:space="preserve">all. </w:t>
      </w: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1BA32328" w14:textId="4BEAE6BC" w:rsidR="00B50635" w:rsidRPr="00F00747" w:rsidRDefault="00DE4946" w:rsidP="00B50635">
      <w:pPr>
        <w:rPr>
          <w:rFonts w:eastAsiaTheme="minorHAnsi"/>
          <w:lang w:val="en-US" w:eastAsia="en-US"/>
        </w:rPr>
      </w:pPr>
      <w:r>
        <w:rPr>
          <w:rFonts w:eastAsiaTheme="minorHAnsi"/>
          <w:noProof/>
          <w:lang w:val="en-US" w:eastAsia="en-US"/>
        </w:rPr>
        <w:drawing>
          <wp:inline distT="0" distB="0" distL="0" distR="0" wp14:anchorId="2F4EF35A" wp14:editId="02DA844A">
            <wp:extent cx="1717523" cy="381000"/>
            <wp:effectExtent l="0" t="0" r="0" b="0"/>
            <wp:docPr id="967871147" name="Picture 9678711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697" cy="401669"/>
                    </a:xfrm>
                    <a:prstGeom prst="rect">
                      <a:avLst/>
                    </a:prstGeom>
                    <a:noFill/>
                    <a:ln>
                      <a:noFill/>
                    </a:ln>
                  </pic:spPr>
                </pic:pic>
              </a:graphicData>
            </a:graphic>
          </wp:inline>
        </w:drawing>
      </w:r>
    </w:p>
    <w:p w14:paraId="29FEB8B4" w14:textId="211A8D99" w:rsidR="00621E13" w:rsidRPr="00CD4B44" w:rsidRDefault="00340262">
      <w:pPr>
        <w:rPr>
          <w:rFonts w:eastAsiaTheme="minorHAnsi"/>
          <w:lang w:val="en-US" w:eastAsia="en-US"/>
        </w:rPr>
      </w:pPr>
      <w:r>
        <w:rPr>
          <w:rFonts w:eastAsiaTheme="minorHAnsi"/>
          <w:lang w:eastAsia="en-US"/>
        </w:rPr>
        <w:t>Dr Devin Bowles</w:t>
      </w:r>
      <w:r w:rsidR="00B50635" w:rsidRPr="00F00747">
        <w:rPr>
          <w:rFonts w:eastAsiaTheme="minorHAnsi"/>
          <w:lang w:val="en-US" w:eastAsia="en-US"/>
        </w:rPr>
        <w:br/>
      </w:r>
      <w:r>
        <w:rPr>
          <w:rFonts w:eastAsiaTheme="minorHAnsi"/>
          <w:lang w:val="en-US" w:eastAsia="en-US"/>
        </w:rPr>
        <w:t>Chief Executive Officer</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ceo@actcoss.org.au</w:t>
      </w:r>
    </w:p>
    <w:sectPr w:rsidR="00621E13" w:rsidRPr="00CD4B44" w:rsidSect="00C75E04">
      <w:headerReference w:type="even" r:id="rId13"/>
      <w:headerReference w:type="default" r:id="rId14"/>
      <w:footerReference w:type="even" r:id="rId15"/>
      <w:footerReference w:type="default" r:id="rId16"/>
      <w:headerReference w:type="first" r:id="rId17"/>
      <w:footerReference w:type="first" r:id="rId18"/>
      <w:pgSz w:w="11900" w:h="16840"/>
      <w:pgMar w:top="2552" w:right="1440" w:bottom="2268"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4A9F" w14:textId="77777777" w:rsidR="001F44BC" w:rsidRDefault="001F44BC" w:rsidP="00B50635">
      <w:pPr>
        <w:spacing w:after="0" w:line="240" w:lineRule="auto"/>
      </w:pPr>
      <w:r>
        <w:separator/>
      </w:r>
    </w:p>
  </w:endnote>
  <w:endnote w:type="continuationSeparator" w:id="0">
    <w:p w14:paraId="213F5B35" w14:textId="77777777" w:rsidR="001F44BC" w:rsidRDefault="001F44BC" w:rsidP="00B50635">
      <w:pPr>
        <w:spacing w:after="0" w:line="240" w:lineRule="auto"/>
      </w:pPr>
      <w:r>
        <w:continuationSeparator/>
      </w:r>
    </w:p>
  </w:endnote>
  <w:endnote w:type="continuationNotice" w:id="1">
    <w:p w14:paraId="48BCD54B" w14:textId="77777777" w:rsidR="001F44BC" w:rsidRDefault="001F4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rsidP="00205F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002D5181" w:rsidR="00EA37B8" w:rsidRDefault="00B723CC" w:rsidP="00B77E46">
    <w:pPr>
      <w:pStyle w:val="Footer"/>
      <w:ind w:right="360"/>
    </w:pPr>
    <w:r>
      <w:rPr>
        <w:noProof/>
      </w:rPr>
      <w:drawing>
        <wp:anchor distT="0" distB="0" distL="114300" distR="114300" simplePos="0" relativeHeight="251658242" behindDoc="1" locked="0" layoutInCell="1" allowOverlap="1" wp14:anchorId="7BAF4A65" wp14:editId="0302FC3D">
          <wp:simplePos x="0" y="0"/>
          <wp:positionH relativeFrom="column">
            <wp:posOffset>-559697</wp:posOffset>
          </wp:positionH>
          <wp:positionV relativeFrom="paragraph">
            <wp:posOffset>-1946910</wp:posOffset>
          </wp:positionV>
          <wp:extent cx="7584142" cy="2688842"/>
          <wp:effectExtent l="0" t="0" r="0" b="3810"/>
          <wp:wrapNone/>
          <wp:docPr id="689260389" name="Picture 68926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4142" cy="2688842"/>
                  </a:xfrm>
                  <a:prstGeom prst="rect">
                    <a:avLst/>
                  </a:prstGeom>
                </pic:spPr>
              </pic:pic>
            </a:graphicData>
          </a:graphic>
          <wp14:sizeRelH relativeFrom="page">
            <wp14:pctWidth>0</wp14:pctWidth>
          </wp14:sizeRelH>
          <wp14:sizeRelV relativeFrom="page">
            <wp14:pctHeight>0</wp14:pctHeight>
          </wp14:sizeRelV>
        </wp:anchor>
      </w:drawing>
    </w:r>
    <w:r w:rsidR="00B77E46" w:rsidRPr="00B77E46">
      <w:rPr>
        <w:rFonts w:cs="Arial"/>
        <w:color w:val="211D1E"/>
        <w:sz w:val="19"/>
        <w:szCs w:val="19"/>
      </w:rPr>
      <w:t>ABN 81 818 839 988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A557" w14:textId="77777777" w:rsidR="001F44BC" w:rsidRDefault="001F44BC" w:rsidP="00B50635">
      <w:pPr>
        <w:spacing w:after="0" w:line="240" w:lineRule="auto"/>
      </w:pPr>
      <w:r>
        <w:separator/>
      </w:r>
    </w:p>
  </w:footnote>
  <w:footnote w:type="continuationSeparator" w:id="0">
    <w:p w14:paraId="3F7075D6" w14:textId="77777777" w:rsidR="001F44BC" w:rsidRDefault="001F44BC" w:rsidP="00B50635">
      <w:pPr>
        <w:spacing w:after="0" w:line="240" w:lineRule="auto"/>
      </w:pPr>
      <w:r>
        <w:continuationSeparator/>
      </w:r>
    </w:p>
  </w:footnote>
  <w:footnote w:type="continuationNotice" w:id="1">
    <w:p w14:paraId="46765CA1" w14:textId="77777777" w:rsidR="001F44BC" w:rsidRDefault="001F44BC">
      <w:pPr>
        <w:spacing w:after="0" w:line="240" w:lineRule="auto"/>
      </w:pPr>
    </w:p>
  </w:footnote>
  <w:footnote w:id="2">
    <w:p w14:paraId="565EA5A6" w14:textId="7E6D38FF" w:rsidR="008225DD" w:rsidRDefault="008225DD">
      <w:pPr>
        <w:pStyle w:val="FootnoteText"/>
      </w:pPr>
      <w:r>
        <w:rPr>
          <w:rStyle w:val="FootnoteReference"/>
        </w:rPr>
        <w:footnoteRef/>
      </w:r>
      <w:r>
        <w:t xml:space="preserve"> </w:t>
      </w:r>
      <w:r w:rsidR="007F2948">
        <w:t xml:space="preserve">Australian Bureau of Statistics (ABS), </w:t>
      </w:r>
      <w:hyperlink r:id="rId1" w:anchor=":~:text=The%20Australian%20criminal%20justice%20system,to%20community%20members%2C%20are%20criminal." w:history="1">
        <w:r w:rsidR="00097BF2">
          <w:rPr>
            <w:rStyle w:val="Hyperlink"/>
            <w:i/>
            <w:iCs/>
          </w:rPr>
          <w:t>Crime and Justice: The criminal justice system</w:t>
        </w:r>
      </w:hyperlink>
      <w:r w:rsidR="00007D17">
        <w:t xml:space="preserve">, </w:t>
      </w:r>
      <w:r w:rsidR="00F2575F">
        <w:t xml:space="preserve">ABS, </w:t>
      </w:r>
      <w:r w:rsidR="00362254">
        <w:t xml:space="preserve">June 1997, </w:t>
      </w:r>
      <w:r w:rsidR="00430C21">
        <w:t xml:space="preserve">accessed </w:t>
      </w:r>
      <w:r w:rsidR="00731B71">
        <w:t>1 June 2023</w:t>
      </w:r>
      <w:r w:rsidR="000F36C1">
        <w:t xml:space="preserve">. </w:t>
      </w:r>
    </w:p>
  </w:footnote>
  <w:footnote w:id="3">
    <w:p w14:paraId="2700DD3B" w14:textId="1E1EC314" w:rsidR="005D1202" w:rsidRPr="00AF7B48" w:rsidRDefault="005D1202" w:rsidP="005D1202">
      <w:pPr>
        <w:pStyle w:val="FootnoteText"/>
        <w:rPr>
          <w:color w:val="0563C1" w:themeColor="hyperlink"/>
          <w:u w:val="single"/>
        </w:rPr>
      </w:pPr>
      <w:r>
        <w:rPr>
          <w:rStyle w:val="FootnoteReference"/>
        </w:rPr>
        <w:footnoteRef/>
      </w:r>
      <w:r>
        <w:t xml:space="preserve"> </w:t>
      </w:r>
      <w:r w:rsidR="00D178DA">
        <w:t xml:space="preserve">Australian Law Reform Commission, </w:t>
      </w:r>
      <w:hyperlink r:id="rId2" w:history="1">
        <w:r w:rsidRPr="00595F7E">
          <w:rPr>
            <w:rStyle w:val="Hyperlink"/>
            <w:i/>
            <w:iCs/>
          </w:rPr>
          <w:t>A common law principle</w:t>
        </w:r>
      </w:hyperlink>
      <w:r w:rsidR="009D18AA">
        <w:t>,</w:t>
      </w:r>
      <w:r w:rsidR="001F2ABB">
        <w:t xml:space="preserve"> </w:t>
      </w:r>
      <w:r w:rsidR="00BC2E61">
        <w:t xml:space="preserve">Australian Government, </w:t>
      </w:r>
      <w:r w:rsidR="00A30D73">
        <w:t xml:space="preserve">accessed </w:t>
      </w:r>
      <w:r w:rsidR="009D18AA">
        <w:t xml:space="preserve">29 May 2023. </w:t>
      </w:r>
    </w:p>
  </w:footnote>
  <w:footnote w:id="4">
    <w:p w14:paraId="70B67CA3" w14:textId="19F22C31" w:rsidR="001B7940" w:rsidRDefault="001B7940">
      <w:pPr>
        <w:pStyle w:val="FootnoteText"/>
      </w:pPr>
      <w:r>
        <w:rPr>
          <w:rStyle w:val="FootnoteReference"/>
        </w:rPr>
        <w:footnoteRef/>
      </w:r>
      <w:r>
        <w:t xml:space="preserve"> </w:t>
      </w:r>
      <w:r w:rsidR="00F043D4">
        <w:t xml:space="preserve">ACT Government, </w:t>
      </w:r>
      <w:hyperlink r:id="rId3" w:history="1">
        <w:r w:rsidR="0016465A" w:rsidRPr="0018374B">
          <w:rPr>
            <w:rStyle w:val="Hyperlink"/>
            <w:i/>
            <w:iCs/>
          </w:rPr>
          <w:t>Justice (Age of Criminal Responsibility) Legislation Amendment Bill 2023 – Explanatory Statement</w:t>
        </w:r>
      </w:hyperlink>
      <w:r w:rsidR="0018374B">
        <w:t xml:space="preserve">, </w:t>
      </w:r>
      <w:r w:rsidR="00F37C42">
        <w:t xml:space="preserve">ACT Government, </w:t>
      </w:r>
      <w:r w:rsidR="00AE3AA6">
        <w:t xml:space="preserve">9 May 2023, accessed 29 May 2023. </w:t>
      </w:r>
    </w:p>
  </w:footnote>
  <w:footnote w:id="5">
    <w:p w14:paraId="56C041F1" w14:textId="64A49BB7" w:rsidR="00E225F4" w:rsidRPr="00E225F4" w:rsidRDefault="00E225F4">
      <w:pPr>
        <w:pStyle w:val="FootnoteText"/>
        <w:rPr>
          <w:lang w:val="en-US"/>
        </w:rPr>
      </w:pPr>
      <w:r>
        <w:rPr>
          <w:rStyle w:val="FootnoteReference"/>
        </w:rPr>
        <w:footnoteRef/>
      </w:r>
      <w:r>
        <w:t xml:space="preserve"> </w:t>
      </w:r>
      <w:r w:rsidRPr="00E225F4">
        <w:t xml:space="preserve">AMA and Law Council of Australia, </w:t>
      </w:r>
      <w:hyperlink r:id="rId4" w:history="1">
        <w:r w:rsidRPr="00055D5D">
          <w:rPr>
            <w:rStyle w:val="Hyperlink"/>
            <w:i/>
            <w:iCs/>
          </w:rPr>
          <w:t>Minimum Age of Criminal Responsibility: Policy Statement</w:t>
        </w:r>
      </w:hyperlink>
      <w:r w:rsidRPr="00E225F4">
        <w:t xml:space="preserve">, AMA and Law Council of Australia, 2020, accessed </w:t>
      </w:r>
      <w:r w:rsidR="00055D5D">
        <w:t>29 May 2023</w:t>
      </w:r>
      <w:r w:rsidRPr="00E225F4">
        <w:t>.</w:t>
      </w:r>
    </w:p>
  </w:footnote>
  <w:footnote w:id="6">
    <w:p w14:paraId="5478D252" w14:textId="2A5D68A1" w:rsidR="003E7D48" w:rsidRDefault="003E7D48">
      <w:pPr>
        <w:pStyle w:val="FootnoteText"/>
      </w:pPr>
      <w:r>
        <w:rPr>
          <w:rStyle w:val="FootnoteReference"/>
        </w:rPr>
        <w:footnoteRef/>
      </w:r>
      <w:r>
        <w:t xml:space="preserve"> </w:t>
      </w:r>
      <w:r w:rsidR="00164903">
        <w:t xml:space="preserve">ABS, </w:t>
      </w:r>
      <w:hyperlink r:id="rId5" w:history="1">
        <w:r w:rsidR="00164903" w:rsidRPr="00E92C36">
          <w:rPr>
            <w:rStyle w:val="Hyperlink"/>
            <w:i/>
            <w:iCs/>
          </w:rPr>
          <w:t>Recorded Crime - Offenders</w:t>
        </w:r>
      </w:hyperlink>
      <w:r w:rsidR="00E92C36">
        <w:t xml:space="preserve">, </w:t>
      </w:r>
      <w:r w:rsidR="00994D4A">
        <w:t xml:space="preserve">ABS, </w:t>
      </w:r>
      <w:r w:rsidR="009F4CDD">
        <w:t xml:space="preserve">9 February </w:t>
      </w:r>
      <w:r w:rsidR="006B2718">
        <w:t xml:space="preserve">2023, accessed </w:t>
      </w:r>
      <w:r w:rsidR="00A848BC">
        <w:t xml:space="preserve">1 June 2023. </w:t>
      </w:r>
    </w:p>
  </w:footnote>
  <w:footnote w:id="7">
    <w:p w14:paraId="6CB4F156" w14:textId="7515066D" w:rsidR="002C7DB6" w:rsidRDefault="002C7DB6">
      <w:pPr>
        <w:pStyle w:val="FootnoteText"/>
      </w:pPr>
      <w:r>
        <w:rPr>
          <w:rStyle w:val="FootnoteReference"/>
        </w:rPr>
        <w:footnoteRef/>
      </w:r>
      <w:r>
        <w:t xml:space="preserve"> </w:t>
      </w:r>
      <w:r w:rsidR="00A848BC">
        <w:t xml:space="preserve">ABS, </w:t>
      </w:r>
      <w:r w:rsidR="00A848BC">
        <w:rPr>
          <w:i/>
          <w:iCs/>
        </w:rPr>
        <w:t xml:space="preserve">Recorded Crime – Offenders. </w:t>
      </w:r>
    </w:p>
  </w:footnote>
  <w:footnote w:id="8">
    <w:p w14:paraId="1D267B39" w14:textId="01BD0DEF" w:rsidR="001F486A" w:rsidRDefault="001F486A">
      <w:pPr>
        <w:pStyle w:val="FootnoteText"/>
      </w:pPr>
      <w:r>
        <w:rPr>
          <w:rStyle w:val="FootnoteReference"/>
        </w:rPr>
        <w:footnoteRef/>
      </w:r>
      <w:r>
        <w:t xml:space="preserve"> </w:t>
      </w:r>
      <w:r w:rsidR="00B431A6">
        <w:t xml:space="preserve">C </w:t>
      </w:r>
      <w:r w:rsidRPr="001F486A">
        <w:t>Malvaso et al.</w:t>
      </w:r>
      <w:r w:rsidR="00591217">
        <w:t>,</w:t>
      </w:r>
      <w:r w:rsidRPr="001F486A">
        <w:t xml:space="preserve"> </w:t>
      </w:r>
      <w:hyperlink r:id="rId6" w:history="1">
        <w:r w:rsidR="001F371B">
          <w:rPr>
            <w:rStyle w:val="Hyperlink"/>
          </w:rPr>
          <w:t>'Adverse childhood experiences and trauma among young people in the youth justice system'</w:t>
        </w:r>
      </w:hyperlink>
      <w:r w:rsidR="00B431A6">
        <w:t xml:space="preserve">, </w:t>
      </w:r>
      <w:r w:rsidRPr="001F371B">
        <w:rPr>
          <w:i/>
          <w:iCs/>
        </w:rPr>
        <w:t>Trends &amp; issues in crime and criminal justice</w:t>
      </w:r>
      <w:r w:rsidR="000252EF">
        <w:t>, 2022,</w:t>
      </w:r>
      <w:r w:rsidRPr="001F486A">
        <w:t xml:space="preserve"> no. 651</w:t>
      </w:r>
      <w:r w:rsidR="00B148FD">
        <w:t>,</w:t>
      </w:r>
      <w:r w:rsidRPr="001F486A">
        <w:t xml:space="preserve"> doi</w:t>
      </w:r>
      <w:r w:rsidR="00B148FD">
        <w:t>:</w:t>
      </w:r>
      <w:r w:rsidRPr="001F486A">
        <w:t>10.52922/ti78610</w:t>
      </w:r>
    </w:p>
  </w:footnote>
  <w:footnote w:id="9">
    <w:p w14:paraId="174BF591" w14:textId="1ECCB624" w:rsidR="00F50A09" w:rsidRDefault="00F50A09">
      <w:pPr>
        <w:pStyle w:val="FootnoteText"/>
      </w:pPr>
      <w:r>
        <w:rPr>
          <w:rStyle w:val="FootnoteReference"/>
        </w:rPr>
        <w:footnoteRef/>
      </w:r>
      <w:r>
        <w:t xml:space="preserve"> </w:t>
      </w:r>
      <w:r w:rsidR="00CB587C" w:rsidRPr="00CB587C">
        <w:t>C Malvaso et al.</w:t>
      </w:r>
      <w:r w:rsidR="005A71E8">
        <w:t>,</w:t>
      </w:r>
      <w:r w:rsidR="00CB587C" w:rsidRPr="00CB587C">
        <w:t xml:space="preserve"> 'Adverse childhood experiences and trauma among young people in the youth justice system'</w:t>
      </w:r>
      <w:r w:rsidR="000A20CE">
        <w:t>.</w:t>
      </w:r>
      <w:r>
        <w:t xml:space="preserve">; </w:t>
      </w:r>
      <w:r w:rsidR="001D1CCD">
        <w:t xml:space="preserve">E Colvin, </w:t>
      </w:r>
      <w:r w:rsidR="00D66E26">
        <w:t xml:space="preserve">A Gerard &amp; A McGrath, </w:t>
      </w:r>
      <w:hyperlink r:id="rId7" w:history="1">
        <w:r w:rsidR="00E44FAA" w:rsidRPr="002A74BB">
          <w:rPr>
            <w:rStyle w:val="Hyperlink"/>
          </w:rPr>
          <w:t>‘</w:t>
        </w:r>
        <w:r w:rsidR="001A06EC" w:rsidRPr="002A74BB">
          <w:rPr>
            <w:rStyle w:val="Hyperlink"/>
          </w:rPr>
          <w:t>Children in out-of-home care and the criminal justice system: A mixed-method study</w:t>
        </w:r>
        <w:r w:rsidR="00E44FAA" w:rsidRPr="002A74BB">
          <w:rPr>
            <w:rStyle w:val="Hyperlink"/>
          </w:rPr>
          <w:t>’</w:t>
        </w:r>
      </w:hyperlink>
      <w:r w:rsidR="002A74BB">
        <w:t xml:space="preserve">, </w:t>
      </w:r>
      <w:r w:rsidR="009B47F4">
        <w:rPr>
          <w:i/>
          <w:iCs/>
        </w:rPr>
        <w:t xml:space="preserve">Report to the Criminology </w:t>
      </w:r>
      <w:r w:rsidR="002521FE">
        <w:rPr>
          <w:i/>
          <w:iCs/>
        </w:rPr>
        <w:t xml:space="preserve">Advisory Council, </w:t>
      </w:r>
      <w:r w:rsidR="006F653E">
        <w:t xml:space="preserve">September 2020. </w:t>
      </w:r>
    </w:p>
  </w:footnote>
  <w:footnote w:id="10">
    <w:p w14:paraId="4A5862E7" w14:textId="142AD894" w:rsidR="006C32BF" w:rsidRDefault="006C32BF">
      <w:pPr>
        <w:pStyle w:val="FootnoteText"/>
      </w:pPr>
      <w:r>
        <w:rPr>
          <w:rStyle w:val="FootnoteReference"/>
        </w:rPr>
        <w:footnoteRef/>
      </w:r>
      <w:r>
        <w:t xml:space="preserve"> </w:t>
      </w:r>
      <w:r w:rsidR="00591217">
        <w:t xml:space="preserve">Colvin et al., </w:t>
      </w:r>
      <w:r w:rsidRPr="006F653E">
        <w:t>Children in out-of-home care and the criminal justice system</w:t>
      </w:r>
      <w:r w:rsidR="00591217">
        <w:t>.</w:t>
      </w:r>
    </w:p>
  </w:footnote>
  <w:footnote w:id="11">
    <w:p w14:paraId="389C7D86" w14:textId="5E0C0DE6" w:rsidR="00DB0057" w:rsidRDefault="00DB0057">
      <w:pPr>
        <w:pStyle w:val="FootnoteText"/>
      </w:pPr>
      <w:r>
        <w:rPr>
          <w:rStyle w:val="FootnoteReference"/>
        </w:rPr>
        <w:footnoteRef/>
      </w:r>
      <w:r>
        <w:t xml:space="preserve"> </w:t>
      </w:r>
      <w:r w:rsidR="00B962C0">
        <w:t>ACT Inspector of Correctional Services</w:t>
      </w:r>
      <w:r w:rsidR="00390371">
        <w:t xml:space="preserve"> (ACT ICS)</w:t>
      </w:r>
      <w:r w:rsidR="00B962C0">
        <w:t xml:space="preserve">, </w:t>
      </w:r>
      <w:hyperlink r:id="rId8" w:history="1">
        <w:r w:rsidR="00492151" w:rsidRPr="00492151">
          <w:rPr>
            <w:rStyle w:val="Hyperlink"/>
            <w:i/>
            <w:iCs/>
          </w:rPr>
          <w:t xml:space="preserve">Healthy Centre Review of </w:t>
        </w:r>
        <w:proofErr w:type="spellStart"/>
        <w:r w:rsidR="00492151" w:rsidRPr="00492151">
          <w:rPr>
            <w:rStyle w:val="Hyperlink"/>
            <w:i/>
            <w:iCs/>
          </w:rPr>
          <w:t>Bimberi</w:t>
        </w:r>
        <w:proofErr w:type="spellEnd"/>
        <w:r w:rsidR="00492151" w:rsidRPr="00492151">
          <w:rPr>
            <w:rStyle w:val="Hyperlink"/>
            <w:i/>
            <w:iCs/>
          </w:rPr>
          <w:t xml:space="preserve"> Youth Justice Centre</w:t>
        </w:r>
      </w:hyperlink>
      <w:r w:rsidR="00492151">
        <w:t xml:space="preserve">, </w:t>
      </w:r>
      <w:r w:rsidR="00390371">
        <w:t xml:space="preserve">ACT ICS, </w:t>
      </w:r>
      <w:r w:rsidR="004F3C59">
        <w:t xml:space="preserve">16 November 2021, accessed </w:t>
      </w:r>
      <w:r w:rsidR="00A82F1D">
        <w:t xml:space="preserve">2 June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52AE" w14:textId="77777777" w:rsidR="00297DE1" w:rsidRDefault="0029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8E5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AD05C6"/>
    <w:multiLevelType w:val="hybridMultilevel"/>
    <w:tmpl w:val="6CA6A3D4"/>
    <w:lvl w:ilvl="0" w:tplc="DEF87C02">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33981"/>
    <w:multiLevelType w:val="hybridMultilevel"/>
    <w:tmpl w:val="FBA0DA3E"/>
    <w:lvl w:ilvl="0" w:tplc="DEF87C02">
      <w:start w:val="1"/>
      <w:numFmt w:val="bullet"/>
      <w:lvlText w:val=""/>
      <w:lvlJc w:val="left"/>
      <w:pPr>
        <w:ind w:left="720" w:hanging="360"/>
      </w:pPr>
      <w:rPr>
        <w:rFonts w:ascii="Symbol" w:hAnsi="Symbol" w:hint="default"/>
        <w:color w:val="4472C4" w:themeColor="accent1"/>
      </w:rPr>
    </w:lvl>
    <w:lvl w:ilvl="1" w:tplc="DEF87C02">
      <w:start w:val="1"/>
      <w:numFmt w:val="bullet"/>
      <w:lvlText w:val=""/>
      <w:lvlJc w:val="left"/>
      <w:pPr>
        <w:ind w:left="1440" w:hanging="360"/>
      </w:pPr>
      <w:rPr>
        <w:rFonts w:ascii="Symbol" w:hAnsi="Symbol" w:hint="default"/>
        <w:color w:val="4472C4"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6D70BF"/>
    <w:multiLevelType w:val="hybridMultilevel"/>
    <w:tmpl w:val="48C89F12"/>
    <w:lvl w:ilvl="0" w:tplc="DEF87C02">
      <w:start w:val="1"/>
      <w:numFmt w:val="bullet"/>
      <w:lvlText w:val=""/>
      <w:lvlJc w:val="left"/>
      <w:pPr>
        <w:ind w:left="1500" w:hanging="360"/>
      </w:pPr>
      <w:rPr>
        <w:rFonts w:ascii="Symbol" w:hAnsi="Symbol" w:hint="default"/>
        <w:color w:val="4472C4" w:themeColor="accent1"/>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4E10B5A"/>
    <w:multiLevelType w:val="hybridMultilevel"/>
    <w:tmpl w:val="DB3A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9A669E"/>
    <w:multiLevelType w:val="hybridMultilevel"/>
    <w:tmpl w:val="48320566"/>
    <w:lvl w:ilvl="0" w:tplc="4590F87C">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6E2E52"/>
    <w:multiLevelType w:val="hybridMultilevel"/>
    <w:tmpl w:val="548ABE16"/>
    <w:lvl w:ilvl="0" w:tplc="DEF87C02">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8232018">
    <w:abstractNumId w:val="5"/>
  </w:num>
  <w:num w:numId="2" w16cid:durableId="1681615869">
    <w:abstractNumId w:val="3"/>
  </w:num>
  <w:num w:numId="3" w16cid:durableId="707756010">
    <w:abstractNumId w:val="1"/>
  </w:num>
  <w:num w:numId="4" w16cid:durableId="1451318524">
    <w:abstractNumId w:val="6"/>
  </w:num>
  <w:num w:numId="5" w16cid:durableId="1673482365">
    <w:abstractNumId w:val="2"/>
  </w:num>
  <w:num w:numId="6" w16cid:durableId="1314145391">
    <w:abstractNumId w:val="0"/>
  </w:num>
  <w:num w:numId="7" w16cid:durableId="78842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10D7"/>
    <w:rsid w:val="00001C9E"/>
    <w:rsid w:val="0000776B"/>
    <w:rsid w:val="00007D17"/>
    <w:rsid w:val="00010C14"/>
    <w:rsid w:val="00013718"/>
    <w:rsid w:val="00015C0B"/>
    <w:rsid w:val="000252EF"/>
    <w:rsid w:val="00026E33"/>
    <w:rsid w:val="00032033"/>
    <w:rsid w:val="00055486"/>
    <w:rsid w:val="00055504"/>
    <w:rsid w:val="00055D5D"/>
    <w:rsid w:val="00060C10"/>
    <w:rsid w:val="00064162"/>
    <w:rsid w:val="0006423A"/>
    <w:rsid w:val="00072C7D"/>
    <w:rsid w:val="00076662"/>
    <w:rsid w:val="00083592"/>
    <w:rsid w:val="00083E8E"/>
    <w:rsid w:val="00090541"/>
    <w:rsid w:val="000909A9"/>
    <w:rsid w:val="00091223"/>
    <w:rsid w:val="0009619F"/>
    <w:rsid w:val="00097BF2"/>
    <w:rsid w:val="000A20CE"/>
    <w:rsid w:val="000A2EB0"/>
    <w:rsid w:val="000A3664"/>
    <w:rsid w:val="000A7848"/>
    <w:rsid w:val="000A7DC7"/>
    <w:rsid w:val="000B0326"/>
    <w:rsid w:val="000B4447"/>
    <w:rsid w:val="000C0E2E"/>
    <w:rsid w:val="000C288C"/>
    <w:rsid w:val="000C419D"/>
    <w:rsid w:val="000D1DD4"/>
    <w:rsid w:val="000D313C"/>
    <w:rsid w:val="000D3AAC"/>
    <w:rsid w:val="000D48E4"/>
    <w:rsid w:val="000D5C37"/>
    <w:rsid w:val="000D5DE9"/>
    <w:rsid w:val="000E0A01"/>
    <w:rsid w:val="000E2080"/>
    <w:rsid w:val="000E376A"/>
    <w:rsid w:val="000F0186"/>
    <w:rsid w:val="000F36C1"/>
    <w:rsid w:val="000F3980"/>
    <w:rsid w:val="000F5E3E"/>
    <w:rsid w:val="001008A7"/>
    <w:rsid w:val="00102A57"/>
    <w:rsid w:val="00113444"/>
    <w:rsid w:val="001337FE"/>
    <w:rsid w:val="00135344"/>
    <w:rsid w:val="001360FF"/>
    <w:rsid w:val="00137115"/>
    <w:rsid w:val="00145556"/>
    <w:rsid w:val="00146B09"/>
    <w:rsid w:val="00147AF1"/>
    <w:rsid w:val="00152DFB"/>
    <w:rsid w:val="00157740"/>
    <w:rsid w:val="0016465A"/>
    <w:rsid w:val="00164903"/>
    <w:rsid w:val="00167D92"/>
    <w:rsid w:val="00175FD0"/>
    <w:rsid w:val="00182905"/>
    <w:rsid w:val="0018374B"/>
    <w:rsid w:val="00185523"/>
    <w:rsid w:val="0018574F"/>
    <w:rsid w:val="00186AD6"/>
    <w:rsid w:val="00186D67"/>
    <w:rsid w:val="00186F3B"/>
    <w:rsid w:val="0019177A"/>
    <w:rsid w:val="00193667"/>
    <w:rsid w:val="001937DB"/>
    <w:rsid w:val="001951D0"/>
    <w:rsid w:val="0019711D"/>
    <w:rsid w:val="001A06EC"/>
    <w:rsid w:val="001A0842"/>
    <w:rsid w:val="001A66F1"/>
    <w:rsid w:val="001B0D65"/>
    <w:rsid w:val="001B2838"/>
    <w:rsid w:val="001B39E9"/>
    <w:rsid w:val="001B551D"/>
    <w:rsid w:val="001B7940"/>
    <w:rsid w:val="001C0D00"/>
    <w:rsid w:val="001C29F7"/>
    <w:rsid w:val="001C38A3"/>
    <w:rsid w:val="001C45E6"/>
    <w:rsid w:val="001C4B73"/>
    <w:rsid w:val="001C7F3F"/>
    <w:rsid w:val="001D1CCD"/>
    <w:rsid w:val="001D73D9"/>
    <w:rsid w:val="001D760D"/>
    <w:rsid w:val="001E1A78"/>
    <w:rsid w:val="001F2ABB"/>
    <w:rsid w:val="001F371B"/>
    <w:rsid w:val="001F3B4E"/>
    <w:rsid w:val="001F3E89"/>
    <w:rsid w:val="001F44BC"/>
    <w:rsid w:val="001F486A"/>
    <w:rsid w:val="001F6CE5"/>
    <w:rsid w:val="00201DAA"/>
    <w:rsid w:val="002053FB"/>
    <w:rsid w:val="00205572"/>
    <w:rsid w:val="00207920"/>
    <w:rsid w:val="002143EC"/>
    <w:rsid w:val="00217A22"/>
    <w:rsid w:val="00232385"/>
    <w:rsid w:val="00232971"/>
    <w:rsid w:val="00234375"/>
    <w:rsid w:val="0023531B"/>
    <w:rsid w:val="00240881"/>
    <w:rsid w:val="002423D4"/>
    <w:rsid w:val="00245EBB"/>
    <w:rsid w:val="002511C0"/>
    <w:rsid w:val="002521FE"/>
    <w:rsid w:val="00254C58"/>
    <w:rsid w:val="00255D46"/>
    <w:rsid w:val="002617FB"/>
    <w:rsid w:val="00264FE9"/>
    <w:rsid w:val="0026635B"/>
    <w:rsid w:val="002767E2"/>
    <w:rsid w:val="00280C16"/>
    <w:rsid w:val="002814B7"/>
    <w:rsid w:val="002827E9"/>
    <w:rsid w:val="00283FDA"/>
    <w:rsid w:val="00284F54"/>
    <w:rsid w:val="002853EE"/>
    <w:rsid w:val="002859C7"/>
    <w:rsid w:val="002902F4"/>
    <w:rsid w:val="0029588B"/>
    <w:rsid w:val="00295C90"/>
    <w:rsid w:val="00297DE1"/>
    <w:rsid w:val="002A209F"/>
    <w:rsid w:val="002A56FE"/>
    <w:rsid w:val="002A6305"/>
    <w:rsid w:val="002A74BB"/>
    <w:rsid w:val="002A7DD3"/>
    <w:rsid w:val="002B008E"/>
    <w:rsid w:val="002B3141"/>
    <w:rsid w:val="002B3A0E"/>
    <w:rsid w:val="002C249E"/>
    <w:rsid w:val="002C30AB"/>
    <w:rsid w:val="002C7DB6"/>
    <w:rsid w:val="002D1203"/>
    <w:rsid w:val="002D512A"/>
    <w:rsid w:val="002E0E6B"/>
    <w:rsid w:val="002E49C9"/>
    <w:rsid w:val="002F0780"/>
    <w:rsid w:val="002F2375"/>
    <w:rsid w:val="002F285E"/>
    <w:rsid w:val="002F6C1D"/>
    <w:rsid w:val="003004E2"/>
    <w:rsid w:val="003009CB"/>
    <w:rsid w:val="003060B4"/>
    <w:rsid w:val="003062C2"/>
    <w:rsid w:val="00307994"/>
    <w:rsid w:val="00310FA3"/>
    <w:rsid w:val="003110FE"/>
    <w:rsid w:val="00314A57"/>
    <w:rsid w:val="00316F2A"/>
    <w:rsid w:val="00322110"/>
    <w:rsid w:val="00323A95"/>
    <w:rsid w:val="0032786B"/>
    <w:rsid w:val="0033015D"/>
    <w:rsid w:val="0033090C"/>
    <w:rsid w:val="0033541F"/>
    <w:rsid w:val="00335AF3"/>
    <w:rsid w:val="003375D1"/>
    <w:rsid w:val="00340262"/>
    <w:rsid w:val="00340362"/>
    <w:rsid w:val="00344118"/>
    <w:rsid w:val="00344FCF"/>
    <w:rsid w:val="00361870"/>
    <w:rsid w:val="00362254"/>
    <w:rsid w:val="003642DF"/>
    <w:rsid w:val="00366D28"/>
    <w:rsid w:val="00367E29"/>
    <w:rsid w:val="00370A74"/>
    <w:rsid w:val="003710FD"/>
    <w:rsid w:val="00374C16"/>
    <w:rsid w:val="00376951"/>
    <w:rsid w:val="003777FC"/>
    <w:rsid w:val="00381C53"/>
    <w:rsid w:val="00386A42"/>
    <w:rsid w:val="00387C6D"/>
    <w:rsid w:val="00390371"/>
    <w:rsid w:val="003913E9"/>
    <w:rsid w:val="00394058"/>
    <w:rsid w:val="00394B6A"/>
    <w:rsid w:val="003971EF"/>
    <w:rsid w:val="003A06F9"/>
    <w:rsid w:val="003A4027"/>
    <w:rsid w:val="003B23CE"/>
    <w:rsid w:val="003B2E0C"/>
    <w:rsid w:val="003B3C3B"/>
    <w:rsid w:val="003B6E45"/>
    <w:rsid w:val="003C093A"/>
    <w:rsid w:val="003C1A79"/>
    <w:rsid w:val="003C403E"/>
    <w:rsid w:val="003C5D61"/>
    <w:rsid w:val="003C79AA"/>
    <w:rsid w:val="003D0587"/>
    <w:rsid w:val="003E216A"/>
    <w:rsid w:val="003E6919"/>
    <w:rsid w:val="003E7D48"/>
    <w:rsid w:val="003F0437"/>
    <w:rsid w:val="003F40F3"/>
    <w:rsid w:val="003F47F0"/>
    <w:rsid w:val="004002B9"/>
    <w:rsid w:val="0040419F"/>
    <w:rsid w:val="00404A54"/>
    <w:rsid w:val="0040579F"/>
    <w:rsid w:val="00410FF3"/>
    <w:rsid w:val="00414224"/>
    <w:rsid w:val="00414D87"/>
    <w:rsid w:val="00430C21"/>
    <w:rsid w:val="00434628"/>
    <w:rsid w:val="00436C99"/>
    <w:rsid w:val="00436EB2"/>
    <w:rsid w:val="00444BCB"/>
    <w:rsid w:val="00446DC5"/>
    <w:rsid w:val="004500BB"/>
    <w:rsid w:val="00454E86"/>
    <w:rsid w:val="0045663E"/>
    <w:rsid w:val="00464841"/>
    <w:rsid w:val="00465BAB"/>
    <w:rsid w:val="00470842"/>
    <w:rsid w:val="004708A1"/>
    <w:rsid w:val="00470FCF"/>
    <w:rsid w:val="00471F60"/>
    <w:rsid w:val="004756E9"/>
    <w:rsid w:val="00475815"/>
    <w:rsid w:val="00487AE4"/>
    <w:rsid w:val="00492151"/>
    <w:rsid w:val="004948AC"/>
    <w:rsid w:val="00495A8F"/>
    <w:rsid w:val="0049784D"/>
    <w:rsid w:val="004A0F4B"/>
    <w:rsid w:val="004A4B70"/>
    <w:rsid w:val="004A5658"/>
    <w:rsid w:val="004B12D0"/>
    <w:rsid w:val="004B264C"/>
    <w:rsid w:val="004B2914"/>
    <w:rsid w:val="004B4A94"/>
    <w:rsid w:val="004C2400"/>
    <w:rsid w:val="004C27D5"/>
    <w:rsid w:val="004C71DE"/>
    <w:rsid w:val="004D0E72"/>
    <w:rsid w:val="004E2B05"/>
    <w:rsid w:val="004E47AC"/>
    <w:rsid w:val="004F2518"/>
    <w:rsid w:val="004F3C59"/>
    <w:rsid w:val="004F4893"/>
    <w:rsid w:val="005004EE"/>
    <w:rsid w:val="0050197F"/>
    <w:rsid w:val="00506B6D"/>
    <w:rsid w:val="00506C23"/>
    <w:rsid w:val="0051795B"/>
    <w:rsid w:val="00523253"/>
    <w:rsid w:val="00523B90"/>
    <w:rsid w:val="005243B7"/>
    <w:rsid w:val="00526470"/>
    <w:rsid w:val="00537052"/>
    <w:rsid w:val="00540800"/>
    <w:rsid w:val="005409D7"/>
    <w:rsid w:val="005508AA"/>
    <w:rsid w:val="00552566"/>
    <w:rsid w:val="00566161"/>
    <w:rsid w:val="005669A8"/>
    <w:rsid w:val="00566ED7"/>
    <w:rsid w:val="00572227"/>
    <w:rsid w:val="00572822"/>
    <w:rsid w:val="00575F39"/>
    <w:rsid w:val="0057639D"/>
    <w:rsid w:val="00581D5B"/>
    <w:rsid w:val="00591217"/>
    <w:rsid w:val="0059457C"/>
    <w:rsid w:val="00595F7E"/>
    <w:rsid w:val="005A09CD"/>
    <w:rsid w:val="005A18DA"/>
    <w:rsid w:val="005A2CCD"/>
    <w:rsid w:val="005A2FFF"/>
    <w:rsid w:val="005A3A1B"/>
    <w:rsid w:val="005A71E8"/>
    <w:rsid w:val="005B2135"/>
    <w:rsid w:val="005B2F5D"/>
    <w:rsid w:val="005C4337"/>
    <w:rsid w:val="005C51C3"/>
    <w:rsid w:val="005D1202"/>
    <w:rsid w:val="005D193D"/>
    <w:rsid w:val="005F1B85"/>
    <w:rsid w:val="00601703"/>
    <w:rsid w:val="00604546"/>
    <w:rsid w:val="00613D4B"/>
    <w:rsid w:val="00616F5F"/>
    <w:rsid w:val="006171FB"/>
    <w:rsid w:val="00621E13"/>
    <w:rsid w:val="00623ACE"/>
    <w:rsid w:val="00631F26"/>
    <w:rsid w:val="00635B02"/>
    <w:rsid w:val="00637977"/>
    <w:rsid w:val="006407C7"/>
    <w:rsid w:val="0064131A"/>
    <w:rsid w:val="006424A1"/>
    <w:rsid w:val="006448D5"/>
    <w:rsid w:val="00645B82"/>
    <w:rsid w:val="00653B19"/>
    <w:rsid w:val="00653B40"/>
    <w:rsid w:val="00654058"/>
    <w:rsid w:val="00656F55"/>
    <w:rsid w:val="006610B4"/>
    <w:rsid w:val="00661E97"/>
    <w:rsid w:val="00662DFF"/>
    <w:rsid w:val="00673523"/>
    <w:rsid w:val="006762F0"/>
    <w:rsid w:val="00680DEA"/>
    <w:rsid w:val="00681719"/>
    <w:rsid w:val="0068344E"/>
    <w:rsid w:val="00686989"/>
    <w:rsid w:val="00686C5B"/>
    <w:rsid w:val="006902AB"/>
    <w:rsid w:val="006949D7"/>
    <w:rsid w:val="00695ACB"/>
    <w:rsid w:val="00695B9A"/>
    <w:rsid w:val="006971D0"/>
    <w:rsid w:val="006974A7"/>
    <w:rsid w:val="006A3481"/>
    <w:rsid w:val="006A3EC4"/>
    <w:rsid w:val="006B2718"/>
    <w:rsid w:val="006C32BF"/>
    <w:rsid w:val="006C5292"/>
    <w:rsid w:val="006C5580"/>
    <w:rsid w:val="006D0A5D"/>
    <w:rsid w:val="006D6522"/>
    <w:rsid w:val="006E3D9C"/>
    <w:rsid w:val="006E68DF"/>
    <w:rsid w:val="006E6CDF"/>
    <w:rsid w:val="006F3EAF"/>
    <w:rsid w:val="006F653E"/>
    <w:rsid w:val="007009B0"/>
    <w:rsid w:val="00705EBB"/>
    <w:rsid w:val="007107BA"/>
    <w:rsid w:val="007117BF"/>
    <w:rsid w:val="0071397C"/>
    <w:rsid w:val="00722695"/>
    <w:rsid w:val="007234FB"/>
    <w:rsid w:val="00725666"/>
    <w:rsid w:val="007271F2"/>
    <w:rsid w:val="00731B71"/>
    <w:rsid w:val="00732152"/>
    <w:rsid w:val="007400A1"/>
    <w:rsid w:val="007405B9"/>
    <w:rsid w:val="00745C1D"/>
    <w:rsid w:val="00750BC2"/>
    <w:rsid w:val="007561D4"/>
    <w:rsid w:val="00756729"/>
    <w:rsid w:val="00757170"/>
    <w:rsid w:val="00757EF8"/>
    <w:rsid w:val="00767D12"/>
    <w:rsid w:val="00771095"/>
    <w:rsid w:val="0077158B"/>
    <w:rsid w:val="0077241F"/>
    <w:rsid w:val="00775BE5"/>
    <w:rsid w:val="00785724"/>
    <w:rsid w:val="00785F5A"/>
    <w:rsid w:val="00787267"/>
    <w:rsid w:val="00793870"/>
    <w:rsid w:val="0079643F"/>
    <w:rsid w:val="007B6A6F"/>
    <w:rsid w:val="007C0ED6"/>
    <w:rsid w:val="007C77BB"/>
    <w:rsid w:val="007D0A8E"/>
    <w:rsid w:val="007D0B41"/>
    <w:rsid w:val="007D2933"/>
    <w:rsid w:val="007E28DF"/>
    <w:rsid w:val="007F28BD"/>
    <w:rsid w:val="007F2948"/>
    <w:rsid w:val="007F4B8F"/>
    <w:rsid w:val="0080087A"/>
    <w:rsid w:val="008048D7"/>
    <w:rsid w:val="008062C8"/>
    <w:rsid w:val="008225DD"/>
    <w:rsid w:val="008225FF"/>
    <w:rsid w:val="00825F07"/>
    <w:rsid w:val="00826EA0"/>
    <w:rsid w:val="00837959"/>
    <w:rsid w:val="00837EE6"/>
    <w:rsid w:val="00846E17"/>
    <w:rsid w:val="008478F2"/>
    <w:rsid w:val="00851AFA"/>
    <w:rsid w:val="008542E1"/>
    <w:rsid w:val="0085642A"/>
    <w:rsid w:val="008573F2"/>
    <w:rsid w:val="00884FC3"/>
    <w:rsid w:val="00891AC7"/>
    <w:rsid w:val="00891D68"/>
    <w:rsid w:val="008A1D2C"/>
    <w:rsid w:val="008A515A"/>
    <w:rsid w:val="008B0374"/>
    <w:rsid w:val="008B40A4"/>
    <w:rsid w:val="008B670B"/>
    <w:rsid w:val="008B794D"/>
    <w:rsid w:val="008C129A"/>
    <w:rsid w:val="008C3622"/>
    <w:rsid w:val="008C5F5C"/>
    <w:rsid w:val="008D5FF4"/>
    <w:rsid w:val="008D7CF0"/>
    <w:rsid w:val="008E63E1"/>
    <w:rsid w:val="008E7A61"/>
    <w:rsid w:val="008F38A0"/>
    <w:rsid w:val="008F402B"/>
    <w:rsid w:val="0090486D"/>
    <w:rsid w:val="00904A78"/>
    <w:rsid w:val="0091356E"/>
    <w:rsid w:val="009173E0"/>
    <w:rsid w:val="00917B70"/>
    <w:rsid w:val="0093048E"/>
    <w:rsid w:val="00930CBD"/>
    <w:rsid w:val="00933136"/>
    <w:rsid w:val="009331BD"/>
    <w:rsid w:val="00936D65"/>
    <w:rsid w:val="009378AB"/>
    <w:rsid w:val="00943005"/>
    <w:rsid w:val="00944064"/>
    <w:rsid w:val="009444EA"/>
    <w:rsid w:val="00950308"/>
    <w:rsid w:val="00953723"/>
    <w:rsid w:val="009574E9"/>
    <w:rsid w:val="0096053A"/>
    <w:rsid w:val="00961E08"/>
    <w:rsid w:val="00966D35"/>
    <w:rsid w:val="009749CF"/>
    <w:rsid w:val="00976099"/>
    <w:rsid w:val="00976664"/>
    <w:rsid w:val="00976C66"/>
    <w:rsid w:val="00980FC9"/>
    <w:rsid w:val="0098518C"/>
    <w:rsid w:val="0099313A"/>
    <w:rsid w:val="00994D4A"/>
    <w:rsid w:val="00994FE5"/>
    <w:rsid w:val="0099726F"/>
    <w:rsid w:val="009A54CE"/>
    <w:rsid w:val="009A79D1"/>
    <w:rsid w:val="009B47F4"/>
    <w:rsid w:val="009B7028"/>
    <w:rsid w:val="009C1F5F"/>
    <w:rsid w:val="009C202A"/>
    <w:rsid w:val="009C2A39"/>
    <w:rsid w:val="009C4B97"/>
    <w:rsid w:val="009C5B2C"/>
    <w:rsid w:val="009C64AB"/>
    <w:rsid w:val="009D18AA"/>
    <w:rsid w:val="009D5C68"/>
    <w:rsid w:val="009D65C1"/>
    <w:rsid w:val="009D6AB1"/>
    <w:rsid w:val="009E0E9F"/>
    <w:rsid w:val="009E23B3"/>
    <w:rsid w:val="009F2BD4"/>
    <w:rsid w:val="009F4CDD"/>
    <w:rsid w:val="009F594B"/>
    <w:rsid w:val="009F679C"/>
    <w:rsid w:val="00A02719"/>
    <w:rsid w:val="00A03905"/>
    <w:rsid w:val="00A12A4B"/>
    <w:rsid w:val="00A132D1"/>
    <w:rsid w:val="00A13E1F"/>
    <w:rsid w:val="00A272D7"/>
    <w:rsid w:val="00A30D73"/>
    <w:rsid w:val="00A41C3C"/>
    <w:rsid w:val="00A44094"/>
    <w:rsid w:val="00A461D7"/>
    <w:rsid w:val="00A47277"/>
    <w:rsid w:val="00A52F8F"/>
    <w:rsid w:val="00A553D1"/>
    <w:rsid w:val="00A569AE"/>
    <w:rsid w:val="00A61BF3"/>
    <w:rsid w:val="00A63F29"/>
    <w:rsid w:val="00A645E2"/>
    <w:rsid w:val="00A67865"/>
    <w:rsid w:val="00A72225"/>
    <w:rsid w:val="00A73D90"/>
    <w:rsid w:val="00A74D6E"/>
    <w:rsid w:val="00A7595F"/>
    <w:rsid w:val="00A8023D"/>
    <w:rsid w:val="00A82F1D"/>
    <w:rsid w:val="00A848BC"/>
    <w:rsid w:val="00A908CF"/>
    <w:rsid w:val="00A921C7"/>
    <w:rsid w:val="00A97334"/>
    <w:rsid w:val="00AA0491"/>
    <w:rsid w:val="00AA4C46"/>
    <w:rsid w:val="00AA7785"/>
    <w:rsid w:val="00AB0736"/>
    <w:rsid w:val="00AB5B58"/>
    <w:rsid w:val="00AC0B95"/>
    <w:rsid w:val="00AC58F6"/>
    <w:rsid w:val="00AD1D5C"/>
    <w:rsid w:val="00AD75DB"/>
    <w:rsid w:val="00AE318B"/>
    <w:rsid w:val="00AE3AA6"/>
    <w:rsid w:val="00AE6BB9"/>
    <w:rsid w:val="00AF7714"/>
    <w:rsid w:val="00AF7B48"/>
    <w:rsid w:val="00B07477"/>
    <w:rsid w:val="00B13376"/>
    <w:rsid w:val="00B148FD"/>
    <w:rsid w:val="00B14A89"/>
    <w:rsid w:val="00B1587F"/>
    <w:rsid w:val="00B17B65"/>
    <w:rsid w:val="00B20258"/>
    <w:rsid w:val="00B249E7"/>
    <w:rsid w:val="00B26CD0"/>
    <w:rsid w:val="00B36D42"/>
    <w:rsid w:val="00B431A6"/>
    <w:rsid w:val="00B50635"/>
    <w:rsid w:val="00B5142C"/>
    <w:rsid w:val="00B53951"/>
    <w:rsid w:val="00B614ED"/>
    <w:rsid w:val="00B6163D"/>
    <w:rsid w:val="00B62B65"/>
    <w:rsid w:val="00B70FCF"/>
    <w:rsid w:val="00B723CC"/>
    <w:rsid w:val="00B739E6"/>
    <w:rsid w:val="00B746D1"/>
    <w:rsid w:val="00B772ED"/>
    <w:rsid w:val="00B7761A"/>
    <w:rsid w:val="00B77E46"/>
    <w:rsid w:val="00B86E34"/>
    <w:rsid w:val="00B908AB"/>
    <w:rsid w:val="00B948A8"/>
    <w:rsid w:val="00B962C0"/>
    <w:rsid w:val="00BA1C6A"/>
    <w:rsid w:val="00BA4788"/>
    <w:rsid w:val="00BA7E42"/>
    <w:rsid w:val="00BB0B97"/>
    <w:rsid w:val="00BB185F"/>
    <w:rsid w:val="00BB1E08"/>
    <w:rsid w:val="00BB21CE"/>
    <w:rsid w:val="00BC2E61"/>
    <w:rsid w:val="00BC4780"/>
    <w:rsid w:val="00BD0893"/>
    <w:rsid w:val="00BD53C2"/>
    <w:rsid w:val="00BE1655"/>
    <w:rsid w:val="00BE18FB"/>
    <w:rsid w:val="00BE3A8B"/>
    <w:rsid w:val="00C01E1A"/>
    <w:rsid w:val="00C020BB"/>
    <w:rsid w:val="00C0559E"/>
    <w:rsid w:val="00C06197"/>
    <w:rsid w:val="00C1053A"/>
    <w:rsid w:val="00C10CAF"/>
    <w:rsid w:val="00C1244A"/>
    <w:rsid w:val="00C27B0E"/>
    <w:rsid w:val="00C335A4"/>
    <w:rsid w:val="00C42656"/>
    <w:rsid w:val="00C56A93"/>
    <w:rsid w:val="00C63E57"/>
    <w:rsid w:val="00C66440"/>
    <w:rsid w:val="00C666E3"/>
    <w:rsid w:val="00C70E23"/>
    <w:rsid w:val="00C722D0"/>
    <w:rsid w:val="00C75270"/>
    <w:rsid w:val="00C75E04"/>
    <w:rsid w:val="00C811BB"/>
    <w:rsid w:val="00C85EDD"/>
    <w:rsid w:val="00C915DF"/>
    <w:rsid w:val="00C9160C"/>
    <w:rsid w:val="00C9543F"/>
    <w:rsid w:val="00C969EC"/>
    <w:rsid w:val="00CA0880"/>
    <w:rsid w:val="00CA08B1"/>
    <w:rsid w:val="00CA2002"/>
    <w:rsid w:val="00CA6C59"/>
    <w:rsid w:val="00CB0468"/>
    <w:rsid w:val="00CB54B6"/>
    <w:rsid w:val="00CB587C"/>
    <w:rsid w:val="00CB6260"/>
    <w:rsid w:val="00CC07E3"/>
    <w:rsid w:val="00CC6568"/>
    <w:rsid w:val="00CD009C"/>
    <w:rsid w:val="00CD193D"/>
    <w:rsid w:val="00CD2C62"/>
    <w:rsid w:val="00CD4B44"/>
    <w:rsid w:val="00CD542F"/>
    <w:rsid w:val="00CD6E9C"/>
    <w:rsid w:val="00CD76C9"/>
    <w:rsid w:val="00CE4BB1"/>
    <w:rsid w:val="00CE74AC"/>
    <w:rsid w:val="00CF1293"/>
    <w:rsid w:val="00CF3C40"/>
    <w:rsid w:val="00CF4196"/>
    <w:rsid w:val="00CF4F31"/>
    <w:rsid w:val="00D115D7"/>
    <w:rsid w:val="00D12A39"/>
    <w:rsid w:val="00D12EC4"/>
    <w:rsid w:val="00D15320"/>
    <w:rsid w:val="00D178DA"/>
    <w:rsid w:val="00D23187"/>
    <w:rsid w:val="00D32CE7"/>
    <w:rsid w:val="00D349F0"/>
    <w:rsid w:val="00D4108A"/>
    <w:rsid w:val="00D42F8C"/>
    <w:rsid w:val="00D4693F"/>
    <w:rsid w:val="00D503E6"/>
    <w:rsid w:val="00D57A37"/>
    <w:rsid w:val="00D57FF8"/>
    <w:rsid w:val="00D61DCC"/>
    <w:rsid w:val="00D632B9"/>
    <w:rsid w:val="00D63E26"/>
    <w:rsid w:val="00D63E46"/>
    <w:rsid w:val="00D64038"/>
    <w:rsid w:val="00D65952"/>
    <w:rsid w:val="00D66A9B"/>
    <w:rsid w:val="00D66E26"/>
    <w:rsid w:val="00D7002D"/>
    <w:rsid w:val="00D80B0A"/>
    <w:rsid w:val="00D82256"/>
    <w:rsid w:val="00D83827"/>
    <w:rsid w:val="00D84A71"/>
    <w:rsid w:val="00D84F03"/>
    <w:rsid w:val="00D86A3A"/>
    <w:rsid w:val="00D924AE"/>
    <w:rsid w:val="00D94FB5"/>
    <w:rsid w:val="00D9565B"/>
    <w:rsid w:val="00DB0057"/>
    <w:rsid w:val="00DB3020"/>
    <w:rsid w:val="00DB4259"/>
    <w:rsid w:val="00DB570B"/>
    <w:rsid w:val="00DC3B6D"/>
    <w:rsid w:val="00DC5A86"/>
    <w:rsid w:val="00DD0BB4"/>
    <w:rsid w:val="00DD3694"/>
    <w:rsid w:val="00DD373A"/>
    <w:rsid w:val="00DD5B92"/>
    <w:rsid w:val="00DD6146"/>
    <w:rsid w:val="00DE0850"/>
    <w:rsid w:val="00DE4946"/>
    <w:rsid w:val="00DF7C22"/>
    <w:rsid w:val="00DF7C53"/>
    <w:rsid w:val="00E02DD8"/>
    <w:rsid w:val="00E06700"/>
    <w:rsid w:val="00E11DBF"/>
    <w:rsid w:val="00E17AD1"/>
    <w:rsid w:val="00E225F4"/>
    <w:rsid w:val="00E232EC"/>
    <w:rsid w:val="00E25F92"/>
    <w:rsid w:val="00E2669A"/>
    <w:rsid w:val="00E31E62"/>
    <w:rsid w:val="00E41130"/>
    <w:rsid w:val="00E419FB"/>
    <w:rsid w:val="00E41FD1"/>
    <w:rsid w:val="00E4492C"/>
    <w:rsid w:val="00E44FAA"/>
    <w:rsid w:val="00E45A0F"/>
    <w:rsid w:val="00E47A64"/>
    <w:rsid w:val="00E5176F"/>
    <w:rsid w:val="00E52E9D"/>
    <w:rsid w:val="00E562AC"/>
    <w:rsid w:val="00E63C02"/>
    <w:rsid w:val="00E70CFF"/>
    <w:rsid w:val="00E730EA"/>
    <w:rsid w:val="00E747C4"/>
    <w:rsid w:val="00E75A26"/>
    <w:rsid w:val="00E75F99"/>
    <w:rsid w:val="00E83FAE"/>
    <w:rsid w:val="00E84035"/>
    <w:rsid w:val="00E8699E"/>
    <w:rsid w:val="00E92BE4"/>
    <w:rsid w:val="00E92C36"/>
    <w:rsid w:val="00E93D4D"/>
    <w:rsid w:val="00E97284"/>
    <w:rsid w:val="00EA37B8"/>
    <w:rsid w:val="00EA5769"/>
    <w:rsid w:val="00EA5FCF"/>
    <w:rsid w:val="00EB4369"/>
    <w:rsid w:val="00EC43DC"/>
    <w:rsid w:val="00EC6EF6"/>
    <w:rsid w:val="00EC6F78"/>
    <w:rsid w:val="00ED57DB"/>
    <w:rsid w:val="00ED6250"/>
    <w:rsid w:val="00ED7147"/>
    <w:rsid w:val="00ED77DC"/>
    <w:rsid w:val="00EF2BAD"/>
    <w:rsid w:val="00F018FF"/>
    <w:rsid w:val="00F037AE"/>
    <w:rsid w:val="00F043D4"/>
    <w:rsid w:val="00F0623A"/>
    <w:rsid w:val="00F11464"/>
    <w:rsid w:val="00F12C3D"/>
    <w:rsid w:val="00F154F5"/>
    <w:rsid w:val="00F2575F"/>
    <w:rsid w:val="00F26F8E"/>
    <w:rsid w:val="00F27D3F"/>
    <w:rsid w:val="00F34324"/>
    <w:rsid w:val="00F36339"/>
    <w:rsid w:val="00F37C42"/>
    <w:rsid w:val="00F4033D"/>
    <w:rsid w:val="00F4206C"/>
    <w:rsid w:val="00F44AE2"/>
    <w:rsid w:val="00F47E12"/>
    <w:rsid w:val="00F50A09"/>
    <w:rsid w:val="00F50CE2"/>
    <w:rsid w:val="00F50D46"/>
    <w:rsid w:val="00F55B5F"/>
    <w:rsid w:val="00F61306"/>
    <w:rsid w:val="00F64353"/>
    <w:rsid w:val="00F80F70"/>
    <w:rsid w:val="00F81A57"/>
    <w:rsid w:val="00F92589"/>
    <w:rsid w:val="00F9543D"/>
    <w:rsid w:val="00FA3690"/>
    <w:rsid w:val="00FB2671"/>
    <w:rsid w:val="00FB3928"/>
    <w:rsid w:val="00FD1856"/>
    <w:rsid w:val="00FD3BF4"/>
    <w:rsid w:val="00FD4E42"/>
    <w:rsid w:val="00FE34E2"/>
    <w:rsid w:val="00FE7F99"/>
    <w:rsid w:val="00FF1C42"/>
    <w:rsid w:val="00FF2E4D"/>
    <w:rsid w:val="00FF321B"/>
    <w:rsid w:val="00FF6AC6"/>
    <w:rsid w:val="00FF7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20A1E7EC-D5CE-2649-93CB-ED3E773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E84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ListParagraph">
    <w:name w:val="List Paragraph"/>
    <w:basedOn w:val="Normal"/>
    <w:uiPriority w:val="34"/>
    <w:qFormat/>
    <w:rsid w:val="003C093A"/>
    <w:pPr>
      <w:ind w:left="720"/>
      <w:contextualSpacing/>
    </w:pPr>
  </w:style>
  <w:style w:type="character" w:styleId="Hyperlink">
    <w:name w:val="Hyperlink"/>
    <w:basedOn w:val="DefaultParagraphFont"/>
    <w:uiPriority w:val="99"/>
    <w:unhideWhenUsed/>
    <w:rsid w:val="00CD76C9"/>
    <w:rPr>
      <w:color w:val="0563C1" w:themeColor="hyperlink"/>
      <w:u w:val="single"/>
    </w:rPr>
  </w:style>
  <w:style w:type="character" w:styleId="UnresolvedMention">
    <w:name w:val="Unresolved Mention"/>
    <w:basedOn w:val="DefaultParagraphFont"/>
    <w:uiPriority w:val="99"/>
    <w:semiHidden/>
    <w:unhideWhenUsed/>
    <w:rsid w:val="00CD76C9"/>
    <w:rPr>
      <w:color w:val="605E5C"/>
      <w:shd w:val="clear" w:color="auto" w:fill="E1DFDD"/>
    </w:rPr>
  </w:style>
  <w:style w:type="paragraph" w:styleId="FootnoteText">
    <w:name w:val="footnote text"/>
    <w:basedOn w:val="Normal"/>
    <w:link w:val="FootnoteTextChar"/>
    <w:uiPriority w:val="99"/>
    <w:semiHidden/>
    <w:unhideWhenUsed/>
    <w:rsid w:val="008225DD"/>
    <w:pPr>
      <w:spacing w:after="0" w:line="240" w:lineRule="auto"/>
    </w:pPr>
    <w:rPr>
      <w:szCs w:val="20"/>
    </w:rPr>
  </w:style>
  <w:style w:type="character" w:customStyle="1" w:styleId="FootnoteTextChar">
    <w:name w:val="Footnote Text Char"/>
    <w:basedOn w:val="DefaultParagraphFont"/>
    <w:link w:val="FootnoteText"/>
    <w:uiPriority w:val="99"/>
    <w:semiHidden/>
    <w:rsid w:val="008225DD"/>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8225DD"/>
    <w:rPr>
      <w:vertAlign w:val="superscript"/>
    </w:rPr>
  </w:style>
  <w:style w:type="character" w:styleId="BookTitle">
    <w:name w:val="Book Title"/>
    <w:basedOn w:val="DefaultParagraphFont"/>
    <w:uiPriority w:val="33"/>
    <w:qFormat/>
    <w:rsid w:val="001F3E89"/>
    <w:rPr>
      <w:b/>
      <w:bCs/>
      <w:i/>
      <w:iCs/>
      <w:spacing w:val="5"/>
    </w:rPr>
  </w:style>
  <w:style w:type="paragraph" w:styleId="Quote">
    <w:name w:val="Quote"/>
    <w:basedOn w:val="Normal"/>
    <w:next w:val="Normal"/>
    <w:link w:val="QuoteChar"/>
    <w:uiPriority w:val="29"/>
    <w:qFormat/>
    <w:rsid w:val="001F3E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3E89"/>
    <w:rPr>
      <w:rFonts w:eastAsiaTheme="minorEastAsia" w:cstheme="minorBidi"/>
      <w:i/>
      <w:iCs/>
      <w:color w:val="404040" w:themeColor="text1" w:themeTint="BF"/>
      <w:sz w:val="20"/>
      <w:lang w:eastAsia="en-GB"/>
    </w:rPr>
  </w:style>
  <w:style w:type="character" w:styleId="FollowedHyperlink">
    <w:name w:val="FollowedHyperlink"/>
    <w:basedOn w:val="DefaultParagraphFont"/>
    <w:uiPriority w:val="99"/>
    <w:semiHidden/>
    <w:unhideWhenUsed/>
    <w:rsid w:val="0068344E"/>
    <w:rPr>
      <w:color w:val="954F72" w:themeColor="followedHyperlink"/>
      <w:u w:val="single"/>
    </w:rPr>
  </w:style>
  <w:style w:type="paragraph" w:styleId="ListBullet">
    <w:name w:val="List Bullet"/>
    <w:basedOn w:val="Normal"/>
    <w:uiPriority w:val="99"/>
    <w:semiHidden/>
    <w:unhideWhenUsed/>
    <w:rsid w:val="009C5B2C"/>
    <w:pPr>
      <w:numPr>
        <w:numId w:val="6"/>
      </w:numPr>
      <w:contextualSpacing/>
    </w:pPr>
  </w:style>
  <w:style w:type="character" w:customStyle="1" w:styleId="Heading1Char">
    <w:name w:val="Heading 1 Char"/>
    <w:basedOn w:val="DefaultParagraphFont"/>
    <w:link w:val="Heading1"/>
    <w:uiPriority w:val="9"/>
    <w:rsid w:val="00E84035"/>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2213">
      <w:bodyDiv w:val="1"/>
      <w:marLeft w:val="0"/>
      <w:marRight w:val="0"/>
      <w:marTop w:val="0"/>
      <w:marBottom w:val="0"/>
      <w:divBdr>
        <w:top w:val="none" w:sz="0" w:space="0" w:color="auto"/>
        <w:left w:val="none" w:sz="0" w:space="0" w:color="auto"/>
        <w:bottom w:val="none" w:sz="0" w:space="0" w:color="auto"/>
        <w:right w:val="none" w:sz="0" w:space="0" w:color="auto"/>
      </w:divBdr>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567036667">
      <w:bodyDiv w:val="1"/>
      <w:marLeft w:val="0"/>
      <w:marRight w:val="0"/>
      <w:marTop w:val="0"/>
      <w:marBottom w:val="0"/>
      <w:divBdr>
        <w:top w:val="none" w:sz="0" w:space="0" w:color="auto"/>
        <w:left w:val="none" w:sz="0" w:space="0" w:color="auto"/>
        <w:bottom w:val="none" w:sz="0" w:space="0" w:color="auto"/>
        <w:right w:val="none" w:sz="0" w:space="0" w:color="auto"/>
      </w:divBdr>
    </w:div>
    <w:div w:id="1558280777">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20671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dgetconsultation.act.gov.au/__data/assets/pdf_file/0004/2190523/009.-Alcohol-Tobacco-and-Other-Drug-Association-AC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ics.act.gov.au/reports-and-publications/healthy-prison-reviews/healthy-prison-reviews/healthy-centre-review-of-bimberi-youth-justice-centre" TargetMode="External"/><Relationship Id="rId3" Type="http://schemas.openxmlformats.org/officeDocument/2006/relationships/hyperlink" Target="https://www.legislation.act.gov.au/b/db_67587/" TargetMode="External"/><Relationship Id="rId7" Type="http://schemas.openxmlformats.org/officeDocument/2006/relationships/hyperlink" Target="https://www.aic.gov.au/crg/reports/crg-2216-17" TargetMode="External"/><Relationship Id="rId2" Type="http://schemas.openxmlformats.org/officeDocument/2006/relationships/hyperlink" Target="https://www.alrc.gov.au/publication/traditional-rights-and-freedoms-encroachments-by-commonwealth-laws-ip-46/12-strict-and-absolute-liability/a-common-law-principle-2/" TargetMode="External"/><Relationship Id="rId1" Type="http://schemas.openxmlformats.org/officeDocument/2006/relationships/hyperlink" Target="https://www.abs.gov.au/ausstats/abs@.nsf/7d12b0f6763c78caca257061001cc588/a4d719473be50fdfca2570ec001b2c95!OpenDocument" TargetMode="External"/><Relationship Id="rId6" Type="http://schemas.openxmlformats.org/officeDocument/2006/relationships/hyperlink" Target="https://www.aic.gov.au/publications/tandi/tandi651" TargetMode="External"/><Relationship Id="rId5" Type="http://schemas.openxmlformats.org/officeDocument/2006/relationships/hyperlink" Target="https://www.abs.gov.au/statistics/people/crime-and-justice/recorded-crime-offenders/latest-release" TargetMode="External"/><Relationship Id="rId4" Type="http://schemas.openxmlformats.org/officeDocument/2006/relationships/hyperlink" Target="https://www.lawcouncil.asn.au/publicassets/20fb2a76-c61f-ea11-9403-005056be13b5/AMA%20and%20LCA%20Policy%20Statement%20on%20Minimum%20Age%20of%20Criminal%20Responsibilit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90ACB-9A20-4BD9-8356-F8BE5337BA22}">
  <ds:schemaRefs>
    <ds:schemaRef ds:uri="http://schemas.openxmlformats.org/officeDocument/2006/bibliography"/>
  </ds:schemaRefs>
</ds:datastoreItem>
</file>

<file path=customXml/itemProps2.xml><?xml version="1.0" encoding="utf-8"?>
<ds:datastoreItem xmlns:ds="http://schemas.openxmlformats.org/officeDocument/2006/customXml" ds:itemID="{81F92F2A-2EE4-4272-BAE1-3964EFB01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4.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5772</TotalTime>
  <Pages>1</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Links>
    <vt:vector size="60" baseType="variant">
      <vt:variant>
        <vt:i4>4456545</vt:i4>
      </vt:variant>
      <vt:variant>
        <vt:i4>3</vt:i4>
      </vt:variant>
      <vt:variant>
        <vt:i4>0</vt:i4>
      </vt:variant>
      <vt:variant>
        <vt:i4>5</vt:i4>
      </vt:variant>
      <vt:variant>
        <vt:lpwstr>https://www.budgetconsultation.act.gov.au/__data/assets/pdf_file/0004/2190523/009.-Alcohol-Tobacco-and-Other-Drug-Association-ACT.pdf</vt:lpwstr>
      </vt:variant>
      <vt:variant>
        <vt:lpwstr/>
      </vt:variant>
      <vt:variant>
        <vt:i4>5701736</vt:i4>
      </vt:variant>
      <vt:variant>
        <vt:i4>24</vt:i4>
      </vt:variant>
      <vt:variant>
        <vt:i4>0</vt:i4>
      </vt:variant>
      <vt:variant>
        <vt:i4>5</vt:i4>
      </vt:variant>
      <vt:variant>
        <vt:lpwstr>https://www.ics.act.gov.au/__data/assets/pdf_file/0008/1779866/FINAL-ACT-ICS-Bimberi-Healthy-Centre-Review-June_2021__FA_tagged.pdf</vt:lpwstr>
      </vt:variant>
      <vt:variant>
        <vt:lpwstr/>
      </vt:variant>
      <vt:variant>
        <vt:i4>7798789</vt:i4>
      </vt:variant>
      <vt:variant>
        <vt:i4>21</vt:i4>
      </vt:variant>
      <vt:variant>
        <vt:i4>0</vt:i4>
      </vt:variant>
      <vt:variant>
        <vt:i4>5</vt:i4>
      </vt:variant>
      <vt:variant>
        <vt:lpwstr>https://www.aic.gov.au/sites/default/files/2020-09/CRG_221617_final_report.pdf</vt:lpwstr>
      </vt:variant>
      <vt:variant>
        <vt:lpwstr/>
      </vt:variant>
      <vt:variant>
        <vt:i4>7798789</vt:i4>
      </vt:variant>
      <vt:variant>
        <vt:i4>18</vt:i4>
      </vt:variant>
      <vt:variant>
        <vt:i4>0</vt:i4>
      </vt:variant>
      <vt:variant>
        <vt:i4>5</vt:i4>
      </vt:variant>
      <vt:variant>
        <vt:lpwstr>https://www.aic.gov.au/sites/default/files/2020-09/CRG_221617_final_report.pdf</vt:lpwstr>
      </vt:variant>
      <vt:variant>
        <vt:lpwstr/>
      </vt:variant>
      <vt:variant>
        <vt:i4>1966201</vt:i4>
      </vt:variant>
      <vt:variant>
        <vt:i4>15</vt:i4>
      </vt:variant>
      <vt:variant>
        <vt:i4>0</vt:i4>
      </vt:variant>
      <vt:variant>
        <vt:i4>5</vt:i4>
      </vt:variant>
      <vt:variant>
        <vt:lpwstr>https://www.aic.gov.au/sites/default/files/2022-06/ti651_adverse_childhood_experiences_and_trauma_among_young-people.pdf</vt:lpwstr>
      </vt:variant>
      <vt:variant>
        <vt:lpwstr/>
      </vt:variant>
      <vt:variant>
        <vt:i4>1966201</vt:i4>
      </vt:variant>
      <vt:variant>
        <vt:i4>12</vt:i4>
      </vt:variant>
      <vt:variant>
        <vt:i4>0</vt:i4>
      </vt:variant>
      <vt:variant>
        <vt:i4>5</vt:i4>
      </vt:variant>
      <vt:variant>
        <vt:lpwstr>https://www.aic.gov.au/sites/default/files/2022-06/ti651_adverse_childhood_experiences_and_trauma_among_young-people.pdf</vt:lpwstr>
      </vt:variant>
      <vt:variant>
        <vt:lpwstr/>
      </vt:variant>
      <vt:variant>
        <vt:i4>3473445</vt:i4>
      </vt:variant>
      <vt:variant>
        <vt:i4>9</vt:i4>
      </vt:variant>
      <vt:variant>
        <vt:i4>0</vt:i4>
      </vt:variant>
      <vt:variant>
        <vt:i4>5</vt:i4>
      </vt:variant>
      <vt:variant>
        <vt:lpwstr>https://www.abs.gov.au/statistics/people/crime-and-justice/recorded-crime-offenders/latest-release</vt:lpwstr>
      </vt:variant>
      <vt:variant>
        <vt:lpwstr/>
      </vt:variant>
      <vt:variant>
        <vt:i4>3473445</vt:i4>
      </vt:variant>
      <vt:variant>
        <vt:i4>6</vt:i4>
      </vt:variant>
      <vt:variant>
        <vt:i4>0</vt:i4>
      </vt:variant>
      <vt:variant>
        <vt:i4>5</vt:i4>
      </vt:variant>
      <vt:variant>
        <vt:lpwstr>https://www.abs.gov.au/statistics/people/crime-and-justice/recorded-crime-offenders/latest-release</vt:lpwstr>
      </vt:variant>
      <vt:variant>
        <vt:lpwstr/>
      </vt:variant>
      <vt:variant>
        <vt:i4>3473440</vt:i4>
      </vt:variant>
      <vt:variant>
        <vt:i4>3</vt:i4>
      </vt:variant>
      <vt:variant>
        <vt:i4>0</vt:i4>
      </vt:variant>
      <vt:variant>
        <vt:i4>5</vt:i4>
      </vt:variant>
      <vt:variant>
        <vt:lpwstr>https://www.alrc.gov.au/publication/traditional-rights-and-freedoms-encroachments-by-commonwealth-laws-ip-46/12-strict-and-absolute-liability/a-common-law-principle-2/</vt:lpwstr>
      </vt:variant>
      <vt:variant>
        <vt:lpwstr/>
      </vt:variant>
      <vt:variant>
        <vt:i4>1507361</vt:i4>
      </vt:variant>
      <vt:variant>
        <vt:i4>0</vt:i4>
      </vt:variant>
      <vt:variant>
        <vt:i4>0</vt:i4>
      </vt:variant>
      <vt:variant>
        <vt:i4>5</vt:i4>
      </vt:variant>
      <vt:variant>
        <vt:lpwstr>https://www.abs.gov.au/ausstats/abs@.nsf/7d12b0f6763c78caca257061001cc588/a4d719473be50fdfca2570ec001b2c95!OpenDocument</vt:lpwstr>
      </vt:variant>
      <vt:variant>
        <vt:lpwstr>:~:text=The%20Australian%20criminal%20justice%20system,to%20community%20members%2C%20are%20criminal.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Patrick Johnson</cp:lastModifiedBy>
  <cp:revision>393</cp:revision>
  <cp:lastPrinted>2023-06-13T06:09:00Z</cp:lastPrinted>
  <dcterms:created xsi:type="dcterms:W3CDTF">2023-05-25T23:46:00Z</dcterms:created>
  <dcterms:modified xsi:type="dcterms:W3CDTF">2023-06-13T06:09:00Z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