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D895" w14:textId="1E4E12F5" w:rsidR="00B50635" w:rsidRDefault="004D28FE" w:rsidP="004D28FE">
      <w:pPr>
        <w:spacing w:after="0"/>
        <w:rPr>
          <w:rFonts w:cs="Arial"/>
          <w:szCs w:val="20"/>
        </w:rPr>
      </w:pPr>
      <w:r w:rsidRPr="004D28FE">
        <w:rPr>
          <w:rFonts w:cs="Arial"/>
          <w:szCs w:val="20"/>
        </w:rPr>
        <w:t>Senate Standing Committees on Community Affairs</w:t>
      </w:r>
      <w:r w:rsidRPr="004D28FE">
        <w:rPr>
          <w:rFonts w:cs="Arial"/>
          <w:szCs w:val="20"/>
        </w:rPr>
        <w:br/>
        <w:t>PO Box 6100</w:t>
      </w:r>
      <w:r w:rsidRPr="004D28FE">
        <w:rPr>
          <w:rFonts w:cs="Arial"/>
          <w:szCs w:val="20"/>
        </w:rPr>
        <w:br/>
        <w:t>Parliament House</w:t>
      </w:r>
      <w:r w:rsidRPr="004D28FE">
        <w:rPr>
          <w:rFonts w:cs="Arial"/>
          <w:szCs w:val="20"/>
        </w:rPr>
        <w:br/>
        <w:t>Canberra ACT 2600</w:t>
      </w:r>
    </w:p>
    <w:p w14:paraId="7AF18FB3" w14:textId="77777777" w:rsidR="004D28FE" w:rsidRDefault="00103ACA" w:rsidP="004D28FE">
      <w:pPr>
        <w:spacing w:after="0"/>
        <w:rPr>
          <w:rFonts w:cs="Arial"/>
          <w:szCs w:val="20"/>
        </w:rPr>
      </w:pPr>
      <w:hyperlink r:id="rId11" w:history="1">
        <w:r w:rsidR="004D28FE" w:rsidRPr="004D28FE">
          <w:rPr>
            <w:rStyle w:val="Hyperlink"/>
            <w:rFonts w:cs="Arial"/>
            <w:szCs w:val="20"/>
          </w:rPr>
          <w:t>community.affairs.sen@aph.gov.au</w:t>
        </w:r>
      </w:hyperlink>
    </w:p>
    <w:p w14:paraId="793B18C6" w14:textId="77777777" w:rsidR="004D28FE" w:rsidRDefault="004D28FE" w:rsidP="004D28FE">
      <w:pPr>
        <w:spacing w:after="0"/>
        <w:rPr>
          <w:rFonts w:cs="Arial"/>
          <w:szCs w:val="20"/>
        </w:rPr>
      </w:pPr>
    </w:p>
    <w:p w14:paraId="5B84AE35" w14:textId="62930DB2" w:rsidR="00B50635" w:rsidRPr="009903E4" w:rsidRDefault="002E4947" w:rsidP="00B50635">
      <w:pPr>
        <w:rPr>
          <w:rFonts w:cs="Arial"/>
          <w:szCs w:val="20"/>
        </w:rPr>
      </w:pPr>
      <w:r>
        <w:rPr>
          <w:rFonts w:cs="Arial"/>
          <w:szCs w:val="20"/>
        </w:rPr>
        <w:t>1 September 2023</w:t>
      </w:r>
    </w:p>
    <w:p w14:paraId="0C1C1E8B" w14:textId="225E4B83" w:rsidR="00B50635" w:rsidRDefault="00B50635" w:rsidP="00B50635">
      <w:pPr>
        <w:rPr>
          <w:rFonts w:cs="Arial"/>
          <w:szCs w:val="20"/>
        </w:rPr>
      </w:pPr>
      <w:r w:rsidRPr="009903E4">
        <w:rPr>
          <w:rFonts w:cs="Arial"/>
          <w:szCs w:val="20"/>
        </w:rPr>
        <w:t xml:space="preserve">Dear </w:t>
      </w:r>
      <w:r w:rsidR="004D28FE">
        <w:rPr>
          <w:rFonts w:cs="Arial"/>
          <w:szCs w:val="20"/>
        </w:rPr>
        <w:t>Committee Secretary</w:t>
      </w:r>
    </w:p>
    <w:p w14:paraId="2DCC7491" w14:textId="1955C09E" w:rsidR="00B50635" w:rsidRPr="004D28FE" w:rsidRDefault="00FD4BEF" w:rsidP="00B50635">
      <w:pPr>
        <w:rPr>
          <w:rFonts w:cs="Arial"/>
          <w:b/>
          <w:bCs/>
          <w:szCs w:val="20"/>
        </w:rPr>
      </w:pPr>
      <w:r>
        <w:rPr>
          <w:rFonts w:cs="Arial"/>
          <w:b/>
          <w:bCs/>
          <w:szCs w:val="20"/>
        </w:rPr>
        <w:t xml:space="preserve">Inquiry into </w:t>
      </w:r>
      <w:r w:rsidR="00684982">
        <w:rPr>
          <w:rFonts w:cs="Arial"/>
          <w:b/>
          <w:bCs/>
          <w:szCs w:val="20"/>
        </w:rPr>
        <w:t>t</w:t>
      </w:r>
      <w:r w:rsidR="004D28FE">
        <w:rPr>
          <w:rFonts w:cs="Arial"/>
          <w:b/>
          <w:bCs/>
          <w:szCs w:val="20"/>
        </w:rPr>
        <w:t>he worsening rental crisis in Australia</w:t>
      </w:r>
    </w:p>
    <w:p w14:paraId="626D54A6" w14:textId="76482ACA" w:rsidR="000F1D33" w:rsidRDefault="007F5385" w:rsidP="00C43EFE">
      <w:pPr>
        <w:rPr>
          <w:rFonts w:cs="Arial"/>
          <w:szCs w:val="20"/>
        </w:rPr>
      </w:pPr>
      <w:r w:rsidRPr="007F5385">
        <w:rPr>
          <w:rFonts w:cs="Arial"/>
          <w:szCs w:val="20"/>
        </w:rPr>
        <w:t xml:space="preserve">The ACT Council of Social Service (ACTCOSS) welcomes this opportunity to provide a submission to the </w:t>
      </w:r>
      <w:r w:rsidR="00D24D81">
        <w:rPr>
          <w:rFonts w:cs="Arial"/>
          <w:szCs w:val="20"/>
        </w:rPr>
        <w:t>Inquiry into the worsening rental crisis in Australia</w:t>
      </w:r>
      <w:r w:rsidRPr="007F5385">
        <w:rPr>
          <w:rFonts w:cs="Arial"/>
          <w:szCs w:val="20"/>
        </w:rPr>
        <w:t xml:space="preserve">. ACTCOSS advocates for social justice in the ACT and is the peak body for </w:t>
      </w:r>
      <w:r w:rsidR="00D1601B">
        <w:rPr>
          <w:rFonts w:cs="Arial"/>
          <w:szCs w:val="20"/>
        </w:rPr>
        <w:t xml:space="preserve">not-for-profit </w:t>
      </w:r>
      <w:r w:rsidRPr="007F5385">
        <w:rPr>
          <w:rFonts w:cs="Arial"/>
          <w:szCs w:val="20"/>
        </w:rPr>
        <w:t xml:space="preserve">community organisations in Canberra. </w:t>
      </w:r>
    </w:p>
    <w:p w14:paraId="0C27A6BD" w14:textId="294DFA9A" w:rsidR="00DE33C5" w:rsidRPr="007F5385" w:rsidRDefault="00DE33C5" w:rsidP="00DE33C5">
      <w:pPr>
        <w:rPr>
          <w:rFonts w:cs="Arial"/>
          <w:szCs w:val="20"/>
        </w:rPr>
      </w:pPr>
      <w:r w:rsidRPr="007F5385">
        <w:rPr>
          <w:rFonts w:cs="Arial"/>
          <w:szCs w:val="20"/>
        </w:rPr>
        <w:t>ACTCOSS is supportive of submissions from the Australian Council of Social Service (ACOSS) and others in the COSS network</w:t>
      </w:r>
      <w:r w:rsidR="00E54420">
        <w:rPr>
          <w:rFonts w:cs="Arial"/>
          <w:szCs w:val="20"/>
        </w:rPr>
        <w:t xml:space="preserve">. We </w:t>
      </w:r>
      <w:r w:rsidR="0034410C">
        <w:rPr>
          <w:rFonts w:cs="Arial"/>
          <w:szCs w:val="20"/>
        </w:rPr>
        <w:t xml:space="preserve">also support </w:t>
      </w:r>
      <w:r w:rsidRPr="007F5385">
        <w:rPr>
          <w:rFonts w:cs="Arial"/>
          <w:szCs w:val="20"/>
        </w:rPr>
        <w:t xml:space="preserve">the </w:t>
      </w:r>
      <w:hyperlink r:id="rId12" w:tgtFrame="_blank" w:history="1">
        <w:r w:rsidRPr="007F5385">
          <w:rPr>
            <w:rStyle w:val="Hyperlink"/>
            <w:rFonts w:cs="Arial"/>
            <w:szCs w:val="20"/>
          </w:rPr>
          <w:t>Everybody's Home</w:t>
        </w:r>
      </w:hyperlink>
      <w:r w:rsidRPr="007F5385">
        <w:rPr>
          <w:rFonts w:cs="Arial"/>
          <w:szCs w:val="20"/>
        </w:rPr>
        <w:t xml:space="preserve"> campaign for a better, fairer housing system. We encourage the committee to take heed of the recommendations </w:t>
      </w:r>
      <w:r w:rsidR="00722C36">
        <w:rPr>
          <w:rFonts w:cs="Arial"/>
          <w:szCs w:val="20"/>
        </w:rPr>
        <w:t>made by housing peaks</w:t>
      </w:r>
      <w:r w:rsidR="00BC412B">
        <w:rPr>
          <w:rFonts w:cs="Arial"/>
          <w:szCs w:val="20"/>
        </w:rPr>
        <w:t>, tenancy organisations</w:t>
      </w:r>
      <w:r w:rsidR="00722C36">
        <w:rPr>
          <w:rFonts w:cs="Arial"/>
          <w:szCs w:val="20"/>
        </w:rPr>
        <w:t xml:space="preserve"> </w:t>
      </w:r>
      <w:r w:rsidR="006277D6">
        <w:rPr>
          <w:rFonts w:cs="Arial"/>
          <w:szCs w:val="20"/>
        </w:rPr>
        <w:t xml:space="preserve">and rental advocates as experts </w:t>
      </w:r>
      <w:r w:rsidR="00274F73">
        <w:rPr>
          <w:rFonts w:cs="Arial"/>
          <w:szCs w:val="20"/>
        </w:rPr>
        <w:t xml:space="preserve">in </w:t>
      </w:r>
      <w:r w:rsidR="00BC412B">
        <w:rPr>
          <w:rFonts w:cs="Arial"/>
          <w:szCs w:val="20"/>
        </w:rPr>
        <w:t>the field.</w:t>
      </w:r>
      <w:r w:rsidRPr="007F5385">
        <w:rPr>
          <w:rFonts w:cs="Arial"/>
          <w:szCs w:val="20"/>
        </w:rPr>
        <w:t> </w:t>
      </w:r>
    </w:p>
    <w:p w14:paraId="646873DC" w14:textId="77777777" w:rsidR="00E16859" w:rsidRDefault="00A43DDD" w:rsidP="005063D5">
      <w:pPr>
        <w:rPr>
          <w:rFonts w:cs="Arial"/>
          <w:szCs w:val="20"/>
        </w:rPr>
      </w:pPr>
      <w:r>
        <w:rPr>
          <w:rFonts w:cs="Arial"/>
          <w:szCs w:val="20"/>
        </w:rPr>
        <w:t>At present</w:t>
      </w:r>
      <w:r w:rsidR="0043631B">
        <w:rPr>
          <w:rFonts w:cs="Arial"/>
          <w:szCs w:val="20"/>
        </w:rPr>
        <w:t>,</w:t>
      </w:r>
      <w:r>
        <w:rPr>
          <w:rFonts w:cs="Arial"/>
          <w:szCs w:val="20"/>
        </w:rPr>
        <w:t xml:space="preserve"> the Australian housing context is riddled with instability and unaffordability </w:t>
      </w:r>
      <w:r w:rsidR="00323DF4">
        <w:rPr>
          <w:rFonts w:cs="Arial"/>
          <w:szCs w:val="20"/>
        </w:rPr>
        <w:t>that</w:t>
      </w:r>
      <w:r>
        <w:rPr>
          <w:rFonts w:cs="Arial"/>
          <w:szCs w:val="20"/>
        </w:rPr>
        <w:t xml:space="preserve"> disproportionately </w:t>
      </w:r>
      <w:r w:rsidR="00323DF4">
        <w:rPr>
          <w:rFonts w:cs="Arial"/>
          <w:szCs w:val="20"/>
        </w:rPr>
        <w:t>effects</w:t>
      </w:r>
      <w:r w:rsidR="00912209">
        <w:rPr>
          <w:rFonts w:cs="Arial"/>
          <w:szCs w:val="20"/>
        </w:rPr>
        <w:t xml:space="preserve"> the most vulnerable and disadvantaged households. </w:t>
      </w:r>
      <w:r w:rsidR="00EB6075">
        <w:rPr>
          <w:rFonts w:cs="Arial"/>
          <w:szCs w:val="20"/>
        </w:rPr>
        <w:t>Th</w:t>
      </w:r>
      <w:r w:rsidR="000A6EA7">
        <w:rPr>
          <w:rFonts w:cs="Arial"/>
          <w:szCs w:val="20"/>
        </w:rPr>
        <w:t>e</w:t>
      </w:r>
      <w:r w:rsidR="00EB6075">
        <w:rPr>
          <w:rFonts w:cs="Arial"/>
          <w:szCs w:val="20"/>
        </w:rPr>
        <w:t xml:space="preserve"> consequences of this housing crisis are </w:t>
      </w:r>
      <w:proofErr w:type="gramStart"/>
      <w:r w:rsidR="00484F68">
        <w:rPr>
          <w:rFonts w:cs="Arial"/>
          <w:szCs w:val="20"/>
        </w:rPr>
        <w:t>clearly evident</w:t>
      </w:r>
      <w:proofErr w:type="gramEnd"/>
      <w:r w:rsidR="00484F68">
        <w:rPr>
          <w:rFonts w:cs="Arial"/>
          <w:szCs w:val="20"/>
        </w:rPr>
        <w:t xml:space="preserve"> in the ACT region</w:t>
      </w:r>
      <w:r w:rsidR="0019454A">
        <w:rPr>
          <w:rFonts w:cs="Arial"/>
          <w:szCs w:val="20"/>
        </w:rPr>
        <w:t xml:space="preserve">. As our </w:t>
      </w:r>
      <w:hyperlink r:id="rId13" w:history="1">
        <w:r w:rsidR="0019454A">
          <w:rPr>
            <w:rStyle w:val="Hyperlink"/>
            <w:rFonts w:cs="Arial"/>
            <w:szCs w:val="20"/>
          </w:rPr>
          <w:t>2023 ACT Cost of Living Report</w:t>
        </w:r>
      </w:hyperlink>
      <w:r w:rsidR="0019454A" w:rsidRPr="00CF4F7F">
        <w:t xml:space="preserve"> </w:t>
      </w:r>
      <w:r w:rsidR="00CF4F7F" w:rsidRPr="00CF4F7F">
        <w:t xml:space="preserve">reveals, </w:t>
      </w:r>
      <w:r w:rsidR="00484F68">
        <w:rPr>
          <w:rFonts w:cs="Arial"/>
          <w:szCs w:val="20"/>
        </w:rPr>
        <w:t>Canberra ha</w:t>
      </w:r>
      <w:r w:rsidR="00CF4F7F">
        <w:rPr>
          <w:rFonts w:cs="Arial"/>
          <w:szCs w:val="20"/>
        </w:rPr>
        <w:t>s</w:t>
      </w:r>
      <w:r w:rsidR="00484F68">
        <w:rPr>
          <w:rFonts w:cs="Arial"/>
          <w:szCs w:val="20"/>
        </w:rPr>
        <w:t xml:space="preserve"> the most expensive overall median rent prices and </w:t>
      </w:r>
      <w:r w:rsidR="00475094">
        <w:rPr>
          <w:rFonts w:cs="Arial"/>
          <w:szCs w:val="20"/>
        </w:rPr>
        <w:t xml:space="preserve">is </w:t>
      </w:r>
      <w:r w:rsidR="00475094" w:rsidRPr="00475094">
        <w:rPr>
          <w:rFonts w:cs="Arial"/>
          <w:szCs w:val="20"/>
        </w:rPr>
        <w:t>the least affordable jurisdiction in the country for people on low incomes</w:t>
      </w:r>
      <w:r w:rsidR="00475094">
        <w:rPr>
          <w:rFonts w:cs="Arial"/>
          <w:szCs w:val="20"/>
        </w:rPr>
        <w:t>.</w:t>
      </w:r>
      <w:r w:rsidR="00475094" w:rsidRPr="00475094">
        <w:rPr>
          <w:rFonts w:cs="Arial"/>
          <w:szCs w:val="20"/>
        </w:rPr>
        <w:t xml:space="preserve"> </w:t>
      </w:r>
    </w:p>
    <w:p w14:paraId="1BD1FA84" w14:textId="14BE6849" w:rsidR="0086559F" w:rsidRDefault="00C26629" w:rsidP="005063D5">
      <w:pPr>
        <w:rPr>
          <w:rFonts w:cs="Arial"/>
          <w:szCs w:val="20"/>
          <w:lang w:val="en-US"/>
        </w:rPr>
      </w:pPr>
      <w:r>
        <w:rPr>
          <w:rFonts w:cs="Arial"/>
          <w:szCs w:val="20"/>
        </w:rPr>
        <w:t xml:space="preserve">The causes of this housing crisis are complex, </w:t>
      </w:r>
      <w:proofErr w:type="gramStart"/>
      <w:r>
        <w:rPr>
          <w:rFonts w:cs="Arial"/>
          <w:szCs w:val="20"/>
        </w:rPr>
        <w:t>multifaceted</w:t>
      </w:r>
      <w:proofErr w:type="gramEnd"/>
      <w:r>
        <w:rPr>
          <w:rFonts w:cs="Arial"/>
          <w:szCs w:val="20"/>
        </w:rPr>
        <w:t xml:space="preserve"> and interdependent.</w:t>
      </w:r>
      <w:r w:rsidR="001C1509">
        <w:rPr>
          <w:rFonts w:cs="Arial"/>
          <w:szCs w:val="20"/>
        </w:rPr>
        <w:t xml:space="preserve"> Accordingly, </w:t>
      </w:r>
      <w:r w:rsidR="008F7B86">
        <w:rPr>
          <w:rFonts w:cs="Arial"/>
          <w:szCs w:val="20"/>
        </w:rPr>
        <w:t>achieving a fit-for-purposes rental housing market in Australia will</w:t>
      </w:r>
      <w:r w:rsidR="00654139">
        <w:rPr>
          <w:rFonts w:cs="Arial"/>
          <w:szCs w:val="20"/>
        </w:rPr>
        <w:t xml:space="preserve"> </w:t>
      </w:r>
      <w:r w:rsidR="008F7B86">
        <w:rPr>
          <w:rFonts w:cs="Arial"/>
          <w:szCs w:val="20"/>
        </w:rPr>
        <w:t xml:space="preserve">require national leadership and housing policies that consider the multiple and </w:t>
      </w:r>
      <w:r w:rsidR="00654139">
        <w:rPr>
          <w:rFonts w:cs="Arial"/>
          <w:szCs w:val="20"/>
        </w:rPr>
        <w:t>complex</w:t>
      </w:r>
      <w:r w:rsidR="008F7B86">
        <w:rPr>
          <w:rFonts w:cs="Arial"/>
          <w:szCs w:val="20"/>
        </w:rPr>
        <w:t xml:space="preserve"> demand and supply factors that </w:t>
      </w:r>
      <w:r w:rsidR="00654139">
        <w:rPr>
          <w:rFonts w:cs="Arial"/>
          <w:szCs w:val="20"/>
        </w:rPr>
        <w:t>influence</w:t>
      </w:r>
      <w:r w:rsidR="008F7B86">
        <w:rPr>
          <w:rFonts w:cs="Arial"/>
          <w:szCs w:val="20"/>
        </w:rPr>
        <w:t xml:space="preserve"> the rental market</w:t>
      </w:r>
      <w:r w:rsidR="00654139">
        <w:rPr>
          <w:rFonts w:cs="Arial"/>
          <w:szCs w:val="20"/>
        </w:rPr>
        <w:t xml:space="preserve">. A </w:t>
      </w:r>
      <w:r w:rsidR="00360005">
        <w:rPr>
          <w:rFonts w:cs="Arial"/>
          <w:szCs w:val="20"/>
        </w:rPr>
        <w:t>substantial</w:t>
      </w:r>
      <w:r w:rsidR="00654139">
        <w:rPr>
          <w:rFonts w:cs="Arial"/>
          <w:szCs w:val="20"/>
        </w:rPr>
        <w:t xml:space="preserve"> increase in social housing, </w:t>
      </w:r>
      <w:r w:rsidR="00360005">
        <w:rPr>
          <w:rFonts w:cs="Arial"/>
          <w:szCs w:val="20"/>
        </w:rPr>
        <w:t xml:space="preserve">increased rent assistance, rent regulation and other tenancy </w:t>
      </w:r>
      <w:r w:rsidR="00D957C6">
        <w:rPr>
          <w:rFonts w:cs="Arial"/>
          <w:szCs w:val="20"/>
        </w:rPr>
        <w:t>l</w:t>
      </w:r>
      <w:r w:rsidR="00360005">
        <w:rPr>
          <w:rFonts w:cs="Arial"/>
          <w:szCs w:val="20"/>
        </w:rPr>
        <w:t xml:space="preserve">aw reforms should be core areas for immediate policy reform. </w:t>
      </w:r>
      <w:r>
        <w:rPr>
          <w:rFonts w:cs="Arial"/>
          <w:szCs w:val="20"/>
        </w:rPr>
        <w:t xml:space="preserve"> </w:t>
      </w:r>
      <w:r w:rsidR="00D80727">
        <w:rPr>
          <w:rFonts w:cs="Arial"/>
          <w:szCs w:val="20"/>
        </w:rPr>
        <w:t xml:space="preserve">With housing insecurity likely to </w:t>
      </w:r>
      <w:r w:rsidR="00731715">
        <w:rPr>
          <w:rFonts w:cs="Arial"/>
          <w:szCs w:val="20"/>
        </w:rPr>
        <w:t>increase in coming years</w:t>
      </w:r>
      <w:r w:rsidR="00213A88">
        <w:rPr>
          <w:rFonts w:cs="Arial"/>
          <w:szCs w:val="20"/>
        </w:rPr>
        <w:t xml:space="preserve">, </w:t>
      </w:r>
      <w:r w:rsidR="00CA688F">
        <w:rPr>
          <w:rFonts w:cs="Arial"/>
          <w:szCs w:val="20"/>
        </w:rPr>
        <w:t>w</w:t>
      </w:r>
      <w:r w:rsidR="00381781">
        <w:rPr>
          <w:rFonts w:cs="Arial"/>
          <w:szCs w:val="20"/>
        </w:rPr>
        <w:t xml:space="preserve">e urge the Federal Government to </w:t>
      </w:r>
      <w:r w:rsidR="0042691C">
        <w:rPr>
          <w:rFonts w:cs="Arial"/>
          <w:szCs w:val="20"/>
        </w:rPr>
        <w:t xml:space="preserve">work with state and territory jurisdictions to </w:t>
      </w:r>
      <w:r w:rsidR="00381781">
        <w:rPr>
          <w:rFonts w:cs="Arial"/>
          <w:szCs w:val="20"/>
        </w:rPr>
        <w:t xml:space="preserve">take action </w:t>
      </w:r>
      <w:r w:rsidR="002A1410">
        <w:rPr>
          <w:rFonts w:cs="Arial"/>
          <w:szCs w:val="20"/>
        </w:rPr>
        <w:t xml:space="preserve">to </w:t>
      </w:r>
      <w:r w:rsidR="00433B9B">
        <w:rPr>
          <w:rFonts w:cs="Arial"/>
          <w:szCs w:val="20"/>
        </w:rPr>
        <w:t>prevent prohibitive rent increases</w:t>
      </w:r>
      <w:r w:rsidR="007D6EB4">
        <w:rPr>
          <w:rFonts w:cs="Arial"/>
          <w:szCs w:val="20"/>
        </w:rPr>
        <w:t>,</w:t>
      </w:r>
      <w:r w:rsidR="00323777">
        <w:rPr>
          <w:rFonts w:cs="Arial"/>
          <w:szCs w:val="20"/>
        </w:rPr>
        <w:t xml:space="preserve"> </w:t>
      </w:r>
      <w:r w:rsidR="00671940">
        <w:rPr>
          <w:rFonts w:cs="Arial"/>
          <w:szCs w:val="20"/>
        </w:rPr>
        <w:t xml:space="preserve">replicate the ACT’s ban on no cause evictions, implement </w:t>
      </w:r>
      <w:r w:rsidR="003901E4">
        <w:rPr>
          <w:rFonts w:cs="Arial"/>
          <w:szCs w:val="20"/>
        </w:rPr>
        <w:t xml:space="preserve">appropriate </w:t>
      </w:r>
      <w:r w:rsidR="00A51AAC">
        <w:rPr>
          <w:rFonts w:cs="Arial"/>
          <w:szCs w:val="20"/>
        </w:rPr>
        <w:t>housing</w:t>
      </w:r>
      <w:r w:rsidR="003901E4">
        <w:rPr>
          <w:rFonts w:cs="Arial"/>
          <w:szCs w:val="20"/>
        </w:rPr>
        <w:t xml:space="preserve"> standards for rental properties</w:t>
      </w:r>
      <w:r w:rsidR="00F16E56">
        <w:rPr>
          <w:rFonts w:cs="Arial"/>
          <w:szCs w:val="20"/>
        </w:rPr>
        <w:t xml:space="preserve">, </w:t>
      </w:r>
      <w:r w:rsidR="000D2800">
        <w:rPr>
          <w:rFonts w:cs="Arial"/>
          <w:szCs w:val="20"/>
        </w:rPr>
        <w:t xml:space="preserve">and </w:t>
      </w:r>
      <w:r w:rsidR="00A54064">
        <w:rPr>
          <w:rFonts w:cs="Arial"/>
          <w:szCs w:val="20"/>
        </w:rPr>
        <w:t xml:space="preserve">boost </w:t>
      </w:r>
      <w:r w:rsidR="00CA0031">
        <w:rPr>
          <w:rFonts w:cs="Arial"/>
          <w:szCs w:val="20"/>
        </w:rPr>
        <w:t xml:space="preserve">the supply of </w:t>
      </w:r>
      <w:r w:rsidR="00A54064">
        <w:rPr>
          <w:rFonts w:cs="Arial"/>
          <w:szCs w:val="20"/>
        </w:rPr>
        <w:t>social housing.</w:t>
      </w:r>
      <w:r w:rsidR="00B678AF">
        <w:rPr>
          <w:rFonts w:cs="Arial"/>
          <w:szCs w:val="20"/>
          <w:lang w:val="en-US"/>
        </w:rPr>
        <w:t xml:space="preserve"> </w:t>
      </w:r>
    </w:p>
    <w:p w14:paraId="645FF98E" w14:textId="77777777" w:rsidR="00705881" w:rsidRPr="002D6E5E" w:rsidRDefault="00705881" w:rsidP="00705881">
      <w:pPr>
        <w:pStyle w:val="Heading2"/>
      </w:pPr>
      <w:r w:rsidRPr="002D6E5E">
        <w:t>Recommendations </w:t>
      </w:r>
    </w:p>
    <w:p w14:paraId="105E685A" w14:textId="2BEFF596" w:rsidR="00921293" w:rsidRPr="00921293" w:rsidRDefault="00921293" w:rsidP="00921293">
      <w:pPr>
        <w:pStyle w:val="ListParagraph"/>
        <w:numPr>
          <w:ilvl w:val="0"/>
          <w:numId w:val="18"/>
        </w:numPr>
        <w:rPr>
          <w:rFonts w:cs="Arial"/>
          <w:szCs w:val="20"/>
        </w:rPr>
      </w:pPr>
      <w:r w:rsidRPr="00921293">
        <w:rPr>
          <w:b/>
          <w:bCs/>
          <w:i/>
          <w:iCs/>
        </w:rPr>
        <w:t xml:space="preserve">The Commonwealth engage with state and territory government to devise, </w:t>
      </w:r>
      <w:proofErr w:type="gramStart"/>
      <w:r w:rsidRPr="00921293">
        <w:rPr>
          <w:b/>
          <w:bCs/>
          <w:i/>
          <w:iCs/>
        </w:rPr>
        <w:t>fund</w:t>
      </w:r>
      <w:proofErr w:type="gramEnd"/>
      <w:r w:rsidRPr="00921293">
        <w:rPr>
          <w:b/>
          <w:bCs/>
          <w:i/>
          <w:iCs/>
        </w:rPr>
        <w:t xml:space="preserve"> and implement a plan to grow Australia’s social and affordable housing sector to meet current and future</w:t>
      </w:r>
      <w:r w:rsidR="0007756C">
        <w:rPr>
          <w:b/>
          <w:bCs/>
          <w:i/>
          <w:iCs/>
        </w:rPr>
        <w:t xml:space="preserve"> demand</w:t>
      </w:r>
      <w:r w:rsidRPr="00921293">
        <w:rPr>
          <w:b/>
          <w:bCs/>
          <w:i/>
          <w:iCs/>
          <w:lang w:val="en-US"/>
        </w:rPr>
        <w:t>.</w:t>
      </w:r>
      <w:r w:rsidRPr="00921293">
        <w:rPr>
          <w:b/>
          <w:bCs/>
          <w:i/>
          <w:iCs/>
        </w:rPr>
        <w:t> </w:t>
      </w:r>
    </w:p>
    <w:p w14:paraId="702B1F32" w14:textId="3768EFD1" w:rsidR="00921293" w:rsidRDefault="00921293" w:rsidP="00921293">
      <w:pPr>
        <w:pStyle w:val="ListParagraph"/>
        <w:numPr>
          <w:ilvl w:val="0"/>
          <w:numId w:val="18"/>
        </w:numPr>
        <w:rPr>
          <w:b/>
          <w:bCs/>
          <w:i/>
          <w:iCs/>
        </w:rPr>
      </w:pPr>
      <w:r>
        <w:rPr>
          <w:b/>
          <w:bCs/>
          <w:i/>
          <w:iCs/>
        </w:rPr>
        <w:lastRenderedPageBreak/>
        <w:t>T</w:t>
      </w:r>
      <w:r w:rsidRPr="00921293">
        <w:rPr>
          <w:b/>
          <w:bCs/>
          <w:i/>
          <w:iCs/>
        </w:rPr>
        <w:t xml:space="preserve">he Commonwealth </w:t>
      </w:r>
      <w:r w:rsidR="00EB725D">
        <w:rPr>
          <w:b/>
          <w:bCs/>
          <w:i/>
          <w:iCs/>
        </w:rPr>
        <w:t xml:space="preserve">to </w:t>
      </w:r>
      <w:r w:rsidRPr="00921293">
        <w:rPr>
          <w:b/>
          <w:bCs/>
          <w:i/>
          <w:iCs/>
        </w:rPr>
        <w:t>work with states and territories to strengthen tenant rights and protections by improving the form and consistency of residential tenancy laws, while safeguarding against any regression of rights in jurisdictions.</w:t>
      </w:r>
    </w:p>
    <w:p w14:paraId="2D2BC93F" w14:textId="18CE45AE" w:rsidR="00EB725D" w:rsidRPr="00EB725D" w:rsidRDefault="00EB725D" w:rsidP="00EB725D">
      <w:pPr>
        <w:pStyle w:val="ListParagraph"/>
        <w:numPr>
          <w:ilvl w:val="0"/>
          <w:numId w:val="18"/>
        </w:numPr>
        <w:rPr>
          <w:rFonts w:cs="Arial"/>
          <w:b/>
          <w:bCs/>
          <w:i/>
          <w:iCs/>
          <w:szCs w:val="20"/>
        </w:rPr>
      </w:pPr>
      <w:r w:rsidRPr="00EB725D">
        <w:rPr>
          <w:rFonts w:cs="Arial"/>
          <w:b/>
          <w:bCs/>
          <w:i/>
          <w:iCs/>
          <w:szCs w:val="20"/>
        </w:rPr>
        <w:t>State and territory governments should set limits for rent price increases in line with rental CPI increases, and at a maximum occurrence of once every 12 months.</w:t>
      </w:r>
    </w:p>
    <w:p w14:paraId="779A8EDE" w14:textId="3C53D37E" w:rsidR="00EB725D" w:rsidRPr="00EB725D" w:rsidRDefault="00EB725D" w:rsidP="00EB725D">
      <w:pPr>
        <w:pStyle w:val="ListParagraph"/>
        <w:numPr>
          <w:ilvl w:val="0"/>
          <w:numId w:val="18"/>
        </w:numPr>
        <w:rPr>
          <w:b/>
          <w:bCs/>
          <w:i/>
          <w:iCs/>
        </w:rPr>
      </w:pPr>
      <w:r w:rsidRPr="00EB725D">
        <w:rPr>
          <w:b/>
          <w:bCs/>
          <w:i/>
          <w:iCs/>
        </w:rPr>
        <w:t>Improve compliance and accountability through accessible and robust frameworks that better ensure effectiveness of existing laws, including in relation to privacy.</w:t>
      </w:r>
    </w:p>
    <w:p w14:paraId="68778A04" w14:textId="77777777" w:rsidR="00EB725D" w:rsidRPr="00F73C17" w:rsidRDefault="00EB725D" w:rsidP="00EB725D">
      <w:pPr>
        <w:pStyle w:val="ListParagraph"/>
        <w:numPr>
          <w:ilvl w:val="0"/>
          <w:numId w:val="18"/>
        </w:numPr>
        <w:rPr>
          <w:b/>
          <w:bCs/>
          <w:i/>
          <w:iCs/>
        </w:rPr>
      </w:pPr>
      <w:r w:rsidRPr="00F73C17">
        <w:rPr>
          <w:b/>
          <w:bCs/>
          <w:i/>
          <w:iCs/>
        </w:rPr>
        <w:t xml:space="preserve">Reform residential tenancies laws to </w:t>
      </w:r>
      <w:r>
        <w:rPr>
          <w:b/>
          <w:bCs/>
          <w:i/>
          <w:iCs/>
        </w:rPr>
        <w:t xml:space="preserve">include </w:t>
      </w:r>
      <w:r w:rsidRPr="00F73C17">
        <w:rPr>
          <w:b/>
          <w:bCs/>
          <w:i/>
          <w:iCs/>
        </w:rPr>
        <w:t xml:space="preserve">specific and minimum quality, efficiency, repair and maintenance standards for all rental </w:t>
      </w:r>
      <w:r>
        <w:rPr>
          <w:b/>
          <w:bCs/>
          <w:i/>
          <w:iCs/>
        </w:rPr>
        <w:t>properties</w:t>
      </w:r>
      <w:r w:rsidRPr="00F73C17">
        <w:rPr>
          <w:b/>
          <w:bCs/>
          <w:i/>
          <w:iCs/>
        </w:rPr>
        <w:t>, and meaningful tools for their enforcement</w:t>
      </w:r>
      <w:r>
        <w:rPr>
          <w:b/>
          <w:bCs/>
          <w:i/>
          <w:iCs/>
        </w:rPr>
        <w:t>.</w:t>
      </w:r>
    </w:p>
    <w:p w14:paraId="4CF6A2C7" w14:textId="55ABD3CC" w:rsidR="00EB725D" w:rsidRPr="00DF0C71" w:rsidRDefault="00EB725D" w:rsidP="00EB725D">
      <w:pPr>
        <w:pStyle w:val="ListParagraph"/>
        <w:numPr>
          <w:ilvl w:val="0"/>
          <w:numId w:val="18"/>
        </w:numPr>
        <w:rPr>
          <w:b/>
          <w:bCs/>
          <w:i/>
          <w:iCs/>
        </w:rPr>
      </w:pPr>
      <w:r w:rsidRPr="00DF0C71">
        <w:rPr>
          <w:b/>
          <w:bCs/>
          <w:i/>
          <w:iCs/>
        </w:rPr>
        <w:t>Implement minimum energy efficiency standards for rental homes</w:t>
      </w:r>
      <w:r>
        <w:rPr>
          <w:b/>
          <w:bCs/>
          <w:i/>
          <w:iCs/>
        </w:rPr>
        <w:t>.</w:t>
      </w:r>
    </w:p>
    <w:p w14:paraId="1F284A9A" w14:textId="77777777" w:rsidR="00EB725D" w:rsidRPr="00EB725D" w:rsidRDefault="00EB725D" w:rsidP="00EB725D">
      <w:pPr>
        <w:pStyle w:val="ListParagraph"/>
        <w:numPr>
          <w:ilvl w:val="0"/>
          <w:numId w:val="18"/>
        </w:numPr>
        <w:rPr>
          <w:b/>
          <w:bCs/>
          <w:i/>
          <w:iCs/>
        </w:rPr>
      </w:pPr>
      <w:r w:rsidRPr="00EB725D">
        <w:rPr>
          <w:b/>
          <w:bCs/>
          <w:i/>
          <w:iCs/>
        </w:rPr>
        <w:t xml:space="preserve">Immediately increase CRA by 50% to support low-income households in rental stress, and undertake a review of the adequacy, </w:t>
      </w:r>
      <w:proofErr w:type="gramStart"/>
      <w:r w:rsidRPr="00EB725D">
        <w:rPr>
          <w:b/>
          <w:bCs/>
          <w:i/>
          <w:iCs/>
        </w:rPr>
        <w:t>eligibility</w:t>
      </w:r>
      <w:proofErr w:type="gramEnd"/>
      <w:r w:rsidRPr="00EB725D">
        <w:rPr>
          <w:b/>
          <w:bCs/>
          <w:i/>
          <w:iCs/>
        </w:rPr>
        <w:t xml:space="preserve"> and structure of CRA to ensure it better meets the needs of low-income households experiencing rental stress. </w:t>
      </w:r>
    </w:p>
    <w:p w14:paraId="40AD8FAE" w14:textId="2997783E" w:rsidR="007846E5" w:rsidRPr="007846E5" w:rsidRDefault="007846E5" w:rsidP="007846E5">
      <w:pPr>
        <w:pStyle w:val="ListParagraph"/>
        <w:numPr>
          <w:ilvl w:val="0"/>
          <w:numId w:val="18"/>
        </w:numPr>
        <w:rPr>
          <w:b/>
          <w:bCs/>
          <w:i/>
          <w:iCs/>
        </w:rPr>
      </w:pPr>
      <w:r w:rsidRPr="007846E5">
        <w:rPr>
          <w:b/>
          <w:bCs/>
          <w:i/>
          <w:iCs/>
        </w:rPr>
        <w:t xml:space="preserve">Fund the development of a National Aboriginal and Torres Strait Islander Housing Strategy, with increased investment in community-controlled social and affordable housing in urban, </w:t>
      </w:r>
      <w:proofErr w:type="gramStart"/>
      <w:r w:rsidRPr="007846E5">
        <w:rPr>
          <w:b/>
          <w:bCs/>
          <w:i/>
          <w:iCs/>
        </w:rPr>
        <w:t>regional</w:t>
      </w:r>
      <w:proofErr w:type="gramEnd"/>
      <w:r w:rsidRPr="007846E5">
        <w:rPr>
          <w:b/>
          <w:bCs/>
          <w:i/>
          <w:iCs/>
        </w:rPr>
        <w:t xml:space="preserve"> and remote Australia, and with the development and implementation of the strategy led by Aboriginal and Torres Strait Islander communities.</w:t>
      </w:r>
    </w:p>
    <w:p w14:paraId="069729CC" w14:textId="77777777" w:rsidR="00921293" w:rsidRPr="007846E5" w:rsidRDefault="00921293" w:rsidP="007846E5">
      <w:pPr>
        <w:pStyle w:val="ListParagraph"/>
        <w:ind w:left="1080"/>
        <w:rPr>
          <w:b/>
          <w:bCs/>
          <w:i/>
          <w:iCs/>
        </w:rPr>
      </w:pPr>
    </w:p>
    <w:p w14:paraId="30293ADC" w14:textId="77777777" w:rsidR="00542E05" w:rsidRDefault="00542E05" w:rsidP="00542E05">
      <w:pPr>
        <w:pStyle w:val="Heading1"/>
      </w:pPr>
      <w:r>
        <w:t>Reform Priorities</w:t>
      </w:r>
    </w:p>
    <w:p w14:paraId="330F73D1" w14:textId="77777777" w:rsidR="003D40AE" w:rsidRDefault="003D40AE" w:rsidP="003D40AE">
      <w:pPr>
        <w:pStyle w:val="Heading2"/>
      </w:pPr>
      <w:r>
        <w:t>Increasing social and affordable housing</w:t>
      </w:r>
    </w:p>
    <w:p w14:paraId="72DAF23D" w14:textId="215391EE" w:rsidR="003D40AE" w:rsidRDefault="003D40AE" w:rsidP="003D40AE">
      <w:pPr>
        <w:rPr>
          <w:rFonts w:cs="Arial"/>
          <w:szCs w:val="20"/>
        </w:rPr>
      </w:pPr>
      <w:r>
        <w:rPr>
          <w:rFonts w:cs="Arial"/>
          <w:szCs w:val="20"/>
        </w:rPr>
        <w:t xml:space="preserve">There cannot be an adequate response to the housing and rental crisis without </w:t>
      </w:r>
      <w:r w:rsidR="00EF6974">
        <w:rPr>
          <w:rFonts w:cs="Arial"/>
          <w:szCs w:val="20"/>
        </w:rPr>
        <w:t xml:space="preserve">substantial investment </w:t>
      </w:r>
      <w:r w:rsidR="005B2409">
        <w:rPr>
          <w:rFonts w:cs="Arial"/>
          <w:szCs w:val="20"/>
        </w:rPr>
        <w:t>in</w:t>
      </w:r>
      <w:r w:rsidR="00CF708C">
        <w:rPr>
          <w:rFonts w:cs="Arial"/>
          <w:szCs w:val="20"/>
        </w:rPr>
        <w:t xml:space="preserve"> social housing. </w:t>
      </w:r>
      <w:r>
        <w:rPr>
          <w:rFonts w:cs="Arial"/>
          <w:szCs w:val="20"/>
        </w:rPr>
        <w:t>With a declin</w:t>
      </w:r>
      <w:r w:rsidR="00230A06">
        <w:rPr>
          <w:rFonts w:cs="Arial"/>
          <w:szCs w:val="20"/>
        </w:rPr>
        <w:t>ing</w:t>
      </w:r>
      <w:r>
        <w:rPr>
          <w:rFonts w:cs="Arial"/>
          <w:szCs w:val="20"/>
        </w:rPr>
        <w:t xml:space="preserve"> stock of social housing in recent decades, the quantity and diversity of public and social housing dwellings is insufficient to meet the demands on the system</w:t>
      </w:r>
      <w:r w:rsidR="005A5204">
        <w:rPr>
          <w:rFonts w:cs="Arial"/>
          <w:szCs w:val="20"/>
        </w:rPr>
        <w:t xml:space="preserve">. </w:t>
      </w:r>
      <w:r w:rsidR="00D1633C">
        <w:rPr>
          <w:rFonts w:cs="Arial"/>
          <w:szCs w:val="20"/>
        </w:rPr>
        <w:t xml:space="preserve">The </w:t>
      </w:r>
      <w:r w:rsidR="006F5CBA">
        <w:rPr>
          <w:rFonts w:cs="Arial"/>
          <w:szCs w:val="20"/>
        </w:rPr>
        <w:t xml:space="preserve">large and persistent </w:t>
      </w:r>
      <w:r w:rsidR="00D1633C">
        <w:rPr>
          <w:rFonts w:cs="Arial"/>
          <w:szCs w:val="20"/>
        </w:rPr>
        <w:t>shortfall</w:t>
      </w:r>
      <w:r w:rsidR="006F5CBA">
        <w:rPr>
          <w:rFonts w:cs="Arial"/>
          <w:szCs w:val="20"/>
        </w:rPr>
        <w:t xml:space="preserve"> in social housing supply is intrinsically linked to the rental and overall housing market</w:t>
      </w:r>
      <w:r w:rsidR="000107DB">
        <w:rPr>
          <w:rFonts w:cs="Arial"/>
          <w:szCs w:val="20"/>
        </w:rPr>
        <w:t>, putting increased pressure at all points along the housing continuum</w:t>
      </w:r>
      <w:r>
        <w:rPr>
          <w:rFonts w:cs="Arial"/>
          <w:szCs w:val="20"/>
        </w:rPr>
        <w:t>.</w:t>
      </w:r>
      <w:r w:rsidR="00966240">
        <w:rPr>
          <w:rFonts w:cs="Arial"/>
          <w:szCs w:val="20"/>
        </w:rPr>
        <w:t xml:space="preserve"> Lengthy social housing waiting lists force up demand in the private market, contributing to the worsening housing affordability crisis.</w:t>
      </w:r>
      <w:r>
        <w:rPr>
          <w:rFonts w:cs="Arial"/>
          <w:szCs w:val="20"/>
        </w:rPr>
        <w:t xml:space="preserve"> </w:t>
      </w:r>
    </w:p>
    <w:p w14:paraId="7A99A2DB" w14:textId="05436EA0" w:rsidR="009D5658" w:rsidRDefault="00F32291" w:rsidP="003D40AE">
      <w:pPr>
        <w:rPr>
          <w:rFonts w:cs="Arial"/>
          <w:szCs w:val="20"/>
        </w:rPr>
      </w:pPr>
      <w:r>
        <w:rPr>
          <w:rFonts w:cs="Arial"/>
          <w:szCs w:val="20"/>
        </w:rPr>
        <w:t xml:space="preserve">The </w:t>
      </w:r>
      <w:r w:rsidR="00FC3D09">
        <w:rPr>
          <w:rFonts w:cs="Arial"/>
          <w:szCs w:val="20"/>
        </w:rPr>
        <w:t>proportion</w:t>
      </w:r>
      <w:r w:rsidR="00D25C47">
        <w:rPr>
          <w:rFonts w:cs="Arial"/>
          <w:szCs w:val="20"/>
        </w:rPr>
        <w:t xml:space="preserve"> of social housing in the Australian housing market has been in decline since the 1980s and, </w:t>
      </w:r>
      <w:proofErr w:type="gramStart"/>
      <w:r w:rsidR="00D25C47">
        <w:rPr>
          <w:rFonts w:cs="Arial"/>
          <w:szCs w:val="20"/>
        </w:rPr>
        <w:t>with the exception of</w:t>
      </w:r>
      <w:proofErr w:type="gramEnd"/>
      <w:r w:rsidR="00D25C47">
        <w:rPr>
          <w:rFonts w:cs="Arial"/>
          <w:szCs w:val="20"/>
        </w:rPr>
        <w:t xml:space="preserve"> </w:t>
      </w:r>
      <w:r w:rsidR="00C25F77">
        <w:rPr>
          <w:rFonts w:cs="Arial"/>
          <w:szCs w:val="20"/>
        </w:rPr>
        <w:t xml:space="preserve">increased federal investment </w:t>
      </w:r>
      <w:r w:rsidR="00FC3D09">
        <w:rPr>
          <w:rFonts w:cs="Arial"/>
          <w:szCs w:val="20"/>
        </w:rPr>
        <w:t xml:space="preserve">during the Global Financial Crisis, </w:t>
      </w:r>
      <w:r w:rsidR="00C25F77">
        <w:rPr>
          <w:rFonts w:cs="Arial"/>
          <w:szCs w:val="20"/>
        </w:rPr>
        <w:t xml:space="preserve">has been </w:t>
      </w:r>
      <w:r w:rsidR="00082612">
        <w:rPr>
          <w:rFonts w:cs="Arial"/>
          <w:szCs w:val="20"/>
        </w:rPr>
        <w:t xml:space="preserve">severely neglected by all levels of government </w:t>
      </w:r>
      <w:r w:rsidR="005C758B">
        <w:rPr>
          <w:rFonts w:cs="Arial"/>
          <w:szCs w:val="20"/>
        </w:rPr>
        <w:t>over</w:t>
      </w:r>
      <w:r w:rsidR="00082612">
        <w:rPr>
          <w:rFonts w:cs="Arial"/>
          <w:szCs w:val="20"/>
        </w:rPr>
        <w:t xml:space="preserve"> the past three de</w:t>
      </w:r>
      <w:r w:rsidR="00BF05C3">
        <w:rPr>
          <w:rFonts w:cs="Arial"/>
          <w:szCs w:val="20"/>
        </w:rPr>
        <w:t>cades.</w:t>
      </w:r>
      <w:r w:rsidR="00F26A7A">
        <w:rPr>
          <w:rFonts w:cs="Arial"/>
          <w:szCs w:val="20"/>
        </w:rPr>
        <w:t xml:space="preserve"> At the same time as social housing </w:t>
      </w:r>
      <w:r w:rsidR="0033111C">
        <w:rPr>
          <w:rFonts w:cs="Arial"/>
          <w:szCs w:val="20"/>
        </w:rPr>
        <w:t xml:space="preserve">stock has declined, the structure of the private rental market has shifted, </w:t>
      </w:r>
      <w:r w:rsidR="0038749A">
        <w:rPr>
          <w:rFonts w:cs="Arial"/>
          <w:szCs w:val="20"/>
        </w:rPr>
        <w:t xml:space="preserve">with an </w:t>
      </w:r>
      <w:r w:rsidR="00AC131D">
        <w:rPr>
          <w:rFonts w:cs="Arial"/>
          <w:szCs w:val="20"/>
        </w:rPr>
        <w:t xml:space="preserve">increase </w:t>
      </w:r>
      <w:r w:rsidR="00B34C0E">
        <w:rPr>
          <w:rFonts w:cs="Arial"/>
          <w:szCs w:val="20"/>
        </w:rPr>
        <w:t xml:space="preserve">in the </w:t>
      </w:r>
      <w:r w:rsidR="00AC131D">
        <w:rPr>
          <w:rFonts w:cs="Arial"/>
          <w:szCs w:val="20"/>
        </w:rPr>
        <w:t xml:space="preserve">concentration </w:t>
      </w:r>
      <w:r w:rsidR="000234B6">
        <w:rPr>
          <w:rFonts w:cs="Arial"/>
          <w:szCs w:val="20"/>
        </w:rPr>
        <w:t>of rental supply</w:t>
      </w:r>
      <w:r w:rsidR="00C47509">
        <w:rPr>
          <w:rFonts w:cs="Arial"/>
          <w:szCs w:val="20"/>
        </w:rPr>
        <w:t xml:space="preserve"> at mid-market levels</w:t>
      </w:r>
      <w:r w:rsidR="00945D93">
        <w:rPr>
          <w:rFonts w:cs="Arial"/>
          <w:szCs w:val="20"/>
        </w:rPr>
        <w:t>,</w:t>
      </w:r>
      <w:r w:rsidR="00C47509">
        <w:rPr>
          <w:rFonts w:cs="Arial"/>
          <w:szCs w:val="20"/>
        </w:rPr>
        <w:t xml:space="preserve"> and </w:t>
      </w:r>
      <w:r w:rsidR="00056799">
        <w:rPr>
          <w:rFonts w:cs="Arial"/>
          <w:szCs w:val="20"/>
        </w:rPr>
        <w:t xml:space="preserve">more middle and higher-income </w:t>
      </w:r>
      <w:r w:rsidR="00AB4391">
        <w:rPr>
          <w:rFonts w:cs="Arial"/>
          <w:szCs w:val="20"/>
        </w:rPr>
        <w:t xml:space="preserve">households </w:t>
      </w:r>
      <w:r w:rsidR="00945D93">
        <w:rPr>
          <w:rFonts w:cs="Arial"/>
          <w:szCs w:val="20"/>
        </w:rPr>
        <w:t>entering and remaining in the</w:t>
      </w:r>
      <w:r w:rsidR="00AB4391">
        <w:rPr>
          <w:rFonts w:cs="Arial"/>
          <w:szCs w:val="20"/>
        </w:rPr>
        <w:t xml:space="preserve"> rent</w:t>
      </w:r>
      <w:r w:rsidR="00945D93">
        <w:rPr>
          <w:rFonts w:cs="Arial"/>
          <w:szCs w:val="20"/>
        </w:rPr>
        <w:t xml:space="preserve"> market</w:t>
      </w:r>
      <w:r w:rsidR="00AB4391">
        <w:rPr>
          <w:rFonts w:cs="Arial"/>
          <w:szCs w:val="20"/>
        </w:rPr>
        <w:t>.</w:t>
      </w:r>
      <w:r w:rsidR="00D71353">
        <w:rPr>
          <w:rFonts w:cs="Arial"/>
          <w:szCs w:val="20"/>
        </w:rPr>
        <w:t xml:space="preserve"> </w:t>
      </w:r>
      <w:r w:rsidR="004917A9">
        <w:rPr>
          <w:rFonts w:cs="Arial"/>
          <w:szCs w:val="20"/>
        </w:rPr>
        <w:t xml:space="preserve">That is, </w:t>
      </w:r>
      <w:r w:rsidR="004917A9" w:rsidRPr="004917A9">
        <w:rPr>
          <w:rFonts w:cs="Arial"/>
          <w:szCs w:val="20"/>
        </w:rPr>
        <w:t>increase</w:t>
      </w:r>
      <w:r w:rsidR="004917A9">
        <w:rPr>
          <w:rFonts w:cs="Arial"/>
          <w:szCs w:val="20"/>
        </w:rPr>
        <w:t>s</w:t>
      </w:r>
      <w:r w:rsidR="004917A9" w:rsidRPr="004917A9">
        <w:rPr>
          <w:rFonts w:cs="Arial"/>
          <w:szCs w:val="20"/>
        </w:rPr>
        <w:t xml:space="preserve"> in private rental stock ha</w:t>
      </w:r>
      <w:r w:rsidR="004917A9">
        <w:rPr>
          <w:rFonts w:cs="Arial"/>
          <w:szCs w:val="20"/>
        </w:rPr>
        <w:t>ve</w:t>
      </w:r>
      <w:r w:rsidR="004917A9" w:rsidRPr="004917A9">
        <w:rPr>
          <w:rFonts w:cs="Arial"/>
          <w:szCs w:val="20"/>
        </w:rPr>
        <w:t xml:space="preserve"> been largely at the top end of the market</w:t>
      </w:r>
      <w:r w:rsidR="004917A9">
        <w:rPr>
          <w:rFonts w:cs="Arial"/>
          <w:szCs w:val="20"/>
        </w:rPr>
        <w:t>,</w:t>
      </w:r>
      <w:r w:rsidR="004917A9" w:rsidRPr="004917A9">
        <w:rPr>
          <w:rFonts w:cs="Arial"/>
          <w:szCs w:val="20"/>
        </w:rPr>
        <w:t xml:space="preserve"> and at the same time there has been a loss of stock at the bottom end of the market.</w:t>
      </w:r>
      <w:r w:rsidR="004917A9">
        <w:rPr>
          <w:rFonts w:cs="Arial"/>
          <w:szCs w:val="20"/>
        </w:rPr>
        <w:t xml:space="preserve"> </w:t>
      </w:r>
      <w:r w:rsidR="00D71353">
        <w:rPr>
          <w:rFonts w:cs="Arial"/>
          <w:szCs w:val="20"/>
        </w:rPr>
        <w:t xml:space="preserve">In a context of rising rents and declining homeownership, </w:t>
      </w:r>
      <w:proofErr w:type="gramStart"/>
      <w:r w:rsidR="00D71353">
        <w:rPr>
          <w:rFonts w:cs="Arial"/>
          <w:szCs w:val="20"/>
        </w:rPr>
        <w:t>more higher</w:t>
      </w:r>
      <w:proofErr w:type="gramEnd"/>
      <w:r w:rsidR="00226A86">
        <w:rPr>
          <w:rFonts w:cs="Arial"/>
          <w:szCs w:val="20"/>
        </w:rPr>
        <w:t>-income households ‘trade down’ and compete for what would have been cheaper rentals,</w:t>
      </w:r>
      <w:r w:rsidR="002D437C">
        <w:rPr>
          <w:rFonts w:cs="Arial"/>
          <w:szCs w:val="20"/>
        </w:rPr>
        <w:t xml:space="preserve"> </w:t>
      </w:r>
      <w:r w:rsidR="006F4F09">
        <w:rPr>
          <w:rFonts w:cs="Arial"/>
          <w:szCs w:val="20"/>
        </w:rPr>
        <w:t>crowding</w:t>
      </w:r>
      <w:r w:rsidR="002D437C">
        <w:rPr>
          <w:rFonts w:cs="Arial"/>
          <w:szCs w:val="20"/>
        </w:rPr>
        <w:t xml:space="preserve"> out lower</w:t>
      </w:r>
      <w:r w:rsidR="00945D93">
        <w:rPr>
          <w:rFonts w:cs="Arial"/>
          <w:szCs w:val="20"/>
        </w:rPr>
        <w:t>-</w:t>
      </w:r>
      <w:r w:rsidR="002D437C">
        <w:rPr>
          <w:rFonts w:cs="Arial"/>
          <w:szCs w:val="20"/>
        </w:rPr>
        <w:t>income households</w:t>
      </w:r>
      <w:r w:rsidR="006F4F09">
        <w:rPr>
          <w:rFonts w:cs="Arial"/>
          <w:szCs w:val="20"/>
        </w:rPr>
        <w:t xml:space="preserve"> and putting upward pressure on the cost of these rental properties.</w:t>
      </w:r>
      <w:r w:rsidR="00451A34">
        <w:rPr>
          <w:rFonts w:cs="Arial"/>
          <w:szCs w:val="20"/>
        </w:rPr>
        <w:t xml:space="preserve"> </w:t>
      </w:r>
    </w:p>
    <w:p w14:paraId="7DAA6FF4" w14:textId="0D41F707" w:rsidR="004A5EF9" w:rsidRPr="0093772F" w:rsidRDefault="004A5EF9" w:rsidP="004A5EF9">
      <w:r>
        <w:lastRenderedPageBreak/>
        <w:t xml:space="preserve">Exacerbating the shortage of </w:t>
      </w:r>
      <w:r w:rsidR="006F4755">
        <w:t xml:space="preserve">rental properties for those on low incomes </w:t>
      </w:r>
      <w:r>
        <w:t xml:space="preserve">is the loss of homes provided through the National Rental Affordability Scheme (NRAS). The scheme was introduced by the Federal Government in 2008 and approximately 36,000 homes were constructed. It provided an annual financial incentive to property owners who supplied new properties that were to be rented at below market rates to people on low to moderate incomes. </w:t>
      </w:r>
      <w:r w:rsidR="00CD0682">
        <w:t xml:space="preserve">While the expiry of NRAS, an estimated 23,000 affordable rental properties will be lost between now and </w:t>
      </w:r>
      <w:r w:rsidR="008456D4">
        <w:t>2026</w:t>
      </w:r>
      <w:r w:rsidR="00CD0682">
        <w:t>.</w:t>
      </w:r>
    </w:p>
    <w:p w14:paraId="686103A2" w14:textId="048EDA6D" w:rsidR="00F32291" w:rsidRDefault="00451A34" w:rsidP="003D40AE">
      <w:pPr>
        <w:rPr>
          <w:rFonts w:cs="Arial"/>
          <w:szCs w:val="20"/>
        </w:rPr>
      </w:pPr>
      <w:r>
        <w:rPr>
          <w:rFonts w:cs="Arial"/>
          <w:szCs w:val="20"/>
        </w:rPr>
        <w:t>The</w:t>
      </w:r>
      <w:r w:rsidR="00772678">
        <w:rPr>
          <w:rFonts w:cs="Arial"/>
          <w:szCs w:val="20"/>
        </w:rPr>
        <w:t xml:space="preserve"> problem created for low-income households by</w:t>
      </w:r>
      <w:r w:rsidR="00D37605">
        <w:rPr>
          <w:rFonts w:cs="Arial"/>
          <w:szCs w:val="20"/>
        </w:rPr>
        <w:t xml:space="preserve"> the loss of stock at </w:t>
      </w:r>
      <w:r w:rsidR="003048EE">
        <w:rPr>
          <w:rFonts w:cs="Arial"/>
          <w:szCs w:val="20"/>
        </w:rPr>
        <w:t>the lower-priced end of the rental market,</w:t>
      </w:r>
      <w:r w:rsidR="00772678">
        <w:rPr>
          <w:rFonts w:cs="Arial"/>
          <w:szCs w:val="20"/>
        </w:rPr>
        <w:t xml:space="preserve"> intense rental market competition and the </w:t>
      </w:r>
      <w:r w:rsidR="00545492">
        <w:rPr>
          <w:rFonts w:cs="Arial"/>
          <w:szCs w:val="20"/>
        </w:rPr>
        <w:t>‘</w:t>
      </w:r>
      <w:r w:rsidR="00772678">
        <w:rPr>
          <w:rFonts w:cs="Arial"/>
          <w:szCs w:val="20"/>
        </w:rPr>
        <w:t>crowding out</w:t>
      </w:r>
      <w:r w:rsidR="00545492">
        <w:rPr>
          <w:rFonts w:cs="Arial"/>
          <w:szCs w:val="20"/>
        </w:rPr>
        <w:t>’ of the rental market by higher-income households</w:t>
      </w:r>
      <w:r w:rsidR="00925857">
        <w:rPr>
          <w:rFonts w:cs="Arial"/>
          <w:szCs w:val="20"/>
        </w:rPr>
        <w:t xml:space="preserve"> is </w:t>
      </w:r>
      <w:r w:rsidR="003048EE">
        <w:rPr>
          <w:rFonts w:cs="Arial"/>
          <w:szCs w:val="20"/>
        </w:rPr>
        <w:t xml:space="preserve">precisely </w:t>
      </w:r>
      <w:r w:rsidR="00925857">
        <w:rPr>
          <w:rFonts w:cs="Arial"/>
          <w:szCs w:val="20"/>
        </w:rPr>
        <w:t xml:space="preserve">why </w:t>
      </w:r>
      <w:r w:rsidR="00945D93">
        <w:rPr>
          <w:rFonts w:cs="Arial"/>
          <w:szCs w:val="20"/>
        </w:rPr>
        <w:t xml:space="preserve">the </w:t>
      </w:r>
      <w:r w:rsidR="00925857">
        <w:rPr>
          <w:rFonts w:cs="Arial"/>
          <w:szCs w:val="20"/>
        </w:rPr>
        <w:t xml:space="preserve">large-scale provision of social housing is the most important </w:t>
      </w:r>
      <w:r w:rsidR="00D851B8">
        <w:rPr>
          <w:rFonts w:cs="Arial"/>
          <w:szCs w:val="20"/>
        </w:rPr>
        <w:t>policy response to the housing crisis.</w:t>
      </w:r>
      <w:r w:rsidR="009D5658">
        <w:rPr>
          <w:rFonts w:cs="Arial"/>
          <w:szCs w:val="20"/>
        </w:rPr>
        <w:t xml:space="preserve"> Any other attempt to tackle the </w:t>
      </w:r>
      <w:r w:rsidR="00D66FF2">
        <w:rPr>
          <w:rFonts w:cs="Arial"/>
          <w:szCs w:val="20"/>
        </w:rPr>
        <w:t>rental</w:t>
      </w:r>
      <w:r w:rsidR="009D5658">
        <w:rPr>
          <w:rFonts w:cs="Arial"/>
          <w:szCs w:val="20"/>
        </w:rPr>
        <w:t xml:space="preserve"> </w:t>
      </w:r>
      <w:r w:rsidR="00D66FF2">
        <w:rPr>
          <w:rFonts w:cs="Arial"/>
          <w:szCs w:val="20"/>
        </w:rPr>
        <w:t>crisis</w:t>
      </w:r>
      <w:r w:rsidR="00634B7E">
        <w:rPr>
          <w:rFonts w:cs="Arial"/>
          <w:szCs w:val="20"/>
        </w:rPr>
        <w:t xml:space="preserve"> in Australia will simply not address those most in need, and those </w:t>
      </w:r>
      <w:r w:rsidR="0000699A">
        <w:rPr>
          <w:rFonts w:cs="Arial"/>
          <w:szCs w:val="20"/>
        </w:rPr>
        <w:t>who have been most failed by current policy settings.</w:t>
      </w:r>
    </w:p>
    <w:p w14:paraId="548BFBC8" w14:textId="2E155B47" w:rsidR="003D40AE" w:rsidRDefault="006A402E" w:rsidP="003D40AE">
      <w:pPr>
        <w:rPr>
          <w:rFonts w:cs="Arial"/>
          <w:szCs w:val="20"/>
        </w:rPr>
      </w:pPr>
      <w:r>
        <w:rPr>
          <w:rFonts w:cs="Arial"/>
          <w:szCs w:val="20"/>
        </w:rPr>
        <w:t xml:space="preserve">The need for significant and sustained investment in social housing is </w:t>
      </w:r>
      <w:r w:rsidR="00421C7B">
        <w:rPr>
          <w:rFonts w:cs="Arial"/>
          <w:szCs w:val="20"/>
        </w:rPr>
        <w:t xml:space="preserve">evident </w:t>
      </w:r>
      <w:r w:rsidR="00CB18F3">
        <w:rPr>
          <w:rFonts w:cs="Arial"/>
          <w:szCs w:val="20"/>
        </w:rPr>
        <w:t>i</w:t>
      </w:r>
      <w:r w:rsidR="003D40AE">
        <w:rPr>
          <w:rFonts w:cs="Arial"/>
          <w:szCs w:val="20"/>
        </w:rPr>
        <w:t xml:space="preserve">n the ACT, </w:t>
      </w:r>
      <w:r w:rsidR="00421C7B">
        <w:rPr>
          <w:rFonts w:cs="Arial"/>
          <w:szCs w:val="20"/>
        </w:rPr>
        <w:t xml:space="preserve">where </w:t>
      </w:r>
      <w:r w:rsidR="003D40AE">
        <w:rPr>
          <w:rFonts w:cs="Arial"/>
          <w:szCs w:val="20"/>
        </w:rPr>
        <w:t>high private rental costs have been exacerbated by a shortfall of at least 3,100 current social housing properties, as well as a projected shortfall of 8,500 additional social housing dwellings to meet future need by 2036.</w:t>
      </w:r>
      <w:r w:rsidR="003D40AE">
        <w:rPr>
          <w:rStyle w:val="FootnoteReference"/>
          <w:rFonts w:cs="Arial"/>
          <w:szCs w:val="20"/>
        </w:rPr>
        <w:footnoteReference w:id="2"/>
      </w:r>
      <w:r w:rsidR="003D40AE">
        <w:rPr>
          <w:rFonts w:cs="Arial"/>
          <w:szCs w:val="20"/>
        </w:rPr>
        <w:t xml:space="preserve"> </w:t>
      </w:r>
      <w:r w:rsidR="003D40AE" w:rsidRPr="00704293">
        <w:rPr>
          <w:rFonts w:cs="Arial"/>
          <w:szCs w:val="20"/>
        </w:rPr>
        <w:t>As of the 2021 census, the undersupply of housing coupled with prohibitively high prices left almost 1,777 people unhoused in the ACT and 122,494 people unhoused nationally</w:t>
      </w:r>
      <w:r w:rsidR="00421C7B">
        <w:rPr>
          <w:rFonts w:cs="Arial"/>
          <w:szCs w:val="20"/>
        </w:rPr>
        <w:t xml:space="preserve"> –</w:t>
      </w:r>
      <w:r w:rsidR="003D40AE" w:rsidRPr="00704293">
        <w:rPr>
          <w:rFonts w:cs="Arial"/>
          <w:szCs w:val="20"/>
        </w:rPr>
        <w:t xml:space="preserve"> figures</w:t>
      </w:r>
      <w:r w:rsidR="00421C7B">
        <w:rPr>
          <w:rFonts w:cs="Arial"/>
          <w:szCs w:val="20"/>
        </w:rPr>
        <w:t xml:space="preserve"> </w:t>
      </w:r>
      <w:r w:rsidR="003D40AE" w:rsidRPr="00704293">
        <w:rPr>
          <w:rFonts w:cs="Arial"/>
          <w:szCs w:val="20"/>
        </w:rPr>
        <w:t>that have increased drastically in the last 20 years</w:t>
      </w:r>
      <w:r w:rsidR="003D40AE">
        <w:rPr>
          <w:rFonts w:cs="Arial"/>
          <w:szCs w:val="20"/>
        </w:rPr>
        <w:t>.</w:t>
      </w:r>
      <w:r w:rsidR="003D40AE">
        <w:rPr>
          <w:rStyle w:val="FootnoteReference"/>
          <w:rFonts w:cs="Arial"/>
          <w:szCs w:val="20"/>
        </w:rPr>
        <w:footnoteReference w:id="3"/>
      </w:r>
      <w:r w:rsidR="003D40AE">
        <w:rPr>
          <w:rFonts w:cs="Arial"/>
          <w:szCs w:val="20"/>
        </w:rPr>
        <w:t xml:space="preserve"> Without interventions to improve supply of social housing, 43% of ACT’s homelessness service users are experiencing persistent homelessness.</w:t>
      </w:r>
      <w:r w:rsidR="003D40AE">
        <w:rPr>
          <w:rStyle w:val="FootnoteReference"/>
          <w:rFonts w:cs="Arial"/>
          <w:szCs w:val="20"/>
        </w:rPr>
        <w:footnoteReference w:id="4"/>
      </w:r>
    </w:p>
    <w:p w14:paraId="1946F79C" w14:textId="5F749316" w:rsidR="003D40AE" w:rsidRDefault="003D40AE" w:rsidP="003D40AE">
      <w:pPr>
        <w:rPr>
          <w:rFonts w:cs="Arial"/>
          <w:szCs w:val="20"/>
        </w:rPr>
      </w:pPr>
      <w:r>
        <w:rPr>
          <w:rFonts w:cs="Arial"/>
          <w:szCs w:val="20"/>
        </w:rPr>
        <w:t>Whilst the ACT Government has committed $55.9</w:t>
      </w:r>
      <w:r w:rsidR="00105214">
        <w:rPr>
          <w:rFonts w:cs="Arial"/>
          <w:szCs w:val="20"/>
        </w:rPr>
        <w:t xml:space="preserve"> </w:t>
      </w:r>
      <w:r>
        <w:rPr>
          <w:rFonts w:cs="Arial"/>
          <w:szCs w:val="20"/>
        </w:rPr>
        <w:t>m</w:t>
      </w:r>
      <w:r w:rsidR="00105214">
        <w:rPr>
          <w:rFonts w:cs="Arial"/>
          <w:szCs w:val="20"/>
        </w:rPr>
        <w:t>illion</w:t>
      </w:r>
      <w:r>
        <w:rPr>
          <w:rFonts w:cs="Arial"/>
          <w:szCs w:val="20"/>
        </w:rPr>
        <w:t xml:space="preserve"> for 140 new public housing dwellings in the 2023-24 ACT Budget, this funding will be insufficient to meet the demand for additional housing in the Territory. The pressure of demand is underscored by the fact that the number of public housing dwellings in the ACT is currently at its lowest since 2013.</w:t>
      </w:r>
      <w:r>
        <w:rPr>
          <w:rStyle w:val="FootnoteReference"/>
          <w:rFonts w:cs="Arial"/>
          <w:szCs w:val="20"/>
        </w:rPr>
        <w:footnoteReference w:id="5"/>
      </w:r>
      <w:r>
        <w:rPr>
          <w:rFonts w:cs="Arial"/>
          <w:szCs w:val="20"/>
        </w:rPr>
        <w:t xml:space="preserve"> There are currently </w:t>
      </w:r>
      <w:r w:rsidRPr="00B2572C">
        <w:rPr>
          <w:rFonts w:cs="Arial"/>
          <w:szCs w:val="20"/>
        </w:rPr>
        <w:t>3,173</w:t>
      </w:r>
      <w:r>
        <w:rPr>
          <w:rFonts w:cs="Arial"/>
          <w:szCs w:val="20"/>
        </w:rPr>
        <w:t xml:space="preserve"> applicants on the waiting list for </w:t>
      </w:r>
      <w:r w:rsidRPr="00436AF7">
        <w:rPr>
          <w:rFonts w:cs="Arial"/>
          <w:szCs w:val="20"/>
        </w:rPr>
        <w:t>social housing properties in the ACT</w:t>
      </w:r>
      <w:r>
        <w:rPr>
          <w:rFonts w:cs="Arial"/>
          <w:szCs w:val="20"/>
        </w:rPr>
        <w:t>, and standard housing applicants are waiting for 1,893 days on average (over 5 years) before being housed.</w:t>
      </w:r>
      <w:r>
        <w:rPr>
          <w:rStyle w:val="FootnoteReference"/>
          <w:rFonts w:cs="Arial"/>
          <w:szCs w:val="20"/>
        </w:rPr>
        <w:footnoteReference w:id="6"/>
      </w:r>
      <w:r>
        <w:rPr>
          <w:rFonts w:cs="Arial"/>
          <w:szCs w:val="20"/>
        </w:rPr>
        <w:t xml:space="preserve"> </w:t>
      </w:r>
    </w:p>
    <w:p w14:paraId="0C9C4059" w14:textId="4729ECE9" w:rsidR="00505DDA" w:rsidRDefault="00614A87" w:rsidP="003D40AE">
      <w:pPr>
        <w:rPr>
          <w:rFonts w:cs="Arial"/>
          <w:szCs w:val="20"/>
        </w:rPr>
      </w:pPr>
      <w:r>
        <w:rPr>
          <w:rFonts w:cs="Arial"/>
          <w:szCs w:val="20"/>
        </w:rPr>
        <w:t xml:space="preserve">Increasing social and affordable housing is imperative </w:t>
      </w:r>
      <w:r w:rsidR="003D00A3">
        <w:rPr>
          <w:rFonts w:cs="Arial"/>
          <w:szCs w:val="20"/>
        </w:rPr>
        <w:t xml:space="preserve">and must be a priority as part of any policy response to alleviate </w:t>
      </w:r>
      <w:r>
        <w:rPr>
          <w:rFonts w:cs="Arial"/>
          <w:szCs w:val="20"/>
        </w:rPr>
        <w:t xml:space="preserve">the pressures in the rental market and ensure </w:t>
      </w:r>
      <w:r w:rsidR="00C161CC">
        <w:rPr>
          <w:rFonts w:cs="Arial"/>
          <w:szCs w:val="20"/>
        </w:rPr>
        <w:t xml:space="preserve">housing </w:t>
      </w:r>
      <w:r w:rsidR="003D40AE" w:rsidRPr="00B0582E">
        <w:rPr>
          <w:rFonts w:cs="Arial"/>
          <w:szCs w:val="20"/>
        </w:rPr>
        <w:t>stability</w:t>
      </w:r>
      <w:r w:rsidR="00C161CC">
        <w:rPr>
          <w:rFonts w:cs="Arial"/>
          <w:szCs w:val="20"/>
        </w:rPr>
        <w:t xml:space="preserve"> and</w:t>
      </w:r>
      <w:r w:rsidR="003D40AE" w:rsidRPr="00B0582E">
        <w:rPr>
          <w:rFonts w:cs="Arial"/>
          <w:szCs w:val="20"/>
        </w:rPr>
        <w:t xml:space="preserve"> safety</w:t>
      </w:r>
      <w:r w:rsidR="00BD39AA">
        <w:rPr>
          <w:rFonts w:cs="Arial"/>
          <w:szCs w:val="20"/>
        </w:rPr>
        <w:t xml:space="preserve"> for those on low incomes</w:t>
      </w:r>
      <w:r w:rsidR="003D40AE" w:rsidRPr="00B0582E">
        <w:rPr>
          <w:rFonts w:cs="Arial"/>
          <w:szCs w:val="20"/>
        </w:rPr>
        <w:t>. </w:t>
      </w:r>
      <w:r w:rsidR="00C161CC">
        <w:rPr>
          <w:rFonts w:cs="Arial"/>
          <w:szCs w:val="20"/>
        </w:rPr>
        <w:t xml:space="preserve">While increasing social </w:t>
      </w:r>
      <w:r w:rsidR="00ED6509">
        <w:rPr>
          <w:rFonts w:cs="Arial"/>
          <w:szCs w:val="20"/>
        </w:rPr>
        <w:t xml:space="preserve">and affordable housing is the responsibility of </w:t>
      </w:r>
      <w:r w:rsidR="00C161CC">
        <w:rPr>
          <w:rFonts w:cs="Arial"/>
          <w:szCs w:val="20"/>
        </w:rPr>
        <w:t>both levels of government</w:t>
      </w:r>
      <w:r w:rsidR="00ED6509">
        <w:rPr>
          <w:rFonts w:cs="Arial"/>
          <w:szCs w:val="20"/>
        </w:rPr>
        <w:t>, th</w:t>
      </w:r>
      <w:r w:rsidR="00F66E37">
        <w:rPr>
          <w:rFonts w:cs="Arial"/>
          <w:szCs w:val="20"/>
        </w:rPr>
        <w:t>e Commonwealth has a core role to play in financing the substantial investment that is required. T</w:t>
      </w:r>
      <w:r w:rsidR="00F66E37" w:rsidRPr="00F66E37">
        <w:rPr>
          <w:rFonts w:cs="Arial"/>
          <w:szCs w:val="20"/>
        </w:rPr>
        <w:t>he share of the Budget allocated to housing has fallen from 4.5% some fifty years ago, to just 0.5% today.</w:t>
      </w:r>
      <w:r w:rsidR="00C161CC">
        <w:rPr>
          <w:rFonts w:cs="Arial"/>
          <w:szCs w:val="20"/>
        </w:rPr>
        <w:t xml:space="preserve"> </w:t>
      </w:r>
      <w:r w:rsidR="003D40AE">
        <w:rPr>
          <w:rFonts w:cs="Arial"/>
          <w:szCs w:val="20"/>
        </w:rPr>
        <w:t xml:space="preserve">Whilst the funding announced in the Social Housing Accelerator Program has been a welcome intervention, the level of demand and housing pressure far </w:t>
      </w:r>
      <w:r w:rsidR="003D40AE">
        <w:rPr>
          <w:rFonts w:cs="Arial"/>
          <w:szCs w:val="20"/>
        </w:rPr>
        <w:lastRenderedPageBreak/>
        <w:t xml:space="preserve">exceeds that which has been made available. As a result, the capacity for increased public and social housing to improve market conditions and reduce rental pressures is severely limited if not negligible at present. </w:t>
      </w:r>
    </w:p>
    <w:p w14:paraId="3232B3FA" w14:textId="2905A316" w:rsidR="005571D9" w:rsidRPr="00357B7A" w:rsidRDefault="005571D9" w:rsidP="005571D9">
      <w:pPr>
        <w:rPr>
          <w:b/>
          <w:bCs/>
          <w:i/>
          <w:iCs/>
        </w:rPr>
      </w:pPr>
      <w:r w:rsidRPr="00357B7A">
        <w:rPr>
          <w:b/>
          <w:bCs/>
          <w:i/>
          <w:iCs/>
        </w:rPr>
        <w:t>Recommendation:</w:t>
      </w:r>
      <w:r w:rsidR="00357B7A" w:rsidRPr="00357B7A">
        <w:rPr>
          <w:b/>
          <w:bCs/>
          <w:i/>
          <w:iCs/>
        </w:rPr>
        <w:t xml:space="preserve"> T</w:t>
      </w:r>
      <w:r w:rsidR="00A22659" w:rsidRPr="00357B7A">
        <w:rPr>
          <w:b/>
          <w:bCs/>
          <w:i/>
          <w:iCs/>
        </w:rPr>
        <w:t xml:space="preserve">he Commonwealth should engage with state and </w:t>
      </w:r>
      <w:r w:rsidR="00357B7A" w:rsidRPr="00357B7A">
        <w:rPr>
          <w:b/>
          <w:bCs/>
          <w:i/>
          <w:iCs/>
        </w:rPr>
        <w:t>territory</w:t>
      </w:r>
      <w:r w:rsidR="00A22659" w:rsidRPr="00357B7A">
        <w:rPr>
          <w:b/>
          <w:bCs/>
          <w:i/>
          <w:iCs/>
        </w:rPr>
        <w:t xml:space="preserve"> government to devise, </w:t>
      </w:r>
      <w:proofErr w:type="gramStart"/>
      <w:r w:rsidR="00A22659" w:rsidRPr="00357B7A">
        <w:rPr>
          <w:b/>
          <w:bCs/>
          <w:i/>
          <w:iCs/>
        </w:rPr>
        <w:t>fund</w:t>
      </w:r>
      <w:proofErr w:type="gramEnd"/>
      <w:r w:rsidR="00A22659" w:rsidRPr="00357B7A">
        <w:rPr>
          <w:b/>
          <w:bCs/>
          <w:i/>
          <w:iCs/>
        </w:rPr>
        <w:t xml:space="preserve"> and implement a plan to</w:t>
      </w:r>
      <w:r w:rsidR="00011B94">
        <w:rPr>
          <w:b/>
          <w:bCs/>
          <w:i/>
          <w:iCs/>
        </w:rPr>
        <w:t xml:space="preserve"> </w:t>
      </w:r>
      <w:r w:rsidR="00A22659" w:rsidRPr="00357B7A">
        <w:rPr>
          <w:b/>
          <w:bCs/>
          <w:i/>
          <w:iCs/>
        </w:rPr>
        <w:t>grow Australia’s social and affordable housing sector to meet current and future</w:t>
      </w:r>
      <w:r w:rsidR="00C140AB">
        <w:rPr>
          <w:b/>
          <w:bCs/>
          <w:i/>
          <w:iCs/>
        </w:rPr>
        <w:t xml:space="preserve"> demand</w:t>
      </w:r>
      <w:r w:rsidRPr="00357B7A">
        <w:rPr>
          <w:b/>
          <w:bCs/>
          <w:i/>
          <w:iCs/>
          <w:lang w:val="en-US"/>
        </w:rPr>
        <w:t>.</w:t>
      </w:r>
      <w:r w:rsidRPr="00357B7A">
        <w:rPr>
          <w:b/>
          <w:bCs/>
          <w:i/>
          <w:iCs/>
        </w:rPr>
        <w:t> </w:t>
      </w:r>
    </w:p>
    <w:p w14:paraId="062087A9" w14:textId="42C51C44" w:rsidR="006028F7" w:rsidRDefault="006028F7" w:rsidP="00C25DDE">
      <w:pPr>
        <w:pStyle w:val="Heading2"/>
      </w:pPr>
      <w:r>
        <w:t>Strengthen tenancy laws</w:t>
      </w:r>
    </w:p>
    <w:p w14:paraId="2FE6DCEE" w14:textId="12E513D5" w:rsidR="00BB14AE" w:rsidRDefault="00B4245C" w:rsidP="007229DD">
      <w:r>
        <w:t>There is a clear and compelling need to strengthen and better coordinate r</w:t>
      </w:r>
      <w:r w:rsidR="00A84A7D">
        <w:t xml:space="preserve">esidential tenancy laws </w:t>
      </w:r>
      <w:r>
        <w:t xml:space="preserve">across Australia. </w:t>
      </w:r>
      <w:r w:rsidR="007229DD">
        <w:t xml:space="preserve">Key areas that should be </w:t>
      </w:r>
      <w:proofErr w:type="spellStart"/>
      <w:r w:rsidR="007229DD">
        <w:t>prirotised</w:t>
      </w:r>
      <w:proofErr w:type="spellEnd"/>
      <w:r w:rsidR="007229DD">
        <w:t xml:space="preserve"> for reform are</w:t>
      </w:r>
      <w:r w:rsidR="00BB14AE">
        <w:t xml:space="preserve">: </w:t>
      </w:r>
    </w:p>
    <w:p w14:paraId="46B65853" w14:textId="7D177C1E" w:rsidR="00BB14AE" w:rsidRPr="007229DD" w:rsidRDefault="00BB14AE" w:rsidP="00782FD0">
      <w:pPr>
        <w:pStyle w:val="ListParagraph"/>
        <w:numPr>
          <w:ilvl w:val="0"/>
          <w:numId w:val="16"/>
        </w:numPr>
        <w:ind w:left="851" w:hanging="371"/>
      </w:pPr>
      <w:r w:rsidRPr="007229DD">
        <w:t>tenant application</w:t>
      </w:r>
      <w:r w:rsidR="00782FD0">
        <w:t xml:space="preserve"> (</w:t>
      </w:r>
      <w:r w:rsidRPr="007229DD">
        <w:t>including rent bidding, applications forms, and data retention</w:t>
      </w:r>
      <w:r w:rsidR="00782FD0">
        <w:t>)</w:t>
      </w:r>
    </w:p>
    <w:p w14:paraId="5C673507" w14:textId="44BF6315" w:rsidR="00BB14AE" w:rsidRPr="007229DD" w:rsidRDefault="00BB14AE" w:rsidP="00782FD0">
      <w:pPr>
        <w:pStyle w:val="ListParagraph"/>
        <w:numPr>
          <w:ilvl w:val="0"/>
          <w:numId w:val="16"/>
        </w:numPr>
        <w:ind w:left="851" w:hanging="371"/>
      </w:pPr>
      <w:r w:rsidRPr="007229DD">
        <w:t>security of tenure</w:t>
      </w:r>
      <w:r w:rsidR="00782FD0">
        <w:t xml:space="preserve"> (</w:t>
      </w:r>
      <w:r w:rsidRPr="007229DD">
        <w:t>including length of lease, no cause evictions, and retaliatory evictions</w:t>
      </w:r>
      <w:r w:rsidR="00782FD0">
        <w:t>)</w:t>
      </w:r>
      <w:r w:rsidRPr="007229DD">
        <w:t xml:space="preserve"> </w:t>
      </w:r>
    </w:p>
    <w:p w14:paraId="4A8CE406" w14:textId="1B5CEE3B" w:rsidR="00260B9B" w:rsidRDefault="00B7743E" w:rsidP="00782FD0">
      <w:pPr>
        <w:pStyle w:val="ListParagraph"/>
        <w:numPr>
          <w:ilvl w:val="0"/>
          <w:numId w:val="16"/>
        </w:numPr>
        <w:ind w:left="851" w:hanging="371"/>
      </w:pPr>
      <w:r>
        <w:t xml:space="preserve">rental housing conditions and </w:t>
      </w:r>
      <w:r w:rsidR="00BB14AE" w:rsidRPr="007229DD">
        <w:t>tenancy liveability</w:t>
      </w:r>
      <w:r>
        <w:t xml:space="preserve"> (</w:t>
      </w:r>
      <w:r w:rsidR="00BB14AE" w:rsidRPr="007229DD">
        <w:t>including minimum standards for rental accommodation</w:t>
      </w:r>
      <w:r w:rsidR="00555211">
        <w:t xml:space="preserve"> and</w:t>
      </w:r>
      <w:r w:rsidR="00BB14AE" w:rsidRPr="007229DD">
        <w:t xml:space="preserve"> energy efficiency).</w:t>
      </w:r>
    </w:p>
    <w:p w14:paraId="02048016" w14:textId="0D468B23" w:rsidR="00F03E85" w:rsidRDefault="00CD20CA" w:rsidP="00F03E85">
      <w:r>
        <w:t xml:space="preserve">The </w:t>
      </w:r>
      <w:r w:rsidR="00CA78D4">
        <w:t xml:space="preserve">gaps and </w:t>
      </w:r>
      <w:r>
        <w:t xml:space="preserve">inconsistencies in residential tenancy </w:t>
      </w:r>
      <w:r w:rsidR="00CA78D4">
        <w:t xml:space="preserve">laws across jurisdictions underscores the </w:t>
      </w:r>
      <w:r w:rsidR="00576594">
        <w:t xml:space="preserve">need for national, state and territory governments to work together to </w:t>
      </w:r>
      <w:r w:rsidR="00D40175">
        <w:t>develop</w:t>
      </w:r>
      <w:r w:rsidR="00576594">
        <w:t xml:space="preserve"> a national </w:t>
      </w:r>
      <w:r w:rsidR="00D40175">
        <w:t xml:space="preserve">approach to strengthening </w:t>
      </w:r>
      <w:r w:rsidR="00E51792">
        <w:t>renters’</w:t>
      </w:r>
      <w:r w:rsidR="00D40175">
        <w:t xml:space="preserve"> rights. We would however stress the importance of safeguarding against any regression of rights in the ACT, given the significant and much-needed improvements made by the ACT Government in the past year. </w:t>
      </w:r>
      <w:r w:rsidR="00576594">
        <w:t xml:space="preserve"> </w:t>
      </w:r>
    </w:p>
    <w:p w14:paraId="30275E0D" w14:textId="6BB5D394" w:rsidR="00A44F05" w:rsidRPr="00A804C4" w:rsidRDefault="00A44F05" w:rsidP="00F03E85">
      <w:pPr>
        <w:rPr>
          <w:b/>
          <w:bCs/>
          <w:i/>
          <w:iCs/>
        </w:rPr>
      </w:pPr>
      <w:r w:rsidRPr="00A804C4">
        <w:rPr>
          <w:b/>
          <w:bCs/>
          <w:i/>
          <w:iCs/>
        </w:rPr>
        <w:t xml:space="preserve">Recommendation: </w:t>
      </w:r>
      <w:proofErr w:type="gramStart"/>
      <w:r w:rsidR="005A4CC9" w:rsidRPr="00A804C4">
        <w:rPr>
          <w:b/>
          <w:bCs/>
          <w:i/>
          <w:iCs/>
        </w:rPr>
        <w:t>the</w:t>
      </w:r>
      <w:proofErr w:type="gramEnd"/>
      <w:r w:rsidR="005A4CC9" w:rsidRPr="00A804C4">
        <w:rPr>
          <w:b/>
          <w:bCs/>
          <w:i/>
          <w:iCs/>
        </w:rPr>
        <w:t xml:space="preserve"> Commonwealth should work with states and territories to </w:t>
      </w:r>
      <w:r w:rsidR="0066274F" w:rsidRPr="00A804C4">
        <w:rPr>
          <w:b/>
          <w:bCs/>
          <w:i/>
          <w:iCs/>
        </w:rPr>
        <w:t xml:space="preserve">strengthen </w:t>
      </w:r>
      <w:r w:rsidR="0089308C" w:rsidRPr="00A804C4">
        <w:rPr>
          <w:b/>
          <w:bCs/>
          <w:i/>
          <w:iCs/>
        </w:rPr>
        <w:t>tenant</w:t>
      </w:r>
      <w:r w:rsidR="0066274F" w:rsidRPr="00A804C4">
        <w:rPr>
          <w:b/>
          <w:bCs/>
          <w:i/>
          <w:iCs/>
        </w:rPr>
        <w:t xml:space="preserve"> rights and protections by </w:t>
      </w:r>
      <w:r w:rsidR="005A4CC9" w:rsidRPr="00A804C4">
        <w:rPr>
          <w:b/>
          <w:bCs/>
          <w:i/>
          <w:iCs/>
        </w:rPr>
        <w:t>improv</w:t>
      </w:r>
      <w:r w:rsidR="0089308C" w:rsidRPr="00A804C4">
        <w:rPr>
          <w:b/>
          <w:bCs/>
          <w:i/>
          <w:iCs/>
        </w:rPr>
        <w:t>ing</w:t>
      </w:r>
      <w:r w:rsidR="005A4CC9" w:rsidRPr="00A804C4">
        <w:rPr>
          <w:b/>
          <w:bCs/>
          <w:i/>
          <w:iCs/>
        </w:rPr>
        <w:t xml:space="preserve"> the</w:t>
      </w:r>
      <w:r w:rsidR="0066274F" w:rsidRPr="00A804C4">
        <w:rPr>
          <w:b/>
          <w:bCs/>
          <w:i/>
          <w:iCs/>
        </w:rPr>
        <w:t xml:space="preserve"> form and</w:t>
      </w:r>
      <w:r w:rsidR="005A4CC9" w:rsidRPr="00A804C4">
        <w:rPr>
          <w:b/>
          <w:bCs/>
          <w:i/>
          <w:iCs/>
        </w:rPr>
        <w:t xml:space="preserve"> consist</w:t>
      </w:r>
      <w:r w:rsidR="0066274F" w:rsidRPr="00A804C4">
        <w:rPr>
          <w:b/>
          <w:bCs/>
          <w:i/>
          <w:iCs/>
        </w:rPr>
        <w:t xml:space="preserve">ency </w:t>
      </w:r>
      <w:r w:rsidR="0089308C" w:rsidRPr="00A804C4">
        <w:rPr>
          <w:b/>
          <w:bCs/>
          <w:i/>
          <w:iCs/>
        </w:rPr>
        <w:t>of residential tenancy laws, while safeguarding against any regression of rights in jurisdictions</w:t>
      </w:r>
      <w:r w:rsidR="00A804C4" w:rsidRPr="00A804C4">
        <w:rPr>
          <w:b/>
          <w:bCs/>
          <w:i/>
          <w:iCs/>
        </w:rPr>
        <w:t>.</w:t>
      </w:r>
    </w:p>
    <w:p w14:paraId="1B9CC739" w14:textId="120287CD" w:rsidR="00464516" w:rsidRDefault="00464516" w:rsidP="006028F7">
      <w:pPr>
        <w:pStyle w:val="Heading3"/>
      </w:pPr>
      <w:r>
        <w:t>Ending no cause evictions</w:t>
      </w:r>
    </w:p>
    <w:p w14:paraId="7A675B1B" w14:textId="470AEED1" w:rsidR="00886FCF" w:rsidRDefault="00886FCF" w:rsidP="00464516">
      <w:r>
        <w:t>The ACT has recently</w:t>
      </w:r>
      <w:r w:rsidR="007764A7">
        <w:t xml:space="preserve"> </w:t>
      </w:r>
      <w:r w:rsidR="00EF7056">
        <w:t>passed</w:t>
      </w:r>
      <w:r w:rsidR="007764A7">
        <w:t xml:space="preserve"> the </w:t>
      </w:r>
      <w:hyperlink r:id="rId14" w:tgtFrame="_blank" w:history="1">
        <w:r w:rsidR="00EF7056" w:rsidRPr="00EF7056">
          <w:rPr>
            <w:rStyle w:val="Hyperlink"/>
            <w:i/>
            <w:iCs/>
          </w:rPr>
          <w:t>Residential Tenancies Legislation Amendment Act 2023</w:t>
        </w:r>
      </w:hyperlink>
      <w:r w:rsidR="00EF7056">
        <w:t xml:space="preserve">, effectively ending </w:t>
      </w:r>
      <w:r>
        <w:t>‘no cause’ evictions</w:t>
      </w:r>
      <w:r w:rsidR="00EF7056">
        <w:t xml:space="preserve"> </w:t>
      </w:r>
      <w:r w:rsidR="00E90E70">
        <w:t xml:space="preserve">for both periodic </w:t>
      </w:r>
      <w:r w:rsidR="00612C90">
        <w:t>leases and following fixed term leases</w:t>
      </w:r>
      <w:r w:rsidR="00EF7056">
        <w:t xml:space="preserve">. </w:t>
      </w:r>
      <w:r w:rsidR="004C0402">
        <w:t>Th</w:t>
      </w:r>
      <w:r w:rsidR="00F271D4">
        <w:t>is welcome reform has</w:t>
      </w:r>
      <w:r w:rsidR="004C0402">
        <w:t xml:space="preserve"> </w:t>
      </w:r>
      <w:r w:rsidR="00995A01">
        <w:t>increased the rights and security of tenants in the ACT, where renters comprise a</w:t>
      </w:r>
      <w:r w:rsidR="00A457C4">
        <w:t>lmost a</w:t>
      </w:r>
      <w:r w:rsidR="00995A01">
        <w:t xml:space="preserve"> third </w:t>
      </w:r>
      <w:r w:rsidR="000C296B">
        <w:t>(30.7%</w:t>
      </w:r>
      <w:r w:rsidR="00A457C4">
        <w:t>) of households.</w:t>
      </w:r>
      <w:r w:rsidR="00A457C4">
        <w:rPr>
          <w:rStyle w:val="FootnoteReference"/>
        </w:rPr>
        <w:footnoteReference w:id="7"/>
      </w:r>
      <w:r w:rsidR="003A31AE">
        <w:t xml:space="preserve"> </w:t>
      </w:r>
    </w:p>
    <w:p w14:paraId="22E55642" w14:textId="4FC7AB7D" w:rsidR="00452A5F" w:rsidRDefault="00BE530B" w:rsidP="003048EA">
      <w:r>
        <w:rPr>
          <w:rFonts w:cs="Arial"/>
          <w:szCs w:val="20"/>
        </w:rPr>
        <w:t>Protecting against</w:t>
      </w:r>
      <w:r w:rsidR="007119A1">
        <w:rPr>
          <w:rFonts w:cs="Arial"/>
          <w:szCs w:val="20"/>
        </w:rPr>
        <w:t xml:space="preserve"> no cause evictions </w:t>
      </w:r>
      <w:r>
        <w:rPr>
          <w:rFonts w:cs="Arial"/>
          <w:szCs w:val="20"/>
        </w:rPr>
        <w:t>is essential to the safety and security of rental tenancy</w:t>
      </w:r>
      <w:r w:rsidR="0021484E">
        <w:rPr>
          <w:rFonts w:cs="Arial"/>
          <w:szCs w:val="20"/>
        </w:rPr>
        <w:t xml:space="preserve">. In particular, the current challenges of limited housing stock have left many </w:t>
      </w:r>
      <w:r w:rsidR="007119A1" w:rsidRPr="007119A1">
        <w:rPr>
          <w:rFonts w:cs="Arial"/>
          <w:szCs w:val="20"/>
        </w:rPr>
        <w:t xml:space="preserve">renters </w:t>
      </w:r>
      <w:r w:rsidR="0021484E">
        <w:rPr>
          <w:rFonts w:cs="Arial"/>
          <w:szCs w:val="20"/>
        </w:rPr>
        <w:t xml:space="preserve">unable to protect their </w:t>
      </w:r>
      <w:r w:rsidR="00F033E9">
        <w:rPr>
          <w:rFonts w:cs="Arial"/>
          <w:szCs w:val="20"/>
        </w:rPr>
        <w:t xml:space="preserve">tenancy </w:t>
      </w:r>
      <w:r w:rsidR="007119A1" w:rsidRPr="007119A1">
        <w:rPr>
          <w:rFonts w:cs="Arial"/>
          <w:szCs w:val="20"/>
        </w:rPr>
        <w:t xml:space="preserve">rights </w:t>
      </w:r>
      <w:r w:rsidR="007637F2">
        <w:rPr>
          <w:rFonts w:cs="Arial"/>
          <w:szCs w:val="20"/>
        </w:rPr>
        <w:t xml:space="preserve">for fear of </w:t>
      </w:r>
      <w:r w:rsidR="00971DBF">
        <w:rPr>
          <w:rFonts w:cs="Arial"/>
          <w:szCs w:val="20"/>
        </w:rPr>
        <w:t>being unfairly evicted</w:t>
      </w:r>
      <w:r w:rsidR="002F4E9A">
        <w:rPr>
          <w:rFonts w:cs="Arial"/>
          <w:szCs w:val="20"/>
        </w:rPr>
        <w:t>.</w:t>
      </w:r>
      <w:r w:rsidR="001730BD">
        <w:rPr>
          <w:rFonts w:cs="Arial"/>
          <w:szCs w:val="20"/>
        </w:rPr>
        <w:t xml:space="preserve"> </w:t>
      </w:r>
      <w:r w:rsidR="002F1AE8">
        <w:t xml:space="preserve">Instituting </w:t>
      </w:r>
      <w:r w:rsidR="00553DB2">
        <w:t xml:space="preserve">protections against </w:t>
      </w:r>
      <w:r w:rsidR="002F1AE8">
        <w:t xml:space="preserve">no cause evictions is also fundamental if other forms of rental regulation are to work. For example, without protections against no cause evictions, landlords could potentially circumvent rental limits by terminating tenancies </w:t>
      </w:r>
      <w:r w:rsidR="00716D5F">
        <w:t xml:space="preserve">and </w:t>
      </w:r>
      <w:r w:rsidR="00E30B77">
        <w:t>r</w:t>
      </w:r>
      <w:r w:rsidR="006C7686">
        <w:t xml:space="preserve">esetting the rent upon the </w:t>
      </w:r>
      <w:r w:rsidR="00716D5F">
        <w:t>establish</w:t>
      </w:r>
      <w:r w:rsidR="006C7686">
        <w:t>ment of</w:t>
      </w:r>
      <w:r w:rsidR="00716D5F">
        <w:t xml:space="preserve"> a new lease</w:t>
      </w:r>
      <w:r w:rsidR="002F1AE8">
        <w:t xml:space="preserve">. </w:t>
      </w:r>
    </w:p>
    <w:p w14:paraId="3BE1AA4D" w14:textId="7936641A" w:rsidR="00DC750B" w:rsidRDefault="002C12F1" w:rsidP="0007621B">
      <w:r>
        <w:t xml:space="preserve">Without adequate protections, renters </w:t>
      </w:r>
      <w:r w:rsidR="00F518D9">
        <w:t xml:space="preserve">face myriad </w:t>
      </w:r>
      <w:r w:rsidR="003071C0">
        <w:t>challenges</w:t>
      </w:r>
      <w:r w:rsidR="00F518D9">
        <w:t xml:space="preserve"> </w:t>
      </w:r>
      <w:r w:rsidR="00A34053">
        <w:t>of insecure tenure</w:t>
      </w:r>
      <w:r w:rsidR="000B4FA4">
        <w:t>,</w:t>
      </w:r>
      <w:r w:rsidR="00A34053">
        <w:t xml:space="preserve"> </w:t>
      </w:r>
      <w:r w:rsidR="00D55A0B">
        <w:t>in</w:t>
      </w:r>
      <w:r w:rsidR="000947BD">
        <w:t xml:space="preserve">cluding </w:t>
      </w:r>
      <w:r w:rsidR="003071C0">
        <w:t xml:space="preserve">the </w:t>
      </w:r>
      <w:r w:rsidR="000947BD">
        <w:t>high costs of frequently moving</w:t>
      </w:r>
      <w:r w:rsidR="005E55AB">
        <w:t xml:space="preserve">, </w:t>
      </w:r>
      <w:r w:rsidR="003071C0">
        <w:t>and</w:t>
      </w:r>
      <w:r w:rsidR="005E55AB">
        <w:t xml:space="preserve"> increased challenges for people with disability, people with mental ill health and older Canberrans </w:t>
      </w:r>
      <w:r w:rsidR="009D664A">
        <w:t>struggling with</w:t>
      </w:r>
      <w:r w:rsidR="00C20536">
        <w:t xml:space="preserve"> </w:t>
      </w:r>
      <w:r w:rsidR="00D22D86">
        <w:t xml:space="preserve">housing that </w:t>
      </w:r>
      <w:r w:rsidR="00990BC2">
        <w:t xml:space="preserve">is both affordable and </w:t>
      </w:r>
      <w:r w:rsidR="00C20536">
        <w:t>inaccessib</w:t>
      </w:r>
      <w:r w:rsidR="00990BC2">
        <w:t>le</w:t>
      </w:r>
      <w:r w:rsidR="00C20536">
        <w:t>.</w:t>
      </w:r>
    </w:p>
    <w:p w14:paraId="77C63ACA" w14:textId="0688A0F9" w:rsidR="00924BB4" w:rsidRDefault="001F419F" w:rsidP="00253005">
      <w:r>
        <w:lastRenderedPageBreak/>
        <w:t>The successful implementation of the legislation in the ACT should be replicated nationally to ensure that tenancies are not being arbitrarily or unfairly terminated.</w:t>
      </w:r>
      <w:r>
        <w:rPr>
          <w:rFonts w:cs="Arial"/>
          <w:szCs w:val="20"/>
        </w:rPr>
        <w:t xml:space="preserve"> </w:t>
      </w:r>
      <w:r w:rsidR="00FF523F">
        <w:t xml:space="preserve">Stability and security </w:t>
      </w:r>
      <w:r w:rsidR="00D23F33">
        <w:t xml:space="preserve">of tenure </w:t>
      </w:r>
      <w:r w:rsidR="00FF523F">
        <w:t xml:space="preserve">are fundamental to </w:t>
      </w:r>
      <w:r w:rsidR="00726CA0">
        <w:t xml:space="preserve">redressing the rental crisis and </w:t>
      </w:r>
      <w:r w:rsidR="006D15F5">
        <w:t xml:space="preserve">improving renters’ rights. By replicating the ACT’s approach to no </w:t>
      </w:r>
      <w:proofErr w:type="gramStart"/>
      <w:r w:rsidR="00C068CB">
        <w:t>grounds</w:t>
      </w:r>
      <w:proofErr w:type="gramEnd"/>
      <w:r w:rsidR="006D15F5">
        <w:t xml:space="preserve"> evictions</w:t>
      </w:r>
      <w:r w:rsidR="008F122B">
        <w:t xml:space="preserve">, </w:t>
      </w:r>
      <w:r w:rsidR="00614204">
        <w:t xml:space="preserve">jurisdictions across Australia </w:t>
      </w:r>
      <w:r w:rsidR="008F122B">
        <w:t xml:space="preserve">could </w:t>
      </w:r>
      <w:r w:rsidR="00C068CB">
        <w:t xml:space="preserve">instil a shared set of rights and protections. </w:t>
      </w:r>
    </w:p>
    <w:p w14:paraId="34489BAE" w14:textId="10F2B20F" w:rsidR="009F0B67" w:rsidRPr="009F0B67" w:rsidRDefault="009F0B67" w:rsidP="009F0B67">
      <w:pPr>
        <w:rPr>
          <w:rFonts w:cs="Arial"/>
          <w:b/>
          <w:bCs/>
          <w:i/>
          <w:iCs/>
          <w:szCs w:val="20"/>
        </w:rPr>
      </w:pPr>
      <w:r w:rsidRPr="009F0B67">
        <w:rPr>
          <w:rFonts w:cs="Arial"/>
          <w:b/>
          <w:bCs/>
          <w:i/>
          <w:iCs/>
          <w:szCs w:val="20"/>
          <w:lang w:val="en-US"/>
        </w:rPr>
        <w:t xml:space="preserve">Recommendation: </w:t>
      </w:r>
      <w:r w:rsidR="001115B8">
        <w:rPr>
          <w:rFonts w:cs="Arial"/>
          <w:b/>
          <w:bCs/>
          <w:i/>
          <w:iCs/>
          <w:szCs w:val="20"/>
          <w:lang w:val="en-US"/>
        </w:rPr>
        <w:t xml:space="preserve">Residential </w:t>
      </w:r>
      <w:r w:rsidR="00AD6796">
        <w:rPr>
          <w:rFonts w:cs="Arial"/>
          <w:b/>
          <w:bCs/>
          <w:i/>
          <w:iCs/>
          <w:szCs w:val="20"/>
          <w:lang w:val="en-US"/>
        </w:rPr>
        <w:t>tenancy</w:t>
      </w:r>
      <w:r w:rsidR="001115B8">
        <w:rPr>
          <w:rFonts w:cs="Arial"/>
          <w:b/>
          <w:bCs/>
          <w:i/>
          <w:iCs/>
          <w:szCs w:val="20"/>
          <w:lang w:val="en-US"/>
        </w:rPr>
        <w:t xml:space="preserve"> laws should </w:t>
      </w:r>
      <w:r w:rsidR="00AD6796">
        <w:rPr>
          <w:rFonts w:cs="Arial"/>
          <w:b/>
          <w:bCs/>
          <w:i/>
          <w:iCs/>
          <w:szCs w:val="20"/>
          <w:lang w:val="en-US"/>
        </w:rPr>
        <w:t xml:space="preserve">strengthen </w:t>
      </w:r>
      <w:r w:rsidR="00F04DDD">
        <w:rPr>
          <w:rFonts w:cs="Arial"/>
          <w:b/>
          <w:bCs/>
          <w:i/>
          <w:iCs/>
          <w:szCs w:val="20"/>
          <w:lang w:val="en-US"/>
        </w:rPr>
        <w:t>tenants</w:t>
      </w:r>
      <w:r w:rsidR="00AD6796">
        <w:rPr>
          <w:rFonts w:cs="Arial"/>
          <w:b/>
          <w:bCs/>
          <w:i/>
          <w:iCs/>
          <w:szCs w:val="20"/>
          <w:lang w:val="en-US"/>
        </w:rPr>
        <w:t>’ security against termination and eviction, with consideration given to r</w:t>
      </w:r>
      <w:r w:rsidRPr="009F0B67">
        <w:rPr>
          <w:rFonts w:cs="Arial"/>
          <w:b/>
          <w:bCs/>
          <w:i/>
          <w:iCs/>
          <w:szCs w:val="20"/>
          <w:lang w:val="en-US"/>
        </w:rPr>
        <w:t>eplicat</w:t>
      </w:r>
      <w:r w:rsidR="00AD6796">
        <w:rPr>
          <w:rFonts w:cs="Arial"/>
          <w:b/>
          <w:bCs/>
          <w:i/>
          <w:iCs/>
          <w:szCs w:val="20"/>
          <w:lang w:val="en-US"/>
        </w:rPr>
        <w:t>ing</w:t>
      </w:r>
      <w:r w:rsidRPr="009F0B67">
        <w:rPr>
          <w:rFonts w:cs="Arial"/>
          <w:b/>
          <w:bCs/>
          <w:i/>
          <w:iCs/>
          <w:szCs w:val="20"/>
          <w:lang w:val="en-US"/>
        </w:rPr>
        <w:t xml:space="preserve"> across jurisdictions the ACT’s ban on no-cause terminations, including at the end of a fixed term.</w:t>
      </w:r>
    </w:p>
    <w:p w14:paraId="693E0028" w14:textId="392E2BD1" w:rsidR="00DB0042" w:rsidRDefault="00DB0042" w:rsidP="00805128">
      <w:pPr>
        <w:pStyle w:val="Heading3"/>
      </w:pPr>
      <w:r>
        <w:t>Limiting prohibitive rent increases</w:t>
      </w:r>
    </w:p>
    <w:p w14:paraId="12D903D2" w14:textId="4309817E" w:rsidR="002174B2" w:rsidRDefault="00005B33" w:rsidP="00DB0042">
      <w:r>
        <w:t xml:space="preserve">Reforms are urgently needed to </w:t>
      </w:r>
      <w:r w:rsidR="00467A3B">
        <w:t xml:space="preserve">limit and stabilise rental price increases. Without fair limits to prevent excessive rent increases, renters are facing prohibitive </w:t>
      </w:r>
      <w:r w:rsidR="00D57ECC">
        <w:t xml:space="preserve">costs leading to </w:t>
      </w:r>
      <w:r w:rsidR="00251F94">
        <w:t xml:space="preserve">housing insecurity, </w:t>
      </w:r>
      <w:r w:rsidR="000C5308">
        <w:t xml:space="preserve">potential homelessness, </w:t>
      </w:r>
      <w:r w:rsidR="00D57ECC">
        <w:t xml:space="preserve">increased pressure on social housing waitlists and </w:t>
      </w:r>
      <w:r w:rsidR="0011571C">
        <w:t xml:space="preserve">high rates of rental stress. </w:t>
      </w:r>
    </w:p>
    <w:p w14:paraId="26184B7D" w14:textId="1845CC21" w:rsidR="00534CC1" w:rsidRDefault="0011571C" w:rsidP="00DB0042">
      <w:pPr>
        <w:rPr>
          <w:rFonts w:cs="Arial"/>
          <w:szCs w:val="20"/>
        </w:rPr>
      </w:pPr>
      <w:r>
        <w:t xml:space="preserve">The ACT is currently Australia’s least affordable jurisdiction for people on low incomes, with </w:t>
      </w:r>
      <w:r w:rsidR="001C7F3C">
        <w:t xml:space="preserve">one of </w:t>
      </w:r>
      <w:r>
        <w:t>the highest overall median rental prices in the country</w:t>
      </w:r>
      <w:r w:rsidRPr="00605C0B">
        <w:rPr>
          <w:rFonts w:cs="Arial"/>
          <w:szCs w:val="20"/>
        </w:rPr>
        <w:t>.</w:t>
      </w:r>
      <w:r>
        <w:rPr>
          <w:rStyle w:val="FootnoteReference"/>
          <w:rFonts w:cs="Arial"/>
          <w:szCs w:val="20"/>
        </w:rPr>
        <w:footnoteReference w:id="8"/>
      </w:r>
      <w:r w:rsidR="00E26434">
        <w:rPr>
          <w:rFonts w:cs="Arial"/>
          <w:szCs w:val="20"/>
        </w:rPr>
        <w:t xml:space="preserve"> </w:t>
      </w:r>
      <w:r w:rsidR="00F776B2">
        <w:t xml:space="preserve">Over </w:t>
      </w:r>
      <w:r w:rsidR="00F776B2" w:rsidRPr="00BA00B6">
        <w:t>60% of lower income private renters</w:t>
      </w:r>
      <w:r w:rsidR="00F776B2">
        <w:t xml:space="preserve"> in the ACT</w:t>
      </w:r>
      <w:r w:rsidR="00F776B2" w:rsidRPr="00BA00B6">
        <w:t xml:space="preserve"> are experiencing rental stress</w:t>
      </w:r>
      <w:r w:rsidR="00F776B2">
        <w:t xml:space="preserve"> (</w:t>
      </w:r>
      <w:r w:rsidR="00F776B2" w:rsidRPr="00BA00B6">
        <w:t>paying more than 30% of their income on housing costs</w:t>
      </w:r>
      <w:r w:rsidR="00F776B2">
        <w:t>).</w:t>
      </w:r>
      <w:r w:rsidR="00A87276">
        <w:rPr>
          <w:rStyle w:val="FootnoteReference"/>
        </w:rPr>
        <w:footnoteReference w:id="9"/>
      </w:r>
      <w:r w:rsidR="00F776B2">
        <w:t xml:space="preserve"> </w:t>
      </w:r>
      <w:r w:rsidR="002174B2">
        <w:rPr>
          <w:rFonts w:cs="Arial"/>
          <w:szCs w:val="20"/>
        </w:rPr>
        <w:t xml:space="preserve">Heavy pressures on both housing </w:t>
      </w:r>
      <w:r w:rsidR="005047E5">
        <w:rPr>
          <w:rFonts w:cs="Arial"/>
          <w:szCs w:val="20"/>
        </w:rPr>
        <w:t xml:space="preserve">supply and affordability have created an environment </w:t>
      </w:r>
      <w:r w:rsidR="00E33711">
        <w:rPr>
          <w:rFonts w:cs="Arial"/>
          <w:szCs w:val="20"/>
        </w:rPr>
        <w:t xml:space="preserve">of rapidly </w:t>
      </w:r>
      <w:r w:rsidR="00533603">
        <w:rPr>
          <w:rFonts w:cs="Arial"/>
          <w:szCs w:val="20"/>
        </w:rPr>
        <w:t xml:space="preserve">increasing rental costs misaligned from indexation of wages or income. </w:t>
      </w:r>
      <w:r w:rsidR="008D4FBC">
        <w:rPr>
          <w:rFonts w:cs="Arial"/>
          <w:szCs w:val="20"/>
        </w:rPr>
        <w:t>Excessive rent increases are</w:t>
      </w:r>
      <w:r w:rsidR="000E4DDE">
        <w:rPr>
          <w:rFonts w:cs="Arial"/>
          <w:szCs w:val="20"/>
        </w:rPr>
        <w:t xml:space="preserve"> </w:t>
      </w:r>
      <w:r w:rsidR="009A67AD">
        <w:rPr>
          <w:rFonts w:cs="Arial"/>
          <w:szCs w:val="20"/>
        </w:rPr>
        <w:t>contributing to</w:t>
      </w:r>
      <w:r w:rsidR="000E4DDE">
        <w:rPr>
          <w:rFonts w:cs="Arial"/>
          <w:szCs w:val="20"/>
        </w:rPr>
        <w:t xml:space="preserve"> </w:t>
      </w:r>
      <w:r w:rsidR="0057007D">
        <w:rPr>
          <w:rFonts w:cs="Arial"/>
          <w:szCs w:val="20"/>
        </w:rPr>
        <w:t xml:space="preserve">cost-of-living </w:t>
      </w:r>
      <w:r w:rsidR="000E4DDE">
        <w:rPr>
          <w:rFonts w:cs="Arial"/>
          <w:szCs w:val="20"/>
        </w:rPr>
        <w:t>pressure</w:t>
      </w:r>
      <w:r w:rsidR="0057007D">
        <w:rPr>
          <w:rFonts w:cs="Arial"/>
          <w:szCs w:val="20"/>
        </w:rPr>
        <w:t>s</w:t>
      </w:r>
      <w:r w:rsidR="00303730">
        <w:rPr>
          <w:rFonts w:cs="Arial"/>
          <w:szCs w:val="20"/>
        </w:rPr>
        <w:t xml:space="preserve">, leaving </w:t>
      </w:r>
      <w:r w:rsidR="00B569CA">
        <w:rPr>
          <w:rFonts w:cs="Arial"/>
          <w:szCs w:val="20"/>
        </w:rPr>
        <w:t xml:space="preserve">disadvantaged </w:t>
      </w:r>
      <w:r w:rsidR="00303730">
        <w:rPr>
          <w:rFonts w:cs="Arial"/>
          <w:szCs w:val="20"/>
        </w:rPr>
        <w:t>households</w:t>
      </w:r>
      <w:r w:rsidR="003924B8">
        <w:rPr>
          <w:rFonts w:cs="Arial"/>
          <w:szCs w:val="20"/>
        </w:rPr>
        <w:t xml:space="preserve"> unable to cover other essential costs </w:t>
      </w:r>
      <w:r w:rsidR="001F3B79">
        <w:rPr>
          <w:rFonts w:cs="Arial"/>
          <w:szCs w:val="20"/>
        </w:rPr>
        <w:t xml:space="preserve">including food and medicine. </w:t>
      </w:r>
      <w:r w:rsidR="00B569CA">
        <w:rPr>
          <w:rFonts w:cs="Arial"/>
          <w:szCs w:val="20"/>
        </w:rPr>
        <w:t xml:space="preserve"> </w:t>
      </w:r>
    </w:p>
    <w:p w14:paraId="1AB97C2C" w14:textId="18825616" w:rsidR="00B044B2" w:rsidRDefault="00C45A22" w:rsidP="00DB0042">
      <w:pPr>
        <w:rPr>
          <w:rFonts w:cs="Arial"/>
          <w:szCs w:val="20"/>
        </w:rPr>
      </w:pPr>
      <w:r>
        <w:rPr>
          <w:rFonts w:cs="Arial"/>
          <w:szCs w:val="20"/>
        </w:rPr>
        <w:t xml:space="preserve">In </w:t>
      </w:r>
      <w:r w:rsidR="004452AE">
        <w:rPr>
          <w:rFonts w:cs="Arial"/>
          <w:szCs w:val="20"/>
        </w:rPr>
        <w:t xml:space="preserve">2019, the ACT introduced </w:t>
      </w:r>
      <w:r w:rsidR="00DC7407">
        <w:rPr>
          <w:rFonts w:cs="Arial"/>
          <w:szCs w:val="20"/>
        </w:rPr>
        <w:t xml:space="preserve">legislation to </w:t>
      </w:r>
      <w:r w:rsidR="00655736">
        <w:rPr>
          <w:rFonts w:cs="Arial"/>
          <w:szCs w:val="20"/>
        </w:rPr>
        <w:t xml:space="preserve">regulate </w:t>
      </w:r>
      <w:r w:rsidR="00D93A39">
        <w:rPr>
          <w:rFonts w:cs="Arial"/>
          <w:szCs w:val="20"/>
        </w:rPr>
        <w:t xml:space="preserve">rent increases </w:t>
      </w:r>
      <w:r w:rsidR="00206285">
        <w:rPr>
          <w:rFonts w:cs="Arial"/>
          <w:szCs w:val="20"/>
        </w:rPr>
        <w:t xml:space="preserve">on residential properties. Under these </w:t>
      </w:r>
      <w:r w:rsidR="006B0A80">
        <w:rPr>
          <w:rFonts w:cs="Arial"/>
          <w:szCs w:val="20"/>
        </w:rPr>
        <w:t>arrangements</w:t>
      </w:r>
      <w:r w:rsidR="00206285">
        <w:rPr>
          <w:rFonts w:cs="Arial"/>
          <w:szCs w:val="20"/>
        </w:rPr>
        <w:t xml:space="preserve">, </w:t>
      </w:r>
      <w:r w:rsidR="00125533">
        <w:rPr>
          <w:rFonts w:cs="Arial"/>
          <w:szCs w:val="20"/>
        </w:rPr>
        <w:t>rents may only be increased during fixed</w:t>
      </w:r>
      <w:r w:rsidR="00F8356F">
        <w:rPr>
          <w:rFonts w:cs="Arial"/>
          <w:szCs w:val="20"/>
        </w:rPr>
        <w:t>-</w:t>
      </w:r>
      <w:r w:rsidR="00125533">
        <w:rPr>
          <w:rFonts w:cs="Arial"/>
          <w:szCs w:val="20"/>
        </w:rPr>
        <w:t xml:space="preserve">term tenancies </w:t>
      </w:r>
      <w:r w:rsidR="00421D22">
        <w:rPr>
          <w:rFonts w:cs="Arial"/>
          <w:szCs w:val="20"/>
        </w:rPr>
        <w:t xml:space="preserve">if specified in rental </w:t>
      </w:r>
      <w:proofErr w:type="gramStart"/>
      <w:r w:rsidR="00421D22">
        <w:rPr>
          <w:rFonts w:cs="Arial"/>
          <w:szCs w:val="20"/>
        </w:rPr>
        <w:t>agreements</w:t>
      </w:r>
      <w:r w:rsidR="007C60D8">
        <w:rPr>
          <w:rFonts w:cs="Arial"/>
          <w:szCs w:val="20"/>
        </w:rPr>
        <w:t>,</w:t>
      </w:r>
      <w:r w:rsidR="00421D22">
        <w:rPr>
          <w:rFonts w:cs="Arial"/>
          <w:szCs w:val="20"/>
        </w:rPr>
        <w:t xml:space="preserve"> and</w:t>
      </w:r>
      <w:proofErr w:type="gramEnd"/>
      <w:r w:rsidR="00421D22">
        <w:rPr>
          <w:rFonts w:cs="Arial"/>
          <w:szCs w:val="20"/>
        </w:rPr>
        <w:t xml:space="preserve"> can only be increased once every 12 months during periodic leases</w:t>
      </w:r>
      <w:r w:rsidR="00BE26DA">
        <w:rPr>
          <w:rFonts w:cs="Arial"/>
          <w:szCs w:val="20"/>
        </w:rPr>
        <w:t xml:space="preserve"> or outside of a fixed-term agreement</w:t>
      </w:r>
      <w:r w:rsidR="00421D22">
        <w:rPr>
          <w:rFonts w:cs="Arial"/>
          <w:szCs w:val="20"/>
        </w:rPr>
        <w:t>.</w:t>
      </w:r>
      <w:r w:rsidR="00255C00">
        <w:rPr>
          <w:rFonts w:cs="Arial"/>
          <w:szCs w:val="20"/>
        </w:rPr>
        <w:t xml:space="preserve"> </w:t>
      </w:r>
      <w:r w:rsidR="009304C6">
        <w:rPr>
          <w:rFonts w:cs="Arial"/>
          <w:szCs w:val="20"/>
        </w:rPr>
        <w:t xml:space="preserve">Increases to the rents of periodic leases are limited to </w:t>
      </w:r>
      <w:r w:rsidR="00BF58E3">
        <w:rPr>
          <w:rFonts w:cs="Arial"/>
          <w:szCs w:val="20"/>
        </w:rPr>
        <w:t xml:space="preserve">a prescribed amount, defined as </w:t>
      </w:r>
      <w:r w:rsidR="009304C6">
        <w:rPr>
          <w:rFonts w:cs="Arial"/>
          <w:szCs w:val="20"/>
        </w:rPr>
        <w:t xml:space="preserve">110% of the percentage increase in </w:t>
      </w:r>
      <w:r w:rsidR="000206C8">
        <w:rPr>
          <w:rFonts w:cs="Arial"/>
          <w:szCs w:val="20"/>
        </w:rPr>
        <w:t xml:space="preserve">the rents component </w:t>
      </w:r>
      <w:r w:rsidR="009E5FB6">
        <w:rPr>
          <w:rFonts w:cs="Arial"/>
          <w:szCs w:val="20"/>
        </w:rPr>
        <w:t xml:space="preserve">of the </w:t>
      </w:r>
      <w:r w:rsidR="00784AE6">
        <w:rPr>
          <w:rFonts w:cs="Arial"/>
          <w:szCs w:val="20"/>
        </w:rPr>
        <w:t>Consumer Price Index (</w:t>
      </w:r>
      <w:r w:rsidR="009304C6">
        <w:rPr>
          <w:rFonts w:cs="Arial"/>
          <w:szCs w:val="20"/>
        </w:rPr>
        <w:t>CPI</w:t>
      </w:r>
      <w:r w:rsidR="00784AE6">
        <w:rPr>
          <w:rFonts w:cs="Arial"/>
          <w:szCs w:val="20"/>
        </w:rPr>
        <w:t>)</w:t>
      </w:r>
      <w:r w:rsidR="00A655EC">
        <w:rPr>
          <w:rFonts w:cs="Arial"/>
          <w:szCs w:val="20"/>
        </w:rPr>
        <w:t xml:space="preserve"> for Canberra</w:t>
      </w:r>
      <w:r w:rsidR="009304C6">
        <w:rPr>
          <w:rFonts w:cs="Arial"/>
          <w:szCs w:val="20"/>
        </w:rPr>
        <w:t xml:space="preserve">. </w:t>
      </w:r>
      <w:r w:rsidR="006954BD">
        <w:rPr>
          <w:rFonts w:cs="Arial"/>
          <w:szCs w:val="20"/>
        </w:rPr>
        <w:t xml:space="preserve">In certain instances, landlords can </w:t>
      </w:r>
      <w:r w:rsidR="009A06E1">
        <w:rPr>
          <w:rFonts w:cs="Arial"/>
          <w:szCs w:val="20"/>
        </w:rPr>
        <w:t>increase</w:t>
      </w:r>
      <w:r w:rsidR="00CA5935">
        <w:rPr>
          <w:rFonts w:cs="Arial"/>
          <w:szCs w:val="20"/>
        </w:rPr>
        <w:t xml:space="preserve"> </w:t>
      </w:r>
      <w:r w:rsidR="009A06E1">
        <w:rPr>
          <w:rFonts w:cs="Arial"/>
          <w:szCs w:val="20"/>
        </w:rPr>
        <w:t>rent</w:t>
      </w:r>
      <w:r w:rsidR="00CA5935">
        <w:rPr>
          <w:rFonts w:cs="Arial"/>
          <w:szCs w:val="20"/>
        </w:rPr>
        <w:t xml:space="preserve"> above the </w:t>
      </w:r>
      <w:r w:rsidR="000F3D06">
        <w:rPr>
          <w:rFonts w:cs="Arial"/>
          <w:szCs w:val="20"/>
        </w:rPr>
        <w:t>prescribed</w:t>
      </w:r>
      <w:r w:rsidR="00CA5935">
        <w:rPr>
          <w:rFonts w:cs="Arial"/>
          <w:szCs w:val="20"/>
        </w:rPr>
        <w:t xml:space="preserve"> amount</w:t>
      </w:r>
      <w:r w:rsidR="00FC1925">
        <w:rPr>
          <w:rFonts w:cs="Arial"/>
          <w:szCs w:val="20"/>
        </w:rPr>
        <w:t xml:space="preserve"> if they have applied to </w:t>
      </w:r>
      <w:r w:rsidR="007332FE">
        <w:rPr>
          <w:noProof/>
        </w:rPr>
        <w:t>the ACT Civil and Administrative Tribunal</w:t>
      </w:r>
      <w:r w:rsidR="008838FB">
        <w:rPr>
          <w:noProof/>
        </w:rPr>
        <w:t xml:space="preserve"> and demonstrated that the increa</w:t>
      </w:r>
      <w:r w:rsidR="005745A9">
        <w:rPr>
          <w:noProof/>
        </w:rPr>
        <w:t>s</w:t>
      </w:r>
      <w:r w:rsidR="008838FB">
        <w:rPr>
          <w:noProof/>
        </w:rPr>
        <w:t>e is not excessive in relation to prevailing market r</w:t>
      </w:r>
      <w:r w:rsidR="003A2943">
        <w:rPr>
          <w:noProof/>
        </w:rPr>
        <w:t>e</w:t>
      </w:r>
      <w:r w:rsidR="008838FB">
        <w:rPr>
          <w:noProof/>
        </w:rPr>
        <w:t>nts for comp</w:t>
      </w:r>
      <w:r w:rsidR="003A2943">
        <w:rPr>
          <w:noProof/>
        </w:rPr>
        <w:t>a</w:t>
      </w:r>
      <w:r w:rsidR="008838FB">
        <w:rPr>
          <w:noProof/>
        </w:rPr>
        <w:t>rable premises</w:t>
      </w:r>
      <w:r w:rsidR="007332FE">
        <w:rPr>
          <w:rFonts w:cs="Arial"/>
          <w:szCs w:val="20"/>
        </w:rPr>
        <w:t>.</w:t>
      </w:r>
      <w:r w:rsidR="00864A66">
        <w:rPr>
          <w:rFonts w:cs="Arial"/>
          <w:szCs w:val="20"/>
        </w:rPr>
        <w:t xml:space="preserve"> </w:t>
      </w:r>
    </w:p>
    <w:p w14:paraId="138B7B87" w14:textId="2BABFF10" w:rsidR="004972E6" w:rsidRDefault="00606272" w:rsidP="004972E6">
      <w:pPr>
        <w:rPr>
          <w:rFonts w:cs="Arial"/>
          <w:szCs w:val="20"/>
        </w:rPr>
      </w:pPr>
      <w:r>
        <w:rPr>
          <w:rFonts w:cs="Arial"/>
          <w:szCs w:val="20"/>
        </w:rPr>
        <w:t xml:space="preserve">ACTCOSS supports the </w:t>
      </w:r>
      <w:r w:rsidR="005624AC">
        <w:rPr>
          <w:rFonts w:cs="Arial"/>
          <w:szCs w:val="20"/>
        </w:rPr>
        <w:t xml:space="preserve">ACT Government’s action on </w:t>
      </w:r>
      <w:r w:rsidR="00E145A3">
        <w:rPr>
          <w:rFonts w:cs="Arial"/>
          <w:szCs w:val="20"/>
        </w:rPr>
        <w:t>regulating rental increases</w:t>
      </w:r>
      <w:r w:rsidR="00D41FD0">
        <w:rPr>
          <w:rFonts w:cs="Arial"/>
          <w:szCs w:val="20"/>
        </w:rPr>
        <w:t>, which ha</w:t>
      </w:r>
      <w:r w:rsidR="005745A9">
        <w:rPr>
          <w:rFonts w:cs="Arial"/>
          <w:szCs w:val="20"/>
        </w:rPr>
        <w:t>s</w:t>
      </w:r>
      <w:r w:rsidR="00790A4B">
        <w:rPr>
          <w:rFonts w:cs="Arial"/>
          <w:szCs w:val="20"/>
        </w:rPr>
        <w:t xml:space="preserve"> provided certainty to renters on periodic leases and protected them from excessive rent hikes. </w:t>
      </w:r>
      <w:r w:rsidR="00D959EF">
        <w:rPr>
          <w:rFonts w:cs="Arial"/>
          <w:szCs w:val="20"/>
        </w:rPr>
        <w:t>We note th</w:t>
      </w:r>
      <w:r w:rsidR="00FA7438">
        <w:rPr>
          <w:rFonts w:cs="Arial"/>
          <w:szCs w:val="20"/>
        </w:rPr>
        <w:t xml:space="preserve">ere is no evidence </w:t>
      </w:r>
      <w:r w:rsidR="00A97913">
        <w:rPr>
          <w:rFonts w:cs="Arial"/>
          <w:szCs w:val="20"/>
        </w:rPr>
        <w:t>these</w:t>
      </w:r>
      <w:r w:rsidR="002462C9">
        <w:rPr>
          <w:rFonts w:cs="Arial"/>
          <w:szCs w:val="20"/>
        </w:rPr>
        <w:t xml:space="preserve"> reforms </w:t>
      </w:r>
      <w:r w:rsidR="00295678">
        <w:rPr>
          <w:rFonts w:cs="Arial"/>
          <w:szCs w:val="20"/>
        </w:rPr>
        <w:t xml:space="preserve">have </w:t>
      </w:r>
      <w:r w:rsidR="000C0888">
        <w:rPr>
          <w:rFonts w:cs="Arial"/>
          <w:szCs w:val="20"/>
        </w:rPr>
        <w:t xml:space="preserve">diminished </w:t>
      </w:r>
      <w:r w:rsidR="00834A1A">
        <w:rPr>
          <w:rFonts w:cs="Arial"/>
          <w:szCs w:val="20"/>
        </w:rPr>
        <w:t xml:space="preserve">rental supply or </w:t>
      </w:r>
      <w:r w:rsidR="00837651">
        <w:rPr>
          <w:rFonts w:cs="Arial"/>
          <w:szCs w:val="20"/>
        </w:rPr>
        <w:t>led to</w:t>
      </w:r>
      <w:r w:rsidR="0033040B">
        <w:rPr>
          <w:rFonts w:cs="Arial"/>
          <w:szCs w:val="20"/>
        </w:rPr>
        <w:t xml:space="preserve"> </w:t>
      </w:r>
      <w:r w:rsidR="006A1F9B">
        <w:rPr>
          <w:rFonts w:cs="Arial"/>
          <w:szCs w:val="20"/>
        </w:rPr>
        <w:t>investors exiting the housing market</w:t>
      </w:r>
      <w:r w:rsidR="004972E6">
        <w:rPr>
          <w:rFonts w:cs="Arial"/>
          <w:szCs w:val="20"/>
        </w:rPr>
        <w:t xml:space="preserve">. Research from the </w:t>
      </w:r>
      <w:r w:rsidR="004972E6" w:rsidRPr="00FD3A20">
        <w:rPr>
          <w:rFonts w:cs="Arial"/>
          <w:szCs w:val="20"/>
        </w:rPr>
        <w:t>Australian Housing and Urban Research Institute</w:t>
      </w:r>
      <w:r w:rsidR="004972E6">
        <w:rPr>
          <w:rFonts w:cs="Arial"/>
          <w:szCs w:val="20"/>
        </w:rPr>
        <w:t xml:space="preserve"> (AHURI) finds a lack of evidence for claims that improved rental rights disincentivise landlords from real estate investment.</w:t>
      </w:r>
      <w:r w:rsidR="004972E6">
        <w:rPr>
          <w:rStyle w:val="FootnoteReference"/>
          <w:rFonts w:cs="Arial"/>
          <w:szCs w:val="20"/>
        </w:rPr>
        <w:footnoteReference w:id="10"/>
      </w:r>
      <w:r w:rsidR="004972E6">
        <w:rPr>
          <w:rFonts w:cs="Arial"/>
          <w:szCs w:val="20"/>
        </w:rPr>
        <w:t xml:space="preserve">  Further, </w:t>
      </w:r>
      <w:r w:rsidR="004C1A25">
        <w:rPr>
          <w:rFonts w:cs="Arial"/>
          <w:szCs w:val="20"/>
        </w:rPr>
        <w:t xml:space="preserve">investors tend to purchase </w:t>
      </w:r>
      <w:r w:rsidR="007D1DFB">
        <w:rPr>
          <w:rFonts w:cs="Arial"/>
          <w:szCs w:val="20"/>
        </w:rPr>
        <w:t xml:space="preserve">existing housing, and </w:t>
      </w:r>
      <w:r w:rsidR="004972E6">
        <w:rPr>
          <w:rFonts w:cs="Arial"/>
          <w:szCs w:val="20"/>
        </w:rPr>
        <w:lastRenderedPageBreak/>
        <w:t>those landlords who may disinvest and sell property following rental reforms</w:t>
      </w:r>
      <w:r w:rsidR="00BF3C65">
        <w:rPr>
          <w:rFonts w:cs="Arial"/>
          <w:szCs w:val="20"/>
        </w:rPr>
        <w:t xml:space="preserve">, </w:t>
      </w:r>
      <w:r w:rsidR="004972E6">
        <w:rPr>
          <w:rFonts w:cs="Arial"/>
          <w:szCs w:val="20"/>
        </w:rPr>
        <w:t>creating opportunities for these properties to be purchased by owner-occupiers or non-profit affordable housing providers.</w:t>
      </w:r>
      <w:r w:rsidR="004972E6">
        <w:rPr>
          <w:rStyle w:val="FootnoteReference"/>
          <w:rFonts w:cs="Arial"/>
          <w:szCs w:val="20"/>
        </w:rPr>
        <w:footnoteReference w:id="11"/>
      </w:r>
      <w:r w:rsidR="004972E6">
        <w:rPr>
          <w:rFonts w:cs="Arial"/>
          <w:szCs w:val="20"/>
        </w:rPr>
        <w:t xml:space="preserve"> </w:t>
      </w:r>
    </w:p>
    <w:p w14:paraId="1A6AC003" w14:textId="77777777" w:rsidR="00BF3361" w:rsidRDefault="00BF3C65" w:rsidP="00DB0042">
      <w:pPr>
        <w:rPr>
          <w:rFonts w:cs="Arial"/>
          <w:szCs w:val="20"/>
        </w:rPr>
      </w:pPr>
      <w:r>
        <w:rPr>
          <w:rFonts w:cs="Arial"/>
          <w:szCs w:val="20"/>
        </w:rPr>
        <w:t xml:space="preserve">While </w:t>
      </w:r>
      <w:r w:rsidR="00EA0161">
        <w:rPr>
          <w:rFonts w:cs="Arial"/>
          <w:szCs w:val="20"/>
        </w:rPr>
        <w:t xml:space="preserve">these reforms </w:t>
      </w:r>
      <w:r>
        <w:rPr>
          <w:rFonts w:cs="Arial"/>
          <w:szCs w:val="20"/>
        </w:rPr>
        <w:t>have improved the security of tenancies,</w:t>
      </w:r>
      <w:r w:rsidR="00BF3361">
        <w:rPr>
          <w:rFonts w:cs="Arial"/>
          <w:szCs w:val="20"/>
        </w:rPr>
        <w:t xml:space="preserve"> </w:t>
      </w:r>
      <w:r w:rsidR="00EA0161">
        <w:rPr>
          <w:rFonts w:cs="Arial"/>
          <w:szCs w:val="20"/>
        </w:rPr>
        <w:t xml:space="preserve">rents have </w:t>
      </w:r>
      <w:r w:rsidR="00BF3361">
        <w:rPr>
          <w:rFonts w:cs="Arial"/>
          <w:szCs w:val="20"/>
        </w:rPr>
        <w:t xml:space="preserve">nonetheless </w:t>
      </w:r>
      <w:r w:rsidR="00EA0161">
        <w:rPr>
          <w:rFonts w:cs="Arial"/>
          <w:szCs w:val="20"/>
        </w:rPr>
        <w:t>continued to increase in the ACT</w:t>
      </w:r>
      <w:r w:rsidR="00400C8A">
        <w:rPr>
          <w:rFonts w:cs="Arial"/>
          <w:szCs w:val="20"/>
        </w:rPr>
        <w:t xml:space="preserve"> at a rate outpacing </w:t>
      </w:r>
      <w:r w:rsidR="0083420B">
        <w:rPr>
          <w:rFonts w:cs="Arial"/>
          <w:szCs w:val="20"/>
        </w:rPr>
        <w:t xml:space="preserve">most other </w:t>
      </w:r>
      <w:r w:rsidR="00751E84">
        <w:rPr>
          <w:rFonts w:cs="Arial"/>
          <w:szCs w:val="20"/>
        </w:rPr>
        <w:t>jurisdictions</w:t>
      </w:r>
      <w:r w:rsidR="00F06C83">
        <w:rPr>
          <w:rFonts w:cs="Arial"/>
          <w:szCs w:val="20"/>
        </w:rPr>
        <w:t>. I</w:t>
      </w:r>
      <w:r w:rsidR="0057331E">
        <w:rPr>
          <w:rFonts w:cs="Arial"/>
          <w:szCs w:val="20"/>
        </w:rPr>
        <w:t>n 2022</w:t>
      </w:r>
      <w:r w:rsidR="00F06C83">
        <w:rPr>
          <w:rFonts w:cs="Arial"/>
          <w:szCs w:val="20"/>
        </w:rPr>
        <w:t>,</w:t>
      </w:r>
      <w:r w:rsidR="0057331E">
        <w:rPr>
          <w:rFonts w:cs="Arial"/>
          <w:szCs w:val="20"/>
        </w:rPr>
        <w:t xml:space="preserve"> less than 3% of private rental properties were found to be suitable for a household living on minimum wage without plac</w:t>
      </w:r>
      <w:r w:rsidR="00F06C83">
        <w:rPr>
          <w:rFonts w:cs="Arial"/>
          <w:szCs w:val="20"/>
        </w:rPr>
        <w:t>ing the household</w:t>
      </w:r>
      <w:r w:rsidR="0057331E">
        <w:rPr>
          <w:rFonts w:cs="Arial"/>
          <w:szCs w:val="20"/>
        </w:rPr>
        <w:t xml:space="preserve"> in severe rental stress.</w:t>
      </w:r>
      <w:r w:rsidR="0057331E">
        <w:rPr>
          <w:rStyle w:val="FootnoteReference"/>
          <w:rFonts w:cs="Arial"/>
          <w:szCs w:val="20"/>
        </w:rPr>
        <w:footnoteReference w:id="12"/>
      </w:r>
      <w:r w:rsidR="0057331E">
        <w:rPr>
          <w:rFonts w:cs="Arial"/>
          <w:szCs w:val="20"/>
        </w:rPr>
        <w:t xml:space="preserve"> </w:t>
      </w:r>
    </w:p>
    <w:p w14:paraId="57D81121" w14:textId="1EBB81AE" w:rsidR="001A1E03" w:rsidRDefault="0057331E" w:rsidP="00DB0042">
      <w:pPr>
        <w:rPr>
          <w:rFonts w:cs="Arial"/>
          <w:szCs w:val="20"/>
        </w:rPr>
      </w:pPr>
      <w:r>
        <w:rPr>
          <w:rFonts w:cs="Arial"/>
          <w:szCs w:val="20"/>
        </w:rPr>
        <w:t>W</w:t>
      </w:r>
      <w:r w:rsidR="0083420B">
        <w:rPr>
          <w:rFonts w:cs="Arial"/>
          <w:szCs w:val="20"/>
        </w:rPr>
        <w:t xml:space="preserve">e </w:t>
      </w:r>
      <w:r w:rsidR="00751E84">
        <w:rPr>
          <w:rFonts w:cs="Arial"/>
          <w:szCs w:val="20"/>
        </w:rPr>
        <w:t xml:space="preserve">believe several </w:t>
      </w:r>
      <w:r w:rsidR="00A87CCB">
        <w:rPr>
          <w:rFonts w:cs="Arial"/>
          <w:szCs w:val="20"/>
        </w:rPr>
        <w:t xml:space="preserve">factors have </w:t>
      </w:r>
      <w:r w:rsidR="005C0E55">
        <w:rPr>
          <w:rFonts w:cs="Arial"/>
          <w:szCs w:val="20"/>
        </w:rPr>
        <w:t xml:space="preserve">impeded the </w:t>
      </w:r>
      <w:r w:rsidR="005D3334">
        <w:rPr>
          <w:rFonts w:cs="Arial"/>
          <w:szCs w:val="20"/>
        </w:rPr>
        <w:t>effectiveness of th</w:t>
      </w:r>
      <w:r w:rsidR="005C0E55">
        <w:rPr>
          <w:rFonts w:cs="Arial"/>
          <w:szCs w:val="20"/>
        </w:rPr>
        <w:t>e ACT rental regulation framework</w:t>
      </w:r>
      <w:r w:rsidR="005D3334">
        <w:rPr>
          <w:rFonts w:cs="Arial"/>
          <w:szCs w:val="20"/>
        </w:rPr>
        <w:t xml:space="preserve">. </w:t>
      </w:r>
      <w:r w:rsidR="00683E38">
        <w:rPr>
          <w:rFonts w:cs="Arial"/>
          <w:szCs w:val="20"/>
        </w:rPr>
        <w:t>First, t</w:t>
      </w:r>
      <w:r w:rsidR="00DA1800">
        <w:rPr>
          <w:rFonts w:cs="Arial"/>
          <w:szCs w:val="20"/>
        </w:rPr>
        <w:t>he</w:t>
      </w:r>
      <w:r w:rsidR="00A311EE">
        <w:rPr>
          <w:rFonts w:cs="Arial"/>
          <w:szCs w:val="20"/>
        </w:rPr>
        <w:t xml:space="preserve"> ability of landlords and agents to prescribe higher increases within </w:t>
      </w:r>
      <w:r w:rsidR="00D85A75">
        <w:rPr>
          <w:rFonts w:cs="Arial"/>
          <w:szCs w:val="20"/>
        </w:rPr>
        <w:t>fixed</w:t>
      </w:r>
      <w:r w:rsidR="00F06439">
        <w:rPr>
          <w:rFonts w:cs="Arial"/>
          <w:szCs w:val="20"/>
        </w:rPr>
        <w:t>-</w:t>
      </w:r>
      <w:r w:rsidR="00D85A75">
        <w:rPr>
          <w:rFonts w:cs="Arial"/>
          <w:szCs w:val="20"/>
        </w:rPr>
        <w:t xml:space="preserve">term lease agreements </w:t>
      </w:r>
      <w:r w:rsidR="004E7CD0">
        <w:rPr>
          <w:rFonts w:cs="Arial"/>
          <w:szCs w:val="20"/>
        </w:rPr>
        <w:t xml:space="preserve">provides a loophole that can readily be exploited in </w:t>
      </w:r>
      <w:r w:rsidR="00D85A75">
        <w:rPr>
          <w:rFonts w:cs="Arial"/>
          <w:szCs w:val="20"/>
        </w:rPr>
        <w:t>a trapped rental market</w:t>
      </w:r>
      <w:r w:rsidR="004E7CD0">
        <w:rPr>
          <w:rFonts w:cs="Arial"/>
          <w:szCs w:val="20"/>
        </w:rPr>
        <w:t xml:space="preserve"> with extremely low </w:t>
      </w:r>
      <w:r w:rsidR="00D61F5F">
        <w:rPr>
          <w:rFonts w:cs="Arial"/>
          <w:szCs w:val="20"/>
        </w:rPr>
        <w:t>vacancy</w:t>
      </w:r>
      <w:r w:rsidR="004E7CD0">
        <w:rPr>
          <w:rFonts w:cs="Arial"/>
          <w:szCs w:val="20"/>
        </w:rPr>
        <w:t xml:space="preserve"> rates</w:t>
      </w:r>
      <w:r w:rsidR="00D85A75">
        <w:rPr>
          <w:rFonts w:cs="Arial"/>
          <w:szCs w:val="20"/>
        </w:rPr>
        <w:t xml:space="preserve">. </w:t>
      </w:r>
      <w:r w:rsidR="003E61CD">
        <w:rPr>
          <w:rFonts w:cs="Arial"/>
          <w:szCs w:val="20"/>
        </w:rPr>
        <w:t xml:space="preserve">Renters face significant barriers to finding suitable housing and </w:t>
      </w:r>
      <w:r w:rsidR="003B5438">
        <w:rPr>
          <w:rFonts w:cs="Arial"/>
          <w:szCs w:val="20"/>
        </w:rPr>
        <w:t xml:space="preserve">as a result often face the threat of </w:t>
      </w:r>
      <w:r w:rsidR="00CD0368">
        <w:rPr>
          <w:rFonts w:cs="Arial"/>
          <w:szCs w:val="20"/>
        </w:rPr>
        <w:t>being</w:t>
      </w:r>
      <w:r w:rsidR="007C60D8">
        <w:rPr>
          <w:rFonts w:cs="Arial"/>
          <w:szCs w:val="20"/>
        </w:rPr>
        <w:t xml:space="preserve"> left</w:t>
      </w:r>
      <w:r w:rsidR="00CD0368">
        <w:rPr>
          <w:rFonts w:cs="Arial"/>
          <w:szCs w:val="20"/>
        </w:rPr>
        <w:t xml:space="preserve"> unhoused if unwilling to </w:t>
      </w:r>
      <w:r w:rsidR="00583031">
        <w:rPr>
          <w:rFonts w:cs="Arial"/>
          <w:szCs w:val="20"/>
        </w:rPr>
        <w:t xml:space="preserve">agree to the terms of a lease as proposed. </w:t>
      </w:r>
      <w:r w:rsidR="008A3138">
        <w:rPr>
          <w:rFonts w:cs="Arial"/>
          <w:szCs w:val="20"/>
        </w:rPr>
        <w:t>The ACT Government’s 2022 Survey on Short-Term Rental Accommodation recently found that one of the main reasons people rented through a short-term rental accommodation service in the ACT was ‘d</w:t>
      </w:r>
      <w:r w:rsidR="008A3138" w:rsidRPr="00E138D8">
        <w:rPr>
          <w:rFonts w:cs="Arial"/>
          <w:szCs w:val="20"/>
        </w:rPr>
        <w:t>ifficulties getting a long-term rental / house share</w:t>
      </w:r>
      <w:r w:rsidR="008A3138">
        <w:rPr>
          <w:rFonts w:cs="Arial"/>
          <w:szCs w:val="20"/>
        </w:rPr>
        <w:t>’.</w:t>
      </w:r>
      <w:r w:rsidR="008A3138">
        <w:rPr>
          <w:rStyle w:val="FootnoteReference"/>
          <w:rFonts w:cs="Arial"/>
          <w:szCs w:val="20"/>
        </w:rPr>
        <w:footnoteReference w:id="13"/>
      </w:r>
      <w:r w:rsidR="008A3138">
        <w:rPr>
          <w:rFonts w:cs="Arial"/>
          <w:szCs w:val="20"/>
        </w:rPr>
        <w:t xml:space="preserve"> </w:t>
      </w:r>
      <w:r w:rsidR="006B27EA">
        <w:rPr>
          <w:rFonts w:cs="Arial"/>
          <w:szCs w:val="20"/>
        </w:rPr>
        <w:t xml:space="preserve">This points the need to consider </w:t>
      </w:r>
      <w:r w:rsidR="00C108D9">
        <w:rPr>
          <w:rFonts w:cs="Arial"/>
          <w:szCs w:val="20"/>
        </w:rPr>
        <w:t xml:space="preserve">the application of rental regulation in tandem with </w:t>
      </w:r>
      <w:r w:rsidR="000B4600">
        <w:rPr>
          <w:rFonts w:cs="Arial"/>
          <w:szCs w:val="20"/>
        </w:rPr>
        <w:t xml:space="preserve">policy settings for </w:t>
      </w:r>
      <w:r w:rsidR="005574B4">
        <w:rPr>
          <w:rFonts w:cs="Arial"/>
          <w:szCs w:val="20"/>
        </w:rPr>
        <w:t>Short-Term Ren</w:t>
      </w:r>
      <w:r w:rsidR="0043312C">
        <w:rPr>
          <w:rFonts w:cs="Arial"/>
          <w:szCs w:val="20"/>
        </w:rPr>
        <w:t>t</w:t>
      </w:r>
      <w:r w:rsidR="005574B4">
        <w:rPr>
          <w:rFonts w:cs="Arial"/>
          <w:szCs w:val="20"/>
        </w:rPr>
        <w:t>al Accommodation</w:t>
      </w:r>
      <w:r w:rsidR="00B73ADB">
        <w:rPr>
          <w:rFonts w:cs="Arial"/>
          <w:szCs w:val="20"/>
        </w:rPr>
        <w:t xml:space="preserve">, the latter being </w:t>
      </w:r>
      <w:r w:rsidR="004B2CFD">
        <w:rPr>
          <w:rFonts w:cs="Arial"/>
          <w:szCs w:val="20"/>
        </w:rPr>
        <w:t xml:space="preserve">particularly </w:t>
      </w:r>
      <w:r w:rsidR="00B73ADB">
        <w:rPr>
          <w:rFonts w:cs="Arial"/>
          <w:szCs w:val="20"/>
        </w:rPr>
        <w:t xml:space="preserve">permissive </w:t>
      </w:r>
      <w:r w:rsidR="004B2CFD">
        <w:rPr>
          <w:rFonts w:cs="Arial"/>
          <w:szCs w:val="20"/>
        </w:rPr>
        <w:t>in the ACT and in most other Australian jurisdictions</w:t>
      </w:r>
      <w:r w:rsidR="005574B4">
        <w:rPr>
          <w:rFonts w:cs="Arial"/>
          <w:szCs w:val="20"/>
        </w:rPr>
        <w:t xml:space="preserve">. </w:t>
      </w:r>
      <w:r w:rsidR="002939C0">
        <w:rPr>
          <w:rFonts w:cs="Arial"/>
          <w:szCs w:val="20"/>
        </w:rPr>
        <w:t>Further</w:t>
      </w:r>
      <w:r w:rsidR="0084482C">
        <w:rPr>
          <w:rFonts w:cs="Arial"/>
          <w:szCs w:val="20"/>
        </w:rPr>
        <w:t>, the ability of landlords to exponentially increase the rental price of a property between different tenancies creates a</w:t>
      </w:r>
      <w:r w:rsidR="00B12A26">
        <w:rPr>
          <w:rFonts w:cs="Arial"/>
          <w:szCs w:val="20"/>
        </w:rPr>
        <w:t>n</w:t>
      </w:r>
      <w:r w:rsidR="0084482C">
        <w:rPr>
          <w:rFonts w:cs="Arial"/>
          <w:szCs w:val="20"/>
        </w:rPr>
        <w:t xml:space="preserve"> incentive </w:t>
      </w:r>
      <w:r w:rsidR="00212FC4">
        <w:rPr>
          <w:rFonts w:cs="Arial"/>
          <w:szCs w:val="20"/>
        </w:rPr>
        <w:t xml:space="preserve">to </w:t>
      </w:r>
      <w:r w:rsidR="00AB54EA">
        <w:rPr>
          <w:rFonts w:cs="Arial"/>
          <w:szCs w:val="20"/>
        </w:rPr>
        <w:t xml:space="preserve">limit the length of tenancies </w:t>
      </w:r>
      <w:r w:rsidR="006B5DC1">
        <w:rPr>
          <w:rFonts w:cs="Arial"/>
          <w:szCs w:val="20"/>
        </w:rPr>
        <w:t xml:space="preserve">or </w:t>
      </w:r>
      <w:r w:rsidR="001B22BB">
        <w:rPr>
          <w:rFonts w:cs="Arial"/>
          <w:szCs w:val="20"/>
        </w:rPr>
        <w:t xml:space="preserve">find reasons to </w:t>
      </w:r>
      <w:r w:rsidR="007F5642">
        <w:rPr>
          <w:rFonts w:cs="Arial"/>
          <w:szCs w:val="20"/>
        </w:rPr>
        <w:t>evict existing tenants.</w:t>
      </w:r>
      <w:r w:rsidR="009B4CDE">
        <w:rPr>
          <w:rStyle w:val="FootnoteReference"/>
          <w:rFonts w:cs="Arial"/>
          <w:szCs w:val="20"/>
        </w:rPr>
        <w:footnoteReference w:id="14"/>
      </w:r>
      <w:r w:rsidR="00DA1800">
        <w:rPr>
          <w:rFonts w:cs="Arial"/>
          <w:szCs w:val="20"/>
        </w:rPr>
        <w:t xml:space="preserve"> </w:t>
      </w:r>
    </w:p>
    <w:p w14:paraId="14E7D701" w14:textId="577BAC9B" w:rsidR="00CD4A87" w:rsidRDefault="00F32D16" w:rsidP="00DB0042">
      <w:pPr>
        <w:rPr>
          <w:rFonts w:cs="Arial"/>
          <w:szCs w:val="20"/>
        </w:rPr>
      </w:pPr>
      <w:r>
        <w:rPr>
          <w:rFonts w:cs="Arial"/>
          <w:szCs w:val="20"/>
        </w:rPr>
        <w:t xml:space="preserve">In short, we </w:t>
      </w:r>
      <w:r w:rsidR="00D57114">
        <w:rPr>
          <w:rFonts w:cs="Arial"/>
          <w:szCs w:val="20"/>
        </w:rPr>
        <w:t>support</w:t>
      </w:r>
      <w:r>
        <w:rPr>
          <w:rFonts w:cs="Arial"/>
          <w:szCs w:val="20"/>
        </w:rPr>
        <w:t xml:space="preserve"> </w:t>
      </w:r>
      <w:r w:rsidR="00EA00DD">
        <w:rPr>
          <w:rFonts w:cs="Arial"/>
          <w:szCs w:val="20"/>
        </w:rPr>
        <w:t xml:space="preserve">the </w:t>
      </w:r>
      <w:r w:rsidR="00D57114">
        <w:rPr>
          <w:rFonts w:cs="Arial"/>
          <w:szCs w:val="20"/>
        </w:rPr>
        <w:t xml:space="preserve">measures implemented by the </w:t>
      </w:r>
      <w:r w:rsidR="00EA00DD">
        <w:rPr>
          <w:rFonts w:cs="Arial"/>
          <w:szCs w:val="20"/>
        </w:rPr>
        <w:t>ACT Government</w:t>
      </w:r>
      <w:r w:rsidR="00D57114">
        <w:rPr>
          <w:rFonts w:cs="Arial"/>
          <w:szCs w:val="20"/>
        </w:rPr>
        <w:t xml:space="preserve"> to </w:t>
      </w:r>
      <w:r w:rsidR="009D7BA8">
        <w:rPr>
          <w:rFonts w:cs="Arial"/>
          <w:szCs w:val="20"/>
        </w:rPr>
        <w:t>restrict</w:t>
      </w:r>
      <w:r w:rsidR="0072652B">
        <w:rPr>
          <w:rFonts w:cs="Arial"/>
          <w:szCs w:val="20"/>
        </w:rPr>
        <w:t xml:space="preserve"> </w:t>
      </w:r>
      <w:r w:rsidR="009D7BA8">
        <w:rPr>
          <w:rFonts w:cs="Arial"/>
          <w:szCs w:val="20"/>
        </w:rPr>
        <w:t xml:space="preserve">the frequency </w:t>
      </w:r>
      <w:r w:rsidR="00EA00DD">
        <w:rPr>
          <w:rFonts w:cs="Arial"/>
          <w:szCs w:val="20"/>
        </w:rPr>
        <w:t xml:space="preserve">and extent </w:t>
      </w:r>
      <w:r w:rsidR="009D7BA8">
        <w:rPr>
          <w:rFonts w:cs="Arial"/>
          <w:szCs w:val="20"/>
        </w:rPr>
        <w:t xml:space="preserve">of </w:t>
      </w:r>
      <w:r w:rsidR="0072652B">
        <w:rPr>
          <w:rFonts w:cs="Arial"/>
          <w:szCs w:val="20"/>
        </w:rPr>
        <w:t>rental increases</w:t>
      </w:r>
      <w:r w:rsidR="00ED4883">
        <w:rPr>
          <w:rFonts w:cs="Arial"/>
          <w:szCs w:val="20"/>
        </w:rPr>
        <w:t xml:space="preserve">, however further reforms are needed to remove loopholes </w:t>
      </w:r>
      <w:r w:rsidR="00D74C70">
        <w:rPr>
          <w:rFonts w:cs="Arial"/>
          <w:szCs w:val="20"/>
        </w:rPr>
        <w:t>and reduce incentives for</w:t>
      </w:r>
      <w:r w:rsidR="00F937AF">
        <w:rPr>
          <w:rFonts w:cs="Arial"/>
          <w:szCs w:val="20"/>
        </w:rPr>
        <w:t xml:space="preserve"> short-term rentals arrangements and</w:t>
      </w:r>
      <w:r w:rsidR="00D74C70">
        <w:rPr>
          <w:rFonts w:cs="Arial"/>
          <w:szCs w:val="20"/>
        </w:rPr>
        <w:t xml:space="preserve"> tenancy churn. </w:t>
      </w:r>
      <w:r w:rsidR="00055698">
        <w:rPr>
          <w:rFonts w:cs="Arial"/>
          <w:szCs w:val="20"/>
        </w:rPr>
        <w:t>By implementing limits on rent increases</w:t>
      </w:r>
      <w:r w:rsidR="00430D6F">
        <w:rPr>
          <w:rFonts w:cs="Arial"/>
          <w:szCs w:val="20"/>
        </w:rPr>
        <w:t xml:space="preserve"> in tandem with other rental protections</w:t>
      </w:r>
      <w:r w:rsidR="00055698">
        <w:rPr>
          <w:rFonts w:cs="Arial"/>
          <w:szCs w:val="20"/>
        </w:rPr>
        <w:t xml:space="preserve">, </w:t>
      </w:r>
      <w:r w:rsidR="00430D6F">
        <w:rPr>
          <w:rFonts w:cs="Arial"/>
          <w:szCs w:val="20"/>
        </w:rPr>
        <w:t>state and territory governments</w:t>
      </w:r>
      <w:r w:rsidR="00A218EE">
        <w:rPr>
          <w:rFonts w:cs="Arial"/>
          <w:szCs w:val="20"/>
        </w:rPr>
        <w:t xml:space="preserve"> can </w:t>
      </w:r>
      <w:r w:rsidR="00FA7F03">
        <w:rPr>
          <w:rFonts w:cs="Arial"/>
          <w:szCs w:val="20"/>
        </w:rPr>
        <w:t>significantly improve the safety</w:t>
      </w:r>
      <w:r w:rsidR="00E11A1D">
        <w:rPr>
          <w:rFonts w:cs="Arial"/>
          <w:szCs w:val="20"/>
        </w:rPr>
        <w:t xml:space="preserve"> and affordability</w:t>
      </w:r>
      <w:r w:rsidR="00FA7F03">
        <w:rPr>
          <w:rFonts w:cs="Arial"/>
          <w:szCs w:val="20"/>
        </w:rPr>
        <w:t xml:space="preserve"> of tenancies</w:t>
      </w:r>
      <w:r w:rsidR="00E11A1D">
        <w:rPr>
          <w:rFonts w:cs="Arial"/>
          <w:szCs w:val="20"/>
        </w:rPr>
        <w:t>, particularly for long-term renters.</w:t>
      </w:r>
    </w:p>
    <w:p w14:paraId="46422006" w14:textId="5F8D6733" w:rsidR="00413CC4" w:rsidRPr="00413CC4" w:rsidRDefault="00413CC4" w:rsidP="00413CC4">
      <w:pPr>
        <w:rPr>
          <w:rFonts w:cs="Arial"/>
          <w:b/>
          <w:bCs/>
          <w:i/>
          <w:iCs/>
          <w:szCs w:val="20"/>
        </w:rPr>
      </w:pPr>
      <w:r w:rsidRPr="00413CC4">
        <w:rPr>
          <w:rFonts w:cs="Arial"/>
          <w:b/>
          <w:bCs/>
          <w:i/>
          <w:iCs/>
          <w:szCs w:val="20"/>
        </w:rPr>
        <w:t xml:space="preserve">Recommendation: </w:t>
      </w:r>
      <w:r w:rsidR="00B64D4B">
        <w:rPr>
          <w:rFonts w:cs="Arial"/>
          <w:b/>
          <w:bCs/>
          <w:i/>
          <w:iCs/>
          <w:szCs w:val="20"/>
        </w:rPr>
        <w:t>State and territory governments should s</w:t>
      </w:r>
      <w:r w:rsidRPr="00413CC4">
        <w:rPr>
          <w:rFonts w:cs="Arial"/>
          <w:b/>
          <w:bCs/>
          <w:i/>
          <w:iCs/>
          <w:szCs w:val="20"/>
        </w:rPr>
        <w:t xml:space="preserve">et limits for rent price increases in line with </w:t>
      </w:r>
      <w:r>
        <w:rPr>
          <w:rFonts w:cs="Arial"/>
          <w:b/>
          <w:bCs/>
          <w:i/>
          <w:iCs/>
          <w:szCs w:val="20"/>
        </w:rPr>
        <w:t xml:space="preserve">rental </w:t>
      </w:r>
      <w:r w:rsidRPr="00413CC4">
        <w:rPr>
          <w:rFonts w:cs="Arial"/>
          <w:b/>
          <w:bCs/>
          <w:i/>
          <w:iCs/>
          <w:szCs w:val="20"/>
        </w:rPr>
        <w:t>CPI increases</w:t>
      </w:r>
      <w:r>
        <w:rPr>
          <w:rFonts w:cs="Arial"/>
          <w:b/>
          <w:bCs/>
          <w:i/>
          <w:iCs/>
          <w:szCs w:val="20"/>
        </w:rPr>
        <w:t>, and</w:t>
      </w:r>
      <w:r w:rsidRPr="00413CC4">
        <w:rPr>
          <w:rFonts w:cs="Arial"/>
          <w:b/>
          <w:bCs/>
          <w:i/>
          <w:iCs/>
          <w:szCs w:val="20"/>
        </w:rPr>
        <w:t xml:space="preserve"> at a maximum occurrence of once every 12 months.</w:t>
      </w:r>
    </w:p>
    <w:p w14:paraId="44817D66" w14:textId="6BEB6FD6" w:rsidR="00366FF9" w:rsidRDefault="002F2260" w:rsidP="002F2260">
      <w:pPr>
        <w:pStyle w:val="Heading3"/>
      </w:pPr>
      <w:r>
        <w:t>Strengthen e</w:t>
      </w:r>
      <w:r w:rsidR="00366FF9">
        <w:t>nforcement</w:t>
      </w:r>
      <w:r>
        <w:t xml:space="preserve">, </w:t>
      </w:r>
      <w:proofErr w:type="gramStart"/>
      <w:r>
        <w:t>accountability</w:t>
      </w:r>
      <w:proofErr w:type="gramEnd"/>
      <w:r>
        <w:t xml:space="preserve"> and data collection to ensure compliance</w:t>
      </w:r>
    </w:p>
    <w:p w14:paraId="59DFA218" w14:textId="77777777" w:rsidR="00424F53" w:rsidRDefault="00AA7407" w:rsidP="00366FF9">
      <w:r w:rsidRPr="00AA7407">
        <w:t>Legislation is only as good as its enforcement.</w:t>
      </w:r>
      <w:r>
        <w:t xml:space="preserve"> Accordingly</w:t>
      </w:r>
      <w:r w:rsidR="00CE00B4">
        <w:t xml:space="preserve">, better enforcement, oversight and accountability is needed to ensure </w:t>
      </w:r>
      <w:r w:rsidR="00490310">
        <w:t xml:space="preserve">compliance with </w:t>
      </w:r>
      <w:r w:rsidR="00BE2EF3">
        <w:t>residential</w:t>
      </w:r>
      <w:r w:rsidR="00490310">
        <w:t xml:space="preserve"> tenancy laws. </w:t>
      </w:r>
      <w:r w:rsidR="00663A8E">
        <w:t>In the ACT, as elsewhere, the residential tenancy law relies on renter to enforce laws</w:t>
      </w:r>
      <w:r w:rsidR="00B72A9F">
        <w:t>.</w:t>
      </w:r>
      <w:r w:rsidR="00282A36">
        <w:t xml:space="preserve"> </w:t>
      </w:r>
      <w:r w:rsidR="00534D86">
        <w:t>In addition to funding tenancy advocacy services, g</w:t>
      </w:r>
      <w:r w:rsidR="00282A36">
        <w:t xml:space="preserve">overnment </w:t>
      </w:r>
      <w:r w:rsidR="00534D86">
        <w:t>agencies</w:t>
      </w:r>
      <w:r w:rsidR="00282A36">
        <w:t xml:space="preserve"> need to be better resourced to</w:t>
      </w:r>
      <w:r w:rsidR="00B35432">
        <w:t xml:space="preserve"> pro-actively enforce rental laws and apply penalties to deter noncompliance. Improved data collection and reporting should also be undertaken to </w:t>
      </w:r>
      <w:r w:rsidR="00766F04">
        <w:t>better understand the effects of existing rental regulations and identifying areas of systemic non-compliance.</w:t>
      </w:r>
    </w:p>
    <w:p w14:paraId="68813F81" w14:textId="751ACC99" w:rsidR="00366FF9" w:rsidRDefault="00424F53" w:rsidP="00366FF9">
      <w:pPr>
        <w:rPr>
          <w:b/>
          <w:bCs/>
          <w:i/>
          <w:iCs/>
        </w:rPr>
      </w:pPr>
      <w:r w:rsidRPr="009256C4">
        <w:rPr>
          <w:b/>
          <w:bCs/>
          <w:i/>
          <w:iCs/>
        </w:rPr>
        <w:lastRenderedPageBreak/>
        <w:t xml:space="preserve">Recommendation: </w:t>
      </w:r>
      <w:r w:rsidR="009256C4" w:rsidRPr="009256C4">
        <w:rPr>
          <w:b/>
          <w:bCs/>
          <w:i/>
          <w:iCs/>
        </w:rPr>
        <w:t>Improve compliance and accountability through accessible and robust frameworks that better ensure effectiveness of existing laws</w:t>
      </w:r>
      <w:r w:rsidR="008E6B1E">
        <w:rPr>
          <w:b/>
          <w:bCs/>
          <w:i/>
          <w:iCs/>
        </w:rPr>
        <w:t>, including in relation to privacy.</w:t>
      </w:r>
    </w:p>
    <w:p w14:paraId="51E4781E" w14:textId="77777777" w:rsidR="00DF0C71" w:rsidRDefault="00DF0C71" w:rsidP="00DF0C71">
      <w:pPr>
        <w:pStyle w:val="Heading3"/>
      </w:pPr>
      <w:r>
        <w:t>Improve the quality of rental housing and implement minimum energy standards</w:t>
      </w:r>
    </w:p>
    <w:p w14:paraId="44E0F216" w14:textId="77777777" w:rsidR="00DF0C71" w:rsidRDefault="00DF0C71" w:rsidP="00DF0C71">
      <w:r>
        <w:t xml:space="preserve">Poor quality housing negatively impacts on the lives of a significant proportion of low-income renters, affecting their health and wellbeing, as well as adding to unaffordability due to the financial burden of maintaining, </w:t>
      </w:r>
      <w:proofErr w:type="gramStart"/>
      <w:r>
        <w:t>repairing</w:t>
      </w:r>
      <w:proofErr w:type="gramEnd"/>
      <w:r>
        <w:t xml:space="preserve"> or heating/cooling these dwellings. At one end of the spectrum, this can mean a house </w:t>
      </w:r>
      <w:proofErr w:type="gramStart"/>
      <w:r>
        <w:t>is in need of</w:t>
      </w:r>
      <w:proofErr w:type="gramEnd"/>
      <w:r>
        <w:t xml:space="preserve"> repair, and at the other it could mean a major structural issue (such as rising damp). Analysis of the Australian Housing Conditions Dataset, which counts social and private renters together, suggests more than ten per cent of very low-income renters report having essential and urgent repair needs, while nearly a quarter of low-income </w:t>
      </w:r>
      <w:proofErr w:type="gramStart"/>
      <w:r>
        <w:t>renters</w:t>
      </w:r>
      <w:proofErr w:type="gramEnd"/>
      <w:r>
        <w:t xml:space="preserve"> report not being able to keep comfortably cool in summer.</w:t>
      </w:r>
      <w:r>
        <w:rPr>
          <w:rStyle w:val="FootnoteReference"/>
        </w:rPr>
        <w:footnoteReference w:id="15"/>
      </w:r>
      <w:r>
        <w:t xml:space="preserve"> </w:t>
      </w:r>
    </w:p>
    <w:p w14:paraId="04B41202" w14:textId="77777777" w:rsidR="00DF0C71" w:rsidRDefault="00DF0C71" w:rsidP="00DF0C71">
      <w:r>
        <w:t xml:space="preserve">While the ACT requires rental properties to be maintained in a habitable state, current laws regarding minimum standards for private rental properties are generic overall and lacking in detail. </w:t>
      </w:r>
      <w:r w:rsidRPr="00FC612B">
        <w:t>A</w:t>
      </w:r>
      <w:r>
        <w:t xml:space="preserve"> further </w:t>
      </w:r>
      <w:r w:rsidRPr="00FC612B">
        <w:t>shortcoming is that the onus of policing landlords’ obligations regarding dwelling conditions falls on tenants.</w:t>
      </w:r>
    </w:p>
    <w:p w14:paraId="0B238C4E" w14:textId="77777777" w:rsidR="00DF0C71" w:rsidRDefault="00DF0C71" w:rsidP="00DF0C71">
      <w:pPr>
        <w:rPr>
          <w:rFonts w:cs="Arial"/>
          <w:szCs w:val="20"/>
        </w:rPr>
      </w:pPr>
      <w:r w:rsidRPr="00F00469">
        <w:rPr>
          <w:rFonts w:cs="Arial"/>
          <w:szCs w:val="20"/>
        </w:rPr>
        <w:t>ACTCOSS has</w:t>
      </w:r>
      <w:r>
        <w:rPr>
          <w:rFonts w:cs="Arial"/>
          <w:szCs w:val="20"/>
        </w:rPr>
        <w:t xml:space="preserve"> advocated for </w:t>
      </w:r>
      <w:r w:rsidRPr="00F00469">
        <w:rPr>
          <w:rFonts w:cs="Arial"/>
          <w:szCs w:val="20"/>
        </w:rPr>
        <w:t xml:space="preserve">the </w:t>
      </w:r>
      <w:r>
        <w:rPr>
          <w:rFonts w:cs="Arial"/>
          <w:szCs w:val="20"/>
        </w:rPr>
        <w:t xml:space="preserve">implementation </w:t>
      </w:r>
      <w:r w:rsidRPr="00F00469">
        <w:rPr>
          <w:rFonts w:cs="Arial"/>
          <w:szCs w:val="20"/>
        </w:rPr>
        <w:t>of minimum housing standards for rental properties in the ACT</w:t>
      </w:r>
      <w:r>
        <w:rPr>
          <w:rFonts w:cs="Arial"/>
          <w:szCs w:val="20"/>
        </w:rPr>
        <w:t xml:space="preserve"> for over a decade</w:t>
      </w:r>
      <w:r w:rsidRPr="00F00469">
        <w:rPr>
          <w:rFonts w:cs="Arial"/>
          <w:szCs w:val="20"/>
        </w:rPr>
        <w:t xml:space="preserve">. </w:t>
      </w:r>
      <w:r>
        <w:rPr>
          <w:rFonts w:cs="Arial"/>
          <w:szCs w:val="20"/>
        </w:rPr>
        <w:t xml:space="preserve">Renters on low incomes are extremely vulnerable to poor quality housing, having to accept any available property within their means. When basic standards of living, and housing quality are not met, tenants are facing significant health issues and prohibitively high energy costs. In the ACT </w:t>
      </w:r>
      <w:r w:rsidRPr="000C1ED6">
        <w:rPr>
          <w:rFonts w:cs="Arial"/>
          <w:szCs w:val="20"/>
        </w:rPr>
        <w:t>around 40 deaths per year can be attributed to cold homes.</w:t>
      </w:r>
      <w:r w:rsidRPr="00D822EE">
        <w:rPr>
          <w:rFonts w:cs="Arial"/>
          <w:szCs w:val="20"/>
          <w:vertAlign w:val="superscript"/>
        </w:rPr>
        <w:footnoteReference w:id="16"/>
      </w:r>
      <w:r>
        <w:rPr>
          <w:rFonts w:cs="Arial"/>
          <w:szCs w:val="20"/>
        </w:rPr>
        <w:t xml:space="preserve"> Better Renting has also previously calculated that energy-</w:t>
      </w:r>
      <w:r w:rsidRPr="000C1ED6">
        <w:rPr>
          <w:rFonts w:cs="Arial"/>
          <w:szCs w:val="20"/>
        </w:rPr>
        <w:t>inefficient rental properties deny ACT renters annual benefits worth almost $40 million</w:t>
      </w:r>
      <w:r>
        <w:rPr>
          <w:rFonts w:cs="Arial"/>
          <w:szCs w:val="20"/>
        </w:rPr>
        <w:t>.</w:t>
      </w:r>
      <w:r>
        <w:rPr>
          <w:rStyle w:val="FootnoteReference"/>
          <w:rFonts w:cs="Arial"/>
          <w:szCs w:val="20"/>
        </w:rPr>
        <w:footnoteReference w:id="17"/>
      </w:r>
      <w:r>
        <w:rPr>
          <w:rFonts w:cs="Arial"/>
          <w:szCs w:val="20"/>
        </w:rPr>
        <w:t xml:space="preserve"> As such, we would strongly encourage reforms to embed minimum housing and energy efficiency standards for rental properties. </w:t>
      </w:r>
    </w:p>
    <w:p w14:paraId="6DCA3AF0" w14:textId="77777777" w:rsidR="00DF0C71" w:rsidRDefault="00DF0C71" w:rsidP="00DF0C71">
      <w:pPr>
        <w:rPr>
          <w:rFonts w:cs="Arial"/>
          <w:szCs w:val="20"/>
        </w:rPr>
      </w:pPr>
      <w:r w:rsidRPr="001E6C13">
        <w:rPr>
          <w:rFonts w:cs="Arial"/>
          <w:szCs w:val="20"/>
        </w:rPr>
        <w:t>Formulating effective solutions to problems of energy inefficien</w:t>
      </w:r>
      <w:r>
        <w:rPr>
          <w:rFonts w:cs="Arial"/>
          <w:szCs w:val="20"/>
        </w:rPr>
        <w:t>t</w:t>
      </w:r>
      <w:r w:rsidRPr="001E6C13">
        <w:rPr>
          <w:rFonts w:cs="Arial"/>
          <w:szCs w:val="20"/>
        </w:rPr>
        <w:t xml:space="preserve"> housing in the low-cost rental sector is particularly challenging because of ‘split incentives’— where the landlord pays for improvements that provide them with no immediate or direct financial benefit—and other tenancy and financial barriers. Having minimum standards for the energy-performance of rental homes is a critical starting point and must underpin all other policy strategies. Similarly, mandatory disclosure of dwelling performance </w:t>
      </w:r>
      <w:r>
        <w:rPr>
          <w:rFonts w:cs="Arial"/>
          <w:szCs w:val="20"/>
        </w:rPr>
        <w:t>is an important</w:t>
      </w:r>
      <w:r w:rsidRPr="001E6C13">
        <w:rPr>
          <w:rFonts w:cs="Arial"/>
          <w:szCs w:val="20"/>
        </w:rPr>
        <w:t xml:space="preserve"> tool to </w:t>
      </w:r>
      <w:r>
        <w:rPr>
          <w:rFonts w:cs="Arial"/>
          <w:szCs w:val="20"/>
        </w:rPr>
        <w:t xml:space="preserve">aid prospective tenants </w:t>
      </w:r>
      <w:r w:rsidRPr="001E6C13">
        <w:rPr>
          <w:rFonts w:cs="Arial"/>
          <w:szCs w:val="20"/>
        </w:rPr>
        <w:t>in their selection of properties, and as a way of monitoring compliance with minimum standards.</w:t>
      </w:r>
    </w:p>
    <w:p w14:paraId="024408A5" w14:textId="77777777" w:rsidR="00DF0C71" w:rsidRDefault="00DF0C71" w:rsidP="00DF0C71">
      <w:pPr>
        <w:rPr>
          <w:rFonts w:cs="Arial"/>
          <w:szCs w:val="20"/>
        </w:rPr>
      </w:pPr>
      <w:r>
        <w:rPr>
          <w:rFonts w:cs="Arial"/>
          <w:szCs w:val="20"/>
        </w:rPr>
        <w:t xml:space="preserve">As part of the </w:t>
      </w:r>
      <w:r w:rsidRPr="009E05BA">
        <w:rPr>
          <w:rFonts w:cs="Arial"/>
          <w:szCs w:val="20"/>
        </w:rPr>
        <w:t>ACT Government</w:t>
      </w:r>
      <w:r>
        <w:rPr>
          <w:rFonts w:cs="Arial"/>
          <w:szCs w:val="20"/>
        </w:rPr>
        <w:t xml:space="preserve">’s rental reforms earlier this year, all </w:t>
      </w:r>
      <w:r w:rsidRPr="009E05BA">
        <w:rPr>
          <w:rFonts w:cs="Arial"/>
          <w:szCs w:val="20"/>
        </w:rPr>
        <w:t>residential rental properties</w:t>
      </w:r>
      <w:r>
        <w:rPr>
          <w:rFonts w:cs="Arial"/>
          <w:szCs w:val="20"/>
        </w:rPr>
        <w:t xml:space="preserve"> are now required to</w:t>
      </w:r>
      <w:r w:rsidRPr="009E05BA">
        <w:rPr>
          <w:rFonts w:cs="Arial"/>
          <w:szCs w:val="20"/>
        </w:rPr>
        <w:t xml:space="preserve"> meet a minimum energy efficiency standard for ceiling insulation.</w:t>
      </w:r>
      <w:r>
        <w:rPr>
          <w:rFonts w:cs="Arial"/>
          <w:szCs w:val="20"/>
        </w:rPr>
        <w:t xml:space="preserve"> Whilst this is a promising start and will hopefully improve the energy performance and thermal comfort of many homes, it is only one of a larger collection </w:t>
      </w:r>
      <w:r>
        <w:rPr>
          <w:rFonts w:cs="Arial"/>
          <w:szCs w:val="20"/>
        </w:rPr>
        <w:lastRenderedPageBreak/>
        <w:t>of necessary minimum standards to ensure healthy homes. With 40% of</w:t>
      </w:r>
      <w:r w:rsidRPr="00E70397">
        <w:rPr>
          <w:rFonts w:cs="Arial"/>
          <w:szCs w:val="20"/>
        </w:rPr>
        <w:t xml:space="preserve"> rental properties in the ACT advertised with the lowest energy-efficiency rating</w:t>
      </w:r>
      <w:r>
        <w:rPr>
          <w:rFonts w:cs="Arial"/>
          <w:szCs w:val="20"/>
        </w:rPr>
        <w:t>, there is major scope for improvement.</w:t>
      </w:r>
      <w:r>
        <w:rPr>
          <w:rStyle w:val="FootnoteReference"/>
          <w:rFonts w:cs="Arial"/>
          <w:szCs w:val="20"/>
        </w:rPr>
        <w:footnoteReference w:id="18"/>
      </w:r>
      <w:r w:rsidRPr="000C1ED6">
        <w:rPr>
          <w:rFonts w:cs="Arial"/>
          <w:szCs w:val="20"/>
        </w:rPr>
        <w:t> </w:t>
      </w:r>
    </w:p>
    <w:p w14:paraId="070C545F" w14:textId="77777777" w:rsidR="00DF0C71" w:rsidRDefault="00DF0C71" w:rsidP="00DF0C71">
      <w:pPr>
        <w:rPr>
          <w:rFonts w:cs="Arial"/>
          <w:szCs w:val="20"/>
        </w:rPr>
      </w:pPr>
      <w:r>
        <w:rPr>
          <w:rFonts w:cs="Arial"/>
          <w:szCs w:val="20"/>
        </w:rPr>
        <w:t xml:space="preserve">In addition to higher ceiling insulation standards, we would encourage the addition of energy efficient electric heating/reverse-cycle air conditioning, and energy efficient electric hot water. We also support recommendations made by Healthy Homes for Renters regarding a </w:t>
      </w:r>
      <w:r w:rsidRPr="00EA395F">
        <w:rPr>
          <w:rFonts w:cs="Arial"/>
          <w:szCs w:val="20"/>
        </w:rPr>
        <w:t>framework for minimum energy efficiency rental requirements</w:t>
      </w:r>
      <w:r>
        <w:rPr>
          <w:rFonts w:cs="Arial"/>
          <w:szCs w:val="20"/>
        </w:rPr>
        <w:t>.</w:t>
      </w:r>
      <w:r>
        <w:rPr>
          <w:rStyle w:val="FootnoteReference"/>
          <w:rFonts w:cs="Arial"/>
          <w:szCs w:val="20"/>
        </w:rPr>
        <w:footnoteReference w:id="19"/>
      </w:r>
      <w:r>
        <w:rPr>
          <w:rFonts w:cs="Arial"/>
          <w:szCs w:val="20"/>
        </w:rPr>
        <w:t xml:space="preserve"> Introducing best practice, prescriptive minimum energy efficiency standards for rental properties will significantly reduce cost of utilities for many renters and ensure access to an affordable energy supply. </w:t>
      </w:r>
    </w:p>
    <w:p w14:paraId="7F0D7D5A" w14:textId="30CB0C3E" w:rsidR="00DF0C71" w:rsidRDefault="00DF0C71" w:rsidP="00DF0C71">
      <w:r>
        <w:rPr>
          <w:rFonts w:cs="Arial"/>
          <w:szCs w:val="20"/>
        </w:rPr>
        <w:t>ACTCOSS also strongly supports measures to allow renters to modify their homes to meet accessibility needs where necessary. By implementing a framework for m</w:t>
      </w:r>
      <w:r w:rsidRPr="000C1ED6">
        <w:rPr>
          <w:rFonts w:cs="Arial"/>
          <w:szCs w:val="20"/>
        </w:rPr>
        <w:t>inimum standards</w:t>
      </w:r>
      <w:r>
        <w:rPr>
          <w:rFonts w:cs="Arial"/>
          <w:szCs w:val="20"/>
        </w:rPr>
        <w:t>, the Federal Government could play a major role in redressing rental inequities and improving community wellbeing. However, as previously discussed w</w:t>
      </w:r>
      <w:r>
        <w:t>e would oppose measures that resulted in any regression of rights in the ACT, as a leading jurisdiction in the space.</w:t>
      </w:r>
    </w:p>
    <w:p w14:paraId="438EE969" w14:textId="77777777" w:rsidR="00DF0C71" w:rsidRPr="00EB725D" w:rsidRDefault="00DF0C71" w:rsidP="00DF0C71">
      <w:pPr>
        <w:rPr>
          <w:b/>
          <w:bCs/>
          <w:i/>
          <w:iCs/>
        </w:rPr>
      </w:pPr>
      <w:r w:rsidRPr="00EB725D">
        <w:rPr>
          <w:b/>
          <w:bCs/>
          <w:i/>
          <w:iCs/>
        </w:rPr>
        <w:t>Recommendations:</w:t>
      </w:r>
    </w:p>
    <w:p w14:paraId="5C9D3849" w14:textId="77777777" w:rsidR="00DF0C71" w:rsidRPr="00F73C17" w:rsidRDefault="00DF0C71" w:rsidP="00DF0C71">
      <w:pPr>
        <w:pStyle w:val="ListParagraph"/>
        <w:numPr>
          <w:ilvl w:val="0"/>
          <w:numId w:val="17"/>
        </w:numPr>
        <w:rPr>
          <w:b/>
          <w:bCs/>
          <w:i/>
          <w:iCs/>
        </w:rPr>
      </w:pPr>
      <w:r w:rsidRPr="00F73C17">
        <w:rPr>
          <w:b/>
          <w:bCs/>
          <w:i/>
          <w:iCs/>
        </w:rPr>
        <w:t xml:space="preserve">Reform residential tenancies laws to </w:t>
      </w:r>
      <w:r>
        <w:rPr>
          <w:b/>
          <w:bCs/>
          <w:i/>
          <w:iCs/>
        </w:rPr>
        <w:t xml:space="preserve">include </w:t>
      </w:r>
      <w:r w:rsidRPr="00F73C17">
        <w:rPr>
          <w:b/>
          <w:bCs/>
          <w:i/>
          <w:iCs/>
        </w:rPr>
        <w:t xml:space="preserve">specific and minimum quality, efficiency, repair and maintenance standards for all rental </w:t>
      </w:r>
      <w:r>
        <w:rPr>
          <w:b/>
          <w:bCs/>
          <w:i/>
          <w:iCs/>
        </w:rPr>
        <w:t>properties</w:t>
      </w:r>
      <w:r w:rsidRPr="00F73C17">
        <w:rPr>
          <w:b/>
          <w:bCs/>
          <w:i/>
          <w:iCs/>
        </w:rPr>
        <w:t>, and meaningful tools for their enforcement</w:t>
      </w:r>
      <w:r>
        <w:rPr>
          <w:b/>
          <w:bCs/>
          <w:i/>
          <w:iCs/>
        </w:rPr>
        <w:t>.</w:t>
      </w:r>
    </w:p>
    <w:p w14:paraId="16852BE1" w14:textId="1BD08BC5" w:rsidR="00DF0C71" w:rsidRPr="00DF0C71" w:rsidRDefault="00DF0C71" w:rsidP="00DF0C71">
      <w:pPr>
        <w:pStyle w:val="ListParagraph"/>
        <w:numPr>
          <w:ilvl w:val="0"/>
          <w:numId w:val="17"/>
        </w:numPr>
        <w:rPr>
          <w:b/>
          <w:bCs/>
          <w:i/>
          <w:iCs/>
        </w:rPr>
      </w:pPr>
      <w:r w:rsidRPr="00DF0C71">
        <w:rPr>
          <w:b/>
          <w:bCs/>
          <w:i/>
          <w:iCs/>
        </w:rPr>
        <w:t>Implement minimum energy efficiency standards for rental homes</w:t>
      </w:r>
      <w:r w:rsidR="00EB725D">
        <w:rPr>
          <w:b/>
          <w:bCs/>
          <w:i/>
          <w:iCs/>
        </w:rPr>
        <w:t>.</w:t>
      </w:r>
    </w:p>
    <w:p w14:paraId="77EE5BEA" w14:textId="711C5D8B" w:rsidR="00EA206E" w:rsidRDefault="00EA206E" w:rsidP="00AD271A">
      <w:pPr>
        <w:pStyle w:val="Heading2"/>
      </w:pPr>
      <w:r>
        <w:t>Increas</w:t>
      </w:r>
      <w:r w:rsidR="00DF0C71">
        <w:t>e and review</w:t>
      </w:r>
      <w:r w:rsidR="004E592C">
        <w:t xml:space="preserve"> Commonwealth Rent Assistance</w:t>
      </w:r>
    </w:p>
    <w:p w14:paraId="168E31B6" w14:textId="0E5820C6" w:rsidR="00420575" w:rsidRDefault="00420575" w:rsidP="00420575">
      <w:pPr>
        <w:rPr>
          <w:rFonts w:cs="Arial"/>
          <w:szCs w:val="20"/>
        </w:rPr>
      </w:pPr>
      <w:r w:rsidRPr="005927E4">
        <w:rPr>
          <w:rFonts w:cs="Arial"/>
          <w:szCs w:val="20"/>
        </w:rPr>
        <w:t>To meet the human rights of all Australians and ensure that all community members can cover the cost of essentials, the Federal Government needs to commit to a minimum income floor in our income support system by lifting all base rates of payment to at least $73 a day (the same level as the pension and pension supplement) and indexing them to wages as well as prices. </w:t>
      </w:r>
    </w:p>
    <w:p w14:paraId="696ED058" w14:textId="58C49E62" w:rsidR="00674AE1" w:rsidRPr="00BF1D90" w:rsidRDefault="00165FE7" w:rsidP="009B2F2D">
      <w:r>
        <w:rPr>
          <w:rFonts w:cs="Arial"/>
          <w:szCs w:val="20"/>
        </w:rPr>
        <w:t xml:space="preserve">Additionally, </w:t>
      </w:r>
      <w:r w:rsidR="009A56A2">
        <w:rPr>
          <w:rFonts w:cs="Arial"/>
          <w:szCs w:val="20"/>
        </w:rPr>
        <w:t>ACTCOSS calls for</w:t>
      </w:r>
      <w:r w:rsidR="00341469">
        <w:rPr>
          <w:rFonts w:cs="Arial"/>
          <w:szCs w:val="20"/>
        </w:rPr>
        <w:t xml:space="preserve"> </w:t>
      </w:r>
      <w:r w:rsidR="00577195">
        <w:rPr>
          <w:rFonts w:cs="Arial"/>
          <w:szCs w:val="20"/>
        </w:rPr>
        <w:t xml:space="preserve">a comprehensive review of </w:t>
      </w:r>
      <w:r w:rsidR="00674AE1">
        <w:rPr>
          <w:rFonts w:cs="Arial"/>
          <w:szCs w:val="20"/>
        </w:rPr>
        <w:t xml:space="preserve">the sufficiency </w:t>
      </w:r>
      <w:r w:rsidR="00901CF1">
        <w:rPr>
          <w:rFonts w:cs="Arial"/>
          <w:szCs w:val="20"/>
        </w:rPr>
        <w:t xml:space="preserve">of </w:t>
      </w:r>
      <w:r w:rsidR="00577195">
        <w:rPr>
          <w:rFonts w:cs="Arial"/>
          <w:szCs w:val="20"/>
        </w:rPr>
        <w:t>Commonwealth Rent Assistance</w:t>
      </w:r>
      <w:r w:rsidR="009B2F2D">
        <w:rPr>
          <w:rFonts w:cs="Arial"/>
          <w:szCs w:val="20"/>
        </w:rPr>
        <w:t xml:space="preserve"> (CRA)</w:t>
      </w:r>
      <w:r w:rsidR="00586087">
        <w:rPr>
          <w:rFonts w:cs="Arial"/>
          <w:szCs w:val="20"/>
        </w:rPr>
        <w:t xml:space="preserve"> and an immediate increase in rent assistance payments to counteract the severity of the housing crisis</w:t>
      </w:r>
      <w:r w:rsidR="00674AE1">
        <w:rPr>
          <w:rFonts w:cs="Arial"/>
          <w:szCs w:val="20"/>
        </w:rPr>
        <w:t xml:space="preserve">. </w:t>
      </w:r>
      <w:r w:rsidR="007100DF">
        <w:rPr>
          <w:rFonts w:cs="Arial"/>
          <w:szCs w:val="20"/>
        </w:rPr>
        <w:t>In the ACT</w:t>
      </w:r>
      <w:r w:rsidR="008C34B4">
        <w:rPr>
          <w:rFonts w:cs="Arial"/>
          <w:szCs w:val="20"/>
        </w:rPr>
        <w:t xml:space="preserve">, </w:t>
      </w:r>
      <w:r w:rsidR="009B2F2D">
        <w:rPr>
          <w:rFonts w:cs="Arial"/>
          <w:szCs w:val="20"/>
        </w:rPr>
        <w:t xml:space="preserve">of those </w:t>
      </w:r>
      <w:r w:rsidR="00321271" w:rsidRPr="00BF1D90">
        <w:t>low-income</w:t>
      </w:r>
      <w:r w:rsidR="00674AE1" w:rsidRPr="00BF1D90">
        <w:t xml:space="preserve"> households receiving </w:t>
      </w:r>
      <w:r w:rsidR="009B2F2D">
        <w:t>CRA</w:t>
      </w:r>
      <w:r w:rsidR="00674AE1" w:rsidRPr="00BF1D90">
        <w:t xml:space="preserve">, 43.9% </w:t>
      </w:r>
      <w:r w:rsidR="009B2F2D">
        <w:t>are still experiencing</w:t>
      </w:r>
      <w:r w:rsidR="00674AE1" w:rsidRPr="00BF1D90">
        <w:t xml:space="preserve"> rental stress</w:t>
      </w:r>
      <w:r w:rsidR="009B2F2D">
        <w:t>.</w:t>
      </w:r>
      <w:r w:rsidR="009B2F2D">
        <w:rPr>
          <w:rStyle w:val="FootnoteReference"/>
        </w:rPr>
        <w:footnoteReference w:id="20"/>
      </w:r>
      <w:r w:rsidR="00080268">
        <w:t xml:space="preserve"> </w:t>
      </w:r>
      <w:r w:rsidR="002F465D">
        <w:t>Investment in improving the sufficiency of</w:t>
      </w:r>
      <w:r w:rsidR="006D3A68">
        <w:t xml:space="preserve"> rental subsidies is particularly urgent given the extensive wait times for social housing applicants.</w:t>
      </w:r>
    </w:p>
    <w:p w14:paraId="6D71D8E3" w14:textId="58FB72A0" w:rsidR="00CB3146" w:rsidRDefault="00156855" w:rsidP="00CB3146">
      <w:r>
        <w:t xml:space="preserve">We </w:t>
      </w:r>
      <w:r w:rsidR="00321271">
        <w:t>support ACOSS’</w:t>
      </w:r>
      <w:r>
        <w:t xml:space="preserve"> call</w:t>
      </w:r>
      <w:r w:rsidR="00CB3146" w:rsidRPr="00BF1D90">
        <w:t xml:space="preserve"> for </w:t>
      </w:r>
      <w:r w:rsidR="00321271">
        <w:t xml:space="preserve">CRA to be </w:t>
      </w:r>
      <w:r w:rsidR="005C21C1">
        <w:t xml:space="preserve">benchmarked against actual rents and for the </w:t>
      </w:r>
      <w:r w:rsidR="00CB3146" w:rsidRPr="00BF1D90">
        <w:t xml:space="preserve">maximum rate </w:t>
      </w:r>
      <w:r w:rsidR="005C21C1">
        <w:t xml:space="preserve">to be increased by 50% </w:t>
      </w:r>
      <w:r w:rsidR="00CB3146" w:rsidRPr="00BF1D90">
        <w:t xml:space="preserve">to support </w:t>
      </w:r>
      <w:r w:rsidR="00321271" w:rsidRPr="00BF1D90">
        <w:t>low-income</w:t>
      </w:r>
      <w:r w:rsidR="00CB3146" w:rsidRPr="00BF1D90">
        <w:t xml:space="preserve"> households in rental stress. </w:t>
      </w:r>
      <w:r w:rsidR="00F824F4">
        <w:t xml:space="preserve">We would further urge the Government to </w:t>
      </w:r>
      <w:r w:rsidR="00F824F4">
        <w:lastRenderedPageBreak/>
        <w:t xml:space="preserve">undertake a review of </w:t>
      </w:r>
      <w:r w:rsidR="00C368A9">
        <w:t xml:space="preserve">the adequacy and eligibility criteria of CRA given the high proportion of renters experiencing </w:t>
      </w:r>
      <w:r w:rsidR="00427E31">
        <w:t xml:space="preserve">poverty and </w:t>
      </w:r>
      <w:r w:rsidR="00C368A9">
        <w:t xml:space="preserve">rental stress who are not </w:t>
      </w:r>
      <w:r w:rsidR="004D3FA1">
        <w:t>Centrelink recipient</w:t>
      </w:r>
      <w:r w:rsidR="00427E31">
        <w:t>s</w:t>
      </w:r>
      <w:r w:rsidR="004D3FA1">
        <w:t xml:space="preserve"> and </w:t>
      </w:r>
      <w:r w:rsidR="00EF3595">
        <w:t xml:space="preserve">are </w:t>
      </w:r>
      <w:r w:rsidR="00427E31">
        <w:t xml:space="preserve">being left unsupported. </w:t>
      </w:r>
    </w:p>
    <w:p w14:paraId="477ABC2A" w14:textId="0A3F1E75" w:rsidR="00B07420" w:rsidRDefault="00B07420" w:rsidP="00CB3146">
      <w:r>
        <w:t>In addition to an immediate increase in CRA,</w:t>
      </w:r>
      <w:r w:rsidR="001044C3">
        <w:t xml:space="preserve"> there is a need to review and refine the structure of CRA to ensure it better target</w:t>
      </w:r>
      <w:r w:rsidR="007309E4">
        <w:t>s</w:t>
      </w:r>
      <w:r w:rsidR="001044C3">
        <w:t xml:space="preserve"> those most in need and genuinely relieves rental stress. </w:t>
      </w:r>
      <w:r w:rsidR="00613B99" w:rsidRPr="00613B99">
        <w:t xml:space="preserve">A </w:t>
      </w:r>
      <w:r w:rsidR="00613B99">
        <w:t>shortcoming in the existing design of CRA</w:t>
      </w:r>
      <w:r w:rsidR="00613B99" w:rsidRPr="00613B99">
        <w:t xml:space="preserve"> is that it treats households in similar circumstances in the same way wherever they live in Australia</w:t>
      </w:r>
      <w:r w:rsidR="00613B99">
        <w:t xml:space="preserve">, </w:t>
      </w:r>
      <w:r w:rsidR="00613B99" w:rsidRPr="00613B99">
        <w:t>ignor</w:t>
      </w:r>
      <w:r w:rsidR="00613B99">
        <w:t>ing</w:t>
      </w:r>
      <w:r w:rsidR="00613B99" w:rsidRPr="00613B99">
        <w:t xml:space="preserve"> the fact that private rental housing markets </w:t>
      </w:r>
      <w:r w:rsidR="00613B99">
        <w:t xml:space="preserve">(and market rents) </w:t>
      </w:r>
      <w:r w:rsidR="00613B99" w:rsidRPr="00613B99">
        <w:t xml:space="preserve">differ substantially across the country. </w:t>
      </w:r>
      <w:r w:rsidR="00EC7D11">
        <w:t>As a result</w:t>
      </w:r>
      <w:r w:rsidR="00EC7D11" w:rsidRPr="00EC7D11">
        <w:t>, it does not make housing affordable for significant numbers of households, using common affordability benchmarks.</w:t>
      </w:r>
      <w:r w:rsidR="00EC7D11">
        <w:t xml:space="preserve"> </w:t>
      </w:r>
      <w:r w:rsidR="00613B99" w:rsidRPr="00613B99">
        <w:t xml:space="preserve">It also ignores the housing needs of working households on </w:t>
      </w:r>
      <w:proofErr w:type="gramStart"/>
      <w:r w:rsidR="00613B99" w:rsidRPr="00613B99">
        <w:t>low</w:t>
      </w:r>
      <w:r w:rsidR="00613B99">
        <w:t>-</w:t>
      </w:r>
      <w:r w:rsidR="00613B99" w:rsidRPr="00613B99">
        <w:t>incomes</w:t>
      </w:r>
      <w:proofErr w:type="gramEnd"/>
      <w:r w:rsidR="00613B99" w:rsidRPr="00613B99">
        <w:t xml:space="preserve"> without children because they are ineligible for any Centrelink payment.</w:t>
      </w:r>
    </w:p>
    <w:p w14:paraId="7EE2CB59" w14:textId="581BF6A7" w:rsidR="00567946" w:rsidRDefault="00E9184D" w:rsidP="00CB3146">
      <w:r>
        <w:t>It is imperative any increase and review of CRA is</w:t>
      </w:r>
      <w:r w:rsidRPr="00E9184D">
        <w:t xml:space="preserve"> implemented alongside long-term measures that tackle the root causes of the housing crisis</w:t>
      </w:r>
      <w:r w:rsidR="00E824B1">
        <w:t>: it should not be at the expense of much-needed systemic change in how Australia delivers social and affordable housing</w:t>
      </w:r>
      <w:r w:rsidR="00121BAF">
        <w:t>, including direct investment in social housing</w:t>
      </w:r>
      <w:r w:rsidRPr="00E9184D">
        <w:t xml:space="preserve">. </w:t>
      </w:r>
    </w:p>
    <w:p w14:paraId="7C714C32" w14:textId="71278F6E" w:rsidR="00DD4EF8" w:rsidRPr="009D39A3" w:rsidRDefault="00DD4EF8" w:rsidP="00CB3146">
      <w:pPr>
        <w:rPr>
          <w:b/>
          <w:bCs/>
          <w:i/>
          <w:iCs/>
        </w:rPr>
      </w:pPr>
      <w:r w:rsidRPr="009D39A3">
        <w:rPr>
          <w:b/>
          <w:bCs/>
          <w:i/>
          <w:iCs/>
        </w:rPr>
        <w:t xml:space="preserve">Recommendation: </w:t>
      </w:r>
      <w:r w:rsidR="005D47BE" w:rsidRPr="009D39A3">
        <w:rPr>
          <w:b/>
          <w:bCs/>
          <w:i/>
          <w:iCs/>
        </w:rPr>
        <w:t xml:space="preserve">Immediately increase CRA by 50% to support low-income households in rental stress, and undertake </w:t>
      </w:r>
      <w:r w:rsidR="007D3DF2" w:rsidRPr="009D39A3">
        <w:rPr>
          <w:b/>
          <w:bCs/>
          <w:i/>
          <w:iCs/>
        </w:rPr>
        <w:t xml:space="preserve">a review of the </w:t>
      </w:r>
      <w:r w:rsidR="00EE0EDC" w:rsidRPr="009D39A3">
        <w:rPr>
          <w:b/>
          <w:bCs/>
          <w:i/>
          <w:iCs/>
        </w:rPr>
        <w:t xml:space="preserve">adequacy, </w:t>
      </w:r>
      <w:proofErr w:type="gramStart"/>
      <w:r w:rsidR="00EE0EDC" w:rsidRPr="009D39A3">
        <w:rPr>
          <w:b/>
          <w:bCs/>
          <w:i/>
          <w:iCs/>
        </w:rPr>
        <w:t>eligibility</w:t>
      </w:r>
      <w:proofErr w:type="gramEnd"/>
      <w:r w:rsidR="00EE0EDC" w:rsidRPr="009D39A3">
        <w:rPr>
          <w:b/>
          <w:bCs/>
          <w:i/>
          <w:iCs/>
        </w:rPr>
        <w:t xml:space="preserve"> and </w:t>
      </w:r>
      <w:r w:rsidR="007D3DF2" w:rsidRPr="009D39A3">
        <w:rPr>
          <w:b/>
          <w:bCs/>
          <w:i/>
          <w:iCs/>
        </w:rPr>
        <w:t xml:space="preserve">structure of CRA </w:t>
      </w:r>
      <w:r w:rsidR="00EE0EDC" w:rsidRPr="009D39A3">
        <w:rPr>
          <w:b/>
          <w:bCs/>
          <w:i/>
          <w:iCs/>
        </w:rPr>
        <w:t xml:space="preserve">to ensure </w:t>
      </w:r>
      <w:r w:rsidR="005D47BE" w:rsidRPr="009D39A3">
        <w:rPr>
          <w:b/>
          <w:bCs/>
          <w:i/>
          <w:iCs/>
        </w:rPr>
        <w:t xml:space="preserve">it better meets the needs of low-income households experiencing rental stress. </w:t>
      </w:r>
    </w:p>
    <w:p w14:paraId="30CBBD90" w14:textId="77777777" w:rsidR="00563A7F" w:rsidRDefault="00563A7F" w:rsidP="00563A7F">
      <w:pPr>
        <w:pStyle w:val="Heading2"/>
        <w:rPr>
          <w:rFonts w:cs="Arial"/>
          <w:szCs w:val="20"/>
          <w:lang w:val="en-US"/>
        </w:rPr>
      </w:pPr>
      <w:r>
        <w:rPr>
          <w:rFonts w:cs="Arial"/>
          <w:szCs w:val="20"/>
          <w:lang w:val="en-US"/>
        </w:rPr>
        <w:t xml:space="preserve">Implementing a </w:t>
      </w:r>
      <w:r w:rsidRPr="002D6E5E">
        <w:rPr>
          <w:rFonts w:cs="Arial"/>
          <w:szCs w:val="20"/>
          <w:lang w:val="en-US"/>
        </w:rPr>
        <w:t xml:space="preserve">national First Nations housing strategy </w:t>
      </w:r>
    </w:p>
    <w:p w14:paraId="3CE7F9DF" w14:textId="32C1EC64" w:rsidR="009D39A3" w:rsidRPr="009D39A3" w:rsidRDefault="009A17BD" w:rsidP="009D39A3">
      <w:r w:rsidRPr="009D39A3">
        <w:t xml:space="preserve">Ensuring that Aboriginal and Torres Strait Islander Australians have access to safe, secure, and affordable housing is essential if we are to close the gap on health, education, </w:t>
      </w:r>
      <w:proofErr w:type="gramStart"/>
      <w:r w:rsidRPr="009D39A3">
        <w:t>employment</w:t>
      </w:r>
      <w:proofErr w:type="gramEnd"/>
      <w:r w:rsidRPr="009D39A3">
        <w:t xml:space="preserve"> and other life outcomes. </w:t>
      </w:r>
      <w:r w:rsidR="00BF222F">
        <w:t>Despite this, Commonwealth</w:t>
      </w:r>
      <w:r w:rsidR="009D39A3" w:rsidRPr="009D39A3">
        <w:t xml:space="preserve"> investment in </w:t>
      </w:r>
      <w:r w:rsidR="00BF222F">
        <w:t>First Nations</w:t>
      </w:r>
      <w:r w:rsidR="009D39A3" w:rsidRPr="009D39A3">
        <w:t xml:space="preserve"> housing plummeted over the last decade, from $794 million in 2011-12 to only $111.7 million in 2023-24 and zero in 2024-25. While Labor committed $100 million for remote housing in the October 2022 Budget, this investment is limited to remote communities in the Northern Territory. Yet unmet First Nations housing need and high rates of homelessness are present across the nation in major cities, regional areas, as well as in remote communities.</w:t>
      </w:r>
    </w:p>
    <w:p w14:paraId="4B9EA6DF" w14:textId="5E960919" w:rsidR="009A17BD" w:rsidRPr="009A17BD" w:rsidRDefault="003F6EB0" w:rsidP="00563A7F">
      <w:r>
        <w:t xml:space="preserve">Only around a third of </w:t>
      </w:r>
      <w:r w:rsidR="00481E6C">
        <w:t>Aboriginal and Torres Strait Islander households</w:t>
      </w:r>
      <w:r>
        <w:t xml:space="preserve"> own their own home, compared to two-thirds of non-Indigenous people. Consequently, a far greater proportion of </w:t>
      </w:r>
      <w:r w:rsidR="00481E6C">
        <w:t>Aboriginal and Torres Strait Islander</w:t>
      </w:r>
      <w:r>
        <w:t xml:space="preserve"> people (around 60%) live in rental accommodation than non-Indigenous people (30%). </w:t>
      </w:r>
      <w:r w:rsidR="00481E6C">
        <w:t>Aboriginal and Torres Strait Islander</w:t>
      </w:r>
      <w:r>
        <w:t xml:space="preserve"> households are </w:t>
      </w:r>
      <w:r w:rsidR="00E7175F">
        <w:t>also</w:t>
      </w:r>
      <w:r>
        <w:t xml:space="preserve"> over-represented in the social housing sector due to difficulties experienced in accessing private rental accommodation.</w:t>
      </w:r>
      <w:r w:rsidR="005E7488">
        <w:t xml:space="preserve"> </w:t>
      </w:r>
      <w:r w:rsidR="005E7488" w:rsidRPr="005E7488">
        <w:t>These difficulties include racial discrimination within the private rental market; challenges meeting criteria for properties; and lack of appropriate and good quality housing.</w:t>
      </w:r>
    </w:p>
    <w:p w14:paraId="13340D90" w14:textId="07324667" w:rsidR="00563A7F" w:rsidRDefault="00563A7F" w:rsidP="00563A7F">
      <w:pPr>
        <w:rPr>
          <w:rFonts w:cs="Arial"/>
          <w:szCs w:val="20"/>
        </w:rPr>
      </w:pPr>
      <w:r>
        <w:rPr>
          <w:rFonts w:cs="Arial"/>
          <w:szCs w:val="20"/>
        </w:rPr>
        <w:t>ACTCOSS has long advocated for the implementation of a national First Nations housing strategy</w:t>
      </w:r>
      <w:r w:rsidR="00705DE7">
        <w:rPr>
          <w:rFonts w:cs="Arial"/>
          <w:szCs w:val="20"/>
        </w:rPr>
        <w:t xml:space="preserve"> that applies across urban, </w:t>
      </w:r>
      <w:proofErr w:type="gramStart"/>
      <w:r w:rsidR="00705DE7">
        <w:rPr>
          <w:rFonts w:cs="Arial"/>
          <w:szCs w:val="20"/>
        </w:rPr>
        <w:t>regional</w:t>
      </w:r>
      <w:proofErr w:type="gramEnd"/>
      <w:r w:rsidR="00705DE7">
        <w:rPr>
          <w:rFonts w:cs="Arial"/>
          <w:szCs w:val="20"/>
        </w:rPr>
        <w:t xml:space="preserve"> and remote Australia</w:t>
      </w:r>
      <w:r>
        <w:rPr>
          <w:rFonts w:cs="Arial"/>
          <w:szCs w:val="20"/>
        </w:rPr>
        <w:t>. By establishing a</w:t>
      </w:r>
      <w:r w:rsidR="00705DE7">
        <w:rPr>
          <w:rFonts w:cs="Arial"/>
          <w:szCs w:val="20"/>
        </w:rPr>
        <w:t>nd fully funding a</w:t>
      </w:r>
      <w:r>
        <w:rPr>
          <w:rFonts w:cs="Arial"/>
          <w:szCs w:val="20"/>
        </w:rPr>
        <w:t xml:space="preserve"> clear strategy and agreement to boost stock of </w:t>
      </w:r>
      <w:r w:rsidR="007030DC">
        <w:rPr>
          <w:rFonts w:cs="Arial"/>
          <w:szCs w:val="20"/>
        </w:rPr>
        <w:t>community-controlled social</w:t>
      </w:r>
      <w:r>
        <w:rPr>
          <w:rFonts w:cs="Arial"/>
          <w:szCs w:val="20"/>
        </w:rPr>
        <w:t xml:space="preserve"> housing, the Federal Government could produce valuable improvements to redress the harsh impacts of the housing crisis.</w:t>
      </w:r>
    </w:p>
    <w:p w14:paraId="330F6BB3" w14:textId="7022DD63" w:rsidR="000C6D96" w:rsidRPr="000C6D96" w:rsidRDefault="000C6D96" w:rsidP="000C6D96">
      <w:pPr>
        <w:rPr>
          <w:b/>
          <w:bCs/>
          <w:i/>
          <w:iCs/>
        </w:rPr>
      </w:pPr>
      <w:r w:rsidRPr="000C6D96">
        <w:rPr>
          <w:b/>
          <w:bCs/>
          <w:i/>
          <w:iCs/>
        </w:rPr>
        <w:lastRenderedPageBreak/>
        <w:t>Recommendation: Fund the development of a National Aboriginal and Torres Strait Islander Housing Strategy</w:t>
      </w:r>
      <w:r>
        <w:rPr>
          <w:b/>
          <w:bCs/>
          <w:i/>
          <w:iCs/>
        </w:rPr>
        <w:t xml:space="preserve">, with </w:t>
      </w:r>
      <w:r w:rsidR="007846E5">
        <w:rPr>
          <w:b/>
          <w:bCs/>
          <w:i/>
          <w:iCs/>
        </w:rPr>
        <w:t xml:space="preserve">increased investment in community-controlled social and affordable housing in urban, </w:t>
      </w:r>
      <w:proofErr w:type="gramStart"/>
      <w:r w:rsidR="007846E5">
        <w:rPr>
          <w:b/>
          <w:bCs/>
          <w:i/>
          <w:iCs/>
        </w:rPr>
        <w:t>regional</w:t>
      </w:r>
      <w:proofErr w:type="gramEnd"/>
      <w:r w:rsidR="007846E5">
        <w:rPr>
          <w:b/>
          <w:bCs/>
          <w:i/>
          <w:iCs/>
        </w:rPr>
        <w:t xml:space="preserve"> and remote Australia, and with </w:t>
      </w:r>
      <w:r>
        <w:rPr>
          <w:b/>
          <w:bCs/>
          <w:i/>
          <w:iCs/>
        </w:rPr>
        <w:t xml:space="preserve">the development </w:t>
      </w:r>
      <w:r w:rsidR="007846E5">
        <w:rPr>
          <w:b/>
          <w:bCs/>
          <w:i/>
          <w:iCs/>
        </w:rPr>
        <w:t xml:space="preserve">and implementation </w:t>
      </w:r>
      <w:r>
        <w:rPr>
          <w:b/>
          <w:bCs/>
          <w:i/>
          <w:iCs/>
        </w:rPr>
        <w:t>of the strategy led by Aboriginal and Torres St</w:t>
      </w:r>
      <w:r w:rsidR="00634C7B">
        <w:rPr>
          <w:b/>
          <w:bCs/>
          <w:i/>
          <w:iCs/>
        </w:rPr>
        <w:t>rait Islander communities.</w:t>
      </w:r>
    </w:p>
    <w:p w14:paraId="5FBE04B6" w14:textId="5B71B6A6" w:rsidR="007F1B06" w:rsidRDefault="007F1B06" w:rsidP="007F1B06">
      <w:pPr>
        <w:pStyle w:val="Heading1"/>
        <w:rPr>
          <w:lang w:val="en-US"/>
        </w:rPr>
      </w:pPr>
      <w:r>
        <w:rPr>
          <w:lang w:val="en-US"/>
        </w:rPr>
        <w:t>Conclusion</w:t>
      </w:r>
    </w:p>
    <w:p w14:paraId="2587C8C3" w14:textId="6A51C519" w:rsidR="00B85AAA" w:rsidRPr="00135657" w:rsidRDefault="002D6E5E" w:rsidP="00B50635">
      <w:pPr>
        <w:rPr>
          <w:rFonts w:cs="Arial"/>
          <w:szCs w:val="20"/>
          <w:lang w:val="en-US"/>
        </w:rPr>
      </w:pPr>
      <w:r w:rsidRPr="002D6E5E">
        <w:rPr>
          <w:rFonts w:cs="Arial"/>
          <w:szCs w:val="20"/>
          <w:lang w:val="en-US"/>
        </w:rPr>
        <w:t xml:space="preserve">ACTCOSS </w:t>
      </w:r>
      <w:r w:rsidR="002B1A33">
        <w:rPr>
          <w:rFonts w:cs="Arial"/>
          <w:szCs w:val="20"/>
          <w:lang w:val="en-US"/>
        </w:rPr>
        <w:t>calls on</w:t>
      </w:r>
      <w:r w:rsidRPr="002D6E5E">
        <w:rPr>
          <w:rFonts w:cs="Arial"/>
          <w:szCs w:val="20"/>
          <w:lang w:val="en-US"/>
        </w:rPr>
        <w:t xml:space="preserve"> the Federal Government to take action to redress the </w:t>
      </w:r>
      <w:r w:rsidR="001F5895">
        <w:rPr>
          <w:rFonts w:cs="Arial"/>
          <w:szCs w:val="20"/>
          <w:lang w:val="en-US"/>
        </w:rPr>
        <w:t xml:space="preserve">immense struggle of low-income renters </w:t>
      </w:r>
      <w:r w:rsidR="003523FB">
        <w:rPr>
          <w:rFonts w:cs="Arial"/>
          <w:szCs w:val="20"/>
          <w:lang w:val="en-US"/>
        </w:rPr>
        <w:t>navigating c</w:t>
      </w:r>
      <w:r w:rsidRPr="002D6E5E">
        <w:rPr>
          <w:rFonts w:cs="Arial"/>
          <w:szCs w:val="20"/>
          <w:lang w:val="en-US"/>
        </w:rPr>
        <w:t xml:space="preserve">ost of living pressures and housing unaffordability. </w:t>
      </w:r>
      <w:r w:rsidR="00EF7366">
        <w:rPr>
          <w:rFonts w:cs="Arial"/>
          <w:szCs w:val="20"/>
          <w:lang w:val="en-US"/>
        </w:rPr>
        <w:t xml:space="preserve">By </w:t>
      </w:r>
      <w:r w:rsidR="00B15C25">
        <w:rPr>
          <w:rFonts w:cs="Arial"/>
          <w:szCs w:val="20"/>
          <w:lang w:val="en-US"/>
        </w:rPr>
        <w:t xml:space="preserve">increasing investment in social and affordable housing, as well working with state and </w:t>
      </w:r>
      <w:r w:rsidR="00FA0686">
        <w:rPr>
          <w:rFonts w:cs="Arial"/>
          <w:szCs w:val="20"/>
          <w:lang w:val="en-US"/>
        </w:rPr>
        <w:t>territory governments to reform tenancy laws</w:t>
      </w:r>
      <w:r w:rsidR="00103797">
        <w:rPr>
          <w:rFonts w:cs="Arial"/>
          <w:szCs w:val="20"/>
          <w:lang w:val="en-US"/>
        </w:rPr>
        <w:t xml:space="preserve">, the Federal Government can drastically improve the lives of </w:t>
      </w:r>
      <w:r w:rsidR="00D841F5">
        <w:rPr>
          <w:rFonts w:cs="Arial"/>
          <w:szCs w:val="20"/>
          <w:lang w:val="en-US"/>
        </w:rPr>
        <w:t>people on low incomes</w:t>
      </w:r>
      <w:r w:rsidR="004F674D">
        <w:rPr>
          <w:rFonts w:cs="Arial"/>
          <w:szCs w:val="20"/>
          <w:lang w:val="en-US"/>
        </w:rPr>
        <w:t xml:space="preserve">. </w:t>
      </w:r>
      <w:r w:rsidR="00A31A3B">
        <w:rPr>
          <w:rFonts w:cs="Arial"/>
          <w:szCs w:val="20"/>
          <w:lang w:val="en-US"/>
        </w:rPr>
        <w:t xml:space="preserve">We hope to see meaningful engagement with </w:t>
      </w:r>
      <w:r w:rsidR="00301FFE">
        <w:rPr>
          <w:rFonts w:cs="Arial"/>
          <w:szCs w:val="20"/>
          <w:lang w:val="en-US"/>
        </w:rPr>
        <w:t>housing advocacy services</w:t>
      </w:r>
      <w:r w:rsidR="00B71E8E">
        <w:rPr>
          <w:rFonts w:cs="Arial"/>
          <w:szCs w:val="20"/>
          <w:lang w:val="en-US"/>
        </w:rPr>
        <w:t xml:space="preserve"> and community </w:t>
      </w:r>
      <w:proofErr w:type="spellStart"/>
      <w:r w:rsidR="00D86F8D">
        <w:rPr>
          <w:rFonts w:cs="Arial"/>
          <w:szCs w:val="20"/>
          <w:lang w:val="en-US"/>
        </w:rPr>
        <w:t>organisations</w:t>
      </w:r>
      <w:proofErr w:type="spellEnd"/>
      <w:r w:rsidR="00D86F8D">
        <w:rPr>
          <w:rFonts w:cs="Arial"/>
          <w:szCs w:val="20"/>
          <w:lang w:val="en-US"/>
        </w:rPr>
        <w:t xml:space="preserve"> to ensure that a national program of rental reforms reflects the needs </w:t>
      </w:r>
      <w:r w:rsidR="009343F1">
        <w:rPr>
          <w:rFonts w:cs="Arial"/>
          <w:szCs w:val="20"/>
          <w:lang w:val="en-US"/>
        </w:rPr>
        <w:t xml:space="preserve">and vulnerabilities of low income and </w:t>
      </w:r>
      <w:proofErr w:type="spellStart"/>
      <w:r w:rsidR="009343F1">
        <w:rPr>
          <w:rFonts w:cs="Arial"/>
          <w:szCs w:val="20"/>
          <w:lang w:val="en-US"/>
        </w:rPr>
        <w:t>marginalised</w:t>
      </w:r>
      <w:proofErr w:type="spellEnd"/>
      <w:r w:rsidR="009343F1">
        <w:rPr>
          <w:rFonts w:cs="Arial"/>
          <w:szCs w:val="20"/>
          <w:lang w:val="en-US"/>
        </w:rPr>
        <w:t xml:space="preserve"> communities.</w:t>
      </w:r>
      <w:r w:rsidR="00F0206F">
        <w:rPr>
          <w:rFonts w:cs="Arial"/>
          <w:szCs w:val="20"/>
          <w:lang w:val="en-US"/>
        </w:rPr>
        <w:t xml:space="preserve"> With the highest </w:t>
      </w:r>
      <w:r w:rsidR="00165315">
        <w:rPr>
          <w:rFonts w:cs="Arial"/>
          <w:szCs w:val="20"/>
          <w:lang w:val="en-US"/>
        </w:rPr>
        <w:t>rate</w:t>
      </w:r>
      <w:r w:rsidR="00F0206F">
        <w:rPr>
          <w:rFonts w:cs="Arial"/>
          <w:szCs w:val="20"/>
          <w:lang w:val="en-US"/>
        </w:rPr>
        <w:t xml:space="preserve"> of </w:t>
      </w:r>
      <w:r w:rsidR="002C0C38">
        <w:rPr>
          <w:rFonts w:cs="Arial"/>
          <w:szCs w:val="20"/>
          <w:lang w:val="en-US"/>
        </w:rPr>
        <w:t>homelessness service users</w:t>
      </w:r>
      <w:r w:rsidR="00F0206F">
        <w:rPr>
          <w:rFonts w:cs="Arial"/>
          <w:szCs w:val="20"/>
          <w:lang w:val="en-US"/>
        </w:rPr>
        <w:t xml:space="preserve"> experiencing persistent homelessness in the country, the ACT urgently needs to see decisive action </w:t>
      </w:r>
      <w:r w:rsidR="00135657">
        <w:rPr>
          <w:rFonts w:cs="Arial"/>
          <w:szCs w:val="20"/>
          <w:lang w:val="en-US"/>
        </w:rPr>
        <w:t xml:space="preserve">on affordability, </w:t>
      </w:r>
      <w:r w:rsidR="00AA678C">
        <w:rPr>
          <w:rFonts w:cs="Arial"/>
          <w:szCs w:val="20"/>
          <w:lang w:val="en-US"/>
        </w:rPr>
        <w:t>accessibility,</w:t>
      </w:r>
      <w:r w:rsidR="00135657">
        <w:rPr>
          <w:rFonts w:cs="Arial"/>
          <w:szCs w:val="20"/>
          <w:lang w:val="en-US"/>
        </w:rPr>
        <w:t xml:space="preserve"> and availability of housing. </w:t>
      </w:r>
    </w:p>
    <w:p w14:paraId="163EDC74" w14:textId="77777777" w:rsidR="007E78B0" w:rsidRPr="00F00747" w:rsidRDefault="007E78B0" w:rsidP="00B50635">
      <w:pPr>
        <w:rPr>
          <w:rFonts w:eastAsiaTheme="minorHAnsi"/>
          <w:lang w:val="en-US" w:eastAsia="en-US"/>
        </w:rPr>
      </w:pPr>
    </w:p>
    <w:p w14:paraId="322A514D" w14:textId="77777777" w:rsidR="00650015" w:rsidRPr="00650015" w:rsidRDefault="00650015" w:rsidP="00650015">
      <w:pPr>
        <w:rPr>
          <w:rFonts w:eastAsiaTheme="minorHAnsi"/>
          <w:lang w:eastAsia="en-US"/>
        </w:rPr>
      </w:pPr>
      <w:r w:rsidRPr="00650015">
        <w:rPr>
          <w:rFonts w:eastAsiaTheme="minorHAnsi"/>
          <w:lang w:val="en-US" w:eastAsia="en-US"/>
        </w:rPr>
        <w:t>Yours sincerely</w:t>
      </w:r>
      <w:r w:rsidRPr="00650015">
        <w:rPr>
          <w:rFonts w:eastAsiaTheme="minorHAnsi"/>
          <w:lang w:eastAsia="en-US"/>
        </w:rPr>
        <w:t> </w:t>
      </w:r>
    </w:p>
    <w:p w14:paraId="1C7DCDBE" w14:textId="77777777" w:rsidR="00650015" w:rsidRPr="00650015" w:rsidRDefault="00650015" w:rsidP="00650015">
      <w:pPr>
        <w:rPr>
          <w:rFonts w:eastAsiaTheme="minorHAnsi"/>
          <w:lang w:eastAsia="en-US"/>
        </w:rPr>
      </w:pPr>
      <w:r w:rsidRPr="00650015">
        <w:rPr>
          <w:rFonts w:eastAsiaTheme="minorHAnsi"/>
          <w:lang w:eastAsia="en-US"/>
        </w:rPr>
        <w:t> </w:t>
      </w:r>
    </w:p>
    <w:p w14:paraId="214AB28A" w14:textId="792055CF" w:rsidR="00650015" w:rsidRPr="00650015" w:rsidRDefault="00650015" w:rsidP="00650015">
      <w:pPr>
        <w:rPr>
          <w:rFonts w:eastAsiaTheme="minorHAnsi"/>
          <w:lang w:eastAsia="en-US"/>
        </w:rPr>
      </w:pPr>
      <w:r w:rsidRPr="00650015">
        <w:rPr>
          <w:rFonts w:eastAsiaTheme="minorHAnsi"/>
          <w:noProof/>
          <w:lang w:eastAsia="en-US"/>
        </w:rPr>
        <w:drawing>
          <wp:inline distT="0" distB="0" distL="0" distR="0" wp14:anchorId="272E3169" wp14:editId="158DB9DF">
            <wp:extent cx="1714500" cy="381000"/>
            <wp:effectExtent l="0" t="0" r="0" b="0"/>
            <wp:docPr id="1210514340" name="Picture 12105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650015">
        <w:rPr>
          <w:rFonts w:eastAsiaTheme="minorHAnsi"/>
          <w:lang w:eastAsia="en-US"/>
        </w:rPr>
        <w:t>  </w:t>
      </w:r>
    </w:p>
    <w:p w14:paraId="49B01AAB" w14:textId="77777777" w:rsidR="00650015" w:rsidRPr="00650015" w:rsidRDefault="00650015" w:rsidP="00650015">
      <w:pPr>
        <w:spacing w:after="0"/>
        <w:rPr>
          <w:rFonts w:eastAsiaTheme="minorHAnsi"/>
          <w:lang w:eastAsia="en-US"/>
        </w:rPr>
      </w:pPr>
      <w:r w:rsidRPr="00650015">
        <w:rPr>
          <w:rFonts w:eastAsiaTheme="minorHAnsi"/>
          <w:lang w:val="en-US" w:eastAsia="en-US"/>
        </w:rPr>
        <w:t>Dr Devin Bowles</w:t>
      </w:r>
      <w:r w:rsidRPr="00650015">
        <w:rPr>
          <w:rFonts w:eastAsiaTheme="minorHAnsi"/>
          <w:lang w:eastAsia="en-US"/>
        </w:rPr>
        <w:t>  </w:t>
      </w:r>
    </w:p>
    <w:p w14:paraId="03FBF75A" w14:textId="77777777" w:rsidR="00650015" w:rsidRPr="00650015" w:rsidRDefault="00650015" w:rsidP="00650015">
      <w:pPr>
        <w:rPr>
          <w:rFonts w:eastAsiaTheme="minorHAnsi"/>
          <w:lang w:eastAsia="en-US"/>
        </w:rPr>
      </w:pPr>
      <w:r w:rsidRPr="00650015">
        <w:rPr>
          <w:rFonts w:eastAsiaTheme="minorHAnsi"/>
          <w:lang w:val="en-US" w:eastAsia="en-US"/>
        </w:rPr>
        <w:t>Chief Executive Officer</w:t>
      </w:r>
      <w:r w:rsidRPr="00650015">
        <w:rPr>
          <w:rFonts w:eastAsiaTheme="minorHAnsi"/>
          <w:lang w:eastAsia="en-US"/>
        </w:rPr>
        <w:t>   </w:t>
      </w:r>
      <w:r w:rsidRPr="00650015">
        <w:rPr>
          <w:rFonts w:eastAsiaTheme="minorHAnsi"/>
          <w:lang w:eastAsia="en-US"/>
        </w:rPr>
        <w:br/>
      </w:r>
      <w:r w:rsidRPr="00650015">
        <w:rPr>
          <w:rFonts w:eastAsiaTheme="minorHAnsi"/>
          <w:lang w:val="en-US" w:eastAsia="en-US"/>
        </w:rPr>
        <w:t>ACT Council of Social Service</w:t>
      </w:r>
      <w:r w:rsidRPr="00650015">
        <w:rPr>
          <w:rFonts w:eastAsiaTheme="minorHAnsi"/>
          <w:lang w:eastAsia="en-US"/>
        </w:rPr>
        <w:t>   </w:t>
      </w:r>
      <w:r w:rsidRPr="00650015">
        <w:rPr>
          <w:rFonts w:eastAsiaTheme="minorHAnsi"/>
          <w:lang w:eastAsia="en-US"/>
        </w:rPr>
        <w:br/>
      </w:r>
      <w:hyperlink r:id="rId16" w:tgtFrame="_blank" w:history="1">
        <w:r w:rsidRPr="00650015">
          <w:rPr>
            <w:rStyle w:val="Hyperlink"/>
            <w:rFonts w:eastAsiaTheme="minorHAnsi"/>
            <w:lang w:eastAsia="en-US"/>
          </w:rPr>
          <w:t>devin.bowles@actcoss.org.au</w:t>
        </w:r>
      </w:hyperlink>
      <w:r w:rsidRPr="00650015">
        <w:rPr>
          <w:rFonts w:eastAsiaTheme="minorHAnsi"/>
          <w:lang w:eastAsia="en-US"/>
        </w:rPr>
        <w:t xml:space="preserve">   </w:t>
      </w:r>
    </w:p>
    <w:p w14:paraId="29FEB8B4" w14:textId="4005522C" w:rsidR="00621E13" w:rsidRPr="00650015" w:rsidRDefault="00621E13" w:rsidP="00650015">
      <w:pPr>
        <w:rPr>
          <w:rFonts w:eastAsiaTheme="minorHAnsi"/>
          <w:lang w:eastAsia="en-US"/>
        </w:rPr>
      </w:pPr>
    </w:p>
    <w:sectPr w:rsidR="00621E13" w:rsidRPr="00650015" w:rsidSect="00EA37B8">
      <w:headerReference w:type="default" r:id="rId17"/>
      <w:footerReference w:type="even" r:id="rId18"/>
      <w:footerReference w:type="default" r:id="rId19"/>
      <w:headerReference w:type="first" r:id="rId20"/>
      <w:footerReference w:type="first" r:id="rId21"/>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AE32" w14:textId="77777777" w:rsidR="001070CA" w:rsidRDefault="001070CA" w:rsidP="00B50635">
      <w:pPr>
        <w:spacing w:after="0" w:line="240" w:lineRule="auto"/>
      </w:pPr>
      <w:r>
        <w:separator/>
      </w:r>
    </w:p>
  </w:endnote>
  <w:endnote w:type="continuationSeparator" w:id="0">
    <w:p w14:paraId="2F38D8D4" w14:textId="77777777" w:rsidR="001070CA" w:rsidRDefault="001070CA" w:rsidP="00B50635">
      <w:pPr>
        <w:spacing w:after="0" w:line="240" w:lineRule="auto"/>
      </w:pPr>
      <w:r>
        <w:continuationSeparator/>
      </w:r>
    </w:p>
  </w:endnote>
  <w:endnote w:type="continuationNotice" w:id="1">
    <w:p w14:paraId="4C6F470D" w14:textId="77777777" w:rsidR="001070CA" w:rsidRDefault="00107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EndPr>
      <w:rPr>
        <w:rStyle w:val="PageNumber"/>
      </w:rPr>
    </w:sdtEndPr>
    <w:sdtContent>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EndPr>
      <w:rPr>
        <w:rStyle w:val="PageNumber"/>
      </w:rPr>
    </w:sdtEndPr>
    <w:sdtContent>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2F99" w14:textId="77777777" w:rsidR="001070CA" w:rsidRDefault="001070CA" w:rsidP="00B50635">
      <w:pPr>
        <w:spacing w:after="0" w:line="240" w:lineRule="auto"/>
      </w:pPr>
      <w:r>
        <w:separator/>
      </w:r>
    </w:p>
  </w:footnote>
  <w:footnote w:type="continuationSeparator" w:id="0">
    <w:p w14:paraId="7CD45614" w14:textId="77777777" w:rsidR="001070CA" w:rsidRDefault="001070CA" w:rsidP="00B50635">
      <w:pPr>
        <w:spacing w:after="0" w:line="240" w:lineRule="auto"/>
      </w:pPr>
      <w:r>
        <w:continuationSeparator/>
      </w:r>
    </w:p>
  </w:footnote>
  <w:footnote w:type="continuationNotice" w:id="1">
    <w:p w14:paraId="412EA8A2" w14:textId="77777777" w:rsidR="001070CA" w:rsidRDefault="001070CA">
      <w:pPr>
        <w:spacing w:after="0" w:line="240" w:lineRule="auto"/>
      </w:pPr>
    </w:p>
  </w:footnote>
  <w:footnote w:id="2">
    <w:p w14:paraId="5721E305" w14:textId="77777777" w:rsidR="003D40AE" w:rsidRPr="00C27F0C" w:rsidRDefault="003D40AE" w:rsidP="003D40AE">
      <w:pPr>
        <w:pStyle w:val="FootnoteText"/>
        <w:rPr>
          <w:lang w:val="en-US"/>
        </w:rPr>
      </w:pPr>
      <w:r>
        <w:rPr>
          <w:rStyle w:val="FootnoteReference"/>
        </w:rPr>
        <w:footnoteRef/>
      </w:r>
      <w:r>
        <w:t xml:space="preserve"> </w:t>
      </w:r>
      <w:r w:rsidRPr="00C27F0C">
        <w:t>J Lawson</w:t>
      </w:r>
      <w:r>
        <w:t xml:space="preserve"> et al.</w:t>
      </w:r>
      <w:r w:rsidRPr="00C27F0C">
        <w:t>, </w:t>
      </w:r>
      <w:hyperlink r:id="rId1" w:tgtFrame="_blank" w:history="1">
        <w:r w:rsidRPr="00C27F0C">
          <w:rPr>
            <w:rStyle w:val="Hyperlink"/>
            <w:i/>
            <w:iCs/>
          </w:rPr>
          <w:t>Social housing as infrastructure: an investment pathway</w:t>
        </w:r>
      </w:hyperlink>
      <w:r w:rsidRPr="00C27F0C">
        <w:t>, AHURI Final Report 306, Australian Housing and Urban Research Institute Limited, 2018, p 63</w:t>
      </w:r>
      <w:r>
        <w:t>.</w:t>
      </w:r>
    </w:p>
  </w:footnote>
  <w:footnote w:id="3">
    <w:p w14:paraId="4A0F2051" w14:textId="77777777" w:rsidR="003D40AE" w:rsidRPr="003109CE" w:rsidRDefault="003D40AE" w:rsidP="003D40AE">
      <w:pPr>
        <w:pStyle w:val="FootnoteText"/>
        <w:rPr>
          <w:lang w:val="en-US"/>
        </w:rPr>
      </w:pPr>
      <w:r>
        <w:rPr>
          <w:rStyle w:val="FootnoteReference"/>
        </w:rPr>
        <w:footnoteRef/>
      </w:r>
      <w:r>
        <w:t xml:space="preserve"> </w:t>
      </w:r>
      <w:r w:rsidRPr="003109CE">
        <w:t>Australian Bureau of Statistics, </w:t>
      </w:r>
      <w:hyperlink r:id="rId2" w:anchor="state-and-territories" w:tgtFrame="_blank" w:history="1">
        <w:r w:rsidRPr="003109CE">
          <w:rPr>
            <w:rStyle w:val="Hyperlink"/>
            <w:i/>
            <w:iCs/>
          </w:rPr>
          <w:t>Estimating Homelessness: Census, 2021</w:t>
        </w:r>
      </w:hyperlink>
      <w:r w:rsidRPr="003109CE">
        <w:t>, ABS, Estimating Homelessness: Census, Canberra, March 2023, accessed 5 May</w:t>
      </w:r>
      <w:r>
        <w:t xml:space="preserve"> 2023.</w:t>
      </w:r>
    </w:p>
  </w:footnote>
  <w:footnote w:id="4">
    <w:p w14:paraId="415793AD" w14:textId="77777777" w:rsidR="003D40AE" w:rsidRPr="005526BF" w:rsidRDefault="003D40AE" w:rsidP="003D40AE">
      <w:pPr>
        <w:pStyle w:val="FootnoteText"/>
      </w:pPr>
      <w:r>
        <w:rPr>
          <w:rStyle w:val="FootnoteReference"/>
        </w:rPr>
        <w:footnoteRef/>
      </w:r>
      <w:r>
        <w:t xml:space="preserve"> </w:t>
      </w:r>
      <w:r w:rsidRPr="005526BF">
        <w:t xml:space="preserve">Productivity Commission, </w:t>
      </w:r>
      <w:r w:rsidRPr="005526BF">
        <w:rPr>
          <w:i/>
          <w:iCs/>
        </w:rPr>
        <w:t>Report on Government Services 2023 - G Housing and homelessness</w:t>
      </w:r>
    </w:p>
  </w:footnote>
  <w:footnote w:id="5">
    <w:p w14:paraId="57C91BED" w14:textId="77777777" w:rsidR="003D40AE" w:rsidRPr="00480AA3" w:rsidRDefault="003D40AE" w:rsidP="003D40AE">
      <w:pPr>
        <w:pStyle w:val="FootnoteText"/>
      </w:pPr>
      <w:r>
        <w:rPr>
          <w:rStyle w:val="FootnoteReference"/>
        </w:rPr>
        <w:footnoteRef/>
      </w:r>
      <w:r>
        <w:t xml:space="preserve"> </w:t>
      </w:r>
      <w:r w:rsidRPr="00480AA3">
        <w:t xml:space="preserve">Productivity Commission, </w:t>
      </w:r>
      <w:r w:rsidRPr="00480AA3">
        <w:rPr>
          <w:i/>
          <w:iCs/>
        </w:rPr>
        <w:t>Report on Government Services 2023 - G Housing and homelessness</w:t>
      </w:r>
    </w:p>
  </w:footnote>
  <w:footnote w:id="6">
    <w:p w14:paraId="59414942" w14:textId="77777777" w:rsidR="003D40AE" w:rsidRPr="00DE11D2" w:rsidRDefault="003D40AE" w:rsidP="003D40AE">
      <w:pPr>
        <w:pStyle w:val="FootnoteText"/>
        <w:rPr>
          <w:lang w:val="en-US"/>
        </w:rPr>
      </w:pPr>
      <w:r>
        <w:rPr>
          <w:rStyle w:val="FootnoteReference"/>
        </w:rPr>
        <w:footnoteRef/>
      </w:r>
      <w:r>
        <w:t xml:space="preserve"> </w:t>
      </w:r>
      <w:r>
        <w:rPr>
          <w:lang w:val="en-US"/>
        </w:rPr>
        <w:t xml:space="preserve">Housing ACT, </w:t>
      </w:r>
      <w:hyperlink r:id="rId3" w:history="1">
        <w:r w:rsidRPr="00630A18">
          <w:rPr>
            <w:rStyle w:val="Hyperlink"/>
            <w:i/>
            <w:iCs/>
          </w:rPr>
          <w:t>Waitlist and processing times - Housing</w:t>
        </w:r>
      </w:hyperlink>
      <w:r>
        <w:rPr>
          <w:lang w:val="en-US"/>
        </w:rPr>
        <w:t xml:space="preserve">, ACT Government, 24 July 2023, accessed 1 August 2023. </w:t>
      </w:r>
    </w:p>
  </w:footnote>
  <w:footnote w:id="7">
    <w:p w14:paraId="1A095EBC" w14:textId="7E48A72D" w:rsidR="00A457C4" w:rsidRPr="00A457C4" w:rsidRDefault="00A457C4">
      <w:pPr>
        <w:pStyle w:val="FootnoteText"/>
        <w:rPr>
          <w:lang w:val="en-US"/>
        </w:rPr>
      </w:pPr>
      <w:r>
        <w:rPr>
          <w:rStyle w:val="FootnoteReference"/>
        </w:rPr>
        <w:footnoteRef/>
      </w:r>
      <w:r>
        <w:t xml:space="preserve"> </w:t>
      </w:r>
      <w:r w:rsidR="0036371F">
        <w:rPr>
          <w:lang w:val="en-US"/>
        </w:rPr>
        <w:t xml:space="preserve">Australian Bureau of Statistics, </w:t>
      </w:r>
      <w:hyperlink r:id="rId4" w:history="1">
        <w:r w:rsidR="0036371F">
          <w:rPr>
            <w:rStyle w:val="Hyperlink"/>
            <w:i/>
            <w:iCs/>
          </w:rPr>
          <w:t>Snapshot of Australian Capital Territory</w:t>
        </w:r>
      </w:hyperlink>
      <w:r w:rsidR="0036371F">
        <w:rPr>
          <w:lang w:val="en-US"/>
        </w:rPr>
        <w:t xml:space="preserve">, ABS, </w:t>
      </w:r>
      <w:r w:rsidR="003A31AE">
        <w:rPr>
          <w:lang w:val="en-US"/>
        </w:rPr>
        <w:t>28 June 2022.</w:t>
      </w:r>
      <w:r w:rsidR="0036371F">
        <w:rPr>
          <w:lang w:val="en-US"/>
        </w:rPr>
        <w:t xml:space="preserve"> </w:t>
      </w:r>
    </w:p>
  </w:footnote>
  <w:footnote w:id="8">
    <w:p w14:paraId="1FC36FBA" w14:textId="77777777" w:rsidR="0011571C" w:rsidRPr="00FB19BA" w:rsidRDefault="0011571C" w:rsidP="0011571C">
      <w:pPr>
        <w:pStyle w:val="FootnoteText"/>
        <w:rPr>
          <w:lang w:val="en-US"/>
        </w:rPr>
      </w:pPr>
      <w:r>
        <w:rPr>
          <w:rStyle w:val="FootnoteReference"/>
        </w:rPr>
        <w:footnoteRef/>
      </w:r>
      <w:r>
        <w:t xml:space="preserve"> </w:t>
      </w:r>
      <w:r w:rsidRPr="00FB19BA">
        <w:t xml:space="preserve">SGS Economics &amp; Planning (SGSEP), </w:t>
      </w:r>
      <w:hyperlink r:id="rId5" w:history="1">
        <w:r w:rsidRPr="00C71155">
          <w:rPr>
            <w:rStyle w:val="Hyperlink"/>
            <w:i/>
            <w:iCs/>
          </w:rPr>
          <w:t>Rental Affordability Index</w:t>
        </w:r>
      </w:hyperlink>
      <w:r w:rsidRPr="00FB19BA">
        <w:t>, SGSEP, 2022.</w:t>
      </w:r>
    </w:p>
  </w:footnote>
  <w:footnote w:id="9">
    <w:p w14:paraId="3DA88E4F" w14:textId="29A00C56" w:rsidR="00A87276" w:rsidRPr="00A87276" w:rsidRDefault="00A87276">
      <w:pPr>
        <w:pStyle w:val="FootnoteText"/>
      </w:pPr>
      <w:r>
        <w:rPr>
          <w:rStyle w:val="FootnoteReference"/>
        </w:rPr>
        <w:footnoteRef/>
      </w:r>
      <w:r>
        <w:t xml:space="preserve"> </w:t>
      </w:r>
      <w:bookmarkStart w:id="0" w:name="_Hlk141793689"/>
      <w:r>
        <w:t xml:space="preserve">Australian Government Productivity Commission, </w:t>
      </w:r>
      <w:hyperlink r:id="rId6" w:history="1">
        <w:r w:rsidR="00A65D7E" w:rsidRPr="007E51DB">
          <w:rPr>
            <w:rStyle w:val="Hyperlink"/>
            <w:i/>
            <w:iCs/>
          </w:rPr>
          <w:t>Report on Government Services 2023 - G Housing and homelessness</w:t>
        </w:r>
      </w:hyperlink>
      <w:bookmarkEnd w:id="0"/>
      <w:r w:rsidR="00A65D7E">
        <w:t xml:space="preserve">, </w:t>
      </w:r>
      <w:r w:rsidR="007E51DB">
        <w:t>Productivity Commission, 24 January 2023, accessed 1 August 2023.</w:t>
      </w:r>
    </w:p>
  </w:footnote>
  <w:footnote w:id="10">
    <w:p w14:paraId="73614A98" w14:textId="519501D4" w:rsidR="004972E6" w:rsidRPr="008804F6" w:rsidRDefault="004972E6" w:rsidP="004972E6">
      <w:pPr>
        <w:pStyle w:val="FootnoteText"/>
        <w:rPr>
          <w:lang w:val="en-US"/>
        </w:rPr>
      </w:pPr>
      <w:r>
        <w:rPr>
          <w:rStyle w:val="FootnoteReference"/>
        </w:rPr>
        <w:footnoteRef/>
      </w:r>
      <w:r>
        <w:t xml:space="preserve"> C Martin et al., </w:t>
      </w:r>
      <w:hyperlink r:id="rId7" w:history="1">
        <w:r w:rsidRPr="00DF1A00">
          <w:rPr>
            <w:rStyle w:val="Hyperlink"/>
            <w:i/>
            <w:iCs/>
          </w:rPr>
          <w:t>Regulation of residential tenancies and impacts on investment</w:t>
        </w:r>
      </w:hyperlink>
      <w:r w:rsidRPr="00DF1A00">
        <w:rPr>
          <w:i/>
          <w:iCs/>
        </w:rPr>
        <w:t>,</w:t>
      </w:r>
      <w:r>
        <w:t xml:space="preserve"> </w:t>
      </w:r>
      <w:r>
        <w:rPr>
          <w:lang w:val="en-US"/>
        </w:rPr>
        <w:t>Australian Housing and Urban Research Institute</w:t>
      </w:r>
      <w:r w:rsidR="001165F2">
        <w:rPr>
          <w:lang w:val="en-US"/>
        </w:rPr>
        <w:t xml:space="preserve"> (AHURI)</w:t>
      </w:r>
      <w:r>
        <w:rPr>
          <w:lang w:val="en-US"/>
        </w:rPr>
        <w:t>, November 2022.</w:t>
      </w:r>
    </w:p>
  </w:footnote>
  <w:footnote w:id="11">
    <w:p w14:paraId="76779F9A" w14:textId="77777777" w:rsidR="004972E6" w:rsidRPr="00883B79" w:rsidRDefault="004972E6" w:rsidP="004972E6">
      <w:pPr>
        <w:pStyle w:val="FootnoteText"/>
        <w:rPr>
          <w:lang w:val="en-US"/>
        </w:rPr>
      </w:pPr>
      <w:r>
        <w:rPr>
          <w:rStyle w:val="FootnoteReference"/>
        </w:rPr>
        <w:footnoteRef/>
      </w:r>
      <w:r>
        <w:t xml:space="preserve"> </w:t>
      </w:r>
      <w:r>
        <w:rPr>
          <w:lang w:val="en-US"/>
        </w:rPr>
        <w:t xml:space="preserve">AHURI, </w:t>
      </w:r>
      <w:hyperlink r:id="rId8" w:history="1">
        <w:r w:rsidRPr="00DF1A00">
          <w:rPr>
            <w:rStyle w:val="Hyperlink"/>
            <w:i/>
            <w:iCs/>
          </w:rPr>
          <w:t>Regulation of residential tenancies and impacts on investment</w:t>
        </w:r>
      </w:hyperlink>
      <w:r>
        <w:rPr>
          <w:i/>
          <w:iCs/>
        </w:rPr>
        <w:t>.</w:t>
      </w:r>
    </w:p>
  </w:footnote>
  <w:footnote w:id="12">
    <w:p w14:paraId="39844D81" w14:textId="77777777" w:rsidR="0057331E" w:rsidRPr="00757F77" w:rsidRDefault="0057331E" w:rsidP="0057331E">
      <w:pPr>
        <w:pStyle w:val="FootnoteText"/>
      </w:pPr>
      <w:r>
        <w:rPr>
          <w:rStyle w:val="FootnoteReference"/>
        </w:rPr>
        <w:footnoteRef/>
      </w:r>
      <w:r>
        <w:t xml:space="preserve"> Anglicare Australia, </w:t>
      </w:r>
      <w:hyperlink r:id="rId9" w:history="1">
        <w:r>
          <w:rPr>
            <w:rStyle w:val="Hyperlink"/>
            <w:i/>
            <w:iCs/>
          </w:rPr>
          <w:t>2022: Rental Affordability Snapshot</w:t>
        </w:r>
      </w:hyperlink>
      <w:r>
        <w:t>, Anglicare, April 2022.</w:t>
      </w:r>
    </w:p>
  </w:footnote>
  <w:footnote w:id="13">
    <w:p w14:paraId="51122C91" w14:textId="77777777" w:rsidR="008A3138" w:rsidRPr="0029323B" w:rsidRDefault="008A3138" w:rsidP="008A3138">
      <w:pPr>
        <w:pStyle w:val="FootnoteText"/>
        <w:rPr>
          <w:lang w:val="en-US"/>
        </w:rPr>
      </w:pPr>
      <w:r>
        <w:rPr>
          <w:rStyle w:val="FootnoteReference"/>
        </w:rPr>
        <w:footnoteRef/>
      </w:r>
      <w:r>
        <w:t xml:space="preserve"> </w:t>
      </w:r>
      <w:r>
        <w:rPr>
          <w:lang w:val="en-US"/>
        </w:rPr>
        <w:t xml:space="preserve">ACT Government </w:t>
      </w:r>
      <w:proofErr w:type="spellStart"/>
      <w:r>
        <w:rPr>
          <w:lang w:val="en-US"/>
        </w:rPr>
        <w:t>YourSay</w:t>
      </w:r>
      <w:proofErr w:type="spellEnd"/>
      <w:r>
        <w:rPr>
          <w:lang w:val="en-US"/>
        </w:rPr>
        <w:t xml:space="preserve"> Panel, </w:t>
      </w:r>
      <w:hyperlink r:id="rId10" w:history="1">
        <w:r w:rsidRPr="002174B2">
          <w:rPr>
            <w:rStyle w:val="Hyperlink"/>
            <w:i/>
            <w:iCs/>
          </w:rPr>
          <w:t>Short-Term Rental Accommodation Survey Final Report</w:t>
        </w:r>
      </w:hyperlink>
      <w:r>
        <w:rPr>
          <w:lang w:val="en-US"/>
        </w:rPr>
        <w:t>, ACT Government, 22 September 2022.</w:t>
      </w:r>
    </w:p>
  </w:footnote>
  <w:footnote w:id="14">
    <w:p w14:paraId="748CC9DF" w14:textId="22AB506D" w:rsidR="009B4CDE" w:rsidRPr="001831A0" w:rsidRDefault="009B4CDE">
      <w:pPr>
        <w:pStyle w:val="FootnoteText"/>
        <w:rPr>
          <w:i/>
          <w:iCs/>
          <w:lang w:val="en-US"/>
        </w:rPr>
      </w:pPr>
      <w:r>
        <w:rPr>
          <w:rStyle w:val="FootnoteReference"/>
        </w:rPr>
        <w:footnoteRef/>
      </w:r>
      <w:r>
        <w:t xml:space="preserve"> </w:t>
      </w:r>
      <w:r w:rsidR="00BC3621">
        <w:rPr>
          <w:lang w:val="en-US"/>
        </w:rPr>
        <w:t>AHURI</w:t>
      </w:r>
      <w:r w:rsidR="00F73164">
        <w:rPr>
          <w:lang w:val="en-US"/>
        </w:rPr>
        <w:t>,</w:t>
      </w:r>
      <w:r w:rsidR="004A51DB">
        <w:rPr>
          <w:lang w:val="en-US"/>
        </w:rPr>
        <w:t xml:space="preserve"> </w:t>
      </w:r>
      <w:hyperlink r:id="rId11" w:history="1">
        <w:r w:rsidR="001831A0" w:rsidRPr="005F6B35">
          <w:rPr>
            <w:rStyle w:val="Hyperlink"/>
            <w:i/>
            <w:iCs/>
            <w:lang w:val="en-US"/>
          </w:rPr>
          <w:t>Brief: Understanding what is a ‘rent freeze’, a ‘rent cap’ or ‘rent control’</w:t>
        </w:r>
        <w:r w:rsidR="00F73164" w:rsidRPr="005F6B35">
          <w:rPr>
            <w:rStyle w:val="Hyperlink"/>
            <w:i/>
            <w:iCs/>
            <w:lang w:val="en-US"/>
          </w:rPr>
          <w:t>,</w:t>
        </w:r>
      </w:hyperlink>
      <w:r w:rsidR="00F73164">
        <w:rPr>
          <w:i/>
          <w:iCs/>
          <w:lang w:val="en-US"/>
        </w:rPr>
        <w:t xml:space="preserve"> </w:t>
      </w:r>
      <w:r w:rsidR="001F5EAC">
        <w:rPr>
          <w:lang w:val="en-US"/>
        </w:rPr>
        <w:t xml:space="preserve">27 June </w:t>
      </w:r>
      <w:r w:rsidR="00F73164" w:rsidRPr="00635CA9">
        <w:rPr>
          <w:lang w:val="en-US"/>
        </w:rPr>
        <w:t>2023</w:t>
      </w:r>
      <w:r w:rsidR="00846CEF">
        <w:rPr>
          <w:i/>
          <w:iCs/>
          <w:lang w:val="en-US"/>
        </w:rPr>
        <w:t xml:space="preserve">. </w:t>
      </w:r>
      <w:r w:rsidR="001831A0">
        <w:rPr>
          <w:i/>
          <w:iCs/>
          <w:lang w:val="en-US"/>
        </w:rPr>
        <w:t xml:space="preserve"> </w:t>
      </w:r>
    </w:p>
  </w:footnote>
  <w:footnote w:id="15">
    <w:p w14:paraId="0DF104AC" w14:textId="77777777" w:rsidR="00DF0C71" w:rsidRPr="000759B2" w:rsidRDefault="00DF0C71" w:rsidP="00DF0C71">
      <w:pPr>
        <w:pStyle w:val="FootnoteText"/>
        <w:rPr>
          <w:rStyle w:val="Hyperlink"/>
          <w:i/>
          <w:iCs/>
        </w:rPr>
      </w:pPr>
      <w:r>
        <w:rPr>
          <w:rStyle w:val="FootnoteReference"/>
        </w:rPr>
        <w:footnoteRef/>
      </w:r>
      <w:r>
        <w:t xml:space="preserve"> Liu, E., Martin, C. and Easthope, H. </w:t>
      </w:r>
      <w:r>
        <w:rPr>
          <w:i/>
          <w:iCs/>
        </w:rPr>
        <w:fldChar w:fldCharType="begin"/>
      </w:r>
      <w:r>
        <w:rPr>
          <w:i/>
          <w:iCs/>
        </w:rPr>
        <w:instrText>HYPERLINK "https://cityfutures.ada.unsw.edu.au/documents/544/poor_quality_housing_report_2019.pdf"</w:instrText>
      </w:r>
      <w:r>
        <w:rPr>
          <w:i/>
          <w:iCs/>
        </w:rPr>
      </w:r>
      <w:r>
        <w:rPr>
          <w:i/>
          <w:iCs/>
        </w:rPr>
        <w:fldChar w:fldCharType="separate"/>
      </w:r>
      <w:r w:rsidRPr="000759B2">
        <w:rPr>
          <w:rStyle w:val="Hyperlink"/>
          <w:i/>
          <w:iCs/>
        </w:rPr>
        <w:t xml:space="preserve">Poor-quality housing and low-income households Review of </w:t>
      </w:r>
    </w:p>
    <w:p w14:paraId="724CFB38" w14:textId="77777777" w:rsidR="00DF0C71" w:rsidRPr="000759B2" w:rsidRDefault="00DF0C71" w:rsidP="00DF0C71">
      <w:pPr>
        <w:pStyle w:val="FootnoteText"/>
      </w:pPr>
      <w:r w:rsidRPr="000759B2">
        <w:rPr>
          <w:rStyle w:val="Hyperlink"/>
          <w:i/>
          <w:iCs/>
        </w:rPr>
        <w:t>evidence and options for reform</w:t>
      </w:r>
      <w:r>
        <w:rPr>
          <w:i/>
          <w:iCs/>
        </w:rPr>
        <w:fldChar w:fldCharType="end"/>
      </w:r>
      <w:r>
        <w:t xml:space="preserve">; Shelter Brief no. 63; Sydney: UNSW City Futures Research Centre, 2019. </w:t>
      </w:r>
    </w:p>
  </w:footnote>
  <w:footnote w:id="16">
    <w:p w14:paraId="0E4E9127" w14:textId="77777777" w:rsidR="00DF0C71" w:rsidRPr="00A22D93" w:rsidRDefault="00DF0C71" w:rsidP="00DF0C71">
      <w:pPr>
        <w:pStyle w:val="FootnoteText"/>
      </w:pPr>
      <w:r>
        <w:rPr>
          <w:rStyle w:val="FootnoteReference"/>
        </w:rPr>
        <w:footnoteRef/>
      </w:r>
      <w:r>
        <w:t xml:space="preserve"> </w:t>
      </w:r>
      <w:r w:rsidRPr="00A22D93">
        <w:t>Better Renting, </w:t>
      </w:r>
      <w:hyperlink r:id="rId12" w:tgtFrame="_blank" w:history="1">
        <w:r w:rsidRPr="00A22D93">
          <w:rPr>
            <w:rStyle w:val="Hyperlink"/>
            <w:i/>
            <w:iCs/>
          </w:rPr>
          <w:t>Unsafe as houses: cold-housing deaths in the ACT</w:t>
        </w:r>
      </w:hyperlink>
      <w:r w:rsidRPr="00A22D93">
        <w:t>, Better Renting, Canberra, 2019</w:t>
      </w:r>
      <w:r>
        <w:t>.</w:t>
      </w:r>
    </w:p>
  </w:footnote>
  <w:footnote w:id="17">
    <w:p w14:paraId="772337BE" w14:textId="77777777" w:rsidR="00DF0C71" w:rsidRPr="00364EA3" w:rsidRDefault="00DF0C71" w:rsidP="00DF0C71">
      <w:pPr>
        <w:pStyle w:val="FootnoteText"/>
      </w:pPr>
      <w:r>
        <w:rPr>
          <w:rStyle w:val="FootnoteReference"/>
        </w:rPr>
        <w:footnoteRef/>
      </w:r>
      <w:r>
        <w:t xml:space="preserve"> </w:t>
      </w:r>
      <w:r w:rsidRPr="00364EA3">
        <w:t>Better Renting, </w:t>
      </w:r>
      <w:hyperlink r:id="rId13" w:tgtFrame="_blank" w:history="1">
        <w:r w:rsidRPr="00364EA3">
          <w:rPr>
            <w:rStyle w:val="Hyperlink"/>
            <w:i/>
            <w:iCs/>
          </w:rPr>
          <w:t>Frozen out: the burden of energy deficiency on people who rent</w:t>
        </w:r>
      </w:hyperlink>
      <w:r w:rsidRPr="00364EA3">
        <w:t>, Better Renting, Canberra, 2018</w:t>
      </w:r>
      <w:r>
        <w:t>.</w:t>
      </w:r>
    </w:p>
  </w:footnote>
  <w:footnote w:id="18">
    <w:p w14:paraId="1D1E652B" w14:textId="77777777" w:rsidR="00DF0C71" w:rsidRPr="00364EA3" w:rsidRDefault="00DF0C71" w:rsidP="00DF0C71">
      <w:pPr>
        <w:pStyle w:val="FootnoteText"/>
      </w:pPr>
      <w:r>
        <w:rPr>
          <w:rStyle w:val="FootnoteReference"/>
        </w:rPr>
        <w:footnoteRef/>
      </w:r>
      <w:r>
        <w:t xml:space="preserve"> </w:t>
      </w:r>
      <w:r w:rsidRPr="00364EA3">
        <w:t>Better Renting, </w:t>
      </w:r>
      <w:hyperlink r:id="rId14" w:tgtFrame="_blank" w:history="1">
        <w:r w:rsidRPr="00364EA3">
          <w:rPr>
            <w:rStyle w:val="Hyperlink"/>
            <w:i/>
            <w:iCs/>
          </w:rPr>
          <w:t>Baby it’s cold inside: energy efficiency ratings in the ACT</w:t>
        </w:r>
      </w:hyperlink>
      <w:r w:rsidRPr="00364EA3">
        <w:t>, Better Renting, Canberra, 2019</w:t>
      </w:r>
      <w:r>
        <w:t>.</w:t>
      </w:r>
    </w:p>
  </w:footnote>
  <w:footnote w:id="19">
    <w:p w14:paraId="321BE0E3" w14:textId="77777777" w:rsidR="00DF0C71" w:rsidRPr="0058511B" w:rsidRDefault="00DF0C71" w:rsidP="00DF0C71">
      <w:pPr>
        <w:pStyle w:val="FootnoteText"/>
        <w:rPr>
          <w:lang w:val="en-GB"/>
        </w:rPr>
      </w:pPr>
      <w:r>
        <w:rPr>
          <w:rStyle w:val="FootnoteReference"/>
        </w:rPr>
        <w:footnoteRef/>
      </w:r>
      <w:r>
        <w:t xml:space="preserve"> </w:t>
      </w:r>
      <w:r>
        <w:rPr>
          <w:lang w:val="en-GB"/>
        </w:rPr>
        <w:t xml:space="preserve">Healthy Homes for Renters, </w:t>
      </w:r>
      <w:hyperlink r:id="rId15" w:history="1">
        <w:r w:rsidRPr="009C1730">
          <w:rPr>
            <w:rStyle w:val="Hyperlink"/>
            <w:i/>
            <w:iCs/>
          </w:rPr>
          <w:t>Community Sector Blueprint: a National Framework for Minimum Energy Efficiency Rental Requirements</w:t>
        </w:r>
      </w:hyperlink>
      <w:r w:rsidRPr="009C1730">
        <w:rPr>
          <w:i/>
          <w:iCs/>
          <w:lang w:val="en-GB"/>
        </w:rPr>
        <w:t xml:space="preserve">, </w:t>
      </w:r>
      <w:r>
        <w:rPr>
          <w:lang w:val="en-GB"/>
        </w:rPr>
        <w:t>Healthy Homes for Renters, 28 November 2022.</w:t>
      </w:r>
    </w:p>
  </w:footnote>
  <w:footnote w:id="20">
    <w:p w14:paraId="11B08B49" w14:textId="359A7EAD" w:rsidR="009B2F2D" w:rsidRPr="00080268" w:rsidRDefault="009B2F2D">
      <w:pPr>
        <w:pStyle w:val="FootnoteText"/>
      </w:pPr>
      <w:r>
        <w:rPr>
          <w:rStyle w:val="FootnoteReference"/>
        </w:rPr>
        <w:footnoteRef/>
      </w:r>
      <w:r>
        <w:t xml:space="preserve"> </w:t>
      </w:r>
      <w:r w:rsidR="00080268" w:rsidRPr="005526BF">
        <w:t xml:space="preserve">Productivity Commission, </w:t>
      </w:r>
      <w:r w:rsidR="00080268" w:rsidRPr="005526BF">
        <w:rPr>
          <w:i/>
          <w:iCs/>
        </w:rPr>
        <w:t>Report on Government Services 2023 - G Housing and homelessness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8E2"/>
    <w:multiLevelType w:val="multilevel"/>
    <w:tmpl w:val="3FECA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086A7B"/>
    <w:multiLevelType w:val="multilevel"/>
    <w:tmpl w:val="89F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96E12"/>
    <w:multiLevelType w:val="hybridMultilevel"/>
    <w:tmpl w:val="BE0A2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75271"/>
    <w:multiLevelType w:val="multilevel"/>
    <w:tmpl w:val="152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34909"/>
    <w:multiLevelType w:val="multilevel"/>
    <w:tmpl w:val="62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E7215"/>
    <w:multiLevelType w:val="hybridMultilevel"/>
    <w:tmpl w:val="B2F4A790"/>
    <w:lvl w:ilvl="0" w:tplc="4540144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D5999"/>
    <w:multiLevelType w:val="multilevel"/>
    <w:tmpl w:val="18C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C1FD1"/>
    <w:multiLevelType w:val="multilevel"/>
    <w:tmpl w:val="A81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47E24"/>
    <w:multiLevelType w:val="multilevel"/>
    <w:tmpl w:val="EAD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D61A07"/>
    <w:multiLevelType w:val="multilevel"/>
    <w:tmpl w:val="77D6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371B9"/>
    <w:multiLevelType w:val="hybridMultilevel"/>
    <w:tmpl w:val="1C84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1049ED"/>
    <w:multiLevelType w:val="hybridMultilevel"/>
    <w:tmpl w:val="4574DC46"/>
    <w:lvl w:ilvl="0" w:tplc="4540144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60E7D"/>
    <w:multiLevelType w:val="multilevel"/>
    <w:tmpl w:val="164A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6A493D"/>
    <w:multiLevelType w:val="multilevel"/>
    <w:tmpl w:val="EBD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5849C4"/>
    <w:multiLevelType w:val="hybridMultilevel"/>
    <w:tmpl w:val="3FA64C50"/>
    <w:lvl w:ilvl="0" w:tplc="4540144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232E5"/>
    <w:multiLevelType w:val="multilevel"/>
    <w:tmpl w:val="90F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E7212C"/>
    <w:multiLevelType w:val="hybridMultilevel"/>
    <w:tmpl w:val="816CAA9C"/>
    <w:lvl w:ilvl="0" w:tplc="4540144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402679"/>
    <w:multiLevelType w:val="multilevel"/>
    <w:tmpl w:val="3C7E1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4936907">
    <w:abstractNumId w:val="17"/>
  </w:num>
  <w:num w:numId="2" w16cid:durableId="1097747051">
    <w:abstractNumId w:val="0"/>
  </w:num>
  <w:num w:numId="3" w16cid:durableId="991520586">
    <w:abstractNumId w:val="13"/>
  </w:num>
  <w:num w:numId="4" w16cid:durableId="689917291">
    <w:abstractNumId w:val="15"/>
  </w:num>
  <w:num w:numId="5" w16cid:durableId="143086884">
    <w:abstractNumId w:val="2"/>
  </w:num>
  <w:num w:numId="6" w16cid:durableId="1401827885">
    <w:abstractNumId w:val="3"/>
  </w:num>
  <w:num w:numId="7" w16cid:durableId="1360007130">
    <w:abstractNumId w:val="7"/>
  </w:num>
  <w:num w:numId="8" w16cid:durableId="1114448350">
    <w:abstractNumId w:val="1"/>
  </w:num>
  <w:num w:numId="9" w16cid:durableId="735477224">
    <w:abstractNumId w:val="8"/>
  </w:num>
  <w:num w:numId="10" w16cid:durableId="126238361">
    <w:abstractNumId w:val="9"/>
  </w:num>
  <w:num w:numId="11" w16cid:durableId="840196596">
    <w:abstractNumId w:val="6"/>
  </w:num>
  <w:num w:numId="12" w16cid:durableId="601298593">
    <w:abstractNumId w:val="4"/>
  </w:num>
  <w:num w:numId="13" w16cid:durableId="1253469333">
    <w:abstractNumId w:val="12"/>
  </w:num>
  <w:num w:numId="14" w16cid:durableId="1190534107">
    <w:abstractNumId w:val="10"/>
  </w:num>
  <w:num w:numId="15" w16cid:durableId="414009542">
    <w:abstractNumId w:val="11"/>
  </w:num>
  <w:num w:numId="16" w16cid:durableId="258414772">
    <w:abstractNumId w:val="16"/>
  </w:num>
  <w:num w:numId="17" w16cid:durableId="111285131">
    <w:abstractNumId w:val="14"/>
  </w:num>
  <w:num w:numId="18" w16cid:durableId="562329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4ACA"/>
    <w:rsid w:val="00005B33"/>
    <w:rsid w:val="0000699A"/>
    <w:rsid w:val="000107DB"/>
    <w:rsid w:val="00011B94"/>
    <w:rsid w:val="00011F29"/>
    <w:rsid w:val="0001509E"/>
    <w:rsid w:val="000206C8"/>
    <w:rsid w:val="0002156D"/>
    <w:rsid w:val="000234B6"/>
    <w:rsid w:val="00023D3C"/>
    <w:rsid w:val="00024BD8"/>
    <w:rsid w:val="00027519"/>
    <w:rsid w:val="00027E2B"/>
    <w:rsid w:val="000314B7"/>
    <w:rsid w:val="00031F65"/>
    <w:rsid w:val="00036BE1"/>
    <w:rsid w:val="0004085E"/>
    <w:rsid w:val="00041B85"/>
    <w:rsid w:val="00051A38"/>
    <w:rsid w:val="0005293C"/>
    <w:rsid w:val="0005447F"/>
    <w:rsid w:val="00055698"/>
    <w:rsid w:val="00056799"/>
    <w:rsid w:val="00060C46"/>
    <w:rsid w:val="000708BB"/>
    <w:rsid w:val="000759B2"/>
    <w:rsid w:val="0007621B"/>
    <w:rsid w:val="0007756C"/>
    <w:rsid w:val="00080268"/>
    <w:rsid w:val="00080AFA"/>
    <w:rsid w:val="000821EC"/>
    <w:rsid w:val="000824A3"/>
    <w:rsid w:val="00082612"/>
    <w:rsid w:val="000826B6"/>
    <w:rsid w:val="00084794"/>
    <w:rsid w:val="000855FE"/>
    <w:rsid w:val="000928BE"/>
    <w:rsid w:val="0009413E"/>
    <w:rsid w:val="000947BD"/>
    <w:rsid w:val="000A20D7"/>
    <w:rsid w:val="000A360E"/>
    <w:rsid w:val="000A6EA7"/>
    <w:rsid w:val="000B1E87"/>
    <w:rsid w:val="000B3C47"/>
    <w:rsid w:val="000B4600"/>
    <w:rsid w:val="000B4FA4"/>
    <w:rsid w:val="000B5543"/>
    <w:rsid w:val="000B7907"/>
    <w:rsid w:val="000B7DCE"/>
    <w:rsid w:val="000C0888"/>
    <w:rsid w:val="000C0F7C"/>
    <w:rsid w:val="000C1ED6"/>
    <w:rsid w:val="000C296B"/>
    <w:rsid w:val="000C5308"/>
    <w:rsid w:val="000C6D96"/>
    <w:rsid w:val="000D0258"/>
    <w:rsid w:val="000D2800"/>
    <w:rsid w:val="000D2B06"/>
    <w:rsid w:val="000D730C"/>
    <w:rsid w:val="000E2067"/>
    <w:rsid w:val="000E2EB6"/>
    <w:rsid w:val="000E4DDE"/>
    <w:rsid w:val="000E6A7F"/>
    <w:rsid w:val="000F09D7"/>
    <w:rsid w:val="000F1D33"/>
    <w:rsid w:val="000F3213"/>
    <w:rsid w:val="000F354B"/>
    <w:rsid w:val="000F3A7D"/>
    <w:rsid w:val="000F3D06"/>
    <w:rsid w:val="000F592E"/>
    <w:rsid w:val="00103797"/>
    <w:rsid w:val="001044C3"/>
    <w:rsid w:val="00105214"/>
    <w:rsid w:val="001070CA"/>
    <w:rsid w:val="001115B8"/>
    <w:rsid w:val="0011571C"/>
    <w:rsid w:val="001165F2"/>
    <w:rsid w:val="00121BAF"/>
    <w:rsid w:val="00123E97"/>
    <w:rsid w:val="00125533"/>
    <w:rsid w:val="00127DA9"/>
    <w:rsid w:val="0013551B"/>
    <w:rsid w:val="00135657"/>
    <w:rsid w:val="00137691"/>
    <w:rsid w:val="00142433"/>
    <w:rsid w:val="001445DE"/>
    <w:rsid w:val="00156855"/>
    <w:rsid w:val="00162AFF"/>
    <w:rsid w:val="00163791"/>
    <w:rsid w:val="00165315"/>
    <w:rsid w:val="00165FE7"/>
    <w:rsid w:val="00170945"/>
    <w:rsid w:val="00172995"/>
    <w:rsid w:val="001730BD"/>
    <w:rsid w:val="00180380"/>
    <w:rsid w:val="001805CA"/>
    <w:rsid w:val="001831A0"/>
    <w:rsid w:val="001831BE"/>
    <w:rsid w:val="00186695"/>
    <w:rsid w:val="00187D96"/>
    <w:rsid w:val="0019454A"/>
    <w:rsid w:val="001A046C"/>
    <w:rsid w:val="001A1E03"/>
    <w:rsid w:val="001A2F57"/>
    <w:rsid w:val="001A480A"/>
    <w:rsid w:val="001A7893"/>
    <w:rsid w:val="001B0D65"/>
    <w:rsid w:val="001B1884"/>
    <w:rsid w:val="001B22BB"/>
    <w:rsid w:val="001C0A0D"/>
    <w:rsid w:val="001C1509"/>
    <w:rsid w:val="001C57B8"/>
    <w:rsid w:val="001C7C64"/>
    <w:rsid w:val="001C7F3C"/>
    <w:rsid w:val="001D16D7"/>
    <w:rsid w:val="001D4878"/>
    <w:rsid w:val="001D5D00"/>
    <w:rsid w:val="001D627D"/>
    <w:rsid w:val="001E05A5"/>
    <w:rsid w:val="001E15B7"/>
    <w:rsid w:val="001E66B5"/>
    <w:rsid w:val="001E6C13"/>
    <w:rsid w:val="001F3B79"/>
    <w:rsid w:val="001F3BAD"/>
    <w:rsid w:val="001F419F"/>
    <w:rsid w:val="001F4F4C"/>
    <w:rsid w:val="001F5895"/>
    <w:rsid w:val="001F58FA"/>
    <w:rsid w:val="001F5EAC"/>
    <w:rsid w:val="00204FCA"/>
    <w:rsid w:val="00206285"/>
    <w:rsid w:val="00210CCC"/>
    <w:rsid w:val="00212FC4"/>
    <w:rsid w:val="00213A88"/>
    <w:rsid w:val="00213B54"/>
    <w:rsid w:val="002143B4"/>
    <w:rsid w:val="0021484E"/>
    <w:rsid w:val="002174B2"/>
    <w:rsid w:val="0022049E"/>
    <w:rsid w:val="002218C5"/>
    <w:rsid w:val="0022490D"/>
    <w:rsid w:val="00226A86"/>
    <w:rsid w:val="00230A06"/>
    <w:rsid w:val="00230DA0"/>
    <w:rsid w:val="00231215"/>
    <w:rsid w:val="00245581"/>
    <w:rsid w:val="002462C9"/>
    <w:rsid w:val="00251F94"/>
    <w:rsid w:val="00253005"/>
    <w:rsid w:val="00255C00"/>
    <w:rsid w:val="00260076"/>
    <w:rsid w:val="00260B9B"/>
    <w:rsid w:val="002613E8"/>
    <w:rsid w:val="002650E5"/>
    <w:rsid w:val="00272E36"/>
    <w:rsid w:val="00274F73"/>
    <w:rsid w:val="00282A36"/>
    <w:rsid w:val="00290757"/>
    <w:rsid w:val="0029323B"/>
    <w:rsid w:val="002939C0"/>
    <w:rsid w:val="00295678"/>
    <w:rsid w:val="002A0050"/>
    <w:rsid w:val="002A0B56"/>
    <w:rsid w:val="002A1410"/>
    <w:rsid w:val="002A1F9F"/>
    <w:rsid w:val="002A209F"/>
    <w:rsid w:val="002A3AD1"/>
    <w:rsid w:val="002A4D5C"/>
    <w:rsid w:val="002A7760"/>
    <w:rsid w:val="002B1A33"/>
    <w:rsid w:val="002B588A"/>
    <w:rsid w:val="002C0C38"/>
    <w:rsid w:val="002C12F1"/>
    <w:rsid w:val="002C2C0D"/>
    <w:rsid w:val="002C5B45"/>
    <w:rsid w:val="002C6307"/>
    <w:rsid w:val="002C6CDC"/>
    <w:rsid w:val="002C7902"/>
    <w:rsid w:val="002D437C"/>
    <w:rsid w:val="002D6E5E"/>
    <w:rsid w:val="002E2263"/>
    <w:rsid w:val="002E2907"/>
    <w:rsid w:val="002E4947"/>
    <w:rsid w:val="002F0591"/>
    <w:rsid w:val="002F1AE8"/>
    <w:rsid w:val="002F2260"/>
    <w:rsid w:val="002F3C14"/>
    <w:rsid w:val="002F465D"/>
    <w:rsid w:val="002F4E9A"/>
    <w:rsid w:val="002F5896"/>
    <w:rsid w:val="0030080C"/>
    <w:rsid w:val="00301FFE"/>
    <w:rsid w:val="00303730"/>
    <w:rsid w:val="003048EA"/>
    <w:rsid w:val="003048EE"/>
    <w:rsid w:val="003060B4"/>
    <w:rsid w:val="003071C0"/>
    <w:rsid w:val="003109CE"/>
    <w:rsid w:val="00314B21"/>
    <w:rsid w:val="00315530"/>
    <w:rsid w:val="00321271"/>
    <w:rsid w:val="00321734"/>
    <w:rsid w:val="00323777"/>
    <w:rsid w:val="00323DF4"/>
    <w:rsid w:val="003240E8"/>
    <w:rsid w:val="0033040B"/>
    <w:rsid w:val="0033111C"/>
    <w:rsid w:val="00341469"/>
    <w:rsid w:val="0034410C"/>
    <w:rsid w:val="003523FB"/>
    <w:rsid w:val="00356646"/>
    <w:rsid w:val="00357B7A"/>
    <w:rsid w:val="00360005"/>
    <w:rsid w:val="0036371F"/>
    <w:rsid w:val="00364EA3"/>
    <w:rsid w:val="00366FF9"/>
    <w:rsid w:val="003724D7"/>
    <w:rsid w:val="00373575"/>
    <w:rsid w:val="00375E24"/>
    <w:rsid w:val="00376401"/>
    <w:rsid w:val="00381781"/>
    <w:rsid w:val="0038425B"/>
    <w:rsid w:val="00384AB7"/>
    <w:rsid w:val="00385E3D"/>
    <w:rsid w:val="0038749A"/>
    <w:rsid w:val="003901E4"/>
    <w:rsid w:val="00391923"/>
    <w:rsid w:val="003924B8"/>
    <w:rsid w:val="003A2943"/>
    <w:rsid w:val="003A31AE"/>
    <w:rsid w:val="003A7754"/>
    <w:rsid w:val="003B5438"/>
    <w:rsid w:val="003C0FEB"/>
    <w:rsid w:val="003C39FF"/>
    <w:rsid w:val="003C48F5"/>
    <w:rsid w:val="003C6DF6"/>
    <w:rsid w:val="003D00A3"/>
    <w:rsid w:val="003D40AE"/>
    <w:rsid w:val="003D431A"/>
    <w:rsid w:val="003D4DCD"/>
    <w:rsid w:val="003D5E09"/>
    <w:rsid w:val="003D7AEC"/>
    <w:rsid w:val="003E0415"/>
    <w:rsid w:val="003E1CAB"/>
    <w:rsid w:val="003E43C5"/>
    <w:rsid w:val="003E61CD"/>
    <w:rsid w:val="003E6891"/>
    <w:rsid w:val="003E7898"/>
    <w:rsid w:val="003F1B5D"/>
    <w:rsid w:val="003F2CE1"/>
    <w:rsid w:val="003F5BA8"/>
    <w:rsid w:val="003F6EB0"/>
    <w:rsid w:val="00400C8A"/>
    <w:rsid w:val="00401D52"/>
    <w:rsid w:val="00402A2A"/>
    <w:rsid w:val="00404425"/>
    <w:rsid w:val="00404956"/>
    <w:rsid w:val="00413CC4"/>
    <w:rsid w:val="00416FA4"/>
    <w:rsid w:val="00417D6E"/>
    <w:rsid w:val="00420575"/>
    <w:rsid w:val="00421C7B"/>
    <w:rsid w:val="00421D22"/>
    <w:rsid w:val="00424F53"/>
    <w:rsid w:val="00425424"/>
    <w:rsid w:val="00425C82"/>
    <w:rsid w:val="0042691C"/>
    <w:rsid w:val="004269A0"/>
    <w:rsid w:val="00427A17"/>
    <w:rsid w:val="00427E31"/>
    <w:rsid w:val="0043093C"/>
    <w:rsid w:val="00430D6F"/>
    <w:rsid w:val="0043312C"/>
    <w:rsid w:val="00433B9B"/>
    <w:rsid w:val="00434072"/>
    <w:rsid w:val="004350EC"/>
    <w:rsid w:val="0043631B"/>
    <w:rsid w:val="00436AF7"/>
    <w:rsid w:val="004452AE"/>
    <w:rsid w:val="00451A34"/>
    <w:rsid w:val="00452A5F"/>
    <w:rsid w:val="00452F00"/>
    <w:rsid w:val="004554AD"/>
    <w:rsid w:val="00456938"/>
    <w:rsid w:val="00461372"/>
    <w:rsid w:val="0046195D"/>
    <w:rsid w:val="00463409"/>
    <w:rsid w:val="00464516"/>
    <w:rsid w:val="00464798"/>
    <w:rsid w:val="00467004"/>
    <w:rsid w:val="0046711E"/>
    <w:rsid w:val="00467A3B"/>
    <w:rsid w:val="00470B72"/>
    <w:rsid w:val="00475094"/>
    <w:rsid w:val="0047532E"/>
    <w:rsid w:val="0047699D"/>
    <w:rsid w:val="00480AA3"/>
    <w:rsid w:val="00481E6C"/>
    <w:rsid w:val="004835EC"/>
    <w:rsid w:val="00484F68"/>
    <w:rsid w:val="00490310"/>
    <w:rsid w:val="004917A9"/>
    <w:rsid w:val="004972E6"/>
    <w:rsid w:val="004A2A94"/>
    <w:rsid w:val="004A39B6"/>
    <w:rsid w:val="004A51DB"/>
    <w:rsid w:val="004A5EF9"/>
    <w:rsid w:val="004B0F70"/>
    <w:rsid w:val="004B2CFD"/>
    <w:rsid w:val="004B382E"/>
    <w:rsid w:val="004C0402"/>
    <w:rsid w:val="004C1A25"/>
    <w:rsid w:val="004C5540"/>
    <w:rsid w:val="004D28FE"/>
    <w:rsid w:val="004D3FA1"/>
    <w:rsid w:val="004E4FCE"/>
    <w:rsid w:val="004E592C"/>
    <w:rsid w:val="004E79C0"/>
    <w:rsid w:val="004E7CD0"/>
    <w:rsid w:val="004F08F8"/>
    <w:rsid w:val="004F3574"/>
    <w:rsid w:val="004F5370"/>
    <w:rsid w:val="004F674D"/>
    <w:rsid w:val="004F7FBD"/>
    <w:rsid w:val="0050070F"/>
    <w:rsid w:val="00500AB2"/>
    <w:rsid w:val="005011FD"/>
    <w:rsid w:val="005047E5"/>
    <w:rsid w:val="00505DDA"/>
    <w:rsid w:val="005063D5"/>
    <w:rsid w:val="005146DE"/>
    <w:rsid w:val="00531E58"/>
    <w:rsid w:val="00533603"/>
    <w:rsid w:val="00533D91"/>
    <w:rsid w:val="00534CC1"/>
    <w:rsid w:val="00534D86"/>
    <w:rsid w:val="0053773F"/>
    <w:rsid w:val="00541B42"/>
    <w:rsid w:val="00542E05"/>
    <w:rsid w:val="00545492"/>
    <w:rsid w:val="00547728"/>
    <w:rsid w:val="005521AE"/>
    <w:rsid w:val="005526BF"/>
    <w:rsid w:val="00553DB2"/>
    <w:rsid w:val="00555211"/>
    <w:rsid w:val="005571D9"/>
    <w:rsid w:val="005574B4"/>
    <w:rsid w:val="005624AC"/>
    <w:rsid w:val="00563A7F"/>
    <w:rsid w:val="00567946"/>
    <w:rsid w:val="0057007D"/>
    <w:rsid w:val="0057331E"/>
    <w:rsid w:val="005745A9"/>
    <w:rsid w:val="00576594"/>
    <w:rsid w:val="00577195"/>
    <w:rsid w:val="00580859"/>
    <w:rsid w:val="00583031"/>
    <w:rsid w:val="0058511B"/>
    <w:rsid w:val="00586087"/>
    <w:rsid w:val="0058617D"/>
    <w:rsid w:val="00590FB9"/>
    <w:rsid w:val="005913E0"/>
    <w:rsid w:val="005927E4"/>
    <w:rsid w:val="005956E9"/>
    <w:rsid w:val="00597E29"/>
    <w:rsid w:val="005A1D4E"/>
    <w:rsid w:val="005A37D4"/>
    <w:rsid w:val="005A4ACA"/>
    <w:rsid w:val="005A4CC9"/>
    <w:rsid w:val="005A5204"/>
    <w:rsid w:val="005A71C6"/>
    <w:rsid w:val="005B038E"/>
    <w:rsid w:val="005B2409"/>
    <w:rsid w:val="005B2569"/>
    <w:rsid w:val="005B25A6"/>
    <w:rsid w:val="005B73DC"/>
    <w:rsid w:val="005C092F"/>
    <w:rsid w:val="005C0E55"/>
    <w:rsid w:val="005C21C1"/>
    <w:rsid w:val="005C7236"/>
    <w:rsid w:val="005C758B"/>
    <w:rsid w:val="005D3334"/>
    <w:rsid w:val="005D3EFB"/>
    <w:rsid w:val="005D47BE"/>
    <w:rsid w:val="005D4DDF"/>
    <w:rsid w:val="005E49FF"/>
    <w:rsid w:val="005E4A8A"/>
    <w:rsid w:val="005E55AB"/>
    <w:rsid w:val="005E7488"/>
    <w:rsid w:val="005F4B1C"/>
    <w:rsid w:val="005F4FC8"/>
    <w:rsid w:val="005F6B35"/>
    <w:rsid w:val="006028F7"/>
    <w:rsid w:val="00605258"/>
    <w:rsid w:val="00605C0B"/>
    <w:rsid w:val="00606272"/>
    <w:rsid w:val="00612C90"/>
    <w:rsid w:val="00613B99"/>
    <w:rsid w:val="00614204"/>
    <w:rsid w:val="00614A87"/>
    <w:rsid w:val="00615A36"/>
    <w:rsid w:val="00621E13"/>
    <w:rsid w:val="0062490A"/>
    <w:rsid w:val="00626E9C"/>
    <w:rsid w:val="006277D6"/>
    <w:rsid w:val="00630A18"/>
    <w:rsid w:val="00631245"/>
    <w:rsid w:val="00634B7E"/>
    <w:rsid w:val="00634C7B"/>
    <w:rsid w:val="00635CA9"/>
    <w:rsid w:val="006376C8"/>
    <w:rsid w:val="006431A7"/>
    <w:rsid w:val="00643AAA"/>
    <w:rsid w:val="00650015"/>
    <w:rsid w:val="00654139"/>
    <w:rsid w:val="006550A4"/>
    <w:rsid w:val="00655736"/>
    <w:rsid w:val="0065667C"/>
    <w:rsid w:val="0066274F"/>
    <w:rsid w:val="00663A8E"/>
    <w:rsid w:val="00664B6B"/>
    <w:rsid w:val="006706E4"/>
    <w:rsid w:val="00671940"/>
    <w:rsid w:val="00674AE1"/>
    <w:rsid w:val="00676387"/>
    <w:rsid w:val="00676FFD"/>
    <w:rsid w:val="00683E38"/>
    <w:rsid w:val="00684982"/>
    <w:rsid w:val="00684AA8"/>
    <w:rsid w:val="006954BD"/>
    <w:rsid w:val="006A08D1"/>
    <w:rsid w:val="006A1F9B"/>
    <w:rsid w:val="006A402E"/>
    <w:rsid w:val="006B0A80"/>
    <w:rsid w:val="006B27EA"/>
    <w:rsid w:val="006B5DC1"/>
    <w:rsid w:val="006B6988"/>
    <w:rsid w:val="006B77EA"/>
    <w:rsid w:val="006C41F1"/>
    <w:rsid w:val="006C4230"/>
    <w:rsid w:val="006C7686"/>
    <w:rsid w:val="006C7D0A"/>
    <w:rsid w:val="006D02E5"/>
    <w:rsid w:val="006D0EF1"/>
    <w:rsid w:val="006D15F5"/>
    <w:rsid w:val="006D2728"/>
    <w:rsid w:val="006D2C99"/>
    <w:rsid w:val="006D3A68"/>
    <w:rsid w:val="006E6C23"/>
    <w:rsid w:val="006F4755"/>
    <w:rsid w:val="006F4F09"/>
    <w:rsid w:val="006F5842"/>
    <w:rsid w:val="006F5CBA"/>
    <w:rsid w:val="007030DC"/>
    <w:rsid w:val="00704293"/>
    <w:rsid w:val="00705881"/>
    <w:rsid w:val="00705DE7"/>
    <w:rsid w:val="00706152"/>
    <w:rsid w:val="007073AF"/>
    <w:rsid w:val="007100DF"/>
    <w:rsid w:val="00710827"/>
    <w:rsid w:val="007119A1"/>
    <w:rsid w:val="00711DCD"/>
    <w:rsid w:val="00716094"/>
    <w:rsid w:val="00716D5F"/>
    <w:rsid w:val="007229DD"/>
    <w:rsid w:val="00722C36"/>
    <w:rsid w:val="00724C75"/>
    <w:rsid w:val="0072652B"/>
    <w:rsid w:val="00726CA0"/>
    <w:rsid w:val="007309E4"/>
    <w:rsid w:val="00731715"/>
    <w:rsid w:val="007332FE"/>
    <w:rsid w:val="00740083"/>
    <w:rsid w:val="00742793"/>
    <w:rsid w:val="00745E40"/>
    <w:rsid w:val="00750BF0"/>
    <w:rsid w:val="00751E84"/>
    <w:rsid w:val="00752EDF"/>
    <w:rsid w:val="00757BDA"/>
    <w:rsid w:val="00757F77"/>
    <w:rsid w:val="00761C5F"/>
    <w:rsid w:val="007637F2"/>
    <w:rsid w:val="00766F04"/>
    <w:rsid w:val="00767D12"/>
    <w:rsid w:val="00770BE4"/>
    <w:rsid w:val="00770F1C"/>
    <w:rsid w:val="00771095"/>
    <w:rsid w:val="0077158B"/>
    <w:rsid w:val="00772678"/>
    <w:rsid w:val="007731A8"/>
    <w:rsid w:val="00775DAE"/>
    <w:rsid w:val="007764A7"/>
    <w:rsid w:val="00782FD0"/>
    <w:rsid w:val="007846E5"/>
    <w:rsid w:val="00784AE6"/>
    <w:rsid w:val="00790A4B"/>
    <w:rsid w:val="007916C1"/>
    <w:rsid w:val="00792B8E"/>
    <w:rsid w:val="00796D79"/>
    <w:rsid w:val="007975BA"/>
    <w:rsid w:val="007A3A23"/>
    <w:rsid w:val="007A7452"/>
    <w:rsid w:val="007A7C07"/>
    <w:rsid w:val="007B6A1B"/>
    <w:rsid w:val="007C60D8"/>
    <w:rsid w:val="007C7C48"/>
    <w:rsid w:val="007D1DFB"/>
    <w:rsid w:val="007D3DF2"/>
    <w:rsid w:val="007D5E2F"/>
    <w:rsid w:val="007D6EB4"/>
    <w:rsid w:val="007E0E31"/>
    <w:rsid w:val="007E10D2"/>
    <w:rsid w:val="007E51DB"/>
    <w:rsid w:val="007E78B0"/>
    <w:rsid w:val="007F1B06"/>
    <w:rsid w:val="007F5385"/>
    <w:rsid w:val="007F5642"/>
    <w:rsid w:val="0080087A"/>
    <w:rsid w:val="00800B28"/>
    <w:rsid w:val="00801655"/>
    <w:rsid w:val="00802C17"/>
    <w:rsid w:val="00805128"/>
    <w:rsid w:val="00817D03"/>
    <w:rsid w:val="00825FAD"/>
    <w:rsid w:val="00833959"/>
    <w:rsid w:val="0083420B"/>
    <w:rsid w:val="00834A1A"/>
    <w:rsid w:val="00837402"/>
    <w:rsid w:val="00837651"/>
    <w:rsid w:val="0084482C"/>
    <w:rsid w:val="008456D4"/>
    <w:rsid w:val="00846CEF"/>
    <w:rsid w:val="00846DF3"/>
    <w:rsid w:val="00850BEB"/>
    <w:rsid w:val="00852481"/>
    <w:rsid w:val="00864A66"/>
    <w:rsid w:val="0086559F"/>
    <w:rsid w:val="00867900"/>
    <w:rsid w:val="00871F9C"/>
    <w:rsid w:val="00873090"/>
    <w:rsid w:val="008804F6"/>
    <w:rsid w:val="00880E9C"/>
    <w:rsid w:val="008838FB"/>
    <w:rsid w:val="00883B79"/>
    <w:rsid w:val="00884D01"/>
    <w:rsid w:val="00886FCF"/>
    <w:rsid w:val="00890489"/>
    <w:rsid w:val="0089308C"/>
    <w:rsid w:val="00893C2D"/>
    <w:rsid w:val="008951D2"/>
    <w:rsid w:val="00895AB6"/>
    <w:rsid w:val="008A3138"/>
    <w:rsid w:val="008B45AC"/>
    <w:rsid w:val="008B5665"/>
    <w:rsid w:val="008C29D0"/>
    <w:rsid w:val="008C34B4"/>
    <w:rsid w:val="008C3E8E"/>
    <w:rsid w:val="008C5206"/>
    <w:rsid w:val="008D1AA3"/>
    <w:rsid w:val="008D314E"/>
    <w:rsid w:val="008D4FBC"/>
    <w:rsid w:val="008E3791"/>
    <w:rsid w:val="008E6B1E"/>
    <w:rsid w:val="008F122B"/>
    <w:rsid w:val="008F3642"/>
    <w:rsid w:val="008F38A0"/>
    <w:rsid w:val="008F3998"/>
    <w:rsid w:val="008F3A2E"/>
    <w:rsid w:val="008F595B"/>
    <w:rsid w:val="008F7B86"/>
    <w:rsid w:val="00901CF1"/>
    <w:rsid w:val="0090687D"/>
    <w:rsid w:val="00912209"/>
    <w:rsid w:val="009203EE"/>
    <w:rsid w:val="00921293"/>
    <w:rsid w:val="00922AB7"/>
    <w:rsid w:val="00924BB4"/>
    <w:rsid w:val="009256C4"/>
    <w:rsid w:val="00925857"/>
    <w:rsid w:val="009304C6"/>
    <w:rsid w:val="00932AF1"/>
    <w:rsid w:val="009343F1"/>
    <w:rsid w:val="00941884"/>
    <w:rsid w:val="00945335"/>
    <w:rsid w:val="00945D93"/>
    <w:rsid w:val="0095006E"/>
    <w:rsid w:val="00951CA0"/>
    <w:rsid w:val="009573C0"/>
    <w:rsid w:val="009612E1"/>
    <w:rsid w:val="0096568E"/>
    <w:rsid w:val="00966240"/>
    <w:rsid w:val="00967BC7"/>
    <w:rsid w:val="00971DBF"/>
    <w:rsid w:val="00976960"/>
    <w:rsid w:val="00990978"/>
    <w:rsid w:val="00990BC2"/>
    <w:rsid w:val="00993B7F"/>
    <w:rsid w:val="00995A01"/>
    <w:rsid w:val="0099697B"/>
    <w:rsid w:val="009A06E1"/>
    <w:rsid w:val="009A17BD"/>
    <w:rsid w:val="009A56A2"/>
    <w:rsid w:val="009A65FB"/>
    <w:rsid w:val="009A67AD"/>
    <w:rsid w:val="009B2F2D"/>
    <w:rsid w:val="009B4CDE"/>
    <w:rsid w:val="009B60EA"/>
    <w:rsid w:val="009B68FD"/>
    <w:rsid w:val="009C1730"/>
    <w:rsid w:val="009C6004"/>
    <w:rsid w:val="009D288D"/>
    <w:rsid w:val="009D2E86"/>
    <w:rsid w:val="009D39A3"/>
    <w:rsid w:val="009D5658"/>
    <w:rsid w:val="009D664A"/>
    <w:rsid w:val="009D7BA8"/>
    <w:rsid w:val="009E05BA"/>
    <w:rsid w:val="009E0705"/>
    <w:rsid w:val="009E0FD3"/>
    <w:rsid w:val="009E38B4"/>
    <w:rsid w:val="009E42A5"/>
    <w:rsid w:val="009E5FB6"/>
    <w:rsid w:val="009E60FE"/>
    <w:rsid w:val="009F0B67"/>
    <w:rsid w:val="009F3F35"/>
    <w:rsid w:val="00A00172"/>
    <w:rsid w:val="00A050CF"/>
    <w:rsid w:val="00A07F85"/>
    <w:rsid w:val="00A13D17"/>
    <w:rsid w:val="00A14041"/>
    <w:rsid w:val="00A1692E"/>
    <w:rsid w:val="00A20524"/>
    <w:rsid w:val="00A218EE"/>
    <w:rsid w:val="00A22659"/>
    <w:rsid w:val="00A22D93"/>
    <w:rsid w:val="00A26067"/>
    <w:rsid w:val="00A311EE"/>
    <w:rsid w:val="00A31A3B"/>
    <w:rsid w:val="00A34053"/>
    <w:rsid w:val="00A436B0"/>
    <w:rsid w:val="00A436F4"/>
    <w:rsid w:val="00A43DDD"/>
    <w:rsid w:val="00A445B4"/>
    <w:rsid w:val="00A4462C"/>
    <w:rsid w:val="00A44F05"/>
    <w:rsid w:val="00A457C4"/>
    <w:rsid w:val="00A461CE"/>
    <w:rsid w:val="00A51385"/>
    <w:rsid w:val="00A51AAC"/>
    <w:rsid w:val="00A54064"/>
    <w:rsid w:val="00A573C5"/>
    <w:rsid w:val="00A64F0E"/>
    <w:rsid w:val="00A655BC"/>
    <w:rsid w:val="00A655EC"/>
    <w:rsid w:val="00A65D7E"/>
    <w:rsid w:val="00A6779E"/>
    <w:rsid w:val="00A70678"/>
    <w:rsid w:val="00A70A01"/>
    <w:rsid w:val="00A73372"/>
    <w:rsid w:val="00A741CC"/>
    <w:rsid w:val="00A804C4"/>
    <w:rsid w:val="00A83CC4"/>
    <w:rsid w:val="00A84441"/>
    <w:rsid w:val="00A84A7D"/>
    <w:rsid w:val="00A87276"/>
    <w:rsid w:val="00A87CCB"/>
    <w:rsid w:val="00A95DF5"/>
    <w:rsid w:val="00A96A78"/>
    <w:rsid w:val="00A97913"/>
    <w:rsid w:val="00AA28B5"/>
    <w:rsid w:val="00AA50E8"/>
    <w:rsid w:val="00AA65F7"/>
    <w:rsid w:val="00AA678C"/>
    <w:rsid w:val="00AA6CA4"/>
    <w:rsid w:val="00AA7407"/>
    <w:rsid w:val="00AB4391"/>
    <w:rsid w:val="00AB54EA"/>
    <w:rsid w:val="00AB57BE"/>
    <w:rsid w:val="00AC131D"/>
    <w:rsid w:val="00AC2B70"/>
    <w:rsid w:val="00AC3BE0"/>
    <w:rsid w:val="00AD0A22"/>
    <w:rsid w:val="00AD271A"/>
    <w:rsid w:val="00AD6796"/>
    <w:rsid w:val="00AD772C"/>
    <w:rsid w:val="00AE58D5"/>
    <w:rsid w:val="00AE5E76"/>
    <w:rsid w:val="00B044B2"/>
    <w:rsid w:val="00B0582E"/>
    <w:rsid w:val="00B07420"/>
    <w:rsid w:val="00B12A26"/>
    <w:rsid w:val="00B12C8C"/>
    <w:rsid w:val="00B12D7A"/>
    <w:rsid w:val="00B15C25"/>
    <w:rsid w:val="00B24102"/>
    <w:rsid w:val="00B2572C"/>
    <w:rsid w:val="00B25957"/>
    <w:rsid w:val="00B274E5"/>
    <w:rsid w:val="00B30E7B"/>
    <w:rsid w:val="00B330A3"/>
    <w:rsid w:val="00B34C0E"/>
    <w:rsid w:val="00B35432"/>
    <w:rsid w:val="00B4245C"/>
    <w:rsid w:val="00B4282E"/>
    <w:rsid w:val="00B50635"/>
    <w:rsid w:val="00B53844"/>
    <w:rsid w:val="00B53979"/>
    <w:rsid w:val="00B54CA7"/>
    <w:rsid w:val="00B569CA"/>
    <w:rsid w:val="00B624E2"/>
    <w:rsid w:val="00B6307C"/>
    <w:rsid w:val="00B64D4B"/>
    <w:rsid w:val="00B668F7"/>
    <w:rsid w:val="00B678AF"/>
    <w:rsid w:val="00B67E17"/>
    <w:rsid w:val="00B67EBC"/>
    <w:rsid w:val="00B71E8E"/>
    <w:rsid w:val="00B72A9F"/>
    <w:rsid w:val="00B72EFF"/>
    <w:rsid w:val="00B73469"/>
    <w:rsid w:val="00B73ADB"/>
    <w:rsid w:val="00B7743E"/>
    <w:rsid w:val="00B77B55"/>
    <w:rsid w:val="00B77E46"/>
    <w:rsid w:val="00B84488"/>
    <w:rsid w:val="00B85AAA"/>
    <w:rsid w:val="00B86238"/>
    <w:rsid w:val="00B92BAD"/>
    <w:rsid w:val="00B94111"/>
    <w:rsid w:val="00BA00B6"/>
    <w:rsid w:val="00BA76E1"/>
    <w:rsid w:val="00BB0C92"/>
    <w:rsid w:val="00BB0D10"/>
    <w:rsid w:val="00BB14AE"/>
    <w:rsid w:val="00BB4ACC"/>
    <w:rsid w:val="00BB6F73"/>
    <w:rsid w:val="00BC3621"/>
    <w:rsid w:val="00BC412B"/>
    <w:rsid w:val="00BC6F43"/>
    <w:rsid w:val="00BD2963"/>
    <w:rsid w:val="00BD39AA"/>
    <w:rsid w:val="00BD7302"/>
    <w:rsid w:val="00BE1F54"/>
    <w:rsid w:val="00BE26DA"/>
    <w:rsid w:val="00BE2EF3"/>
    <w:rsid w:val="00BE3C65"/>
    <w:rsid w:val="00BE530B"/>
    <w:rsid w:val="00BF05C3"/>
    <w:rsid w:val="00BF1D90"/>
    <w:rsid w:val="00BF222F"/>
    <w:rsid w:val="00BF3361"/>
    <w:rsid w:val="00BF3C65"/>
    <w:rsid w:val="00BF5384"/>
    <w:rsid w:val="00BF58E3"/>
    <w:rsid w:val="00BF76C0"/>
    <w:rsid w:val="00C03696"/>
    <w:rsid w:val="00C03CC7"/>
    <w:rsid w:val="00C068CB"/>
    <w:rsid w:val="00C108D9"/>
    <w:rsid w:val="00C11979"/>
    <w:rsid w:val="00C140AB"/>
    <w:rsid w:val="00C145EC"/>
    <w:rsid w:val="00C148EB"/>
    <w:rsid w:val="00C161CC"/>
    <w:rsid w:val="00C20536"/>
    <w:rsid w:val="00C21337"/>
    <w:rsid w:val="00C2183A"/>
    <w:rsid w:val="00C21C78"/>
    <w:rsid w:val="00C21DA7"/>
    <w:rsid w:val="00C2524B"/>
    <w:rsid w:val="00C25DDE"/>
    <w:rsid w:val="00C25F77"/>
    <w:rsid w:val="00C26629"/>
    <w:rsid w:val="00C26D54"/>
    <w:rsid w:val="00C27F0C"/>
    <w:rsid w:val="00C32A1B"/>
    <w:rsid w:val="00C368A9"/>
    <w:rsid w:val="00C400A1"/>
    <w:rsid w:val="00C416F5"/>
    <w:rsid w:val="00C420C4"/>
    <w:rsid w:val="00C4273B"/>
    <w:rsid w:val="00C43EFE"/>
    <w:rsid w:val="00C43F1F"/>
    <w:rsid w:val="00C45A22"/>
    <w:rsid w:val="00C45C3B"/>
    <w:rsid w:val="00C45FF2"/>
    <w:rsid w:val="00C47509"/>
    <w:rsid w:val="00C57C96"/>
    <w:rsid w:val="00C63957"/>
    <w:rsid w:val="00C63D98"/>
    <w:rsid w:val="00C71155"/>
    <w:rsid w:val="00C86BFF"/>
    <w:rsid w:val="00C909C4"/>
    <w:rsid w:val="00C9122E"/>
    <w:rsid w:val="00C94E7B"/>
    <w:rsid w:val="00C9612B"/>
    <w:rsid w:val="00C978EF"/>
    <w:rsid w:val="00CA0031"/>
    <w:rsid w:val="00CA1D46"/>
    <w:rsid w:val="00CA2155"/>
    <w:rsid w:val="00CA4DC7"/>
    <w:rsid w:val="00CA5935"/>
    <w:rsid w:val="00CA688F"/>
    <w:rsid w:val="00CA78D4"/>
    <w:rsid w:val="00CB18F3"/>
    <w:rsid w:val="00CB3146"/>
    <w:rsid w:val="00CC3DCB"/>
    <w:rsid w:val="00CC428E"/>
    <w:rsid w:val="00CC440C"/>
    <w:rsid w:val="00CC61D8"/>
    <w:rsid w:val="00CC7905"/>
    <w:rsid w:val="00CD0368"/>
    <w:rsid w:val="00CD0682"/>
    <w:rsid w:val="00CD20CA"/>
    <w:rsid w:val="00CD3392"/>
    <w:rsid w:val="00CD4A87"/>
    <w:rsid w:val="00CD4B44"/>
    <w:rsid w:val="00CD572F"/>
    <w:rsid w:val="00CE00B4"/>
    <w:rsid w:val="00CE23FA"/>
    <w:rsid w:val="00CE26DE"/>
    <w:rsid w:val="00CE457D"/>
    <w:rsid w:val="00CE599B"/>
    <w:rsid w:val="00CF124E"/>
    <w:rsid w:val="00CF36E8"/>
    <w:rsid w:val="00CF4F7F"/>
    <w:rsid w:val="00CF509B"/>
    <w:rsid w:val="00CF566E"/>
    <w:rsid w:val="00CF708C"/>
    <w:rsid w:val="00D035F1"/>
    <w:rsid w:val="00D15473"/>
    <w:rsid w:val="00D1601B"/>
    <w:rsid w:val="00D1633C"/>
    <w:rsid w:val="00D22D86"/>
    <w:rsid w:val="00D23F33"/>
    <w:rsid w:val="00D24D81"/>
    <w:rsid w:val="00D25C47"/>
    <w:rsid w:val="00D37605"/>
    <w:rsid w:val="00D40175"/>
    <w:rsid w:val="00D40E3E"/>
    <w:rsid w:val="00D41FD0"/>
    <w:rsid w:val="00D42530"/>
    <w:rsid w:val="00D443B8"/>
    <w:rsid w:val="00D55A0B"/>
    <w:rsid w:val="00D57114"/>
    <w:rsid w:val="00D57ECC"/>
    <w:rsid w:val="00D61F5F"/>
    <w:rsid w:val="00D643DE"/>
    <w:rsid w:val="00D66B23"/>
    <w:rsid w:val="00D66FF2"/>
    <w:rsid w:val="00D71353"/>
    <w:rsid w:val="00D72E1E"/>
    <w:rsid w:val="00D735ED"/>
    <w:rsid w:val="00D74C70"/>
    <w:rsid w:val="00D804EE"/>
    <w:rsid w:val="00D80727"/>
    <w:rsid w:val="00D807DB"/>
    <w:rsid w:val="00D822EE"/>
    <w:rsid w:val="00D841D9"/>
    <w:rsid w:val="00D841F5"/>
    <w:rsid w:val="00D8447A"/>
    <w:rsid w:val="00D847B2"/>
    <w:rsid w:val="00D851B8"/>
    <w:rsid w:val="00D85A75"/>
    <w:rsid w:val="00D862CB"/>
    <w:rsid w:val="00D86F8D"/>
    <w:rsid w:val="00D909DB"/>
    <w:rsid w:val="00D91B72"/>
    <w:rsid w:val="00D93A39"/>
    <w:rsid w:val="00D957C6"/>
    <w:rsid w:val="00D959EF"/>
    <w:rsid w:val="00D95E5E"/>
    <w:rsid w:val="00D95F7E"/>
    <w:rsid w:val="00DA1800"/>
    <w:rsid w:val="00DA1E79"/>
    <w:rsid w:val="00DA2688"/>
    <w:rsid w:val="00DA72E2"/>
    <w:rsid w:val="00DB0042"/>
    <w:rsid w:val="00DB0ADC"/>
    <w:rsid w:val="00DB2DB8"/>
    <w:rsid w:val="00DB7339"/>
    <w:rsid w:val="00DC33EA"/>
    <w:rsid w:val="00DC7407"/>
    <w:rsid w:val="00DC750B"/>
    <w:rsid w:val="00DD0EC8"/>
    <w:rsid w:val="00DD4EF8"/>
    <w:rsid w:val="00DE11D2"/>
    <w:rsid w:val="00DE33C5"/>
    <w:rsid w:val="00DE3EDC"/>
    <w:rsid w:val="00DE76F8"/>
    <w:rsid w:val="00DF0C71"/>
    <w:rsid w:val="00DF1A00"/>
    <w:rsid w:val="00DF75B8"/>
    <w:rsid w:val="00E026D3"/>
    <w:rsid w:val="00E11713"/>
    <w:rsid w:val="00E11A1D"/>
    <w:rsid w:val="00E138D8"/>
    <w:rsid w:val="00E145A3"/>
    <w:rsid w:val="00E16859"/>
    <w:rsid w:val="00E26434"/>
    <w:rsid w:val="00E30B77"/>
    <w:rsid w:val="00E33711"/>
    <w:rsid w:val="00E43770"/>
    <w:rsid w:val="00E51792"/>
    <w:rsid w:val="00E54420"/>
    <w:rsid w:val="00E63E53"/>
    <w:rsid w:val="00E63FF0"/>
    <w:rsid w:val="00E64ADA"/>
    <w:rsid w:val="00E672EF"/>
    <w:rsid w:val="00E70397"/>
    <w:rsid w:val="00E7175F"/>
    <w:rsid w:val="00E740D0"/>
    <w:rsid w:val="00E745EF"/>
    <w:rsid w:val="00E77D89"/>
    <w:rsid w:val="00E807C4"/>
    <w:rsid w:val="00E824B1"/>
    <w:rsid w:val="00E850C2"/>
    <w:rsid w:val="00E90E70"/>
    <w:rsid w:val="00E9184D"/>
    <w:rsid w:val="00E92BE4"/>
    <w:rsid w:val="00E93482"/>
    <w:rsid w:val="00E95745"/>
    <w:rsid w:val="00E95E95"/>
    <w:rsid w:val="00EA00DD"/>
    <w:rsid w:val="00EA0161"/>
    <w:rsid w:val="00EA18A7"/>
    <w:rsid w:val="00EA206E"/>
    <w:rsid w:val="00EA37B8"/>
    <w:rsid w:val="00EA395F"/>
    <w:rsid w:val="00EA3B1A"/>
    <w:rsid w:val="00EA6F57"/>
    <w:rsid w:val="00EB0897"/>
    <w:rsid w:val="00EB11EB"/>
    <w:rsid w:val="00EB6075"/>
    <w:rsid w:val="00EB7013"/>
    <w:rsid w:val="00EB725D"/>
    <w:rsid w:val="00EC2F13"/>
    <w:rsid w:val="00EC4CA8"/>
    <w:rsid w:val="00EC7672"/>
    <w:rsid w:val="00EC7D11"/>
    <w:rsid w:val="00ED4883"/>
    <w:rsid w:val="00ED6509"/>
    <w:rsid w:val="00ED6B8F"/>
    <w:rsid w:val="00EE0EDC"/>
    <w:rsid w:val="00EF3595"/>
    <w:rsid w:val="00EF36A3"/>
    <w:rsid w:val="00EF6974"/>
    <w:rsid w:val="00EF7056"/>
    <w:rsid w:val="00EF7366"/>
    <w:rsid w:val="00F00469"/>
    <w:rsid w:val="00F00C6B"/>
    <w:rsid w:val="00F018FF"/>
    <w:rsid w:val="00F0206F"/>
    <w:rsid w:val="00F0286C"/>
    <w:rsid w:val="00F033E9"/>
    <w:rsid w:val="00F03E85"/>
    <w:rsid w:val="00F04DDD"/>
    <w:rsid w:val="00F06439"/>
    <w:rsid w:val="00F06C83"/>
    <w:rsid w:val="00F06CE4"/>
    <w:rsid w:val="00F124D5"/>
    <w:rsid w:val="00F14D10"/>
    <w:rsid w:val="00F16E56"/>
    <w:rsid w:val="00F20C74"/>
    <w:rsid w:val="00F234D8"/>
    <w:rsid w:val="00F26A7A"/>
    <w:rsid w:val="00F271D4"/>
    <w:rsid w:val="00F31664"/>
    <w:rsid w:val="00F32291"/>
    <w:rsid w:val="00F32D16"/>
    <w:rsid w:val="00F35A9E"/>
    <w:rsid w:val="00F44C37"/>
    <w:rsid w:val="00F518D9"/>
    <w:rsid w:val="00F54088"/>
    <w:rsid w:val="00F61BB7"/>
    <w:rsid w:val="00F62464"/>
    <w:rsid w:val="00F62465"/>
    <w:rsid w:val="00F6359B"/>
    <w:rsid w:val="00F64754"/>
    <w:rsid w:val="00F66E37"/>
    <w:rsid w:val="00F72EF1"/>
    <w:rsid w:val="00F73164"/>
    <w:rsid w:val="00F73C17"/>
    <w:rsid w:val="00F7748C"/>
    <w:rsid w:val="00F776B2"/>
    <w:rsid w:val="00F77F41"/>
    <w:rsid w:val="00F8074D"/>
    <w:rsid w:val="00F81C2A"/>
    <w:rsid w:val="00F824F4"/>
    <w:rsid w:val="00F82EA0"/>
    <w:rsid w:val="00F8356F"/>
    <w:rsid w:val="00F83CB3"/>
    <w:rsid w:val="00F937AF"/>
    <w:rsid w:val="00F9543D"/>
    <w:rsid w:val="00F95E6D"/>
    <w:rsid w:val="00FA0686"/>
    <w:rsid w:val="00FA104E"/>
    <w:rsid w:val="00FA7438"/>
    <w:rsid w:val="00FA7F03"/>
    <w:rsid w:val="00FB19BA"/>
    <w:rsid w:val="00FB6369"/>
    <w:rsid w:val="00FC0F34"/>
    <w:rsid w:val="00FC1925"/>
    <w:rsid w:val="00FC1B3E"/>
    <w:rsid w:val="00FC3D09"/>
    <w:rsid w:val="00FC612B"/>
    <w:rsid w:val="00FD3A20"/>
    <w:rsid w:val="00FD409C"/>
    <w:rsid w:val="00FD47DE"/>
    <w:rsid w:val="00FD4BEF"/>
    <w:rsid w:val="00FD5955"/>
    <w:rsid w:val="00FE4547"/>
    <w:rsid w:val="00FE4E80"/>
    <w:rsid w:val="00FE7C2B"/>
    <w:rsid w:val="00FF523F"/>
    <w:rsid w:val="00FF6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314B7755-9712-40CD-8217-12A87B56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6028F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D6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6E5E"/>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CD3392"/>
    <w:rPr>
      <w:color w:val="0563C1" w:themeColor="hyperlink"/>
      <w:u w:val="single"/>
    </w:rPr>
  </w:style>
  <w:style w:type="character" w:styleId="UnresolvedMention">
    <w:name w:val="Unresolved Mention"/>
    <w:basedOn w:val="DefaultParagraphFont"/>
    <w:uiPriority w:val="99"/>
    <w:semiHidden/>
    <w:unhideWhenUsed/>
    <w:rsid w:val="00CD3392"/>
    <w:rPr>
      <w:color w:val="605E5C"/>
      <w:shd w:val="clear" w:color="auto" w:fill="E1DFDD"/>
    </w:rPr>
  </w:style>
  <w:style w:type="paragraph" w:styleId="ListParagraph">
    <w:name w:val="List Paragraph"/>
    <w:basedOn w:val="Normal"/>
    <w:uiPriority w:val="34"/>
    <w:qFormat/>
    <w:rsid w:val="00F64754"/>
    <w:pPr>
      <w:ind w:left="720"/>
      <w:contextualSpacing/>
    </w:pPr>
  </w:style>
  <w:style w:type="character" w:customStyle="1" w:styleId="Heading2Char">
    <w:name w:val="Heading 2 Char"/>
    <w:basedOn w:val="DefaultParagraphFont"/>
    <w:link w:val="Heading2"/>
    <w:uiPriority w:val="9"/>
    <w:rsid w:val="002D6E5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D6E5E"/>
    <w:rPr>
      <w:rFonts w:asciiTheme="majorHAnsi" w:eastAsiaTheme="majorEastAsia" w:hAnsiTheme="majorHAnsi" w:cstheme="majorBidi"/>
      <w:color w:val="1F3763" w:themeColor="accent1" w:themeShade="7F"/>
      <w:lang w:eastAsia="en-GB"/>
    </w:rPr>
  </w:style>
  <w:style w:type="character" w:customStyle="1" w:styleId="Heading1Char">
    <w:name w:val="Heading 1 Char"/>
    <w:basedOn w:val="DefaultParagraphFont"/>
    <w:link w:val="Heading1"/>
    <w:uiPriority w:val="9"/>
    <w:rsid w:val="006028F7"/>
    <w:rPr>
      <w:rFonts w:asciiTheme="majorHAnsi" w:eastAsiaTheme="majorEastAsia" w:hAnsiTheme="majorHAnsi" w:cstheme="majorBidi"/>
      <w:b/>
      <w:color w:val="2F5496" w:themeColor="accent1" w:themeShade="BF"/>
      <w:sz w:val="32"/>
      <w:szCs w:val="32"/>
      <w:lang w:eastAsia="en-GB"/>
    </w:rPr>
  </w:style>
  <w:style w:type="character" w:styleId="FollowedHyperlink">
    <w:name w:val="FollowedHyperlink"/>
    <w:basedOn w:val="DefaultParagraphFont"/>
    <w:uiPriority w:val="99"/>
    <w:semiHidden/>
    <w:unhideWhenUsed/>
    <w:rsid w:val="001A480A"/>
    <w:rPr>
      <w:color w:val="954F72" w:themeColor="followedHyperlink"/>
      <w:u w:val="single"/>
    </w:rPr>
  </w:style>
  <w:style w:type="paragraph" w:styleId="FootnoteText">
    <w:name w:val="footnote text"/>
    <w:basedOn w:val="Normal"/>
    <w:link w:val="FootnoteTextChar"/>
    <w:uiPriority w:val="99"/>
    <w:semiHidden/>
    <w:unhideWhenUsed/>
    <w:rsid w:val="00FB19BA"/>
    <w:pPr>
      <w:spacing w:after="0" w:line="240" w:lineRule="auto"/>
    </w:pPr>
    <w:rPr>
      <w:szCs w:val="20"/>
    </w:rPr>
  </w:style>
  <w:style w:type="character" w:customStyle="1" w:styleId="FootnoteTextChar">
    <w:name w:val="Footnote Text Char"/>
    <w:basedOn w:val="DefaultParagraphFont"/>
    <w:link w:val="FootnoteText"/>
    <w:uiPriority w:val="99"/>
    <w:semiHidden/>
    <w:rsid w:val="00FB19BA"/>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FB19BA"/>
    <w:rPr>
      <w:vertAlign w:val="superscript"/>
    </w:rPr>
  </w:style>
  <w:style w:type="character" w:styleId="CommentReference">
    <w:name w:val="annotation reference"/>
    <w:basedOn w:val="DefaultParagraphFont"/>
    <w:uiPriority w:val="99"/>
    <w:semiHidden/>
    <w:unhideWhenUsed/>
    <w:rsid w:val="00FC1B3E"/>
    <w:rPr>
      <w:sz w:val="16"/>
      <w:szCs w:val="16"/>
    </w:rPr>
  </w:style>
  <w:style w:type="paragraph" w:styleId="CommentText">
    <w:name w:val="annotation text"/>
    <w:basedOn w:val="Normal"/>
    <w:link w:val="CommentTextChar"/>
    <w:uiPriority w:val="99"/>
    <w:unhideWhenUsed/>
    <w:rsid w:val="00FC1B3E"/>
    <w:pPr>
      <w:spacing w:line="240" w:lineRule="auto"/>
    </w:pPr>
    <w:rPr>
      <w:szCs w:val="20"/>
    </w:rPr>
  </w:style>
  <w:style w:type="character" w:customStyle="1" w:styleId="CommentTextChar">
    <w:name w:val="Comment Text Char"/>
    <w:basedOn w:val="DefaultParagraphFont"/>
    <w:link w:val="CommentText"/>
    <w:uiPriority w:val="99"/>
    <w:rsid w:val="00FC1B3E"/>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FC1B3E"/>
    <w:rPr>
      <w:b/>
      <w:bCs/>
    </w:rPr>
  </w:style>
  <w:style w:type="character" w:customStyle="1" w:styleId="CommentSubjectChar">
    <w:name w:val="Comment Subject Char"/>
    <w:basedOn w:val="CommentTextChar"/>
    <w:link w:val="CommentSubject"/>
    <w:uiPriority w:val="99"/>
    <w:semiHidden/>
    <w:rsid w:val="00FC1B3E"/>
    <w:rPr>
      <w:rFonts w:eastAsiaTheme="minorEastAsia" w:cstheme="minorBidi"/>
      <w:b/>
      <w:bCs/>
      <w:color w:val="000000" w:themeColor="text1"/>
      <w:sz w:val="20"/>
      <w:szCs w:val="20"/>
      <w:lang w:eastAsia="en-GB"/>
    </w:rPr>
  </w:style>
  <w:style w:type="paragraph" w:styleId="NormalWeb">
    <w:name w:val="Normal (Web)"/>
    <w:basedOn w:val="Normal"/>
    <w:uiPriority w:val="99"/>
    <w:semiHidden/>
    <w:unhideWhenUsed/>
    <w:rsid w:val="006706E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633">
      <w:bodyDiv w:val="1"/>
      <w:marLeft w:val="0"/>
      <w:marRight w:val="0"/>
      <w:marTop w:val="0"/>
      <w:marBottom w:val="0"/>
      <w:divBdr>
        <w:top w:val="none" w:sz="0" w:space="0" w:color="auto"/>
        <w:left w:val="none" w:sz="0" w:space="0" w:color="auto"/>
        <w:bottom w:val="none" w:sz="0" w:space="0" w:color="auto"/>
        <w:right w:val="none" w:sz="0" w:space="0" w:color="auto"/>
      </w:divBdr>
    </w:div>
    <w:div w:id="61487681">
      <w:bodyDiv w:val="1"/>
      <w:marLeft w:val="0"/>
      <w:marRight w:val="0"/>
      <w:marTop w:val="0"/>
      <w:marBottom w:val="0"/>
      <w:divBdr>
        <w:top w:val="none" w:sz="0" w:space="0" w:color="auto"/>
        <w:left w:val="none" w:sz="0" w:space="0" w:color="auto"/>
        <w:bottom w:val="none" w:sz="0" w:space="0" w:color="auto"/>
        <w:right w:val="none" w:sz="0" w:space="0" w:color="auto"/>
      </w:divBdr>
      <w:divsChild>
        <w:div w:id="127402515">
          <w:marLeft w:val="0"/>
          <w:marRight w:val="0"/>
          <w:marTop w:val="0"/>
          <w:marBottom w:val="0"/>
          <w:divBdr>
            <w:top w:val="none" w:sz="0" w:space="0" w:color="auto"/>
            <w:left w:val="none" w:sz="0" w:space="0" w:color="auto"/>
            <w:bottom w:val="none" w:sz="0" w:space="0" w:color="auto"/>
            <w:right w:val="none" w:sz="0" w:space="0" w:color="auto"/>
          </w:divBdr>
        </w:div>
        <w:div w:id="173690175">
          <w:marLeft w:val="0"/>
          <w:marRight w:val="0"/>
          <w:marTop w:val="0"/>
          <w:marBottom w:val="0"/>
          <w:divBdr>
            <w:top w:val="none" w:sz="0" w:space="0" w:color="auto"/>
            <w:left w:val="none" w:sz="0" w:space="0" w:color="auto"/>
            <w:bottom w:val="none" w:sz="0" w:space="0" w:color="auto"/>
            <w:right w:val="none" w:sz="0" w:space="0" w:color="auto"/>
          </w:divBdr>
        </w:div>
        <w:div w:id="622729404">
          <w:marLeft w:val="0"/>
          <w:marRight w:val="0"/>
          <w:marTop w:val="0"/>
          <w:marBottom w:val="0"/>
          <w:divBdr>
            <w:top w:val="none" w:sz="0" w:space="0" w:color="auto"/>
            <w:left w:val="none" w:sz="0" w:space="0" w:color="auto"/>
            <w:bottom w:val="none" w:sz="0" w:space="0" w:color="auto"/>
            <w:right w:val="none" w:sz="0" w:space="0" w:color="auto"/>
          </w:divBdr>
        </w:div>
        <w:div w:id="1392653109">
          <w:marLeft w:val="0"/>
          <w:marRight w:val="0"/>
          <w:marTop w:val="0"/>
          <w:marBottom w:val="0"/>
          <w:divBdr>
            <w:top w:val="none" w:sz="0" w:space="0" w:color="auto"/>
            <w:left w:val="none" w:sz="0" w:space="0" w:color="auto"/>
            <w:bottom w:val="none" w:sz="0" w:space="0" w:color="auto"/>
            <w:right w:val="none" w:sz="0" w:space="0" w:color="auto"/>
          </w:divBdr>
        </w:div>
        <w:div w:id="2020041917">
          <w:marLeft w:val="0"/>
          <w:marRight w:val="0"/>
          <w:marTop w:val="0"/>
          <w:marBottom w:val="0"/>
          <w:divBdr>
            <w:top w:val="none" w:sz="0" w:space="0" w:color="auto"/>
            <w:left w:val="none" w:sz="0" w:space="0" w:color="auto"/>
            <w:bottom w:val="none" w:sz="0" w:space="0" w:color="auto"/>
            <w:right w:val="none" w:sz="0" w:space="0" w:color="auto"/>
          </w:divBdr>
        </w:div>
      </w:divsChild>
    </w:div>
    <w:div w:id="165874583">
      <w:bodyDiv w:val="1"/>
      <w:marLeft w:val="0"/>
      <w:marRight w:val="0"/>
      <w:marTop w:val="0"/>
      <w:marBottom w:val="0"/>
      <w:divBdr>
        <w:top w:val="none" w:sz="0" w:space="0" w:color="auto"/>
        <w:left w:val="none" w:sz="0" w:space="0" w:color="auto"/>
        <w:bottom w:val="none" w:sz="0" w:space="0" w:color="auto"/>
        <w:right w:val="none" w:sz="0" w:space="0" w:color="auto"/>
      </w:divBdr>
    </w:div>
    <w:div w:id="177163247">
      <w:bodyDiv w:val="1"/>
      <w:marLeft w:val="0"/>
      <w:marRight w:val="0"/>
      <w:marTop w:val="0"/>
      <w:marBottom w:val="0"/>
      <w:divBdr>
        <w:top w:val="none" w:sz="0" w:space="0" w:color="auto"/>
        <w:left w:val="none" w:sz="0" w:space="0" w:color="auto"/>
        <w:bottom w:val="none" w:sz="0" w:space="0" w:color="auto"/>
        <w:right w:val="none" w:sz="0" w:space="0" w:color="auto"/>
      </w:divBdr>
      <w:divsChild>
        <w:div w:id="835458366">
          <w:marLeft w:val="0"/>
          <w:marRight w:val="0"/>
          <w:marTop w:val="0"/>
          <w:marBottom w:val="0"/>
          <w:divBdr>
            <w:top w:val="none" w:sz="0" w:space="0" w:color="auto"/>
            <w:left w:val="none" w:sz="0" w:space="0" w:color="auto"/>
            <w:bottom w:val="none" w:sz="0" w:space="0" w:color="auto"/>
            <w:right w:val="none" w:sz="0" w:space="0" w:color="auto"/>
          </w:divBdr>
        </w:div>
        <w:div w:id="1994218279">
          <w:marLeft w:val="0"/>
          <w:marRight w:val="0"/>
          <w:marTop w:val="0"/>
          <w:marBottom w:val="0"/>
          <w:divBdr>
            <w:top w:val="none" w:sz="0" w:space="0" w:color="auto"/>
            <w:left w:val="none" w:sz="0" w:space="0" w:color="auto"/>
            <w:bottom w:val="none" w:sz="0" w:space="0" w:color="auto"/>
            <w:right w:val="none" w:sz="0" w:space="0" w:color="auto"/>
          </w:divBdr>
        </w:div>
      </w:divsChild>
    </w:div>
    <w:div w:id="210071611">
      <w:bodyDiv w:val="1"/>
      <w:marLeft w:val="0"/>
      <w:marRight w:val="0"/>
      <w:marTop w:val="0"/>
      <w:marBottom w:val="0"/>
      <w:divBdr>
        <w:top w:val="none" w:sz="0" w:space="0" w:color="auto"/>
        <w:left w:val="none" w:sz="0" w:space="0" w:color="auto"/>
        <w:bottom w:val="none" w:sz="0" w:space="0" w:color="auto"/>
        <w:right w:val="none" w:sz="0" w:space="0" w:color="auto"/>
      </w:divBdr>
    </w:div>
    <w:div w:id="238365583">
      <w:bodyDiv w:val="1"/>
      <w:marLeft w:val="0"/>
      <w:marRight w:val="0"/>
      <w:marTop w:val="0"/>
      <w:marBottom w:val="0"/>
      <w:divBdr>
        <w:top w:val="none" w:sz="0" w:space="0" w:color="auto"/>
        <w:left w:val="none" w:sz="0" w:space="0" w:color="auto"/>
        <w:bottom w:val="none" w:sz="0" w:space="0" w:color="auto"/>
        <w:right w:val="none" w:sz="0" w:space="0" w:color="auto"/>
      </w:divBdr>
      <w:divsChild>
        <w:div w:id="1659844629">
          <w:marLeft w:val="0"/>
          <w:marRight w:val="0"/>
          <w:marTop w:val="0"/>
          <w:marBottom w:val="0"/>
          <w:divBdr>
            <w:top w:val="none" w:sz="0" w:space="0" w:color="auto"/>
            <w:left w:val="none" w:sz="0" w:space="0" w:color="auto"/>
            <w:bottom w:val="none" w:sz="0" w:space="0" w:color="auto"/>
            <w:right w:val="none" w:sz="0" w:space="0" w:color="auto"/>
          </w:divBdr>
        </w:div>
      </w:divsChild>
    </w:div>
    <w:div w:id="269556974">
      <w:bodyDiv w:val="1"/>
      <w:marLeft w:val="0"/>
      <w:marRight w:val="0"/>
      <w:marTop w:val="0"/>
      <w:marBottom w:val="0"/>
      <w:divBdr>
        <w:top w:val="none" w:sz="0" w:space="0" w:color="auto"/>
        <w:left w:val="none" w:sz="0" w:space="0" w:color="auto"/>
        <w:bottom w:val="none" w:sz="0" w:space="0" w:color="auto"/>
        <w:right w:val="none" w:sz="0" w:space="0" w:color="auto"/>
      </w:divBdr>
      <w:divsChild>
        <w:div w:id="97456110">
          <w:marLeft w:val="0"/>
          <w:marRight w:val="0"/>
          <w:marTop w:val="0"/>
          <w:marBottom w:val="0"/>
          <w:divBdr>
            <w:top w:val="none" w:sz="0" w:space="0" w:color="auto"/>
            <w:left w:val="none" w:sz="0" w:space="0" w:color="auto"/>
            <w:bottom w:val="none" w:sz="0" w:space="0" w:color="auto"/>
            <w:right w:val="none" w:sz="0" w:space="0" w:color="auto"/>
          </w:divBdr>
        </w:div>
        <w:div w:id="242883129">
          <w:marLeft w:val="0"/>
          <w:marRight w:val="0"/>
          <w:marTop w:val="0"/>
          <w:marBottom w:val="0"/>
          <w:divBdr>
            <w:top w:val="none" w:sz="0" w:space="0" w:color="auto"/>
            <w:left w:val="none" w:sz="0" w:space="0" w:color="auto"/>
            <w:bottom w:val="none" w:sz="0" w:space="0" w:color="auto"/>
            <w:right w:val="none" w:sz="0" w:space="0" w:color="auto"/>
          </w:divBdr>
        </w:div>
        <w:div w:id="346175301">
          <w:marLeft w:val="0"/>
          <w:marRight w:val="0"/>
          <w:marTop w:val="0"/>
          <w:marBottom w:val="0"/>
          <w:divBdr>
            <w:top w:val="none" w:sz="0" w:space="0" w:color="auto"/>
            <w:left w:val="none" w:sz="0" w:space="0" w:color="auto"/>
            <w:bottom w:val="none" w:sz="0" w:space="0" w:color="auto"/>
            <w:right w:val="none" w:sz="0" w:space="0" w:color="auto"/>
          </w:divBdr>
        </w:div>
        <w:div w:id="823277212">
          <w:marLeft w:val="0"/>
          <w:marRight w:val="0"/>
          <w:marTop w:val="0"/>
          <w:marBottom w:val="0"/>
          <w:divBdr>
            <w:top w:val="none" w:sz="0" w:space="0" w:color="auto"/>
            <w:left w:val="none" w:sz="0" w:space="0" w:color="auto"/>
            <w:bottom w:val="none" w:sz="0" w:space="0" w:color="auto"/>
            <w:right w:val="none" w:sz="0" w:space="0" w:color="auto"/>
          </w:divBdr>
        </w:div>
        <w:div w:id="1635675271">
          <w:marLeft w:val="0"/>
          <w:marRight w:val="0"/>
          <w:marTop w:val="0"/>
          <w:marBottom w:val="0"/>
          <w:divBdr>
            <w:top w:val="none" w:sz="0" w:space="0" w:color="auto"/>
            <w:left w:val="none" w:sz="0" w:space="0" w:color="auto"/>
            <w:bottom w:val="none" w:sz="0" w:space="0" w:color="auto"/>
            <w:right w:val="none" w:sz="0" w:space="0" w:color="auto"/>
          </w:divBdr>
          <w:divsChild>
            <w:div w:id="342901433">
              <w:marLeft w:val="0"/>
              <w:marRight w:val="0"/>
              <w:marTop w:val="0"/>
              <w:marBottom w:val="0"/>
              <w:divBdr>
                <w:top w:val="none" w:sz="0" w:space="0" w:color="auto"/>
                <w:left w:val="none" w:sz="0" w:space="0" w:color="auto"/>
                <w:bottom w:val="none" w:sz="0" w:space="0" w:color="auto"/>
                <w:right w:val="none" w:sz="0" w:space="0" w:color="auto"/>
              </w:divBdr>
            </w:div>
            <w:div w:id="1152796814">
              <w:marLeft w:val="0"/>
              <w:marRight w:val="0"/>
              <w:marTop w:val="0"/>
              <w:marBottom w:val="0"/>
              <w:divBdr>
                <w:top w:val="none" w:sz="0" w:space="0" w:color="auto"/>
                <w:left w:val="none" w:sz="0" w:space="0" w:color="auto"/>
                <w:bottom w:val="none" w:sz="0" w:space="0" w:color="auto"/>
                <w:right w:val="none" w:sz="0" w:space="0" w:color="auto"/>
              </w:divBdr>
            </w:div>
            <w:div w:id="1246374767">
              <w:marLeft w:val="0"/>
              <w:marRight w:val="0"/>
              <w:marTop w:val="0"/>
              <w:marBottom w:val="0"/>
              <w:divBdr>
                <w:top w:val="none" w:sz="0" w:space="0" w:color="auto"/>
                <w:left w:val="none" w:sz="0" w:space="0" w:color="auto"/>
                <w:bottom w:val="none" w:sz="0" w:space="0" w:color="auto"/>
                <w:right w:val="none" w:sz="0" w:space="0" w:color="auto"/>
              </w:divBdr>
            </w:div>
          </w:divsChild>
        </w:div>
        <w:div w:id="1954826832">
          <w:marLeft w:val="0"/>
          <w:marRight w:val="0"/>
          <w:marTop w:val="0"/>
          <w:marBottom w:val="0"/>
          <w:divBdr>
            <w:top w:val="none" w:sz="0" w:space="0" w:color="auto"/>
            <w:left w:val="none" w:sz="0" w:space="0" w:color="auto"/>
            <w:bottom w:val="none" w:sz="0" w:space="0" w:color="auto"/>
            <w:right w:val="none" w:sz="0" w:space="0" w:color="auto"/>
          </w:divBdr>
        </w:div>
      </w:divsChild>
    </w:div>
    <w:div w:id="283462627">
      <w:bodyDiv w:val="1"/>
      <w:marLeft w:val="0"/>
      <w:marRight w:val="0"/>
      <w:marTop w:val="0"/>
      <w:marBottom w:val="0"/>
      <w:divBdr>
        <w:top w:val="none" w:sz="0" w:space="0" w:color="auto"/>
        <w:left w:val="none" w:sz="0" w:space="0" w:color="auto"/>
        <w:bottom w:val="none" w:sz="0" w:space="0" w:color="auto"/>
        <w:right w:val="none" w:sz="0" w:space="0" w:color="auto"/>
      </w:divBdr>
    </w:div>
    <w:div w:id="318198476">
      <w:bodyDiv w:val="1"/>
      <w:marLeft w:val="0"/>
      <w:marRight w:val="0"/>
      <w:marTop w:val="0"/>
      <w:marBottom w:val="0"/>
      <w:divBdr>
        <w:top w:val="none" w:sz="0" w:space="0" w:color="auto"/>
        <w:left w:val="none" w:sz="0" w:space="0" w:color="auto"/>
        <w:bottom w:val="none" w:sz="0" w:space="0" w:color="auto"/>
        <w:right w:val="none" w:sz="0" w:space="0" w:color="auto"/>
      </w:divBdr>
      <w:divsChild>
        <w:div w:id="223178105">
          <w:marLeft w:val="0"/>
          <w:marRight w:val="0"/>
          <w:marTop w:val="0"/>
          <w:marBottom w:val="0"/>
          <w:divBdr>
            <w:top w:val="none" w:sz="0" w:space="0" w:color="auto"/>
            <w:left w:val="none" w:sz="0" w:space="0" w:color="auto"/>
            <w:bottom w:val="none" w:sz="0" w:space="0" w:color="auto"/>
            <w:right w:val="none" w:sz="0" w:space="0" w:color="auto"/>
          </w:divBdr>
        </w:div>
        <w:div w:id="1052119048">
          <w:marLeft w:val="0"/>
          <w:marRight w:val="0"/>
          <w:marTop w:val="0"/>
          <w:marBottom w:val="0"/>
          <w:divBdr>
            <w:top w:val="none" w:sz="0" w:space="0" w:color="auto"/>
            <w:left w:val="none" w:sz="0" w:space="0" w:color="auto"/>
            <w:bottom w:val="none" w:sz="0" w:space="0" w:color="auto"/>
            <w:right w:val="none" w:sz="0" w:space="0" w:color="auto"/>
          </w:divBdr>
          <w:divsChild>
            <w:div w:id="1905018660">
              <w:marLeft w:val="0"/>
              <w:marRight w:val="0"/>
              <w:marTop w:val="0"/>
              <w:marBottom w:val="0"/>
              <w:divBdr>
                <w:top w:val="none" w:sz="0" w:space="0" w:color="auto"/>
                <w:left w:val="none" w:sz="0" w:space="0" w:color="auto"/>
                <w:bottom w:val="none" w:sz="0" w:space="0" w:color="auto"/>
                <w:right w:val="none" w:sz="0" w:space="0" w:color="auto"/>
              </w:divBdr>
            </w:div>
            <w:div w:id="20456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477038132">
      <w:bodyDiv w:val="1"/>
      <w:marLeft w:val="0"/>
      <w:marRight w:val="0"/>
      <w:marTop w:val="0"/>
      <w:marBottom w:val="0"/>
      <w:divBdr>
        <w:top w:val="none" w:sz="0" w:space="0" w:color="auto"/>
        <w:left w:val="none" w:sz="0" w:space="0" w:color="auto"/>
        <w:bottom w:val="none" w:sz="0" w:space="0" w:color="auto"/>
        <w:right w:val="none" w:sz="0" w:space="0" w:color="auto"/>
      </w:divBdr>
      <w:divsChild>
        <w:div w:id="1349911406">
          <w:marLeft w:val="0"/>
          <w:marRight w:val="0"/>
          <w:marTop w:val="0"/>
          <w:marBottom w:val="0"/>
          <w:divBdr>
            <w:top w:val="none" w:sz="0" w:space="0" w:color="auto"/>
            <w:left w:val="none" w:sz="0" w:space="0" w:color="auto"/>
            <w:bottom w:val="none" w:sz="0" w:space="0" w:color="auto"/>
            <w:right w:val="none" w:sz="0" w:space="0" w:color="auto"/>
          </w:divBdr>
        </w:div>
      </w:divsChild>
    </w:div>
    <w:div w:id="485828269">
      <w:bodyDiv w:val="1"/>
      <w:marLeft w:val="0"/>
      <w:marRight w:val="0"/>
      <w:marTop w:val="0"/>
      <w:marBottom w:val="0"/>
      <w:divBdr>
        <w:top w:val="none" w:sz="0" w:space="0" w:color="auto"/>
        <w:left w:val="none" w:sz="0" w:space="0" w:color="auto"/>
        <w:bottom w:val="none" w:sz="0" w:space="0" w:color="auto"/>
        <w:right w:val="none" w:sz="0" w:space="0" w:color="auto"/>
      </w:divBdr>
      <w:divsChild>
        <w:div w:id="491215463">
          <w:marLeft w:val="0"/>
          <w:marRight w:val="0"/>
          <w:marTop w:val="0"/>
          <w:marBottom w:val="0"/>
          <w:divBdr>
            <w:top w:val="none" w:sz="0" w:space="0" w:color="auto"/>
            <w:left w:val="none" w:sz="0" w:space="0" w:color="auto"/>
            <w:bottom w:val="none" w:sz="0" w:space="0" w:color="auto"/>
            <w:right w:val="none" w:sz="0" w:space="0" w:color="auto"/>
          </w:divBdr>
        </w:div>
        <w:div w:id="922641798">
          <w:marLeft w:val="0"/>
          <w:marRight w:val="0"/>
          <w:marTop w:val="0"/>
          <w:marBottom w:val="0"/>
          <w:divBdr>
            <w:top w:val="none" w:sz="0" w:space="0" w:color="auto"/>
            <w:left w:val="none" w:sz="0" w:space="0" w:color="auto"/>
            <w:bottom w:val="none" w:sz="0" w:space="0" w:color="auto"/>
            <w:right w:val="none" w:sz="0" w:space="0" w:color="auto"/>
          </w:divBdr>
        </w:div>
        <w:div w:id="1251810220">
          <w:marLeft w:val="0"/>
          <w:marRight w:val="0"/>
          <w:marTop w:val="0"/>
          <w:marBottom w:val="0"/>
          <w:divBdr>
            <w:top w:val="none" w:sz="0" w:space="0" w:color="auto"/>
            <w:left w:val="none" w:sz="0" w:space="0" w:color="auto"/>
            <w:bottom w:val="none" w:sz="0" w:space="0" w:color="auto"/>
            <w:right w:val="none" w:sz="0" w:space="0" w:color="auto"/>
          </w:divBdr>
        </w:div>
      </w:divsChild>
    </w:div>
    <w:div w:id="488063697">
      <w:bodyDiv w:val="1"/>
      <w:marLeft w:val="0"/>
      <w:marRight w:val="0"/>
      <w:marTop w:val="0"/>
      <w:marBottom w:val="0"/>
      <w:divBdr>
        <w:top w:val="none" w:sz="0" w:space="0" w:color="auto"/>
        <w:left w:val="none" w:sz="0" w:space="0" w:color="auto"/>
        <w:bottom w:val="none" w:sz="0" w:space="0" w:color="auto"/>
        <w:right w:val="none" w:sz="0" w:space="0" w:color="auto"/>
      </w:divBdr>
      <w:divsChild>
        <w:div w:id="548877493">
          <w:marLeft w:val="0"/>
          <w:marRight w:val="0"/>
          <w:marTop w:val="0"/>
          <w:marBottom w:val="0"/>
          <w:divBdr>
            <w:top w:val="none" w:sz="0" w:space="0" w:color="auto"/>
            <w:left w:val="none" w:sz="0" w:space="0" w:color="auto"/>
            <w:bottom w:val="none" w:sz="0" w:space="0" w:color="auto"/>
            <w:right w:val="none" w:sz="0" w:space="0" w:color="auto"/>
          </w:divBdr>
        </w:div>
      </w:divsChild>
    </w:div>
    <w:div w:id="497235434">
      <w:bodyDiv w:val="1"/>
      <w:marLeft w:val="0"/>
      <w:marRight w:val="0"/>
      <w:marTop w:val="0"/>
      <w:marBottom w:val="0"/>
      <w:divBdr>
        <w:top w:val="none" w:sz="0" w:space="0" w:color="auto"/>
        <w:left w:val="none" w:sz="0" w:space="0" w:color="auto"/>
        <w:bottom w:val="none" w:sz="0" w:space="0" w:color="auto"/>
        <w:right w:val="none" w:sz="0" w:space="0" w:color="auto"/>
      </w:divBdr>
    </w:div>
    <w:div w:id="503475466">
      <w:bodyDiv w:val="1"/>
      <w:marLeft w:val="0"/>
      <w:marRight w:val="0"/>
      <w:marTop w:val="0"/>
      <w:marBottom w:val="0"/>
      <w:divBdr>
        <w:top w:val="none" w:sz="0" w:space="0" w:color="auto"/>
        <w:left w:val="none" w:sz="0" w:space="0" w:color="auto"/>
        <w:bottom w:val="none" w:sz="0" w:space="0" w:color="auto"/>
        <w:right w:val="none" w:sz="0" w:space="0" w:color="auto"/>
      </w:divBdr>
      <w:divsChild>
        <w:div w:id="275214108">
          <w:marLeft w:val="0"/>
          <w:marRight w:val="0"/>
          <w:marTop w:val="0"/>
          <w:marBottom w:val="0"/>
          <w:divBdr>
            <w:top w:val="none" w:sz="0" w:space="0" w:color="auto"/>
            <w:left w:val="none" w:sz="0" w:space="0" w:color="auto"/>
            <w:bottom w:val="none" w:sz="0" w:space="0" w:color="auto"/>
            <w:right w:val="none" w:sz="0" w:space="0" w:color="auto"/>
          </w:divBdr>
        </w:div>
        <w:div w:id="457988397">
          <w:marLeft w:val="0"/>
          <w:marRight w:val="0"/>
          <w:marTop w:val="0"/>
          <w:marBottom w:val="0"/>
          <w:divBdr>
            <w:top w:val="none" w:sz="0" w:space="0" w:color="auto"/>
            <w:left w:val="none" w:sz="0" w:space="0" w:color="auto"/>
            <w:bottom w:val="none" w:sz="0" w:space="0" w:color="auto"/>
            <w:right w:val="none" w:sz="0" w:space="0" w:color="auto"/>
          </w:divBdr>
        </w:div>
        <w:div w:id="987634344">
          <w:marLeft w:val="0"/>
          <w:marRight w:val="0"/>
          <w:marTop w:val="0"/>
          <w:marBottom w:val="0"/>
          <w:divBdr>
            <w:top w:val="none" w:sz="0" w:space="0" w:color="auto"/>
            <w:left w:val="none" w:sz="0" w:space="0" w:color="auto"/>
            <w:bottom w:val="none" w:sz="0" w:space="0" w:color="auto"/>
            <w:right w:val="none" w:sz="0" w:space="0" w:color="auto"/>
          </w:divBdr>
        </w:div>
        <w:div w:id="1483541758">
          <w:marLeft w:val="0"/>
          <w:marRight w:val="0"/>
          <w:marTop w:val="0"/>
          <w:marBottom w:val="0"/>
          <w:divBdr>
            <w:top w:val="none" w:sz="0" w:space="0" w:color="auto"/>
            <w:left w:val="none" w:sz="0" w:space="0" w:color="auto"/>
            <w:bottom w:val="none" w:sz="0" w:space="0" w:color="auto"/>
            <w:right w:val="none" w:sz="0" w:space="0" w:color="auto"/>
          </w:divBdr>
        </w:div>
        <w:div w:id="1943803522">
          <w:marLeft w:val="0"/>
          <w:marRight w:val="0"/>
          <w:marTop w:val="0"/>
          <w:marBottom w:val="0"/>
          <w:divBdr>
            <w:top w:val="none" w:sz="0" w:space="0" w:color="auto"/>
            <w:left w:val="none" w:sz="0" w:space="0" w:color="auto"/>
            <w:bottom w:val="none" w:sz="0" w:space="0" w:color="auto"/>
            <w:right w:val="none" w:sz="0" w:space="0" w:color="auto"/>
          </w:divBdr>
        </w:div>
      </w:divsChild>
    </w:div>
    <w:div w:id="610403190">
      <w:bodyDiv w:val="1"/>
      <w:marLeft w:val="0"/>
      <w:marRight w:val="0"/>
      <w:marTop w:val="0"/>
      <w:marBottom w:val="0"/>
      <w:divBdr>
        <w:top w:val="none" w:sz="0" w:space="0" w:color="auto"/>
        <w:left w:val="none" w:sz="0" w:space="0" w:color="auto"/>
        <w:bottom w:val="none" w:sz="0" w:space="0" w:color="auto"/>
        <w:right w:val="none" w:sz="0" w:space="0" w:color="auto"/>
      </w:divBdr>
      <w:divsChild>
        <w:div w:id="1222326418">
          <w:marLeft w:val="0"/>
          <w:marRight w:val="0"/>
          <w:marTop w:val="0"/>
          <w:marBottom w:val="0"/>
          <w:divBdr>
            <w:top w:val="none" w:sz="0" w:space="0" w:color="auto"/>
            <w:left w:val="none" w:sz="0" w:space="0" w:color="auto"/>
            <w:bottom w:val="none" w:sz="0" w:space="0" w:color="auto"/>
            <w:right w:val="none" w:sz="0" w:space="0" w:color="auto"/>
          </w:divBdr>
        </w:div>
        <w:div w:id="1262227795">
          <w:marLeft w:val="0"/>
          <w:marRight w:val="0"/>
          <w:marTop w:val="0"/>
          <w:marBottom w:val="0"/>
          <w:divBdr>
            <w:top w:val="none" w:sz="0" w:space="0" w:color="auto"/>
            <w:left w:val="none" w:sz="0" w:space="0" w:color="auto"/>
            <w:bottom w:val="none" w:sz="0" w:space="0" w:color="auto"/>
            <w:right w:val="none" w:sz="0" w:space="0" w:color="auto"/>
          </w:divBdr>
        </w:div>
      </w:divsChild>
    </w:div>
    <w:div w:id="639919579">
      <w:bodyDiv w:val="1"/>
      <w:marLeft w:val="0"/>
      <w:marRight w:val="0"/>
      <w:marTop w:val="0"/>
      <w:marBottom w:val="0"/>
      <w:divBdr>
        <w:top w:val="none" w:sz="0" w:space="0" w:color="auto"/>
        <w:left w:val="none" w:sz="0" w:space="0" w:color="auto"/>
        <w:bottom w:val="none" w:sz="0" w:space="0" w:color="auto"/>
        <w:right w:val="none" w:sz="0" w:space="0" w:color="auto"/>
      </w:divBdr>
      <w:divsChild>
        <w:div w:id="700739148">
          <w:marLeft w:val="0"/>
          <w:marRight w:val="0"/>
          <w:marTop w:val="0"/>
          <w:marBottom w:val="0"/>
          <w:divBdr>
            <w:top w:val="none" w:sz="0" w:space="0" w:color="auto"/>
            <w:left w:val="none" w:sz="0" w:space="0" w:color="auto"/>
            <w:bottom w:val="none" w:sz="0" w:space="0" w:color="auto"/>
            <w:right w:val="none" w:sz="0" w:space="0" w:color="auto"/>
          </w:divBdr>
        </w:div>
        <w:div w:id="715394173">
          <w:marLeft w:val="0"/>
          <w:marRight w:val="0"/>
          <w:marTop w:val="0"/>
          <w:marBottom w:val="0"/>
          <w:divBdr>
            <w:top w:val="none" w:sz="0" w:space="0" w:color="auto"/>
            <w:left w:val="none" w:sz="0" w:space="0" w:color="auto"/>
            <w:bottom w:val="none" w:sz="0" w:space="0" w:color="auto"/>
            <w:right w:val="none" w:sz="0" w:space="0" w:color="auto"/>
          </w:divBdr>
        </w:div>
        <w:div w:id="851381513">
          <w:marLeft w:val="0"/>
          <w:marRight w:val="0"/>
          <w:marTop w:val="0"/>
          <w:marBottom w:val="0"/>
          <w:divBdr>
            <w:top w:val="none" w:sz="0" w:space="0" w:color="auto"/>
            <w:left w:val="none" w:sz="0" w:space="0" w:color="auto"/>
            <w:bottom w:val="none" w:sz="0" w:space="0" w:color="auto"/>
            <w:right w:val="none" w:sz="0" w:space="0" w:color="auto"/>
          </w:divBdr>
        </w:div>
        <w:div w:id="1961456085">
          <w:marLeft w:val="0"/>
          <w:marRight w:val="0"/>
          <w:marTop w:val="0"/>
          <w:marBottom w:val="0"/>
          <w:divBdr>
            <w:top w:val="none" w:sz="0" w:space="0" w:color="auto"/>
            <w:left w:val="none" w:sz="0" w:space="0" w:color="auto"/>
            <w:bottom w:val="none" w:sz="0" w:space="0" w:color="auto"/>
            <w:right w:val="none" w:sz="0" w:space="0" w:color="auto"/>
          </w:divBdr>
        </w:div>
        <w:div w:id="2058625343">
          <w:marLeft w:val="0"/>
          <w:marRight w:val="0"/>
          <w:marTop w:val="0"/>
          <w:marBottom w:val="0"/>
          <w:divBdr>
            <w:top w:val="none" w:sz="0" w:space="0" w:color="auto"/>
            <w:left w:val="none" w:sz="0" w:space="0" w:color="auto"/>
            <w:bottom w:val="none" w:sz="0" w:space="0" w:color="auto"/>
            <w:right w:val="none" w:sz="0" w:space="0" w:color="auto"/>
          </w:divBdr>
        </w:div>
      </w:divsChild>
    </w:div>
    <w:div w:id="652640091">
      <w:bodyDiv w:val="1"/>
      <w:marLeft w:val="0"/>
      <w:marRight w:val="0"/>
      <w:marTop w:val="0"/>
      <w:marBottom w:val="0"/>
      <w:divBdr>
        <w:top w:val="none" w:sz="0" w:space="0" w:color="auto"/>
        <w:left w:val="none" w:sz="0" w:space="0" w:color="auto"/>
        <w:bottom w:val="none" w:sz="0" w:space="0" w:color="auto"/>
        <w:right w:val="none" w:sz="0" w:space="0" w:color="auto"/>
      </w:divBdr>
      <w:divsChild>
        <w:div w:id="1091580949">
          <w:marLeft w:val="0"/>
          <w:marRight w:val="0"/>
          <w:marTop w:val="0"/>
          <w:marBottom w:val="0"/>
          <w:divBdr>
            <w:top w:val="none" w:sz="0" w:space="0" w:color="auto"/>
            <w:left w:val="none" w:sz="0" w:space="0" w:color="auto"/>
            <w:bottom w:val="none" w:sz="0" w:space="0" w:color="auto"/>
            <w:right w:val="none" w:sz="0" w:space="0" w:color="auto"/>
          </w:divBdr>
          <w:divsChild>
            <w:div w:id="71703996">
              <w:marLeft w:val="0"/>
              <w:marRight w:val="0"/>
              <w:marTop w:val="0"/>
              <w:marBottom w:val="0"/>
              <w:divBdr>
                <w:top w:val="none" w:sz="0" w:space="0" w:color="auto"/>
                <w:left w:val="none" w:sz="0" w:space="0" w:color="auto"/>
                <w:bottom w:val="none" w:sz="0" w:space="0" w:color="auto"/>
                <w:right w:val="none" w:sz="0" w:space="0" w:color="auto"/>
              </w:divBdr>
            </w:div>
            <w:div w:id="1196314132">
              <w:marLeft w:val="0"/>
              <w:marRight w:val="0"/>
              <w:marTop w:val="0"/>
              <w:marBottom w:val="0"/>
              <w:divBdr>
                <w:top w:val="none" w:sz="0" w:space="0" w:color="auto"/>
                <w:left w:val="none" w:sz="0" w:space="0" w:color="auto"/>
                <w:bottom w:val="none" w:sz="0" w:space="0" w:color="auto"/>
                <w:right w:val="none" w:sz="0" w:space="0" w:color="auto"/>
              </w:divBdr>
            </w:div>
          </w:divsChild>
        </w:div>
        <w:div w:id="1488865828">
          <w:marLeft w:val="0"/>
          <w:marRight w:val="0"/>
          <w:marTop w:val="0"/>
          <w:marBottom w:val="0"/>
          <w:divBdr>
            <w:top w:val="none" w:sz="0" w:space="0" w:color="auto"/>
            <w:left w:val="none" w:sz="0" w:space="0" w:color="auto"/>
            <w:bottom w:val="none" w:sz="0" w:space="0" w:color="auto"/>
            <w:right w:val="none" w:sz="0" w:space="0" w:color="auto"/>
          </w:divBdr>
        </w:div>
      </w:divsChild>
    </w:div>
    <w:div w:id="727605392">
      <w:bodyDiv w:val="1"/>
      <w:marLeft w:val="0"/>
      <w:marRight w:val="0"/>
      <w:marTop w:val="0"/>
      <w:marBottom w:val="0"/>
      <w:divBdr>
        <w:top w:val="none" w:sz="0" w:space="0" w:color="auto"/>
        <w:left w:val="none" w:sz="0" w:space="0" w:color="auto"/>
        <w:bottom w:val="none" w:sz="0" w:space="0" w:color="auto"/>
        <w:right w:val="none" w:sz="0" w:space="0" w:color="auto"/>
      </w:divBdr>
      <w:divsChild>
        <w:div w:id="223027056">
          <w:marLeft w:val="0"/>
          <w:marRight w:val="0"/>
          <w:marTop w:val="0"/>
          <w:marBottom w:val="0"/>
          <w:divBdr>
            <w:top w:val="none" w:sz="0" w:space="0" w:color="auto"/>
            <w:left w:val="none" w:sz="0" w:space="0" w:color="auto"/>
            <w:bottom w:val="none" w:sz="0" w:space="0" w:color="auto"/>
            <w:right w:val="none" w:sz="0" w:space="0" w:color="auto"/>
          </w:divBdr>
        </w:div>
        <w:div w:id="347803384">
          <w:marLeft w:val="0"/>
          <w:marRight w:val="0"/>
          <w:marTop w:val="0"/>
          <w:marBottom w:val="0"/>
          <w:divBdr>
            <w:top w:val="none" w:sz="0" w:space="0" w:color="auto"/>
            <w:left w:val="none" w:sz="0" w:space="0" w:color="auto"/>
            <w:bottom w:val="none" w:sz="0" w:space="0" w:color="auto"/>
            <w:right w:val="none" w:sz="0" w:space="0" w:color="auto"/>
          </w:divBdr>
        </w:div>
        <w:div w:id="857547343">
          <w:marLeft w:val="0"/>
          <w:marRight w:val="0"/>
          <w:marTop w:val="0"/>
          <w:marBottom w:val="0"/>
          <w:divBdr>
            <w:top w:val="none" w:sz="0" w:space="0" w:color="auto"/>
            <w:left w:val="none" w:sz="0" w:space="0" w:color="auto"/>
            <w:bottom w:val="none" w:sz="0" w:space="0" w:color="auto"/>
            <w:right w:val="none" w:sz="0" w:space="0" w:color="auto"/>
          </w:divBdr>
        </w:div>
      </w:divsChild>
    </w:div>
    <w:div w:id="754862683">
      <w:bodyDiv w:val="1"/>
      <w:marLeft w:val="0"/>
      <w:marRight w:val="0"/>
      <w:marTop w:val="0"/>
      <w:marBottom w:val="0"/>
      <w:divBdr>
        <w:top w:val="none" w:sz="0" w:space="0" w:color="auto"/>
        <w:left w:val="none" w:sz="0" w:space="0" w:color="auto"/>
        <w:bottom w:val="none" w:sz="0" w:space="0" w:color="auto"/>
        <w:right w:val="none" w:sz="0" w:space="0" w:color="auto"/>
      </w:divBdr>
    </w:div>
    <w:div w:id="816528918">
      <w:bodyDiv w:val="1"/>
      <w:marLeft w:val="0"/>
      <w:marRight w:val="0"/>
      <w:marTop w:val="0"/>
      <w:marBottom w:val="0"/>
      <w:divBdr>
        <w:top w:val="none" w:sz="0" w:space="0" w:color="auto"/>
        <w:left w:val="none" w:sz="0" w:space="0" w:color="auto"/>
        <w:bottom w:val="none" w:sz="0" w:space="0" w:color="auto"/>
        <w:right w:val="none" w:sz="0" w:space="0" w:color="auto"/>
      </w:divBdr>
    </w:div>
    <w:div w:id="864169788">
      <w:bodyDiv w:val="1"/>
      <w:marLeft w:val="0"/>
      <w:marRight w:val="0"/>
      <w:marTop w:val="0"/>
      <w:marBottom w:val="0"/>
      <w:divBdr>
        <w:top w:val="none" w:sz="0" w:space="0" w:color="auto"/>
        <w:left w:val="none" w:sz="0" w:space="0" w:color="auto"/>
        <w:bottom w:val="none" w:sz="0" w:space="0" w:color="auto"/>
        <w:right w:val="none" w:sz="0" w:space="0" w:color="auto"/>
      </w:divBdr>
    </w:div>
    <w:div w:id="875779023">
      <w:bodyDiv w:val="1"/>
      <w:marLeft w:val="0"/>
      <w:marRight w:val="0"/>
      <w:marTop w:val="0"/>
      <w:marBottom w:val="0"/>
      <w:divBdr>
        <w:top w:val="none" w:sz="0" w:space="0" w:color="auto"/>
        <w:left w:val="none" w:sz="0" w:space="0" w:color="auto"/>
        <w:bottom w:val="none" w:sz="0" w:space="0" w:color="auto"/>
        <w:right w:val="none" w:sz="0" w:space="0" w:color="auto"/>
      </w:divBdr>
      <w:divsChild>
        <w:div w:id="246041723">
          <w:marLeft w:val="0"/>
          <w:marRight w:val="0"/>
          <w:marTop w:val="0"/>
          <w:marBottom w:val="0"/>
          <w:divBdr>
            <w:top w:val="none" w:sz="0" w:space="0" w:color="auto"/>
            <w:left w:val="none" w:sz="0" w:space="0" w:color="auto"/>
            <w:bottom w:val="none" w:sz="0" w:space="0" w:color="auto"/>
            <w:right w:val="none" w:sz="0" w:space="0" w:color="auto"/>
          </w:divBdr>
        </w:div>
        <w:div w:id="2053841587">
          <w:marLeft w:val="0"/>
          <w:marRight w:val="0"/>
          <w:marTop w:val="0"/>
          <w:marBottom w:val="0"/>
          <w:divBdr>
            <w:top w:val="none" w:sz="0" w:space="0" w:color="auto"/>
            <w:left w:val="none" w:sz="0" w:space="0" w:color="auto"/>
            <w:bottom w:val="none" w:sz="0" w:space="0" w:color="auto"/>
            <w:right w:val="none" w:sz="0" w:space="0" w:color="auto"/>
          </w:divBdr>
        </w:div>
      </w:divsChild>
    </w:div>
    <w:div w:id="89038369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sChild>
        <w:div w:id="907542830">
          <w:marLeft w:val="0"/>
          <w:marRight w:val="0"/>
          <w:marTop w:val="0"/>
          <w:marBottom w:val="0"/>
          <w:divBdr>
            <w:top w:val="none" w:sz="0" w:space="0" w:color="auto"/>
            <w:left w:val="none" w:sz="0" w:space="0" w:color="auto"/>
            <w:bottom w:val="none" w:sz="0" w:space="0" w:color="auto"/>
            <w:right w:val="none" w:sz="0" w:space="0" w:color="auto"/>
          </w:divBdr>
        </w:div>
        <w:div w:id="2062904833">
          <w:marLeft w:val="0"/>
          <w:marRight w:val="0"/>
          <w:marTop w:val="0"/>
          <w:marBottom w:val="0"/>
          <w:divBdr>
            <w:top w:val="none" w:sz="0" w:space="0" w:color="auto"/>
            <w:left w:val="none" w:sz="0" w:space="0" w:color="auto"/>
            <w:bottom w:val="none" w:sz="0" w:space="0" w:color="auto"/>
            <w:right w:val="none" w:sz="0" w:space="0" w:color="auto"/>
          </w:divBdr>
        </w:div>
      </w:divsChild>
    </w:div>
    <w:div w:id="931353307">
      <w:bodyDiv w:val="1"/>
      <w:marLeft w:val="0"/>
      <w:marRight w:val="0"/>
      <w:marTop w:val="0"/>
      <w:marBottom w:val="0"/>
      <w:divBdr>
        <w:top w:val="none" w:sz="0" w:space="0" w:color="auto"/>
        <w:left w:val="none" w:sz="0" w:space="0" w:color="auto"/>
        <w:bottom w:val="none" w:sz="0" w:space="0" w:color="auto"/>
        <w:right w:val="none" w:sz="0" w:space="0" w:color="auto"/>
      </w:divBdr>
    </w:div>
    <w:div w:id="960067527">
      <w:bodyDiv w:val="1"/>
      <w:marLeft w:val="0"/>
      <w:marRight w:val="0"/>
      <w:marTop w:val="0"/>
      <w:marBottom w:val="0"/>
      <w:divBdr>
        <w:top w:val="none" w:sz="0" w:space="0" w:color="auto"/>
        <w:left w:val="none" w:sz="0" w:space="0" w:color="auto"/>
        <w:bottom w:val="none" w:sz="0" w:space="0" w:color="auto"/>
        <w:right w:val="none" w:sz="0" w:space="0" w:color="auto"/>
      </w:divBdr>
    </w:div>
    <w:div w:id="997610346">
      <w:bodyDiv w:val="1"/>
      <w:marLeft w:val="0"/>
      <w:marRight w:val="0"/>
      <w:marTop w:val="0"/>
      <w:marBottom w:val="0"/>
      <w:divBdr>
        <w:top w:val="none" w:sz="0" w:space="0" w:color="auto"/>
        <w:left w:val="none" w:sz="0" w:space="0" w:color="auto"/>
        <w:bottom w:val="none" w:sz="0" w:space="0" w:color="auto"/>
        <w:right w:val="none" w:sz="0" w:space="0" w:color="auto"/>
      </w:divBdr>
    </w:div>
    <w:div w:id="1025131543">
      <w:bodyDiv w:val="1"/>
      <w:marLeft w:val="0"/>
      <w:marRight w:val="0"/>
      <w:marTop w:val="0"/>
      <w:marBottom w:val="0"/>
      <w:divBdr>
        <w:top w:val="none" w:sz="0" w:space="0" w:color="auto"/>
        <w:left w:val="none" w:sz="0" w:space="0" w:color="auto"/>
        <w:bottom w:val="none" w:sz="0" w:space="0" w:color="auto"/>
        <w:right w:val="none" w:sz="0" w:space="0" w:color="auto"/>
      </w:divBdr>
    </w:div>
    <w:div w:id="1032654170">
      <w:bodyDiv w:val="1"/>
      <w:marLeft w:val="0"/>
      <w:marRight w:val="0"/>
      <w:marTop w:val="0"/>
      <w:marBottom w:val="0"/>
      <w:divBdr>
        <w:top w:val="none" w:sz="0" w:space="0" w:color="auto"/>
        <w:left w:val="none" w:sz="0" w:space="0" w:color="auto"/>
        <w:bottom w:val="none" w:sz="0" w:space="0" w:color="auto"/>
        <w:right w:val="none" w:sz="0" w:space="0" w:color="auto"/>
      </w:divBdr>
      <w:divsChild>
        <w:div w:id="673142335">
          <w:marLeft w:val="0"/>
          <w:marRight w:val="0"/>
          <w:marTop w:val="0"/>
          <w:marBottom w:val="0"/>
          <w:divBdr>
            <w:top w:val="none" w:sz="0" w:space="0" w:color="auto"/>
            <w:left w:val="none" w:sz="0" w:space="0" w:color="auto"/>
            <w:bottom w:val="none" w:sz="0" w:space="0" w:color="auto"/>
            <w:right w:val="none" w:sz="0" w:space="0" w:color="auto"/>
          </w:divBdr>
        </w:div>
      </w:divsChild>
    </w:div>
    <w:div w:id="1051230061">
      <w:bodyDiv w:val="1"/>
      <w:marLeft w:val="0"/>
      <w:marRight w:val="0"/>
      <w:marTop w:val="0"/>
      <w:marBottom w:val="0"/>
      <w:divBdr>
        <w:top w:val="none" w:sz="0" w:space="0" w:color="auto"/>
        <w:left w:val="none" w:sz="0" w:space="0" w:color="auto"/>
        <w:bottom w:val="none" w:sz="0" w:space="0" w:color="auto"/>
        <w:right w:val="none" w:sz="0" w:space="0" w:color="auto"/>
      </w:divBdr>
      <w:divsChild>
        <w:div w:id="448813967">
          <w:marLeft w:val="0"/>
          <w:marRight w:val="0"/>
          <w:marTop w:val="0"/>
          <w:marBottom w:val="0"/>
          <w:divBdr>
            <w:top w:val="none" w:sz="0" w:space="0" w:color="auto"/>
            <w:left w:val="none" w:sz="0" w:space="0" w:color="auto"/>
            <w:bottom w:val="none" w:sz="0" w:space="0" w:color="auto"/>
            <w:right w:val="none" w:sz="0" w:space="0" w:color="auto"/>
          </w:divBdr>
          <w:divsChild>
            <w:div w:id="525825177">
              <w:marLeft w:val="0"/>
              <w:marRight w:val="0"/>
              <w:marTop w:val="0"/>
              <w:marBottom w:val="0"/>
              <w:divBdr>
                <w:top w:val="none" w:sz="0" w:space="0" w:color="auto"/>
                <w:left w:val="none" w:sz="0" w:space="0" w:color="auto"/>
                <w:bottom w:val="none" w:sz="0" w:space="0" w:color="auto"/>
                <w:right w:val="none" w:sz="0" w:space="0" w:color="auto"/>
              </w:divBdr>
            </w:div>
            <w:div w:id="1160344556">
              <w:marLeft w:val="0"/>
              <w:marRight w:val="0"/>
              <w:marTop w:val="0"/>
              <w:marBottom w:val="0"/>
              <w:divBdr>
                <w:top w:val="none" w:sz="0" w:space="0" w:color="auto"/>
                <w:left w:val="none" w:sz="0" w:space="0" w:color="auto"/>
                <w:bottom w:val="none" w:sz="0" w:space="0" w:color="auto"/>
                <w:right w:val="none" w:sz="0" w:space="0" w:color="auto"/>
              </w:divBdr>
            </w:div>
            <w:div w:id="1240597588">
              <w:marLeft w:val="0"/>
              <w:marRight w:val="0"/>
              <w:marTop w:val="0"/>
              <w:marBottom w:val="0"/>
              <w:divBdr>
                <w:top w:val="none" w:sz="0" w:space="0" w:color="auto"/>
                <w:left w:val="none" w:sz="0" w:space="0" w:color="auto"/>
                <w:bottom w:val="none" w:sz="0" w:space="0" w:color="auto"/>
                <w:right w:val="none" w:sz="0" w:space="0" w:color="auto"/>
              </w:divBdr>
            </w:div>
          </w:divsChild>
        </w:div>
        <w:div w:id="483008078">
          <w:marLeft w:val="0"/>
          <w:marRight w:val="0"/>
          <w:marTop w:val="0"/>
          <w:marBottom w:val="0"/>
          <w:divBdr>
            <w:top w:val="none" w:sz="0" w:space="0" w:color="auto"/>
            <w:left w:val="none" w:sz="0" w:space="0" w:color="auto"/>
            <w:bottom w:val="none" w:sz="0" w:space="0" w:color="auto"/>
            <w:right w:val="none" w:sz="0" w:space="0" w:color="auto"/>
          </w:divBdr>
        </w:div>
        <w:div w:id="901670862">
          <w:marLeft w:val="0"/>
          <w:marRight w:val="0"/>
          <w:marTop w:val="0"/>
          <w:marBottom w:val="0"/>
          <w:divBdr>
            <w:top w:val="none" w:sz="0" w:space="0" w:color="auto"/>
            <w:left w:val="none" w:sz="0" w:space="0" w:color="auto"/>
            <w:bottom w:val="none" w:sz="0" w:space="0" w:color="auto"/>
            <w:right w:val="none" w:sz="0" w:space="0" w:color="auto"/>
          </w:divBdr>
        </w:div>
        <w:div w:id="978342263">
          <w:marLeft w:val="0"/>
          <w:marRight w:val="0"/>
          <w:marTop w:val="0"/>
          <w:marBottom w:val="0"/>
          <w:divBdr>
            <w:top w:val="none" w:sz="0" w:space="0" w:color="auto"/>
            <w:left w:val="none" w:sz="0" w:space="0" w:color="auto"/>
            <w:bottom w:val="none" w:sz="0" w:space="0" w:color="auto"/>
            <w:right w:val="none" w:sz="0" w:space="0" w:color="auto"/>
          </w:divBdr>
        </w:div>
        <w:div w:id="1488204571">
          <w:marLeft w:val="0"/>
          <w:marRight w:val="0"/>
          <w:marTop w:val="0"/>
          <w:marBottom w:val="0"/>
          <w:divBdr>
            <w:top w:val="none" w:sz="0" w:space="0" w:color="auto"/>
            <w:left w:val="none" w:sz="0" w:space="0" w:color="auto"/>
            <w:bottom w:val="none" w:sz="0" w:space="0" w:color="auto"/>
            <w:right w:val="none" w:sz="0" w:space="0" w:color="auto"/>
          </w:divBdr>
        </w:div>
        <w:div w:id="1956667343">
          <w:marLeft w:val="0"/>
          <w:marRight w:val="0"/>
          <w:marTop w:val="0"/>
          <w:marBottom w:val="0"/>
          <w:divBdr>
            <w:top w:val="none" w:sz="0" w:space="0" w:color="auto"/>
            <w:left w:val="none" w:sz="0" w:space="0" w:color="auto"/>
            <w:bottom w:val="none" w:sz="0" w:space="0" w:color="auto"/>
            <w:right w:val="none" w:sz="0" w:space="0" w:color="auto"/>
          </w:divBdr>
        </w:div>
      </w:divsChild>
    </w:div>
    <w:div w:id="1127357706">
      <w:bodyDiv w:val="1"/>
      <w:marLeft w:val="0"/>
      <w:marRight w:val="0"/>
      <w:marTop w:val="0"/>
      <w:marBottom w:val="0"/>
      <w:divBdr>
        <w:top w:val="none" w:sz="0" w:space="0" w:color="auto"/>
        <w:left w:val="none" w:sz="0" w:space="0" w:color="auto"/>
        <w:bottom w:val="none" w:sz="0" w:space="0" w:color="auto"/>
        <w:right w:val="none" w:sz="0" w:space="0" w:color="auto"/>
      </w:divBdr>
      <w:divsChild>
        <w:div w:id="494878098">
          <w:marLeft w:val="0"/>
          <w:marRight w:val="0"/>
          <w:marTop w:val="0"/>
          <w:marBottom w:val="0"/>
          <w:divBdr>
            <w:top w:val="none" w:sz="0" w:space="0" w:color="auto"/>
            <w:left w:val="none" w:sz="0" w:space="0" w:color="auto"/>
            <w:bottom w:val="none" w:sz="0" w:space="0" w:color="auto"/>
            <w:right w:val="none" w:sz="0" w:space="0" w:color="auto"/>
          </w:divBdr>
          <w:divsChild>
            <w:div w:id="121580564">
              <w:marLeft w:val="0"/>
              <w:marRight w:val="0"/>
              <w:marTop w:val="0"/>
              <w:marBottom w:val="0"/>
              <w:divBdr>
                <w:top w:val="none" w:sz="0" w:space="0" w:color="auto"/>
                <w:left w:val="none" w:sz="0" w:space="0" w:color="auto"/>
                <w:bottom w:val="none" w:sz="0" w:space="0" w:color="auto"/>
                <w:right w:val="none" w:sz="0" w:space="0" w:color="auto"/>
              </w:divBdr>
            </w:div>
          </w:divsChild>
        </w:div>
        <w:div w:id="739443614">
          <w:marLeft w:val="0"/>
          <w:marRight w:val="0"/>
          <w:marTop w:val="0"/>
          <w:marBottom w:val="0"/>
          <w:divBdr>
            <w:top w:val="none" w:sz="0" w:space="0" w:color="auto"/>
            <w:left w:val="none" w:sz="0" w:space="0" w:color="auto"/>
            <w:bottom w:val="none" w:sz="0" w:space="0" w:color="auto"/>
            <w:right w:val="none" w:sz="0" w:space="0" w:color="auto"/>
          </w:divBdr>
        </w:div>
        <w:div w:id="1406486421">
          <w:marLeft w:val="0"/>
          <w:marRight w:val="0"/>
          <w:marTop w:val="0"/>
          <w:marBottom w:val="0"/>
          <w:divBdr>
            <w:top w:val="none" w:sz="0" w:space="0" w:color="auto"/>
            <w:left w:val="none" w:sz="0" w:space="0" w:color="auto"/>
            <w:bottom w:val="none" w:sz="0" w:space="0" w:color="auto"/>
            <w:right w:val="none" w:sz="0" w:space="0" w:color="auto"/>
          </w:divBdr>
          <w:divsChild>
            <w:div w:id="1019968746">
              <w:marLeft w:val="0"/>
              <w:marRight w:val="0"/>
              <w:marTop w:val="0"/>
              <w:marBottom w:val="0"/>
              <w:divBdr>
                <w:top w:val="none" w:sz="0" w:space="0" w:color="auto"/>
                <w:left w:val="none" w:sz="0" w:space="0" w:color="auto"/>
                <w:bottom w:val="none" w:sz="0" w:space="0" w:color="auto"/>
                <w:right w:val="none" w:sz="0" w:space="0" w:color="auto"/>
              </w:divBdr>
            </w:div>
          </w:divsChild>
        </w:div>
        <w:div w:id="1936016820">
          <w:marLeft w:val="0"/>
          <w:marRight w:val="0"/>
          <w:marTop w:val="0"/>
          <w:marBottom w:val="0"/>
          <w:divBdr>
            <w:top w:val="none" w:sz="0" w:space="0" w:color="auto"/>
            <w:left w:val="none" w:sz="0" w:space="0" w:color="auto"/>
            <w:bottom w:val="none" w:sz="0" w:space="0" w:color="auto"/>
            <w:right w:val="none" w:sz="0" w:space="0" w:color="auto"/>
          </w:divBdr>
        </w:div>
      </w:divsChild>
    </w:div>
    <w:div w:id="1180504036">
      <w:bodyDiv w:val="1"/>
      <w:marLeft w:val="0"/>
      <w:marRight w:val="0"/>
      <w:marTop w:val="0"/>
      <w:marBottom w:val="0"/>
      <w:divBdr>
        <w:top w:val="none" w:sz="0" w:space="0" w:color="auto"/>
        <w:left w:val="none" w:sz="0" w:space="0" w:color="auto"/>
        <w:bottom w:val="none" w:sz="0" w:space="0" w:color="auto"/>
        <w:right w:val="none" w:sz="0" w:space="0" w:color="auto"/>
      </w:divBdr>
      <w:divsChild>
        <w:div w:id="402148286">
          <w:marLeft w:val="0"/>
          <w:marRight w:val="0"/>
          <w:marTop w:val="0"/>
          <w:marBottom w:val="0"/>
          <w:divBdr>
            <w:top w:val="none" w:sz="0" w:space="0" w:color="auto"/>
            <w:left w:val="none" w:sz="0" w:space="0" w:color="auto"/>
            <w:bottom w:val="none" w:sz="0" w:space="0" w:color="auto"/>
            <w:right w:val="none" w:sz="0" w:space="0" w:color="auto"/>
          </w:divBdr>
        </w:div>
      </w:divsChild>
    </w:div>
    <w:div w:id="1210075528">
      <w:bodyDiv w:val="1"/>
      <w:marLeft w:val="0"/>
      <w:marRight w:val="0"/>
      <w:marTop w:val="0"/>
      <w:marBottom w:val="0"/>
      <w:divBdr>
        <w:top w:val="none" w:sz="0" w:space="0" w:color="auto"/>
        <w:left w:val="none" w:sz="0" w:space="0" w:color="auto"/>
        <w:bottom w:val="none" w:sz="0" w:space="0" w:color="auto"/>
        <w:right w:val="none" w:sz="0" w:space="0" w:color="auto"/>
      </w:divBdr>
      <w:divsChild>
        <w:div w:id="219365080">
          <w:marLeft w:val="0"/>
          <w:marRight w:val="0"/>
          <w:marTop w:val="0"/>
          <w:marBottom w:val="0"/>
          <w:divBdr>
            <w:top w:val="none" w:sz="0" w:space="0" w:color="auto"/>
            <w:left w:val="none" w:sz="0" w:space="0" w:color="auto"/>
            <w:bottom w:val="none" w:sz="0" w:space="0" w:color="auto"/>
            <w:right w:val="none" w:sz="0" w:space="0" w:color="auto"/>
          </w:divBdr>
        </w:div>
        <w:div w:id="470437682">
          <w:marLeft w:val="0"/>
          <w:marRight w:val="0"/>
          <w:marTop w:val="0"/>
          <w:marBottom w:val="0"/>
          <w:divBdr>
            <w:top w:val="none" w:sz="0" w:space="0" w:color="auto"/>
            <w:left w:val="none" w:sz="0" w:space="0" w:color="auto"/>
            <w:bottom w:val="none" w:sz="0" w:space="0" w:color="auto"/>
            <w:right w:val="none" w:sz="0" w:space="0" w:color="auto"/>
          </w:divBdr>
          <w:divsChild>
            <w:div w:id="415908592">
              <w:marLeft w:val="0"/>
              <w:marRight w:val="0"/>
              <w:marTop w:val="0"/>
              <w:marBottom w:val="0"/>
              <w:divBdr>
                <w:top w:val="none" w:sz="0" w:space="0" w:color="auto"/>
                <w:left w:val="none" w:sz="0" w:space="0" w:color="auto"/>
                <w:bottom w:val="none" w:sz="0" w:space="0" w:color="auto"/>
                <w:right w:val="none" w:sz="0" w:space="0" w:color="auto"/>
              </w:divBdr>
            </w:div>
          </w:divsChild>
        </w:div>
        <w:div w:id="813715625">
          <w:marLeft w:val="0"/>
          <w:marRight w:val="0"/>
          <w:marTop w:val="0"/>
          <w:marBottom w:val="0"/>
          <w:divBdr>
            <w:top w:val="none" w:sz="0" w:space="0" w:color="auto"/>
            <w:left w:val="none" w:sz="0" w:space="0" w:color="auto"/>
            <w:bottom w:val="none" w:sz="0" w:space="0" w:color="auto"/>
            <w:right w:val="none" w:sz="0" w:space="0" w:color="auto"/>
          </w:divBdr>
        </w:div>
        <w:div w:id="1667250248">
          <w:marLeft w:val="0"/>
          <w:marRight w:val="0"/>
          <w:marTop w:val="0"/>
          <w:marBottom w:val="0"/>
          <w:divBdr>
            <w:top w:val="none" w:sz="0" w:space="0" w:color="auto"/>
            <w:left w:val="none" w:sz="0" w:space="0" w:color="auto"/>
            <w:bottom w:val="none" w:sz="0" w:space="0" w:color="auto"/>
            <w:right w:val="none" w:sz="0" w:space="0" w:color="auto"/>
          </w:divBdr>
          <w:divsChild>
            <w:div w:id="12197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4384">
      <w:bodyDiv w:val="1"/>
      <w:marLeft w:val="0"/>
      <w:marRight w:val="0"/>
      <w:marTop w:val="0"/>
      <w:marBottom w:val="0"/>
      <w:divBdr>
        <w:top w:val="none" w:sz="0" w:space="0" w:color="auto"/>
        <w:left w:val="none" w:sz="0" w:space="0" w:color="auto"/>
        <w:bottom w:val="none" w:sz="0" w:space="0" w:color="auto"/>
        <w:right w:val="none" w:sz="0" w:space="0" w:color="auto"/>
      </w:divBdr>
      <w:divsChild>
        <w:div w:id="1015419116">
          <w:marLeft w:val="0"/>
          <w:marRight w:val="0"/>
          <w:marTop w:val="0"/>
          <w:marBottom w:val="0"/>
          <w:divBdr>
            <w:top w:val="none" w:sz="0" w:space="0" w:color="auto"/>
            <w:left w:val="none" w:sz="0" w:space="0" w:color="auto"/>
            <w:bottom w:val="none" w:sz="0" w:space="0" w:color="auto"/>
            <w:right w:val="none" w:sz="0" w:space="0" w:color="auto"/>
          </w:divBdr>
        </w:div>
        <w:div w:id="1139759582">
          <w:marLeft w:val="0"/>
          <w:marRight w:val="0"/>
          <w:marTop w:val="0"/>
          <w:marBottom w:val="0"/>
          <w:divBdr>
            <w:top w:val="none" w:sz="0" w:space="0" w:color="auto"/>
            <w:left w:val="none" w:sz="0" w:space="0" w:color="auto"/>
            <w:bottom w:val="none" w:sz="0" w:space="0" w:color="auto"/>
            <w:right w:val="none" w:sz="0" w:space="0" w:color="auto"/>
          </w:divBdr>
        </w:div>
        <w:div w:id="1143426696">
          <w:marLeft w:val="0"/>
          <w:marRight w:val="0"/>
          <w:marTop w:val="0"/>
          <w:marBottom w:val="0"/>
          <w:divBdr>
            <w:top w:val="none" w:sz="0" w:space="0" w:color="auto"/>
            <w:left w:val="none" w:sz="0" w:space="0" w:color="auto"/>
            <w:bottom w:val="none" w:sz="0" w:space="0" w:color="auto"/>
            <w:right w:val="none" w:sz="0" w:space="0" w:color="auto"/>
          </w:divBdr>
        </w:div>
        <w:div w:id="1712067877">
          <w:marLeft w:val="0"/>
          <w:marRight w:val="0"/>
          <w:marTop w:val="0"/>
          <w:marBottom w:val="0"/>
          <w:divBdr>
            <w:top w:val="none" w:sz="0" w:space="0" w:color="auto"/>
            <w:left w:val="none" w:sz="0" w:space="0" w:color="auto"/>
            <w:bottom w:val="none" w:sz="0" w:space="0" w:color="auto"/>
            <w:right w:val="none" w:sz="0" w:space="0" w:color="auto"/>
          </w:divBdr>
        </w:div>
        <w:div w:id="1843160018">
          <w:marLeft w:val="0"/>
          <w:marRight w:val="0"/>
          <w:marTop w:val="0"/>
          <w:marBottom w:val="0"/>
          <w:divBdr>
            <w:top w:val="none" w:sz="0" w:space="0" w:color="auto"/>
            <w:left w:val="none" w:sz="0" w:space="0" w:color="auto"/>
            <w:bottom w:val="none" w:sz="0" w:space="0" w:color="auto"/>
            <w:right w:val="none" w:sz="0" w:space="0" w:color="auto"/>
          </w:divBdr>
        </w:div>
      </w:divsChild>
    </w:div>
    <w:div w:id="1276522784">
      <w:bodyDiv w:val="1"/>
      <w:marLeft w:val="0"/>
      <w:marRight w:val="0"/>
      <w:marTop w:val="0"/>
      <w:marBottom w:val="0"/>
      <w:divBdr>
        <w:top w:val="none" w:sz="0" w:space="0" w:color="auto"/>
        <w:left w:val="none" w:sz="0" w:space="0" w:color="auto"/>
        <w:bottom w:val="none" w:sz="0" w:space="0" w:color="auto"/>
        <w:right w:val="none" w:sz="0" w:space="0" w:color="auto"/>
      </w:divBdr>
      <w:divsChild>
        <w:div w:id="1997762783">
          <w:marLeft w:val="0"/>
          <w:marRight w:val="0"/>
          <w:marTop w:val="0"/>
          <w:marBottom w:val="0"/>
          <w:divBdr>
            <w:top w:val="none" w:sz="0" w:space="0" w:color="auto"/>
            <w:left w:val="none" w:sz="0" w:space="0" w:color="auto"/>
            <w:bottom w:val="none" w:sz="0" w:space="0" w:color="auto"/>
            <w:right w:val="none" w:sz="0" w:space="0" w:color="auto"/>
          </w:divBdr>
        </w:div>
      </w:divsChild>
    </w:div>
    <w:div w:id="1318605660">
      <w:bodyDiv w:val="1"/>
      <w:marLeft w:val="0"/>
      <w:marRight w:val="0"/>
      <w:marTop w:val="0"/>
      <w:marBottom w:val="0"/>
      <w:divBdr>
        <w:top w:val="none" w:sz="0" w:space="0" w:color="auto"/>
        <w:left w:val="none" w:sz="0" w:space="0" w:color="auto"/>
        <w:bottom w:val="none" w:sz="0" w:space="0" w:color="auto"/>
        <w:right w:val="none" w:sz="0" w:space="0" w:color="auto"/>
      </w:divBdr>
    </w:div>
    <w:div w:id="1463037641">
      <w:bodyDiv w:val="1"/>
      <w:marLeft w:val="0"/>
      <w:marRight w:val="0"/>
      <w:marTop w:val="0"/>
      <w:marBottom w:val="0"/>
      <w:divBdr>
        <w:top w:val="none" w:sz="0" w:space="0" w:color="auto"/>
        <w:left w:val="none" w:sz="0" w:space="0" w:color="auto"/>
        <w:bottom w:val="none" w:sz="0" w:space="0" w:color="auto"/>
        <w:right w:val="none" w:sz="0" w:space="0" w:color="auto"/>
      </w:divBdr>
      <w:divsChild>
        <w:div w:id="950555035">
          <w:marLeft w:val="0"/>
          <w:marRight w:val="0"/>
          <w:marTop w:val="0"/>
          <w:marBottom w:val="0"/>
          <w:divBdr>
            <w:top w:val="none" w:sz="0" w:space="0" w:color="auto"/>
            <w:left w:val="none" w:sz="0" w:space="0" w:color="auto"/>
            <w:bottom w:val="none" w:sz="0" w:space="0" w:color="auto"/>
            <w:right w:val="none" w:sz="0" w:space="0" w:color="auto"/>
          </w:divBdr>
        </w:div>
        <w:div w:id="1444693733">
          <w:marLeft w:val="0"/>
          <w:marRight w:val="0"/>
          <w:marTop w:val="0"/>
          <w:marBottom w:val="0"/>
          <w:divBdr>
            <w:top w:val="none" w:sz="0" w:space="0" w:color="auto"/>
            <w:left w:val="none" w:sz="0" w:space="0" w:color="auto"/>
            <w:bottom w:val="none" w:sz="0" w:space="0" w:color="auto"/>
            <w:right w:val="none" w:sz="0" w:space="0" w:color="auto"/>
          </w:divBdr>
        </w:div>
      </w:divsChild>
    </w:div>
    <w:div w:id="1467241705">
      <w:bodyDiv w:val="1"/>
      <w:marLeft w:val="0"/>
      <w:marRight w:val="0"/>
      <w:marTop w:val="0"/>
      <w:marBottom w:val="0"/>
      <w:divBdr>
        <w:top w:val="none" w:sz="0" w:space="0" w:color="auto"/>
        <w:left w:val="none" w:sz="0" w:space="0" w:color="auto"/>
        <w:bottom w:val="none" w:sz="0" w:space="0" w:color="auto"/>
        <w:right w:val="none" w:sz="0" w:space="0" w:color="auto"/>
      </w:divBdr>
    </w:div>
    <w:div w:id="1478956156">
      <w:bodyDiv w:val="1"/>
      <w:marLeft w:val="0"/>
      <w:marRight w:val="0"/>
      <w:marTop w:val="0"/>
      <w:marBottom w:val="0"/>
      <w:divBdr>
        <w:top w:val="none" w:sz="0" w:space="0" w:color="auto"/>
        <w:left w:val="none" w:sz="0" w:space="0" w:color="auto"/>
        <w:bottom w:val="none" w:sz="0" w:space="0" w:color="auto"/>
        <w:right w:val="none" w:sz="0" w:space="0" w:color="auto"/>
      </w:divBdr>
    </w:div>
    <w:div w:id="1561091014">
      <w:bodyDiv w:val="1"/>
      <w:marLeft w:val="0"/>
      <w:marRight w:val="0"/>
      <w:marTop w:val="0"/>
      <w:marBottom w:val="0"/>
      <w:divBdr>
        <w:top w:val="none" w:sz="0" w:space="0" w:color="auto"/>
        <w:left w:val="none" w:sz="0" w:space="0" w:color="auto"/>
        <w:bottom w:val="none" w:sz="0" w:space="0" w:color="auto"/>
        <w:right w:val="none" w:sz="0" w:space="0" w:color="auto"/>
      </w:divBdr>
      <w:divsChild>
        <w:div w:id="773860059">
          <w:marLeft w:val="0"/>
          <w:marRight w:val="0"/>
          <w:marTop w:val="0"/>
          <w:marBottom w:val="0"/>
          <w:divBdr>
            <w:top w:val="none" w:sz="0" w:space="0" w:color="auto"/>
            <w:left w:val="none" w:sz="0" w:space="0" w:color="auto"/>
            <w:bottom w:val="none" w:sz="0" w:space="0" w:color="auto"/>
            <w:right w:val="none" w:sz="0" w:space="0" w:color="auto"/>
          </w:divBdr>
        </w:div>
        <w:div w:id="799104231">
          <w:marLeft w:val="0"/>
          <w:marRight w:val="0"/>
          <w:marTop w:val="0"/>
          <w:marBottom w:val="0"/>
          <w:divBdr>
            <w:top w:val="none" w:sz="0" w:space="0" w:color="auto"/>
            <w:left w:val="none" w:sz="0" w:space="0" w:color="auto"/>
            <w:bottom w:val="none" w:sz="0" w:space="0" w:color="auto"/>
            <w:right w:val="none" w:sz="0" w:space="0" w:color="auto"/>
          </w:divBdr>
        </w:div>
        <w:div w:id="958145406">
          <w:marLeft w:val="0"/>
          <w:marRight w:val="0"/>
          <w:marTop w:val="0"/>
          <w:marBottom w:val="0"/>
          <w:divBdr>
            <w:top w:val="none" w:sz="0" w:space="0" w:color="auto"/>
            <w:left w:val="none" w:sz="0" w:space="0" w:color="auto"/>
            <w:bottom w:val="none" w:sz="0" w:space="0" w:color="auto"/>
            <w:right w:val="none" w:sz="0" w:space="0" w:color="auto"/>
          </w:divBdr>
        </w:div>
        <w:div w:id="1061438622">
          <w:marLeft w:val="0"/>
          <w:marRight w:val="0"/>
          <w:marTop w:val="0"/>
          <w:marBottom w:val="0"/>
          <w:divBdr>
            <w:top w:val="none" w:sz="0" w:space="0" w:color="auto"/>
            <w:left w:val="none" w:sz="0" w:space="0" w:color="auto"/>
            <w:bottom w:val="none" w:sz="0" w:space="0" w:color="auto"/>
            <w:right w:val="none" w:sz="0" w:space="0" w:color="auto"/>
          </w:divBdr>
        </w:div>
        <w:div w:id="2074159366">
          <w:marLeft w:val="0"/>
          <w:marRight w:val="0"/>
          <w:marTop w:val="0"/>
          <w:marBottom w:val="0"/>
          <w:divBdr>
            <w:top w:val="none" w:sz="0" w:space="0" w:color="auto"/>
            <w:left w:val="none" w:sz="0" w:space="0" w:color="auto"/>
            <w:bottom w:val="none" w:sz="0" w:space="0" w:color="auto"/>
            <w:right w:val="none" w:sz="0" w:space="0" w:color="auto"/>
          </w:divBdr>
        </w:div>
      </w:divsChild>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636329720">
      <w:bodyDiv w:val="1"/>
      <w:marLeft w:val="0"/>
      <w:marRight w:val="0"/>
      <w:marTop w:val="0"/>
      <w:marBottom w:val="0"/>
      <w:divBdr>
        <w:top w:val="none" w:sz="0" w:space="0" w:color="auto"/>
        <w:left w:val="none" w:sz="0" w:space="0" w:color="auto"/>
        <w:bottom w:val="none" w:sz="0" w:space="0" w:color="auto"/>
        <w:right w:val="none" w:sz="0" w:space="0" w:color="auto"/>
      </w:divBdr>
    </w:div>
    <w:div w:id="1750495422">
      <w:bodyDiv w:val="1"/>
      <w:marLeft w:val="0"/>
      <w:marRight w:val="0"/>
      <w:marTop w:val="0"/>
      <w:marBottom w:val="0"/>
      <w:divBdr>
        <w:top w:val="none" w:sz="0" w:space="0" w:color="auto"/>
        <w:left w:val="none" w:sz="0" w:space="0" w:color="auto"/>
        <w:bottom w:val="none" w:sz="0" w:space="0" w:color="auto"/>
        <w:right w:val="none" w:sz="0" w:space="0" w:color="auto"/>
      </w:divBdr>
      <w:divsChild>
        <w:div w:id="1496724133">
          <w:marLeft w:val="0"/>
          <w:marRight w:val="0"/>
          <w:marTop w:val="0"/>
          <w:marBottom w:val="0"/>
          <w:divBdr>
            <w:top w:val="none" w:sz="0" w:space="0" w:color="auto"/>
            <w:left w:val="none" w:sz="0" w:space="0" w:color="auto"/>
            <w:bottom w:val="none" w:sz="0" w:space="0" w:color="auto"/>
            <w:right w:val="none" w:sz="0" w:space="0" w:color="auto"/>
          </w:divBdr>
        </w:div>
        <w:div w:id="2103716989">
          <w:marLeft w:val="0"/>
          <w:marRight w:val="0"/>
          <w:marTop w:val="0"/>
          <w:marBottom w:val="0"/>
          <w:divBdr>
            <w:top w:val="none" w:sz="0" w:space="0" w:color="auto"/>
            <w:left w:val="none" w:sz="0" w:space="0" w:color="auto"/>
            <w:bottom w:val="none" w:sz="0" w:space="0" w:color="auto"/>
            <w:right w:val="none" w:sz="0" w:space="0" w:color="auto"/>
          </w:divBdr>
        </w:div>
      </w:divsChild>
    </w:div>
    <w:div w:id="1803499963">
      <w:bodyDiv w:val="1"/>
      <w:marLeft w:val="0"/>
      <w:marRight w:val="0"/>
      <w:marTop w:val="0"/>
      <w:marBottom w:val="0"/>
      <w:divBdr>
        <w:top w:val="none" w:sz="0" w:space="0" w:color="auto"/>
        <w:left w:val="none" w:sz="0" w:space="0" w:color="auto"/>
        <w:bottom w:val="none" w:sz="0" w:space="0" w:color="auto"/>
        <w:right w:val="none" w:sz="0" w:space="0" w:color="auto"/>
      </w:divBdr>
      <w:divsChild>
        <w:div w:id="1210723784">
          <w:marLeft w:val="0"/>
          <w:marRight w:val="0"/>
          <w:marTop w:val="0"/>
          <w:marBottom w:val="0"/>
          <w:divBdr>
            <w:top w:val="none" w:sz="0" w:space="0" w:color="auto"/>
            <w:left w:val="none" w:sz="0" w:space="0" w:color="auto"/>
            <w:bottom w:val="none" w:sz="0" w:space="0" w:color="auto"/>
            <w:right w:val="none" w:sz="0" w:space="0" w:color="auto"/>
          </w:divBdr>
        </w:div>
      </w:divsChild>
    </w:div>
    <w:div w:id="1822696183">
      <w:bodyDiv w:val="1"/>
      <w:marLeft w:val="0"/>
      <w:marRight w:val="0"/>
      <w:marTop w:val="0"/>
      <w:marBottom w:val="0"/>
      <w:divBdr>
        <w:top w:val="none" w:sz="0" w:space="0" w:color="auto"/>
        <w:left w:val="none" w:sz="0" w:space="0" w:color="auto"/>
        <w:bottom w:val="none" w:sz="0" w:space="0" w:color="auto"/>
        <w:right w:val="none" w:sz="0" w:space="0" w:color="auto"/>
      </w:divBdr>
      <w:divsChild>
        <w:div w:id="1415394721">
          <w:marLeft w:val="0"/>
          <w:marRight w:val="0"/>
          <w:marTop w:val="0"/>
          <w:marBottom w:val="0"/>
          <w:divBdr>
            <w:top w:val="none" w:sz="0" w:space="0" w:color="auto"/>
            <w:left w:val="none" w:sz="0" w:space="0" w:color="auto"/>
            <w:bottom w:val="none" w:sz="0" w:space="0" w:color="auto"/>
            <w:right w:val="none" w:sz="0" w:space="0" w:color="auto"/>
          </w:divBdr>
        </w:div>
      </w:divsChild>
    </w:div>
    <w:div w:id="1860045214">
      <w:bodyDiv w:val="1"/>
      <w:marLeft w:val="0"/>
      <w:marRight w:val="0"/>
      <w:marTop w:val="0"/>
      <w:marBottom w:val="0"/>
      <w:divBdr>
        <w:top w:val="none" w:sz="0" w:space="0" w:color="auto"/>
        <w:left w:val="none" w:sz="0" w:space="0" w:color="auto"/>
        <w:bottom w:val="none" w:sz="0" w:space="0" w:color="auto"/>
        <w:right w:val="none" w:sz="0" w:space="0" w:color="auto"/>
      </w:divBdr>
      <w:divsChild>
        <w:div w:id="513347436">
          <w:marLeft w:val="0"/>
          <w:marRight w:val="0"/>
          <w:marTop w:val="0"/>
          <w:marBottom w:val="0"/>
          <w:divBdr>
            <w:top w:val="none" w:sz="0" w:space="0" w:color="auto"/>
            <w:left w:val="none" w:sz="0" w:space="0" w:color="auto"/>
            <w:bottom w:val="none" w:sz="0" w:space="0" w:color="auto"/>
            <w:right w:val="none" w:sz="0" w:space="0" w:color="auto"/>
          </w:divBdr>
        </w:div>
        <w:div w:id="537860491">
          <w:marLeft w:val="0"/>
          <w:marRight w:val="0"/>
          <w:marTop w:val="0"/>
          <w:marBottom w:val="0"/>
          <w:divBdr>
            <w:top w:val="none" w:sz="0" w:space="0" w:color="auto"/>
            <w:left w:val="none" w:sz="0" w:space="0" w:color="auto"/>
            <w:bottom w:val="none" w:sz="0" w:space="0" w:color="auto"/>
            <w:right w:val="none" w:sz="0" w:space="0" w:color="auto"/>
          </w:divBdr>
        </w:div>
        <w:div w:id="950432431">
          <w:marLeft w:val="0"/>
          <w:marRight w:val="0"/>
          <w:marTop w:val="0"/>
          <w:marBottom w:val="0"/>
          <w:divBdr>
            <w:top w:val="none" w:sz="0" w:space="0" w:color="auto"/>
            <w:left w:val="none" w:sz="0" w:space="0" w:color="auto"/>
            <w:bottom w:val="none" w:sz="0" w:space="0" w:color="auto"/>
            <w:right w:val="none" w:sz="0" w:space="0" w:color="auto"/>
          </w:divBdr>
        </w:div>
        <w:div w:id="1204056513">
          <w:marLeft w:val="0"/>
          <w:marRight w:val="0"/>
          <w:marTop w:val="0"/>
          <w:marBottom w:val="0"/>
          <w:divBdr>
            <w:top w:val="none" w:sz="0" w:space="0" w:color="auto"/>
            <w:left w:val="none" w:sz="0" w:space="0" w:color="auto"/>
            <w:bottom w:val="none" w:sz="0" w:space="0" w:color="auto"/>
            <w:right w:val="none" w:sz="0" w:space="0" w:color="auto"/>
          </w:divBdr>
        </w:div>
        <w:div w:id="1426994831">
          <w:marLeft w:val="0"/>
          <w:marRight w:val="0"/>
          <w:marTop w:val="0"/>
          <w:marBottom w:val="0"/>
          <w:divBdr>
            <w:top w:val="none" w:sz="0" w:space="0" w:color="auto"/>
            <w:left w:val="none" w:sz="0" w:space="0" w:color="auto"/>
            <w:bottom w:val="none" w:sz="0" w:space="0" w:color="auto"/>
            <w:right w:val="none" w:sz="0" w:space="0" w:color="auto"/>
          </w:divBdr>
        </w:div>
      </w:divsChild>
    </w:div>
    <w:div w:id="1934895276">
      <w:bodyDiv w:val="1"/>
      <w:marLeft w:val="0"/>
      <w:marRight w:val="0"/>
      <w:marTop w:val="0"/>
      <w:marBottom w:val="0"/>
      <w:divBdr>
        <w:top w:val="none" w:sz="0" w:space="0" w:color="auto"/>
        <w:left w:val="none" w:sz="0" w:space="0" w:color="auto"/>
        <w:bottom w:val="none" w:sz="0" w:space="0" w:color="auto"/>
        <w:right w:val="none" w:sz="0" w:space="0" w:color="auto"/>
      </w:divBdr>
    </w:div>
    <w:div w:id="2030443507">
      <w:bodyDiv w:val="1"/>
      <w:marLeft w:val="0"/>
      <w:marRight w:val="0"/>
      <w:marTop w:val="0"/>
      <w:marBottom w:val="0"/>
      <w:divBdr>
        <w:top w:val="none" w:sz="0" w:space="0" w:color="auto"/>
        <w:left w:val="none" w:sz="0" w:space="0" w:color="auto"/>
        <w:bottom w:val="none" w:sz="0" w:space="0" w:color="auto"/>
        <w:right w:val="none" w:sz="0" w:space="0" w:color="auto"/>
      </w:divBdr>
      <w:divsChild>
        <w:div w:id="287853553">
          <w:marLeft w:val="0"/>
          <w:marRight w:val="0"/>
          <w:marTop w:val="0"/>
          <w:marBottom w:val="0"/>
          <w:divBdr>
            <w:top w:val="none" w:sz="0" w:space="0" w:color="auto"/>
            <w:left w:val="none" w:sz="0" w:space="0" w:color="auto"/>
            <w:bottom w:val="none" w:sz="0" w:space="0" w:color="auto"/>
            <w:right w:val="none" w:sz="0" w:space="0" w:color="auto"/>
          </w:divBdr>
        </w:div>
      </w:divsChild>
    </w:div>
    <w:div w:id="2041736535">
      <w:bodyDiv w:val="1"/>
      <w:marLeft w:val="0"/>
      <w:marRight w:val="0"/>
      <w:marTop w:val="0"/>
      <w:marBottom w:val="0"/>
      <w:divBdr>
        <w:top w:val="none" w:sz="0" w:space="0" w:color="auto"/>
        <w:left w:val="none" w:sz="0" w:space="0" w:color="auto"/>
        <w:bottom w:val="none" w:sz="0" w:space="0" w:color="auto"/>
        <w:right w:val="none" w:sz="0" w:space="0" w:color="auto"/>
      </w:divBdr>
    </w:div>
    <w:div w:id="2051031753">
      <w:bodyDiv w:val="1"/>
      <w:marLeft w:val="0"/>
      <w:marRight w:val="0"/>
      <w:marTop w:val="0"/>
      <w:marBottom w:val="0"/>
      <w:divBdr>
        <w:top w:val="none" w:sz="0" w:space="0" w:color="auto"/>
        <w:left w:val="none" w:sz="0" w:space="0" w:color="auto"/>
        <w:bottom w:val="none" w:sz="0" w:space="0" w:color="auto"/>
        <w:right w:val="none" w:sz="0" w:space="0" w:color="auto"/>
      </w:divBdr>
    </w:div>
    <w:div w:id="2071152750">
      <w:bodyDiv w:val="1"/>
      <w:marLeft w:val="0"/>
      <w:marRight w:val="0"/>
      <w:marTop w:val="0"/>
      <w:marBottom w:val="0"/>
      <w:divBdr>
        <w:top w:val="none" w:sz="0" w:space="0" w:color="auto"/>
        <w:left w:val="none" w:sz="0" w:space="0" w:color="auto"/>
        <w:bottom w:val="none" w:sz="0" w:space="0" w:color="auto"/>
        <w:right w:val="none" w:sz="0" w:space="0" w:color="auto"/>
      </w:divBdr>
      <w:divsChild>
        <w:div w:id="635447867">
          <w:marLeft w:val="0"/>
          <w:marRight w:val="0"/>
          <w:marTop w:val="0"/>
          <w:marBottom w:val="0"/>
          <w:divBdr>
            <w:top w:val="none" w:sz="0" w:space="0" w:color="auto"/>
            <w:left w:val="none" w:sz="0" w:space="0" w:color="auto"/>
            <w:bottom w:val="none" w:sz="0" w:space="0" w:color="auto"/>
            <w:right w:val="none" w:sz="0" w:space="0" w:color="auto"/>
          </w:divBdr>
        </w:div>
        <w:div w:id="1355156667">
          <w:marLeft w:val="0"/>
          <w:marRight w:val="0"/>
          <w:marTop w:val="0"/>
          <w:marBottom w:val="0"/>
          <w:divBdr>
            <w:top w:val="none" w:sz="0" w:space="0" w:color="auto"/>
            <w:left w:val="none" w:sz="0" w:space="0" w:color="auto"/>
            <w:bottom w:val="none" w:sz="0" w:space="0" w:color="auto"/>
            <w:right w:val="none" w:sz="0" w:space="0" w:color="auto"/>
          </w:divBdr>
        </w:div>
      </w:divsChild>
    </w:div>
    <w:div w:id="2072120352">
      <w:bodyDiv w:val="1"/>
      <w:marLeft w:val="0"/>
      <w:marRight w:val="0"/>
      <w:marTop w:val="0"/>
      <w:marBottom w:val="0"/>
      <w:divBdr>
        <w:top w:val="none" w:sz="0" w:space="0" w:color="auto"/>
        <w:left w:val="none" w:sz="0" w:space="0" w:color="auto"/>
        <w:bottom w:val="none" w:sz="0" w:space="0" w:color="auto"/>
        <w:right w:val="none" w:sz="0" w:space="0" w:color="auto"/>
      </w:divBdr>
      <w:divsChild>
        <w:div w:id="57091455">
          <w:marLeft w:val="0"/>
          <w:marRight w:val="0"/>
          <w:marTop w:val="0"/>
          <w:marBottom w:val="0"/>
          <w:divBdr>
            <w:top w:val="none" w:sz="0" w:space="0" w:color="auto"/>
            <w:left w:val="none" w:sz="0" w:space="0" w:color="auto"/>
            <w:bottom w:val="none" w:sz="0" w:space="0" w:color="auto"/>
            <w:right w:val="none" w:sz="0" w:space="0" w:color="auto"/>
          </w:divBdr>
        </w:div>
        <w:div w:id="998656606">
          <w:marLeft w:val="0"/>
          <w:marRight w:val="0"/>
          <w:marTop w:val="0"/>
          <w:marBottom w:val="0"/>
          <w:divBdr>
            <w:top w:val="none" w:sz="0" w:space="0" w:color="auto"/>
            <w:left w:val="none" w:sz="0" w:space="0" w:color="auto"/>
            <w:bottom w:val="none" w:sz="0" w:space="0" w:color="auto"/>
            <w:right w:val="none" w:sz="0" w:space="0" w:color="auto"/>
          </w:divBdr>
        </w:div>
      </w:divsChild>
    </w:div>
    <w:div w:id="2094428339">
      <w:bodyDiv w:val="1"/>
      <w:marLeft w:val="0"/>
      <w:marRight w:val="0"/>
      <w:marTop w:val="0"/>
      <w:marBottom w:val="0"/>
      <w:divBdr>
        <w:top w:val="none" w:sz="0" w:space="0" w:color="auto"/>
        <w:left w:val="none" w:sz="0" w:space="0" w:color="auto"/>
        <w:bottom w:val="none" w:sz="0" w:space="0" w:color="auto"/>
        <w:right w:val="none" w:sz="0" w:space="0" w:color="auto"/>
      </w:divBdr>
      <w:divsChild>
        <w:div w:id="42319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coss.org.au/wp-content/uploads/2023/06/2023-ACT-Cost-of-Living-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verybodyshom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vin.bowles@actcoss.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affairs.sen@aph.gov.a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a/2023-5/"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ahuri.edu.au/sites/default/files/documents/2022-11/AHURI-Final-Report-391-Regulation-of-residential-tenancies-and-impacts-on-investment.pdf" TargetMode="External"/><Relationship Id="rId13" Type="http://schemas.openxmlformats.org/officeDocument/2006/relationships/hyperlink" Target="https://www.betterrenting.org.au/frozen_out_energy_efficiency_report_renters" TargetMode="External"/><Relationship Id="rId3" Type="http://schemas.openxmlformats.org/officeDocument/2006/relationships/hyperlink" Target="https://www.communityservices.act.gov.au/housing/housing-options/waitlist-and-processing-times" TargetMode="External"/><Relationship Id="rId7" Type="http://schemas.openxmlformats.org/officeDocument/2006/relationships/hyperlink" Target="https://www.ahuri.edu.au/sites/default/files/documents/2022-11/AHURI-Final-Report-391-Regulation-of-residential-tenancies-and-impacts-on-investment.pdf" TargetMode="External"/><Relationship Id="rId12" Type="http://schemas.openxmlformats.org/officeDocument/2006/relationships/hyperlink" Target="https://www.betterrenting.org.au/unsafe_as_houses" TargetMode="External"/><Relationship Id="rId2" Type="http://schemas.openxmlformats.org/officeDocument/2006/relationships/hyperlink" Target="https://www.abs.gov.au/statistics/people/housing/estimating-homelessness-census/2021" TargetMode="External"/><Relationship Id="rId1" Type="http://schemas.openxmlformats.org/officeDocument/2006/relationships/hyperlink" Target="https://www.ahuri.edu.au/research/final-reports/306" TargetMode="External"/><Relationship Id="rId6" Type="http://schemas.openxmlformats.org/officeDocument/2006/relationships/hyperlink" Target="https://www.pc.gov.au/ongoing/report-on-government-services/2023/housing-and-homelessness" TargetMode="External"/><Relationship Id="rId11" Type="http://schemas.openxmlformats.org/officeDocument/2006/relationships/hyperlink" Target="mailto:https://www.ahuri.edu.au/analysis/brief/understanding-what-rent-freeze-rent-cap-or-rent-control" TargetMode="External"/><Relationship Id="rId5" Type="http://schemas.openxmlformats.org/officeDocument/2006/relationships/hyperlink" Target="https://sgsep.com.au/publications/insights/rental-affordability-crisis-requires-urgent-intervention" TargetMode="External"/><Relationship Id="rId15" Type="http://schemas.openxmlformats.org/officeDocument/2006/relationships/hyperlink" Target="https://www.healthyhomes.org.au/news/community-sector-blueprint" TargetMode="External"/><Relationship Id="rId10" Type="http://schemas.openxmlformats.org/officeDocument/2006/relationships/hyperlink" Target="https://www.yoursay.act.gov.au/__data/assets/pdf_file/0020/2091116/YourSay-Panel-Short-Term-Rental-Accommodation-survey.pdf" TargetMode="External"/><Relationship Id="rId4" Type="http://schemas.openxmlformats.org/officeDocument/2006/relationships/hyperlink" Target="https://www.abs.gov.au/articles/snapshot-act-2021" TargetMode="External"/><Relationship Id="rId9" Type="http://schemas.openxmlformats.org/officeDocument/2006/relationships/hyperlink" Target="https://www.anglicare.asn.au/publications/rental-affordability-snapshot-2022/" TargetMode="External"/><Relationship Id="rId14" Type="http://schemas.openxmlformats.org/officeDocument/2006/relationships/hyperlink" Target="https://www.betterrenting.org.au/baby_its_cold_inside_energy_efficiency_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SharedWithUsers xmlns="ef2741e4-cc31-428c-aca2-d2da616e4ed0">
      <UserInfo>
        <DisplayName>Devin Bowles</DisplayName>
        <AccountId>187</AccountId>
        <AccountType/>
      </UserInfo>
      <UserInfo>
        <DisplayName>Corinne Dobson</DisplayName>
        <AccountId>194</AccountId>
        <AccountType/>
      </UserInfo>
    </SharedWithUsers>
    <Notes xmlns="32918964-d11d-4bda-ba04-9b8184f6a173" xsi:nil="true"/>
  </documentManagement>
</p:properties>
</file>

<file path=customXml/itemProps1.xml><?xml version="1.0" encoding="utf-8"?>
<ds:datastoreItem xmlns:ds="http://schemas.openxmlformats.org/officeDocument/2006/customXml" ds:itemID="{E503543B-13E6-47F5-A5A6-0B2DC8F52C78}">
  <ds:schemaRefs>
    <ds:schemaRef ds:uri="http://schemas.openxmlformats.org/officeDocument/2006/bibliography"/>
  </ds:schemaRefs>
</ds:datastoreItem>
</file>

<file path=customXml/itemProps2.xml><?xml version="1.0" encoding="utf-8"?>
<ds:datastoreItem xmlns:ds="http://schemas.openxmlformats.org/officeDocument/2006/customXml" ds:itemID="{2393BAB4-215C-4BDC-8025-12CBECDD0553}"/>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4.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Links>
    <vt:vector size="126" baseType="variant">
      <vt:variant>
        <vt:i4>5898360</vt:i4>
      </vt:variant>
      <vt:variant>
        <vt:i4>15</vt:i4>
      </vt:variant>
      <vt:variant>
        <vt:i4>0</vt:i4>
      </vt:variant>
      <vt:variant>
        <vt:i4>5</vt:i4>
      </vt:variant>
      <vt:variant>
        <vt:lpwstr>mailto:devin.bowles@actcoss.org.au</vt:lpwstr>
      </vt:variant>
      <vt:variant>
        <vt:lpwstr/>
      </vt:variant>
      <vt:variant>
        <vt:i4>458765</vt:i4>
      </vt:variant>
      <vt:variant>
        <vt:i4>12</vt:i4>
      </vt:variant>
      <vt:variant>
        <vt:i4>0</vt:i4>
      </vt:variant>
      <vt:variant>
        <vt:i4>5</vt:i4>
      </vt:variant>
      <vt:variant>
        <vt:lpwstr>https://www.legislation.act.gov.au/a/2023-5/</vt:lpwstr>
      </vt:variant>
      <vt:variant>
        <vt:lpwstr/>
      </vt:variant>
      <vt:variant>
        <vt:i4>5308438</vt:i4>
      </vt:variant>
      <vt:variant>
        <vt:i4>9</vt:i4>
      </vt:variant>
      <vt:variant>
        <vt:i4>0</vt:i4>
      </vt:variant>
      <vt:variant>
        <vt:i4>5</vt:i4>
      </vt:variant>
      <vt:variant>
        <vt:lpwstr>https://actcoss.org.au/wp-content/uploads/2023/06/2023-ACT-Cost-of-Living-Report.pdf</vt:lpwstr>
      </vt:variant>
      <vt:variant>
        <vt:lpwstr/>
      </vt:variant>
      <vt:variant>
        <vt:i4>2752560</vt:i4>
      </vt:variant>
      <vt:variant>
        <vt:i4>6</vt:i4>
      </vt:variant>
      <vt:variant>
        <vt:i4>0</vt:i4>
      </vt:variant>
      <vt:variant>
        <vt:i4>5</vt:i4>
      </vt:variant>
      <vt:variant>
        <vt:lpwstr>https://everybodyshome.com.au/</vt:lpwstr>
      </vt:variant>
      <vt:variant>
        <vt:lpwstr/>
      </vt:variant>
      <vt:variant>
        <vt:i4>7340061</vt:i4>
      </vt:variant>
      <vt:variant>
        <vt:i4>0</vt:i4>
      </vt:variant>
      <vt:variant>
        <vt:i4>0</vt:i4>
      </vt:variant>
      <vt:variant>
        <vt:i4>5</vt:i4>
      </vt:variant>
      <vt:variant>
        <vt:lpwstr>mailto:community.affairs.sen@aph.gov.au</vt:lpwstr>
      </vt:variant>
      <vt:variant>
        <vt:lpwstr/>
      </vt:variant>
      <vt:variant>
        <vt:i4>2293799</vt:i4>
      </vt:variant>
      <vt:variant>
        <vt:i4>45</vt:i4>
      </vt:variant>
      <vt:variant>
        <vt:i4>0</vt:i4>
      </vt:variant>
      <vt:variant>
        <vt:i4>5</vt:i4>
      </vt:variant>
      <vt:variant>
        <vt:lpwstr>https://www.healthyhomes.org.au/news/community-sector-blueprint</vt:lpwstr>
      </vt:variant>
      <vt:variant>
        <vt:lpwstr/>
      </vt:variant>
      <vt:variant>
        <vt:i4>3276927</vt:i4>
      </vt:variant>
      <vt:variant>
        <vt:i4>42</vt:i4>
      </vt:variant>
      <vt:variant>
        <vt:i4>0</vt:i4>
      </vt:variant>
      <vt:variant>
        <vt:i4>5</vt:i4>
      </vt:variant>
      <vt:variant>
        <vt:lpwstr>https://www.betterrenting.org.au/baby_its_cold_inside_energy_efficiency_act</vt:lpwstr>
      </vt:variant>
      <vt:variant>
        <vt:lpwstr/>
      </vt:variant>
      <vt:variant>
        <vt:i4>6422559</vt:i4>
      </vt:variant>
      <vt:variant>
        <vt:i4>39</vt:i4>
      </vt:variant>
      <vt:variant>
        <vt:i4>0</vt:i4>
      </vt:variant>
      <vt:variant>
        <vt:i4>5</vt:i4>
      </vt:variant>
      <vt:variant>
        <vt:lpwstr>https://www.betterrenting.org.au/frozen_out_energy_efficiency_report_renters</vt:lpwstr>
      </vt:variant>
      <vt:variant>
        <vt:lpwstr/>
      </vt:variant>
      <vt:variant>
        <vt:i4>6750255</vt:i4>
      </vt:variant>
      <vt:variant>
        <vt:i4>36</vt:i4>
      </vt:variant>
      <vt:variant>
        <vt:i4>0</vt:i4>
      </vt:variant>
      <vt:variant>
        <vt:i4>5</vt:i4>
      </vt:variant>
      <vt:variant>
        <vt:lpwstr>https://www.betterrenting.org.au/unsafe_as_houses</vt:lpwstr>
      </vt:variant>
      <vt:variant>
        <vt:lpwstr/>
      </vt:variant>
      <vt:variant>
        <vt:i4>4587597</vt:i4>
      </vt:variant>
      <vt:variant>
        <vt:i4>33</vt:i4>
      </vt:variant>
      <vt:variant>
        <vt:i4>0</vt:i4>
      </vt:variant>
      <vt:variant>
        <vt:i4>5</vt:i4>
      </vt:variant>
      <vt:variant>
        <vt:lpwstr>https://cityfutures.ada.unsw.edu.au/documents/544/poor_quality_housing_report_2019.pdf</vt:lpwstr>
      </vt:variant>
      <vt:variant>
        <vt:lpwstr/>
      </vt:variant>
      <vt:variant>
        <vt:i4>2424869</vt:i4>
      </vt:variant>
      <vt:variant>
        <vt:i4>30</vt:i4>
      </vt:variant>
      <vt:variant>
        <vt:i4>0</vt:i4>
      </vt:variant>
      <vt:variant>
        <vt:i4>5</vt:i4>
      </vt:variant>
      <vt:variant>
        <vt:lpwstr>mailto:https://www.ahuri.edu.au/analysis/brief/understanding-what-rent-freeze-rent-cap-or-rent-control</vt:lpwstr>
      </vt:variant>
      <vt:variant>
        <vt:lpwstr/>
      </vt:variant>
      <vt:variant>
        <vt:i4>5963825</vt:i4>
      </vt:variant>
      <vt:variant>
        <vt:i4>27</vt:i4>
      </vt:variant>
      <vt:variant>
        <vt:i4>0</vt:i4>
      </vt:variant>
      <vt:variant>
        <vt:i4>5</vt:i4>
      </vt:variant>
      <vt:variant>
        <vt:lpwstr>https://www.yoursay.act.gov.au/__data/assets/pdf_file/0020/2091116/YourSay-Panel-Short-Term-Rental-Accommodation-survey.pdf</vt:lpwstr>
      </vt:variant>
      <vt:variant>
        <vt:lpwstr/>
      </vt:variant>
      <vt:variant>
        <vt:i4>6160400</vt:i4>
      </vt:variant>
      <vt:variant>
        <vt:i4>24</vt:i4>
      </vt:variant>
      <vt:variant>
        <vt:i4>0</vt:i4>
      </vt:variant>
      <vt:variant>
        <vt:i4>5</vt:i4>
      </vt:variant>
      <vt:variant>
        <vt:lpwstr>https://www.anglicare.asn.au/publications/rental-affordability-snapshot-2022/</vt:lpwstr>
      </vt:variant>
      <vt:variant>
        <vt:lpwstr/>
      </vt:variant>
      <vt:variant>
        <vt:i4>6357099</vt:i4>
      </vt:variant>
      <vt:variant>
        <vt:i4>21</vt:i4>
      </vt:variant>
      <vt:variant>
        <vt:i4>0</vt:i4>
      </vt:variant>
      <vt:variant>
        <vt:i4>5</vt:i4>
      </vt:variant>
      <vt:variant>
        <vt:lpwstr>https://www.ahuri.edu.au/sites/default/files/documents/2022-11/AHURI-Final-Report-391-Regulation-of-residential-tenancies-and-impacts-on-investment.pdf</vt:lpwstr>
      </vt:variant>
      <vt:variant>
        <vt:lpwstr/>
      </vt:variant>
      <vt:variant>
        <vt:i4>6357099</vt:i4>
      </vt:variant>
      <vt:variant>
        <vt:i4>18</vt:i4>
      </vt:variant>
      <vt:variant>
        <vt:i4>0</vt:i4>
      </vt:variant>
      <vt:variant>
        <vt:i4>5</vt:i4>
      </vt:variant>
      <vt:variant>
        <vt:lpwstr>https://www.ahuri.edu.au/sites/default/files/documents/2022-11/AHURI-Final-Report-391-Regulation-of-residential-tenancies-and-impacts-on-investment.pdf</vt:lpwstr>
      </vt:variant>
      <vt:variant>
        <vt:lpwstr/>
      </vt:variant>
      <vt:variant>
        <vt:i4>5046299</vt:i4>
      </vt:variant>
      <vt:variant>
        <vt:i4>15</vt:i4>
      </vt:variant>
      <vt:variant>
        <vt:i4>0</vt:i4>
      </vt:variant>
      <vt:variant>
        <vt:i4>5</vt:i4>
      </vt:variant>
      <vt:variant>
        <vt:lpwstr>https://www.pc.gov.au/ongoing/report-on-government-services/2023/housing-and-homelessness</vt:lpwstr>
      </vt:variant>
      <vt:variant>
        <vt:lpwstr/>
      </vt:variant>
      <vt:variant>
        <vt:i4>7274528</vt:i4>
      </vt:variant>
      <vt:variant>
        <vt:i4>12</vt:i4>
      </vt:variant>
      <vt:variant>
        <vt:i4>0</vt:i4>
      </vt:variant>
      <vt:variant>
        <vt:i4>5</vt:i4>
      </vt:variant>
      <vt:variant>
        <vt:lpwstr>https://sgsep.com.au/publications/insights/rental-affordability-crisis-requires-urgent-intervention</vt:lpwstr>
      </vt:variant>
      <vt:variant>
        <vt:lpwstr/>
      </vt:variant>
      <vt:variant>
        <vt:i4>1769556</vt:i4>
      </vt:variant>
      <vt:variant>
        <vt:i4>9</vt:i4>
      </vt:variant>
      <vt:variant>
        <vt:i4>0</vt:i4>
      </vt:variant>
      <vt:variant>
        <vt:i4>5</vt:i4>
      </vt:variant>
      <vt:variant>
        <vt:lpwstr>https://www.abs.gov.au/articles/snapshot-act-2021</vt:lpwstr>
      </vt:variant>
      <vt:variant>
        <vt:lpwstr/>
      </vt:variant>
      <vt:variant>
        <vt:i4>6553715</vt:i4>
      </vt:variant>
      <vt:variant>
        <vt:i4>6</vt:i4>
      </vt:variant>
      <vt:variant>
        <vt:i4>0</vt:i4>
      </vt:variant>
      <vt:variant>
        <vt:i4>5</vt:i4>
      </vt:variant>
      <vt:variant>
        <vt:lpwstr>https://www.communityservices.act.gov.au/housing/housing-options/waitlist-and-processing-times</vt:lpwstr>
      </vt:variant>
      <vt:variant>
        <vt:lpwstr/>
      </vt:variant>
      <vt:variant>
        <vt:i4>1900612</vt:i4>
      </vt:variant>
      <vt:variant>
        <vt:i4>3</vt:i4>
      </vt:variant>
      <vt:variant>
        <vt:i4>0</vt:i4>
      </vt:variant>
      <vt:variant>
        <vt:i4>5</vt:i4>
      </vt:variant>
      <vt:variant>
        <vt:lpwstr>https://www.abs.gov.au/statistics/people/housing/estimating-homelessness-census/2021</vt:lpwstr>
      </vt:variant>
      <vt:variant>
        <vt:lpwstr>state-and-territories</vt:lpwstr>
      </vt:variant>
      <vt:variant>
        <vt:i4>2818093</vt:i4>
      </vt:variant>
      <vt:variant>
        <vt:i4>0</vt:i4>
      </vt:variant>
      <vt:variant>
        <vt:i4>0</vt:i4>
      </vt:variant>
      <vt:variant>
        <vt:i4>5</vt:i4>
      </vt:variant>
      <vt:variant>
        <vt:lpwstr>https://www.ahuri.edu.au/research/final-reports/306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dcterms:created xsi:type="dcterms:W3CDTF">2023-09-06T01:42:00Z</dcterms:created>
  <dcterms:modified xsi:type="dcterms:W3CDTF">2023-09-06T01:42:00Z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