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EA7B" w14:textId="0F026D95" w:rsidR="00185393" w:rsidRDefault="00185393">
      <w:bookmarkStart w:id="0" w:name="_Hlk147920372"/>
      <w:bookmarkEnd w:id="0"/>
      <w:r w:rsidRPr="00185393">
        <w:rPr>
          <w:rFonts w:cs="Arial"/>
          <w:noProof/>
        </w:rPr>
        <mc:AlternateContent>
          <mc:Choice Requires="wps">
            <w:drawing>
              <wp:anchor distT="45720" distB="45720" distL="114300" distR="114300" simplePos="0" relativeHeight="251658240" behindDoc="0" locked="0" layoutInCell="1" allowOverlap="1" wp14:anchorId="18E43ED0" wp14:editId="6B3296C9">
                <wp:simplePos x="0" y="0"/>
                <wp:positionH relativeFrom="margin">
                  <wp:posOffset>-123825</wp:posOffset>
                </wp:positionH>
                <wp:positionV relativeFrom="margin">
                  <wp:align>top</wp:align>
                </wp:positionV>
                <wp:extent cx="4552950" cy="175387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753870"/>
                        </a:xfrm>
                        <a:prstGeom prst="rect">
                          <a:avLst/>
                        </a:prstGeom>
                        <a:noFill/>
                        <a:ln w="9525">
                          <a:noFill/>
                          <a:miter lim="800000"/>
                          <a:headEnd/>
                          <a:tailEnd/>
                        </a:ln>
                      </wps:spPr>
                      <wps:txbx>
                        <w:txbxContent>
                          <w:p w14:paraId="328392A4" w14:textId="680FCCA7" w:rsidR="00185393" w:rsidRPr="00956CC8" w:rsidRDefault="00947BB5" w:rsidP="00185393">
                            <w:pPr>
                              <w:pStyle w:val="Heading1"/>
                              <w:rPr>
                                <w:sz w:val="58"/>
                                <w:szCs w:val="58"/>
                              </w:rPr>
                            </w:pPr>
                            <w:r>
                              <w:rPr>
                                <w:sz w:val="58"/>
                                <w:szCs w:val="58"/>
                              </w:rPr>
                              <w:t xml:space="preserve">The Disability </w:t>
                            </w:r>
                            <w:r w:rsidR="00185393" w:rsidRPr="00956CC8">
                              <w:rPr>
                                <w:sz w:val="58"/>
                                <w:szCs w:val="58"/>
                              </w:rPr>
                              <w:t>Poverty</w:t>
                            </w:r>
                            <w:r>
                              <w:rPr>
                                <w:sz w:val="58"/>
                                <w:szCs w:val="58"/>
                              </w:rPr>
                              <w:t xml:space="preserve"> Cycle</w:t>
                            </w:r>
                            <w:r w:rsidR="00185393" w:rsidRPr="00956CC8">
                              <w:rPr>
                                <w:sz w:val="58"/>
                                <w:szCs w:val="58"/>
                              </w:rPr>
                              <w:t xml:space="preserve"> in the ACT</w:t>
                            </w:r>
                          </w:p>
                          <w:p w14:paraId="7C9D6DE6" w14:textId="77777777" w:rsidR="00185393" w:rsidRDefault="00185393" w:rsidP="00185393">
                            <w:pPr>
                              <w:pStyle w:val="DocumentSubtitle"/>
                            </w:pPr>
                            <w:r>
                              <w:t>Anti-Poverty Weeks 2023</w:t>
                            </w:r>
                          </w:p>
                          <w:p w14:paraId="3E8E05F8" w14:textId="77777777" w:rsidR="00185393" w:rsidRDefault="00185393" w:rsidP="001853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43ED0" id="_x0000_t202" coordsize="21600,21600" o:spt="202" path="m,l,21600r21600,l21600,xe">
                <v:stroke joinstyle="miter"/>
                <v:path gradientshapeok="t" o:connecttype="rect"/>
              </v:shapetype>
              <v:shape id="Text Box 217" o:spid="_x0000_s1026" type="#_x0000_t202" style="position:absolute;margin-left:-9.75pt;margin-top:0;width:358.5pt;height:138.1pt;z-index:251658240;visibility:visible;mso-wrap-style:square;mso-width-percent:0;mso-height-percent:200;mso-wrap-distance-left:9pt;mso-wrap-distance-top:3.6pt;mso-wrap-distance-right:9pt;mso-wrap-distance-bottom:3.6pt;mso-position-horizontal:absolute;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" filled="f" stroked="f">
                <v:textbox style="mso-fit-shape-to-text:t">
                  <w:txbxContent>
                    <w:p w14:paraId="328392A4" w14:textId="680FCCA7" w:rsidR="00185393" w:rsidRPr="00956CC8" w:rsidRDefault="00947BB5" w:rsidP="00185393">
                      <w:pPr>
                        <w:pStyle w:val="Heading1"/>
                        <w:rPr>
                          <w:sz w:val="58"/>
                          <w:szCs w:val="58"/>
                        </w:rPr>
                      </w:pPr>
                      <w:r>
                        <w:rPr>
                          <w:sz w:val="58"/>
                          <w:szCs w:val="58"/>
                        </w:rPr>
                        <w:t xml:space="preserve">The Disability </w:t>
                      </w:r>
                      <w:r w:rsidR="00185393" w:rsidRPr="00956CC8">
                        <w:rPr>
                          <w:sz w:val="58"/>
                          <w:szCs w:val="58"/>
                        </w:rPr>
                        <w:t>Poverty</w:t>
                      </w:r>
                      <w:r>
                        <w:rPr>
                          <w:sz w:val="58"/>
                          <w:szCs w:val="58"/>
                        </w:rPr>
                        <w:t xml:space="preserve"> Cycle</w:t>
                      </w:r>
                      <w:r w:rsidR="00185393" w:rsidRPr="00956CC8">
                        <w:rPr>
                          <w:sz w:val="58"/>
                          <w:szCs w:val="58"/>
                        </w:rPr>
                        <w:t xml:space="preserve"> in the ACT</w:t>
                      </w:r>
                    </w:p>
                    <w:p w14:paraId="7C9D6DE6" w14:textId="77777777" w:rsidR="00185393" w:rsidRDefault="00185393" w:rsidP="00185393">
                      <w:pPr>
                        <w:pStyle w:val="DocumentSubtitle"/>
                      </w:pPr>
                      <w:r>
                        <w:t>Anti-Poverty Weeks 2023</w:t>
                      </w:r>
                    </w:p>
                    <w:p w14:paraId="3E8E05F8" w14:textId="77777777" w:rsidR="00185393" w:rsidRDefault="00185393" w:rsidP="00185393"/>
                  </w:txbxContent>
                </v:textbox>
                <w10:wrap type="square" anchorx="margin" anchory="margin"/>
              </v:shape>
            </w:pict>
          </mc:Fallback>
        </mc:AlternateContent>
      </w:r>
    </w:p>
    <w:p w14:paraId="0D9CAC5D" w14:textId="3696242F" w:rsidR="00185393" w:rsidRDefault="00185393"/>
    <w:p w14:paraId="18C9A9EF" w14:textId="355BE2C9" w:rsidR="00185393" w:rsidRDefault="00185393"/>
    <w:p w14:paraId="212B40F6" w14:textId="3A269F98" w:rsidR="00185393" w:rsidRDefault="00185393"/>
    <w:p w14:paraId="149DB3C9" w14:textId="77777777" w:rsidR="00185393" w:rsidRDefault="00185393"/>
    <w:p w14:paraId="7FA4855D" w14:textId="67649EC1" w:rsidR="00185393" w:rsidRDefault="00185393"/>
    <w:p w14:paraId="5DAA9D6C" w14:textId="77777777" w:rsidR="00185393" w:rsidRDefault="00185393"/>
    <w:p w14:paraId="67435AE9" w14:textId="77777777" w:rsidR="00185393" w:rsidRDefault="00185393"/>
    <w:p w14:paraId="772C8EF9" w14:textId="6C2503EE" w:rsidR="00185393" w:rsidRDefault="00185393" w:rsidP="00185393">
      <w:pPr>
        <w:pStyle w:val="Heading2"/>
      </w:pPr>
    </w:p>
    <w:p w14:paraId="5BBA432D" w14:textId="78194765" w:rsidR="00185393" w:rsidRDefault="00185393" w:rsidP="00185393">
      <w:pPr>
        <w:pStyle w:val="Heading2"/>
      </w:pPr>
    </w:p>
    <w:p w14:paraId="624955A6" w14:textId="48C0EB4E" w:rsidR="00185393" w:rsidRDefault="00185393" w:rsidP="00185393">
      <w:pPr>
        <w:pStyle w:val="Heading2"/>
      </w:pPr>
    </w:p>
    <w:p w14:paraId="6F3A3E8D" w14:textId="3EF98601" w:rsidR="00E9387E" w:rsidRDefault="00AC4EF1" w:rsidP="00660441">
      <w:pPr>
        <w:spacing w:after="240"/>
        <w:outlineLvl w:val="1"/>
        <w:rPr>
          <w:rFonts w:eastAsia="Calibri" w:cs="Arial"/>
          <w:noProof/>
          <w:color w:val="000000"/>
          <w:sz w:val="23"/>
          <w:szCs w:val="23"/>
        </w:rPr>
      </w:pPr>
      <w:r>
        <w:rPr>
          <w:rFonts w:eastAsia="Calibri" w:cs="Arial"/>
          <w:noProof/>
          <w:color w:val="000000"/>
          <w:sz w:val="23"/>
          <w:szCs w:val="23"/>
        </w:rPr>
        <w:t xml:space="preserve">Poverty </w:t>
      </w:r>
      <w:r w:rsidR="005B24F9">
        <w:rPr>
          <w:rFonts w:eastAsia="Calibri" w:cs="Arial"/>
          <w:noProof/>
          <w:color w:val="000000"/>
          <w:sz w:val="23"/>
          <w:szCs w:val="23"/>
        </w:rPr>
        <w:t>disproportionately impact</w:t>
      </w:r>
      <w:r w:rsidR="006A4572">
        <w:rPr>
          <w:rFonts w:eastAsia="Calibri" w:cs="Arial"/>
          <w:noProof/>
          <w:color w:val="000000"/>
          <w:sz w:val="23"/>
          <w:szCs w:val="23"/>
        </w:rPr>
        <w:t>s</w:t>
      </w:r>
      <w:r w:rsidR="005B24F9">
        <w:rPr>
          <w:rFonts w:eastAsia="Calibri" w:cs="Arial"/>
          <w:noProof/>
          <w:color w:val="000000"/>
          <w:sz w:val="23"/>
          <w:szCs w:val="23"/>
        </w:rPr>
        <w:t xml:space="preserve"> </w:t>
      </w:r>
      <w:r w:rsidR="006A4572">
        <w:rPr>
          <w:rFonts w:eastAsia="Calibri" w:cs="Arial"/>
          <w:noProof/>
          <w:color w:val="000000"/>
          <w:sz w:val="23"/>
          <w:szCs w:val="23"/>
        </w:rPr>
        <w:t xml:space="preserve">marginalised people, exacerbating financial costs and social disadvantage. </w:t>
      </w:r>
      <w:r w:rsidR="00E9387E" w:rsidRPr="00E9387E">
        <w:rPr>
          <w:rFonts w:eastAsia="Calibri" w:cs="Arial"/>
          <w:noProof/>
          <w:color w:val="000000"/>
          <w:sz w:val="23"/>
          <w:szCs w:val="23"/>
        </w:rPr>
        <w:t xml:space="preserve">Many people with disability experience poor economic outcomes, un(der)employment, financial hardship and poverty. </w:t>
      </w:r>
      <w:r w:rsidR="00E9387E" w:rsidRPr="00001B10">
        <w:rPr>
          <w:rFonts w:eastAsia="Calibri" w:cs="Arial"/>
          <w:color w:val="000000"/>
          <w:sz w:val="23"/>
          <w:szCs w:val="23"/>
        </w:rPr>
        <w:t>In 2010, Australia ranked the lowest among OECD countries for the relative income of people with disabilities.</w:t>
      </w:r>
      <w:r w:rsidR="00291373" w:rsidRPr="00001B10">
        <w:rPr>
          <w:rStyle w:val="FootnoteReference"/>
          <w:rFonts w:eastAsia="Calibri" w:cs="Arial"/>
          <w:color w:val="000000"/>
          <w:sz w:val="23"/>
          <w:szCs w:val="23"/>
        </w:rPr>
        <w:footnoteReference w:id="2"/>
      </w:r>
    </w:p>
    <w:p w14:paraId="23834573" w14:textId="067161F3" w:rsidR="00F854DE" w:rsidRPr="00F854DE" w:rsidRDefault="00F854DE" w:rsidP="00660441">
      <w:pPr>
        <w:spacing w:after="240"/>
        <w:outlineLvl w:val="1"/>
        <w:rPr>
          <w:rFonts w:eastAsia="Calibri"/>
          <w:noProof/>
          <w:color w:val="2D6CB5"/>
          <w:sz w:val="50"/>
          <w:szCs w:val="50"/>
        </w:rPr>
      </w:pPr>
      <w:r w:rsidRPr="00185393">
        <w:rPr>
          <w:rFonts w:eastAsia="Calibri"/>
          <w:noProof/>
          <w:color w:val="2D6CB5"/>
          <w:sz w:val="50"/>
          <w:szCs w:val="50"/>
        </w:rPr>
        <w:t>T</w:t>
      </w:r>
      <w:r w:rsidR="00015C3D">
        <w:rPr>
          <w:rFonts w:eastAsia="Calibri"/>
          <w:noProof/>
          <w:color w:val="2D6CB5"/>
          <w:sz w:val="50"/>
          <w:szCs w:val="50"/>
        </w:rPr>
        <w:t>he Disability Poverty Cycle</w:t>
      </w:r>
    </w:p>
    <w:p w14:paraId="2AB77E41" w14:textId="6FF54C95" w:rsidR="00632C79" w:rsidRDefault="00632C79" w:rsidP="00660441">
      <w:pPr>
        <w:spacing w:after="240"/>
        <w:outlineLvl w:val="1"/>
        <w:rPr>
          <w:rFonts w:eastAsia="Calibri" w:cs="Arial"/>
          <w:noProof/>
          <w:color w:val="000000"/>
          <w:sz w:val="23"/>
          <w:szCs w:val="23"/>
        </w:rPr>
      </w:pPr>
      <w:r w:rsidRPr="00632C79">
        <w:rPr>
          <w:rFonts w:eastAsia="Calibri" w:cs="Arial"/>
          <w:noProof/>
          <w:color w:val="000000"/>
          <w:sz w:val="23"/>
          <w:szCs w:val="23"/>
        </w:rPr>
        <w:t>Not only does having an illness or disability limit people’s ability to find suitable paid work but it also incurs higher living expenses due to medication, treatment, and the premiums placed on more specific items. Such extra costs are typically unreported.</w:t>
      </w:r>
      <w:r>
        <w:rPr>
          <w:rFonts w:eastAsia="Calibri" w:cs="Arial"/>
          <w:noProof/>
          <w:color w:val="000000"/>
          <w:sz w:val="23"/>
          <w:szCs w:val="23"/>
        </w:rPr>
        <w:t xml:space="preserve"> </w:t>
      </w:r>
    </w:p>
    <w:p w14:paraId="4E83523B" w14:textId="2F29166F" w:rsidR="00D73D72" w:rsidRDefault="007375D2" w:rsidP="00660441">
      <w:pPr>
        <w:spacing w:after="240"/>
        <w:outlineLvl w:val="1"/>
        <w:rPr>
          <w:rFonts w:eastAsia="Calibri" w:cs="Arial"/>
          <w:noProof/>
          <w:color w:val="000000"/>
          <w:sz w:val="23"/>
          <w:szCs w:val="23"/>
        </w:rPr>
      </w:pPr>
      <w:r>
        <w:rPr>
          <w:rFonts w:eastAsia="Calibri"/>
          <w:noProof/>
          <w:color w:val="323E4F"/>
          <w14:ligatures w14:val="standardContextual"/>
        </w:rPr>
        <w:drawing>
          <wp:anchor distT="0" distB="0" distL="114300" distR="114300" simplePos="0" relativeHeight="251659269" behindDoc="0" locked="0" layoutInCell="1" allowOverlap="1" wp14:anchorId="716F5994" wp14:editId="51A1A031">
            <wp:simplePos x="0" y="0"/>
            <wp:positionH relativeFrom="margin">
              <wp:align>right</wp:align>
            </wp:positionH>
            <wp:positionV relativeFrom="paragraph">
              <wp:posOffset>387350</wp:posOffset>
            </wp:positionV>
            <wp:extent cx="3171825" cy="3162300"/>
            <wp:effectExtent l="0" t="0" r="0" b="0"/>
            <wp:wrapSquare wrapText="bothSides"/>
            <wp:docPr id="534731071"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731071" name="Picture 1" descr="A diagram of a diagram&#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21491" t="11084" r="20797" b="12241"/>
                    <a:stretch/>
                  </pic:blipFill>
                  <pic:spPr bwMode="auto">
                    <a:xfrm>
                      <a:off x="0" y="0"/>
                      <a:ext cx="3171825" cy="316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4373">
        <w:rPr>
          <w:rFonts w:eastAsia="Calibri" w:cs="Arial"/>
          <w:noProof/>
          <w:color w:val="000000"/>
          <w:sz w:val="23"/>
          <w:szCs w:val="23"/>
        </w:rPr>
        <w:t xml:space="preserve">For people with disability, </w:t>
      </w:r>
      <w:r w:rsidR="00F6381D">
        <w:rPr>
          <w:rFonts w:eastAsia="Calibri" w:cs="Arial"/>
          <w:noProof/>
          <w:color w:val="000000"/>
          <w:sz w:val="23"/>
          <w:szCs w:val="23"/>
        </w:rPr>
        <w:t>a range of physical, communication, instituitional and attitudanal barriers reinforce cyclical poverty.</w:t>
      </w:r>
      <w:r w:rsidR="002C12BC">
        <w:rPr>
          <w:rFonts w:eastAsia="Calibri" w:cs="Arial"/>
          <w:noProof/>
          <w:color w:val="000000"/>
          <w:sz w:val="23"/>
          <w:szCs w:val="23"/>
        </w:rPr>
        <w:t xml:space="preserve"> These include; </w:t>
      </w:r>
    </w:p>
    <w:p w14:paraId="4B1DF264" w14:textId="277B90D6" w:rsidR="00326B50" w:rsidRDefault="002C12BC" w:rsidP="00326B50">
      <w:pPr>
        <w:pStyle w:val="ListParagraph"/>
        <w:numPr>
          <w:ilvl w:val="0"/>
          <w:numId w:val="3"/>
        </w:numPr>
        <w:spacing w:after="240"/>
        <w:outlineLvl w:val="1"/>
        <w:rPr>
          <w:rFonts w:eastAsia="Calibri" w:cs="Arial"/>
          <w:noProof/>
          <w:color w:val="000000"/>
          <w:sz w:val="23"/>
          <w:szCs w:val="23"/>
        </w:rPr>
      </w:pPr>
      <w:r w:rsidRPr="00326B50">
        <w:rPr>
          <w:rFonts w:eastAsia="Calibri" w:cs="Arial"/>
          <w:noProof/>
          <w:color w:val="000000"/>
          <w:sz w:val="23"/>
          <w:szCs w:val="23"/>
        </w:rPr>
        <w:t xml:space="preserve">economic insecurity </w:t>
      </w:r>
      <w:r w:rsidR="003017B5">
        <w:rPr>
          <w:rFonts w:eastAsia="Calibri" w:cs="Arial"/>
          <w:noProof/>
          <w:color w:val="000000"/>
          <w:sz w:val="23"/>
          <w:szCs w:val="23"/>
        </w:rPr>
        <w:t>(inadequate income support, higher living costs, limited employment opportunities),</w:t>
      </w:r>
    </w:p>
    <w:p w14:paraId="4BE64237" w14:textId="454AB007" w:rsidR="00326B50" w:rsidRDefault="002C12BC" w:rsidP="00326B50">
      <w:pPr>
        <w:pStyle w:val="ListParagraph"/>
        <w:numPr>
          <w:ilvl w:val="0"/>
          <w:numId w:val="3"/>
        </w:numPr>
        <w:spacing w:after="240"/>
        <w:outlineLvl w:val="1"/>
        <w:rPr>
          <w:rFonts w:eastAsia="Calibri" w:cs="Arial"/>
          <w:noProof/>
          <w:color w:val="000000"/>
          <w:sz w:val="23"/>
          <w:szCs w:val="23"/>
        </w:rPr>
      </w:pPr>
      <w:r w:rsidRPr="00326B50">
        <w:rPr>
          <w:rFonts w:eastAsia="Calibri" w:cs="Arial"/>
          <w:noProof/>
          <w:color w:val="000000"/>
          <w:sz w:val="23"/>
          <w:szCs w:val="23"/>
        </w:rPr>
        <w:t>housing stress</w:t>
      </w:r>
      <w:r w:rsidR="003017B5">
        <w:rPr>
          <w:rFonts w:eastAsia="Calibri" w:cs="Arial"/>
          <w:noProof/>
          <w:color w:val="000000"/>
          <w:sz w:val="23"/>
          <w:szCs w:val="23"/>
        </w:rPr>
        <w:t xml:space="preserve"> (lack of affordable and accessible housing, discrimination)</w:t>
      </w:r>
      <w:r w:rsidRPr="00326B50">
        <w:rPr>
          <w:rFonts w:eastAsia="Calibri" w:cs="Arial"/>
          <w:noProof/>
          <w:color w:val="000000"/>
          <w:sz w:val="23"/>
          <w:szCs w:val="23"/>
        </w:rPr>
        <w:t xml:space="preserve">, </w:t>
      </w:r>
    </w:p>
    <w:p w14:paraId="65D50D34" w14:textId="6797DD61" w:rsidR="00326B50" w:rsidRDefault="002C12BC" w:rsidP="00326B50">
      <w:pPr>
        <w:pStyle w:val="ListParagraph"/>
        <w:numPr>
          <w:ilvl w:val="0"/>
          <w:numId w:val="3"/>
        </w:numPr>
        <w:spacing w:after="240"/>
        <w:outlineLvl w:val="1"/>
        <w:rPr>
          <w:rFonts w:eastAsia="Calibri" w:cs="Arial"/>
          <w:noProof/>
          <w:color w:val="000000"/>
          <w:sz w:val="23"/>
          <w:szCs w:val="23"/>
        </w:rPr>
      </w:pPr>
      <w:r w:rsidRPr="00326B50">
        <w:rPr>
          <w:rFonts w:eastAsia="Calibri" w:cs="Arial"/>
          <w:noProof/>
          <w:color w:val="000000"/>
          <w:sz w:val="23"/>
          <w:szCs w:val="23"/>
        </w:rPr>
        <w:t>health issues</w:t>
      </w:r>
      <w:r w:rsidR="003017B5">
        <w:rPr>
          <w:rFonts w:eastAsia="Calibri" w:cs="Arial"/>
          <w:noProof/>
          <w:color w:val="000000"/>
          <w:sz w:val="23"/>
          <w:szCs w:val="23"/>
        </w:rPr>
        <w:t xml:space="preserve"> (lack of timely and affordable healthcare, isolation and lack of mental health support)</w:t>
      </w:r>
      <w:r w:rsidRPr="00326B50">
        <w:rPr>
          <w:rFonts w:eastAsia="Calibri" w:cs="Arial"/>
          <w:noProof/>
          <w:color w:val="000000"/>
          <w:sz w:val="23"/>
          <w:szCs w:val="23"/>
        </w:rPr>
        <w:t xml:space="preserve">, </w:t>
      </w:r>
    </w:p>
    <w:p w14:paraId="6A44A086" w14:textId="14D78218" w:rsidR="00015C3D" w:rsidRPr="00326B50" w:rsidRDefault="002C12BC" w:rsidP="00326B50">
      <w:pPr>
        <w:pStyle w:val="ListParagraph"/>
        <w:numPr>
          <w:ilvl w:val="0"/>
          <w:numId w:val="3"/>
        </w:numPr>
        <w:spacing w:after="240"/>
        <w:outlineLvl w:val="1"/>
        <w:rPr>
          <w:rFonts w:eastAsia="Calibri" w:cs="Arial"/>
          <w:noProof/>
          <w:color w:val="000000"/>
          <w:sz w:val="23"/>
          <w:szCs w:val="23"/>
        </w:rPr>
      </w:pPr>
      <w:r w:rsidRPr="00326B50">
        <w:rPr>
          <w:rFonts w:eastAsia="Calibri" w:cs="Arial"/>
          <w:noProof/>
          <w:color w:val="000000"/>
          <w:sz w:val="23"/>
          <w:szCs w:val="23"/>
        </w:rPr>
        <w:t>high living costs</w:t>
      </w:r>
      <w:r w:rsidR="003017B5">
        <w:rPr>
          <w:rFonts w:eastAsia="Calibri" w:cs="Arial"/>
          <w:noProof/>
          <w:color w:val="000000"/>
          <w:sz w:val="23"/>
          <w:szCs w:val="23"/>
        </w:rPr>
        <w:t xml:space="preserve"> (high medical expenses, additional costs of devices</w:t>
      </w:r>
      <w:r w:rsidR="00B21F3B">
        <w:rPr>
          <w:rFonts w:eastAsia="Calibri" w:cs="Arial"/>
          <w:noProof/>
          <w:color w:val="000000"/>
          <w:sz w:val="23"/>
          <w:szCs w:val="23"/>
        </w:rPr>
        <w:t>, aids, household modifications etc.)</w:t>
      </w:r>
      <w:r w:rsidRPr="00326B50">
        <w:rPr>
          <w:rFonts w:eastAsia="Calibri" w:cs="Arial"/>
          <w:noProof/>
          <w:color w:val="000000"/>
          <w:sz w:val="23"/>
          <w:szCs w:val="23"/>
        </w:rPr>
        <w:t>, and</w:t>
      </w:r>
      <w:r w:rsidR="00326B50">
        <w:rPr>
          <w:rFonts w:eastAsia="Calibri" w:cs="Arial"/>
          <w:noProof/>
          <w:color w:val="000000"/>
          <w:sz w:val="23"/>
          <w:szCs w:val="23"/>
        </w:rPr>
        <w:t>,</w:t>
      </w:r>
      <w:r w:rsidRPr="00326B50">
        <w:rPr>
          <w:rFonts w:eastAsia="Calibri" w:cs="Arial"/>
          <w:noProof/>
          <w:color w:val="000000"/>
          <w:sz w:val="23"/>
          <w:szCs w:val="23"/>
        </w:rPr>
        <w:t xml:space="preserve"> reduced access to education, skills and training</w:t>
      </w:r>
      <w:r w:rsidR="00B21F3B">
        <w:rPr>
          <w:rFonts w:eastAsia="Calibri" w:cs="Arial"/>
          <w:noProof/>
          <w:color w:val="000000"/>
          <w:sz w:val="23"/>
          <w:szCs w:val="23"/>
        </w:rPr>
        <w:t>.</w:t>
      </w:r>
    </w:p>
    <w:p w14:paraId="09283C13" w14:textId="2AA68705" w:rsidR="00185393" w:rsidRDefault="007375D2">
      <w:pPr>
        <w:rPr>
          <w:rFonts w:cs="Arial"/>
        </w:rPr>
      </w:pPr>
      <w:r w:rsidRPr="00326B50">
        <w:rPr>
          <w:noProof/>
          <w:color w:val="323E4F"/>
        </w:rPr>
        <mc:AlternateContent>
          <mc:Choice Requires="wps">
            <w:drawing>
              <wp:anchor distT="45720" distB="45720" distL="114300" distR="114300" simplePos="0" relativeHeight="251658245" behindDoc="0" locked="0" layoutInCell="1" allowOverlap="1" wp14:anchorId="64FF076A" wp14:editId="4FE6C9BD">
                <wp:simplePos x="0" y="0"/>
                <wp:positionH relativeFrom="margin">
                  <wp:posOffset>3022600</wp:posOffset>
                </wp:positionH>
                <wp:positionV relativeFrom="paragraph">
                  <wp:posOffset>9525</wp:posOffset>
                </wp:positionV>
                <wp:extent cx="2508885" cy="372110"/>
                <wp:effectExtent l="0" t="0" r="0" b="0"/>
                <wp:wrapSquare wrapText="bothSides"/>
                <wp:docPr id="328659653" name="Text Box 328659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372110"/>
                        </a:xfrm>
                        <a:prstGeom prst="rect">
                          <a:avLst/>
                        </a:prstGeom>
                        <a:noFill/>
                        <a:ln w="9525">
                          <a:noFill/>
                          <a:miter lim="800000"/>
                          <a:headEnd/>
                          <a:tailEnd/>
                        </a:ln>
                      </wps:spPr>
                      <wps:txbx>
                        <w:txbxContent>
                          <w:p w14:paraId="0DC26BCF" w14:textId="77777777" w:rsidR="00326B50" w:rsidRPr="00326B50" w:rsidRDefault="00326B50" w:rsidP="007375D2">
                            <w:pPr>
                              <w:pStyle w:val="Caption1"/>
                              <w:jc w:val="center"/>
                              <w:rPr>
                                <w:rFonts w:eastAsia="Calibri" w:cs="Arial"/>
                                <w:noProof/>
                                <w:color w:val="000000"/>
                                <w:sz w:val="20"/>
                                <w:szCs w:val="20"/>
                                <w:lang w:val="en-US"/>
                              </w:rPr>
                            </w:pPr>
                            <w:r w:rsidRPr="00326B50">
                              <w:rPr>
                                <w:rFonts w:eastAsia="Calibri"/>
                                <w:color w:val="000000"/>
                              </w:rPr>
                              <w:t xml:space="preserve">Figure </w:t>
                            </w:r>
                            <w:r>
                              <w:rPr>
                                <w:rFonts w:eastAsia="Calibri"/>
                                <w:color w:val="000000"/>
                              </w:rPr>
                              <w:t xml:space="preserve">1. </w:t>
                            </w:r>
                            <w:r>
                              <w:rPr>
                                <w:rFonts w:eastAsia="Calibri"/>
                                <w:noProof/>
                                <w:color w:val="000000"/>
                              </w:rPr>
                              <w:t>Visual Representation of the Disability Poverty Cycle</w:t>
                            </w:r>
                          </w:p>
                          <w:p w14:paraId="76AE9EF1" w14:textId="77777777" w:rsidR="00326B50" w:rsidRPr="00326B50" w:rsidRDefault="00326B5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F076A" id="Text Box 328659653" o:spid="_x0000_s1027" type="#_x0000_t202" style="position:absolute;margin-left:238pt;margin-top:.75pt;width:197.55pt;height:29.3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" filled="f" stroked="f">
                <v:textbox>
                  <w:txbxContent>
                    <w:p w14:paraId="0DC26BCF" w14:textId="77777777" w:rsidR="00326B50" w:rsidRPr="00326B50" w:rsidRDefault="00326B50" w:rsidP="007375D2">
                      <w:pPr>
                        <w:pStyle w:val="Caption1"/>
                        <w:jc w:val="center"/>
                        <w:rPr>
                          <w:rFonts w:eastAsia="Calibri" w:cs="Arial"/>
                          <w:noProof/>
                          <w:color w:val="000000"/>
                          <w:sz w:val="20"/>
                          <w:szCs w:val="20"/>
                          <w:lang w:val="en-US"/>
                        </w:rPr>
                      </w:pPr>
                      <w:r w:rsidRPr="00326B50">
                        <w:rPr>
                          <w:rFonts w:eastAsia="Calibri"/>
                          <w:color w:val="000000"/>
                        </w:rPr>
                        <w:t xml:space="preserve">Figure </w:t>
                      </w:r>
                      <w:r>
                        <w:rPr>
                          <w:rFonts w:eastAsia="Calibri"/>
                          <w:color w:val="000000"/>
                        </w:rPr>
                        <w:t xml:space="preserve">1. </w:t>
                      </w:r>
                      <w:r>
                        <w:rPr>
                          <w:rFonts w:eastAsia="Calibri"/>
                          <w:noProof/>
                          <w:color w:val="000000"/>
                        </w:rPr>
                        <w:t>Visual Representation of the Disability Poverty Cycle</w:t>
                      </w:r>
                    </w:p>
                    <w:p w14:paraId="76AE9EF1" w14:textId="77777777" w:rsidR="00326B50" w:rsidRPr="00326B50" w:rsidRDefault="00326B50">
                      <w:pPr>
                        <w:rPr>
                          <w:lang w:val="en-GB"/>
                        </w:rPr>
                      </w:pPr>
                    </w:p>
                  </w:txbxContent>
                </v:textbox>
                <w10:wrap type="square" anchorx="margin"/>
              </v:shape>
            </w:pict>
          </mc:Fallback>
        </mc:AlternateContent>
      </w:r>
    </w:p>
    <w:p w14:paraId="10F14D0A" w14:textId="77777777" w:rsidR="007A4540" w:rsidRDefault="007A4540">
      <w:pPr>
        <w:rPr>
          <w:rFonts w:cs="Arial"/>
        </w:rPr>
      </w:pPr>
    </w:p>
    <w:p w14:paraId="2F699BB1" w14:textId="20F29288" w:rsidR="00185393" w:rsidRPr="00185393" w:rsidRDefault="00E7285A" w:rsidP="00185393">
      <w:pPr>
        <w:spacing w:after="240"/>
        <w:outlineLvl w:val="1"/>
        <w:rPr>
          <w:rFonts w:eastAsia="Calibri"/>
          <w:noProof/>
          <w:color w:val="2D6CB5"/>
          <w:sz w:val="50"/>
          <w:szCs w:val="50"/>
        </w:rPr>
      </w:pPr>
      <w:r>
        <w:rPr>
          <w:rFonts w:eastAsia="Calibri"/>
          <w:noProof/>
          <w:color w:val="2D6CB5"/>
          <w:sz w:val="50"/>
          <w:szCs w:val="50"/>
        </w:rPr>
        <w:lastRenderedPageBreak/>
        <w:t>Data on</w:t>
      </w:r>
      <w:r w:rsidR="00DB32C2">
        <w:rPr>
          <w:rFonts w:eastAsia="Calibri"/>
          <w:noProof/>
          <w:color w:val="2D6CB5"/>
          <w:sz w:val="50"/>
          <w:szCs w:val="50"/>
        </w:rPr>
        <w:t xml:space="preserve"> Disability Disadvantage</w:t>
      </w:r>
    </w:p>
    <w:p w14:paraId="4280693B" w14:textId="67A08F1F" w:rsidR="00E7285A" w:rsidRDefault="00236504" w:rsidP="00185393">
      <w:pPr>
        <w:rPr>
          <w:rFonts w:eastAsia="Calibri"/>
        </w:rPr>
      </w:pPr>
      <w:r>
        <w:rPr>
          <w:rFonts w:eastAsia="Calibri"/>
        </w:rPr>
        <w:t>Most</w:t>
      </w:r>
      <w:r w:rsidRPr="00236504">
        <w:rPr>
          <w:rFonts w:eastAsia="Calibri"/>
        </w:rPr>
        <w:t xml:space="preserve"> figures underestimate poverty and financial stress among people with disability as the poverty line does not </w:t>
      </w:r>
      <w:r>
        <w:rPr>
          <w:rFonts w:eastAsia="Calibri"/>
        </w:rPr>
        <w:t>account for</w:t>
      </w:r>
      <w:r w:rsidRPr="00236504">
        <w:rPr>
          <w:rFonts w:eastAsia="Calibri"/>
        </w:rPr>
        <w:t xml:space="preserve"> the extra costs of disability which many people experience. These include, for example, adjustments to the home, personal support and care, medical and pharmaceutical expenses, and additional transport costs such as taxis.</w:t>
      </w:r>
    </w:p>
    <w:p w14:paraId="71D7C2EA" w14:textId="77777777" w:rsidR="007A4540" w:rsidRDefault="007A4540" w:rsidP="00185393">
      <w:pPr>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4610"/>
        <w:gridCol w:w="27"/>
        <w:gridCol w:w="2190"/>
      </w:tblGrid>
      <w:tr w:rsidR="00EC43A9" w14:paraId="64627B84" w14:textId="77777777" w:rsidTr="00792884">
        <w:tc>
          <w:tcPr>
            <w:tcW w:w="2189" w:type="dxa"/>
          </w:tcPr>
          <w:p w14:paraId="152CE6A4" w14:textId="394630B1" w:rsidR="00EC43A9" w:rsidRDefault="0044139D" w:rsidP="00185393">
            <w:pPr>
              <w:rPr>
                <w:rFonts w:eastAsia="Calibri"/>
              </w:rPr>
            </w:pPr>
            <w:r>
              <w:rPr>
                <w:noProof/>
              </w:rPr>
              <w:drawing>
                <wp:inline distT="0" distB="0" distL="0" distR="0" wp14:anchorId="54C6CEF1" wp14:editId="1DF56E73">
                  <wp:extent cx="1188000" cy="1188000"/>
                  <wp:effectExtent l="0" t="0" r="0" b="0"/>
                  <wp:docPr id="80" name="Picture 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inline>
              </w:drawing>
            </w:r>
          </w:p>
        </w:tc>
        <w:tc>
          <w:tcPr>
            <w:tcW w:w="6827" w:type="dxa"/>
            <w:gridSpan w:val="3"/>
            <w:vAlign w:val="center"/>
          </w:tcPr>
          <w:p w14:paraId="5FA65E33" w14:textId="76049A20" w:rsidR="00310936" w:rsidRPr="00D23998" w:rsidRDefault="00BB1BDF" w:rsidP="00D23998">
            <w:pPr>
              <w:pStyle w:val="ListParagraph"/>
              <w:numPr>
                <w:ilvl w:val="0"/>
                <w:numId w:val="4"/>
              </w:numPr>
              <w:rPr>
                <w:rFonts w:eastAsia="Calibri"/>
              </w:rPr>
            </w:pPr>
            <w:r w:rsidRPr="00D23998">
              <w:rPr>
                <w:rFonts w:eastAsia="Calibri"/>
              </w:rPr>
              <w:t>People with disability ha</w:t>
            </w:r>
            <w:r w:rsidR="002B4728" w:rsidRPr="00D23998">
              <w:rPr>
                <w:rFonts w:eastAsia="Calibri"/>
              </w:rPr>
              <w:t>ve</w:t>
            </w:r>
            <w:r w:rsidRPr="00D23998">
              <w:rPr>
                <w:rFonts w:eastAsia="Calibri"/>
              </w:rPr>
              <w:t xml:space="preserve"> lower personal incomes than their non-disabled counterparts</w:t>
            </w:r>
            <w:r w:rsidR="002B4728" w:rsidRPr="00D23998">
              <w:rPr>
                <w:rFonts w:eastAsia="Calibri"/>
              </w:rPr>
              <w:t xml:space="preserve">. </w:t>
            </w:r>
          </w:p>
          <w:p w14:paraId="7698F100" w14:textId="4B8F9DD2" w:rsidR="00EC43A9" w:rsidRPr="00D23998" w:rsidRDefault="00BB1BDF" w:rsidP="00D23998">
            <w:pPr>
              <w:pStyle w:val="ListParagraph"/>
              <w:numPr>
                <w:ilvl w:val="0"/>
                <w:numId w:val="4"/>
              </w:numPr>
              <w:rPr>
                <w:rFonts w:eastAsia="Calibri"/>
              </w:rPr>
            </w:pPr>
            <w:r w:rsidRPr="00D23998">
              <w:rPr>
                <w:rFonts w:eastAsia="Calibri"/>
              </w:rPr>
              <w:t xml:space="preserve">In the ACT, </w:t>
            </w:r>
            <w:r w:rsidR="008644D9" w:rsidRPr="00D23998">
              <w:rPr>
                <w:rFonts w:eastAsia="Calibri"/>
              </w:rPr>
              <w:t xml:space="preserve">the </w:t>
            </w:r>
            <w:r w:rsidRPr="00D23998">
              <w:rPr>
                <w:rFonts w:eastAsia="Calibri"/>
              </w:rPr>
              <w:t xml:space="preserve">weekly personal income </w:t>
            </w:r>
            <w:r w:rsidR="008644D9" w:rsidRPr="00D23998">
              <w:rPr>
                <w:rFonts w:eastAsia="Calibri"/>
              </w:rPr>
              <w:t xml:space="preserve">of people with disability </w:t>
            </w:r>
            <w:r w:rsidRPr="00D23998">
              <w:rPr>
                <w:rFonts w:eastAsia="Calibri"/>
              </w:rPr>
              <w:t>was estimated as $700, nearly half that of people with no reported disability ($1343).</w:t>
            </w:r>
            <w:r w:rsidR="00CD3AFB">
              <w:rPr>
                <w:rStyle w:val="FootnoteReference"/>
                <w:rFonts w:eastAsia="Calibri"/>
              </w:rPr>
              <w:footnoteReference w:id="3"/>
            </w:r>
          </w:p>
        </w:tc>
      </w:tr>
      <w:tr w:rsidR="00D23998" w14:paraId="4FA10015" w14:textId="77777777" w:rsidTr="00792884">
        <w:tc>
          <w:tcPr>
            <w:tcW w:w="6826" w:type="dxa"/>
            <w:gridSpan w:val="3"/>
            <w:vAlign w:val="center"/>
          </w:tcPr>
          <w:p w14:paraId="608665D2" w14:textId="77777777" w:rsidR="00726681" w:rsidRDefault="00726681" w:rsidP="00726681">
            <w:pPr>
              <w:pStyle w:val="ListParagraph"/>
              <w:numPr>
                <w:ilvl w:val="0"/>
                <w:numId w:val="4"/>
              </w:numPr>
              <w:rPr>
                <w:rFonts w:eastAsia="Calibri"/>
              </w:rPr>
            </w:pPr>
            <w:r w:rsidRPr="00726681">
              <w:rPr>
                <w:rFonts w:eastAsia="Calibri"/>
              </w:rPr>
              <w:t xml:space="preserve">In the ACT, people with disability are overrepresented in the bottom two income quintiles. </w:t>
            </w:r>
          </w:p>
          <w:p w14:paraId="60D14D29" w14:textId="56FCFA36" w:rsidR="00726681" w:rsidRDefault="00726681" w:rsidP="00726681">
            <w:pPr>
              <w:pStyle w:val="ListParagraph"/>
              <w:numPr>
                <w:ilvl w:val="0"/>
                <w:numId w:val="4"/>
              </w:numPr>
              <w:rPr>
                <w:rFonts w:eastAsia="Calibri"/>
              </w:rPr>
            </w:pPr>
            <w:r w:rsidRPr="00726681">
              <w:rPr>
                <w:rFonts w:eastAsia="Calibri"/>
              </w:rPr>
              <w:t>People with disability represent 44</w:t>
            </w:r>
            <w:r>
              <w:rPr>
                <w:rFonts w:eastAsia="Calibri"/>
              </w:rPr>
              <w:t>%</w:t>
            </w:r>
            <w:r w:rsidRPr="00726681">
              <w:rPr>
                <w:rFonts w:eastAsia="Calibri"/>
              </w:rPr>
              <w:t xml:space="preserve"> of people in the two lowest income quintiles.</w:t>
            </w:r>
            <w:r w:rsidR="00BD6375">
              <w:rPr>
                <w:rStyle w:val="FootnoteReference"/>
                <w:rFonts w:eastAsia="Calibri"/>
              </w:rPr>
              <w:footnoteReference w:id="4"/>
            </w:r>
            <w:r w:rsidRPr="00726681">
              <w:rPr>
                <w:rFonts w:eastAsia="Calibri"/>
              </w:rPr>
              <w:t xml:space="preserve"> </w:t>
            </w:r>
          </w:p>
          <w:p w14:paraId="4B29BD32" w14:textId="2ADCF083" w:rsidR="00092C1E" w:rsidRPr="00726681" w:rsidRDefault="00726681" w:rsidP="00792884">
            <w:pPr>
              <w:pStyle w:val="ListParagraph"/>
              <w:numPr>
                <w:ilvl w:val="0"/>
                <w:numId w:val="4"/>
              </w:numPr>
              <w:rPr>
                <w:rFonts w:eastAsia="Calibri"/>
              </w:rPr>
            </w:pPr>
            <w:r>
              <w:rPr>
                <w:rFonts w:eastAsia="Calibri"/>
              </w:rPr>
              <w:t>A</w:t>
            </w:r>
            <w:r w:rsidRPr="00726681">
              <w:rPr>
                <w:rFonts w:eastAsia="Calibri"/>
              </w:rPr>
              <w:t>pproximately one third (30.</w:t>
            </w:r>
            <w:r w:rsidR="00C4308B">
              <w:rPr>
                <w:rFonts w:eastAsia="Calibri"/>
              </w:rPr>
              <w:t>8</w:t>
            </w:r>
            <w:r w:rsidRPr="00726681">
              <w:rPr>
                <w:rFonts w:eastAsia="Calibri"/>
              </w:rPr>
              <w:t>%) of all people with disability live in low-income households</w:t>
            </w:r>
            <w:r>
              <w:rPr>
                <w:rFonts w:eastAsia="Calibri"/>
              </w:rPr>
              <w:t>.</w:t>
            </w:r>
            <w:r w:rsidR="00BD6375">
              <w:rPr>
                <w:rStyle w:val="FootnoteReference"/>
                <w:rFonts w:eastAsia="Calibri"/>
              </w:rPr>
              <w:footnoteReference w:id="5"/>
            </w:r>
          </w:p>
        </w:tc>
        <w:tc>
          <w:tcPr>
            <w:tcW w:w="2190" w:type="dxa"/>
          </w:tcPr>
          <w:p w14:paraId="1B4C0D25" w14:textId="49581983" w:rsidR="00D23998" w:rsidRDefault="00104DB3" w:rsidP="005C670A">
            <w:pPr>
              <w:rPr>
                <w:rFonts w:eastAsia="Calibri"/>
              </w:rPr>
            </w:pPr>
            <w:r>
              <w:rPr>
                <w:noProof/>
              </w:rPr>
              <w:drawing>
                <wp:inline distT="0" distB="0" distL="0" distR="0" wp14:anchorId="53D7A376" wp14:editId="695C555A">
                  <wp:extent cx="1188000" cy="1188000"/>
                  <wp:effectExtent l="0" t="0" r="0" b="0"/>
                  <wp:docPr id="90" name="Picture 9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Logo,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inline>
              </w:drawing>
            </w:r>
          </w:p>
        </w:tc>
      </w:tr>
      <w:tr w:rsidR="00D23998" w14:paraId="46932A7F" w14:textId="77777777" w:rsidTr="00792884">
        <w:tc>
          <w:tcPr>
            <w:tcW w:w="2189" w:type="dxa"/>
          </w:tcPr>
          <w:p w14:paraId="50FE3A11" w14:textId="2D90881A" w:rsidR="00D23998" w:rsidRDefault="0075300E" w:rsidP="005C670A">
            <w:pPr>
              <w:rPr>
                <w:rFonts w:eastAsia="Calibri"/>
              </w:rPr>
            </w:pPr>
            <w:r>
              <w:rPr>
                <w:noProof/>
              </w:rPr>
              <w:drawing>
                <wp:inline distT="0" distB="0" distL="0" distR="0" wp14:anchorId="1CC20C9D" wp14:editId="3351ABF8">
                  <wp:extent cx="1188000" cy="1188000"/>
                  <wp:effectExtent l="0" t="0" r="0" b="0"/>
                  <wp:docPr id="88" name="Picture 8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inline>
              </w:drawing>
            </w:r>
          </w:p>
        </w:tc>
        <w:tc>
          <w:tcPr>
            <w:tcW w:w="6827" w:type="dxa"/>
            <w:gridSpan w:val="3"/>
            <w:vAlign w:val="center"/>
          </w:tcPr>
          <w:p w14:paraId="08065C78" w14:textId="4C80F30D" w:rsidR="00F6464E" w:rsidRPr="00B876B4" w:rsidRDefault="00B876B4" w:rsidP="00B876B4">
            <w:pPr>
              <w:pStyle w:val="ListParagraph"/>
              <w:numPr>
                <w:ilvl w:val="0"/>
                <w:numId w:val="5"/>
              </w:numPr>
              <w:rPr>
                <w:rFonts w:eastAsia="Calibri"/>
              </w:rPr>
            </w:pPr>
            <w:r>
              <w:rPr>
                <w:rFonts w:eastAsia="Calibri"/>
              </w:rPr>
              <w:t>Almost</w:t>
            </w:r>
            <w:r w:rsidRPr="00B876B4">
              <w:rPr>
                <w:rFonts w:eastAsia="Calibri"/>
              </w:rPr>
              <w:t xml:space="preserve"> 4 in 10 Australians living in poverty have a disability (38</w:t>
            </w:r>
            <w:r>
              <w:rPr>
                <w:rFonts w:eastAsia="Calibri"/>
              </w:rPr>
              <w:t>%</w:t>
            </w:r>
            <w:r w:rsidRPr="00B876B4">
              <w:rPr>
                <w:rFonts w:eastAsia="Calibri"/>
              </w:rPr>
              <w:t>)</w:t>
            </w:r>
            <w:r>
              <w:rPr>
                <w:rFonts w:eastAsia="Calibri"/>
              </w:rPr>
              <w:t>.</w:t>
            </w:r>
            <w:r>
              <w:rPr>
                <w:rStyle w:val="FootnoteReference"/>
                <w:rFonts w:eastAsia="Calibri"/>
              </w:rPr>
              <w:footnoteReference w:id="6"/>
            </w:r>
          </w:p>
          <w:p w14:paraId="440673BE" w14:textId="53D2A8FC" w:rsidR="00D23998" w:rsidRPr="00F6464E" w:rsidRDefault="00452B28" w:rsidP="00F6464E">
            <w:pPr>
              <w:pStyle w:val="ListParagraph"/>
              <w:numPr>
                <w:ilvl w:val="0"/>
                <w:numId w:val="5"/>
              </w:numPr>
              <w:rPr>
                <w:rFonts w:eastAsia="Calibri"/>
              </w:rPr>
            </w:pPr>
            <w:r w:rsidRPr="00175ABF">
              <w:rPr>
                <w:rFonts w:eastAsia="Calibri"/>
              </w:rPr>
              <w:t>The number of young people with disabilities in Australia surviving on below-the-poverty-line welfare benefits has exploded by more than 300% over the past decade</w:t>
            </w:r>
            <w:r w:rsidR="00B876B4" w:rsidRPr="00175ABF">
              <w:rPr>
                <w:rFonts w:eastAsia="Calibri"/>
              </w:rPr>
              <w:t>.</w:t>
            </w:r>
            <w:r w:rsidR="00B876B4" w:rsidRPr="00175ABF">
              <w:rPr>
                <w:rStyle w:val="FootnoteReference"/>
                <w:rFonts w:eastAsia="Calibri"/>
              </w:rPr>
              <w:footnoteReference w:id="7"/>
            </w:r>
          </w:p>
        </w:tc>
      </w:tr>
      <w:tr w:rsidR="0006788F" w14:paraId="36C54DA0" w14:textId="77777777" w:rsidTr="00792884">
        <w:trPr>
          <w:trHeight w:val="1782"/>
        </w:trPr>
        <w:tc>
          <w:tcPr>
            <w:tcW w:w="6799" w:type="dxa"/>
            <w:gridSpan w:val="2"/>
            <w:vAlign w:val="center"/>
          </w:tcPr>
          <w:p w14:paraId="665FE3AB" w14:textId="1F9F5D3B" w:rsidR="00E25DD6" w:rsidRPr="00863FC0" w:rsidRDefault="0075300E" w:rsidP="0075300E">
            <w:pPr>
              <w:pStyle w:val="ListParagraph"/>
              <w:numPr>
                <w:ilvl w:val="0"/>
                <w:numId w:val="5"/>
              </w:numPr>
              <w:rPr>
                <w:rFonts w:eastAsia="Calibri"/>
              </w:rPr>
            </w:pPr>
            <w:r w:rsidRPr="00863FC0">
              <w:rPr>
                <w:rFonts w:eastAsia="Calibri"/>
              </w:rPr>
              <w:t xml:space="preserve">In </w:t>
            </w:r>
            <w:r w:rsidR="006703D0" w:rsidRPr="00863FC0">
              <w:rPr>
                <w:rFonts w:eastAsia="Calibri"/>
              </w:rPr>
              <w:t>June</w:t>
            </w:r>
            <w:r w:rsidRPr="00863FC0">
              <w:rPr>
                <w:rFonts w:eastAsia="Calibri"/>
              </w:rPr>
              <w:t xml:space="preserve"> 202</w:t>
            </w:r>
            <w:r w:rsidR="006703D0" w:rsidRPr="00863FC0">
              <w:rPr>
                <w:rFonts w:eastAsia="Calibri"/>
              </w:rPr>
              <w:t>3</w:t>
            </w:r>
            <w:r w:rsidRPr="00863FC0">
              <w:rPr>
                <w:rFonts w:eastAsia="Calibri"/>
              </w:rPr>
              <w:t>, there were 8</w:t>
            </w:r>
            <w:r w:rsidR="00CA19E6" w:rsidRPr="00863FC0">
              <w:rPr>
                <w:rFonts w:eastAsia="Calibri"/>
              </w:rPr>
              <w:t>8</w:t>
            </w:r>
            <w:r w:rsidRPr="00863FC0">
              <w:rPr>
                <w:rFonts w:eastAsia="Calibri"/>
              </w:rPr>
              <w:t>0</w:t>
            </w:r>
            <w:r w:rsidR="00CA19E6" w:rsidRPr="00863FC0">
              <w:rPr>
                <w:rFonts w:eastAsia="Calibri"/>
              </w:rPr>
              <w:t>5</w:t>
            </w:r>
            <w:r w:rsidRPr="00863FC0">
              <w:rPr>
                <w:rFonts w:eastAsia="Calibri"/>
              </w:rPr>
              <w:t xml:space="preserve"> </w:t>
            </w:r>
            <w:r w:rsidR="00721991" w:rsidRPr="00863FC0">
              <w:rPr>
                <w:rFonts w:eastAsia="Calibri"/>
              </w:rPr>
              <w:t>Disability Support Pension</w:t>
            </w:r>
            <w:r w:rsidRPr="00863FC0">
              <w:rPr>
                <w:rFonts w:eastAsia="Calibri"/>
              </w:rPr>
              <w:t xml:space="preserve"> payments in the ACT</w:t>
            </w:r>
            <w:r w:rsidR="00E25DD6" w:rsidRPr="00863FC0">
              <w:rPr>
                <w:rFonts w:eastAsia="Calibri"/>
              </w:rPr>
              <w:t>.</w:t>
            </w:r>
            <w:r w:rsidR="00B2794B" w:rsidRPr="00863FC0">
              <w:rPr>
                <w:rStyle w:val="FootnoteReference"/>
                <w:rFonts w:eastAsia="Calibri"/>
              </w:rPr>
              <w:footnoteReference w:id="8"/>
            </w:r>
          </w:p>
          <w:p w14:paraId="0C223DB6" w14:textId="00CF0B81" w:rsidR="0006788F" w:rsidRPr="00E25DD6" w:rsidRDefault="0075300E" w:rsidP="0075300E">
            <w:pPr>
              <w:pStyle w:val="ListParagraph"/>
              <w:numPr>
                <w:ilvl w:val="0"/>
                <w:numId w:val="5"/>
              </w:numPr>
              <w:rPr>
                <w:rFonts w:eastAsia="Calibri"/>
              </w:rPr>
            </w:pPr>
            <w:r w:rsidRPr="00863FC0">
              <w:rPr>
                <w:rFonts w:eastAsia="Calibri"/>
              </w:rPr>
              <w:t xml:space="preserve">Of all DSP recipients Australia-wide, only 6.9% reported any earnings from the previous fortnight in </w:t>
            </w:r>
            <w:r w:rsidR="00863FC0" w:rsidRPr="00863FC0">
              <w:rPr>
                <w:rFonts w:eastAsia="Calibri"/>
              </w:rPr>
              <w:t>June</w:t>
            </w:r>
            <w:r w:rsidRPr="00863FC0">
              <w:rPr>
                <w:rFonts w:eastAsia="Calibri"/>
              </w:rPr>
              <w:t xml:space="preserve"> 202</w:t>
            </w:r>
            <w:r w:rsidR="00863FC0" w:rsidRPr="00863FC0">
              <w:rPr>
                <w:rFonts w:eastAsia="Calibri"/>
              </w:rPr>
              <w:t>3</w:t>
            </w:r>
            <w:r w:rsidR="00E25DD6" w:rsidRPr="00863FC0">
              <w:rPr>
                <w:rFonts w:eastAsia="Calibri"/>
              </w:rPr>
              <w:t>.</w:t>
            </w:r>
            <w:r w:rsidR="00B2794B" w:rsidRPr="00863FC0">
              <w:rPr>
                <w:rStyle w:val="FootnoteReference"/>
                <w:rFonts w:eastAsia="Calibri"/>
              </w:rPr>
              <w:footnoteReference w:id="9"/>
            </w:r>
          </w:p>
        </w:tc>
        <w:tc>
          <w:tcPr>
            <w:tcW w:w="2217" w:type="dxa"/>
            <w:gridSpan w:val="2"/>
          </w:tcPr>
          <w:p w14:paraId="3902AD76" w14:textId="61400DD6" w:rsidR="0006788F" w:rsidRPr="0075300E" w:rsidRDefault="0012113B" w:rsidP="0075300E">
            <w:pPr>
              <w:rPr>
                <w:rFonts w:eastAsia="Calibri"/>
              </w:rPr>
            </w:pPr>
            <w:r>
              <w:rPr>
                <w:noProof/>
              </w:rPr>
              <w:drawing>
                <wp:inline distT="0" distB="0" distL="0" distR="0" wp14:anchorId="715FB7D6" wp14:editId="6E65E16B">
                  <wp:extent cx="1188000" cy="1188000"/>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inline>
              </w:drawing>
            </w:r>
          </w:p>
        </w:tc>
      </w:tr>
    </w:tbl>
    <w:p w14:paraId="690DBB0B" w14:textId="77777777" w:rsidR="00EE6DF4" w:rsidRDefault="00EE6DF4" w:rsidP="007F3648">
      <w:pPr>
        <w:spacing w:after="240"/>
        <w:outlineLvl w:val="1"/>
        <w:rPr>
          <w:rFonts w:eastAsia="DengXian Light" w:cs="Arial"/>
          <w:color w:val="000000"/>
        </w:rPr>
      </w:pPr>
    </w:p>
    <w:tbl>
      <w:tblPr>
        <w:tblStyle w:val="Table11"/>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EE6DF4" w:rsidRPr="00B715F9" w14:paraId="7598F5EE" w14:textId="77777777" w:rsidTr="005C670A">
        <w:trPr>
          <w:cnfStyle w:val="100000000000" w:firstRow="1" w:lastRow="0" w:firstColumn="0" w:lastColumn="0" w:oddVBand="0" w:evenVBand="0" w:oddHBand="0" w:evenHBand="0" w:firstRowFirstColumn="0" w:firstRowLastColumn="0" w:lastRowFirstColumn="0" w:lastRowLastColumn="0"/>
          <w:trHeight w:val="684"/>
        </w:trPr>
        <w:tc>
          <w:tcPr>
            <w:tcW w:w="9010" w:type="dxa"/>
          </w:tcPr>
          <w:p w14:paraId="5A973354" w14:textId="5CC7E756" w:rsidR="00EE6DF4" w:rsidRPr="00B715F9" w:rsidRDefault="00EE6DF4" w:rsidP="005C670A">
            <w:pPr>
              <w:rPr>
                <w:rFonts w:eastAsia="Calibri"/>
              </w:rPr>
            </w:pPr>
            <w:r w:rsidRPr="00B715F9">
              <w:rPr>
                <w:rFonts w:eastAsia="Calibri"/>
              </w:rPr>
              <w:t xml:space="preserve">Case Study </w:t>
            </w:r>
            <w:r w:rsidR="002C6F9A">
              <w:rPr>
                <w:rFonts w:eastAsia="Calibri"/>
              </w:rPr>
              <w:t>–</w:t>
            </w:r>
            <w:r w:rsidRPr="00B715F9">
              <w:rPr>
                <w:rFonts w:eastAsia="Calibri"/>
              </w:rPr>
              <w:t xml:space="preserve"> Jack</w:t>
            </w:r>
            <w:r w:rsidR="002C6F9A">
              <w:rPr>
                <w:rFonts w:eastAsia="Calibri"/>
              </w:rPr>
              <w:t xml:space="preserve"> (Advocacy for Inclusion)</w:t>
            </w:r>
          </w:p>
        </w:tc>
      </w:tr>
      <w:tr w:rsidR="00EE6DF4" w:rsidRPr="00B715F9" w14:paraId="23C8AE86" w14:textId="77777777" w:rsidTr="005C670A">
        <w:trPr>
          <w:trHeight w:val="680"/>
        </w:trPr>
        <w:tc>
          <w:tcPr>
            <w:tcW w:w="9010" w:type="dxa"/>
          </w:tcPr>
          <w:p w14:paraId="081F9231" w14:textId="0C574390" w:rsidR="00EE6DF4" w:rsidRPr="0016642B" w:rsidRDefault="00EE6DF4" w:rsidP="005C670A">
            <w:pPr>
              <w:spacing w:after="240"/>
              <w:rPr>
                <w:noProof/>
                <w:sz w:val="22"/>
                <w:szCs w:val="22"/>
              </w:rPr>
            </w:pPr>
            <w:r w:rsidRPr="0016642B">
              <w:rPr>
                <w:noProof/>
                <w:sz w:val="22"/>
                <w:szCs w:val="22"/>
              </w:rPr>
              <w:t>AFI advocated for Jack, a 56-year-old man living with HIV</w:t>
            </w:r>
            <w:r w:rsidR="00630881">
              <w:rPr>
                <w:noProof/>
                <w:sz w:val="22"/>
                <w:szCs w:val="22"/>
              </w:rPr>
              <w:t>/</w:t>
            </w:r>
            <w:r w:rsidRPr="0016642B">
              <w:rPr>
                <w:noProof/>
                <w:sz w:val="22"/>
                <w:szCs w:val="22"/>
              </w:rPr>
              <w:t xml:space="preserve">Aids, and mental illness (schizophrenia and anxiety disorder). When Jack was referred to AFI by the real estate property manager, he was at risk of homelessness due to rent arrears and was also experiencing suicidal ideation. </w:t>
            </w:r>
          </w:p>
          <w:p w14:paraId="3E38167A" w14:textId="77777777" w:rsidR="00EE6DF4" w:rsidRPr="0016642B" w:rsidRDefault="00EE6DF4" w:rsidP="005C670A">
            <w:pPr>
              <w:spacing w:after="240"/>
              <w:rPr>
                <w:noProof/>
                <w:sz w:val="22"/>
                <w:szCs w:val="22"/>
              </w:rPr>
            </w:pPr>
            <w:r w:rsidRPr="0016642B">
              <w:rPr>
                <w:noProof/>
                <w:sz w:val="22"/>
                <w:szCs w:val="22"/>
              </w:rPr>
              <w:t xml:space="preserve">Previous to becoming unwell, Jack worked for 30 years as a retail assistant; however, he was dismissed in 2018 because of poor work attendance due to his illness. With no family or supports, he attempted to apply for the Disability Support Pension but was declined. Jack did not appeal the decision, as he did not know he could. </w:t>
            </w:r>
          </w:p>
          <w:p w14:paraId="08C31466" w14:textId="77777777" w:rsidR="00EE6DF4" w:rsidRPr="0016642B" w:rsidRDefault="00EE6DF4" w:rsidP="005C670A">
            <w:pPr>
              <w:spacing w:after="240"/>
              <w:rPr>
                <w:noProof/>
                <w:sz w:val="22"/>
                <w:szCs w:val="22"/>
              </w:rPr>
            </w:pPr>
            <w:r w:rsidRPr="0016642B">
              <w:rPr>
                <w:noProof/>
                <w:sz w:val="22"/>
                <w:szCs w:val="22"/>
              </w:rPr>
              <w:t xml:space="preserve">Now living on a Newstart allowance, Jack had been unwell and isolated himself in his private rental, which he had lived in since 2012. This resulted in his Newstart payment being cut off, failing to lodge his mutual obligation requirements (work form). </w:t>
            </w:r>
          </w:p>
          <w:p w14:paraId="3EF24ADF" w14:textId="77777777" w:rsidR="00EE6DF4" w:rsidRPr="0016642B" w:rsidRDefault="00EE6DF4" w:rsidP="005C670A">
            <w:pPr>
              <w:spacing w:after="240"/>
              <w:rPr>
                <w:noProof/>
                <w:sz w:val="22"/>
                <w:szCs w:val="22"/>
              </w:rPr>
            </w:pPr>
            <w:r w:rsidRPr="0016642B">
              <w:rPr>
                <w:noProof/>
                <w:sz w:val="22"/>
                <w:szCs w:val="22"/>
              </w:rPr>
              <w:t>Before having his payments cut off, Jack was receiving $545.80 per fortnight plus $134.80 per fortnight rent assistance, which totalled $689.40 per fortnight. Jacks’ private rental was $560 per fortnight, leaving him with just over $120 per fortnight to buy food, medication and pay electricity. Jack supplemented the Newstart payment with his savings since losing his job in 2018, but all his savings were now depleted</w:t>
            </w:r>
          </w:p>
          <w:p w14:paraId="702F213A" w14:textId="77777777" w:rsidR="00EE6DF4" w:rsidRPr="0016642B" w:rsidRDefault="00EE6DF4" w:rsidP="005C670A">
            <w:pPr>
              <w:spacing w:after="240"/>
              <w:rPr>
                <w:noProof/>
                <w:sz w:val="22"/>
                <w:szCs w:val="22"/>
              </w:rPr>
            </w:pPr>
            <w:r w:rsidRPr="0016642B">
              <w:rPr>
                <w:noProof/>
                <w:sz w:val="22"/>
                <w:szCs w:val="22"/>
              </w:rPr>
              <w:t xml:space="preserve">Jack would go without eating so he could purchase much-needed medication and was forced to supplement his food bill by using charity food hampers. </w:t>
            </w:r>
          </w:p>
          <w:p w14:paraId="5B1AB491" w14:textId="77777777" w:rsidR="00EE6DF4" w:rsidRPr="0016642B" w:rsidRDefault="00EE6DF4" w:rsidP="005C670A">
            <w:pPr>
              <w:spacing w:after="240"/>
              <w:rPr>
                <w:noProof/>
                <w:sz w:val="22"/>
                <w:szCs w:val="22"/>
              </w:rPr>
            </w:pPr>
            <w:r w:rsidRPr="0016642B">
              <w:rPr>
                <w:noProof/>
                <w:sz w:val="22"/>
                <w:szCs w:val="22"/>
              </w:rPr>
              <w:t xml:space="preserve">The week after AFI engaged with advocacy services, Jack was admitted to the hospital with pneumonia which health experts advise may have been due to living in cold and damp conditions in his home as he could not afford to run the heating. </w:t>
            </w:r>
          </w:p>
          <w:p w14:paraId="2A8DFA51" w14:textId="77777777" w:rsidR="00EE6DF4" w:rsidRPr="00B715F9" w:rsidRDefault="00EE6DF4" w:rsidP="005C670A">
            <w:pPr>
              <w:spacing w:after="240"/>
              <w:rPr>
                <w:i/>
                <w:iCs/>
                <w:noProof/>
              </w:rPr>
            </w:pPr>
            <w:r w:rsidRPr="0016642B">
              <w:rPr>
                <w:noProof/>
                <w:sz w:val="22"/>
                <w:szCs w:val="22"/>
              </w:rPr>
              <w:t>Jack died shortly after in hospital with complications due to HIV and pneumonia.</w:t>
            </w:r>
          </w:p>
        </w:tc>
      </w:tr>
    </w:tbl>
    <w:p w14:paraId="0AF37D68" w14:textId="08EA7768" w:rsidR="00EE6DF4" w:rsidRDefault="00EE6DF4" w:rsidP="005E4E36"/>
    <w:p w14:paraId="7A97C3CD" w14:textId="0B247113" w:rsidR="00EC48DC" w:rsidRDefault="00956017" w:rsidP="00EC48DC">
      <w:pPr>
        <w:spacing w:after="240"/>
        <w:outlineLvl w:val="1"/>
        <w:rPr>
          <w:rFonts w:eastAsia="Calibri"/>
          <w:noProof/>
          <w:color w:val="2D6CB5"/>
          <w:sz w:val="50"/>
          <w:szCs w:val="50"/>
        </w:rPr>
      </w:pPr>
      <w:r>
        <w:rPr>
          <w:rFonts w:eastAsia="Calibri"/>
          <w:noProof/>
          <w:color w:val="2D6CB5"/>
          <w:sz w:val="50"/>
          <w:szCs w:val="50"/>
        </w:rPr>
        <w:t>Time for action</w:t>
      </w:r>
    </w:p>
    <w:p w14:paraId="709540B1" w14:textId="2A8D3F26" w:rsidR="007E1D1E" w:rsidRDefault="00DA2967" w:rsidP="00956017">
      <w:pPr>
        <w:rPr>
          <w:noProof/>
        </w:rPr>
      </w:pPr>
      <w:r>
        <w:rPr>
          <w:noProof/>
        </w:rPr>
        <w:t>For more information on A</w:t>
      </w:r>
      <w:r w:rsidR="002C6F9A">
        <w:rPr>
          <w:noProof/>
        </w:rPr>
        <w:t>FI</w:t>
      </w:r>
      <w:r>
        <w:rPr>
          <w:noProof/>
        </w:rPr>
        <w:t xml:space="preserve">’s </w:t>
      </w:r>
      <w:r w:rsidR="00D35E42">
        <w:rPr>
          <w:noProof/>
        </w:rPr>
        <w:t xml:space="preserve">recommendations for action, read </w:t>
      </w:r>
      <w:r w:rsidR="004E1231">
        <w:rPr>
          <w:noProof/>
        </w:rPr>
        <w:t xml:space="preserve">their </w:t>
      </w:r>
      <w:hyperlink r:id="rId16" w:history="1">
        <w:r w:rsidR="004E1231">
          <w:rPr>
            <w:rStyle w:val="Hyperlink"/>
            <w:noProof/>
          </w:rPr>
          <w:t>White Paper on Income Support</w:t>
        </w:r>
      </w:hyperlink>
      <w:r w:rsidR="004E1231">
        <w:rPr>
          <w:noProof/>
        </w:rPr>
        <w:t>.</w:t>
      </w:r>
      <w:r w:rsidR="002C6F9A">
        <w:rPr>
          <w:noProof/>
        </w:rPr>
        <w:t xml:space="preserve"> To learn more about ACTCOSS’ recommendations you can read the</w:t>
      </w:r>
      <w:r w:rsidR="002C6F9A" w:rsidRPr="002C6F9A">
        <w:rPr>
          <w:noProof/>
        </w:rPr>
        <w:t xml:space="preserve"> </w:t>
      </w:r>
      <w:hyperlink r:id="rId17" w:history="1">
        <w:r w:rsidR="002C6F9A" w:rsidRPr="002C6F9A">
          <w:rPr>
            <w:rStyle w:val="Hyperlink"/>
            <w:noProof/>
          </w:rPr>
          <w:t>ACT Cost of Living Report</w:t>
        </w:r>
      </w:hyperlink>
      <w:r w:rsidR="007E1D1E">
        <w:rPr>
          <w:noProof/>
        </w:rPr>
        <w:t>.</w:t>
      </w:r>
      <w:r w:rsidR="003246AA">
        <w:rPr>
          <w:noProof/>
        </w:rPr>
        <w:t xml:space="preserve"> </w:t>
      </w:r>
      <w:r w:rsidR="007E1D1E">
        <w:rPr>
          <w:noProof/>
        </w:rPr>
        <w:t>During Anti-Poverty Weeks (</w:t>
      </w:r>
      <w:r w:rsidR="008573E3">
        <w:rPr>
          <w:noProof/>
        </w:rPr>
        <w:t xml:space="preserve">15-27 October 2023) you can also learn more by reading our general </w:t>
      </w:r>
      <w:r w:rsidR="008573E3" w:rsidRPr="00F553F8">
        <w:t>Poverty &amp; Disadvantage in the ACT Factsheet</w:t>
      </w:r>
      <w:r w:rsidR="008573E3">
        <w:rPr>
          <w:noProof/>
        </w:rPr>
        <w:t xml:space="preserve"> an</w:t>
      </w:r>
      <w:r w:rsidR="00B72D5C">
        <w:rPr>
          <w:noProof/>
        </w:rPr>
        <w:t xml:space="preserve">d participating in </w:t>
      </w:r>
      <w:hyperlink r:id="rId18" w:history="1">
        <w:r w:rsidR="00B72D5C" w:rsidRPr="00B72D5C">
          <w:rPr>
            <w:rStyle w:val="Hyperlink"/>
            <w:noProof/>
          </w:rPr>
          <w:t>APW events</w:t>
        </w:r>
      </w:hyperlink>
      <w:r w:rsidR="00B72D5C">
        <w:rPr>
          <w:noProof/>
        </w:rPr>
        <w:t>.</w:t>
      </w:r>
    </w:p>
    <w:p w14:paraId="6BC473E6" w14:textId="7B74BF53" w:rsidR="00B72D5C" w:rsidRDefault="00B72D5C" w:rsidP="00956017">
      <w:pPr>
        <w:rPr>
          <w:noProof/>
        </w:rPr>
      </w:pPr>
    </w:p>
    <w:p w14:paraId="6AE44311" w14:textId="3E092990" w:rsidR="00F0196A" w:rsidRPr="00442AE5" w:rsidRDefault="003246AA" w:rsidP="00442AE5">
      <w:pPr>
        <w:rPr>
          <w:noProof/>
        </w:rPr>
      </w:pPr>
      <w:r w:rsidRPr="00DC10D7">
        <w:rPr>
          <w:rFonts w:cs="Arial"/>
          <w:noProof/>
        </w:rPr>
        <mc:AlternateContent>
          <mc:Choice Requires="wps">
            <w:drawing>
              <wp:anchor distT="45720" distB="45720" distL="114300" distR="114300" simplePos="0" relativeHeight="251658243" behindDoc="0" locked="0" layoutInCell="1" allowOverlap="1" wp14:anchorId="1BC6A710" wp14:editId="6D817AF6">
                <wp:simplePos x="0" y="0"/>
                <wp:positionH relativeFrom="column">
                  <wp:posOffset>2997303</wp:posOffset>
                </wp:positionH>
                <wp:positionV relativeFrom="paragraph">
                  <wp:posOffset>825500</wp:posOffset>
                </wp:positionV>
                <wp:extent cx="1903730" cy="1404620"/>
                <wp:effectExtent l="0" t="0" r="0" b="2540"/>
                <wp:wrapSquare wrapText="bothSides"/>
                <wp:docPr id="957265010" name="Text Box 957265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404620"/>
                        </a:xfrm>
                        <a:prstGeom prst="rect">
                          <a:avLst/>
                        </a:prstGeom>
                        <a:noFill/>
                        <a:ln w="9525">
                          <a:noFill/>
                          <a:miter lim="800000"/>
                          <a:headEnd/>
                          <a:tailEnd/>
                        </a:ln>
                      </wps:spPr>
                      <wps:txbx>
                        <w:txbxContent>
                          <w:p w14:paraId="78722EFB" w14:textId="65B8FFE9" w:rsidR="00DC10D7" w:rsidRPr="00F56221" w:rsidRDefault="00DC10D7" w:rsidP="00DC10D7">
                            <w:pPr>
                              <w:jc w:val="right"/>
                              <w:rPr>
                                <w:b/>
                                <w:bCs/>
                                <w:color w:val="4472C4" w:themeColor="accent1"/>
                              </w:rPr>
                            </w:pPr>
                            <w:r w:rsidRPr="00F56221">
                              <w:rPr>
                                <w:b/>
                                <w:bCs/>
                                <w:color w:val="4472C4" w:themeColor="accent1"/>
                              </w:rPr>
                              <w:t>Scan to learn more</w:t>
                            </w:r>
                            <w:r w:rsidR="0097403C">
                              <w:rPr>
                                <w:b/>
                                <w:bCs/>
                                <w:color w:val="4472C4" w:themeColor="accent1"/>
                              </w:rPr>
                              <w:t xml:space="preserve"> about Anti-Poverty Weeks</w:t>
                            </w:r>
                            <w:r w:rsidRPr="00F56221">
                              <w:rPr>
                                <w:b/>
                                <w:bCs/>
                                <w:color w:val="4472C4" w:themeColor="accent1"/>
                              </w:rPr>
                              <w:t xml:space="preserve"> and </w:t>
                            </w:r>
                            <w:proofErr w:type="gramStart"/>
                            <w:r w:rsidRPr="00F56221">
                              <w:rPr>
                                <w:b/>
                                <w:bCs/>
                                <w:color w:val="4472C4" w:themeColor="accent1"/>
                                <w:u w:val="single"/>
                              </w:rPr>
                              <w:t>take action</w:t>
                            </w:r>
                            <w:proofErr w:type="gramEnd"/>
                            <w:r w:rsidRPr="00F56221">
                              <w:rPr>
                                <w:b/>
                                <w:bCs/>
                                <w:color w:val="4472C4"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C6A710" id="Text Box 957265010" o:spid="_x0000_s1028" type="#_x0000_t202" style="position:absolute;margin-left:236pt;margin-top:65pt;width:149.9pt;height:110.6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" filled="f" stroked="f">
                <v:textbox style="mso-fit-shape-to-text:t">
                  <w:txbxContent>
                    <w:p w14:paraId="78722EFB" w14:textId="65B8FFE9" w:rsidR="00DC10D7" w:rsidRPr="00F56221" w:rsidRDefault="00DC10D7" w:rsidP="00DC10D7">
                      <w:pPr>
                        <w:jc w:val="right"/>
                        <w:rPr>
                          <w:b/>
                          <w:bCs/>
                          <w:color w:val="4472C4" w:themeColor="accent1"/>
                        </w:rPr>
                      </w:pPr>
                      <w:r w:rsidRPr="00F56221">
                        <w:rPr>
                          <w:b/>
                          <w:bCs/>
                          <w:color w:val="4472C4" w:themeColor="accent1"/>
                        </w:rPr>
                        <w:t>Scan to learn more</w:t>
                      </w:r>
                      <w:r w:rsidR="0097403C">
                        <w:rPr>
                          <w:b/>
                          <w:bCs/>
                          <w:color w:val="4472C4" w:themeColor="accent1"/>
                        </w:rPr>
                        <w:t xml:space="preserve"> about Anti-Poverty Weeks</w:t>
                      </w:r>
                      <w:r w:rsidRPr="00F56221">
                        <w:rPr>
                          <w:b/>
                          <w:bCs/>
                          <w:color w:val="4472C4" w:themeColor="accent1"/>
                        </w:rPr>
                        <w:t xml:space="preserve"> and </w:t>
                      </w:r>
                      <w:proofErr w:type="gramStart"/>
                      <w:r w:rsidRPr="00F56221">
                        <w:rPr>
                          <w:b/>
                          <w:bCs/>
                          <w:color w:val="4472C4" w:themeColor="accent1"/>
                          <w:u w:val="single"/>
                        </w:rPr>
                        <w:t>take action</w:t>
                      </w:r>
                      <w:proofErr w:type="gramEnd"/>
                      <w:r w:rsidRPr="00F56221">
                        <w:rPr>
                          <w:b/>
                          <w:bCs/>
                          <w:color w:val="4472C4" w:themeColor="accent1"/>
                        </w:rPr>
                        <w:t>!</w:t>
                      </w:r>
                    </w:p>
                  </w:txbxContent>
                </v:textbox>
                <w10:wrap type="square"/>
              </v:shape>
            </w:pict>
          </mc:Fallback>
        </mc:AlternateContent>
      </w:r>
      <w:r>
        <w:rPr>
          <w:rFonts w:cs="Arial"/>
          <w:noProof/>
          <w14:ligatures w14:val="standardContextual"/>
        </w:rPr>
        <w:drawing>
          <wp:anchor distT="0" distB="0" distL="114300" distR="114300" simplePos="0" relativeHeight="251658242" behindDoc="0" locked="0" layoutInCell="1" allowOverlap="1" wp14:anchorId="49C16CFE" wp14:editId="25F4DC99">
            <wp:simplePos x="0" y="0"/>
            <wp:positionH relativeFrom="margin">
              <wp:align>right</wp:align>
            </wp:positionH>
            <wp:positionV relativeFrom="paragraph">
              <wp:posOffset>615950</wp:posOffset>
            </wp:positionV>
            <wp:extent cx="838200" cy="838200"/>
            <wp:effectExtent l="0" t="0" r="0" b="0"/>
            <wp:wrapSquare wrapText="bothSides"/>
            <wp:docPr id="205716082" name="Picture 205716082"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16082" name="Picture 2" descr="A qr code with a few squar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14:ligatures w14:val="standardContextual"/>
        </w:rPr>
        <w:drawing>
          <wp:anchor distT="0" distB="0" distL="114300" distR="114300" simplePos="0" relativeHeight="251658241" behindDoc="0" locked="0" layoutInCell="1" allowOverlap="1" wp14:anchorId="0C0B88F8" wp14:editId="1A0159E1">
            <wp:simplePos x="0" y="0"/>
            <wp:positionH relativeFrom="margin">
              <wp:align>left</wp:align>
            </wp:positionH>
            <wp:positionV relativeFrom="paragraph">
              <wp:posOffset>806701</wp:posOffset>
            </wp:positionV>
            <wp:extent cx="1845310" cy="638175"/>
            <wp:effectExtent l="0" t="0" r="2540" b="9525"/>
            <wp:wrapSquare wrapText="bothSides"/>
            <wp:docPr id="1030696754" name="Picture 1030696754" descr="A black background with blue text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696754" name="Picture 1" descr="A black background with blue text and green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45310" cy="638175"/>
                    </a:xfrm>
                    <a:prstGeom prst="rect">
                      <a:avLst/>
                    </a:prstGeom>
                  </pic:spPr>
                </pic:pic>
              </a:graphicData>
            </a:graphic>
            <wp14:sizeRelH relativeFrom="margin">
              <wp14:pctWidth>0</wp14:pctWidth>
            </wp14:sizeRelH>
            <wp14:sizeRelV relativeFrom="margin">
              <wp14:pctHeight>0</wp14:pctHeight>
            </wp14:sizeRelV>
          </wp:anchor>
        </w:drawing>
      </w:r>
      <w:r w:rsidR="00B72D5C">
        <w:rPr>
          <w:noProof/>
        </w:rPr>
        <w:t>Other ways to take individual action include: p</w:t>
      </w:r>
      <w:r w:rsidR="00B72D5C" w:rsidRPr="00B72D5C">
        <w:rPr>
          <w:noProof/>
        </w:rPr>
        <w:t>etitioning politicians to take action and </w:t>
      </w:r>
      <w:hyperlink r:id="rId21" w:history="1">
        <w:r w:rsidR="00B72D5C" w:rsidRPr="00B72D5C">
          <w:rPr>
            <w:rStyle w:val="Hyperlink"/>
            <w:noProof/>
          </w:rPr>
          <w:t>emailing your MP about poverty</w:t>
        </w:r>
      </w:hyperlink>
      <w:r w:rsidR="00B72D5C">
        <w:rPr>
          <w:noProof/>
        </w:rPr>
        <w:t>, and j</w:t>
      </w:r>
      <w:r w:rsidR="00B72D5C" w:rsidRPr="00B72D5C">
        <w:rPr>
          <w:noProof/>
        </w:rPr>
        <w:t>oining the ACOSS campaign to permanently and adequately </w:t>
      </w:r>
      <w:hyperlink r:id="rId22" w:history="1">
        <w:r w:rsidR="00B72D5C" w:rsidRPr="00B72D5C">
          <w:rPr>
            <w:rStyle w:val="Hyperlink"/>
            <w:noProof/>
          </w:rPr>
          <w:t>Raise the Rate</w:t>
        </w:r>
      </w:hyperlink>
      <w:r w:rsidR="00B72D5C" w:rsidRPr="00B72D5C">
        <w:rPr>
          <w:noProof/>
        </w:rPr>
        <w:t xml:space="preserve"> of </w:t>
      </w:r>
      <w:r>
        <w:rPr>
          <w:noProof/>
        </w:rPr>
        <w:t>income support payments including the DSP</w:t>
      </w:r>
      <w:r w:rsidR="00B72D5C" w:rsidRPr="00B72D5C">
        <w:rPr>
          <w:noProof/>
        </w:rPr>
        <w:t xml:space="preserve"> so that they keep people out of poverty</w:t>
      </w:r>
      <w:r>
        <w:rPr>
          <w:noProof/>
        </w:rPr>
        <w:t>.</w:t>
      </w:r>
    </w:p>
    <w:sectPr w:rsidR="00F0196A" w:rsidRPr="00442AE5" w:rsidSect="00501798">
      <w:headerReference w:type="default" r:id="rId23"/>
      <w:footerReference w:type="default" r:id="rId24"/>
      <w:headerReference w:type="first" r:id="rId25"/>
      <w:footerReference w:type="first" r:id="rId26"/>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DE9D" w14:textId="77777777" w:rsidR="00C33C33" w:rsidRDefault="00C33C33" w:rsidP="00185393">
      <w:r>
        <w:separator/>
      </w:r>
    </w:p>
  </w:endnote>
  <w:endnote w:type="continuationSeparator" w:id="0">
    <w:p w14:paraId="582EF38F" w14:textId="77777777" w:rsidR="00C33C33" w:rsidRDefault="00C33C33" w:rsidP="00185393">
      <w:r>
        <w:continuationSeparator/>
      </w:r>
    </w:p>
  </w:endnote>
  <w:endnote w:type="continuationNotice" w:id="1">
    <w:p w14:paraId="4346CC35" w14:textId="77777777" w:rsidR="00C32CE4" w:rsidRDefault="00C32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F1F8" w14:textId="4C3BE732" w:rsidR="00DC10D7" w:rsidRPr="001D5B5C" w:rsidRDefault="001D5B5C" w:rsidP="001D5B5C">
    <w:pPr>
      <w:tabs>
        <w:tab w:val="center" w:pos="4513"/>
        <w:tab w:val="right" w:pos="9026"/>
      </w:tabs>
      <w:ind w:right="360"/>
      <w:rPr>
        <w:rFonts w:eastAsia="Calibri"/>
        <w:sz w:val="18"/>
        <w:szCs w:val="18"/>
      </w:rPr>
    </w:pPr>
    <w:r w:rsidRPr="001D5B5C">
      <w:rPr>
        <w:rFonts w:eastAsia="Calibri"/>
        <w:sz w:val="18"/>
        <w:szCs w:val="18"/>
      </w:rPr>
      <w:t>The Disability Poverty Cycle in the ACT</w:t>
    </w:r>
    <w:r>
      <w:rPr>
        <w:rFonts w:eastAsia="Calibri"/>
        <w:sz w:val="18"/>
        <w:szCs w:val="18"/>
      </w:rPr>
      <w:t xml:space="preserve"> </w:t>
    </w:r>
    <w:r w:rsidRPr="00DC10D7">
      <w:rPr>
        <w:rFonts w:eastAsia="Calibri"/>
        <w:sz w:val="18"/>
        <w:szCs w:val="18"/>
      </w:rPr>
      <w:t>2023 Factsheet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37C0" w14:textId="0B9AA3EB" w:rsidR="00DC10D7" w:rsidRPr="00DC10D7" w:rsidRDefault="001D5B5C" w:rsidP="00DC10D7">
    <w:pPr>
      <w:tabs>
        <w:tab w:val="center" w:pos="4513"/>
        <w:tab w:val="right" w:pos="9026"/>
      </w:tabs>
      <w:ind w:right="360"/>
      <w:rPr>
        <w:rFonts w:eastAsia="Calibri"/>
        <w:sz w:val="18"/>
        <w:szCs w:val="18"/>
      </w:rPr>
    </w:pPr>
    <w:r w:rsidRPr="001D5B5C">
      <w:rPr>
        <w:rFonts w:eastAsia="Calibri"/>
        <w:sz w:val="18"/>
        <w:szCs w:val="18"/>
      </w:rPr>
      <w:t>The Disability Poverty Cycle in the ACT</w:t>
    </w:r>
    <w:r>
      <w:rPr>
        <w:rFonts w:eastAsia="Calibri"/>
        <w:sz w:val="18"/>
        <w:szCs w:val="18"/>
      </w:rPr>
      <w:t xml:space="preserve"> </w:t>
    </w:r>
    <w:r w:rsidR="00DC10D7" w:rsidRPr="00DC10D7">
      <w:rPr>
        <w:rFonts w:eastAsia="Calibri"/>
        <w:sz w:val="18"/>
        <w:szCs w:val="18"/>
      </w:rPr>
      <w:t>2023 Factsheet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1822" w14:textId="77777777" w:rsidR="00C33C33" w:rsidRDefault="00C33C33" w:rsidP="00185393">
      <w:r>
        <w:separator/>
      </w:r>
    </w:p>
  </w:footnote>
  <w:footnote w:type="continuationSeparator" w:id="0">
    <w:p w14:paraId="5587203D" w14:textId="77777777" w:rsidR="00C33C33" w:rsidRDefault="00C33C33" w:rsidP="00185393">
      <w:r>
        <w:continuationSeparator/>
      </w:r>
    </w:p>
  </w:footnote>
  <w:footnote w:type="continuationNotice" w:id="1">
    <w:p w14:paraId="7E6803D3" w14:textId="77777777" w:rsidR="00C32CE4" w:rsidRDefault="00C32CE4"/>
  </w:footnote>
  <w:footnote w:id="2">
    <w:p w14:paraId="52F167F4" w14:textId="33F570E1" w:rsidR="00291373" w:rsidRPr="00291373" w:rsidRDefault="00291373">
      <w:pPr>
        <w:pStyle w:val="FootnoteText"/>
        <w:rPr>
          <w:lang w:val="en-GB"/>
        </w:rPr>
      </w:pPr>
      <w:r>
        <w:rPr>
          <w:rStyle w:val="FootnoteReference"/>
        </w:rPr>
        <w:footnoteRef/>
      </w:r>
      <w:r>
        <w:t xml:space="preserve"> </w:t>
      </w:r>
      <w:r w:rsidR="00893E63" w:rsidRPr="00893E63">
        <w:t>OECD</w:t>
      </w:r>
      <w:r w:rsidR="00893E63">
        <w:t>,</w:t>
      </w:r>
      <w:r w:rsidR="00893E63" w:rsidRPr="00893E63">
        <w:t xml:space="preserve"> </w:t>
      </w:r>
      <w:hyperlink r:id="rId1" w:history="1">
        <w:r w:rsidR="00893E63" w:rsidRPr="00001B10">
          <w:rPr>
            <w:rStyle w:val="Hyperlink"/>
            <w:i/>
            <w:iCs/>
          </w:rPr>
          <w:t>Sickness, Disability and Work: Breaking the Barriers: A Synthesis of Findings across OECD Countries</w:t>
        </w:r>
      </w:hyperlink>
      <w:r w:rsidR="00893E63" w:rsidRPr="00001B10">
        <w:rPr>
          <w:i/>
          <w:iCs/>
        </w:rPr>
        <w:t>,</w:t>
      </w:r>
      <w:r w:rsidR="00893E63" w:rsidRPr="00893E63">
        <w:t xml:space="preserve"> </w:t>
      </w:r>
      <w:r w:rsidR="00001B10">
        <w:t xml:space="preserve">Paris: </w:t>
      </w:r>
      <w:r w:rsidR="00893E63" w:rsidRPr="00893E63">
        <w:t>OECD Publishing</w:t>
      </w:r>
      <w:r w:rsidR="008C37F8">
        <w:t xml:space="preserve">, </w:t>
      </w:r>
      <w:r w:rsidR="008C37F8" w:rsidRPr="00893E63">
        <w:t>2010</w:t>
      </w:r>
    </w:p>
  </w:footnote>
  <w:footnote w:id="3">
    <w:p w14:paraId="6783C252" w14:textId="42C97A7B" w:rsidR="00CD3AFB" w:rsidRPr="00CD3AFB" w:rsidRDefault="00CD3AFB">
      <w:pPr>
        <w:pStyle w:val="FootnoteText"/>
        <w:rPr>
          <w:lang w:val="en-GB"/>
        </w:rPr>
      </w:pPr>
      <w:r>
        <w:rPr>
          <w:rStyle w:val="FootnoteReference"/>
        </w:rPr>
        <w:footnoteRef/>
      </w:r>
      <w:r>
        <w:t xml:space="preserve"> </w:t>
      </w:r>
      <w:r w:rsidR="0090552A" w:rsidRPr="0090552A">
        <w:t>Australian Bureau of Statistics (</w:t>
      </w:r>
      <w:r w:rsidR="001832FC">
        <w:t>ABS)</w:t>
      </w:r>
      <w:r w:rsidR="00542C7F">
        <w:t>,</w:t>
      </w:r>
      <w:r w:rsidR="0090552A" w:rsidRPr="0090552A">
        <w:t xml:space="preserve"> </w:t>
      </w:r>
      <w:hyperlink r:id="rId2" w:history="1">
        <w:r w:rsidR="0090552A" w:rsidRPr="00FB7479">
          <w:rPr>
            <w:rStyle w:val="Hyperlink"/>
            <w:i/>
            <w:iCs/>
          </w:rPr>
          <w:t>Disability Ageing and Carers, Australia: Australian Capital Territory, 2018</w:t>
        </w:r>
      </w:hyperlink>
      <w:r w:rsidR="0090552A" w:rsidRPr="0090552A">
        <w:t xml:space="preserve">. ABS: Canberra, Australia, </w:t>
      </w:r>
      <w:r w:rsidR="00C74F39">
        <w:t xml:space="preserve">2019, </w:t>
      </w:r>
      <w:r w:rsidR="0090552A" w:rsidRPr="0090552A">
        <w:t xml:space="preserve">Table </w:t>
      </w:r>
      <w:r w:rsidR="0059386B">
        <w:t>7.1</w:t>
      </w:r>
    </w:p>
  </w:footnote>
  <w:footnote w:id="4">
    <w:p w14:paraId="4217C747" w14:textId="7896AF31" w:rsidR="00BD6375" w:rsidRPr="00BD6375" w:rsidRDefault="00BD6375">
      <w:pPr>
        <w:pStyle w:val="FootnoteText"/>
        <w:rPr>
          <w:lang w:val="en-GB"/>
        </w:rPr>
      </w:pPr>
      <w:r>
        <w:rPr>
          <w:rStyle w:val="FootnoteReference"/>
        </w:rPr>
        <w:footnoteRef/>
      </w:r>
      <w:r>
        <w:t xml:space="preserve"> </w:t>
      </w:r>
      <w:r w:rsidR="00023C27" w:rsidRPr="0090552A">
        <w:t>A</w:t>
      </w:r>
      <w:r w:rsidR="001D1186">
        <w:t>BS</w:t>
      </w:r>
      <w:r w:rsidR="008C37F8">
        <w:rPr>
          <w:i/>
          <w:iCs/>
        </w:rPr>
        <w:t>,</w:t>
      </w:r>
      <w:r w:rsidR="00C74F39">
        <w:rPr>
          <w:i/>
          <w:iCs/>
        </w:rPr>
        <w:t xml:space="preserve"> Disability Ageing and Carers, Australia, </w:t>
      </w:r>
      <w:r w:rsidR="00C74F39">
        <w:t>Ta</w:t>
      </w:r>
      <w:r w:rsidR="00023C27" w:rsidRPr="0090552A">
        <w:t xml:space="preserve">ble </w:t>
      </w:r>
      <w:r w:rsidR="00023C27">
        <w:t>8.3</w:t>
      </w:r>
    </w:p>
  </w:footnote>
  <w:footnote w:id="5">
    <w:p w14:paraId="1889DC0A" w14:textId="2ED50CF9" w:rsidR="00BD6375" w:rsidRPr="00BD6375" w:rsidRDefault="00BD6375">
      <w:pPr>
        <w:pStyle w:val="FootnoteText"/>
        <w:rPr>
          <w:lang w:val="en-GB"/>
        </w:rPr>
      </w:pPr>
      <w:r>
        <w:rPr>
          <w:rStyle w:val="FootnoteReference"/>
        </w:rPr>
        <w:footnoteRef/>
      </w:r>
      <w:r>
        <w:t xml:space="preserve"> </w:t>
      </w:r>
      <w:r w:rsidR="00ED37B1" w:rsidRPr="0090552A">
        <w:t>A</w:t>
      </w:r>
      <w:r w:rsidR="00ED37B1">
        <w:t>BS</w:t>
      </w:r>
      <w:r w:rsidR="00ED37B1">
        <w:rPr>
          <w:i/>
          <w:iCs/>
        </w:rPr>
        <w:t xml:space="preserve">, Disability Ageing and Carers, Australia, </w:t>
      </w:r>
      <w:r w:rsidR="00ED37B1">
        <w:t>Ta</w:t>
      </w:r>
      <w:r w:rsidR="00ED37B1" w:rsidRPr="0090552A">
        <w:t xml:space="preserve">ble </w:t>
      </w:r>
      <w:r w:rsidR="00ED37B1">
        <w:t>8.3</w:t>
      </w:r>
    </w:p>
  </w:footnote>
  <w:footnote w:id="6">
    <w:p w14:paraId="09F90E18" w14:textId="5AEBC065" w:rsidR="00B876B4" w:rsidRPr="00B876B4" w:rsidRDefault="00B876B4">
      <w:pPr>
        <w:pStyle w:val="FootnoteText"/>
        <w:rPr>
          <w:lang w:val="en-GB"/>
        </w:rPr>
      </w:pPr>
      <w:r>
        <w:rPr>
          <w:rStyle w:val="FootnoteReference"/>
        </w:rPr>
        <w:footnoteRef/>
      </w:r>
      <w:r>
        <w:t xml:space="preserve"> </w:t>
      </w:r>
      <w:r w:rsidR="00F1440B" w:rsidRPr="00F1440B">
        <w:t>Australian Institute of Health and Welfare (</w:t>
      </w:r>
      <w:r w:rsidR="00ED37B1">
        <w:t>AIHW</w:t>
      </w:r>
      <w:r w:rsidR="00F1440B" w:rsidRPr="00F1440B">
        <w:t xml:space="preserve">) </w:t>
      </w:r>
      <w:hyperlink r:id="rId3" w:history="1">
        <w:r w:rsidR="00F1440B" w:rsidRPr="00005134">
          <w:rPr>
            <w:rStyle w:val="Hyperlink"/>
            <w:i/>
            <w:iCs/>
          </w:rPr>
          <w:t>People with disability in Australia 2022</w:t>
        </w:r>
      </w:hyperlink>
      <w:r w:rsidR="00F1440B" w:rsidRPr="00F1440B">
        <w:t xml:space="preserve">, </w:t>
      </w:r>
      <w:r w:rsidR="00ED37B1">
        <w:t xml:space="preserve">AIHW, 2022, </w:t>
      </w:r>
      <w:r w:rsidR="00F1440B" w:rsidRPr="00F1440B">
        <w:t>p. 36</w:t>
      </w:r>
      <w:r w:rsidR="00F1440B">
        <w:t>4.</w:t>
      </w:r>
    </w:p>
  </w:footnote>
  <w:footnote w:id="7">
    <w:p w14:paraId="53A9B8CB" w14:textId="4131460B" w:rsidR="00B876B4" w:rsidRPr="00B876B4" w:rsidRDefault="00B876B4">
      <w:pPr>
        <w:pStyle w:val="FootnoteText"/>
        <w:rPr>
          <w:lang w:val="en-GB"/>
        </w:rPr>
      </w:pPr>
      <w:r>
        <w:rPr>
          <w:rStyle w:val="FootnoteReference"/>
        </w:rPr>
        <w:footnoteRef/>
      </w:r>
      <w:r>
        <w:t xml:space="preserve"> </w:t>
      </w:r>
      <w:r w:rsidR="00BB1C2F">
        <w:t xml:space="preserve">Children and Young People with Disability Australia, </w:t>
      </w:r>
      <w:hyperlink r:id="rId4" w:history="1">
        <w:r w:rsidR="0070025C" w:rsidRPr="00F533D8">
          <w:rPr>
            <w:rStyle w:val="Hyperlink"/>
            <w:i/>
            <w:iCs/>
          </w:rPr>
          <w:t>Drive inclusion and equity for children and young people with disability: Pre-budget 2021–22 submission</w:t>
        </w:r>
      </w:hyperlink>
      <w:r w:rsidR="005910C1">
        <w:t>, 2021</w:t>
      </w:r>
      <w:r w:rsidR="009216B8">
        <w:t xml:space="preserve"> p. 15.</w:t>
      </w:r>
    </w:p>
  </w:footnote>
  <w:footnote w:id="8">
    <w:p w14:paraId="04B895F8" w14:textId="5F84DFDF" w:rsidR="00B2794B" w:rsidRPr="00B2794B" w:rsidRDefault="00B2794B">
      <w:pPr>
        <w:pStyle w:val="FootnoteText"/>
        <w:rPr>
          <w:lang w:val="en-GB"/>
        </w:rPr>
      </w:pPr>
      <w:r>
        <w:rPr>
          <w:rStyle w:val="FootnoteReference"/>
        </w:rPr>
        <w:footnoteRef/>
      </w:r>
      <w:r>
        <w:t xml:space="preserve"> </w:t>
      </w:r>
      <w:r w:rsidR="000A55AD">
        <w:t>Department of Social Services (DSS)</w:t>
      </w:r>
      <w:r w:rsidR="005910C1">
        <w:t>,</w:t>
      </w:r>
      <w:r w:rsidR="000A55AD">
        <w:t xml:space="preserve"> </w:t>
      </w:r>
      <w:hyperlink r:id="rId5" w:history="1">
        <w:r w:rsidR="00CA19E6" w:rsidRPr="00A26899">
          <w:rPr>
            <w:rStyle w:val="Hyperlink"/>
            <w:i/>
            <w:iCs/>
          </w:rPr>
          <w:t>DSS Benefit and Payment Recipient Demographics – June 2023 Quarter</w:t>
        </w:r>
      </w:hyperlink>
      <w:r w:rsidR="006B33FC">
        <w:t xml:space="preserve">. DSS: Canberra, </w:t>
      </w:r>
      <w:r w:rsidR="005910C1">
        <w:t>2023</w:t>
      </w:r>
    </w:p>
  </w:footnote>
  <w:footnote w:id="9">
    <w:p w14:paraId="41ECCFCF" w14:textId="1E964275" w:rsidR="00B2794B" w:rsidRPr="00B2794B" w:rsidRDefault="00B2794B">
      <w:pPr>
        <w:pStyle w:val="FootnoteText"/>
        <w:rPr>
          <w:lang w:val="en-GB"/>
        </w:rPr>
      </w:pPr>
      <w:r>
        <w:rPr>
          <w:rStyle w:val="FootnoteReference"/>
        </w:rPr>
        <w:footnoteRef/>
      </w:r>
      <w:r>
        <w:t xml:space="preserve"> </w:t>
      </w:r>
      <w:r w:rsidR="00863FC0">
        <w:t>Department of Social Services (DSS)</w:t>
      </w:r>
      <w:r w:rsidR="005910C1">
        <w:t>,</w:t>
      </w:r>
      <w:r w:rsidR="00863FC0">
        <w:t xml:space="preserve"> </w:t>
      </w:r>
      <w:hyperlink r:id="rId6" w:history="1">
        <w:r w:rsidR="00863FC0" w:rsidRPr="00A26899">
          <w:rPr>
            <w:rStyle w:val="Hyperlink"/>
            <w:i/>
            <w:iCs/>
          </w:rPr>
          <w:t>DSS Benefit and Payment Recipient Demographics – June 2023 Quarter</w:t>
        </w:r>
      </w:hyperlink>
      <w:r w:rsidR="005910C1">
        <w:rPr>
          <w:i/>
          <w:iCs/>
        </w:rPr>
        <w:t xml:space="preserve">, </w:t>
      </w:r>
      <w:r w:rsidR="005910C1">
        <w:t>DSS,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C22C" w14:textId="2E185323" w:rsidR="00185393" w:rsidRDefault="003C6458">
    <w:pPr>
      <w:pStyle w:val="Header"/>
    </w:pPr>
    <w:r>
      <w:rPr>
        <w:noProof/>
        <w14:ligatures w14:val="standardContextual"/>
      </w:rPr>
      <w:drawing>
        <wp:anchor distT="0" distB="0" distL="114300" distR="114300" simplePos="0" relativeHeight="251658246" behindDoc="0" locked="0" layoutInCell="1" allowOverlap="1" wp14:anchorId="763A3F40" wp14:editId="1793CC47">
          <wp:simplePos x="0" y="0"/>
          <wp:positionH relativeFrom="column">
            <wp:posOffset>3190875</wp:posOffset>
          </wp:positionH>
          <wp:positionV relativeFrom="paragraph">
            <wp:posOffset>-288290</wp:posOffset>
          </wp:positionV>
          <wp:extent cx="1695450" cy="1095375"/>
          <wp:effectExtent l="0" t="0" r="0" b="9525"/>
          <wp:wrapSquare wrapText="bothSides"/>
          <wp:docPr id="1296379227" name="Picture 1296379227" descr="A logo with blue and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379227" name="Picture 3" descr="A logo with blue and yellow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450" cy="1095375"/>
                  </a:xfrm>
                  <a:prstGeom prst="rect">
                    <a:avLst/>
                  </a:prstGeom>
                </pic:spPr>
              </pic:pic>
            </a:graphicData>
          </a:graphic>
        </wp:anchor>
      </w:drawing>
    </w:r>
    <w:r w:rsidR="00185393">
      <w:rPr>
        <w:noProof/>
      </w:rPr>
      <w:drawing>
        <wp:anchor distT="0" distB="0" distL="114300" distR="114300" simplePos="0" relativeHeight="251658244" behindDoc="0" locked="0" layoutInCell="1" allowOverlap="1" wp14:anchorId="73B70118" wp14:editId="4EB1F300">
          <wp:simplePos x="0" y="0"/>
          <wp:positionH relativeFrom="column">
            <wp:posOffset>4781550</wp:posOffset>
          </wp:positionH>
          <wp:positionV relativeFrom="paragraph">
            <wp:posOffset>-335915</wp:posOffset>
          </wp:positionV>
          <wp:extent cx="1694815" cy="1023620"/>
          <wp:effectExtent l="0" t="0" r="0" b="0"/>
          <wp:wrapSquare wrapText="bothSides"/>
          <wp:docPr id="2021987601" name="Graphic 2021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94815" cy="1023620"/>
                  </a:xfrm>
                  <a:prstGeom prst="rect">
                    <a:avLst/>
                  </a:prstGeom>
                </pic:spPr>
              </pic:pic>
            </a:graphicData>
          </a:graphic>
          <wp14:sizeRelH relativeFrom="page">
            <wp14:pctWidth>0</wp14:pctWidth>
          </wp14:sizeRelH>
          <wp14:sizeRelV relativeFrom="page">
            <wp14:pctHeight>0</wp14:pctHeight>
          </wp14:sizeRelV>
        </wp:anchor>
      </w:drawing>
    </w:r>
    <w:r w:rsidR="00185393">
      <w:rPr>
        <w:b/>
        <w:bCs/>
        <w:noProof/>
        <w:color w:val="FFFFFF" w:themeColor="background1"/>
        <w:sz w:val="80"/>
        <w:szCs w:val="80"/>
      </w:rPr>
      <w:drawing>
        <wp:anchor distT="0" distB="0" distL="114300" distR="114300" simplePos="0" relativeHeight="251658241" behindDoc="1" locked="0" layoutInCell="1" allowOverlap="1" wp14:anchorId="5A53A792" wp14:editId="57DEF1BA">
          <wp:simplePos x="0" y="0"/>
          <wp:positionH relativeFrom="column">
            <wp:posOffset>4781550</wp:posOffset>
          </wp:positionH>
          <wp:positionV relativeFrom="paragraph">
            <wp:posOffset>-334010</wp:posOffset>
          </wp:positionV>
          <wp:extent cx="1707515" cy="1031240"/>
          <wp:effectExtent l="0" t="0" r="0" b="0"/>
          <wp:wrapTight wrapText="bothSides">
            <wp:wrapPolygon edited="0">
              <wp:start x="9318" y="2926"/>
              <wp:lineTo x="3052" y="7714"/>
              <wp:lineTo x="1928" y="8246"/>
              <wp:lineTo x="1607" y="9310"/>
              <wp:lineTo x="1607" y="12236"/>
              <wp:lineTo x="3695" y="16227"/>
              <wp:lineTo x="3374" y="17557"/>
              <wp:lineTo x="9800" y="18621"/>
              <wp:lineTo x="10443" y="18621"/>
              <wp:lineTo x="12049" y="18089"/>
              <wp:lineTo x="17351" y="16759"/>
              <wp:lineTo x="19600" y="11970"/>
              <wp:lineTo x="19921" y="9044"/>
              <wp:lineTo x="18315" y="8246"/>
              <wp:lineTo x="10443" y="7714"/>
              <wp:lineTo x="10443" y="2926"/>
              <wp:lineTo x="9318" y="2926"/>
            </wp:wrapPolygon>
          </wp:wrapTight>
          <wp:docPr id="1137021055" name="Graphic 11370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707515" cy="1031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62AD" w14:textId="57A0CC63" w:rsidR="00185393" w:rsidRDefault="00716600">
    <w:pPr>
      <w:pStyle w:val="Header"/>
    </w:pPr>
    <w:r>
      <w:rPr>
        <w:b/>
        <w:bCs/>
        <w:noProof/>
        <w:color w:val="FFFFFF" w:themeColor="background1"/>
        <w:sz w:val="80"/>
        <w:szCs w:val="80"/>
        <w14:ligatures w14:val="standardContextual"/>
      </w:rPr>
      <w:drawing>
        <wp:anchor distT="0" distB="0" distL="114300" distR="114300" simplePos="0" relativeHeight="251658245" behindDoc="0" locked="0" layoutInCell="1" allowOverlap="1" wp14:anchorId="4ECDD159" wp14:editId="50A0E9FA">
          <wp:simplePos x="0" y="0"/>
          <wp:positionH relativeFrom="column">
            <wp:posOffset>3133725</wp:posOffset>
          </wp:positionH>
          <wp:positionV relativeFrom="paragraph">
            <wp:posOffset>-126365</wp:posOffset>
          </wp:positionV>
          <wp:extent cx="1409700" cy="910590"/>
          <wp:effectExtent l="0" t="0" r="0" b="0"/>
          <wp:wrapSquare wrapText="bothSides"/>
          <wp:docPr id="1040373261" name="Picture 104037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373261" name="Picture 1040373261"/>
                  <pic:cNvPicPr/>
                </pic:nvPicPr>
                <pic:blipFill>
                  <a:blip r:embed="rId1">
                    <a:extLst>
                      <a:ext uri="{28A0092B-C50C-407E-A947-70E740481C1C}">
                        <a14:useLocalDpi xmlns:a14="http://schemas.microsoft.com/office/drawing/2010/main" val="0"/>
                      </a:ext>
                    </a:extLst>
                  </a:blip>
                  <a:stretch>
                    <a:fillRect/>
                  </a:stretch>
                </pic:blipFill>
                <pic:spPr>
                  <a:xfrm>
                    <a:off x="0" y="0"/>
                    <a:ext cx="1409700" cy="910590"/>
                  </a:xfrm>
                  <a:prstGeom prst="rect">
                    <a:avLst/>
                  </a:prstGeom>
                </pic:spPr>
              </pic:pic>
            </a:graphicData>
          </a:graphic>
          <wp14:sizeRelH relativeFrom="margin">
            <wp14:pctWidth>0</wp14:pctWidth>
          </wp14:sizeRelH>
          <wp14:sizeRelV relativeFrom="margin">
            <wp14:pctHeight>0</wp14:pctHeight>
          </wp14:sizeRelV>
        </wp:anchor>
      </w:drawing>
    </w:r>
    <w:r w:rsidR="002C7996" w:rsidRPr="00257D1B">
      <w:rPr>
        <w:b/>
        <w:bCs/>
        <w:noProof/>
        <w:color w:val="FFFFFF" w:themeColor="background1"/>
        <w:sz w:val="80"/>
        <w:szCs w:val="80"/>
      </w:rPr>
      <mc:AlternateContent>
        <mc:Choice Requires="wps">
          <w:drawing>
            <wp:anchor distT="0" distB="0" distL="114300" distR="114300" simplePos="0" relativeHeight="251658240" behindDoc="1" locked="0" layoutInCell="1" allowOverlap="1" wp14:anchorId="75A31B39" wp14:editId="29D38DF8">
              <wp:simplePos x="0" y="0"/>
              <wp:positionH relativeFrom="page">
                <wp:posOffset>-533400</wp:posOffset>
              </wp:positionH>
              <wp:positionV relativeFrom="page">
                <wp:posOffset>-102870</wp:posOffset>
              </wp:positionV>
              <wp:extent cx="8081010" cy="3094355"/>
              <wp:effectExtent l="0" t="0" r="0" b="0"/>
              <wp:wrapNone/>
              <wp:docPr id="1" name="Rectangle 1"/>
              <wp:cNvGraphicFramePr/>
              <a:graphic xmlns:a="http://schemas.openxmlformats.org/drawingml/2006/main">
                <a:graphicData uri="http://schemas.microsoft.com/office/word/2010/wordprocessingShape">
                  <wps:wsp>
                    <wps:cNvSpPr/>
                    <wps:spPr>
                      <a:xfrm>
                        <a:off x="0" y="0"/>
                        <a:ext cx="8081010" cy="3094355"/>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AC23B" id="Rectangle 1" o:spid="_x0000_s1026" style="position:absolute;margin-left:-42pt;margin-top:-8.1pt;width:636.3pt;height:24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" fillcolor="#2d6cb5" stroked="f" strokeweight="1pt">
              <w10:wrap anchorx="page" anchory="page"/>
            </v:rect>
          </w:pict>
        </mc:Fallback>
      </mc:AlternateContent>
    </w:r>
    <w:r w:rsidR="00185393">
      <w:rPr>
        <w:b/>
        <w:bCs/>
        <w:noProof/>
        <w:color w:val="FFFFFF" w:themeColor="background1"/>
        <w:sz w:val="80"/>
        <w:szCs w:val="80"/>
      </w:rPr>
      <w:drawing>
        <wp:anchor distT="0" distB="0" distL="114300" distR="114300" simplePos="0" relativeHeight="251658243" behindDoc="1" locked="0" layoutInCell="1" allowOverlap="1" wp14:anchorId="7AF17DC7" wp14:editId="5149A406">
          <wp:simplePos x="0" y="0"/>
          <wp:positionH relativeFrom="column">
            <wp:posOffset>4467225</wp:posOffset>
          </wp:positionH>
          <wp:positionV relativeFrom="paragraph">
            <wp:posOffset>-164465</wp:posOffset>
          </wp:positionV>
          <wp:extent cx="1707515" cy="1031240"/>
          <wp:effectExtent l="0" t="0" r="0" b="0"/>
          <wp:wrapTight wrapText="bothSides">
            <wp:wrapPolygon edited="0">
              <wp:start x="9318" y="2926"/>
              <wp:lineTo x="3052" y="7714"/>
              <wp:lineTo x="1928" y="8246"/>
              <wp:lineTo x="1607" y="9310"/>
              <wp:lineTo x="1607" y="12236"/>
              <wp:lineTo x="3695" y="16227"/>
              <wp:lineTo x="3374" y="17557"/>
              <wp:lineTo x="9800" y="18621"/>
              <wp:lineTo x="10443" y="18621"/>
              <wp:lineTo x="12049" y="18089"/>
              <wp:lineTo x="17351" y="16759"/>
              <wp:lineTo x="19600" y="11970"/>
              <wp:lineTo x="19921" y="9044"/>
              <wp:lineTo x="18315" y="8246"/>
              <wp:lineTo x="10443" y="7714"/>
              <wp:lineTo x="10443" y="2926"/>
              <wp:lineTo x="9318" y="2926"/>
            </wp:wrapPolygon>
          </wp:wrapTight>
          <wp:docPr id="1491351233" name="Graphic 149135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707515" cy="1031240"/>
                  </a:xfrm>
                  <a:prstGeom prst="rect">
                    <a:avLst/>
                  </a:prstGeom>
                </pic:spPr>
              </pic:pic>
            </a:graphicData>
          </a:graphic>
          <wp14:sizeRelH relativeFrom="page">
            <wp14:pctWidth>0</wp14:pctWidth>
          </wp14:sizeRelH>
          <wp14:sizeRelV relativeFrom="page">
            <wp14:pctHeight>0</wp14:pctHeight>
          </wp14:sizeRelV>
        </wp:anchor>
      </w:drawing>
    </w:r>
    <w:r w:rsidR="00185393">
      <w:rPr>
        <w:noProof/>
        <w:color w:val="31619F"/>
      </w:rPr>
      <w:drawing>
        <wp:anchor distT="0" distB="0" distL="114300" distR="114300" simplePos="0" relativeHeight="251658242" behindDoc="1" locked="0" layoutInCell="1" allowOverlap="1" wp14:anchorId="53C74F70" wp14:editId="238951CD">
          <wp:simplePos x="0" y="0"/>
          <wp:positionH relativeFrom="page">
            <wp:posOffset>0</wp:posOffset>
          </wp:positionH>
          <wp:positionV relativeFrom="page">
            <wp:posOffset>-104775</wp:posOffset>
          </wp:positionV>
          <wp:extent cx="7555414" cy="3094355"/>
          <wp:effectExtent l="0" t="0" r="7620" b="0"/>
          <wp:wrapNone/>
          <wp:docPr id="204225099" name="Graphic 204225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rotWithShape="1">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b="1264"/>
                  <a:stretch/>
                </pic:blipFill>
                <pic:spPr bwMode="auto">
                  <a:xfrm>
                    <a:off x="0" y="0"/>
                    <a:ext cx="7555414" cy="3094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571"/>
    <w:multiLevelType w:val="hybridMultilevel"/>
    <w:tmpl w:val="91803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AFE5CFC"/>
    <w:multiLevelType w:val="hybridMultilevel"/>
    <w:tmpl w:val="9BD6CB0A"/>
    <w:lvl w:ilvl="0" w:tplc="0C090001">
      <w:start w:val="1"/>
      <w:numFmt w:val="bullet"/>
      <w:lvlText w:val=""/>
      <w:lvlJc w:val="left"/>
      <w:pPr>
        <w:ind w:left="360" w:hanging="360"/>
      </w:pPr>
      <w:rPr>
        <w:rFonts w:ascii="Symbol" w:hAnsi="Symbol" w:hint="default"/>
      </w:rPr>
    </w:lvl>
    <w:lvl w:ilvl="1" w:tplc="AE7665E0">
      <w:numFmt w:val="bullet"/>
      <w:lvlText w:val="•"/>
      <w:lvlJc w:val="left"/>
      <w:pPr>
        <w:ind w:left="1440" w:hanging="72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ABE40BC"/>
    <w:multiLevelType w:val="hybridMultilevel"/>
    <w:tmpl w:val="5934B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7A25A13"/>
    <w:multiLevelType w:val="hybridMultilevel"/>
    <w:tmpl w:val="B1F22F10"/>
    <w:lvl w:ilvl="0" w:tplc="1BF62EAA">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E66647A"/>
    <w:multiLevelType w:val="hybridMultilevel"/>
    <w:tmpl w:val="CE5AF0CC"/>
    <w:lvl w:ilvl="0" w:tplc="1BF62EAA">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576" w:hanging="360"/>
      </w:pPr>
      <w:rPr>
        <w:rFonts w:ascii="Courier New" w:hAnsi="Courier New" w:cs="Courier New" w:hint="default"/>
      </w:rPr>
    </w:lvl>
    <w:lvl w:ilvl="2" w:tplc="0C090005" w:tentative="1">
      <w:start w:val="1"/>
      <w:numFmt w:val="bullet"/>
      <w:lvlText w:val=""/>
      <w:lvlJc w:val="left"/>
      <w:pPr>
        <w:ind w:left="1296" w:hanging="360"/>
      </w:pPr>
      <w:rPr>
        <w:rFonts w:ascii="Wingdings" w:hAnsi="Wingdings" w:hint="default"/>
      </w:rPr>
    </w:lvl>
    <w:lvl w:ilvl="3" w:tplc="0C090001" w:tentative="1">
      <w:start w:val="1"/>
      <w:numFmt w:val="bullet"/>
      <w:lvlText w:val=""/>
      <w:lvlJc w:val="left"/>
      <w:pPr>
        <w:ind w:left="2016" w:hanging="360"/>
      </w:pPr>
      <w:rPr>
        <w:rFonts w:ascii="Symbol" w:hAnsi="Symbol" w:hint="default"/>
      </w:rPr>
    </w:lvl>
    <w:lvl w:ilvl="4" w:tplc="0C090003" w:tentative="1">
      <w:start w:val="1"/>
      <w:numFmt w:val="bullet"/>
      <w:lvlText w:val="o"/>
      <w:lvlJc w:val="left"/>
      <w:pPr>
        <w:ind w:left="2736" w:hanging="360"/>
      </w:pPr>
      <w:rPr>
        <w:rFonts w:ascii="Courier New" w:hAnsi="Courier New" w:cs="Courier New" w:hint="default"/>
      </w:rPr>
    </w:lvl>
    <w:lvl w:ilvl="5" w:tplc="0C090005" w:tentative="1">
      <w:start w:val="1"/>
      <w:numFmt w:val="bullet"/>
      <w:lvlText w:val=""/>
      <w:lvlJc w:val="left"/>
      <w:pPr>
        <w:ind w:left="3456" w:hanging="360"/>
      </w:pPr>
      <w:rPr>
        <w:rFonts w:ascii="Wingdings" w:hAnsi="Wingdings" w:hint="default"/>
      </w:rPr>
    </w:lvl>
    <w:lvl w:ilvl="6" w:tplc="0C090001" w:tentative="1">
      <w:start w:val="1"/>
      <w:numFmt w:val="bullet"/>
      <w:lvlText w:val=""/>
      <w:lvlJc w:val="left"/>
      <w:pPr>
        <w:ind w:left="4176" w:hanging="360"/>
      </w:pPr>
      <w:rPr>
        <w:rFonts w:ascii="Symbol" w:hAnsi="Symbol" w:hint="default"/>
      </w:rPr>
    </w:lvl>
    <w:lvl w:ilvl="7" w:tplc="0C090003" w:tentative="1">
      <w:start w:val="1"/>
      <w:numFmt w:val="bullet"/>
      <w:lvlText w:val="o"/>
      <w:lvlJc w:val="left"/>
      <w:pPr>
        <w:ind w:left="4896" w:hanging="360"/>
      </w:pPr>
      <w:rPr>
        <w:rFonts w:ascii="Courier New" w:hAnsi="Courier New" w:cs="Courier New" w:hint="default"/>
      </w:rPr>
    </w:lvl>
    <w:lvl w:ilvl="8" w:tplc="0C090005" w:tentative="1">
      <w:start w:val="1"/>
      <w:numFmt w:val="bullet"/>
      <w:lvlText w:val=""/>
      <w:lvlJc w:val="left"/>
      <w:pPr>
        <w:ind w:left="5616" w:hanging="360"/>
      </w:pPr>
      <w:rPr>
        <w:rFonts w:ascii="Wingdings" w:hAnsi="Wingdings" w:hint="default"/>
      </w:rPr>
    </w:lvl>
  </w:abstractNum>
  <w:num w:numId="1" w16cid:durableId="242377217">
    <w:abstractNumId w:val="4"/>
  </w:num>
  <w:num w:numId="2" w16cid:durableId="1448282321">
    <w:abstractNumId w:val="3"/>
  </w:num>
  <w:num w:numId="3" w16cid:durableId="1762293503">
    <w:abstractNumId w:val="2"/>
  </w:num>
  <w:num w:numId="4" w16cid:durableId="2009287939">
    <w:abstractNumId w:val="0"/>
  </w:num>
  <w:num w:numId="5" w16cid:durableId="29506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93"/>
    <w:rsid w:val="00001B10"/>
    <w:rsid w:val="00005134"/>
    <w:rsid w:val="00015C3D"/>
    <w:rsid w:val="00023C27"/>
    <w:rsid w:val="00064A54"/>
    <w:rsid w:val="00066AB2"/>
    <w:rsid w:val="0006788F"/>
    <w:rsid w:val="00092C1E"/>
    <w:rsid w:val="000A55AD"/>
    <w:rsid w:val="00104DB3"/>
    <w:rsid w:val="0011162E"/>
    <w:rsid w:val="0012113B"/>
    <w:rsid w:val="00135976"/>
    <w:rsid w:val="0016642B"/>
    <w:rsid w:val="00175ABF"/>
    <w:rsid w:val="001804B6"/>
    <w:rsid w:val="001832FC"/>
    <w:rsid w:val="00185393"/>
    <w:rsid w:val="001D1186"/>
    <w:rsid w:val="001D2BF3"/>
    <w:rsid w:val="001D5B5C"/>
    <w:rsid w:val="001F118A"/>
    <w:rsid w:val="00236504"/>
    <w:rsid w:val="002369FC"/>
    <w:rsid w:val="002573D6"/>
    <w:rsid w:val="00264373"/>
    <w:rsid w:val="00266A98"/>
    <w:rsid w:val="00291373"/>
    <w:rsid w:val="002A4446"/>
    <w:rsid w:val="002B4728"/>
    <w:rsid w:val="002B7CD7"/>
    <w:rsid w:val="002C12BC"/>
    <w:rsid w:val="002C6F9A"/>
    <w:rsid w:val="002C7996"/>
    <w:rsid w:val="003017B5"/>
    <w:rsid w:val="00310936"/>
    <w:rsid w:val="003246AA"/>
    <w:rsid w:val="00326B50"/>
    <w:rsid w:val="003470AD"/>
    <w:rsid w:val="00373A88"/>
    <w:rsid w:val="00396CC7"/>
    <w:rsid w:val="003C6458"/>
    <w:rsid w:val="0044139D"/>
    <w:rsid w:val="00442AE5"/>
    <w:rsid w:val="00452B28"/>
    <w:rsid w:val="004769FA"/>
    <w:rsid w:val="004B0E68"/>
    <w:rsid w:val="004E1231"/>
    <w:rsid w:val="00501798"/>
    <w:rsid w:val="00520470"/>
    <w:rsid w:val="00522CDB"/>
    <w:rsid w:val="00542C7F"/>
    <w:rsid w:val="00554DA2"/>
    <w:rsid w:val="005910C1"/>
    <w:rsid w:val="0059386B"/>
    <w:rsid w:val="005B24F9"/>
    <w:rsid w:val="005C670A"/>
    <w:rsid w:val="005E4E36"/>
    <w:rsid w:val="00630881"/>
    <w:rsid w:val="00632C79"/>
    <w:rsid w:val="00656736"/>
    <w:rsid w:val="00660441"/>
    <w:rsid w:val="006703D0"/>
    <w:rsid w:val="00690A67"/>
    <w:rsid w:val="006A4572"/>
    <w:rsid w:val="006B33FC"/>
    <w:rsid w:val="006D1B75"/>
    <w:rsid w:val="0070025C"/>
    <w:rsid w:val="00707E55"/>
    <w:rsid w:val="00716600"/>
    <w:rsid w:val="00721991"/>
    <w:rsid w:val="00726681"/>
    <w:rsid w:val="007375D2"/>
    <w:rsid w:val="0075300E"/>
    <w:rsid w:val="00777E64"/>
    <w:rsid w:val="00792884"/>
    <w:rsid w:val="007A4540"/>
    <w:rsid w:val="007C6AEC"/>
    <w:rsid w:val="007E1D1E"/>
    <w:rsid w:val="007F3648"/>
    <w:rsid w:val="008464C2"/>
    <w:rsid w:val="008573E3"/>
    <w:rsid w:val="00863FC0"/>
    <w:rsid w:val="00864402"/>
    <w:rsid w:val="008644D9"/>
    <w:rsid w:val="00893E63"/>
    <w:rsid w:val="008B2A19"/>
    <w:rsid w:val="008C37F8"/>
    <w:rsid w:val="0090552A"/>
    <w:rsid w:val="009216B8"/>
    <w:rsid w:val="00926528"/>
    <w:rsid w:val="00947BB5"/>
    <w:rsid w:val="00954B14"/>
    <w:rsid w:val="00956017"/>
    <w:rsid w:val="0097181D"/>
    <w:rsid w:val="0097403C"/>
    <w:rsid w:val="009D39DC"/>
    <w:rsid w:val="009F5EAE"/>
    <w:rsid w:val="00A26899"/>
    <w:rsid w:val="00A472AE"/>
    <w:rsid w:val="00AC4EF1"/>
    <w:rsid w:val="00AF4B57"/>
    <w:rsid w:val="00B21F3B"/>
    <w:rsid w:val="00B2794B"/>
    <w:rsid w:val="00B715F9"/>
    <w:rsid w:val="00B72D5C"/>
    <w:rsid w:val="00B74794"/>
    <w:rsid w:val="00B876B4"/>
    <w:rsid w:val="00B9059C"/>
    <w:rsid w:val="00BB1BDF"/>
    <w:rsid w:val="00BB1C2F"/>
    <w:rsid w:val="00BD6375"/>
    <w:rsid w:val="00BD7610"/>
    <w:rsid w:val="00BE311A"/>
    <w:rsid w:val="00C32CE4"/>
    <w:rsid w:val="00C33C33"/>
    <w:rsid w:val="00C4214F"/>
    <w:rsid w:val="00C4308B"/>
    <w:rsid w:val="00C51D43"/>
    <w:rsid w:val="00C74F39"/>
    <w:rsid w:val="00CA19E6"/>
    <w:rsid w:val="00CD3AFB"/>
    <w:rsid w:val="00D011EF"/>
    <w:rsid w:val="00D23998"/>
    <w:rsid w:val="00D35E42"/>
    <w:rsid w:val="00D678BA"/>
    <w:rsid w:val="00D73D72"/>
    <w:rsid w:val="00DA2967"/>
    <w:rsid w:val="00DB32C2"/>
    <w:rsid w:val="00DC10D7"/>
    <w:rsid w:val="00E25DD6"/>
    <w:rsid w:val="00E66EFA"/>
    <w:rsid w:val="00E7285A"/>
    <w:rsid w:val="00E9387E"/>
    <w:rsid w:val="00EA7294"/>
    <w:rsid w:val="00EC43A9"/>
    <w:rsid w:val="00EC48DC"/>
    <w:rsid w:val="00ED37B1"/>
    <w:rsid w:val="00EE6DF4"/>
    <w:rsid w:val="00EF188B"/>
    <w:rsid w:val="00F0196A"/>
    <w:rsid w:val="00F05AC7"/>
    <w:rsid w:val="00F1440B"/>
    <w:rsid w:val="00F533D8"/>
    <w:rsid w:val="00F553F8"/>
    <w:rsid w:val="00F56221"/>
    <w:rsid w:val="00F5794E"/>
    <w:rsid w:val="00F6381D"/>
    <w:rsid w:val="00F6464E"/>
    <w:rsid w:val="00F854DE"/>
    <w:rsid w:val="00FB74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BD2E"/>
  <w15:chartTrackingRefBased/>
  <w15:docId w15:val="{1734D667-E2AA-4E86-8347-259DEE0B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93"/>
    <w:pPr>
      <w:spacing w:after="0" w:line="240" w:lineRule="auto"/>
    </w:pPr>
    <w:rPr>
      <w:rFonts w:ascii="Arial" w:hAnsi="Arial" w:cs="Times New Roman (Body CS)"/>
      <w:kern w:val="0"/>
      <w:sz w:val="24"/>
      <w:szCs w:val="24"/>
      <w14:ligatures w14:val="none"/>
    </w:rPr>
  </w:style>
  <w:style w:type="paragraph" w:styleId="Heading1">
    <w:name w:val="heading 1"/>
    <w:basedOn w:val="Normal"/>
    <w:next w:val="Normal"/>
    <w:link w:val="Heading1Char"/>
    <w:uiPriority w:val="9"/>
    <w:qFormat/>
    <w:rsid w:val="00185393"/>
    <w:pPr>
      <w:spacing w:after="360"/>
      <w:outlineLvl w:val="0"/>
    </w:pPr>
    <w:rPr>
      <w:b/>
      <w:bCs/>
      <w:color w:val="FFF7E1"/>
      <w:sz w:val="70"/>
      <w:szCs w:val="70"/>
    </w:rPr>
  </w:style>
  <w:style w:type="paragraph" w:styleId="Heading2">
    <w:name w:val="heading 2"/>
    <w:basedOn w:val="Normal"/>
    <w:next w:val="Normal"/>
    <w:link w:val="Heading2Char"/>
    <w:uiPriority w:val="9"/>
    <w:semiHidden/>
    <w:unhideWhenUsed/>
    <w:qFormat/>
    <w:rsid w:val="001853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45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393"/>
    <w:pPr>
      <w:tabs>
        <w:tab w:val="center" w:pos="4513"/>
        <w:tab w:val="right" w:pos="9026"/>
      </w:tabs>
    </w:pPr>
  </w:style>
  <w:style w:type="character" w:customStyle="1" w:styleId="HeaderChar">
    <w:name w:val="Header Char"/>
    <w:basedOn w:val="DefaultParagraphFont"/>
    <w:link w:val="Header"/>
    <w:uiPriority w:val="99"/>
    <w:rsid w:val="00185393"/>
  </w:style>
  <w:style w:type="paragraph" w:styleId="Footer">
    <w:name w:val="footer"/>
    <w:basedOn w:val="Normal"/>
    <w:link w:val="FooterChar"/>
    <w:uiPriority w:val="99"/>
    <w:unhideWhenUsed/>
    <w:rsid w:val="00185393"/>
    <w:pPr>
      <w:tabs>
        <w:tab w:val="center" w:pos="4513"/>
        <w:tab w:val="right" w:pos="9026"/>
      </w:tabs>
    </w:pPr>
  </w:style>
  <w:style w:type="character" w:customStyle="1" w:styleId="FooterChar">
    <w:name w:val="Footer Char"/>
    <w:basedOn w:val="DefaultParagraphFont"/>
    <w:link w:val="Footer"/>
    <w:uiPriority w:val="99"/>
    <w:rsid w:val="00185393"/>
  </w:style>
  <w:style w:type="character" w:customStyle="1" w:styleId="Heading1Char">
    <w:name w:val="Heading 1 Char"/>
    <w:basedOn w:val="DefaultParagraphFont"/>
    <w:link w:val="Heading1"/>
    <w:uiPriority w:val="9"/>
    <w:rsid w:val="00185393"/>
    <w:rPr>
      <w:rFonts w:ascii="Arial" w:hAnsi="Arial" w:cs="Times New Roman (Body CS)"/>
      <w:b/>
      <w:bCs/>
      <w:color w:val="FFF7E1"/>
      <w:kern w:val="0"/>
      <w:sz w:val="70"/>
      <w:szCs w:val="70"/>
      <w14:ligatures w14:val="none"/>
    </w:rPr>
  </w:style>
  <w:style w:type="paragraph" w:customStyle="1" w:styleId="DocumentSubtitle">
    <w:name w:val="Document Subtitle"/>
    <w:basedOn w:val="Normal"/>
    <w:qFormat/>
    <w:rsid w:val="00185393"/>
    <w:rPr>
      <w:color w:val="FFFFFF" w:themeColor="background1"/>
      <w:sz w:val="40"/>
      <w:szCs w:val="40"/>
    </w:rPr>
  </w:style>
  <w:style w:type="character" w:customStyle="1" w:styleId="Heading2Char">
    <w:name w:val="Heading 2 Char"/>
    <w:basedOn w:val="DefaultParagraphFont"/>
    <w:link w:val="Heading2"/>
    <w:uiPriority w:val="9"/>
    <w:semiHidden/>
    <w:rsid w:val="0018539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185393"/>
    <w:rPr>
      <w:sz w:val="20"/>
      <w:szCs w:val="20"/>
    </w:rPr>
  </w:style>
  <w:style w:type="character" w:customStyle="1" w:styleId="FootnoteTextChar">
    <w:name w:val="Footnote Text Char"/>
    <w:basedOn w:val="DefaultParagraphFont"/>
    <w:link w:val="FootnoteText"/>
    <w:uiPriority w:val="99"/>
    <w:semiHidden/>
    <w:rsid w:val="00185393"/>
    <w:rPr>
      <w:rFonts w:ascii="Arial" w:hAnsi="Arial" w:cs="Times New Roman (Body CS)"/>
      <w:kern w:val="0"/>
      <w:sz w:val="20"/>
      <w:szCs w:val="20"/>
      <w14:ligatures w14:val="none"/>
    </w:rPr>
  </w:style>
  <w:style w:type="character" w:styleId="FootnoteReference">
    <w:name w:val="footnote reference"/>
    <w:basedOn w:val="DefaultParagraphFont"/>
    <w:uiPriority w:val="99"/>
    <w:semiHidden/>
    <w:unhideWhenUsed/>
    <w:rsid w:val="00185393"/>
    <w:rPr>
      <w:vertAlign w:val="superscript"/>
    </w:rPr>
  </w:style>
  <w:style w:type="character" w:styleId="Hyperlink">
    <w:name w:val="Hyperlink"/>
    <w:basedOn w:val="DefaultParagraphFont"/>
    <w:uiPriority w:val="99"/>
    <w:unhideWhenUsed/>
    <w:rsid w:val="00185393"/>
    <w:rPr>
      <w:color w:val="0563C1" w:themeColor="hyperlink"/>
      <w:u w:val="single"/>
    </w:rPr>
  </w:style>
  <w:style w:type="paragraph" w:customStyle="1" w:styleId="ParagraphHighlight">
    <w:name w:val="Paragraph Highlight"/>
    <w:basedOn w:val="Normal"/>
    <w:uiPriority w:val="99"/>
    <w:rsid w:val="00185393"/>
    <w:pPr>
      <w:autoSpaceDE w:val="0"/>
      <w:autoSpaceDN w:val="0"/>
      <w:adjustRightInd w:val="0"/>
      <w:spacing w:after="227" w:line="320" w:lineRule="atLeast"/>
      <w:textAlignment w:val="center"/>
    </w:pPr>
    <w:rPr>
      <w:rFonts w:cs="Arial"/>
      <w:color w:val="000000"/>
      <w:sz w:val="23"/>
      <w:szCs w:val="23"/>
      <w:lang w:val="en-US"/>
    </w:rPr>
  </w:style>
  <w:style w:type="table" w:styleId="TableGrid">
    <w:name w:val="Table Grid"/>
    <w:basedOn w:val="TableNormal"/>
    <w:uiPriority w:val="39"/>
    <w:rsid w:val="00185393"/>
    <w:pPr>
      <w:spacing w:after="0" w:line="240" w:lineRule="auto"/>
    </w:pPr>
    <w:rPr>
      <w:rFonts w:ascii="Arial" w:hAnsi="Arial" w:cs="Times New Roman (Body CS)"/>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5393"/>
    <w:rPr>
      <w:color w:val="605E5C"/>
      <w:shd w:val="clear" w:color="auto" w:fill="E1DFDD"/>
    </w:rPr>
  </w:style>
  <w:style w:type="table" w:customStyle="1" w:styleId="Table1">
    <w:name w:val="Table 1"/>
    <w:basedOn w:val="TableNormal"/>
    <w:uiPriority w:val="99"/>
    <w:rsid w:val="00185393"/>
    <w:pPr>
      <w:spacing w:before="120" w:after="120" w:line="240" w:lineRule="auto"/>
    </w:pPr>
    <w:rPr>
      <w:rFonts w:ascii="Arial" w:hAnsi="Arial" w:cs="Times New Roman (Body CS)"/>
      <w:kern w:val="0"/>
      <w:sz w:val="18"/>
      <w:szCs w:val="24"/>
      <w14:ligatures w14:val="none"/>
    </w:rPr>
    <w:tblPr>
      <w:tblBorders>
        <w:insideH w:val="single" w:sz="6" w:space="0" w:color="2D6CB5"/>
      </w:tblBorders>
    </w:tblPr>
    <w:tcPr>
      <w:vAlign w:val="center"/>
    </w:tcPr>
    <w:tblStylePr w:type="firstRow">
      <w:rPr>
        <w:rFonts w:ascii="Arial" w:hAnsi="Arial"/>
        <w:b/>
        <w:color w:val="FFFFFF"/>
        <w:sz w:val="18"/>
      </w:rPr>
      <w:tblPr/>
      <w:tcPr>
        <w:shd w:val="clear" w:color="auto" w:fill="2D6CB5"/>
      </w:tcPr>
    </w:tblStylePr>
  </w:style>
  <w:style w:type="paragraph" w:styleId="ListParagraph">
    <w:name w:val="List Paragraph"/>
    <w:basedOn w:val="Normal"/>
    <w:uiPriority w:val="34"/>
    <w:qFormat/>
    <w:rsid w:val="00185393"/>
    <w:pPr>
      <w:ind w:left="720"/>
      <w:contextualSpacing/>
    </w:pPr>
  </w:style>
  <w:style w:type="paragraph" w:customStyle="1" w:styleId="Caption1">
    <w:name w:val="Caption1"/>
    <w:basedOn w:val="Normal"/>
    <w:next w:val="Normal"/>
    <w:uiPriority w:val="35"/>
    <w:unhideWhenUsed/>
    <w:qFormat/>
    <w:rsid w:val="00326B50"/>
    <w:pPr>
      <w:spacing w:after="200"/>
    </w:pPr>
    <w:rPr>
      <w:i/>
      <w:iCs/>
      <w:color w:val="44546A"/>
      <w:sz w:val="18"/>
      <w:szCs w:val="18"/>
    </w:rPr>
  </w:style>
  <w:style w:type="character" w:customStyle="1" w:styleId="Heading3Char">
    <w:name w:val="Heading 3 Char"/>
    <w:basedOn w:val="DefaultParagraphFont"/>
    <w:link w:val="Heading3"/>
    <w:uiPriority w:val="9"/>
    <w:semiHidden/>
    <w:rsid w:val="007A4540"/>
    <w:rPr>
      <w:rFonts w:asciiTheme="majorHAnsi" w:eastAsiaTheme="majorEastAsia" w:hAnsiTheme="majorHAnsi" w:cstheme="majorBidi"/>
      <w:color w:val="1F3763" w:themeColor="accent1" w:themeShade="7F"/>
      <w:kern w:val="0"/>
      <w:sz w:val="24"/>
      <w:szCs w:val="24"/>
      <w14:ligatures w14:val="none"/>
    </w:rPr>
  </w:style>
  <w:style w:type="table" w:customStyle="1" w:styleId="Table11">
    <w:name w:val="Table 11"/>
    <w:basedOn w:val="TableNormal"/>
    <w:uiPriority w:val="99"/>
    <w:rsid w:val="00B715F9"/>
    <w:pPr>
      <w:spacing w:before="120" w:after="120" w:line="240" w:lineRule="auto"/>
    </w:pPr>
    <w:rPr>
      <w:rFonts w:ascii="Arial" w:hAnsi="Arial" w:cs="Times New Roman (Body CS)"/>
      <w:kern w:val="0"/>
      <w:sz w:val="18"/>
      <w:szCs w:val="24"/>
      <w14:ligatures w14:val="none"/>
    </w:rPr>
    <w:tblPr>
      <w:tblBorders>
        <w:insideH w:val="single" w:sz="6" w:space="0" w:color="2D6CB5"/>
      </w:tblBorders>
    </w:tblPr>
    <w:tcPr>
      <w:vAlign w:val="center"/>
    </w:tcPr>
    <w:tblStylePr w:type="firstRow">
      <w:rPr>
        <w:rFonts w:ascii="Arial" w:hAnsi="Arial"/>
        <w:b/>
        <w:color w:val="FFFFFF"/>
        <w:sz w:val="18"/>
      </w:rPr>
      <w:tblPr/>
      <w:tcPr>
        <w:shd w:val="clear" w:color="auto" w:fill="2D6CB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ctcoss.org.au/publication/anti-poverty-week-202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aisetherateforgood.good.do/report/email-M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ctcoss.org.au/wp-content/uploads/2023/06/2023-ACT-Cost-of-Living-Report.pdfhttps:/actcoss.org.au/wp-content/uploads/2023/06/2023-ACT-Cost-of-Living-Report.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dvocacyforinclusion.org/white-paper-on-income-support/"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raisetherate.org.au/joi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disability/people-with-disability-in-australia-2022-in-brief/contents/summary" TargetMode="External"/><Relationship Id="rId2" Type="http://schemas.openxmlformats.org/officeDocument/2006/relationships/hyperlink" Target="https://www.abs.gov.au/statistics/health/disability/disability-ageing-and-carers-australia-summary-findings/latest-release" TargetMode="External"/><Relationship Id="rId1" Type="http://schemas.openxmlformats.org/officeDocument/2006/relationships/hyperlink" Target="https://www.oecd-ilibrary.org/social-issues-migration-health/sickness-disability-and-work-breaking-the-barriers_9789264088856-en" TargetMode="External"/><Relationship Id="rId6" Type="http://schemas.openxmlformats.org/officeDocument/2006/relationships/hyperlink" Target="https://www.data.gov.au/dataset/ds-dga-cff2ae8a-55e4-47db-a66d-e177fe0ac6a0/distribution/dist-dga-7a6457a8-44a3-406c-b552-62eb0fef9d66/details?q=" TargetMode="External"/><Relationship Id="rId5" Type="http://schemas.openxmlformats.org/officeDocument/2006/relationships/hyperlink" Target="https://www.data.gov.au/dataset/ds-dga-cff2ae8a-55e4-47db-a66d-e177fe0ac6a0/distribution/dist-dga-7a6457a8-44a3-406c-b552-62eb0fef9d66/details?q=" TargetMode="External"/><Relationship Id="rId4" Type="http://schemas.openxmlformats.org/officeDocument/2006/relationships/hyperlink" Target="https://treasury.gov.au/sites/default/files/2021-05/171663_children_and_young_people_with_disability_australia.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sv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image" Target="media/image12.svg"/><Relationship Id="rId4"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12.svg"/><Relationship Id="rId2" Type="http://schemas.openxmlformats.org/officeDocument/2006/relationships/image" Target="media/image11.png"/><Relationship Id="rId1" Type="http://schemas.openxmlformats.org/officeDocument/2006/relationships/image" Target="media/image13.png"/><Relationship Id="rId5" Type="http://schemas.openxmlformats.org/officeDocument/2006/relationships/image" Target="media/image15.svg"/><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Notes xmlns="32918964-d11d-4bda-ba04-9b8184f6a1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7F33-7A84-4F32-9485-66B66B0C8B7E}">
  <ds:schemaRefs>
    <ds:schemaRef ds:uri="http://www.w3.org/XML/1998/namespace"/>
    <ds:schemaRef ds:uri="ef2741e4-cc31-428c-aca2-d2da616e4ed0"/>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32918964-d11d-4bda-ba04-9b8184f6a173"/>
    <ds:schemaRef ds:uri="http://purl.org/dc/dcmitype/"/>
    <ds:schemaRef ds:uri="http://purl.org/dc/elements/1.1/"/>
  </ds:schemaRefs>
</ds:datastoreItem>
</file>

<file path=customXml/itemProps2.xml><?xml version="1.0" encoding="utf-8"?>
<ds:datastoreItem xmlns:ds="http://schemas.openxmlformats.org/officeDocument/2006/customXml" ds:itemID="{55AC8C22-AEF6-43E9-BA18-6A9AFCC51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2EA87-3431-4419-8734-30370DCE4DB5}">
  <ds:schemaRefs>
    <ds:schemaRef ds:uri="http://schemas.microsoft.com/sharepoint/v3/contenttype/forms"/>
  </ds:schemaRefs>
</ds:datastoreItem>
</file>

<file path=customXml/itemProps4.xml><?xml version="1.0" encoding="utf-8"?>
<ds:datastoreItem xmlns:ds="http://schemas.openxmlformats.org/officeDocument/2006/customXml" ds:itemID="{938BCE3E-ED50-409C-931C-21EDB210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 Daruwalla</dc:creator>
  <cp:keywords/>
  <dc:description/>
  <cp:lastModifiedBy>Avan Daruwalla</cp:lastModifiedBy>
  <cp:revision>2</cp:revision>
  <cp:lastPrinted>2023-10-10T08:41:00Z</cp:lastPrinted>
  <dcterms:created xsi:type="dcterms:W3CDTF">2023-10-16T01:35:00Z</dcterms:created>
  <dcterms:modified xsi:type="dcterms:W3CDTF">2023-10-16T01:35:00Z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0x010100A393A2617EF7DB41893826E3ECAAB324</vt:lpwstr>
  </property>
</Properties>
</file>