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688D0" w14:textId="77777777" w:rsidR="000F02B6" w:rsidRDefault="000F02B6" w:rsidP="001F7C4E">
      <w:pPr>
        <w:spacing w:after="0"/>
        <w:ind w:right="-8"/>
        <w:rPr>
          <w:rFonts w:cs="Arial"/>
          <w:szCs w:val="20"/>
        </w:rPr>
      </w:pPr>
      <w:r w:rsidRPr="000F02B6">
        <w:rPr>
          <w:rFonts w:cs="Arial"/>
          <w:szCs w:val="20"/>
        </w:rPr>
        <w:t>Standing Committee on Justice and Community Safety</w:t>
      </w:r>
    </w:p>
    <w:p w14:paraId="620E4247" w14:textId="77777777" w:rsidR="000F02B6" w:rsidRDefault="000F02B6" w:rsidP="001F7C4E">
      <w:pPr>
        <w:spacing w:after="0"/>
        <w:ind w:right="-8"/>
        <w:rPr>
          <w:rFonts w:cs="Arial"/>
          <w:szCs w:val="20"/>
        </w:rPr>
      </w:pPr>
      <w:r w:rsidRPr="000F02B6">
        <w:rPr>
          <w:rFonts w:cs="Arial"/>
          <w:szCs w:val="20"/>
        </w:rPr>
        <w:t>ACT Legislative Assembly</w:t>
      </w:r>
    </w:p>
    <w:p w14:paraId="26404CC5" w14:textId="77777777" w:rsidR="000F02B6" w:rsidRDefault="000F02B6" w:rsidP="001F7C4E">
      <w:pPr>
        <w:spacing w:after="0"/>
        <w:ind w:right="-8"/>
        <w:rPr>
          <w:rFonts w:cs="Arial"/>
          <w:szCs w:val="20"/>
        </w:rPr>
      </w:pPr>
      <w:r w:rsidRPr="000F02B6">
        <w:rPr>
          <w:rFonts w:cs="Arial"/>
          <w:szCs w:val="20"/>
        </w:rPr>
        <w:t xml:space="preserve">GPO Box 1020, Canberra ACT 2601 </w:t>
      </w:r>
    </w:p>
    <w:p w14:paraId="27210170" w14:textId="5D020476" w:rsidR="00B77E46" w:rsidRPr="009903E4" w:rsidRDefault="007F2D88" w:rsidP="001F7C4E">
      <w:pPr>
        <w:spacing w:after="0"/>
        <w:ind w:right="-8"/>
        <w:rPr>
          <w:rFonts w:cs="Arial"/>
          <w:szCs w:val="20"/>
        </w:rPr>
      </w:pPr>
      <w:hyperlink r:id="rId11" w:history="1">
        <w:r w:rsidR="001F7C4E" w:rsidRPr="006B1F6E">
          <w:rPr>
            <w:rStyle w:val="Hyperlink"/>
            <w:rFonts w:cs="Arial"/>
            <w:szCs w:val="20"/>
          </w:rPr>
          <w:t>LACommitteeJCS@parliament.act.gov.au</w:t>
        </w:r>
      </w:hyperlink>
      <w:r w:rsidR="001F7C4E">
        <w:rPr>
          <w:rFonts w:cs="Arial"/>
          <w:szCs w:val="20"/>
        </w:rPr>
        <w:t xml:space="preserve"> </w:t>
      </w:r>
    </w:p>
    <w:p w14:paraId="39DFD895" w14:textId="77777777" w:rsidR="00B50635" w:rsidRPr="009903E4" w:rsidRDefault="00B50635" w:rsidP="00B50635">
      <w:pPr>
        <w:rPr>
          <w:rFonts w:cs="Arial"/>
          <w:szCs w:val="20"/>
        </w:rPr>
      </w:pPr>
    </w:p>
    <w:p w14:paraId="5B84AE35" w14:textId="4360790E" w:rsidR="00B50635" w:rsidRPr="009903E4" w:rsidRDefault="003753CE" w:rsidP="00B50635">
      <w:pPr>
        <w:rPr>
          <w:rFonts w:cs="Arial"/>
          <w:szCs w:val="20"/>
        </w:rPr>
      </w:pPr>
      <w:r>
        <w:rPr>
          <w:rFonts w:cs="Arial"/>
          <w:szCs w:val="20"/>
        </w:rPr>
        <w:t>8 December 2023</w:t>
      </w:r>
      <w:r w:rsidR="00B50635">
        <w:rPr>
          <w:rFonts w:cs="Arial"/>
          <w:szCs w:val="20"/>
        </w:rPr>
        <w:fldChar w:fldCharType="begin"/>
      </w:r>
      <w:r w:rsidR="00B50635">
        <w:rPr>
          <w:rFonts w:cs="Arial"/>
          <w:szCs w:val="20"/>
        </w:rPr>
        <w:instrText xml:space="preserve"> DATE \@ "d MMMM yyyy" </w:instrText>
      </w:r>
      <w:r w:rsidR="00B50635">
        <w:rPr>
          <w:rFonts w:cs="Arial"/>
          <w:szCs w:val="20"/>
        </w:rPr>
        <w:fldChar w:fldCharType="separate"/>
      </w:r>
      <w:r w:rsidR="00B50635">
        <w:rPr>
          <w:rFonts w:cs="Arial"/>
          <w:szCs w:val="20"/>
        </w:rPr>
        <w:fldChar w:fldCharType="end"/>
      </w:r>
    </w:p>
    <w:p w14:paraId="0C1C1E8B" w14:textId="67CC430C" w:rsidR="00B50635" w:rsidRDefault="00B50635" w:rsidP="00B50635">
      <w:pPr>
        <w:rPr>
          <w:rFonts w:cs="Arial"/>
          <w:szCs w:val="20"/>
        </w:rPr>
      </w:pPr>
      <w:commentRangeStart w:id="0"/>
      <w:commentRangeStart w:id="1"/>
      <w:r w:rsidRPr="009903E4">
        <w:rPr>
          <w:rFonts w:cs="Arial"/>
          <w:szCs w:val="20"/>
        </w:rPr>
        <w:t xml:space="preserve">Dear </w:t>
      </w:r>
      <w:proofErr w:type="gramStart"/>
      <w:r w:rsidR="00F27CD0">
        <w:rPr>
          <w:rFonts w:cs="Arial"/>
          <w:szCs w:val="20"/>
        </w:rPr>
        <w:t>Committee</w:t>
      </w:r>
      <w:commentRangeEnd w:id="0"/>
      <w:proofErr w:type="gramEnd"/>
      <w:r w:rsidR="00AE2AAB">
        <w:rPr>
          <w:rStyle w:val="CommentReference"/>
        </w:rPr>
        <w:commentReference w:id="0"/>
      </w:r>
      <w:commentRangeEnd w:id="1"/>
      <w:r w:rsidR="00AE2AAB">
        <w:rPr>
          <w:rStyle w:val="CommentReference"/>
        </w:rPr>
        <w:commentReference w:id="1"/>
      </w:r>
    </w:p>
    <w:p w14:paraId="32423429" w14:textId="082E46E4" w:rsidR="00F9543D" w:rsidRPr="00F27CD0" w:rsidRDefault="00F27CD0" w:rsidP="00B50635">
      <w:pPr>
        <w:rPr>
          <w:rFonts w:cs="Arial"/>
          <w:b/>
          <w:bCs/>
          <w:szCs w:val="20"/>
        </w:rPr>
      </w:pPr>
      <w:r w:rsidRPr="00F27CD0">
        <w:rPr>
          <w:rFonts w:cs="Arial"/>
          <w:b/>
          <w:bCs/>
          <w:szCs w:val="20"/>
        </w:rPr>
        <w:t>Inquiry into Immediate Trauma Support Services in the ACT</w:t>
      </w:r>
    </w:p>
    <w:p w14:paraId="47DC6D96" w14:textId="248541E7" w:rsidR="004A1574" w:rsidRPr="004A1574" w:rsidRDefault="004A1574" w:rsidP="004A1574">
      <w:pPr>
        <w:rPr>
          <w:rFonts w:cs="Arial"/>
          <w:szCs w:val="20"/>
        </w:rPr>
      </w:pPr>
      <w:r w:rsidRPr="004A1574">
        <w:rPr>
          <w:rFonts w:cs="Arial"/>
          <w:szCs w:val="20"/>
        </w:rPr>
        <w:t xml:space="preserve">As the peak body representing the needs of the community services sector and </w:t>
      </w:r>
      <w:r w:rsidR="004D54BE">
        <w:rPr>
          <w:rFonts w:cs="Arial"/>
          <w:szCs w:val="20"/>
        </w:rPr>
        <w:t xml:space="preserve">people affected by poverty, </w:t>
      </w:r>
      <w:r w:rsidR="00142E0C">
        <w:rPr>
          <w:rFonts w:cs="Arial"/>
          <w:szCs w:val="20"/>
        </w:rPr>
        <w:t>disadvantage</w:t>
      </w:r>
      <w:r w:rsidR="004D54BE">
        <w:rPr>
          <w:rFonts w:cs="Arial"/>
          <w:szCs w:val="20"/>
        </w:rPr>
        <w:t xml:space="preserve"> </w:t>
      </w:r>
      <w:r w:rsidRPr="004A1574">
        <w:rPr>
          <w:rFonts w:cs="Arial"/>
          <w:szCs w:val="20"/>
        </w:rPr>
        <w:t xml:space="preserve">in the ACT, the ACT Council of Social Service (ACTCOSS) welcomes the opportunity to provide a submission to the ACT Government’s Inquiry into </w:t>
      </w:r>
      <w:r w:rsidR="00BD4214">
        <w:rPr>
          <w:rFonts w:cs="Arial"/>
          <w:szCs w:val="20"/>
        </w:rPr>
        <w:t>immediate trauma support services in the ACT</w:t>
      </w:r>
      <w:r w:rsidRPr="004A1574">
        <w:rPr>
          <w:rFonts w:cs="Arial"/>
          <w:szCs w:val="20"/>
        </w:rPr>
        <w:t xml:space="preserve">. </w:t>
      </w:r>
    </w:p>
    <w:p w14:paraId="7E73B306" w14:textId="57B80432" w:rsidR="00A854D9" w:rsidRDefault="00DE7234" w:rsidP="24D62FE4">
      <w:pPr>
        <w:rPr>
          <w:rFonts w:cs="Arial"/>
        </w:rPr>
      </w:pPr>
      <w:r w:rsidRPr="24D62FE4">
        <w:rPr>
          <w:rFonts w:cs="Arial"/>
        </w:rPr>
        <w:t>A variety of stressors</w:t>
      </w:r>
      <w:r w:rsidR="00142E0C" w:rsidRPr="24D62FE4">
        <w:rPr>
          <w:rFonts w:cs="Arial"/>
        </w:rPr>
        <w:t>,</w:t>
      </w:r>
      <w:r w:rsidRPr="24D62FE4">
        <w:rPr>
          <w:rFonts w:cs="Arial"/>
        </w:rPr>
        <w:t xml:space="preserve"> including </w:t>
      </w:r>
      <w:r w:rsidR="00E520FD" w:rsidRPr="24D62FE4">
        <w:rPr>
          <w:rFonts w:cs="Arial"/>
        </w:rPr>
        <w:t>COVID-19</w:t>
      </w:r>
      <w:r w:rsidR="004233BF" w:rsidRPr="24D62FE4">
        <w:rPr>
          <w:rFonts w:cs="Arial"/>
        </w:rPr>
        <w:t>,</w:t>
      </w:r>
      <w:r w:rsidR="00E520FD" w:rsidRPr="24D62FE4">
        <w:rPr>
          <w:rFonts w:cs="Arial"/>
        </w:rPr>
        <w:t xml:space="preserve"> myriad natural disasters, a</w:t>
      </w:r>
      <w:r w:rsidR="004233BF" w:rsidRPr="24D62FE4">
        <w:rPr>
          <w:rFonts w:cs="Arial"/>
        </w:rPr>
        <w:t>nd</w:t>
      </w:r>
      <w:r w:rsidR="00E520FD" w:rsidRPr="24D62FE4">
        <w:rPr>
          <w:rFonts w:cs="Arial"/>
        </w:rPr>
        <w:t xml:space="preserve"> housing and cost</w:t>
      </w:r>
      <w:r w:rsidR="004233BF" w:rsidRPr="24D62FE4">
        <w:rPr>
          <w:rFonts w:cs="Arial"/>
        </w:rPr>
        <w:t>-</w:t>
      </w:r>
      <w:r w:rsidR="00E520FD" w:rsidRPr="24D62FE4">
        <w:rPr>
          <w:rFonts w:cs="Arial"/>
        </w:rPr>
        <w:t>of</w:t>
      </w:r>
      <w:r w:rsidR="004233BF" w:rsidRPr="24D62FE4">
        <w:rPr>
          <w:rFonts w:cs="Arial"/>
        </w:rPr>
        <w:t>-</w:t>
      </w:r>
      <w:r w:rsidR="00E520FD" w:rsidRPr="24D62FE4">
        <w:rPr>
          <w:rFonts w:cs="Arial"/>
        </w:rPr>
        <w:t>living crises</w:t>
      </w:r>
      <w:r w:rsidR="00AF59EC" w:rsidRPr="24D62FE4">
        <w:rPr>
          <w:rFonts w:cs="Arial"/>
        </w:rPr>
        <w:t>,</w:t>
      </w:r>
      <w:r w:rsidR="00E520FD" w:rsidRPr="24D62FE4">
        <w:rPr>
          <w:rFonts w:cs="Arial"/>
        </w:rPr>
        <w:t xml:space="preserve"> have </w:t>
      </w:r>
      <w:r w:rsidR="000941D2" w:rsidRPr="24D62FE4">
        <w:rPr>
          <w:rFonts w:cs="Arial"/>
        </w:rPr>
        <w:t xml:space="preserve">exacerbated the need for </w:t>
      </w:r>
      <w:r w:rsidR="00453FC3" w:rsidRPr="24D62FE4">
        <w:rPr>
          <w:rFonts w:cs="Arial"/>
        </w:rPr>
        <w:t>effective wraparound immediate trauma support services</w:t>
      </w:r>
      <w:r w:rsidR="004233BF" w:rsidRPr="24D62FE4">
        <w:rPr>
          <w:rFonts w:cs="Arial"/>
        </w:rPr>
        <w:t xml:space="preserve"> in the ACT</w:t>
      </w:r>
      <w:r w:rsidR="00453FC3" w:rsidRPr="24D62FE4">
        <w:rPr>
          <w:rFonts w:cs="Arial"/>
        </w:rPr>
        <w:t xml:space="preserve">. </w:t>
      </w:r>
      <w:r w:rsidR="006F1E9D" w:rsidRPr="24D62FE4">
        <w:rPr>
          <w:rFonts w:cs="Arial"/>
        </w:rPr>
        <w:t>All</w:t>
      </w:r>
      <w:r w:rsidR="00453FC3" w:rsidRPr="24D62FE4">
        <w:rPr>
          <w:rFonts w:cs="Arial"/>
        </w:rPr>
        <w:t xml:space="preserve"> these </w:t>
      </w:r>
      <w:r w:rsidR="00E742AD" w:rsidRPr="24D62FE4">
        <w:rPr>
          <w:rFonts w:cs="Arial"/>
        </w:rPr>
        <w:t xml:space="preserve">stressors place disproportionate burdens on low-income and </w:t>
      </w:r>
      <w:r w:rsidR="000B2E36" w:rsidRPr="24D62FE4">
        <w:rPr>
          <w:rFonts w:cs="Arial"/>
        </w:rPr>
        <w:t xml:space="preserve">socially </w:t>
      </w:r>
      <w:r w:rsidR="00E742AD" w:rsidRPr="24D62FE4">
        <w:rPr>
          <w:rFonts w:cs="Arial"/>
        </w:rPr>
        <w:t>vulnerable people who</w:t>
      </w:r>
      <w:r w:rsidR="00022F50" w:rsidRPr="24D62FE4">
        <w:rPr>
          <w:rFonts w:cs="Arial"/>
        </w:rPr>
        <w:t xml:space="preserve"> </w:t>
      </w:r>
      <w:r w:rsidR="00525806" w:rsidRPr="24D62FE4">
        <w:rPr>
          <w:rFonts w:cs="Arial"/>
        </w:rPr>
        <w:t>often face insurmountable barriers to recovery from trauma</w:t>
      </w:r>
      <w:r w:rsidR="366DCCC2" w:rsidRPr="24D62FE4">
        <w:rPr>
          <w:rFonts w:cs="Arial"/>
        </w:rPr>
        <w:t xml:space="preserve"> and the </w:t>
      </w:r>
      <w:r w:rsidR="00A50DDF">
        <w:rPr>
          <w:rFonts w:cs="Arial"/>
        </w:rPr>
        <w:t>organisations</w:t>
      </w:r>
      <w:r w:rsidR="366DCCC2" w:rsidRPr="24D62FE4">
        <w:rPr>
          <w:rFonts w:cs="Arial"/>
        </w:rPr>
        <w:t xml:space="preserve"> that support them</w:t>
      </w:r>
      <w:r w:rsidR="00525806" w:rsidRPr="24D62FE4">
        <w:rPr>
          <w:rFonts w:cs="Arial"/>
        </w:rPr>
        <w:t xml:space="preserve">. </w:t>
      </w:r>
      <w:r w:rsidR="004A1574" w:rsidRPr="24D62FE4">
        <w:rPr>
          <w:rFonts w:cs="Arial"/>
        </w:rPr>
        <w:t xml:space="preserve">ACTCOSS is supportive of evidence-based </w:t>
      </w:r>
      <w:r w:rsidR="003C3B08" w:rsidRPr="24D62FE4">
        <w:rPr>
          <w:rFonts w:cs="Arial"/>
        </w:rPr>
        <w:t>immediate trauma support services, as well as</w:t>
      </w:r>
      <w:r w:rsidR="00C32884" w:rsidRPr="24D62FE4">
        <w:rPr>
          <w:rFonts w:cs="Arial"/>
        </w:rPr>
        <w:t xml:space="preserve"> trauma-informed</w:t>
      </w:r>
      <w:r w:rsidR="004A1574" w:rsidRPr="24D62FE4">
        <w:rPr>
          <w:rFonts w:cs="Arial"/>
        </w:rPr>
        <w:t xml:space="preserve"> prevention</w:t>
      </w:r>
      <w:r w:rsidR="00C32884" w:rsidRPr="24D62FE4">
        <w:rPr>
          <w:rFonts w:cs="Arial"/>
        </w:rPr>
        <w:t xml:space="preserve"> and early intervention</w:t>
      </w:r>
      <w:r w:rsidR="004A1574" w:rsidRPr="24D62FE4">
        <w:rPr>
          <w:rFonts w:cs="Arial"/>
        </w:rPr>
        <w:t xml:space="preserve"> measures</w:t>
      </w:r>
      <w:r w:rsidR="00C32884" w:rsidRPr="24D62FE4">
        <w:rPr>
          <w:rFonts w:cs="Arial"/>
        </w:rPr>
        <w:t xml:space="preserve"> to support community members in crisis.</w:t>
      </w:r>
      <w:r w:rsidR="00382CAC" w:rsidRPr="24D62FE4">
        <w:rPr>
          <w:rFonts w:cs="Arial"/>
        </w:rPr>
        <w:t xml:space="preserve"> </w:t>
      </w:r>
    </w:p>
    <w:p w14:paraId="10553A55" w14:textId="77777777" w:rsidR="002B023A" w:rsidRDefault="00814206" w:rsidP="004A1574">
      <w:pPr>
        <w:rPr>
          <w:rFonts w:cs="Arial"/>
          <w:szCs w:val="20"/>
        </w:rPr>
      </w:pPr>
      <w:r>
        <w:rPr>
          <w:rFonts w:cs="Arial"/>
          <w:szCs w:val="20"/>
        </w:rPr>
        <w:t xml:space="preserve">While we welcome the renewed focus on strengthening trauma support </w:t>
      </w:r>
      <w:r w:rsidR="002E05CF">
        <w:rPr>
          <w:rFonts w:cs="Arial"/>
          <w:szCs w:val="20"/>
        </w:rPr>
        <w:t>services</w:t>
      </w:r>
      <w:r>
        <w:rPr>
          <w:rFonts w:cs="Arial"/>
          <w:szCs w:val="20"/>
        </w:rPr>
        <w:t xml:space="preserve">, including for </w:t>
      </w:r>
      <w:r w:rsidR="002E05CF">
        <w:rPr>
          <w:rFonts w:cs="Arial"/>
          <w:szCs w:val="20"/>
        </w:rPr>
        <w:t xml:space="preserve">first responders in emergency services, </w:t>
      </w:r>
      <w:r w:rsidR="00A70BBB">
        <w:rPr>
          <w:rFonts w:cs="Arial"/>
          <w:szCs w:val="20"/>
        </w:rPr>
        <w:t xml:space="preserve">ACTCOSS are concerned that </w:t>
      </w:r>
      <w:r w:rsidR="002E05CF">
        <w:rPr>
          <w:rFonts w:cs="Arial"/>
          <w:szCs w:val="20"/>
        </w:rPr>
        <w:t xml:space="preserve">the burden of vicarious trauma and secondary trauma </w:t>
      </w:r>
      <w:r w:rsidR="007778D1">
        <w:rPr>
          <w:rFonts w:cs="Arial"/>
          <w:szCs w:val="20"/>
        </w:rPr>
        <w:t>in the community sector workforce continues to be overlooked and neglected in policy and</w:t>
      </w:r>
      <w:r w:rsidR="0096114E">
        <w:rPr>
          <w:rFonts w:cs="Arial"/>
          <w:szCs w:val="20"/>
        </w:rPr>
        <w:t xml:space="preserve"> programmatic responses.</w:t>
      </w:r>
      <w:r w:rsidR="006822A8">
        <w:rPr>
          <w:rFonts w:cs="Arial"/>
          <w:szCs w:val="20"/>
        </w:rPr>
        <w:t xml:space="preserve"> </w:t>
      </w:r>
    </w:p>
    <w:p w14:paraId="1BF8708F" w14:textId="3E59634E" w:rsidR="007270BF" w:rsidRDefault="00145D0C" w:rsidP="004A1574">
      <w:pPr>
        <w:rPr>
          <w:rFonts w:cs="Arial"/>
          <w:szCs w:val="20"/>
        </w:rPr>
      </w:pPr>
      <w:r>
        <w:rPr>
          <w:rFonts w:cs="Arial"/>
          <w:szCs w:val="20"/>
        </w:rPr>
        <w:t xml:space="preserve">Service delivery </w:t>
      </w:r>
      <w:r w:rsidR="007A6554">
        <w:rPr>
          <w:rFonts w:cs="Arial"/>
          <w:szCs w:val="20"/>
        </w:rPr>
        <w:t xml:space="preserve">in the community sector can be immensely rewarding, with frontline workers </w:t>
      </w:r>
      <w:r w:rsidR="00404A4D">
        <w:rPr>
          <w:rFonts w:cs="Arial"/>
          <w:szCs w:val="20"/>
        </w:rPr>
        <w:t>deriving satisfaction from working relationships grounded in respect and meaningful connection</w:t>
      </w:r>
      <w:r w:rsidR="00A06CBF">
        <w:rPr>
          <w:rFonts w:cs="Arial"/>
          <w:szCs w:val="20"/>
        </w:rPr>
        <w:t>. Yet such work is also frequent</w:t>
      </w:r>
      <w:r w:rsidR="00A70BBB">
        <w:rPr>
          <w:rFonts w:cs="Arial"/>
          <w:szCs w:val="20"/>
        </w:rPr>
        <w:t>ly</w:t>
      </w:r>
      <w:r w:rsidR="00A06CBF">
        <w:rPr>
          <w:rFonts w:cs="Arial"/>
          <w:szCs w:val="20"/>
        </w:rPr>
        <w:t xml:space="preserve"> demanding and complex,</w:t>
      </w:r>
      <w:r w:rsidR="007D408D">
        <w:rPr>
          <w:rFonts w:cs="Arial"/>
          <w:szCs w:val="20"/>
        </w:rPr>
        <w:t xml:space="preserve"> with wo</w:t>
      </w:r>
      <w:r w:rsidR="002B023A">
        <w:rPr>
          <w:rFonts w:cs="Arial"/>
          <w:szCs w:val="20"/>
        </w:rPr>
        <w:t xml:space="preserve">rkers </w:t>
      </w:r>
      <w:r w:rsidR="007D408D">
        <w:rPr>
          <w:rFonts w:cs="Arial"/>
          <w:szCs w:val="20"/>
        </w:rPr>
        <w:t xml:space="preserve">exposed to </w:t>
      </w:r>
      <w:r w:rsidR="00EF5492">
        <w:rPr>
          <w:rFonts w:cs="Arial"/>
          <w:szCs w:val="20"/>
        </w:rPr>
        <w:t xml:space="preserve">traumatic situations and </w:t>
      </w:r>
      <w:r w:rsidR="007D408D">
        <w:rPr>
          <w:rFonts w:cs="Arial"/>
          <w:szCs w:val="20"/>
        </w:rPr>
        <w:t xml:space="preserve">people who have experienced </w:t>
      </w:r>
      <w:r w:rsidR="00EF5492">
        <w:rPr>
          <w:rFonts w:cs="Arial"/>
          <w:szCs w:val="20"/>
        </w:rPr>
        <w:t xml:space="preserve">significant </w:t>
      </w:r>
      <w:r w:rsidR="007D408D">
        <w:rPr>
          <w:rFonts w:cs="Arial"/>
          <w:szCs w:val="20"/>
        </w:rPr>
        <w:t xml:space="preserve">trauma. </w:t>
      </w:r>
      <w:r w:rsidR="006822A8">
        <w:rPr>
          <w:rFonts w:cs="Arial"/>
          <w:szCs w:val="20"/>
        </w:rPr>
        <w:t>Studies</w:t>
      </w:r>
      <w:r w:rsidR="0096114E">
        <w:rPr>
          <w:rFonts w:cs="Arial"/>
          <w:szCs w:val="20"/>
        </w:rPr>
        <w:t xml:space="preserve"> have shown that this </w:t>
      </w:r>
      <w:r w:rsidR="006822A8">
        <w:rPr>
          <w:rFonts w:cs="Arial"/>
          <w:szCs w:val="20"/>
        </w:rPr>
        <w:t>workforce</w:t>
      </w:r>
      <w:r w:rsidR="0096114E">
        <w:rPr>
          <w:rFonts w:cs="Arial"/>
          <w:szCs w:val="20"/>
        </w:rPr>
        <w:t xml:space="preserve"> </w:t>
      </w:r>
      <w:r w:rsidR="006822A8">
        <w:rPr>
          <w:rFonts w:cs="Arial"/>
          <w:szCs w:val="20"/>
        </w:rPr>
        <w:t>faces some of the highest rates of work-related trauma and burnout.</w:t>
      </w:r>
      <w:r w:rsidR="0041454F">
        <w:rPr>
          <w:rStyle w:val="FootnoteReference"/>
          <w:rFonts w:cs="Arial"/>
          <w:szCs w:val="20"/>
        </w:rPr>
        <w:footnoteReference w:id="2"/>
      </w:r>
      <w:r w:rsidR="008751AD">
        <w:rPr>
          <w:rFonts w:cs="Arial"/>
          <w:szCs w:val="20"/>
        </w:rPr>
        <w:t xml:space="preserve"> In a context of chronic underfunding and high demand for services, the risks of secondary trauma or post-traumatic stress disorder </w:t>
      </w:r>
      <w:r w:rsidR="00085191">
        <w:rPr>
          <w:rFonts w:cs="Arial"/>
          <w:szCs w:val="20"/>
        </w:rPr>
        <w:t xml:space="preserve">is exacerbated, with workers often saddled with high caseloads, limited supervision, ongoing funding </w:t>
      </w:r>
      <w:r w:rsidR="00160F7E">
        <w:rPr>
          <w:rFonts w:cs="Arial"/>
          <w:szCs w:val="20"/>
        </w:rPr>
        <w:t>pressures</w:t>
      </w:r>
      <w:r w:rsidR="00085191">
        <w:rPr>
          <w:rFonts w:cs="Arial"/>
          <w:szCs w:val="20"/>
        </w:rPr>
        <w:t>,</w:t>
      </w:r>
      <w:r w:rsidR="00160F7E">
        <w:rPr>
          <w:rFonts w:cs="Arial"/>
          <w:szCs w:val="20"/>
        </w:rPr>
        <w:t xml:space="preserve"> and limited organisational resources available for staff wellbeing.</w:t>
      </w:r>
      <w:r w:rsidR="00085191">
        <w:rPr>
          <w:rFonts w:cs="Arial"/>
          <w:szCs w:val="20"/>
        </w:rPr>
        <w:t xml:space="preserve"> </w:t>
      </w:r>
      <w:r w:rsidR="00A50DDF">
        <w:rPr>
          <w:rFonts w:cs="Arial"/>
          <w:szCs w:val="20"/>
        </w:rPr>
        <w:t xml:space="preserve">Additionally, resource constraints can make it more difficult to achieve results for clients, leaving them in painful and vulnerable positions longer. This has an impact on the workers who are unable to successfully render the help </w:t>
      </w:r>
      <w:r w:rsidR="006F1502">
        <w:rPr>
          <w:rFonts w:cs="Arial"/>
          <w:szCs w:val="20"/>
        </w:rPr>
        <w:t xml:space="preserve">that they are employed to </w:t>
      </w:r>
      <w:r w:rsidR="008E3880">
        <w:rPr>
          <w:rFonts w:cs="Arial"/>
          <w:szCs w:val="20"/>
        </w:rPr>
        <w:t>provide.</w:t>
      </w:r>
    </w:p>
    <w:p w14:paraId="2710472A" w14:textId="7302834B" w:rsidR="00BE6CB5" w:rsidRDefault="00BE6CB5" w:rsidP="6F569735">
      <w:pPr>
        <w:rPr>
          <w:rFonts w:cs="Arial"/>
        </w:rPr>
      </w:pPr>
      <w:r w:rsidRPr="6F569735">
        <w:rPr>
          <w:rFonts w:cs="Arial"/>
        </w:rPr>
        <w:t>Accordingly, we urge the Committee</w:t>
      </w:r>
      <w:r w:rsidR="22DB8FD1" w:rsidRPr="6F569735">
        <w:rPr>
          <w:rFonts w:cs="Arial"/>
        </w:rPr>
        <w:t xml:space="preserve"> to</w:t>
      </w:r>
      <w:r w:rsidRPr="6F569735">
        <w:rPr>
          <w:rFonts w:cs="Arial"/>
        </w:rPr>
        <w:t xml:space="preserve"> </w:t>
      </w:r>
      <w:r w:rsidR="0014558C" w:rsidRPr="6F569735">
        <w:rPr>
          <w:rFonts w:cs="Arial"/>
        </w:rPr>
        <w:t xml:space="preserve">include </w:t>
      </w:r>
      <w:r w:rsidR="001A32C4" w:rsidRPr="6F569735">
        <w:rPr>
          <w:rFonts w:cs="Arial"/>
        </w:rPr>
        <w:t xml:space="preserve">a </w:t>
      </w:r>
      <w:r w:rsidRPr="6F569735">
        <w:rPr>
          <w:rFonts w:cs="Arial"/>
        </w:rPr>
        <w:t xml:space="preserve">dedicated focus </w:t>
      </w:r>
      <w:r w:rsidR="00237643" w:rsidRPr="6F569735">
        <w:rPr>
          <w:rFonts w:cs="Arial"/>
        </w:rPr>
        <w:t>on</w:t>
      </w:r>
      <w:r w:rsidRPr="6F569735">
        <w:rPr>
          <w:rFonts w:cs="Arial"/>
        </w:rPr>
        <w:t xml:space="preserve"> the significant </w:t>
      </w:r>
      <w:r w:rsidR="00ED317B" w:rsidRPr="6F569735">
        <w:rPr>
          <w:rFonts w:cs="Arial"/>
        </w:rPr>
        <w:t xml:space="preserve">levels of </w:t>
      </w:r>
      <w:r w:rsidR="007C6C8F" w:rsidRPr="6F569735">
        <w:rPr>
          <w:rFonts w:cs="Arial"/>
        </w:rPr>
        <w:t xml:space="preserve">exposure to </w:t>
      </w:r>
      <w:r w:rsidR="00ED317B" w:rsidRPr="6F569735">
        <w:rPr>
          <w:rFonts w:cs="Arial"/>
        </w:rPr>
        <w:t>trauma</w:t>
      </w:r>
      <w:r w:rsidR="007C6C8F" w:rsidRPr="6F569735">
        <w:rPr>
          <w:rFonts w:cs="Arial"/>
        </w:rPr>
        <w:t xml:space="preserve">tic incidents and vicarious trauma </w:t>
      </w:r>
      <w:r w:rsidR="00ED317B" w:rsidRPr="6F569735">
        <w:rPr>
          <w:rFonts w:cs="Arial"/>
        </w:rPr>
        <w:t xml:space="preserve">in the community services sector, and to examine the structural and systemic </w:t>
      </w:r>
      <w:r w:rsidR="00A63C7D" w:rsidRPr="6F569735">
        <w:rPr>
          <w:rFonts w:cs="Arial"/>
        </w:rPr>
        <w:t xml:space="preserve">responses needed to mitigate </w:t>
      </w:r>
      <w:r w:rsidR="00ED317B" w:rsidRPr="6F569735">
        <w:rPr>
          <w:rFonts w:cs="Arial"/>
        </w:rPr>
        <w:t>such trauma and its consequences.</w:t>
      </w:r>
      <w:r w:rsidR="003B6453" w:rsidRPr="6F569735">
        <w:rPr>
          <w:rFonts w:cs="Arial"/>
        </w:rPr>
        <w:t xml:space="preserve"> This includes the need for funding arrangements that incorporate protective and predictive factors for </w:t>
      </w:r>
      <w:r w:rsidR="00A55B15" w:rsidRPr="6F569735">
        <w:rPr>
          <w:rFonts w:cs="Arial"/>
        </w:rPr>
        <w:t xml:space="preserve">the community sector </w:t>
      </w:r>
      <w:r w:rsidR="003B6453" w:rsidRPr="6F569735">
        <w:rPr>
          <w:rFonts w:cs="Arial"/>
        </w:rPr>
        <w:t>workforce.</w:t>
      </w:r>
    </w:p>
    <w:p w14:paraId="0D3E4E10" w14:textId="0C67832D" w:rsidR="009458D3" w:rsidRDefault="00E72CA9" w:rsidP="004A1574">
      <w:pPr>
        <w:rPr>
          <w:rFonts w:cs="Arial"/>
          <w:szCs w:val="20"/>
        </w:rPr>
      </w:pPr>
      <w:r>
        <w:rPr>
          <w:rFonts w:cs="Arial"/>
          <w:szCs w:val="20"/>
        </w:rPr>
        <w:t xml:space="preserve">In addition, consideration should be given to </w:t>
      </w:r>
      <w:r w:rsidR="00E03C0C">
        <w:rPr>
          <w:rFonts w:cs="Arial"/>
          <w:szCs w:val="20"/>
        </w:rPr>
        <w:t xml:space="preserve">public </w:t>
      </w:r>
      <w:r w:rsidR="00231542">
        <w:rPr>
          <w:rFonts w:cs="Arial"/>
          <w:szCs w:val="20"/>
        </w:rPr>
        <w:t>service systems and settings</w:t>
      </w:r>
      <w:r w:rsidR="009A5FD5">
        <w:rPr>
          <w:rFonts w:cs="Arial"/>
          <w:szCs w:val="20"/>
        </w:rPr>
        <w:t xml:space="preserve"> which increase the risk of traumatic incidents, and </w:t>
      </w:r>
      <w:r w:rsidR="00231542">
        <w:rPr>
          <w:rFonts w:cs="Arial"/>
          <w:szCs w:val="20"/>
        </w:rPr>
        <w:t>wh</w:t>
      </w:r>
      <w:r w:rsidR="00CE4B65">
        <w:rPr>
          <w:rFonts w:cs="Arial"/>
          <w:szCs w:val="20"/>
        </w:rPr>
        <w:t>ere punitive</w:t>
      </w:r>
      <w:r w:rsidR="00002408">
        <w:rPr>
          <w:rFonts w:cs="Arial"/>
          <w:szCs w:val="20"/>
        </w:rPr>
        <w:t xml:space="preserve"> measures</w:t>
      </w:r>
      <w:r w:rsidR="009A5FD5">
        <w:rPr>
          <w:rFonts w:cs="Arial"/>
          <w:szCs w:val="20"/>
        </w:rPr>
        <w:t xml:space="preserve"> are </w:t>
      </w:r>
      <w:r w:rsidR="001077C2">
        <w:rPr>
          <w:rFonts w:cs="Arial"/>
          <w:szCs w:val="20"/>
        </w:rPr>
        <w:t xml:space="preserve">frequently </w:t>
      </w:r>
      <w:r w:rsidR="009A5FD5">
        <w:rPr>
          <w:rFonts w:cs="Arial"/>
          <w:szCs w:val="20"/>
        </w:rPr>
        <w:t>prioritised</w:t>
      </w:r>
      <w:r w:rsidR="00002408">
        <w:rPr>
          <w:rFonts w:cs="Arial"/>
          <w:szCs w:val="20"/>
        </w:rPr>
        <w:t xml:space="preserve"> over trauma response</w:t>
      </w:r>
      <w:r w:rsidR="00E03C0C">
        <w:rPr>
          <w:rFonts w:cs="Arial"/>
          <w:szCs w:val="20"/>
        </w:rPr>
        <w:t>s</w:t>
      </w:r>
      <w:r w:rsidR="00002408">
        <w:rPr>
          <w:rFonts w:cs="Arial"/>
          <w:szCs w:val="20"/>
        </w:rPr>
        <w:t xml:space="preserve"> in</w:t>
      </w:r>
      <w:r w:rsidR="001A6792">
        <w:rPr>
          <w:rFonts w:cs="Arial"/>
          <w:szCs w:val="20"/>
        </w:rPr>
        <w:t xml:space="preserve"> the aftermath of critical and otherwise serious incidents</w:t>
      </w:r>
      <w:r w:rsidR="00E03C0C">
        <w:rPr>
          <w:rFonts w:cs="Arial"/>
          <w:szCs w:val="20"/>
        </w:rPr>
        <w:t>, including the justice system</w:t>
      </w:r>
      <w:r w:rsidR="00D81CB2">
        <w:rPr>
          <w:rFonts w:cs="Arial"/>
          <w:szCs w:val="20"/>
        </w:rPr>
        <w:t xml:space="preserve"> and</w:t>
      </w:r>
      <w:r w:rsidR="00E03C0C">
        <w:rPr>
          <w:rFonts w:cs="Arial"/>
          <w:szCs w:val="20"/>
        </w:rPr>
        <w:t xml:space="preserve"> public/forensic mental health systems</w:t>
      </w:r>
      <w:r w:rsidR="001A6792">
        <w:rPr>
          <w:rFonts w:cs="Arial"/>
          <w:szCs w:val="20"/>
        </w:rPr>
        <w:t>.</w:t>
      </w:r>
      <w:r w:rsidR="00EF3050">
        <w:rPr>
          <w:rFonts w:cs="Arial"/>
          <w:szCs w:val="20"/>
        </w:rPr>
        <w:t xml:space="preserve"> </w:t>
      </w:r>
      <w:r w:rsidR="00C716BB">
        <w:rPr>
          <w:rFonts w:cs="Arial"/>
          <w:szCs w:val="20"/>
        </w:rPr>
        <w:t>T</w:t>
      </w:r>
      <w:r w:rsidR="00EF3050">
        <w:rPr>
          <w:rFonts w:cs="Arial"/>
          <w:szCs w:val="20"/>
        </w:rPr>
        <w:t>h</w:t>
      </w:r>
      <w:r w:rsidR="00B878F0">
        <w:rPr>
          <w:rFonts w:cs="Arial"/>
          <w:szCs w:val="20"/>
        </w:rPr>
        <w:t xml:space="preserve">is pattern has contributed to </w:t>
      </w:r>
      <w:r w:rsidR="004A1574" w:rsidRPr="004A1574">
        <w:rPr>
          <w:rFonts w:cs="Arial"/>
          <w:szCs w:val="20"/>
        </w:rPr>
        <w:t>heightened vulnerabilit</w:t>
      </w:r>
      <w:r w:rsidR="00514737">
        <w:rPr>
          <w:rFonts w:cs="Arial"/>
          <w:szCs w:val="20"/>
        </w:rPr>
        <w:t>ies</w:t>
      </w:r>
      <w:r w:rsidR="004A1574" w:rsidRPr="004A1574">
        <w:rPr>
          <w:rFonts w:cs="Arial"/>
          <w:szCs w:val="20"/>
        </w:rPr>
        <w:t xml:space="preserve"> for Aboriginal and/or Torres Strait Islander </w:t>
      </w:r>
      <w:r w:rsidR="00670F2D">
        <w:rPr>
          <w:rFonts w:cs="Arial"/>
          <w:szCs w:val="20"/>
        </w:rPr>
        <w:t>p</w:t>
      </w:r>
      <w:r w:rsidR="004A1574" w:rsidRPr="004A1574">
        <w:rPr>
          <w:rFonts w:cs="Arial"/>
          <w:szCs w:val="20"/>
        </w:rPr>
        <w:t xml:space="preserve">eoples </w:t>
      </w:r>
      <w:r w:rsidR="005C470C">
        <w:rPr>
          <w:rFonts w:cs="Arial"/>
          <w:szCs w:val="20"/>
        </w:rPr>
        <w:t xml:space="preserve">engaging with emergency services and </w:t>
      </w:r>
      <w:r w:rsidR="004A1574" w:rsidRPr="004A1574">
        <w:rPr>
          <w:rFonts w:cs="Arial"/>
          <w:szCs w:val="20"/>
        </w:rPr>
        <w:t xml:space="preserve">the justice system </w:t>
      </w:r>
      <w:r w:rsidR="005C470C">
        <w:rPr>
          <w:rFonts w:cs="Arial"/>
          <w:szCs w:val="20"/>
        </w:rPr>
        <w:t xml:space="preserve">following </w:t>
      </w:r>
      <w:r w:rsidR="00552007">
        <w:rPr>
          <w:rFonts w:cs="Arial"/>
          <w:szCs w:val="20"/>
        </w:rPr>
        <w:t>traumatic incidents</w:t>
      </w:r>
      <w:r w:rsidR="004A1574" w:rsidRPr="004A1574">
        <w:rPr>
          <w:rFonts w:cs="Arial"/>
          <w:szCs w:val="20"/>
        </w:rPr>
        <w:t xml:space="preserve">. </w:t>
      </w:r>
      <w:r w:rsidR="00575AF4">
        <w:rPr>
          <w:rFonts w:cs="Arial"/>
          <w:szCs w:val="20"/>
        </w:rPr>
        <w:t xml:space="preserve">We encourage the ACT </w:t>
      </w:r>
      <w:r w:rsidR="00CE205A">
        <w:rPr>
          <w:rFonts w:cs="Arial"/>
          <w:szCs w:val="20"/>
        </w:rPr>
        <w:t xml:space="preserve">Government to take an approach to trauma support that prioritises redressing the disadvantages experienced by </w:t>
      </w:r>
      <w:r w:rsidR="004D3823">
        <w:rPr>
          <w:rFonts w:cs="Arial"/>
          <w:szCs w:val="20"/>
        </w:rPr>
        <w:t xml:space="preserve">First Nations peoples who encounter the justice system. </w:t>
      </w:r>
    </w:p>
    <w:p w14:paraId="3086AF6C" w14:textId="35E8DD8C" w:rsidR="00B7047C" w:rsidRDefault="004D3823" w:rsidP="004A1574">
      <w:pPr>
        <w:rPr>
          <w:rFonts w:cs="Arial"/>
          <w:szCs w:val="20"/>
        </w:rPr>
      </w:pPr>
      <w:r>
        <w:rPr>
          <w:rFonts w:cs="Arial"/>
          <w:szCs w:val="20"/>
        </w:rPr>
        <w:t>Furthermore</w:t>
      </w:r>
      <w:r w:rsidR="00C70550">
        <w:rPr>
          <w:rFonts w:cs="Arial"/>
          <w:szCs w:val="20"/>
        </w:rPr>
        <w:t xml:space="preserve">, </w:t>
      </w:r>
      <w:r w:rsidR="00D1077C">
        <w:rPr>
          <w:rFonts w:cs="Arial"/>
          <w:szCs w:val="20"/>
        </w:rPr>
        <w:t xml:space="preserve">improving community wellbeing and recovery outcomes will require that </w:t>
      </w:r>
      <w:r w:rsidR="00823058">
        <w:rPr>
          <w:rFonts w:cs="Arial"/>
          <w:szCs w:val="20"/>
        </w:rPr>
        <w:t>all staff within the emergency response and justice system are b</w:t>
      </w:r>
      <w:r w:rsidR="00CF71F7">
        <w:rPr>
          <w:rFonts w:cs="Arial"/>
          <w:szCs w:val="20"/>
        </w:rPr>
        <w:t xml:space="preserve">etter educated on trauma-informed </w:t>
      </w:r>
      <w:r w:rsidR="009458D3">
        <w:rPr>
          <w:rFonts w:cs="Arial"/>
          <w:szCs w:val="20"/>
        </w:rPr>
        <w:t xml:space="preserve">practice for responding to people across a variety of social and cultural intersections. </w:t>
      </w:r>
      <w:r w:rsidR="00C00646">
        <w:rPr>
          <w:rFonts w:cs="Arial"/>
          <w:szCs w:val="20"/>
        </w:rPr>
        <w:t>Improving immediate trauma support services will require a holistic whole-of-system approach rather than one that exclusively depends on trauma specialists</w:t>
      </w:r>
      <w:r w:rsidR="008752E2">
        <w:rPr>
          <w:rFonts w:cs="Arial"/>
          <w:szCs w:val="20"/>
        </w:rPr>
        <w:t xml:space="preserve">. </w:t>
      </w:r>
    </w:p>
    <w:p w14:paraId="7ADA675B" w14:textId="77777777" w:rsidR="00F27810" w:rsidRDefault="00F27810" w:rsidP="009502FE">
      <w:pPr>
        <w:pStyle w:val="Heading1"/>
      </w:pPr>
      <w:r>
        <w:t>Funding Community Sector Services</w:t>
      </w:r>
    </w:p>
    <w:p w14:paraId="221B5196" w14:textId="37F198EA" w:rsidR="00F611F9" w:rsidRDefault="00666930" w:rsidP="00417BE9">
      <w:pPr>
        <w:rPr>
          <w:rFonts w:cs="Arial"/>
          <w:szCs w:val="20"/>
        </w:rPr>
      </w:pPr>
      <w:r>
        <w:rPr>
          <w:rFonts w:cs="Arial"/>
          <w:szCs w:val="20"/>
        </w:rPr>
        <w:t>An imperative and often under</w:t>
      </w:r>
      <w:r w:rsidR="001625D1">
        <w:rPr>
          <w:rFonts w:cs="Arial"/>
          <w:szCs w:val="20"/>
        </w:rPr>
        <w:t>valued aspect of traumatic incident management in the ACT is the role played by the community sector, including community mental health services</w:t>
      </w:r>
      <w:r w:rsidR="003C0D50">
        <w:rPr>
          <w:rFonts w:cs="Arial"/>
          <w:szCs w:val="20"/>
        </w:rPr>
        <w:t>;</w:t>
      </w:r>
      <w:r w:rsidR="001625D1">
        <w:rPr>
          <w:rFonts w:cs="Arial"/>
          <w:szCs w:val="20"/>
        </w:rPr>
        <w:t xml:space="preserve"> domestic, </w:t>
      </w:r>
      <w:proofErr w:type="gramStart"/>
      <w:r w:rsidR="002C3DDD">
        <w:rPr>
          <w:rFonts w:cs="Arial"/>
          <w:szCs w:val="20"/>
        </w:rPr>
        <w:t>sexual</w:t>
      </w:r>
      <w:proofErr w:type="gramEnd"/>
      <w:r w:rsidR="001625D1">
        <w:rPr>
          <w:rFonts w:cs="Arial"/>
          <w:szCs w:val="20"/>
        </w:rPr>
        <w:t xml:space="preserve"> and family violence services</w:t>
      </w:r>
      <w:r w:rsidR="003C0D50">
        <w:rPr>
          <w:rFonts w:cs="Arial"/>
          <w:szCs w:val="20"/>
        </w:rPr>
        <w:t>;</w:t>
      </w:r>
      <w:r w:rsidR="001625D1">
        <w:rPr>
          <w:rFonts w:cs="Arial"/>
          <w:szCs w:val="20"/>
        </w:rPr>
        <w:t xml:space="preserve"> </w:t>
      </w:r>
      <w:r w:rsidR="00A25B25">
        <w:rPr>
          <w:rFonts w:cs="Arial"/>
          <w:szCs w:val="20"/>
        </w:rPr>
        <w:t>homeless</w:t>
      </w:r>
      <w:r w:rsidR="003C0D50">
        <w:rPr>
          <w:rFonts w:cs="Arial"/>
          <w:szCs w:val="20"/>
        </w:rPr>
        <w:t>ness</w:t>
      </w:r>
      <w:r w:rsidR="00A25B25">
        <w:rPr>
          <w:rFonts w:cs="Arial"/>
          <w:szCs w:val="20"/>
        </w:rPr>
        <w:t xml:space="preserve"> services</w:t>
      </w:r>
      <w:r w:rsidR="003C0D50">
        <w:rPr>
          <w:rFonts w:cs="Arial"/>
          <w:szCs w:val="20"/>
        </w:rPr>
        <w:t>;</w:t>
      </w:r>
      <w:r w:rsidR="00A25B25">
        <w:rPr>
          <w:rFonts w:cs="Arial"/>
          <w:szCs w:val="20"/>
        </w:rPr>
        <w:t xml:space="preserve"> </w:t>
      </w:r>
      <w:r w:rsidR="001625D1">
        <w:rPr>
          <w:rFonts w:cs="Arial"/>
          <w:szCs w:val="20"/>
        </w:rPr>
        <w:t>legal assistance services</w:t>
      </w:r>
      <w:r w:rsidR="000C3913">
        <w:rPr>
          <w:rFonts w:cs="Arial"/>
          <w:szCs w:val="20"/>
        </w:rPr>
        <w:t>;</w:t>
      </w:r>
      <w:r w:rsidR="001625D1">
        <w:rPr>
          <w:rFonts w:cs="Arial"/>
          <w:szCs w:val="20"/>
        </w:rPr>
        <w:t xml:space="preserve"> </w:t>
      </w:r>
      <w:r w:rsidR="00DC5A8D">
        <w:rPr>
          <w:rFonts w:cs="Arial"/>
          <w:szCs w:val="20"/>
        </w:rPr>
        <w:t>alcohol and other drug</w:t>
      </w:r>
      <w:r w:rsidR="00F05F98">
        <w:rPr>
          <w:rFonts w:cs="Arial"/>
          <w:szCs w:val="20"/>
        </w:rPr>
        <w:t xml:space="preserve"> services</w:t>
      </w:r>
      <w:r w:rsidR="00DC5A8D">
        <w:rPr>
          <w:rFonts w:cs="Arial"/>
          <w:szCs w:val="20"/>
        </w:rPr>
        <w:t xml:space="preserve">, </w:t>
      </w:r>
      <w:r w:rsidR="00F05F98">
        <w:rPr>
          <w:rFonts w:cs="Arial"/>
          <w:szCs w:val="20"/>
        </w:rPr>
        <w:t>and a variety of crisis</w:t>
      </w:r>
      <w:r w:rsidR="00D05046">
        <w:rPr>
          <w:rFonts w:cs="Arial"/>
          <w:szCs w:val="20"/>
        </w:rPr>
        <w:t xml:space="preserve"> </w:t>
      </w:r>
      <w:r w:rsidR="00DC5A8D">
        <w:rPr>
          <w:rFonts w:cs="Arial"/>
          <w:szCs w:val="20"/>
        </w:rPr>
        <w:t xml:space="preserve">and disaster </w:t>
      </w:r>
      <w:r w:rsidR="00D05046">
        <w:rPr>
          <w:rFonts w:cs="Arial"/>
          <w:szCs w:val="20"/>
        </w:rPr>
        <w:t>response</w:t>
      </w:r>
      <w:r w:rsidR="00F05F98">
        <w:rPr>
          <w:rFonts w:cs="Arial"/>
          <w:szCs w:val="20"/>
        </w:rPr>
        <w:t xml:space="preserve"> services. </w:t>
      </w:r>
      <w:r w:rsidR="009B2D12">
        <w:rPr>
          <w:rFonts w:cs="Arial"/>
          <w:szCs w:val="20"/>
        </w:rPr>
        <w:t xml:space="preserve">In addition to </w:t>
      </w:r>
      <w:r w:rsidR="000C3913">
        <w:rPr>
          <w:rFonts w:cs="Arial"/>
          <w:szCs w:val="20"/>
        </w:rPr>
        <w:t xml:space="preserve">frequent </w:t>
      </w:r>
      <w:r w:rsidR="009B2D12">
        <w:rPr>
          <w:rFonts w:cs="Arial"/>
          <w:szCs w:val="20"/>
        </w:rPr>
        <w:t>expos</w:t>
      </w:r>
      <w:r w:rsidR="000C3913">
        <w:rPr>
          <w:rFonts w:cs="Arial"/>
          <w:szCs w:val="20"/>
        </w:rPr>
        <w:t>ure</w:t>
      </w:r>
      <w:r w:rsidR="009B2D12">
        <w:rPr>
          <w:rFonts w:cs="Arial"/>
          <w:szCs w:val="20"/>
        </w:rPr>
        <w:t xml:space="preserve"> to traumatic incidents and situations, frontline workers in such services often</w:t>
      </w:r>
      <w:r w:rsidR="009B2D12" w:rsidRPr="009B2D12">
        <w:rPr>
          <w:rFonts w:cs="Arial"/>
          <w:szCs w:val="20"/>
        </w:rPr>
        <w:t xml:space="preserve"> interact with </w:t>
      </w:r>
      <w:r w:rsidR="009B2D12">
        <w:rPr>
          <w:rFonts w:cs="Arial"/>
          <w:szCs w:val="20"/>
        </w:rPr>
        <w:t>people</w:t>
      </w:r>
      <w:r w:rsidR="009B2D12" w:rsidRPr="009B2D12">
        <w:rPr>
          <w:rFonts w:cs="Arial"/>
          <w:szCs w:val="20"/>
        </w:rPr>
        <w:t xml:space="preserve"> experiencing </w:t>
      </w:r>
      <w:r w:rsidR="00E25FC8">
        <w:rPr>
          <w:rFonts w:cs="Arial"/>
          <w:szCs w:val="20"/>
        </w:rPr>
        <w:t xml:space="preserve">significant </w:t>
      </w:r>
      <w:r w:rsidR="009B2D12" w:rsidRPr="009B2D12">
        <w:rPr>
          <w:rFonts w:cs="Arial"/>
          <w:szCs w:val="20"/>
        </w:rPr>
        <w:t xml:space="preserve">trauma in helping relationships over extended periods of time. This increases the </w:t>
      </w:r>
      <w:r w:rsidR="002741A5">
        <w:rPr>
          <w:rFonts w:cs="Arial"/>
          <w:szCs w:val="20"/>
        </w:rPr>
        <w:t>likelihood of</w:t>
      </w:r>
      <w:r w:rsidR="009B2D12" w:rsidRPr="009B2D12">
        <w:rPr>
          <w:rFonts w:cs="Arial"/>
          <w:szCs w:val="20"/>
        </w:rPr>
        <w:t xml:space="preserve"> </w:t>
      </w:r>
      <w:r w:rsidR="00E25FC8">
        <w:rPr>
          <w:rFonts w:cs="Arial"/>
          <w:szCs w:val="20"/>
        </w:rPr>
        <w:t xml:space="preserve">cumulative </w:t>
      </w:r>
      <w:r w:rsidR="009B2D12" w:rsidRPr="009B2D12">
        <w:rPr>
          <w:rFonts w:cs="Arial"/>
          <w:szCs w:val="20"/>
        </w:rPr>
        <w:t xml:space="preserve">exposure to trauma perpetrated by others, and </w:t>
      </w:r>
      <w:r w:rsidR="00D55514">
        <w:rPr>
          <w:rFonts w:cs="Arial"/>
          <w:szCs w:val="20"/>
        </w:rPr>
        <w:t xml:space="preserve">to individuals with multiple and </w:t>
      </w:r>
      <w:r w:rsidR="009B2D12" w:rsidRPr="009B2D12">
        <w:rPr>
          <w:rFonts w:cs="Arial"/>
          <w:szCs w:val="20"/>
        </w:rPr>
        <w:t>complex trauma histories.</w:t>
      </w:r>
    </w:p>
    <w:p w14:paraId="1FEB0485" w14:textId="31BAA495" w:rsidR="00535175" w:rsidRDefault="00365E1B" w:rsidP="00535175">
      <w:pPr>
        <w:rPr>
          <w:rFonts w:cs="Arial"/>
          <w:szCs w:val="20"/>
        </w:rPr>
      </w:pPr>
      <w:r>
        <w:rPr>
          <w:rFonts w:cs="Arial"/>
          <w:szCs w:val="20"/>
        </w:rPr>
        <w:t xml:space="preserve">The community sector is </w:t>
      </w:r>
      <w:r w:rsidR="006124DA">
        <w:rPr>
          <w:rFonts w:cs="Arial"/>
          <w:szCs w:val="20"/>
        </w:rPr>
        <w:t>often</w:t>
      </w:r>
      <w:r>
        <w:rPr>
          <w:rFonts w:cs="Arial"/>
          <w:szCs w:val="20"/>
        </w:rPr>
        <w:t xml:space="preserve"> at the very frontline of the ACT’s trauma response process</w:t>
      </w:r>
      <w:r w:rsidR="00B92626">
        <w:rPr>
          <w:rFonts w:cs="Arial"/>
          <w:szCs w:val="20"/>
        </w:rPr>
        <w:t>es</w:t>
      </w:r>
      <w:r w:rsidR="00F611F9">
        <w:rPr>
          <w:rFonts w:cs="Arial"/>
          <w:szCs w:val="20"/>
        </w:rPr>
        <w:t>. However, the</w:t>
      </w:r>
      <w:r w:rsidR="00396A7B">
        <w:rPr>
          <w:rFonts w:cs="Arial"/>
          <w:szCs w:val="20"/>
        </w:rPr>
        <w:t xml:space="preserve"> overall</w:t>
      </w:r>
      <w:r w:rsidR="00F611F9">
        <w:rPr>
          <w:rFonts w:cs="Arial"/>
          <w:szCs w:val="20"/>
        </w:rPr>
        <w:t xml:space="preserve"> </w:t>
      </w:r>
      <w:r w:rsidR="00F146CC">
        <w:rPr>
          <w:rFonts w:cs="Arial"/>
          <w:szCs w:val="20"/>
        </w:rPr>
        <w:t xml:space="preserve">service </w:t>
      </w:r>
      <w:r w:rsidR="00B92626">
        <w:rPr>
          <w:rFonts w:cs="Arial"/>
          <w:szCs w:val="20"/>
        </w:rPr>
        <w:t xml:space="preserve">system </w:t>
      </w:r>
      <w:r w:rsidR="00F146CC">
        <w:rPr>
          <w:rFonts w:cs="Arial"/>
          <w:szCs w:val="20"/>
        </w:rPr>
        <w:t>is often ill-equipped to respond to the complex and multiple trauma his</w:t>
      </w:r>
      <w:r w:rsidR="00396A7B">
        <w:rPr>
          <w:rFonts w:cs="Arial"/>
          <w:szCs w:val="20"/>
        </w:rPr>
        <w:t xml:space="preserve">tories of those seeking support. </w:t>
      </w:r>
      <w:r w:rsidR="00B625AC">
        <w:rPr>
          <w:rFonts w:cs="Arial"/>
          <w:szCs w:val="20"/>
        </w:rPr>
        <w:t xml:space="preserve">The community sector is a primary workforce for trauma and crisis management and response, and </w:t>
      </w:r>
      <w:r w:rsidR="001B6F5A">
        <w:rPr>
          <w:rFonts w:cs="Arial"/>
          <w:szCs w:val="20"/>
        </w:rPr>
        <w:t xml:space="preserve">coordination of this work across different organisations </w:t>
      </w:r>
      <w:r w:rsidR="00DA4680">
        <w:rPr>
          <w:rFonts w:cs="Arial"/>
          <w:szCs w:val="20"/>
        </w:rPr>
        <w:t xml:space="preserve">and sectors </w:t>
      </w:r>
      <w:r w:rsidR="001B6F5A">
        <w:rPr>
          <w:rFonts w:cs="Arial"/>
          <w:szCs w:val="20"/>
        </w:rPr>
        <w:t xml:space="preserve">is essential to </w:t>
      </w:r>
      <w:r w:rsidR="00C771E0">
        <w:rPr>
          <w:rFonts w:cs="Arial"/>
          <w:szCs w:val="20"/>
        </w:rPr>
        <w:t xml:space="preserve">the delivery of holistic approach. </w:t>
      </w:r>
      <w:r w:rsidR="00FA76C0">
        <w:rPr>
          <w:rFonts w:cs="Arial"/>
          <w:szCs w:val="20"/>
        </w:rPr>
        <w:t>The current funding levels for community organisations has pr</w:t>
      </w:r>
      <w:r w:rsidR="002C2AC6">
        <w:rPr>
          <w:rFonts w:cs="Arial"/>
          <w:szCs w:val="20"/>
        </w:rPr>
        <w:t>oduced severe resource limitations</w:t>
      </w:r>
      <w:r w:rsidR="00EA541F">
        <w:rPr>
          <w:rFonts w:cs="Arial"/>
          <w:szCs w:val="20"/>
        </w:rPr>
        <w:t>,</w:t>
      </w:r>
      <w:r w:rsidR="002C2AC6">
        <w:rPr>
          <w:rFonts w:cs="Arial"/>
          <w:szCs w:val="20"/>
        </w:rPr>
        <w:t xml:space="preserve"> </w:t>
      </w:r>
      <w:r w:rsidR="000D6730">
        <w:rPr>
          <w:rFonts w:cs="Arial"/>
          <w:szCs w:val="20"/>
        </w:rPr>
        <w:t xml:space="preserve">making it increasingly difficult to provide essential services to people in crisis. </w:t>
      </w:r>
      <w:r w:rsidR="006C1F41">
        <w:rPr>
          <w:rFonts w:cs="Arial"/>
          <w:szCs w:val="20"/>
        </w:rPr>
        <w:t>A</w:t>
      </w:r>
      <w:r w:rsidR="00EA541F">
        <w:rPr>
          <w:rFonts w:cs="Arial"/>
          <w:szCs w:val="20"/>
        </w:rPr>
        <w:t>s</w:t>
      </w:r>
      <w:r w:rsidR="006C1F41">
        <w:rPr>
          <w:rFonts w:cs="Arial"/>
          <w:szCs w:val="20"/>
        </w:rPr>
        <w:t xml:space="preserve"> a result, p</w:t>
      </w:r>
      <w:r w:rsidR="006C1F41" w:rsidRPr="006C1F41">
        <w:rPr>
          <w:rFonts w:cs="Arial"/>
          <w:szCs w:val="20"/>
        </w:rPr>
        <w:t>roviders' often report an inability to address the multiple unmet needs of service users due to limited sectoral capacity and the fragmented structure of service systems.</w:t>
      </w:r>
    </w:p>
    <w:p w14:paraId="45B7D74B" w14:textId="7019B2DA" w:rsidR="003E7D5D" w:rsidRDefault="004A46C2" w:rsidP="00535175">
      <w:pPr>
        <w:rPr>
          <w:rFonts w:cs="Arial"/>
          <w:szCs w:val="20"/>
        </w:rPr>
      </w:pPr>
      <w:r>
        <w:rPr>
          <w:rFonts w:cs="Arial"/>
          <w:szCs w:val="20"/>
        </w:rPr>
        <w:t xml:space="preserve">The lack </w:t>
      </w:r>
      <w:r w:rsidR="001C1678">
        <w:rPr>
          <w:rFonts w:cs="Arial"/>
          <w:szCs w:val="20"/>
        </w:rPr>
        <w:t xml:space="preserve">of adequate psychosocial support services illustrates these issues and </w:t>
      </w:r>
      <w:r w:rsidR="001A40B0">
        <w:rPr>
          <w:rFonts w:cs="Arial"/>
          <w:szCs w:val="20"/>
        </w:rPr>
        <w:t>the</w:t>
      </w:r>
      <w:r w:rsidR="001C1678">
        <w:rPr>
          <w:rFonts w:cs="Arial"/>
          <w:szCs w:val="20"/>
        </w:rPr>
        <w:t xml:space="preserve"> flow-on consequences for multiple services systems</w:t>
      </w:r>
      <w:r w:rsidR="00052CD7">
        <w:rPr>
          <w:rFonts w:cs="Arial"/>
          <w:szCs w:val="20"/>
        </w:rPr>
        <w:t>,</w:t>
      </w:r>
      <w:r w:rsidR="001C1678">
        <w:rPr>
          <w:rFonts w:cs="Arial"/>
          <w:szCs w:val="20"/>
        </w:rPr>
        <w:t xml:space="preserve"> including homelessness services, legal assistance, alcohol and drug services</w:t>
      </w:r>
      <w:r w:rsidR="00E0532D">
        <w:rPr>
          <w:rFonts w:cs="Arial"/>
          <w:szCs w:val="20"/>
        </w:rPr>
        <w:t>, and health services.</w:t>
      </w:r>
      <w:r w:rsidR="001C1678">
        <w:rPr>
          <w:rFonts w:cs="Arial"/>
          <w:szCs w:val="20"/>
        </w:rPr>
        <w:t xml:space="preserve"> </w:t>
      </w:r>
      <w:r w:rsidR="00E662D1">
        <w:rPr>
          <w:rFonts w:cs="Arial"/>
          <w:szCs w:val="20"/>
        </w:rPr>
        <w:t xml:space="preserve">Those experiencing trauma and mental illness </w:t>
      </w:r>
      <w:r w:rsidR="00F25A8A">
        <w:rPr>
          <w:rFonts w:cs="Arial"/>
          <w:szCs w:val="20"/>
        </w:rPr>
        <w:t xml:space="preserve">are often </w:t>
      </w:r>
      <w:r w:rsidR="000959D3">
        <w:rPr>
          <w:rFonts w:cs="Arial"/>
          <w:szCs w:val="20"/>
        </w:rPr>
        <w:t xml:space="preserve">ineligible </w:t>
      </w:r>
      <w:r w:rsidR="002E4B43">
        <w:rPr>
          <w:rFonts w:cs="Arial"/>
          <w:szCs w:val="20"/>
        </w:rPr>
        <w:t xml:space="preserve">for </w:t>
      </w:r>
      <w:r w:rsidR="005A1F7D">
        <w:rPr>
          <w:rFonts w:cs="Arial"/>
          <w:szCs w:val="20"/>
        </w:rPr>
        <w:t xml:space="preserve">any government-funded psychosocial supports, with </w:t>
      </w:r>
      <w:hyperlink r:id="rId16" w:history="1">
        <w:r w:rsidR="005A1F7D" w:rsidRPr="00E40288">
          <w:rPr>
            <w:rStyle w:val="Hyperlink"/>
            <w:rFonts w:cs="Arial"/>
            <w:szCs w:val="20"/>
          </w:rPr>
          <w:t>less than 25% of people with severe</w:t>
        </w:r>
        <w:r w:rsidR="00024796" w:rsidRPr="00E40288">
          <w:rPr>
            <w:rStyle w:val="Hyperlink"/>
            <w:rFonts w:cs="Arial"/>
            <w:szCs w:val="20"/>
          </w:rPr>
          <w:t xml:space="preserve"> mental ill health eligible for NDIS support</w:t>
        </w:r>
      </w:hyperlink>
      <w:r w:rsidR="00E40288">
        <w:rPr>
          <w:rFonts w:cs="Arial"/>
          <w:szCs w:val="20"/>
        </w:rPr>
        <w:t xml:space="preserve">. Meanwhile, the community mental health and crisis services that bridge this gap </w:t>
      </w:r>
      <w:r w:rsidR="00293627">
        <w:rPr>
          <w:rFonts w:cs="Arial"/>
          <w:szCs w:val="20"/>
        </w:rPr>
        <w:t xml:space="preserve">are severely underfunded, </w:t>
      </w:r>
      <w:r w:rsidR="00852E5F">
        <w:rPr>
          <w:rFonts w:cs="Arial"/>
          <w:szCs w:val="20"/>
        </w:rPr>
        <w:t xml:space="preserve">with per capita funding from the ACT Government having halved in the last decade. </w:t>
      </w:r>
      <w:r w:rsidR="00901F03">
        <w:rPr>
          <w:rFonts w:cs="Arial"/>
          <w:szCs w:val="20"/>
        </w:rPr>
        <w:t>In t</w:t>
      </w:r>
      <w:r w:rsidR="00AD3EDE" w:rsidRPr="00F976F1">
        <w:rPr>
          <w:rFonts w:cs="Arial"/>
          <w:szCs w:val="20"/>
        </w:rPr>
        <w:t xml:space="preserve">he ACT’s most recent </w:t>
      </w:r>
      <w:hyperlink r:id="rId17" w:tgtFrame="_blank" w:history="1">
        <w:r w:rsidR="00AD3EDE" w:rsidRPr="00F976F1">
          <w:rPr>
            <w:rStyle w:val="Hyperlink"/>
            <w:rFonts w:cs="Arial"/>
            <w:szCs w:val="20"/>
          </w:rPr>
          <w:t>Health Needs Assessment</w:t>
        </w:r>
      </w:hyperlink>
      <w:r w:rsidR="00901F03">
        <w:rPr>
          <w:rFonts w:cs="Arial"/>
          <w:szCs w:val="20"/>
        </w:rPr>
        <w:t xml:space="preserve">, respondents </w:t>
      </w:r>
      <w:r w:rsidR="00F76871">
        <w:rPr>
          <w:rFonts w:cs="Arial"/>
          <w:szCs w:val="20"/>
        </w:rPr>
        <w:t>identified</w:t>
      </w:r>
      <w:r w:rsidR="00901F03">
        <w:rPr>
          <w:rFonts w:cs="Arial"/>
          <w:szCs w:val="20"/>
        </w:rPr>
        <w:t xml:space="preserve"> a </w:t>
      </w:r>
      <w:r w:rsidR="00AD3EDE" w:rsidRPr="00F976F1">
        <w:rPr>
          <w:rFonts w:cs="Arial"/>
          <w:szCs w:val="20"/>
        </w:rPr>
        <w:t xml:space="preserve">lack of appropriate mental health services </w:t>
      </w:r>
      <w:r w:rsidR="007949F1">
        <w:rPr>
          <w:rFonts w:cs="Arial"/>
          <w:szCs w:val="20"/>
        </w:rPr>
        <w:t xml:space="preserve">as </w:t>
      </w:r>
      <w:r w:rsidR="00AD3EDE" w:rsidRPr="00F976F1">
        <w:rPr>
          <w:rFonts w:cs="Arial"/>
          <w:szCs w:val="20"/>
        </w:rPr>
        <w:t xml:space="preserve">the </w:t>
      </w:r>
      <w:r w:rsidR="007949F1">
        <w:rPr>
          <w:rFonts w:cs="Arial"/>
          <w:szCs w:val="20"/>
        </w:rPr>
        <w:t xml:space="preserve">ACT’s greatest </w:t>
      </w:r>
      <w:r w:rsidR="00AD3EDE" w:rsidRPr="00F976F1">
        <w:rPr>
          <w:rFonts w:cs="Arial"/>
          <w:szCs w:val="20"/>
        </w:rPr>
        <w:t>service gap.</w:t>
      </w:r>
      <w:r w:rsidR="002017CD">
        <w:rPr>
          <w:rFonts w:cs="Arial"/>
          <w:szCs w:val="20"/>
        </w:rPr>
        <w:t xml:space="preserve"> We know that traumatic incidents </w:t>
      </w:r>
      <w:r w:rsidR="00B7716E">
        <w:rPr>
          <w:rFonts w:cs="Arial"/>
          <w:szCs w:val="20"/>
        </w:rPr>
        <w:t xml:space="preserve">can feed into longer term mental health and wellbeing challenges, particularly where trauma goes without </w:t>
      </w:r>
      <w:r w:rsidR="00EA65F4">
        <w:rPr>
          <w:rFonts w:cs="Arial"/>
          <w:szCs w:val="20"/>
        </w:rPr>
        <w:t>appropriate intervention</w:t>
      </w:r>
      <w:r w:rsidR="00D02DD8">
        <w:rPr>
          <w:rFonts w:cs="Arial"/>
          <w:szCs w:val="20"/>
        </w:rPr>
        <w:t xml:space="preserve">. </w:t>
      </w:r>
    </w:p>
    <w:p w14:paraId="40506258" w14:textId="025C11DA" w:rsidR="00CC782F" w:rsidRDefault="00D02DD8" w:rsidP="00535175">
      <w:pPr>
        <w:rPr>
          <w:rFonts w:cs="Arial"/>
          <w:szCs w:val="20"/>
        </w:rPr>
      </w:pPr>
      <w:r w:rsidRPr="00F976F1">
        <w:rPr>
          <w:rFonts w:cs="Arial"/>
          <w:szCs w:val="20"/>
        </w:rPr>
        <w:t xml:space="preserve">In the ACT mental illness is the </w:t>
      </w:r>
      <w:hyperlink r:id="rId18" w:tgtFrame="_blank" w:history="1">
        <w:r w:rsidRPr="00F976F1">
          <w:rPr>
            <w:rStyle w:val="Hyperlink"/>
            <w:rFonts w:cs="Arial"/>
            <w:szCs w:val="20"/>
          </w:rPr>
          <w:t>leading cause of chronic disease</w:t>
        </w:r>
      </w:hyperlink>
      <w:r w:rsidRPr="00F976F1">
        <w:rPr>
          <w:rFonts w:cs="Arial"/>
          <w:szCs w:val="20"/>
        </w:rPr>
        <w:t xml:space="preserve">, and in the 2021 Census </w:t>
      </w:r>
      <w:hyperlink r:id="rId19" w:tgtFrame="_blank" w:history="1">
        <w:r w:rsidRPr="00F976F1">
          <w:rPr>
            <w:rStyle w:val="Hyperlink"/>
            <w:rFonts w:cs="Arial"/>
            <w:szCs w:val="20"/>
          </w:rPr>
          <w:t>10% of Canberrans declared a long-term mental health condition</w:t>
        </w:r>
      </w:hyperlink>
      <w:r w:rsidRPr="00F976F1">
        <w:rPr>
          <w:rFonts w:cs="Arial"/>
          <w:szCs w:val="20"/>
        </w:rPr>
        <w:t xml:space="preserve"> – representing the second highest rate in Australia.</w:t>
      </w:r>
      <w:r w:rsidR="00DB1CC0">
        <w:rPr>
          <w:rFonts w:cs="Arial"/>
          <w:szCs w:val="20"/>
        </w:rPr>
        <w:t xml:space="preserve"> </w:t>
      </w:r>
      <w:r w:rsidR="003E7D5D">
        <w:rPr>
          <w:rFonts w:cs="Arial"/>
          <w:szCs w:val="20"/>
        </w:rPr>
        <w:t>Further, t</w:t>
      </w:r>
      <w:r w:rsidR="003E7D5D" w:rsidRPr="00047D10">
        <w:rPr>
          <w:rFonts w:cs="Arial"/>
          <w:szCs w:val="20"/>
        </w:rPr>
        <w:t xml:space="preserve">he provision of psychosocial support services has been demonstrated to offer a </w:t>
      </w:r>
      <w:hyperlink r:id="rId20" w:tgtFrame="_blank" w:history="1">
        <w:r w:rsidR="003E7D5D" w:rsidRPr="00047D10">
          <w:rPr>
            <w:rStyle w:val="Hyperlink"/>
            <w:rFonts w:cs="Arial"/>
            <w:szCs w:val="20"/>
          </w:rPr>
          <w:t>38% reduction in the number of people hospitalised due to mental ill health</w:t>
        </w:r>
      </w:hyperlink>
      <w:r w:rsidR="003E7D5D" w:rsidRPr="00047D10">
        <w:rPr>
          <w:rFonts w:cs="Arial"/>
          <w:szCs w:val="20"/>
        </w:rPr>
        <w:t xml:space="preserve">. </w:t>
      </w:r>
      <w:r w:rsidR="00DB1CC0">
        <w:rPr>
          <w:rFonts w:cs="Arial"/>
          <w:szCs w:val="20"/>
        </w:rPr>
        <w:t xml:space="preserve">Despite incredibly high demand and clear evidence of the importance of </w:t>
      </w:r>
      <w:r w:rsidR="009E5970">
        <w:rPr>
          <w:rFonts w:cs="Arial"/>
          <w:szCs w:val="20"/>
        </w:rPr>
        <w:t xml:space="preserve">consistent supports for people struggling with mental ill health, </w:t>
      </w:r>
      <w:r w:rsidR="00B70008">
        <w:rPr>
          <w:rFonts w:cs="Arial"/>
          <w:szCs w:val="20"/>
        </w:rPr>
        <w:t>community sector organisations are</w:t>
      </w:r>
      <w:r w:rsidR="008E28F6">
        <w:rPr>
          <w:rFonts w:cs="Arial"/>
          <w:szCs w:val="20"/>
        </w:rPr>
        <w:t xml:space="preserve"> facing major </w:t>
      </w:r>
      <w:r w:rsidR="003078F7">
        <w:rPr>
          <w:rFonts w:cs="Arial"/>
          <w:szCs w:val="20"/>
        </w:rPr>
        <w:t xml:space="preserve">underinvestment and low indexation rates that significantly hinder capacity. </w:t>
      </w:r>
      <w:r w:rsidR="00CC782F" w:rsidRPr="00047D10">
        <w:rPr>
          <w:rFonts w:cs="Arial"/>
          <w:szCs w:val="20"/>
        </w:rPr>
        <w:t>ACTCOSS</w:t>
      </w:r>
      <w:r w:rsidR="00CC782F">
        <w:rPr>
          <w:rFonts w:cs="Arial"/>
          <w:szCs w:val="20"/>
        </w:rPr>
        <w:t>’</w:t>
      </w:r>
      <w:r w:rsidR="00CC782F" w:rsidRPr="00047D10">
        <w:rPr>
          <w:rFonts w:cs="Arial"/>
          <w:szCs w:val="20"/>
        </w:rPr>
        <w:t xml:space="preserve"> </w:t>
      </w:r>
      <w:hyperlink r:id="rId21" w:tgtFrame="_blank" w:history="1">
        <w:r w:rsidR="00CC782F" w:rsidRPr="00047D10">
          <w:rPr>
            <w:rStyle w:val="Hyperlink"/>
            <w:rFonts w:cs="Arial"/>
            <w:szCs w:val="20"/>
          </w:rPr>
          <w:t>Counting the Costs Report</w:t>
        </w:r>
      </w:hyperlink>
      <w:r w:rsidR="00CC782F" w:rsidRPr="00047D10">
        <w:rPr>
          <w:rFonts w:cs="Arial"/>
          <w:szCs w:val="20"/>
        </w:rPr>
        <w:t xml:space="preserve">, </w:t>
      </w:r>
      <w:r w:rsidR="00CC782F">
        <w:rPr>
          <w:rFonts w:cs="Arial"/>
          <w:szCs w:val="20"/>
        </w:rPr>
        <w:t xml:space="preserve">noted that only 22% of ACT </w:t>
      </w:r>
      <w:r w:rsidR="00C06139">
        <w:rPr>
          <w:rFonts w:cs="Arial"/>
          <w:szCs w:val="20"/>
        </w:rPr>
        <w:t>community service organisation leaders said they were adequately funded to employ enough staff to meet demand</w:t>
      </w:r>
      <w:r w:rsidR="00B97E97">
        <w:rPr>
          <w:rFonts w:cs="Arial"/>
          <w:szCs w:val="20"/>
        </w:rPr>
        <w:t>, and 39% reported that staff were required to perform tasks above their classification due to lack of funds.</w:t>
      </w:r>
    </w:p>
    <w:p w14:paraId="1F4A8548" w14:textId="18B72489" w:rsidR="009502FE" w:rsidRPr="004C1B30" w:rsidRDefault="00266EB7" w:rsidP="00F27810">
      <w:pPr>
        <w:rPr>
          <w:rFonts w:cs="Arial"/>
          <w:szCs w:val="20"/>
        </w:rPr>
      </w:pPr>
      <w:r>
        <w:rPr>
          <w:rFonts w:cs="Arial"/>
          <w:szCs w:val="20"/>
        </w:rPr>
        <w:t xml:space="preserve">Community sector mental health and crisis response organisations are key to </w:t>
      </w:r>
      <w:r w:rsidRPr="00B7047C">
        <w:rPr>
          <w:rFonts w:cs="Arial"/>
          <w:szCs w:val="20"/>
        </w:rPr>
        <w:t xml:space="preserve">the ACT Government’s approach to </w:t>
      </w:r>
      <w:r w:rsidR="00006CB6">
        <w:rPr>
          <w:rFonts w:cs="Arial"/>
          <w:szCs w:val="20"/>
        </w:rPr>
        <w:t>trauma support, particularly for</w:t>
      </w:r>
      <w:r w:rsidRPr="00B7047C">
        <w:rPr>
          <w:rFonts w:cs="Arial"/>
          <w:szCs w:val="20"/>
        </w:rPr>
        <w:t xml:space="preserve"> individuals and communities who are unable to access mainstream services due to accessibility, affordability, cultural or social concerns.</w:t>
      </w:r>
      <w:r w:rsidR="00701C60">
        <w:rPr>
          <w:rFonts w:cs="Arial"/>
          <w:szCs w:val="20"/>
        </w:rPr>
        <w:t xml:space="preserve"> Provision of sustainable, effective wraparound trauma supports for vulnerable people will require increased investment in the community sector. </w:t>
      </w:r>
    </w:p>
    <w:p w14:paraId="57C34FD4" w14:textId="244C4587" w:rsidR="00F27810" w:rsidRDefault="002647C6" w:rsidP="009502FE">
      <w:pPr>
        <w:pStyle w:val="Heading1"/>
      </w:pPr>
      <w:r>
        <w:t xml:space="preserve">Supporting Frontline Workers &amp; </w:t>
      </w:r>
      <w:r w:rsidR="00F27810">
        <w:t>Addressing Vicarious Trauma</w:t>
      </w:r>
    </w:p>
    <w:p w14:paraId="494BC36B" w14:textId="17A05D66" w:rsidR="00BC2064" w:rsidRDefault="00BC2064" w:rsidP="004C1B30">
      <w:pPr>
        <w:rPr>
          <w:rFonts w:cs="Arial"/>
          <w:szCs w:val="20"/>
        </w:rPr>
      </w:pPr>
      <w:r>
        <w:rPr>
          <w:rFonts w:cs="Arial"/>
          <w:szCs w:val="20"/>
        </w:rPr>
        <w:t xml:space="preserve">The </w:t>
      </w:r>
      <w:hyperlink r:id="rId22" w:history="1">
        <w:r w:rsidRPr="008D7228">
          <w:rPr>
            <w:rStyle w:val="Hyperlink"/>
            <w:rFonts w:cs="Arial"/>
            <w:szCs w:val="20"/>
          </w:rPr>
          <w:t>Terms of Reference</w:t>
        </w:r>
      </w:hyperlink>
      <w:r>
        <w:rPr>
          <w:rFonts w:cs="Arial"/>
          <w:szCs w:val="20"/>
        </w:rPr>
        <w:t xml:space="preserve"> for this Inquiry </w:t>
      </w:r>
      <w:r w:rsidR="00984D03">
        <w:rPr>
          <w:rFonts w:cs="Arial"/>
          <w:szCs w:val="20"/>
        </w:rPr>
        <w:t>reflect</w:t>
      </w:r>
      <w:r>
        <w:rPr>
          <w:rFonts w:cs="Arial"/>
          <w:szCs w:val="20"/>
        </w:rPr>
        <w:t xml:space="preserve"> the lack of attention paid to the role that community sector workers play in trauma response and support services</w:t>
      </w:r>
      <w:r w:rsidR="00FD1655">
        <w:rPr>
          <w:rFonts w:cs="Arial"/>
          <w:szCs w:val="20"/>
        </w:rPr>
        <w:t>,</w:t>
      </w:r>
      <w:r w:rsidR="00984D03">
        <w:rPr>
          <w:rFonts w:cs="Arial"/>
          <w:szCs w:val="20"/>
        </w:rPr>
        <w:t xml:space="preserve"> and the significant level of </w:t>
      </w:r>
      <w:r w:rsidR="00275973">
        <w:rPr>
          <w:rFonts w:cs="Arial"/>
          <w:szCs w:val="20"/>
        </w:rPr>
        <w:t xml:space="preserve">vicarious trauma experienced by frontline workers. </w:t>
      </w:r>
      <w:r w:rsidR="00FD1655">
        <w:rPr>
          <w:rFonts w:cs="Arial"/>
          <w:szCs w:val="20"/>
        </w:rPr>
        <w:t xml:space="preserve">We know that community sector </w:t>
      </w:r>
      <w:r w:rsidR="003971BE">
        <w:rPr>
          <w:rFonts w:cs="Arial"/>
          <w:szCs w:val="20"/>
        </w:rPr>
        <w:t>services</w:t>
      </w:r>
      <w:r w:rsidR="00FD1655">
        <w:rPr>
          <w:rFonts w:cs="Arial"/>
          <w:szCs w:val="20"/>
        </w:rPr>
        <w:t xml:space="preserve"> are on the frontline </w:t>
      </w:r>
      <w:r w:rsidR="003971BE">
        <w:rPr>
          <w:rFonts w:cs="Arial"/>
          <w:szCs w:val="20"/>
        </w:rPr>
        <w:t>of responding to traumatic incidents, with staff frequently dealing with clients in the immediate aftermath or during traumatic incidents.</w:t>
      </w:r>
      <w:r w:rsidR="001F207A">
        <w:rPr>
          <w:rFonts w:cs="Arial"/>
          <w:szCs w:val="20"/>
        </w:rPr>
        <w:t xml:space="preserve"> </w:t>
      </w:r>
      <w:r w:rsidR="007C4B31" w:rsidRPr="007C4B31">
        <w:rPr>
          <w:rFonts w:cs="Arial"/>
          <w:szCs w:val="20"/>
        </w:rPr>
        <w:t xml:space="preserve">The Australian Services Union’s Report </w:t>
      </w:r>
      <w:hyperlink r:id="rId23" w:history="1">
        <w:r w:rsidR="007C4B31" w:rsidRPr="007C4B31">
          <w:rPr>
            <w:rStyle w:val="Hyperlink"/>
            <w:rFonts w:cs="Arial"/>
            <w:szCs w:val="20"/>
          </w:rPr>
          <w:t>Building Social Inclusion in Australia</w:t>
        </w:r>
      </w:hyperlink>
      <w:r w:rsidR="007C4B31" w:rsidRPr="007C4B31">
        <w:rPr>
          <w:rFonts w:cs="Arial"/>
          <w:szCs w:val="20"/>
        </w:rPr>
        <w:t xml:space="preserve"> </w:t>
      </w:r>
      <w:r w:rsidR="00621F90">
        <w:rPr>
          <w:rFonts w:cs="Arial"/>
          <w:szCs w:val="20"/>
        </w:rPr>
        <w:t xml:space="preserve">included a survey of community services finding </w:t>
      </w:r>
      <w:r w:rsidR="00335590">
        <w:rPr>
          <w:rFonts w:cs="Arial"/>
          <w:szCs w:val="20"/>
        </w:rPr>
        <w:t xml:space="preserve">high rates of workplace injury, with </w:t>
      </w:r>
      <w:r w:rsidR="00976F4C">
        <w:rPr>
          <w:rFonts w:cs="Arial"/>
          <w:szCs w:val="20"/>
        </w:rPr>
        <w:t>22% of incidents were caused by mental stress.</w:t>
      </w:r>
      <w:r w:rsidR="005A1885">
        <w:rPr>
          <w:rFonts w:cs="Arial"/>
          <w:szCs w:val="20"/>
        </w:rPr>
        <w:t xml:space="preserve"> </w:t>
      </w:r>
      <w:r w:rsidR="00A70B41">
        <w:rPr>
          <w:rFonts w:cs="Arial"/>
          <w:szCs w:val="20"/>
        </w:rPr>
        <w:t xml:space="preserve">Community sector workers need </w:t>
      </w:r>
      <w:r w:rsidR="005A1885">
        <w:rPr>
          <w:rFonts w:cs="Arial"/>
          <w:szCs w:val="20"/>
        </w:rPr>
        <w:t xml:space="preserve">improved </w:t>
      </w:r>
      <w:r w:rsidR="00A70B41">
        <w:rPr>
          <w:rFonts w:cs="Arial"/>
          <w:szCs w:val="20"/>
        </w:rPr>
        <w:t xml:space="preserve">supports to </w:t>
      </w:r>
      <w:r w:rsidR="001F207A">
        <w:rPr>
          <w:rFonts w:cs="Arial"/>
          <w:szCs w:val="20"/>
        </w:rPr>
        <w:t xml:space="preserve">continuing playing a vital role in </w:t>
      </w:r>
      <w:r w:rsidR="005A1885">
        <w:rPr>
          <w:rFonts w:cs="Arial"/>
          <w:szCs w:val="20"/>
        </w:rPr>
        <w:t xml:space="preserve">supporting clients and </w:t>
      </w:r>
      <w:r w:rsidR="001F207A">
        <w:rPr>
          <w:rFonts w:cs="Arial"/>
          <w:szCs w:val="20"/>
        </w:rPr>
        <w:t xml:space="preserve">responding to traumatic incidents. </w:t>
      </w:r>
    </w:p>
    <w:p w14:paraId="28E911A9" w14:textId="5EA7CE00" w:rsidR="000442DF" w:rsidRDefault="007315BD" w:rsidP="3D946CAF">
      <w:pPr>
        <w:rPr>
          <w:rFonts w:cs="Arial"/>
        </w:rPr>
      </w:pPr>
      <w:r w:rsidRPr="3D946CAF">
        <w:rPr>
          <w:rFonts w:cs="Arial"/>
        </w:rPr>
        <w:t xml:space="preserve">Frontline community workers are regularly subject to secondary traumatic stress </w:t>
      </w:r>
      <w:r w:rsidR="006E34D9" w:rsidRPr="3D946CAF">
        <w:rPr>
          <w:rFonts w:cs="Arial"/>
        </w:rPr>
        <w:t xml:space="preserve">and vicarious trauma. </w:t>
      </w:r>
      <w:r w:rsidR="00D80DAC" w:rsidRPr="3D946CAF">
        <w:rPr>
          <w:rFonts w:cs="Arial"/>
        </w:rPr>
        <w:t xml:space="preserve">Repeated exposure and empathic engagement </w:t>
      </w:r>
      <w:r w:rsidR="0060501E" w:rsidRPr="3D946CAF">
        <w:rPr>
          <w:rFonts w:cs="Arial"/>
        </w:rPr>
        <w:t>with clients who have experienced trauma has a significant impact on the mental health of sector workers</w:t>
      </w:r>
      <w:r w:rsidR="00F776AC" w:rsidRPr="3D946CAF">
        <w:rPr>
          <w:rFonts w:cs="Arial"/>
        </w:rPr>
        <w:t xml:space="preserve"> and their ability to provide services. A lack of investment</w:t>
      </w:r>
      <w:r w:rsidR="00484576" w:rsidRPr="3D946CAF">
        <w:rPr>
          <w:rFonts w:cs="Arial"/>
        </w:rPr>
        <w:t xml:space="preserve">, </w:t>
      </w:r>
      <w:r w:rsidR="00F615F5" w:rsidRPr="3D946CAF">
        <w:rPr>
          <w:rFonts w:cs="Arial"/>
        </w:rPr>
        <w:t>development,</w:t>
      </w:r>
      <w:r w:rsidR="00484576" w:rsidRPr="3D946CAF">
        <w:rPr>
          <w:rFonts w:cs="Arial"/>
        </w:rPr>
        <w:t xml:space="preserve"> and implementation of </w:t>
      </w:r>
      <w:r w:rsidR="00E66F34" w:rsidRPr="3D946CAF">
        <w:rPr>
          <w:rFonts w:cs="Arial"/>
        </w:rPr>
        <w:t xml:space="preserve">vicarious trauma interventions for service providers </w:t>
      </w:r>
      <w:r w:rsidR="007715B4" w:rsidRPr="3D946CAF">
        <w:rPr>
          <w:rFonts w:cs="Arial"/>
        </w:rPr>
        <w:t>(including psychoeducation</w:t>
      </w:r>
      <w:r w:rsidR="00D24E59">
        <w:rPr>
          <w:rFonts w:cs="Arial"/>
        </w:rPr>
        <w:t xml:space="preserve"> and </w:t>
      </w:r>
      <w:r w:rsidR="00B07C51">
        <w:rPr>
          <w:rFonts w:cs="Arial"/>
        </w:rPr>
        <w:t>clinical</w:t>
      </w:r>
      <w:r w:rsidR="00D24E59">
        <w:rPr>
          <w:rFonts w:cs="Arial"/>
        </w:rPr>
        <w:t xml:space="preserve"> supervision programs</w:t>
      </w:r>
      <w:r w:rsidR="007715B4" w:rsidRPr="3D946CAF">
        <w:rPr>
          <w:rFonts w:cs="Arial"/>
        </w:rPr>
        <w:t>) needs to be redressed to ensure organisational safety for workers.</w:t>
      </w:r>
      <w:r w:rsidR="008B1DC7" w:rsidRPr="3D946CAF">
        <w:rPr>
          <w:rStyle w:val="FootnoteReference"/>
          <w:rFonts w:cs="Arial"/>
        </w:rPr>
        <w:footnoteReference w:id="3"/>
      </w:r>
      <w:r w:rsidR="00DE4294" w:rsidRPr="3D946CAF">
        <w:rPr>
          <w:rFonts w:cs="Arial"/>
        </w:rPr>
        <w:t xml:space="preserve"> </w:t>
      </w:r>
      <w:r w:rsidR="000442DF" w:rsidRPr="3D946CAF">
        <w:rPr>
          <w:rFonts w:cs="Arial"/>
        </w:rPr>
        <w:t xml:space="preserve">Organisations rarely </w:t>
      </w:r>
      <w:r w:rsidR="00513BD9" w:rsidRPr="3D946CAF">
        <w:rPr>
          <w:rFonts w:cs="Arial"/>
        </w:rPr>
        <w:t>act preventatively or proactively to address vicarious trauma in staff</w:t>
      </w:r>
      <w:r w:rsidR="00E9293C" w:rsidRPr="3D946CAF">
        <w:rPr>
          <w:rFonts w:cs="Arial"/>
        </w:rPr>
        <w:t xml:space="preserve">, despite evidence of </w:t>
      </w:r>
      <w:r w:rsidR="000442DF" w:rsidRPr="3D946CAF">
        <w:rPr>
          <w:rFonts w:cs="Arial"/>
        </w:rPr>
        <w:t xml:space="preserve">vicarious trauma being a </w:t>
      </w:r>
      <w:r w:rsidR="002830B3" w:rsidRPr="3D946CAF">
        <w:rPr>
          <w:rFonts w:cs="Arial"/>
        </w:rPr>
        <w:t xml:space="preserve">significant </w:t>
      </w:r>
      <w:r w:rsidR="000442DF" w:rsidRPr="3D946CAF">
        <w:rPr>
          <w:rFonts w:cs="Arial"/>
        </w:rPr>
        <w:t xml:space="preserve">work health and safety </w:t>
      </w:r>
      <w:r w:rsidR="38E906C3" w:rsidRPr="3D946CAF">
        <w:rPr>
          <w:rFonts w:cs="Arial"/>
        </w:rPr>
        <w:t xml:space="preserve">(WHS) </w:t>
      </w:r>
      <w:r w:rsidR="000442DF" w:rsidRPr="3D946CAF">
        <w:rPr>
          <w:rFonts w:cs="Arial"/>
        </w:rPr>
        <w:t>issue</w:t>
      </w:r>
      <w:r w:rsidR="002830B3" w:rsidRPr="3D946CAF">
        <w:rPr>
          <w:rFonts w:cs="Arial"/>
        </w:rPr>
        <w:t>.</w:t>
      </w:r>
      <w:r w:rsidR="002830B3" w:rsidRPr="3D946CAF">
        <w:rPr>
          <w:rStyle w:val="FootnoteReference"/>
          <w:rFonts w:cs="Arial"/>
        </w:rPr>
        <w:footnoteReference w:id="4"/>
      </w:r>
      <w:r w:rsidR="00EE0FFE" w:rsidRPr="3D946CAF">
        <w:rPr>
          <w:rFonts w:cs="Arial"/>
        </w:rPr>
        <w:t xml:space="preserve"> </w:t>
      </w:r>
      <w:r w:rsidR="008A3567" w:rsidRPr="3D946CAF">
        <w:rPr>
          <w:rFonts w:cs="Arial"/>
        </w:rPr>
        <w:t>In the community sector, u</w:t>
      </w:r>
      <w:r w:rsidR="000442DF" w:rsidRPr="3D946CAF">
        <w:rPr>
          <w:rFonts w:cs="Arial"/>
        </w:rPr>
        <w:t xml:space="preserve">nderfunding and </w:t>
      </w:r>
      <w:r w:rsidR="006E1E24">
        <w:rPr>
          <w:rFonts w:cs="Arial"/>
        </w:rPr>
        <w:t xml:space="preserve">high </w:t>
      </w:r>
      <w:r w:rsidR="00362E87">
        <w:rPr>
          <w:rFonts w:cs="Arial"/>
        </w:rPr>
        <w:t xml:space="preserve">service </w:t>
      </w:r>
      <w:r w:rsidR="006E1E24">
        <w:rPr>
          <w:rFonts w:cs="Arial"/>
        </w:rPr>
        <w:t>demand</w:t>
      </w:r>
      <w:r w:rsidR="000442DF" w:rsidRPr="3D946CAF">
        <w:rPr>
          <w:rFonts w:cs="Arial"/>
        </w:rPr>
        <w:t xml:space="preserve"> </w:t>
      </w:r>
      <w:r w:rsidR="008A3567" w:rsidRPr="3D946CAF">
        <w:rPr>
          <w:rFonts w:cs="Arial"/>
        </w:rPr>
        <w:t>play a major role in exacerbating th</w:t>
      </w:r>
      <w:r w:rsidR="00D46273" w:rsidRPr="3D946CAF">
        <w:rPr>
          <w:rFonts w:cs="Arial"/>
        </w:rPr>
        <w:t>ese</w:t>
      </w:r>
      <w:r w:rsidR="008A3567" w:rsidRPr="3D946CAF">
        <w:rPr>
          <w:rFonts w:cs="Arial"/>
        </w:rPr>
        <w:t xml:space="preserve"> </w:t>
      </w:r>
      <w:r w:rsidR="00D46273" w:rsidRPr="3D946CAF">
        <w:rPr>
          <w:rFonts w:cs="Arial"/>
        </w:rPr>
        <w:t>risks.</w:t>
      </w:r>
      <w:r w:rsidR="00843A9A" w:rsidRPr="3D946CAF">
        <w:rPr>
          <w:rFonts w:cs="Arial"/>
        </w:rPr>
        <w:t xml:space="preserve"> Given that it is near impossible to eliminate the risk of exposure to vicarious trauma for people in frontline support services, </w:t>
      </w:r>
      <w:r w:rsidR="007A4162" w:rsidRPr="3D946CAF">
        <w:rPr>
          <w:rFonts w:cs="Arial"/>
        </w:rPr>
        <w:t xml:space="preserve">it is </w:t>
      </w:r>
      <w:r w:rsidR="001729CF">
        <w:rPr>
          <w:rFonts w:cs="Arial"/>
        </w:rPr>
        <w:t>imperative</w:t>
      </w:r>
      <w:r w:rsidR="007A4162" w:rsidRPr="3D946CAF">
        <w:rPr>
          <w:rFonts w:cs="Arial"/>
        </w:rPr>
        <w:t xml:space="preserve"> community organisations </w:t>
      </w:r>
      <w:r w:rsidR="00362E87">
        <w:rPr>
          <w:rFonts w:cs="Arial"/>
        </w:rPr>
        <w:t>are</w:t>
      </w:r>
      <w:r w:rsidR="007A4162" w:rsidRPr="3D946CAF">
        <w:rPr>
          <w:rFonts w:cs="Arial"/>
        </w:rPr>
        <w:t xml:space="preserve"> funded to manage risks</w:t>
      </w:r>
      <w:r w:rsidR="00362E87">
        <w:rPr>
          <w:rFonts w:cs="Arial"/>
        </w:rPr>
        <w:t xml:space="preserve"> and support staff,</w:t>
      </w:r>
      <w:r w:rsidR="007A4162" w:rsidRPr="3D946CAF">
        <w:rPr>
          <w:rFonts w:cs="Arial"/>
        </w:rPr>
        <w:t xml:space="preserve"> including </w:t>
      </w:r>
      <w:r w:rsidR="00995985">
        <w:rPr>
          <w:rFonts w:cs="Arial"/>
        </w:rPr>
        <w:t xml:space="preserve">through </w:t>
      </w:r>
      <w:r w:rsidR="008973FE">
        <w:rPr>
          <w:rFonts w:cs="Arial"/>
        </w:rPr>
        <w:t xml:space="preserve">the </w:t>
      </w:r>
      <w:r w:rsidR="00862413" w:rsidRPr="3D946CAF">
        <w:rPr>
          <w:rFonts w:cs="Arial"/>
        </w:rPr>
        <w:t xml:space="preserve">development of evidence-based approaches, </w:t>
      </w:r>
      <w:r w:rsidR="00066E16">
        <w:rPr>
          <w:rFonts w:cs="Arial"/>
        </w:rPr>
        <w:t xml:space="preserve">regular supervision, </w:t>
      </w:r>
      <w:r w:rsidR="006B65CD">
        <w:rPr>
          <w:rFonts w:cs="Arial"/>
        </w:rPr>
        <w:t xml:space="preserve">peer support, realistic caseloads, </w:t>
      </w:r>
      <w:r w:rsidR="00862413" w:rsidRPr="3D946CAF">
        <w:rPr>
          <w:rFonts w:cs="Arial"/>
        </w:rPr>
        <w:t xml:space="preserve">training programs, appropriate </w:t>
      </w:r>
      <w:r w:rsidR="00683F3B" w:rsidRPr="3D946CAF">
        <w:rPr>
          <w:rFonts w:cs="Arial"/>
        </w:rPr>
        <w:t>administrative management,</w:t>
      </w:r>
      <w:r w:rsidR="00CF4BF0" w:rsidRPr="3D946CAF">
        <w:rPr>
          <w:rFonts w:cs="Arial"/>
        </w:rPr>
        <w:t xml:space="preserve"> access to</w:t>
      </w:r>
      <w:r w:rsidR="004561CF" w:rsidRPr="3D946CAF">
        <w:rPr>
          <w:rFonts w:cs="Arial"/>
        </w:rPr>
        <w:t xml:space="preserve"> external</w:t>
      </w:r>
      <w:r w:rsidR="00CF4BF0" w:rsidRPr="3D946CAF">
        <w:rPr>
          <w:rFonts w:cs="Arial"/>
        </w:rPr>
        <w:t xml:space="preserve"> </w:t>
      </w:r>
      <w:r w:rsidR="004561CF" w:rsidRPr="3D946CAF">
        <w:rPr>
          <w:rFonts w:cs="Arial"/>
        </w:rPr>
        <w:t>Employee Assistance Programs,</w:t>
      </w:r>
      <w:r w:rsidR="00683F3B" w:rsidRPr="3D946CAF">
        <w:rPr>
          <w:rFonts w:cs="Arial"/>
        </w:rPr>
        <w:t xml:space="preserve"> and</w:t>
      </w:r>
      <w:r w:rsidR="00862413" w:rsidRPr="3D946CAF">
        <w:rPr>
          <w:rFonts w:cs="Arial"/>
        </w:rPr>
        <w:t xml:space="preserve"> vicarious trauma management programs. </w:t>
      </w:r>
    </w:p>
    <w:p w14:paraId="1E43112C" w14:textId="3A927241" w:rsidR="00DA49AD" w:rsidRDefault="00DA49AD" w:rsidP="004C1B30">
      <w:pPr>
        <w:rPr>
          <w:rFonts w:cs="Arial"/>
          <w:szCs w:val="20"/>
        </w:rPr>
      </w:pPr>
      <w:r>
        <w:rPr>
          <w:rFonts w:cs="Arial"/>
          <w:szCs w:val="20"/>
        </w:rPr>
        <w:t xml:space="preserve">Community sector workers often face an additional barrier to accessing personal supports given potential discomfort associated with accessing the services that they work for or alongside. The conflict between professional and personal interactions with local services is heightened by the geography and population of Canberra. This issue reinforces the need for community sector staff to receive free access to debriefing and mental health care services through external Employee Assistance Programs. Further, for staff with lived experience of disadvantage and trauma, a lack of comprehensive workforce supports poses heightened risks of stress and re-traumatisation, pushing these highly valuable staff away from the sector. </w:t>
      </w:r>
    </w:p>
    <w:p w14:paraId="6893833E" w14:textId="03D86AF7" w:rsidR="00F261F3" w:rsidRDefault="00E6410F" w:rsidP="00F261F3">
      <w:pPr>
        <w:rPr>
          <w:rFonts w:cs="Arial"/>
          <w:szCs w:val="20"/>
        </w:rPr>
      </w:pPr>
      <w:r>
        <w:rPr>
          <w:rFonts w:cs="Arial"/>
          <w:szCs w:val="20"/>
        </w:rPr>
        <w:t>High levels of staff burnout pose a major challenge to retention rates</w:t>
      </w:r>
      <w:r w:rsidR="00D23371">
        <w:rPr>
          <w:rFonts w:cs="Arial"/>
          <w:szCs w:val="20"/>
        </w:rPr>
        <w:t xml:space="preserve">, attrition and </w:t>
      </w:r>
      <w:r w:rsidR="005E5B5D">
        <w:rPr>
          <w:rFonts w:cs="Arial"/>
          <w:szCs w:val="20"/>
        </w:rPr>
        <w:t xml:space="preserve">increasing demand and workloads for individual staff. </w:t>
      </w:r>
      <w:r w:rsidR="00892DED">
        <w:rPr>
          <w:rFonts w:cs="Arial"/>
          <w:szCs w:val="20"/>
        </w:rPr>
        <w:t>ACT c</w:t>
      </w:r>
      <w:r w:rsidR="00E17997">
        <w:rPr>
          <w:rFonts w:cs="Arial"/>
          <w:szCs w:val="20"/>
        </w:rPr>
        <w:t xml:space="preserve">ommunity sector leaders have described </w:t>
      </w:r>
      <w:r w:rsidR="00CD0B4D">
        <w:rPr>
          <w:rFonts w:cs="Arial"/>
          <w:szCs w:val="20"/>
        </w:rPr>
        <w:t>a lack of resources</w:t>
      </w:r>
      <w:r w:rsidR="00892DED">
        <w:rPr>
          <w:rFonts w:cs="Arial"/>
          <w:szCs w:val="20"/>
        </w:rPr>
        <w:t xml:space="preserve"> as leaving </w:t>
      </w:r>
      <w:hyperlink r:id="rId24" w:history="1">
        <w:r w:rsidR="00892DED" w:rsidRPr="00AE1889">
          <w:rPr>
            <w:rStyle w:val="Hyperlink"/>
            <w:rFonts w:cs="Arial"/>
            <w:szCs w:val="20"/>
          </w:rPr>
          <w:t>staff severely overworked and at risk of burnout</w:t>
        </w:r>
      </w:hyperlink>
      <w:r w:rsidR="00AE1889">
        <w:rPr>
          <w:rFonts w:cs="Arial"/>
          <w:szCs w:val="20"/>
        </w:rPr>
        <w:t xml:space="preserve">. </w:t>
      </w:r>
      <w:r w:rsidR="00110823">
        <w:rPr>
          <w:rFonts w:cs="Arial"/>
          <w:szCs w:val="20"/>
        </w:rPr>
        <w:t>ACTCOSS’</w:t>
      </w:r>
      <w:r w:rsidR="008A18A0">
        <w:rPr>
          <w:rFonts w:cs="Arial"/>
          <w:szCs w:val="20"/>
        </w:rPr>
        <w:t xml:space="preserve"> </w:t>
      </w:r>
      <w:hyperlink r:id="rId25" w:tgtFrame="_blank" w:history="1">
        <w:r w:rsidR="00110823">
          <w:rPr>
            <w:rStyle w:val="Hyperlink"/>
            <w:rFonts w:cs="Arial"/>
            <w:szCs w:val="20"/>
          </w:rPr>
          <w:t>2023 ACT Community Sector Snapshot</w:t>
        </w:r>
      </w:hyperlink>
      <w:r w:rsidR="008A18A0">
        <w:rPr>
          <w:rFonts w:cs="Arial"/>
          <w:szCs w:val="20"/>
        </w:rPr>
        <w:t xml:space="preserve"> </w:t>
      </w:r>
      <w:r w:rsidR="00F5456F">
        <w:rPr>
          <w:rFonts w:cs="Arial"/>
          <w:szCs w:val="20"/>
        </w:rPr>
        <w:t>reported that m</w:t>
      </w:r>
      <w:r w:rsidR="00F261F3" w:rsidRPr="004961A4">
        <w:rPr>
          <w:rFonts w:cs="Arial"/>
          <w:szCs w:val="20"/>
        </w:rPr>
        <w:t>ore than 80% of CEOs and Senior Managers said they received insufficient funding to employ enough staff</w:t>
      </w:r>
      <w:r w:rsidR="00F5456F">
        <w:rPr>
          <w:rFonts w:cs="Arial"/>
          <w:szCs w:val="20"/>
        </w:rPr>
        <w:t>, with</w:t>
      </w:r>
      <w:r w:rsidR="00F261F3" w:rsidRPr="004961A4">
        <w:rPr>
          <w:rFonts w:cs="Arial"/>
          <w:szCs w:val="20"/>
        </w:rPr>
        <w:t xml:space="preserve"> no organisations funded for backfilling staff absences. </w:t>
      </w:r>
      <w:r w:rsidR="003F27EB">
        <w:rPr>
          <w:rFonts w:cs="Arial"/>
          <w:szCs w:val="20"/>
        </w:rPr>
        <w:t xml:space="preserve">Understaffing in combination with limited funding has </w:t>
      </w:r>
      <w:r w:rsidR="00454D1C">
        <w:rPr>
          <w:rFonts w:cs="Arial"/>
          <w:szCs w:val="20"/>
        </w:rPr>
        <w:t xml:space="preserve">exacerbated </w:t>
      </w:r>
      <w:r w:rsidR="00F261F3" w:rsidRPr="004961A4">
        <w:rPr>
          <w:rFonts w:cs="Arial"/>
          <w:szCs w:val="20"/>
        </w:rPr>
        <w:t>pressure on existing staff, leading to increased stress and burnout</w:t>
      </w:r>
      <w:r w:rsidR="00454D1C">
        <w:rPr>
          <w:rFonts w:cs="Arial"/>
          <w:szCs w:val="20"/>
        </w:rPr>
        <w:t xml:space="preserve">. </w:t>
      </w:r>
    </w:p>
    <w:p w14:paraId="11F7A632" w14:textId="3BD858E6" w:rsidR="005E5B5D" w:rsidRDefault="001864A3" w:rsidP="00B50635">
      <w:pPr>
        <w:rPr>
          <w:rFonts w:cs="Arial"/>
          <w:szCs w:val="20"/>
        </w:rPr>
      </w:pPr>
      <w:r>
        <w:rPr>
          <w:rFonts w:cs="Arial"/>
          <w:szCs w:val="20"/>
        </w:rPr>
        <w:t>Poor mental health of community sector staff has ripple effects for the broader community</w:t>
      </w:r>
      <w:r w:rsidR="00A92DB3">
        <w:rPr>
          <w:rFonts w:cs="Arial"/>
          <w:szCs w:val="20"/>
        </w:rPr>
        <w:t xml:space="preserve">, with </w:t>
      </w:r>
      <w:r w:rsidR="005E5B5D" w:rsidRPr="00047D10">
        <w:rPr>
          <w:rFonts w:cs="Arial"/>
          <w:szCs w:val="20"/>
        </w:rPr>
        <w:t>ad-hoc</w:t>
      </w:r>
      <w:r w:rsidR="00A92DB3">
        <w:rPr>
          <w:rFonts w:cs="Arial"/>
          <w:szCs w:val="20"/>
        </w:rPr>
        <w:t xml:space="preserve"> and insufficient</w:t>
      </w:r>
      <w:r w:rsidR="005E5B5D" w:rsidRPr="00047D10">
        <w:rPr>
          <w:rFonts w:cs="Arial"/>
          <w:szCs w:val="20"/>
        </w:rPr>
        <w:t xml:space="preserve"> funding arrangements, and inadequate indexation </w:t>
      </w:r>
      <w:r w:rsidR="00493C0F">
        <w:rPr>
          <w:rFonts w:cs="Arial"/>
          <w:szCs w:val="20"/>
        </w:rPr>
        <w:t>leaving services unable to meet community demand</w:t>
      </w:r>
      <w:r w:rsidR="005E5B5D" w:rsidRPr="00047D10">
        <w:rPr>
          <w:rFonts w:cs="Arial"/>
          <w:szCs w:val="20"/>
        </w:rPr>
        <w:t xml:space="preserve">. </w:t>
      </w:r>
      <w:r w:rsidR="00263CD2">
        <w:rPr>
          <w:rFonts w:cs="Arial"/>
          <w:szCs w:val="20"/>
        </w:rPr>
        <w:t>With increasing levels of demand across the sector</w:t>
      </w:r>
      <w:r w:rsidR="00191C69">
        <w:rPr>
          <w:rFonts w:cs="Arial"/>
          <w:szCs w:val="20"/>
        </w:rPr>
        <w:t xml:space="preserve">, as well as growing complexity of need, </w:t>
      </w:r>
      <w:hyperlink r:id="rId26" w:history="1">
        <w:r w:rsidR="007B7282">
          <w:rPr>
            <w:rStyle w:val="Hyperlink"/>
            <w:rFonts w:cs="Arial"/>
            <w:szCs w:val="20"/>
          </w:rPr>
          <w:t>only 4% of organisations were always able to meet demand in 2022</w:t>
        </w:r>
      </w:hyperlink>
      <w:r w:rsidR="007B7282">
        <w:rPr>
          <w:rFonts w:cs="Arial"/>
          <w:szCs w:val="20"/>
        </w:rPr>
        <w:t xml:space="preserve">, and most organisations have had to turn away clients and increase wait times. </w:t>
      </w:r>
    </w:p>
    <w:p w14:paraId="4E0A6472" w14:textId="100D6D7D" w:rsidR="00A845D5" w:rsidRPr="0026311A" w:rsidRDefault="00A845D5" w:rsidP="00A845D5">
      <w:pPr>
        <w:pStyle w:val="Heading2"/>
      </w:pPr>
      <w:r w:rsidRPr="0026311A">
        <w:t>Recommendations</w:t>
      </w:r>
    </w:p>
    <w:p w14:paraId="17F87B99" w14:textId="05D0BD3F" w:rsidR="00B949C6" w:rsidRPr="00B949C6" w:rsidRDefault="00F91ECF" w:rsidP="00BC29E6">
      <w:pPr>
        <w:pStyle w:val="ListParagraph"/>
        <w:numPr>
          <w:ilvl w:val="0"/>
          <w:numId w:val="1"/>
        </w:numPr>
      </w:pPr>
      <w:r>
        <w:rPr>
          <w:rFonts w:cs="Arial"/>
        </w:rPr>
        <w:t xml:space="preserve">Acknowledging </w:t>
      </w:r>
      <w:r w:rsidR="000C289B">
        <w:rPr>
          <w:rFonts w:cs="Arial"/>
        </w:rPr>
        <w:t>the need for trauma</w:t>
      </w:r>
      <w:r w:rsidR="00CD17D9">
        <w:rPr>
          <w:rFonts w:cs="Arial"/>
        </w:rPr>
        <w:t>-</w:t>
      </w:r>
      <w:r w:rsidR="006A3356">
        <w:rPr>
          <w:rFonts w:cs="Arial"/>
        </w:rPr>
        <w:t xml:space="preserve">informed care and its associated costs as part of the commissioning process </w:t>
      </w:r>
      <w:r w:rsidR="00B949C6">
        <w:rPr>
          <w:rFonts w:cs="Arial"/>
        </w:rPr>
        <w:t>for relevant services</w:t>
      </w:r>
      <w:r w:rsidR="000A5A03">
        <w:rPr>
          <w:rFonts w:cs="Arial"/>
        </w:rPr>
        <w:t xml:space="preserve"> in the community sector</w:t>
      </w:r>
      <w:r w:rsidR="00B949C6">
        <w:rPr>
          <w:rFonts w:cs="Arial"/>
        </w:rPr>
        <w:t xml:space="preserve">. </w:t>
      </w:r>
    </w:p>
    <w:p w14:paraId="749A81CD" w14:textId="77777777" w:rsidR="00A90E7D" w:rsidRPr="00A90E7D" w:rsidRDefault="003F028C" w:rsidP="007F2D88">
      <w:pPr>
        <w:pStyle w:val="ListParagraph"/>
        <w:numPr>
          <w:ilvl w:val="0"/>
          <w:numId w:val="1"/>
        </w:numPr>
      </w:pPr>
      <w:r>
        <w:rPr>
          <w:rFonts w:cs="Arial"/>
          <w:szCs w:val="20"/>
        </w:rPr>
        <w:t>P</w:t>
      </w:r>
      <w:r w:rsidR="00381F70" w:rsidRPr="00A90E7D">
        <w:rPr>
          <w:rFonts w:cs="Arial"/>
          <w:szCs w:val="20"/>
        </w:rPr>
        <w:t xml:space="preserve">roviding funding that enables community sector </w:t>
      </w:r>
      <w:r w:rsidR="00603B95" w:rsidRPr="00A90E7D">
        <w:rPr>
          <w:rFonts w:cs="Arial"/>
          <w:szCs w:val="20"/>
        </w:rPr>
        <w:t>organisations</w:t>
      </w:r>
      <w:r w:rsidR="00381F70" w:rsidRPr="00A90E7D">
        <w:rPr>
          <w:rFonts w:cs="Arial"/>
          <w:szCs w:val="20"/>
        </w:rPr>
        <w:t xml:space="preserve"> to incorporate protective factors for workers in traumatic settings and roles, including funding to cover the costs of staffing and enable realistic caseloads, regular supervision, training, and </w:t>
      </w:r>
      <w:r w:rsidR="00381F70" w:rsidRPr="0026311A">
        <w:rPr>
          <w:rFonts w:cs="Arial"/>
          <w:szCs w:val="20"/>
        </w:rPr>
        <w:t>access to external Employee Assistance Programs</w:t>
      </w:r>
      <w:r w:rsidR="00381F70" w:rsidRPr="00A90E7D">
        <w:rPr>
          <w:rFonts w:cs="Arial"/>
          <w:szCs w:val="20"/>
        </w:rPr>
        <w:t>.</w:t>
      </w:r>
    </w:p>
    <w:p w14:paraId="6F65C562" w14:textId="7A44D479" w:rsidR="00D354F4" w:rsidRPr="0026311A" w:rsidRDefault="002D2C6D" w:rsidP="007F2D88">
      <w:pPr>
        <w:pStyle w:val="ListParagraph"/>
        <w:numPr>
          <w:ilvl w:val="0"/>
          <w:numId w:val="1"/>
        </w:numPr>
      </w:pPr>
      <w:r w:rsidRPr="00D6324A">
        <w:rPr>
          <w:rFonts w:cs="Arial"/>
          <w:szCs w:val="20"/>
        </w:rPr>
        <w:t xml:space="preserve">Providing </w:t>
      </w:r>
      <w:r w:rsidR="00440F91" w:rsidRPr="00D6324A">
        <w:rPr>
          <w:rFonts w:cs="Arial"/>
          <w:szCs w:val="20"/>
        </w:rPr>
        <w:t>ACT G</w:t>
      </w:r>
      <w:r w:rsidR="00A667B5" w:rsidRPr="00D6324A">
        <w:rPr>
          <w:rFonts w:cs="Arial"/>
          <w:szCs w:val="20"/>
        </w:rPr>
        <w:t xml:space="preserve">overnment </w:t>
      </w:r>
      <w:r w:rsidR="00883887" w:rsidRPr="00D6324A">
        <w:rPr>
          <w:rFonts w:cs="Arial"/>
          <w:szCs w:val="20"/>
        </w:rPr>
        <w:t>first responders with education</w:t>
      </w:r>
      <w:r w:rsidR="00D354F4" w:rsidRPr="00D6324A">
        <w:rPr>
          <w:rFonts w:cs="Arial"/>
          <w:szCs w:val="20"/>
        </w:rPr>
        <w:t xml:space="preserve"> on trauma-informed practice for responding to </w:t>
      </w:r>
      <w:r w:rsidR="00361820" w:rsidRPr="00D6324A">
        <w:rPr>
          <w:rFonts w:cs="Arial"/>
          <w:szCs w:val="20"/>
        </w:rPr>
        <w:t>a diverse population</w:t>
      </w:r>
      <w:r w:rsidR="00AE222F" w:rsidRPr="00D6324A">
        <w:rPr>
          <w:rFonts w:cs="Arial"/>
          <w:szCs w:val="20"/>
        </w:rPr>
        <w:t>, including Aboriginal and Torres Strait</w:t>
      </w:r>
      <w:r w:rsidR="00AE222F">
        <w:t xml:space="preserve"> Islander cultural </w:t>
      </w:r>
      <w:r w:rsidR="00466A2B">
        <w:t>a</w:t>
      </w:r>
      <w:r w:rsidR="167EE779">
        <w:t>n</w:t>
      </w:r>
      <w:r w:rsidR="00466A2B">
        <w:t xml:space="preserve">d historical </w:t>
      </w:r>
      <w:r w:rsidR="00AE222F">
        <w:t>awareness, LGBTIA+ awareness, disability awareness and</w:t>
      </w:r>
      <w:r w:rsidR="00AE222F" w:rsidRPr="6F569735">
        <w:rPr>
          <w:b/>
          <w:bCs/>
        </w:rPr>
        <w:t xml:space="preserve"> </w:t>
      </w:r>
      <w:r w:rsidR="00AE222F">
        <w:t xml:space="preserve">working with </w:t>
      </w:r>
      <w:r w:rsidR="00DE2C35">
        <w:t>culturally diverse communities.</w:t>
      </w:r>
    </w:p>
    <w:p w14:paraId="5D74DE40" w14:textId="4353E053" w:rsidR="002975E1" w:rsidRPr="0026311A" w:rsidRDefault="003D725E" w:rsidP="007F2D88">
      <w:pPr>
        <w:pStyle w:val="ListParagraph"/>
        <w:numPr>
          <w:ilvl w:val="0"/>
          <w:numId w:val="1"/>
        </w:numPr>
      </w:pPr>
      <w:r>
        <w:rPr>
          <w:rFonts w:cs="Arial"/>
          <w:szCs w:val="20"/>
        </w:rPr>
        <w:t xml:space="preserve">Treating vicarious </w:t>
      </w:r>
      <w:r w:rsidR="002975E1" w:rsidRPr="0026311A">
        <w:rPr>
          <w:rFonts w:cs="Arial"/>
          <w:szCs w:val="20"/>
        </w:rPr>
        <w:t xml:space="preserve">trauma </w:t>
      </w:r>
      <w:r>
        <w:rPr>
          <w:rFonts w:cs="Arial"/>
          <w:szCs w:val="20"/>
        </w:rPr>
        <w:t xml:space="preserve">as a psychosocial hazard and WHS </w:t>
      </w:r>
      <w:r w:rsidR="002975E1" w:rsidRPr="0026311A">
        <w:rPr>
          <w:rFonts w:cs="Arial"/>
          <w:szCs w:val="20"/>
        </w:rPr>
        <w:t>issue</w:t>
      </w:r>
    </w:p>
    <w:p w14:paraId="746CE648" w14:textId="59A8D929" w:rsidR="00A845D5" w:rsidRPr="00375CE0" w:rsidRDefault="00AE222F" w:rsidP="007F2D88">
      <w:pPr>
        <w:pStyle w:val="ListParagraph"/>
        <w:numPr>
          <w:ilvl w:val="0"/>
          <w:numId w:val="1"/>
        </w:numPr>
        <w:rPr>
          <w:rFonts w:cs="Arial"/>
          <w:szCs w:val="20"/>
        </w:rPr>
      </w:pPr>
      <w:r>
        <w:t>D</w:t>
      </w:r>
      <w:r w:rsidR="009D5387" w:rsidRPr="0026311A">
        <w:t xml:space="preserve">eveloping strategies </w:t>
      </w:r>
      <w:r>
        <w:t>to prevent staff</w:t>
      </w:r>
      <w:r w:rsidR="009D5387" w:rsidRPr="0026311A">
        <w:t xml:space="preserve"> burnout</w:t>
      </w:r>
      <w:r>
        <w:t>, particularly in frontline services and mental health organisations.</w:t>
      </w:r>
    </w:p>
    <w:p w14:paraId="45E40575" w14:textId="532E0997" w:rsidR="00E5505D" w:rsidRPr="00B7047C" w:rsidRDefault="0001264D" w:rsidP="00E5505D">
      <w:pPr>
        <w:rPr>
          <w:rFonts w:cs="Arial"/>
          <w:szCs w:val="20"/>
        </w:rPr>
      </w:pPr>
      <w:r>
        <w:rPr>
          <w:rFonts w:cs="Arial"/>
          <w:szCs w:val="20"/>
        </w:rPr>
        <w:t>We look forward to seeing the ACT Government take progressive steps to support the essential</w:t>
      </w:r>
      <w:r w:rsidR="00E5505D" w:rsidRPr="00B7047C">
        <w:rPr>
          <w:rFonts w:cs="Arial"/>
          <w:szCs w:val="20"/>
        </w:rPr>
        <w:t xml:space="preserve"> work of community organisations</w:t>
      </w:r>
      <w:r w:rsidR="00FF48C1">
        <w:rPr>
          <w:rFonts w:cs="Arial"/>
          <w:szCs w:val="20"/>
        </w:rPr>
        <w:t xml:space="preserve"> in providing</w:t>
      </w:r>
      <w:r w:rsidR="00E5505D" w:rsidRPr="00B7047C">
        <w:rPr>
          <w:rFonts w:cs="Arial"/>
          <w:szCs w:val="20"/>
        </w:rPr>
        <w:t xml:space="preserve"> collaborative trauma-informed treatment and support </w:t>
      </w:r>
      <w:r w:rsidR="00FF48C1">
        <w:rPr>
          <w:rFonts w:cs="Arial"/>
          <w:szCs w:val="20"/>
        </w:rPr>
        <w:t xml:space="preserve">for </w:t>
      </w:r>
      <w:r w:rsidR="005A4DFB">
        <w:rPr>
          <w:rFonts w:cs="Arial"/>
          <w:szCs w:val="20"/>
        </w:rPr>
        <w:t>vulnerable and disadvantaged community members</w:t>
      </w:r>
      <w:r w:rsidR="00E5505D" w:rsidRPr="00B7047C">
        <w:rPr>
          <w:rFonts w:cs="Arial"/>
          <w:szCs w:val="20"/>
        </w:rPr>
        <w:t>. </w:t>
      </w:r>
    </w:p>
    <w:p w14:paraId="63FE13AF" w14:textId="77777777" w:rsidR="00A845D5" w:rsidRPr="009903E4" w:rsidRDefault="00A845D5" w:rsidP="00B50635">
      <w:pPr>
        <w:rPr>
          <w:rFonts w:cs="Arial"/>
          <w:szCs w:val="20"/>
        </w:rPr>
      </w:pPr>
    </w:p>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1BA32328" w14:textId="6D82DDCB" w:rsidR="00B50635" w:rsidRPr="00F00747" w:rsidRDefault="006D7CF5" w:rsidP="00B50635">
      <w:pPr>
        <w:rPr>
          <w:rFonts w:eastAsiaTheme="minorHAnsi"/>
          <w:lang w:val="en-US" w:eastAsia="en-US"/>
        </w:rPr>
      </w:pPr>
      <w:r>
        <w:rPr>
          <w:rFonts w:eastAsiaTheme="minorHAnsi"/>
          <w:noProof/>
          <w:lang w:val="en-US" w:eastAsia="en-US"/>
        </w:rPr>
        <w:drawing>
          <wp:inline distT="0" distB="0" distL="0" distR="0" wp14:anchorId="5083A297" wp14:editId="204FF3E2">
            <wp:extent cx="1714286" cy="380952"/>
            <wp:effectExtent l="0" t="0" r="635" b="635"/>
            <wp:docPr id="696747530" name="Picture 69674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747530" name="Picture 696747530"/>
                    <pic:cNvPicPr/>
                  </pic:nvPicPr>
                  <pic:blipFill>
                    <a:blip r:embed="rId27">
                      <a:extLst>
                        <a:ext uri="{28A0092B-C50C-407E-A947-70E740481C1C}">
                          <a14:useLocalDpi xmlns:a14="http://schemas.microsoft.com/office/drawing/2010/main" val="0"/>
                        </a:ext>
                      </a:extLst>
                    </a:blip>
                    <a:stretch>
                      <a:fillRect/>
                    </a:stretch>
                  </pic:blipFill>
                  <pic:spPr>
                    <a:xfrm>
                      <a:off x="0" y="0"/>
                      <a:ext cx="1714286" cy="380952"/>
                    </a:xfrm>
                    <a:prstGeom prst="rect">
                      <a:avLst/>
                    </a:prstGeom>
                  </pic:spPr>
                </pic:pic>
              </a:graphicData>
            </a:graphic>
          </wp:inline>
        </w:drawing>
      </w:r>
    </w:p>
    <w:p w14:paraId="29FEB8B4" w14:textId="6101D3FF" w:rsidR="00621E13" w:rsidRPr="00CD4B44" w:rsidRDefault="00722FE2" w:rsidP="00722FE2">
      <w:pPr>
        <w:rPr>
          <w:rFonts w:eastAsiaTheme="minorHAnsi"/>
          <w:lang w:val="en-US" w:eastAsia="en-US"/>
        </w:rPr>
      </w:pPr>
      <w:r w:rsidRPr="00722FE2">
        <w:rPr>
          <w:rFonts w:eastAsiaTheme="minorHAnsi"/>
          <w:lang w:eastAsia="en-US"/>
        </w:rPr>
        <w:t>Dr Devin Bowles </w:t>
      </w:r>
      <w:r w:rsidRPr="00722FE2">
        <w:rPr>
          <w:rFonts w:eastAsiaTheme="minorHAnsi"/>
          <w:lang w:eastAsia="en-US"/>
        </w:rPr>
        <w:br/>
      </w:r>
      <w:r w:rsidRPr="00722FE2">
        <w:rPr>
          <w:rFonts w:eastAsiaTheme="minorHAnsi"/>
          <w:lang w:val="en-US" w:eastAsia="en-US"/>
        </w:rPr>
        <w:t>C</w:t>
      </w:r>
      <w:r>
        <w:rPr>
          <w:rFonts w:eastAsiaTheme="minorHAnsi"/>
          <w:lang w:val="en-US" w:eastAsia="en-US"/>
        </w:rPr>
        <w:t>hief Executive Officer</w:t>
      </w:r>
      <w:r w:rsidRPr="00722FE2">
        <w:rPr>
          <w:rFonts w:eastAsiaTheme="minorHAnsi"/>
          <w:lang w:eastAsia="en-US"/>
        </w:rPr>
        <w:br/>
      </w:r>
      <w:r w:rsidRPr="00722FE2">
        <w:rPr>
          <w:rFonts w:eastAsiaTheme="minorHAnsi"/>
          <w:lang w:val="en-US" w:eastAsia="en-US"/>
        </w:rPr>
        <w:t>ACT Council of Social Service</w:t>
      </w:r>
      <w:r w:rsidRPr="00722FE2">
        <w:rPr>
          <w:rFonts w:eastAsiaTheme="minorHAnsi"/>
          <w:lang w:eastAsia="en-US"/>
        </w:rPr>
        <w:t> </w:t>
      </w:r>
      <w:r w:rsidRPr="00722FE2">
        <w:rPr>
          <w:rFonts w:eastAsiaTheme="minorHAnsi"/>
          <w:lang w:eastAsia="en-US"/>
        </w:rPr>
        <w:br/>
      </w:r>
      <w:hyperlink r:id="rId28" w:history="1">
        <w:r w:rsidRPr="00C22ED9">
          <w:rPr>
            <w:rStyle w:val="Hyperlink"/>
            <w:rFonts w:eastAsiaTheme="minorHAnsi"/>
            <w:lang w:val="en-US" w:eastAsia="en-US"/>
          </w:rPr>
          <w:t>devin.bowles@actcoss.org.au</w:t>
        </w:r>
      </w:hyperlink>
      <w:r>
        <w:rPr>
          <w:rFonts w:eastAsiaTheme="minorHAnsi"/>
          <w:lang w:eastAsia="en-US"/>
        </w:rPr>
        <w:t xml:space="preserve"> </w:t>
      </w:r>
    </w:p>
    <w:sectPr w:rsidR="00621E13" w:rsidRPr="00CD4B44" w:rsidSect="00EA37B8">
      <w:headerReference w:type="default" r:id="rId29"/>
      <w:footerReference w:type="even" r:id="rId30"/>
      <w:footerReference w:type="default" r:id="rId31"/>
      <w:headerReference w:type="first" r:id="rId32"/>
      <w:footerReference w:type="first" r:id="rId33"/>
      <w:pgSz w:w="11900" w:h="16840"/>
      <w:pgMar w:top="3515" w:right="851" w:bottom="2665" w:left="851" w:header="624"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orinne Dobson" w:date="2023-12-08T13:45:00Z" w:initials="CD">
    <w:p w14:paraId="28FE4CA8" w14:textId="7B9D66A1" w:rsidR="00AE2AAB" w:rsidRDefault="00AE2AAB" w:rsidP="00AE2AAB">
      <w:pPr>
        <w:pStyle w:val="CommentText"/>
      </w:pPr>
      <w:r>
        <w:rPr>
          <w:rStyle w:val="CommentReference"/>
        </w:rPr>
        <w:annotationRef/>
      </w:r>
      <w:r>
        <w:fldChar w:fldCharType="begin"/>
      </w:r>
      <w:r>
        <w:instrText>HYPERLINK "mailto:devin.bowles@actcoss.org.au"</w:instrText>
      </w:r>
      <w:bookmarkStart w:id="2" w:name="_@_D20EC757A00345A68899131E62A8B4D5Z"/>
      <w:r>
        <w:fldChar w:fldCharType="separate"/>
      </w:r>
      <w:bookmarkEnd w:id="2"/>
      <w:r w:rsidRPr="00AE2AAB">
        <w:rPr>
          <w:rStyle w:val="Mention"/>
          <w:noProof/>
        </w:rPr>
        <w:t>@Devin Bowles</w:t>
      </w:r>
      <w:r>
        <w:fldChar w:fldCharType="end"/>
      </w:r>
      <w:r>
        <w:t xml:space="preserve"> </w:t>
      </w:r>
    </w:p>
  </w:comment>
  <w:comment w:id="1" w:author="Corinne Dobson" w:date="2023-12-08T13:45:00Z" w:initials="CD">
    <w:p w14:paraId="5C1C1B9B" w14:textId="77777777" w:rsidR="00921C6B" w:rsidRDefault="00AE2AAB" w:rsidP="00921C6B">
      <w:pPr>
        <w:pStyle w:val="CommentText"/>
      </w:pPr>
      <w:r>
        <w:rPr>
          <w:rStyle w:val="CommentReference"/>
        </w:rPr>
        <w:annotationRef/>
      </w:r>
      <w:r w:rsidR="00921C6B">
        <w:rPr>
          <w:color w:val="000000"/>
        </w:rPr>
        <w:t>Hey Devin. Can you just review this and check it is ok to go?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8FE4CA8" w15:done="1"/>
  <w15:commentEx w15:paraId="5C1C1B9B" w15:paraIdParent="28FE4CA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B38D7A2" w16cex:dateUtc="2023-12-08T02:45:00Z"/>
  <w16cex:commentExtensible w16cex:durableId="431993FB" w16cex:dateUtc="2023-12-08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8FE4CA8" w16cid:durableId="7B38D7A2"/>
  <w16cid:commentId w16cid:paraId="5C1C1B9B" w16cid:durableId="43199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C4337" w14:textId="77777777" w:rsidR="00DA3742" w:rsidRDefault="00DA3742" w:rsidP="00B50635">
      <w:pPr>
        <w:spacing w:after="0" w:line="240" w:lineRule="auto"/>
      </w:pPr>
      <w:r>
        <w:separator/>
      </w:r>
    </w:p>
  </w:endnote>
  <w:endnote w:type="continuationSeparator" w:id="0">
    <w:p w14:paraId="3C7377E3" w14:textId="77777777" w:rsidR="00DA3742" w:rsidRDefault="00DA3742" w:rsidP="00B50635">
      <w:pPr>
        <w:spacing w:after="0" w:line="240" w:lineRule="auto"/>
      </w:pPr>
      <w:r>
        <w:continuationSeparator/>
      </w:r>
    </w:p>
  </w:endnote>
  <w:endnote w:type="continuationNotice" w:id="1">
    <w:p w14:paraId="6DCA8030" w14:textId="77777777" w:rsidR="00DA3742" w:rsidRDefault="00DA3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7862821"/>
      <w:docPartObj>
        <w:docPartGallery w:val="Page Numbers (Bottom of Page)"/>
        <w:docPartUnique/>
      </w:docPartObj>
    </w:sdtPr>
    <w:sdtContent>
      <w:p w14:paraId="4476E073" w14:textId="324A2602" w:rsidR="00B77E46" w:rsidRDefault="00B77E46" w:rsidP="00AF03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AF03B4">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9"/>
        <w:szCs w:val="19"/>
      </w:rPr>
      <w:id w:val="-1083987545"/>
      <w:docPartObj>
        <w:docPartGallery w:val="Page Numbers (Bottom of Page)"/>
        <w:docPartUnique/>
      </w:docPartObj>
    </w:sdtPr>
    <w:sdtContent>
      <w:p w14:paraId="4488826C" w14:textId="482A6CA5" w:rsidR="00B77E46" w:rsidRPr="00B77E46" w:rsidRDefault="00B77E46" w:rsidP="00AF03B4">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85983" w14:textId="77777777" w:rsidR="00DA3742" w:rsidRDefault="00DA3742" w:rsidP="00B50635">
      <w:pPr>
        <w:spacing w:after="0" w:line="240" w:lineRule="auto"/>
      </w:pPr>
      <w:r>
        <w:separator/>
      </w:r>
    </w:p>
  </w:footnote>
  <w:footnote w:type="continuationSeparator" w:id="0">
    <w:p w14:paraId="62F34F7F" w14:textId="77777777" w:rsidR="00DA3742" w:rsidRDefault="00DA3742" w:rsidP="00B50635">
      <w:pPr>
        <w:spacing w:after="0" w:line="240" w:lineRule="auto"/>
      </w:pPr>
      <w:r>
        <w:continuationSeparator/>
      </w:r>
    </w:p>
  </w:footnote>
  <w:footnote w:type="continuationNotice" w:id="1">
    <w:p w14:paraId="7474ED65" w14:textId="77777777" w:rsidR="00DA3742" w:rsidRDefault="00DA3742">
      <w:pPr>
        <w:spacing w:after="0" w:line="240" w:lineRule="auto"/>
      </w:pPr>
    </w:p>
  </w:footnote>
  <w:footnote w:id="2">
    <w:p w14:paraId="1CFCC29B" w14:textId="07D11444" w:rsidR="0041454F" w:rsidRPr="0041454F" w:rsidRDefault="0041454F" w:rsidP="003F08E4">
      <w:pPr>
        <w:pStyle w:val="FootnoteText"/>
        <w:rPr>
          <w:lang w:val="en-US"/>
        </w:rPr>
      </w:pPr>
      <w:r>
        <w:rPr>
          <w:rStyle w:val="FootnoteReference"/>
        </w:rPr>
        <w:footnoteRef/>
      </w:r>
      <w:r>
        <w:t xml:space="preserve"> </w:t>
      </w:r>
      <w:r w:rsidR="00806111" w:rsidRPr="00806111">
        <w:t xml:space="preserve">Mackay, T., Goodwin-Smith, I., </w:t>
      </w:r>
      <w:proofErr w:type="spellStart"/>
      <w:r w:rsidR="00806111" w:rsidRPr="00806111">
        <w:t>Karpetis</w:t>
      </w:r>
      <w:proofErr w:type="spellEnd"/>
      <w:r w:rsidR="00806111" w:rsidRPr="00806111">
        <w:t>, G., &amp; Louth, J.</w:t>
      </w:r>
      <w:r w:rsidR="00220FC2">
        <w:t>,</w:t>
      </w:r>
      <w:r w:rsidR="00806111" w:rsidRPr="00806111">
        <w:t xml:space="preserve"> </w:t>
      </w:r>
      <w:hyperlink r:id="rId1" w:history="1">
        <w:r w:rsidR="003F08E4" w:rsidRPr="00FE3853">
          <w:rPr>
            <w:rStyle w:val="Hyperlink"/>
            <w:i/>
            <w:iCs/>
          </w:rPr>
          <w:t>Understanding vicarious trauma Exploring cumulative stress, fatigue and trauma in a frontline community services setting</w:t>
        </w:r>
      </w:hyperlink>
      <w:r w:rsidR="002A6609">
        <w:rPr>
          <w:i/>
          <w:iCs/>
        </w:rPr>
        <w:t xml:space="preserve">, </w:t>
      </w:r>
      <w:r w:rsidR="002A6609" w:rsidRPr="002A6609">
        <w:t>Flinders University</w:t>
      </w:r>
      <w:r w:rsidR="00220FC2">
        <w:t>,</w:t>
      </w:r>
      <w:r w:rsidR="00806111">
        <w:rPr>
          <w:i/>
          <w:iCs/>
        </w:rPr>
        <w:t xml:space="preserve"> </w:t>
      </w:r>
      <w:r w:rsidR="00806111">
        <w:t>(2019)</w:t>
      </w:r>
      <w:r w:rsidR="002A6609">
        <w:t>.</w:t>
      </w:r>
      <w:r w:rsidR="003F08E4">
        <w:t xml:space="preserve">; </w:t>
      </w:r>
      <w:r w:rsidR="00BC3AB4" w:rsidRPr="00BC3AB4">
        <w:t>McPherson</w:t>
      </w:r>
      <w:r w:rsidR="00F7458E">
        <w:t>, l.</w:t>
      </w:r>
      <w:r w:rsidR="00BC3AB4">
        <w:t>,</w:t>
      </w:r>
      <w:r w:rsidR="00BC3AB4" w:rsidRPr="00BC3AB4">
        <w:t xml:space="preserve"> Gatwiri</w:t>
      </w:r>
      <w:r w:rsidR="00BC3AB4">
        <w:t>,</w:t>
      </w:r>
      <w:r w:rsidR="00F7458E">
        <w:t xml:space="preserve"> K.,</w:t>
      </w:r>
      <w:r w:rsidR="00BC3AB4" w:rsidRPr="00BC3AB4">
        <w:t xml:space="preserve"> </w:t>
      </w:r>
      <w:r w:rsidR="00BC3AB4">
        <w:t xml:space="preserve">&amp; </w:t>
      </w:r>
      <w:r w:rsidR="00BC3AB4" w:rsidRPr="00BC3AB4">
        <w:t>Parmenter</w:t>
      </w:r>
      <w:r w:rsidR="00F7458E">
        <w:t>, N.</w:t>
      </w:r>
      <w:r w:rsidR="00BC3AB4">
        <w:t>.</w:t>
      </w:r>
      <w:r w:rsidR="00BC3AB4" w:rsidRPr="00BC3AB4">
        <w:t xml:space="preserve"> </w:t>
      </w:r>
      <w:hyperlink r:id="rId2" w:history="1">
        <w:r w:rsidR="0068741B" w:rsidRPr="00CF1AC7">
          <w:rPr>
            <w:rStyle w:val="Hyperlink"/>
            <w:i/>
            <w:iCs/>
          </w:rPr>
          <w:t>Vicarious trauma and secondary stress in therapeutic residential care – Research brief</w:t>
        </w:r>
      </w:hyperlink>
      <w:r w:rsidR="00BC3AB4">
        <w:t xml:space="preserve">. </w:t>
      </w:r>
      <w:r w:rsidR="00CF1AC7">
        <w:t xml:space="preserve">CETA, </w:t>
      </w:r>
      <w:r w:rsidR="00BC3AB4">
        <w:t>(2022)</w:t>
      </w:r>
      <w:r w:rsidR="00220FC2">
        <w:t>;</w:t>
      </w:r>
      <w:r w:rsidR="0068741B" w:rsidRPr="0068741B">
        <w:t xml:space="preserve"> </w:t>
      </w:r>
      <w:proofErr w:type="spellStart"/>
      <w:r w:rsidR="009273E1" w:rsidRPr="009273E1">
        <w:t>Waegemakers</w:t>
      </w:r>
      <w:proofErr w:type="spellEnd"/>
      <w:r w:rsidR="003F138D">
        <w:t>-</w:t>
      </w:r>
      <w:r w:rsidR="009273E1" w:rsidRPr="009273E1">
        <w:t>Schiff</w:t>
      </w:r>
      <w:r w:rsidR="009273E1">
        <w:t>,</w:t>
      </w:r>
      <w:r w:rsidR="009273E1" w:rsidRPr="009273E1">
        <w:t xml:space="preserve"> J</w:t>
      </w:r>
      <w:r w:rsidR="009273E1">
        <w:t>.</w:t>
      </w:r>
      <w:r w:rsidR="009273E1" w:rsidRPr="009273E1">
        <w:t xml:space="preserve">, </w:t>
      </w:r>
      <w:r w:rsidR="009273E1">
        <w:t xml:space="preserve">&amp; </w:t>
      </w:r>
      <w:r w:rsidR="009273E1" w:rsidRPr="009273E1">
        <w:t>Lane</w:t>
      </w:r>
      <w:r w:rsidR="009273E1">
        <w:t>,</w:t>
      </w:r>
      <w:r w:rsidR="009273E1" w:rsidRPr="009273E1">
        <w:t xml:space="preserve"> A</w:t>
      </w:r>
      <w:r w:rsidR="009273E1">
        <w:t>.</w:t>
      </w:r>
      <w:r w:rsidR="009273E1" w:rsidRPr="009273E1">
        <w:t>M.</w:t>
      </w:r>
      <w:r w:rsidR="003F138D">
        <w:t>,</w:t>
      </w:r>
      <w:r w:rsidR="009273E1" w:rsidRPr="009273E1">
        <w:t xml:space="preserve"> PTSD Symptoms, Vicarious Traumatization, and Burnout in Front Line Workers in the Homeless Sector</w:t>
      </w:r>
      <w:r w:rsidR="003F138D">
        <w:t>,</w:t>
      </w:r>
      <w:r w:rsidR="009273E1" w:rsidRPr="009273E1">
        <w:t xml:space="preserve"> </w:t>
      </w:r>
      <w:r w:rsidR="009273E1" w:rsidRPr="009273E1">
        <w:rPr>
          <w:i/>
          <w:iCs/>
        </w:rPr>
        <w:t>Community Mental Health Journal</w:t>
      </w:r>
      <w:r w:rsidR="003F138D">
        <w:rPr>
          <w:i/>
          <w:iCs/>
        </w:rPr>
        <w:t>,</w:t>
      </w:r>
      <w:r w:rsidR="009273E1" w:rsidRPr="009273E1">
        <w:t xml:space="preserve"> 2019</w:t>
      </w:r>
      <w:r w:rsidR="003F138D">
        <w:t>,</w:t>
      </w:r>
      <w:r w:rsidR="00EF261B">
        <w:t xml:space="preserve"> </w:t>
      </w:r>
      <w:r w:rsidR="009273E1" w:rsidRPr="009273E1">
        <w:t>55(3):454-462 doi:10.1007/s10597-018-00364-7</w:t>
      </w:r>
      <w:r w:rsidR="006874F9">
        <w:t xml:space="preserve">; </w:t>
      </w:r>
      <w:r w:rsidR="00EF261B" w:rsidRPr="00EF261B">
        <w:t>Carles,</w:t>
      </w:r>
      <w:r w:rsidR="003F138D">
        <w:t xml:space="preserve"> G.</w:t>
      </w:r>
      <w:r w:rsidR="00FD73FD">
        <w:t>,</w:t>
      </w:r>
      <w:r w:rsidR="00EF261B" w:rsidRPr="00EF261B">
        <w:t xml:space="preserve"> Stewart</w:t>
      </w:r>
      <w:r w:rsidR="00FD73FD">
        <w:t>, C.,</w:t>
      </w:r>
      <w:r w:rsidR="00EF261B" w:rsidRPr="00EF261B">
        <w:t xml:space="preserve"> &amp; Hodgson</w:t>
      </w:r>
      <w:r w:rsidR="00FD73FD">
        <w:t>, D.,</w:t>
      </w:r>
      <w:r w:rsidR="00EF261B" w:rsidRPr="00EF261B">
        <w:t xml:space="preserve"> Australian Mental Health Social Workers’ Experiences of Burnout</w:t>
      </w:r>
      <w:r w:rsidR="00FD73FD">
        <w:t>,</w:t>
      </w:r>
      <w:r w:rsidR="00EF261B" w:rsidRPr="00EF261B">
        <w:t xml:space="preserve"> </w:t>
      </w:r>
      <w:r w:rsidR="00EF261B" w:rsidRPr="00EF261B">
        <w:rPr>
          <w:i/>
          <w:iCs/>
        </w:rPr>
        <w:t>Australian Social Work</w:t>
      </w:r>
      <w:r w:rsidR="00EF261B" w:rsidRPr="00EF261B">
        <w:t xml:space="preserve">, </w:t>
      </w:r>
      <w:r w:rsidR="00FD73FD">
        <w:t>(</w:t>
      </w:r>
      <w:r w:rsidR="00EF261B" w:rsidRPr="00EF261B">
        <w:t>2023</w:t>
      </w:r>
      <w:r w:rsidR="00FD73FD">
        <w:t>)</w:t>
      </w:r>
      <w:r w:rsidR="00AF4FE9">
        <w:t>, Nov</w:t>
      </w:r>
      <w:r w:rsidR="00283B69">
        <w:t>ember</w:t>
      </w:r>
      <w:r w:rsidR="00AF4FE9">
        <w:t xml:space="preserve"> (online)</w:t>
      </w:r>
      <w:r w:rsidR="0034144D">
        <w:t>,</w:t>
      </w:r>
      <w:r w:rsidR="00EF261B" w:rsidRPr="00EF261B">
        <w:t xml:space="preserve"> DOI: 10.1080/0312407X.2023.2278768</w:t>
      </w:r>
      <w:r w:rsidR="0034144D">
        <w:t>.</w:t>
      </w:r>
    </w:p>
  </w:footnote>
  <w:footnote w:id="3">
    <w:p w14:paraId="6636B2FB" w14:textId="24DBEC16" w:rsidR="008B1DC7" w:rsidRPr="008B1DC7" w:rsidRDefault="008B1DC7">
      <w:pPr>
        <w:pStyle w:val="FootnoteText"/>
        <w:rPr>
          <w:lang w:val="en-US"/>
        </w:rPr>
      </w:pPr>
      <w:r>
        <w:rPr>
          <w:rStyle w:val="FootnoteReference"/>
        </w:rPr>
        <w:footnoteRef/>
      </w:r>
      <w:r>
        <w:t xml:space="preserve"> </w:t>
      </w:r>
      <w:r w:rsidR="00760E6F">
        <w:rPr>
          <w:lang w:val="en-US"/>
        </w:rPr>
        <w:t xml:space="preserve">Kim et al., </w:t>
      </w:r>
      <w:hyperlink r:id="rId3" w:history="1">
        <w:r w:rsidR="00760E6F" w:rsidRPr="00E66F34">
          <w:rPr>
            <w:rStyle w:val="Hyperlink"/>
            <w:i/>
            <w:iCs/>
          </w:rPr>
          <w:t>A Scoping Review of Vicarious Trauma Interventions for Service Providers Working With People Who Have Experienced Traumatic Events</w:t>
        </w:r>
      </w:hyperlink>
      <w:r w:rsidR="00AB4618">
        <w:rPr>
          <w:lang w:val="en-US"/>
        </w:rPr>
        <w:t xml:space="preserve">, </w:t>
      </w:r>
      <w:r w:rsidR="00A52123">
        <w:rPr>
          <w:lang w:val="en-US"/>
        </w:rPr>
        <w:t xml:space="preserve">Trauma, Violence &amp; Abuse, </w:t>
      </w:r>
      <w:r w:rsidR="00F662B6">
        <w:rPr>
          <w:lang w:val="en-US"/>
        </w:rPr>
        <w:t xml:space="preserve">9 March </w:t>
      </w:r>
      <w:r w:rsidR="00A52123">
        <w:rPr>
          <w:lang w:val="en-US"/>
        </w:rPr>
        <w:t>202</w:t>
      </w:r>
      <w:r w:rsidR="00F662B6">
        <w:rPr>
          <w:lang w:val="en-US"/>
        </w:rPr>
        <w:t>1</w:t>
      </w:r>
    </w:p>
  </w:footnote>
  <w:footnote w:id="4">
    <w:p w14:paraId="027E6D9E" w14:textId="65F7A4DC" w:rsidR="002830B3" w:rsidRPr="002830B3" w:rsidRDefault="002830B3">
      <w:pPr>
        <w:pStyle w:val="FootnoteText"/>
        <w:rPr>
          <w:lang w:val="en-US"/>
        </w:rPr>
      </w:pPr>
      <w:r>
        <w:rPr>
          <w:rStyle w:val="FootnoteReference"/>
        </w:rPr>
        <w:footnoteRef/>
      </w:r>
      <w:r>
        <w:t xml:space="preserve"> </w:t>
      </w:r>
      <w:r>
        <w:rPr>
          <w:lang w:val="en-US"/>
        </w:rPr>
        <w:t xml:space="preserve">Ashley-Binge &amp; Cousins, </w:t>
      </w:r>
      <w:hyperlink r:id="rId4" w:history="1">
        <w:r w:rsidR="002C1975" w:rsidRPr="002C1975">
          <w:rPr>
            <w:rStyle w:val="Hyperlink"/>
            <w:i/>
            <w:iCs/>
          </w:rPr>
          <w:t>Individual and Organisational Practices Addressing Social Workers’ Experiences of Vicarious Trauma</w:t>
        </w:r>
      </w:hyperlink>
      <w:r w:rsidR="002C1975">
        <w:rPr>
          <w:lang w:val="en-US"/>
        </w:rPr>
        <w:t xml:space="preserve">, </w:t>
      </w:r>
      <w:r w:rsidR="009750BE">
        <w:rPr>
          <w:lang w:val="en-US"/>
        </w:rPr>
        <w:t>Social Work in Action, 4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0D7B9C"/>
    <w:multiLevelType w:val="hybridMultilevel"/>
    <w:tmpl w:val="C994D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283980"/>
    <w:multiLevelType w:val="hybridMultilevel"/>
    <w:tmpl w:val="666E05A0"/>
    <w:lvl w:ilvl="0" w:tplc="8800C7A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4844260">
    <w:abstractNumId w:val="0"/>
  </w:num>
  <w:num w:numId="2" w16cid:durableId="958305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rinne Dobson">
    <w15:presenceInfo w15:providerId="AD" w15:userId="S::corinne.dobson@actcoss.org.au::176ddc52-3152-423d-bae4-a0bbe7582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2408"/>
    <w:rsid w:val="0000686F"/>
    <w:rsid w:val="00006CB6"/>
    <w:rsid w:val="000121B4"/>
    <w:rsid w:val="0001264D"/>
    <w:rsid w:val="00015C9E"/>
    <w:rsid w:val="00020AAE"/>
    <w:rsid w:val="00022F50"/>
    <w:rsid w:val="00024796"/>
    <w:rsid w:val="00032E1A"/>
    <w:rsid w:val="00044227"/>
    <w:rsid w:val="000442DF"/>
    <w:rsid w:val="00047D10"/>
    <w:rsid w:val="00052CD7"/>
    <w:rsid w:val="0006440F"/>
    <w:rsid w:val="00066E16"/>
    <w:rsid w:val="00085191"/>
    <w:rsid w:val="000941D2"/>
    <w:rsid w:val="000959D3"/>
    <w:rsid w:val="000A5A03"/>
    <w:rsid w:val="000B2E36"/>
    <w:rsid w:val="000C1709"/>
    <w:rsid w:val="000C289B"/>
    <w:rsid w:val="000C3913"/>
    <w:rsid w:val="000D6730"/>
    <w:rsid w:val="000E2D0B"/>
    <w:rsid w:val="000E418D"/>
    <w:rsid w:val="000E7835"/>
    <w:rsid w:val="000F02B6"/>
    <w:rsid w:val="000F17BA"/>
    <w:rsid w:val="000F2720"/>
    <w:rsid w:val="000F37FD"/>
    <w:rsid w:val="0010655C"/>
    <w:rsid w:val="001077C2"/>
    <w:rsid w:val="00110823"/>
    <w:rsid w:val="00113313"/>
    <w:rsid w:val="00121BAC"/>
    <w:rsid w:val="00142E0C"/>
    <w:rsid w:val="0014558C"/>
    <w:rsid w:val="00145D0C"/>
    <w:rsid w:val="00146FCA"/>
    <w:rsid w:val="0016011A"/>
    <w:rsid w:val="00160F7E"/>
    <w:rsid w:val="001625D1"/>
    <w:rsid w:val="001729CF"/>
    <w:rsid w:val="00183968"/>
    <w:rsid w:val="001864A3"/>
    <w:rsid w:val="00191C69"/>
    <w:rsid w:val="00193CB0"/>
    <w:rsid w:val="001A2109"/>
    <w:rsid w:val="001A32C4"/>
    <w:rsid w:val="001A40B0"/>
    <w:rsid w:val="001A639D"/>
    <w:rsid w:val="001A6792"/>
    <w:rsid w:val="001B0D65"/>
    <w:rsid w:val="001B0DD4"/>
    <w:rsid w:val="001B6F5A"/>
    <w:rsid w:val="001C1678"/>
    <w:rsid w:val="001C4BDF"/>
    <w:rsid w:val="001D6B89"/>
    <w:rsid w:val="001E233A"/>
    <w:rsid w:val="001F207A"/>
    <w:rsid w:val="001F7C4E"/>
    <w:rsid w:val="002017CD"/>
    <w:rsid w:val="0020625C"/>
    <w:rsid w:val="00220FC2"/>
    <w:rsid w:val="002265DC"/>
    <w:rsid w:val="00231542"/>
    <w:rsid w:val="00237643"/>
    <w:rsid w:val="002424FA"/>
    <w:rsid w:val="00244F57"/>
    <w:rsid w:val="0026311A"/>
    <w:rsid w:val="00263CD2"/>
    <w:rsid w:val="002647C6"/>
    <w:rsid w:val="00266EB7"/>
    <w:rsid w:val="00271EF6"/>
    <w:rsid w:val="002741A5"/>
    <w:rsid w:val="00275973"/>
    <w:rsid w:val="00280BA6"/>
    <w:rsid w:val="002830B3"/>
    <w:rsid w:val="00283B69"/>
    <w:rsid w:val="00290642"/>
    <w:rsid w:val="00293627"/>
    <w:rsid w:val="002975E1"/>
    <w:rsid w:val="002A209F"/>
    <w:rsid w:val="002A45B5"/>
    <w:rsid w:val="002A6609"/>
    <w:rsid w:val="002B023A"/>
    <w:rsid w:val="002B2C82"/>
    <w:rsid w:val="002C052C"/>
    <w:rsid w:val="002C1975"/>
    <w:rsid w:val="002C2AC6"/>
    <w:rsid w:val="002C3DDD"/>
    <w:rsid w:val="002D2C6D"/>
    <w:rsid w:val="002D38EA"/>
    <w:rsid w:val="002E05CF"/>
    <w:rsid w:val="002E4B43"/>
    <w:rsid w:val="002F30A1"/>
    <w:rsid w:val="002F78B1"/>
    <w:rsid w:val="003060B4"/>
    <w:rsid w:val="003078F7"/>
    <w:rsid w:val="0032259F"/>
    <w:rsid w:val="00335590"/>
    <w:rsid w:val="0034144D"/>
    <w:rsid w:val="003425D6"/>
    <w:rsid w:val="00344FF2"/>
    <w:rsid w:val="00360EB7"/>
    <w:rsid w:val="00361820"/>
    <w:rsid w:val="00362E87"/>
    <w:rsid w:val="00365E1B"/>
    <w:rsid w:val="00367635"/>
    <w:rsid w:val="00367E5B"/>
    <w:rsid w:val="00373C5C"/>
    <w:rsid w:val="003753CE"/>
    <w:rsid w:val="00375CE0"/>
    <w:rsid w:val="00381F70"/>
    <w:rsid w:val="00382CAC"/>
    <w:rsid w:val="00396297"/>
    <w:rsid w:val="00396A7B"/>
    <w:rsid w:val="003971BE"/>
    <w:rsid w:val="003B3672"/>
    <w:rsid w:val="003B6453"/>
    <w:rsid w:val="003C0D50"/>
    <w:rsid w:val="003C3B08"/>
    <w:rsid w:val="003C4FEE"/>
    <w:rsid w:val="003C69FF"/>
    <w:rsid w:val="003D0EA3"/>
    <w:rsid w:val="003D725E"/>
    <w:rsid w:val="003E7D5D"/>
    <w:rsid w:val="003F028C"/>
    <w:rsid w:val="003F08E4"/>
    <w:rsid w:val="003F138D"/>
    <w:rsid w:val="003F27EB"/>
    <w:rsid w:val="00404A4D"/>
    <w:rsid w:val="00407050"/>
    <w:rsid w:val="0041454F"/>
    <w:rsid w:val="00417BE9"/>
    <w:rsid w:val="004233BF"/>
    <w:rsid w:val="004248D8"/>
    <w:rsid w:val="0043695B"/>
    <w:rsid w:val="00437D5A"/>
    <w:rsid w:val="00440A51"/>
    <w:rsid w:val="00440F91"/>
    <w:rsid w:val="00443259"/>
    <w:rsid w:val="00453FC3"/>
    <w:rsid w:val="00454D1C"/>
    <w:rsid w:val="004561CF"/>
    <w:rsid w:val="004655A5"/>
    <w:rsid w:val="00466A2B"/>
    <w:rsid w:val="00484576"/>
    <w:rsid w:val="00493C0F"/>
    <w:rsid w:val="004961A4"/>
    <w:rsid w:val="004A1574"/>
    <w:rsid w:val="004A404E"/>
    <w:rsid w:val="004A46C2"/>
    <w:rsid w:val="004B509D"/>
    <w:rsid w:val="004B550C"/>
    <w:rsid w:val="004C1B30"/>
    <w:rsid w:val="004C247D"/>
    <w:rsid w:val="004D3823"/>
    <w:rsid w:val="004D54BE"/>
    <w:rsid w:val="004E09FA"/>
    <w:rsid w:val="004E25E1"/>
    <w:rsid w:val="004F136C"/>
    <w:rsid w:val="005068B5"/>
    <w:rsid w:val="00513BD9"/>
    <w:rsid w:val="00514737"/>
    <w:rsid w:val="00521943"/>
    <w:rsid w:val="005221F8"/>
    <w:rsid w:val="00525806"/>
    <w:rsid w:val="005341F0"/>
    <w:rsid w:val="00535175"/>
    <w:rsid w:val="005372E7"/>
    <w:rsid w:val="00552007"/>
    <w:rsid w:val="00552CBE"/>
    <w:rsid w:val="0055364F"/>
    <w:rsid w:val="00564B1A"/>
    <w:rsid w:val="00564FAD"/>
    <w:rsid w:val="00575AF4"/>
    <w:rsid w:val="005831F6"/>
    <w:rsid w:val="00584011"/>
    <w:rsid w:val="005870DF"/>
    <w:rsid w:val="00591F80"/>
    <w:rsid w:val="005920A0"/>
    <w:rsid w:val="005A16F5"/>
    <w:rsid w:val="005A1885"/>
    <w:rsid w:val="005A1F7D"/>
    <w:rsid w:val="005A374E"/>
    <w:rsid w:val="005A4DFB"/>
    <w:rsid w:val="005A5457"/>
    <w:rsid w:val="005B19F5"/>
    <w:rsid w:val="005B5150"/>
    <w:rsid w:val="005C470C"/>
    <w:rsid w:val="005E5B5D"/>
    <w:rsid w:val="005F2310"/>
    <w:rsid w:val="00600259"/>
    <w:rsid w:val="00603B95"/>
    <w:rsid w:val="0060501E"/>
    <w:rsid w:val="006124DA"/>
    <w:rsid w:val="00621E13"/>
    <w:rsid w:val="00621F90"/>
    <w:rsid w:val="006262B3"/>
    <w:rsid w:val="00626D1F"/>
    <w:rsid w:val="006360A5"/>
    <w:rsid w:val="00665DD3"/>
    <w:rsid w:val="00666930"/>
    <w:rsid w:val="00670F2D"/>
    <w:rsid w:val="006822A8"/>
    <w:rsid w:val="00683F3B"/>
    <w:rsid w:val="0068741B"/>
    <w:rsid w:val="006874F9"/>
    <w:rsid w:val="006A3356"/>
    <w:rsid w:val="006A352E"/>
    <w:rsid w:val="006B18E0"/>
    <w:rsid w:val="006B3191"/>
    <w:rsid w:val="006B65CD"/>
    <w:rsid w:val="006C1F41"/>
    <w:rsid w:val="006C7F1D"/>
    <w:rsid w:val="006D15CC"/>
    <w:rsid w:val="006D445A"/>
    <w:rsid w:val="006D7CF5"/>
    <w:rsid w:val="006E1E24"/>
    <w:rsid w:val="006E34D9"/>
    <w:rsid w:val="006E74BA"/>
    <w:rsid w:val="006F1502"/>
    <w:rsid w:val="006F1E9D"/>
    <w:rsid w:val="00701C60"/>
    <w:rsid w:val="00702848"/>
    <w:rsid w:val="00704969"/>
    <w:rsid w:val="00722FE2"/>
    <w:rsid w:val="007270BF"/>
    <w:rsid w:val="007315BD"/>
    <w:rsid w:val="007324FE"/>
    <w:rsid w:val="00732DA7"/>
    <w:rsid w:val="007606C1"/>
    <w:rsid w:val="00760E6F"/>
    <w:rsid w:val="00767D12"/>
    <w:rsid w:val="00771095"/>
    <w:rsid w:val="0077158B"/>
    <w:rsid w:val="007715B4"/>
    <w:rsid w:val="007778D1"/>
    <w:rsid w:val="007949F1"/>
    <w:rsid w:val="007A111C"/>
    <w:rsid w:val="007A4162"/>
    <w:rsid w:val="007A4742"/>
    <w:rsid w:val="007A5095"/>
    <w:rsid w:val="007A6554"/>
    <w:rsid w:val="007B3E14"/>
    <w:rsid w:val="007B4926"/>
    <w:rsid w:val="007B7282"/>
    <w:rsid w:val="007C0845"/>
    <w:rsid w:val="007C4091"/>
    <w:rsid w:val="007C4B31"/>
    <w:rsid w:val="007C6C8F"/>
    <w:rsid w:val="007D408D"/>
    <w:rsid w:val="007F2D88"/>
    <w:rsid w:val="0080087A"/>
    <w:rsid w:val="008020FB"/>
    <w:rsid w:val="00806111"/>
    <w:rsid w:val="00807A2A"/>
    <w:rsid w:val="00814206"/>
    <w:rsid w:val="00823058"/>
    <w:rsid w:val="00831DCB"/>
    <w:rsid w:val="00836A8F"/>
    <w:rsid w:val="00843A9A"/>
    <w:rsid w:val="00852E5F"/>
    <w:rsid w:val="00857DD4"/>
    <w:rsid w:val="00862413"/>
    <w:rsid w:val="0086328B"/>
    <w:rsid w:val="008751AD"/>
    <w:rsid w:val="008752E2"/>
    <w:rsid w:val="00883887"/>
    <w:rsid w:val="00892DED"/>
    <w:rsid w:val="008973FE"/>
    <w:rsid w:val="008A18A0"/>
    <w:rsid w:val="008A3567"/>
    <w:rsid w:val="008B1DC7"/>
    <w:rsid w:val="008D26FB"/>
    <w:rsid w:val="008D7228"/>
    <w:rsid w:val="008E28F6"/>
    <w:rsid w:val="008E3880"/>
    <w:rsid w:val="008F38A0"/>
    <w:rsid w:val="00901F03"/>
    <w:rsid w:val="0090330C"/>
    <w:rsid w:val="00921C6B"/>
    <w:rsid w:val="009273E1"/>
    <w:rsid w:val="0093424E"/>
    <w:rsid w:val="00934E74"/>
    <w:rsid w:val="00936CC5"/>
    <w:rsid w:val="009416D2"/>
    <w:rsid w:val="009458D3"/>
    <w:rsid w:val="009502FE"/>
    <w:rsid w:val="0096114E"/>
    <w:rsid w:val="00961E14"/>
    <w:rsid w:val="009750BE"/>
    <w:rsid w:val="00976F4C"/>
    <w:rsid w:val="00984D03"/>
    <w:rsid w:val="009912E5"/>
    <w:rsid w:val="00995985"/>
    <w:rsid w:val="009A2588"/>
    <w:rsid w:val="009A5FD5"/>
    <w:rsid w:val="009B2D12"/>
    <w:rsid w:val="009B4BA7"/>
    <w:rsid w:val="009C0B2A"/>
    <w:rsid w:val="009D14F2"/>
    <w:rsid w:val="009D5387"/>
    <w:rsid w:val="009E5970"/>
    <w:rsid w:val="009E6C88"/>
    <w:rsid w:val="009E6EA5"/>
    <w:rsid w:val="00A06CBF"/>
    <w:rsid w:val="00A10D23"/>
    <w:rsid w:val="00A122D2"/>
    <w:rsid w:val="00A14901"/>
    <w:rsid w:val="00A23512"/>
    <w:rsid w:val="00A25B25"/>
    <w:rsid w:val="00A44F0D"/>
    <w:rsid w:val="00A50DDF"/>
    <w:rsid w:val="00A52123"/>
    <w:rsid w:val="00A55B15"/>
    <w:rsid w:val="00A63C7D"/>
    <w:rsid w:val="00A667B5"/>
    <w:rsid w:val="00A70B41"/>
    <w:rsid w:val="00A70BBB"/>
    <w:rsid w:val="00A845D5"/>
    <w:rsid w:val="00A854D9"/>
    <w:rsid w:val="00A90E7D"/>
    <w:rsid w:val="00A92DB3"/>
    <w:rsid w:val="00AB4618"/>
    <w:rsid w:val="00AC5C1F"/>
    <w:rsid w:val="00AD3EDE"/>
    <w:rsid w:val="00AE1889"/>
    <w:rsid w:val="00AE222F"/>
    <w:rsid w:val="00AE2AAB"/>
    <w:rsid w:val="00AF008D"/>
    <w:rsid w:val="00AF03B4"/>
    <w:rsid w:val="00AF4FE9"/>
    <w:rsid w:val="00AF59EC"/>
    <w:rsid w:val="00B06825"/>
    <w:rsid w:val="00B07C51"/>
    <w:rsid w:val="00B50635"/>
    <w:rsid w:val="00B625AC"/>
    <w:rsid w:val="00B6605D"/>
    <w:rsid w:val="00B70008"/>
    <w:rsid w:val="00B7047C"/>
    <w:rsid w:val="00B72897"/>
    <w:rsid w:val="00B7716E"/>
    <w:rsid w:val="00B77E46"/>
    <w:rsid w:val="00B86AED"/>
    <w:rsid w:val="00B878F0"/>
    <w:rsid w:val="00B92626"/>
    <w:rsid w:val="00B949C6"/>
    <w:rsid w:val="00B97E97"/>
    <w:rsid w:val="00BA164B"/>
    <w:rsid w:val="00BA654A"/>
    <w:rsid w:val="00BB07CD"/>
    <w:rsid w:val="00BB66C9"/>
    <w:rsid w:val="00BC2064"/>
    <w:rsid w:val="00BC29E6"/>
    <w:rsid w:val="00BC3AB4"/>
    <w:rsid w:val="00BC4B15"/>
    <w:rsid w:val="00BC6B73"/>
    <w:rsid w:val="00BD4214"/>
    <w:rsid w:val="00BD7680"/>
    <w:rsid w:val="00BE6CB5"/>
    <w:rsid w:val="00C00646"/>
    <w:rsid w:val="00C06139"/>
    <w:rsid w:val="00C31EBE"/>
    <w:rsid w:val="00C32884"/>
    <w:rsid w:val="00C70550"/>
    <w:rsid w:val="00C716BB"/>
    <w:rsid w:val="00C769EB"/>
    <w:rsid w:val="00C771E0"/>
    <w:rsid w:val="00C83975"/>
    <w:rsid w:val="00C96D9E"/>
    <w:rsid w:val="00CC782F"/>
    <w:rsid w:val="00CD0B4D"/>
    <w:rsid w:val="00CD17D9"/>
    <w:rsid w:val="00CD4B44"/>
    <w:rsid w:val="00CE158A"/>
    <w:rsid w:val="00CE205A"/>
    <w:rsid w:val="00CE4B65"/>
    <w:rsid w:val="00CF1556"/>
    <w:rsid w:val="00CF1AC7"/>
    <w:rsid w:val="00CF4BF0"/>
    <w:rsid w:val="00CF71F7"/>
    <w:rsid w:val="00D02DD8"/>
    <w:rsid w:val="00D05046"/>
    <w:rsid w:val="00D1077C"/>
    <w:rsid w:val="00D11BD1"/>
    <w:rsid w:val="00D15ABC"/>
    <w:rsid w:val="00D17418"/>
    <w:rsid w:val="00D23371"/>
    <w:rsid w:val="00D24E59"/>
    <w:rsid w:val="00D312BC"/>
    <w:rsid w:val="00D354F4"/>
    <w:rsid w:val="00D46273"/>
    <w:rsid w:val="00D55514"/>
    <w:rsid w:val="00D6324A"/>
    <w:rsid w:val="00D676ED"/>
    <w:rsid w:val="00D80DAC"/>
    <w:rsid w:val="00D81CB2"/>
    <w:rsid w:val="00D85E3C"/>
    <w:rsid w:val="00DA3742"/>
    <w:rsid w:val="00DA4680"/>
    <w:rsid w:val="00DA49AD"/>
    <w:rsid w:val="00DA6E05"/>
    <w:rsid w:val="00DB19FE"/>
    <w:rsid w:val="00DB1CC0"/>
    <w:rsid w:val="00DC0955"/>
    <w:rsid w:val="00DC18C5"/>
    <w:rsid w:val="00DC5A8D"/>
    <w:rsid w:val="00DC6F62"/>
    <w:rsid w:val="00DE2205"/>
    <w:rsid w:val="00DE2C35"/>
    <w:rsid w:val="00DE4294"/>
    <w:rsid w:val="00DE7234"/>
    <w:rsid w:val="00DF6659"/>
    <w:rsid w:val="00DF6F81"/>
    <w:rsid w:val="00E03C0C"/>
    <w:rsid w:val="00E0532D"/>
    <w:rsid w:val="00E112D6"/>
    <w:rsid w:val="00E17997"/>
    <w:rsid w:val="00E25FC8"/>
    <w:rsid w:val="00E40288"/>
    <w:rsid w:val="00E51052"/>
    <w:rsid w:val="00E520FD"/>
    <w:rsid w:val="00E5505D"/>
    <w:rsid w:val="00E6079E"/>
    <w:rsid w:val="00E62341"/>
    <w:rsid w:val="00E6410F"/>
    <w:rsid w:val="00E662D1"/>
    <w:rsid w:val="00E66F34"/>
    <w:rsid w:val="00E72CA9"/>
    <w:rsid w:val="00E742AD"/>
    <w:rsid w:val="00E74917"/>
    <w:rsid w:val="00E864E1"/>
    <w:rsid w:val="00E91136"/>
    <w:rsid w:val="00E9293C"/>
    <w:rsid w:val="00E92BE4"/>
    <w:rsid w:val="00EA37B8"/>
    <w:rsid w:val="00EA541F"/>
    <w:rsid w:val="00EA65F4"/>
    <w:rsid w:val="00EA6C51"/>
    <w:rsid w:val="00EB61F7"/>
    <w:rsid w:val="00ED317B"/>
    <w:rsid w:val="00EE0FFE"/>
    <w:rsid w:val="00EE3C80"/>
    <w:rsid w:val="00EF261B"/>
    <w:rsid w:val="00EF3050"/>
    <w:rsid w:val="00EF5492"/>
    <w:rsid w:val="00F018FF"/>
    <w:rsid w:val="00F05F98"/>
    <w:rsid w:val="00F064E7"/>
    <w:rsid w:val="00F1368E"/>
    <w:rsid w:val="00F146CC"/>
    <w:rsid w:val="00F15A96"/>
    <w:rsid w:val="00F25A8A"/>
    <w:rsid w:val="00F261F3"/>
    <w:rsid w:val="00F267D3"/>
    <w:rsid w:val="00F27810"/>
    <w:rsid w:val="00F27CD0"/>
    <w:rsid w:val="00F5456F"/>
    <w:rsid w:val="00F611F9"/>
    <w:rsid w:val="00F615F5"/>
    <w:rsid w:val="00F65E02"/>
    <w:rsid w:val="00F662B6"/>
    <w:rsid w:val="00F70378"/>
    <w:rsid w:val="00F7458E"/>
    <w:rsid w:val="00F76871"/>
    <w:rsid w:val="00F776AC"/>
    <w:rsid w:val="00F779AC"/>
    <w:rsid w:val="00F908FF"/>
    <w:rsid w:val="00F91ECF"/>
    <w:rsid w:val="00F9543D"/>
    <w:rsid w:val="00F976F1"/>
    <w:rsid w:val="00FA76C0"/>
    <w:rsid w:val="00FB0E73"/>
    <w:rsid w:val="00FB1F80"/>
    <w:rsid w:val="00FC6D66"/>
    <w:rsid w:val="00FD13D4"/>
    <w:rsid w:val="00FD1655"/>
    <w:rsid w:val="00FD73FD"/>
    <w:rsid w:val="00FE3853"/>
    <w:rsid w:val="00FF48C1"/>
    <w:rsid w:val="103094CC"/>
    <w:rsid w:val="167EE779"/>
    <w:rsid w:val="16C1B34C"/>
    <w:rsid w:val="22DB8FD1"/>
    <w:rsid w:val="24D62FE4"/>
    <w:rsid w:val="2A6382ED"/>
    <w:rsid w:val="366DCCC2"/>
    <w:rsid w:val="38E906C3"/>
    <w:rsid w:val="3D946CAF"/>
    <w:rsid w:val="6F569735"/>
    <w:rsid w:val="7AFCAC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451B31AB-5686-443B-A333-0F4644C2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5D"/>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9502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4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character" w:styleId="Hyperlink">
    <w:name w:val="Hyperlink"/>
    <w:basedOn w:val="DefaultParagraphFont"/>
    <w:uiPriority w:val="99"/>
    <w:unhideWhenUsed/>
    <w:rsid w:val="001F7C4E"/>
    <w:rPr>
      <w:color w:val="0563C1" w:themeColor="hyperlink"/>
      <w:u w:val="single"/>
    </w:rPr>
  </w:style>
  <w:style w:type="character" w:styleId="UnresolvedMention">
    <w:name w:val="Unresolved Mention"/>
    <w:basedOn w:val="DefaultParagraphFont"/>
    <w:uiPriority w:val="99"/>
    <w:semiHidden/>
    <w:unhideWhenUsed/>
    <w:rsid w:val="001F7C4E"/>
    <w:rPr>
      <w:color w:val="605E5C"/>
      <w:shd w:val="clear" w:color="auto" w:fill="E1DFDD"/>
    </w:rPr>
  </w:style>
  <w:style w:type="character" w:customStyle="1" w:styleId="Heading1Char">
    <w:name w:val="Heading 1 Char"/>
    <w:basedOn w:val="DefaultParagraphFont"/>
    <w:link w:val="Heading1"/>
    <w:uiPriority w:val="9"/>
    <w:rsid w:val="009502F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A845D5"/>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BC29E6"/>
    <w:pPr>
      <w:ind w:left="720"/>
      <w:contextualSpacing/>
    </w:pPr>
  </w:style>
  <w:style w:type="character" w:styleId="FollowedHyperlink">
    <w:name w:val="FollowedHyperlink"/>
    <w:basedOn w:val="DefaultParagraphFont"/>
    <w:uiPriority w:val="99"/>
    <w:semiHidden/>
    <w:unhideWhenUsed/>
    <w:rsid w:val="00E40288"/>
    <w:rPr>
      <w:color w:val="954F72" w:themeColor="followedHyperlink"/>
      <w:u w:val="single"/>
    </w:rPr>
  </w:style>
  <w:style w:type="paragraph" w:styleId="FootnoteText">
    <w:name w:val="footnote text"/>
    <w:basedOn w:val="Normal"/>
    <w:link w:val="FootnoteTextChar"/>
    <w:uiPriority w:val="99"/>
    <w:semiHidden/>
    <w:unhideWhenUsed/>
    <w:rsid w:val="00B6605D"/>
    <w:pPr>
      <w:spacing w:after="0" w:line="240" w:lineRule="auto"/>
    </w:pPr>
    <w:rPr>
      <w:sz w:val="19"/>
      <w:szCs w:val="20"/>
    </w:rPr>
  </w:style>
  <w:style w:type="character" w:customStyle="1" w:styleId="FootnoteTextChar">
    <w:name w:val="Footnote Text Char"/>
    <w:basedOn w:val="DefaultParagraphFont"/>
    <w:link w:val="FootnoteText"/>
    <w:uiPriority w:val="99"/>
    <w:semiHidden/>
    <w:rsid w:val="00B6605D"/>
    <w:rPr>
      <w:rFonts w:eastAsiaTheme="minorEastAsia" w:cstheme="minorBidi"/>
      <w:color w:val="000000" w:themeColor="text1"/>
      <w:sz w:val="19"/>
      <w:szCs w:val="20"/>
      <w:lang w:eastAsia="en-GB"/>
    </w:rPr>
  </w:style>
  <w:style w:type="character" w:styleId="FootnoteReference">
    <w:name w:val="footnote reference"/>
    <w:basedOn w:val="DefaultParagraphFont"/>
    <w:uiPriority w:val="99"/>
    <w:semiHidden/>
    <w:unhideWhenUsed/>
    <w:rsid w:val="008B1DC7"/>
    <w:rPr>
      <w:vertAlign w:val="superscript"/>
    </w:rPr>
  </w:style>
  <w:style w:type="character" w:styleId="CommentReference">
    <w:name w:val="annotation reference"/>
    <w:basedOn w:val="DefaultParagraphFont"/>
    <w:uiPriority w:val="99"/>
    <w:semiHidden/>
    <w:unhideWhenUsed/>
    <w:rsid w:val="00AE2AAB"/>
    <w:rPr>
      <w:sz w:val="16"/>
      <w:szCs w:val="16"/>
    </w:rPr>
  </w:style>
  <w:style w:type="paragraph" w:styleId="CommentText">
    <w:name w:val="annotation text"/>
    <w:basedOn w:val="Normal"/>
    <w:link w:val="CommentTextChar"/>
    <w:uiPriority w:val="99"/>
    <w:unhideWhenUsed/>
    <w:rsid w:val="00AE2AAB"/>
    <w:pPr>
      <w:spacing w:line="240" w:lineRule="auto"/>
    </w:pPr>
    <w:rPr>
      <w:szCs w:val="20"/>
    </w:rPr>
  </w:style>
  <w:style w:type="character" w:customStyle="1" w:styleId="CommentTextChar">
    <w:name w:val="Comment Text Char"/>
    <w:basedOn w:val="DefaultParagraphFont"/>
    <w:link w:val="CommentText"/>
    <w:uiPriority w:val="99"/>
    <w:rsid w:val="00AE2AAB"/>
    <w:rPr>
      <w:rFonts w:eastAsiaTheme="minorEastAsia" w:cstheme="minorBidi"/>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AE2AAB"/>
    <w:rPr>
      <w:b/>
      <w:bCs/>
    </w:rPr>
  </w:style>
  <w:style w:type="character" w:customStyle="1" w:styleId="CommentSubjectChar">
    <w:name w:val="Comment Subject Char"/>
    <w:basedOn w:val="CommentTextChar"/>
    <w:link w:val="CommentSubject"/>
    <w:uiPriority w:val="99"/>
    <w:semiHidden/>
    <w:rsid w:val="00AE2AAB"/>
    <w:rPr>
      <w:rFonts w:eastAsiaTheme="minorEastAsia" w:cstheme="minorBidi"/>
      <w:b/>
      <w:bCs/>
      <w:color w:val="000000" w:themeColor="text1"/>
      <w:sz w:val="20"/>
      <w:szCs w:val="20"/>
      <w:lang w:eastAsia="en-GB"/>
    </w:rPr>
  </w:style>
  <w:style w:type="character" w:styleId="Mention">
    <w:name w:val="Mention"/>
    <w:basedOn w:val="DefaultParagraphFont"/>
    <w:uiPriority w:val="99"/>
    <w:unhideWhenUsed/>
    <w:rsid w:val="00AE2AAB"/>
    <w:rPr>
      <w:color w:val="2B579A"/>
      <w:shd w:val="clear" w:color="auto" w:fill="E1DFDD"/>
    </w:rPr>
  </w:style>
  <w:style w:type="paragraph" w:styleId="Revision">
    <w:name w:val="Revision"/>
    <w:hidden/>
    <w:uiPriority w:val="99"/>
    <w:semiHidden/>
    <w:rsid w:val="002C052C"/>
    <w:rPr>
      <w:rFonts w:eastAsiaTheme="minorEastAsia" w:cstheme="minorBidi"/>
      <w:color w:val="000000" w:themeColor="text1"/>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41652">
      <w:bodyDiv w:val="1"/>
      <w:marLeft w:val="0"/>
      <w:marRight w:val="0"/>
      <w:marTop w:val="0"/>
      <w:marBottom w:val="0"/>
      <w:divBdr>
        <w:top w:val="none" w:sz="0" w:space="0" w:color="auto"/>
        <w:left w:val="none" w:sz="0" w:space="0" w:color="auto"/>
        <w:bottom w:val="none" w:sz="0" w:space="0" w:color="auto"/>
        <w:right w:val="none" w:sz="0" w:space="0" w:color="auto"/>
      </w:divBdr>
      <w:divsChild>
        <w:div w:id="734350660">
          <w:marLeft w:val="0"/>
          <w:marRight w:val="0"/>
          <w:marTop w:val="0"/>
          <w:marBottom w:val="0"/>
          <w:divBdr>
            <w:top w:val="none" w:sz="0" w:space="0" w:color="auto"/>
            <w:left w:val="none" w:sz="0" w:space="0" w:color="auto"/>
            <w:bottom w:val="none" w:sz="0" w:space="0" w:color="auto"/>
            <w:right w:val="none" w:sz="0" w:space="0" w:color="auto"/>
          </w:divBdr>
        </w:div>
        <w:div w:id="918174170">
          <w:marLeft w:val="0"/>
          <w:marRight w:val="0"/>
          <w:marTop w:val="0"/>
          <w:marBottom w:val="0"/>
          <w:divBdr>
            <w:top w:val="none" w:sz="0" w:space="0" w:color="auto"/>
            <w:left w:val="none" w:sz="0" w:space="0" w:color="auto"/>
            <w:bottom w:val="none" w:sz="0" w:space="0" w:color="auto"/>
            <w:right w:val="none" w:sz="0" w:space="0" w:color="auto"/>
          </w:divBdr>
        </w:div>
        <w:div w:id="1156991435">
          <w:marLeft w:val="0"/>
          <w:marRight w:val="0"/>
          <w:marTop w:val="0"/>
          <w:marBottom w:val="0"/>
          <w:divBdr>
            <w:top w:val="none" w:sz="0" w:space="0" w:color="auto"/>
            <w:left w:val="none" w:sz="0" w:space="0" w:color="auto"/>
            <w:bottom w:val="none" w:sz="0" w:space="0" w:color="auto"/>
            <w:right w:val="none" w:sz="0" w:space="0" w:color="auto"/>
          </w:divBdr>
        </w:div>
        <w:div w:id="1569152178">
          <w:marLeft w:val="0"/>
          <w:marRight w:val="0"/>
          <w:marTop w:val="0"/>
          <w:marBottom w:val="0"/>
          <w:divBdr>
            <w:top w:val="none" w:sz="0" w:space="0" w:color="auto"/>
            <w:left w:val="none" w:sz="0" w:space="0" w:color="auto"/>
            <w:bottom w:val="none" w:sz="0" w:space="0" w:color="auto"/>
            <w:right w:val="none" w:sz="0" w:space="0" w:color="auto"/>
          </w:divBdr>
        </w:div>
        <w:div w:id="2094664634">
          <w:marLeft w:val="0"/>
          <w:marRight w:val="0"/>
          <w:marTop w:val="0"/>
          <w:marBottom w:val="0"/>
          <w:divBdr>
            <w:top w:val="none" w:sz="0" w:space="0" w:color="auto"/>
            <w:left w:val="none" w:sz="0" w:space="0" w:color="auto"/>
            <w:bottom w:val="none" w:sz="0" w:space="0" w:color="auto"/>
            <w:right w:val="none" w:sz="0" w:space="0" w:color="auto"/>
          </w:divBdr>
        </w:div>
      </w:divsChild>
    </w:div>
    <w:div w:id="294214411">
      <w:bodyDiv w:val="1"/>
      <w:marLeft w:val="0"/>
      <w:marRight w:val="0"/>
      <w:marTop w:val="0"/>
      <w:marBottom w:val="0"/>
      <w:divBdr>
        <w:top w:val="none" w:sz="0" w:space="0" w:color="auto"/>
        <w:left w:val="none" w:sz="0" w:space="0" w:color="auto"/>
        <w:bottom w:val="none" w:sz="0" w:space="0" w:color="auto"/>
        <w:right w:val="none" w:sz="0" w:space="0" w:color="auto"/>
      </w:divBdr>
      <w:divsChild>
        <w:div w:id="361059395">
          <w:marLeft w:val="0"/>
          <w:marRight w:val="0"/>
          <w:marTop w:val="0"/>
          <w:marBottom w:val="0"/>
          <w:divBdr>
            <w:top w:val="none" w:sz="0" w:space="0" w:color="auto"/>
            <w:left w:val="none" w:sz="0" w:space="0" w:color="auto"/>
            <w:bottom w:val="none" w:sz="0" w:space="0" w:color="auto"/>
            <w:right w:val="none" w:sz="0" w:space="0" w:color="auto"/>
          </w:divBdr>
        </w:div>
        <w:div w:id="482165421">
          <w:marLeft w:val="0"/>
          <w:marRight w:val="0"/>
          <w:marTop w:val="0"/>
          <w:marBottom w:val="0"/>
          <w:divBdr>
            <w:top w:val="none" w:sz="0" w:space="0" w:color="auto"/>
            <w:left w:val="none" w:sz="0" w:space="0" w:color="auto"/>
            <w:bottom w:val="none" w:sz="0" w:space="0" w:color="auto"/>
            <w:right w:val="none" w:sz="0" w:space="0" w:color="auto"/>
          </w:divBdr>
        </w:div>
        <w:div w:id="728844684">
          <w:marLeft w:val="0"/>
          <w:marRight w:val="0"/>
          <w:marTop w:val="0"/>
          <w:marBottom w:val="0"/>
          <w:divBdr>
            <w:top w:val="none" w:sz="0" w:space="0" w:color="auto"/>
            <w:left w:val="none" w:sz="0" w:space="0" w:color="auto"/>
            <w:bottom w:val="none" w:sz="0" w:space="0" w:color="auto"/>
            <w:right w:val="none" w:sz="0" w:space="0" w:color="auto"/>
          </w:divBdr>
        </w:div>
      </w:divsChild>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591158840">
      <w:bodyDiv w:val="1"/>
      <w:marLeft w:val="0"/>
      <w:marRight w:val="0"/>
      <w:marTop w:val="0"/>
      <w:marBottom w:val="0"/>
      <w:divBdr>
        <w:top w:val="none" w:sz="0" w:space="0" w:color="auto"/>
        <w:left w:val="none" w:sz="0" w:space="0" w:color="auto"/>
        <w:bottom w:val="none" w:sz="0" w:space="0" w:color="auto"/>
        <w:right w:val="none" w:sz="0" w:space="0" w:color="auto"/>
      </w:divBdr>
      <w:divsChild>
        <w:div w:id="1577593700">
          <w:marLeft w:val="0"/>
          <w:marRight w:val="0"/>
          <w:marTop w:val="0"/>
          <w:marBottom w:val="0"/>
          <w:divBdr>
            <w:top w:val="none" w:sz="0" w:space="0" w:color="auto"/>
            <w:left w:val="none" w:sz="0" w:space="0" w:color="auto"/>
            <w:bottom w:val="none" w:sz="0" w:space="0" w:color="auto"/>
            <w:right w:val="none" w:sz="0" w:space="0" w:color="auto"/>
          </w:divBdr>
        </w:div>
        <w:div w:id="1690909722">
          <w:marLeft w:val="0"/>
          <w:marRight w:val="0"/>
          <w:marTop w:val="0"/>
          <w:marBottom w:val="0"/>
          <w:divBdr>
            <w:top w:val="none" w:sz="0" w:space="0" w:color="auto"/>
            <w:left w:val="none" w:sz="0" w:space="0" w:color="auto"/>
            <w:bottom w:val="none" w:sz="0" w:space="0" w:color="auto"/>
            <w:right w:val="none" w:sz="0" w:space="0" w:color="auto"/>
          </w:divBdr>
        </w:div>
      </w:divsChild>
    </w:div>
    <w:div w:id="736324351">
      <w:bodyDiv w:val="1"/>
      <w:marLeft w:val="0"/>
      <w:marRight w:val="0"/>
      <w:marTop w:val="0"/>
      <w:marBottom w:val="0"/>
      <w:divBdr>
        <w:top w:val="none" w:sz="0" w:space="0" w:color="auto"/>
        <w:left w:val="none" w:sz="0" w:space="0" w:color="auto"/>
        <w:bottom w:val="none" w:sz="0" w:space="0" w:color="auto"/>
        <w:right w:val="none" w:sz="0" w:space="0" w:color="auto"/>
      </w:divBdr>
      <w:divsChild>
        <w:div w:id="675691462">
          <w:marLeft w:val="0"/>
          <w:marRight w:val="0"/>
          <w:marTop w:val="0"/>
          <w:marBottom w:val="0"/>
          <w:divBdr>
            <w:top w:val="none" w:sz="0" w:space="0" w:color="auto"/>
            <w:left w:val="none" w:sz="0" w:space="0" w:color="auto"/>
            <w:bottom w:val="none" w:sz="0" w:space="0" w:color="auto"/>
            <w:right w:val="none" w:sz="0" w:space="0" w:color="auto"/>
          </w:divBdr>
        </w:div>
        <w:div w:id="965090140">
          <w:marLeft w:val="0"/>
          <w:marRight w:val="0"/>
          <w:marTop w:val="0"/>
          <w:marBottom w:val="0"/>
          <w:divBdr>
            <w:top w:val="none" w:sz="0" w:space="0" w:color="auto"/>
            <w:left w:val="none" w:sz="0" w:space="0" w:color="auto"/>
            <w:bottom w:val="none" w:sz="0" w:space="0" w:color="auto"/>
            <w:right w:val="none" w:sz="0" w:space="0" w:color="auto"/>
          </w:divBdr>
        </w:div>
      </w:divsChild>
    </w:div>
    <w:div w:id="1060252246">
      <w:bodyDiv w:val="1"/>
      <w:marLeft w:val="0"/>
      <w:marRight w:val="0"/>
      <w:marTop w:val="0"/>
      <w:marBottom w:val="0"/>
      <w:divBdr>
        <w:top w:val="none" w:sz="0" w:space="0" w:color="auto"/>
        <w:left w:val="none" w:sz="0" w:space="0" w:color="auto"/>
        <w:bottom w:val="none" w:sz="0" w:space="0" w:color="auto"/>
        <w:right w:val="none" w:sz="0" w:space="0" w:color="auto"/>
      </w:divBdr>
      <w:divsChild>
        <w:div w:id="61801156">
          <w:marLeft w:val="0"/>
          <w:marRight w:val="0"/>
          <w:marTop w:val="0"/>
          <w:marBottom w:val="0"/>
          <w:divBdr>
            <w:top w:val="none" w:sz="0" w:space="0" w:color="auto"/>
            <w:left w:val="none" w:sz="0" w:space="0" w:color="auto"/>
            <w:bottom w:val="none" w:sz="0" w:space="0" w:color="auto"/>
            <w:right w:val="none" w:sz="0" w:space="0" w:color="auto"/>
          </w:divBdr>
        </w:div>
        <w:div w:id="687560255">
          <w:marLeft w:val="0"/>
          <w:marRight w:val="0"/>
          <w:marTop w:val="0"/>
          <w:marBottom w:val="0"/>
          <w:divBdr>
            <w:top w:val="none" w:sz="0" w:space="0" w:color="auto"/>
            <w:left w:val="none" w:sz="0" w:space="0" w:color="auto"/>
            <w:bottom w:val="none" w:sz="0" w:space="0" w:color="auto"/>
            <w:right w:val="none" w:sz="0" w:space="0" w:color="auto"/>
          </w:divBdr>
        </w:div>
        <w:div w:id="952129319">
          <w:marLeft w:val="0"/>
          <w:marRight w:val="0"/>
          <w:marTop w:val="0"/>
          <w:marBottom w:val="0"/>
          <w:divBdr>
            <w:top w:val="none" w:sz="0" w:space="0" w:color="auto"/>
            <w:left w:val="none" w:sz="0" w:space="0" w:color="auto"/>
            <w:bottom w:val="none" w:sz="0" w:space="0" w:color="auto"/>
            <w:right w:val="none" w:sz="0" w:space="0" w:color="auto"/>
          </w:divBdr>
        </w:div>
        <w:div w:id="1074668639">
          <w:marLeft w:val="0"/>
          <w:marRight w:val="0"/>
          <w:marTop w:val="0"/>
          <w:marBottom w:val="0"/>
          <w:divBdr>
            <w:top w:val="none" w:sz="0" w:space="0" w:color="auto"/>
            <w:left w:val="none" w:sz="0" w:space="0" w:color="auto"/>
            <w:bottom w:val="none" w:sz="0" w:space="0" w:color="auto"/>
            <w:right w:val="none" w:sz="0" w:space="0" w:color="auto"/>
          </w:divBdr>
        </w:div>
        <w:div w:id="1570463148">
          <w:marLeft w:val="0"/>
          <w:marRight w:val="0"/>
          <w:marTop w:val="0"/>
          <w:marBottom w:val="0"/>
          <w:divBdr>
            <w:top w:val="none" w:sz="0" w:space="0" w:color="auto"/>
            <w:left w:val="none" w:sz="0" w:space="0" w:color="auto"/>
            <w:bottom w:val="none" w:sz="0" w:space="0" w:color="auto"/>
            <w:right w:val="none" w:sz="0" w:space="0" w:color="auto"/>
          </w:divBdr>
        </w:div>
      </w:divsChild>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2057851704">
      <w:bodyDiv w:val="1"/>
      <w:marLeft w:val="0"/>
      <w:marRight w:val="0"/>
      <w:marTop w:val="0"/>
      <w:marBottom w:val="0"/>
      <w:divBdr>
        <w:top w:val="none" w:sz="0" w:space="0" w:color="auto"/>
        <w:left w:val="none" w:sz="0" w:space="0" w:color="auto"/>
        <w:bottom w:val="none" w:sz="0" w:space="0" w:color="auto"/>
        <w:right w:val="none" w:sz="0" w:space="0" w:color="auto"/>
      </w:divBdr>
      <w:divsChild>
        <w:div w:id="234317260">
          <w:marLeft w:val="0"/>
          <w:marRight w:val="0"/>
          <w:marTop w:val="0"/>
          <w:marBottom w:val="0"/>
          <w:divBdr>
            <w:top w:val="none" w:sz="0" w:space="0" w:color="auto"/>
            <w:left w:val="none" w:sz="0" w:space="0" w:color="auto"/>
            <w:bottom w:val="none" w:sz="0" w:space="0" w:color="auto"/>
            <w:right w:val="none" w:sz="0" w:space="0" w:color="auto"/>
          </w:divBdr>
        </w:div>
        <w:div w:id="1419600596">
          <w:marLeft w:val="0"/>
          <w:marRight w:val="0"/>
          <w:marTop w:val="0"/>
          <w:marBottom w:val="0"/>
          <w:divBdr>
            <w:top w:val="none" w:sz="0" w:space="0" w:color="auto"/>
            <w:left w:val="none" w:sz="0" w:space="0" w:color="auto"/>
            <w:bottom w:val="none" w:sz="0" w:space="0" w:color="auto"/>
            <w:right w:val="none" w:sz="0" w:space="0" w:color="auto"/>
          </w:divBdr>
        </w:div>
        <w:div w:id="207017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health.act.gov.au/sites/default/files/2021-05/Healthy%20Minds_CHO%20report%202021_4%20page.pdf" TargetMode="External"/><Relationship Id="rId26" Type="http://schemas.openxmlformats.org/officeDocument/2006/relationships/hyperlink" Target="https://actcoss.org.au/wp-content/uploads/2023/04/2023-ACT-Community-Sector-Demand-Snapshot.pdf" TargetMode="External"/><Relationship Id="rId21" Type="http://schemas.openxmlformats.org/officeDocument/2006/relationships/hyperlink" Target="https://actcoss.org.au/wp-content/uploads/2023/01/2021-report-Counting-the-Costs_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hnact.org.au/wp-content/uploads/2021/01/ACTPHN-Needs-Ax-2020-21-Update.pdf" TargetMode="External"/><Relationship Id="rId25" Type="http://schemas.openxmlformats.org/officeDocument/2006/relationships/hyperlink" Target="https://actcoss.org.au/wp-content/uploads/2023/04/2023-ACT-Community-Sector-Demand-Snapshot.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c.gov.au/inquiries/completed/mental-health/report" TargetMode="External"/><Relationship Id="rId20" Type="http://schemas.openxmlformats.org/officeDocument/2006/relationships/hyperlink" Target="https://www.pc.gov.au/inquiries/completed/mental-health/re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ommitteeJCS@parliament.act.gov.au" TargetMode="External"/><Relationship Id="rId24" Type="http://schemas.openxmlformats.org/officeDocument/2006/relationships/hyperlink" Target="https://actcoss.org.au/wp-content/uploads/2023/01/2021-report-Counting-the-Costs_1.pdf" TargetMode="External"/><Relationship Id="rId32" Type="http://schemas.openxmlformats.org/officeDocument/2006/relationships/header" Target="header2.xml"/><Relationship Id="rId37" Type="http://schemas.microsoft.com/office/2019/05/relationships/documenttasks" Target="documenttasks/documenttasks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file:///C:\Users\avand\Downloads\building-social-inclusion2007.pdf" TargetMode="External"/><Relationship Id="rId28" Type="http://schemas.openxmlformats.org/officeDocument/2006/relationships/hyperlink" Target="mailto:devin.bowles@actcoss.org.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s.gov.au/statistics/health/health-conditions-and-risks/health-census/latest-releas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parliament.act.gov.au/__data/assets/pdf_file/0003/2303463/Terms-of-reference-Inquiry-into-Immediate-Trauma-Support-Services-in-the-ACT.pdf" TargetMode="External"/><Relationship Id="rId27" Type="http://schemas.openxmlformats.org/officeDocument/2006/relationships/image" Target="media/image1.png"/><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journals.sagepub.com/doi/full/10.1177/1524838021991310" TargetMode="External"/><Relationship Id="rId2" Type="http://schemas.openxmlformats.org/officeDocument/2006/relationships/hyperlink" Target="https://www.cetc.org.au/wp-content/uploads/2022/07/vicarious-trauma-research-brief.pdf" TargetMode="External"/><Relationship Id="rId1" Type="http://schemas.openxmlformats.org/officeDocument/2006/relationships/hyperlink" Target="https://centacare.org.au/wp-content/uploads/corporate/VicariousTraumaReport.pdf" TargetMode="External"/><Relationship Id="rId4" Type="http://schemas.openxmlformats.org/officeDocument/2006/relationships/hyperlink" Target="https://www.tandfonline.com/doi/full/10.1080/09503153.2019.1620201?needAccess=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documenttasks/documenttasks1.xml><?xml version="1.0" encoding="utf-8"?>
<t:Tasks xmlns:t="http://schemas.microsoft.com/office/tasks/2019/documenttasks" xmlns:oel="http://schemas.microsoft.com/office/2019/extlst">
  <t:Task id="{C84C2F85-1513-4AAC-A649-969EB4A5BD32}">
    <t:Anchor>
      <t:Comment id="2067322786"/>
    </t:Anchor>
    <t:History>
      <t:Event id="{3374EDB7-318F-48ED-8644-C23DC0F04825}" time="2023-12-08T02:45:15.999Z">
        <t:Attribution userId="S::corinne.dobson@actcoss.org.au::176ddc52-3152-423d-bae4-a0bbe7582915" userProvider="AD" userName="Corinne Dobson"/>
        <t:Anchor>
          <t:Comment id="2067322786"/>
        </t:Anchor>
        <t:Create/>
      </t:Event>
      <t:Event id="{387AA3BD-B2BE-4056-AE4B-E248BA63D532}" time="2023-12-08T02:45:15.999Z">
        <t:Attribution userId="S::corinne.dobson@actcoss.org.au::176ddc52-3152-423d-bae4-a0bbe7582915" userProvider="AD" userName="Corinne Dobson"/>
        <t:Anchor>
          <t:Comment id="2067322786"/>
        </t:Anchor>
        <t:Assign userId="S::devin.bowles@actcoss.org.au::8c531f5b-3689-4e94-854d-b7658c3fae81" userProvider="AD" userName="Devin Bowles"/>
      </t:Event>
      <t:Event id="{ED61B92B-0DB7-493E-B799-892DCF957354}" time="2023-12-08T02:45:15.999Z">
        <t:Attribution userId="S::corinne.dobson@actcoss.org.au::176ddc52-3152-423d-bae4-a0bbe7582915" userProvider="AD" userName="Corinne Dobson"/>
        <t:Anchor>
          <t:Comment id="2067322786"/>
        </t:Anchor>
        <t:SetTitle title="@Devin Bowles "/>
      </t:Event>
      <t:Event id="{B6C56995-D564-4151-99A9-3B54F2FCBD36}" time="2023-12-08T04:44:50.265Z">
        <t:Attribution userId="S::avan.daruwalla@actcoss.org.au::6da69886-a8b7-4b12-9a7c-46cb72bbb97e" userProvider="AD" userName="Avan Daruwall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af7ada8f21de519943871e5a93ef96a4">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b6d130cbec0721aa1e80923d720fd81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a9ae16-53fa-4810-8be8-89ac02ee10f6}"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0C570-8A57-47EF-9829-3A05C5898636}">
  <ds:schemaRefs>
    <ds:schemaRef ds:uri="http://schemas.openxmlformats.org/officeDocument/2006/bibliography"/>
  </ds:schemaRefs>
</ds:datastoreItem>
</file>

<file path=customXml/itemProps2.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customXml/itemProps3.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4.xml><?xml version="1.0" encoding="utf-8"?>
<ds:datastoreItem xmlns:ds="http://schemas.openxmlformats.org/officeDocument/2006/customXml" ds:itemID="{9F01EEBA-B9D8-4FA7-ADD3-DB22E26DB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2178</Words>
  <Characters>12421</Characters>
  <Application>Microsoft Office Word</Application>
  <DocSecurity>4</DocSecurity>
  <Lines>103</Lines>
  <Paragraphs>29</Paragraphs>
  <ScaleCrop>false</ScaleCrop>
  <Company/>
  <LinksUpToDate>false</LinksUpToDate>
  <CharactersWithSpaces>14570</CharactersWithSpaces>
  <SharedDoc>false</SharedDoc>
  <HLinks>
    <vt:vector size="108" baseType="variant">
      <vt:variant>
        <vt:i4>5898360</vt:i4>
      </vt:variant>
      <vt:variant>
        <vt:i4>39</vt:i4>
      </vt:variant>
      <vt:variant>
        <vt:i4>0</vt:i4>
      </vt:variant>
      <vt:variant>
        <vt:i4>5</vt:i4>
      </vt:variant>
      <vt:variant>
        <vt:lpwstr>mailto:devin.bowles@actcoss.org.au</vt:lpwstr>
      </vt:variant>
      <vt:variant>
        <vt:lpwstr/>
      </vt:variant>
      <vt:variant>
        <vt:i4>2490494</vt:i4>
      </vt:variant>
      <vt:variant>
        <vt:i4>36</vt:i4>
      </vt:variant>
      <vt:variant>
        <vt:i4>0</vt:i4>
      </vt:variant>
      <vt:variant>
        <vt:i4>5</vt:i4>
      </vt:variant>
      <vt:variant>
        <vt:lpwstr>https://actcoss.org.au/wp-content/uploads/2023/04/2023-ACT-Community-Sector-Demand-Snapshot.pdf</vt:lpwstr>
      </vt:variant>
      <vt:variant>
        <vt:lpwstr/>
      </vt:variant>
      <vt:variant>
        <vt:i4>2490494</vt:i4>
      </vt:variant>
      <vt:variant>
        <vt:i4>33</vt:i4>
      </vt:variant>
      <vt:variant>
        <vt:i4>0</vt:i4>
      </vt:variant>
      <vt:variant>
        <vt:i4>5</vt:i4>
      </vt:variant>
      <vt:variant>
        <vt:lpwstr>https://actcoss.org.au/wp-content/uploads/2023/04/2023-ACT-Community-Sector-Demand-Snapshot.pdf</vt:lpwstr>
      </vt:variant>
      <vt:variant>
        <vt:lpwstr/>
      </vt:variant>
      <vt:variant>
        <vt:i4>2818127</vt:i4>
      </vt:variant>
      <vt:variant>
        <vt:i4>30</vt:i4>
      </vt:variant>
      <vt:variant>
        <vt:i4>0</vt:i4>
      </vt:variant>
      <vt:variant>
        <vt:i4>5</vt:i4>
      </vt:variant>
      <vt:variant>
        <vt:lpwstr>https://actcoss.org.au/wp-content/uploads/2023/01/2021-report-Counting-the-Costs_1.pdf</vt:lpwstr>
      </vt:variant>
      <vt:variant>
        <vt:lpwstr/>
      </vt:variant>
      <vt:variant>
        <vt:i4>8323181</vt:i4>
      </vt:variant>
      <vt:variant>
        <vt:i4>27</vt:i4>
      </vt:variant>
      <vt:variant>
        <vt:i4>0</vt:i4>
      </vt:variant>
      <vt:variant>
        <vt:i4>5</vt:i4>
      </vt:variant>
      <vt:variant>
        <vt:lpwstr>C:\Users\avand\Downloads\building-social-inclusion2007.pdf</vt:lpwstr>
      </vt:variant>
      <vt:variant>
        <vt:lpwstr/>
      </vt:variant>
      <vt:variant>
        <vt:i4>6553686</vt:i4>
      </vt:variant>
      <vt:variant>
        <vt:i4>24</vt:i4>
      </vt:variant>
      <vt:variant>
        <vt:i4>0</vt:i4>
      </vt:variant>
      <vt:variant>
        <vt:i4>5</vt:i4>
      </vt:variant>
      <vt:variant>
        <vt:lpwstr>https://www.parliament.act.gov.au/__data/assets/pdf_file/0003/2303463/Terms-of-reference-Inquiry-into-Immediate-Trauma-Support-Services-in-the-ACT.pdf</vt:lpwstr>
      </vt:variant>
      <vt:variant>
        <vt:lpwstr/>
      </vt:variant>
      <vt:variant>
        <vt:i4>2818127</vt:i4>
      </vt:variant>
      <vt:variant>
        <vt:i4>21</vt:i4>
      </vt:variant>
      <vt:variant>
        <vt:i4>0</vt:i4>
      </vt:variant>
      <vt:variant>
        <vt:i4>5</vt:i4>
      </vt:variant>
      <vt:variant>
        <vt:lpwstr>https://actcoss.org.au/wp-content/uploads/2023/01/2021-report-Counting-the-Costs_1.pdf</vt:lpwstr>
      </vt:variant>
      <vt:variant>
        <vt:lpwstr/>
      </vt:variant>
      <vt:variant>
        <vt:i4>3539053</vt:i4>
      </vt:variant>
      <vt:variant>
        <vt:i4>18</vt:i4>
      </vt:variant>
      <vt:variant>
        <vt:i4>0</vt:i4>
      </vt:variant>
      <vt:variant>
        <vt:i4>5</vt:i4>
      </vt:variant>
      <vt:variant>
        <vt:lpwstr>https://www.pc.gov.au/inquiries/completed/mental-health/report</vt:lpwstr>
      </vt:variant>
      <vt:variant>
        <vt:lpwstr/>
      </vt:variant>
      <vt:variant>
        <vt:i4>5636174</vt:i4>
      </vt:variant>
      <vt:variant>
        <vt:i4>15</vt:i4>
      </vt:variant>
      <vt:variant>
        <vt:i4>0</vt:i4>
      </vt:variant>
      <vt:variant>
        <vt:i4>5</vt:i4>
      </vt:variant>
      <vt:variant>
        <vt:lpwstr>https://www.abs.gov.au/statistics/health/health-conditions-and-risks/health-census/latest-release</vt:lpwstr>
      </vt:variant>
      <vt:variant>
        <vt:lpwstr/>
      </vt:variant>
      <vt:variant>
        <vt:i4>2818108</vt:i4>
      </vt:variant>
      <vt:variant>
        <vt:i4>12</vt:i4>
      </vt:variant>
      <vt:variant>
        <vt:i4>0</vt:i4>
      </vt:variant>
      <vt:variant>
        <vt:i4>5</vt:i4>
      </vt:variant>
      <vt:variant>
        <vt:lpwstr>https://health.act.gov.au/sites/default/files/2021-05/Healthy Minds_CHO report 2021_4 page.pdf</vt:lpwstr>
      </vt:variant>
      <vt:variant>
        <vt:lpwstr/>
      </vt:variant>
      <vt:variant>
        <vt:i4>3997745</vt:i4>
      </vt:variant>
      <vt:variant>
        <vt:i4>9</vt:i4>
      </vt:variant>
      <vt:variant>
        <vt:i4>0</vt:i4>
      </vt:variant>
      <vt:variant>
        <vt:i4>5</vt:i4>
      </vt:variant>
      <vt:variant>
        <vt:lpwstr>https://www.chnact.org.au/wp-content/uploads/2021/01/ACTPHN-Needs-Ax-2020-21-Update.pdf</vt:lpwstr>
      </vt:variant>
      <vt:variant>
        <vt:lpwstr/>
      </vt:variant>
      <vt:variant>
        <vt:i4>3539053</vt:i4>
      </vt:variant>
      <vt:variant>
        <vt:i4>6</vt:i4>
      </vt:variant>
      <vt:variant>
        <vt:i4>0</vt:i4>
      </vt:variant>
      <vt:variant>
        <vt:i4>5</vt:i4>
      </vt:variant>
      <vt:variant>
        <vt:lpwstr>https://www.pc.gov.au/inquiries/completed/mental-health/report</vt:lpwstr>
      </vt:variant>
      <vt:variant>
        <vt:lpwstr/>
      </vt:variant>
      <vt:variant>
        <vt:i4>4391019</vt:i4>
      </vt:variant>
      <vt:variant>
        <vt:i4>0</vt:i4>
      </vt:variant>
      <vt:variant>
        <vt:i4>0</vt:i4>
      </vt:variant>
      <vt:variant>
        <vt:i4>5</vt:i4>
      </vt:variant>
      <vt:variant>
        <vt:lpwstr>mailto:LACommitteeJCS@parliament.act.gov.au</vt:lpwstr>
      </vt:variant>
      <vt:variant>
        <vt:lpwstr/>
      </vt:variant>
      <vt:variant>
        <vt:i4>8126516</vt:i4>
      </vt:variant>
      <vt:variant>
        <vt:i4>9</vt:i4>
      </vt:variant>
      <vt:variant>
        <vt:i4>0</vt:i4>
      </vt:variant>
      <vt:variant>
        <vt:i4>5</vt:i4>
      </vt:variant>
      <vt:variant>
        <vt:lpwstr>https://www.tandfonline.com/doi/full/10.1080/09503153.2019.1620201?needAccess=true</vt:lpwstr>
      </vt:variant>
      <vt:variant>
        <vt:lpwstr/>
      </vt:variant>
      <vt:variant>
        <vt:i4>3014692</vt:i4>
      </vt:variant>
      <vt:variant>
        <vt:i4>6</vt:i4>
      </vt:variant>
      <vt:variant>
        <vt:i4>0</vt:i4>
      </vt:variant>
      <vt:variant>
        <vt:i4>5</vt:i4>
      </vt:variant>
      <vt:variant>
        <vt:lpwstr>https://journals.sagepub.com/doi/full/10.1177/1524838021991310</vt:lpwstr>
      </vt:variant>
      <vt:variant>
        <vt:lpwstr/>
      </vt:variant>
      <vt:variant>
        <vt:i4>3670069</vt:i4>
      </vt:variant>
      <vt:variant>
        <vt:i4>3</vt:i4>
      </vt:variant>
      <vt:variant>
        <vt:i4>0</vt:i4>
      </vt:variant>
      <vt:variant>
        <vt:i4>5</vt:i4>
      </vt:variant>
      <vt:variant>
        <vt:lpwstr>https://www.cetc.org.au/wp-content/uploads/2022/07/vicarious-trauma-research-brief.pdf</vt:lpwstr>
      </vt:variant>
      <vt:variant>
        <vt:lpwstr/>
      </vt:variant>
      <vt:variant>
        <vt:i4>2228320</vt:i4>
      </vt:variant>
      <vt:variant>
        <vt:i4>0</vt:i4>
      </vt:variant>
      <vt:variant>
        <vt:i4>0</vt:i4>
      </vt:variant>
      <vt:variant>
        <vt:i4>5</vt:i4>
      </vt:variant>
      <vt:variant>
        <vt:lpwstr>https://centacare.org.au/wp-content/uploads/corporate/VicariousTraumaReport.pdf</vt:lpwstr>
      </vt:variant>
      <vt:variant>
        <vt:lpwstr/>
      </vt:variant>
      <vt:variant>
        <vt:i4>5898360</vt:i4>
      </vt:variant>
      <vt:variant>
        <vt:i4>0</vt:i4>
      </vt:variant>
      <vt:variant>
        <vt:i4>0</vt:i4>
      </vt:variant>
      <vt:variant>
        <vt:i4>5</vt:i4>
      </vt:variant>
      <vt:variant>
        <vt:lpwstr>mailto:devin.bowles@actcoss.org.au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Devin Bowles</cp:lastModifiedBy>
  <cp:revision>417</cp:revision>
  <dcterms:created xsi:type="dcterms:W3CDTF">2022-10-01T16:31:00Z</dcterms:created>
  <dcterms:modified xsi:type="dcterms:W3CDTF">2023-12-08T23:49:00Z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