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7B839A1B" w:rsidR="00B77E46" w:rsidRPr="009903E4" w:rsidRDefault="006045B0" w:rsidP="00B50635">
      <w:pPr>
        <w:ind w:right="-8"/>
        <w:rPr>
          <w:rFonts w:cs="Arial"/>
          <w:szCs w:val="20"/>
        </w:rPr>
      </w:pPr>
      <w:r>
        <w:rPr>
          <w:rFonts w:cs="Arial"/>
          <w:szCs w:val="20"/>
        </w:rPr>
        <w:t>Mark Feather</w:t>
      </w:r>
      <w:r w:rsidR="00B50635" w:rsidRPr="009903E4">
        <w:rPr>
          <w:rFonts w:cs="Arial"/>
          <w:szCs w:val="20"/>
        </w:rPr>
        <w:br/>
      </w:r>
      <w:r>
        <w:rPr>
          <w:rFonts w:cs="Arial"/>
          <w:szCs w:val="20"/>
        </w:rPr>
        <w:t>Australian Energy Regulator</w:t>
      </w:r>
      <w:r w:rsidR="00B50635" w:rsidRPr="009903E4">
        <w:rPr>
          <w:rFonts w:cs="Arial"/>
          <w:szCs w:val="20"/>
        </w:rPr>
        <w:br/>
      </w:r>
      <w:r w:rsidR="00EC7FC9">
        <w:rPr>
          <w:rFonts w:cs="Arial"/>
          <w:szCs w:val="20"/>
        </w:rPr>
        <w:t>GPO Box 3130 Canberra ACT 260</w:t>
      </w:r>
      <w:r w:rsidR="00C63316">
        <w:rPr>
          <w:rFonts w:cs="Arial"/>
          <w:szCs w:val="20"/>
        </w:rPr>
        <w:t>1</w:t>
      </w:r>
      <w:r w:rsidR="00B77E46">
        <w:rPr>
          <w:rFonts w:cs="Arial"/>
          <w:szCs w:val="20"/>
        </w:rPr>
        <w:br/>
      </w:r>
      <w:r w:rsidR="00EC7FC9">
        <w:rPr>
          <w:rFonts w:cs="Arial"/>
          <w:szCs w:val="20"/>
        </w:rPr>
        <w:t>AERexemptions@aer.gov.au</w:t>
      </w:r>
    </w:p>
    <w:p w14:paraId="39DFD895" w14:textId="77777777" w:rsidR="00B50635" w:rsidRPr="009903E4" w:rsidRDefault="00B50635" w:rsidP="00B50635">
      <w:pPr>
        <w:rPr>
          <w:rFonts w:cs="Arial"/>
          <w:szCs w:val="20"/>
        </w:rPr>
      </w:pPr>
    </w:p>
    <w:p w14:paraId="5B84AE35" w14:textId="1D659970" w:rsidR="00B50635" w:rsidRPr="009903E4" w:rsidRDefault="006045B0" w:rsidP="00B50635">
      <w:pPr>
        <w:rPr>
          <w:rFonts w:cs="Arial"/>
          <w:szCs w:val="20"/>
        </w:rPr>
      </w:pPr>
      <w:r>
        <w:rPr>
          <w:rFonts w:cs="Arial"/>
          <w:szCs w:val="20"/>
        </w:rPr>
        <w:t>12 February 2024</w:t>
      </w:r>
    </w:p>
    <w:p w14:paraId="0C1C1E8B" w14:textId="3B6DA245" w:rsidR="00B50635" w:rsidRDefault="00B50635" w:rsidP="00B50635">
      <w:pPr>
        <w:rPr>
          <w:rFonts w:cs="Arial"/>
          <w:szCs w:val="20"/>
        </w:rPr>
      </w:pPr>
      <w:r w:rsidRPr="009903E4">
        <w:rPr>
          <w:rFonts w:cs="Arial"/>
          <w:szCs w:val="20"/>
        </w:rPr>
        <w:t xml:space="preserve">Dear </w:t>
      </w:r>
      <w:r w:rsidR="00B53649">
        <w:rPr>
          <w:rFonts w:cs="Arial"/>
          <w:szCs w:val="20"/>
        </w:rPr>
        <w:t>Mr Feather</w:t>
      </w:r>
    </w:p>
    <w:p w14:paraId="2DCC7491" w14:textId="614D3056" w:rsidR="00B50635" w:rsidRPr="00AF4B0F" w:rsidRDefault="00B53649" w:rsidP="00B50635">
      <w:pPr>
        <w:rPr>
          <w:rFonts w:cs="Arial"/>
          <w:b/>
          <w:bCs/>
          <w:szCs w:val="20"/>
        </w:rPr>
      </w:pPr>
      <w:r w:rsidRPr="00AF4B0F">
        <w:rPr>
          <w:rFonts w:cs="Arial"/>
          <w:b/>
          <w:bCs/>
          <w:szCs w:val="20"/>
        </w:rPr>
        <w:t>ACTCOSS SUBMISSION</w:t>
      </w:r>
      <w:r w:rsidR="000A3FDB" w:rsidRPr="00AF4B0F">
        <w:rPr>
          <w:rFonts w:cs="Arial"/>
          <w:b/>
          <w:bCs/>
          <w:szCs w:val="20"/>
        </w:rPr>
        <w:t xml:space="preserve"> TO </w:t>
      </w:r>
      <w:r w:rsidRPr="00AF4B0F">
        <w:rPr>
          <w:rFonts w:cs="Arial"/>
          <w:b/>
          <w:bCs/>
          <w:szCs w:val="20"/>
        </w:rPr>
        <w:t xml:space="preserve">REVIEW OF </w:t>
      </w:r>
      <w:r w:rsidR="000A3FDB" w:rsidRPr="00AF4B0F">
        <w:rPr>
          <w:rFonts w:cs="Arial"/>
          <w:b/>
          <w:bCs/>
          <w:szCs w:val="20"/>
        </w:rPr>
        <w:t xml:space="preserve">EMBEDDED NETWORKS </w:t>
      </w:r>
      <w:r w:rsidRPr="00AF4B0F">
        <w:rPr>
          <w:rFonts w:cs="Arial"/>
          <w:b/>
          <w:bCs/>
          <w:szCs w:val="20"/>
        </w:rPr>
        <w:t>EXEMPTIONS FRAMEWORK</w:t>
      </w:r>
    </w:p>
    <w:p w14:paraId="2F6AFA72" w14:textId="4DC74984" w:rsidR="00AF4B0F" w:rsidRPr="00AF4B0F" w:rsidRDefault="00DD6F72" w:rsidP="00AF4B0F">
      <w:pPr>
        <w:rPr>
          <w:rFonts w:cs="Arial"/>
          <w:szCs w:val="20"/>
        </w:rPr>
      </w:pPr>
      <w:r>
        <w:rPr>
          <w:rFonts w:cs="Arial"/>
          <w:szCs w:val="20"/>
        </w:rPr>
        <w:t>The ACT Council of Social Service (</w:t>
      </w:r>
      <w:r w:rsidR="00AF4B0F" w:rsidRPr="00AF4B0F">
        <w:rPr>
          <w:rFonts w:cs="Arial"/>
          <w:szCs w:val="20"/>
        </w:rPr>
        <w:t>ACTCOSS</w:t>
      </w:r>
      <w:r>
        <w:rPr>
          <w:rFonts w:cs="Arial"/>
          <w:szCs w:val="20"/>
        </w:rPr>
        <w:t>)</w:t>
      </w:r>
      <w:r w:rsidR="00AF4B0F" w:rsidRPr="00AF4B0F">
        <w:rPr>
          <w:rFonts w:cs="Arial"/>
          <w:szCs w:val="20"/>
        </w:rPr>
        <w:t xml:space="preserve"> welcomes the opportunity to </w:t>
      </w:r>
      <w:r w:rsidR="00C63316">
        <w:rPr>
          <w:rFonts w:cs="Arial"/>
          <w:szCs w:val="20"/>
        </w:rPr>
        <w:t xml:space="preserve">provide a submission to the </w:t>
      </w:r>
      <w:r w:rsidR="00C540A3" w:rsidRPr="00C540A3">
        <w:rPr>
          <w:rFonts w:cs="Arial"/>
          <w:szCs w:val="20"/>
        </w:rPr>
        <w:t>Australian Energy Regulator</w:t>
      </w:r>
      <w:r w:rsidR="00C540A3">
        <w:rPr>
          <w:rFonts w:cs="Arial"/>
          <w:szCs w:val="20"/>
        </w:rPr>
        <w:t>’s</w:t>
      </w:r>
      <w:r w:rsidR="00C540A3" w:rsidRPr="00C540A3">
        <w:rPr>
          <w:rFonts w:cs="Arial"/>
          <w:szCs w:val="20"/>
        </w:rPr>
        <w:t xml:space="preserve"> </w:t>
      </w:r>
      <w:r w:rsidR="00C540A3">
        <w:rPr>
          <w:rFonts w:cs="Arial"/>
          <w:szCs w:val="20"/>
        </w:rPr>
        <w:t>(</w:t>
      </w:r>
      <w:r w:rsidR="00C63316">
        <w:rPr>
          <w:rFonts w:cs="Arial"/>
          <w:szCs w:val="20"/>
        </w:rPr>
        <w:t>AER’s</w:t>
      </w:r>
      <w:r w:rsidR="00C540A3">
        <w:rPr>
          <w:rFonts w:cs="Arial"/>
          <w:szCs w:val="20"/>
        </w:rPr>
        <w:t>)</w:t>
      </w:r>
      <w:r w:rsidR="00C63316">
        <w:rPr>
          <w:rFonts w:cs="Arial"/>
          <w:szCs w:val="20"/>
        </w:rPr>
        <w:t xml:space="preserve"> review</w:t>
      </w:r>
      <w:r w:rsidR="00FF0B61">
        <w:rPr>
          <w:rFonts w:cs="Arial"/>
          <w:szCs w:val="20"/>
        </w:rPr>
        <w:t xml:space="preserve"> of the exemptions framework for embedded networks</w:t>
      </w:r>
      <w:r w:rsidR="00B46E43">
        <w:rPr>
          <w:rFonts w:cs="Arial"/>
          <w:szCs w:val="20"/>
        </w:rPr>
        <w:t xml:space="preserve"> (EN</w:t>
      </w:r>
      <w:r w:rsidR="00520BB7">
        <w:rPr>
          <w:rFonts w:cs="Arial"/>
          <w:szCs w:val="20"/>
        </w:rPr>
        <w:t>s</w:t>
      </w:r>
      <w:r>
        <w:rPr>
          <w:rFonts w:cs="Arial"/>
          <w:szCs w:val="20"/>
        </w:rPr>
        <w:t>)</w:t>
      </w:r>
      <w:r w:rsidR="00FF0B61">
        <w:rPr>
          <w:rFonts w:cs="Arial"/>
          <w:szCs w:val="20"/>
        </w:rPr>
        <w:t>.</w:t>
      </w:r>
      <w:r w:rsidR="00D73775">
        <w:rPr>
          <w:rFonts w:cs="Arial"/>
          <w:szCs w:val="20"/>
        </w:rPr>
        <w:t xml:space="preserve"> </w:t>
      </w:r>
      <w:r w:rsidR="000B6109" w:rsidRPr="007F5385">
        <w:rPr>
          <w:rFonts w:cs="Arial"/>
          <w:szCs w:val="20"/>
        </w:rPr>
        <w:t xml:space="preserve">ACTCOSS advocates for social justice in the ACT and is the peak body for </w:t>
      </w:r>
      <w:r w:rsidR="000B6109">
        <w:rPr>
          <w:rFonts w:cs="Arial"/>
          <w:szCs w:val="20"/>
        </w:rPr>
        <w:t xml:space="preserve">not-for-profit </w:t>
      </w:r>
      <w:r w:rsidR="000B6109" w:rsidRPr="007F5385">
        <w:rPr>
          <w:rFonts w:cs="Arial"/>
          <w:szCs w:val="20"/>
        </w:rPr>
        <w:t xml:space="preserve">community organisations in Canberra. </w:t>
      </w:r>
      <w:r w:rsidR="000B6109">
        <w:rPr>
          <w:rFonts w:cs="Arial"/>
          <w:szCs w:val="20"/>
        </w:rPr>
        <w:t>While n</w:t>
      </w:r>
      <w:r w:rsidR="00D73775">
        <w:rPr>
          <w:rFonts w:cs="Arial"/>
          <w:szCs w:val="20"/>
        </w:rPr>
        <w:t>ot every element of the issues paper has been considered by ACTCOSS</w:t>
      </w:r>
      <w:r w:rsidR="000B6109">
        <w:rPr>
          <w:rFonts w:cs="Arial"/>
          <w:szCs w:val="20"/>
        </w:rPr>
        <w:t>, we</w:t>
      </w:r>
      <w:r w:rsidR="00D73775">
        <w:rPr>
          <w:rFonts w:cs="Arial"/>
          <w:szCs w:val="20"/>
        </w:rPr>
        <w:t xml:space="preserve"> have responded to the points raised that are </w:t>
      </w:r>
      <w:r w:rsidR="00AF4B0F" w:rsidRPr="00AF4B0F">
        <w:rPr>
          <w:rFonts w:cs="Arial"/>
          <w:szCs w:val="20"/>
        </w:rPr>
        <w:t xml:space="preserve">pertinent to </w:t>
      </w:r>
      <w:r w:rsidR="00033D50">
        <w:rPr>
          <w:rFonts w:cs="Arial"/>
          <w:szCs w:val="20"/>
        </w:rPr>
        <w:t>our</w:t>
      </w:r>
      <w:r w:rsidR="00AF4B0F" w:rsidRPr="00AF4B0F">
        <w:rPr>
          <w:rFonts w:cs="Arial"/>
          <w:szCs w:val="20"/>
        </w:rPr>
        <w:t xml:space="preserve"> members</w:t>
      </w:r>
      <w:r w:rsidR="008646F9">
        <w:rPr>
          <w:rFonts w:cs="Arial"/>
          <w:szCs w:val="20"/>
        </w:rPr>
        <w:t xml:space="preserve"> and the low-income </w:t>
      </w:r>
      <w:r w:rsidR="000E4CBC">
        <w:rPr>
          <w:rFonts w:cs="Arial"/>
          <w:szCs w:val="20"/>
        </w:rPr>
        <w:t>households they support</w:t>
      </w:r>
      <w:r w:rsidR="00AF4B0F" w:rsidRPr="00AF4B0F">
        <w:rPr>
          <w:rFonts w:cs="Arial"/>
          <w:szCs w:val="20"/>
        </w:rPr>
        <w:t>.</w:t>
      </w:r>
    </w:p>
    <w:p w14:paraId="32423429" w14:textId="324D0E9F" w:rsidR="00F9543D" w:rsidRDefault="00AF4B0F" w:rsidP="6C34D85B">
      <w:pPr>
        <w:rPr>
          <w:rFonts w:cs="Arial"/>
        </w:rPr>
      </w:pPr>
      <w:r w:rsidRPr="6C34D85B">
        <w:rPr>
          <w:rFonts w:cs="Arial"/>
        </w:rPr>
        <w:t xml:space="preserve">ACTCOSS seeks to ensure that the energy system in the ACT is inclusive as well as sustainable and </w:t>
      </w:r>
      <w:r w:rsidR="2B1380EC" w:rsidRPr="6C34D85B">
        <w:rPr>
          <w:rFonts w:cs="Arial"/>
        </w:rPr>
        <w:t xml:space="preserve">balances </w:t>
      </w:r>
      <w:r w:rsidRPr="6C34D85B">
        <w:rPr>
          <w:rFonts w:cs="Arial"/>
        </w:rPr>
        <w:t>outcomes for all people</w:t>
      </w:r>
      <w:r w:rsidR="00D8035E">
        <w:rPr>
          <w:rFonts w:cs="Arial"/>
        </w:rPr>
        <w:t xml:space="preserve"> (especially people experiencing poverty and other forms of vulnerability)</w:t>
      </w:r>
      <w:r w:rsidRPr="6C34D85B">
        <w:rPr>
          <w:rFonts w:cs="Arial"/>
        </w:rPr>
        <w:t>, communities, and the environment. ACTCOSS</w:t>
      </w:r>
      <w:r w:rsidR="00120388" w:rsidRPr="6C34D85B">
        <w:rPr>
          <w:rFonts w:cs="Arial"/>
        </w:rPr>
        <w:t xml:space="preserve"> </w:t>
      </w:r>
      <w:r w:rsidRPr="6C34D85B">
        <w:rPr>
          <w:rFonts w:cs="Arial"/>
        </w:rPr>
        <w:t>seek</w:t>
      </w:r>
      <w:r w:rsidR="00120388" w:rsidRPr="6C34D85B">
        <w:rPr>
          <w:rFonts w:cs="Arial"/>
        </w:rPr>
        <w:t>s</w:t>
      </w:r>
      <w:r w:rsidRPr="6C34D85B">
        <w:rPr>
          <w:rFonts w:cs="Arial"/>
        </w:rPr>
        <w:t xml:space="preserve"> to support ACT low</w:t>
      </w:r>
      <w:r w:rsidR="00033D50" w:rsidRPr="6C34D85B">
        <w:rPr>
          <w:rFonts w:cs="Arial"/>
        </w:rPr>
        <w:t>-</w:t>
      </w:r>
      <w:r w:rsidRPr="6C34D85B">
        <w:rPr>
          <w:rFonts w:cs="Arial"/>
        </w:rPr>
        <w:t>income and vulnerable households and community sector organisations to participate in decision making on energy issues to achieve better consumer outcomes in terms of affordable, reliable, safe, and clean energy as an essential service.</w:t>
      </w:r>
    </w:p>
    <w:p w14:paraId="00B721CC" w14:textId="1311F0F9" w:rsidR="00823530" w:rsidRPr="00C44954" w:rsidRDefault="00823530" w:rsidP="00C228B2">
      <w:pPr>
        <w:pStyle w:val="Heading1"/>
      </w:pPr>
      <w:r w:rsidRPr="00C44954">
        <w:t>Approach to the review</w:t>
      </w:r>
    </w:p>
    <w:p w14:paraId="7AC6B715" w14:textId="30B3D115" w:rsidR="00250338" w:rsidRDefault="007D4599" w:rsidP="00AF4B0F">
      <w:pPr>
        <w:rPr>
          <w:rFonts w:cs="Arial"/>
          <w:szCs w:val="20"/>
        </w:rPr>
      </w:pPr>
      <w:r>
        <w:rPr>
          <w:rFonts w:cs="Arial"/>
          <w:szCs w:val="20"/>
        </w:rPr>
        <w:t xml:space="preserve">As a core principle of this </w:t>
      </w:r>
      <w:r w:rsidR="009A67F7">
        <w:rPr>
          <w:rFonts w:cs="Arial"/>
          <w:szCs w:val="20"/>
        </w:rPr>
        <w:t>submission,</w:t>
      </w:r>
      <w:r>
        <w:rPr>
          <w:rFonts w:cs="Arial"/>
          <w:szCs w:val="20"/>
        </w:rPr>
        <w:t xml:space="preserve"> we wish to highlight that energy </w:t>
      </w:r>
      <w:r w:rsidR="00150952">
        <w:rPr>
          <w:rFonts w:cs="Arial"/>
          <w:szCs w:val="20"/>
        </w:rPr>
        <w:t xml:space="preserve">must be regarded </w:t>
      </w:r>
      <w:r w:rsidR="00456B60">
        <w:rPr>
          <w:rFonts w:cs="Arial"/>
          <w:szCs w:val="20"/>
        </w:rPr>
        <w:t xml:space="preserve">as </w:t>
      </w:r>
      <w:r>
        <w:rPr>
          <w:rFonts w:cs="Arial"/>
          <w:szCs w:val="20"/>
        </w:rPr>
        <w:t>an essential service</w:t>
      </w:r>
      <w:r w:rsidR="00742E0E">
        <w:rPr>
          <w:rFonts w:cs="Arial"/>
          <w:szCs w:val="20"/>
        </w:rPr>
        <w:t xml:space="preserve">. For exemptions to be granted, developers </w:t>
      </w:r>
      <w:r w:rsidR="00AB3D63">
        <w:rPr>
          <w:rFonts w:cs="Arial"/>
          <w:szCs w:val="20"/>
        </w:rPr>
        <w:t>and/or Owners Corporations (OC)</w:t>
      </w:r>
      <w:r w:rsidR="003D7D98">
        <w:rPr>
          <w:rFonts w:cs="Arial"/>
          <w:szCs w:val="20"/>
        </w:rPr>
        <w:t xml:space="preserve"> should have to demonstrate that </w:t>
      </w:r>
      <w:r w:rsidR="00C46884">
        <w:rPr>
          <w:rFonts w:cs="Arial"/>
          <w:szCs w:val="20"/>
        </w:rPr>
        <w:t>their proposed EN</w:t>
      </w:r>
      <w:r w:rsidR="00BF2F3B">
        <w:rPr>
          <w:rFonts w:cs="Arial"/>
          <w:szCs w:val="20"/>
        </w:rPr>
        <w:t xml:space="preserve"> will provide </w:t>
      </w:r>
      <w:r w:rsidR="003D7D98">
        <w:rPr>
          <w:rFonts w:cs="Arial"/>
          <w:szCs w:val="20"/>
        </w:rPr>
        <w:t>mat</w:t>
      </w:r>
      <w:r w:rsidR="00027D87">
        <w:rPr>
          <w:rFonts w:cs="Arial"/>
          <w:szCs w:val="20"/>
        </w:rPr>
        <w:t>erial benefit to consumers.</w:t>
      </w:r>
      <w:r w:rsidR="00134BF5">
        <w:rPr>
          <w:rFonts w:cs="Arial"/>
          <w:szCs w:val="20"/>
        </w:rPr>
        <w:t xml:space="preserve"> The focus of the </w:t>
      </w:r>
      <w:r w:rsidR="00BF2F3B">
        <w:rPr>
          <w:rFonts w:cs="Arial"/>
          <w:szCs w:val="20"/>
        </w:rPr>
        <w:t xml:space="preserve">AER’s </w:t>
      </w:r>
      <w:r w:rsidR="00134BF5">
        <w:rPr>
          <w:rFonts w:cs="Arial"/>
          <w:szCs w:val="20"/>
        </w:rPr>
        <w:t xml:space="preserve">review should be on ensuring </w:t>
      </w:r>
      <w:r w:rsidR="00BF735F">
        <w:rPr>
          <w:rFonts w:cs="Arial"/>
          <w:szCs w:val="20"/>
        </w:rPr>
        <w:t>that consumer protections for EN customers match those of non-EN customers</w:t>
      </w:r>
      <w:r w:rsidR="002A048A">
        <w:rPr>
          <w:rFonts w:cs="Arial"/>
          <w:szCs w:val="20"/>
        </w:rPr>
        <w:t>.</w:t>
      </w:r>
      <w:r w:rsidR="00F46EE4">
        <w:rPr>
          <w:rFonts w:cs="Arial"/>
          <w:szCs w:val="20"/>
        </w:rPr>
        <w:t xml:space="preserve"> The review should also </w:t>
      </w:r>
      <w:r w:rsidR="00D74987">
        <w:rPr>
          <w:rFonts w:cs="Arial"/>
          <w:szCs w:val="20"/>
        </w:rPr>
        <w:t>consider</w:t>
      </w:r>
      <w:r w:rsidR="00F46EE4">
        <w:rPr>
          <w:rFonts w:cs="Arial"/>
          <w:szCs w:val="20"/>
        </w:rPr>
        <w:t xml:space="preserve"> other places where ENs exist</w:t>
      </w:r>
      <w:r w:rsidR="00D74987">
        <w:rPr>
          <w:rFonts w:cs="Arial"/>
          <w:szCs w:val="20"/>
        </w:rPr>
        <w:t>, as consultation with our member</w:t>
      </w:r>
      <w:r w:rsidR="00F8090C">
        <w:rPr>
          <w:rFonts w:cs="Arial"/>
          <w:szCs w:val="20"/>
        </w:rPr>
        <w:t>s suggests that places such as holiday/caravan parks</w:t>
      </w:r>
      <w:r w:rsidR="00250338">
        <w:rPr>
          <w:rFonts w:cs="Arial"/>
          <w:szCs w:val="20"/>
        </w:rPr>
        <w:t xml:space="preserve"> are more likely to be where </w:t>
      </w:r>
      <w:r w:rsidR="00621630">
        <w:rPr>
          <w:rFonts w:cs="Arial"/>
          <w:szCs w:val="20"/>
        </w:rPr>
        <w:t xml:space="preserve">the </w:t>
      </w:r>
      <w:r w:rsidR="00250338">
        <w:rPr>
          <w:rFonts w:cs="Arial"/>
          <w:szCs w:val="20"/>
        </w:rPr>
        <w:t xml:space="preserve">harms </w:t>
      </w:r>
      <w:r w:rsidR="00510E9A">
        <w:rPr>
          <w:rFonts w:cs="Arial"/>
          <w:szCs w:val="20"/>
        </w:rPr>
        <w:t>associated with E</w:t>
      </w:r>
      <w:r w:rsidR="00E32222">
        <w:rPr>
          <w:rFonts w:cs="Arial"/>
          <w:szCs w:val="20"/>
        </w:rPr>
        <w:t>N</w:t>
      </w:r>
      <w:r w:rsidR="00510E9A">
        <w:rPr>
          <w:rFonts w:cs="Arial"/>
          <w:szCs w:val="20"/>
        </w:rPr>
        <w:t xml:space="preserve">s </w:t>
      </w:r>
      <w:r w:rsidR="00250338">
        <w:rPr>
          <w:rFonts w:cs="Arial"/>
          <w:szCs w:val="20"/>
        </w:rPr>
        <w:t>are concentrated.</w:t>
      </w:r>
    </w:p>
    <w:p w14:paraId="08CEB8B4" w14:textId="5D4290C0" w:rsidR="00134BF5" w:rsidRDefault="002C2249" w:rsidP="00AF4B0F">
      <w:pPr>
        <w:rPr>
          <w:rFonts w:cs="Arial"/>
          <w:szCs w:val="20"/>
        </w:rPr>
      </w:pPr>
      <w:r>
        <w:rPr>
          <w:rFonts w:cs="Arial"/>
          <w:szCs w:val="20"/>
        </w:rPr>
        <w:t>T</w:t>
      </w:r>
      <w:r w:rsidR="00250338">
        <w:rPr>
          <w:rFonts w:cs="Arial"/>
          <w:szCs w:val="20"/>
        </w:rPr>
        <w:t>he current scope of the review</w:t>
      </w:r>
      <w:r w:rsidR="00D97F98">
        <w:rPr>
          <w:rFonts w:cs="Arial"/>
          <w:szCs w:val="20"/>
        </w:rPr>
        <w:t xml:space="preserve"> </w:t>
      </w:r>
      <w:r w:rsidR="00931D6A">
        <w:rPr>
          <w:rFonts w:cs="Arial"/>
          <w:szCs w:val="20"/>
        </w:rPr>
        <w:t xml:space="preserve">may also be less likely to </w:t>
      </w:r>
      <w:r w:rsidR="00D97F98">
        <w:rPr>
          <w:rFonts w:cs="Arial"/>
          <w:szCs w:val="20"/>
        </w:rPr>
        <w:t>include low-income households</w:t>
      </w:r>
      <w:r w:rsidR="000D5B80">
        <w:rPr>
          <w:rFonts w:cs="Arial"/>
          <w:szCs w:val="20"/>
        </w:rPr>
        <w:t xml:space="preserve"> as</w:t>
      </w:r>
      <w:r w:rsidR="00F07508">
        <w:rPr>
          <w:rFonts w:cs="Arial"/>
          <w:szCs w:val="20"/>
        </w:rPr>
        <w:t xml:space="preserve"> newer apartment buildings with ENs </w:t>
      </w:r>
      <w:r w:rsidR="00B03B3A">
        <w:rPr>
          <w:rFonts w:cs="Arial"/>
          <w:szCs w:val="20"/>
        </w:rPr>
        <w:t>are usually not at the lowest price end of the property market.</w:t>
      </w:r>
      <w:r w:rsidR="00481769">
        <w:rPr>
          <w:rFonts w:cs="Arial"/>
          <w:szCs w:val="20"/>
        </w:rPr>
        <w:t xml:space="preserve"> </w:t>
      </w:r>
      <w:r w:rsidR="00E15782">
        <w:rPr>
          <w:rFonts w:cs="Arial"/>
          <w:szCs w:val="20"/>
        </w:rPr>
        <w:t>However,</w:t>
      </w:r>
      <w:r w:rsidR="00481769">
        <w:rPr>
          <w:rFonts w:cs="Arial"/>
          <w:szCs w:val="20"/>
        </w:rPr>
        <w:t xml:space="preserve"> it is important to update the exemptions framework</w:t>
      </w:r>
      <w:r w:rsidR="00773CFF">
        <w:rPr>
          <w:rFonts w:cs="Arial"/>
          <w:szCs w:val="20"/>
        </w:rPr>
        <w:t xml:space="preserve"> so that consumer protections apply </w:t>
      </w:r>
      <w:r w:rsidR="00D5148E">
        <w:rPr>
          <w:rFonts w:cs="Arial"/>
          <w:szCs w:val="20"/>
        </w:rPr>
        <w:t xml:space="preserve">equally </w:t>
      </w:r>
      <w:r w:rsidR="00773CFF">
        <w:rPr>
          <w:rFonts w:cs="Arial"/>
          <w:szCs w:val="20"/>
        </w:rPr>
        <w:t>to all energy customers and especially considering the recent exponential growth</w:t>
      </w:r>
      <w:r w:rsidR="006E4C99">
        <w:rPr>
          <w:rFonts w:cs="Arial"/>
          <w:szCs w:val="20"/>
        </w:rPr>
        <w:t xml:space="preserve"> </w:t>
      </w:r>
      <w:r w:rsidR="00491FB6">
        <w:rPr>
          <w:rFonts w:cs="Arial"/>
          <w:szCs w:val="20"/>
        </w:rPr>
        <w:t xml:space="preserve">in </w:t>
      </w:r>
      <w:r w:rsidR="006E4C99">
        <w:rPr>
          <w:rFonts w:cs="Arial"/>
          <w:szCs w:val="20"/>
        </w:rPr>
        <w:t>high-density dwellings with ENs.</w:t>
      </w:r>
    </w:p>
    <w:p w14:paraId="2A4D276A" w14:textId="438BE1C8" w:rsidR="002B0DD1" w:rsidRDefault="00D1171A" w:rsidP="00AF4B0F">
      <w:pPr>
        <w:rPr>
          <w:rFonts w:cs="Arial"/>
          <w:szCs w:val="20"/>
        </w:rPr>
      </w:pPr>
      <w:r>
        <w:rPr>
          <w:rFonts w:cs="Arial"/>
          <w:szCs w:val="20"/>
        </w:rPr>
        <w:lastRenderedPageBreak/>
        <w:t>Furthermore, we note that there is a long</w:t>
      </w:r>
      <w:r w:rsidR="002B0DD1">
        <w:rPr>
          <w:rFonts w:cs="Arial"/>
          <w:szCs w:val="20"/>
        </w:rPr>
        <w:t xml:space="preserve"> </w:t>
      </w:r>
      <w:r w:rsidR="002B0DD1" w:rsidRPr="002B0DD1">
        <w:rPr>
          <w:rFonts w:cs="Arial"/>
          <w:szCs w:val="20"/>
        </w:rPr>
        <w:t xml:space="preserve">history of consultations and reviews about </w:t>
      </w:r>
      <w:r w:rsidR="00D5148E">
        <w:rPr>
          <w:rFonts w:cs="Arial"/>
          <w:szCs w:val="20"/>
        </w:rPr>
        <w:t>ENs</w:t>
      </w:r>
      <w:r w:rsidR="002B0DD1" w:rsidRPr="002B0DD1">
        <w:rPr>
          <w:rFonts w:cs="Arial"/>
          <w:szCs w:val="20"/>
        </w:rPr>
        <w:t xml:space="preserve"> already.</w:t>
      </w:r>
      <w:r w:rsidR="009B53B8">
        <w:rPr>
          <w:rFonts w:cs="Arial"/>
          <w:szCs w:val="20"/>
        </w:rPr>
        <w:t xml:space="preserve"> We strongly urge the AER to </w:t>
      </w:r>
      <w:r w:rsidR="00733B1F">
        <w:rPr>
          <w:rFonts w:cs="Arial"/>
          <w:szCs w:val="20"/>
        </w:rPr>
        <w:t xml:space="preserve">consider </w:t>
      </w:r>
      <w:r w:rsidR="00CE2068">
        <w:rPr>
          <w:rFonts w:cs="Arial"/>
          <w:szCs w:val="20"/>
        </w:rPr>
        <w:t>the recommendations presented in the AEMC’s 2017 and 2019 reports,</w:t>
      </w:r>
      <w:r w:rsidR="00A54955">
        <w:rPr>
          <w:rStyle w:val="FootnoteReference"/>
          <w:rFonts w:cs="Arial"/>
          <w:szCs w:val="20"/>
        </w:rPr>
        <w:footnoteReference w:id="2"/>
      </w:r>
      <w:r w:rsidR="00CE2068">
        <w:rPr>
          <w:rFonts w:cs="Arial"/>
          <w:szCs w:val="20"/>
        </w:rPr>
        <w:t xml:space="preserve"> as well as the recommendations and evidence presented in the </w:t>
      </w:r>
      <w:r w:rsidR="00B20101">
        <w:rPr>
          <w:rFonts w:cs="Arial"/>
          <w:szCs w:val="20"/>
        </w:rPr>
        <w:t xml:space="preserve">ACT Government’s </w:t>
      </w:r>
      <w:hyperlink r:id="rId11" w:history="1">
        <w:r w:rsidR="00A54955" w:rsidRPr="00A157D0">
          <w:rPr>
            <w:rStyle w:val="Hyperlink"/>
            <w:rFonts w:cs="Arial"/>
            <w:szCs w:val="20"/>
          </w:rPr>
          <w:t>Review of Embedded Networks in the ACT</w:t>
        </w:r>
      </w:hyperlink>
      <w:r w:rsidR="004F672D">
        <w:rPr>
          <w:rFonts w:cs="Arial"/>
          <w:szCs w:val="20"/>
        </w:rPr>
        <w:t xml:space="preserve"> (</w:t>
      </w:r>
      <w:r w:rsidR="00011570">
        <w:rPr>
          <w:rFonts w:cs="Arial"/>
          <w:szCs w:val="20"/>
        </w:rPr>
        <w:t xml:space="preserve">the ACT review), </w:t>
      </w:r>
      <w:r w:rsidR="004F672D">
        <w:rPr>
          <w:rFonts w:cs="Arial"/>
          <w:szCs w:val="20"/>
        </w:rPr>
        <w:t xml:space="preserve">including their </w:t>
      </w:r>
      <w:hyperlink r:id="rId12" w:history="1">
        <w:r w:rsidR="004F672D" w:rsidRPr="004F672D">
          <w:rPr>
            <w:rStyle w:val="Hyperlink"/>
            <w:rFonts w:cs="Arial"/>
            <w:szCs w:val="20"/>
          </w:rPr>
          <w:t>stakeholder consultation</w:t>
        </w:r>
      </w:hyperlink>
      <w:r w:rsidR="00A54955">
        <w:rPr>
          <w:rFonts w:cs="Arial"/>
          <w:szCs w:val="20"/>
        </w:rPr>
        <w:t>.</w:t>
      </w:r>
    </w:p>
    <w:p w14:paraId="30FEE725" w14:textId="6A81FC2A" w:rsidR="003F5E68" w:rsidRPr="00C228B2" w:rsidRDefault="00B7627E" w:rsidP="00C228B2">
      <w:pPr>
        <w:pStyle w:val="Heading1"/>
      </w:pPr>
      <w:r w:rsidRPr="00C228B2">
        <w:t>Risks and harms outweigh p</w:t>
      </w:r>
      <w:r w:rsidR="003F5E68" w:rsidRPr="00C228B2">
        <w:t>otential benefits</w:t>
      </w:r>
    </w:p>
    <w:p w14:paraId="1CF91C06" w14:textId="747E6BEA" w:rsidR="007215E2" w:rsidRDefault="007215E2" w:rsidP="00AF4B0F">
      <w:pPr>
        <w:rPr>
          <w:rFonts w:cs="Arial"/>
          <w:szCs w:val="20"/>
        </w:rPr>
      </w:pPr>
      <w:r>
        <w:rPr>
          <w:rFonts w:cs="Arial"/>
          <w:szCs w:val="20"/>
        </w:rPr>
        <w:t xml:space="preserve">We wish to emphasise that most reviews already undertaken in this </w:t>
      </w:r>
      <w:r w:rsidR="00113791">
        <w:rPr>
          <w:rFonts w:cs="Arial"/>
          <w:szCs w:val="20"/>
        </w:rPr>
        <w:t xml:space="preserve">area present </w:t>
      </w:r>
      <w:r w:rsidR="003D4564">
        <w:rPr>
          <w:rFonts w:cs="Arial"/>
          <w:szCs w:val="20"/>
        </w:rPr>
        <w:t>many</w:t>
      </w:r>
      <w:r w:rsidR="00113791">
        <w:rPr>
          <w:rFonts w:cs="Arial"/>
          <w:szCs w:val="20"/>
        </w:rPr>
        <w:t xml:space="preserve"> potential benefits</w:t>
      </w:r>
      <w:r w:rsidR="00E228FC">
        <w:rPr>
          <w:rFonts w:cs="Arial"/>
          <w:szCs w:val="20"/>
        </w:rPr>
        <w:t xml:space="preserve">, but in few other policy areas are decisions made </w:t>
      </w:r>
      <w:r w:rsidR="00EB15AB">
        <w:rPr>
          <w:rFonts w:cs="Arial"/>
          <w:szCs w:val="20"/>
        </w:rPr>
        <w:t>based on</w:t>
      </w:r>
      <w:r w:rsidR="00E228FC">
        <w:rPr>
          <w:rFonts w:cs="Arial"/>
          <w:szCs w:val="20"/>
        </w:rPr>
        <w:t xml:space="preserve"> </w:t>
      </w:r>
      <w:r w:rsidR="00E228FC" w:rsidRPr="00EB15AB">
        <w:rPr>
          <w:rFonts w:cs="Arial"/>
          <w:i/>
          <w:iCs/>
          <w:szCs w:val="20"/>
        </w:rPr>
        <w:t>potential</w:t>
      </w:r>
      <w:r w:rsidR="00E228FC">
        <w:rPr>
          <w:rFonts w:cs="Arial"/>
          <w:szCs w:val="20"/>
        </w:rPr>
        <w:t xml:space="preserve"> benefits</w:t>
      </w:r>
      <w:r w:rsidR="00E02CC2">
        <w:rPr>
          <w:rFonts w:cs="Arial"/>
          <w:szCs w:val="20"/>
        </w:rPr>
        <w:t xml:space="preserve"> in the face of real harms.</w:t>
      </w:r>
      <w:r w:rsidR="00113791">
        <w:rPr>
          <w:rFonts w:cs="Arial"/>
          <w:szCs w:val="20"/>
        </w:rPr>
        <w:t xml:space="preserve"> </w:t>
      </w:r>
    </w:p>
    <w:p w14:paraId="32913FA3" w14:textId="3E5C933A" w:rsidR="00CF6802" w:rsidRDefault="00A40077" w:rsidP="00AF4B0F">
      <w:pPr>
        <w:rPr>
          <w:rFonts w:cs="Arial"/>
          <w:szCs w:val="20"/>
        </w:rPr>
      </w:pPr>
      <w:r>
        <w:rPr>
          <w:rFonts w:cs="Arial"/>
          <w:szCs w:val="20"/>
        </w:rPr>
        <w:t xml:space="preserve">Whether any of the potential benefits are realised largely depends on the conduct of </w:t>
      </w:r>
      <w:r w:rsidR="00B86F81">
        <w:rPr>
          <w:rFonts w:cs="Arial"/>
          <w:szCs w:val="20"/>
        </w:rPr>
        <w:t>Authorised Retailer</w:t>
      </w:r>
      <w:r w:rsidR="00DB3802">
        <w:rPr>
          <w:rFonts w:cs="Arial"/>
          <w:szCs w:val="20"/>
        </w:rPr>
        <w:t>s</w:t>
      </w:r>
      <w:r w:rsidR="00B86F81">
        <w:rPr>
          <w:rFonts w:cs="Arial"/>
          <w:szCs w:val="20"/>
        </w:rPr>
        <w:t xml:space="preserve"> or exempt seller</w:t>
      </w:r>
      <w:r w:rsidR="00DB3802">
        <w:rPr>
          <w:rFonts w:cs="Arial"/>
          <w:szCs w:val="20"/>
        </w:rPr>
        <w:t>s</w:t>
      </w:r>
      <w:r w:rsidR="00B86F81">
        <w:rPr>
          <w:rFonts w:cs="Arial"/>
          <w:szCs w:val="20"/>
        </w:rPr>
        <w:t>.</w:t>
      </w:r>
      <w:r w:rsidR="00AE3556">
        <w:rPr>
          <w:rFonts w:cs="Arial"/>
          <w:szCs w:val="20"/>
        </w:rPr>
        <w:t xml:space="preserve"> For example:</w:t>
      </w:r>
    </w:p>
    <w:p w14:paraId="13018F2C" w14:textId="77777777" w:rsidR="00C228B2" w:rsidRDefault="00AE3556" w:rsidP="00607FDE">
      <w:pPr>
        <w:pStyle w:val="Heading3"/>
      </w:pPr>
      <w:r w:rsidRPr="00C228B2">
        <w:t xml:space="preserve">Lower network </w:t>
      </w:r>
      <w:r w:rsidR="009D3A6C" w:rsidRPr="00C228B2">
        <w:t xml:space="preserve">and retail </w:t>
      </w:r>
      <w:r w:rsidRPr="00C228B2">
        <w:t>costs</w:t>
      </w:r>
    </w:p>
    <w:p w14:paraId="10432462" w14:textId="59A4669E" w:rsidR="00AE3556" w:rsidRDefault="00CF28B4" w:rsidP="00607FDE">
      <w:pPr>
        <w:ind w:left="720"/>
      </w:pPr>
      <w:r>
        <w:t>Who benefits depends on the extent the Authorised Retailer or exempt seller captures a profit margin versus passing discount</w:t>
      </w:r>
      <w:r w:rsidR="00026922">
        <w:t>s and savings</w:t>
      </w:r>
      <w:r>
        <w:t xml:space="preserve"> to the EN customer.</w:t>
      </w:r>
    </w:p>
    <w:p w14:paraId="785D339D" w14:textId="77777777" w:rsidR="006A3878" w:rsidRDefault="00B46E43" w:rsidP="00607FDE">
      <w:pPr>
        <w:pStyle w:val="Heading3"/>
      </w:pPr>
      <w:r>
        <w:t>Improved utilisation of distributed energy resources (DER)</w:t>
      </w:r>
    </w:p>
    <w:p w14:paraId="3E1E5E1F" w14:textId="5058C3D2" w:rsidR="00A1501E" w:rsidRDefault="005A1A93" w:rsidP="00607FDE">
      <w:pPr>
        <w:ind w:left="720"/>
      </w:pPr>
      <w:r>
        <w:t xml:space="preserve">Who benefits </w:t>
      </w:r>
      <w:r w:rsidR="00A016DC" w:rsidRPr="00A016DC">
        <w:t xml:space="preserve">largely depends on how solar electricity </w:t>
      </w:r>
      <w:r w:rsidR="000C16D4">
        <w:t xml:space="preserve">is </w:t>
      </w:r>
      <w:r w:rsidR="00A016DC" w:rsidRPr="00A016DC">
        <w:t>measured and charged to the end customer</w:t>
      </w:r>
      <w:r w:rsidR="00A1501E">
        <w:t>.</w:t>
      </w:r>
    </w:p>
    <w:p w14:paraId="1CC7AF5F" w14:textId="77777777" w:rsidR="006A3878" w:rsidRDefault="00B10786" w:rsidP="00607FDE">
      <w:pPr>
        <w:pStyle w:val="Heading3"/>
      </w:pPr>
      <w:r>
        <w:t>Reduced prop</w:t>
      </w:r>
      <w:r w:rsidR="003F5E68">
        <w:t>erty prices</w:t>
      </w:r>
    </w:p>
    <w:p w14:paraId="366C425C" w14:textId="19AE5D5C" w:rsidR="007D4599" w:rsidRDefault="00A5143B" w:rsidP="00607FDE">
      <w:pPr>
        <w:ind w:left="720"/>
      </w:pPr>
      <w:r>
        <w:t>Supporters of ENs claim</w:t>
      </w:r>
      <w:r w:rsidR="00D7123C">
        <w:t xml:space="preserve"> they can reduce the cost of building and therefore lower property prices</w:t>
      </w:r>
      <w:r w:rsidR="00FC6270">
        <w:t xml:space="preserve">. However, </w:t>
      </w:r>
      <w:r w:rsidR="00320130" w:rsidRPr="00320130">
        <w:t xml:space="preserve">many developments in the ACT that do not have an EN successfully compete in the market. There is also little difference between the infrastructure requirements for a site with an EN </w:t>
      </w:r>
      <w:r w:rsidR="00525594">
        <w:t>and</w:t>
      </w:r>
      <w:r w:rsidR="00320130" w:rsidRPr="00320130">
        <w:t xml:space="preserve"> a site without an EN</w:t>
      </w:r>
      <w:r w:rsidR="00F61B5F">
        <w:t xml:space="preserve">, so </w:t>
      </w:r>
      <w:r w:rsidR="00320130" w:rsidRPr="00320130">
        <w:t xml:space="preserve">the potential for lower development costs is </w:t>
      </w:r>
      <w:r w:rsidR="00F61B5F">
        <w:t>less than often claimed. Furthermore, even if</w:t>
      </w:r>
      <w:r w:rsidR="00D0123D">
        <w:t xml:space="preserve"> utilising an EN does lower building costs for a particular development, there is no evidence in the ACT that those savings in costs</w:t>
      </w:r>
      <w:r w:rsidR="00241B3D">
        <w:t xml:space="preserve"> are then passed through to consumers.</w:t>
      </w:r>
    </w:p>
    <w:p w14:paraId="3F193A9C" w14:textId="0FB80EF7" w:rsidR="00225099" w:rsidRDefault="00D817B3" w:rsidP="00225099">
      <w:r>
        <w:t xml:space="preserve">Based on </w:t>
      </w:r>
      <w:r w:rsidR="00225099">
        <w:t>the ACT</w:t>
      </w:r>
      <w:r w:rsidR="00011570">
        <w:t xml:space="preserve"> review</w:t>
      </w:r>
      <w:r w:rsidR="00AD2826">
        <w:t xml:space="preserve"> and </w:t>
      </w:r>
      <w:r>
        <w:t xml:space="preserve">feedback from </w:t>
      </w:r>
      <w:r w:rsidR="00AD2826">
        <w:t>ACTCOSS</w:t>
      </w:r>
      <w:r>
        <w:t>’</w:t>
      </w:r>
      <w:r w:rsidR="00AD2826">
        <w:t xml:space="preserve"> </w:t>
      </w:r>
      <w:r w:rsidR="00212932">
        <w:t>members,</w:t>
      </w:r>
      <w:r w:rsidR="00011570">
        <w:t xml:space="preserve"> </w:t>
      </w:r>
      <w:r>
        <w:t xml:space="preserve">there is no evidence that </w:t>
      </w:r>
      <w:r w:rsidR="00364942">
        <w:t xml:space="preserve">any of </w:t>
      </w:r>
      <w:r w:rsidR="005629B4">
        <w:t xml:space="preserve">the purported </w:t>
      </w:r>
      <w:r w:rsidR="00364942">
        <w:t xml:space="preserve">benefits </w:t>
      </w:r>
      <w:r w:rsidR="007A35A1">
        <w:t>regularly</w:t>
      </w:r>
      <w:r w:rsidR="00364942">
        <w:t xml:space="preserve"> materialise for consumers.</w:t>
      </w:r>
    </w:p>
    <w:p w14:paraId="3E3A8B2B" w14:textId="63E21B11" w:rsidR="002513E9" w:rsidRDefault="002513E9" w:rsidP="00225099">
      <w:r>
        <w:t>In contrast</w:t>
      </w:r>
      <w:r w:rsidR="005B4294">
        <w:t>,</w:t>
      </w:r>
      <w:r>
        <w:t xml:space="preserve"> there is a long list of documented risks</w:t>
      </w:r>
      <w:r w:rsidR="00945749">
        <w:t xml:space="preserve"> and harms arising from</w:t>
      </w:r>
      <w:r>
        <w:t xml:space="preserve"> E</w:t>
      </w:r>
      <w:r w:rsidR="00A66D16">
        <w:t>N</w:t>
      </w:r>
      <w:r>
        <w:t>s</w:t>
      </w:r>
      <w:r w:rsidR="002D0EDC" w:rsidRPr="002D0EDC">
        <w:t xml:space="preserve"> </w:t>
      </w:r>
      <w:r w:rsidR="002D0EDC">
        <w:t>under the current framework</w:t>
      </w:r>
      <w:r w:rsidR="00A66D16">
        <w:t>,</w:t>
      </w:r>
      <w:r>
        <w:t xml:space="preserve"> and ACTCOSS considers that the risks</w:t>
      </w:r>
      <w:r w:rsidR="00B7627E">
        <w:t xml:space="preserve"> outweigh the potential benefits.</w:t>
      </w:r>
      <w:r w:rsidR="00486EF4">
        <w:t xml:space="preserve"> </w:t>
      </w:r>
      <w:r w:rsidR="007D2A62">
        <w:t xml:space="preserve">In </w:t>
      </w:r>
      <w:r w:rsidR="00561163">
        <w:t>fact,</w:t>
      </w:r>
      <w:r w:rsidR="007D2A62">
        <w:t xml:space="preserve"> most consumers surveyed in the ACT review indicated they had experienced harms from </w:t>
      </w:r>
      <w:r w:rsidR="00E80A74">
        <w:t>residing</w:t>
      </w:r>
      <w:r w:rsidR="007D2A62">
        <w:t xml:space="preserve"> in an EN</w:t>
      </w:r>
      <w:r w:rsidR="009F4E47">
        <w:t xml:space="preserve">, with </w:t>
      </w:r>
      <w:r w:rsidR="007D2A62">
        <w:t>low-income</w:t>
      </w:r>
      <w:r w:rsidR="00184736">
        <w:t xml:space="preserve"> and otherwise marginalised </w:t>
      </w:r>
      <w:r w:rsidR="007D2A62">
        <w:t>households</w:t>
      </w:r>
      <w:r w:rsidR="009F4E47">
        <w:t xml:space="preserve"> reporting a </w:t>
      </w:r>
      <w:r w:rsidR="002B1CEB">
        <w:t>disproportionate burden of harm</w:t>
      </w:r>
      <w:r w:rsidR="007D2A62">
        <w:t>.</w:t>
      </w:r>
      <w:r w:rsidR="009C1372">
        <w:t xml:space="preserve"> </w:t>
      </w:r>
      <w:r w:rsidR="004A447B">
        <w:t>F</w:t>
      </w:r>
      <w:r w:rsidR="0090671C">
        <w:t xml:space="preserve">eatures of the existing framework </w:t>
      </w:r>
      <w:r w:rsidR="002714C6">
        <w:t xml:space="preserve">resulting </w:t>
      </w:r>
      <w:r w:rsidR="0090671C">
        <w:t>in harms include</w:t>
      </w:r>
      <w:r w:rsidR="00486EF4">
        <w:t>:</w:t>
      </w:r>
    </w:p>
    <w:p w14:paraId="5AFD7E08" w14:textId="1C8B55F3" w:rsidR="00963EEB" w:rsidRPr="00963EEB" w:rsidRDefault="00912FCC" w:rsidP="00705EEF">
      <w:pPr>
        <w:pStyle w:val="Heading3"/>
      </w:pPr>
      <w:r>
        <w:lastRenderedPageBreak/>
        <w:t>Significant g</w:t>
      </w:r>
      <w:r w:rsidR="00677806" w:rsidRPr="00963EEB">
        <w:t>aps in consumer protections</w:t>
      </w:r>
    </w:p>
    <w:p w14:paraId="7D70A4D7" w14:textId="3F168EE6" w:rsidR="00486EF4" w:rsidRDefault="004B6A09" w:rsidP="00941B51">
      <w:pPr>
        <w:ind w:left="720"/>
      </w:pPr>
      <w:r>
        <w:t xml:space="preserve">EN customers have no (or limited) consumer protections under the </w:t>
      </w:r>
      <w:r w:rsidR="00BC5D1E">
        <w:t>National Energy Customer Framework (NECF)</w:t>
      </w:r>
      <w:r>
        <w:t xml:space="preserve">, AER exemption framework </w:t>
      </w:r>
      <w:r w:rsidR="00BC5D1E">
        <w:t>and</w:t>
      </w:r>
      <w:r>
        <w:t xml:space="preserve"> ACT jurisdictional regulatory framework, nor do they have any price protections. This is a significant gap in consumer protections and </w:t>
      </w:r>
      <w:r w:rsidR="00D619C9">
        <w:t xml:space="preserve">presents an ongoing </w:t>
      </w:r>
      <w:r>
        <w:t>risk.</w:t>
      </w:r>
    </w:p>
    <w:p w14:paraId="42056F8E" w14:textId="3F28004C" w:rsidR="00963EEB" w:rsidRDefault="00912FCC" w:rsidP="00214FDE">
      <w:pPr>
        <w:pStyle w:val="Heading3"/>
      </w:pPr>
      <w:r>
        <w:t>No</w:t>
      </w:r>
      <w:r w:rsidR="00C632C8" w:rsidRPr="00C632C8">
        <w:t xml:space="preserve"> incentive to pass on cost savings</w:t>
      </w:r>
    </w:p>
    <w:p w14:paraId="00C06F22" w14:textId="51BAB7A5" w:rsidR="002272F2" w:rsidRDefault="00384EBD" w:rsidP="00214FDE">
      <w:pPr>
        <w:ind w:left="720"/>
      </w:pPr>
      <w:r>
        <w:t xml:space="preserve">Given </w:t>
      </w:r>
      <w:r w:rsidR="00C632C8" w:rsidRPr="00C632C8">
        <w:t>ENs are effectively monopolies in practice</w:t>
      </w:r>
      <w:r>
        <w:t>,</w:t>
      </w:r>
      <w:r w:rsidR="00C632C8" w:rsidRPr="00C632C8">
        <w:t xml:space="preserve"> there is very little competitive pressure to pass any cost savings to customers that may be </w:t>
      </w:r>
      <w:r w:rsidR="00016FA2" w:rsidRPr="00C632C8">
        <w:t>achiev</w:t>
      </w:r>
      <w:r w:rsidR="00016FA2">
        <w:t>ed</w:t>
      </w:r>
      <w:r w:rsidR="00016FA2" w:rsidRPr="00C632C8">
        <w:t xml:space="preserve"> </w:t>
      </w:r>
      <w:r w:rsidR="00C632C8" w:rsidRPr="00C632C8">
        <w:t xml:space="preserve">through lower electricity prices at the parent connection point, particularly lower network prices. </w:t>
      </w:r>
      <w:r w:rsidR="0080769A">
        <w:t xml:space="preserve">With </w:t>
      </w:r>
      <w:r w:rsidR="0080769A" w:rsidRPr="00C632C8">
        <w:t>minimal incentive to pass the savings through to their customers</w:t>
      </w:r>
      <w:r w:rsidR="0080769A">
        <w:t>, c</w:t>
      </w:r>
      <w:r w:rsidR="00C632C8" w:rsidRPr="00C632C8">
        <w:t>heaper network and retail electricity prices at the parent connection point</w:t>
      </w:r>
      <w:r w:rsidR="0021026C">
        <w:t xml:space="preserve"> </w:t>
      </w:r>
      <w:r w:rsidR="00ED0E9A">
        <w:t>will not</w:t>
      </w:r>
      <w:r w:rsidR="0021026C">
        <w:t xml:space="preserve"> necessarily translate into </w:t>
      </w:r>
      <w:r w:rsidR="0021026C" w:rsidRPr="00C632C8">
        <w:t>EN Service Provider</w:t>
      </w:r>
      <w:r w:rsidR="00C60C92">
        <w:t>s dropping prices</w:t>
      </w:r>
      <w:r w:rsidR="00C632C8" w:rsidRPr="00C632C8">
        <w:t>.</w:t>
      </w:r>
    </w:p>
    <w:p w14:paraId="06224B7C" w14:textId="1AF5460D" w:rsidR="00840A7A" w:rsidRDefault="00E80A74" w:rsidP="0024198B">
      <w:pPr>
        <w:pStyle w:val="Heading3"/>
      </w:pPr>
      <w:r>
        <w:t>B</w:t>
      </w:r>
      <w:r w:rsidR="00A076BC" w:rsidRPr="00A076BC">
        <w:t xml:space="preserve">arriers to </w:t>
      </w:r>
      <w:r>
        <w:t xml:space="preserve">accessing </w:t>
      </w:r>
      <w:r w:rsidR="00A076BC" w:rsidRPr="00A076BC">
        <w:t>market offers (</w:t>
      </w:r>
      <w:r w:rsidR="00561DE4">
        <w:t xml:space="preserve">lack of </w:t>
      </w:r>
      <w:r w:rsidR="00A076BC" w:rsidRPr="00A076BC">
        <w:t>retail competition)</w:t>
      </w:r>
    </w:p>
    <w:p w14:paraId="783151CA" w14:textId="7620C3A1" w:rsidR="002B0DD1" w:rsidRDefault="00137C29" w:rsidP="0024198B">
      <w:pPr>
        <w:ind w:left="720"/>
      </w:pPr>
      <w:r>
        <w:t xml:space="preserve">As previous reviews of ENs have highlighted, there are significant barriers for EN customers </w:t>
      </w:r>
      <w:r w:rsidR="002A5CBE">
        <w:t>who wish to switch to</w:t>
      </w:r>
      <w:r w:rsidR="00B41333">
        <w:t xml:space="preserve"> other retailer market offers. </w:t>
      </w:r>
      <w:r>
        <w:t xml:space="preserve">Authorised Retailers </w:t>
      </w:r>
      <w:r w:rsidR="002F7392">
        <w:t>are typically un</w:t>
      </w:r>
      <w:r>
        <w:t xml:space="preserve">willing to take on </w:t>
      </w:r>
      <w:r w:rsidR="008E17CF">
        <w:t xml:space="preserve">EN </w:t>
      </w:r>
      <w:r>
        <w:t>customers due to the additional administrative costs associated with signing up these customers.</w:t>
      </w:r>
      <w:r w:rsidR="008E17CF">
        <w:t xml:space="preserve"> </w:t>
      </w:r>
      <w:r w:rsidR="0084449B">
        <w:t xml:space="preserve">Additionally, </w:t>
      </w:r>
      <w:r>
        <w:t xml:space="preserve">the physical configuration of ENs and legacy metering may make the switching cost </w:t>
      </w:r>
      <w:r w:rsidR="0084449B">
        <w:t xml:space="preserve">unaffordable, </w:t>
      </w:r>
      <w:r>
        <w:t>especially for low-income consumers</w:t>
      </w:r>
      <w:r w:rsidR="0084449B">
        <w:t>.</w:t>
      </w:r>
      <w:r w:rsidR="004D59BF">
        <w:t xml:space="preserve"> The ENs monopoly position and consumers’ lack of choice and control </w:t>
      </w:r>
      <w:r>
        <w:t xml:space="preserve">may lead to unfair prices and consumers’ </w:t>
      </w:r>
      <w:r w:rsidR="00FE2411">
        <w:t>dissatisfaction</w:t>
      </w:r>
      <w:r w:rsidR="00C66969">
        <w:t>.</w:t>
      </w:r>
      <w:r w:rsidR="00FC21E7">
        <w:t xml:space="preserve"> There is evidence</w:t>
      </w:r>
      <w:r w:rsidR="00B9135F">
        <w:t xml:space="preserve"> that savings are not passed on</w:t>
      </w:r>
      <w:r w:rsidR="0024198B">
        <w:t xml:space="preserve"> </w:t>
      </w:r>
      <w:r w:rsidR="00B9135F">
        <w:t>to consumers, with EN customers</w:t>
      </w:r>
      <w:r w:rsidR="00F87466">
        <w:t xml:space="preserve"> paying hundreds of dollars more than if they were able to choose a market offer.</w:t>
      </w:r>
      <w:r w:rsidR="00F87466">
        <w:rPr>
          <w:rStyle w:val="FootnoteReference"/>
        </w:rPr>
        <w:footnoteReference w:id="3"/>
      </w:r>
    </w:p>
    <w:p w14:paraId="3B1C5962" w14:textId="75968D04" w:rsidR="00E87580" w:rsidRDefault="002E70C5" w:rsidP="0024198B">
      <w:pPr>
        <w:pStyle w:val="Heading3"/>
      </w:pPr>
      <w:r>
        <w:t>No requirement to display ACT reference price could lead to price gouging</w:t>
      </w:r>
    </w:p>
    <w:p w14:paraId="753015AD" w14:textId="77777777" w:rsidR="00186936" w:rsidRDefault="00C43952" w:rsidP="0024198B">
      <w:pPr>
        <w:ind w:left="720"/>
      </w:pPr>
      <w:r w:rsidRPr="00C43952">
        <w:t xml:space="preserve">ENs are exempt from the </w:t>
      </w:r>
      <w:r w:rsidRPr="00AA7CC8">
        <w:rPr>
          <w:i/>
          <w:iCs/>
        </w:rPr>
        <w:t xml:space="preserve">ACT Utilities Act </w:t>
      </w:r>
      <w:r w:rsidR="00AA7CC8" w:rsidRPr="00AA7CC8">
        <w:rPr>
          <w:i/>
          <w:iCs/>
        </w:rPr>
        <w:t>2000</w:t>
      </w:r>
      <w:r w:rsidR="00FC7CD9">
        <w:t xml:space="preserve">. This means there is </w:t>
      </w:r>
      <w:r w:rsidRPr="00C43952">
        <w:t>no price protection for EN customers serviced by an Authorised Retailer</w:t>
      </w:r>
      <w:r w:rsidR="00FC7CD9">
        <w:t xml:space="preserve">. </w:t>
      </w:r>
      <w:r w:rsidR="00E93032">
        <w:t>With ENs operating as monopolies</w:t>
      </w:r>
      <w:r w:rsidR="00C45D15">
        <w:t xml:space="preserve">, a price cap on electricity sold by </w:t>
      </w:r>
      <w:r w:rsidR="00C45D15" w:rsidRPr="00C43952">
        <w:t>Authorised Retailers to EN customers</w:t>
      </w:r>
      <w:r w:rsidR="00C45D15">
        <w:t xml:space="preserve"> would reduce the risk of price gouging.</w:t>
      </w:r>
      <w:r w:rsidR="002776B3">
        <w:t xml:space="preserve"> </w:t>
      </w:r>
    </w:p>
    <w:p w14:paraId="6C8B5B80" w14:textId="39655F84" w:rsidR="00186936" w:rsidRDefault="00252E19" w:rsidP="0024198B">
      <w:pPr>
        <w:ind w:left="720"/>
      </w:pPr>
      <w:r>
        <w:t xml:space="preserve">While </w:t>
      </w:r>
      <w:r w:rsidR="00186936" w:rsidRPr="00C43952">
        <w:t xml:space="preserve">exempt sellers </w:t>
      </w:r>
      <w:r w:rsidR="00186936">
        <w:t xml:space="preserve">cannot </w:t>
      </w:r>
      <w:r w:rsidR="00186936" w:rsidRPr="00C43952">
        <w:t xml:space="preserve">charge </w:t>
      </w:r>
      <w:r w:rsidR="00186936">
        <w:t xml:space="preserve">more </w:t>
      </w:r>
      <w:r w:rsidR="00186936" w:rsidRPr="00C43952">
        <w:t xml:space="preserve">than </w:t>
      </w:r>
      <w:r w:rsidR="00186936">
        <w:t xml:space="preserve">the ACT </w:t>
      </w:r>
      <w:r w:rsidR="00186936" w:rsidRPr="00C43952">
        <w:t>standing offer</w:t>
      </w:r>
      <w:r>
        <w:t xml:space="preserve">, </w:t>
      </w:r>
      <w:r w:rsidRPr="00252E19">
        <w:t>the ACT Retail Electricity (Transparency and Comparability) Code</w:t>
      </w:r>
      <w:r w:rsidR="008B3563">
        <w:t xml:space="preserve"> does not require </w:t>
      </w:r>
      <w:r w:rsidR="008B3563" w:rsidRPr="008B3563">
        <w:t>individual unit title owners and residents</w:t>
      </w:r>
      <w:r w:rsidR="008B3563">
        <w:t xml:space="preserve"> to be notified of </w:t>
      </w:r>
      <w:r w:rsidR="00215F67">
        <w:t>their EN prices in relation to the standing offer.</w:t>
      </w:r>
      <w:r w:rsidR="00BC7973">
        <w:t xml:space="preserve"> This means that many EN customers are </w:t>
      </w:r>
      <w:r w:rsidR="00BC7973" w:rsidRPr="00BC7973">
        <w:t xml:space="preserve">unaware </w:t>
      </w:r>
      <w:r w:rsidR="009102ED">
        <w:t xml:space="preserve">that </w:t>
      </w:r>
      <w:r w:rsidR="00BC7973" w:rsidRPr="00BC7973">
        <w:t>their electricity rates are uncompetitive and contributing to higher prices.</w:t>
      </w:r>
    </w:p>
    <w:p w14:paraId="74489A4F" w14:textId="69780B1B" w:rsidR="009102ED" w:rsidRDefault="00421858" w:rsidP="0024198B">
      <w:pPr>
        <w:pStyle w:val="Heading3"/>
      </w:pPr>
      <w:r>
        <w:t xml:space="preserve">No disclosure requirement for </w:t>
      </w:r>
      <w:r w:rsidR="00E959C6">
        <w:t>buyers or renters</w:t>
      </w:r>
    </w:p>
    <w:p w14:paraId="0A81A06A" w14:textId="2C14C988" w:rsidR="00DC47A8" w:rsidRDefault="00E959C6" w:rsidP="007F6DAD">
      <w:pPr>
        <w:ind w:left="720"/>
      </w:pPr>
      <w:r>
        <w:t xml:space="preserve">Similarly, </w:t>
      </w:r>
      <w:r w:rsidR="00132135">
        <w:t>renters are often not provided adequate</w:t>
      </w:r>
      <w:r w:rsidR="00916EA5">
        <w:t xml:space="preserve"> </w:t>
      </w:r>
      <w:r w:rsidR="008C0BEE">
        <w:t>(</w:t>
      </w:r>
      <w:r w:rsidR="00916EA5">
        <w:t>or any</w:t>
      </w:r>
      <w:r w:rsidR="008C0BEE">
        <w:t>)</w:t>
      </w:r>
      <w:r w:rsidR="00132135">
        <w:t xml:space="preserve"> information about the </w:t>
      </w:r>
      <w:r w:rsidR="00916EA5">
        <w:t>building’s EN or the associated risks.</w:t>
      </w:r>
      <w:r w:rsidR="00204550">
        <w:t xml:space="preserve"> It is common for renters to only find out they are in an EN once they move in</w:t>
      </w:r>
      <w:r w:rsidR="005F798F">
        <w:t xml:space="preserve">, leading to frustration when customers </w:t>
      </w:r>
      <w:r w:rsidR="00DC47A8">
        <w:t>realise</w:t>
      </w:r>
      <w:r w:rsidR="005F798F">
        <w:t xml:space="preserve"> their lack of </w:t>
      </w:r>
      <w:r w:rsidR="00DC47A8">
        <w:t>choice or control.</w:t>
      </w:r>
      <w:r w:rsidR="000E4041">
        <w:t xml:space="preserve"> </w:t>
      </w:r>
      <w:r w:rsidR="00DC47A8">
        <w:t>EN disclosures in property sales are also</w:t>
      </w:r>
      <w:r w:rsidR="00B82CD7">
        <w:t xml:space="preserve"> </w:t>
      </w:r>
      <w:r w:rsidR="00B82CD7">
        <w:lastRenderedPageBreak/>
        <w:t>often inadequate, being unclear due to complexity</w:t>
      </w:r>
      <w:r w:rsidR="00665279">
        <w:t xml:space="preserve"> and language used</w:t>
      </w:r>
      <w:r w:rsidR="000E4041">
        <w:t>, and</w:t>
      </w:r>
      <w:r w:rsidR="0061524F">
        <w:t>/or</w:t>
      </w:r>
      <w:r w:rsidR="000E4041">
        <w:t xml:space="preserve"> </w:t>
      </w:r>
      <w:r w:rsidR="0061524F">
        <w:t xml:space="preserve">not disclosed </w:t>
      </w:r>
      <w:r w:rsidR="002471FB">
        <w:t xml:space="preserve">with sufficient notice </w:t>
      </w:r>
      <w:r w:rsidR="00105E7F">
        <w:t>prior to purchase</w:t>
      </w:r>
      <w:r w:rsidR="000E4041">
        <w:t>.</w:t>
      </w:r>
    </w:p>
    <w:p w14:paraId="300CB4D0" w14:textId="60463AF8" w:rsidR="00F3441F" w:rsidRPr="00D0595F" w:rsidRDefault="00F3441F" w:rsidP="00F3441F">
      <w:pPr>
        <w:pStyle w:val="Heading1"/>
      </w:pPr>
      <w:r w:rsidRPr="00D0595F">
        <w:t xml:space="preserve">Risks to vulnerable consumers are </w:t>
      </w:r>
      <w:r w:rsidR="009303FF">
        <w:t>magnified</w:t>
      </w:r>
      <w:r w:rsidRPr="00D0595F">
        <w:t xml:space="preserve"> in ENs</w:t>
      </w:r>
    </w:p>
    <w:p w14:paraId="7BBDA463" w14:textId="6A5C208A" w:rsidR="00D31037" w:rsidRPr="00D0595F" w:rsidRDefault="00F73D6E" w:rsidP="00284023">
      <w:r w:rsidRPr="00D0595F">
        <w:t xml:space="preserve">The risks and harms generated by the significant consumer protection gaps are </w:t>
      </w:r>
      <w:r w:rsidR="008F1EFE" w:rsidRPr="00D0595F">
        <w:t xml:space="preserve">magnified </w:t>
      </w:r>
      <w:r w:rsidR="00D31037" w:rsidRPr="00D0595F">
        <w:t>for low-income EN customers.</w:t>
      </w:r>
      <w:r w:rsidR="009303FF">
        <w:t xml:space="preserve"> </w:t>
      </w:r>
      <w:r w:rsidR="00D31037" w:rsidRPr="00D0595F">
        <w:t xml:space="preserve">This is especially so for low-income </w:t>
      </w:r>
      <w:r w:rsidR="007B5FC9" w:rsidRPr="00D0595F">
        <w:t xml:space="preserve">consumers who are also marginalised in other ways, including the aged, </w:t>
      </w:r>
      <w:proofErr w:type="gramStart"/>
      <w:r w:rsidR="007B5FC9" w:rsidRPr="00D0595F">
        <w:t>culturally</w:t>
      </w:r>
      <w:proofErr w:type="gramEnd"/>
      <w:r w:rsidR="007B5FC9" w:rsidRPr="00D0595F">
        <w:t xml:space="preserve"> and linguistically diverse</w:t>
      </w:r>
      <w:r w:rsidR="009E1CE1">
        <w:t xml:space="preserve"> peoples</w:t>
      </w:r>
      <w:r w:rsidR="00BC0F1C">
        <w:t xml:space="preserve">, </w:t>
      </w:r>
      <w:r w:rsidR="00703B85">
        <w:t xml:space="preserve">people who </w:t>
      </w:r>
      <w:r w:rsidR="00BC0F1C">
        <w:t>have a disability</w:t>
      </w:r>
      <w:r w:rsidR="00703B85">
        <w:t xml:space="preserve"> or chronic illness</w:t>
      </w:r>
      <w:r w:rsidR="00BC0F1C">
        <w:t xml:space="preserve">, </w:t>
      </w:r>
      <w:r w:rsidR="002D2431">
        <w:t xml:space="preserve">those who </w:t>
      </w:r>
      <w:r w:rsidR="00BC0F1C">
        <w:t>need life support</w:t>
      </w:r>
      <w:r w:rsidR="002D2431">
        <w:t>,</w:t>
      </w:r>
      <w:r w:rsidR="00C83F8F">
        <w:t xml:space="preserve"> and</w:t>
      </w:r>
      <w:r w:rsidR="002D2431">
        <w:t>/or people</w:t>
      </w:r>
      <w:r w:rsidR="00C83F8F">
        <w:t xml:space="preserve"> experien</w:t>
      </w:r>
      <w:r w:rsidR="00A918DF">
        <w:t>cing domestic or family violence.</w:t>
      </w:r>
      <w:r w:rsidR="008E0925">
        <w:t xml:space="preserve"> Marginalised consumers are less likely to know their consumer </w:t>
      </w:r>
      <w:r w:rsidR="00AD4BD4">
        <w:t>rights or</w:t>
      </w:r>
      <w:r w:rsidR="00F70EAA">
        <w:t xml:space="preserve"> </w:t>
      </w:r>
      <w:r w:rsidR="00745823">
        <w:t xml:space="preserve">be provided with </w:t>
      </w:r>
      <w:r w:rsidR="00F70EAA">
        <w:t>information about ENs in a way that is accessible.</w:t>
      </w:r>
      <w:r w:rsidR="006E3BAD">
        <w:t xml:space="preserve"> While the ACT has recently legislated against no-ground evictions, the perception remains that </w:t>
      </w:r>
      <w:r w:rsidR="00753BDA">
        <w:t>complaints made against an energy provider that is also a landlord</w:t>
      </w:r>
      <w:r w:rsidR="00F227DE">
        <w:t xml:space="preserve"> may cause retaliation or eviction.</w:t>
      </w:r>
      <w:r w:rsidR="00951409">
        <w:t xml:space="preserve"> For those with concession cards, and especially </w:t>
      </w:r>
      <w:r w:rsidR="00EB6B59">
        <w:t>ag</w:t>
      </w:r>
      <w:r w:rsidR="00167282">
        <w:t>e</w:t>
      </w:r>
      <w:r w:rsidR="00EB6B59">
        <w:t>ing consumers, information about concession schemes and hardship arrangements may be less a</w:t>
      </w:r>
      <w:r w:rsidR="00A9460C">
        <w:t xml:space="preserve">ccessible </w:t>
      </w:r>
      <w:r w:rsidR="00EB6B59">
        <w:t>than for standard</w:t>
      </w:r>
      <w:r w:rsidR="003A521B">
        <w:t xml:space="preserve"> customers.</w:t>
      </w:r>
      <w:r w:rsidR="001F5E90">
        <w:t xml:space="preserve"> </w:t>
      </w:r>
      <w:r w:rsidR="004B0B89">
        <w:t xml:space="preserve">While the ACT Utilities Concession does apply to EN customers, the ACT review highlighted that </w:t>
      </w:r>
      <w:r w:rsidR="000655D2">
        <w:t>it is often practically difficult or unclear how</w:t>
      </w:r>
      <w:r w:rsidR="00493937">
        <w:t xml:space="preserve"> eligible EN customers can access concessions.</w:t>
      </w:r>
      <w:r w:rsidR="00680C7F">
        <w:t xml:space="preserve"> </w:t>
      </w:r>
      <w:r w:rsidR="001F5E90">
        <w:t xml:space="preserve">For some vulnerable consumers, the risks of ENs may even </w:t>
      </w:r>
      <w:r w:rsidR="007542C6">
        <w:t>jeopardise</w:t>
      </w:r>
      <w:r w:rsidR="001F5E90">
        <w:t xml:space="preserve"> their life or health</w:t>
      </w:r>
      <w:r w:rsidR="002A31F7">
        <w:t>, such as people requiring life support and/or heating</w:t>
      </w:r>
      <w:r w:rsidR="009303FF">
        <w:t xml:space="preserve">, hot </w:t>
      </w:r>
      <w:r w:rsidR="000052AB">
        <w:t>water,</w:t>
      </w:r>
      <w:r w:rsidR="009303FF">
        <w:t xml:space="preserve"> or refrigeration for health conditions.</w:t>
      </w:r>
      <w:r w:rsidR="00680C7F">
        <w:t xml:space="preserve"> Many consumers, and particularly those with low incomes or in financial hardship, would be better off if the AER were to cease granting exemptions for ENs.</w:t>
      </w:r>
    </w:p>
    <w:p w14:paraId="50A79BE0" w14:textId="5ABBB734" w:rsidR="00C11463" w:rsidRDefault="00334FCA" w:rsidP="00DB21BF">
      <w:pPr>
        <w:pStyle w:val="Heading1"/>
      </w:pPr>
      <w:r>
        <w:t xml:space="preserve">Update the </w:t>
      </w:r>
      <w:r w:rsidR="00DB21BF">
        <w:t>EN exemptions framework to address consumer protection gaps</w:t>
      </w:r>
    </w:p>
    <w:p w14:paraId="38601F98" w14:textId="2501CBF7" w:rsidR="00F4504F" w:rsidRDefault="00C11463" w:rsidP="007A6693">
      <w:r>
        <w:t>To address these serious consumer protection concerns, the AER should update the EN exemptions framework</w:t>
      </w:r>
      <w:r w:rsidR="00173801">
        <w:t xml:space="preserve"> to ensure c</w:t>
      </w:r>
      <w:r w:rsidR="00F4504F">
        <w:t xml:space="preserve">onsumer protections </w:t>
      </w:r>
      <w:r w:rsidR="00173801">
        <w:t>are</w:t>
      </w:r>
      <w:r w:rsidR="00F4504F">
        <w:t xml:space="preserve"> at the core of the </w:t>
      </w:r>
      <w:proofErr w:type="gramStart"/>
      <w:r w:rsidR="00F4504F">
        <w:t>exemptions</w:t>
      </w:r>
      <w:proofErr w:type="gramEnd"/>
      <w:r w:rsidR="00F4504F">
        <w:t xml:space="preserve"> framework.</w:t>
      </w:r>
    </w:p>
    <w:p w14:paraId="44E5733F" w14:textId="41450374" w:rsidR="001D0573" w:rsidRDefault="005822A9" w:rsidP="001D0573">
      <w:r>
        <w:t xml:space="preserve">The NR2 registrable network class exemption activity criteria </w:t>
      </w:r>
      <w:r w:rsidR="00D96FDE">
        <w:t>should</w:t>
      </w:r>
      <w:r>
        <w:t xml:space="preserve"> include prescribed</w:t>
      </w:r>
      <w:r w:rsidR="00D96FDE">
        <w:t xml:space="preserve"> </w:t>
      </w:r>
      <w:r>
        <w:t>customer benefits that must be met by NR2 registrable network class exemption</w:t>
      </w:r>
      <w:r w:rsidR="00D96FDE">
        <w:t xml:space="preserve"> </w:t>
      </w:r>
      <w:r>
        <w:t>holders</w:t>
      </w:r>
      <w:r w:rsidR="00D96FDE">
        <w:t xml:space="preserve">. </w:t>
      </w:r>
      <w:r w:rsidR="00375949">
        <w:t xml:space="preserve">The exemption holder must be able to demonstrate that the proposed EN will </w:t>
      </w:r>
      <w:r w:rsidR="00BB1424">
        <w:t>produce materially better outcomes for consumers</w:t>
      </w:r>
      <w:r w:rsidR="478F1CEC">
        <w:t>, not just that there is a potential for this to occur</w:t>
      </w:r>
      <w:r w:rsidR="00BB1424">
        <w:t>.</w:t>
      </w:r>
      <w:r w:rsidR="001D0573">
        <w:t xml:space="preserve"> Requiring embedded network service providers to demonstrate customer benefits before being permitted to register an NR2 network class exemption will make it more likely that potential benefits are </w:t>
      </w:r>
      <w:r w:rsidR="003B7EFC">
        <w:t>realised</w:t>
      </w:r>
      <w:r w:rsidR="001D0573">
        <w:t>.</w:t>
      </w:r>
    </w:p>
    <w:p w14:paraId="13BBB1CF" w14:textId="56BD71D3" w:rsidR="00104804" w:rsidRDefault="00104804" w:rsidP="005822A9">
      <w:r>
        <w:t xml:space="preserve">A national register should be </w:t>
      </w:r>
      <w:r w:rsidR="00AE51BA">
        <w:t>maintained,</w:t>
      </w:r>
      <w:r w:rsidR="00994B02">
        <w:t xml:space="preserve"> </w:t>
      </w:r>
      <w:r>
        <w:t xml:space="preserve">and </w:t>
      </w:r>
      <w:r w:rsidR="00994B02">
        <w:t>the AER should have and use the</w:t>
      </w:r>
      <w:r w:rsidR="00DC7972">
        <w:t xml:space="preserve">ir power to monitor and enforce obligations that must be met </w:t>
      </w:r>
      <w:r w:rsidR="00AE51BA">
        <w:t>to</w:t>
      </w:r>
      <w:r w:rsidR="00DC7972">
        <w:t xml:space="preserve"> be granted an exemption.</w:t>
      </w:r>
    </w:p>
    <w:p w14:paraId="34D1E59C" w14:textId="2CA1D990" w:rsidR="00246440" w:rsidRDefault="003F5A65" w:rsidP="00AE51BA">
      <w:r>
        <w:t>ACTCOSS</w:t>
      </w:r>
      <w:r w:rsidR="003B7EFC">
        <w:t xml:space="preserve"> doesn’t advocate </w:t>
      </w:r>
      <w:r w:rsidR="00BE163D">
        <w:t>that the expansion of ENs be stopped entirely</w:t>
      </w:r>
      <w:r w:rsidR="00875C04">
        <w:t xml:space="preserve">, but </w:t>
      </w:r>
      <w:r w:rsidR="0060728A">
        <w:t xml:space="preserve">we recommend that </w:t>
      </w:r>
      <w:r w:rsidR="00875C04">
        <w:t xml:space="preserve">future exemptions </w:t>
      </w:r>
      <w:r w:rsidR="0060728A">
        <w:t>are</w:t>
      </w:r>
      <w:r w:rsidR="00875C04">
        <w:t xml:space="preserve"> granted on a case-by-case basis. The number of ENs should be reduced</w:t>
      </w:r>
      <w:r w:rsidR="00B40060">
        <w:t>, but there are narrow parameters where they should be allowed if there is evidence of genuine consumer benefit.</w:t>
      </w:r>
    </w:p>
    <w:p w14:paraId="5AA7A52F" w14:textId="2D501036" w:rsidR="007E6A08" w:rsidRDefault="007E6A08" w:rsidP="00AE51BA">
      <w:r>
        <w:t xml:space="preserve">Overall, </w:t>
      </w:r>
      <w:r w:rsidRPr="007E6A08">
        <w:t>the same consumer protections that are available to on</w:t>
      </w:r>
      <w:r w:rsidR="00B55203">
        <w:t>-</w:t>
      </w:r>
      <w:r w:rsidRPr="007E6A08">
        <w:t>market customers should apply and be granted to EN customers.</w:t>
      </w:r>
    </w:p>
    <w:p w14:paraId="724B2822" w14:textId="41E08426" w:rsidR="00F9543D" w:rsidRPr="00E979E1" w:rsidRDefault="00BF639C" w:rsidP="00B50635">
      <w:r>
        <w:t xml:space="preserve">ACTCOSS is keen to keep engaged in the </w:t>
      </w:r>
      <w:r w:rsidR="00F5315D">
        <w:t xml:space="preserve">AER’s review of the </w:t>
      </w:r>
      <w:proofErr w:type="gramStart"/>
      <w:r w:rsidR="00F5315D">
        <w:t>exemptions</w:t>
      </w:r>
      <w:proofErr w:type="gramEnd"/>
      <w:r w:rsidR="00F5315D">
        <w:t xml:space="preserve"> framework for embedded networks</w:t>
      </w:r>
      <w:r w:rsidR="007E5641">
        <w:t>,</w:t>
      </w:r>
      <w:r w:rsidR="00F5315D">
        <w:t xml:space="preserve"> </w:t>
      </w:r>
      <w:r>
        <w:t>with a focus on ensuring equitable outcomes for low</w:t>
      </w:r>
      <w:r w:rsidR="00F5315D">
        <w:t>-</w:t>
      </w:r>
      <w:r>
        <w:t>income</w:t>
      </w:r>
      <w:r w:rsidR="00F5315D">
        <w:t xml:space="preserve"> </w:t>
      </w:r>
      <w:r>
        <w:t xml:space="preserve">households and not-for-profit community organisations </w:t>
      </w:r>
      <w:r>
        <w:lastRenderedPageBreak/>
        <w:t>in the ACT. Please</w:t>
      </w:r>
      <w:r w:rsidR="00E979E1">
        <w:t xml:space="preserve"> </w:t>
      </w:r>
      <w:r>
        <w:t xml:space="preserve">contact me or our Senior Policy </w:t>
      </w:r>
      <w:r w:rsidR="00E979E1">
        <w:t>Advisor</w:t>
      </w:r>
      <w:r>
        <w:t xml:space="preserve">, </w:t>
      </w:r>
      <w:r w:rsidR="00E979E1">
        <w:t xml:space="preserve">Lyndsay Bassett </w:t>
      </w:r>
      <w:r>
        <w:t>on</w:t>
      </w:r>
      <w:r w:rsidR="00E979E1">
        <w:t xml:space="preserve"> </w:t>
      </w:r>
      <w:r w:rsidR="00F2468A">
        <w:t>(</w:t>
      </w:r>
      <w:r w:rsidR="00F2468A" w:rsidRPr="00F2468A">
        <w:t>02</w:t>
      </w:r>
      <w:r w:rsidR="00F2468A">
        <w:t>)</w:t>
      </w:r>
      <w:r w:rsidR="00F2468A" w:rsidRPr="00F2468A">
        <w:t xml:space="preserve"> 6202 7227 </w:t>
      </w:r>
      <w:r>
        <w:t>or</w:t>
      </w:r>
      <w:r w:rsidR="00E979E1">
        <w:t xml:space="preserve"> lyndsay.bassett</w:t>
      </w:r>
      <w:r>
        <w:t>@actcoss.org.au if you would like to discuss any of the issues raised</w:t>
      </w:r>
      <w:r w:rsidR="00E979E1">
        <w:t xml:space="preserve"> </w:t>
      </w:r>
      <w:r>
        <w:t>in our submission.</w:t>
      </w: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1BA32328" w14:textId="2C99C09A" w:rsidR="00B50635" w:rsidRPr="00F00747" w:rsidRDefault="00BB7B98" w:rsidP="00B50635">
      <w:pPr>
        <w:rPr>
          <w:rFonts w:eastAsiaTheme="minorHAnsi"/>
          <w:lang w:val="en-US" w:eastAsia="en-US"/>
        </w:rPr>
      </w:pPr>
      <w:r>
        <w:rPr>
          <w:rFonts w:eastAsiaTheme="minorHAnsi"/>
          <w:noProof/>
          <w:lang w:val="en-US" w:eastAsia="en-US"/>
        </w:rPr>
        <w:drawing>
          <wp:inline distT="0" distB="0" distL="0" distR="0" wp14:anchorId="217E9AD4" wp14:editId="5BAB653A">
            <wp:extent cx="1714286" cy="380952"/>
            <wp:effectExtent l="0" t="0" r="635" b="635"/>
            <wp:docPr id="1814620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620897" name="Picture 1814620897"/>
                    <pic:cNvPicPr/>
                  </pic:nvPicPr>
                  <pic:blipFill>
                    <a:blip r:embed="rId13">
                      <a:extLst>
                        <a:ext uri="{28A0092B-C50C-407E-A947-70E740481C1C}">
                          <a14:useLocalDpi xmlns:a14="http://schemas.microsoft.com/office/drawing/2010/main" val="0"/>
                        </a:ext>
                      </a:extLst>
                    </a:blip>
                    <a:stretch>
                      <a:fillRect/>
                    </a:stretch>
                  </pic:blipFill>
                  <pic:spPr>
                    <a:xfrm>
                      <a:off x="0" y="0"/>
                      <a:ext cx="1714286" cy="380952"/>
                    </a:xfrm>
                    <a:prstGeom prst="rect">
                      <a:avLst/>
                    </a:prstGeom>
                  </pic:spPr>
                </pic:pic>
              </a:graphicData>
            </a:graphic>
          </wp:inline>
        </w:drawing>
      </w:r>
    </w:p>
    <w:p w14:paraId="29FEB8B4" w14:textId="1734CA97" w:rsidR="00621E13" w:rsidRPr="00CD4B44" w:rsidRDefault="00E979E1">
      <w:pPr>
        <w:rPr>
          <w:rFonts w:eastAsiaTheme="minorHAnsi"/>
          <w:lang w:val="en-US" w:eastAsia="en-US"/>
        </w:rPr>
      </w:pPr>
      <w:r>
        <w:rPr>
          <w:rFonts w:eastAsiaTheme="minorHAnsi"/>
          <w:lang w:eastAsia="en-US"/>
        </w:rPr>
        <w:t>Dr Devin Bowles</w:t>
      </w:r>
      <w:r w:rsidR="00B50635" w:rsidRPr="00F00747">
        <w:rPr>
          <w:rFonts w:eastAsiaTheme="minorHAnsi"/>
          <w:lang w:val="en-US" w:eastAsia="en-US"/>
        </w:rPr>
        <w:br/>
      </w:r>
      <w:r>
        <w:rPr>
          <w:rFonts w:eastAsiaTheme="minorHAnsi"/>
          <w:lang w:val="en-US" w:eastAsia="en-US"/>
        </w:rPr>
        <w:t>CEO</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devin.bowles@actcoss.org.au</w:t>
      </w:r>
    </w:p>
    <w:sectPr w:rsidR="00621E13" w:rsidRPr="00CD4B44" w:rsidSect="00B33D00">
      <w:headerReference w:type="default" r:id="rId14"/>
      <w:footerReference w:type="even" r:id="rId15"/>
      <w:footerReference w:type="default" r:id="rId16"/>
      <w:headerReference w:type="first" r:id="rId17"/>
      <w:footerReference w:type="first" r:id="rId18"/>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0436" w14:textId="77777777" w:rsidR="00B33D00" w:rsidRDefault="00B33D00" w:rsidP="00B50635">
      <w:pPr>
        <w:spacing w:after="0" w:line="240" w:lineRule="auto"/>
      </w:pPr>
      <w:r>
        <w:separator/>
      </w:r>
    </w:p>
  </w:endnote>
  <w:endnote w:type="continuationSeparator" w:id="0">
    <w:p w14:paraId="14A09A2E" w14:textId="77777777" w:rsidR="00B33D00" w:rsidRDefault="00B33D00" w:rsidP="00B50635">
      <w:pPr>
        <w:spacing w:after="0" w:line="240" w:lineRule="auto"/>
      </w:pPr>
      <w:r>
        <w:continuationSeparator/>
      </w:r>
    </w:p>
  </w:endnote>
  <w:endnote w:type="continuationNotice" w:id="1">
    <w:p w14:paraId="5A88B466" w14:textId="77777777" w:rsidR="005233A4" w:rsidRDefault="00523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EndPr>
      <w:rPr>
        <w:rStyle w:val="PageNumber"/>
      </w:rPr>
    </w:sdtEndPr>
    <w:sdtContent>
      <w:p w14:paraId="4476E073" w14:textId="324A2602" w:rsidR="00B77E46" w:rsidRDefault="00B77E46" w:rsidP="00205F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EndPr>
      <w:rPr>
        <w:rStyle w:val="PageNumber"/>
      </w:rPr>
    </w:sdtEndPr>
    <w:sdtContent>
      <w:p w14:paraId="4488826C" w14:textId="482A6CA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2384" w14:textId="77777777" w:rsidR="00B33D00" w:rsidRDefault="00B33D00" w:rsidP="00B50635">
      <w:pPr>
        <w:spacing w:after="0" w:line="240" w:lineRule="auto"/>
      </w:pPr>
      <w:r>
        <w:separator/>
      </w:r>
    </w:p>
  </w:footnote>
  <w:footnote w:type="continuationSeparator" w:id="0">
    <w:p w14:paraId="273C3CA9" w14:textId="77777777" w:rsidR="00B33D00" w:rsidRDefault="00B33D00" w:rsidP="00B50635">
      <w:pPr>
        <w:spacing w:after="0" w:line="240" w:lineRule="auto"/>
      </w:pPr>
      <w:r>
        <w:continuationSeparator/>
      </w:r>
    </w:p>
  </w:footnote>
  <w:footnote w:type="continuationNotice" w:id="1">
    <w:p w14:paraId="45074984" w14:textId="77777777" w:rsidR="005233A4" w:rsidRDefault="005233A4">
      <w:pPr>
        <w:spacing w:after="0" w:line="240" w:lineRule="auto"/>
      </w:pPr>
    </w:p>
  </w:footnote>
  <w:footnote w:id="2">
    <w:p w14:paraId="066A89FF" w14:textId="7FC59C8F" w:rsidR="009509E3" w:rsidRDefault="00A54955">
      <w:pPr>
        <w:pStyle w:val="FootnoteText"/>
      </w:pPr>
      <w:r>
        <w:rPr>
          <w:rStyle w:val="FootnoteReference"/>
        </w:rPr>
        <w:footnoteRef/>
      </w:r>
      <w:r w:rsidR="00C91C37">
        <w:t xml:space="preserve"> </w:t>
      </w:r>
      <w:r w:rsidR="00DC080D">
        <w:t>Australian Energy Market Commission (AEMC)</w:t>
      </w:r>
      <w:r w:rsidR="00C91C37" w:rsidRPr="00C91C37">
        <w:t>, </w:t>
      </w:r>
      <w:hyperlink r:id="rId1" w:history="1">
        <w:r w:rsidR="00DC080D" w:rsidRPr="003D2162">
          <w:rPr>
            <w:rStyle w:val="Hyperlink"/>
            <w:i/>
            <w:iCs/>
          </w:rPr>
          <w:t>Review of regulatory arrangements for embedded networks</w:t>
        </w:r>
      </w:hyperlink>
      <w:r w:rsidR="00C91C37" w:rsidRPr="00C91C37">
        <w:t>,</w:t>
      </w:r>
      <w:r w:rsidR="005014EF">
        <w:t xml:space="preserve"> 2017</w:t>
      </w:r>
      <w:r w:rsidR="0052645A">
        <w:t>;</w:t>
      </w:r>
      <w:r w:rsidR="003D2162">
        <w:t xml:space="preserve"> AEMC,</w:t>
      </w:r>
      <w:r w:rsidR="0052645A">
        <w:t xml:space="preserve"> </w:t>
      </w:r>
      <w:hyperlink r:id="rId2" w:history="1">
        <w:r w:rsidR="003D2162" w:rsidRPr="005E690A">
          <w:rPr>
            <w:rStyle w:val="Hyperlink"/>
            <w:i/>
            <w:iCs/>
          </w:rPr>
          <w:t>Updating the regulatory frameworks for embedded networks</w:t>
        </w:r>
      </w:hyperlink>
      <w:r w:rsidR="003D2162">
        <w:t>,</w:t>
      </w:r>
      <w:r w:rsidR="005E690A">
        <w:t xml:space="preserve"> 2019.</w:t>
      </w:r>
      <w:r w:rsidR="003D2162">
        <w:t xml:space="preserve"> </w:t>
      </w:r>
    </w:p>
  </w:footnote>
  <w:footnote w:id="3">
    <w:p w14:paraId="1A541184" w14:textId="2D6E470C" w:rsidR="00F87466" w:rsidRDefault="00F87466">
      <w:pPr>
        <w:pStyle w:val="FootnoteText"/>
      </w:pPr>
      <w:r>
        <w:rPr>
          <w:rStyle w:val="FootnoteReference"/>
        </w:rPr>
        <w:footnoteRef/>
      </w:r>
      <w:r w:rsidR="001F0540">
        <w:t xml:space="preserve"> </w:t>
      </w:r>
      <w:r w:rsidR="00A25E58">
        <w:t>L Hobday</w:t>
      </w:r>
      <w:r w:rsidR="001F0540" w:rsidRPr="001F0540">
        <w:t>, ‘</w:t>
      </w:r>
      <w:hyperlink r:id="rId3" w:history="1">
        <w:r w:rsidR="00A25E58" w:rsidRPr="00882C10">
          <w:rPr>
            <w:rStyle w:val="Hyperlink"/>
          </w:rPr>
          <w:t>Embedded electricity networks see apartment dwellers paying too much for power</w:t>
        </w:r>
      </w:hyperlink>
      <w:r w:rsidR="001F0540" w:rsidRPr="001F0540">
        <w:t>’, </w:t>
      </w:r>
      <w:r w:rsidR="00A25E58">
        <w:rPr>
          <w:i/>
          <w:iCs/>
        </w:rPr>
        <w:t>ABC News</w:t>
      </w:r>
      <w:r w:rsidR="001F0540" w:rsidRPr="001F0540">
        <w:t xml:space="preserve">, </w:t>
      </w:r>
      <w:r w:rsidR="00882C10">
        <w:t xml:space="preserve">Wednesday 30 October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100F"/>
    <w:multiLevelType w:val="hybridMultilevel"/>
    <w:tmpl w:val="2C72945E"/>
    <w:lvl w:ilvl="0" w:tplc="928A5CCA">
      <w:start w:val="1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F86383"/>
    <w:multiLevelType w:val="hybridMultilevel"/>
    <w:tmpl w:val="B032E22E"/>
    <w:lvl w:ilvl="0" w:tplc="7902A33C">
      <w:start w:val="1"/>
      <w:numFmt w:val="bullet"/>
      <w:pStyle w:val="Heading3"/>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 w15:restartNumberingAfterBreak="0">
    <w:nsid w:val="3C670B16"/>
    <w:multiLevelType w:val="hybridMultilevel"/>
    <w:tmpl w:val="6E2E571E"/>
    <w:lvl w:ilvl="0" w:tplc="32D0B2DE">
      <w:start w:val="1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CB1F56"/>
    <w:multiLevelType w:val="hybridMultilevel"/>
    <w:tmpl w:val="D6449954"/>
    <w:lvl w:ilvl="0" w:tplc="E690A314">
      <w:start w:val="1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0503832">
    <w:abstractNumId w:val="2"/>
  </w:num>
  <w:num w:numId="2" w16cid:durableId="1799571293">
    <w:abstractNumId w:val="3"/>
  </w:num>
  <w:num w:numId="3" w16cid:durableId="1610312642">
    <w:abstractNumId w:val="0"/>
  </w:num>
  <w:num w:numId="4" w16cid:durableId="1727609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52AB"/>
    <w:rsid w:val="00011570"/>
    <w:rsid w:val="00016FA2"/>
    <w:rsid w:val="00022D3E"/>
    <w:rsid w:val="00026922"/>
    <w:rsid w:val="00027D87"/>
    <w:rsid w:val="00033D50"/>
    <w:rsid w:val="000655D2"/>
    <w:rsid w:val="00083D78"/>
    <w:rsid w:val="000A3FDB"/>
    <w:rsid w:val="000B6109"/>
    <w:rsid w:val="000C16D4"/>
    <w:rsid w:val="000C3D23"/>
    <w:rsid w:val="000D5B80"/>
    <w:rsid w:val="000E4041"/>
    <w:rsid w:val="000E4CBC"/>
    <w:rsid w:val="00104804"/>
    <w:rsid w:val="00105E7F"/>
    <w:rsid w:val="00113791"/>
    <w:rsid w:val="00120388"/>
    <w:rsid w:val="00132135"/>
    <w:rsid w:val="00134BF5"/>
    <w:rsid w:val="00137C29"/>
    <w:rsid w:val="00147855"/>
    <w:rsid w:val="00150952"/>
    <w:rsid w:val="00167282"/>
    <w:rsid w:val="00173801"/>
    <w:rsid w:val="00184736"/>
    <w:rsid w:val="00186936"/>
    <w:rsid w:val="001A0E75"/>
    <w:rsid w:val="001B0D65"/>
    <w:rsid w:val="001D0573"/>
    <w:rsid w:val="001D4516"/>
    <w:rsid w:val="001F0540"/>
    <w:rsid w:val="001F5E90"/>
    <w:rsid w:val="002005C7"/>
    <w:rsid w:val="00204550"/>
    <w:rsid w:val="0021026C"/>
    <w:rsid w:val="00212932"/>
    <w:rsid w:val="00214FDE"/>
    <w:rsid w:val="00215F67"/>
    <w:rsid w:val="00225099"/>
    <w:rsid w:val="002272F2"/>
    <w:rsid w:val="0024198B"/>
    <w:rsid w:val="00241B3D"/>
    <w:rsid w:val="00246440"/>
    <w:rsid w:val="002471FB"/>
    <w:rsid w:val="00250338"/>
    <w:rsid w:val="002513E9"/>
    <w:rsid w:val="00252E19"/>
    <w:rsid w:val="002714C6"/>
    <w:rsid w:val="002776B3"/>
    <w:rsid w:val="00284023"/>
    <w:rsid w:val="002A048A"/>
    <w:rsid w:val="002A209F"/>
    <w:rsid w:val="002A31F7"/>
    <w:rsid w:val="002A5CBE"/>
    <w:rsid w:val="002B0DD1"/>
    <w:rsid w:val="002B1CEB"/>
    <w:rsid w:val="002C2249"/>
    <w:rsid w:val="002D0EDC"/>
    <w:rsid w:val="002D2431"/>
    <w:rsid w:val="002E0591"/>
    <w:rsid w:val="002E70C5"/>
    <w:rsid w:val="002F683F"/>
    <w:rsid w:val="002F7392"/>
    <w:rsid w:val="003060B4"/>
    <w:rsid w:val="00320130"/>
    <w:rsid w:val="00334FCA"/>
    <w:rsid w:val="00360259"/>
    <w:rsid w:val="00364942"/>
    <w:rsid w:val="00375949"/>
    <w:rsid w:val="00380B50"/>
    <w:rsid w:val="0038336C"/>
    <w:rsid w:val="00384EBD"/>
    <w:rsid w:val="003A521B"/>
    <w:rsid w:val="003B7EFC"/>
    <w:rsid w:val="003D2162"/>
    <w:rsid w:val="003D4564"/>
    <w:rsid w:val="003D7D98"/>
    <w:rsid w:val="003F5A65"/>
    <w:rsid w:val="003F5E68"/>
    <w:rsid w:val="00421858"/>
    <w:rsid w:val="004339B0"/>
    <w:rsid w:val="00451DDE"/>
    <w:rsid w:val="00456B60"/>
    <w:rsid w:val="00481769"/>
    <w:rsid w:val="00486EF4"/>
    <w:rsid w:val="00491FB6"/>
    <w:rsid w:val="00493937"/>
    <w:rsid w:val="004A447B"/>
    <w:rsid w:val="004B0B89"/>
    <w:rsid w:val="004B6A09"/>
    <w:rsid w:val="004B7340"/>
    <w:rsid w:val="004C6BD8"/>
    <w:rsid w:val="004D59BF"/>
    <w:rsid w:val="004F672D"/>
    <w:rsid w:val="005014EF"/>
    <w:rsid w:val="00510E9A"/>
    <w:rsid w:val="00520BB7"/>
    <w:rsid w:val="005233A4"/>
    <w:rsid w:val="00525594"/>
    <w:rsid w:val="0052645A"/>
    <w:rsid w:val="005358D2"/>
    <w:rsid w:val="00561163"/>
    <w:rsid w:val="00561DE4"/>
    <w:rsid w:val="005629B4"/>
    <w:rsid w:val="005822A9"/>
    <w:rsid w:val="005A1A93"/>
    <w:rsid w:val="005B25F6"/>
    <w:rsid w:val="005B4294"/>
    <w:rsid w:val="005E690A"/>
    <w:rsid w:val="005F14F2"/>
    <w:rsid w:val="005F798F"/>
    <w:rsid w:val="006045B0"/>
    <w:rsid w:val="0060728A"/>
    <w:rsid w:val="00607FDE"/>
    <w:rsid w:val="0061524F"/>
    <w:rsid w:val="00621630"/>
    <w:rsid w:val="00621E13"/>
    <w:rsid w:val="00665279"/>
    <w:rsid w:val="00677806"/>
    <w:rsid w:val="00680C7F"/>
    <w:rsid w:val="006A3878"/>
    <w:rsid w:val="006E3BAD"/>
    <w:rsid w:val="006E4C99"/>
    <w:rsid w:val="006E5FDC"/>
    <w:rsid w:val="006F055E"/>
    <w:rsid w:val="006F18F9"/>
    <w:rsid w:val="00703B85"/>
    <w:rsid w:val="00705EEF"/>
    <w:rsid w:val="007215E2"/>
    <w:rsid w:val="00733B1F"/>
    <w:rsid w:val="00742E0E"/>
    <w:rsid w:val="00745823"/>
    <w:rsid w:val="00753BDA"/>
    <w:rsid w:val="007542C6"/>
    <w:rsid w:val="00764AD3"/>
    <w:rsid w:val="00767D12"/>
    <w:rsid w:val="00770BE1"/>
    <w:rsid w:val="00771095"/>
    <w:rsid w:val="0077158B"/>
    <w:rsid w:val="00773CFF"/>
    <w:rsid w:val="00791525"/>
    <w:rsid w:val="007A35A1"/>
    <w:rsid w:val="007A6693"/>
    <w:rsid w:val="007B5FC9"/>
    <w:rsid w:val="007D2A62"/>
    <w:rsid w:val="007D4599"/>
    <w:rsid w:val="007E5641"/>
    <w:rsid w:val="007E6A08"/>
    <w:rsid w:val="007F6DAD"/>
    <w:rsid w:val="0080087A"/>
    <w:rsid w:val="0080769A"/>
    <w:rsid w:val="00823530"/>
    <w:rsid w:val="00824556"/>
    <w:rsid w:val="00840A7A"/>
    <w:rsid w:val="0084449B"/>
    <w:rsid w:val="008646F9"/>
    <w:rsid w:val="00875C04"/>
    <w:rsid w:val="00882C10"/>
    <w:rsid w:val="00891446"/>
    <w:rsid w:val="008B3563"/>
    <w:rsid w:val="008C0BEE"/>
    <w:rsid w:val="008E0925"/>
    <w:rsid w:val="008E17CF"/>
    <w:rsid w:val="008F1EFE"/>
    <w:rsid w:val="008F38A0"/>
    <w:rsid w:val="00906219"/>
    <w:rsid w:val="0090671C"/>
    <w:rsid w:val="009102ED"/>
    <w:rsid w:val="00912FCC"/>
    <w:rsid w:val="00916EA5"/>
    <w:rsid w:val="009303FF"/>
    <w:rsid w:val="00930CB5"/>
    <w:rsid w:val="00931D6A"/>
    <w:rsid w:val="00941B51"/>
    <w:rsid w:val="00945749"/>
    <w:rsid w:val="009509E3"/>
    <w:rsid w:val="00951409"/>
    <w:rsid w:val="00963EEB"/>
    <w:rsid w:val="00967567"/>
    <w:rsid w:val="00994B02"/>
    <w:rsid w:val="00994F90"/>
    <w:rsid w:val="009A626E"/>
    <w:rsid w:val="009A67F7"/>
    <w:rsid w:val="009B53B8"/>
    <w:rsid w:val="009C1372"/>
    <w:rsid w:val="009D3A6C"/>
    <w:rsid w:val="009E1CE1"/>
    <w:rsid w:val="009F4E47"/>
    <w:rsid w:val="00A016DC"/>
    <w:rsid w:val="00A04021"/>
    <w:rsid w:val="00A076BC"/>
    <w:rsid w:val="00A1501E"/>
    <w:rsid w:val="00A157D0"/>
    <w:rsid w:val="00A24FE8"/>
    <w:rsid w:val="00A25E58"/>
    <w:rsid w:val="00A40077"/>
    <w:rsid w:val="00A5143B"/>
    <w:rsid w:val="00A54955"/>
    <w:rsid w:val="00A66D16"/>
    <w:rsid w:val="00A72403"/>
    <w:rsid w:val="00A918DF"/>
    <w:rsid w:val="00A9460C"/>
    <w:rsid w:val="00AA7CC8"/>
    <w:rsid w:val="00AB3D63"/>
    <w:rsid w:val="00AD2826"/>
    <w:rsid w:val="00AD483A"/>
    <w:rsid w:val="00AD4BD4"/>
    <w:rsid w:val="00AE3556"/>
    <w:rsid w:val="00AE51BA"/>
    <w:rsid w:val="00AF4B0F"/>
    <w:rsid w:val="00AF6CAB"/>
    <w:rsid w:val="00B03B3A"/>
    <w:rsid w:val="00B10786"/>
    <w:rsid w:val="00B20101"/>
    <w:rsid w:val="00B2351A"/>
    <w:rsid w:val="00B33D00"/>
    <w:rsid w:val="00B40060"/>
    <w:rsid w:val="00B4049D"/>
    <w:rsid w:val="00B41333"/>
    <w:rsid w:val="00B46E43"/>
    <w:rsid w:val="00B50635"/>
    <w:rsid w:val="00B53649"/>
    <w:rsid w:val="00B55203"/>
    <w:rsid w:val="00B6495A"/>
    <w:rsid w:val="00B7627E"/>
    <w:rsid w:val="00B77E46"/>
    <w:rsid w:val="00B82CD7"/>
    <w:rsid w:val="00B86F81"/>
    <w:rsid w:val="00B9135F"/>
    <w:rsid w:val="00BB1424"/>
    <w:rsid w:val="00BB4096"/>
    <w:rsid w:val="00BB7B98"/>
    <w:rsid w:val="00BC0F1C"/>
    <w:rsid w:val="00BC5D1E"/>
    <w:rsid w:val="00BC7973"/>
    <w:rsid w:val="00BE163D"/>
    <w:rsid w:val="00BF2F3B"/>
    <w:rsid w:val="00BF639C"/>
    <w:rsid w:val="00BF735F"/>
    <w:rsid w:val="00C11463"/>
    <w:rsid w:val="00C228B2"/>
    <w:rsid w:val="00C43952"/>
    <w:rsid w:val="00C44954"/>
    <w:rsid w:val="00C45D15"/>
    <w:rsid w:val="00C46884"/>
    <w:rsid w:val="00C540A3"/>
    <w:rsid w:val="00C60C92"/>
    <w:rsid w:val="00C632C8"/>
    <w:rsid w:val="00C63316"/>
    <w:rsid w:val="00C66969"/>
    <w:rsid w:val="00C73FCF"/>
    <w:rsid w:val="00C764DE"/>
    <w:rsid w:val="00C83F8F"/>
    <w:rsid w:val="00C91C37"/>
    <w:rsid w:val="00CD4B44"/>
    <w:rsid w:val="00CE2068"/>
    <w:rsid w:val="00CF1FBD"/>
    <w:rsid w:val="00CF23E9"/>
    <w:rsid w:val="00CF28B4"/>
    <w:rsid w:val="00CF6802"/>
    <w:rsid w:val="00D0123D"/>
    <w:rsid w:val="00D043E6"/>
    <w:rsid w:val="00D0595F"/>
    <w:rsid w:val="00D1171A"/>
    <w:rsid w:val="00D31037"/>
    <w:rsid w:val="00D5148E"/>
    <w:rsid w:val="00D619C9"/>
    <w:rsid w:val="00D7123C"/>
    <w:rsid w:val="00D73775"/>
    <w:rsid w:val="00D74987"/>
    <w:rsid w:val="00D8035E"/>
    <w:rsid w:val="00D817B3"/>
    <w:rsid w:val="00D96FDE"/>
    <w:rsid w:val="00D97F98"/>
    <w:rsid w:val="00DB21BF"/>
    <w:rsid w:val="00DB3802"/>
    <w:rsid w:val="00DC080D"/>
    <w:rsid w:val="00DC47A8"/>
    <w:rsid w:val="00DC55C5"/>
    <w:rsid w:val="00DC7972"/>
    <w:rsid w:val="00DD6A97"/>
    <w:rsid w:val="00DD6F72"/>
    <w:rsid w:val="00E02CC2"/>
    <w:rsid w:val="00E15782"/>
    <w:rsid w:val="00E15F72"/>
    <w:rsid w:val="00E228FC"/>
    <w:rsid w:val="00E32222"/>
    <w:rsid w:val="00E655B8"/>
    <w:rsid w:val="00E80A74"/>
    <w:rsid w:val="00E87580"/>
    <w:rsid w:val="00E92BE4"/>
    <w:rsid w:val="00E93032"/>
    <w:rsid w:val="00E959C6"/>
    <w:rsid w:val="00E979E1"/>
    <w:rsid w:val="00EA37B8"/>
    <w:rsid w:val="00EB15AB"/>
    <w:rsid w:val="00EB4507"/>
    <w:rsid w:val="00EB6B59"/>
    <w:rsid w:val="00EC7FC9"/>
    <w:rsid w:val="00ED0E9A"/>
    <w:rsid w:val="00EE3E78"/>
    <w:rsid w:val="00EF233D"/>
    <w:rsid w:val="00EF688B"/>
    <w:rsid w:val="00F018FF"/>
    <w:rsid w:val="00F07508"/>
    <w:rsid w:val="00F227DE"/>
    <w:rsid w:val="00F2468A"/>
    <w:rsid w:val="00F3441F"/>
    <w:rsid w:val="00F4504F"/>
    <w:rsid w:val="00F46EE4"/>
    <w:rsid w:val="00F5315D"/>
    <w:rsid w:val="00F61B5F"/>
    <w:rsid w:val="00F70EAA"/>
    <w:rsid w:val="00F73D6E"/>
    <w:rsid w:val="00F74B7F"/>
    <w:rsid w:val="00F8090C"/>
    <w:rsid w:val="00F87466"/>
    <w:rsid w:val="00F9543D"/>
    <w:rsid w:val="00FC21E7"/>
    <w:rsid w:val="00FC6270"/>
    <w:rsid w:val="00FC7CD9"/>
    <w:rsid w:val="00FE2411"/>
    <w:rsid w:val="00FE7627"/>
    <w:rsid w:val="00FF0B61"/>
    <w:rsid w:val="2B1380EC"/>
    <w:rsid w:val="478F1CEC"/>
    <w:rsid w:val="5EA6F1D7"/>
    <w:rsid w:val="6C34D85B"/>
    <w:rsid w:val="7C8F0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20A1E7EC-D5CE-2649-93CB-ED3E773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Heading2"/>
    <w:next w:val="Normal"/>
    <w:link w:val="Heading1Char"/>
    <w:uiPriority w:val="9"/>
    <w:qFormat/>
    <w:rsid w:val="00C228B2"/>
    <w:pPr>
      <w:outlineLvl w:val="0"/>
    </w:pPr>
    <w:rPr>
      <w:b/>
      <w:bCs/>
      <w:u w:val="none"/>
    </w:rPr>
  </w:style>
  <w:style w:type="paragraph" w:styleId="Heading2">
    <w:name w:val="heading 2"/>
    <w:basedOn w:val="Normal"/>
    <w:next w:val="Normal"/>
    <w:link w:val="Heading2Char"/>
    <w:uiPriority w:val="9"/>
    <w:unhideWhenUsed/>
    <w:qFormat/>
    <w:rsid w:val="00963EEB"/>
    <w:pPr>
      <w:keepNext/>
      <w:keepLines/>
      <w:spacing w:before="40" w:after="0"/>
      <w:outlineLvl w:val="1"/>
    </w:pPr>
    <w:rPr>
      <w:rFonts w:eastAsiaTheme="majorEastAsia" w:cs="Arial"/>
      <w:szCs w:val="20"/>
      <w:u w:val="single"/>
    </w:rPr>
  </w:style>
  <w:style w:type="paragraph" w:styleId="Heading3">
    <w:name w:val="heading 3"/>
    <w:basedOn w:val="Heading2"/>
    <w:next w:val="Normal"/>
    <w:link w:val="Heading3Char"/>
    <w:uiPriority w:val="9"/>
    <w:unhideWhenUsed/>
    <w:qFormat/>
    <w:rsid w:val="001A0E75"/>
    <w:pPr>
      <w:numPr>
        <w:numId w:val="4"/>
      </w:numPr>
      <w:ind w:left="70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FootnoteText">
    <w:name w:val="footnote text"/>
    <w:basedOn w:val="Normal"/>
    <w:link w:val="FootnoteTextChar"/>
    <w:uiPriority w:val="99"/>
    <w:semiHidden/>
    <w:unhideWhenUsed/>
    <w:rsid w:val="00A54955"/>
    <w:pPr>
      <w:spacing w:after="0" w:line="240" w:lineRule="auto"/>
    </w:pPr>
    <w:rPr>
      <w:szCs w:val="20"/>
    </w:rPr>
  </w:style>
  <w:style w:type="character" w:customStyle="1" w:styleId="FootnoteTextChar">
    <w:name w:val="Footnote Text Char"/>
    <w:basedOn w:val="DefaultParagraphFont"/>
    <w:link w:val="FootnoteText"/>
    <w:uiPriority w:val="99"/>
    <w:semiHidden/>
    <w:rsid w:val="00A54955"/>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A54955"/>
    <w:rPr>
      <w:vertAlign w:val="superscript"/>
    </w:rPr>
  </w:style>
  <w:style w:type="character" w:styleId="Hyperlink">
    <w:name w:val="Hyperlink"/>
    <w:basedOn w:val="DefaultParagraphFont"/>
    <w:uiPriority w:val="99"/>
    <w:unhideWhenUsed/>
    <w:rsid w:val="00E15F72"/>
    <w:rPr>
      <w:color w:val="0000FF"/>
      <w:u w:val="single"/>
    </w:rPr>
  </w:style>
  <w:style w:type="character" w:styleId="UnresolvedMention">
    <w:name w:val="Unresolved Mention"/>
    <w:basedOn w:val="DefaultParagraphFont"/>
    <w:uiPriority w:val="99"/>
    <w:semiHidden/>
    <w:unhideWhenUsed/>
    <w:rsid w:val="004F672D"/>
    <w:rPr>
      <w:color w:val="605E5C"/>
      <w:shd w:val="clear" w:color="auto" w:fill="E1DFDD"/>
    </w:rPr>
  </w:style>
  <w:style w:type="paragraph" w:styleId="ListParagraph">
    <w:name w:val="List Paragraph"/>
    <w:basedOn w:val="Normal"/>
    <w:uiPriority w:val="34"/>
    <w:qFormat/>
    <w:rsid w:val="00AE3556"/>
    <w:pPr>
      <w:ind w:left="720"/>
      <w:contextualSpacing/>
    </w:pPr>
  </w:style>
  <w:style w:type="paragraph" w:customStyle="1" w:styleId="Default">
    <w:name w:val="Default"/>
    <w:rsid w:val="00CF28B4"/>
    <w:pPr>
      <w:autoSpaceDE w:val="0"/>
      <w:autoSpaceDN w:val="0"/>
      <w:adjustRightInd w:val="0"/>
    </w:pPr>
    <w:rPr>
      <w:rFonts w:cs="Arial"/>
      <w:color w:val="000000"/>
    </w:rPr>
  </w:style>
  <w:style w:type="character" w:customStyle="1" w:styleId="Heading1Char">
    <w:name w:val="Heading 1 Char"/>
    <w:basedOn w:val="DefaultParagraphFont"/>
    <w:link w:val="Heading1"/>
    <w:uiPriority w:val="9"/>
    <w:rsid w:val="00C228B2"/>
    <w:rPr>
      <w:rFonts w:eastAsiaTheme="majorEastAsia" w:cs="Arial"/>
      <w:b/>
      <w:bCs/>
      <w:color w:val="000000" w:themeColor="text1"/>
      <w:sz w:val="20"/>
      <w:szCs w:val="20"/>
      <w:lang w:eastAsia="en-GB"/>
    </w:rPr>
  </w:style>
  <w:style w:type="character" w:customStyle="1" w:styleId="Heading2Char">
    <w:name w:val="Heading 2 Char"/>
    <w:basedOn w:val="DefaultParagraphFont"/>
    <w:link w:val="Heading2"/>
    <w:uiPriority w:val="9"/>
    <w:rsid w:val="00963EEB"/>
    <w:rPr>
      <w:rFonts w:eastAsiaTheme="majorEastAsia" w:cs="Arial"/>
      <w:color w:val="000000" w:themeColor="text1"/>
      <w:sz w:val="20"/>
      <w:szCs w:val="20"/>
      <w:u w:val="single"/>
      <w:lang w:eastAsia="en-GB"/>
    </w:rPr>
  </w:style>
  <w:style w:type="character" w:styleId="FollowedHyperlink">
    <w:name w:val="FollowedHyperlink"/>
    <w:basedOn w:val="DefaultParagraphFont"/>
    <w:uiPriority w:val="99"/>
    <w:semiHidden/>
    <w:unhideWhenUsed/>
    <w:rsid w:val="00C91C37"/>
    <w:rPr>
      <w:color w:val="954F72" w:themeColor="followedHyperlink"/>
      <w:u w:val="single"/>
    </w:rPr>
  </w:style>
  <w:style w:type="paragraph" w:styleId="Revision">
    <w:name w:val="Revision"/>
    <w:hidden/>
    <w:uiPriority w:val="99"/>
    <w:semiHidden/>
    <w:rsid w:val="002E0591"/>
    <w:rPr>
      <w:rFonts w:eastAsiaTheme="minorEastAsia" w:cstheme="minorBidi"/>
      <w:color w:val="000000" w:themeColor="text1"/>
      <w:sz w:val="20"/>
      <w:lang w:eastAsia="en-GB"/>
    </w:rPr>
  </w:style>
  <w:style w:type="character" w:customStyle="1" w:styleId="Heading3Char">
    <w:name w:val="Heading 3 Char"/>
    <w:basedOn w:val="DefaultParagraphFont"/>
    <w:link w:val="Heading3"/>
    <w:uiPriority w:val="9"/>
    <w:rsid w:val="001A0E75"/>
    <w:rPr>
      <w:rFonts w:eastAsiaTheme="majorEastAsia" w:cs="Arial"/>
      <w:color w:val="000000" w:themeColor="text1"/>
      <w:sz w:val="20"/>
      <w:szCs w:val="20"/>
      <w:u w:val="single"/>
      <w:lang w:eastAsia="en-GB"/>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eastAsiaTheme="minorEastAsia" w:cstheme="minorBidi"/>
      <w:color w:val="000000" w:themeColor="text1"/>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153">
      <w:bodyDiv w:val="1"/>
      <w:marLeft w:val="0"/>
      <w:marRight w:val="0"/>
      <w:marTop w:val="0"/>
      <w:marBottom w:val="0"/>
      <w:divBdr>
        <w:top w:val="none" w:sz="0" w:space="0" w:color="auto"/>
        <w:left w:val="none" w:sz="0" w:space="0" w:color="auto"/>
        <w:bottom w:val="none" w:sz="0" w:space="0" w:color="auto"/>
        <w:right w:val="none" w:sz="0" w:space="0" w:color="auto"/>
      </w:divBdr>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491682317">
      <w:bodyDiv w:val="1"/>
      <w:marLeft w:val="0"/>
      <w:marRight w:val="0"/>
      <w:marTop w:val="0"/>
      <w:marBottom w:val="0"/>
      <w:divBdr>
        <w:top w:val="none" w:sz="0" w:space="0" w:color="auto"/>
        <w:left w:val="none" w:sz="0" w:space="0" w:color="auto"/>
        <w:bottom w:val="none" w:sz="0" w:space="0" w:color="auto"/>
        <w:right w:val="none" w:sz="0" w:space="0" w:color="auto"/>
      </w:divBdr>
    </w:div>
    <w:div w:id="613908215">
      <w:bodyDiv w:val="1"/>
      <w:marLeft w:val="0"/>
      <w:marRight w:val="0"/>
      <w:marTop w:val="0"/>
      <w:marBottom w:val="0"/>
      <w:divBdr>
        <w:top w:val="none" w:sz="0" w:space="0" w:color="auto"/>
        <w:left w:val="none" w:sz="0" w:space="0" w:color="auto"/>
        <w:bottom w:val="none" w:sz="0" w:space="0" w:color="auto"/>
        <w:right w:val="none" w:sz="0" w:space="0" w:color="auto"/>
      </w:divBdr>
    </w:div>
    <w:div w:id="703554417">
      <w:bodyDiv w:val="1"/>
      <w:marLeft w:val="0"/>
      <w:marRight w:val="0"/>
      <w:marTop w:val="0"/>
      <w:marBottom w:val="0"/>
      <w:divBdr>
        <w:top w:val="none" w:sz="0" w:space="0" w:color="auto"/>
        <w:left w:val="none" w:sz="0" w:space="0" w:color="auto"/>
        <w:bottom w:val="none" w:sz="0" w:space="0" w:color="auto"/>
        <w:right w:val="none" w:sz="0" w:space="0" w:color="auto"/>
      </w:divBdr>
    </w:div>
    <w:div w:id="715198236">
      <w:bodyDiv w:val="1"/>
      <w:marLeft w:val="0"/>
      <w:marRight w:val="0"/>
      <w:marTop w:val="0"/>
      <w:marBottom w:val="0"/>
      <w:divBdr>
        <w:top w:val="none" w:sz="0" w:space="0" w:color="auto"/>
        <w:left w:val="none" w:sz="0" w:space="0" w:color="auto"/>
        <w:bottom w:val="none" w:sz="0" w:space="0" w:color="auto"/>
        <w:right w:val="none" w:sz="0" w:space="0" w:color="auto"/>
      </w:divBdr>
    </w:div>
    <w:div w:id="749156045">
      <w:bodyDiv w:val="1"/>
      <w:marLeft w:val="0"/>
      <w:marRight w:val="0"/>
      <w:marTop w:val="0"/>
      <w:marBottom w:val="0"/>
      <w:divBdr>
        <w:top w:val="none" w:sz="0" w:space="0" w:color="auto"/>
        <w:left w:val="none" w:sz="0" w:space="0" w:color="auto"/>
        <w:bottom w:val="none" w:sz="0" w:space="0" w:color="auto"/>
        <w:right w:val="none" w:sz="0" w:space="0" w:color="auto"/>
      </w:divBdr>
    </w:div>
    <w:div w:id="889346681">
      <w:bodyDiv w:val="1"/>
      <w:marLeft w:val="0"/>
      <w:marRight w:val="0"/>
      <w:marTop w:val="0"/>
      <w:marBottom w:val="0"/>
      <w:divBdr>
        <w:top w:val="none" w:sz="0" w:space="0" w:color="auto"/>
        <w:left w:val="none" w:sz="0" w:space="0" w:color="auto"/>
        <w:bottom w:val="none" w:sz="0" w:space="0" w:color="auto"/>
        <w:right w:val="none" w:sz="0" w:space="0" w:color="auto"/>
      </w:divBdr>
    </w:div>
    <w:div w:id="1021054386">
      <w:bodyDiv w:val="1"/>
      <w:marLeft w:val="0"/>
      <w:marRight w:val="0"/>
      <w:marTop w:val="0"/>
      <w:marBottom w:val="0"/>
      <w:divBdr>
        <w:top w:val="none" w:sz="0" w:space="0" w:color="auto"/>
        <w:left w:val="none" w:sz="0" w:space="0" w:color="auto"/>
        <w:bottom w:val="none" w:sz="0" w:space="0" w:color="auto"/>
        <w:right w:val="none" w:sz="0" w:space="0" w:color="auto"/>
      </w:divBdr>
    </w:div>
    <w:div w:id="1068921853">
      <w:bodyDiv w:val="1"/>
      <w:marLeft w:val="0"/>
      <w:marRight w:val="0"/>
      <w:marTop w:val="0"/>
      <w:marBottom w:val="0"/>
      <w:divBdr>
        <w:top w:val="none" w:sz="0" w:space="0" w:color="auto"/>
        <w:left w:val="none" w:sz="0" w:space="0" w:color="auto"/>
        <w:bottom w:val="none" w:sz="0" w:space="0" w:color="auto"/>
        <w:right w:val="none" w:sz="0" w:space="0" w:color="auto"/>
      </w:divBdr>
    </w:div>
    <w:div w:id="1208957540">
      <w:bodyDiv w:val="1"/>
      <w:marLeft w:val="0"/>
      <w:marRight w:val="0"/>
      <w:marTop w:val="0"/>
      <w:marBottom w:val="0"/>
      <w:divBdr>
        <w:top w:val="none" w:sz="0" w:space="0" w:color="auto"/>
        <w:left w:val="none" w:sz="0" w:space="0" w:color="auto"/>
        <w:bottom w:val="none" w:sz="0" w:space="0" w:color="auto"/>
        <w:right w:val="none" w:sz="0" w:space="0" w:color="auto"/>
      </w:divBdr>
    </w:div>
    <w:div w:id="1390955508">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987202914">
      <w:bodyDiv w:val="1"/>
      <w:marLeft w:val="0"/>
      <w:marRight w:val="0"/>
      <w:marTop w:val="0"/>
      <w:marBottom w:val="0"/>
      <w:divBdr>
        <w:top w:val="none" w:sz="0" w:space="0" w:color="auto"/>
        <w:left w:val="none" w:sz="0" w:space="0" w:color="auto"/>
        <w:bottom w:val="none" w:sz="0" w:space="0" w:color="auto"/>
        <w:right w:val="none" w:sz="0" w:space="0" w:color="auto"/>
      </w:divBdr>
    </w:div>
    <w:div w:id="20222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liament.act.gov.au/__data/assets/pdf_file/0007/2267044/4_Review-of-Embedded-Networks-Appendix-E-Stakeholder-Consultation-Outcomes-Repor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act.gov.au/__data/assets/pdf_file/0003/2267040/4_Review-of-Embedded-Networks-in-the-AC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19-10-30/embedded-electricity-networks-energy-customers-paying-too-much/11653730" TargetMode="External"/><Relationship Id="rId2" Type="http://schemas.openxmlformats.org/officeDocument/2006/relationships/hyperlink" Target="https://www.aemc.gov.au/market-reviews-advice/updating-regulatory-frameworks-embedded-networks" TargetMode="External"/><Relationship Id="rId1" Type="http://schemas.openxmlformats.org/officeDocument/2006/relationships/hyperlink" Target="https://www.aemc.gov.au/markets-reviews-advice/review-of-regulatory-arrangements-for-embedde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9" ma:contentTypeDescription="Create a new document." ma:contentTypeScope="" ma:versionID="9c8b7b1fdc361d3dcf2948500280a029">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a5c74869ff59dc946419127d19f84f1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Props1.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2.xml><?xml version="1.0" encoding="utf-8"?>
<ds:datastoreItem xmlns:ds="http://schemas.openxmlformats.org/officeDocument/2006/customXml" ds:itemID="{9AE5448F-C13F-4140-A805-0EF4720957C3}"/>
</file>

<file path=customXml/itemProps3.xml><?xml version="1.0" encoding="utf-8"?>
<ds:datastoreItem xmlns:ds="http://schemas.openxmlformats.org/officeDocument/2006/customXml" ds:itemID="{D960FEA4-33E2-4348-9104-55D80549D91A}">
  <ds:schemaRefs>
    <ds:schemaRef ds:uri="http://schemas.openxmlformats.org/officeDocument/2006/bibliography"/>
  </ds:schemaRefs>
</ds:datastoreItem>
</file>

<file path=customXml/itemProps4.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2</cp:revision>
  <cp:lastPrinted>2024-02-12T04:55:00Z</cp:lastPrinted>
  <dcterms:created xsi:type="dcterms:W3CDTF">2024-02-12T05:13:00Z</dcterms:created>
  <dcterms:modified xsi:type="dcterms:W3CDTF">2024-02-12T05:13:00Z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