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2C1480" w14:textId="48CE1360" w:rsidR="00435991" w:rsidRPr="00435991" w:rsidRDefault="00556530" w:rsidP="00435991">
      <w:pPr>
        <w:spacing w:after="0"/>
        <w:ind w:right="-8"/>
        <w:rPr>
          <w:rFonts w:cs="Arial"/>
          <w:szCs w:val="20"/>
        </w:rPr>
      </w:pPr>
      <w:r>
        <w:rPr>
          <w:rFonts w:cs="Arial"/>
          <w:szCs w:val="20"/>
        </w:rPr>
        <w:t>Senate Standing Committee on Economics</w:t>
      </w:r>
    </w:p>
    <w:p w14:paraId="12E80DA9" w14:textId="79770223" w:rsidR="00556530" w:rsidRDefault="00556530" w:rsidP="00435991">
      <w:pPr>
        <w:spacing w:after="0"/>
        <w:ind w:right="-8"/>
        <w:rPr>
          <w:rFonts w:cs="Arial"/>
          <w:szCs w:val="20"/>
        </w:rPr>
      </w:pPr>
      <w:r>
        <w:rPr>
          <w:rFonts w:cs="Arial"/>
          <w:szCs w:val="20"/>
        </w:rPr>
        <w:t>Parliament House</w:t>
      </w:r>
    </w:p>
    <w:p w14:paraId="5F1D1F0C" w14:textId="250DFBE7" w:rsidR="00556530" w:rsidRPr="00556530" w:rsidRDefault="00556530" w:rsidP="00556530">
      <w:pPr>
        <w:spacing w:after="20"/>
        <w:ind w:right="-8"/>
        <w:rPr>
          <w:rFonts w:cs="Arial"/>
          <w:szCs w:val="20"/>
        </w:rPr>
      </w:pPr>
      <w:r>
        <w:rPr>
          <w:rFonts w:cs="Arial"/>
          <w:szCs w:val="20"/>
        </w:rPr>
        <w:t>Canberra ACT 2600</w:t>
      </w:r>
    </w:p>
    <w:p w14:paraId="7F8F18A9" w14:textId="77777777" w:rsidR="00435991" w:rsidRDefault="00212119" w:rsidP="00435991">
      <w:hyperlink r:id="rId11" w:history="1">
        <w:r w:rsidR="00435991" w:rsidRPr="00435991">
          <w:rPr>
            <w:rStyle w:val="Hyperlink"/>
          </w:rPr>
          <w:t>economics.sen@aph.gov.au</w:t>
        </w:r>
      </w:hyperlink>
      <w:r w:rsidR="00435991">
        <w:t xml:space="preserve"> </w:t>
      </w:r>
    </w:p>
    <w:p w14:paraId="79688623" w14:textId="7CAECA9F" w:rsidR="00F76113" w:rsidRDefault="00435991" w:rsidP="00556530">
      <w:pPr>
        <w:spacing w:before="360"/>
        <w:rPr>
          <w:rFonts w:cs="Arial"/>
          <w:szCs w:val="20"/>
        </w:rPr>
      </w:pPr>
      <w:r>
        <w:t>9 August 2024</w:t>
      </w:r>
    </w:p>
    <w:p w14:paraId="2E7FBBAB" w14:textId="77777777" w:rsidR="00435991" w:rsidRPr="009903E4" w:rsidRDefault="00435991" w:rsidP="00435991">
      <w:pPr>
        <w:rPr>
          <w:rFonts w:cs="Arial"/>
          <w:szCs w:val="20"/>
        </w:rPr>
      </w:pPr>
    </w:p>
    <w:p w14:paraId="39EEE174" w14:textId="77777777" w:rsidR="00F76113" w:rsidRDefault="00F76113" w:rsidP="00F76113">
      <w:pPr>
        <w:rPr>
          <w:rFonts w:cs="Arial"/>
          <w:szCs w:val="20"/>
        </w:rPr>
      </w:pPr>
      <w:r>
        <w:rPr>
          <w:rFonts w:cs="Arial"/>
          <w:szCs w:val="20"/>
        </w:rPr>
        <w:t>Dear Secretariat,</w:t>
      </w:r>
    </w:p>
    <w:p w14:paraId="1C4BF8FB" w14:textId="0DC48FD2" w:rsidR="00F76113" w:rsidRPr="00906A2B" w:rsidRDefault="00F76113" w:rsidP="00F76113">
      <w:pPr>
        <w:rPr>
          <w:b/>
          <w:bCs/>
          <w:i/>
          <w:iCs/>
          <w:sz w:val="22"/>
          <w:szCs w:val="22"/>
        </w:rPr>
      </w:pPr>
      <w:r w:rsidRPr="00906A2B">
        <w:rPr>
          <w:b/>
          <w:bCs/>
          <w:i/>
          <w:iCs/>
          <w:sz w:val="22"/>
          <w:szCs w:val="22"/>
        </w:rPr>
        <w:t xml:space="preserve">RE: </w:t>
      </w:r>
      <w:r w:rsidR="00435991">
        <w:rPr>
          <w:b/>
          <w:bCs/>
          <w:i/>
          <w:iCs/>
          <w:sz w:val="22"/>
          <w:szCs w:val="22"/>
        </w:rPr>
        <w:t>S</w:t>
      </w:r>
      <w:r w:rsidRPr="00906A2B">
        <w:rPr>
          <w:b/>
          <w:bCs/>
          <w:i/>
          <w:iCs/>
          <w:sz w:val="22"/>
          <w:szCs w:val="22"/>
        </w:rPr>
        <w:t xml:space="preserve">ubmission to </w:t>
      </w:r>
      <w:r w:rsidR="00435991">
        <w:rPr>
          <w:b/>
          <w:bCs/>
          <w:i/>
          <w:iCs/>
          <w:sz w:val="22"/>
          <w:szCs w:val="22"/>
        </w:rPr>
        <w:t>Inquiry into the National Housing and Homelessness Plan</w:t>
      </w:r>
      <w:r w:rsidR="00556530">
        <w:rPr>
          <w:b/>
          <w:bCs/>
          <w:i/>
          <w:iCs/>
          <w:sz w:val="22"/>
          <w:szCs w:val="22"/>
        </w:rPr>
        <w:t xml:space="preserve"> Bill 2024 (No. 2)</w:t>
      </w:r>
    </w:p>
    <w:p w14:paraId="299B86DB" w14:textId="77777777" w:rsidR="00F76113" w:rsidRDefault="00F76113" w:rsidP="00F76113">
      <w:pPr>
        <w:rPr>
          <w:rFonts w:cs="Arial"/>
          <w:szCs w:val="20"/>
        </w:rPr>
      </w:pPr>
      <w:r w:rsidRPr="00C45F39">
        <w:rPr>
          <w:rFonts w:cs="Arial"/>
          <w:szCs w:val="20"/>
        </w:rPr>
        <w:t>The ACT Council of Social Service (ACTCOSS) advocates for social justice in the ACT and is the peak body representing not-for-profit community organisations.</w:t>
      </w:r>
      <w:r>
        <w:rPr>
          <w:rFonts w:cs="Arial"/>
          <w:szCs w:val="20"/>
        </w:rPr>
        <w:t xml:space="preserve"> We work collaboratively with organisations and individuals to create a collective voice, advocating for positive social change, justice, and self-determination for Aboriginal and Torres Strait Islander peoples. Our vision is for an inclusive Canberra where no one lives in poverty.</w:t>
      </w:r>
    </w:p>
    <w:p w14:paraId="4E9158F3" w14:textId="77777777" w:rsidR="00F76113" w:rsidRDefault="00F76113" w:rsidP="00F76113">
      <w:pPr>
        <w:spacing w:after="360" w:line="240" w:lineRule="auto"/>
        <w:rPr>
          <w:rFonts w:cs="Arial"/>
          <w:szCs w:val="20"/>
        </w:rPr>
      </w:pPr>
      <w:r>
        <w:rPr>
          <w:rFonts w:cs="Arial"/>
          <w:szCs w:val="20"/>
        </w:rPr>
        <w:t xml:space="preserve">ACTCOSS welcomes the opportunity to provide a submission to this Inquiry. Our submission is provided </w:t>
      </w:r>
      <w:proofErr w:type="gramStart"/>
      <w:r>
        <w:rPr>
          <w:rFonts w:cs="Arial"/>
          <w:szCs w:val="20"/>
        </w:rPr>
        <w:t>below</w:t>
      </w:r>
      <w:proofErr w:type="gramEnd"/>
      <w:r>
        <w:rPr>
          <w:rFonts w:cs="Arial"/>
          <w:szCs w:val="20"/>
        </w:rPr>
        <w:t xml:space="preserve"> and we would welcome the opportunity of providing further information or explanation in writing or in person.</w:t>
      </w:r>
    </w:p>
    <w:p w14:paraId="390E3081" w14:textId="124F86E0" w:rsidR="00F76113" w:rsidRDefault="00F76113" w:rsidP="00F76113">
      <w:pPr>
        <w:pStyle w:val="Heading2"/>
        <w:rPr>
          <w:rFonts w:eastAsia="Times New Roman"/>
          <w:lang w:val="en-GB" w:eastAsia="en-AU"/>
        </w:rPr>
      </w:pPr>
      <w:r w:rsidRPr="007B4D7E">
        <w:rPr>
          <w:rFonts w:eastAsia="Times New Roman"/>
          <w:lang w:val="en-GB" w:eastAsia="en-AU"/>
        </w:rPr>
        <w:t>Summary</w:t>
      </w:r>
    </w:p>
    <w:p w14:paraId="274B2E4A" w14:textId="044D021C" w:rsidR="001A4DA3" w:rsidRDefault="006812AD">
      <w:pPr>
        <w:spacing w:after="160" w:line="278" w:lineRule="auto"/>
      </w:pPr>
      <w:r>
        <w:t xml:space="preserve">Government </w:t>
      </w:r>
      <w:r w:rsidR="008C2C4D">
        <w:t xml:space="preserve">housing </w:t>
      </w:r>
      <w:r>
        <w:t xml:space="preserve">policy needs to </w:t>
      </w:r>
      <w:r w:rsidR="00AA6073">
        <w:t xml:space="preserve">transcend </w:t>
      </w:r>
      <w:r w:rsidR="009E57D4">
        <w:t>issues management</w:t>
      </w:r>
      <w:r w:rsidR="008C2C4D">
        <w:t xml:space="preserve">, </w:t>
      </w:r>
      <w:r w:rsidR="00C511B6">
        <w:t>performative politics</w:t>
      </w:r>
      <w:r w:rsidR="005C1E52">
        <w:t xml:space="preserve">, </w:t>
      </w:r>
      <w:r w:rsidR="00666115">
        <w:t xml:space="preserve">and the </w:t>
      </w:r>
      <w:r w:rsidR="004D7E7F">
        <w:t xml:space="preserve">convenient </w:t>
      </w:r>
      <w:r w:rsidR="00672EDE">
        <w:t xml:space="preserve">untruth </w:t>
      </w:r>
      <w:r w:rsidR="00C52ED5">
        <w:t xml:space="preserve">that </w:t>
      </w:r>
      <w:r w:rsidR="00B52D5C">
        <w:t xml:space="preserve">the responsibility for solving </w:t>
      </w:r>
      <w:r w:rsidR="00AE4133">
        <w:t xml:space="preserve">complex, intractable problems </w:t>
      </w:r>
      <w:r w:rsidR="00B52D5C">
        <w:t xml:space="preserve">can </w:t>
      </w:r>
      <w:r w:rsidR="00AE4133">
        <w:t>be safely</w:t>
      </w:r>
      <w:r w:rsidR="00F15882">
        <w:t xml:space="preserve"> left</w:t>
      </w:r>
      <w:r w:rsidR="008A1885">
        <w:t xml:space="preserve"> </w:t>
      </w:r>
      <w:r w:rsidR="008E2DC5">
        <w:t xml:space="preserve">to </w:t>
      </w:r>
      <w:r w:rsidR="00417F5B">
        <w:t>market</w:t>
      </w:r>
      <w:r w:rsidR="003A7EDF">
        <w:t xml:space="preserve"> forces.</w:t>
      </w:r>
      <w:r w:rsidR="00C25DAB">
        <w:t xml:space="preserve"> </w:t>
      </w:r>
      <w:r w:rsidR="00BA642E">
        <w:t xml:space="preserve"> </w:t>
      </w:r>
      <w:r w:rsidR="002B0D34">
        <w:t>Housing</w:t>
      </w:r>
      <w:r w:rsidR="00DC48E2">
        <w:t xml:space="preserve"> is too important for that</w:t>
      </w:r>
      <w:r w:rsidR="002E64FC">
        <w:t>.</w:t>
      </w:r>
      <w:r w:rsidR="002B0D34">
        <w:t xml:space="preserve"> </w:t>
      </w:r>
    </w:p>
    <w:p w14:paraId="4C7394FB" w14:textId="146C50C8" w:rsidR="00E625DA" w:rsidRDefault="00E625DA" w:rsidP="00E625DA">
      <w:pPr>
        <w:spacing w:after="160" w:line="278" w:lineRule="auto"/>
        <w:ind w:left="720"/>
        <w:rPr>
          <w:sz w:val="18"/>
          <w:szCs w:val="18"/>
        </w:rPr>
      </w:pPr>
      <w:r w:rsidRPr="009035F2">
        <w:rPr>
          <w:sz w:val="18"/>
          <w:szCs w:val="18"/>
        </w:rPr>
        <w:t>Access to safe, adequate housing is central to the health and wellbeing of individuals and families. Secure and affordable housing is the basis for social connectedness and a contributor to the social determinants of health and wellbeing.</w:t>
      </w:r>
      <w:r>
        <w:rPr>
          <w:rStyle w:val="FootnoteReference"/>
          <w:sz w:val="18"/>
          <w:szCs w:val="18"/>
        </w:rPr>
        <w:footnoteReference w:id="2"/>
      </w:r>
    </w:p>
    <w:p w14:paraId="548C3CCB" w14:textId="3F74BBD1" w:rsidR="00EE4779" w:rsidRDefault="00EE4779" w:rsidP="00EE4779">
      <w:pPr>
        <w:spacing w:after="0"/>
        <w:ind w:right="-8"/>
        <w:rPr>
          <w:rFonts w:cs="Arial"/>
          <w:szCs w:val="20"/>
        </w:rPr>
      </w:pPr>
      <w:r>
        <w:rPr>
          <w:lang w:val="en-GB" w:eastAsia="en-AU"/>
        </w:rPr>
        <w:t xml:space="preserve">ACTCOSS strongly urges the Federal Parliament to pass the </w:t>
      </w:r>
      <w:r w:rsidRPr="005F6847">
        <w:rPr>
          <w:rFonts w:cs="Arial"/>
          <w:i/>
          <w:iCs/>
          <w:szCs w:val="20"/>
        </w:rPr>
        <w:t>National Housing and Homelessness Plan Bill 2024 (No. 2)</w:t>
      </w:r>
      <w:r>
        <w:rPr>
          <w:rFonts w:cs="Arial"/>
          <w:i/>
          <w:iCs/>
          <w:szCs w:val="20"/>
        </w:rPr>
        <w:t xml:space="preserve">, </w:t>
      </w:r>
      <w:r>
        <w:rPr>
          <w:rFonts w:cs="Arial"/>
          <w:szCs w:val="20"/>
        </w:rPr>
        <w:t xml:space="preserve">as we support its underlying intent, and believe that its implementation would produce, within the requisite human rights framework, the mission-oriented strategy urgently needed to address the crisis in housing affordability and rising homelessness. </w:t>
      </w:r>
    </w:p>
    <w:p w14:paraId="19BC9C24" w14:textId="77777777" w:rsidR="004B56F0" w:rsidRDefault="004B56F0" w:rsidP="00EE4779">
      <w:pPr>
        <w:spacing w:after="0"/>
        <w:ind w:right="-8"/>
        <w:rPr>
          <w:rFonts w:cs="Arial"/>
          <w:szCs w:val="20"/>
        </w:rPr>
      </w:pPr>
    </w:p>
    <w:p w14:paraId="7C13A463" w14:textId="2AC113E8" w:rsidR="004B56F0" w:rsidRDefault="004B56F0" w:rsidP="00EE4779">
      <w:pPr>
        <w:spacing w:after="0"/>
        <w:ind w:right="-8"/>
        <w:rPr>
          <w:rFonts w:cs="Arial"/>
          <w:szCs w:val="20"/>
        </w:rPr>
      </w:pPr>
      <w:r>
        <w:rPr>
          <w:rFonts w:cs="Arial"/>
          <w:szCs w:val="20"/>
        </w:rPr>
        <w:t>The rationale for supporting the Bill is set out below.</w:t>
      </w:r>
    </w:p>
    <w:p w14:paraId="0457096F" w14:textId="77777777" w:rsidR="00C32BEA" w:rsidRDefault="00C32BEA" w:rsidP="00EE4779">
      <w:pPr>
        <w:spacing w:after="0"/>
        <w:ind w:right="-8"/>
        <w:rPr>
          <w:sz w:val="18"/>
          <w:szCs w:val="18"/>
        </w:rPr>
      </w:pPr>
    </w:p>
    <w:p w14:paraId="21372F1F" w14:textId="77777777" w:rsidR="00C553E0" w:rsidRDefault="00C553E0" w:rsidP="00EE4779">
      <w:pPr>
        <w:spacing w:after="0"/>
        <w:ind w:right="-8"/>
        <w:rPr>
          <w:sz w:val="18"/>
          <w:szCs w:val="18"/>
        </w:rPr>
      </w:pPr>
    </w:p>
    <w:p w14:paraId="6B94C964" w14:textId="77777777" w:rsidR="00C553E0" w:rsidRPr="009035F2" w:rsidRDefault="00C553E0" w:rsidP="00EE4779">
      <w:pPr>
        <w:spacing w:after="0"/>
        <w:ind w:right="-8"/>
        <w:rPr>
          <w:sz w:val="18"/>
          <w:szCs w:val="18"/>
        </w:rPr>
      </w:pPr>
    </w:p>
    <w:p w14:paraId="02641A81" w14:textId="43426546" w:rsidR="00A03C7F" w:rsidRDefault="00A03C7F" w:rsidP="00E048BA">
      <w:pPr>
        <w:pStyle w:val="Heading3"/>
      </w:pPr>
      <w:r>
        <w:lastRenderedPageBreak/>
        <w:t>A framework for coordination</w:t>
      </w:r>
    </w:p>
    <w:p w14:paraId="19160B38" w14:textId="3BE251E4" w:rsidR="00E33EA7" w:rsidRDefault="00E33EA7" w:rsidP="00A03C7F">
      <w:r>
        <w:t xml:space="preserve">There is currently no lead Australian government agency to coordinate housing-related policy and programs undertaken by different government agencies, nor is there an overarching long-term plan or governance mechanism to guide coordination across different levels of government. </w:t>
      </w:r>
      <w:proofErr w:type="gramStart"/>
      <w:r>
        <w:t>As a consequence</w:t>
      </w:r>
      <w:proofErr w:type="gramEnd"/>
      <w:r>
        <w:t xml:space="preserve">, responsibility for housing policy making is </w:t>
      </w:r>
      <w:r w:rsidR="009E5DB2">
        <w:t xml:space="preserve">fragmented, and </w:t>
      </w:r>
      <w:r w:rsidR="009E5DB2" w:rsidRPr="009E5DB2">
        <w:t>policy development has been patchy</w:t>
      </w:r>
      <w:r w:rsidR="009E5DB2">
        <w:t xml:space="preserve"> and unresponsive to the escalating housing and homelessness crisis. </w:t>
      </w:r>
    </w:p>
    <w:p w14:paraId="1ECD71C9" w14:textId="4405433A" w:rsidR="00C553E0" w:rsidRDefault="00A03C7F" w:rsidP="009E5DB2">
      <w:r w:rsidRPr="00A03C7F">
        <w:t xml:space="preserve">We </w:t>
      </w:r>
      <w:r w:rsidR="00E33EA7">
        <w:t>believe the Bill w</w:t>
      </w:r>
      <w:r w:rsidR="009E5DB2">
        <w:t>ill</w:t>
      </w:r>
      <w:r w:rsidR="00E33EA7">
        <w:t xml:space="preserve"> support a more coordinated approach. It</w:t>
      </w:r>
      <w:r w:rsidRPr="00A03C7F">
        <w:t xml:space="preserve"> set</w:t>
      </w:r>
      <w:r w:rsidR="00E33EA7">
        <w:t>s out a</w:t>
      </w:r>
      <w:r w:rsidRPr="00A03C7F">
        <w:t xml:space="preserve"> framework for developing, implementing and maintaining the National Housing and Homelessness Plan collaboratively, with expert advice and assistance from Housing Australia and the National Housing Supply and Affordability Council. </w:t>
      </w:r>
      <w:r w:rsidR="009E5DB2">
        <w:t>The Bill nominates Housing</w:t>
      </w:r>
      <w:r w:rsidR="003358A8">
        <w:t xml:space="preserve"> Australia</w:t>
      </w:r>
      <w:r w:rsidR="009E5DB2">
        <w:t xml:space="preserve"> as the </w:t>
      </w:r>
      <w:r w:rsidR="009E5DB2">
        <w:t xml:space="preserve">dedicated </w:t>
      </w:r>
      <w:r w:rsidR="009E5DB2">
        <w:t xml:space="preserve">lead </w:t>
      </w:r>
      <w:r w:rsidR="009E5DB2">
        <w:t>housing agenc</w:t>
      </w:r>
      <w:r w:rsidR="009E5DB2">
        <w:t>y</w:t>
      </w:r>
      <w:r w:rsidR="009E5DB2">
        <w:t xml:space="preserve"> coordinating the development</w:t>
      </w:r>
      <w:r w:rsidR="009E5DB2">
        <w:t xml:space="preserve"> </w:t>
      </w:r>
      <w:r w:rsidR="009E5DB2">
        <w:t xml:space="preserve">and implementation of </w:t>
      </w:r>
      <w:r w:rsidR="009E5DB2">
        <w:t>policies and plans across government.</w:t>
      </w:r>
      <w:r w:rsidR="009E5DB2" w:rsidRPr="00A03C7F">
        <w:t xml:space="preserve"> </w:t>
      </w:r>
      <w:r w:rsidRPr="00A03C7F">
        <w:t xml:space="preserve">It will also establish a much-needed National Housing Consumer Council and a National Housing and Homelessness Advocate to independently monitor and review the Plan. </w:t>
      </w:r>
      <w:r w:rsidR="00C553E0">
        <w:t>In addition</w:t>
      </w:r>
      <w:r w:rsidRPr="00A03C7F">
        <w:t>,</w:t>
      </w:r>
      <w:r w:rsidR="00C553E0">
        <w:t xml:space="preserve"> the framework set out in the Bill will require</w:t>
      </w:r>
      <w:r w:rsidRPr="00A03C7F">
        <w:t xml:space="preserve"> the </w:t>
      </w:r>
      <w:proofErr w:type="gramStart"/>
      <w:r w:rsidRPr="00A03C7F">
        <w:t>Housing Minister</w:t>
      </w:r>
      <w:proofErr w:type="gramEnd"/>
      <w:r w:rsidRPr="00A03C7F">
        <w:t xml:space="preserve"> to report</w:t>
      </w:r>
      <w:r w:rsidR="00FF184A">
        <w:t xml:space="preserve"> against</w:t>
      </w:r>
      <w:r w:rsidRPr="00A03C7F">
        <w:t xml:space="preserve">, revise and renew the Plan. </w:t>
      </w:r>
    </w:p>
    <w:p w14:paraId="314E6F56" w14:textId="3029DE06" w:rsidR="00C553E0" w:rsidRDefault="00C553E0" w:rsidP="006C44E5">
      <w:r>
        <w:t>ACTCOSS believes that l</w:t>
      </w:r>
      <w:r w:rsidR="00A03C7F" w:rsidRPr="00A03C7F">
        <w:t>egislating these requirements will help ensure the Plan has solid foundations</w:t>
      </w:r>
      <w:r>
        <w:t xml:space="preserve"> and a clear framework for coordinating housing and homelessness policy and engaging with relevant stakeholders</w:t>
      </w:r>
      <w:r w:rsidR="00A03C7F" w:rsidRPr="00A03C7F">
        <w:t>.</w:t>
      </w:r>
      <w:r>
        <w:t xml:space="preserve"> </w:t>
      </w:r>
      <w:r w:rsidR="006C44E5">
        <w:t xml:space="preserve">We recognise </w:t>
      </w:r>
      <w:r w:rsidR="006C44E5" w:rsidRPr="00A03C7F">
        <w:t>Australia’s federa</w:t>
      </w:r>
      <w:r w:rsidR="006C44E5">
        <w:t xml:space="preserve">ted </w:t>
      </w:r>
      <w:r w:rsidR="006C44E5" w:rsidRPr="00A03C7F">
        <w:t>system of government p</w:t>
      </w:r>
      <w:r w:rsidR="006C44E5">
        <w:t>oses</w:t>
      </w:r>
      <w:r w:rsidR="006C44E5" w:rsidRPr="00A03C7F">
        <w:t xml:space="preserve"> challenges for housing policy governance, but </w:t>
      </w:r>
      <w:r w:rsidR="006C44E5">
        <w:t xml:space="preserve">this </w:t>
      </w:r>
      <w:r w:rsidR="006C44E5" w:rsidRPr="00A03C7F">
        <w:t xml:space="preserve">also underscores the </w:t>
      </w:r>
      <w:r w:rsidR="006C44E5">
        <w:t>importance</w:t>
      </w:r>
      <w:r w:rsidR="006C44E5" w:rsidRPr="00A03C7F">
        <w:t xml:space="preserve"> of a strategic and coordinated approach.</w:t>
      </w:r>
      <w:r w:rsidR="006C44E5">
        <w:t xml:space="preserve"> If implemented, t</w:t>
      </w:r>
      <w:r w:rsidR="006C44E5" w:rsidRPr="00A03C7F">
        <w:t xml:space="preserve">he Bill would contribute to stronger </w:t>
      </w:r>
      <w:r w:rsidR="006C44E5">
        <w:t>intergovernmental cooperation</w:t>
      </w:r>
      <w:r w:rsidR="006C44E5" w:rsidRPr="00A03C7F">
        <w:t xml:space="preserve">, by requiring the Commonwealth to formulate a long-term plan for housing and homelessness policy, and </w:t>
      </w:r>
      <w:r w:rsidR="006C44E5">
        <w:t xml:space="preserve">to </w:t>
      </w:r>
      <w:r w:rsidR="006C44E5" w:rsidRPr="00A03C7F">
        <w:t>be accountable for progressively realising that plan through sustained engagement in policy development with the states and territories.</w:t>
      </w:r>
      <w:r w:rsidR="006C44E5">
        <w:t xml:space="preserve"> It would also establish a framework to support the involvement of </w:t>
      </w:r>
      <w:r>
        <w:t>key stakeholders in the design and delivery of major programs.</w:t>
      </w:r>
    </w:p>
    <w:p w14:paraId="755E5DF1" w14:textId="078889BA" w:rsidR="006C44E5" w:rsidRPr="00A03C7F" w:rsidRDefault="006C44E5" w:rsidP="006C44E5">
      <w:r>
        <w:t>Ultimately, t</w:t>
      </w:r>
      <w:r w:rsidRPr="00077229">
        <w:t>he Government of the day would remain responsible for setting direction and developing the Plan, but th</w:t>
      </w:r>
      <w:r w:rsidR="003358A8">
        <w:t>e</w:t>
      </w:r>
      <w:r w:rsidRPr="00077229">
        <w:t xml:space="preserve"> proposed legislation would provide the framework in which the Plan would be designed and governed. Importantly, it would mandate the development and renewal of a Plan, the absence of which has contributed to Australia’s current housing and homelessness emergency</w:t>
      </w:r>
      <w:r w:rsidR="003358A8">
        <w:t>.</w:t>
      </w:r>
    </w:p>
    <w:p w14:paraId="59F38311" w14:textId="50E0702D" w:rsidR="00077229" w:rsidRDefault="006C44E5" w:rsidP="00E048BA">
      <w:pPr>
        <w:pStyle w:val="Heading3"/>
      </w:pPr>
      <w:r>
        <w:t>Strengthening</w:t>
      </w:r>
      <w:r w:rsidR="00077229" w:rsidRPr="00077229">
        <w:t xml:space="preserve"> accountability</w:t>
      </w:r>
    </w:p>
    <w:p w14:paraId="0CF942B0" w14:textId="6DF94A64" w:rsidR="006C44E5" w:rsidRDefault="006C44E5" w:rsidP="006C44E5">
      <w:r w:rsidRPr="006C44E5">
        <w:t>Accountability is crucial in national approaches to policy reform</w:t>
      </w:r>
      <w:r>
        <w:t>, but to date this has been absent in relation to housing and homelessness policy. Without</w:t>
      </w:r>
      <w:r w:rsidRPr="006C44E5">
        <w:t xml:space="preserve"> a national strategy or plan driving </w:t>
      </w:r>
      <w:r>
        <w:t xml:space="preserve">clearly articulated </w:t>
      </w:r>
      <w:r w:rsidRPr="006C44E5">
        <w:t xml:space="preserve">policy </w:t>
      </w:r>
      <w:r>
        <w:t>objectives</w:t>
      </w:r>
      <w:r w:rsidRPr="006C44E5">
        <w:t xml:space="preserve">, previous National Housing and Homelessness Agreements have been the mainstay of Federal-State efforts to address </w:t>
      </w:r>
      <w:r>
        <w:t xml:space="preserve">housing and </w:t>
      </w:r>
      <w:r w:rsidRPr="006C44E5">
        <w:t xml:space="preserve">homelessness. These are predominantly funding documents with inadequate reporting requirements and few incentives to achieve positive outcomes, and as such have lacked clear accountability structures. </w:t>
      </w:r>
      <w:r>
        <w:t>As the Productivity Commission noted in a recent review:</w:t>
      </w:r>
    </w:p>
    <w:p w14:paraId="394A44C6" w14:textId="728B5138" w:rsidR="006C44E5" w:rsidRDefault="006C44E5" w:rsidP="000D65FE">
      <w:pPr>
        <w:pStyle w:val="Quote-indent"/>
      </w:pPr>
      <w:r w:rsidRPr="006C44E5">
        <w:lastRenderedPageBreak/>
        <w:t>The National Housing and Homelessness Agreement—intended to improve access to affordable, safe and sustainable housing—is ineffective. It does not foster collaboration</w:t>
      </w:r>
      <w:r>
        <w:t xml:space="preserve"> </w:t>
      </w:r>
      <w:r w:rsidRPr="006C44E5">
        <w:t>between governments or hold governments to account. It is a funding contract, not a blueprint for reform.</w:t>
      </w:r>
      <w:r>
        <w:rPr>
          <w:rStyle w:val="FootnoteReference"/>
        </w:rPr>
        <w:footnoteReference w:id="3"/>
      </w:r>
      <w:r w:rsidRPr="006C44E5">
        <w:t xml:space="preserve"> </w:t>
      </w:r>
    </w:p>
    <w:p w14:paraId="1C84CCCB" w14:textId="635931CD" w:rsidR="006C44E5" w:rsidRDefault="000D65FE" w:rsidP="006C44E5">
      <w:r>
        <w:t xml:space="preserve">Similarly, at a </w:t>
      </w:r>
      <w:proofErr w:type="gramStart"/>
      <w:r>
        <w:t>Federal</w:t>
      </w:r>
      <w:proofErr w:type="gramEnd"/>
      <w:r>
        <w:t xml:space="preserve"> level, the lack of</w:t>
      </w:r>
      <w:r w:rsidRPr="000D65FE">
        <w:t xml:space="preserve"> a </w:t>
      </w:r>
      <w:r>
        <w:t>national</w:t>
      </w:r>
      <w:r w:rsidRPr="000D65FE">
        <w:t xml:space="preserve"> plan </w:t>
      </w:r>
      <w:r>
        <w:t>has contributed to a lack of clear direction and accountability</w:t>
      </w:r>
      <w:r w:rsidR="003358A8">
        <w:t xml:space="preserve"> in federal government housing policy</w:t>
      </w:r>
      <w:r>
        <w:t>. The current Federal Government’s</w:t>
      </w:r>
      <w:r w:rsidRPr="000D65FE">
        <w:t xml:space="preserve"> commitment to </w:t>
      </w:r>
      <w:r>
        <w:t xml:space="preserve">developing </w:t>
      </w:r>
      <w:r w:rsidRPr="000D65FE">
        <w:t xml:space="preserve">a </w:t>
      </w:r>
      <w:r>
        <w:t>National Housing and Homelessness Plan was welcomed as a</w:t>
      </w:r>
      <w:r w:rsidRPr="000D65FE">
        <w:t xml:space="preserve"> return to national housing policy leadership but</w:t>
      </w:r>
      <w:r>
        <w:t>,</w:t>
      </w:r>
      <w:r w:rsidRPr="000D65FE">
        <w:t xml:space="preserve"> having yet to </w:t>
      </w:r>
      <w:r w:rsidR="003358A8">
        <w:t>make</w:t>
      </w:r>
      <w:r w:rsidRPr="000D65FE">
        <w:t xml:space="preserve"> the</w:t>
      </w:r>
      <w:r>
        <w:t xml:space="preserve"> promised National Plan, the Federal Government </w:t>
      </w:r>
      <w:r w:rsidRPr="000D65FE">
        <w:t xml:space="preserve">is struggling with housing policy. </w:t>
      </w:r>
      <w:r>
        <w:t xml:space="preserve">Over the past two years, housing policy development has </w:t>
      </w:r>
      <w:r w:rsidR="00FE01D8">
        <w:t xml:space="preserve">floundered and </w:t>
      </w:r>
      <w:r>
        <w:t>remained fragmented</w:t>
      </w:r>
      <w:r w:rsidR="00FE01D8">
        <w:t xml:space="preserve">, with the Government yet to articulate its overall objectives in tackling unmet housing need and homelessness. </w:t>
      </w:r>
      <w:r w:rsidR="006C44E5" w:rsidRPr="006C44E5">
        <w:t>Th</w:t>
      </w:r>
      <w:r w:rsidR="00FE01D8">
        <w:t>e lack of an overarching plan</w:t>
      </w:r>
      <w:r w:rsidR="006C44E5" w:rsidRPr="006C44E5">
        <w:t xml:space="preserve"> </w:t>
      </w:r>
      <w:r w:rsidR="00FE01D8">
        <w:t xml:space="preserve">and corresponding institutional architecture </w:t>
      </w:r>
      <w:r w:rsidR="006C44E5" w:rsidRPr="006C44E5">
        <w:t>has created a challenging environment to hold parties to account and, at an implementation level, to make informed decisions on what should be continued, scaled up or down, or stopped.</w:t>
      </w:r>
    </w:p>
    <w:p w14:paraId="0288714F" w14:textId="50D3D338" w:rsidR="006C44E5" w:rsidRPr="006C44E5" w:rsidRDefault="006C44E5" w:rsidP="006C44E5">
      <w:r w:rsidRPr="006C44E5">
        <w:t xml:space="preserve">The proposed legislation </w:t>
      </w:r>
      <w:r w:rsidR="00FE01D8">
        <w:t xml:space="preserve">would help overcome this inertia by creating </w:t>
      </w:r>
      <w:r w:rsidR="00FE01D8" w:rsidRPr="00FE01D8">
        <w:t xml:space="preserve">obligations for the Commonwealth to plan and be accountable to the Parliament on its progress. </w:t>
      </w:r>
      <w:r w:rsidR="00FE01D8">
        <w:t xml:space="preserve">This would be achieved </w:t>
      </w:r>
      <w:r w:rsidRPr="006C44E5">
        <w:t>through provisions mandating the Minister report to Parliament, that the Plan be reviewed and fully refreshed on a 10-year cycle, and by establishing governance arrangements to report on systemic issues and progress.</w:t>
      </w:r>
    </w:p>
    <w:p w14:paraId="5DAD7CFC" w14:textId="5D62C569" w:rsidR="00077229" w:rsidRDefault="00077229" w:rsidP="00077229">
      <w:pPr>
        <w:pStyle w:val="Heading3"/>
      </w:pPr>
      <w:r>
        <w:t>Participation of people directly affected</w:t>
      </w:r>
    </w:p>
    <w:p w14:paraId="3E56FD1A" w14:textId="759D77C0" w:rsidR="00FE01D8" w:rsidRPr="00FE01D8" w:rsidRDefault="00FE01D8" w:rsidP="00FE01D8">
      <w:r w:rsidRPr="00FE01D8">
        <w:t xml:space="preserve">The Bill would establish a National Housing Consumer Council to advise on the Plan and give lived experience perspectives on its progress. </w:t>
      </w:r>
      <w:r>
        <w:t>ACTCOSS believes this would provide an invaluable means of ensuring</w:t>
      </w:r>
      <w:r w:rsidRPr="00FE01D8">
        <w:t xml:space="preserve"> people with lived experience of homelessness and housing precarity </w:t>
      </w:r>
      <w:r>
        <w:t>are</w:t>
      </w:r>
      <w:r w:rsidRPr="00FE01D8">
        <w:t xml:space="preserve"> involved in co-designing all aspects housing and homelessness</w:t>
      </w:r>
      <w:r w:rsidR="00FF184A">
        <w:t xml:space="preserve"> policy</w:t>
      </w:r>
      <w:r>
        <w:t xml:space="preserve">. We recommend that Section 8 of </w:t>
      </w:r>
      <w:r w:rsidR="00FF184A">
        <w:t>the Bill is</w:t>
      </w:r>
      <w:r>
        <w:t xml:space="preserve"> further strengthened by requiring that </w:t>
      </w:r>
      <w:r>
        <w:t>the voices and specific support requirements of young people and people</w:t>
      </w:r>
      <w:r>
        <w:t xml:space="preserve"> </w:t>
      </w:r>
      <w:r>
        <w:t>experiencing domestic and family violence</w:t>
      </w:r>
      <w:r>
        <w:t xml:space="preserve"> are engaged in the development and oversight of the National Housing and Homelessness Plan and are included as part of the </w:t>
      </w:r>
      <w:r w:rsidRPr="00FE01D8">
        <w:t>National Housing Consumer Council</w:t>
      </w:r>
      <w:r w:rsidR="00FF184A">
        <w:t>.</w:t>
      </w:r>
    </w:p>
    <w:p w14:paraId="52F14C4C" w14:textId="0EB51199" w:rsidR="00BE2113" w:rsidRDefault="00C553E0" w:rsidP="00E048BA">
      <w:pPr>
        <w:pStyle w:val="Heading3"/>
      </w:pPr>
      <w:r w:rsidRPr="00C553E0">
        <w:t>T</w:t>
      </w:r>
      <w:r w:rsidR="00CA6CD1" w:rsidRPr="008D38CF">
        <w:t xml:space="preserve">reaties </w:t>
      </w:r>
      <w:r w:rsidR="008D38CF" w:rsidRPr="008D38CF">
        <w:t>must be honoured</w:t>
      </w:r>
    </w:p>
    <w:p w14:paraId="22101EA4" w14:textId="372A4176" w:rsidR="008C447F" w:rsidRDefault="00DC7D7C">
      <w:pPr>
        <w:spacing w:after="160" w:line="278" w:lineRule="auto"/>
      </w:pPr>
      <w:r>
        <w:t>Tha</w:t>
      </w:r>
      <w:r w:rsidR="00A707F9">
        <w:t>t</w:t>
      </w:r>
      <w:r>
        <w:t xml:space="preserve"> </w:t>
      </w:r>
      <w:r w:rsidR="00693E63">
        <w:t xml:space="preserve">formal agreements </w:t>
      </w:r>
      <w:r w:rsidR="0066311D">
        <w:t>–</w:t>
      </w:r>
      <w:r w:rsidR="00693E63">
        <w:t xml:space="preserve"> t</w:t>
      </w:r>
      <w:r w:rsidR="0066311D">
        <w:t>reaties – b</w:t>
      </w:r>
      <w:r w:rsidR="00334ADA">
        <w:t>etween states m</w:t>
      </w:r>
      <w:r>
        <w:t>ust be honoured (</w:t>
      </w:r>
      <w:r w:rsidR="00A707F9" w:rsidRPr="00A707F9">
        <w:rPr>
          <w:i/>
          <w:iCs/>
        </w:rPr>
        <w:t>pacta sunt servanda</w:t>
      </w:r>
      <w:r w:rsidR="00A707F9">
        <w:t xml:space="preserve">) is a foundational principle of </w:t>
      </w:r>
      <w:r w:rsidR="00334ADA">
        <w:t>international law.</w:t>
      </w:r>
      <w:r w:rsidR="00334ADA">
        <w:rPr>
          <w:rStyle w:val="FootnoteReference"/>
        </w:rPr>
        <w:footnoteReference w:id="4"/>
      </w:r>
      <w:r w:rsidR="00A707F9">
        <w:t xml:space="preserve"> </w:t>
      </w:r>
      <w:r w:rsidR="008E7BE4">
        <w:t xml:space="preserve">The </w:t>
      </w:r>
      <w:r w:rsidR="00E00E5D">
        <w:t>International Co</w:t>
      </w:r>
      <w:r w:rsidR="008E7BE4">
        <w:t>venant on Economic, Social and Cultural Rights</w:t>
      </w:r>
      <w:r w:rsidR="00E00E5D">
        <w:t xml:space="preserve"> (ICESCR)</w:t>
      </w:r>
      <w:r w:rsidR="00913D3E">
        <w:t xml:space="preserve"> </w:t>
      </w:r>
      <w:r w:rsidR="008E7BE4">
        <w:t xml:space="preserve">is one of </w:t>
      </w:r>
      <w:r w:rsidR="00220A79">
        <w:t xml:space="preserve">eight </w:t>
      </w:r>
      <w:r w:rsidR="00F839B0">
        <w:t xml:space="preserve">so-called </w:t>
      </w:r>
      <w:r w:rsidR="00C817C4">
        <w:t>‘</w:t>
      </w:r>
      <w:r w:rsidR="00F839B0">
        <w:t>core</w:t>
      </w:r>
      <w:r w:rsidR="00C817C4">
        <w:t>’</w:t>
      </w:r>
      <w:r w:rsidR="00F839B0">
        <w:t xml:space="preserve"> human rights </w:t>
      </w:r>
      <w:r w:rsidR="00C817C4">
        <w:t xml:space="preserve">instruments </w:t>
      </w:r>
      <w:r w:rsidR="00C93C87">
        <w:t xml:space="preserve">that </w:t>
      </w:r>
      <w:r w:rsidR="00F839B0">
        <w:t>Australia</w:t>
      </w:r>
      <w:r w:rsidR="00C93C87">
        <w:t xml:space="preserve"> has </w:t>
      </w:r>
      <w:r w:rsidR="008A4DF9">
        <w:t>ratified</w:t>
      </w:r>
      <w:r w:rsidR="00F839B0">
        <w:t>.</w:t>
      </w:r>
      <w:r w:rsidR="00220A79">
        <w:rPr>
          <w:rStyle w:val="FootnoteReference"/>
        </w:rPr>
        <w:footnoteReference w:id="5"/>
      </w:r>
      <w:r w:rsidR="00F839B0">
        <w:t xml:space="preserve"> </w:t>
      </w:r>
      <w:r w:rsidR="006A1CC3">
        <w:t xml:space="preserve">The human rights </w:t>
      </w:r>
      <w:r w:rsidR="009F47CC">
        <w:t xml:space="preserve">recognised </w:t>
      </w:r>
      <w:r w:rsidR="006A1CC3">
        <w:t xml:space="preserve">in the </w:t>
      </w:r>
      <w:r w:rsidR="008A4DF9">
        <w:t>ICESCR</w:t>
      </w:r>
      <w:r w:rsidR="009F47CC">
        <w:t xml:space="preserve"> </w:t>
      </w:r>
      <w:r w:rsidR="00AD6AA6">
        <w:t xml:space="preserve">describe conditions that are essential for </w:t>
      </w:r>
      <w:r w:rsidR="001E0D5E">
        <w:t>individuals</w:t>
      </w:r>
      <w:r w:rsidR="003C6A72">
        <w:t xml:space="preserve"> to realise their </w:t>
      </w:r>
      <w:r w:rsidR="00A127EF">
        <w:t xml:space="preserve">birthright as citizens and </w:t>
      </w:r>
      <w:r w:rsidR="008A0575">
        <w:t xml:space="preserve">full participants in the </w:t>
      </w:r>
      <w:r w:rsidR="00902784">
        <w:t xml:space="preserve">social and economic </w:t>
      </w:r>
      <w:r w:rsidR="008A0575">
        <w:t xml:space="preserve">life of their communities. </w:t>
      </w:r>
      <w:r w:rsidR="00AB5E42">
        <w:t xml:space="preserve">As a </w:t>
      </w:r>
      <w:r w:rsidR="00F00E80">
        <w:t xml:space="preserve">party to </w:t>
      </w:r>
      <w:r w:rsidR="00AB5E42">
        <w:t xml:space="preserve">that </w:t>
      </w:r>
      <w:r w:rsidR="00A57F84">
        <w:t>treaty</w:t>
      </w:r>
      <w:r w:rsidR="006A2DFC">
        <w:t>,</w:t>
      </w:r>
      <w:r w:rsidR="00A57F84">
        <w:t xml:space="preserve"> Australia </w:t>
      </w:r>
      <w:r w:rsidR="00CD6E87">
        <w:t xml:space="preserve">has </w:t>
      </w:r>
      <w:r w:rsidR="00C42E45">
        <w:t xml:space="preserve">freely promised </w:t>
      </w:r>
      <w:r w:rsidR="00B813DC">
        <w:t xml:space="preserve">to </w:t>
      </w:r>
      <w:r w:rsidR="00A57F84">
        <w:t>imple</w:t>
      </w:r>
      <w:r w:rsidR="006D2067">
        <w:t>ment its articles</w:t>
      </w:r>
      <w:r w:rsidR="00B813DC">
        <w:t xml:space="preserve"> in good faith, </w:t>
      </w:r>
      <w:r w:rsidR="006D2067">
        <w:t>including 11(1)</w:t>
      </w:r>
      <w:r w:rsidR="00DC70F3">
        <w:t xml:space="preserve"> which says</w:t>
      </w:r>
      <w:r w:rsidR="00A74C67">
        <w:t xml:space="preserve"> in part</w:t>
      </w:r>
      <w:r w:rsidR="006D2067">
        <w:t>:</w:t>
      </w:r>
    </w:p>
    <w:p w14:paraId="3F179E1A" w14:textId="0BEC352B" w:rsidR="006D2067" w:rsidRPr="007652EF" w:rsidRDefault="006D2067" w:rsidP="000D65FE">
      <w:pPr>
        <w:pStyle w:val="Quote-indent"/>
      </w:pPr>
      <w:r w:rsidRPr="007652EF">
        <w:lastRenderedPageBreak/>
        <w:t xml:space="preserve">The States Parties to the present Covenant recognize the right of everyone to an adequate standard of living for himself and his family, including </w:t>
      </w:r>
      <w:r w:rsidRPr="00880129">
        <w:rPr>
          <w:b/>
          <w:bCs/>
        </w:rPr>
        <w:t xml:space="preserve">adequate </w:t>
      </w:r>
      <w:r w:rsidRPr="00CB5756">
        <w:t>food, clothing and</w:t>
      </w:r>
      <w:r w:rsidRPr="00880129">
        <w:rPr>
          <w:b/>
          <w:bCs/>
        </w:rPr>
        <w:t xml:space="preserve"> housing</w:t>
      </w:r>
      <w:r w:rsidRPr="007652EF">
        <w:t>, and to the continuous improvement of living conditions.</w:t>
      </w:r>
      <w:r w:rsidR="00880129">
        <w:rPr>
          <w:rStyle w:val="FootnoteReference"/>
        </w:rPr>
        <w:footnoteReference w:id="6"/>
      </w:r>
    </w:p>
    <w:p w14:paraId="64E7C966" w14:textId="18429D13" w:rsidR="005E0C27" w:rsidRDefault="00C915CA">
      <w:pPr>
        <w:spacing w:after="160" w:line="278" w:lineRule="auto"/>
      </w:pPr>
      <w:r>
        <w:t xml:space="preserve">In 2015 </w:t>
      </w:r>
      <w:r w:rsidR="009F1CB0">
        <w:t xml:space="preserve">Australia </w:t>
      </w:r>
      <w:r w:rsidR="00B95214">
        <w:t xml:space="preserve">endorsed the </w:t>
      </w:r>
      <w:r>
        <w:t>2030 Agenda for Sustainable Development</w:t>
      </w:r>
      <w:r w:rsidR="003D7BCF">
        <w:t xml:space="preserve"> (SDGs)</w:t>
      </w:r>
      <w:r w:rsidR="00DA39DD">
        <w:t>,</w:t>
      </w:r>
      <w:r w:rsidR="00F240F0">
        <w:rPr>
          <w:rStyle w:val="FootnoteReference"/>
        </w:rPr>
        <w:footnoteReference w:id="7"/>
      </w:r>
      <w:r w:rsidR="00586CDE">
        <w:t xml:space="preserve"> </w:t>
      </w:r>
      <w:r w:rsidR="006771DC">
        <w:t>creating a</w:t>
      </w:r>
      <w:r w:rsidR="00614497">
        <w:t xml:space="preserve">n expectation that it will use best endeavours to </w:t>
      </w:r>
      <w:r w:rsidR="003D7BCF">
        <w:t xml:space="preserve">achieve </w:t>
      </w:r>
      <w:r w:rsidR="00EA42B4">
        <w:t xml:space="preserve">the targets specified for the SDG goals, including </w:t>
      </w:r>
      <w:r w:rsidR="003F3AB9">
        <w:t>1</w:t>
      </w:r>
      <w:r w:rsidR="00127BE8">
        <w:t>1</w:t>
      </w:r>
      <w:r w:rsidR="00E0347B">
        <w:t>.1</w:t>
      </w:r>
      <w:r w:rsidR="00897F5F">
        <w:t>:</w:t>
      </w:r>
    </w:p>
    <w:p w14:paraId="7E4B1BA9" w14:textId="0C844023" w:rsidR="003F3AB9" w:rsidRPr="00FF184A" w:rsidRDefault="00E0347B" w:rsidP="00FF184A">
      <w:pPr>
        <w:spacing w:after="160" w:line="278" w:lineRule="auto"/>
        <w:ind w:left="720"/>
        <w:rPr>
          <w:sz w:val="18"/>
          <w:szCs w:val="18"/>
        </w:rPr>
      </w:pPr>
      <w:r w:rsidRPr="001F6981">
        <w:rPr>
          <w:sz w:val="18"/>
          <w:szCs w:val="18"/>
        </w:rPr>
        <w:t>By 2030, ensure access for all to adequate, safe and affordable housing and basic services and upgrade slums</w:t>
      </w:r>
      <w:r w:rsidR="000F165D" w:rsidRPr="001F6981">
        <w:rPr>
          <w:sz w:val="18"/>
          <w:szCs w:val="18"/>
        </w:rPr>
        <w:t>.</w:t>
      </w:r>
      <w:r w:rsidR="004A4340">
        <w:rPr>
          <w:rStyle w:val="FootnoteReference"/>
        </w:rPr>
        <w:footnoteReference w:id="8"/>
      </w:r>
    </w:p>
    <w:p w14:paraId="1D87D28E" w14:textId="34020FDE" w:rsidR="008C447F" w:rsidRDefault="00D42E90">
      <w:pPr>
        <w:spacing w:after="160" w:line="278" w:lineRule="auto"/>
      </w:pPr>
      <w:r>
        <w:t xml:space="preserve">In its search for strategies to protect </w:t>
      </w:r>
      <w:r w:rsidR="001B03DE">
        <w:t>Australia’s</w:t>
      </w:r>
      <w:r>
        <w:t xml:space="preserve"> </w:t>
      </w:r>
      <w:r w:rsidR="001B03DE">
        <w:t xml:space="preserve">security and prosperity the </w:t>
      </w:r>
      <w:r w:rsidR="00B2665F">
        <w:t xml:space="preserve">Government </w:t>
      </w:r>
      <w:r w:rsidR="00080A4B">
        <w:t>frequent</w:t>
      </w:r>
      <w:r w:rsidR="00A63BB6">
        <w:t>ly</w:t>
      </w:r>
      <w:r w:rsidR="00080A4B">
        <w:t xml:space="preserve"> </w:t>
      </w:r>
      <w:r w:rsidR="008367AD">
        <w:t xml:space="preserve">advocates respect for </w:t>
      </w:r>
      <w:r w:rsidR="001D5FED">
        <w:t xml:space="preserve">a </w:t>
      </w:r>
      <w:r w:rsidR="00C47A7F">
        <w:t xml:space="preserve">global </w:t>
      </w:r>
      <w:r w:rsidR="006345C8">
        <w:t>rules</w:t>
      </w:r>
      <w:r w:rsidR="00A05233">
        <w:t>-</w:t>
      </w:r>
      <w:r w:rsidR="006345C8">
        <w:t>based order</w:t>
      </w:r>
      <w:r w:rsidR="001B03DE">
        <w:t xml:space="preserve">, </w:t>
      </w:r>
      <w:r w:rsidR="001805F0">
        <w:t>for example</w:t>
      </w:r>
      <w:r w:rsidR="00524A26">
        <w:t xml:space="preserve"> </w:t>
      </w:r>
      <w:r w:rsidR="00B914F0">
        <w:t xml:space="preserve">in </w:t>
      </w:r>
      <w:r w:rsidR="00524A26">
        <w:t xml:space="preserve">this </w:t>
      </w:r>
      <w:r w:rsidR="00E52A82">
        <w:t xml:space="preserve">recent </w:t>
      </w:r>
      <w:r w:rsidR="00524A26">
        <w:t>joint stat</w:t>
      </w:r>
      <w:r w:rsidR="00502F8F">
        <w:t>e</w:t>
      </w:r>
      <w:r w:rsidR="00524A26">
        <w:t>ment</w:t>
      </w:r>
      <w:r w:rsidR="00505253">
        <w:t xml:space="preserve"> </w:t>
      </w:r>
      <w:r w:rsidR="00E52A82">
        <w:t xml:space="preserve">by the </w:t>
      </w:r>
      <w:r w:rsidR="00505253">
        <w:t xml:space="preserve">Foreign Ministers of </w:t>
      </w:r>
      <w:r w:rsidR="00C70386">
        <w:t>Australia, India, Japan and the Secretary of State for the US, speaks of</w:t>
      </w:r>
      <w:r w:rsidR="001805F0">
        <w:t xml:space="preserve">: </w:t>
      </w:r>
    </w:p>
    <w:p w14:paraId="0741C024" w14:textId="02BE943D" w:rsidR="008C447F" w:rsidRPr="00074DD4" w:rsidRDefault="00334448" w:rsidP="00074DD4">
      <w:pPr>
        <w:spacing w:after="160" w:line="278" w:lineRule="auto"/>
        <w:ind w:left="720"/>
        <w:rPr>
          <w:sz w:val="18"/>
          <w:szCs w:val="18"/>
        </w:rPr>
      </w:pPr>
      <w:r w:rsidRPr="00074DD4">
        <w:rPr>
          <w:sz w:val="18"/>
          <w:szCs w:val="18"/>
        </w:rPr>
        <w:t xml:space="preserve">our commitment to upholding the free and open rules-based international order, with its strong support for the principle of freedom, </w:t>
      </w:r>
      <w:r w:rsidRPr="003D12AC">
        <w:rPr>
          <w:b/>
          <w:bCs/>
          <w:sz w:val="18"/>
          <w:szCs w:val="18"/>
        </w:rPr>
        <w:t>human rights</w:t>
      </w:r>
      <w:r w:rsidRPr="00074DD4">
        <w:rPr>
          <w:sz w:val="18"/>
          <w:szCs w:val="18"/>
        </w:rPr>
        <w:t>, rule of law, democratic values, sovereignty and territorial integrity, and peaceful settlement of disputes and prohibition on the threat or use of force in accordance with the UN Charter</w:t>
      </w:r>
      <w:r w:rsidR="0057012B" w:rsidRPr="00074DD4">
        <w:rPr>
          <w:sz w:val="18"/>
          <w:szCs w:val="18"/>
        </w:rPr>
        <w:t>.</w:t>
      </w:r>
      <w:r w:rsidR="00074DD4">
        <w:rPr>
          <w:rStyle w:val="FootnoteReference"/>
          <w:sz w:val="18"/>
          <w:szCs w:val="18"/>
        </w:rPr>
        <w:footnoteReference w:id="9"/>
      </w:r>
    </w:p>
    <w:p w14:paraId="05D1262C" w14:textId="2A1D2887" w:rsidR="009068D1" w:rsidRDefault="00181BB7">
      <w:pPr>
        <w:spacing w:after="160" w:line="278" w:lineRule="auto"/>
      </w:pPr>
      <w:r>
        <w:t xml:space="preserve">Respect for human </w:t>
      </w:r>
      <w:r w:rsidR="003D12AC">
        <w:t xml:space="preserve">rights </w:t>
      </w:r>
      <w:r w:rsidR="000B5C69">
        <w:t xml:space="preserve">is </w:t>
      </w:r>
      <w:r w:rsidR="00AD2184">
        <w:t xml:space="preserve">a </w:t>
      </w:r>
      <w:r w:rsidR="003B457D" w:rsidRPr="00AD2184">
        <w:rPr>
          <w:i/>
          <w:iCs/>
        </w:rPr>
        <w:t>sine qua non</w:t>
      </w:r>
      <w:r w:rsidR="003B457D">
        <w:t xml:space="preserve"> </w:t>
      </w:r>
      <w:r w:rsidR="00AD2184">
        <w:t xml:space="preserve">of </w:t>
      </w:r>
      <w:r w:rsidR="00D77C44">
        <w:t xml:space="preserve">domestic and international </w:t>
      </w:r>
      <w:r w:rsidR="003B457D">
        <w:t xml:space="preserve">peace </w:t>
      </w:r>
      <w:r w:rsidR="006643DE">
        <w:t xml:space="preserve">as well as of </w:t>
      </w:r>
      <w:r w:rsidR="009068D1">
        <w:t>sustainable development.</w:t>
      </w:r>
    </w:p>
    <w:p w14:paraId="44A16D51" w14:textId="02A2CD8E" w:rsidR="00410D45" w:rsidRDefault="00410D45">
      <w:pPr>
        <w:spacing w:after="160" w:line="278" w:lineRule="auto"/>
      </w:pPr>
      <w:r>
        <w:t>Thus, Australia has an obligation to protect the right to adequate housing</w:t>
      </w:r>
      <w:r w:rsidR="00031172">
        <w:t xml:space="preserve"> </w:t>
      </w:r>
      <w:r w:rsidR="00F60685">
        <w:t xml:space="preserve">as a </w:t>
      </w:r>
      <w:r w:rsidR="001A445E">
        <w:t xml:space="preserve">signatory to the ICESCR, </w:t>
      </w:r>
      <w:r w:rsidR="00387FCF">
        <w:t xml:space="preserve">as a good international citizen and </w:t>
      </w:r>
      <w:r w:rsidR="002B6CAA">
        <w:t>public endorser of</w:t>
      </w:r>
      <w:r w:rsidR="00387FCF">
        <w:t xml:space="preserve"> the SDGs, </w:t>
      </w:r>
      <w:r w:rsidR="002B6CAA">
        <w:t>and as</w:t>
      </w:r>
      <w:r w:rsidR="00C35E84">
        <w:t xml:space="preserve"> a</w:t>
      </w:r>
      <w:r w:rsidR="00322DCA">
        <w:t xml:space="preserve"> </w:t>
      </w:r>
      <w:r w:rsidR="006A31BD">
        <w:t>present and,</w:t>
      </w:r>
      <w:r w:rsidR="00BD62A2">
        <w:t xml:space="preserve"> </w:t>
      </w:r>
      <w:r w:rsidR="006A31BD">
        <w:t xml:space="preserve">desirably, future </w:t>
      </w:r>
      <w:r w:rsidR="00322DCA">
        <w:t xml:space="preserve">beneficiary </w:t>
      </w:r>
      <w:r w:rsidR="00B265CC">
        <w:t xml:space="preserve">of </w:t>
      </w:r>
      <w:r w:rsidR="00C45780">
        <w:t>an i</w:t>
      </w:r>
      <w:r w:rsidR="0020118A">
        <w:t>nternational rules</w:t>
      </w:r>
      <w:r w:rsidR="00CC32EF">
        <w:t>-</w:t>
      </w:r>
      <w:r w:rsidR="0020118A">
        <w:t>based order</w:t>
      </w:r>
      <w:r w:rsidR="00CC32EF">
        <w:t>.</w:t>
      </w:r>
      <w:r w:rsidR="008D3C49">
        <w:t xml:space="preserve"> </w:t>
      </w:r>
      <w:r w:rsidR="0020118A">
        <w:t xml:space="preserve"> </w:t>
      </w:r>
    </w:p>
    <w:p w14:paraId="53416955" w14:textId="71149B76" w:rsidR="00C50A97" w:rsidRDefault="00D31C2B" w:rsidP="00D77C44">
      <w:pPr>
        <w:pStyle w:val="Heading3"/>
      </w:pPr>
      <w:r>
        <w:t xml:space="preserve">Effective implementation of </w:t>
      </w:r>
      <w:r w:rsidR="003648F4">
        <w:t xml:space="preserve">the right to </w:t>
      </w:r>
      <w:r w:rsidR="00D77C44">
        <w:t>adequate housing</w:t>
      </w:r>
    </w:p>
    <w:p w14:paraId="5FDB53AF" w14:textId="4B5A4EE1" w:rsidR="00D77C44" w:rsidRDefault="007673C0">
      <w:pPr>
        <w:spacing w:after="160" w:line="278" w:lineRule="auto"/>
      </w:pPr>
      <w:r>
        <w:t xml:space="preserve">In response to </w:t>
      </w:r>
      <w:r w:rsidR="009C5EAE">
        <w:t xml:space="preserve">the </w:t>
      </w:r>
      <w:r w:rsidR="00185321">
        <w:t>‘</w:t>
      </w:r>
      <w:r>
        <w:t>crisis in global housing conditions</w:t>
      </w:r>
      <w:r w:rsidR="00185321">
        <w:t>’</w:t>
      </w:r>
      <w:r>
        <w:t xml:space="preserve">, </w:t>
      </w:r>
      <w:r w:rsidR="00185321">
        <w:t>the</w:t>
      </w:r>
      <w:r w:rsidR="00062115">
        <w:t xml:space="preserve"> </w:t>
      </w:r>
      <w:r w:rsidR="00B11E35">
        <w:t>UN</w:t>
      </w:r>
      <w:r w:rsidR="0075147D">
        <w:t xml:space="preserve"> Special Rapporteur </w:t>
      </w:r>
      <w:r w:rsidR="00062115">
        <w:t xml:space="preserve">prepared guidelines </w:t>
      </w:r>
      <w:r w:rsidR="00516F93">
        <w:t>clarifying</w:t>
      </w:r>
      <w:r w:rsidR="0011185E">
        <w:t xml:space="preserve"> </w:t>
      </w:r>
      <w:r w:rsidR="002D0DBF">
        <w:t>‘the key elements’</w:t>
      </w:r>
      <w:r w:rsidR="005443EA">
        <w:t xml:space="preserve"> </w:t>
      </w:r>
      <w:r w:rsidR="00C472AE">
        <w:t xml:space="preserve">required for </w:t>
      </w:r>
      <w:r w:rsidR="00473CAE">
        <w:t xml:space="preserve">‘effective implementation </w:t>
      </w:r>
      <w:r w:rsidR="00696679">
        <w:t xml:space="preserve">of </w:t>
      </w:r>
      <w:r w:rsidR="00610CD0">
        <w:t xml:space="preserve">the right to adequate housing as it has been </w:t>
      </w:r>
      <w:r w:rsidR="006E4E1D">
        <w:t>elaborated under international human rights law</w:t>
      </w:r>
      <w:r w:rsidR="00A7235C">
        <w:t>’</w:t>
      </w:r>
      <w:r w:rsidR="006E4E1D">
        <w:t>.</w:t>
      </w:r>
      <w:r w:rsidR="004F5CDB">
        <w:rPr>
          <w:rStyle w:val="FootnoteReference"/>
        </w:rPr>
        <w:footnoteReference w:id="10"/>
      </w:r>
      <w:r w:rsidR="006E4BD2">
        <w:t xml:space="preserve">  </w:t>
      </w:r>
    </w:p>
    <w:p w14:paraId="64636B29" w14:textId="53808305" w:rsidR="0043283F" w:rsidRDefault="003A7FF1">
      <w:pPr>
        <w:spacing w:after="160" w:line="278" w:lineRule="auto"/>
      </w:pPr>
      <w:r>
        <w:t xml:space="preserve">The Guidelines warn </w:t>
      </w:r>
      <w:r w:rsidR="00C313E3">
        <w:t xml:space="preserve">States </w:t>
      </w:r>
      <w:r w:rsidR="00F508D7">
        <w:t xml:space="preserve">that they </w:t>
      </w:r>
      <w:r w:rsidR="00F508D7" w:rsidRPr="003358A8">
        <w:rPr>
          <w:i/>
          <w:iCs/>
        </w:rPr>
        <w:t>cannot</w:t>
      </w:r>
      <w:r w:rsidR="00F508D7">
        <w:t xml:space="preserve"> discharge the duty to respect, protect and fulfil the right to adequate housing </w:t>
      </w:r>
      <w:r w:rsidR="00FA21BE">
        <w:t xml:space="preserve">by treating it as </w:t>
      </w:r>
      <w:r w:rsidR="00883F88">
        <w:t>‘</w:t>
      </w:r>
      <w:r w:rsidR="00883F88" w:rsidRPr="00394B38">
        <w:rPr>
          <w:b/>
          <w:bCs/>
        </w:rPr>
        <w:t>merely a commitment to</w:t>
      </w:r>
      <w:r w:rsidR="008970BB" w:rsidRPr="00394B38">
        <w:rPr>
          <w:b/>
          <w:bCs/>
        </w:rPr>
        <w:t xml:space="preserve"> </w:t>
      </w:r>
      <w:r w:rsidR="00883F88" w:rsidRPr="00394B38">
        <w:rPr>
          <w:b/>
          <w:bCs/>
        </w:rPr>
        <w:t>housing</w:t>
      </w:r>
      <w:r w:rsidR="00F96B06" w:rsidRPr="00394B38">
        <w:rPr>
          <w:b/>
          <w:bCs/>
        </w:rPr>
        <w:t xml:space="preserve"> programmes</w:t>
      </w:r>
      <w:r w:rsidR="00F96B06" w:rsidRPr="00B27C0B">
        <w:rPr>
          <w:b/>
          <w:bCs/>
        </w:rPr>
        <w:t xml:space="preserve">, a matter of </w:t>
      </w:r>
      <w:r w:rsidR="00E87833" w:rsidRPr="00B27C0B">
        <w:rPr>
          <w:b/>
          <w:bCs/>
        </w:rPr>
        <w:t>socioeconomic policy</w:t>
      </w:r>
      <w:r w:rsidR="00F96B06" w:rsidRPr="00B27C0B">
        <w:rPr>
          <w:b/>
          <w:bCs/>
        </w:rPr>
        <w:t xml:space="preserve"> </w:t>
      </w:r>
      <w:r w:rsidR="00B5307E" w:rsidRPr="00B27C0B">
        <w:rPr>
          <w:b/>
          <w:bCs/>
        </w:rPr>
        <w:t>insulated from</w:t>
      </w:r>
      <w:r w:rsidR="008970BB" w:rsidRPr="00B27C0B">
        <w:rPr>
          <w:b/>
          <w:bCs/>
        </w:rPr>
        <w:t xml:space="preserve"> </w:t>
      </w:r>
      <w:r w:rsidR="00F96B06" w:rsidRPr="00B27C0B">
        <w:rPr>
          <w:b/>
          <w:bCs/>
        </w:rPr>
        <w:t>human rights values and imperatives without meaningful accountability o</w:t>
      </w:r>
      <w:r w:rsidR="008970BB" w:rsidRPr="00B27C0B">
        <w:rPr>
          <w:b/>
          <w:bCs/>
        </w:rPr>
        <w:t>r</w:t>
      </w:r>
      <w:r w:rsidR="00F96B06" w:rsidRPr="00B27C0B">
        <w:rPr>
          <w:b/>
          <w:bCs/>
        </w:rPr>
        <w:t xml:space="preserve"> access to </w:t>
      </w:r>
      <w:r w:rsidR="00F96B06" w:rsidRPr="00B27C0B">
        <w:rPr>
          <w:b/>
          <w:bCs/>
        </w:rPr>
        <w:lastRenderedPageBreak/>
        <w:t>justice</w:t>
      </w:r>
      <w:r w:rsidR="00B25A0A">
        <w:t>,’</w:t>
      </w:r>
      <w:r w:rsidR="008970BB">
        <w:rPr>
          <w:rStyle w:val="FootnoteReference"/>
        </w:rPr>
        <w:footnoteReference w:id="11"/>
      </w:r>
      <w:r w:rsidR="00883F88">
        <w:t xml:space="preserve"> </w:t>
      </w:r>
      <w:r w:rsidR="003E7E6F">
        <w:t xml:space="preserve">nor by interpreting it </w:t>
      </w:r>
      <w:r w:rsidR="0043283F" w:rsidRPr="00B27C0B">
        <w:rPr>
          <w:b/>
          <w:bCs/>
        </w:rPr>
        <w:t>‘</w:t>
      </w:r>
      <w:r w:rsidR="003E7E6F" w:rsidRPr="00B27C0B">
        <w:rPr>
          <w:b/>
          <w:bCs/>
        </w:rPr>
        <w:t xml:space="preserve">narrowly as a right to mere physical shelter </w:t>
      </w:r>
      <w:r w:rsidR="009622E4" w:rsidRPr="00B27C0B">
        <w:rPr>
          <w:b/>
          <w:bCs/>
        </w:rPr>
        <w:t>or to housing conceived as a commodity</w:t>
      </w:r>
      <w:r w:rsidR="0043283F" w:rsidRPr="00B27C0B">
        <w:rPr>
          <w:b/>
          <w:bCs/>
        </w:rPr>
        <w:t>’</w:t>
      </w:r>
      <w:r w:rsidR="001F0689" w:rsidRPr="00B27C0B">
        <w:rPr>
          <w:b/>
          <w:bCs/>
        </w:rPr>
        <w:t>.</w:t>
      </w:r>
      <w:r w:rsidR="001F0689">
        <w:rPr>
          <w:rStyle w:val="FootnoteReference"/>
        </w:rPr>
        <w:footnoteReference w:id="12"/>
      </w:r>
    </w:p>
    <w:p w14:paraId="1C3B0D17" w14:textId="17D31412" w:rsidR="006C369C" w:rsidRDefault="001C5E9C">
      <w:pPr>
        <w:spacing w:after="160" w:line="278" w:lineRule="auto"/>
      </w:pPr>
      <w:r>
        <w:t xml:space="preserve">Figure 1 below shows the characteristics of the right to housing </w:t>
      </w:r>
      <w:r w:rsidR="009F33DC">
        <w:t>interpreted in a human rights and sustainability framework.</w:t>
      </w:r>
      <w:r w:rsidR="0015458F">
        <w:t xml:space="preserve"> </w:t>
      </w:r>
    </w:p>
    <w:p w14:paraId="64F45FA3" w14:textId="02C5C625" w:rsidR="00D77C44" w:rsidRDefault="009F33DC" w:rsidP="00556530">
      <w:pPr>
        <w:spacing w:before="240" w:after="120" w:line="278" w:lineRule="auto"/>
        <w:ind w:left="113"/>
      </w:pPr>
      <w:r w:rsidRPr="00556530">
        <w:rPr>
          <w:b/>
          <w:bCs/>
          <w:sz w:val="19"/>
          <w:szCs w:val="19"/>
        </w:rPr>
        <w:t xml:space="preserve">Figure 1. Characteristics of the right to </w:t>
      </w:r>
      <w:r w:rsidR="00693668" w:rsidRPr="00556530">
        <w:rPr>
          <w:b/>
          <w:bCs/>
          <w:sz w:val="19"/>
          <w:szCs w:val="19"/>
        </w:rPr>
        <w:t>adequate housing</w:t>
      </w:r>
      <w:r w:rsidR="00B61AD6">
        <w:rPr>
          <w:rStyle w:val="FootnoteReference"/>
        </w:rPr>
        <w:footnoteReference w:id="13"/>
      </w:r>
      <w:r w:rsidR="00ED1503" w:rsidRPr="00E70A41">
        <w:rPr>
          <w:noProof/>
        </w:rPr>
        <w:drawing>
          <wp:inline distT="0" distB="0" distL="0" distR="0" wp14:anchorId="1BA5B741" wp14:editId="4D0EED5A">
            <wp:extent cx="6272667" cy="4740275"/>
            <wp:effectExtent l="0" t="0" r="0" b="3175"/>
            <wp:docPr id="13976158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72667" cy="4740275"/>
                    </a:xfrm>
                    <a:prstGeom prst="rect">
                      <a:avLst/>
                    </a:prstGeom>
                    <a:noFill/>
                    <a:ln>
                      <a:noFill/>
                    </a:ln>
                  </pic:spPr>
                </pic:pic>
              </a:graphicData>
            </a:graphic>
          </wp:inline>
        </w:drawing>
      </w:r>
    </w:p>
    <w:p w14:paraId="1C12CD77" w14:textId="6A9984FB" w:rsidR="00DB6EE3" w:rsidRDefault="002375BF" w:rsidP="008659D7">
      <w:pPr>
        <w:spacing w:after="160" w:line="278" w:lineRule="auto"/>
      </w:pPr>
      <w:r>
        <w:lastRenderedPageBreak/>
        <w:t>The Sustainability</w:t>
      </w:r>
      <w:r w:rsidR="00E425F5">
        <w:t xml:space="preserve"> component is starred because it </w:t>
      </w:r>
      <w:r w:rsidR="00372AE5">
        <w:t>has been recognised by the U</w:t>
      </w:r>
      <w:r w:rsidR="00075645">
        <w:t>N</w:t>
      </w:r>
      <w:r w:rsidR="00372AE5">
        <w:t xml:space="preserve"> </w:t>
      </w:r>
      <w:r w:rsidR="007D694A">
        <w:t>Special</w:t>
      </w:r>
      <w:r w:rsidR="00372AE5">
        <w:t xml:space="preserve"> Rapporteur on the right to housing but </w:t>
      </w:r>
      <w:r w:rsidR="007D694A">
        <w:t>has not been included in the international human rights law definition</w:t>
      </w:r>
      <w:r w:rsidR="00E917F9">
        <w:t xml:space="preserve"> </w:t>
      </w:r>
      <w:r w:rsidR="00CD43CC">
        <w:t>thereof</w:t>
      </w:r>
      <w:r w:rsidR="007D694A">
        <w:t xml:space="preserve">. </w:t>
      </w:r>
      <w:r w:rsidR="00721B5A">
        <w:t xml:space="preserve">It is </w:t>
      </w:r>
      <w:r w:rsidR="00683394">
        <w:t xml:space="preserve">included in the </w:t>
      </w:r>
      <w:r w:rsidR="001A7843">
        <w:t xml:space="preserve">targets </w:t>
      </w:r>
      <w:r w:rsidR="00683394">
        <w:t xml:space="preserve">for </w:t>
      </w:r>
      <w:r w:rsidR="009D3DE7">
        <w:t>Sustainable Development</w:t>
      </w:r>
      <w:r w:rsidR="00683394">
        <w:t xml:space="preserve"> Goal number 11.</w:t>
      </w:r>
      <w:r w:rsidR="009D3DE7">
        <w:rPr>
          <w:rStyle w:val="FootnoteReference"/>
        </w:rPr>
        <w:footnoteReference w:id="14"/>
      </w:r>
      <w:r w:rsidR="00721B5A">
        <w:t xml:space="preserve"> </w:t>
      </w:r>
      <w:r w:rsidR="00FE5796">
        <w:t xml:space="preserve"> It is important to note that the right to freedom from discrimination </w:t>
      </w:r>
      <w:r w:rsidR="00BC68B4">
        <w:t xml:space="preserve">means that </w:t>
      </w:r>
      <w:r w:rsidR="00790CD7">
        <w:t>t</w:t>
      </w:r>
      <w:r w:rsidR="00241FEE">
        <w:t xml:space="preserve">he right to </w:t>
      </w:r>
      <w:r w:rsidR="00BE377F">
        <w:t>adequate</w:t>
      </w:r>
      <w:r w:rsidR="000D4EBF">
        <w:t xml:space="preserve"> housing</w:t>
      </w:r>
      <w:r w:rsidR="00241FEE">
        <w:t xml:space="preserve">, </w:t>
      </w:r>
      <w:r w:rsidR="00803E9A">
        <w:t xml:space="preserve">along with </w:t>
      </w:r>
      <w:r w:rsidR="00241FEE">
        <w:t xml:space="preserve">all other rights, should be </w:t>
      </w:r>
      <w:r w:rsidR="008659D7">
        <w:t>enjoyed</w:t>
      </w:r>
      <w:r w:rsidR="00803E9A">
        <w:t xml:space="preserve"> </w:t>
      </w:r>
      <w:proofErr w:type="gramStart"/>
      <w:r w:rsidR="00803E9A">
        <w:t>on the basis of</w:t>
      </w:r>
      <w:proofErr w:type="gramEnd"/>
      <w:r w:rsidR="00803E9A">
        <w:t xml:space="preserve"> equality.</w:t>
      </w:r>
      <w:r w:rsidR="007A1265">
        <w:t xml:space="preserve"> </w:t>
      </w:r>
    </w:p>
    <w:p w14:paraId="5E881789" w14:textId="5D8EB83C" w:rsidR="00DB6EE3" w:rsidRDefault="003E51A5" w:rsidP="00D91766">
      <w:pPr>
        <w:pStyle w:val="Heading3"/>
        <w:spacing w:before="240"/>
      </w:pPr>
      <w:r>
        <w:t xml:space="preserve">Failure to protect the right to </w:t>
      </w:r>
      <w:r w:rsidR="00AF76FF">
        <w:t xml:space="preserve">adequate </w:t>
      </w:r>
      <w:r>
        <w:t xml:space="preserve">housing </w:t>
      </w:r>
      <w:r w:rsidR="00E01AF9">
        <w:t xml:space="preserve">has led to </w:t>
      </w:r>
      <w:r>
        <w:t>crisis</w:t>
      </w:r>
      <w:r w:rsidR="000E5019">
        <w:t xml:space="preserve"> </w:t>
      </w:r>
    </w:p>
    <w:p w14:paraId="3CC5126E" w14:textId="35AF93EC" w:rsidR="00C67F39" w:rsidRDefault="00D07213" w:rsidP="00B45C05">
      <w:r>
        <w:t xml:space="preserve">The inadequacy of </w:t>
      </w:r>
      <w:r w:rsidR="00B45C05">
        <w:t xml:space="preserve">Australia’s </w:t>
      </w:r>
      <w:r w:rsidR="00E917F9">
        <w:t xml:space="preserve">performance </w:t>
      </w:r>
      <w:r w:rsidR="007E0407">
        <w:t xml:space="preserve">in </w:t>
      </w:r>
      <w:r w:rsidR="0021356C">
        <w:t xml:space="preserve">protecting and fulfilling </w:t>
      </w:r>
      <w:r w:rsidR="001A5827">
        <w:t xml:space="preserve">the right to </w:t>
      </w:r>
      <w:r w:rsidR="004E538A">
        <w:t xml:space="preserve">adequate housing </w:t>
      </w:r>
      <w:r w:rsidR="00C125BF">
        <w:t xml:space="preserve">has led to a </w:t>
      </w:r>
      <w:r w:rsidR="00441131">
        <w:t>full-blown</w:t>
      </w:r>
      <w:r w:rsidR="009B0AB1">
        <w:t xml:space="preserve"> crisis</w:t>
      </w:r>
      <w:r w:rsidR="00C96A5A">
        <w:t>. Anticipation of further failure is built into Treasury assumptions for the last Budget.</w:t>
      </w:r>
      <w:r w:rsidR="00C96A5A">
        <w:rPr>
          <w:rStyle w:val="FootnoteReference"/>
        </w:rPr>
        <w:footnoteReference w:id="15"/>
      </w:r>
      <w:r w:rsidR="00C96A5A">
        <w:t xml:space="preserve"> </w:t>
      </w:r>
      <w:r w:rsidR="009E6C9D">
        <w:t>H</w:t>
      </w:r>
      <w:r w:rsidR="006D05D9">
        <w:t xml:space="preserve">ousing scarcity and </w:t>
      </w:r>
      <w:r w:rsidR="00AD5137">
        <w:t xml:space="preserve">rising </w:t>
      </w:r>
      <w:r w:rsidR="006D05D9">
        <w:t xml:space="preserve">unaffordability has </w:t>
      </w:r>
      <w:r w:rsidR="0003663C">
        <w:t xml:space="preserve">implications for </w:t>
      </w:r>
      <w:r w:rsidR="00BB3FF8">
        <w:t>grow</w:t>
      </w:r>
      <w:r w:rsidR="009A39B3">
        <w:t xml:space="preserve">th </w:t>
      </w:r>
      <w:r w:rsidR="00312A47">
        <w:t>in</w:t>
      </w:r>
      <w:r w:rsidR="009A39B3">
        <w:t xml:space="preserve"> inequality</w:t>
      </w:r>
      <w:r w:rsidR="00FF184A">
        <w:t>;</w:t>
      </w:r>
      <w:r w:rsidR="009A39B3">
        <w:t xml:space="preserve"> </w:t>
      </w:r>
      <w:r w:rsidR="00F05E0B">
        <w:t>opportunities for women and children to leave abusive relationships</w:t>
      </w:r>
      <w:r w:rsidR="00FF184A">
        <w:t>;</w:t>
      </w:r>
      <w:r w:rsidR="00F05E0B">
        <w:t xml:space="preserve"> </w:t>
      </w:r>
      <w:r w:rsidR="0003663C">
        <w:t>health</w:t>
      </w:r>
      <w:r w:rsidR="00323B81">
        <w:t xml:space="preserve"> and child development</w:t>
      </w:r>
      <w:r w:rsidR="00312A47">
        <w:t xml:space="preserve"> related to housing stress and </w:t>
      </w:r>
      <w:r w:rsidR="001773C0">
        <w:t>poor housing quality</w:t>
      </w:r>
      <w:r w:rsidR="00D91766">
        <w:t>;</w:t>
      </w:r>
      <w:r w:rsidR="0003663C">
        <w:t xml:space="preserve"> </w:t>
      </w:r>
      <w:r w:rsidR="0063699F">
        <w:t xml:space="preserve">birthrate, now </w:t>
      </w:r>
      <w:r w:rsidR="00323B81">
        <w:t>below that needed for population replacement</w:t>
      </w:r>
      <w:r w:rsidR="00D91766">
        <w:t>;</w:t>
      </w:r>
      <w:r w:rsidR="00C61AA5">
        <w:t xml:space="preserve"> </w:t>
      </w:r>
      <w:r w:rsidR="00FF184A">
        <w:t xml:space="preserve">and </w:t>
      </w:r>
      <w:r w:rsidR="00124141">
        <w:t xml:space="preserve">nationally productive </w:t>
      </w:r>
      <w:r w:rsidR="009F3FCA">
        <w:t>investment</w:t>
      </w:r>
      <w:r w:rsidR="00DD0357">
        <w:t>,</w:t>
      </w:r>
      <w:r w:rsidR="0063699F">
        <w:t xml:space="preserve"> currently distorted </w:t>
      </w:r>
      <w:r w:rsidR="00DD0357">
        <w:t>by commodification of housing</w:t>
      </w:r>
      <w:r w:rsidR="000E0D56">
        <w:t xml:space="preserve">. </w:t>
      </w:r>
      <w:r w:rsidR="00440720">
        <w:t>Marginali</w:t>
      </w:r>
      <w:r w:rsidR="00556530">
        <w:t>s</w:t>
      </w:r>
      <w:r w:rsidR="00440720">
        <w:t xml:space="preserve">ed and disadvantaged groups, </w:t>
      </w:r>
      <w:r w:rsidR="00D91766">
        <w:t>including</w:t>
      </w:r>
      <w:r w:rsidR="00A17DB3">
        <w:t xml:space="preserve"> </w:t>
      </w:r>
      <w:r w:rsidR="009648CA">
        <w:t>Aboriginal and Torres Strait Islander Australians</w:t>
      </w:r>
      <w:r w:rsidR="00556530">
        <w:t>,</w:t>
      </w:r>
      <w:r w:rsidR="00A17DB3">
        <w:t xml:space="preserve"> </w:t>
      </w:r>
      <w:r w:rsidR="00DE64F2">
        <w:t xml:space="preserve">are at much greater risk of homelessness and housing stress. </w:t>
      </w:r>
      <w:r w:rsidR="00347966">
        <w:t xml:space="preserve">Housing policy has yet to address </w:t>
      </w:r>
      <w:r w:rsidR="003A3CD5">
        <w:t xml:space="preserve">housing-related carbon emissions, </w:t>
      </w:r>
      <w:r w:rsidR="00181AB2">
        <w:t xml:space="preserve">and </w:t>
      </w:r>
      <w:r w:rsidR="009E6C9D">
        <w:t>the need for pr</w:t>
      </w:r>
      <w:r w:rsidR="00347966">
        <w:t xml:space="preserve">ogress toward </w:t>
      </w:r>
      <w:r w:rsidR="00DD3F0B">
        <w:t xml:space="preserve">sustainable, </w:t>
      </w:r>
      <w:r w:rsidR="00181AB2">
        <w:t>liveable</w:t>
      </w:r>
      <w:r w:rsidR="00DD3F0B">
        <w:t xml:space="preserve"> </w:t>
      </w:r>
      <w:r w:rsidR="00181AB2">
        <w:t>cities</w:t>
      </w:r>
      <w:r w:rsidR="009E6C9D">
        <w:t>.</w:t>
      </w:r>
    </w:p>
    <w:p w14:paraId="6CDCFAB5" w14:textId="1AD32055" w:rsidR="009A3938" w:rsidRDefault="00C67F39" w:rsidP="00B45C05">
      <w:r>
        <w:t>The Labor Government has promised a national housing plan</w:t>
      </w:r>
      <w:r w:rsidR="00494948">
        <w:t>,</w:t>
      </w:r>
      <w:r w:rsidR="009D75F7">
        <w:rPr>
          <w:rStyle w:val="FootnoteReference"/>
        </w:rPr>
        <w:footnoteReference w:id="16"/>
      </w:r>
      <w:r>
        <w:t xml:space="preserve"> but </w:t>
      </w:r>
      <w:r w:rsidR="00B118F0">
        <w:t xml:space="preserve">in the absence of </w:t>
      </w:r>
      <w:r w:rsidR="00B12950">
        <w:t xml:space="preserve">legislated imperatives such as those set out in the Bill, there is </w:t>
      </w:r>
      <w:r w:rsidR="00AF30DE">
        <w:t xml:space="preserve">little prospect that such a plan, </w:t>
      </w:r>
      <w:r w:rsidR="000A479A">
        <w:t xml:space="preserve">even if it could be produced within the term of the current Government, would contain the </w:t>
      </w:r>
      <w:r w:rsidR="00A24043">
        <w:t xml:space="preserve">elements needed </w:t>
      </w:r>
      <w:r w:rsidR="009A3938">
        <w:t xml:space="preserve">to succeed. </w:t>
      </w:r>
    </w:p>
    <w:p w14:paraId="648EA839" w14:textId="77777777" w:rsidR="00FB7543" w:rsidRDefault="00FB7543" w:rsidP="00D91766">
      <w:pPr>
        <w:pStyle w:val="Heading3"/>
        <w:spacing w:before="240"/>
      </w:pPr>
      <w:r>
        <w:t>Mission-based policy needed</w:t>
      </w:r>
    </w:p>
    <w:p w14:paraId="4FD8801A" w14:textId="66224714" w:rsidR="00FB7543" w:rsidRDefault="00FB7543" w:rsidP="00FB7543">
      <w:pPr>
        <w:spacing w:after="160" w:line="278" w:lineRule="auto"/>
      </w:pPr>
      <w:r>
        <w:t xml:space="preserve">Housing and homelessness epitomise the type of complex, multi-dimensional problems that call for Professor Mariana Mazzucato’s mission-oriented approach to public policy and economic development. That is, an approach that requires strong leadership from national government in articulating an ambitious, measurable goal, specifying the time within which it is to be achieved, and drawing together stakeholders </w:t>
      </w:r>
      <w:r w:rsidR="006C01E3">
        <w:t xml:space="preserve">and resources from </w:t>
      </w:r>
      <w:r>
        <w:t>across sectors and levels of government to formulate and execute a strategy to achieve that goal.</w:t>
      </w:r>
      <w:r>
        <w:rPr>
          <w:rStyle w:val="FootnoteReference"/>
        </w:rPr>
        <w:footnoteReference w:id="17"/>
      </w:r>
      <w:r>
        <w:t xml:space="preserve">  </w:t>
      </w:r>
    </w:p>
    <w:p w14:paraId="3FB746C7" w14:textId="152CD65B" w:rsidR="00FB7543" w:rsidRDefault="00FB7543" w:rsidP="00D91766">
      <w:pPr>
        <w:spacing w:after="240" w:line="278" w:lineRule="auto"/>
      </w:pPr>
      <w:r>
        <w:t xml:space="preserve">The Bill for a national housing and homelessness plan outlines </w:t>
      </w:r>
      <w:r w:rsidR="00BB3F5C">
        <w:t xml:space="preserve">almost </w:t>
      </w:r>
      <w:r w:rsidR="006C01E3">
        <w:t>all</w:t>
      </w:r>
      <w:r w:rsidR="00BB3F5C">
        <w:t xml:space="preserve"> the </w:t>
      </w:r>
      <w:r>
        <w:t>essential elements of a mission-oriented approach</w:t>
      </w:r>
      <w:r w:rsidR="001D28D0">
        <w:t xml:space="preserve"> within a human rights framework.</w:t>
      </w:r>
    </w:p>
    <w:p w14:paraId="2D19DF64" w14:textId="1DA083AD" w:rsidR="00C143AE" w:rsidRDefault="00CD43CC" w:rsidP="00CD43CC">
      <w:pPr>
        <w:pStyle w:val="Heading3"/>
      </w:pPr>
      <w:r>
        <w:lastRenderedPageBreak/>
        <w:t>Need for AHRC’s new human rights framework</w:t>
      </w:r>
    </w:p>
    <w:p w14:paraId="0AD87D14" w14:textId="06E0451A" w:rsidR="000E62A2" w:rsidRDefault="00F905B2" w:rsidP="00F905B2">
      <w:r>
        <w:t>The retiring President of A</w:t>
      </w:r>
      <w:r w:rsidR="003A0C96">
        <w:t xml:space="preserve">ustralian </w:t>
      </w:r>
      <w:r>
        <w:t>H</w:t>
      </w:r>
      <w:r w:rsidR="003A0C96">
        <w:t xml:space="preserve">uman </w:t>
      </w:r>
      <w:r>
        <w:t>R</w:t>
      </w:r>
      <w:r w:rsidR="003A0C96">
        <w:t xml:space="preserve">ights </w:t>
      </w:r>
      <w:r>
        <w:t>C</w:t>
      </w:r>
      <w:r w:rsidR="003A0C96">
        <w:t>ommission</w:t>
      </w:r>
      <w:r>
        <w:t xml:space="preserve"> has pronounced the current system of human rights protection in Australia </w:t>
      </w:r>
      <w:r w:rsidR="00C748B0">
        <w:t xml:space="preserve">as </w:t>
      </w:r>
      <w:r>
        <w:t>inadequate</w:t>
      </w:r>
      <w:r>
        <w:rPr>
          <w:rStyle w:val="FootnoteReference"/>
        </w:rPr>
        <w:footnoteReference w:id="18"/>
      </w:r>
      <w:r>
        <w:t xml:space="preserve"> – there is no Federal human rights act, and the Commission does not have the power to make findings of human rights violations or mandate appropriate remedies. It</w:t>
      </w:r>
      <w:r w:rsidR="007403A8">
        <w:t xml:space="preserve">s proposed model for a human rights framework includes </w:t>
      </w:r>
      <w:r w:rsidR="00BA3B4C">
        <w:t xml:space="preserve">a </w:t>
      </w:r>
      <w:proofErr w:type="gramStart"/>
      <w:r w:rsidR="00BA3B4C">
        <w:t>Federal</w:t>
      </w:r>
      <w:proofErr w:type="gramEnd"/>
      <w:r w:rsidR="00BA3B4C">
        <w:t xml:space="preserve"> </w:t>
      </w:r>
      <w:r>
        <w:t xml:space="preserve">human rights act </w:t>
      </w:r>
      <w:r w:rsidR="00D24C36">
        <w:t xml:space="preserve">to </w:t>
      </w:r>
      <w:r>
        <w:t xml:space="preserve">protect </w:t>
      </w:r>
      <w:r w:rsidR="00334DA5">
        <w:t>internationally recognised human rights, including the right to adequate housing</w:t>
      </w:r>
      <w:r w:rsidR="00D24C36">
        <w:t xml:space="preserve">, which </w:t>
      </w:r>
      <w:r w:rsidR="00200979">
        <w:t xml:space="preserve">is encompassed </w:t>
      </w:r>
      <w:r w:rsidR="00117E35">
        <w:t>in</w:t>
      </w:r>
      <w:r w:rsidR="00200979">
        <w:t xml:space="preserve"> </w:t>
      </w:r>
      <w:r w:rsidR="007403A8">
        <w:t>the right to an adequate standard of living.</w:t>
      </w:r>
      <w:r w:rsidR="00C748B0">
        <w:t xml:space="preserve"> </w:t>
      </w:r>
    </w:p>
    <w:p w14:paraId="5D2B7232" w14:textId="6C42467C" w:rsidR="006D4376" w:rsidRDefault="00981FB3" w:rsidP="00F905B2">
      <w:r>
        <w:t>Empowering the AHR</w:t>
      </w:r>
      <w:r w:rsidR="00B962A3">
        <w:t>C to make findings about human rights violations and mandate remedies forms an important part of this framework</w:t>
      </w:r>
      <w:r w:rsidR="00FC7372">
        <w:t xml:space="preserve">. This </w:t>
      </w:r>
      <w:r w:rsidR="00C26CBE">
        <w:t>echoes Guideline</w:t>
      </w:r>
      <w:r w:rsidR="000F1DE1">
        <w:t xml:space="preserve"> 1</w:t>
      </w:r>
      <w:r w:rsidR="00792F20">
        <w:t>6</w:t>
      </w:r>
      <w:r w:rsidR="000F1DE1">
        <w:t xml:space="preserve"> in the</w:t>
      </w:r>
      <w:r w:rsidR="00FC7372">
        <w:t xml:space="preserve"> Guidelines </w:t>
      </w:r>
      <w:r w:rsidR="00C26CBE">
        <w:t>of the Special Rapporteur on the Right to Adequate Housing</w:t>
      </w:r>
      <w:r w:rsidR="008622EE">
        <w:t xml:space="preserve">, which </w:t>
      </w:r>
      <w:r w:rsidR="00780380">
        <w:t xml:space="preserve">addresses the need to ensure </w:t>
      </w:r>
      <w:r w:rsidR="00792F20">
        <w:t xml:space="preserve">not only </w:t>
      </w:r>
      <w:r w:rsidR="00780380">
        <w:t>effective monitoring and accountability mechanisms</w:t>
      </w:r>
      <w:r w:rsidR="00792F20">
        <w:t xml:space="preserve">, but access </w:t>
      </w:r>
      <w:r w:rsidR="002C10E0">
        <w:t>to</w:t>
      </w:r>
      <w:r w:rsidR="007175D4">
        <w:t xml:space="preserve"> legal remedies for violation of th</w:t>
      </w:r>
      <w:r w:rsidR="000633C3">
        <w:t>is</w:t>
      </w:r>
      <w:r w:rsidR="007175D4">
        <w:t xml:space="preserve"> right</w:t>
      </w:r>
      <w:r w:rsidR="00780380">
        <w:t>.</w:t>
      </w:r>
      <w:r w:rsidR="00E9713F">
        <w:rPr>
          <w:rStyle w:val="FootnoteReference"/>
        </w:rPr>
        <w:footnoteReference w:id="19"/>
      </w:r>
      <w:r w:rsidR="008622EE">
        <w:t xml:space="preserve"> </w:t>
      </w:r>
      <w:r w:rsidR="000D2F3F">
        <w:t xml:space="preserve"> </w:t>
      </w:r>
      <w:r w:rsidR="006D4376">
        <w:t xml:space="preserve">This would </w:t>
      </w:r>
      <w:r w:rsidR="006F3B0A">
        <w:t xml:space="preserve">include access, as appropriate, to </w:t>
      </w:r>
      <w:r w:rsidR="00AC3F83">
        <w:t>‘c</w:t>
      </w:r>
      <w:r w:rsidR="006F3B0A">
        <w:t>ourts, administrative tribunals, human rights institutions</w:t>
      </w:r>
      <w:r w:rsidR="001A14E2">
        <w:t xml:space="preserve"> and informal or customary community-based justice systems</w:t>
      </w:r>
      <w:r w:rsidR="00AC3F83">
        <w:t>’</w:t>
      </w:r>
      <w:r w:rsidR="00BD087D">
        <w:t>.</w:t>
      </w:r>
      <w:r w:rsidR="00BD087D">
        <w:rPr>
          <w:rStyle w:val="FootnoteReference"/>
        </w:rPr>
        <w:footnoteReference w:id="20"/>
      </w:r>
      <w:r w:rsidR="006F3B0A">
        <w:t xml:space="preserve"> </w:t>
      </w:r>
    </w:p>
    <w:p w14:paraId="1CB4A140" w14:textId="17A51022" w:rsidR="00DB6EE3" w:rsidRDefault="007E7808" w:rsidP="00B92804">
      <w:r>
        <w:t xml:space="preserve">Adoption of the AHRC’s model human rights framework is a further </w:t>
      </w:r>
      <w:r w:rsidR="00C46778">
        <w:t>step urgently needed to protect and fulfil human rights in Australia.</w:t>
      </w:r>
      <w:r w:rsidR="00DC11A6">
        <w:t xml:space="preserve"> It would also </w:t>
      </w:r>
      <w:r w:rsidR="002D2E60">
        <w:t xml:space="preserve">deliver </w:t>
      </w:r>
      <w:r w:rsidR="000729F4">
        <w:t xml:space="preserve">what AHURI has recognised as an essential feature of </w:t>
      </w:r>
      <w:r w:rsidR="006B388D">
        <w:t xml:space="preserve">the </w:t>
      </w:r>
      <w:r w:rsidR="002D2E60">
        <w:t>institutional</w:t>
      </w:r>
      <w:r w:rsidR="006B388D">
        <w:t xml:space="preserve"> architecture</w:t>
      </w:r>
      <w:r w:rsidR="002D2E60">
        <w:t xml:space="preserve"> for a national housing strategy: a statutory basis enshrining the right to adequate housing</w:t>
      </w:r>
      <w:r w:rsidR="00E62E85">
        <w:t>.</w:t>
      </w:r>
      <w:r w:rsidR="00E62E85">
        <w:rPr>
          <w:rStyle w:val="FootnoteReference"/>
        </w:rPr>
        <w:footnoteReference w:id="21"/>
      </w:r>
      <w:r w:rsidR="002D2E60">
        <w:t xml:space="preserve">  </w:t>
      </w:r>
    </w:p>
    <w:p w14:paraId="5AA24175" w14:textId="55D6F713" w:rsidR="00F401DD" w:rsidRDefault="00E13128" w:rsidP="00F401DD">
      <w:r>
        <w:t xml:space="preserve">Unless the right to adequate housing is </w:t>
      </w:r>
      <w:r w:rsidR="00B165B8">
        <w:t xml:space="preserve">enshrined in legislation, </w:t>
      </w:r>
      <w:r w:rsidR="00E5701A">
        <w:t xml:space="preserve">political expediency may lead governments to ignore </w:t>
      </w:r>
      <w:r w:rsidR="00071FE8">
        <w:t xml:space="preserve">recommendations of </w:t>
      </w:r>
      <w:r w:rsidR="00E5701A">
        <w:t xml:space="preserve">the </w:t>
      </w:r>
      <w:r w:rsidR="00CB2B7B">
        <w:t xml:space="preserve">advisory and monitoring bodies set up under </w:t>
      </w:r>
      <w:r w:rsidR="00CD66E5">
        <w:t>the Bill’s national strategy</w:t>
      </w:r>
      <w:r w:rsidR="007B30E6">
        <w:t>. The</w:t>
      </w:r>
      <w:r w:rsidR="00CD66E5">
        <w:t xml:space="preserve"> fate of th</w:t>
      </w:r>
      <w:r w:rsidR="009107B4">
        <w:t xml:space="preserve">is Government’s </w:t>
      </w:r>
      <w:r w:rsidR="0064024A">
        <w:t xml:space="preserve">Economic </w:t>
      </w:r>
      <w:r w:rsidR="007B30E6">
        <w:t>Inclusion Advisory Committee</w:t>
      </w:r>
      <w:r w:rsidR="00187D4A">
        <w:t>, set up to provide pre-Budget advice</w:t>
      </w:r>
      <w:r w:rsidR="00584C68">
        <w:t>, inter alia, on the adequacy of income support payments</w:t>
      </w:r>
      <w:r w:rsidR="004A4D83">
        <w:rPr>
          <w:rStyle w:val="FootnoteReference"/>
        </w:rPr>
        <w:footnoteReference w:id="22"/>
      </w:r>
      <w:r w:rsidR="00881052">
        <w:t xml:space="preserve"> is salutary</w:t>
      </w:r>
      <w:r w:rsidR="00B3319A">
        <w:t>.</w:t>
      </w:r>
      <w:r w:rsidR="00D81FFB">
        <w:t xml:space="preserve"> </w:t>
      </w:r>
      <w:r w:rsidR="00DA5891">
        <w:t>The Committee’s recommendations</w:t>
      </w:r>
      <w:r w:rsidR="00F665F0">
        <w:t xml:space="preserve"> to </w:t>
      </w:r>
      <w:r w:rsidR="000C4450">
        <w:t xml:space="preserve">increase working age payments to 90% of the Age Pension and </w:t>
      </w:r>
      <w:r w:rsidR="00DA5891">
        <w:t>improve indexation</w:t>
      </w:r>
      <w:r w:rsidR="00A5021B">
        <w:t xml:space="preserve">, </w:t>
      </w:r>
      <w:r w:rsidR="008A752D">
        <w:t>we</w:t>
      </w:r>
      <w:r w:rsidR="00792D1F">
        <w:t>re rejected,</w:t>
      </w:r>
      <w:r w:rsidR="005F0C5E">
        <w:rPr>
          <w:rStyle w:val="FootnoteReference"/>
        </w:rPr>
        <w:footnoteReference w:id="23"/>
      </w:r>
      <w:r w:rsidR="00792D1F">
        <w:t xml:space="preserve"> as w</w:t>
      </w:r>
      <w:r w:rsidR="00EF3D95">
        <w:t>as the</w:t>
      </w:r>
      <w:r w:rsidR="00792D1F">
        <w:t xml:space="preserve"> </w:t>
      </w:r>
      <w:r w:rsidR="00EF3D95">
        <w:t xml:space="preserve">important </w:t>
      </w:r>
      <w:r w:rsidR="008A752D">
        <w:t xml:space="preserve">recommendation of </w:t>
      </w:r>
      <w:r w:rsidR="00EF3D95">
        <w:t xml:space="preserve">its predecessor to </w:t>
      </w:r>
      <w:r w:rsidR="007E7D9F">
        <w:t xml:space="preserve">legislate </w:t>
      </w:r>
      <w:r w:rsidR="009641C7">
        <w:t xml:space="preserve">metrics for </w:t>
      </w:r>
      <w:r w:rsidR="0037025B">
        <w:t xml:space="preserve">economic exclusion and poverty </w:t>
      </w:r>
      <w:r w:rsidR="00CF08E1">
        <w:t xml:space="preserve">as well as </w:t>
      </w:r>
      <w:r w:rsidR="0037025B">
        <w:t>targets</w:t>
      </w:r>
      <w:r w:rsidR="00F21751">
        <w:t xml:space="preserve"> for </w:t>
      </w:r>
      <w:r w:rsidR="00E726FF">
        <w:t xml:space="preserve">policy to </w:t>
      </w:r>
      <w:r w:rsidR="00F21751">
        <w:t>address</w:t>
      </w:r>
      <w:r w:rsidR="00E726FF">
        <w:t xml:space="preserve"> </w:t>
      </w:r>
      <w:r w:rsidR="00F21751">
        <w:t>them.</w:t>
      </w:r>
      <w:r w:rsidR="00C34E30">
        <w:rPr>
          <w:rStyle w:val="FootnoteReference"/>
        </w:rPr>
        <w:footnoteReference w:id="24"/>
      </w:r>
      <w:r w:rsidR="00F21751">
        <w:t xml:space="preserve"> </w:t>
      </w:r>
      <w:r w:rsidR="00CC79C8">
        <w:t xml:space="preserve">Without a statutory basis, </w:t>
      </w:r>
      <w:r w:rsidR="00B74AF0">
        <w:t xml:space="preserve">rights to an adequate standard of living, and related rights such as the right to </w:t>
      </w:r>
      <w:r w:rsidR="00F84A1D">
        <w:t xml:space="preserve">the highest possible standard of </w:t>
      </w:r>
      <w:r w:rsidR="00F26F06">
        <w:t xml:space="preserve">physical and mental </w:t>
      </w:r>
      <w:r w:rsidR="00F84A1D">
        <w:t>health</w:t>
      </w:r>
      <w:r w:rsidR="00F26F06">
        <w:t xml:space="preserve">, </w:t>
      </w:r>
      <w:r w:rsidR="00556530">
        <w:t>are less likely to</w:t>
      </w:r>
      <w:r w:rsidR="00F26F06">
        <w:t xml:space="preserve"> be realised.</w:t>
      </w:r>
      <w:r w:rsidR="00B3319A">
        <w:t xml:space="preserve"> </w:t>
      </w:r>
      <w:r w:rsidR="0037025B">
        <w:t xml:space="preserve"> </w:t>
      </w:r>
      <w:r w:rsidR="008A752D">
        <w:t xml:space="preserve"> </w:t>
      </w:r>
      <w:r w:rsidR="00DA5891">
        <w:t xml:space="preserve"> </w:t>
      </w:r>
      <w:r w:rsidR="004A4D83">
        <w:t xml:space="preserve"> </w:t>
      </w:r>
      <w:r w:rsidR="00187D4A">
        <w:t xml:space="preserve"> </w:t>
      </w:r>
      <w:r w:rsidR="007B30E6">
        <w:t xml:space="preserve"> </w:t>
      </w:r>
    </w:p>
    <w:p w14:paraId="25973735" w14:textId="404EED0A" w:rsidR="00C156E9" w:rsidRDefault="00B16DDF" w:rsidP="00B92804">
      <w:r>
        <w:lastRenderedPageBreak/>
        <w:t>B</w:t>
      </w:r>
      <w:r w:rsidR="00074521">
        <w:t>y</w:t>
      </w:r>
      <w:r>
        <w:t xml:space="preserve"> contrast, Finland has incorporated the right to </w:t>
      </w:r>
      <w:r w:rsidR="003C6127">
        <w:t xml:space="preserve">housing in its constitution and is </w:t>
      </w:r>
      <w:r w:rsidR="00074521">
        <w:t xml:space="preserve">making </w:t>
      </w:r>
      <w:r w:rsidR="00A101C7">
        <w:t>progress in reduction of homelessness and housing stress.</w:t>
      </w:r>
      <w:r w:rsidR="00AC367F">
        <w:rPr>
          <w:rStyle w:val="FootnoteReference"/>
        </w:rPr>
        <w:footnoteReference w:id="25"/>
      </w:r>
      <w:r w:rsidR="003C6127">
        <w:t xml:space="preserve"> </w:t>
      </w:r>
    </w:p>
    <w:p w14:paraId="55F942E1" w14:textId="1B956F05" w:rsidR="00F76113" w:rsidRPr="00BC4566" w:rsidRDefault="00F76113" w:rsidP="00F76113">
      <w:r>
        <w:t xml:space="preserve">ACTCOSS would welcome the opportunity to further discuss any matters raised in this </w:t>
      </w:r>
      <w:r w:rsidR="002C643C">
        <w:t>submission.</w:t>
      </w:r>
      <w:r>
        <w:t xml:space="preserve"> </w:t>
      </w:r>
    </w:p>
    <w:p w14:paraId="5687A86C" w14:textId="77777777" w:rsidR="00F76113" w:rsidRDefault="00F76113" w:rsidP="00F76113">
      <w:pPr>
        <w:rPr>
          <w:rFonts w:eastAsiaTheme="minorHAnsi"/>
          <w:lang w:val="en-US" w:eastAsia="en-US"/>
        </w:rPr>
      </w:pPr>
      <w:r w:rsidRPr="006F7C1E">
        <w:rPr>
          <w:rFonts w:eastAsiaTheme="minorHAnsi"/>
          <w:lang w:val="en-US" w:eastAsia="en-US"/>
        </w:rPr>
        <w:t>Yours sincerely</w:t>
      </w:r>
    </w:p>
    <w:p w14:paraId="2D552CA6" w14:textId="77777777" w:rsidR="00F76113" w:rsidRPr="002B2908" w:rsidRDefault="00F76113" w:rsidP="00F76113">
      <w:pPr>
        <w:rPr>
          <w:rFonts w:eastAsiaTheme="minorHAnsi"/>
          <w:lang w:eastAsia="en-US"/>
        </w:rPr>
      </w:pPr>
      <w:r w:rsidRPr="00650015">
        <w:rPr>
          <w:noProof/>
          <w:lang w:eastAsia="en-US"/>
        </w:rPr>
        <w:drawing>
          <wp:inline distT="0" distB="0" distL="0" distR="0" wp14:anchorId="4E90E52A" wp14:editId="27B45BF1">
            <wp:extent cx="2100263" cy="466725"/>
            <wp:effectExtent l="0" t="0" r="0" b="0"/>
            <wp:docPr id="1210514340" name="Picture 1210514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14922" cy="469983"/>
                    </a:xfrm>
                    <a:prstGeom prst="rect">
                      <a:avLst/>
                    </a:prstGeom>
                    <a:noFill/>
                    <a:ln>
                      <a:noFill/>
                    </a:ln>
                  </pic:spPr>
                </pic:pic>
              </a:graphicData>
            </a:graphic>
          </wp:inline>
        </w:drawing>
      </w:r>
      <w:r w:rsidRPr="002B2908">
        <w:rPr>
          <w:rFonts w:eastAsiaTheme="minorHAnsi"/>
          <w:lang w:eastAsia="en-US"/>
        </w:rPr>
        <w:t>  </w:t>
      </w:r>
    </w:p>
    <w:p w14:paraId="379EA7FC" w14:textId="77777777" w:rsidR="00F76113" w:rsidRPr="002B2908" w:rsidRDefault="00F76113" w:rsidP="00F76113">
      <w:pPr>
        <w:spacing w:after="0"/>
        <w:rPr>
          <w:rFonts w:eastAsiaTheme="minorHAnsi"/>
          <w:lang w:eastAsia="en-US"/>
        </w:rPr>
      </w:pPr>
      <w:r w:rsidRPr="002B2908">
        <w:rPr>
          <w:rFonts w:eastAsiaTheme="minorHAnsi"/>
          <w:lang w:val="en-US" w:eastAsia="en-US"/>
        </w:rPr>
        <w:t>Dr Devin Bowles</w:t>
      </w:r>
      <w:r w:rsidRPr="002B2908">
        <w:rPr>
          <w:rFonts w:eastAsiaTheme="minorHAnsi"/>
          <w:lang w:eastAsia="en-US"/>
        </w:rPr>
        <w:t>  </w:t>
      </w:r>
    </w:p>
    <w:p w14:paraId="5C9F338E" w14:textId="77777777" w:rsidR="00F76113" w:rsidRPr="00CD4B44" w:rsidRDefault="00F76113" w:rsidP="00F76113">
      <w:pPr>
        <w:rPr>
          <w:rFonts w:eastAsiaTheme="minorHAnsi"/>
          <w:lang w:val="en-US" w:eastAsia="en-US"/>
        </w:rPr>
      </w:pPr>
      <w:r w:rsidRPr="002B2908">
        <w:rPr>
          <w:rFonts w:eastAsiaTheme="minorHAnsi"/>
          <w:lang w:val="en-US" w:eastAsia="en-US"/>
        </w:rPr>
        <w:t>Chief Executive Officer</w:t>
      </w:r>
      <w:r w:rsidRPr="002B2908">
        <w:rPr>
          <w:rFonts w:eastAsiaTheme="minorHAnsi"/>
          <w:lang w:eastAsia="en-US"/>
        </w:rPr>
        <w:t>   </w:t>
      </w:r>
      <w:r w:rsidRPr="002B2908">
        <w:rPr>
          <w:rFonts w:eastAsiaTheme="minorHAnsi"/>
          <w:lang w:eastAsia="en-US"/>
        </w:rPr>
        <w:br/>
      </w:r>
      <w:r w:rsidRPr="002B2908">
        <w:rPr>
          <w:rFonts w:eastAsiaTheme="minorHAnsi"/>
          <w:lang w:val="en-US" w:eastAsia="en-US"/>
        </w:rPr>
        <w:t>ACT Council of Social Service</w:t>
      </w:r>
      <w:r w:rsidRPr="002B2908">
        <w:rPr>
          <w:rFonts w:eastAsiaTheme="minorHAnsi"/>
          <w:lang w:eastAsia="en-US"/>
        </w:rPr>
        <w:t>   </w:t>
      </w:r>
      <w:r w:rsidRPr="002B2908">
        <w:rPr>
          <w:rFonts w:eastAsiaTheme="minorHAnsi"/>
          <w:lang w:eastAsia="en-US"/>
        </w:rPr>
        <w:br/>
      </w:r>
      <w:hyperlink r:id="rId14" w:tgtFrame="_blank" w:history="1">
        <w:r w:rsidRPr="002B2908">
          <w:rPr>
            <w:rStyle w:val="Hyperlink"/>
            <w:rFonts w:eastAsiaTheme="minorHAnsi"/>
            <w:lang w:eastAsia="en-US"/>
          </w:rPr>
          <w:t>devin.bowles@actcoss.org.au</w:t>
        </w:r>
      </w:hyperlink>
      <w:r w:rsidRPr="002B2908">
        <w:rPr>
          <w:rFonts w:eastAsiaTheme="minorHAnsi"/>
          <w:lang w:eastAsia="en-US"/>
        </w:rPr>
        <w:t xml:space="preserve">   </w:t>
      </w:r>
    </w:p>
    <w:p w14:paraId="6C92721C" w14:textId="77777777" w:rsidR="00542EEF" w:rsidRDefault="00542EEF"/>
    <w:sectPr w:rsidR="00542EEF" w:rsidSect="00F76113">
      <w:headerReference w:type="default" r:id="rId15"/>
      <w:footerReference w:type="even" r:id="rId16"/>
      <w:footerReference w:type="default" r:id="rId17"/>
      <w:headerReference w:type="first" r:id="rId18"/>
      <w:footerReference w:type="first" r:id="rId19"/>
      <w:pgSz w:w="11900" w:h="16840"/>
      <w:pgMar w:top="3515" w:right="851" w:bottom="1985" w:left="851" w:header="62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312DBB" w14:textId="77777777" w:rsidR="00F76113" w:rsidRDefault="00F76113" w:rsidP="00F76113">
      <w:pPr>
        <w:spacing w:after="0" w:line="240" w:lineRule="auto"/>
      </w:pPr>
      <w:r>
        <w:separator/>
      </w:r>
    </w:p>
  </w:endnote>
  <w:endnote w:type="continuationSeparator" w:id="0">
    <w:p w14:paraId="2AAFDF1A" w14:textId="77777777" w:rsidR="00F76113" w:rsidRDefault="00F76113" w:rsidP="00F76113">
      <w:pPr>
        <w:spacing w:after="0" w:line="240" w:lineRule="auto"/>
      </w:pPr>
      <w:r>
        <w:continuationSeparator/>
      </w:r>
    </w:p>
  </w:endnote>
  <w:endnote w:type="continuationNotice" w:id="1">
    <w:p w14:paraId="2851A6ED" w14:textId="77777777" w:rsidR="00C61D77" w:rsidRDefault="00C61D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Inter">
    <w:altName w:val="Calibri"/>
    <w:charset w:val="00"/>
    <w:family w:val="swiss"/>
    <w:pitch w:val="variable"/>
    <w:sig w:usb0="E00002FF" w:usb1="1200A1FF" w:usb2="00000001" w:usb3="00000000" w:csb0="0000019F" w:csb1="00000000"/>
  </w:font>
  <w:font w:name="Times New Roman (Body CS)">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7862821"/>
      <w:docPartObj>
        <w:docPartGallery w:val="Page Numbers (Bottom of Page)"/>
        <w:docPartUnique/>
      </w:docPartObj>
    </w:sdtPr>
    <w:sdtEndPr>
      <w:rPr>
        <w:rStyle w:val="PageNumber"/>
      </w:rPr>
    </w:sdtEndPr>
    <w:sdtContent>
      <w:p w14:paraId="6DE8C131" w14:textId="77777777" w:rsidR="00212119" w:rsidRDefault="00212119" w:rsidP="005F185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54877EE" w14:textId="77777777" w:rsidR="00212119" w:rsidRDefault="00212119" w:rsidP="00B77E4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436174255"/>
      <w:docPartObj>
        <w:docPartGallery w:val="Page Numbers (Bottom of Page)"/>
        <w:docPartUnique/>
      </w:docPartObj>
    </w:sdtPr>
    <w:sdtEndPr>
      <w:rPr>
        <w:rStyle w:val="PageNumber"/>
        <w:sz w:val="19"/>
        <w:szCs w:val="19"/>
      </w:rPr>
    </w:sdtEndPr>
    <w:sdtContent>
      <w:p w14:paraId="27990923" w14:textId="77777777" w:rsidR="00212119" w:rsidRPr="00B77E46" w:rsidRDefault="00212119" w:rsidP="005F185E">
        <w:pPr>
          <w:pStyle w:val="Footer"/>
          <w:framePr w:wrap="none" w:vAnchor="text" w:hAnchor="margin" w:xAlign="right" w:y="1"/>
          <w:rPr>
            <w:rStyle w:val="PageNumber"/>
            <w:sz w:val="19"/>
            <w:szCs w:val="19"/>
          </w:rPr>
        </w:pPr>
        <w:r w:rsidRPr="00B77E46">
          <w:rPr>
            <w:rStyle w:val="PageNumber"/>
            <w:sz w:val="19"/>
            <w:szCs w:val="19"/>
          </w:rPr>
          <w:fldChar w:fldCharType="begin"/>
        </w:r>
        <w:r w:rsidRPr="00B77E46">
          <w:rPr>
            <w:rStyle w:val="PageNumber"/>
            <w:sz w:val="19"/>
            <w:szCs w:val="19"/>
          </w:rPr>
          <w:instrText xml:space="preserve"> PAGE </w:instrText>
        </w:r>
        <w:r w:rsidRPr="00B77E46">
          <w:rPr>
            <w:rStyle w:val="PageNumber"/>
            <w:sz w:val="19"/>
            <w:szCs w:val="19"/>
          </w:rPr>
          <w:fldChar w:fldCharType="separate"/>
        </w:r>
        <w:r w:rsidRPr="00B77E46">
          <w:rPr>
            <w:rStyle w:val="PageNumber"/>
            <w:noProof/>
            <w:sz w:val="19"/>
            <w:szCs w:val="19"/>
          </w:rPr>
          <w:t>2</w:t>
        </w:r>
        <w:r w:rsidRPr="00B77E46">
          <w:rPr>
            <w:rStyle w:val="PageNumber"/>
            <w:sz w:val="19"/>
            <w:szCs w:val="19"/>
          </w:rPr>
          <w:fldChar w:fldCharType="end"/>
        </w:r>
      </w:p>
    </w:sdtContent>
  </w:sdt>
  <w:p w14:paraId="3500584F" w14:textId="77777777" w:rsidR="00212119" w:rsidRDefault="00212119" w:rsidP="00B77E46">
    <w:pPr>
      <w:pStyle w:val="Footer"/>
      <w:ind w:right="360"/>
    </w:pPr>
    <w:r w:rsidRPr="00B77E46">
      <w:rPr>
        <w:rFonts w:cs="Arial"/>
        <w:color w:val="211D1E"/>
        <w:sz w:val="19"/>
        <w:szCs w:val="19"/>
      </w:rPr>
      <w:t>ABN 81 818 839 988</w:t>
    </w:r>
    <w:r>
      <w:rPr>
        <w:noProof/>
      </w:rPr>
      <w:drawing>
        <wp:anchor distT="0" distB="0" distL="114300" distR="114300" simplePos="0" relativeHeight="251658242" behindDoc="1" locked="0" layoutInCell="1" allowOverlap="1" wp14:anchorId="465869BC" wp14:editId="48DD1DA6">
          <wp:simplePos x="0" y="0"/>
          <wp:positionH relativeFrom="column">
            <wp:posOffset>-560556</wp:posOffset>
          </wp:positionH>
          <wp:positionV relativeFrom="paragraph">
            <wp:posOffset>-2109087</wp:posOffset>
          </wp:positionV>
          <wp:extent cx="7584142" cy="2688842"/>
          <wp:effectExtent l="0" t="0" r="0" b="3810"/>
          <wp:wrapNone/>
          <wp:docPr id="324758814" name="Picture 324758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7585564" cy="2689346"/>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sz w:val="19"/>
        <w:szCs w:val="19"/>
      </w:rPr>
      <w:id w:val="-1083987545"/>
      <w:docPartObj>
        <w:docPartGallery w:val="Page Numbers (Bottom of Page)"/>
        <w:docPartUnique/>
      </w:docPartObj>
    </w:sdtPr>
    <w:sdtEndPr>
      <w:rPr>
        <w:rStyle w:val="PageNumber"/>
      </w:rPr>
    </w:sdtEndPr>
    <w:sdtContent>
      <w:p w14:paraId="0409EDCD" w14:textId="77777777" w:rsidR="00212119" w:rsidRPr="00B77E46" w:rsidRDefault="00212119" w:rsidP="005F185E">
        <w:pPr>
          <w:pStyle w:val="Footer"/>
          <w:framePr w:wrap="none" w:vAnchor="text" w:hAnchor="margin" w:xAlign="right" w:y="1"/>
          <w:rPr>
            <w:rStyle w:val="PageNumber"/>
            <w:sz w:val="19"/>
            <w:szCs w:val="19"/>
          </w:rPr>
        </w:pPr>
        <w:r w:rsidRPr="00B77E46">
          <w:rPr>
            <w:rStyle w:val="PageNumber"/>
            <w:sz w:val="19"/>
            <w:szCs w:val="19"/>
          </w:rPr>
          <w:fldChar w:fldCharType="begin"/>
        </w:r>
        <w:r w:rsidRPr="00B77E46">
          <w:rPr>
            <w:rStyle w:val="PageNumber"/>
            <w:sz w:val="19"/>
            <w:szCs w:val="19"/>
          </w:rPr>
          <w:instrText xml:space="preserve"> PAGE </w:instrText>
        </w:r>
        <w:r w:rsidRPr="00B77E46">
          <w:rPr>
            <w:rStyle w:val="PageNumber"/>
            <w:sz w:val="19"/>
            <w:szCs w:val="19"/>
          </w:rPr>
          <w:fldChar w:fldCharType="separate"/>
        </w:r>
        <w:r w:rsidRPr="00B77E46">
          <w:rPr>
            <w:rStyle w:val="PageNumber"/>
            <w:noProof/>
            <w:sz w:val="19"/>
            <w:szCs w:val="19"/>
          </w:rPr>
          <w:t>1</w:t>
        </w:r>
        <w:r w:rsidRPr="00B77E46">
          <w:rPr>
            <w:rStyle w:val="PageNumber"/>
            <w:sz w:val="19"/>
            <w:szCs w:val="19"/>
          </w:rPr>
          <w:fldChar w:fldCharType="end"/>
        </w:r>
      </w:p>
    </w:sdtContent>
  </w:sdt>
  <w:p w14:paraId="0BF48E05" w14:textId="77777777" w:rsidR="00212119" w:rsidRPr="00B77E46" w:rsidRDefault="00212119" w:rsidP="00B77E46">
    <w:pPr>
      <w:pStyle w:val="Pa1"/>
      <w:spacing w:after="120" w:line="200" w:lineRule="atLeast"/>
      <w:rPr>
        <w:rFonts w:ascii="Arial" w:hAnsi="Arial" w:cs="Arial"/>
        <w:color w:val="211D1E"/>
        <w:sz w:val="19"/>
        <w:szCs w:val="19"/>
      </w:rPr>
    </w:pPr>
    <w:r w:rsidRPr="00B77E46">
      <w:rPr>
        <w:noProof/>
        <w:sz w:val="19"/>
        <w:szCs w:val="19"/>
      </w:rPr>
      <w:drawing>
        <wp:anchor distT="0" distB="0" distL="114300" distR="114300" simplePos="0" relativeHeight="251658241" behindDoc="1" locked="0" layoutInCell="1" allowOverlap="1" wp14:anchorId="0AAD8D53" wp14:editId="3F1372BB">
          <wp:simplePos x="0" y="0"/>
          <wp:positionH relativeFrom="column">
            <wp:posOffset>-535305</wp:posOffset>
          </wp:positionH>
          <wp:positionV relativeFrom="paragraph">
            <wp:posOffset>-2025131</wp:posOffset>
          </wp:positionV>
          <wp:extent cx="7547610" cy="2675890"/>
          <wp:effectExtent l="0" t="0" r="0" b="3810"/>
          <wp:wrapNone/>
          <wp:docPr id="2025614074" name="Picture 2025614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7547610" cy="2675890"/>
                  </a:xfrm>
                  <a:prstGeom prst="rect">
                    <a:avLst/>
                  </a:prstGeom>
                </pic:spPr>
              </pic:pic>
            </a:graphicData>
          </a:graphic>
          <wp14:sizeRelH relativeFrom="page">
            <wp14:pctWidth>0</wp14:pctWidth>
          </wp14:sizeRelH>
          <wp14:sizeRelV relativeFrom="page">
            <wp14:pctHeight>0</wp14:pctHeight>
          </wp14:sizeRelV>
        </wp:anchor>
      </w:drawing>
    </w:r>
    <w:r w:rsidRPr="00B77E46">
      <w:rPr>
        <w:rFonts w:ascii="Arial" w:hAnsi="Arial" w:cs="Arial"/>
        <w:color w:val="211D1E"/>
        <w:sz w:val="19"/>
        <w:szCs w:val="19"/>
      </w:rPr>
      <w:t>ABN 81 818 839 988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9E21D1" w14:textId="77777777" w:rsidR="00F76113" w:rsidRDefault="00F76113" w:rsidP="00F76113">
      <w:pPr>
        <w:spacing w:after="0" w:line="240" w:lineRule="auto"/>
      </w:pPr>
      <w:r>
        <w:separator/>
      </w:r>
    </w:p>
  </w:footnote>
  <w:footnote w:type="continuationSeparator" w:id="0">
    <w:p w14:paraId="59A3A749" w14:textId="77777777" w:rsidR="00F76113" w:rsidRDefault="00F76113" w:rsidP="00F76113">
      <w:pPr>
        <w:spacing w:after="0" w:line="240" w:lineRule="auto"/>
      </w:pPr>
      <w:r>
        <w:continuationSeparator/>
      </w:r>
    </w:p>
  </w:footnote>
  <w:footnote w:type="continuationNotice" w:id="1">
    <w:p w14:paraId="49B1C301" w14:textId="77777777" w:rsidR="00C61D77" w:rsidRDefault="00C61D77">
      <w:pPr>
        <w:spacing w:after="0" w:line="240" w:lineRule="auto"/>
      </w:pPr>
    </w:p>
  </w:footnote>
  <w:footnote w:id="2">
    <w:p w14:paraId="426879B5" w14:textId="70063C9D" w:rsidR="00D1476F" w:rsidRPr="00DA7984" w:rsidRDefault="00E625DA" w:rsidP="00E625DA">
      <w:pPr>
        <w:pStyle w:val="FootnoteText"/>
        <w:rPr>
          <w:lang w:val="en-US"/>
        </w:rPr>
      </w:pPr>
      <w:r>
        <w:rPr>
          <w:rStyle w:val="FootnoteReference"/>
        </w:rPr>
        <w:footnoteRef/>
      </w:r>
      <w:r>
        <w:t xml:space="preserve"> </w:t>
      </w:r>
      <w:hyperlink r:id="rId1" w:history="1">
        <w:r w:rsidRPr="0017524C">
          <w:rPr>
            <w:rStyle w:val="Hyperlink"/>
            <w:lang w:val="en-US"/>
          </w:rPr>
          <w:t>Housing and homelessness</w:t>
        </w:r>
      </w:hyperlink>
      <w:r>
        <w:rPr>
          <w:lang w:val="en-US"/>
        </w:rPr>
        <w:t xml:space="preserve"> from Chapter 4 </w:t>
      </w:r>
      <w:r w:rsidRPr="009D4E9B">
        <w:rPr>
          <w:lang w:val="en-US"/>
        </w:rPr>
        <w:t>Australia’s welfare 2023: data insights</w:t>
      </w:r>
      <w:r w:rsidR="00133532">
        <w:rPr>
          <w:lang w:val="en-US"/>
        </w:rPr>
        <w:t>, Australian Institute of Health &amp; Welfare, 2024</w:t>
      </w:r>
    </w:p>
  </w:footnote>
  <w:footnote w:id="3">
    <w:p w14:paraId="087690FC" w14:textId="0E086159" w:rsidR="006C44E5" w:rsidRPr="006C44E5" w:rsidRDefault="006C44E5" w:rsidP="000D65FE">
      <w:pPr>
        <w:pStyle w:val="FootnoteText"/>
        <w:rPr>
          <w:lang w:val="en-US"/>
        </w:rPr>
      </w:pPr>
      <w:r>
        <w:rPr>
          <w:rStyle w:val="FootnoteReference"/>
        </w:rPr>
        <w:footnoteRef/>
      </w:r>
      <w:r>
        <w:t xml:space="preserve"> </w:t>
      </w:r>
      <w:r w:rsidR="000D65FE">
        <w:t>Productivity Commission</w:t>
      </w:r>
      <w:r w:rsidR="000D65FE">
        <w:t xml:space="preserve">, </w:t>
      </w:r>
      <w:hyperlink r:id="rId2" w:history="1">
        <w:r w:rsidR="000D65FE" w:rsidRPr="000D65FE">
          <w:rPr>
            <w:rStyle w:val="Hyperlink"/>
            <w:i/>
            <w:iCs/>
          </w:rPr>
          <w:t>In need of repair: The National Housing and Homelessness Agreement</w:t>
        </w:r>
      </w:hyperlink>
      <w:r w:rsidR="000D65FE">
        <w:t>,</w:t>
      </w:r>
      <w:r w:rsidR="000D65FE">
        <w:t xml:space="preserve"> Productivity Commission,</w:t>
      </w:r>
      <w:r w:rsidR="000D65FE">
        <w:t xml:space="preserve"> 2022, p.2, accessed 9 August 2024.</w:t>
      </w:r>
    </w:p>
  </w:footnote>
  <w:footnote w:id="4">
    <w:p w14:paraId="489275F6" w14:textId="04B951DC" w:rsidR="00334ADA" w:rsidRPr="00334ADA" w:rsidRDefault="00334ADA">
      <w:pPr>
        <w:pStyle w:val="FootnoteText"/>
        <w:rPr>
          <w:lang w:val="en-US"/>
        </w:rPr>
      </w:pPr>
      <w:r>
        <w:rPr>
          <w:rStyle w:val="FootnoteReference"/>
        </w:rPr>
        <w:footnoteRef/>
      </w:r>
      <w:r>
        <w:t xml:space="preserve"> See </w:t>
      </w:r>
      <w:r>
        <w:rPr>
          <w:lang w:val="en-US"/>
        </w:rPr>
        <w:t xml:space="preserve">Article 26 of the </w:t>
      </w:r>
      <w:hyperlink r:id="rId3" w:history="1">
        <w:r w:rsidRPr="00CB5756">
          <w:rPr>
            <w:rStyle w:val="Hyperlink"/>
            <w:lang w:val="en-US"/>
          </w:rPr>
          <w:t>Vienna Convention on the law of treaties</w:t>
        </w:r>
      </w:hyperlink>
      <w:r w:rsidRPr="00501009">
        <w:rPr>
          <w:lang w:val="en-US"/>
        </w:rPr>
        <w:t xml:space="preserve"> (with annex)</w:t>
      </w:r>
      <w:r>
        <w:rPr>
          <w:lang w:val="en-US"/>
        </w:rPr>
        <w:t xml:space="preserve">, </w:t>
      </w:r>
      <w:r w:rsidRPr="00501009">
        <w:rPr>
          <w:lang w:val="en-US"/>
        </w:rPr>
        <w:t>Concluded at Vienna on 23 May 196</w:t>
      </w:r>
      <w:r>
        <w:rPr>
          <w:lang w:val="en-US"/>
        </w:rPr>
        <w:t xml:space="preserve">9, UN, 27 January 1980   </w:t>
      </w:r>
    </w:p>
  </w:footnote>
  <w:footnote w:id="5">
    <w:p w14:paraId="433995BE" w14:textId="1B591E68" w:rsidR="00220A79" w:rsidRPr="00220A79" w:rsidRDefault="00220A79">
      <w:pPr>
        <w:pStyle w:val="FootnoteText"/>
        <w:rPr>
          <w:lang w:val="en-US"/>
        </w:rPr>
      </w:pPr>
      <w:r>
        <w:rPr>
          <w:rStyle w:val="FootnoteReference"/>
        </w:rPr>
        <w:footnoteRef/>
      </w:r>
      <w:r>
        <w:t xml:space="preserve"> </w:t>
      </w:r>
      <w:r w:rsidR="00AB4C16">
        <w:rPr>
          <w:lang w:val="en-US"/>
        </w:rPr>
        <w:t xml:space="preserve">Australia has not ratified the nineth – the </w:t>
      </w:r>
      <w:r w:rsidR="00AB4C16" w:rsidRPr="00AB4C16">
        <w:rPr>
          <w:lang w:val="en-US"/>
        </w:rPr>
        <w:t>International Convention on the Protection of the Rights of All Migrant Workers and Members of Their Families</w:t>
      </w:r>
      <w:r w:rsidR="00AB4C16">
        <w:rPr>
          <w:lang w:val="en-US"/>
        </w:rPr>
        <w:t xml:space="preserve">. See </w:t>
      </w:r>
      <w:hyperlink r:id="rId4" w:history="1">
        <w:r w:rsidR="00601020" w:rsidRPr="003B3E48">
          <w:rPr>
            <w:rStyle w:val="Hyperlink"/>
            <w:lang w:val="en-US"/>
          </w:rPr>
          <w:t>The Core International Human Rights Instruments and their monitoring bodies</w:t>
        </w:r>
      </w:hyperlink>
      <w:r w:rsidR="00312AF3">
        <w:rPr>
          <w:lang w:val="en-US"/>
        </w:rPr>
        <w:t>, O</w:t>
      </w:r>
      <w:r w:rsidR="0007498D">
        <w:rPr>
          <w:lang w:val="en-US"/>
        </w:rPr>
        <w:t>HCHR</w:t>
      </w:r>
      <w:r w:rsidR="00127BED">
        <w:rPr>
          <w:lang w:val="en-US"/>
        </w:rPr>
        <w:t>, 2024</w:t>
      </w:r>
      <w:r w:rsidR="00AB4C16">
        <w:rPr>
          <w:lang w:val="en-US"/>
        </w:rPr>
        <w:t xml:space="preserve"> </w:t>
      </w:r>
    </w:p>
  </w:footnote>
  <w:footnote w:id="6">
    <w:p w14:paraId="5C152FCB" w14:textId="2A2277B3" w:rsidR="00880129" w:rsidRPr="00880129" w:rsidRDefault="00880129">
      <w:pPr>
        <w:pStyle w:val="FootnoteText"/>
        <w:rPr>
          <w:lang w:val="en-US"/>
        </w:rPr>
      </w:pPr>
      <w:r>
        <w:rPr>
          <w:rStyle w:val="FootnoteReference"/>
        </w:rPr>
        <w:footnoteRef/>
      </w:r>
      <w:hyperlink r:id="rId5" w:history="1">
        <w:r w:rsidRPr="004577EB">
          <w:rPr>
            <w:rStyle w:val="Hyperlink"/>
          </w:rPr>
          <w:t xml:space="preserve">Covenant </w:t>
        </w:r>
        <w:r w:rsidR="00C727B1" w:rsidRPr="004577EB">
          <w:rPr>
            <w:rStyle w:val="Hyperlink"/>
          </w:rPr>
          <w:t>on Economic Social &amp; Cultural Rights</w:t>
        </w:r>
      </w:hyperlink>
      <w:r w:rsidR="00C727B1">
        <w:t>,</w:t>
      </w:r>
      <w:r w:rsidR="00474FDE">
        <w:t xml:space="preserve"> UN</w:t>
      </w:r>
      <w:r w:rsidR="004577EB">
        <w:t xml:space="preserve"> OHCHR, </w:t>
      </w:r>
      <w:r w:rsidR="001F1EED">
        <w:t xml:space="preserve">adopted 16 December 1966, </w:t>
      </w:r>
      <w:r w:rsidR="00C727B1">
        <w:t xml:space="preserve">emphasis added. </w:t>
      </w:r>
      <w:r>
        <w:t xml:space="preserve"> </w:t>
      </w:r>
    </w:p>
  </w:footnote>
  <w:footnote w:id="7">
    <w:p w14:paraId="55FEC243" w14:textId="2188BAE3" w:rsidR="00F240F0" w:rsidRPr="00F240F0" w:rsidRDefault="00F240F0">
      <w:pPr>
        <w:pStyle w:val="FootnoteText"/>
        <w:rPr>
          <w:lang w:val="en-US"/>
        </w:rPr>
      </w:pPr>
      <w:r>
        <w:rPr>
          <w:rStyle w:val="FootnoteReference"/>
        </w:rPr>
        <w:footnoteRef/>
      </w:r>
      <w:r>
        <w:t xml:space="preserve"> </w:t>
      </w:r>
      <w:hyperlink r:id="rId6" w:history="1">
        <w:r w:rsidR="00B75CE3" w:rsidRPr="00850111">
          <w:rPr>
            <w:rStyle w:val="Hyperlink"/>
            <w:lang w:val="en-US"/>
          </w:rPr>
          <w:t>2030 Agenda for Sustainable Development</w:t>
        </w:r>
      </w:hyperlink>
      <w:r w:rsidR="00B75CE3">
        <w:rPr>
          <w:lang w:val="en-US"/>
        </w:rPr>
        <w:t xml:space="preserve"> Department of Foreign Affairs &amp; Trade</w:t>
      </w:r>
      <w:r w:rsidR="003E34A0">
        <w:rPr>
          <w:lang w:val="en-US"/>
        </w:rPr>
        <w:t>, no date. Accessed 7 August 2024</w:t>
      </w:r>
    </w:p>
  </w:footnote>
  <w:footnote w:id="8">
    <w:p w14:paraId="2C439F64" w14:textId="4278B180" w:rsidR="004A4340" w:rsidRPr="004A4340" w:rsidRDefault="004A4340">
      <w:pPr>
        <w:pStyle w:val="FootnoteText"/>
        <w:rPr>
          <w:lang w:val="en-US"/>
        </w:rPr>
      </w:pPr>
      <w:r>
        <w:rPr>
          <w:rStyle w:val="FootnoteReference"/>
        </w:rPr>
        <w:footnoteRef/>
      </w:r>
      <w:r>
        <w:t xml:space="preserve"> </w:t>
      </w:r>
      <w:r>
        <w:rPr>
          <w:lang w:val="en-US"/>
        </w:rPr>
        <w:t xml:space="preserve">Cited in </w:t>
      </w:r>
      <w:hyperlink r:id="rId7" w:history="1">
        <w:r w:rsidR="00DC7504" w:rsidRPr="007A66C2">
          <w:rPr>
            <w:rStyle w:val="Hyperlink"/>
            <w:lang w:val="en-US"/>
          </w:rPr>
          <w:t>Towards an Australian Housing and Homelessness Strategy: understanding national approaches in contemporary policy</w:t>
        </w:r>
      </w:hyperlink>
      <w:r w:rsidR="00DC7504" w:rsidRPr="007A66C2">
        <w:rPr>
          <w:lang w:val="en-US"/>
        </w:rPr>
        <w:t xml:space="preserve">, </w:t>
      </w:r>
      <w:r w:rsidR="00DC7504">
        <w:rPr>
          <w:lang w:val="en-US"/>
        </w:rPr>
        <w:t xml:space="preserve">Martin C, et  al,  2023, </w:t>
      </w:r>
      <w:r w:rsidR="00DC7504" w:rsidRPr="007A66C2">
        <w:rPr>
          <w:lang w:val="en-US"/>
        </w:rPr>
        <w:t>AHURI Final Report No. 401, Australian Housing and Urban Research Institute</w:t>
      </w:r>
      <w:r w:rsidR="00DC7504">
        <w:rPr>
          <w:lang w:val="en-US"/>
        </w:rPr>
        <w:t xml:space="preserve"> </w:t>
      </w:r>
      <w:r w:rsidR="00DC7504" w:rsidRPr="007A66C2">
        <w:rPr>
          <w:lang w:val="en-US"/>
        </w:rPr>
        <w:t>Limited, Melbourne</w:t>
      </w:r>
      <w:r w:rsidR="00DC7504">
        <w:rPr>
          <w:lang w:val="en-US"/>
        </w:rPr>
        <w:t>, p17</w:t>
      </w:r>
    </w:p>
  </w:footnote>
  <w:footnote w:id="9">
    <w:p w14:paraId="644987A1" w14:textId="598895C3" w:rsidR="00074DD4" w:rsidRPr="00074DD4" w:rsidRDefault="00074DD4">
      <w:pPr>
        <w:pStyle w:val="FootnoteText"/>
        <w:rPr>
          <w:lang w:val="en-US"/>
        </w:rPr>
      </w:pPr>
      <w:r>
        <w:rPr>
          <w:rStyle w:val="FootnoteReference"/>
        </w:rPr>
        <w:footnoteRef/>
      </w:r>
      <w:r>
        <w:t xml:space="preserve"> </w:t>
      </w:r>
      <w:hyperlink r:id="rId8" w:history="1">
        <w:r w:rsidR="00686466" w:rsidRPr="00C50A97">
          <w:rPr>
            <w:rStyle w:val="Hyperlink"/>
          </w:rPr>
          <w:t>Quad Foreign Ministers’ Meeting Joint Statement</w:t>
        </w:r>
      </w:hyperlink>
      <w:r w:rsidR="00686466" w:rsidRPr="00686466">
        <w:t>, Tokyo</w:t>
      </w:r>
      <w:r w:rsidR="00C50A97">
        <w:t>, Joint Statement, 29 July 2024</w:t>
      </w:r>
      <w:r w:rsidR="003D12AC">
        <w:t>, emphasis added.</w:t>
      </w:r>
      <w:r w:rsidR="00C50A97">
        <w:t xml:space="preserve"> </w:t>
      </w:r>
    </w:p>
  </w:footnote>
  <w:footnote w:id="10">
    <w:p w14:paraId="1F8B055C" w14:textId="1EA35758" w:rsidR="004F5CDB" w:rsidRPr="004F5CDB" w:rsidRDefault="004F5CDB">
      <w:pPr>
        <w:pStyle w:val="FootnoteText"/>
        <w:rPr>
          <w:lang w:val="en-US"/>
        </w:rPr>
      </w:pPr>
      <w:r>
        <w:rPr>
          <w:rStyle w:val="FootnoteReference"/>
        </w:rPr>
        <w:footnoteRef/>
      </w:r>
      <w:r>
        <w:t xml:space="preserve"> </w:t>
      </w:r>
      <w:hyperlink r:id="rId9" w:history="1">
        <w:r w:rsidR="009745D1" w:rsidRPr="009745D1">
          <w:rPr>
            <w:rStyle w:val="Hyperlink"/>
          </w:rPr>
          <w:t>Guidelines for the implementation of the right to adequate housing</w:t>
        </w:r>
      </w:hyperlink>
      <w:r w:rsidR="009745D1">
        <w:t xml:space="preserve"> </w:t>
      </w:r>
      <w:r w:rsidR="00B6181E">
        <w:t>UN Special Rapporteur on adequate housing</w:t>
      </w:r>
      <w:r w:rsidR="0062760B">
        <w:t>,</w:t>
      </w:r>
      <w:r w:rsidR="00884C54">
        <w:t xml:space="preserve"> OHCHR, </w:t>
      </w:r>
      <w:r w:rsidR="00884C54" w:rsidRPr="00884C54">
        <w:t>26 December 2019</w:t>
      </w:r>
      <w:r w:rsidR="006E4E1D">
        <w:t>, para.</w:t>
      </w:r>
      <w:r w:rsidR="00983FE9">
        <w:t xml:space="preserve"> 9</w:t>
      </w:r>
    </w:p>
  </w:footnote>
  <w:footnote w:id="11">
    <w:p w14:paraId="5B3C717B" w14:textId="3F0C63CC" w:rsidR="008970BB" w:rsidRPr="008970BB" w:rsidRDefault="008970BB">
      <w:pPr>
        <w:pStyle w:val="FootnoteText"/>
        <w:rPr>
          <w:lang w:val="en-US"/>
        </w:rPr>
      </w:pPr>
      <w:r>
        <w:rPr>
          <w:rStyle w:val="FootnoteReference"/>
        </w:rPr>
        <w:footnoteRef/>
      </w:r>
      <w:r>
        <w:t xml:space="preserve"> </w:t>
      </w:r>
      <w:hyperlink r:id="rId10" w:history="1">
        <w:r w:rsidR="00E87833" w:rsidRPr="009745D1">
          <w:rPr>
            <w:rStyle w:val="Hyperlink"/>
          </w:rPr>
          <w:t>Guidelines for the implementation of the right to adequate housing</w:t>
        </w:r>
      </w:hyperlink>
      <w:r w:rsidR="00E87833">
        <w:t xml:space="preserve"> UN Special Rapporteur on adequate housing, OHCHR, </w:t>
      </w:r>
      <w:r w:rsidR="00E87833" w:rsidRPr="00884C54">
        <w:t>26 December 2019</w:t>
      </w:r>
      <w:r w:rsidR="00E87833">
        <w:t>, para. 14</w:t>
      </w:r>
    </w:p>
  </w:footnote>
  <w:footnote w:id="12">
    <w:p w14:paraId="6EB8290A" w14:textId="764A1DFD" w:rsidR="001F0689" w:rsidRPr="001F0689" w:rsidRDefault="001F0689">
      <w:pPr>
        <w:pStyle w:val="FootnoteText"/>
        <w:rPr>
          <w:lang w:val="en-US"/>
        </w:rPr>
      </w:pPr>
      <w:r>
        <w:rPr>
          <w:rStyle w:val="FootnoteReference"/>
        </w:rPr>
        <w:footnoteRef/>
      </w:r>
      <w:r>
        <w:t xml:space="preserve"> </w:t>
      </w:r>
      <w:hyperlink r:id="rId11" w:history="1">
        <w:r w:rsidRPr="009745D1">
          <w:rPr>
            <w:rStyle w:val="Hyperlink"/>
          </w:rPr>
          <w:t>Guidelines for the implementation of the right to adequate housing</w:t>
        </w:r>
      </w:hyperlink>
      <w:r>
        <w:t xml:space="preserve"> UN Special Rapporteur on adequate housing, OHCHR, </w:t>
      </w:r>
      <w:r w:rsidRPr="00884C54">
        <w:t>26 December 2019</w:t>
      </w:r>
      <w:r>
        <w:t>, para. 15</w:t>
      </w:r>
    </w:p>
  </w:footnote>
  <w:footnote w:id="13">
    <w:p w14:paraId="7F1035F3" w14:textId="0D4CF542" w:rsidR="00B61AD6" w:rsidRPr="00B61AD6" w:rsidRDefault="00B61AD6">
      <w:pPr>
        <w:pStyle w:val="FootnoteText"/>
        <w:rPr>
          <w:lang w:val="en-US"/>
        </w:rPr>
      </w:pPr>
      <w:r>
        <w:rPr>
          <w:rStyle w:val="FootnoteReference"/>
        </w:rPr>
        <w:footnoteRef/>
      </w:r>
      <w:r>
        <w:t xml:space="preserve"> </w:t>
      </w:r>
      <w:r>
        <w:rPr>
          <w:lang w:val="en-US"/>
        </w:rPr>
        <w:t xml:space="preserve">From </w:t>
      </w:r>
      <w:hyperlink r:id="rId12" w:history="1">
        <w:r w:rsidR="006D1FF0" w:rsidRPr="006D1FF0">
          <w:rPr>
            <w:rStyle w:val="Hyperlink"/>
            <w:lang w:val="en-US"/>
          </w:rPr>
          <w:t>The right to housing: A mission-oriented and human rights approach</w:t>
        </w:r>
      </w:hyperlink>
      <w:r w:rsidR="00067DB4">
        <w:rPr>
          <w:lang w:val="en-US"/>
        </w:rPr>
        <w:t xml:space="preserve"> Mazzucato</w:t>
      </w:r>
      <w:r w:rsidR="00A10C78">
        <w:rPr>
          <w:lang w:val="en-US"/>
        </w:rPr>
        <w:t xml:space="preserve"> </w:t>
      </w:r>
      <w:r w:rsidR="00067DB4">
        <w:rPr>
          <w:lang w:val="en-US"/>
        </w:rPr>
        <w:t>M &amp; Farha L, Working Paper 2023/01</w:t>
      </w:r>
      <w:r w:rsidR="00DE786C">
        <w:rPr>
          <w:lang w:val="en-US"/>
        </w:rPr>
        <w:t xml:space="preserve">, Council on Urban </w:t>
      </w:r>
      <w:r w:rsidR="00CA558B">
        <w:rPr>
          <w:lang w:val="en-US"/>
        </w:rPr>
        <w:t>Initiatives, p13</w:t>
      </w:r>
      <w:r w:rsidR="00502FA7">
        <w:rPr>
          <w:lang w:val="en-US"/>
        </w:rPr>
        <w:t xml:space="preserve">. Note that </w:t>
      </w:r>
      <w:r w:rsidR="003D291D">
        <w:rPr>
          <w:lang w:val="en-US"/>
        </w:rPr>
        <w:t>Leilani Farha served as the UN Special Rapporteur on the Right to Housing from 2014 to 2020.</w:t>
      </w:r>
    </w:p>
  </w:footnote>
  <w:footnote w:id="14">
    <w:p w14:paraId="3651718F" w14:textId="226ADC5A" w:rsidR="009D3DE7" w:rsidRPr="009D3DE7" w:rsidRDefault="009D3DE7">
      <w:pPr>
        <w:pStyle w:val="FootnoteText"/>
        <w:rPr>
          <w:lang w:val="en-US"/>
        </w:rPr>
      </w:pPr>
      <w:r>
        <w:rPr>
          <w:rStyle w:val="FootnoteReference"/>
        </w:rPr>
        <w:footnoteRef/>
      </w:r>
      <w:r>
        <w:t xml:space="preserve"> </w:t>
      </w:r>
    </w:p>
  </w:footnote>
  <w:footnote w:id="15">
    <w:p w14:paraId="33ABDECB" w14:textId="77777777" w:rsidR="00C96A5A" w:rsidRPr="00E17CB7" w:rsidRDefault="00C96A5A" w:rsidP="00C96A5A">
      <w:pPr>
        <w:pStyle w:val="FootnoteText"/>
        <w:rPr>
          <w:lang w:val="en-US"/>
        </w:rPr>
      </w:pPr>
      <w:r>
        <w:rPr>
          <w:rStyle w:val="FootnoteReference"/>
        </w:rPr>
        <w:footnoteRef/>
      </w:r>
      <w:r>
        <w:t xml:space="preserve"> </w:t>
      </w:r>
      <w:hyperlink r:id="rId13" w:history="1">
        <w:r w:rsidRPr="003610B0">
          <w:rPr>
            <w:rStyle w:val="Hyperlink"/>
          </w:rPr>
          <w:t>Australia's housing crisis in 10 graphs, from the federal budget</w:t>
        </w:r>
      </w:hyperlink>
      <w:r>
        <w:t xml:space="preserve"> Hutchens G, ABC, 15 May 2024</w:t>
      </w:r>
    </w:p>
  </w:footnote>
  <w:footnote w:id="16">
    <w:p w14:paraId="0F083416" w14:textId="38F4FE54" w:rsidR="009D75F7" w:rsidRPr="009D75F7" w:rsidRDefault="009D75F7">
      <w:pPr>
        <w:pStyle w:val="FootnoteText"/>
        <w:rPr>
          <w:lang w:val="en-US"/>
        </w:rPr>
      </w:pPr>
      <w:r>
        <w:rPr>
          <w:rStyle w:val="FootnoteReference"/>
        </w:rPr>
        <w:footnoteRef/>
      </w:r>
      <w:r>
        <w:t xml:space="preserve"> </w:t>
      </w:r>
      <w:hyperlink r:id="rId14" w:history="1">
        <w:r w:rsidR="00BB5C5C" w:rsidRPr="00BB5C5C">
          <w:rPr>
            <w:rStyle w:val="Hyperlink"/>
          </w:rPr>
          <w:t>Shaping Australia’s National Housing and Homelessness Plan</w:t>
        </w:r>
      </w:hyperlink>
      <w:r w:rsidR="003A417C">
        <w:t xml:space="preserve"> Minister for Housing</w:t>
      </w:r>
      <w:r w:rsidR="00494948">
        <w:t xml:space="preserve">, Treasury Portfolio, 7 August 2023, </w:t>
      </w:r>
    </w:p>
  </w:footnote>
  <w:footnote w:id="17">
    <w:p w14:paraId="75231842" w14:textId="77777777" w:rsidR="00FB7543" w:rsidRPr="00914711" w:rsidRDefault="00FB7543" w:rsidP="00FB7543">
      <w:pPr>
        <w:pStyle w:val="FootnoteText"/>
        <w:rPr>
          <w:lang w:val="en-US"/>
        </w:rPr>
      </w:pPr>
      <w:r>
        <w:rPr>
          <w:rStyle w:val="FootnoteReference"/>
        </w:rPr>
        <w:footnoteRef/>
      </w:r>
      <w:r>
        <w:t xml:space="preserve"> </w:t>
      </w:r>
      <w:r>
        <w:rPr>
          <w:lang w:val="en-US"/>
        </w:rPr>
        <w:t xml:space="preserve">See mission-oriented approach to housing in </w:t>
      </w:r>
      <w:hyperlink r:id="rId15" w:history="1">
        <w:r w:rsidRPr="006D1FF0">
          <w:rPr>
            <w:rStyle w:val="Hyperlink"/>
            <w:lang w:val="en-US"/>
          </w:rPr>
          <w:t>The right to housing: A mission-oriented and human rights approach</w:t>
        </w:r>
      </w:hyperlink>
      <w:r>
        <w:rPr>
          <w:lang w:val="en-US"/>
        </w:rPr>
        <w:t xml:space="preserve"> Mazzucato M &amp; Farha L, 2023, Working Paper 2023/01, Council on Urban Initiatives, and in </w:t>
      </w:r>
      <w:hyperlink r:id="rId16" w:history="1">
        <w:r w:rsidRPr="007A66C2">
          <w:rPr>
            <w:rStyle w:val="Hyperlink"/>
            <w:lang w:val="en-US"/>
          </w:rPr>
          <w:t>Towards an Australian Housing and Homelessness Strategy: understanding national approaches in contemporary policy</w:t>
        </w:r>
      </w:hyperlink>
      <w:r w:rsidRPr="007A66C2">
        <w:rPr>
          <w:lang w:val="en-US"/>
        </w:rPr>
        <w:t xml:space="preserve">, </w:t>
      </w:r>
      <w:r>
        <w:rPr>
          <w:lang w:val="en-US"/>
        </w:rPr>
        <w:t xml:space="preserve">Martin C, et  al,  2023, </w:t>
      </w:r>
      <w:r w:rsidRPr="007A66C2">
        <w:rPr>
          <w:lang w:val="en-US"/>
        </w:rPr>
        <w:t>AHURI Final Report No. 401, Australian Housing and Urban Research Institute</w:t>
      </w:r>
      <w:r>
        <w:rPr>
          <w:lang w:val="en-US"/>
        </w:rPr>
        <w:t xml:space="preserve"> </w:t>
      </w:r>
      <w:r w:rsidRPr="007A66C2">
        <w:rPr>
          <w:lang w:val="en-US"/>
        </w:rPr>
        <w:t>Limited, Melbourne</w:t>
      </w:r>
    </w:p>
  </w:footnote>
  <w:footnote w:id="18">
    <w:p w14:paraId="172D24E8" w14:textId="77777777" w:rsidR="00F905B2" w:rsidRDefault="00F905B2" w:rsidP="00F905B2">
      <w:pPr>
        <w:pStyle w:val="FootnoteText"/>
      </w:pPr>
      <w:r>
        <w:rPr>
          <w:rStyle w:val="FootnoteReference"/>
        </w:rPr>
        <w:footnoteRef/>
      </w:r>
      <w:r>
        <w:t xml:space="preserve"> Emeritus Professor Rosalind Croucher (2024) </w:t>
      </w:r>
      <w:hyperlink r:id="rId17" w:history="1">
        <w:r w:rsidRPr="004E011A">
          <w:rPr>
            <w:rStyle w:val="Hyperlink"/>
          </w:rPr>
          <w:t>Free + Equal: safeguarding the rights of all Australians</w:t>
        </w:r>
      </w:hyperlink>
      <w:r>
        <w:t xml:space="preserve"> Address to the National Press Club, Canberra, 3  July 2024 </w:t>
      </w:r>
    </w:p>
  </w:footnote>
  <w:footnote w:id="19">
    <w:p w14:paraId="34619F2B" w14:textId="21697638" w:rsidR="00E9713F" w:rsidRPr="00E9713F" w:rsidRDefault="00E9713F">
      <w:pPr>
        <w:pStyle w:val="FootnoteText"/>
        <w:rPr>
          <w:lang w:val="en-US"/>
        </w:rPr>
      </w:pPr>
      <w:r>
        <w:rPr>
          <w:rStyle w:val="FootnoteReference"/>
        </w:rPr>
        <w:footnoteRef/>
      </w:r>
      <w:r>
        <w:t xml:space="preserve"> </w:t>
      </w:r>
      <w:hyperlink r:id="rId18" w:history="1">
        <w:r w:rsidRPr="009745D1">
          <w:rPr>
            <w:rStyle w:val="Hyperlink"/>
          </w:rPr>
          <w:t>Guidelines for the implementation of the right to adequate housing</w:t>
        </w:r>
      </w:hyperlink>
      <w:r>
        <w:t xml:space="preserve"> UN Special Rapporteur on adequate housing, OHCHR, </w:t>
      </w:r>
      <w:r w:rsidRPr="00884C54">
        <w:t>26 December 2019</w:t>
      </w:r>
      <w:r>
        <w:t>, para</w:t>
      </w:r>
      <w:r w:rsidR="007021E2">
        <w:t>s. 80-83</w:t>
      </w:r>
    </w:p>
  </w:footnote>
  <w:footnote w:id="20">
    <w:p w14:paraId="71C215C4" w14:textId="5F4F2294" w:rsidR="00BD087D" w:rsidRPr="00BD087D" w:rsidRDefault="00BD087D">
      <w:pPr>
        <w:pStyle w:val="FootnoteText"/>
        <w:rPr>
          <w:lang w:val="en-US"/>
        </w:rPr>
      </w:pPr>
      <w:r>
        <w:rPr>
          <w:rStyle w:val="FootnoteReference"/>
        </w:rPr>
        <w:footnoteRef/>
      </w:r>
      <w:r>
        <w:t xml:space="preserve"> </w:t>
      </w:r>
      <w:hyperlink r:id="rId19" w:history="1">
        <w:r w:rsidRPr="009745D1">
          <w:rPr>
            <w:rStyle w:val="Hyperlink"/>
          </w:rPr>
          <w:t>Guidelines for the implementation of the right to adequate housing</w:t>
        </w:r>
      </w:hyperlink>
      <w:r>
        <w:t xml:space="preserve"> UN Special Rapporteur on adequate housing, OHCHR, </w:t>
      </w:r>
      <w:r w:rsidRPr="00884C54">
        <w:t>26 December 2019</w:t>
      </w:r>
      <w:r>
        <w:t xml:space="preserve">, para. </w:t>
      </w:r>
      <w:r w:rsidR="004427AD">
        <w:t xml:space="preserve">83(b). </w:t>
      </w:r>
    </w:p>
  </w:footnote>
  <w:footnote w:id="21">
    <w:p w14:paraId="3268AF03" w14:textId="1AD86171" w:rsidR="00E62E85" w:rsidRPr="00E62E85" w:rsidRDefault="00E62E85">
      <w:pPr>
        <w:pStyle w:val="FootnoteText"/>
        <w:rPr>
          <w:lang w:val="en-US"/>
        </w:rPr>
      </w:pPr>
      <w:r>
        <w:rPr>
          <w:rStyle w:val="FootnoteReference"/>
        </w:rPr>
        <w:footnoteRef/>
      </w:r>
      <w:r>
        <w:t xml:space="preserve"> </w:t>
      </w:r>
      <w:hyperlink r:id="rId20" w:history="1">
        <w:r w:rsidRPr="007A66C2">
          <w:rPr>
            <w:rStyle w:val="Hyperlink"/>
            <w:lang w:val="en-US"/>
          </w:rPr>
          <w:t>Towards an Australian Housing and Homelessness Strategy: understanding national approaches in contemporary policy</w:t>
        </w:r>
      </w:hyperlink>
      <w:r w:rsidRPr="007A66C2">
        <w:rPr>
          <w:lang w:val="en-US"/>
        </w:rPr>
        <w:t xml:space="preserve">, </w:t>
      </w:r>
      <w:r>
        <w:rPr>
          <w:lang w:val="en-US"/>
        </w:rPr>
        <w:t>Martin C, et al.</w:t>
      </w:r>
      <w:r w:rsidR="00164C83">
        <w:rPr>
          <w:lang w:val="en-US"/>
        </w:rPr>
        <w:t>, 2023</w:t>
      </w:r>
      <w:r>
        <w:rPr>
          <w:lang w:val="en-US"/>
        </w:rPr>
        <w:t>,</w:t>
      </w:r>
      <w:r w:rsidR="005F071C">
        <w:rPr>
          <w:lang w:val="en-US"/>
        </w:rPr>
        <w:t xml:space="preserve"> </w:t>
      </w:r>
      <w:r w:rsidRPr="007A66C2">
        <w:rPr>
          <w:lang w:val="en-US"/>
        </w:rPr>
        <w:t>AHURI Final Report No. 401, Australian Housing and Urban Research Institute</w:t>
      </w:r>
      <w:r>
        <w:rPr>
          <w:lang w:val="en-US"/>
        </w:rPr>
        <w:t xml:space="preserve"> </w:t>
      </w:r>
      <w:r w:rsidRPr="007A66C2">
        <w:rPr>
          <w:lang w:val="en-US"/>
        </w:rPr>
        <w:t>Limited, Melbourne</w:t>
      </w:r>
      <w:r>
        <w:rPr>
          <w:lang w:val="en-US"/>
        </w:rPr>
        <w:t>, p5</w:t>
      </w:r>
    </w:p>
  </w:footnote>
  <w:footnote w:id="22">
    <w:p w14:paraId="43825CB3" w14:textId="55D18063" w:rsidR="004A4D83" w:rsidRPr="004A4D83" w:rsidRDefault="004A4D83">
      <w:pPr>
        <w:pStyle w:val="FootnoteText"/>
        <w:rPr>
          <w:lang w:val="en-US"/>
        </w:rPr>
      </w:pPr>
      <w:r>
        <w:rPr>
          <w:rStyle w:val="FootnoteReference"/>
        </w:rPr>
        <w:footnoteRef/>
      </w:r>
      <w:r>
        <w:t xml:space="preserve"> </w:t>
      </w:r>
      <w:hyperlink r:id="rId21" w:history="1">
        <w:r w:rsidR="00265560" w:rsidRPr="005D6560">
          <w:rPr>
            <w:rStyle w:val="Hyperlink"/>
          </w:rPr>
          <w:t>Economic Inclusion Advisory Committee</w:t>
        </w:r>
      </w:hyperlink>
      <w:r w:rsidR="00265560">
        <w:t xml:space="preserve"> </w:t>
      </w:r>
      <w:r w:rsidR="00265560">
        <w:rPr>
          <w:lang w:val="en-US"/>
        </w:rPr>
        <w:t xml:space="preserve">Department of </w:t>
      </w:r>
      <w:r w:rsidR="005D6560">
        <w:rPr>
          <w:lang w:val="en-US"/>
        </w:rPr>
        <w:t xml:space="preserve">Social </w:t>
      </w:r>
      <w:r w:rsidR="00414B90">
        <w:rPr>
          <w:lang w:val="en-US"/>
        </w:rPr>
        <w:t xml:space="preserve">Services, </w:t>
      </w:r>
      <w:r w:rsidR="00FC2D05">
        <w:rPr>
          <w:lang w:val="en-US"/>
        </w:rPr>
        <w:t>accessed 8 August 2024</w:t>
      </w:r>
    </w:p>
  </w:footnote>
  <w:footnote w:id="23">
    <w:p w14:paraId="182603E1" w14:textId="4670A813" w:rsidR="005F0C5E" w:rsidRPr="005F0C5E" w:rsidRDefault="005F0C5E">
      <w:pPr>
        <w:pStyle w:val="FootnoteText"/>
        <w:rPr>
          <w:lang w:val="en-US"/>
        </w:rPr>
      </w:pPr>
      <w:r>
        <w:rPr>
          <w:rStyle w:val="FootnoteReference"/>
        </w:rPr>
        <w:footnoteRef/>
      </w:r>
      <w:r>
        <w:t xml:space="preserve"> </w:t>
      </w:r>
      <w:hyperlink r:id="rId22" w:history="1">
        <w:r w:rsidRPr="00351176">
          <w:rPr>
            <w:rStyle w:val="Hyperlink"/>
          </w:rPr>
          <w:t>Supporting the most vulnerable in our community</w:t>
        </w:r>
      </w:hyperlink>
      <w:r w:rsidR="00681F59">
        <w:t xml:space="preserve"> Minister Amanda Rushworth, Department of Social Services, </w:t>
      </w:r>
      <w:r w:rsidR="00C22F64">
        <w:t>26 April 2024</w:t>
      </w:r>
      <w:r w:rsidR="00681F59">
        <w:t xml:space="preserve"> </w:t>
      </w:r>
    </w:p>
  </w:footnote>
  <w:footnote w:id="24">
    <w:p w14:paraId="593FF50F" w14:textId="74DFBFC7" w:rsidR="00C34E30" w:rsidRPr="00C34E30" w:rsidRDefault="00C34E30">
      <w:pPr>
        <w:pStyle w:val="FootnoteText"/>
        <w:rPr>
          <w:lang w:val="en-US"/>
        </w:rPr>
      </w:pPr>
      <w:r>
        <w:rPr>
          <w:rStyle w:val="FootnoteReference"/>
        </w:rPr>
        <w:footnoteRef/>
      </w:r>
      <w:r>
        <w:t xml:space="preserve"> </w:t>
      </w:r>
      <w:hyperlink r:id="rId23" w:history="1">
        <w:r w:rsidRPr="00C34E30">
          <w:rPr>
            <w:rStyle w:val="Hyperlink"/>
          </w:rPr>
          <w:t>Interim Economic Inclusion Advisory Committee 2023–24 Report to Government</w:t>
        </w:r>
      </w:hyperlink>
      <w:r w:rsidR="000C5AAF">
        <w:t xml:space="preserve"> Department of Social Services, 2023</w:t>
      </w:r>
    </w:p>
  </w:footnote>
  <w:footnote w:id="25">
    <w:p w14:paraId="72DAC2EF" w14:textId="06275B08" w:rsidR="00F42481" w:rsidRPr="00914711" w:rsidRDefault="00AC367F" w:rsidP="00F42481">
      <w:pPr>
        <w:pStyle w:val="FootnoteText"/>
        <w:rPr>
          <w:lang w:val="en-US"/>
        </w:rPr>
      </w:pPr>
      <w:r>
        <w:rPr>
          <w:rStyle w:val="FootnoteReference"/>
        </w:rPr>
        <w:footnoteRef/>
      </w:r>
      <w:r>
        <w:t xml:space="preserve"> </w:t>
      </w:r>
      <w:hyperlink r:id="rId24" w:history="1">
        <w:r w:rsidR="00F42481" w:rsidRPr="007A66C2">
          <w:rPr>
            <w:rStyle w:val="Hyperlink"/>
            <w:lang w:val="en-US"/>
          </w:rPr>
          <w:t>Towards an Australian Housing and Homelessness Strategy: understanding national approaches in contemporary policy</w:t>
        </w:r>
      </w:hyperlink>
      <w:r w:rsidR="00F42481" w:rsidRPr="007A66C2">
        <w:rPr>
          <w:lang w:val="en-US"/>
        </w:rPr>
        <w:t xml:space="preserve">, </w:t>
      </w:r>
      <w:r w:rsidR="00F42481">
        <w:rPr>
          <w:lang w:val="en-US"/>
        </w:rPr>
        <w:t xml:space="preserve">Martin C, </w:t>
      </w:r>
      <w:proofErr w:type="gramStart"/>
      <w:r w:rsidR="00F42481">
        <w:rPr>
          <w:lang w:val="en-US"/>
        </w:rPr>
        <w:t>et  al</w:t>
      </w:r>
      <w:proofErr w:type="gramEnd"/>
      <w:r w:rsidR="00F42481">
        <w:rPr>
          <w:lang w:val="en-US"/>
        </w:rPr>
        <w:t xml:space="preserve">,  2023, </w:t>
      </w:r>
      <w:r w:rsidR="00F42481" w:rsidRPr="007A66C2">
        <w:rPr>
          <w:lang w:val="en-US"/>
        </w:rPr>
        <w:t>AHURI Final Report No. 401, Australian Housing and Urban Research Institute</w:t>
      </w:r>
      <w:r w:rsidR="00F42481">
        <w:rPr>
          <w:lang w:val="en-US"/>
        </w:rPr>
        <w:t xml:space="preserve"> </w:t>
      </w:r>
      <w:r w:rsidR="00F42481" w:rsidRPr="007A66C2">
        <w:rPr>
          <w:lang w:val="en-US"/>
        </w:rPr>
        <w:t>Limited, Melbourne</w:t>
      </w:r>
      <w:r w:rsidR="00F42481">
        <w:rPr>
          <w:lang w:val="en-US"/>
        </w:rPr>
        <w:t>,</w:t>
      </w:r>
      <w:r w:rsidR="003E3113">
        <w:rPr>
          <w:lang w:val="en-US"/>
        </w:rPr>
        <w:t>p53</w:t>
      </w:r>
    </w:p>
    <w:p w14:paraId="2EE86B81" w14:textId="4D7552E5" w:rsidR="00AC367F" w:rsidRPr="00AC367F" w:rsidRDefault="00AC367F">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8D865D" w14:textId="77777777" w:rsidR="00212119" w:rsidRDefault="00212119" w:rsidP="00B50635">
    <w:pPr>
      <w:pStyle w:val="Header"/>
      <w:tabs>
        <w:tab w:val="clear" w:pos="4513"/>
        <w:tab w:val="clear" w:pos="9026"/>
        <w:tab w:val="left" w:pos="2096"/>
      </w:tabs>
    </w:pPr>
    <w:r>
      <w:rPr>
        <w:noProof/>
      </w:rPr>
      <w:drawing>
        <wp:anchor distT="0" distB="0" distL="114300" distR="114300" simplePos="0" relativeHeight="251658244" behindDoc="0" locked="0" layoutInCell="1" allowOverlap="1" wp14:anchorId="4E8D6370" wp14:editId="212C94E2">
          <wp:simplePos x="0" y="0"/>
          <wp:positionH relativeFrom="column">
            <wp:posOffset>0</wp:posOffset>
          </wp:positionH>
          <wp:positionV relativeFrom="paragraph">
            <wp:posOffset>179510</wp:posOffset>
          </wp:positionV>
          <wp:extent cx="1682750" cy="894080"/>
          <wp:effectExtent l="0" t="0" r="6350" b="0"/>
          <wp:wrapSquare wrapText="bothSides"/>
          <wp:docPr id="11077297" name="Picture 11077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a:extLst>
                      <a:ext uri="{28A0092B-C50C-407E-A947-70E740481C1C}">
                        <a14:useLocalDpi xmlns:a14="http://schemas.microsoft.com/office/drawing/2010/main" val="0"/>
                      </a:ext>
                    </a:extLst>
                  </a:blip>
                  <a:srcRect l="8779" t="13141" r="8942" b="14470"/>
                  <a:stretch/>
                </pic:blipFill>
                <pic:spPr bwMode="auto">
                  <a:xfrm>
                    <a:off x="0" y="0"/>
                    <a:ext cx="1682750" cy="8940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E0E306" w14:textId="77777777" w:rsidR="00212119" w:rsidRDefault="00212119">
    <w:pPr>
      <w:pStyle w:val="Header"/>
    </w:pPr>
    <w:r w:rsidRPr="00B31509">
      <w:rPr>
        <w:noProof/>
      </w:rPr>
      <mc:AlternateContent>
        <mc:Choice Requires="wps">
          <w:drawing>
            <wp:anchor distT="0" distB="0" distL="114300" distR="114300" simplePos="0" relativeHeight="251658240" behindDoc="0" locked="0" layoutInCell="1" allowOverlap="1" wp14:anchorId="65C746AA" wp14:editId="28EECE09">
              <wp:simplePos x="0" y="0"/>
              <wp:positionH relativeFrom="column">
                <wp:posOffset>5028565</wp:posOffset>
              </wp:positionH>
              <wp:positionV relativeFrom="paragraph">
                <wp:posOffset>231429</wp:posOffset>
              </wp:positionV>
              <wp:extent cx="1655465" cy="988291"/>
              <wp:effectExtent l="0" t="0" r="8255" b="2540"/>
              <wp:wrapNone/>
              <wp:docPr id="9" name="Text Box 9"/>
              <wp:cNvGraphicFramePr/>
              <a:graphic xmlns:a="http://schemas.openxmlformats.org/drawingml/2006/main">
                <a:graphicData uri="http://schemas.microsoft.com/office/word/2010/wordprocessingShape">
                  <wps:wsp>
                    <wps:cNvSpPr txBox="1"/>
                    <wps:spPr>
                      <a:xfrm>
                        <a:off x="0" y="0"/>
                        <a:ext cx="1655465" cy="988291"/>
                      </a:xfrm>
                      <a:prstGeom prst="rect">
                        <a:avLst/>
                      </a:prstGeom>
                      <a:noFill/>
                      <a:ln w="6350">
                        <a:noFill/>
                      </a:ln>
                    </wps:spPr>
                    <wps:txbx>
                      <w:txbxContent>
                        <w:p w14:paraId="6C3E2E71" w14:textId="77777777" w:rsidR="00212119" w:rsidRPr="00B77E46" w:rsidRDefault="00212119" w:rsidP="00B77E46">
                          <w:pPr>
                            <w:pStyle w:val="Pa1"/>
                            <w:spacing w:after="120" w:line="200" w:lineRule="atLeast"/>
                            <w:rPr>
                              <w:rStyle w:val="A1"/>
                              <w:rFonts w:ascii="Arial" w:hAnsi="Arial" w:cs="Arial"/>
                              <w:sz w:val="20"/>
                              <w:szCs w:val="20"/>
                            </w:rPr>
                          </w:pPr>
                          <w:r w:rsidRPr="00B77E46">
                            <w:rPr>
                              <w:rStyle w:val="A1"/>
                              <w:rFonts w:ascii="Arial" w:hAnsi="Arial" w:cs="Arial"/>
                              <w:sz w:val="20"/>
                              <w:szCs w:val="20"/>
                            </w:rPr>
                            <w:t>1/6 Gritten St</w:t>
                          </w:r>
                          <w:r w:rsidRPr="00B77E46">
                            <w:rPr>
                              <w:rStyle w:val="A1"/>
                              <w:rFonts w:ascii="Arial" w:hAnsi="Arial" w:cs="Arial"/>
                              <w:sz w:val="20"/>
                              <w:szCs w:val="20"/>
                            </w:rPr>
                            <w:br/>
                            <w:t>Weston ACT 2611</w:t>
                          </w:r>
                        </w:p>
                        <w:p w14:paraId="2888863D" w14:textId="77777777" w:rsidR="00212119" w:rsidRPr="00B77E46" w:rsidRDefault="00212119" w:rsidP="00B77E46">
                          <w:pPr>
                            <w:pStyle w:val="Pa1"/>
                            <w:spacing w:after="120" w:line="200" w:lineRule="atLeast"/>
                            <w:rPr>
                              <w:rFonts w:ascii="Arial" w:hAnsi="Arial" w:cs="Arial"/>
                              <w:color w:val="211D1E"/>
                              <w:sz w:val="20"/>
                              <w:szCs w:val="20"/>
                            </w:rPr>
                          </w:pPr>
                          <w:r w:rsidRPr="00B77E46">
                            <w:rPr>
                              <w:rStyle w:val="A1"/>
                              <w:rFonts w:ascii="Arial" w:hAnsi="Arial" w:cs="Arial"/>
                              <w:sz w:val="20"/>
                              <w:szCs w:val="20"/>
                            </w:rPr>
                            <w:t>02 62</w:t>
                          </w:r>
                          <w:r w:rsidRPr="00B77E46">
                            <w:rPr>
                              <w:rStyle w:val="A1"/>
                              <w:rFonts w:ascii="Arial" w:hAnsi="Arial" w:cs="Arial"/>
                              <w:sz w:val="20"/>
                              <w:szCs w:val="20"/>
                            </w:rPr>
                            <w:t>02 7200</w:t>
                          </w:r>
                          <w:r w:rsidRPr="00B77E46">
                            <w:rPr>
                              <w:rStyle w:val="A1"/>
                              <w:rFonts w:ascii="Arial" w:hAnsi="Arial" w:cs="Arial"/>
                              <w:sz w:val="20"/>
                              <w:szCs w:val="20"/>
                            </w:rPr>
                            <w:br/>
                            <w:t>actcoss@actcoss.org.au</w:t>
                          </w:r>
                        </w:p>
                        <w:p w14:paraId="18928CD5" w14:textId="77777777" w:rsidR="00212119" w:rsidRPr="00B77E46" w:rsidRDefault="00212119" w:rsidP="00B77E46">
                          <w:pPr>
                            <w:pStyle w:val="Pa1"/>
                            <w:spacing w:after="120" w:line="200" w:lineRule="atLeast"/>
                            <w:rPr>
                              <w:rFonts w:ascii="Arial" w:hAnsi="Arial" w:cs="Arial"/>
                              <w:color w:val="211D1E"/>
                              <w:sz w:val="20"/>
                              <w:szCs w:val="20"/>
                            </w:rPr>
                          </w:pPr>
                          <w:r w:rsidRPr="00B77E46">
                            <w:rPr>
                              <w:rStyle w:val="A1"/>
                              <w:rFonts w:ascii="Arial" w:hAnsi="Arial" w:cs="Arial"/>
                              <w:sz w:val="20"/>
                              <w:szCs w:val="20"/>
                            </w:rPr>
                            <w:t>actcoss.org.au</w:t>
                          </w:r>
                          <w:r w:rsidRPr="00B77E46">
                            <w:rPr>
                              <w:rStyle w:val="A1"/>
                              <w:rFonts w:ascii="Arial" w:hAnsi="Arial" w:cs="Arial"/>
                              <w:sz w:val="20"/>
                              <w:szCs w:val="20"/>
                            </w:rPr>
                            <w:br/>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C746AA" id="_x0000_t202" coordsize="21600,21600" o:spt="202" path="m,l,21600r21600,l21600,xe">
              <v:stroke joinstyle="miter"/>
              <v:path gradientshapeok="t" o:connecttype="rect"/>
            </v:shapetype>
            <v:shape id="Text Box 9" o:spid="_x0000_s1026" type="#_x0000_t202" style="position:absolute;margin-left:395.95pt;margin-top:18.2pt;width:130.35pt;height:77.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" filled="f" stroked="f" strokeweight=".5pt">
              <v:textbox inset="0,0,0,0">
                <w:txbxContent>
                  <w:p w14:paraId="6C3E2E71" w14:textId="77777777" w:rsidR="00212119" w:rsidRPr="00B77E46" w:rsidRDefault="00212119" w:rsidP="00B77E46">
                    <w:pPr>
                      <w:pStyle w:val="Pa1"/>
                      <w:spacing w:after="120" w:line="200" w:lineRule="atLeast"/>
                      <w:rPr>
                        <w:rStyle w:val="A1"/>
                        <w:rFonts w:ascii="Arial" w:hAnsi="Arial" w:cs="Arial"/>
                        <w:sz w:val="20"/>
                        <w:szCs w:val="20"/>
                      </w:rPr>
                    </w:pPr>
                    <w:r w:rsidRPr="00B77E46">
                      <w:rPr>
                        <w:rStyle w:val="A1"/>
                        <w:rFonts w:ascii="Arial" w:hAnsi="Arial" w:cs="Arial"/>
                        <w:sz w:val="20"/>
                        <w:szCs w:val="20"/>
                      </w:rPr>
                      <w:t>1/6 Gritten St</w:t>
                    </w:r>
                    <w:r w:rsidRPr="00B77E46">
                      <w:rPr>
                        <w:rStyle w:val="A1"/>
                        <w:rFonts w:ascii="Arial" w:hAnsi="Arial" w:cs="Arial"/>
                        <w:sz w:val="20"/>
                        <w:szCs w:val="20"/>
                      </w:rPr>
                      <w:br/>
                      <w:t>Weston ACT 2611</w:t>
                    </w:r>
                  </w:p>
                  <w:p w14:paraId="2888863D" w14:textId="77777777" w:rsidR="00212119" w:rsidRPr="00B77E46" w:rsidRDefault="00212119" w:rsidP="00B77E46">
                    <w:pPr>
                      <w:pStyle w:val="Pa1"/>
                      <w:spacing w:after="120" w:line="200" w:lineRule="atLeast"/>
                      <w:rPr>
                        <w:rFonts w:ascii="Arial" w:hAnsi="Arial" w:cs="Arial"/>
                        <w:color w:val="211D1E"/>
                        <w:sz w:val="20"/>
                        <w:szCs w:val="20"/>
                      </w:rPr>
                    </w:pPr>
                    <w:r w:rsidRPr="00B77E46">
                      <w:rPr>
                        <w:rStyle w:val="A1"/>
                        <w:rFonts w:ascii="Arial" w:hAnsi="Arial" w:cs="Arial"/>
                        <w:sz w:val="20"/>
                        <w:szCs w:val="20"/>
                      </w:rPr>
                      <w:t>02 62</w:t>
                    </w:r>
                    <w:r w:rsidRPr="00B77E46">
                      <w:rPr>
                        <w:rStyle w:val="A1"/>
                        <w:rFonts w:ascii="Arial" w:hAnsi="Arial" w:cs="Arial"/>
                        <w:sz w:val="20"/>
                        <w:szCs w:val="20"/>
                      </w:rPr>
                      <w:t>02 7200</w:t>
                    </w:r>
                    <w:r w:rsidRPr="00B77E46">
                      <w:rPr>
                        <w:rStyle w:val="A1"/>
                        <w:rFonts w:ascii="Arial" w:hAnsi="Arial" w:cs="Arial"/>
                        <w:sz w:val="20"/>
                        <w:szCs w:val="20"/>
                      </w:rPr>
                      <w:br/>
                      <w:t>actcoss@actcoss.org.au</w:t>
                    </w:r>
                  </w:p>
                  <w:p w14:paraId="18928CD5" w14:textId="77777777" w:rsidR="00212119" w:rsidRPr="00B77E46" w:rsidRDefault="00212119" w:rsidP="00B77E46">
                    <w:pPr>
                      <w:pStyle w:val="Pa1"/>
                      <w:spacing w:after="120" w:line="200" w:lineRule="atLeast"/>
                      <w:rPr>
                        <w:rFonts w:ascii="Arial" w:hAnsi="Arial" w:cs="Arial"/>
                        <w:color w:val="211D1E"/>
                        <w:sz w:val="20"/>
                        <w:szCs w:val="20"/>
                      </w:rPr>
                    </w:pPr>
                    <w:r w:rsidRPr="00B77E46">
                      <w:rPr>
                        <w:rStyle w:val="A1"/>
                        <w:rFonts w:ascii="Arial" w:hAnsi="Arial" w:cs="Arial"/>
                        <w:sz w:val="20"/>
                        <w:szCs w:val="20"/>
                      </w:rPr>
                      <w:t>actcoss.org.au</w:t>
                    </w:r>
                    <w:r w:rsidRPr="00B77E46">
                      <w:rPr>
                        <w:rStyle w:val="A1"/>
                        <w:rFonts w:ascii="Arial" w:hAnsi="Arial" w:cs="Arial"/>
                        <w:sz w:val="20"/>
                        <w:szCs w:val="20"/>
                      </w:rPr>
                      <w:br/>
                    </w:r>
                  </w:p>
                </w:txbxContent>
              </v:textbox>
            </v:shape>
          </w:pict>
        </mc:Fallback>
      </mc:AlternateContent>
    </w:r>
    <w:r>
      <w:rPr>
        <w:noProof/>
      </w:rPr>
      <w:drawing>
        <wp:anchor distT="0" distB="0" distL="114300" distR="114300" simplePos="0" relativeHeight="251658243" behindDoc="0" locked="0" layoutInCell="1" allowOverlap="1" wp14:anchorId="6C6306C9" wp14:editId="2E082CDB">
          <wp:simplePos x="0" y="0"/>
          <wp:positionH relativeFrom="column">
            <wp:posOffset>0</wp:posOffset>
          </wp:positionH>
          <wp:positionV relativeFrom="paragraph">
            <wp:posOffset>157480</wp:posOffset>
          </wp:positionV>
          <wp:extent cx="1682750" cy="894080"/>
          <wp:effectExtent l="0" t="0" r="6350" b="0"/>
          <wp:wrapSquare wrapText="bothSides"/>
          <wp:docPr id="11807914" name="Picture 11807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a:extLst>
                      <a:ext uri="{28A0092B-C50C-407E-A947-70E740481C1C}">
                        <a14:useLocalDpi xmlns:a14="http://schemas.microsoft.com/office/drawing/2010/main" val="0"/>
                      </a:ext>
                    </a:extLst>
                  </a:blip>
                  <a:srcRect l="8779" t="13141" r="8942" b="14470"/>
                  <a:stretch/>
                </pic:blipFill>
                <pic:spPr bwMode="auto">
                  <a:xfrm>
                    <a:off x="0" y="0"/>
                    <a:ext cx="1682750" cy="8940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62D1A"/>
    <w:multiLevelType w:val="hybridMultilevel"/>
    <w:tmpl w:val="E7A8CF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C45AB6"/>
    <w:multiLevelType w:val="hybridMultilevel"/>
    <w:tmpl w:val="38D0FF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C8B3F99"/>
    <w:multiLevelType w:val="hybridMultilevel"/>
    <w:tmpl w:val="3C0635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ED1759C"/>
    <w:multiLevelType w:val="hybridMultilevel"/>
    <w:tmpl w:val="B0B6CE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4524456"/>
    <w:multiLevelType w:val="hybridMultilevel"/>
    <w:tmpl w:val="82C097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9867013"/>
    <w:multiLevelType w:val="hybridMultilevel"/>
    <w:tmpl w:val="993E5F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A2E3862"/>
    <w:multiLevelType w:val="hybridMultilevel"/>
    <w:tmpl w:val="5674F2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C42344E"/>
    <w:multiLevelType w:val="hybridMultilevel"/>
    <w:tmpl w:val="CFC20690"/>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986473379">
    <w:abstractNumId w:val="0"/>
  </w:num>
  <w:num w:numId="2" w16cid:durableId="1918126535">
    <w:abstractNumId w:val="2"/>
  </w:num>
  <w:num w:numId="3" w16cid:durableId="464473386">
    <w:abstractNumId w:val="7"/>
  </w:num>
  <w:num w:numId="4" w16cid:durableId="515076709">
    <w:abstractNumId w:val="6"/>
  </w:num>
  <w:num w:numId="5" w16cid:durableId="1367367883">
    <w:abstractNumId w:val="1"/>
  </w:num>
  <w:num w:numId="6" w16cid:durableId="544946330">
    <w:abstractNumId w:val="3"/>
  </w:num>
  <w:num w:numId="7" w16cid:durableId="567427254">
    <w:abstractNumId w:val="5"/>
  </w:num>
  <w:num w:numId="8" w16cid:durableId="12107296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113"/>
    <w:rsid w:val="00000FFC"/>
    <w:rsid w:val="00003D18"/>
    <w:rsid w:val="0000628E"/>
    <w:rsid w:val="00012467"/>
    <w:rsid w:val="00012799"/>
    <w:rsid w:val="0001427C"/>
    <w:rsid w:val="000168DC"/>
    <w:rsid w:val="00031172"/>
    <w:rsid w:val="0003663C"/>
    <w:rsid w:val="00041B3C"/>
    <w:rsid w:val="000533B8"/>
    <w:rsid w:val="00056852"/>
    <w:rsid w:val="00062115"/>
    <w:rsid w:val="00062C1F"/>
    <w:rsid w:val="000633C3"/>
    <w:rsid w:val="00065959"/>
    <w:rsid w:val="00067DB4"/>
    <w:rsid w:val="00071FE8"/>
    <w:rsid w:val="000729F4"/>
    <w:rsid w:val="000743B4"/>
    <w:rsid w:val="00074521"/>
    <w:rsid w:val="0007498D"/>
    <w:rsid w:val="00074DD4"/>
    <w:rsid w:val="00075645"/>
    <w:rsid w:val="00077229"/>
    <w:rsid w:val="00080A4B"/>
    <w:rsid w:val="000847A1"/>
    <w:rsid w:val="00094CEA"/>
    <w:rsid w:val="000A479A"/>
    <w:rsid w:val="000A6137"/>
    <w:rsid w:val="000B1979"/>
    <w:rsid w:val="000B52AD"/>
    <w:rsid w:val="000B59EF"/>
    <w:rsid w:val="000B5C69"/>
    <w:rsid w:val="000C4450"/>
    <w:rsid w:val="000C50F1"/>
    <w:rsid w:val="000C5AAF"/>
    <w:rsid w:val="000C5D4C"/>
    <w:rsid w:val="000D2F3F"/>
    <w:rsid w:val="000D4D29"/>
    <w:rsid w:val="000D4EBF"/>
    <w:rsid w:val="000D65FE"/>
    <w:rsid w:val="000E0D56"/>
    <w:rsid w:val="000E167E"/>
    <w:rsid w:val="000E5019"/>
    <w:rsid w:val="000E5920"/>
    <w:rsid w:val="000E62A2"/>
    <w:rsid w:val="000F165D"/>
    <w:rsid w:val="000F1DE1"/>
    <w:rsid w:val="0010737F"/>
    <w:rsid w:val="00107BA1"/>
    <w:rsid w:val="0011089C"/>
    <w:rsid w:val="00110B85"/>
    <w:rsid w:val="0011185E"/>
    <w:rsid w:val="00111B21"/>
    <w:rsid w:val="00114B6E"/>
    <w:rsid w:val="00117E35"/>
    <w:rsid w:val="001207CF"/>
    <w:rsid w:val="001220E0"/>
    <w:rsid w:val="001239EB"/>
    <w:rsid w:val="00124141"/>
    <w:rsid w:val="00127BE8"/>
    <w:rsid w:val="00127BED"/>
    <w:rsid w:val="00130FE1"/>
    <w:rsid w:val="001310DE"/>
    <w:rsid w:val="00131C6A"/>
    <w:rsid w:val="00133003"/>
    <w:rsid w:val="00133532"/>
    <w:rsid w:val="0013398C"/>
    <w:rsid w:val="00133A1E"/>
    <w:rsid w:val="00135FD7"/>
    <w:rsid w:val="001371C4"/>
    <w:rsid w:val="00143A1E"/>
    <w:rsid w:val="0015458F"/>
    <w:rsid w:val="00161F45"/>
    <w:rsid w:val="00162D5C"/>
    <w:rsid w:val="00163038"/>
    <w:rsid w:val="00164C83"/>
    <w:rsid w:val="001655F9"/>
    <w:rsid w:val="00171C4C"/>
    <w:rsid w:val="00173904"/>
    <w:rsid w:val="0017524C"/>
    <w:rsid w:val="001773C0"/>
    <w:rsid w:val="001805F0"/>
    <w:rsid w:val="00181AB2"/>
    <w:rsid w:val="00181BB7"/>
    <w:rsid w:val="00185321"/>
    <w:rsid w:val="0018767B"/>
    <w:rsid w:val="00187D4A"/>
    <w:rsid w:val="00197C5B"/>
    <w:rsid w:val="001A14E2"/>
    <w:rsid w:val="001A230A"/>
    <w:rsid w:val="001A445E"/>
    <w:rsid w:val="001A4DA3"/>
    <w:rsid w:val="001A5827"/>
    <w:rsid w:val="001A60CD"/>
    <w:rsid w:val="001A7843"/>
    <w:rsid w:val="001B03DE"/>
    <w:rsid w:val="001B0678"/>
    <w:rsid w:val="001B22CE"/>
    <w:rsid w:val="001B250E"/>
    <w:rsid w:val="001B750A"/>
    <w:rsid w:val="001C11F3"/>
    <w:rsid w:val="001C5E9C"/>
    <w:rsid w:val="001D28D0"/>
    <w:rsid w:val="001D4482"/>
    <w:rsid w:val="001D5FED"/>
    <w:rsid w:val="001E0D5E"/>
    <w:rsid w:val="001E134A"/>
    <w:rsid w:val="001E728A"/>
    <w:rsid w:val="001F0689"/>
    <w:rsid w:val="001F0C7A"/>
    <w:rsid w:val="001F1EED"/>
    <w:rsid w:val="001F3EAE"/>
    <w:rsid w:val="001F489C"/>
    <w:rsid w:val="001F6981"/>
    <w:rsid w:val="00200979"/>
    <w:rsid w:val="0020118A"/>
    <w:rsid w:val="00203C37"/>
    <w:rsid w:val="002048FB"/>
    <w:rsid w:val="00205D58"/>
    <w:rsid w:val="00207BDD"/>
    <w:rsid w:val="002100C1"/>
    <w:rsid w:val="002109F8"/>
    <w:rsid w:val="002116BD"/>
    <w:rsid w:val="00212119"/>
    <w:rsid w:val="0021356C"/>
    <w:rsid w:val="00220A79"/>
    <w:rsid w:val="00221621"/>
    <w:rsid w:val="00223F6C"/>
    <w:rsid w:val="00227699"/>
    <w:rsid w:val="0023291C"/>
    <w:rsid w:val="0023738E"/>
    <w:rsid w:val="002375BF"/>
    <w:rsid w:val="00237D55"/>
    <w:rsid w:val="00241FEE"/>
    <w:rsid w:val="0026030E"/>
    <w:rsid w:val="00264655"/>
    <w:rsid w:val="00265560"/>
    <w:rsid w:val="002671B1"/>
    <w:rsid w:val="00267364"/>
    <w:rsid w:val="0027115E"/>
    <w:rsid w:val="00271DAB"/>
    <w:rsid w:val="0028192A"/>
    <w:rsid w:val="00286610"/>
    <w:rsid w:val="002869F7"/>
    <w:rsid w:val="00297A43"/>
    <w:rsid w:val="002A1EF5"/>
    <w:rsid w:val="002A477D"/>
    <w:rsid w:val="002A6933"/>
    <w:rsid w:val="002B0D34"/>
    <w:rsid w:val="002B676F"/>
    <w:rsid w:val="002B6CAA"/>
    <w:rsid w:val="002C10E0"/>
    <w:rsid w:val="002C3A78"/>
    <w:rsid w:val="002C6136"/>
    <w:rsid w:val="002C643C"/>
    <w:rsid w:val="002D0DBF"/>
    <w:rsid w:val="002D2E60"/>
    <w:rsid w:val="002D53D1"/>
    <w:rsid w:val="002E205B"/>
    <w:rsid w:val="002E64FC"/>
    <w:rsid w:val="002F7F36"/>
    <w:rsid w:val="0030301F"/>
    <w:rsid w:val="00304D90"/>
    <w:rsid w:val="003123AA"/>
    <w:rsid w:val="00312A47"/>
    <w:rsid w:val="00312AF3"/>
    <w:rsid w:val="00322DCA"/>
    <w:rsid w:val="00323B81"/>
    <w:rsid w:val="00330423"/>
    <w:rsid w:val="00331C3F"/>
    <w:rsid w:val="003328F8"/>
    <w:rsid w:val="00334448"/>
    <w:rsid w:val="00334ADA"/>
    <w:rsid w:val="00334DA5"/>
    <w:rsid w:val="003358A8"/>
    <w:rsid w:val="0034410B"/>
    <w:rsid w:val="00347966"/>
    <w:rsid w:val="00351176"/>
    <w:rsid w:val="00360C02"/>
    <w:rsid w:val="003610B0"/>
    <w:rsid w:val="003648B4"/>
    <w:rsid w:val="003648F4"/>
    <w:rsid w:val="0037001D"/>
    <w:rsid w:val="0037025B"/>
    <w:rsid w:val="00371748"/>
    <w:rsid w:val="00372AE5"/>
    <w:rsid w:val="003813D9"/>
    <w:rsid w:val="0038150A"/>
    <w:rsid w:val="00381CB2"/>
    <w:rsid w:val="00382E64"/>
    <w:rsid w:val="00385DB3"/>
    <w:rsid w:val="00387FCF"/>
    <w:rsid w:val="00390288"/>
    <w:rsid w:val="00391A4B"/>
    <w:rsid w:val="0039313B"/>
    <w:rsid w:val="003941EF"/>
    <w:rsid w:val="00394B38"/>
    <w:rsid w:val="003955A3"/>
    <w:rsid w:val="00396283"/>
    <w:rsid w:val="003962D1"/>
    <w:rsid w:val="00396C21"/>
    <w:rsid w:val="003A0C96"/>
    <w:rsid w:val="003A3CD5"/>
    <w:rsid w:val="003A417C"/>
    <w:rsid w:val="003A7EDF"/>
    <w:rsid w:val="003A7FF1"/>
    <w:rsid w:val="003B1703"/>
    <w:rsid w:val="003B28B2"/>
    <w:rsid w:val="003B3E48"/>
    <w:rsid w:val="003B457D"/>
    <w:rsid w:val="003B7791"/>
    <w:rsid w:val="003C6127"/>
    <w:rsid w:val="003C6A72"/>
    <w:rsid w:val="003C7F12"/>
    <w:rsid w:val="003D12AC"/>
    <w:rsid w:val="003D291D"/>
    <w:rsid w:val="003D4593"/>
    <w:rsid w:val="003D7BCF"/>
    <w:rsid w:val="003E05F6"/>
    <w:rsid w:val="003E3113"/>
    <w:rsid w:val="003E34A0"/>
    <w:rsid w:val="003E51A5"/>
    <w:rsid w:val="003E7E6F"/>
    <w:rsid w:val="003F0F97"/>
    <w:rsid w:val="003F3AB9"/>
    <w:rsid w:val="00405047"/>
    <w:rsid w:val="00410D45"/>
    <w:rsid w:val="00414B90"/>
    <w:rsid w:val="00417F5B"/>
    <w:rsid w:val="00420101"/>
    <w:rsid w:val="00423ECA"/>
    <w:rsid w:val="004274FD"/>
    <w:rsid w:val="00430261"/>
    <w:rsid w:val="0043283F"/>
    <w:rsid w:val="00435991"/>
    <w:rsid w:val="0043677F"/>
    <w:rsid w:val="00440720"/>
    <w:rsid w:val="00441131"/>
    <w:rsid w:val="004421D7"/>
    <w:rsid w:val="004427AD"/>
    <w:rsid w:val="00446A60"/>
    <w:rsid w:val="00452049"/>
    <w:rsid w:val="00456D51"/>
    <w:rsid w:val="004577EB"/>
    <w:rsid w:val="0047064C"/>
    <w:rsid w:val="00472DC0"/>
    <w:rsid w:val="00473CAE"/>
    <w:rsid w:val="00474FDE"/>
    <w:rsid w:val="00477CFA"/>
    <w:rsid w:val="00484FE9"/>
    <w:rsid w:val="00485046"/>
    <w:rsid w:val="00491A75"/>
    <w:rsid w:val="004926DF"/>
    <w:rsid w:val="00494948"/>
    <w:rsid w:val="004A1B4C"/>
    <w:rsid w:val="004A30BA"/>
    <w:rsid w:val="004A4340"/>
    <w:rsid w:val="004A4D83"/>
    <w:rsid w:val="004A6AF5"/>
    <w:rsid w:val="004B1646"/>
    <w:rsid w:val="004B56F0"/>
    <w:rsid w:val="004B5793"/>
    <w:rsid w:val="004C7EC8"/>
    <w:rsid w:val="004D271B"/>
    <w:rsid w:val="004D63E2"/>
    <w:rsid w:val="004D7E7F"/>
    <w:rsid w:val="004E391C"/>
    <w:rsid w:val="004E538A"/>
    <w:rsid w:val="004E56F7"/>
    <w:rsid w:val="004F2994"/>
    <w:rsid w:val="004F45FD"/>
    <w:rsid w:val="004F5CDB"/>
    <w:rsid w:val="00501009"/>
    <w:rsid w:val="00502F8F"/>
    <w:rsid w:val="00502FA7"/>
    <w:rsid w:val="00505253"/>
    <w:rsid w:val="00505C41"/>
    <w:rsid w:val="00507B61"/>
    <w:rsid w:val="0051437A"/>
    <w:rsid w:val="00514964"/>
    <w:rsid w:val="005150B2"/>
    <w:rsid w:val="00515AA8"/>
    <w:rsid w:val="00516F93"/>
    <w:rsid w:val="00517BD0"/>
    <w:rsid w:val="00524A26"/>
    <w:rsid w:val="00541D2D"/>
    <w:rsid w:val="00542336"/>
    <w:rsid w:val="00542EEF"/>
    <w:rsid w:val="0054305F"/>
    <w:rsid w:val="005443EA"/>
    <w:rsid w:val="00545A08"/>
    <w:rsid w:val="00546009"/>
    <w:rsid w:val="005523CE"/>
    <w:rsid w:val="00553F7F"/>
    <w:rsid w:val="0055484C"/>
    <w:rsid w:val="005554AB"/>
    <w:rsid w:val="00556530"/>
    <w:rsid w:val="00565956"/>
    <w:rsid w:val="00566390"/>
    <w:rsid w:val="0057012B"/>
    <w:rsid w:val="005727F8"/>
    <w:rsid w:val="005778D5"/>
    <w:rsid w:val="00582C25"/>
    <w:rsid w:val="00584C1C"/>
    <w:rsid w:val="00584C68"/>
    <w:rsid w:val="00585DD5"/>
    <w:rsid w:val="00586CDE"/>
    <w:rsid w:val="00590249"/>
    <w:rsid w:val="00592835"/>
    <w:rsid w:val="005929A2"/>
    <w:rsid w:val="005929E1"/>
    <w:rsid w:val="00592FCA"/>
    <w:rsid w:val="00595DE5"/>
    <w:rsid w:val="005C1E52"/>
    <w:rsid w:val="005C7BE3"/>
    <w:rsid w:val="005D32C6"/>
    <w:rsid w:val="005D6560"/>
    <w:rsid w:val="005E0C27"/>
    <w:rsid w:val="005E52D3"/>
    <w:rsid w:val="005E6991"/>
    <w:rsid w:val="005F071C"/>
    <w:rsid w:val="005F0C5E"/>
    <w:rsid w:val="005F50DF"/>
    <w:rsid w:val="005F6847"/>
    <w:rsid w:val="00600AB7"/>
    <w:rsid w:val="00601020"/>
    <w:rsid w:val="00604892"/>
    <w:rsid w:val="00607B23"/>
    <w:rsid w:val="00610CD0"/>
    <w:rsid w:val="0061340F"/>
    <w:rsid w:val="00614497"/>
    <w:rsid w:val="006243CB"/>
    <w:rsid w:val="0062760B"/>
    <w:rsid w:val="00627B33"/>
    <w:rsid w:val="00627CA1"/>
    <w:rsid w:val="006345C8"/>
    <w:rsid w:val="0063699F"/>
    <w:rsid w:val="0064024A"/>
    <w:rsid w:val="00641C06"/>
    <w:rsid w:val="00646419"/>
    <w:rsid w:val="0065237B"/>
    <w:rsid w:val="00652E91"/>
    <w:rsid w:val="006557F8"/>
    <w:rsid w:val="00657A82"/>
    <w:rsid w:val="0066311D"/>
    <w:rsid w:val="00663AD1"/>
    <w:rsid w:val="006643DE"/>
    <w:rsid w:val="00666115"/>
    <w:rsid w:val="006672C0"/>
    <w:rsid w:val="00671CC0"/>
    <w:rsid w:val="00672DA0"/>
    <w:rsid w:val="00672EDE"/>
    <w:rsid w:val="006733B9"/>
    <w:rsid w:val="006771DC"/>
    <w:rsid w:val="0067794C"/>
    <w:rsid w:val="006812AD"/>
    <w:rsid w:val="00681F59"/>
    <w:rsid w:val="00683394"/>
    <w:rsid w:val="00686466"/>
    <w:rsid w:val="00686C57"/>
    <w:rsid w:val="00686F6F"/>
    <w:rsid w:val="00691881"/>
    <w:rsid w:val="00693668"/>
    <w:rsid w:val="00693E63"/>
    <w:rsid w:val="00696679"/>
    <w:rsid w:val="00696AC5"/>
    <w:rsid w:val="006A009A"/>
    <w:rsid w:val="006A1CC3"/>
    <w:rsid w:val="006A2DFC"/>
    <w:rsid w:val="006A3196"/>
    <w:rsid w:val="006A31BD"/>
    <w:rsid w:val="006A5D5B"/>
    <w:rsid w:val="006B0983"/>
    <w:rsid w:val="006B388D"/>
    <w:rsid w:val="006B6747"/>
    <w:rsid w:val="006C01E3"/>
    <w:rsid w:val="006C148C"/>
    <w:rsid w:val="006C369C"/>
    <w:rsid w:val="006C4294"/>
    <w:rsid w:val="006C44E5"/>
    <w:rsid w:val="006D05D9"/>
    <w:rsid w:val="006D179E"/>
    <w:rsid w:val="006D1FF0"/>
    <w:rsid w:val="006D2067"/>
    <w:rsid w:val="006D37FB"/>
    <w:rsid w:val="006D4376"/>
    <w:rsid w:val="006E4BD2"/>
    <w:rsid w:val="006E4E1D"/>
    <w:rsid w:val="006E4F1E"/>
    <w:rsid w:val="006F01BC"/>
    <w:rsid w:val="006F0A0D"/>
    <w:rsid w:val="006F3B0A"/>
    <w:rsid w:val="00700D10"/>
    <w:rsid w:val="007021E2"/>
    <w:rsid w:val="00702A42"/>
    <w:rsid w:val="00703898"/>
    <w:rsid w:val="00705D2B"/>
    <w:rsid w:val="0070763D"/>
    <w:rsid w:val="007175D4"/>
    <w:rsid w:val="00721B5A"/>
    <w:rsid w:val="007227C5"/>
    <w:rsid w:val="007276CC"/>
    <w:rsid w:val="00732B30"/>
    <w:rsid w:val="0073782A"/>
    <w:rsid w:val="007403A8"/>
    <w:rsid w:val="00740A66"/>
    <w:rsid w:val="0075147D"/>
    <w:rsid w:val="007517D3"/>
    <w:rsid w:val="00751E88"/>
    <w:rsid w:val="00763455"/>
    <w:rsid w:val="007652EF"/>
    <w:rsid w:val="007673C0"/>
    <w:rsid w:val="007728DC"/>
    <w:rsid w:val="007773AF"/>
    <w:rsid w:val="00780380"/>
    <w:rsid w:val="00781E42"/>
    <w:rsid w:val="00785420"/>
    <w:rsid w:val="007858C6"/>
    <w:rsid w:val="007864F5"/>
    <w:rsid w:val="00790CD7"/>
    <w:rsid w:val="00791D54"/>
    <w:rsid w:val="00792D1F"/>
    <w:rsid w:val="00792F20"/>
    <w:rsid w:val="0079714C"/>
    <w:rsid w:val="007A1265"/>
    <w:rsid w:val="007A3A17"/>
    <w:rsid w:val="007A66C2"/>
    <w:rsid w:val="007A7F93"/>
    <w:rsid w:val="007B30E6"/>
    <w:rsid w:val="007B41B2"/>
    <w:rsid w:val="007C1690"/>
    <w:rsid w:val="007D5CA7"/>
    <w:rsid w:val="007D694A"/>
    <w:rsid w:val="007D75A6"/>
    <w:rsid w:val="007E0407"/>
    <w:rsid w:val="007E48EC"/>
    <w:rsid w:val="007E4E8B"/>
    <w:rsid w:val="007E7808"/>
    <w:rsid w:val="007E7BC0"/>
    <w:rsid w:val="007E7D9F"/>
    <w:rsid w:val="007E7EC8"/>
    <w:rsid w:val="007F66B5"/>
    <w:rsid w:val="00803E9A"/>
    <w:rsid w:val="00806F48"/>
    <w:rsid w:val="00814C44"/>
    <w:rsid w:val="00827C43"/>
    <w:rsid w:val="00830EF0"/>
    <w:rsid w:val="008367AD"/>
    <w:rsid w:val="008442A7"/>
    <w:rsid w:val="00850111"/>
    <w:rsid w:val="008600FD"/>
    <w:rsid w:val="008622EE"/>
    <w:rsid w:val="008639A0"/>
    <w:rsid w:val="00864703"/>
    <w:rsid w:val="008659D7"/>
    <w:rsid w:val="00865C3F"/>
    <w:rsid w:val="00874920"/>
    <w:rsid w:val="00875E16"/>
    <w:rsid w:val="008769C4"/>
    <w:rsid w:val="00877B78"/>
    <w:rsid w:val="00880129"/>
    <w:rsid w:val="00880D98"/>
    <w:rsid w:val="00881052"/>
    <w:rsid w:val="0088376F"/>
    <w:rsid w:val="00883F88"/>
    <w:rsid w:val="00884C54"/>
    <w:rsid w:val="00890A82"/>
    <w:rsid w:val="00890D9C"/>
    <w:rsid w:val="008931AF"/>
    <w:rsid w:val="00893E3F"/>
    <w:rsid w:val="008970BB"/>
    <w:rsid w:val="00897F5F"/>
    <w:rsid w:val="008A0575"/>
    <w:rsid w:val="008A1885"/>
    <w:rsid w:val="008A4DF9"/>
    <w:rsid w:val="008A60D0"/>
    <w:rsid w:val="008A752D"/>
    <w:rsid w:val="008C2C4D"/>
    <w:rsid w:val="008C2C91"/>
    <w:rsid w:val="008C447F"/>
    <w:rsid w:val="008C5DEF"/>
    <w:rsid w:val="008D38CF"/>
    <w:rsid w:val="008D3C49"/>
    <w:rsid w:val="008D5C87"/>
    <w:rsid w:val="008D7540"/>
    <w:rsid w:val="008E2DC5"/>
    <w:rsid w:val="008E7BE4"/>
    <w:rsid w:val="008F127A"/>
    <w:rsid w:val="008F14E2"/>
    <w:rsid w:val="008F54EB"/>
    <w:rsid w:val="00902784"/>
    <w:rsid w:val="009035F2"/>
    <w:rsid w:val="009065E4"/>
    <w:rsid w:val="009068D1"/>
    <w:rsid w:val="009107B4"/>
    <w:rsid w:val="00913D3E"/>
    <w:rsid w:val="00914711"/>
    <w:rsid w:val="00916B4B"/>
    <w:rsid w:val="0093221A"/>
    <w:rsid w:val="00933485"/>
    <w:rsid w:val="009359D4"/>
    <w:rsid w:val="00941021"/>
    <w:rsid w:val="0094398F"/>
    <w:rsid w:val="00944024"/>
    <w:rsid w:val="009448A1"/>
    <w:rsid w:val="0094637F"/>
    <w:rsid w:val="00950FAF"/>
    <w:rsid w:val="00955E0E"/>
    <w:rsid w:val="009622E4"/>
    <w:rsid w:val="00962F60"/>
    <w:rsid w:val="009641C7"/>
    <w:rsid w:val="009645A8"/>
    <w:rsid w:val="009648CA"/>
    <w:rsid w:val="00971ECA"/>
    <w:rsid w:val="009745D1"/>
    <w:rsid w:val="00981FB3"/>
    <w:rsid w:val="00983FE9"/>
    <w:rsid w:val="009907EE"/>
    <w:rsid w:val="00992B68"/>
    <w:rsid w:val="00997D07"/>
    <w:rsid w:val="009A3938"/>
    <w:rsid w:val="009A39B3"/>
    <w:rsid w:val="009B0AB1"/>
    <w:rsid w:val="009B1E63"/>
    <w:rsid w:val="009B5CF0"/>
    <w:rsid w:val="009C4873"/>
    <w:rsid w:val="009C5180"/>
    <w:rsid w:val="009C5EAE"/>
    <w:rsid w:val="009D3DE7"/>
    <w:rsid w:val="009D4E9B"/>
    <w:rsid w:val="009D75F7"/>
    <w:rsid w:val="009E3E54"/>
    <w:rsid w:val="009E57D4"/>
    <w:rsid w:val="009E5DB2"/>
    <w:rsid w:val="009E6C9D"/>
    <w:rsid w:val="009F1764"/>
    <w:rsid w:val="009F1CB0"/>
    <w:rsid w:val="009F1FF1"/>
    <w:rsid w:val="009F33DC"/>
    <w:rsid w:val="009F3FCA"/>
    <w:rsid w:val="009F47CC"/>
    <w:rsid w:val="00A03C7F"/>
    <w:rsid w:val="00A05233"/>
    <w:rsid w:val="00A06778"/>
    <w:rsid w:val="00A101C7"/>
    <w:rsid w:val="00A10780"/>
    <w:rsid w:val="00A10C78"/>
    <w:rsid w:val="00A118C0"/>
    <w:rsid w:val="00A11DD9"/>
    <w:rsid w:val="00A127EF"/>
    <w:rsid w:val="00A1729E"/>
    <w:rsid w:val="00A17DB3"/>
    <w:rsid w:val="00A22AC1"/>
    <w:rsid w:val="00A24043"/>
    <w:rsid w:val="00A265BF"/>
    <w:rsid w:val="00A37AAC"/>
    <w:rsid w:val="00A428ED"/>
    <w:rsid w:val="00A43C8A"/>
    <w:rsid w:val="00A47C68"/>
    <w:rsid w:val="00A5021B"/>
    <w:rsid w:val="00A531C7"/>
    <w:rsid w:val="00A55C71"/>
    <w:rsid w:val="00A57F84"/>
    <w:rsid w:val="00A63BB6"/>
    <w:rsid w:val="00A6564F"/>
    <w:rsid w:val="00A707F9"/>
    <w:rsid w:val="00A70CD5"/>
    <w:rsid w:val="00A7235C"/>
    <w:rsid w:val="00A74C67"/>
    <w:rsid w:val="00A75E32"/>
    <w:rsid w:val="00A817F2"/>
    <w:rsid w:val="00A82D4F"/>
    <w:rsid w:val="00A830A4"/>
    <w:rsid w:val="00A86403"/>
    <w:rsid w:val="00A865D1"/>
    <w:rsid w:val="00A87932"/>
    <w:rsid w:val="00A93935"/>
    <w:rsid w:val="00A97194"/>
    <w:rsid w:val="00AA084B"/>
    <w:rsid w:val="00AA0D3D"/>
    <w:rsid w:val="00AA1F0E"/>
    <w:rsid w:val="00AA2E51"/>
    <w:rsid w:val="00AA4339"/>
    <w:rsid w:val="00AA484C"/>
    <w:rsid w:val="00AA6073"/>
    <w:rsid w:val="00AA67CE"/>
    <w:rsid w:val="00AB0C93"/>
    <w:rsid w:val="00AB1C41"/>
    <w:rsid w:val="00AB38A0"/>
    <w:rsid w:val="00AB4C16"/>
    <w:rsid w:val="00AB5E42"/>
    <w:rsid w:val="00AC001B"/>
    <w:rsid w:val="00AC367F"/>
    <w:rsid w:val="00AC3F83"/>
    <w:rsid w:val="00AD2184"/>
    <w:rsid w:val="00AD5137"/>
    <w:rsid w:val="00AD6AA6"/>
    <w:rsid w:val="00AE37A7"/>
    <w:rsid w:val="00AE4133"/>
    <w:rsid w:val="00AF0CD0"/>
    <w:rsid w:val="00AF30DE"/>
    <w:rsid w:val="00AF6A7D"/>
    <w:rsid w:val="00AF76FF"/>
    <w:rsid w:val="00B07370"/>
    <w:rsid w:val="00B118F0"/>
    <w:rsid w:val="00B11E35"/>
    <w:rsid w:val="00B121CC"/>
    <w:rsid w:val="00B12950"/>
    <w:rsid w:val="00B1502C"/>
    <w:rsid w:val="00B165B8"/>
    <w:rsid w:val="00B16DDF"/>
    <w:rsid w:val="00B204AB"/>
    <w:rsid w:val="00B20E03"/>
    <w:rsid w:val="00B233AE"/>
    <w:rsid w:val="00B24374"/>
    <w:rsid w:val="00B25A0A"/>
    <w:rsid w:val="00B265CC"/>
    <w:rsid w:val="00B2665F"/>
    <w:rsid w:val="00B27C0B"/>
    <w:rsid w:val="00B317A0"/>
    <w:rsid w:val="00B3319A"/>
    <w:rsid w:val="00B334F3"/>
    <w:rsid w:val="00B36C55"/>
    <w:rsid w:val="00B3756E"/>
    <w:rsid w:val="00B40AC5"/>
    <w:rsid w:val="00B40BAF"/>
    <w:rsid w:val="00B425FC"/>
    <w:rsid w:val="00B45C05"/>
    <w:rsid w:val="00B46BCE"/>
    <w:rsid w:val="00B52D5C"/>
    <w:rsid w:val="00B5307E"/>
    <w:rsid w:val="00B56CB0"/>
    <w:rsid w:val="00B6181E"/>
    <w:rsid w:val="00B61AD6"/>
    <w:rsid w:val="00B6254F"/>
    <w:rsid w:val="00B666F3"/>
    <w:rsid w:val="00B74AF0"/>
    <w:rsid w:val="00B75CE3"/>
    <w:rsid w:val="00B77042"/>
    <w:rsid w:val="00B813DC"/>
    <w:rsid w:val="00B835AA"/>
    <w:rsid w:val="00B8596B"/>
    <w:rsid w:val="00B864C2"/>
    <w:rsid w:val="00B869FE"/>
    <w:rsid w:val="00B90AF6"/>
    <w:rsid w:val="00B914CE"/>
    <w:rsid w:val="00B914F0"/>
    <w:rsid w:val="00B92804"/>
    <w:rsid w:val="00B949CD"/>
    <w:rsid w:val="00B95214"/>
    <w:rsid w:val="00B962A3"/>
    <w:rsid w:val="00BA3B4C"/>
    <w:rsid w:val="00BA642E"/>
    <w:rsid w:val="00BA6C52"/>
    <w:rsid w:val="00BA7E81"/>
    <w:rsid w:val="00BB3F5C"/>
    <w:rsid w:val="00BB3FF8"/>
    <w:rsid w:val="00BB5C5C"/>
    <w:rsid w:val="00BC3C8A"/>
    <w:rsid w:val="00BC4D27"/>
    <w:rsid w:val="00BC68B4"/>
    <w:rsid w:val="00BD087D"/>
    <w:rsid w:val="00BD5539"/>
    <w:rsid w:val="00BD62A2"/>
    <w:rsid w:val="00BD78D8"/>
    <w:rsid w:val="00BE1BA3"/>
    <w:rsid w:val="00BE2082"/>
    <w:rsid w:val="00BE2113"/>
    <w:rsid w:val="00BE2770"/>
    <w:rsid w:val="00BE377F"/>
    <w:rsid w:val="00BE3974"/>
    <w:rsid w:val="00BE3CF8"/>
    <w:rsid w:val="00BF170B"/>
    <w:rsid w:val="00BF6780"/>
    <w:rsid w:val="00BF7973"/>
    <w:rsid w:val="00C00C84"/>
    <w:rsid w:val="00C04012"/>
    <w:rsid w:val="00C125BF"/>
    <w:rsid w:val="00C143AE"/>
    <w:rsid w:val="00C156E9"/>
    <w:rsid w:val="00C15847"/>
    <w:rsid w:val="00C22F64"/>
    <w:rsid w:val="00C25DAB"/>
    <w:rsid w:val="00C26CBE"/>
    <w:rsid w:val="00C313E3"/>
    <w:rsid w:val="00C32BEA"/>
    <w:rsid w:val="00C34209"/>
    <w:rsid w:val="00C34E30"/>
    <w:rsid w:val="00C35E84"/>
    <w:rsid w:val="00C4057E"/>
    <w:rsid w:val="00C42E45"/>
    <w:rsid w:val="00C45780"/>
    <w:rsid w:val="00C45CFB"/>
    <w:rsid w:val="00C46778"/>
    <w:rsid w:val="00C472AE"/>
    <w:rsid w:val="00C47A7F"/>
    <w:rsid w:val="00C50A97"/>
    <w:rsid w:val="00C511B6"/>
    <w:rsid w:val="00C51D06"/>
    <w:rsid w:val="00C52ED5"/>
    <w:rsid w:val="00C54D90"/>
    <w:rsid w:val="00C553E0"/>
    <w:rsid w:val="00C555AB"/>
    <w:rsid w:val="00C57598"/>
    <w:rsid w:val="00C6078E"/>
    <w:rsid w:val="00C61845"/>
    <w:rsid w:val="00C61AA5"/>
    <w:rsid w:val="00C61D77"/>
    <w:rsid w:val="00C64B28"/>
    <w:rsid w:val="00C67F39"/>
    <w:rsid w:val="00C70084"/>
    <w:rsid w:val="00C70386"/>
    <w:rsid w:val="00C70A27"/>
    <w:rsid w:val="00C727B1"/>
    <w:rsid w:val="00C748B0"/>
    <w:rsid w:val="00C75218"/>
    <w:rsid w:val="00C75B51"/>
    <w:rsid w:val="00C817C4"/>
    <w:rsid w:val="00C84659"/>
    <w:rsid w:val="00C915CA"/>
    <w:rsid w:val="00C920FE"/>
    <w:rsid w:val="00C93C87"/>
    <w:rsid w:val="00C954E4"/>
    <w:rsid w:val="00C95EF4"/>
    <w:rsid w:val="00C96A5A"/>
    <w:rsid w:val="00C9758F"/>
    <w:rsid w:val="00CA558B"/>
    <w:rsid w:val="00CA6CD1"/>
    <w:rsid w:val="00CB2B7B"/>
    <w:rsid w:val="00CB5756"/>
    <w:rsid w:val="00CB5C3D"/>
    <w:rsid w:val="00CC1397"/>
    <w:rsid w:val="00CC32EF"/>
    <w:rsid w:val="00CC3B54"/>
    <w:rsid w:val="00CC79C8"/>
    <w:rsid w:val="00CD2E6E"/>
    <w:rsid w:val="00CD43CC"/>
    <w:rsid w:val="00CD66E5"/>
    <w:rsid w:val="00CD6E87"/>
    <w:rsid w:val="00CE5CB0"/>
    <w:rsid w:val="00CF018C"/>
    <w:rsid w:val="00CF08E1"/>
    <w:rsid w:val="00CF0CBD"/>
    <w:rsid w:val="00D0603F"/>
    <w:rsid w:val="00D064FC"/>
    <w:rsid w:val="00D06713"/>
    <w:rsid w:val="00D07213"/>
    <w:rsid w:val="00D122CB"/>
    <w:rsid w:val="00D145D5"/>
    <w:rsid w:val="00D1476F"/>
    <w:rsid w:val="00D2349D"/>
    <w:rsid w:val="00D23A35"/>
    <w:rsid w:val="00D24C36"/>
    <w:rsid w:val="00D31597"/>
    <w:rsid w:val="00D31C2B"/>
    <w:rsid w:val="00D34BD6"/>
    <w:rsid w:val="00D36123"/>
    <w:rsid w:val="00D42E90"/>
    <w:rsid w:val="00D574E4"/>
    <w:rsid w:val="00D64291"/>
    <w:rsid w:val="00D678D4"/>
    <w:rsid w:val="00D77C44"/>
    <w:rsid w:val="00D805E1"/>
    <w:rsid w:val="00D81FFB"/>
    <w:rsid w:val="00D8213F"/>
    <w:rsid w:val="00D86D86"/>
    <w:rsid w:val="00D91766"/>
    <w:rsid w:val="00D932C6"/>
    <w:rsid w:val="00DA161E"/>
    <w:rsid w:val="00DA2D76"/>
    <w:rsid w:val="00DA39DD"/>
    <w:rsid w:val="00DA4693"/>
    <w:rsid w:val="00DA5891"/>
    <w:rsid w:val="00DA6ED9"/>
    <w:rsid w:val="00DA7984"/>
    <w:rsid w:val="00DA7ACA"/>
    <w:rsid w:val="00DB0A39"/>
    <w:rsid w:val="00DB35CC"/>
    <w:rsid w:val="00DB527B"/>
    <w:rsid w:val="00DB6EE3"/>
    <w:rsid w:val="00DC11A6"/>
    <w:rsid w:val="00DC436E"/>
    <w:rsid w:val="00DC48E2"/>
    <w:rsid w:val="00DC70F3"/>
    <w:rsid w:val="00DC7504"/>
    <w:rsid w:val="00DC7D7C"/>
    <w:rsid w:val="00DD0357"/>
    <w:rsid w:val="00DD3AA5"/>
    <w:rsid w:val="00DD3F0B"/>
    <w:rsid w:val="00DD40DE"/>
    <w:rsid w:val="00DD7C77"/>
    <w:rsid w:val="00DE39F3"/>
    <w:rsid w:val="00DE4E79"/>
    <w:rsid w:val="00DE64F2"/>
    <w:rsid w:val="00DE6525"/>
    <w:rsid w:val="00DE786C"/>
    <w:rsid w:val="00DE7EC0"/>
    <w:rsid w:val="00DF123C"/>
    <w:rsid w:val="00DF4A1A"/>
    <w:rsid w:val="00DF6CD6"/>
    <w:rsid w:val="00DF7DC0"/>
    <w:rsid w:val="00E003D3"/>
    <w:rsid w:val="00E00E5D"/>
    <w:rsid w:val="00E01AF9"/>
    <w:rsid w:val="00E01D47"/>
    <w:rsid w:val="00E0347B"/>
    <w:rsid w:val="00E048BA"/>
    <w:rsid w:val="00E10AA8"/>
    <w:rsid w:val="00E13128"/>
    <w:rsid w:val="00E13D21"/>
    <w:rsid w:val="00E17CB7"/>
    <w:rsid w:val="00E24D30"/>
    <w:rsid w:val="00E2740C"/>
    <w:rsid w:val="00E30C7F"/>
    <w:rsid w:val="00E3128B"/>
    <w:rsid w:val="00E33EA7"/>
    <w:rsid w:val="00E34606"/>
    <w:rsid w:val="00E34FC8"/>
    <w:rsid w:val="00E425F5"/>
    <w:rsid w:val="00E52A82"/>
    <w:rsid w:val="00E5701A"/>
    <w:rsid w:val="00E60C95"/>
    <w:rsid w:val="00E625DA"/>
    <w:rsid w:val="00E62E85"/>
    <w:rsid w:val="00E72543"/>
    <w:rsid w:val="00E726FF"/>
    <w:rsid w:val="00E73828"/>
    <w:rsid w:val="00E75668"/>
    <w:rsid w:val="00E82F3A"/>
    <w:rsid w:val="00E83127"/>
    <w:rsid w:val="00E83445"/>
    <w:rsid w:val="00E839BD"/>
    <w:rsid w:val="00E83B8B"/>
    <w:rsid w:val="00E87214"/>
    <w:rsid w:val="00E87833"/>
    <w:rsid w:val="00E917F9"/>
    <w:rsid w:val="00E9425E"/>
    <w:rsid w:val="00E94CB9"/>
    <w:rsid w:val="00E9713F"/>
    <w:rsid w:val="00EA30C4"/>
    <w:rsid w:val="00EA42B4"/>
    <w:rsid w:val="00EB0D6F"/>
    <w:rsid w:val="00EB728B"/>
    <w:rsid w:val="00EC01A0"/>
    <w:rsid w:val="00EC3C32"/>
    <w:rsid w:val="00ED1503"/>
    <w:rsid w:val="00ED2DA9"/>
    <w:rsid w:val="00ED3DC1"/>
    <w:rsid w:val="00EE13FC"/>
    <w:rsid w:val="00EE23B6"/>
    <w:rsid w:val="00EE4779"/>
    <w:rsid w:val="00EF3D95"/>
    <w:rsid w:val="00EF3E09"/>
    <w:rsid w:val="00EF5E06"/>
    <w:rsid w:val="00F00E80"/>
    <w:rsid w:val="00F03837"/>
    <w:rsid w:val="00F05E0B"/>
    <w:rsid w:val="00F07CAE"/>
    <w:rsid w:val="00F10ED3"/>
    <w:rsid w:val="00F15882"/>
    <w:rsid w:val="00F21751"/>
    <w:rsid w:val="00F240F0"/>
    <w:rsid w:val="00F26F06"/>
    <w:rsid w:val="00F347B7"/>
    <w:rsid w:val="00F34B86"/>
    <w:rsid w:val="00F401DD"/>
    <w:rsid w:val="00F419AD"/>
    <w:rsid w:val="00F42481"/>
    <w:rsid w:val="00F508D7"/>
    <w:rsid w:val="00F566D4"/>
    <w:rsid w:val="00F60685"/>
    <w:rsid w:val="00F665F0"/>
    <w:rsid w:val="00F730F4"/>
    <w:rsid w:val="00F758B5"/>
    <w:rsid w:val="00F76113"/>
    <w:rsid w:val="00F76E71"/>
    <w:rsid w:val="00F803D9"/>
    <w:rsid w:val="00F821FB"/>
    <w:rsid w:val="00F839B0"/>
    <w:rsid w:val="00F83DF2"/>
    <w:rsid w:val="00F84A1D"/>
    <w:rsid w:val="00F905B2"/>
    <w:rsid w:val="00F91C43"/>
    <w:rsid w:val="00F947D8"/>
    <w:rsid w:val="00F96B06"/>
    <w:rsid w:val="00FA1FDC"/>
    <w:rsid w:val="00FA21BE"/>
    <w:rsid w:val="00FA24FA"/>
    <w:rsid w:val="00FA4A16"/>
    <w:rsid w:val="00FA664C"/>
    <w:rsid w:val="00FB0BA7"/>
    <w:rsid w:val="00FB4A43"/>
    <w:rsid w:val="00FB7543"/>
    <w:rsid w:val="00FC1F92"/>
    <w:rsid w:val="00FC248D"/>
    <w:rsid w:val="00FC2D05"/>
    <w:rsid w:val="00FC7372"/>
    <w:rsid w:val="00FD6884"/>
    <w:rsid w:val="00FE01D8"/>
    <w:rsid w:val="00FE1FEA"/>
    <w:rsid w:val="00FE254F"/>
    <w:rsid w:val="00FE5793"/>
    <w:rsid w:val="00FE5796"/>
    <w:rsid w:val="00FF184A"/>
    <w:rsid w:val="00FF73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86E2A"/>
  <w15:chartTrackingRefBased/>
  <w15:docId w15:val="{50BB1A4B-6BB7-4602-8B4C-D9F466DAE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6113"/>
    <w:pPr>
      <w:spacing w:after="200" w:line="276" w:lineRule="auto"/>
    </w:pPr>
    <w:rPr>
      <w:rFonts w:ascii="Arial" w:eastAsiaTheme="minorEastAsia" w:hAnsi="Arial"/>
      <w:color w:val="000000" w:themeColor="text1"/>
      <w:kern w:val="0"/>
      <w:sz w:val="20"/>
      <w:lang w:eastAsia="en-GB"/>
      <w14:ligatures w14:val="none"/>
    </w:rPr>
  </w:style>
  <w:style w:type="paragraph" w:styleId="Heading1">
    <w:name w:val="heading 1"/>
    <w:basedOn w:val="Normal"/>
    <w:next w:val="Normal"/>
    <w:link w:val="Heading1Char"/>
    <w:uiPriority w:val="9"/>
    <w:qFormat/>
    <w:rsid w:val="00F761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761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7611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7611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7611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7611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611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611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611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611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7611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7611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7611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7611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761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61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61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6113"/>
    <w:rPr>
      <w:rFonts w:eastAsiaTheme="majorEastAsia" w:cstheme="majorBidi"/>
      <w:color w:val="272727" w:themeColor="text1" w:themeTint="D8"/>
    </w:rPr>
  </w:style>
  <w:style w:type="paragraph" w:styleId="Title">
    <w:name w:val="Title"/>
    <w:basedOn w:val="Normal"/>
    <w:next w:val="Normal"/>
    <w:link w:val="TitleChar"/>
    <w:uiPriority w:val="10"/>
    <w:qFormat/>
    <w:rsid w:val="00F761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61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611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61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6113"/>
    <w:pPr>
      <w:spacing w:before="160"/>
      <w:jc w:val="center"/>
    </w:pPr>
    <w:rPr>
      <w:i/>
      <w:iCs/>
      <w:color w:val="404040" w:themeColor="text1" w:themeTint="BF"/>
    </w:rPr>
  </w:style>
  <w:style w:type="character" w:customStyle="1" w:styleId="QuoteChar">
    <w:name w:val="Quote Char"/>
    <w:basedOn w:val="DefaultParagraphFont"/>
    <w:link w:val="Quote"/>
    <w:uiPriority w:val="29"/>
    <w:rsid w:val="00F76113"/>
    <w:rPr>
      <w:i/>
      <w:iCs/>
      <w:color w:val="404040" w:themeColor="text1" w:themeTint="BF"/>
    </w:rPr>
  </w:style>
  <w:style w:type="paragraph" w:styleId="ListParagraph">
    <w:name w:val="List Paragraph"/>
    <w:basedOn w:val="Normal"/>
    <w:uiPriority w:val="34"/>
    <w:qFormat/>
    <w:rsid w:val="00F76113"/>
    <w:pPr>
      <w:ind w:left="720"/>
      <w:contextualSpacing/>
    </w:pPr>
  </w:style>
  <w:style w:type="character" w:styleId="IntenseEmphasis">
    <w:name w:val="Intense Emphasis"/>
    <w:basedOn w:val="DefaultParagraphFont"/>
    <w:uiPriority w:val="21"/>
    <w:qFormat/>
    <w:rsid w:val="00F76113"/>
    <w:rPr>
      <w:i/>
      <w:iCs/>
      <w:color w:val="0F4761" w:themeColor="accent1" w:themeShade="BF"/>
    </w:rPr>
  </w:style>
  <w:style w:type="paragraph" w:styleId="IntenseQuote">
    <w:name w:val="Intense Quote"/>
    <w:basedOn w:val="Normal"/>
    <w:next w:val="Normal"/>
    <w:link w:val="IntenseQuoteChar"/>
    <w:uiPriority w:val="30"/>
    <w:qFormat/>
    <w:rsid w:val="00F761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76113"/>
    <w:rPr>
      <w:i/>
      <w:iCs/>
      <w:color w:val="0F4761" w:themeColor="accent1" w:themeShade="BF"/>
    </w:rPr>
  </w:style>
  <w:style w:type="character" w:styleId="IntenseReference">
    <w:name w:val="Intense Reference"/>
    <w:basedOn w:val="DefaultParagraphFont"/>
    <w:uiPriority w:val="32"/>
    <w:qFormat/>
    <w:rsid w:val="00F76113"/>
    <w:rPr>
      <w:b/>
      <w:bCs/>
      <w:smallCaps/>
      <w:color w:val="0F4761" w:themeColor="accent1" w:themeShade="BF"/>
      <w:spacing w:val="5"/>
    </w:rPr>
  </w:style>
  <w:style w:type="paragraph" w:styleId="Header">
    <w:name w:val="header"/>
    <w:basedOn w:val="Normal"/>
    <w:link w:val="HeaderChar"/>
    <w:uiPriority w:val="99"/>
    <w:unhideWhenUsed/>
    <w:rsid w:val="00F761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6113"/>
    <w:rPr>
      <w:rFonts w:ascii="Arial" w:eastAsiaTheme="minorEastAsia" w:hAnsi="Arial"/>
      <w:color w:val="000000" w:themeColor="text1"/>
      <w:kern w:val="0"/>
      <w:sz w:val="20"/>
      <w:lang w:eastAsia="en-GB"/>
      <w14:ligatures w14:val="none"/>
    </w:rPr>
  </w:style>
  <w:style w:type="paragraph" w:styleId="Footer">
    <w:name w:val="footer"/>
    <w:basedOn w:val="Normal"/>
    <w:link w:val="FooterChar"/>
    <w:uiPriority w:val="99"/>
    <w:unhideWhenUsed/>
    <w:rsid w:val="00F761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6113"/>
    <w:rPr>
      <w:rFonts w:ascii="Arial" w:eastAsiaTheme="minorEastAsia" w:hAnsi="Arial"/>
      <w:color w:val="000000" w:themeColor="text1"/>
      <w:kern w:val="0"/>
      <w:sz w:val="20"/>
      <w:lang w:eastAsia="en-GB"/>
      <w14:ligatures w14:val="none"/>
    </w:rPr>
  </w:style>
  <w:style w:type="paragraph" w:customStyle="1" w:styleId="Pa1">
    <w:name w:val="Pa1"/>
    <w:basedOn w:val="Normal"/>
    <w:next w:val="Normal"/>
    <w:uiPriority w:val="99"/>
    <w:rsid w:val="00F76113"/>
    <w:pPr>
      <w:autoSpaceDE w:val="0"/>
      <w:autoSpaceDN w:val="0"/>
      <w:adjustRightInd w:val="0"/>
      <w:spacing w:after="0" w:line="241" w:lineRule="atLeast"/>
    </w:pPr>
    <w:rPr>
      <w:rFonts w:ascii="Inter" w:eastAsiaTheme="minorHAnsi" w:hAnsi="Inter"/>
      <w:color w:val="auto"/>
      <w:sz w:val="24"/>
      <w:lang w:val="en-GB" w:eastAsia="en-US"/>
    </w:rPr>
  </w:style>
  <w:style w:type="character" w:customStyle="1" w:styleId="A1">
    <w:name w:val="A1"/>
    <w:uiPriority w:val="99"/>
    <w:rsid w:val="00F76113"/>
    <w:rPr>
      <w:rFonts w:cs="Inter"/>
      <w:color w:val="211D1E"/>
      <w:sz w:val="17"/>
      <w:szCs w:val="17"/>
    </w:rPr>
  </w:style>
  <w:style w:type="character" w:styleId="PageNumber">
    <w:name w:val="page number"/>
    <w:basedOn w:val="DefaultParagraphFont"/>
    <w:uiPriority w:val="99"/>
    <w:semiHidden/>
    <w:unhideWhenUsed/>
    <w:rsid w:val="00F76113"/>
  </w:style>
  <w:style w:type="character" w:styleId="Hyperlink">
    <w:name w:val="Hyperlink"/>
    <w:basedOn w:val="DefaultParagraphFont"/>
    <w:uiPriority w:val="99"/>
    <w:unhideWhenUsed/>
    <w:rsid w:val="00F76113"/>
    <w:rPr>
      <w:color w:val="467886" w:themeColor="hyperlink"/>
      <w:u w:val="single"/>
    </w:rPr>
  </w:style>
  <w:style w:type="paragraph" w:customStyle="1" w:styleId="Quote-indent">
    <w:name w:val="Quote - indent"/>
    <w:basedOn w:val="Normal"/>
    <w:qFormat/>
    <w:rsid w:val="000D65FE"/>
    <w:pPr>
      <w:spacing w:after="160" w:line="278" w:lineRule="auto"/>
      <w:ind w:left="720"/>
    </w:pPr>
    <w:rPr>
      <w:sz w:val="18"/>
      <w:szCs w:val="18"/>
    </w:rPr>
  </w:style>
  <w:style w:type="paragraph" w:styleId="FootnoteText">
    <w:name w:val="footnote text"/>
    <w:basedOn w:val="Normal"/>
    <w:link w:val="FootnoteTextChar"/>
    <w:uiPriority w:val="99"/>
    <w:unhideWhenUsed/>
    <w:rsid w:val="00F76113"/>
    <w:pPr>
      <w:spacing w:after="60" w:line="245" w:lineRule="auto"/>
    </w:pPr>
    <w:rPr>
      <w:sz w:val="18"/>
      <w:szCs w:val="20"/>
    </w:rPr>
  </w:style>
  <w:style w:type="character" w:customStyle="1" w:styleId="FootnoteTextChar">
    <w:name w:val="Footnote Text Char"/>
    <w:basedOn w:val="DefaultParagraphFont"/>
    <w:link w:val="FootnoteText"/>
    <w:uiPriority w:val="99"/>
    <w:rsid w:val="00F76113"/>
    <w:rPr>
      <w:rFonts w:ascii="Arial" w:eastAsiaTheme="minorEastAsia" w:hAnsi="Arial"/>
      <w:color w:val="000000" w:themeColor="text1"/>
      <w:kern w:val="0"/>
      <w:sz w:val="18"/>
      <w:szCs w:val="20"/>
      <w:lang w:eastAsia="en-GB"/>
      <w14:ligatures w14:val="none"/>
    </w:rPr>
  </w:style>
  <w:style w:type="character" w:styleId="FootnoteReference">
    <w:name w:val="footnote reference"/>
    <w:basedOn w:val="DefaultParagraphFont"/>
    <w:uiPriority w:val="99"/>
    <w:semiHidden/>
    <w:unhideWhenUsed/>
    <w:rsid w:val="00F76113"/>
    <w:rPr>
      <w:vertAlign w:val="superscript"/>
    </w:rPr>
  </w:style>
  <w:style w:type="paragraph" w:styleId="Caption">
    <w:name w:val="caption"/>
    <w:basedOn w:val="Normal"/>
    <w:next w:val="Normal"/>
    <w:uiPriority w:val="35"/>
    <w:unhideWhenUsed/>
    <w:qFormat/>
    <w:rsid w:val="00F76113"/>
    <w:pPr>
      <w:spacing w:before="160" w:line="240" w:lineRule="auto"/>
    </w:pPr>
    <w:rPr>
      <w:b/>
      <w:i/>
      <w:iCs/>
      <w:color w:val="0E2841" w:themeColor="text2"/>
      <w:szCs w:val="18"/>
    </w:rPr>
  </w:style>
  <w:style w:type="table" w:styleId="TableGrid">
    <w:name w:val="Table Grid"/>
    <w:basedOn w:val="TableNormal"/>
    <w:uiPriority w:val="39"/>
    <w:rsid w:val="00F76113"/>
    <w:pPr>
      <w:spacing w:after="0" w:line="240" w:lineRule="auto"/>
    </w:pPr>
    <w:rPr>
      <w:rFonts w:ascii="Arial" w:hAnsi="Arial" w:cs="Times New Roman (Body CS)"/>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359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0213325">
      <w:bodyDiv w:val="1"/>
      <w:marLeft w:val="0"/>
      <w:marRight w:val="0"/>
      <w:marTop w:val="0"/>
      <w:marBottom w:val="0"/>
      <w:divBdr>
        <w:top w:val="none" w:sz="0" w:space="0" w:color="auto"/>
        <w:left w:val="none" w:sz="0" w:space="0" w:color="auto"/>
        <w:bottom w:val="none" w:sz="0" w:space="0" w:color="auto"/>
        <w:right w:val="none" w:sz="0" w:space="0" w:color="auto"/>
      </w:divBdr>
    </w:div>
    <w:div w:id="150570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conomics.sen@aph.gov.au"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evin.bowles@actcoss.org.a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8" Type="http://schemas.openxmlformats.org/officeDocument/2006/relationships/hyperlink" Target="https://www.foreignminister.gov.au/minister/penny-wong/media-release/quad-foreign-ministers-meeting-joint-statement-tokyo" TargetMode="External"/><Relationship Id="rId13" Type="http://schemas.openxmlformats.org/officeDocument/2006/relationships/hyperlink" Target="https://www.abc.net.au/news/2024-05-15/federal-budget-housing-crisis-in-10-graphs/103847336" TargetMode="External"/><Relationship Id="rId18" Type="http://schemas.openxmlformats.org/officeDocument/2006/relationships/hyperlink" Target="https://www.ohchr.org/en/special-procedures/sr-housing/guidelines-implementation-right-adequate-housing" TargetMode="External"/><Relationship Id="rId3" Type="http://schemas.openxmlformats.org/officeDocument/2006/relationships/hyperlink" Target="https://treaties.un.org/doc/publication/unts/volume%201155/volume-1155-i-18232-english.pdf" TargetMode="External"/><Relationship Id="rId21" Type="http://schemas.openxmlformats.org/officeDocument/2006/relationships/hyperlink" Target="https://www.dss.gov.au/groups-councils-and-committees/economic-inclusion-advisory-committee" TargetMode="External"/><Relationship Id="rId7" Type="http://schemas.openxmlformats.org/officeDocument/2006/relationships/hyperlink" Target="https://www.ahuri.edu.au/sites/default/files/documents/2023-06/AHURI-Final-Report-401-Towards-a-Australian-Housing-and-Homelessness-Strategy.pdf" TargetMode="External"/><Relationship Id="rId12" Type="http://schemas.openxmlformats.org/officeDocument/2006/relationships/hyperlink" Target="https://www.ucl.ac.uk/bartlett/public-purpose/publications/2023/may/right-housing-mission-oriented-and-human-rights-based-approach" TargetMode="External"/><Relationship Id="rId17" Type="http://schemas.openxmlformats.org/officeDocument/2006/relationships/hyperlink" Target="https://humanrights.gov.au/about/news/speeches/national-press-club-address-president-rosalind-croucher-3-july" TargetMode="External"/><Relationship Id="rId2" Type="http://schemas.openxmlformats.org/officeDocument/2006/relationships/hyperlink" Target="https://www.pc.gov.au/inquiries/completed/housing-homelessness/report/housing-homelessness.pdf" TargetMode="External"/><Relationship Id="rId16" Type="http://schemas.openxmlformats.org/officeDocument/2006/relationships/hyperlink" Target="https://www.ahuri.edu.au/sites/default/files/documents/2023-06/AHURI-Final-Report-401-Towards-a-Australian-Housing-and-Homelessness-Strategy.pdf" TargetMode="External"/><Relationship Id="rId20" Type="http://schemas.openxmlformats.org/officeDocument/2006/relationships/hyperlink" Target="https://www.ahuri.edu.au/sites/default/files/documents/2023-06/AHURI-Final-Report-401-Towards-a-Australian-Housing-and-Homelessness-Strategy.pdf" TargetMode="External"/><Relationship Id="rId1" Type="http://schemas.openxmlformats.org/officeDocument/2006/relationships/hyperlink" Target="https://www.aihw.gov.au/reports/australias-welfare/australias-welfare-2023-data-insights/contents/homelessness-and-housing-affordability" TargetMode="External"/><Relationship Id="rId6" Type="http://schemas.openxmlformats.org/officeDocument/2006/relationships/hyperlink" Target="https://www.dfat.gov.au/aid/topics/development-issues/2030-agenda-sustainable-development" TargetMode="External"/><Relationship Id="rId11" Type="http://schemas.openxmlformats.org/officeDocument/2006/relationships/hyperlink" Target="https://www.ohchr.org/en/special-procedures/sr-housing/guidelines-implementation-right-adequate-housing" TargetMode="External"/><Relationship Id="rId24" Type="http://schemas.openxmlformats.org/officeDocument/2006/relationships/hyperlink" Target="https://www.ahuri.edu.au/sites/default/files/documents/2023-06/AHURI-Final-Report-401-Towards-a-Australian-Housing-and-Homelessness-Strategy.pdf" TargetMode="External"/><Relationship Id="rId5" Type="http://schemas.openxmlformats.org/officeDocument/2006/relationships/hyperlink" Target="https://www.ohchr.org/en/instruments-mechanisms/instruments/international-covenant-economic-social-and-cultural-rights" TargetMode="External"/><Relationship Id="rId15" Type="http://schemas.openxmlformats.org/officeDocument/2006/relationships/hyperlink" Target="https://www.ucl.ac.uk/bartlett/public-purpose/publications/2023/may/right-housing-mission-oriented-and-human-rights-based-approach" TargetMode="External"/><Relationship Id="rId23" Type="http://schemas.openxmlformats.org/officeDocument/2006/relationships/hyperlink" Target="https://ministers.treasury.gov.au/sites/ministers.treasury.gov.au/files/2023-04/eiac-report.pdf" TargetMode="External"/><Relationship Id="rId10" Type="http://schemas.openxmlformats.org/officeDocument/2006/relationships/hyperlink" Target="https://www.ohchr.org/en/special-procedures/sr-housing/guidelines-implementation-right-adequate-housing" TargetMode="External"/><Relationship Id="rId19" Type="http://schemas.openxmlformats.org/officeDocument/2006/relationships/hyperlink" Target="https://www.ohchr.org/en/special-procedures/sr-housing/guidelines-implementation-right-adequate-housing" TargetMode="External"/><Relationship Id="rId4" Type="http://schemas.openxmlformats.org/officeDocument/2006/relationships/hyperlink" Target="https://www.ohchr.org/en/core-international-human-rights-instruments-and-their-monitoring-bodies" TargetMode="External"/><Relationship Id="rId9" Type="http://schemas.openxmlformats.org/officeDocument/2006/relationships/hyperlink" Target="https://www.ohchr.org/en/special-procedures/sr-housing/guidelines-implementation-right-adequate-housing" TargetMode="External"/><Relationship Id="rId14" Type="http://schemas.openxmlformats.org/officeDocument/2006/relationships/hyperlink" Target="https://ministers.treasury.gov.au/ministers/julie-collins-2022/media-releases/shaping-australias-national-housing-and-homelessness" TargetMode="External"/><Relationship Id="rId22" Type="http://schemas.openxmlformats.org/officeDocument/2006/relationships/hyperlink" Target="https://ministers.dss.gov.au/media-releases/1447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93A2617EF7DB41893826E3ECAAB324" ma:contentTypeVersion="18" ma:contentTypeDescription="Create a new document." ma:contentTypeScope="" ma:versionID="d24e2e98360212520142b688d0a5764f">
  <xsd:schema xmlns:xsd="http://www.w3.org/2001/XMLSchema" xmlns:xs="http://www.w3.org/2001/XMLSchema" xmlns:p="http://schemas.microsoft.com/office/2006/metadata/properties" xmlns:ns2="32918964-d11d-4bda-ba04-9b8184f6a173" xmlns:ns3="ef2741e4-cc31-428c-aca2-d2da616e4ed0" targetNamespace="http://schemas.microsoft.com/office/2006/metadata/properties" ma:root="true" ma:fieldsID="320a223b2e93fc1dc6f98ec10a2a3a8b" ns2:_="" ns3:_="">
    <xsd:import namespace="32918964-d11d-4bda-ba04-9b8184f6a173"/>
    <xsd:import namespace="ef2741e4-cc31-428c-aca2-d2da616e4ed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918964-d11d-4bda-ba04-9b8184f6a1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c8a2a78-f552-4495-aed7-c4dd8b0f31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2741e4-cc31-428c-aca2-d2da616e4ed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3a9ae16-53fa-4810-8be8-89ac02ee10f6}" ma:internalName="TaxCatchAll" ma:showField="CatchAllData" ma:web="ef2741e4-cc31-428c-aca2-d2da616e4e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2918964-d11d-4bda-ba04-9b8184f6a173">
      <Terms xmlns="http://schemas.microsoft.com/office/infopath/2007/PartnerControls"/>
    </lcf76f155ced4ddcb4097134ff3c332f>
    <TaxCatchAll xmlns="ef2741e4-cc31-428c-aca2-d2da616e4ed0" xsi:nil="true"/>
  </documentManagement>
</p:properties>
</file>

<file path=customXml/itemProps1.xml><?xml version="1.0" encoding="utf-8"?>
<ds:datastoreItem xmlns:ds="http://schemas.openxmlformats.org/officeDocument/2006/customXml" ds:itemID="{71CE6CB5-0A1B-4EE5-B54A-5BA5CD6A0C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918964-d11d-4bda-ba04-9b8184f6a173"/>
    <ds:schemaRef ds:uri="ef2741e4-cc31-428c-aca2-d2da616e4e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C90F78-0487-45AE-840D-CF189F79E527}">
  <ds:schemaRefs>
    <ds:schemaRef ds:uri="http://schemas.microsoft.com/sharepoint/v3/contenttype/forms"/>
  </ds:schemaRefs>
</ds:datastoreItem>
</file>

<file path=customXml/itemProps3.xml><?xml version="1.0" encoding="utf-8"?>
<ds:datastoreItem xmlns:ds="http://schemas.openxmlformats.org/officeDocument/2006/customXml" ds:itemID="{490C4433-77B8-4DFE-A1CE-1542E915094A}">
  <ds:schemaRefs>
    <ds:schemaRef ds:uri="http://schemas.openxmlformats.org/officeDocument/2006/bibliography"/>
  </ds:schemaRefs>
</ds:datastoreItem>
</file>

<file path=customXml/itemProps4.xml><?xml version="1.0" encoding="utf-8"?>
<ds:datastoreItem xmlns:ds="http://schemas.openxmlformats.org/officeDocument/2006/customXml" ds:itemID="{37708051-A82A-4FB7-B0C7-6AA188B0DF41}">
  <ds:schemaRefs>
    <ds:schemaRef ds:uri="http://schemas.microsoft.com/office/2006/metadata/properties"/>
    <ds:schemaRef ds:uri="http://schemas.microsoft.com/office/infopath/2007/PartnerControls"/>
    <ds:schemaRef ds:uri="32918964-d11d-4bda-ba04-9b8184f6a173"/>
    <ds:schemaRef ds:uri="ef2741e4-cc31-428c-aca2-d2da616e4ed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2359</Words>
  <Characters>13450</Characters>
  <Application>Microsoft Office Word</Application>
  <DocSecurity>4</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Seth-Purdie</dc:creator>
  <cp:keywords/>
  <dc:description/>
  <cp:lastModifiedBy>Corinne Dobson</cp:lastModifiedBy>
  <cp:revision>2</cp:revision>
  <cp:lastPrinted>2024-08-09T07:09:00Z</cp:lastPrinted>
  <dcterms:created xsi:type="dcterms:W3CDTF">2024-08-09T10:35:00Z</dcterms:created>
  <dcterms:modified xsi:type="dcterms:W3CDTF">2024-08-09T10:35:00Z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0x010100A393A2617EF7DB41893826E3ECAAB324</vt:lpwstr>
  </property>
  <property fmtid="{D5CDD505-2E9C-101B-9397-08002B2CF9AE}" pid="3" name="MediaServiceImageTags">
    <vt:lpwstr/>
  </property>
</Properties>
</file>