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8DE"/>
  <w:body>
    <w:p w14:paraId="7AFF5069" w14:textId="437D0806" w:rsidR="005C6416" w:rsidRDefault="005C6416" w:rsidP="002634C1">
      <w:pPr>
        <w:pStyle w:val="Nutshelltext"/>
      </w:pPr>
      <w:r w:rsidRPr="0083484C">
        <mc:AlternateContent>
          <mc:Choice Requires="wps">
            <w:drawing>
              <wp:anchor distT="0" distB="0" distL="114300" distR="114300" simplePos="0" relativeHeight="251658240" behindDoc="0" locked="0" layoutInCell="1" allowOverlap="1" wp14:anchorId="1DE66F85" wp14:editId="340E70C3">
                <wp:simplePos x="0" y="0"/>
                <wp:positionH relativeFrom="margin">
                  <wp:posOffset>-41275</wp:posOffset>
                </wp:positionH>
                <wp:positionV relativeFrom="paragraph">
                  <wp:posOffset>-1084207</wp:posOffset>
                </wp:positionV>
                <wp:extent cx="4543425" cy="1292860"/>
                <wp:effectExtent l="0" t="0" r="9525" b="2540"/>
                <wp:wrapNone/>
                <wp:docPr id="4" name="Text Box 4"/>
                <wp:cNvGraphicFramePr/>
                <a:graphic xmlns:a="http://schemas.openxmlformats.org/drawingml/2006/main">
                  <a:graphicData uri="http://schemas.microsoft.com/office/word/2010/wordprocessingShape">
                    <wps:wsp>
                      <wps:cNvSpPr txBox="1"/>
                      <wps:spPr>
                        <a:xfrm>
                          <a:off x="0" y="0"/>
                          <a:ext cx="4543425" cy="1292860"/>
                        </a:xfrm>
                        <a:prstGeom prst="rect">
                          <a:avLst/>
                        </a:prstGeom>
                        <a:noFill/>
                        <a:ln w="6350">
                          <a:noFill/>
                        </a:ln>
                      </wps:spPr>
                      <wps:txbx>
                        <w:txbxContent>
                          <w:p w14:paraId="38412537" w14:textId="6973A880" w:rsidR="00BC3CE0" w:rsidRPr="001755E2" w:rsidRDefault="00375708" w:rsidP="001E7130">
                            <w:pPr>
                              <w:pStyle w:val="Heading1"/>
                              <w:spacing w:after="200"/>
                              <w:rPr>
                                <w:sz w:val="72"/>
                                <w:szCs w:val="72"/>
                              </w:rPr>
                            </w:pPr>
                            <w:r w:rsidRPr="001755E2">
                              <w:rPr>
                                <w:sz w:val="72"/>
                                <w:szCs w:val="72"/>
                              </w:rPr>
                              <w:t>End g</w:t>
                            </w:r>
                            <w:r w:rsidR="000B7D12" w:rsidRPr="001755E2">
                              <w:rPr>
                                <w:sz w:val="72"/>
                                <w:szCs w:val="72"/>
                              </w:rPr>
                              <w:t>ambling</w:t>
                            </w:r>
                            <w:r w:rsidRPr="001755E2">
                              <w:rPr>
                                <w:sz w:val="72"/>
                                <w:szCs w:val="72"/>
                              </w:rPr>
                              <w:t xml:space="preserve"> harm</w:t>
                            </w:r>
                          </w:p>
                          <w:p w14:paraId="3C568417" w14:textId="77777777" w:rsidR="009F734E" w:rsidRPr="00911B7F" w:rsidRDefault="009F734E" w:rsidP="009F734E">
                            <w:pPr>
                              <w:pStyle w:val="DocumentSubtitle"/>
                              <w:spacing w:after="240"/>
                              <w:rPr>
                                <w:sz w:val="36"/>
                                <w:szCs w:val="36"/>
                              </w:rPr>
                            </w:pPr>
                            <w:r w:rsidRPr="00911B7F">
                              <w:rPr>
                                <w:sz w:val="36"/>
                                <w:szCs w:val="36"/>
                              </w:rPr>
                              <w:t>2024 ACT Election Platform</w:t>
                            </w:r>
                          </w:p>
                          <w:p w14:paraId="0133D3F1" w14:textId="77777777" w:rsidR="009F734E" w:rsidRDefault="009F734E" w:rsidP="00BC3CE0">
                            <w:pPr>
                              <w:pStyle w:val="DocumentSubtitle"/>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66F85" id="_x0000_t202" coordsize="21600,21600" o:spt="202" path="m,l,21600r21600,l21600,xe">
                <v:stroke joinstyle="miter"/>
                <v:path gradientshapeok="t" o:connecttype="rect"/>
              </v:shapetype>
              <v:shape id="Text Box 4" o:spid="_x0000_s1026" type="#_x0000_t202" style="position:absolute;left:0;text-align:left;margin-left:-3.25pt;margin-top:-85.35pt;width:357.75pt;height:10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" filled="f" stroked="f" strokeweight=".5pt">
                <v:textbox inset="0,,0">
                  <w:txbxContent>
                    <w:p w14:paraId="38412537" w14:textId="6973A880" w:rsidR="00BC3CE0" w:rsidRPr="001755E2" w:rsidRDefault="00375708" w:rsidP="001E7130">
                      <w:pPr>
                        <w:pStyle w:val="Heading1"/>
                        <w:spacing w:after="200"/>
                        <w:rPr>
                          <w:sz w:val="72"/>
                          <w:szCs w:val="72"/>
                        </w:rPr>
                      </w:pPr>
                      <w:r w:rsidRPr="001755E2">
                        <w:rPr>
                          <w:sz w:val="72"/>
                          <w:szCs w:val="72"/>
                        </w:rPr>
                        <w:t>End g</w:t>
                      </w:r>
                      <w:r w:rsidR="000B7D12" w:rsidRPr="001755E2">
                        <w:rPr>
                          <w:sz w:val="72"/>
                          <w:szCs w:val="72"/>
                        </w:rPr>
                        <w:t>ambling</w:t>
                      </w:r>
                      <w:r w:rsidRPr="001755E2">
                        <w:rPr>
                          <w:sz w:val="72"/>
                          <w:szCs w:val="72"/>
                        </w:rPr>
                        <w:t xml:space="preserve"> harm</w:t>
                      </w:r>
                    </w:p>
                    <w:p w14:paraId="3C568417" w14:textId="77777777" w:rsidR="009F734E" w:rsidRPr="00911B7F" w:rsidRDefault="009F734E" w:rsidP="009F734E">
                      <w:pPr>
                        <w:pStyle w:val="DocumentSubtitle"/>
                        <w:spacing w:after="240"/>
                        <w:rPr>
                          <w:sz w:val="36"/>
                          <w:szCs w:val="36"/>
                        </w:rPr>
                      </w:pPr>
                      <w:r w:rsidRPr="00911B7F">
                        <w:rPr>
                          <w:sz w:val="36"/>
                          <w:szCs w:val="36"/>
                        </w:rPr>
                        <w:t>2024 ACT Election Platform</w:t>
                      </w:r>
                    </w:p>
                    <w:p w14:paraId="0133D3F1" w14:textId="77777777" w:rsidR="009F734E" w:rsidRDefault="009F734E" w:rsidP="00BC3CE0">
                      <w:pPr>
                        <w:pStyle w:val="DocumentSubtitle"/>
                      </w:pPr>
                    </w:p>
                  </w:txbxContent>
                </v:textbox>
                <w10:wrap anchorx="margin"/>
              </v:shape>
            </w:pict>
          </mc:Fallback>
        </mc:AlternateContent>
      </w:r>
    </w:p>
    <w:p w14:paraId="2B18CDBC" w14:textId="7F114AB8" w:rsidR="00697868" w:rsidRDefault="00341C0D" w:rsidP="004D5D02">
      <w:pPr>
        <w:pStyle w:val="Nutshelltext"/>
        <w:spacing w:before="360" w:after="0"/>
        <w:ind w:left="0" w:right="0"/>
      </w:pPr>
      <w:r w:rsidRPr="0083484C">
        <mc:AlternateContent>
          <mc:Choice Requires="wps">
            <w:drawing>
              <wp:anchor distT="45720" distB="45720" distL="114300" distR="114300" simplePos="0" relativeHeight="251658241" behindDoc="0" locked="0" layoutInCell="1" allowOverlap="1" wp14:anchorId="7C28046F" wp14:editId="03C5FF1E">
                <wp:simplePos x="0" y="0"/>
                <wp:positionH relativeFrom="margin">
                  <wp:posOffset>-88265</wp:posOffset>
                </wp:positionH>
                <wp:positionV relativeFrom="paragraph">
                  <wp:posOffset>1559560</wp:posOffset>
                </wp:positionV>
                <wp:extent cx="6080125" cy="2106930"/>
                <wp:effectExtent l="57150" t="19050" r="53975" b="1028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2106930"/>
                        </a:xfrm>
                        <a:prstGeom prst="rect">
                          <a:avLst/>
                        </a:prstGeom>
                        <a:solidFill>
                          <a:srgbClr val="2D6CB5"/>
                        </a:solidFill>
                        <a:ln w="9525">
                          <a:noFill/>
                          <a:miter lim="800000"/>
                          <a:headEnd/>
                          <a:tailEnd/>
                        </a:ln>
                        <a:effectLst>
                          <a:outerShdw blurRad="50800" dist="38100" dir="5400000" algn="t" rotWithShape="0">
                            <a:prstClr val="black">
                              <a:alpha val="40000"/>
                            </a:prstClr>
                          </a:outerShdw>
                        </a:effectLst>
                      </wps:spPr>
                      <wps:txbx>
                        <w:txbxContent>
                          <w:p w14:paraId="34500C37" w14:textId="002CB922" w:rsidR="004802FD" w:rsidRPr="003124D0" w:rsidRDefault="004802FD" w:rsidP="00355733">
                            <w:pPr>
                              <w:pStyle w:val="Priorityboxnormaltext"/>
                              <w:spacing w:before="100"/>
                              <w:rPr>
                                <w:sz w:val="24"/>
                              </w:rPr>
                            </w:pPr>
                            <w:bookmarkStart w:id="0" w:name="_Hlk175323423"/>
                            <w:r w:rsidRPr="003124D0">
                              <w:rPr>
                                <w:sz w:val="24"/>
                              </w:rPr>
                              <w:t>To reduce gambling harm</w:t>
                            </w:r>
                            <w:r w:rsidR="00FD06C3" w:rsidRPr="003124D0">
                              <w:rPr>
                                <w:sz w:val="24"/>
                              </w:rPr>
                              <w:t>, ACTCOSS calls on the incoming government to:</w:t>
                            </w:r>
                          </w:p>
                          <w:p w14:paraId="7BEED0ED" w14:textId="5F3E73F6" w:rsidR="00A71D62" w:rsidRPr="0006322E" w:rsidRDefault="00A71D62" w:rsidP="00F46684">
                            <w:pPr>
                              <w:pStyle w:val="Prioritiesbox-dotpoint"/>
                            </w:pPr>
                            <w:r w:rsidRPr="0006322E">
                              <w:t xml:space="preserve">Implement </w:t>
                            </w:r>
                            <w:r w:rsidR="00291833">
                              <w:t xml:space="preserve">a </w:t>
                            </w:r>
                            <w:r w:rsidRPr="0006322E">
                              <w:t xml:space="preserve">stronger public health approach to reducing </w:t>
                            </w:r>
                            <w:r w:rsidR="0017593A">
                              <w:t xml:space="preserve">gambling </w:t>
                            </w:r>
                            <w:r w:rsidRPr="0006322E">
                              <w:t>harm</w:t>
                            </w:r>
                          </w:p>
                          <w:bookmarkEnd w:id="0"/>
                          <w:p w14:paraId="13D219D9" w14:textId="1F5AE8FA" w:rsidR="00A71D62" w:rsidRPr="00F46684" w:rsidRDefault="00A71D62" w:rsidP="00F46684">
                            <w:pPr>
                              <w:pStyle w:val="Prioritiesbox-dotpoint"/>
                            </w:pPr>
                            <w:r w:rsidRPr="00F46684">
                              <w:t xml:space="preserve">Support diversification </w:t>
                            </w:r>
                            <w:r w:rsidR="0017593A">
                              <w:t xml:space="preserve">of clubs’ revenue </w:t>
                            </w:r>
                            <w:r w:rsidRPr="00F46684">
                              <w:t xml:space="preserve">to drive </w:t>
                            </w:r>
                            <w:r w:rsidR="001F219E">
                              <w:t xml:space="preserve">a </w:t>
                            </w:r>
                            <w:r w:rsidRPr="00F46684">
                              <w:t>reduction in EGM</w:t>
                            </w:r>
                            <w:r w:rsidR="00A76C1B">
                              <w:t>s</w:t>
                            </w:r>
                            <w:r w:rsidRPr="00F46684">
                              <w:t xml:space="preserve"> </w:t>
                            </w:r>
                          </w:p>
                          <w:p w14:paraId="7E365625" w14:textId="376E1D5A" w:rsidR="00A71D62" w:rsidRPr="0006322E" w:rsidRDefault="00A71D62" w:rsidP="00F46684">
                            <w:pPr>
                              <w:pStyle w:val="Prioritiesbox-dotpoint"/>
                            </w:pPr>
                            <w:r w:rsidRPr="0006322E">
                              <w:t>Improve transparency about the harm</w:t>
                            </w:r>
                            <w:r w:rsidR="008D0096">
                              <w:t>s</w:t>
                            </w:r>
                            <w:r w:rsidRPr="0006322E">
                              <w:t xml:space="preserve"> caused by individual gambling venues</w:t>
                            </w:r>
                          </w:p>
                          <w:p w14:paraId="0593D21D" w14:textId="368E2E49" w:rsidR="00A71D62" w:rsidRPr="0006322E" w:rsidRDefault="00A71D62" w:rsidP="00F46684">
                            <w:pPr>
                              <w:pStyle w:val="Prioritiesbox-dotpoint"/>
                            </w:pPr>
                            <w:r w:rsidRPr="0006322E">
                              <w:t>Implement Australia’s safest ca</w:t>
                            </w:r>
                            <w:r w:rsidR="001F219E">
                              <w:t>shless gaming card system</w:t>
                            </w:r>
                            <w:r w:rsidRPr="0006322E">
                              <w:t xml:space="preserve">, ensuring gambling venues take responsibility for protecting </w:t>
                            </w:r>
                            <w:r w:rsidR="00382607">
                              <w:t>people vulnerable to harm</w:t>
                            </w:r>
                          </w:p>
                          <w:p w14:paraId="12F06201" w14:textId="77777777" w:rsidR="00A71D62" w:rsidRPr="0006322E" w:rsidRDefault="00A71D62" w:rsidP="00F46684">
                            <w:pPr>
                              <w:pStyle w:val="Prioritiesbox-dotpoint"/>
                            </w:pPr>
                            <w:r w:rsidRPr="0006322E">
                              <w:t>Mandate safer gambling venue hours</w:t>
                            </w:r>
                          </w:p>
                          <w:p w14:paraId="2AEC6E12" w14:textId="77777777" w:rsidR="00A71D62" w:rsidRPr="00724AC8" w:rsidRDefault="00A71D62" w:rsidP="00F46684">
                            <w:pPr>
                              <w:pStyle w:val="Prioritiesbox-dotpoint"/>
                            </w:pPr>
                            <w:r w:rsidRPr="0006322E">
                              <w:t>Fund a gambling harm advocacy peak</w:t>
                            </w:r>
                          </w:p>
                          <w:p w14:paraId="6C141AF6" w14:textId="0DC28ED9" w:rsidR="00341C0D" w:rsidRDefault="00341C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8046F" id="Text Box 2" o:spid="_x0000_s1027" type="#_x0000_t202" style="position:absolute;left:0;text-align:left;margin-left:-6.95pt;margin-top:122.8pt;width:478.75pt;height:165.9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" fillcolor="#2d6cb5" stroked="f">
                <v:shadow on="t" color="black" opacity="26214f" origin=",-.5" offset="0,3pt"/>
                <v:textbox>
                  <w:txbxContent>
                    <w:p w14:paraId="34500C37" w14:textId="002CB922" w:rsidR="004802FD" w:rsidRPr="003124D0" w:rsidRDefault="004802FD" w:rsidP="00355733">
                      <w:pPr>
                        <w:pStyle w:val="Priorityboxnormaltext"/>
                        <w:spacing w:before="100"/>
                        <w:rPr>
                          <w:sz w:val="24"/>
                        </w:rPr>
                      </w:pPr>
                      <w:bookmarkStart w:id="1" w:name="_Hlk175323423"/>
                      <w:r w:rsidRPr="003124D0">
                        <w:rPr>
                          <w:sz w:val="24"/>
                        </w:rPr>
                        <w:t>To reduce gambling harm</w:t>
                      </w:r>
                      <w:r w:rsidR="00FD06C3" w:rsidRPr="003124D0">
                        <w:rPr>
                          <w:sz w:val="24"/>
                        </w:rPr>
                        <w:t>, ACTCOSS calls on the incoming government to:</w:t>
                      </w:r>
                    </w:p>
                    <w:p w14:paraId="7BEED0ED" w14:textId="5F3E73F6" w:rsidR="00A71D62" w:rsidRPr="0006322E" w:rsidRDefault="00A71D62" w:rsidP="00F46684">
                      <w:pPr>
                        <w:pStyle w:val="Prioritiesbox-dotpoint"/>
                      </w:pPr>
                      <w:r w:rsidRPr="0006322E">
                        <w:t xml:space="preserve">Implement </w:t>
                      </w:r>
                      <w:r w:rsidR="00291833">
                        <w:t xml:space="preserve">a </w:t>
                      </w:r>
                      <w:r w:rsidRPr="0006322E">
                        <w:t xml:space="preserve">stronger public health approach to reducing </w:t>
                      </w:r>
                      <w:r w:rsidR="0017593A">
                        <w:t xml:space="preserve">gambling </w:t>
                      </w:r>
                      <w:r w:rsidRPr="0006322E">
                        <w:t>harm</w:t>
                      </w:r>
                    </w:p>
                    <w:bookmarkEnd w:id="1"/>
                    <w:p w14:paraId="13D219D9" w14:textId="1F5AE8FA" w:rsidR="00A71D62" w:rsidRPr="00F46684" w:rsidRDefault="00A71D62" w:rsidP="00F46684">
                      <w:pPr>
                        <w:pStyle w:val="Prioritiesbox-dotpoint"/>
                      </w:pPr>
                      <w:r w:rsidRPr="00F46684">
                        <w:t xml:space="preserve">Support diversification </w:t>
                      </w:r>
                      <w:r w:rsidR="0017593A">
                        <w:t xml:space="preserve">of clubs’ revenue </w:t>
                      </w:r>
                      <w:r w:rsidRPr="00F46684">
                        <w:t xml:space="preserve">to drive </w:t>
                      </w:r>
                      <w:r w:rsidR="001F219E">
                        <w:t xml:space="preserve">a </w:t>
                      </w:r>
                      <w:r w:rsidRPr="00F46684">
                        <w:t>reduction in EGM</w:t>
                      </w:r>
                      <w:r w:rsidR="00A76C1B">
                        <w:t>s</w:t>
                      </w:r>
                      <w:r w:rsidRPr="00F46684">
                        <w:t xml:space="preserve"> </w:t>
                      </w:r>
                    </w:p>
                    <w:p w14:paraId="7E365625" w14:textId="376E1D5A" w:rsidR="00A71D62" w:rsidRPr="0006322E" w:rsidRDefault="00A71D62" w:rsidP="00F46684">
                      <w:pPr>
                        <w:pStyle w:val="Prioritiesbox-dotpoint"/>
                      </w:pPr>
                      <w:r w:rsidRPr="0006322E">
                        <w:t>Improve transparency about the harm</w:t>
                      </w:r>
                      <w:r w:rsidR="008D0096">
                        <w:t>s</w:t>
                      </w:r>
                      <w:r w:rsidRPr="0006322E">
                        <w:t xml:space="preserve"> caused by individual gambling venues</w:t>
                      </w:r>
                    </w:p>
                    <w:p w14:paraId="0593D21D" w14:textId="368E2E49" w:rsidR="00A71D62" w:rsidRPr="0006322E" w:rsidRDefault="00A71D62" w:rsidP="00F46684">
                      <w:pPr>
                        <w:pStyle w:val="Prioritiesbox-dotpoint"/>
                      </w:pPr>
                      <w:r w:rsidRPr="0006322E">
                        <w:t>Implement Australia’s safest ca</w:t>
                      </w:r>
                      <w:r w:rsidR="001F219E">
                        <w:t>shless gaming card system</w:t>
                      </w:r>
                      <w:r w:rsidRPr="0006322E">
                        <w:t xml:space="preserve">, ensuring gambling venues take responsibility for protecting </w:t>
                      </w:r>
                      <w:r w:rsidR="00382607">
                        <w:t>people vulnerable to harm</w:t>
                      </w:r>
                    </w:p>
                    <w:p w14:paraId="12F06201" w14:textId="77777777" w:rsidR="00A71D62" w:rsidRPr="0006322E" w:rsidRDefault="00A71D62" w:rsidP="00F46684">
                      <w:pPr>
                        <w:pStyle w:val="Prioritiesbox-dotpoint"/>
                      </w:pPr>
                      <w:r w:rsidRPr="0006322E">
                        <w:t>Mandate safer gambling venue hours</w:t>
                      </w:r>
                    </w:p>
                    <w:p w14:paraId="2AEC6E12" w14:textId="77777777" w:rsidR="00A71D62" w:rsidRPr="00724AC8" w:rsidRDefault="00A71D62" w:rsidP="00F46684">
                      <w:pPr>
                        <w:pStyle w:val="Prioritiesbox-dotpoint"/>
                      </w:pPr>
                      <w:r w:rsidRPr="0006322E">
                        <w:t>Fund a gambling harm advocacy peak</w:t>
                      </w:r>
                    </w:p>
                    <w:p w14:paraId="6C141AF6" w14:textId="0DC28ED9" w:rsidR="00341C0D" w:rsidRDefault="00341C0D"/>
                  </w:txbxContent>
                </v:textbox>
                <w10:wrap type="square" anchorx="margin"/>
              </v:shape>
            </w:pict>
          </mc:Fallback>
        </mc:AlternateContent>
      </w:r>
      <w:r w:rsidR="008D532B" w:rsidRPr="0083484C">
        <w:t xml:space="preserve">Gambling is a source of significant social harm in the ACT, contributing to poverty, mental ill-health, suicide, and domestic and family violence. Electronic gaming machines (EGMs, also known as pokies) are the greatest source of gambling harm in </w:t>
      </w:r>
      <w:r w:rsidR="008D532B" w:rsidRPr="008C2564">
        <w:t>the</w:t>
      </w:r>
      <w:r w:rsidR="008D532B" w:rsidRPr="0083484C">
        <w:t xml:space="preserve"> ACT, and are not </w:t>
      </w:r>
      <w:r w:rsidR="008D532B" w:rsidRPr="002634C1">
        <w:t>regulated</w:t>
      </w:r>
      <w:r w:rsidR="008D532B" w:rsidRPr="0083484C">
        <w:t xml:space="preserve"> in a way to minimi</w:t>
      </w:r>
      <w:r w:rsidR="003C7B71">
        <w:t>s</w:t>
      </w:r>
      <w:r w:rsidR="008D532B" w:rsidRPr="0083484C">
        <w:t>e this harm. A public health approach to gambling harm reduction is required across all demographics.</w:t>
      </w:r>
    </w:p>
    <w:p w14:paraId="555EF995" w14:textId="255C2DCF" w:rsidR="00CF5033" w:rsidRPr="00B15FCA" w:rsidRDefault="00CF5033" w:rsidP="004D5D02">
      <w:pPr>
        <w:pStyle w:val="Heading3"/>
        <w:spacing w:before="600" w:after="160"/>
      </w:pPr>
      <w:r w:rsidRPr="00B15FCA">
        <w:t xml:space="preserve">Gambling harms </w:t>
      </w:r>
      <w:r w:rsidR="00D926F0" w:rsidRPr="00B15FCA">
        <w:t>in the ACT are significant and wide-ranging</w:t>
      </w:r>
      <w:r w:rsidRPr="00B15FCA">
        <w:t xml:space="preserve"> </w:t>
      </w:r>
    </w:p>
    <w:p w14:paraId="63B053CA" w14:textId="77777777" w:rsidR="00B25583" w:rsidRDefault="00B25583" w:rsidP="00D926F0">
      <w:pPr>
        <w:spacing w:before="0"/>
        <w:sectPr w:rsidR="00B25583" w:rsidSect="00E64457">
          <w:headerReference w:type="default" r:id="rId11"/>
          <w:footerReference w:type="even" r:id="rId12"/>
          <w:footerReference w:type="default" r:id="rId13"/>
          <w:headerReference w:type="first" r:id="rId14"/>
          <w:footerReference w:type="first" r:id="rId15"/>
          <w:endnotePr>
            <w:numFmt w:val="decimal"/>
          </w:endnotePr>
          <w:pgSz w:w="11900" w:h="16840"/>
          <w:pgMar w:top="2552" w:right="1304" w:bottom="851" w:left="1304" w:header="709" w:footer="471" w:gutter="0"/>
          <w:cols w:space="708"/>
          <w:titlePg/>
          <w:docGrid w:linePitch="360"/>
        </w:sectPr>
      </w:pPr>
    </w:p>
    <w:p w14:paraId="29FA3D28" w14:textId="356E70FC" w:rsidR="00A068DE" w:rsidRDefault="00DE674B" w:rsidP="00F33037">
      <w:pPr>
        <w:spacing w:before="0"/>
      </w:pPr>
      <w:r>
        <w:t xml:space="preserve">Australians </w:t>
      </w:r>
      <w:r w:rsidR="009E0129">
        <w:t>spend</w:t>
      </w:r>
      <w:r>
        <w:t xml:space="preserve"> </w:t>
      </w:r>
      <w:r w:rsidR="008C61EB">
        <w:t xml:space="preserve">more </w:t>
      </w:r>
      <w:r w:rsidR="00C54DA0">
        <w:t xml:space="preserve">on gambling </w:t>
      </w:r>
      <w:r w:rsidR="008C61EB">
        <w:t>per capita</w:t>
      </w:r>
      <w:r w:rsidR="00C54DA0">
        <w:t xml:space="preserve"> than any other nation</w:t>
      </w:r>
      <w:r w:rsidR="00C44CFE">
        <w:t xml:space="preserve">, </w:t>
      </w:r>
      <w:r w:rsidR="004B2ED4">
        <w:t xml:space="preserve">with </w:t>
      </w:r>
      <w:r w:rsidR="00E6100D">
        <w:t xml:space="preserve">EGMs </w:t>
      </w:r>
      <w:r w:rsidR="00B15FCA">
        <w:t xml:space="preserve">responsible for the most harms and </w:t>
      </w:r>
      <w:r w:rsidR="00E6100D">
        <w:t>accounting for over half of total gambling revenue</w:t>
      </w:r>
      <w:r w:rsidR="00DD15BC">
        <w:t>.</w:t>
      </w:r>
      <w:r w:rsidR="00421606">
        <w:rPr>
          <w:rStyle w:val="EndnoteReference"/>
        </w:rPr>
        <w:endnoteReference w:id="2"/>
      </w:r>
      <w:r w:rsidR="00774D3F">
        <w:t xml:space="preserve"> </w:t>
      </w:r>
    </w:p>
    <w:p w14:paraId="07E18497" w14:textId="7799EF7C" w:rsidR="00C534B0" w:rsidRDefault="00774D3F" w:rsidP="004120ED">
      <w:r>
        <w:t>I</w:t>
      </w:r>
      <w:r w:rsidR="009E0129">
        <w:t xml:space="preserve">n </w:t>
      </w:r>
      <w:r w:rsidR="00815DC0">
        <w:t>2023-24</w:t>
      </w:r>
      <w:r>
        <w:t xml:space="preserve">, </w:t>
      </w:r>
      <w:r w:rsidR="00924D35">
        <w:t>Canberrans</w:t>
      </w:r>
      <w:r w:rsidR="00D627FB">
        <w:t xml:space="preserve"> lost </w:t>
      </w:r>
      <w:r w:rsidR="00485901">
        <w:t>more than</w:t>
      </w:r>
      <w:r w:rsidR="00D627FB">
        <w:t xml:space="preserve"> $186 million </w:t>
      </w:r>
      <w:r w:rsidR="000749C1">
        <w:t>to EGMs</w:t>
      </w:r>
      <w:r w:rsidR="00815DC0">
        <w:t>.</w:t>
      </w:r>
      <w:r w:rsidR="00A87808">
        <w:rPr>
          <w:rStyle w:val="EndnoteReference"/>
        </w:rPr>
        <w:endnoteReference w:id="3"/>
      </w:r>
      <w:r w:rsidR="000C0FD6">
        <w:t xml:space="preserve"> These losses represent a significant financial drain on individuals and families, </w:t>
      </w:r>
      <w:r w:rsidR="008948E6">
        <w:t xml:space="preserve">resulting in a diverse range of harms including </w:t>
      </w:r>
      <w:r w:rsidR="000E403B">
        <w:t xml:space="preserve">financial </w:t>
      </w:r>
      <w:r w:rsidR="001E49E4">
        <w:t xml:space="preserve">distress, mental ill health, </w:t>
      </w:r>
      <w:r w:rsidR="003D31E7">
        <w:t xml:space="preserve">family breakdown, domestic and family violence, </w:t>
      </w:r>
      <w:r w:rsidR="00870D2D">
        <w:t>red</w:t>
      </w:r>
      <w:r w:rsidR="004B7591">
        <w:t xml:space="preserve">uced productivity, </w:t>
      </w:r>
      <w:r w:rsidR="00445FAE">
        <w:t>and greater risk of suicide</w:t>
      </w:r>
      <w:r w:rsidR="000C0FD6">
        <w:t>.</w:t>
      </w:r>
      <w:r w:rsidR="0076502A">
        <w:rPr>
          <w:rStyle w:val="EndnoteReference"/>
        </w:rPr>
        <w:endnoteReference w:id="4"/>
      </w:r>
      <w:r w:rsidR="00445FAE">
        <w:t xml:space="preserve"> </w:t>
      </w:r>
      <w:r w:rsidR="009D1386">
        <w:t>These gambling harms disproportionately affect certain groups, exacerbating social, health and economic inequities.</w:t>
      </w:r>
      <w:r w:rsidR="00B7066A">
        <w:rPr>
          <w:rStyle w:val="EndnoteReference"/>
        </w:rPr>
        <w:endnoteReference w:id="5"/>
      </w:r>
    </w:p>
    <w:p w14:paraId="543D0BFF" w14:textId="033BB3BD" w:rsidR="00655771" w:rsidRDefault="00C534B0" w:rsidP="004120ED">
      <w:r>
        <w:t xml:space="preserve">Despite the </w:t>
      </w:r>
      <w:r w:rsidR="00DE62FE">
        <w:t xml:space="preserve">substantial and </w:t>
      </w:r>
      <w:r w:rsidR="00BB7B79">
        <w:t>w</w:t>
      </w:r>
      <w:r w:rsidR="00DE62FE">
        <w:t>ide-ranging harms associated with gambling,</w:t>
      </w:r>
      <w:r w:rsidR="00A738C7">
        <w:t xml:space="preserve"> </w:t>
      </w:r>
      <w:r w:rsidR="00B75D34">
        <w:t xml:space="preserve">government </w:t>
      </w:r>
      <w:r w:rsidR="000936E9">
        <w:t xml:space="preserve">efforts to </w:t>
      </w:r>
      <w:r w:rsidR="000936E9">
        <w:t xml:space="preserve">better regulate and reduce </w:t>
      </w:r>
      <w:r w:rsidR="00C600D9">
        <w:t>gambling harm in the ACT have been piecemeal.</w:t>
      </w:r>
      <w:r w:rsidR="0038240E">
        <w:t xml:space="preserve"> </w:t>
      </w:r>
      <w:r w:rsidR="00A738C7">
        <w:t>EGMs remain ubiquitous and readily accessible in community venues.</w:t>
      </w:r>
      <w:r w:rsidR="00C600D9">
        <w:t xml:space="preserve"> While </w:t>
      </w:r>
      <w:r w:rsidR="00AB68F4">
        <w:t xml:space="preserve">the number of EGMs </w:t>
      </w:r>
      <w:r w:rsidR="009307E7">
        <w:t xml:space="preserve">declined </w:t>
      </w:r>
      <w:r w:rsidR="00360366">
        <w:t xml:space="preserve">between </w:t>
      </w:r>
      <w:r w:rsidR="00AB68F4">
        <w:t>2015</w:t>
      </w:r>
      <w:r w:rsidR="00360366">
        <w:t xml:space="preserve"> and 2020</w:t>
      </w:r>
      <w:r w:rsidR="00AB68F4">
        <w:t xml:space="preserve">, </w:t>
      </w:r>
      <w:r w:rsidR="009E3E82">
        <w:t xml:space="preserve">the total number of machines in operation has remained static </w:t>
      </w:r>
      <w:r w:rsidR="00AB68F4">
        <w:t>over the past four years</w:t>
      </w:r>
      <w:r w:rsidR="00163958">
        <w:t xml:space="preserve">, with over 3500 EGMs </w:t>
      </w:r>
      <w:r w:rsidR="00AA47A0">
        <w:t>operating</w:t>
      </w:r>
      <w:r w:rsidR="009E3E82">
        <w:t xml:space="preserve"> </w:t>
      </w:r>
      <w:r w:rsidR="00AA47A0">
        <w:t>in</w:t>
      </w:r>
      <w:r w:rsidR="00414C05">
        <w:t xml:space="preserve"> venues </w:t>
      </w:r>
      <w:r w:rsidR="003270ED">
        <w:t>across the ACT</w:t>
      </w:r>
      <w:r w:rsidR="00B75D34">
        <w:t>.</w:t>
      </w:r>
      <w:r w:rsidR="0078645F">
        <w:rPr>
          <w:rStyle w:val="EndnoteReference"/>
        </w:rPr>
        <w:endnoteReference w:id="6"/>
      </w:r>
    </w:p>
    <w:p w14:paraId="1798CAB7" w14:textId="7A42573C" w:rsidR="00C47AB7" w:rsidRPr="000338FA" w:rsidRDefault="00655771" w:rsidP="00C3358E">
      <w:pPr>
        <w:spacing w:before="220" w:after="0"/>
        <w:rPr>
          <w:noProof/>
          <w:color w:val="2D6CB5"/>
          <w:sz w:val="50"/>
          <w:szCs w:val="50"/>
        </w:rPr>
        <w:sectPr w:rsidR="00C47AB7" w:rsidRPr="000338FA" w:rsidSect="007B5B36">
          <w:endnotePr>
            <w:numFmt w:val="decimal"/>
          </w:endnotePr>
          <w:type w:val="continuous"/>
          <w:pgSz w:w="11900" w:h="16840" w:code="9"/>
          <w:pgMar w:top="2552" w:right="1304" w:bottom="851" w:left="1304" w:header="709" w:footer="352" w:gutter="0"/>
          <w:cols w:num="2" w:space="284"/>
          <w:titlePg/>
          <w:docGrid w:linePitch="360"/>
        </w:sectPr>
      </w:pPr>
      <w:r>
        <w:t xml:space="preserve">The need for </w:t>
      </w:r>
      <w:r w:rsidR="00396E1B">
        <w:t xml:space="preserve">more comprehensive policies to prevent gambling harm </w:t>
      </w:r>
      <w:r w:rsidR="00C655C0">
        <w:t xml:space="preserve">is driven by the </w:t>
      </w:r>
      <w:r w:rsidR="00E20FC9">
        <w:t>significant</w:t>
      </w:r>
      <w:r w:rsidR="00C655C0">
        <w:t xml:space="preserve"> and multifaceted impacts of gambling on </w:t>
      </w:r>
      <w:r w:rsidR="00E20FC9">
        <w:t>individuals</w:t>
      </w:r>
      <w:r w:rsidR="00C655C0">
        <w:t>, families and the wider community.</w:t>
      </w:r>
      <w:r w:rsidR="00E20FC9">
        <w:t xml:space="preserve"> For the incoming ACT Government, adopting these policies should be a priority to reduce</w:t>
      </w:r>
      <w:r w:rsidR="00375747">
        <w:t xml:space="preserve"> social and economic costs and promote a health</w:t>
      </w:r>
      <w:r w:rsidR="004D00AD">
        <w:t>ier</w:t>
      </w:r>
      <w:r w:rsidR="00375747">
        <w:t>, more equitable community</w:t>
      </w:r>
      <w:r w:rsidR="00C3358E">
        <w:t>.</w:t>
      </w:r>
    </w:p>
    <w:p w14:paraId="25C9DB96" w14:textId="77777777" w:rsidR="000338FA" w:rsidRDefault="000338FA">
      <w:pPr>
        <w:spacing w:before="0" w:after="0" w:line="240" w:lineRule="auto"/>
        <w:rPr>
          <w:noProof/>
          <w:color w:val="2D6CB5"/>
          <w:sz w:val="50"/>
          <w:szCs w:val="50"/>
        </w:rPr>
      </w:pPr>
      <w:r>
        <w:br w:type="page"/>
      </w:r>
    </w:p>
    <w:p w14:paraId="1644E5C7" w14:textId="05303765" w:rsidR="004831B1" w:rsidRDefault="004831B1" w:rsidP="004831B1">
      <w:pPr>
        <w:pStyle w:val="Heading2"/>
      </w:pPr>
      <w:r>
        <w:lastRenderedPageBreak/>
        <w:t>P</w:t>
      </w:r>
      <w:r w:rsidR="00086779">
        <w:t>olicy p</w:t>
      </w:r>
      <w:r>
        <w:t>riorities</w:t>
      </w:r>
    </w:p>
    <w:p w14:paraId="6C2FBB90" w14:textId="691C2C3E" w:rsidR="004831B1" w:rsidRDefault="004831B1" w:rsidP="00B91F5B">
      <w:pPr>
        <w:pStyle w:val="Heading3"/>
        <w:spacing w:before="360"/>
      </w:pPr>
      <w:r w:rsidRPr="0041073D">
        <w:t xml:space="preserve">Implement </w:t>
      </w:r>
      <w:r w:rsidR="00DE02D6">
        <w:t xml:space="preserve">a </w:t>
      </w:r>
      <w:r w:rsidRPr="0041073D">
        <w:t xml:space="preserve">stronger public health approach to reducing </w:t>
      </w:r>
      <w:r w:rsidR="00DE02D6">
        <w:t xml:space="preserve">gambling </w:t>
      </w:r>
      <w:r w:rsidRPr="0041073D">
        <w:t>harm across all demographics</w:t>
      </w:r>
    </w:p>
    <w:p w14:paraId="7E3B6CF5" w14:textId="5C2DA2E8" w:rsidR="004831B1" w:rsidRPr="008327BD" w:rsidRDefault="005324AD" w:rsidP="004831B1">
      <w:r>
        <w:t xml:space="preserve">There is </w:t>
      </w:r>
      <w:r w:rsidR="00AD73F9">
        <w:t>widespread evidence that gambling-related harms exist on a continuum</w:t>
      </w:r>
      <w:r w:rsidR="00FC460F">
        <w:t xml:space="preserve"> of se</w:t>
      </w:r>
      <w:r w:rsidR="00997C62">
        <w:t>v</w:t>
      </w:r>
      <w:r w:rsidR="00FC460F">
        <w:t>erity</w:t>
      </w:r>
      <w:r w:rsidR="00AD73F9">
        <w:t xml:space="preserve">, with </w:t>
      </w:r>
      <w:r w:rsidR="00997C62">
        <w:t xml:space="preserve">financial, social and health </w:t>
      </w:r>
      <w:r w:rsidR="00AD73F9">
        <w:t xml:space="preserve">harms extending not only to those who </w:t>
      </w:r>
      <w:r w:rsidR="00AF01B1">
        <w:t>gamble</w:t>
      </w:r>
      <w:r w:rsidR="00AD73F9">
        <w:t xml:space="preserve"> but also to their families, </w:t>
      </w:r>
      <w:r w:rsidR="00AF01B1">
        <w:t>peers</w:t>
      </w:r>
      <w:r w:rsidR="00AD73F9">
        <w:t xml:space="preserve"> and the wider community.</w:t>
      </w:r>
      <w:r w:rsidR="00DA2BA8">
        <w:t xml:space="preserve"> </w:t>
      </w:r>
      <w:r w:rsidR="006F109C">
        <w:t xml:space="preserve">A public health approach moves beyond a narrow focus on ‘individual responsibility’ </w:t>
      </w:r>
      <w:r w:rsidR="006F109C" w:rsidRPr="00A71C72">
        <w:t xml:space="preserve">to encompass the prevention of the wide range of gambling harms </w:t>
      </w:r>
      <w:r w:rsidR="006F109C">
        <w:t>e</w:t>
      </w:r>
      <w:r w:rsidR="006F109C" w:rsidRPr="00A71C72">
        <w:t xml:space="preserve">xperienced across the community. </w:t>
      </w:r>
      <w:r w:rsidR="004831B1">
        <w:t xml:space="preserve">A public health perspective allows for </w:t>
      </w:r>
      <w:r w:rsidR="00910BE5">
        <w:t>a comprehensive</w:t>
      </w:r>
      <w:r w:rsidR="00BB3C9F">
        <w:t>,</w:t>
      </w:r>
      <w:r w:rsidR="00C52381">
        <w:t xml:space="preserve"> coordinated </w:t>
      </w:r>
      <w:r w:rsidR="00BB3C9F">
        <w:t xml:space="preserve">and evidence-based </w:t>
      </w:r>
      <w:r w:rsidR="00910BE5">
        <w:t xml:space="preserve">approach that </w:t>
      </w:r>
      <w:r w:rsidR="00DD75C5">
        <w:t xml:space="preserve">emphasises </w:t>
      </w:r>
      <w:r w:rsidR="004831B1">
        <w:t xml:space="preserve">harm prevention and reduction. </w:t>
      </w:r>
    </w:p>
    <w:p w14:paraId="48CFF7B4" w14:textId="5C4B6088" w:rsidR="004831B1" w:rsidRPr="008E77FF" w:rsidRDefault="00626090" w:rsidP="004831B1">
      <w:pPr>
        <w:pStyle w:val="Ask"/>
      </w:pPr>
      <w:r>
        <w:rPr>
          <w:szCs w:val="24"/>
        </w:rPr>
        <w:t>C</w:t>
      </w:r>
      <w:r w:rsidR="004831B1" w:rsidRPr="00A63C8F">
        <w:rPr>
          <w:szCs w:val="24"/>
        </w:rPr>
        <w:t xml:space="preserve">onsider transferring oversight of the Gambling Harm </w:t>
      </w:r>
      <w:r w:rsidR="004831B1">
        <w:rPr>
          <w:szCs w:val="24"/>
        </w:rPr>
        <w:t>R</w:t>
      </w:r>
      <w:r w:rsidR="004831B1" w:rsidRPr="00A63C8F">
        <w:rPr>
          <w:szCs w:val="24"/>
        </w:rPr>
        <w:t xml:space="preserve">eduction </w:t>
      </w:r>
      <w:r w:rsidR="004831B1">
        <w:rPr>
          <w:szCs w:val="24"/>
        </w:rPr>
        <w:t>F</w:t>
      </w:r>
      <w:r w:rsidR="004831B1" w:rsidRPr="00A63C8F">
        <w:rPr>
          <w:szCs w:val="24"/>
        </w:rPr>
        <w:t xml:space="preserve">und to ACT Health to manage and disburse to organisations without an inherent conflict of interest (e.g. those which do not have any gambling revenue).  The purpose of the Fund should be resourcing evidence-based </w:t>
      </w:r>
      <w:r w:rsidR="00B06CEE">
        <w:rPr>
          <w:szCs w:val="24"/>
        </w:rPr>
        <w:t xml:space="preserve">harm prevention </w:t>
      </w:r>
      <w:r w:rsidR="0085095D">
        <w:rPr>
          <w:szCs w:val="24"/>
        </w:rPr>
        <w:t xml:space="preserve">and </w:t>
      </w:r>
      <w:r w:rsidR="004831B1" w:rsidRPr="00A63C8F">
        <w:rPr>
          <w:szCs w:val="24"/>
        </w:rPr>
        <w:t>treatment programs</w:t>
      </w:r>
      <w:r w:rsidR="00326B0E">
        <w:rPr>
          <w:szCs w:val="24"/>
        </w:rPr>
        <w:t xml:space="preserve"> and research into </w:t>
      </w:r>
      <w:r w:rsidR="00EA2D65">
        <w:rPr>
          <w:szCs w:val="24"/>
        </w:rPr>
        <w:t xml:space="preserve">gambling </w:t>
      </w:r>
      <w:r w:rsidR="00326B0E" w:rsidRPr="00A63C8F">
        <w:rPr>
          <w:szCs w:val="24"/>
        </w:rPr>
        <w:t>harm reduction</w:t>
      </w:r>
      <w:r w:rsidR="004831B1" w:rsidRPr="00A63C8F">
        <w:rPr>
          <w:szCs w:val="24"/>
        </w:rPr>
        <w:t>.</w:t>
      </w:r>
    </w:p>
    <w:p w14:paraId="6D5E823D" w14:textId="65F84059" w:rsidR="004831B1" w:rsidRPr="00D41E07" w:rsidRDefault="004831B1" w:rsidP="00614923">
      <w:pPr>
        <w:pStyle w:val="Heading3"/>
      </w:pPr>
      <w:r>
        <w:t>S</w:t>
      </w:r>
      <w:r w:rsidRPr="00D41E07">
        <w:t xml:space="preserve">upport club diversification to drive </w:t>
      </w:r>
      <w:r w:rsidR="00DE02D6">
        <w:t xml:space="preserve">a </w:t>
      </w:r>
      <w:r w:rsidRPr="00D41E07">
        <w:t xml:space="preserve">reduction in </w:t>
      </w:r>
      <w:r w:rsidR="00221615">
        <w:t xml:space="preserve">the number of </w:t>
      </w:r>
      <w:r w:rsidRPr="00D41E07">
        <w:t>EGM</w:t>
      </w:r>
      <w:r w:rsidR="00221615">
        <w:t>s</w:t>
      </w:r>
    </w:p>
    <w:p w14:paraId="5DB753CC" w14:textId="3E954F23" w:rsidR="004831B1" w:rsidRDefault="004831B1" w:rsidP="004831B1">
      <w:r>
        <w:t>The number of EGM</w:t>
      </w:r>
      <w:r w:rsidR="00221615">
        <w:t>s</w:t>
      </w:r>
      <w:r>
        <w:t xml:space="preserve"> in the ACT</w:t>
      </w:r>
      <w:r w:rsidR="00330159">
        <w:t xml:space="preserve"> remains excessive, </w:t>
      </w:r>
      <w:r w:rsidR="00B34C12">
        <w:t xml:space="preserve">with over 3500 machines in operation across a range of </w:t>
      </w:r>
      <w:r w:rsidR="00C03EC1">
        <w:t xml:space="preserve">community </w:t>
      </w:r>
      <w:r w:rsidR="00307F0C">
        <w:t xml:space="preserve">club </w:t>
      </w:r>
      <w:r w:rsidR="00B34C12">
        <w:t xml:space="preserve">venues. </w:t>
      </w:r>
      <w:r>
        <w:t xml:space="preserve">The </w:t>
      </w:r>
      <w:r w:rsidR="00C03EC1">
        <w:t xml:space="preserve">high visibility, availability and accessibility </w:t>
      </w:r>
      <w:r>
        <w:t>of EGMs</w:t>
      </w:r>
      <w:r w:rsidR="00245DF1">
        <w:t xml:space="preserve"> contributes to the substantial community harms ar</w:t>
      </w:r>
      <w:r w:rsidR="008A01B0">
        <w:t>i</w:t>
      </w:r>
      <w:r w:rsidR="00245DF1">
        <w:t>sing from EGMs</w:t>
      </w:r>
      <w:r>
        <w:t xml:space="preserve"> </w:t>
      </w:r>
      <w:r w:rsidR="00245DF1">
        <w:t xml:space="preserve">and </w:t>
      </w:r>
      <w:r>
        <w:t>makes it easy for anyone with gambling addi</w:t>
      </w:r>
      <w:r w:rsidR="00095E6E">
        <w:t>c</w:t>
      </w:r>
      <w:r>
        <w:t>tion to lose substantial amounts of money. Some clubs are financially reliant on EGM losses to support themselves, and are therefore unwilling to reduce their gambling income without an alternative source of revenue.</w:t>
      </w:r>
    </w:p>
    <w:p w14:paraId="5D1699D7" w14:textId="7E23FAA1" w:rsidR="004831B1" w:rsidRPr="008E77FF" w:rsidRDefault="00C86551" w:rsidP="004831B1">
      <w:pPr>
        <w:pStyle w:val="Ask"/>
      </w:pPr>
      <w:r>
        <w:t>I</w:t>
      </w:r>
      <w:r w:rsidR="004831B1" w:rsidRPr="005E29CE">
        <w:t xml:space="preserve">mplement a proactive strategy to help community clubs diversify their income and reduce their reliance on EGM revenue. </w:t>
      </w:r>
      <w:r w:rsidR="00D9126A">
        <w:t>T</w:t>
      </w:r>
      <w:r w:rsidR="004831B1" w:rsidRPr="005E29CE">
        <w:t xml:space="preserve">o ensure policies reduce community harm from gambling, </w:t>
      </w:r>
      <w:r w:rsidR="003049B2">
        <w:t>make</w:t>
      </w:r>
      <w:r w:rsidR="004831B1" w:rsidRPr="005E29CE">
        <w:t xml:space="preserve"> government grants, subsidies, lease variation waivers or other </w:t>
      </w:r>
      <w:r w:rsidR="00615392">
        <w:t>rebates</w:t>
      </w:r>
      <w:r w:rsidR="004831B1" w:rsidRPr="005E29CE">
        <w:t xml:space="preserve"> provided to clubs </w:t>
      </w:r>
      <w:r w:rsidR="00082B58">
        <w:t>conditional on an</w:t>
      </w:r>
      <w:r w:rsidR="004831B1" w:rsidRPr="005E29CE">
        <w:t xml:space="preserve"> overall reduction in </w:t>
      </w:r>
      <w:r w:rsidR="00307F0C">
        <w:t xml:space="preserve">the number of </w:t>
      </w:r>
      <w:r w:rsidR="004831B1" w:rsidRPr="005E29CE">
        <w:t>EGM</w:t>
      </w:r>
      <w:r w:rsidR="00307F0C">
        <w:t>s</w:t>
      </w:r>
      <w:r w:rsidR="004831B1" w:rsidRPr="005E29CE">
        <w:t xml:space="preserve">.  The target should be a reduction of </w:t>
      </w:r>
      <w:r w:rsidR="00F70702">
        <w:t xml:space="preserve">authorised </w:t>
      </w:r>
      <w:r w:rsidR="004831B1" w:rsidRPr="005E29CE">
        <w:t>EGM</w:t>
      </w:r>
      <w:r w:rsidR="00F70702">
        <w:t>s</w:t>
      </w:r>
      <w:r w:rsidR="004831B1" w:rsidRPr="005E29CE">
        <w:t xml:space="preserve"> to 2000 in the next term of government</w:t>
      </w:r>
      <w:r w:rsidR="004831B1">
        <w:t>.</w:t>
      </w:r>
    </w:p>
    <w:p w14:paraId="4718BA0D" w14:textId="2754B86C" w:rsidR="004831B1" w:rsidRPr="008327BD" w:rsidRDefault="004831B1" w:rsidP="004831B1">
      <w:pPr>
        <w:pStyle w:val="Heading3"/>
      </w:pPr>
      <w:r w:rsidRPr="008327BD">
        <w:t>Improve transparency about the harm</w:t>
      </w:r>
      <w:r w:rsidR="009D541D">
        <w:t>s</w:t>
      </w:r>
      <w:r w:rsidRPr="008327BD">
        <w:t xml:space="preserve"> caused by individual gambling venues</w:t>
      </w:r>
    </w:p>
    <w:p w14:paraId="1AA6629C" w14:textId="77777777" w:rsidR="004831B1" w:rsidRDefault="004831B1" w:rsidP="004831B1">
      <w:r>
        <w:t>Harms caused by gambling venues are significant in the ACT and require appropriate public oversight. Currently, even basic information about gambling losses is not publicly available, preventing appropriate scrutiny. If gambling venues want the social license to operate, they need to be publicly accountable.</w:t>
      </w:r>
    </w:p>
    <w:p w14:paraId="7C21C4FF" w14:textId="1EA6AEFC" w:rsidR="004831B1" w:rsidRPr="008E77FF" w:rsidRDefault="004512BB" w:rsidP="004831B1">
      <w:pPr>
        <w:pStyle w:val="Ask"/>
      </w:pPr>
      <w:r>
        <w:t>R</w:t>
      </w:r>
      <w:r w:rsidR="004831B1">
        <w:t>equire a</w:t>
      </w:r>
      <w:r w:rsidR="004831B1" w:rsidRPr="00AF2DBE">
        <w:t xml:space="preserve">nnual public reporting of </w:t>
      </w:r>
      <w:r w:rsidR="003A11E0">
        <w:t>revenue</w:t>
      </w:r>
      <w:r w:rsidR="004831B1" w:rsidRPr="00AF2DBE">
        <w:t xml:space="preserve"> by each gambling venue (total and per EGM), </w:t>
      </w:r>
      <w:r w:rsidR="00CE5517">
        <w:t xml:space="preserve">the </w:t>
      </w:r>
      <w:r w:rsidR="004831B1" w:rsidRPr="00AF2DBE">
        <w:t>number of people self-excluded by venue</w:t>
      </w:r>
      <w:r w:rsidR="001D586A">
        <w:t>,</w:t>
      </w:r>
      <w:r w:rsidR="004831B1" w:rsidRPr="00AF2DBE">
        <w:t xml:space="preserve"> and information about </w:t>
      </w:r>
      <w:r w:rsidR="001D586A">
        <w:t xml:space="preserve">the </w:t>
      </w:r>
      <w:r w:rsidR="004831B1" w:rsidRPr="00AF2DBE">
        <w:t>implementation and results of compliance and red-flag audits of gambling venues.</w:t>
      </w:r>
    </w:p>
    <w:p w14:paraId="368F7208" w14:textId="4D20C6DE" w:rsidR="004831B1" w:rsidRPr="00D97F39" w:rsidRDefault="004831B1" w:rsidP="004831B1">
      <w:pPr>
        <w:pStyle w:val="Heading3"/>
      </w:pPr>
      <w:r w:rsidRPr="00D97F39">
        <w:lastRenderedPageBreak/>
        <w:t>Implement Australia’s safest carded gaming</w:t>
      </w:r>
      <w:r w:rsidR="00EF24AD">
        <w:t xml:space="preserve"> system</w:t>
      </w:r>
      <w:r w:rsidRPr="00D97F39">
        <w:t>, ensuring gambling venues take responsibility for protecting vulnerable people</w:t>
      </w:r>
    </w:p>
    <w:p w14:paraId="38167F70" w14:textId="63F23A24" w:rsidR="004831B1" w:rsidRDefault="004831B1" w:rsidP="004831B1">
      <w:r>
        <w:t xml:space="preserve">Reducing community clubs’ unhealthy reliance on EGMs is vital, but </w:t>
      </w:r>
      <w:r w:rsidR="00A3021F">
        <w:t>this</w:t>
      </w:r>
      <w:r w:rsidR="008447B9">
        <w:t xml:space="preserve"> needs to be supplemented by </w:t>
      </w:r>
      <w:r w:rsidR="00A3021F">
        <w:t xml:space="preserve">additional </w:t>
      </w:r>
      <w:r w:rsidR="008447B9">
        <w:t xml:space="preserve">measures </w:t>
      </w:r>
      <w:r w:rsidR="0062734A">
        <w:t xml:space="preserve">that </w:t>
      </w:r>
      <w:r w:rsidR="00430B6F">
        <w:t xml:space="preserve">reduce the harms experienced by </w:t>
      </w:r>
      <w:r w:rsidR="0062734A">
        <w:t>those who gamble</w:t>
      </w:r>
      <w:r w:rsidR="00A3021F">
        <w:t xml:space="preserve"> using EGMs</w:t>
      </w:r>
      <w:r>
        <w:t xml:space="preserve">. </w:t>
      </w:r>
      <w:r w:rsidR="003901E2" w:rsidRPr="003901E2">
        <w:t xml:space="preserve">A </w:t>
      </w:r>
      <w:r w:rsidR="005F278E">
        <w:t xml:space="preserve">registered </w:t>
      </w:r>
      <w:r w:rsidR="003901E2" w:rsidRPr="003901E2">
        <w:t xml:space="preserve">cashless gaming card system </w:t>
      </w:r>
      <w:r w:rsidR="002F7F1F">
        <w:t xml:space="preserve">with robust consumer protections </w:t>
      </w:r>
      <w:r w:rsidR="005F278E">
        <w:t xml:space="preserve">would </w:t>
      </w:r>
      <w:r w:rsidR="003901E2" w:rsidRPr="003901E2">
        <w:t xml:space="preserve">have a significant impact </w:t>
      </w:r>
      <w:r w:rsidR="008706B6">
        <w:t>o</w:t>
      </w:r>
      <w:r w:rsidR="003901E2" w:rsidRPr="003901E2">
        <w:t>n preventing and reducing gambling harm in our communities</w:t>
      </w:r>
      <w:r w:rsidR="005F278E">
        <w:t xml:space="preserve">. </w:t>
      </w:r>
      <w:r>
        <w:t xml:space="preserve">The only </w:t>
      </w:r>
      <w:r w:rsidR="004B21A2">
        <w:t>effective</w:t>
      </w:r>
      <w:r>
        <w:t xml:space="preserve"> way to provide these benefits is with a central monitoring system, otherwise people can </w:t>
      </w:r>
      <w:r w:rsidR="00B15B1C">
        <w:t xml:space="preserve">circumvent harm reduction measures by </w:t>
      </w:r>
      <w:r>
        <w:t>simpl</w:t>
      </w:r>
      <w:r w:rsidR="00D22550">
        <w:t>y</w:t>
      </w:r>
      <w:r>
        <w:t xml:space="preserve"> mov</w:t>
      </w:r>
      <w:r w:rsidR="00D22550">
        <w:t>ing</w:t>
      </w:r>
      <w:r>
        <w:t xml:space="preserve"> from one venue to the next.  </w:t>
      </w:r>
    </w:p>
    <w:p w14:paraId="5223C00E" w14:textId="4EDC1D63" w:rsidR="004831B1" w:rsidRDefault="00835717" w:rsidP="004831B1">
      <w:pPr>
        <w:pStyle w:val="Ask"/>
      </w:pPr>
      <w:r>
        <w:t>Commence a</w:t>
      </w:r>
      <w:r w:rsidR="004831B1">
        <w:t xml:space="preserve"> phased introduction of carded gaming for venues </w:t>
      </w:r>
      <w:r w:rsidR="00E8519C">
        <w:t>with EGMs</w:t>
      </w:r>
      <w:r w:rsidR="004B21A2">
        <w:t>, and</w:t>
      </w:r>
      <w:r w:rsidR="00E8519C">
        <w:t xml:space="preserve"> </w:t>
      </w:r>
      <w:r w:rsidR="004831B1">
        <w:t xml:space="preserve">which includes best-practice consumer protections.  Facilitated by a central monitoring system, this should include daily and monthly betting caps; mandatory pre-commitment in all venues; </w:t>
      </w:r>
      <w:r w:rsidR="00796A27">
        <w:t xml:space="preserve">mandated </w:t>
      </w:r>
      <w:r w:rsidR="004831B1">
        <w:t>break</w:t>
      </w:r>
      <w:r w:rsidR="00796A27">
        <w:t>s</w:t>
      </w:r>
      <w:r w:rsidR="004831B1">
        <w:t xml:space="preserve"> after every hour of play;</w:t>
      </w:r>
      <w:r w:rsidR="00D53F2B">
        <w:t xml:space="preserve"> and</w:t>
      </w:r>
      <w:r w:rsidR="004831B1">
        <w:t xml:space="preserve"> </w:t>
      </w:r>
      <w:r w:rsidR="00F21211">
        <w:t xml:space="preserve">a </w:t>
      </w:r>
      <w:r w:rsidR="00C3383F">
        <w:t xml:space="preserve">minimum </w:t>
      </w:r>
      <w:r w:rsidR="004831B1">
        <w:t>spin rate of three seconds per game.</w:t>
      </w:r>
    </w:p>
    <w:p w14:paraId="408BC728" w14:textId="77777777" w:rsidR="004831B1" w:rsidRPr="007248C2" w:rsidRDefault="004831B1" w:rsidP="004831B1">
      <w:pPr>
        <w:pStyle w:val="Heading3"/>
      </w:pPr>
      <w:r>
        <w:t>Mandate s</w:t>
      </w:r>
      <w:r w:rsidRPr="007248C2">
        <w:t>afer gambling venue hours</w:t>
      </w:r>
    </w:p>
    <w:p w14:paraId="4D641CDA" w14:textId="77777777" w:rsidR="004831B1" w:rsidRDefault="004831B1" w:rsidP="004831B1">
      <w:r>
        <w:t xml:space="preserve">There is evidence that the most harmful gambling occurs after midnight, yet many gambling venues remain open well past this time. </w:t>
      </w:r>
    </w:p>
    <w:p w14:paraId="14B3B070" w14:textId="411FFF71" w:rsidR="004831B1" w:rsidRDefault="00E8519C" w:rsidP="004831B1">
      <w:pPr>
        <w:pStyle w:val="Ask"/>
      </w:pPr>
      <w:r>
        <w:t>B</w:t>
      </w:r>
      <w:r w:rsidR="004831B1" w:rsidRPr="007248C2">
        <w:t>an venues from operating EGMs between 1am and 10am each day.</w:t>
      </w:r>
    </w:p>
    <w:p w14:paraId="4C8478FA" w14:textId="77777777" w:rsidR="004831B1" w:rsidRPr="00C762D0" w:rsidRDefault="004831B1" w:rsidP="00697B6A">
      <w:pPr>
        <w:pStyle w:val="Heading3"/>
      </w:pPr>
      <w:r w:rsidRPr="00C762D0">
        <w:t>Fund a gambling harm advocacy peak</w:t>
      </w:r>
    </w:p>
    <w:p w14:paraId="1121E2D1" w14:textId="5EC4794A" w:rsidR="004831B1" w:rsidRDefault="004831B1" w:rsidP="004831B1">
      <w:r w:rsidRPr="00351656">
        <w:t>There is currently no organisation funded by ACT Government to advocate on behalf of individuals, families and organisations harmed by the gambling industry and to research and seek better outcomes for the Canberra community.</w:t>
      </w:r>
      <w:r>
        <w:t xml:space="preserve"> The gambling industry has a seat at the table in policy development despite its conflict of interest, and can afford to lobby decision-makers heavily. Those on the side of harm</w:t>
      </w:r>
      <w:r w:rsidR="00C57971">
        <w:t xml:space="preserve"> </w:t>
      </w:r>
      <w:r>
        <w:t>reduction do not receive any funding for this work.</w:t>
      </w:r>
    </w:p>
    <w:p w14:paraId="5C073727" w14:textId="45717E04" w:rsidR="004831B1" w:rsidRDefault="00D83199" w:rsidP="004831B1">
      <w:pPr>
        <w:pStyle w:val="Ask"/>
      </w:pPr>
      <w:r>
        <w:t>Provide</w:t>
      </w:r>
      <w:r w:rsidR="004831B1">
        <w:t xml:space="preserve"> fund</w:t>
      </w:r>
      <w:r>
        <w:t>ing for</w:t>
      </w:r>
      <w:r w:rsidR="004831B1">
        <w:t xml:space="preserve"> a gambling harm </w:t>
      </w:r>
      <w:r>
        <w:t xml:space="preserve">reduction </w:t>
      </w:r>
      <w:r w:rsidR="004831B1">
        <w:t xml:space="preserve">advocacy peak. </w:t>
      </w:r>
    </w:p>
    <w:p w14:paraId="28C00DC7" w14:textId="77777777" w:rsidR="00A26EBD" w:rsidRDefault="00A26EBD" w:rsidP="00A26EBD"/>
    <w:p w14:paraId="48D9EDE8" w14:textId="77777777" w:rsidR="00A26EBD" w:rsidRPr="008E77FF" w:rsidRDefault="00A26EBD" w:rsidP="00A26EBD"/>
    <w:p w14:paraId="1275F675" w14:textId="476851CB" w:rsidR="00CD4EDA" w:rsidRPr="00BF7275" w:rsidRDefault="00A26EBD" w:rsidP="00BF7275">
      <w:pPr>
        <w:spacing w:before="240"/>
        <w:jc w:val="center"/>
        <w:rPr>
          <w:rFonts w:cs="Arial"/>
          <w:i/>
          <w:iCs/>
          <w:szCs w:val="21"/>
        </w:rPr>
      </w:pPr>
      <w:r w:rsidRPr="00BF7275">
        <w:rPr>
          <w:rFonts w:cs="Arial"/>
          <w:i/>
          <w:iCs/>
          <w:szCs w:val="21"/>
        </w:rPr>
        <w:t>Authorised by Dr Devin Bowles on behalf of the ACT Council of Social Service Inc (ACTCOSS)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4"/>
      </w:tblGrid>
      <w:tr w:rsidR="001E0211" w14:paraId="334E9D51" w14:textId="77777777" w:rsidTr="00CA3AEB">
        <w:trPr>
          <w:trHeight w:val="876"/>
        </w:trPr>
        <w:tc>
          <w:tcPr>
            <w:tcW w:w="3003" w:type="dxa"/>
            <w:tcMar>
              <w:left w:w="0" w:type="dxa"/>
              <w:right w:w="0" w:type="dxa"/>
            </w:tcMar>
          </w:tcPr>
          <w:p w14:paraId="5670862A" w14:textId="71B9F815" w:rsidR="001E0211" w:rsidRDefault="001E0211" w:rsidP="00CA3AEB">
            <w:pPr>
              <w:pStyle w:val="ParagraphHighlight"/>
              <w:rPr>
                <w:sz w:val="20"/>
                <w:szCs w:val="20"/>
              </w:rPr>
            </w:pPr>
          </w:p>
        </w:tc>
        <w:tc>
          <w:tcPr>
            <w:tcW w:w="3004" w:type="dxa"/>
            <w:tcMar>
              <w:left w:w="0" w:type="dxa"/>
              <w:right w:w="0" w:type="dxa"/>
            </w:tcMar>
          </w:tcPr>
          <w:p w14:paraId="35D7CFE0" w14:textId="066F2303" w:rsidR="001E0211" w:rsidRDefault="001E0211" w:rsidP="00940BE3">
            <w:pPr>
              <w:pStyle w:val="ParagraphHighlight"/>
              <w:tabs>
                <w:tab w:val="right" w:pos="3004"/>
              </w:tabs>
              <w:rPr>
                <w:sz w:val="20"/>
                <w:szCs w:val="20"/>
              </w:rPr>
            </w:pPr>
            <w:r>
              <w:rPr>
                <w:sz w:val="20"/>
                <w:szCs w:val="20"/>
              </w:rPr>
              <w:tab/>
            </w:r>
          </w:p>
        </w:tc>
      </w:tr>
    </w:tbl>
    <w:p w14:paraId="58C86AB2" w14:textId="045EBE4F" w:rsidR="008F7966" w:rsidRPr="008F7966" w:rsidRDefault="008F7966" w:rsidP="008F7966">
      <w:pPr>
        <w:rPr>
          <w:rFonts w:cs="Arial"/>
          <w:color w:val="000000"/>
          <w:sz w:val="23"/>
          <w:szCs w:val="23"/>
          <w:lang w:val="en-US"/>
        </w:rPr>
        <w:sectPr w:rsidR="008F7966" w:rsidRPr="008F7966" w:rsidSect="004E5981">
          <w:footerReference w:type="default" r:id="rId16"/>
          <w:endnotePr>
            <w:numFmt w:val="decimal"/>
          </w:endnotePr>
          <w:type w:val="continuous"/>
          <w:pgSz w:w="11900" w:h="16840"/>
          <w:pgMar w:top="2552" w:right="1304" w:bottom="851" w:left="1304" w:header="709" w:footer="350" w:gutter="0"/>
          <w:cols w:space="708"/>
          <w:titlePg/>
          <w:docGrid w:linePitch="360"/>
        </w:sectPr>
      </w:pPr>
    </w:p>
    <w:p w14:paraId="408A26DC" w14:textId="59D6F787" w:rsidR="00741A8D" w:rsidRDefault="00741A8D" w:rsidP="001C70C1"/>
    <w:p w14:paraId="4C3F4722" w14:textId="297E05DF" w:rsidR="008F7966" w:rsidRPr="001C70C1" w:rsidRDefault="000F5B94" w:rsidP="00363E6C">
      <w:pPr>
        <w:pStyle w:val="Heading2"/>
        <w:spacing w:after="0"/>
        <w:rPr>
          <w:sz w:val="46"/>
          <w:szCs w:val="46"/>
        </w:rPr>
      </w:pPr>
      <w:r w:rsidRPr="001C70C1">
        <w:rPr>
          <w:sz w:val="46"/>
          <w:szCs w:val="46"/>
        </w:rPr>
        <w:t>End Note</w:t>
      </w:r>
      <w:r w:rsidR="00BD54E7" w:rsidRPr="001C70C1">
        <w:rPr>
          <w:sz w:val="46"/>
          <w:szCs w:val="46"/>
        </w:rPr>
        <w:t>s</w:t>
      </w:r>
    </w:p>
    <w:sectPr w:rsidR="008F7966" w:rsidRPr="001C70C1" w:rsidSect="0052492A">
      <w:pgSz w:w="11900" w:h="16840"/>
      <w:pgMar w:top="1985" w:right="1304" w:bottom="992" w:left="1304" w:header="709" w:footer="4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7E4CE6" w14:textId="77777777" w:rsidR="003D3977" w:rsidRDefault="003D3977" w:rsidP="00257D1B"/>
    <w:p w14:paraId="175905AC" w14:textId="77777777" w:rsidR="003D3977" w:rsidRDefault="003D3977"/>
  </w:endnote>
  <w:endnote w:type="continuationSeparator" w:id="0">
    <w:p w14:paraId="7A6386BF" w14:textId="77777777" w:rsidR="003D3977" w:rsidRDefault="003D3977" w:rsidP="00257D1B">
      <w:r>
        <w:continuationSeparator/>
      </w:r>
    </w:p>
    <w:p w14:paraId="57354845" w14:textId="77777777" w:rsidR="003D3977" w:rsidRDefault="003D3977"/>
  </w:endnote>
  <w:endnote w:type="continuationNotice" w:id="1">
    <w:p w14:paraId="6A189531" w14:textId="77777777" w:rsidR="003D3977" w:rsidRDefault="003D3977">
      <w:pPr>
        <w:spacing w:before="0" w:after="0" w:line="240" w:lineRule="auto"/>
      </w:pPr>
    </w:p>
  </w:endnote>
  <w:endnote w:id="2">
    <w:p w14:paraId="0E5CDB2C" w14:textId="45FAD893" w:rsidR="0097176F" w:rsidRPr="008164F5" w:rsidRDefault="00351640" w:rsidP="008164F5">
      <w:pPr>
        <w:pStyle w:val="Endnotedescription"/>
        <w:spacing w:before="0" w:after="280"/>
        <w:rPr>
          <w:b/>
          <w:bCs/>
          <w:i/>
          <w:iCs/>
          <w:sz w:val="19"/>
          <w:szCs w:val="19"/>
        </w:rPr>
      </w:pPr>
      <w:r w:rsidRPr="008164F5">
        <w:rPr>
          <w:b/>
          <w:bCs/>
          <w:i/>
          <w:iCs/>
          <w:sz w:val="19"/>
          <w:szCs w:val="19"/>
        </w:rPr>
        <w:t xml:space="preserve">ACTCOSS is a member of the </w:t>
      </w:r>
      <w:hyperlink r:id="rId1" w:history="1">
        <w:r w:rsidR="008F24CC" w:rsidRPr="008164F5">
          <w:rPr>
            <w:rStyle w:val="Hyperlink"/>
            <w:b/>
            <w:bCs/>
            <w:i/>
            <w:iCs/>
            <w:sz w:val="19"/>
            <w:szCs w:val="19"/>
          </w:rPr>
          <w:t>Canberra Gambling Reform Alliance</w:t>
        </w:r>
      </w:hyperlink>
      <w:r w:rsidR="008F24CC" w:rsidRPr="008164F5">
        <w:rPr>
          <w:b/>
          <w:bCs/>
          <w:i/>
          <w:iCs/>
          <w:sz w:val="19"/>
          <w:szCs w:val="19"/>
        </w:rPr>
        <w:t xml:space="preserve"> (CGRA). </w:t>
      </w:r>
      <w:r w:rsidR="005A3BC0" w:rsidRPr="008164F5">
        <w:rPr>
          <w:b/>
          <w:bCs/>
          <w:i/>
          <w:iCs/>
          <w:sz w:val="19"/>
          <w:szCs w:val="19"/>
        </w:rPr>
        <w:t xml:space="preserve">Our policy position on gambling </w:t>
      </w:r>
      <w:r w:rsidR="008A7E23" w:rsidRPr="008164F5">
        <w:rPr>
          <w:b/>
          <w:bCs/>
          <w:i/>
          <w:iCs/>
          <w:sz w:val="19"/>
          <w:szCs w:val="19"/>
        </w:rPr>
        <w:t>draw</w:t>
      </w:r>
      <w:r w:rsidR="00E60F81">
        <w:rPr>
          <w:b/>
          <w:bCs/>
          <w:i/>
          <w:iCs/>
          <w:sz w:val="19"/>
          <w:szCs w:val="19"/>
        </w:rPr>
        <w:t>s</w:t>
      </w:r>
      <w:r w:rsidR="008A7E23" w:rsidRPr="008164F5">
        <w:rPr>
          <w:b/>
          <w:bCs/>
          <w:i/>
          <w:iCs/>
          <w:sz w:val="19"/>
          <w:szCs w:val="19"/>
        </w:rPr>
        <w:t xml:space="preserve"> on</w:t>
      </w:r>
      <w:r w:rsidR="005A3BC0" w:rsidRPr="008164F5">
        <w:rPr>
          <w:b/>
          <w:bCs/>
          <w:i/>
          <w:iCs/>
          <w:sz w:val="19"/>
          <w:szCs w:val="19"/>
        </w:rPr>
        <w:t xml:space="preserve"> CGRA’s </w:t>
      </w:r>
      <w:r w:rsidR="003D3C48" w:rsidRPr="008164F5">
        <w:rPr>
          <w:b/>
          <w:bCs/>
          <w:i/>
          <w:iCs/>
          <w:sz w:val="19"/>
          <w:szCs w:val="19"/>
        </w:rPr>
        <w:t>policy</w:t>
      </w:r>
      <w:r w:rsidR="008A7E23" w:rsidRPr="008164F5">
        <w:rPr>
          <w:b/>
          <w:bCs/>
          <w:i/>
          <w:iCs/>
          <w:sz w:val="19"/>
          <w:szCs w:val="19"/>
        </w:rPr>
        <w:t xml:space="preserve"> platform.</w:t>
      </w:r>
      <w:r w:rsidR="005A3BC0" w:rsidRPr="008164F5">
        <w:rPr>
          <w:b/>
          <w:bCs/>
          <w:i/>
          <w:iCs/>
          <w:sz w:val="19"/>
          <w:szCs w:val="19"/>
        </w:rPr>
        <w:t xml:space="preserve"> </w:t>
      </w:r>
    </w:p>
    <w:p w14:paraId="2E9E777C" w14:textId="43CF9A3C" w:rsidR="00421606" w:rsidRPr="00421606" w:rsidRDefault="00421606" w:rsidP="00BD54E7">
      <w:pPr>
        <w:pStyle w:val="Endnotedescription"/>
        <w:rPr>
          <w:lang w:val="en-US"/>
        </w:rPr>
      </w:pPr>
      <w:r>
        <w:rPr>
          <w:rStyle w:val="EndnoteReference"/>
        </w:rPr>
        <w:endnoteRef/>
      </w:r>
      <w:r>
        <w:t xml:space="preserve"> </w:t>
      </w:r>
      <w:r w:rsidR="00CE04FA" w:rsidRPr="00CE04FA">
        <w:t>Browne M, Delfabbro P, Thorne HB, Tulloch C, Rockloff MJ, Hing N, Dowling NA, Stevens M</w:t>
      </w:r>
      <w:r w:rsidR="00CE04FA">
        <w:t>,</w:t>
      </w:r>
      <w:r w:rsidR="00CE04FA" w:rsidRPr="00CE04FA">
        <w:t xml:space="preserve"> Unambiguous evidence that over half of gambling problems in Australia are caused by electronic gambling machines: Results from a large-scale composite population study</w:t>
      </w:r>
      <w:r w:rsidR="00CE04FA">
        <w:t>,</w:t>
      </w:r>
      <w:r w:rsidR="00CE04FA" w:rsidRPr="00CE04FA">
        <w:t xml:space="preserve"> </w:t>
      </w:r>
      <w:r w:rsidR="00CE04FA" w:rsidRPr="00CE04FA">
        <w:rPr>
          <w:i/>
          <w:iCs/>
        </w:rPr>
        <w:t>Journal of Behavioral Addictions</w:t>
      </w:r>
      <w:r w:rsidR="00CE04FA">
        <w:t>,</w:t>
      </w:r>
      <w:r w:rsidR="00CE04FA" w:rsidRPr="00CE04FA">
        <w:t xml:space="preserve"> 2023 Mar 30;12(1):182-93.</w:t>
      </w:r>
    </w:p>
  </w:endnote>
  <w:endnote w:id="3">
    <w:p w14:paraId="51788CE2" w14:textId="74EB538C" w:rsidR="00A87808" w:rsidRPr="00A87808" w:rsidRDefault="00A87808" w:rsidP="00062690">
      <w:pPr>
        <w:pStyle w:val="Endnotedescription"/>
        <w:rPr>
          <w:lang w:val="en-US"/>
        </w:rPr>
      </w:pPr>
      <w:r>
        <w:rPr>
          <w:rStyle w:val="EndnoteReference"/>
        </w:rPr>
        <w:endnoteRef/>
      </w:r>
      <w:r>
        <w:t xml:space="preserve"> </w:t>
      </w:r>
      <w:r w:rsidR="0078645F">
        <w:t xml:space="preserve">ACT </w:t>
      </w:r>
      <w:r w:rsidR="00195132">
        <w:rPr>
          <w:lang w:val="en-US"/>
        </w:rPr>
        <w:t>Gambling and Racing Commission</w:t>
      </w:r>
      <w:r w:rsidR="00C70011">
        <w:rPr>
          <w:lang w:val="en-US"/>
        </w:rPr>
        <w:t>,</w:t>
      </w:r>
      <w:r w:rsidR="00195132">
        <w:rPr>
          <w:lang w:val="en-US"/>
        </w:rPr>
        <w:t xml:space="preserve"> </w:t>
      </w:r>
      <w:hyperlink r:id="rId2" w:history="1">
        <w:r w:rsidR="00195132" w:rsidRPr="006B1C3A">
          <w:rPr>
            <w:rStyle w:val="Hyperlink"/>
            <w:i/>
            <w:iCs/>
          </w:rPr>
          <w:t>Gaming machine revenue &amp; tax information provided for financial year 2023 – 2024</w:t>
        </w:r>
      </w:hyperlink>
      <w:r w:rsidR="00331223">
        <w:rPr>
          <w:lang w:val="en-US"/>
        </w:rPr>
        <w:t xml:space="preserve">, ACT Government, 2024, accessed </w:t>
      </w:r>
      <w:r w:rsidR="006B1C3A">
        <w:rPr>
          <w:lang w:val="en-US"/>
        </w:rPr>
        <w:t>10 September 2024.</w:t>
      </w:r>
    </w:p>
  </w:endnote>
  <w:endnote w:id="4">
    <w:p w14:paraId="6C72B9F5" w14:textId="3AB5D397" w:rsidR="0076502A" w:rsidRPr="0076502A" w:rsidRDefault="0076502A" w:rsidP="0078645F">
      <w:pPr>
        <w:pStyle w:val="Endnotedescription"/>
        <w:rPr>
          <w:lang w:val="en-US"/>
        </w:rPr>
      </w:pPr>
      <w:r>
        <w:rPr>
          <w:rStyle w:val="EndnoteReference"/>
        </w:rPr>
        <w:endnoteRef/>
      </w:r>
      <w:r>
        <w:t xml:space="preserve"> </w:t>
      </w:r>
      <w:r w:rsidR="00A30B3C">
        <w:t xml:space="preserve">Suomi A, Kim J, Hahn M, </w:t>
      </w:r>
      <w:r w:rsidR="000C0A64">
        <w:t xml:space="preserve">Biddle, N, </w:t>
      </w:r>
      <w:hyperlink r:id="rId3" w:history="1">
        <w:r w:rsidRPr="003400EC">
          <w:rPr>
            <w:rStyle w:val="Hyperlink"/>
            <w:i/>
            <w:iCs/>
          </w:rPr>
          <w:t>Harm profiles associated with low-risk gambling: Longitudinal analysis of three datasets</w:t>
        </w:r>
        <w:r w:rsidR="000C0A64" w:rsidRPr="003400EC">
          <w:rPr>
            <w:rStyle w:val="Hyperlink"/>
            <w:i/>
            <w:iCs/>
          </w:rPr>
          <w:t>: final report</w:t>
        </w:r>
      </w:hyperlink>
      <w:r w:rsidR="000C0A64">
        <w:t xml:space="preserve">. </w:t>
      </w:r>
      <w:r w:rsidR="0020000C">
        <w:t>Centre for Gambling Research, Centre for Social Research and Methods, Australian National University</w:t>
      </w:r>
      <w:r w:rsidR="003400EC">
        <w:t xml:space="preserve">, </w:t>
      </w:r>
      <w:r w:rsidR="00627731">
        <w:t xml:space="preserve">2023, </w:t>
      </w:r>
      <w:r w:rsidR="003400EC">
        <w:t>accessed 11 September 2024.</w:t>
      </w:r>
    </w:p>
  </w:endnote>
  <w:endnote w:id="5">
    <w:p w14:paraId="1F447078" w14:textId="0197B3EF" w:rsidR="00B7066A" w:rsidRPr="00B7066A" w:rsidRDefault="00B7066A" w:rsidP="006C0611">
      <w:pPr>
        <w:pStyle w:val="Endnotedescription"/>
        <w:rPr>
          <w:lang w:val="en-US"/>
        </w:rPr>
      </w:pPr>
      <w:r>
        <w:rPr>
          <w:rStyle w:val="EndnoteReference"/>
        </w:rPr>
        <w:endnoteRef/>
      </w:r>
      <w:r>
        <w:t xml:space="preserve"> </w:t>
      </w:r>
      <w:r w:rsidR="006C0611" w:rsidRPr="006C0611">
        <w:t>Tulloch C, Hing N, Browne M, Russell AM, Rockloff M, Rawat V</w:t>
      </w:r>
      <w:r w:rsidR="006C0611">
        <w:t>,</w:t>
      </w:r>
      <w:r w:rsidR="006C0611" w:rsidRPr="006C0611">
        <w:t xml:space="preserve"> Harm-to-self from gambling: A national study of Australian adults</w:t>
      </w:r>
      <w:r w:rsidR="006C0611">
        <w:t>,</w:t>
      </w:r>
      <w:r w:rsidR="006C0611" w:rsidRPr="006C0611">
        <w:t xml:space="preserve"> </w:t>
      </w:r>
      <w:r w:rsidR="006C0611" w:rsidRPr="006C0611">
        <w:rPr>
          <w:i/>
          <w:iCs/>
        </w:rPr>
        <w:t>Journal of Behavioral Addictions</w:t>
      </w:r>
      <w:r w:rsidR="006C0611">
        <w:t>,</w:t>
      </w:r>
      <w:r w:rsidR="006C0611" w:rsidRPr="006C0611">
        <w:t xml:space="preserve"> 2024 May 14</w:t>
      </w:r>
      <w:r w:rsidR="00B04144">
        <w:t>; 13(2)</w:t>
      </w:r>
      <w:r w:rsidR="004B347E">
        <w:t>:</w:t>
      </w:r>
      <w:r w:rsidR="004B347E" w:rsidRPr="004B347E">
        <w:t xml:space="preserve"> 635-649</w:t>
      </w:r>
      <w:r w:rsidR="006C0611" w:rsidRPr="006C0611">
        <w:t>.</w:t>
      </w:r>
    </w:p>
  </w:endnote>
  <w:endnote w:id="6">
    <w:p w14:paraId="67FD9046" w14:textId="2379EC02" w:rsidR="0078645F" w:rsidRPr="0078645F" w:rsidRDefault="0078645F" w:rsidP="00E64457">
      <w:pPr>
        <w:pStyle w:val="Endnotedescription"/>
        <w:rPr>
          <w:lang w:val="en-US"/>
        </w:rPr>
      </w:pPr>
      <w:r>
        <w:rPr>
          <w:rStyle w:val="EndnoteReference"/>
        </w:rPr>
        <w:endnoteRef/>
      </w:r>
      <w:r>
        <w:t xml:space="preserve"> ACT </w:t>
      </w:r>
      <w:r>
        <w:rPr>
          <w:lang w:val="en-US"/>
        </w:rPr>
        <w:t xml:space="preserve">Gambling and Racing Commission, </w:t>
      </w:r>
      <w:hyperlink r:id="rId4" w:history="1">
        <w:r w:rsidRPr="00E64457">
          <w:rPr>
            <w:rStyle w:val="Hyperlink"/>
            <w:i/>
            <w:iCs/>
            <w:lang w:val="en-US"/>
          </w:rPr>
          <w:t>Trading Scheme statistics</w:t>
        </w:r>
      </w:hyperlink>
      <w:r>
        <w:rPr>
          <w:lang w:val="en-US"/>
        </w:rPr>
        <w:t xml:space="preserve">, </w:t>
      </w:r>
      <w:r w:rsidR="00E166B6">
        <w:rPr>
          <w:lang w:val="en-US"/>
        </w:rPr>
        <w:t>ACT Government, accessed 11 September 2024.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7E7E42D-7005-4064-8228-A20A5C4B6B11}"/>
    <w:embedBold r:id="rId2" w:fontKey="{C54F7AA4-7EF8-4115-A824-E6CDD439B333}"/>
    <w:embedItalic r:id="rId3" w:fontKey="{79403789-6CA8-408A-A7A5-E5FA579264E8}"/>
    <w:embedBoldItalic r:id="rId4" w:fontKey="{11919E28-38D3-438C-9EDD-D2897E400C5D}"/>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embedRegular r:id="rId5" w:fontKey="{360EF9FC-587F-4AA2-AFCF-8FC5530D5721}"/>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5E06A589-3F0C-4168-8638-883765B62D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61288351"/>
      <w:docPartObj>
        <w:docPartGallery w:val="Page Numbers (Bottom of Page)"/>
        <w:docPartUnique/>
      </w:docPartObj>
    </w:sdtPr>
    <w:sdtContent>
      <w:p w14:paraId="43E25ADD" w14:textId="5A7219CF" w:rsidR="00B775E8" w:rsidRDefault="00B775E8" w:rsidP="003065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03840288"/>
      <w:docPartObj>
        <w:docPartGallery w:val="Page Numbers (Bottom of Page)"/>
        <w:docPartUnique/>
      </w:docPartObj>
    </w:sdtPr>
    <w:sdtContent>
      <w:p w14:paraId="26EC9B4A" w14:textId="5F45C0B4" w:rsidR="00B775E8" w:rsidRDefault="00B775E8" w:rsidP="00B775E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88400F" w14:textId="349F6E80" w:rsidR="00697868" w:rsidRDefault="00697868" w:rsidP="00B775E8">
    <w:pPr>
      <w:pStyle w:val="Footer"/>
      <w:rPr>
        <w:rStyle w:val="PageNumber"/>
      </w:rPr>
    </w:pPr>
  </w:p>
  <w:p w14:paraId="27FBC598" w14:textId="77777777" w:rsidR="00697868" w:rsidRDefault="00697868" w:rsidP="00B775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color w:val="2D6CB5"/>
        <w:sz w:val="16"/>
        <w:szCs w:val="16"/>
      </w:rPr>
      <w:id w:val="-1610042880"/>
      <w:docPartObj>
        <w:docPartGallery w:val="Page Numbers (Bottom of Page)"/>
        <w:docPartUnique/>
      </w:docPartObj>
    </w:sdtPr>
    <w:sdtContent>
      <w:p w14:paraId="53899C2E" w14:textId="6CF19597" w:rsidR="00B775E8" w:rsidRPr="004D6A5F" w:rsidRDefault="00B775E8" w:rsidP="00A21BF6">
        <w:pPr>
          <w:pStyle w:val="Footer"/>
          <w:framePr w:w="271" w:wrap="none" w:vAnchor="text" w:hAnchor="page" w:x="11026" w:y="71"/>
          <w:spacing w:before="20" w:after="0"/>
          <w:rPr>
            <w:rStyle w:val="PageNumber"/>
            <w:color w:val="2D6CB5"/>
            <w:sz w:val="16"/>
            <w:szCs w:val="16"/>
          </w:rPr>
        </w:pPr>
        <w:r w:rsidRPr="004D6A5F">
          <w:rPr>
            <w:rStyle w:val="PageNumber"/>
            <w:color w:val="2D6CB5"/>
            <w:sz w:val="16"/>
            <w:szCs w:val="16"/>
          </w:rPr>
          <w:fldChar w:fldCharType="begin"/>
        </w:r>
        <w:r w:rsidRPr="004D6A5F">
          <w:rPr>
            <w:rStyle w:val="PageNumber"/>
            <w:color w:val="2D6CB5"/>
            <w:sz w:val="16"/>
            <w:szCs w:val="16"/>
          </w:rPr>
          <w:instrText xml:space="preserve"> PAGE </w:instrText>
        </w:r>
        <w:r w:rsidRPr="004D6A5F">
          <w:rPr>
            <w:rStyle w:val="PageNumber"/>
            <w:color w:val="2D6CB5"/>
            <w:sz w:val="16"/>
            <w:szCs w:val="16"/>
          </w:rPr>
          <w:fldChar w:fldCharType="separate"/>
        </w:r>
        <w:r w:rsidRPr="004D6A5F">
          <w:rPr>
            <w:rStyle w:val="PageNumber"/>
            <w:noProof/>
            <w:color w:val="2D6CB5"/>
            <w:sz w:val="16"/>
            <w:szCs w:val="16"/>
          </w:rPr>
          <w:t>2</w:t>
        </w:r>
        <w:r w:rsidRPr="004D6A5F">
          <w:rPr>
            <w:rStyle w:val="PageNumber"/>
            <w:color w:val="2D6CB5"/>
            <w:sz w:val="16"/>
            <w:szCs w:val="16"/>
          </w:rPr>
          <w:fldChar w:fldCharType="end"/>
        </w:r>
      </w:p>
    </w:sdtContent>
  </w:sdt>
  <w:p w14:paraId="7E5ED9A3" w14:textId="1C40EBDA" w:rsidR="00697868" w:rsidRPr="004D6A5F" w:rsidRDefault="00B91F5B" w:rsidP="004D6A5F">
    <w:pPr>
      <w:pStyle w:val="Footer"/>
      <w:ind w:left="-57" w:right="0"/>
      <w:rPr>
        <w:b/>
        <w:bCs/>
        <w:color w:val="2D6CB5"/>
        <w:sz w:val="17"/>
        <w:szCs w:val="17"/>
      </w:rPr>
    </w:pPr>
    <w:r>
      <w:rPr>
        <w:noProof/>
      </w:rPr>
      <w:drawing>
        <wp:anchor distT="0" distB="0" distL="114300" distR="114300" simplePos="0" relativeHeight="251658245" behindDoc="1" locked="0" layoutInCell="1" allowOverlap="1" wp14:anchorId="2CE930D0" wp14:editId="670A1218">
          <wp:simplePos x="0" y="0"/>
          <wp:positionH relativeFrom="leftMargin">
            <wp:align>right</wp:align>
          </wp:positionH>
          <wp:positionV relativeFrom="paragraph">
            <wp:posOffset>-63368</wp:posOffset>
          </wp:positionV>
          <wp:extent cx="414000" cy="414000"/>
          <wp:effectExtent l="0" t="0" r="5715" b="5715"/>
          <wp:wrapNone/>
          <wp:docPr id="1111317975" name="Picture 11113179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4000" cy="414000"/>
                  </a:xfrm>
                  <a:prstGeom prst="rect">
                    <a:avLst/>
                  </a:prstGeom>
                </pic:spPr>
              </pic:pic>
            </a:graphicData>
          </a:graphic>
          <wp14:sizeRelH relativeFrom="margin">
            <wp14:pctWidth>0</wp14:pctWidth>
          </wp14:sizeRelH>
          <wp14:sizeRelV relativeFrom="margin">
            <wp14:pctHeight>0</wp14:pctHeight>
          </wp14:sizeRelV>
        </wp:anchor>
      </w:drawing>
    </w:r>
    <w:r w:rsidR="00EF2CB6">
      <w:rPr>
        <w:rStyle w:val="PageNumber"/>
        <w:b/>
        <w:bCs/>
        <w:color w:val="2D6CB5"/>
        <w:sz w:val="17"/>
        <w:szCs w:val="17"/>
      </w:rPr>
      <w:t xml:space="preserve"> </w:t>
    </w:r>
    <w:r w:rsidR="00E92E4B">
      <w:rPr>
        <w:rStyle w:val="PageNumber"/>
        <w:b/>
        <w:bCs/>
        <w:color w:val="2D6CB5"/>
        <w:sz w:val="17"/>
        <w:szCs w:val="17"/>
      </w:rPr>
      <w:t xml:space="preserve"> </w:t>
    </w:r>
    <w:r w:rsidR="006A7C39" w:rsidRPr="004D6A5F">
      <w:rPr>
        <w:rStyle w:val="PageNumber"/>
        <w:b/>
        <w:bCs/>
        <w:color w:val="2D6CB5"/>
        <w:sz w:val="17"/>
        <w:szCs w:val="17"/>
      </w:rPr>
      <w:t>ACTCOSS 2024 ACT Election Platform: Gambling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color w:val="2D6CB5"/>
      </w:rPr>
      <w:id w:val="-443693454"/>
      <w:docPartObj>
        <w:docPartGallery w:val="Page Numbers (Bottom of Page)"/>
        <w:docPartUnique/>
      </w:docPartObj>
    </w:sdtPr>
    <w:sdtContent>
      <w:p w14:paraId="5D902A87" w14:textId="6C70248B" w:rsidR="00B775E8" w:rsidRPr="00641304" w:rsidRDefault="00B775E8" w:rsidP="004E5981">
        <w:pPr>
          <w:pStyle w:val="Footer"/>
          <w:framePr w:h="680" w:hRule="exact" w:wrap="none" w:vAnchor="text" w:hAnchor="margin" w:xAlign="right" w:y="121"/>
          <w:spacing w:before="0" w:after="0"/>
          <w:rPr>
            <w:rStyle w:val="PageNumber"/>
            <w:color w:val="2D6CB5"/>
          </w:rPr>
        </w:pPr>
        <w:r w:rsidRPr="00641304">
          <w:rPr>
            <w:rStyle w:val="PageNumber"/>
            <w:color w:val="2D6CB5"/>
          </w:rPr>
          <w:fldChar w:fldCharType="begin"/>
        </w:r>
        <w:r w:rsidRPr="00641304">
          <w:rPr>
            <w:rStyle w:val="PageNumber"/>
            <w:color w:val="2D6CB5"/>
          </w:rPr>
          <w:instrText xml:space="preserve"> PAGE </w:instrText>
        </w:r>
        <w:r w:rsidRPr="00641304">
          <w:rPr>
            <w:rStyle w:val="PageNumber"/>
            <w:color w:val="2D6CB5"/>
          </w:rPr>
          <w:fldChar w:fldCharType="separate"/>
        </w:r>
        <w:r w:rsidRPr="00641304">
          <w:rPr>
            <w:rStyle w:val="PageNumber"/>
            <w:noProof/>
            <w:color w:val="2D6CB5"/>
          </w:rPr>
          <w:t>1</w:t>
        </w:r>
        <w:r w:rsidRPr="00641304">
          <w:rPr>
            <w:rStyle w:val="PageNumber"/>
            <w:color w:val="2D6CB5"/>
          </w:rPr>
          <w:fldChar w:fldCharType="end"/>
        </w:r>
      </w:p>
    </w:sdtContent>
  </w:sdt>
  <w:p w14:paraId="0E181B6B" w14:textId="37AB88CF" w:rsidR="008F7966" w:rsidRPr="00B775E8" w:rsidRDefault="008F7966" w:rsidP="00B775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color w:val="2D6CB5"/>
        <w:sz w:val="16"/>
        <w:szCs w:val="16"/>
      </w:rPr>
      <w:id w:val="-65960706"/>
      <w:docPartObj>
        <w:docPartGallery w:val="Page Numbers (Bottom of Page)"/>
        <w:docPartUnique/>
      </w:docPartObj>
    </w:sdtPr>
    <w:sdtContent>
      <w:p w14:paraId="35FB3D51" w14:textId="77777777" w:rsidR="005F5F84" w:rsidRPr="004D6A5F" w:rsidRDefault="005F5F84" w:rsidP="00A21BF6">
        <w:pPr>
          <w:pStyle w:val="Footer"/>
          <w:framePr w:w="271" w:wrap="none" w:vAnchor="text" w:hAnchor="page" w:x="11026" w:y="71"/>
          <w:spacing w:before="20" w:after="0"/>
          <w:rPr>
            <w:rStyle w:val="PageNumber"/>
            <w:color w:val="2D6CB5"/>
            <w:sz w:val="16"/>
            <w:szCs w:val="16"/>
          </w:rPr>
        </w:pPr>
        <w:r w:rsidRPr="004D6A5F">
          <w:rPr>
            <w:rStyle w:val="PageNumber"/>
            <w:color w:val="2D6CB5"/>
            <w:sz w:val="16"/>
            <w:szCs w:val="16"/>
          </w:rPr>
          <w:fldChar w:fldCharType="begin"/>
        </w:r>
        <w:r w:rsidRPr="004D6A5F">
          <w:rPr>
            <w:rStyle w:val="PageNumber"/>
            <w:color w:val="2D6CB5"/>
            <w:sz w:val="16"/>
            <w:szCs w:val="16"/>
          </w:rPr>
          <w:instrText xml:space="preserve"> PAGE </w:instrText>
        </w:r>
        <w:r w:rsidRPr="004D6A5F">
          <w:rPr>
            <w:rStyle w:val="PageNumber"/>
            <w:color w:val="2D6CB5"/>
            <w:sz w:val="16"/>
            <w:szCs w:val="16"/>
          </w:rPr>
          <w:fldChar w:fldCharType="separate"/>
        </w:r>
        <w:r w:rsidRPr="004D6A5F">
          <w:rPr>
            <w:rStyle w:val="PageNumber"/>
            <w:noProof/>
            <w:color w:val="2D6CB5"/>
            <w:sz w:val="16"/>
            <w:szCs w:val="16"/>
          </w:rPr>
          <w:t>2</w:t>
        </w:r>
        <w:r w:rsidRPr="004D6A5F">
          <w:rPr>
            <w:rStyle w:val="PageNumber"/>
            <w:color w:val="2D6CB5"/>
            <w:sz w:val="16"/>
            <w:szCs w:val="16"/>
          </w:rPr>
          <w:fldChar w:fldCharType="end"/>
        </w:r>
      </w:p>
    </w:sdtContent>
  </w:sdt>
  <w:p w14:paraId="026C0EAB" w14:textId="77777777" w:rsidR="005F5F84" w:rsidRPr="004D6A5F" w:rsidRDefault="005F5F84" w:rsidP="004D6A5F">
    <w:pPr>
      <w:pStyle w:val="Footer"/>
      <w:ind w:left="-57" w:right="0"/>
      <w:rPr>
        <w:b/>
        <w:bCs/>
        <w:color w:val="2D6CB5"/>
        <w:sz w:val="17"/>
        <w:szCs w:val="17"/>
      </w:rPr>
    </w:pPr>
    <w:r>
      <w:rPr>
        <w:noProof/>
      </w:rPr>
      <w:drawing>
        <wp:anchor distT="0" distB="0" distL="114300" distR="114300" simplePos="0" relativeHeight="251658246" behindDoc="1" locked="0" layoutInCell="1" allowOverlap="1" wp14:anchorId="067B591E" wp14:editId="451680B5">
          <wp:simplePos x="0" y="0"/>
          <wp:positionH relativeFrom="leftMargin">
            <wp:align>right</wp:align>
          </wp:positionH>
          <wp:positionV relativeFrom="paragraph">
            <wp:posOffset>-63368</wp:posOffset>
          </wp:positionV>
          <wp:extent cx="414000" cy="414000"/>
          <wp:effectExtent l="0" t="0" r="5715" b="5715"/>
          <wp:wrapNone/>
          <wp:docPr id="1819534708" name="Picture 18195347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4000" cy="414000"/>
                  </a:xfrm>
                  <a:prstGeom prst="rect">
                    <a:avLst/>
                  </a:prstGeom>
                </pic:spPr>
              </pic:pic>
            </a:graphicData>
          </a:graphic>
          <wp14:sizeRelH relativeFrom="margin">
            <wp14:pctWidth>0</wp14:pctWidth>
          </wp14:sizeRelH>
          <wp14:sizeRelV relativeFrom="margin">
            <wp14:pctHeight>0</wp14:pctHeight>
          </wp14:sizeRelV>
        </wp:anchor>
      </w:drawing>
    </w:r>
    <w:r>
      <w:rPr>
        <w:rStyle w:val="PageNumber"/>
        <w:b/>
        <w:bCs/>
        <w:color w:val="2D6CB5"/>
        <w:sz w:val="17"/>
        <w:szCs w:val="17"/>
      </w:rPr>
      <w:t xml:space="preserve">  </w:t>
    </w:r>
    <w:r w:rsidRPr="004D6A5F">
      <w:rPr>
        <w:rStyle w:val="PageNumber"/>
        <w:b/>
        <w:bCs/>
        <w:color w:val="2D6CB5"/>
        <w:sz w:val="17"/>
        <w:szCs w:val="17"/>
      </w:rPr>
      <w:t>ACTCOSS 2024 ACT Election Platform: Gambling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CB8C67" w14:textId="77777777" w:rsidR="003D3977" w:rsidRDefault="003D3977" w:rsidP="00257D1B">
      <w:r>
        <w:separator/>
      </w:r>
    </w:p>
    <w:p w14:paraId="21D630DF" w14:textId="77777777" w:rsidR="003D3977" w:rsidRDefault="003D3977"/>
  </w:footnote>
  <w:footnote w:type="continuationSeparator" w:id="0">
    <w:p w14:paraId="5B59A4BF" w14:textId="77777777" w:rsidR="003D3977" w:rsidRDefault="003D3977" w:rsidP="00257D1B">
      <w:r>
        <w:continuationSeparator/>
      </w:r>
    </w:p>
    <w:p w14:paraId="19121552" w14:textId="77777777" w:rsidR="003D3977" w:rsidRDefault="003D3977"/>
  </w:footnote>
  <w:footnote w:type="continuationNotice" w:id="1">
    <w:p w14:paraId="5EBF6D9A" w14:textId="77777777" w:rsidR="003D3977" w:rsidRDefault="003D39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0975E" w14:textId="53B70BA1" w:rsidR="00C45024" w:rsidRDefault="00CF275A">
    <w:pPr>
      <w:pStyle w:val="Header"/>
    </w:pPr>
    <w:r>
      <w:rPr>
        <w:noProof/>
      </w:rPr>
      <w:drawing>
        <wp:anchor distT="0" distB="0" distL="114300" distR="114300" simplePos="0" relativeHeight="251658244" behindDoc="1" locked="0" layoutInCell="1" allowOverlap="1" wp14:anchorId="1E958A2A" wp14:editId="78D148E4">
          <wp:simplePos x="0" y="0"/>
          <wp:positionH relativeFrom="page">
            <wp:align>right</wp:align>
          </wp:positionH>
          <wp:positionV relativeFrom="page">
            <wp:align>top</wp:align>
          </wp:positionV>
          <wp:extent cx="3388360" cy="2181225"/>
          <wp:effectExtent l="0" t="0" r="2540" b="0"/>
          <wp:wrapNone/>
          <wp:docPr id="9180088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36332" name="Picture 14"/>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3409030" cy="2194531"/>
                  </a:xfrm>
                  <a:prstGeom prst="rect">
                    <a:avLst/>
                  </a:prstGeom>
                </pic:spPr>
              </pic:pic>
            </a:graphicData>
          </a:graphic>
          <wp14:sizeRelH relativeFrom="margin">
            <wp14:pctWidth>0</wp14:pctWidth>
          </wp14:sizeRelH>
          <wp14:sizeRelV relativeFrom="margin">
            <wp14:pctHeight>0</wp14:pctHeight>
          </wp14:sizeRelV>
        </wp:anchor>
      </w:drawing>
    </w:r>
    <w:r w:rsidR="00664FF5">
      <w:rPr>
        <w:noProof/>
      </w:rPr>
      <w:drawing>
        <wp:anchor distT="0" distB="0" distL="114300" distR="114300" simplePos="0" relativeHeight="251658242" behindDoc="0" locked="0" layoutInCell="1" allowOverlap="1" wp14:anchorId="7FB49B7F" wp14:editId="60F6E3E5">
          <wp:simplePos x="0" y="0"/>
          <wp:positionH relativeFrom="page">
            <wp:posOffset>267532</wp:posOffset>
          </wp:positionH>
          <wp:positionV relativeFrom="paragraph">
            <wp:posOffset>-341761</wp:posOffset>
          </wp:positionV>
          <wp:extent cx="1461600" cy="882000"/>
          <wp:effectExtent l="0" t="0" r="0" b="0"/>
          <wp:wrapSquare wrapText="bothSides"/>
          <wp:docPr id="13876950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461600" cy="88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2CF20" w14:textId="16711599" w:rsidR="003430FE" w:rsidRDefault="001E7130">
    <w:pPr>
      <w:pStyle w:val="Header"/>
    </w:pPr>
    <w:r>
      <w:rPr>
        <w:b/>
        <w:bCs/>
        <w:noProof/>
        <w:color w:val="FFFFFF" w:themeColor="background1"/>
        <w:sz w:val="80"/>
        <w:szCs w:val="80"/>
      </w:rPr>
      <w:drawing>
        <wp:anchor distT="0" distB="0" distL="114300" distR="114300" simplePos="0" relativeHeight="251658241" behindDoc="1" locked="0" layoutInCell="1" allowOverlap="1" wp14:anchorId="59C464D0" wp14:editId="69B17345">
          <wp:simplePos x="0" y="0"/>
          <wp:positionH relativeFrom="column">
            <wp:posOffset>4750938</wp:posOffset>
          </wp:positionH>
          <wp:positionV relativeFrom="paragraph">
            <wp:posOffset>-184785</wp:posOffset>
          </wp:positionV>
          <wp:extent cx="1591200" cy="961200"/>
          <wp:effectExtent l="0" t="0" r="0" b="0"/>
          <wp:wrapTight wrapText="bothSides">
            <wp:wrapPolygon edited="0">
              <wp:start x="9571" y="2141"/>
              <wp:lineTo x="1293" y="8566"/>
              <wp:lineTo x="1293" y="11135"/>
              <wp:lineTo x="3104" y="17560"/>
              <wp:lineTo x="9313" y="18845"/>
              <wp:lineTo x="10606" y="18845"/>
              <wp:lineTo x="17073" y="16703"/>
              <wp:lineTo x="19919" y="12420"/>
              <wp:lineTo x="19919" y="8994"/>
              <wp:lineTo x="10606" y="2141"/>
              <wp:lineTo x="9571" y="2141"/>
            </wp:wrapPolygon>
          </wp:wrapTight>
          <wp:docPr id="6045971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91200" cy="961200"/>
                  </a:xfrm>
                  <a:prstGeom prst="rect">
                    <a:avLst/>
                  </a:prstGeom>
                </pic:spPr>
              </pic:pic>
            </a:graphicData>
          </a:graphic>
          <wp14:sizeRelH relativeFrom="page">
            <wp14:pctWidth>0</wp14:pctWidth>
          </wp14:sizeRelH>
          <wp14:sizeRelV relativeFrom="page">
            <wp14:pctHeight>0</wp14:pctHeight>
          </wp14:sizeRelV>
        </wp:anchor>
      </w:drawing>
    </w:r>
    <w:r w:rsidRPr="00257D1B">
      <w:rPr>
        <w:b/>
        <w:bCs/>
        <w:noProof/>
        <w:color w:val="FFFFFF" w:themeColor="background1"/>
        <w:sz w:val="80"/>
        <w:szCs w:val="80"/>
      </w:rPr>
      <mc:AlternateContent>
        <mc:Choice Requires="wps">
          <w:drawing>
            <wp:anchor distT="0" distB="0" distL="114300" distR="114300" simplePos="0" relativeHeight="251658240" behindDoc="1" locked="0" layoutInCell="1" allowOverlap="1" wp14:anchorId="6A7EC2DE" wp14:editId="136B4636">
              <wp:simplePos x="0" y="0"/>
              <wp:positionH relativeFrom="page">
                <wp:align>left</wp:align>
              </wp:positionH>
              <wp:positionV relativeFrom="page">
                <wp:align>top</wp:align>
              </wp:positionV>
              <wp:extent cx="7825148" cy="2081048"/>
              <wp:effectExtent l="0" t="0" r="4445" b="0"/>
              <wp:wrapNone/>
              <wp:docPr id="1" name="Rectangle 1"/>
              <wp:cNvGraphicFramePr/>
              <a:graphic xmlns:a="http://schemas.openxmlformats.org/drawingml/2006/main">
                <a:graphicData uri="http://schemas.microsoft.com/office/word/2010/wordprocessingShape">
                  <wps:wsp>
                    <wps:cNvSpPr/>
                    <wps:spPr>
                      <a:xfrm>
                        <a:off x="0" y="0"/>
                        <a:ext cx="7825148" cy="2081048"/>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54080" id="Rectangle 1" o:spid="_x0000_s1026" style="position:absolute;margin-left:0;margin-top:0;width:616.15pt;height:163.85pt;z-index:-2516541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" fillcolor="#2d6cb5" stroked="f" strokeweight="1pt">
              <w10:wrap anchorx="page" anchory="page"/>
            </v:rect>
          </w:pict>
        </mc:Fallback>
      </mc:AlternateContent>
    </w:r>
    <w:r w:rsidR="002007F0">
      <w:rPr>
        <w:noProof/>
        <w:color w:val="31619F"/>
      </w:rPr>
      <w:drawing>
        <wp:anchor distT="0" distB="0" distL="114300" distR="114300" simplePos="0" relativeHeight="251658243" behindDoc="1" locked="0" layoutInCell="1" allowOverlap="1" wp14:anchorId="5EBC888D" wp14:editId="0CF8D083">
          <wp:simplePos x="0" y="0"/>
          <wp:positionH relativeFrom="page">
            <wp:align>left</wp:align>
          </wp:positionH>
          <wp:positionV relativeFrom="page">
            <wp:posOffset>15766</wp:posOffset>
          </wp:positionV>
          <wp:extent cx="7555230" cy="2065129"/>
          <wp:effectExtent l="0" t="0" r="7620" b="0"/>
          <wp:wrapNone/>
          <wp:docPr id="1247885997" name="Graphic 124788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b="1264"/>
                  <a:stretch/>
                </pic:blipFill>
                <pic:spPr bwMode="auto">
                  <a:xfrm>
                    <a:off x="0" y="0"/>
                    <a:ext cx="7555230" cy="20651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30FE">
      <w:rPr>
        <w:b/>
        <w:bCs/>
        <w:noProof/>
        <w:color w:val="FFFFFF" w:themeColor="background1"/>
        <w:sz w:val="80"/>
        <w:szCs w:val="8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5D2961"/>
    <w:multiLevelType w:val="hybridMultilevel"/>
    <w:tmpl w:val="51E42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F911C28"/>
    <w:multiLevelType w:val="hybridMultilevel"/>
    <w:tmpl w:val="93440864"/>
    <w:lvl w:ilvl="0" w:tplc="52CE2096">
      <w:start w:val="1"/>
      <w:numFmt w:val="bullet"/>
      <w:pStyle w:val="Prioritiesbox-dotpoin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14F5E40"/>
    <w:multiLevelType w:val="hybridMultilevel"/>
    <w:tmpl w:val="8800EE34"/>
    <w:lvl w:ilvl="0" w:tplc="9482B94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108463E"/>
    <w:multiLevelType w:val="hybridMultilevel"/>
    <w:tmpl w:val="CE447BEA"/>
    <w:lvl w:ilvl="0" w:tplc="2E503684">
      <w:start w:val="1"/>
      <w:numFmt w:val="bullet"/>
      <w:pStyle w:val="Ask"/>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DEA4E9D"/>
    <w:multiLevelType w:val="hybridMultilevel"/>
    <w:tmpl w:val="4C889122"/>
    <w:lvl w:ilvl="0" w:tplc="9482B94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20658522">
    <w:abstractNumId w:val="0"/>
  </w:num>
  <w:num w:numId="2" w16cid:durableId="1423603371">
    <w:abstractNumId w:val="2"/>
  </w:num>
  <w:num w:numId="3" w16cid:durableId="128910635">
    <w:abstractNumId w:val="3"/>
  </w:num>
  <w:num w:numId="4" w16cid:durableId="263148315">
    <w:abstractNumId w:val="4"/>
  </w:num>
  <w:num w:numId="5" w16cid:durableId="15276001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ocumentProtection w:edit="readOnly" w:enforcement="0"/>
  <w:defaultTabStop w:val="720"/>
  <w:characterSpacingControl w:val="doNotCompress"/>
  <w:hdrShapeDefaults>
    <o:shapedefaults v:ext="edit" spidmax="2050">
      <o:colormru v:ext="edit" colors="#fff8de"/>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D1B"/>
    <w:rsid w:val="000338FA"/>
    <w:rsid w:val="000446D9"/>
    <w:rsid w:val="00046A4A"/>
    <w:rsid w:val="000507A6"/>
    <w:rsid w:val="00061351"/>
    <w:rsid w:val="00062690"/>
    <w:rsid w:val="0006322E"/>
    <w:rsid w:val="000731A6"/>
    <w:rsid w:val="000749C1"/>
    <w:rsid w:val="00082B58"/>
    <w:rsid w:val="00086779"/>
    <w:rsid w:val="00091A34"/>
    <w:rsid w:val="000936E9"/>
    <w:rsid w:val="00095E6E"/>
    <w:rsid w:val="000B4FA4"/>
    <w:rsid w:val="000B7D12"/>
    <w:rsid w:val="000C0A64"/>
    <w:rsid w:val="000C0FD6"/>
    <w:rsid w:val="000D7F59"/>
    <w:rsid w:val="000E31AA"/>
    <w:rsid w:val="000E403B"/>
    <w:rsid w:val="000F0483"/>
    <w:rsid w:val="000F1944"/>
    <w:rsid w:val="000F4C37"/>
    <w:rsid w:val="000F5B94"/>
    <w:rsid w:val="001108E0"/>
    <w:rsid w:val="00114330"/>
    <w:rsid w:val="00133494"/>
    <w:rsid w:val="00135B82"/>
    <w:rsid w:val="00135CA5"/>
    <w:rsid w:val="00163958"/>
    <w:rsid w:val="001755E2"/>
    <w:rsid w:val="0017593A"/>
    <w:rsid w:val="00195132"/>
    <w:rsid w:val="0019732D"/>
    <w:rsid w:val="001B76FE"/>
    <w:rsid w:val="001C70C1"/>
    <w:rsid w:val="001D586A"/>
    <w:rsid w:val="001E0211"/>
    <w:rsid w:val="001E1754"/>
    <w:rsid w:val="001E49E4"/>
    <w:rsid w:val="001E7130"/>
    <w:rsid w:val="001F219E"/>
    <w:rsid w:val="001F4FCF"/>
    <w:rsid w:val="0020000C"/>
    <w:rsid w:val="002004C4"/>
    <w:rsid w:val="002007F0"/>
    <w:rsid w:val="00201DC8"/>
    <w:rsid w:val="00221615"/>
    <w:rsid w:val="00244411"/>
    <w:rsid w:val="00245DF1"/>
    <w:rsid w:val="00257D1B"/>
    <w:rsid w:val="002634C1"/>
    <w:rsid w:val="00276D77"/>
    <w:rsid w:val="00284F59"/>
    <w:rsid w:val="00286EBC"/>
    <w:rsid w:val="00290C84"/>
    <w:rsid w:val="00291833"/>
    <w:rsid w:val="00292F5D"/>
    <w:rsid w:val="00295AC3"/>
    <w:rsid w:val="002A18F7"/>
    <w:rsid w:val="002A532E"/>
    <w:rsid w:val="002B4A63"/>
    <w:rsid w:val="002D4DAA"/>
    <w:rsid w:val="002E1C51"/>
    <w:rsid w:val="002E3D93"/>
    <w:rsid w:val="002E6AAA"/>
    <w:rsid w:val="002F58D9"/>
    <w:rsid w:val="002F7F1F"/>
    <w:rsid w:val="003049B2"/>
    <w:rsid w:val="00307F0C"/>
    <w:rsid w:val="003124D0"/>
    <w:rsid w:val="00326B0E"/>
    <w:rsid w:val="003270ED"/>
    <w:rsid w:val="00330159"/>
    <w:rsid w:val="00331223"/>
    <w:rsid w:val="0033633A"/>
    <w:rsid w:val="003400EC"/>
    <w:rsid w:val="00341C0D"/>
    <w:rsid w:val="003430FE"/>
    <w:rsid w:val="003452B8"/>
    <w:rsid w:val="00351640"/>
    <w:rsid w:val="00355733"/>
    <w:rsid w:val="00360366"/>
    <w:rsid w:val="00363E6C"/>
    <w:rsid w:val="00373936"/>
    <w:rsid w:val="00375708"/>
    <w:rsid w:val="00375747"/>
    <w:rsid w:val="0038240E"/>
    <w:rsid w:val="00382607"/>
    <w:rsid w:val="003901E2"/>
    <w:rsid w:val="00396E1B"/>
    <w:rsid w:val="003A11E0"/>
    <w:rsid w:val="003B5A20"/>
    <w:rsid w:val="003C7B71"/>
    <w:rsid w:val="003D226D"/>
    <w:rsid w:val="003D30C9"/>
    <w:rsid w:val="003D31E7"/>
    <w:rsid w:val="003D3977"/>
    <w:rsid w:val="003D3C48"/>
    <w:rsid w:val="003F46CF"/>
    <w:rsid w:val="004120ED"/>
    <w:rsid w:val="004138B8"/>
    <w:rsid w:val="00414C05"/>
    <w:rsid w:val="00420F53"/>
    <w:rsid w:val="00421606"/>
    <w:rsid w:val="00424901"/>
    <w:rsid w:val="00430B6F"/>
    <w:rsid w:val="00433051"/>
    <w:rsid w:val="004411E9"/>
    <w:rsid w:val="004421F8"/>
    <w:rsid w:val="00445FAE"/>
    <w:rsid w:val="004512BB"/>
    <w:rsid w:val="00456E00"/>
    <w:rsid w:val="00462055"/>
    <w:rsid w:val="00463D35"/>
    <w:rsid w:val="00467BC3"/>
    <w:rsid w:val="004802FD"/>
    <w:rsid w:val="00481FF0"/>
    <w:rsid w:val="004831B1"/>
    <w:rsid w:val="00485901"/>
    <w:rsid w:val="00487039"/>
    <w:rsid w:val="004A17AC"/>
    <w:rsid w:val="004A1C28"/>
    <w:rsid w:val="004B21A2"/>
    <w:rsid w:val="004B2ED4"/>
    <w:rsid w:val="004B347E"/>
    <w:rsid w:val="004B7591"/>
    <w:rsid w:val="004D00AD"/>
    <w:rsid w:val="004D3671"/>
    <w:rsid w:val="004D5D02"/>
    <w:rsid w:val="004D6A5F"/>
    <w:rsid w:val="004E2769"/>
    <w:rsid w:val="004E5981"/>
    <w:rsid w:val="004E62ED"/>
    <w:rsid w:val="004F6285"/>
    <w:rsid w:val="00505DAC"/>
    <w:rsid w:val="0051088E"/>
    <w:rsid w:val="00515CFF"/>
    <w:rsid w:val="0052492A"/>
    <w:rsid w:val="005324AD"/>
    <w:rsid w:val="00542A5B"/>
    <w:rsid w:val="00565D08"/>
    <w:rsid w:val="0057123D"/>
    <w:rsid w:val="0059797F"/>
    <w:rsid w:val="005A3BC0"/>
    <w:rsid w:val="005B1401"/>
    <w:rsid w:val="005C6416"/>
    <w:rsid w:val="005D5FCD"/>
    <w:rsid w:val="005F2674"/>
    <w:rsid w:val="005F278E"/>
    <w:rsid w:val="005F5F84"/>
    <w:rsid w:val="005F74D3"/>
    <w:rsid w:val="00614923"/>
    <w:rsid w:val="00615392"/>
    <w:rsid w:val="00615561"/>
    <w:rsid w:val="00621E13"/>
    <w:rsid w:val="00623630"/>
    <w:rsid w:val="00623AAE"/>
    <w:rsid w:val="00626090"/>
    <w:rsid w:val="0062734A"/>
    <w:rsid w:val="00627731"/>
    <w:rsid w:val="00641304"/>
    <w:rsid w:val="00642204"/>
    <w:rsid w:val="00643A08"/>
    <w:rsid w:val="00650074"/>
    <w:rsid w:val="00654A2A"/>
    <w:rsid w:val="00655771"/>
    <w:rsid w:val="00664FF5"/>
    <w:rsid w:val="0067501F"/>
    <w:rsid w:val="00697868"/>
    <w:rsid w:val="00697B6A"/>
    <w:rsid w:val="006A4E4E"/>
    <w:rsid w:val="006A7C39"/>
    <w:rsid w:val="006B1C3A"/>
    <w:rsid w:val="006C0611"/>
    <w:rsid w:val="006C77A9"/>
    <w:rsid w:val="006D0FAB"/>
    <w:rsid w:val="006D75E3"/>
    <w:rsid w:val="006E1B23"/>
    <w:rsid w:val="006E685C"/>
    <w:rsid w:val="006F109C"/>
    <w:rsid w:val="006F42F7"/>
    <w:rsid w:val="00705708"/>
    <w:rsid w:val="00717442"/>
    <w:rsid w:val="00724AC8"/>
    <w:rsid w:val="00732298"/>
    <w:rsid w:val="007343BD"/>
    <w:rsid w:val="00741A8D"/>
    <w:rsid w:val="00760989"/>
    <w:rsid w:val="00762456"/>
    <w:rsid w:val="0076502A"/>
    <w:rsid w:val="00771095"/>
    <w:rsid w:val="00774D3F"/>
    <w:rsid w:val="007853C6"/>
    <w:rsid w:val="0078645F"/>
    <w:rsid w:val="00796A27"/>
    <w:rsid w:val="007A1ECE"/>
    <w:rsid w:val="007A22C3"/>
    <w:rsid w:val="007A5555"/>
    <w:rsid w:val="007B1F7F"/>
    <w:rsid w:val="007B5B36"/>
    <w:rsid w:val="007D7089"/>
    <w:rsid w:val="007D7EE0"/>
    <w:rsid w:val="007E006E"/>
    <w:rsid w:val="007E772F"/>
    <w:rsid w:val="00802DCC"/>
    <w:rsid w:val="00815320"/>
    <w:rsid w:val="00815DC0"/>
    <w:rsid w:val="008164F5"/>
    <w:rsid w:val="00825F61"/>
    <w:rsid w:val="0083484C"/>
    <w:rsid w:val="00834DE7"/>
    <w:rsid w:val="00835717"/>
    <w:rsid w:val="008447B9"/>
    <w:rsid w:val="00847BD7"/>
    <w:rsid w:val="0085095D"/>
    <w:rsid w:val="00867F17"/>
    <w:rsid w:val="008706B6"/>
    <w:rsid w:val="00870D2D"/>
    <w:rsid w:val="00880706"/>
    <w:rsid w:val="008948E6"/>
    <w:rsid w:val="008A01B0"/>
    <w:rsid w:val="008A0F6C"/>
    <w:rsid w:val="008A3557"/>
    <w:rsid w:val="008A7E23"/>
    <w:rsid w:val="008B09DD"/>
    <w:rsid w:val="008B5E49"/>
    <w:rsid w:val="008B71C8"/>
    <w:rsid w:val="008C02A8"/>
    <w:rsid w:val="008C2538"/>
    <w:rsid w:val="008C2564"/>
    <w:rsid w:val="008C61EB"/>
    <w:rsid w:val="008D0096"/>
    <w:rsid w:val="008D3FA8"/>
    <w:rsid w:val="008D532B"/>
    <w:rsid w:val="008E6A82"/>
    <w:rsid w:val="008F24CC"/>
    <w:rsid w:val="008F7966"/>
    <w:rsid w:val="0090606B"/>
    <w:rsid w:val="00910BE5"/>
    <w:rsid w:val="00911B7F"/>
    <w:rsid w:val="00924D35"/>
    <w:rsid w:val="009307E7"/>
    <w:rsid w:val="00940BE3"/>
    <w:rsid w:val="009703EE"/>
    <w:rsid w:val="0097176F"/>
    <w:rsid w:val="009860C4"/>
    <w:rsid w:val="00997C62"/>
    <w:rsid w:val="009A498E"/>
    <w:rsid w:val="009A5B13"/>
    <w:rsid w:val="009B0F5A"/>
    <w:rsid w:val="009C3677"/>
    <w:rsid w:val="009D1386"/>
    <w:rsid w:val="009D4ED8"/>
    <w:rsid w:val="009D541D"/>
    <w:rsid w:val="009E0129"/>
    <w:rsid w:val="009E3E82"/>
    <w:rsid w:val="009F734E"/>
    <w:rsid w:val="00A068DE"/>
    <w:rsid w:val="00A147D6"/>
    <w:rsid w:val="00A21BF6"/>
    <w:rsid w:val="00A25641"/>
    <w:rsid w:val="00A26EBD"/>
    <w:rsid w:val="00A3021F"/>
    <w:rsid w:val="00A30B3C"/>
    <w:rsid w:val="00A44E18"/>
    <w:rsid w:val="00A506E8"/>
    <w:rsid w:val="00A53813"/>
    <w:rsid w:val="00A71D62"/>
    <w:rsid w:val="00A738C7"/>
    <w:rsid w:val="00A76C1B"/>
    <w:rsid w:val="00A87808"/>
    <w:rsid w:val="00AA17D5"/>
    <w:rsid w:val="00AA47A0"/>
    <w:rsid w:val="00AA59B7"/>
    <w:rsid w:val="00AB68F4"/>
    <w:rsid w:val="00AD73F9"/>
    <w:rsid w:val="00AE1144"/>
    <w:rsid w:val="00AF01B1"/>
    <w:rsid w:val="00B01D04"/>
    <w:rsid w:val="00B04144"/>
    <w:rsid w:val="00B06CEE"/>
    <w:rsid w:val="00B15B1C"/>
    <w:rsid w:val="00B15FCA"/>
    <w:rsid w:val="00B21943"/>
    <w:rsid w:val="00B25583"/>
    <w:rsid w:val="00B34C12"/>
    <w:rsid w:val="00B400A1"/>
    <w:rsid w:val="00B42139"/>
    <w:rsid w:val="00B45B78"/>
    <w:rsid w:val="00B61DCB"/>
    <w:rsid w:val="00B6289D"/>
    <w:rsid w:val="00B6351F"/>
    <w:rsid w:val="00B7066A"/>
    <w:rsid w:val="00B75D34"/>
    <w:rsid w:val="00B775E8"/>
    <w:rsid w:val="00B84021"/>
    <w:rsid w:val="00B91F5B"/>
    <w:rsid w:val="00B950A1"/>
    <w:rsid w:val="00BA3954"/>
    <w:rsid w:val="00BB3C9F"/>
    <w:rsid w:val="00BB5438"/>
    <w:rsid w:val="00BB7B79"/>
    <w:rsid w:val="00BC2A5D"/>
    <w:rsid w:val="00BC3CE0"/>
    <w:rsid w:val="00BC4E44"/>
    <w:rsid w:val="00BD54E7"/>
    <w:rsid w:val="00BD7F7D"/>
    <w:rsid w:val="00BE2EEA"/>
    <w:rsid w:val="00BF7275"/>
    <w:rsid w:val="00C03EC1"/>
    <w:rsid w:val="00C07AEE"/>
    <w:rsid w:val="00C3099F"/>
    <w:rsid w:val="00C3358E"/>
    <w:rsid w:val="00C3383F"/>
    <w:rsid w:val="00C43FCA"/>
    <w:rsid w:val="00C44CFE"/>
    <w:rsid w:val="00C45024"/>
    <w:rsid w:val="00C47AB7"/>
    <w:rsid w:val="00C52381"/>
    <w:rsid w:val="00C534B0"/>
    <w:rsid w:val="00C54DA0"/>
    <w:rsid w:val="00C57971"/>
    <w:rsid w:val="00C600D9"/>
    <w:rsid w:val="00C64BC6"/>
    <w:rsid w:val="00C655C0"/>
    <w:rsid w:val="00C70011"/>
    <w:rsid w:val="00C7553B"/>
    <w:rsid w:val="00C86551"/>
    <w:rsid w:val="00CD4EDA"/>
    <w:rsid w:val="00CE04FA"/>
    <w:rsid w:val="00CE5517"/>
    <w:rsid w:val="00CF275A"/>
    <w:rsid w:val="00CF3DA6"/>
    <w:rsid w:val="00CF5033"/>
    <w:rsid w:val="00D15B47"/>
    <w:rsid w:val="00D22550"/>
    <w:rsid w:val="00D31470"/>
    <w:rsid w:val="00D53F2B"/>
    <w:rsid w:val="00D627FB"/>
    <w:rsid w:val="00D63A01"/>
    <w:rsid w:val="00D75AB4"/>
    <w:rsid w:val="00D83199"/>
    <w:rsid w:val="00D84301"/>
    <w:rsid w:val="00D9126A"/>
    <w:rsid w:val="00D926F0"/>
    <w:rsid w:val="00DA2BA8"/>
    <w:rsid w:val="00DA6127"/>
    <w:rsid w:val="00DB2881"/>
    <w:rsid w:val="00DB4074"/>
    <w:rsid w:val="00DD15BC"/>
    <w:rsid w:val="00DD75C5"/>
    <w:rsid w:val="00DE02D6"/>
    <w:rsid w:val="00DE4D3E"/>
    <w:rsid w:val="00DE62FE"/>
    <w:rsid w:val="00DE674B"/>
    <w:rsid w:val="00DE777B"/>
    <w:rsid w:val="00DF2E24"/>
    <w:rsid w:val="00E0392A"/>
    <w:rsid w:val="00E140F4"/>
    <w:rsid w:val="00E166B6"/>
    <w:rsid w:val="00E20FC9"/>
    <w:rsid w:val="00E2661F"/>
    <w:rsid w:val="00E33870"/>
    <w:rsid w:val="00E37DF2"/>
    <w:rsid w:val="00E43455"/>
    <w:rsid w:val="00E43514"/>
    <w:rsid w:val="00E44A15"/>
    <w:rsid w:val="00E60F81"/>
    <w:rsid w:val="00E6100D"/>
    <w:rsid w:val="00E64457"/>
    <w:rsid w:val="00E72051"/>
    <w:rsid w:val="00E74D1A"/>
    <w:rsid w:val="00E85099"/>
    <w:rsid w:val="00E8519C"/>
    <w:rsid w:val="00E85CF6"/>
    <w:rsid w:val="00E92E4B"/>
    <w:rsid w:val="00E934F2"/>
    <w:rsid w:val="00EA2D65"/>
    <w:rsid w:val="00EC34AF"/>
    <w:rsid w:val="00EC540B"/>
    <w:rsid w:val="00EE2422"/>
    <w:rsid w:val="00EE44E3"/>
    <w:rsid w:val="00EE62A4"/>
    <w:rsid w:val="00EF24AD"/>
    <w:rsid w:val="00EF2CB6"/>
    <w:rsid w:val="00F17944"/>
    <w:rsid w:val="00F21211"/>
    <w:rsid w:val="00F24D7D"/>
    <w:rsid w:val="00F31E9B"/>
    <w:rsid w:val="00F33037"/>
    <w:rsid w:val="00F42AE0"/>
    <w:rsid w:val="00F46684"/>
    <w:rsid w:val="00F52A24"/>
    <w:rsid w:val="00F65408"/>
    <w:rsid w:val="00F70702"/>
    <w:rsid w:val="00F77575"/>
    <w:rsid w:val="00FA3796"/>
    <w:rsid w:val="00FB5997"/>
    <w:rsid w:val="00FC0D8B"/>
    <w:rsid w:val="00FC460F"/>
    <w:rsid w:val="00FD06C3"/>
    <w:rsid w:val="00FD1FE2"/>
    <w:rsid w:val="00FD3B9D"/>
    <w:rsid w:val="00FD3C28"/>
    <w:rsid w:val="00FD4B1B"/>
    <w:rsid w:val="00FD4BCF"/>
    <w:rsid w:val="00FE503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de"/>
    </o:shapedefaults>
    <o:shapelayout v:ext="edit">
      <o:idmap v:ext="edit" data="2"/>
    </o:shapelayout>
  </w:shapeDefaults>
  <w:decimalSymbol w:val="."/>
  <w:listSeparator w:val=","/>
  <w14:docId w14:val="71F92BF8"/>
  <w15:chartTrackingRefBased/>
  <w15:docId w15:val="{F40E9E3B-6A88-F24F-BFB0-9EA58FDB1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D02"/>
    <w:pPr>
      <w:spacing w:before="120" w:after="80" w:line="257" w:lineRule="auto"/>
    </w:pPr>
    <w:rPr>
      <w:sz w:val="21"/>
    </w:rPr>
  </w:style>
  <w:style w:type="paragraph" w:styleId="Heading1">
    <w:name w:val="heading 1"/>
    <w:basedOn w:val="Normal"/>
    <w:next w:val="Normal"/>
    <w:link w:val="Heading1Char"/>
    <w:uiPriority w:val="9"/>
    <w:qFormat/>
    <w:rsid w:val="00135CA5"/>
    <w:pPr>
      <w:spacing w:after="360"/>
      <w:outlineLvl w:val="0"/>
    </w:pPr>
    <w:rPr>
      <w:b/>
      <w:bCs/>
      <w:color w:val="FFF7E1"/>
      <w:sz w:val="70"/>
      <w:szCs w:val="70"/>
    </w:rPr>
  </w:style>
  <w:style w:type="paragraph" w:styleId="Heading2">
    <w:name w:val="heading 2"/>
    <w:basedOn w:val="DocumentSubtitle"/>
    <w:next w:val="Normal"/>
    <w:link w:val="Heading2Char"/>
    <w:uiPriority w:val="9"/>
    <w:unhideWhenUsed/>
    <w:qFormat/>
    <w:rsid w:val="00E43455"/>
    <w:pPr>
      <w:spacing w:after="240"/>
      <w:outlineLvl w:val="1"/>
    </w:pPr>
    <w:rPr>
      <w:noProof/>
      <w:color w:val="2D6CB5"/>
      <w:sz w:val="50"/>
      <w:szCs w:val="50"/>
    </w:rPr>
  </w:style>
  <w:style w:type="paragraph" w:styleId="Heading3">
    <w:name w:val="heading 3"/>
    <w:basedOn w:val="Normal"/>
    <w:next w:val="Normal"/>
    <w:link w:val="Heading3Char"/>
    <w:uiPriority w:val="9"/>
    <w:unhideWhenUsed/>
    <w:qFormat/>
    <w:rsid w:val="00467BC3"/>
    <w:pPr>
      <w:keepNext/>
      <w:keepLines/>
      <w:spacing w:before="400" w:after="200" w:line="252" w:lineRule="auto"/>
      <w:outlineLvl w:val="2"/>
    </w:pPr>
    <w:rPr>
      <w:rFonts w:ascii="Arial Black" w:eastAsiaTheme="majorEastAsia" w:hAnsi="Arial Black" w:cs="Arial"/>
      <w:color w:val="2D6CB5"/>
      <w:sz w:val="26"/>
      <w:szCs w:val="30"/>
    </w:rPr>
  </w:style>
  <w:style w:type="paragraph" w:styleId="Heading4">
    <w:name w:val="heading 4"/>
    <w:basedOn w:val="Heading3"/>
    <w:next w:val="Normal"/>
    <w:link w:val="Heading4Char"/>
    <w:uiPriority w:val="9"/>
    <w:unhideWhenUsed/>
    <w:qFormat/>
    <w:rsid w:val="008F7966"/>
    <w:pPr>
      <w:spacing w:befor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D1B"/>
    <w:pPr>
      <w:tabs>
        <w:tab w:val="center" w:pos="4513"/>
        <w:tab w:val="right" w:pos="9026"/>
      </w:tabs>
    </w:pPr>
  </w:style>
  <w:style w:type="character" w:customStyle="1" w:styleId="HeaderChar">
    <w:name w:val="Header Char"/>
    <w:basedOn w:val="DefaultParagraphFont"/>
    <w:link w:val="Header"/>
    <w:uiPriority w:val="99"/>
    <w:rsid w:val="00257D1B"/>
  </w:style>
  <w:style w:type="paragraph" w:styleId="Footer">
    <w:name w:val="footer"/>
    <w:basedOn w:val="Normal"/>
    <w:link w:val="FooterChar"/>
    <w:uiPriority w:val="99"/>
    <w:unhideWhenUsed/>
    <w:rsid w:val="00B775E8"/>
    <w:pPr>
      <w:tabs>
        <w:tab w:val="center" w:pos="4513"/>
        <w:tab w:val="right" w:pos="9026"/>
      </w:tabs>
      <w:ind w:right="360"/>
    </w:pPr>
    <w:rPr>
      <w:sz w:val="18"/>
      <w:szCs w:val="18"/>
    </w:rPr>
  </w:style>
  <w:style w:type="character" w:customStyle="1" w:styleId="FooterChar">
    <w:name w:val="Footer Char"/>
    <w:basedOn w:val="DefaultParagraphFont"/>
    <w:link w:val="Footer"/>
    <w:uiPriority w:val="99"/>
    <w:rsid w:val="00B775E8"/>
    <w:rPr>
      <w:sz w:val="18"/>
      <w:szCs w:val="18"/>
    </w:rPr>
  </w:style>
  <w:style w:type="character" w:customStyle="1" w:styleId="Heading1Char">
    <w:name w:val="Heading 1 Char"/>
    <w:basedOn w:val="DefaultParagraphFont"/>
    <w:link w:val="Heading1"/>
    <w:uiPriority w:val="9"/>
    <w:rsid w:val="00135CA5"/>
    <w:rPr>
      <w:b/>
      <w:bCs/>
      <w:color w:val="FFF7E1"/>
      <w:sz w:val="70"/>
      <w:szCs w:val="70"/>
    </w:rPr>
  </w:style>
  <w:style w:type="paragraph" w:customStyle="1" w:styleId="DocumentSubtitle">
    <w:name w:val="Document Subtitle"/>
    <w:basedOn w:val="Normal"/>
    <w:qFormat/>
    <w:rsid w:val="00257D1B"/>
    <w:rPr>
      <w:color w:val="FFFFFF" w:themeColor="background1"/>
      <w:sz w:val="40"/>
      <w:szCs w:val="40"/>
    </w:rPr>
  </w:style>
  <w:style w:type="character" w:customStyle="1" w:styleId="Heading2Char">
    <w:name w:val="Heading 2 Char"/>
    <w:basedOn w:val="DefaultParagraphFont"/>
    <w:link w:val="Heading2"/>
    <w:uiPriority w:val="9"/>
    <w:rsid w:val="00E43455"/>
    <w:rPr>
      <w:noProof/>
      <w:color w:val="2D6CB5"/>
      <w:sz w:val="50"/>
      <w:szCs w:val="50"/>
    </w:rPr>
  </w:style>
  <w:style w:type="paragraph" w:customStyle="1" w:styleId="ParagraphHighlight">
    <w:name w:val="Paragraph Highlight"/>
    <w:basedOn w:val="Normal"/>
    <w:uiPriority w:val="99"/>
    <w:rsid w:val="00697868"/>
    <w:pPr>
      <w:autoSpaceDE w:val="0"/>
      <w:autoSpaceDN w:val="0"/>
      <w:adjustRightInd w:val="0"/>
      <w:spacing w:after="227" w:line="320" w:lineRule="atLeast"/>
      <w:textAlignment w:val="center"/>
    </w:pPr>
    <w:rPr>
      <w:rFonts w:cs="Arial"/>
      <w:color w:val="000000"/>
      <w:sz w:val="23"/>
      <w:szCs w:val="23"/>
      <w:lang w:val="en-US"/>
    </w:rPr>
  </w:style>
  <w:style w:type="character" w:customStyle="1" w:styleId="Heading4Char">
    <w:name w:val="Heading 4 Char"/>
    <w:basedOn w:val="DefaultParagraphFont"/>
    <w:link w:val="Heading4"/>
    <w:uiPriority w:val="9"/>
    <w:rsid w:val="008F7966"/>
    <w:rPr>
      <w:rFonts w:eastAsiaTheme="majorEastAsia" w:cs="Arial"/>
      <w:color w:val="000000" w:themeColor="text1"/>
      <w:sz w:val="29"/>
      <w:szCs w:val="29"/>
    </w:rPr>
  </w:style>
  <w:style w:type="paragraph" w:customStyle="1" w:styleId="Paragraph">
    <w:name w:val="Paragraph"/>
    <w:basedOn w:val="ParagraphHighlight"/>
    <w:uiPriority w:val="99"/>
    <w:rsid w:val="00697868"/>
    <w:pPr>
      <w:suppressAutoHyphens/>
      <w:spacing w:line="280" w:lineRule="atLeast"/>
    </w:pPr>
    <w:rPr>
      <w:sz w:val="20"/>
      <w:szCs w:val="20"/>
    </w:rPr>
  </w:style>
  <w:style w:type="table" w:styleId="TableGrid">
    <w:name w:val="Table Grid"/>
    <w:basedOn w:val="TableNormal"/>
    <w:uiPriority w:val="39"/>
    <w:rsid w:val="00697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67BC3"/>
    <w:rPr>
      <w:rFonts w:ascii="Arial Black" w:eastAsiaTheme="majorEastAsia" w:hAnsi="Arial Black" w:cs="Arial"/>
      <w:color w:val="2D6CB5"/>
      <w:sz w:val="26"/>
      <w:szCs w:val="30"/>
    </w:rPr>
  </w:style>
  <w:style w:type="character" w:styleId="PageNumber">
    <w:name w:val="page number"/>
    <w:basedOn w:val="DefaultParagraphFont"/>
    <w:uiPriority w:val="99"/>
    <w:semiHidden/>
    <w:unhideWhenUsed/>
    <w:rsid w:val="00697868"/>
  </w:style>
  <w:style w:type="paragraph" w:customStyle="1" w:styleId="TableHeading1">
    <w:name w:val="Table Heading 1"/>
    <w:basedOn w:val="ParagraphHighlight"/>
    <w:qFormat/>
    <w:rsid w:val="008F7966"/>
    <w:pPr>
      <w:framePr w:hSpace="180" w:wrap="around" w:vAnchor="text" w:hAnchor="text" w:y="280"/>
      <w:spacing w:after="0" w:line="280" w:lineRule="atLeast"/>
    </w:pPr>
    <w:rPr>
      <w:b/>
      <w:color w:val="FFFFFF" w:themeColor="background1"/>
      <w:sz w:val="20"/>
      <w:szCs w:val="22"/>
    </w:rPr>
  </w:style>
  <w:style w:type="paragraph" w:customStyle="1" w:styleId="TableContentsL1">
    <w:name w:val="Table Contents L1"/>
    <w:basedOn w:val="ParagraphHighlight"/>
    <w:qFormat/>
    <w:rsid w:val="008F7966"/>
    <w:pPr>
      <w:framePr w:hSpace="180" w:wrap="around" w:vAnchor="text" w:hAnchor="text" w:y="280"/>
      <w:spacing w:after="0" w:line="300" w:lineRule="atLeast"/>
    </w:pPr>
    <w:rPr>
      <w:bCs/>
      <w:sz w:val="20"/>
      <w:szCs w:val="22"/>
    </w:rPr>
  </w:style>
  <w:style w:type="paragraph" w:styleId="EndnoteText">
    <w:name w:val="endnote text"/>
    <w:basedOn w:val="Normal"/>
    <w:link w:val="EndnoteTextChar"/>
    <w:uiPriority w:val="99"/>
    <w:semiHidden/>
    <w:unhideWhenUsed/>
    <w:rsid w:val="000F5B94"/>
    <w:rPr>
      <w:sz w:val="20"/>
      <w:szCs w:val="20"/>
    </w:rPr>
  </w:style>
  <w:style w:type="character" w:customStyle="1" w:styleId="EndnoteTextChar">
    <w:name w:val="Endnote Text Char"/>
    <w:basedOn w:val="DefaultParagraphFont"/>
    <w:link w:val="EndnoteText"/>
    <w:uiPriority w:val="99"/>
    <w:semiHidden/>
    <w:rsid w:val="000F5B94"/>
    <w:rPr>
      <w:sz w:val="20"/>
      <w:szCs w:val="20"/>
    </w:rPr>
  </w:style>
  <w:style w:type="character" w:styleId="EndnoteReference">
    <w:name w:val="endnote reference"/>
    <w:basedOn w:val="DefaultParagraphFont"/>
    <w:uiPriority w:val="99"/>
    <w:semiHidden/>
    <w:unhideWhenUsed/>
    <w:rsid w:val="000F5B94"/>
    <w:rPr>
      <w:vertAlign w:val="superscript"/>
    </w:rPr>
  </w:style>
  <w:style w:type="paragraph" w:customStyle="1" w:styleId="TableHeading2">
    <w:name w:val="Table Heading 2"/>
    <w:basedOn w:val="TableHeading1"/>
    <w:qFormat/>
    <w:rsid w:val="00623630"/>
    <w:pPr>
      <w:framePr w:wrap="around"/>
      <w:spacing w:line="220" w:lineRule="atLeast"/>
    </w:pPr>
    <w:rPr>
      <w:sz w:val="18"/>
      <w:szCs w:val="18"/>
    </w:rPr>
  </w:style>
  <w:style w:type="paragraph" w:customStyle="1" w:styleId="TableContentsL2">
    <w:name w:val="Table Contents L2"/>
    <w:basedOn w:val="Normal"/>
    <w:qFormat/>
    <w:rsid w:val="00623630"/>
    <w:pPr>
      <w:spacing w:line="220" w:lineRule="exact"/>
    </w:pPr>
    <w:rPr>
      <w:sz w:val="18"/>
      <w:szCs w:val="16"/>
    </w:rPr>
  </w:style>
  <w:style w:type="paragraph" w:customStyle="1" w:styleId="Endnotedescription">
    <w:name w:val="End note description"/>
    <w:basedOn w:val="EndnoteText"/>
    <w:qFormat/>
    <w:rsid w:val="00BD54E7"/>
    <w:pPr>
      <w:spacing w:after="115"/>
    </w:pPr>
    <w:rPr>
      <w:sz w:val="18"/>
    </w:rPr>
  </w:style>
  <w:style w:type="paragraph" w:styleId="Caption">
    <w:name w:val="caption"/>
    <w:basedOn w:val="Normal"/>
    <w:next w:val="Normal"/>
    <w:uiPriority w:val="35"/>
    <w:unhideWhenUsed/>
    <w:qFormat/>
    <w:rsid w:val="003D30C9"/>
    <w:pPr>
      <w:spacing w:after="200"/>
    </w:pPr>
    <w:rPr>
      <w:i/>
      <w:iCs/>
      <w:color w:val="44546A" w:themeColor="text2"/>
      <w:sz w:val="18"/>
      <w:szCs w:val="18"/>
    </w:rPr>
  </w:style>
  <w:style w:type="table" w:customStyle="1" w:styleId="Table1">
    <w:name w:val="Table 1"/>
    <w:basedOn w:val="TableNormal"/>
    <w:uiPriority w:val="99"/>
    <w:rsid w:val="00462055"/>
    <w:pPr>
      <w:spacing w:before="120" w:after="120"/>
    </w:pPr>
    <w:rPr>
      <w:sz w:val="18"/>
    </w:rPr>
    <w:tblPr>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tcPr>
    </w:tblStylePr>
  </w:style>
  <w:style w:type="table" w:customStyle="1" w:styleId="Table2">
    <w:name w:val="Table 2"/>
    <w:basedOn w:val="TableNormal"/>
    <w:uiPriority w:val="99"/>
    <w:rsid w:val="00462055"/>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3">
    <w:name w:val="Table 3"/>
    <w:basedOn w:val="TableNormal"/>
    <w:uiPriority w:val="99"/>
    <w:rsid w:val="00462055"/>
    <w:pPr>
      <w:spacing w:before="120" w:after="120"/>
    </w:pPr>
    <w:rPr>
      <w:sz w:val="18"/>
    </w:rPr>
    <w:tblPr>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tblPr/>
      <w:tcPr>
        <w:shd w:val="clear" w:color="auto" w:fill="FFF7E1"/>
      </w:tcPr>
    </w:tblStylePr>
    <w:tblStylePr w:type="band2Vert">
      <w:rPr>
        <w:rFonts w:ascii="Arial" w:hAnsi="Arial"/>
      </w:rPr>
      <w:tblPr/>
      <w:tcPr>
        <w:shd w:val="clear" w:color="auto" w:fill="E3F3F3"/>
      </w:tcPr>
    </w:tblStylePr>
  </w:style>
  <w:style w:type="paragraph" w:styleId="ListParagraph">
    <w:name w:val="List Paragraph"/>
    <w:basedOn w:val="Normal"/>
    <w:uiPriority w:val="34"/>
    <w:qFormat/>
    <w:rsid w:val="00A44E18"/>
    <w:pPr>
      <w:ind w:left="720"/>
      <w:contextualSpacing/>
    </w:pPr>
  </w:style>
  <w:style w:type="paragraph" w:customStyle="1" w:styleId="Ask">
    <w:name w:val="Ask"/>
    <w:basedOn w:val="Normal"/>
    <w:qFormat/>
    <w:rsid w:val="001E1754"/>
    <w:pPr>
      <w:numPr>
        <w:numId w:val="3"/>
      </w:numPr>
      <w:pBdr>
        <w:top w:val="single" w:sz="2" w:space="5" w:color="E3F3F3"/>
        <w:left w:val="single" w:sz="2" w:space="4" w:color="E3F3F3"/>
        <w:bottom w:val="single" w:sz="2" w:space="5" w:color="E3F3F3"/>
        <w:right w:val="single" w:sz="2" w:space="4" w:color="E3F3F3"/>
      </w:pBdr>
      <w:shd w:val="clear" w:color="auto" w:fill="E8EFF0"/>
      <w:spacing w:before="140" w:after="120" w:line="259" w:lineRule="auto"/>
      <w:ind w:left="357" w:hanging="357"/>
    </w:pPr>
    <w:rPr>
      <w:rFonts w:eastAsiaTheme="minorEastAsia" w:cstheme="minorBidi"/>
      <w:color w:val="08121E"/>
      <w:szCs w:val="22"/>
      <w:lang w:val="en-US" w:eastAsia="ja-JP"/>
    </w:rPr>
  </w:style>
  <w:style w:type="paragraph" w:customStyle="1" w:styleId="Prioritiesbox-dotpoint">
    <w:name w:val="Priorities box - dot point"/>
    <w:basedOn w:val="ListParagraph"/>
    <w:qFormat/>
    <w:rsid w:val="006E1B23"/>
    <w:pPr>
      <w:numPr>
        <w:numId w:val="5"/>
      </w:numPr>
      <w:spacing w:before="60" w:after="60" w:line="264" w:lineRule="auto"/>
      <w:ind w:left="340" w:hanging="170"/>
      <w:contextualSpacing w:val="0"/>
    </w:pPr>
    <w:rPr>
      <w:b/>
      <w:bCs/>
      <w:color w:val="FFFFFF" w:themeColor="background1"/>
      <w:sz w:val="24"/>
    </w:rPr>
  </w:style>
  <w:style w:type="paragraph" w:customStyle="1" w:styleId="Priorityboxnormaltext">
    <w:name w:val="Priority box normal text"/>
    <w:basedOn w:val="Normal"/>
    <w:qFormat/>
    <w:rsid w:val="00F46684"/>
    <w:rPr>
      <w:b/>
      <w:bCs/>
      <w:color w:val="FFFFFF" w:themeColor="background1"/>
    </w:rPr>
  </w:style>
  <w:style w:type="paragraph" w:customStyle="1" w:styleId="Nutshelltext">
    <w:name w:val="Nutshell text"/>
    <w:basedOn w:val="Normal"/>
    <w:qFormat/>
    <w:rsid w:val="002634C1"/>
    <w:pPr>
      <w:spacing w:before="480" w:after="240" w:line="264" w:lineRule="auto"/>
      <w:ind w:left="170" w:right="170"/>
      <w:jc w:val="both"/>
    </w:pPr>
    <w:rPr>
      <w:rFonts w:cs="Arial"/>
      <w:b/>
      <w:bCs/>
      <w:noProof/>
      <w:color w:val="2D6CB5"/>
      <w:sz w:val="26"/>
      <w:szCs w:val="26"/>
    </w:rPr>
  </w:style>
  <w:style w:type="paragraph" w:styleId="FootnoteText">
    <w:name w:val="footnote text"/>
    <w:basedOn w:val="Normal"/>
    <w:link w:val="FootnoteTextChar"/>
    <w:uiPriority w:val="99"/>
    <w:semiHidden/>
    <w:unhideWhenUsed/>
    <w:rsid w:val="00A87808"/>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87808"/>
    <w:rPr>
      <w:sz w:val="20"/>
      <w:szCs w:val="20"/>
    </w:rPr>
  </w:style>
  <w:style w:type="character" w:styleId="FootnoteReference">
    <w:name w:val="footnote reference"/>
    <w:basedOn w:val="DefaultParagraphFont"/>
    <w:uiPriority w:val="99"/>
    <w:semiHidden/>
    <w:unhideWhenUsed/>
    <w:rsid w:val="00A87808"/>
    <w:rPr>
      <w:vertAlign w:val="superscript"/>
    </w:rPr>
  </w:style>
  <w:style w:type="character" w:styleId="Hyperlink">
    <w:name w:val="Hyperlink"/>
    <w:basedOn w:val="DefaultParagraphFont"/>
    <w:uiPriority w:val="99"/>
    <w:unhideWhenUsed/>
    <w:rsid w:val="006B1C3A"/>
    <w:rPr>
      <w:color w:val="2C6CB5" w:themeColor="hyperlink"/>
      <w:u w:val="single"/>
    </w:rPr>
  </w:style>
  <w:style w:type="character" w:styleId="UnresolvedMention">
    <w:name w:val="Unresolved Mention"/>
    <w:basedOn w:val="DefaultParagraphFont"/>
    <w:uiPriority w:val="99"/>
    <w:semiHidden/>
    <w:unhideWhenUsed/>
    <w:rsid w:val="006B1C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0183443">
      <w:bodyDiv w:val="1"/>
      <w:marLeft w:val="0"/>
      <w:marRight w:val="0"/>
      <w:marTop w:val="0"/>
      <w:marBottom w:val="0"/>
      <w:divBdr>
        <w:top w:val="none" w:sz="0" w:space="0" w:color="auto"/>
        <w:left w:val="none" w:sz="0" w:space="0" w:color="auto"/>
        <w:bottom w:val="none" w:sz="0" w:space="0" w:color="auto"/>
        <w:right w:val="none" w:sz="0" w:space="0" w:color="auto"/>
      </w:divBdr>
    </w:div>
    <w:div w:id="213597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hyperlink" Target="https://www.gamblingandracing.act.gov.au/__data/assets/pdf_file/0020/2316071/2023-Harm-profiles-associated-with-low-risk-gambling-Longitudinal-analysis-of-three-datasets-ANU-Research-Report.pdf" TargetMode="External"/><Relationship Id="rId2" Type="http://schemas.openxmlformats.org/officeDocument/2006/relationships/hyperlink" Target="https://www.gamblingandracing.act.gov.au/__data/assets/pdf_file/0011/2555408/Gaming-Machine-Revenue-Tax-Data-FY-2023-2024.pdf" TargetMode="External"/><Relationship Id="rId1" Type="http://schemas.openxmlformats.org/officeDocument/2006/relationships/hyperlink" Target="https://www.cbrgamblingreform.com.au/" TargetMode="External"/><Relationship Id="rId4" Type="http://schemas.openxmlformats.org/officeDocument/2006/relationships/hyperlink" Target="https://www.gamblingandracing.act.gov.au/publication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 Id="rId4" Type="http://schemas.openxmlformats.org/officeDocument/2006/relationships/image" Target="media/image8.svg"/></Relationships>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9" ma:contentTypeDescription="Create a new document." ma:contentTypeScope="" ma:versionID="9c8b7b1fdc361d3dcf2948500280a029">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a5c74869ff59dc946419127d19f84f14"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8a2a78-f552-4495-aed7-c4dd8b0f315c"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description="M&amp;E Capacity Building work also under Capability &gt; General &gt; Service Improvement Project" ma:format="Dropdown" ma:internalName="Notes">
      <xsd:simpleType>
        <xsd:restriction base="dms:Text">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dce11ff-cfb9-4907-a91a-c48c341100bf}" ma:internalName="TaxCatchAll" ma:showField="CatchAllData" ma:web="ef2741e4-cc31-428c-aca2-d2da616e4e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f2741e4-cc31-428c-aca2-d2da616e4ed0" xsi:nil="true"/>
    <lcf76f155ced4ddcb4097134ff3c332f xmlns="32918964-d11d-4bda-ba04-9b8184f6a173">
      <Terms xmlns="http://schemas.microsoft.com/office/infopath/2007/PartnerControls"/>
    </lcf76f155ced4ddcb4097134ff3c332f>
    <Notes xmlns="32918964-d11d-4bda-ba04-9b8184f6a173" xsi:nil="true"/>
  </documentManagement>
</p:properties>
</file>

<file path=customXml/itemProps1.xml><?xml version="1.0" encoding="utf-8"?>
<ds:datastoreItem xmlns:ds="http://schemas.openxmlformats.org/officeDocument/2006/customXml" ds:itemID="{47B38755-D93F-4F12-B1F8-9A06EA5DF497}">
  <ds:schemaRefs>
    <ds:schemaRef ds:uri="http://schemas.microsoft.com/sharepoint/v3/contenttype/forms"/>
  </ds:schemaRefs>
</ds:datastoreItem>
</file>

<file path=customXml/itemProps2.xml><?xml version="1.0" encoding="utf-8"?>
<ds:datastoreItem xmlns:ds="http://schemas.openxmlformats.org/officeDocument/2006/customXml" ds:itemID="{4A127764-B535-4EDB-A3FC-508526978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3C2124-0600-B746-B5CF-853EE73734DD}">
  <ds:schemaRefs>
    <ds:schemaRef ds:uri="http://schemas.openxmlformats.org/officeDocument/2006/bibliography"/>
  </ds:schemaRefs>
</ds:datastoreItem>
</file>

<file path=customXml/itemProps4.xml><?xml version="1.0" encoding="utf-8"?>
<ds:datastoreItem xmlns:ds="http://schemas.openxmlformats.org/officeDocument/2006/customXml" ds:itemID="{5161A59F-A8B0-4F97-A366-52AF9F0729CC}">
  <ds:schemaRefs>
    <ds:schemaRef ds:uri="http://schemas.microsoft.com/office/2006/metadata/properties"/>
    <ds:schemaRef ds:uri="http://schemas.microsoft.com/office/infopath/2007/PartnerControls"/>
    <ds:schemaRef ds:uri="ef2741e4-cc31-428c-aca2-d2da616e4ed0"/>
    <ds:schemaRef ds:uri="32918964-d11d-4bda-ba04-9b8184f6a173"/>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Pages>
  <Words>961</Words>
  <Characters>5478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Corinne Dobson</cp:lastModifiedBy>
  <cp:revision>16</cp:revision>
  <cp:lastPrinted>2024-09-18T02:13:00Z</cp:lastPrinted>
  <dcterms:created xsi:type="dcterms:W3CDTF">2024-09-17T06:33:00Z</dcterms:created>
  <dcterms:modified xsi:type="dcterms:W3CDTF">2024-09-18T02:28:00Z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y fmtid="{D5CDD505-2E9C-101B-9397-08002B2CF9AE}" pid="3" name="MediaServiceImageTags">
    <vt:lpwstr/>
  </property>
</Properties>
</file>