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9A811" w14:textId="124926C4" w:rsidR="00522D49" w:rsidRPr="00A5785F" w:rsidRDefault="00522D49" w:rsidP="00522D49">
      <w:pPr>
        <w:spacing w:after="0" w:line="240" w:lineRule="auto"/>
        <w:rPr>
          <w:rFonts w:cs="Arial"/>
          <w:szCs w:val="20"/>
        </w:rPr>
      </w:pPr>
      <w:r>
        <w:rPr>
          <w:rFonts w:cs="Arial"/>
          <w:szCs w:val="20"/>
        </w:rPr>
        <w:t xml:space="preserve">Adam Day, </w:t>
      </w:r>
    </w:p>
    <w:p w14:paraId="7D2C1D9F" w14:textId="70109BA0" w:rsidR="00522D49" w:rsidRPr="00A5785F" w:rsidRDefault="00522D49" w:rsidP="00522D49">
      <w:pPr>
        <w:spacing w:after="0" w:line="240" w:lineRule="auto"/>
        <w:rPr>
          <w:rFonts w:cs="Arial"/>
          <w:szCs w:val="20"/>
        </w:rPr>
      </w:pPr>
      <w:r w:rsidRPr="00A5785F">
        <w:rPr>
          <w:rFonts w:cs="Arial"/>
          <w:szCs w:val="20"/>
        </w:rPr>
        <w:t xml:space="preserve">a/g Executive Director, Default Market Offer and Consumers, </w:t>
      </w:r>
    </w:p>
    <w:p w14:paraId="561F91A3" w14:textId="2F66287D" w:rsidR="00522D49" w:rsidRPr="00A5785F" w:rsidRDefault="056D2490" w:rsidP="00522D49">
      <w:pPr>
        <w:spacing w:after="0" w:line="240" w:lineRule="auto"/>
        <w:rPr>
          <w:rFonts w:cs="Arial"/>
          <w:szCs w:val="20"/>
        </w:rPr>
      </w:pPr>
      <w:r w:rsidRPr="00A5785F">
        <w:rPr>
          <w:rFonts w:cs="Arial"/>
          <w:szCs w:val="20"/>
        </w:rPr>
        <w:t>Australian Energy Regulator</w:t>
      </w:r>
      <w:r w:rsidR="00522D49" w:rsidRPr="00A5785F">
        <w:rPr>
          <w:rFonts w:cs="Arial"/>
          <w:szCs w:val="20"/>
        </w:rPr>
        <w:t xml:space="preserve"> </w:t>
      </w:r>
    </w:p>
    <w:p w14:paraId="69A22994" w14:textId="0CB872CC" w:rsidR="00522D49" w:rsidRPr="00A5785F" w:rsidRDefault="00522D49" w:rsidP="00522D49">
      <w:pPr>
        <w:spacing w:line="240" w:lineRule="auto"/>
        <w:rPr>
          <w:rFonts w:cs="Arial"/>
          <w:szCs w:val="20"/>
        </w:rPr>
      </w:pPr>
      <w:r w:rsidRPr="00A5785F">
        <w:rPr>
          <w:rFonts w:cs="Arial"/>
          <w:szCs w:val="20"/>
        </w:rPr>
        <w:t xml:space="preserve">GPO Box 3131, Canberra ACT 2601, </w:t>
      </w:r>
    </w:p>
    <w:p w14:paraId="6C7885B5" w14:textId="7A1E0D08" w:rsidR="00522D49" w:rsidRPr="00A5785F" w:rsidRDefault="0043669B" w:rsidP="16A3173D">
      <w:pPr>
        <w:rPr>
          <w:rFonts w:cs="Arial"/>
          <w:szCs w:val="20"/>
        </w:rPr>
      </w:pPr>
      <w:r w:rsidRPr="00A5785F">
        <w:rPr>
          <w:rFonts w:cs="Arial"/>
          <w:szCs w:val="20"/>
        </w:rPr>
        <w:fldChar w:fldCharType="begin"/>
      </w:r>
      <w:r w:rsidRPr="00A5785F">
        <w:rPr>
          <w:rFonts w:cs="Arial"/>
          <w:szCs w:val="20"/>
        </w:rPr>
        <w:instrText xml:space="preserve"> DATE \@ "d MMMM yyyy" </w:instrText>
      </w:r>
      <w:r w:rsidRPr="00A5785F">
        <w:rPr>
          <w:rFonts w:cs="Arial"/>
          <w:szCs w:val="20"/>
        </w:rPr>
        <w:fldChar w:fldCharType="separate"/>
      </w:r>
      <w:r w:rsidR="00840DAE">
        <w:rPr>
          <w:rFonts w:cs="Arial"/>
          <w:noProof/>
          <w:szCs w:val="20"/>
        </w:rPr>
        <w:t>13 January 2026</w:t>
      </w:r>
      <w:r w:rsidRPr="00A5785F">
        <w:rPr>
          <w:rFonts w:cs="Arial"/>
          <w:szCs w:val="20"/>
        </w:rPr>
        <w:fldChar w:fldCharType="end"/>
      </w:r>
    </w:p>
    <w:p w14:paraId="1BEA289C" w14:textId="514128F2" w:rsidR="0043669B" w:rsidRPr="00A5785F" w:rsidRDefault="056D2490" w:rsidP="16A3173D">
      <w:pPr>
        <w:jc w:val="both"/>
        <w:rPr>
          <w:rFonts w:eastAsia="Arial" w:cs="Arial"/>
          <w:szCs w:val="20"/>
        </w:rPr>
      </w:pPr>
      <w:r w:rsidRPr="00A5785F">
        <w:rPr>
          <w:rFonts w:cs="Arial"/>
          <w:szCs w:val="20"/>
        </w:rPr>
        <w:t xml:space="preserve">Dear </w:t>
      </w:r>
      <w:r w:rsidR="00522D49" w:rsidRPr="00A5785F">
        <w:rPr>
          <w:rFonts w:cs="Arial"/>
          <w:szCs w:val="20"/>
        </w:rPr>
        <w:t xml:space="preserve">Mr. Day, </w:t>
      </w:r>
    </w:p>
    <w:p w14:paraId="204B99A3" w14:textId="3859F561" w:rsidR="00387F4F" w:rsidRPr="00893D06" w:rsidRDefault="00364DE1" w:rsidP="00387F4F">
      <w:pPr>
        <w:jc w:val="both"/>
        <w:rPr>
          <w:rFonts w:cs="Arial"/>
          <w:szCs w:val="20"/>
        </w:rPr>
      </w:pPr>
      <w:r w:rsidRPr="00893D06">
        <w:rPr>
          <w:rFonts w:cs="Arial"/>
          <w:szCs w:val="20"/>
        </w:rPr>
        <w:t>The ACT Council of Social Service (ACTCOSS)</w:t>
      </w:r>
      <w:r w:rsidR="00387F4F" w:rsidRPr="00893D06">
        <w:rPr>
          <w:rFonts w:cs="Arial"/>
          <w:szCs w:val="20"/>
        </w:rPr>
        <w:t xml:space="preserve"> is the peak body for not-for-profit community organisations in the Australian Capital Territory (ACT). Our membership includes social housing providers, financial counselling services and other organisations </w:t>
      </w:r>
      <w:r w:rsidR="00893D06" w:rsidRPr="00893D06">
        <w:rPr>
          <w:rFonts w:cs="Arial"/>
          <w:szCs w:val="20"/>
        </w:rPr>
        <w:t xml:space="preserve">working to reduce poverty and disadvantage in the ACT. </w:t>
      </w:r>
    </w:p>
    <w:p w14:paraId="49102EEF" w14:textId="63DF2606" w:rsidR="00387F4F" w:rsidRPr="00893D06" w:rsidRDefault="00387F4F" w:rsidP="00387F4F">
      <w:pPr>
        <w:jc w:val="both"/>
        <w:rPr>
          <w:rFonts w:cs="Arial"/>
          <w:szCs w:val="20"/>
        </w:rPr>
      </w:pPr>
      <w:r w:rsidRPr="00893D06">
        <w:rPr>
          <w:rFonts w:cs="Arial"/>
          <w:szCs w:val="20"/>
        </w:rPr>
        <w:t xml:space="preserve">As </w:t>
      </w:r>
      <w:r w:rsidR="007413E2">
        <w:rPr>
          <w:rFonts w:cs="Arial"/>
          <w:szCs w:val="20"/>
        </w:rPr>
        <w:t>a</w:t>
      </w:r>
      <w:r w:rsidRPr="00893D06">
        <w:rPr>
          <w:rFonts w:cs="Arial"/>
          <w:szCs w:val="20"/>
        </w:rPr>
        <w:t>n organisation working to</w:t>
      </w:r>
      <w:r w:rsidR="00893D06" w:rsidRPr="00893D06">
        <w:rPr>
          <w:rFonts w:cs="Arial"/>
          <w:szCs w:val="20"/>
        </w:rPr>
        <w:t xml:space="preserve"> tackle the structural drivers of poverty and inequality</w:t>
      </w:r>
      <w:r w:rsidRPr="00893D06">
        <w:rPr>
          <w:rFonts w:cs="Arial"/>
          <w:szCs w:val="20"/>
        </w:rPr>
        <w:t>, ACTCOSS</w:t>
      </w:r>
      <w:r w:rsidR="00364DE1" w:rsidRPr="00893D06">
        <w:rPr>
          <w:rFonts w:cs="Arial"/>
          <w:szCs w:val="20"/>
        </w:rPr>
        <w:t xml:space="preserve"> welcomes the opportunity to provide feedback on the question of improving payment assistance information. </w:t>
      </w:r>
      <w:r w:rsidRPr="00893D06">
        <w:rPr>
          <w:rFonts w:cs="Arial"/>
          <w:szCs w:val="20"/>
        </w:rPr>
        <w:t>We have</w:t>
      </w:r>
      <w:r w:rsidR="00364DE1" w:rsidRPr="00893D06">
        <w:rPr>
          <w:rFonts w:cs="Arial"/>
          <w:szCs w:val="20"/>
        </w:rPr>
        <w:t xml:space="preserve"> also taken this opportunity to offer our views on</w:t>
      </w:r>
      <w:r w:rsidRPr="00893D06">
        <w:rPr>
          <w:rFonts w:cs="Arial"/>
          <w:szCs w:val="20"/>
        </w:rPr>
        <w:t xml:space="preserve"> how the on AER’s </w:t>
      </w:r>
      <w:r w:rsidRPr="00E0388A">
        <w:rPr>
          <w:rFonts w:cs="Arial"/>
          <w:i/>
          <w:iCs/>
          <w:szCs w:val="20"/>
        </w:rPr>
        <w:t>‘Customer Hardship Policy Guideline’</w:t>
      </w:r>
      <w:r w:rsidRPr="00893D06">
        <w:rPr>
          <w:rFonts w:cs="Arial"/>
          <w:szCs w:val="20"/>
        </w:rPr>
        <w:t>,</w:t>
      </w:r>
      <w:r w:rsidR="00E0388A">
        <w:rPr>
          <w:rStyle w:val="FootnoteReference"/>
          <w:rFonts w:cs="Arial"/>
          <w:szCs w:val="20"/>
        </w:rPr>
        <w:footnoteReference w:id="2"/>
      </w:r>
      <w:r w:rsidRPr="00893D06">
        <w:rPr>
          <w:rFonts w:cs="Arial"/>
          <w:szCs w:val="20"/>
        </w:rPr>
        <w:t xml:space="preserve"> may be further strengthened to better assist customers experiencing energy payment difficulties. </w:t>
      </w:r>
    </w:p>
    <w:p w14:paraId="7D33D33A" w14:textId="0CE55700" w:rsidR="00387F4F" w:rsidRPr="00893D06" w:rsidRDefault="00387F4F" w:rsidP="00387F4F">
      <w:pPr>
        <w:jc w:val="both"/>
        <w:rPr>
          <w:rFonts w:cs="Arial"/>
          <w:szCs w:val="20"/>
        </w:rPr>
      </w:pPr>
      <w:r w:rsidRPr="00893D06">
        <w:rPr>
          <w:rFonts w:cs="Arial"/>
          <w:szCs w:val="20"/>
        </w:rPr>
        <w:t>Our feedback is informed by regular engagement with ACT energy businesses, insights from our member organisations that support people experiencing energy hardship, and the current socio-economic context in the ACT.</w:t>
      </w:r>
    </w:p>
    <w:p w14:paraId="4671F82E" w14:textId="31E26E5A" w:rsidR="006C2638" w:rsidRPr="00A5785F" w:rsidRDefault="006C2638" w:rsidP="00B10E4D">
      <w:pPr>
        <w:jc w:val="both"/>
        <w:rPr>
          <w:rFonts w:cs="Arial"/>
          <w:b/>
          <w:bCs/>
          <w:szCs w:val="20"/>
          <w:u w:val="single"/>
        </w:rPr>
      </w:pPr>
      <w:r w:rsidRPr="00A5785F">
        <w:rPr>
          <w:rFonts w:cs="Arial"/>
          <w:b/>
          <w:bCs/>
          <w:szCs w:val="20"/>
          <w:u w:val="single"/>
        </w:rPr>
        <w:t>ACT socio economic context</w:t>
      </w:r>
    </w:p>
    <w:p w14:paraId="4DA74FE3" w14:textId="0B18F3F4" w:rsidR="00ED3938" w:rsidRPr="00A5785F" w:rsidRDefault="00B10E4D" w:rsidP="00B10E4D">
      <w:pPr>
        <w:jc w:val="both"/>
        <w:rPr>
          <w:rFonts w:cs="Arial"/>
          <w:szCs w:val="20"/>
        </w:rPr>
      </w:pPr>
      <w:r w:rsidRPr="00A5785F">
        <w:rPr>
          <w:rFonts w:cs="Arial"/>
          <w:szCs w:val="20"/>
        </w:rPr>
        <w:t>Despite higher-than-average incomes relative to the national level, a growing number of ACT residents are experiencing cost-of-living pressures. This is reflected in the growing number and diversity of households seeking support</w:t>
      </w:r>
      <w:r w:rsidR="00ED3938" w:rsidRPr="00A5785F">
        <w:rPr>
          <w:rFonts w:cs="Arial"/>
          <w:szCs w:val="20"/>
        </w:rPr>
        <w:t xml:space="preserve"> services</w:t>
      </w:r>
      <w:r w:rsidRPr="00A5785F">
        <w:rPr>
          <w:rFonts w:cs="Arial"/>
          <w:szCs w:val="20"/>
        </w:rPr>
        <w:t xml:space="preserve"> from community organisations.</w:t>
      </w:r>
      <w:r w:rsidR="00ED3938" w:rsidRPr="00A5785F">
        <w:rPr>
          <w:rFonts w:cs="Arial"/>
          <w:szCs w:val="20"/>
        </w:rPr>
        <w:t xml:space="preserve"> These services are no longer just supporting those on the lowest incomes; they are increasingly a lifeline for working families and individuals who find themselves on the edge of financial insecurity. </w:t>
      </w:r>
    </w:p>
    <w:p w14:paraId="57E59D45" w14:textId="1D83CF83" w:rsidR="004111DB" w:rsidRPr="00A5785F" w:rsidRDefault="4EA9103B" w:rsidP="23CD2EB8">
      <w:pPr>
        <w:jc w:val="both"/>
        <w:rPr>
          <w:rFonts w:cs="Arial"/>
        </w:rPr>
      </w:pPr>
      <w:r w:rsidRPr="23CD2EB8">
        <w:rPr>
          <w:rFonts w:cs="Arial"/>
        </w:rPr>
        <w:t xml:space="preserve">Cost of living pressures </w:t>
      </w:r>
      <w:r w:rsidR="31A5B77B" w:rsidRPr="23CD2EB8">
        <w:rPr>
          <w:rFonts w:cs="Arial"/>
        </w:rPr>
        <w:t>are</w:t>
      </w:r>
      <w:r w:rsidRPr="23CD2EB8">
        <w:rPr>
          <w:rFonts w:cs="Arial"/>
        </w:rPr>
        <w:t xml:space="preserve"> also reflected </w:t>
      </w:r>
      <w:r w:rsidR="11973A78" w:rsidRPr="23CD2EB8">
        <w:rPr>
          <w:rFonts w:cs="Arial"/>
        </w:rPr>
        <w:t xml:space="preserve">in data from the </w:t>
      </w:r>
      <w:r w:rsidR="11973A78" w:rsidRPr="23CD2EB8">
        <w:rPr>
          <w:rFonts w:cs="Arial"/>
          <w:i/>
          <w:iCs/>
        </w:rPr>
        <w:t>Living Well in the ACT Region</w:t>
      </w:r>
      <w:r w:rsidR="11973A78" w:rsidRPr="23CD2EB8">
        <w:rPr>
          <w:rFonts w:cs="Arial"/>
        </w:rPr>
        <w:t xml:space="preserve"> survey conducted between November and December 2024 by the University of Canberra.</w:t>
      </w:r>
      <w:r w:rsidR="00893D06">
        <w:rPr>
          <w:rStyle w:val="FootnoteReference"/>
          <w:rFonts w:cs="Arial"/>
        </w:rPr>
        <w:footnoteReference w:id="3"/>
      </w:r>
      <w:r w:rsidR="77CA4A12" w:rsidRPr="23CD2EB8">
        <w:rPr>
          <w:rFonts w:cs="Arial"/>
        </w:rPr>
        <w:t xml:space="preserve"> According</w:t>
      </w:r>
      <w:r w:rsidR="5A841A18" w:rsidRPr="23CD2EB8">
        <w:rPr>
          <w:rFonts w:cs="Arial"/>
        </w:rPr>
        <w:t xml:space="preserve"> to the</w:t>
      </w:r>
      <w:r w:rsidR="11973A78" w:rsidRPr="23CD2EB8">
        <w:rPr>
          <w:rFonts w:cs="Arial"/>
        </w:rPr>
        <w:t xml:space="preserve"> survey</w:t>
      </w:r>
      <w:r w:rsidR="36E71693" w:rsidRPr="23CD2EB8">
        <w:rPr>
          <w:rFonts w:cs="Arial"/>
        </w:rPr>
        <w:t xml:space="preserve"> results,</w:t>
      </w:r>
      <w:r w:rsidR="11973A78" w:rsidRPr="23CD2EB8">
        <w:rPr>
          <w:rFonts w:cs="Arial"/>
        </w:rPr>
        <w:t xml:space="preserve"> 86% of Canberrans reported household expenses were rising faster than income, and </w:t>
      </w:r>
      <w:r w:rsidR="1F336A0E" w:rsidRPr="23CD2EB8">
        <w:rPr>
          <w:rFonts w:cs="Arial"/>
        </w:rPr>
        <w:t>over a third of households</w:t>
      </w:r>
      <w:r w:rsidR="11973A78" w:rsidRPr="23CD2EB8">
        <w:rPr>
          <w:rFonts w:cs="Arial"/>
        </w:rPr>
        <w:t xml:space="preserve"> experienced at least one financial stress event in the 12 months prior to the survey. Common coping strategies included purchasing cheaper food (68.5%), reducing the use of heating and cooling (51%), and delaying medical appointments (37.9%). A significant proportion of households also reported bill payment difficulties (11%), </w:t>
      </w:r>
      <w:r w:rsidR="1F13EF19" w:rsidRPr="23CD2EB8">
        <w:rPr>
          <w:rFonts w:cs="Arial"/>
        </w:rPr>
        <w:t xml:space="preserve">and </w:t>
      </w:r>
      <w:r w:rsidR="11973A78" w:rsidRPr="23CD2EB8">
        <w:rPr>
          <w:rFonts w:cs="Arial"/>
        </w:rPr>
        <w:t>going without meals or adequate heating and cooling (5.9%)</w:t>
      </w:r>
      <w:r w:rsidR="1F13EF19" w:rsidRPr="23CD2EB8">
        <w:rPr>
          <w:rFonts w:cs="Arial"/>
        </w:rPr>
        <w:t>.</w:t>
      </w:r>
    </w:p>
    <w:p w14:paraId="0E69C3D9" w14:textId="2035DFE3" w:rsidR="006C2638" w:rsidRPr="00A5785F" w:rsidRDefault="6B2A00F5" w:rsidP="001E0898">
      <w:pPr>
        <w:spacing w:before="240"/>
        <w:jc w:val="both"/>
        <w:rPr>
          <w:rFonts w:cs="Arial"/>
          <w:szCs w:val="20"/>
        </w:rPr>
      </w:pPr>
      <w:r w:rsidRPr="23CD2EB8">
        <w:rPr>
          <w:rFonts w:cs="Arial"/>
          <w:color w:val="000000"/>
        </w:rPr>
        <w:lastRenderedPageBreak/>
        <w:t>The survey also provides insight into the financial resilience of Canberra households by examining how they would cope with an unexpected expense of $2,000.</w:t>
      </w:r>
      <w:r w:rsidR="0080254A" w:rsidRPr="23CD2EB8">
        <w:rPr>
          <w:rStyle w:val="FootnoteReference"/>
          <w:rFonts w:cs="Arial"/>
          <w:color w:val="000000"/>
        </w:rPr>
        <w:footnoteReference w:id="4"/>
      </w:r>
      <w:r w:rsidR="1F9A868F" w:rsidRPr="23CD2EB8">
        <w:rPr>
          <w:rFonts w:cs="Arial"/>
          <w:color w:val="000000"/>
        </w:rPr>
        <w:t xml:space="preserve"> </w:t>
      </w:r>
      <w:r w:rsidRPr="23CD2EB8">
        <w:rPr>
          <w:rFonts w:cs="Arial"/>
          <w:color w:val="000000"/>
        </w:rPr>
        <w:t xml:space="preserve">81.7% </w:t>
      </w:r>
      <w:r w:rsidR="7075A094" w:rsidRPr="23CD2EB8">
        <w:rPr>
          <w:rFonts w:cs="Arial"/>
          <w:color w:val="000000"/>
        </w:rPr>
        <w:t xml:space="preserve">of respondents </w:t>
      </w:r>
      <w:r w:rsidRPr="23CD2EB8">
        <w:rPr>
          <w:rFonts w:cs="Arial"/>
          <w:color w:val="000000"/>
        </w:rPr>
        <w:t>reported they could cover the cost using savings,</w:t>
      </w:r>
      <w:r w:rsidR="7075A094" w:rsidRPr="23CD2EB8">
        <w:rPr>
          <w:rFonts w:cs="Arial"/>
          <w:color w:val="000000"/>
        </w:rPr>
        <w:t xml:space="preserve"> while </w:t>
      </w:r>
      <w:r w:rsidRPr="23CD2EB8">
        <w:rPr>
          <w:rFonts w:cs="Arial"/>
          <w:color w:val="000000"/>
        </w:rPr>
        <w:t xml:space="preserve">7.7% said they would </w:t>
      </w:r>
      <w:r w:rsidR="3969F2EE" w:rsidRPr="23CD2EB8">
        <w:rPr>
          <w:rFonts w:cs="Arial"/>
          <w:color w:val="000000"/>
        </w:rPr>
        <w:t>not be able</w:t>
      </w:r>
      <w:r w:rsidRPr="23CD2EB8">
        <w:rPr>
          <w:rFonts w:cs="Arial"/>
          <w:color w:val="000000"/>
        </w:rPr>
        <w:t xml:space="preserve"> to raise $2,000 at all.</w:t>
      </w:r>
      <w:r w:rsidR="1F9A868F" w:rsidRPr="23CD2EB8">
        <w:rPr>
          <w:rFonts w:cs="Arial"/>
          <w:color w:val="000000"/>
        </w:rPr>
        <w:t xml:space="preserve"> </w:t>
      </w:r>
      <w:r w:rsidRPr="23CD2EB8">
        <w:rPr>
          <w:rFonts w:cs="Arial"/>
          <w:color w:val="000000"/>
        </w:rPr>
        <w:t>Others indicated they would rely on short-term credit</w:t>
      </w:r>
      <w:r w:rsidR="0E7B2F6D" w:rsidRPr="23CD2EB8">
        <w:rPr>
          <w:rFonts w:cs="Arial"/>
          <w:color w:val="000000"/>
        </w:rPr>
        <w:t xml:space="preserve"> facilities </w:t>
      </w:r>
      <w:r w:rsidRPr="23CD2EB8">
        <w:rPr>
          <w:rFonts w:cs="Arial"/>
          <w:color w:val="000000"/>
        </w:rPr>
        <w:t>(16.8%), borrow from friends or family (</w:t>
      </w:r>
      <w:r w:rsidR="69CF3B10" w:rsidRPr="23CD2EB8">
        <w:rPr>
          <w:rFonts w:cs="Arial"/>
          <w:color w:val="000000"/>
        </w:rPr>
        <w:t>12</w:t>
      </w:r>
      <w:r w:rsidRPr="23CD2EB8">
        <w:rPr>
          <w:rFonts w:cs="Arial"/>
          <w:color w:val="000000"/>
        </w:rPr>
        <w:t>.1%), pawn or sell belongings (6.5%), redraw on their mortgage or delay paying other bills (9.6%), or seek assistance from charities (1.9%).</w:t>
      </w:r>
      <w:r w:rsidR="000653C5" w:rsidRPr="23CD2EB8">
        <w:rPr>
          <w:rStyle w:val="FootnoteReference"/>
          <w:rFonts w:cs="Arial"/>
          <w:color w:val="000000"/>
        </w:rPr>
        <w:footnoteReference w:id="5"/>
      </w:r>
      <w:r w:rsidRPr="23CD2EB8">
        <w:rPr>
          <w:rFonts w:cs="Arial"/>
          <w:color w:val="000000"/>
        </w:rPr>
        <w:t xml:space="preserve"> </w:t>
      </w:r>
      <w:r w:rsidR="193B5E66" w:rsidRPr="23CD2EB8">
        <w:rPr>
          <w:rFonts w:cs="Arial"/>
          <w:color w:val="000000"/>
        </w:rPr>
        <w:t>R</w:t>
      </w:r>
      <w:r w:rsidRPr="23CD2EB8">
        <w:rPr>
          <w:rFonts w:cs="Arial"/>
          <w:color w:val="000000"/>
        </w:rPr>
        <w:t>etailer</w:t>
      </w:r>
      <w:r w:rsidR="193B5E66" w:rsidRPr="23CD2EB8">
        <w:rPr>
          <w:rFonts w:cs="Arial"/>
          <w:color w:val="000000"/>
        </w:rPr>
        <w:t xml:space="preserve"> hardship programs</w:t>
      </w:r>
      <w:r w:rsidRPr="23CD2EB8">
        <w:rPr>
          <w:rFonts w:cs="Arial"/>
          <w:color w:val="000000"/>
        </w:rPr>
        <w:t xml:space="preserve"> were not identified in the survey results as a source </w:t>
      </w:r>
      <w:r w:rsidR="193B5E66" w:rsidRPr="23CD2EB8">
        <w:rPr>
          <w:rFonts w:cs="Arial"/>
          <w:color w:val="000000"/>
        </w:rPr>
        <w:t xml:space="preserve">for </w:t>
      </w:r>
      <w:r w:rsidR="35148932" w:rsidRPr="23CD2EB8">
        <w:rPr>
          <w:rFonts w:cs="Arial"/>
          <w:color w:val="000000"/>
        </w:rPr>
        <w:t>cost-of-living</w:t>
      </w:r>
      <w:r w:rsidR="193B5E66" w:rsidRPr="23CD2EB8">
        <w:rPr>
          <w:rFonts w:cs="Arial"/>
          <w:color w:val="000000"/>
        </w:rPr>
        <w:t xml:space="preserve"> assistance. </w:t>
      </w:r>
    </w:p>
    <w:p w14:paraId="716F22AA" w14:textId="568A8584" w:rsidR="000E0E06" w:rsidRPr="00A5785F" w:rsidRDefault="007D03E9" w:rsidP="16A3173D">
      <w:pPr>
        <w:jc w:val="both"/>
        <w:rPr>
          <w:rFonts w:cs="Arial"/>
          <w:szCs w:val="20"/>
          <w:u w:val="single"/>
        </w:rPr>
      </w:pPr>
      <w:r w:rsidRPr="00A5785F">
        <w:rPr>
          <w:rFonts w:cs="Arial"/>
          <w:b/>
          <w:bCs/>
          <w:szCs w:val="20"/>
          <w:u w:val="single"/>
        </w:rPr>
        <w:t>Feedback on</w:t>
      </w:r>
      <w:r w:rsidR="001E0898" w:rsidRPr="00A5785F">
        <w:rPr>
          <w:rFonts w:cs="Arial"/>
          <w:b/>
          <w:bCs/>
          <w:szCs w:val="20"/>
          <w:u w:val="single"/>
        </w:rPr>
        <w:t xml:space="preserve"> AER’s customer hardship policy guidelines </w:t>
      </w:r>
    </w:p>
    <w:p w14:paraId="155D51CC" w14:textId="613DCB21" w:rsidR="007D03E9" w:rsidRPr="00A5785F" w:rsidRDefault="007D03E9" w:rsidP="16A3173D">
      <w:pPr>
        <w:jc w:val="both"/>
        <w:rPr>
          <w:rFonts w:cs="Arial"/>
          <w:szCs w:val="20"/>
        </w:rPr>
      </w:pPr>
      <w:r w:rsidRPr="00A5785F">
        <w:rPr>
          <w:rFonts w:cs="Arial"/>
          <w:szCs w:val="20"/>
        </w:rPr>
        <w:t xml:space="preserve">With regards to </w:t>
      </w:r>
      <w:r w:rsidR="001E0898" w:rsidRPr="00A5785F">
        <w:rPr>
          <w:rFonts w:cs="Arial"/>
          <w:szCs w:val="20"/>
        </w:rPr>
        <w:t xml:space="preserve">guidelines issued by the AER to strengthen protections for customers experiencing hardship, </w:t>
      </w:r>
      <w:r w:rsidRPr="00A5785F">
        <w:rPr>
          <w:rFonts w:cs="Arial"/>
          <w:szCs w:val="20"/>
        </w:rPr>
        <w:t xml:space="preserve">ACTCOSS: </w:t>
      </w:r>
    </w:p>
    <w:p w14:paraId="74EE5188" w14:textId="05209E6A" w:rsidR="007D03E9" w:rsidRPr="00A5785F" w:rsidRDefault="002F48FC" w:rsidP="007D03E9">
      <w:pPr>
        <w:pStyle w:val="ListParagraph"/>
        <w:numPr>
          <w:ilvl w:val="0"/>
          <w:numId w:val="16"/>
        </w:numPr>
        <w:jc w:val="both"/>
        <w:rPr>
          <w:rFonts w:cs="Arial"/>
          <w:b/>
          <w:bCs/>
          <w:szCs w:val="20"/>
        </w:rPr>
      </w:pPr>
      <w:r w:rsidRPr="00A5785F">
        <w:rPr>
          <w:rFonts w:cs="Arial"/>
          <w:b/>
          <w:bCs/>
          <w:szCs w:val="20"/>
        </w:rPr>
        <w:t>Supports t</w:t>
      </w:r>
      <w:r w:rsidR="007D03E9" w:rsidRPr="00A5785F">
        <w:rPr>
          <w:rFonts w:cs="Arial"/>
          <w:b/>
          <w:bCs/>
          <w:szCs w:val="20"/>
        </w:rPr>
        <w:t xml:space="preserve">he continued use of standard language in hardship policies. </w:t>
      </w:r>
    </w:p>
    <w:p w14:paraId="000D82D1" w14:textId="4D5E2557" w:rsidR="001E0898" w:rsidRPr="00A5785F" w:rsidRDefault="3BD2C286" w:rsidP="005B632F">
      <w:pPr>
        <w:pStyle w:val="NormalWeb"/>
        <w:jc w:val="both"/>
        <w:rPr>
          <w:rFonts w:ascii="Arial" w:hAnsi="Arial" w:cs="Arial"/>
          <w:color w:val="000000"/>
          <w:sz w:val="20"/>
          <w:szCs w:val="20"/>
        </w:rPr>
      </w:pPr>
      <w:r w:rsidRPr="23CD2EB8">
        <w:rPr>
          <w:rFonts w:ascii="Arial" w:hAnsi="Arial" w:cs="Arial"/>
          <w:color w:val="000000" w:themeColor="text1"/>
          <w:sz w:val="20"/>
          <w:szCs w:val="20"/>
        </w:rPr>
        <w:t xml:space="preserve">The language used in hardship policies is critical </w:t>
      </w:r>
      <w:r w:rsidR="7C2CB573" w:rsidRPr="23CD2EB8">
        <w:rPr>
          <w:rFonts w:ascii="Arial" w:hAnsi="Arial" w:cs="Arial"/>
          <w:color w:val="000000" w:themeColor="text1"/>
          <w:sz w:val="20"/>
          <w:szCs w:val="20"/>
        </w:rPr>
        <w:t>to ensuring access to the full scope of protections retailers are obliged to offer customers experiencing payment difficulty, because it directly affects whether consumers can understand, access, and trust the support available to them.</w:t>
      </w:r>
    </w:p>
    <w:p w14:paraId="06D762C3" w14:textId="61E946E6" w:rsidR="001E0898" w:rsidRPr="00A5785F" w:rsidRDefault="3BD2C286" w:rsidP="005B632F">
      <w:pPr>
        <w:pStyle w:val="NormalWeb"/>
        <w:jc w:val="both"/>
        <w:rPr>
          <w:rFonts w:ascii="Arial" w:hAnsi="Arial" w:cs="Arial"/>
          <w:color w:val="000000"/>
          <w:sz w:val="20"/>
          <w:szCs w:val="20"/>
        </w:rPr>
      </w:pPr>
      <w:r w:rsidRPr="23CD2EB8">
        <w:rPr>
          <w:rFonts w:ascii="Arial" w:hAnsi="Arial" w:cs="Arial"/>
          <w:color w:val="000000" w:themeColor="text1"/>
          <w:sz w:val="20"/>
          <w:szCs w:val="20"/>
        </w:rPr>
        <w:t xml:space="preserve">Standard language developed by the AER </w:t>
      </w:r>
      <w:r w:rsidR="7C2CB573" w:rsidRPr="23CD2EB8">
        <w:rPr>
          <w:rFonts w:ascii="Arial" w:hAnsi="Arial" w:cs="Arial"/>
          <w:color w:val="000000" w:themeColor="text1"/>
          <w:sz w:val="20"/>
          <w:szCs w:val="20"/>
        </w:rPr>
        <w:t xml:space="preserve">for use in hardship policies </w:t>
      </w:r>
      <w:r w:rsidRPr="23CD2EB8">
        <w:rPr>
          <w:rFonts w:ascii="Arial" w:hAnsi="Arial" w:cs="Arial"/>
          <w:color w:val="000000" w:themeColor="text1"/>
          <w:sz w:val="20"/>
          <w:szCs w:val="20"/>
        </w:rPr>
        <w:t>is subject to extensive consultation</w:t>
      </w:r>
      <w:r w:rsidR="7C2CB573" w:rsidRPr="23CD2EB8">
        <w:rPr>
          <w:rFonts w:ascii="Arial" w:hAnsi="Arial" w:cs="Arial"/>
          <w:color w:val="000000" w:themeColor="text1"/>
          <w:sz w:val="20"/>
          <w:szCs w:val="20"/>
        </w:rPr>
        <w:t xml:space="preserve"> requirements</w:t>
      </w:r>
      <w:r w:rsidR="57C7356E" w:rsidRPr="23CD2EB8">
        <w:rPr>
          <w:rFonts w:ascii="Arial" w:hAnsi="Arial" w:cs="Arial"/>
          <w:color w:val="000000" w:themeColor="text1"/>
          <w:sz w:val="20"/>
          <w:szCs w:val="20"/>
        </w:rPr>
        <w:t>,</w:t>
      </w:r>
      <w:r w:rsidR="7C2CB573" w:rsidRPr="23CD2EB8">
        <w:rPr>
          <w:rFonts w:ascii="Arial" w:hAnsi="Arial" w:cs="Arial"/>
          <w:color w:val="000000" w:themeColor="text1"/>
          <w:sz w:val="20"/>
          <w:szCs w:val="20"/>
        </w:rPr>
        <w:t xml:space="preserve"> and scrutiny by multiple parties including consumer advocates. The replacement of standard language with retailer specific language </w:t>
      </w:r>
      <w:r w:rsidR="57C7356E" w:rsidRPr="23CD2EB8">
        <w:rPr>
          <w:rFonts w:ascii="Arial" w:hAnsi="Arial" w:cs="Arial"/>
          <w:color w:val="000000" w:themeColor="text1"/>
          <w:sz w:val="20"/>
          <w:szCs w:val="20"/>
        </w:rPr>
        <w:t>w</w:t>
      </w:r>
      <w:r w:rsidR="5C48DB06" w:rsidRPr="23CD2EB8">
        <w:rPr>
          <w:rFonts w:ascii="Arial" w:hAnsi="Arial" w:cs="Arial"/>
          <w:color w:val="000000" w:themeColor="text1"/>
          <w:sz w:val="20"/>
          <w:szCs w:val="20"/>
        </w:rPr>
        <w:t>ould</w:t>
      </w:r>
      <w:r w:rsidR="57C7356E" w:rsidRPr="23CD2EB8">
        <w:rPr>
          <w:rFonts w:ascii="Arial" w:hAnsi="Arial" w:cs="Arial"/>
          <w:color w:val="000000" w:themeColor="text1"/>
          <w:sz w:val="20"/>
          <w:szCs w:val="20"/>
        </w:rPr>
        <w:t xml:space="preserve"> increase the regulatory burden associated with the approval of retailer hardship policies, while denying consumers the benefit of </w:t>
      </w:r>
      <w:r w:rsidRPr="23CD2EB8">
        <w:rPr>
          <w:rFonts w:ascii="Arial" w:hAnsi="Arial" w:cs="Arial"/>
          <w:color w:val="000000" w:themeColor="text1"/>
          <w:sz w:val="20"/>
          <w:szCs w:val="20"/>
        </w:rPr>
        <w:t xml:space="preserve">language that has been rigorously </w:t>
      </w:r>
      <w:r w:rsidR="57C7356E" w:rsidRPr="23CD2EB8">
        <w:rPr>
          <w:rFonts w:ascii="Arial" w:hAnsi="Arial" w:cs="Arial"/>
          <w:color w:val="000000" w:themeColor="text1"/>
          <w:sz w:val="20"/>
          <w:szCs w:val="20"/>
        </w:rPr>
        <w:t>scrutinised</w:t>
      </w:r>
      <w:r w:rsidRPr="23CD2EB8">
        <w:rPr>
          <w:rFonts w:ascii="Arial" w:hAnsi="Arial" w:cs="Arial"/>
          <w:color w:val="000000" w:themeColor="text1"/>
          <w:sz w:val="20"/>
          <w:szCs w:val="20"/>
        </w:rPr>
        <w:t xml:space="preserve"> and refined. </w:t>
      </w:r>
    </w:p>
    <w:p w14:paraId="788D84B0" w14:textId="5124C1C9" w:rsidR="002F48FC" w:rsidRPr="00A5785F" w:rsidRDefault="002F48FC" w:rsidP="005B632F">
      <w:pPr>
        <w:pStyle w:val="NormalWeb"/>
        <w:jc w:val="both"/>
        <w:rPr>
          <w:rFonts w:ascii="Arial" w:hAnsi="Arial" w:cs="Arial"/>
          <w:color w:val="000000"/>
          <w:sz w:val="20"/>
          <w:szCs w:val="20"/>
        </w:rPr>
      </w:pPr>
      <w:r w:rsidRPr="00A5785F">
        <w:rPr>
          <w:rFonts w:ascii="Arial" w:hAnsi="Arial" w:cs="Arial"/>
          <w:color w:val="000000"/>
          <w:sz w:val="20"/>
          <w:szCs w:val="20"/>
        </w:rPr>
        <w:t>Uniform language also supports the work of community organisations and financial counselling services by enabling staff to provide consistent advice, quickly identify available supports, and assist consumers to compare options across retailers without having to interpret different terminology or policy structures. This reduces friction in accessing assistance and improves referral pathways.</w:t>
      </w:r>
    </w:p>
    <w:p w14:paraId="6828405B" w14:textId="30969A3E" w:rsidR="002F48FC" w:rsidRDefault="002F48FC" w:rsidP="005B632F">
      <w:pPr>
        <w:pStyle w:val="NormalWeb"/>
        <w:jc w:val="both"/>
        <w:rPr>
          <w:rFonts w:ascii="Arial" w:hAnsi="Arial" w:cs="Arial"/>
          <w:color w:val="000000"/>
          <w:sz w:val="20"/>
          <w:szCs w:val="20"/>
        </w:rPr>
      </w:pPr>
      <w:r w:rsidRPr="00A5785F">
        <w:rPr>
          <w:rFonts w:ascii="Arial" w:hAnsi="Arial" w:cs="Arial"/>
          <w:color w:val="000000"/>
          <w:sz w:val="20"/>
          <w:szCs w:val="20"/>
        </w:rPr>
        <w:t xml:space="preserve">Finally, prescribed language limits retailers’ ability to frame hardship support in ways that downplay eligibility, introduce informal barriers, or discourage uptake through overly narrow or discouraging descriptions of available assistance. </w:t>
      </w:r>
    </w:p>
    <w:p w14:paraId="6785D9CB" w14:textId="28E32A4A" w:rsidR="00F75B76" w:rsidRPr="00F75B76" w:rsidRDefault="00F75B76" w:rsidP="00F75B76">
      <w:pPr>
        <w:pStyle w:val="ListParagraph"/>
        <w:numPr>
          <w:ilvl w:val="0"/>
          <w:numId w:val="16"/>
        </w:numPr>
        <w:rPr>
          <w:rFonts w:cs="Arial"/>
          <w:b/>
          <w:bCs/>
          <w:szCs w:val="20"/>
        </w:rPr>
      </w:pPr>
      <w:r w:rsidRPr="00F75B76">
        <w:rPr>
          <w:rFonts w:cs="Arial"/>
          <w:b/>
          <w:bCs/>
          <w:szCs w:val="20"/>
        </w:rPr>
        <w:t xml:space="preserve">ACTCOSS recommends strengthening measures aimed at improving the accessibility of retailer hardship policy documents and website supports for culturally and linguistically diverse people </w:t>
      </w:r>
    </w:p>
    <w:p w14:paraId="68120AE4" w14:textId="4D28032C" w:rsidR="00F75B76" w:rsidRPr="00BB5D78" w:rsidRDefault="00F75B76" w:rsidP="00F75B76">
      <w:pPr>
        <w:jc w:val="both"/>
        <w:rPr>
          <w:rFonts w:cs="Arial"/>
          <w:szCs w:val="20"/>
        </w:rPr>
      </w:pPr>
      <w:r w:rsidRPr="00BB5D78">
        <w:rPr>
          <w:rFonts w:cs="Arial"/>
          <w:szCs w:val="20"/>
        </w:rPr>
        <w:t xml:space="preserve">On September 2025, ACTCOSS published a preliminary analysis of the degree to which the needs of energy consumers who are culturally and linguistically diverse are considered in public facing communications by energy </w:t>
      </w:r>
      <w:r w:rsidRPr="00BB5D78">
        <w:rPr>
          <w:rFonts w:cs="Arial"/>
          <w:szCs w:val="20"/>
        </w:rPr>
        <w:lastRenderedPageBreak/>
        <w:t>retailers.</w:t>
      </w:r>
      <w:r>
        <w:rPr>
          <w:rStyle w:val="FootnoteReference"/>
          <w:rFonts w:cs="Arial"/>
          <w:szCs w:val="20"/>
        </w:rPr>
        <w:footnoteReference w:id="6"/>
      </w:r>
      <w:r w:rsidRPr="00BB5D78">
        <w:rPr>
          <w:rFonts w:cs="Arial"/>
          <w:szCs w:val="20"/>
        </w:rPr>
        <w:t xml:space="preserve"> To conduct this analysis ACTCOSS examined the websites of 15 different energy retailers in the ACT and hardship policy documents published on their websites.</w:t>
      </w:r>
    </w:p>
    <w:p w14:paraId="1738CC5C" w14:textId="0BEE03E2" w:rsidR="00F75B76" w:rsidRPr="00BB5D78" w:rsidRDefault="00F75B76" w:rsidP="00F75B76">
      <w:pPr>
        <w:pStyle w:val="NormalWeb"/>
        <w:jc w:val="both"/>
        <w:rPr>
          <w:rFonts w:ascii="Arial" w:hAnsi="Arial" w:cs="Arial"/>
          <w:sz w:val="20"/>
          <w:szCs w:val="20"/>
        </w:rPr>
      </w:pPr>
      <w:r w:rsidRPr="00BB5D78">
        <w:rPr>
          <w:rFonts w:ascii="Arial" w:hAnsi="Arial" w:cs="Arial"/>
          <w:sz w:val="20"/>
          <w:szCs w:val="20"/>
        </w:rPr>
        <w:t xml:space="preserve">The review of </w:t>
      </w:r>
      <w:r>
        <w:rPr>
          <w:rFonts w:ascii="Arial" w:hAnsi="Arial" w:cs="Arial"/>
          <w:sz w:val="20"/>
          <w:szCs w:val="20"/>
        </w:rPr>
        <w:t xml:space="preserve">retailer </w:t>
      </w:r>
      <w:r w:rsidRPr="00BB5D78">
        <w:rPr>
          <w:rFonts w:ascii="Arial" w:hAnsi="Arial" w:cs="Arial"/>
          <w:sz w:val="20"/>
          <w:szCs w:val="20"/>
        </w:rPr>
        <w:t>hardship policies surfaced several issues which had the potential to negatively impact culturally and linguistically diverse people’s access to hardship supports. Identified issues include</w:t>
      </w:r>
      <w:r>
        <w:rPr>
          <w:rFonts w:ascii="Arial" w:hAnsi="Arial" w:cs="Arial"/>
          <w:sz w:val="20"/>
          <w:szCs w:val="20"/>
        </w:rPr>
        <w:t>:</w:t>
      </w:r>
      <w:r w:rsidRPr="00BB5D78">
        <w:rPr>
          <w:rFonts w:ascii="Arial" w:hAnsi="Arial" w:cs="Arial"/>
          <w:sz w:val="20"/>
          <w:szCs w:val="20"/>
        </w:rPr>
        <w:t xml:space="preserve"> website navigation challenges restricting access to hardship policies; poor visibility and placement of language services; challenges accessing information about third-party delegation; lack of clarity on culturally and linguistically diverse community engagement and support pathways; and limited access to energy efficiency and assistance resources.</w:t>
      </w:r>
    </w:p>
    <w:p w14:paraId="267B695D" w14:textId="448B2BD5" w:rsidR="00F75B76" w:rsidRPr="00F75B76" w:rsidRDefault="00F75B76" w:rsidP="005B632F">
      <w:pPr>
        <w:pStyle w:val="NormalWeb"/>
        <w:jc w:val="both"/>
        <w:rPr>
          <w:rFonts w:ascii="Arial" w:hAnsi="Arial" w:cs="Arial"/>
          <w:sz w:val="20"/>
          <w:szCs w:val="20"/>
        </w:rPr>
      </w:pPr>
      <w:r w:rsidRPr="00BB5D78">
        <w:rPr>
          <w:rFonts w:ascii="Arial" w:hAnsi="Arial" w:cs="Arial"/>
          <w:sz w:val="20"/>
          <w:szCs w:val="20"/>
        </w:rPr>
        <w:t xml:space="preserve">The report which contains additional information on these issues, barriers to energy equity for culturally and linguistically diverse people and recommendations on how these barriers has been included as an attachment to this submission. </w:t>
      </w:r>
    </w:p>
    <w:p w14:paraId="337C2570" w14:textId="265E8A9A" w:rsidR="00A66EB5" w:rsidRPr="00A5785F" w:rsidRDefault="00A66EB5">
      <w:pPr>
        <w:pStyle w:val="ListParagraph"/>
        <w:numPr>
          <w:ilvl w:val="0"/>
          <w:numId w:val="16"/>
        </w:numPr>
        <w:jc w:val="both"/>
        <w:rPr>
          <w:rFonts w:cs="Arial"/>
          <w:b/>
          <w:bCs/>
          <w:szCs w:val="20"/>
        </w:rPr>
      </w:pPr>
      <w:r w:rsidRPr="00A5785F">
        <w:rPr>
          <w:rFonts w:cs="Arial"/>
          <w:b/>
          <w:bCs/>
          <w:szCs w:val="20"/>
        </w:rPr>
        <w:t>Recommends</w:t>
      </w:r>
      <w:r w:rsidR="002F48FC" w:rsidRPr="00A5785F">
        <w:rPr>
          <w:rFonts w:cs="Arial"/>
          <w:b/>
          <w:bCs/>
          <w:szCs w:val="20"/>
        </w:rPr>
        <w:t xml:space="preserve"> the </w:t>
      </w:r>
      <w:r w:rsidRPr="00A5785F">
        <w:rPr>
          <w:rFonts w:cs="Arial"/>
          <w:b/>
          <w:bCs/>
          <w:szCs w:val="20"/>
        </w:rPr>
        <w:t>introduction of objective engagement trigger</w:t>
      </w:r>
      <w:r w:rsidR="00B251D8" w:rsidRPr="00A5785F">
        <w:rPr>
          <w:rFonts w:cs="Arial"/>
          <w:b/>
          <w:bCs/>
          <w:szCs w:val="20"/>
        </w:rPr>
        <w:t>s</w:t>
      </w:r>
      <w:r w:rsidRPr="00A5785F">
        <w:rPr>
          <w:rFonts w:cs="Arial"/>
          <w:b/>
          <w:bCs/>
          <w:szCs w:val="20"/>
        </w:rPr>
        <w:t xml:space="preserve"> for retail hardship assistance</w:t>
      </w:r>
    </w:p>
    <w:p w14:paraId="0C73D9C3" w14:textId="77777777" w:rsidR="009C0B5D" w:rsidRDefault="605B92B9" w:rsidP="0081498A">
      <w:pPr>
        <w:pStyle w:val="NormalWeb"/>
        <w:jc w:val="both"/>
        <w:rPr>
          <w:rFonts w:ascii="Arial" w:hAnsi="Arial" w:cs="Arial"/>
          <w:color w:val="000000"/>
          <w:sz w:val="20"/>
          <w:szCs w:val="20"/>
        </w:rPr>
      </w:pPr>
      <w:r w:rsidRPr="23CD2EB8">
        <w:rPr>
          <w:rFonts w:ascii="Arial" w:hAnsi="Arial" w:cs="Arial"/>
          <w:color w:val="000000" w:themeColor="text1"/>
          <w:sz w:val="20"/>
          <w:szCs w:val="20"/>
        </w:rPr>
        <w:t xml:space="preserve">ACTCOSS recommends the introduction of a non-exhaustive </w:t>
      </w:r>
      <w:r w:rsidR="193B5E66" w:rsidRPr="23CD2EB8">
        <w:rPr>
          <w:rFonts w:ascii="Arial" w:hAnsi="Arial" w:cs="Arial"/>
          <w:color w:val="000000" w:themeColor="text1"/>
          <w:sz w:val="20"/>
          <w:szCs w:val="20"/>
        </w:rPr>
        <w:t>list</w:t>
      </w:r>
      <w:r w:rsidRPr="23CD2EB8">
        <w:rPr>
          <w:rFonts w:ascii="Arial" w:hAnsi="Arial" w:cs="Arial"/>
          <w:color w:val="000000" w:themeColor="text1"/>
          <w:sz w:val="20"/>
          <w:szCs w:val="20"/>
        </w:rPr>
        <w:t xml:space="preserve"> of </w:t>
      </w:r>
      <w:r w:rsidR="57C7356E" w:rsidRPr="23CD2EB8">
        <w:rPr>
          <w:rFonts w:ascii="Arial" w:hAnsi="Arial" w:cs="Arial"/>
          <w:color w:val="000000" w:themeColor="text1"/>
          <w:sz w:val="20"/>
          <w:szCs w:val="20"/>
        </w:rPr>
        <w:t xml:space="preserve">clearly defined, </w:t>
      </w:r>
      <w:r w:rsidRPr="23CD2EB8">
        <w:rPr>
          <w:rFonts w:ascii="Arial" w:hAnsi="Arial" w:cs="Arial"/>
          <w:color w:val="000000" w:themeColor="text1"/>
          <w:sz w:val="20"/>
          <w:szCs w:val="20"/>
        </w:rPr>
        <w:t>objective engagement triggers</w:t>
      </w:r>
      <w:r w:rsidR="193B5E66" w:rsidRPr="23CD2EB8">
        <w:rPr>
          <w:rFonts w:ascii="Arial" w:hAnsi="Arial" w:cs="Arial"/>
          <w:color w:val="000000" w:themeColor="text1"/>
          <w:sz w:val="20"/>
          <w:szCs w:val="20"/>
        </w:rPr>
        <w:t>,</w:t>
      </w:r>
      <w:r w:rsidR="57C7356E" w:rsidRPr="23CD2EB8">
        <w:rPr>
          <w:rFonts w:ascii="Arial" w:hAnsi="Arial" w:cs="Arial"/>
          <w:color w:val="000000" w:themeColor="text1"/>
          <w:sz w:val="20"/>
          <w:szCs w:val="20"/>
        </w:rPr>
        <w:t xml:space="preserve"> that prompt retailers to provide hardship assistance information to customers. Recommended objective triggers include</w:t>
      </w:r>
      <w:r w:rsidR="6D6A372E" w:rsidRPr="23CD2EB8">
        <w:rPr>
          <w:rFonts w:ascii="Arial" w:hAnsi="Arial" w:cs="Arial"/>
          <w:color w:val="000000" w:themeColor="text1"/>
          <w:sz w:val="20"/>
          <w:szCs w:val="20"/>
        </w:rPr>
        <w:t>:</w:t>
      </w:r>
    </w:p>
    <w:p w14:paraId="1CBCBCEE" w14:textId="2C7674DA" w:rsidR="00153814" w:rsidRDefault="57C7356E" w:rsidP="23CD2EB8">
      <w:pPr>
        <w:pStyle w:val="NormalWeb"/>
        <w:numPr>
          <w:ilvl w:val="0"/>
          <w:numId w:val="17"/>
        </w:numPr>
        <w:jc w:val="both"/>
        <w:rPr>
          <w:rFonts w:ascii="Arial" w:hAnsi="Arial" w:cs="Arial"/>
          <w:color w:val="000000"/>
          <w:sz w:val="20"/>
          <w:szCs w:val="20"/>
        </w:rPr>
      </w:pPr>
      <w:r w:rsidRPr="23CD2EB8">
        <w:rPr>
          <w:rFonts w:ascii="Arial" w:hAnsi="Arial" w:cs="Arial"/>
          <w:color w:val="000000" w:themeColor="text1"/>
          <w:sz w:val="20"/>
          <w:szCs w:val="20"/>
        </w:rPr>
        <w:t xml:space="preserve">customers missing two or more payments and </w:t>
      </w:r>
    </w:p>
    <w:p w14:paraId="1C3A43DE" w14:textId="6C46E170" w:rsidR="00B06D95" w:rsidRPr="00A5785F" w:rsidRDefault="57C7356E" w:rsidP="23CD2EB8">
      <w:pPr>
        <w:pStyle w:val="NormalWeb"/>
        <w:numPr>
          <w:ilvl w:val="0"/>
          <w:numId w:val="17"/>
        </w:numPr>
        <w:jc w:val="both"/>
        <w:rPr>
          <w:rFonts w:ascii="Arial" w:hAnsi="Arial" w:cs="Arial"/>
          <w:color w:val="000000"/>
          <w:sz w:val="20"/>
          <w:szCs w:val="20"/>
        </w:rPr>
      </w:pPr>
      <w:r w:rsidRPr="23CD2EB8">
        <w:rPr>
          <w:rFonts w:ascii="Arial" w:hAnsi="Arial" w:cs="Arial"/>
          <w:color w:val="000000" w:themeColor="text1"/>
          <w:sz w:val="20"/>
          <w:szCs w:val="20"/>
        </w:rPr>
        <w:t xml:space="preserve">customers accruing debt </w:t>
      </w:r>
      <w:r w:rsidR="605B92B9" w:rsidRPr="23CD2EB8">
        <w:rPr>
          <w:rFonts w:ascii="Arial" w:hAnsi="Arial" w:cs="Arial"/>
          <w:color w:val="000000" w:themeColor="text1"/>
          <w:sz w:val="20"/>
          <w:szCs w:val="20"/>
        </w:rPr>
        <w:t>exceeding a minimum debt threshold prescribed by the AER.</w:t>
      </w:r>
    </w:p>
    <w:p w14:paraId="79D22DBB" w14:textId="29CD23C8" w:rsidR="0081498A" w:rsidRPr="00A5785F" w:rsidRDefault="00B06D95" w:rsidP="0081498A">
      <w:pPr>
        <w:pStyle w:val="NormalWeb"/>
        <w:jc w:val="both"/>
        <w:rPr>
          <w:rFonts w:ascii="Arial" w:hAnsi="Arial" w:cs="Arial"/>
          <w:color w:val="000000"/>
          <w:sz w:val="20"/>
          <w:szCs w:val="20"/>
        </w:rPr>
      </w:pPr>
      <w:r w:rsidRPr="00A5785F">
        <w:rPr>
          <w:rFonts w:ascii="Arial" w:hAnsi="Arial" w:cs="Arial"/>
          <w:color w:val="000000"/>
          <w:sz w:val="20"/>
          <w:szCs w:val="20"/>
        </w:rPr>
        <w:t xml:space="preserve">A non-exhaustive trigger list </w:t>
      </w:r>
      <w:r w:rsidR="00DA0F08" w:rsidRPr="00A5785F">
        <w:rPr>
          <w:rFonts w:ascii="Arial" w:hAnsi="Arial" w:cs="Arial"/>
          <w:color w:val="000000"/>
          <w:sz w:val="20"/>
          <w:szCs w:val="20"/>
        </w:rPr>
        <w:t xml:space="preserve">reflects the reality that hardship does not manifest in a single, uniform </w:t>
      </w:r>
      <w:r w:rsidR="00C47A30" w:rsidRPr="00A5785F">
        <w:rPr>
          <w:rFonts w:ascii="Arial" w:hAnsi="Arial" w:cs="Arial"/>
          <w:color w:val="000000"/>
          <w:sz w:val="20"/>
          <w:szCs w:val="20"/>
        </w:rPr>
        <w:t>way, and</w:t>
      </w:r>
      <w:r w:rsidR="00DA0F08" w:rsidRPr="00A5785F">
        <w:rPr>
          <w:rFonts w:ascii="Arial" w:hAnsi="Arial" w:cs="Arial"/>
          <w:color w:val="000000"/>
          <w:sz w:val="20"/>
          <w:szCs w:val="20"/>
        </w:rPr>
        <w:t xml:space="preserve"> provides operational flexibility for retailers by preserving their discretion to identify and respond to other risk factors. It also places the onus on retailers to initiate contact where objective indicators point to a heightened likelihood that a household is experiencing payment difficulty. </w:t>
      </w:r>
      <w:r w:rsidR="00731853">
        <w:rPr>
          <w:rFonts w:ascii="Arial" w:hAnsi="Arial" w:cs="Arial"/>
          <w:color w:val="000000"/>
          <w:sz w:val="20"/>
          <w:szCs w:val="20"/>
        </w:rPr>
        <w:t>This</w:t>
      </w:r>
      <w:r w:rsidR="00731853" w:rsidRPr="00A5785F">
        <w:rPr>
          <w:rFonts w:ascii="Arial" w:hAnsi="Arial" w:cs="Arial"/>
          <w:color w:val="000000"/>
          <w:sz w:val="20"/>
          <w:szCs w:val="20"/>
        </w:rPr>
        <w:t xml:space="preserve"> </w:t>
      </w:r>
      <w:r w:rsidR="00DA0F08" w:rsidRPr="00A5785F">
        <w:rPr>
          <w:rFonts w:ascii="Arial" w:hAnsi="Arial" w:cs="Arial"/>
          <w:color w:val="000000"/>
          <w:sz w:val="20"/>
          <w:szCs w:val="20"/>
        </w:rPr>
        <w:t xml:space="preserve">onus is appropriate given low levels of awareness among the average consumer </w:t>
      </w:r>
      <w:r w:rsidR="0081498A" w:rsidRPr="00A5785F">
        <w:rPr>
          <w:rFonts w:ascii="Arial" w:hAnsi="Arial" w:cs="Arial"/>
          <w:color w:val="000000"/>
          <w:sz w:val="20"/>
          <w:szCs w:val="20"/>
        </w:rPr>
        <w:t xml:space="preserve">of retailer obligations to assist customers experiencing payment difficulty. </w:t>
      </w:r>
    </w:p>
    <w:p w14:paraId="2E5E0E02" w14:textId="4DB89511" w:rsidR="0081498A" w:rsidRPr="00A5785F" w:rsidRDefault="1CDCE483" w:rsidP="0081498A">
      <w:pPr>
        <w:pStyle w:val="NormalWeb"/>
        <w:jc w:val="both"/>
        <w:rPr>
          <w:rFonts w:ascii="Arial" w:hAnsi="Arial" w:cs="Arial"/>
          <w:color w:val="000000"/>
          <w:sz w:val="20"/>
          <w:szCs w:val="20"/>
        </w:rPr>
      </w:pPr>
      <w:r w:rsidRPr="00A5785F">
        <w:rPr>
          <w:rFonts w:ascii="Arial" w:hAnsi="Arial" w:cs="Arial"/>
          <w:color w:val="000000"/>
          <w:sz w:val="20"/>
          <w:szCs w:val="20"/>
        </w:rPr>
        <w:t>Early engagement triggers reduce the risk of customers being denied the full benefit of consumer protections, including protections designed to prevent the accrual of avoidable or excessive energy debt.</w:t>
      </w:r>
      <w:r w:rsidRPr="23CD2EB8">
        <w:rPr>
          <w:rStyle w:val="FootnoteReference"/>
          <w:rFonts w:ascii="Arial" w:eastAsiaTheme="minorEastAsia" w:hAnsi="Arial" w:cs="Arial"/>
          <w:color w:val="000000"/>
          <w:sz w:val="20"/>
          <w:szCs w:val="20"/>
        </w:rPr>
        <w:t xml:space="preserve"> </w:t>
      </w:r>
      <w:r w:rsidR="0081498A" w:rsidRPr="23CD2EB8">
        <w:rPr>
          <w:rStyle w:val="FootnoteReference"/>
          <w:rFonts w:ascii="Arial" w:eastAsiaTheme="minorEastAsia" w:hAnsi="Arial" w:cs="Arial"/>
          <w:color w:val="000000"/>
          <w:sz w:val="20"/>
          <w:szCs w:val="20"/>
        </w:rPr>
        <w:footnoteReference w:id="7"/>
      </w:r>
      <w:r w:rsidRPr="23CD2EB8">
        <w:rPr>
          <w:rFonts w:ascii="Arial" w:eastAsiaTheme="minorEastAsia" w:hAnsi="Arial" w:cs="Arial"/>
          <w:color w:val="000000"/>
          <w:sz w:val="20"/>
          <w:szCs w:val="20"/>
        </w:rPr>
        <w:t xml:space="preserve"> </w:t>
      </w:r>
      <w:r w:rsidRPr="00A5785F">
        <w:rPr>
          <w:rFonts w:ascii="Arial" w:hAnsi="Arial" w:cs="Arial"/>
          <w:color w:val="000000"/>
          <w:sz w:val="20"/>
          <w:szCs w:val="20"/>
        </w:rPr>
        <w:t xml:space="preserve"> The eligibility for, and operation of</w:t>
      </w:r>
      <w:r w:rsidR="00731853">
        <w:rPr>
          <w:rFonts w:ascii="Arial" w:hAnsi="Arial" w:cs="Arial"/>
          <w:color w:val="000000"/>
          <w:sz w:val="20"/>
          <w:szCs w:val="20"/>
        </w:rPr>
        <w:t>,</w:t>
      </w:r>
      <w:r w:rsidRPr="00A5785F">
        <w:rPr>
          <w:rFonts w:ascii="Arial" w:hAnsi="Arial" w:cs="Arial"/>
          <w:color w:val="000000"/>
          <w:sz w:val="20"/>
          <w:szCs w:val="20"/>
        </w:rPr>
        <w:t xml:space="preserve"> a number of these protections is contingent on a customer being identified and designated a hardship customer. Each day that a customer is not identified and supported as a hardship customer is a day in which they miss out on protections intended to prevent their financial situation from deteriorating further.</w:t>
      </w:r>
    </w:p>
    <w:p w14:paraId="40712B3D" w14:textId="1C7DEC32" w:rsidR="002C1DC1" w:rsidRPr="00A5785F" w:rsidRDefault="605B92B9" w:rsidP="007F164D">
      <w:pPr>
        <w:pStyle w:val="NormalWeb"/>
        <w:jc w:val="both"/>
        <w:rPr>
          <w:rFonts w:ascii="Arial" w:hAnsi="Arial" w:cs="Arial"/>
          <w:color w:val="000000"/>
          <w:sz w:val="20"/>
          <w:szCs w:val="20"/>
        </w:rPr>
      </w:pPr>
      <w:r w:rsidRPr="00A5785F">
        <w:rPr>
          <w:rFonts w:ascii="Arial" w:hAnsi="Arial" w:cs="Arial"/>
          <w:color w:val="000000"/>
          <w:sz w:val="20"/>
          <w:szCs w:val="20"/>
        </w:rPr>
        <w:t xml:space="preserve">The need for </w:t>
      </w:r>
      <w:r w:rsidR="10C53EDF" w:rsidRPr="00A5785F">
        <w:rPr>
          <w:rFonts w:ascii="Arial" w:hAnsi="Arial" w:cs="Arial"/>
          <w:color w:val="000000"/>
          <w:sz w:val="20"/>
          <w:szCs w:val="20"/>
        </w:rPr>
        <w:t>enforceable retailer engagement</w:t>
      </w:r>
      <w:r w:rsidRPr="00A5785F">
        <w:rPr>
          <w:rFonts w:ascii="Arial" w:hAnsi="Arial" w:cs="Arial"/>
          <w:color w:val="000000"/>
          <w:sz w:val="20"/>
          <w:szCs w:val="20"/>
        </w:rPr>
        <w:t xml:space="preserve"> triggers is underscored by persistently high levels of debt at the point of entry into retailer hardship programs. Despite the introduction of the </w:t>
      </w:r>
      <w:r w:rsidR="00E0388A" w:rsidRPr="00E0388A">
        <w:rPr>
          <w:rFonts w:ascii="Arial" w:hAnsi="Arial" w:cs="Arial"/>
          <w:i/>
          <w:iCs/>
          <w:sz w:val="20"/>
          <w:szCs w:val="20"/>
        </w:rPr>
        <w:t>‘</w:t>
      </w:r>
      <w:r w:rsidR="00E0388A" w:rsidRPr="00E0388A">
        <w:rPr>
          <w:rFonts w:ascii="Arial" w:eastAsiaTheme="minorEastAsia" w:hAnsi="Arial" w:cs="Arial"/>
          <w:i/>
          <w:iCs/>
          <w:color w:val="000000" w:themeColor="text1"/>
          <w:sz w:val="20"/>
          <w:szCs w:val="20"/>
        </w:rPr>
        <w:t>Customer Hardship Policy Guideline’</w:t>
      </w:r>
      <w:r w:rsidRPr="00A5785F">
        <w:rPr>
          <w:rFonts w:ascii="Arial" w:hAnsi="Arial" w:cs="Arial"/>
          <w:color w:val="000000"/>
          <w:sz w:val="20"/>
          <w:szCs w:val="20"/>
        </w:rPr>
        <w:t xml:space="preserve"> in 2019, average arrears for ACT electricity customers entering hardship assistance remain</w:t>
      </w:r>
      <w:r w:rsidR="6769CE14" w:rsidRPr="00A5785F">
        <w:rPr>
          <w:rFonts w:ascii="Arial" w:hAnsi="Arial" w:cs="Arial"/>
          <w:color w:val="000000"/>
          <w:sz w:val="20"/>
          <w:szCs w:val="20"/>
        </w:rPr>
        <w:t>s</w:t>
      </w:r>
      <w:r w:rsidRPr="00A5785F">
        <w:rPr>
          <w:rFonts w:ascii="Arial" w:hAnsi="Arial" w:cs="Arial"/>
          <w:color w:val="000000"/>
          <w:sz w:val="20"/>
          <w:szCs w:val="20"/>
        </w:rPr>
        <w:t xml:space="preserve"> substantial. </w:t>
      </w:r>
      <w:r w:rsidR="10C53EDF" w:rsidRPr="00A5785F">
        <w:rPr>
          <w:rFonts w:ascii="Arial" w:hAnsi="Arial" w:cs="Arial"/>
          <w:color w:val="000000"/>
          <w:sz w:val="20"/>
          <w:szCs w:val="20"/>
        </w:rPr>
        <w:t>During</w:t>
      </w:r>
      <w:r w:rsidRPr="00A5785F">
        <w:rPr>
          <w:rFonts w:ascii="Arial" w:hAnsi="Arial" w:cs="Arial"/>
          <w:color w:val="000000"/>
          <w:sz w:val="20"/>
          <w:szCs w:val="20"/>
        </w:rPr>
        <w:t xml:space="preserve"> 2024–25, almost 70% of ACT </w:t>
      </w:r>
      <w:r w:rsidR="10C53EDF" w:rsidRPr="00A5785F">
        <w:rPr>
          <w:rFonts w:ascii="Arial" w:hAnsi="Arial" w:cs="Arial"/>
          <w:color w:val="000000"/>
          <w:sz w:val="20"/>
          <w:szCs w:val="20"/>
        </w:rPr>
        <w:t xml:space="preserve">electricity </w:t>
      </w:r>
      <w:r w:rsidRPr="00A5785F">
        <w:rPr>
          <w:rFonts w:ascii="Arial" w:hAnsi="Arial" w:cs="Arial"/>
          <w:color w:val="000000"/>
          <w:sz w:val="20"/>
          <w:szCs w:val="20"/>
        </w:rPr>
        <w:t xml:space="preserve">customers who accessed retailer hardship programs had debts exceeding the minimum </w:t>
      </w:r>
      <w:r w:rsidRPr="00A5785F">
        <w:rPr>
          <w:rFonts w:ascii="Arial" w:hAnsi="Arial" w:cs="Arial"/>
          <w:color w:val="000000"/>
          <w:sz w:val="20"/>
          <w:szCs w:val="20"/>
        </w:rPr>
        <w:lastRenderedPageBreak/>
        <w:t>disconnection threshold of $500</w:t>
      </w:r>
      <w:r w:rsidR="10C53EDF" w:rsidRPr="00A5785F">
        <w:rPr>
          <w:rFonts w:ascii="Arial" w:hAnsi="Arial" w:cs="Arial"/>
          <w:color w:val="000000"/>
          <w:sz w:val="20"/>
          <w:szCs w:val="20"/>
        </w:rPr>
        <w:t>, while</w:t>
      </w:r>
      <w:r w:rsidRPr="00A5785F">
        <w:rPr>
          <w:rFonts w:ascii="Arial" w:hAnsi="Arial" w:cs="Arial"/>
          <w:color w:val="000000"/>
          <w:sz w:val="20"/>
          <w:szCs w:val="20"/>
        </w:rPr>
        <w:t xml:space="preserve"> 37.6% </w:t>
      </w:r>
      <w:r w:rsidR="10C53EDF" w:rsidRPr="00A5785F">
        <w:rPr>
          <w:rFonts w:ascii="Arial" w:hAnsi="Arial" w:cs="Arial"/>
          <w:color w:val="000000"/>
          <w:sz w:val="20"/>
          <w:szCs w:val="20"/>
        </w:rPr>
        <w:t xml:space="preserve">of ACT electricity customers enrolled in retailer hardship programs </w:t>
      </w:r>
      <w:r w:rsidRPr="00A5785F">
        <w:rPr>
          <w:rFonts w:ascii="Arial" w:hAnsi="Arial" w:cs="Arial"/>
          <w:color w:val="000000"/>
          <w:sz w:val="20"/>
          <w:szCs w:val="20"/>
        </w:rPr>
        <w:t xml:space="preserve">had </w:t>
      </w:r>
      <w:r w:rsidR="10C53EDF" w:rsidRPr="00A5785F">
        <w:rPr>
          <w:rFonts w:ascii="Arial" w:hAnsi="Arial" w:cs="Arial"/>
          <w:color w:val="000000"/>
          <w:sz w:val="20"/>
          <w:szCs w:val="20"/>
        </w:rPr>
        <w:t xml:space="preserve">entry debts </w:t>
      </w:r>
      <w:r w:rsidRPr="00A5785F">
        <w:rPr>
          <w:rFonts w:ascii="Arial" w:hAnsi="Arial" w:cs="Arial"/>
          <w:color w:val="000000"/>
          <w:sz w:val="20"/>
          <w:szCs w:val="20"/>
        </w:rPr>
        <w:t>exceeding $1,500.</w:t>
      </w:r>
      <w:r w:rsidR="007F164D" w:rsidRPr="00A5785F">
        <w:rPr>
          <w:rStyle w:val="FootnoteReference"/>
          <w:rFonts w:ascii="Arial" w:hAnsi="Arial" w:cs="Arial"/>
          <w:color w:val="000000"/>
          <w:sz w:val="20"/>
          <w:szCs w:val="20"/>
        </w:rPr>
        <w:footnoteReference w:id="8"/>
      </w:r>
      <w:r w:rsidRPr="00A5785F">
        <w:rPr>
          <w:rFonts w:ascii="Arial" w:hAnsi="Arial" w:cs="Arial"/>
          <w:color w:val="000000"/>
          <w:sz w:val="20"/>
          <w:szCs w:val="20"/>
        </w:rPr>
        <w:t xml:space="preserve"> These figures suggest that many customers are being identified after debts have already escalated to levels that are difficult to manage.</w:t>
      </w:r>
    </w:p>
    <w:p w14:paraId="7345709F" w14:textId="49FE7B46" w:rsidR="00F75B76" w:rsidRPr="00A5785F" w:rsidRDefault="007F164D" w:rsidP="00B06D95">
      <w:pPr>
        <w:pStyle w:val="NormalWeb"/>
        <w:rPr>
          <w:rFonts w:ascii="Arial" w:hAnsi="Arial" w:cs="Arial"/>
          <w:color w:val="000000"/>
          <w:sz w:val="20"/>
          <w:szCs w:val="20"/>
        </w:rPr>
      </w:pPr>
      <w:r w:rsidRPr="00A5785F">
        <w:rPr>
          <w:rFonts w:ascii="Arial" w:hAnsi="Arial" w:cs="Arial"/>
          <w:color w:val="000000"/>
          <w:sz w:val="20"/>
          <w:szCs w:val="20"/>
        </w:rPr>
        <w:t>The establishment of objective triggers for the provision of retailer assistance and information on retailer hardship programs has the potential to reduce average debt levels upon entry into retailer hardship programs</w:t>
      </w:r>
      <w:r w:rsidR="008E5CEB">
        <w:rPr>
          <w:rFonts w:ascii="Arial" w:hAnsi="Arial" w:cs="Arial"/>
          <w:color w:val="000000"/>
          <w:sz w:val="20"/>
          <w:szCs w:val="20"/>
        </w:rPr>
        <w:t>. It would provide</w:t>
      </w:r>
      <w:r w:rsidRPr="00A5785F">
        <w:rPr>
          <w:rFonts w:ascii="Arial" w:hAnsi="Arial" w:cs="Arial"/>
          <w:color w:val="000000"/>
          <w:sz w:val="20"/>
          <w:szCs w:val="20"/>
        </w:rPr>
        <w:t xml:space="preserve"> a clear and auditable basis for regulatory oversight and compliance action where retailers fail to engage customers in a timely manner.</w:t>
      </w:r>
    </w:p>
    <w:p w14:paraId="52BE3DDB" w14:textId="42EEBA64" w:rsidR="00AF2268" w:rsidRPr="00A5785F" w:rsidRDefault="007A6C1E" w:rsidP="000653C5">
      <w:pPr>
        <w:pStyle w:val="ListParagraph"/>
        <w:numPr>
          <w:ilvl w:val="0"/>
          <w:numId w:val="16"/>
        </w:numPr>
        <w:jc w:val="both"/>
        <w:rPr>
          <w:rFonts w:cs="Arial"/>
          <w:b/>
          <w:bCs/>
          <w:szCs w:val="20"/>
        </w:rPr>
      </w:pPr>
      <w:r w:rsidRPr="00A5785F">
        <w:rPr>
          <w:rFonts w:cs="Arial"/>
          <w:b/>
          <w:bCs/>
          <w:szCs w:val="20"/>
        </w:rPr>
        <w:t xml:space="preserve">Recommends </w:t>
      </w:r>
      <w:r w:rsidR="00D62827" w:rsidRPr="00A5785F">
        <w:rPr>
          <w:rFonts w:cs="Arial"/>
          <w:b/>
          <w:bCs/>
          <w:szCs w:val="20"/>
        </w:rPr>
        <w:t xml:space="preserve">clarifying the </w:t>
      </w:r>
      <w:r w:rsidRPr="00A5785F">
        <w:rPr>
          <w:rFonts w:cs="Arial"/>
          <w:b/>
          <w:bCs/>
          <w:szCs w:val="20"/>
        </w:rPr>
        <w:t xml:space="preserve">appropriate degree of prescription required </w:t>
      </w:r>
      <w:r w:rsidR="00D62827" w:rsidRPr="00A5785F">
        <w:rPr>
          <w:rFonts w:cs="Arial"/>
          <w:b/>
          <w:bCs/>
          <w:szCs w:val="20"/>
        </w:rPr>
        <w:t xml:space="preserve">in the retail hardship guidelines on an </w:t>
      </w:r>
      <w:r w:rsidRPr="00A5785F">
        <w:rPr>
          <w:rFonts w:cs="Arial"/>
          <w:b/>
          <w:bCs/>
          <w:szCs w:val="20"/>
        </w:rPr>
        <w:t xml:space="preserve">issue specific basis. </w:t>
      </w:r>
    </w:p>
    <w:p w14:paraId="35C7BD18" w14:textId="6659DDE8" w:rsidR="63D7E9A4" w:rsidRDefault="3158D208" w:rsidP="23CD2EB8">
      <w:pPr>
        <w:jc w:val="both"/>
        <w:rPr>
          <w:rFonts w:cs="Arial"/>
        </w:rPr>
      </w:pPr>
      <w:r w:rsidRPr="23CD2EB8">
        <w:rPr>
          <w:rFonts w:cs="Arial"/>
        </w:rPr>
        <w:t xml:space="preserve">ACTCOSS cautions against proceeding on the basis that greater retailer discretion in interpreting hardship obligations and reduced regulatory prescription fleshing out the content of a retailer’s duty to provide assistance, will generally lead to better consumer outcomes.  </w:t>
      </w:r>
    </w:p>
    <w:p w14:paraId="1476EB6C" w14:textId="6402315D" w:rsidR="002C1DC1" w:rsidRPr="00A5785F" w:rsidRDefault="003D63D7" w:rsidP="00FE430A">
      <w:pPr>
        <w:jc w:val="both"/>
        <w:rPr>
          <w:rFonts w:cs="Arial"/>
          <w:szCs w:val="20"/>
        </w:rPr>
      </w:pPr>
      <w:r w:rsidRPr="00A5785F">
        <w:rPr>
          <w:rFonts w:cs="Arial"/>
          <w:szCs w:val="20"/>
        </w:rPr>
        <w:t xml:space="preserve">Instead, </w:t>
      </w:r>
      <w:r w:rsidR="002C1DC1" w:rsidRPr="00A5785F">
        <w:rPr>
          <w:rFonts w:cs="Arial"/>
          <w:szCs w:val="20"/>
        </w:rPr>
        <w:t>ACTCOSS recommends the AER</w:t>
      </w:r>
      <w:r w:rsidRPr="00A5785F">
        <w:rPr>
          <w:rFonts w:cs="Arial"/>
          <w:szCs w:val="20"/>
        </w:rPr>
        <w:t xml:space="preserve"> make determinations as to whether consumers would benefit from greater clarification of the different aspects of retailers’ obligations to assist customers experiencing payment difficulty, on a targeted and issue-specific basis. Failure</w:t>
      </w:r>
      <w:r w:rsidR="002C1DC1" w:rsidRPr="00A5785F">
        <w:rPr>
          <w:rFonts w:cs="Arial"/>
          <w:szCs w:val="20"/>
        </w:rPr>
        <w:t xml:space="preserve"> to do so may undermine the effectiveness of consumer protections against energy insecurity.</w:t>
      </w:r>
    </w:p>
    <w:p w14:paraId="0D424E0A" w14:textId="75A6634B" w:rsidR="00711091" w:rsidRPr="00A5785F" w:rsidRDefault="002C1DC1" w:rsidP="003D63D7">
      <w:pPr>
        <w:jc w:val="both"/>
        <w:rPr>
          <w:rFonts w:cs="Arial"/>
          <w:szCs w:val="20"/>
        </w:rPr>
      </w:pPr>
      <w:r w:rsidRPr="00A5785F">
        <w:rPr>
          <w:rFonts w:cs="Arial"/>
          <w:szCs w:val="20"/>
        </w:rPr>
        <w:t>Retailer hardship guidelines perform a dual and interrelated function: they provide greater certainty to retailers about the content of their obligation to assist customers, while also enabling retailer accountability. Where requirements are clearly prescribed, it is easier to assess whether a retailer has met its obligations. By contrast, where obligations are loosely defined or left to retailer discretion, it becomes difficult to determine whether a retailer has failed to meet its duty to assist, weakening the accountability function of the retail hardship framework.</w:t>
      </w:r>
    </w:p>
    <w:p w14:paraId="014759EE" w14:textId="0749E85A" w:rsidR="00711091" w:rsidRPr="00A5785F" w:rsidRDefault="0C0E6306" w:rsidP="23CD2EB8">
      <w:pPr>
        <w:pStyle w:val="ListParagraph"/>
        <w:numPr>
          <w:ilvl w:val="0"/>
          <w:numId w:val="16"/>
        </w:numPr>
        <w:jc w:val="both"/>
        <w:rPr>
          <w:rFonts w:cs="Arial"/>
          <w:b/>
          <w:bCs/>
        </w:rPr>
      </w:pPr>
      <w:r w:rsidRPr="23CD2EB8">
        <w:rPr>
          <w:rFonts w:cs="Arial"/>
          <w:b/>
          <w:bCs/>
        </w:rPr>
        <w:t xml:space="preserve">ACTCOSS recommends establishing safeguards </w:t>
      </w:r>
      <w:r w:rsidRPr="00EF666F">
        <w:rPr>
          <w:rFonts w:cs="Arial"/>
          <w:b/>
          <w:bCs/>
        </w:rPr>
        <w:t xml:space="preserve">against </w:t>
      </w:r>
      <w:r w:rsidR="00EF666F">
        <w:rPr>
          <w:rFonts w:cs="Arial"/>
          <w:b/>
          <w:bCs/>
        </w:rPr>
        <w:t>‘</w:t>
      </w:r>
      <w:r w:rsidRPr="00EF666F">
        <w:rPr>
          <w:rFonts w:cs="Arial"/>
          <w:b/>
          <w:bCs/>
        </w:rPr>
        <w:t>tick</w:t>
      </w:r>
      <w:r w:rsidR="14C84D6A" w:rsidRPr="00EF666F">
        <w:rPr>
          <w:rFonts w:cs="Arial"/>
          <w:b/>
          <w:bCs/>
        </w:rPr>
        <w:t>-</w:t>
      </w:r>
      <w:r w:rsidRPr="00EF666F">
        <w:rPr>
          <w:rFonts w:cs="Arial"/>
          <w:b/>
          <w:bCs/>
        </w:rPr>
        <w:t>box</w:t>
      </w:r>
      <w:r w:rsidR="00EF666F">
        <w:rPr>
          <w:rFonts w:cs="Arial"/>
          <w:b/>
          <w:bCs/>
        </w:rPr>
        <w:t>’</w:t>
      </w:r>
      <w:r w:rsidRPr="23CD2EB8">
        <w:rPr>
          <w:rFonts w:cs="Arial"/>
          <w:b/>
          <w:bCs/>
        </w:rPr>
        <w:t xml:space="preserve"> compliance culture </w:t>
      </w:r>
    </w:p>
    <w:p w14:paraId="2951B6D6" w14:textId="77777777" w:rsidR="00711091" w:rsidRPr="00A5785F" w:rsidRDefault="00711091" w:rsidP="00711091">
      <w:pPr>
        <w:pStyle w:val="NormalWeb"/>
        <w:jc w:val="both"/>
        <w:rPr>
          <w:rFonts w:ascii="Arial" w:hAnsi="Arial" w:cs="Arial"/>
          <w:color w:val="000000"/>
          <w:sz w:val="20"/>
          <w:szCs w:val="20"/>
        </w:rPr>
      </w:pPr>
      <w:r w:rsidRPr="00A5785F">
        <w:rPr>
          <w:rFonts w:ascii="Arial" w:hAnsi="Arial" w:cs="Arial"/>
          <w:color w:val="000000"/>
          <w:sz w:val="20"/>
          <w:szCs w:val="20"/>
        </w:rPr>
        <w:t xml:space="preserve">ACTCOSS acknowledges that increased prescription carries with it the risk of encouraging a “tick-box” compliance culture, in which retailers focus on meeting minimum procedural requirements, rather than delivering meaningful assistance to customers experiencing energy hardship. </w:t>
      </w:r>
    </w:p>
    <w:p w14:paraId="162423CA" w14:textId="016B6E79" w:rsidR="0007641E" w:rsidRDefault="62E9523B" w:rsidP="00711091">
      <w:pPr>
        <w:pStyle w:val="NormalWeb"/>
        <w:jc w:val="both"/>
        <w:rPr>
          <w:rFonts w:ascii="Arial" w:eastAsia="Arial" w:hAnsi="Arial" w:cs="Arial"/>
          <w:color w:val="000000" w:themeColor="text1"/>
          <w:sz w:val="20"/>
          <w:szCs w:val="20"/>
        </w:rPr>
      </w:pPr>
      <w:r w:rsidRPr="23CD2EB8">
        <w:rPr>
          <w:rFonts w:ascii="Arial" w:eastAsia="Arial" w:hAnsi="Arial" w:cs="Arial"/>
          <w:color w:val="000000" w:themeColor="text1"/>
          <w:sz w:val="20"/>
          <w:szCs w:val="20"/>
        </w:rPr>
        <w:t>However,</w:t>
      </w:r>
      <w:r w:rsidR="00E0388A">
        <w:rPr>
          <w:rFonts w:ascii="Arial" w:eastAsia="Arial" w:hAnsi="Arial" w:cs="Arial"/>
          <w:color w:val="000000" w:themeColor="text1"/>
          <w:sz w:val="20"/>
          <w:szCs w:val="20"/>
        </w:rPr>
        <w:t xml:space="preserve"> the </w:t>
      </w:r>
      <w:r w:rsidR="00E0388A" w:rsidRPr="23CD2EB8">
        <w:rPr>
          <w:rFonts w:ascii="Arial" w:eastAsia="Arial" w:hAnsi="Arial" w:cs="Arial"/>
          <w:color w:val="000000" w:themeColor="text1"/>
          <w:sz w:val="20"/>
          <w:szCs w:val="20"/>
        </w:rPr>
        <w:t>risks associated with greater prescription must be weighed</w:t>
      </w:r>
      <w:r w:rsidR="00EA2C96">
        <w:rPr>
          <w:rFonts w:ascii="Arial" w:eastAsia="Arial" w:hAnsi="Arial" w:cs="Arial"/>
          <w:color w:val="000000" w:themeColor="text1"/>
          <w:sz w:val="20"/>
          <w:szCs w:val="20"/>
        </w:rPr>
        <w:t xml:space="preserve"> against </w:t>
      </w:r>
      <w:r w:rsidR="00EA2C96" w:rsidRPr="23CD2EB8">
        <w:rPr>
          <w:rFonts w:ascii="Arial" w:eastAsia="Arial" w:hAnsi="Arial" w:cs="Arial"/>
          <w:color w:val="000000" w:themeColor="text1"/>
          <w:sz w:val="20"/>
          <w:szCs w:val="20"/>
        </w:rPr>
        <w:t>the demonstrated shortcomings of the existing retail hardship guidelines</w:t>
      </w:r>
      <w:r w:rsidR="00EA2C96">
        <w:rPr>
          <w:rFonts w:ascii="Arial" w:eastAsia="Arial" w:hAnsi="Arial" w:cs="Arial"/>
          <w:color w:val="000000" w:themeColor="text1"/>
          <w:sz w:val="20"/>
          <w:szCs w:val="20"/>
        </w:rPr>
        <w:t xml:space="preserve"> which takes </w:t>
      </w:r>
      <w:r w:rsidR="00EA2C96" w:rsidRPr="23CD2EB8">
        <w:rPr>
          <w:rFonts w:ascii="Arial" w:eastAsia="Arial" w:hAnsi="Arial" w:cs="Arial"/>
          <w:color w:val="000000" w:themeColor="text1"/>
          <w:sz w:val="20"/>
          <w:szCs w:val="20"/>
        </w:rPr>
        <w:t>a process focused, light touch approach to regulatory prescription</w:t>
      </w:r>
      <w:r w:rsidR="00EA2C96">
        <w:rPr>
          <w:rFonts w:ascii="Arial" w:eastAsia="Arial" w:hAnsi="Arial" w:cs="Arial"/>
          <w:color w:val="000000" w:themeColor="text1"/>
          <w:sz w:val="20"/>
          <w:szCs w:val="20"/>
        </w:rPr>
        <w:t xml:space="preserve">. </w:t>
      </w:r>
      <w:r w:rsidR="00EA2C96" w:rsidRPr="23CD2EB8">
        <w:rPr>
          <w:rFonts w:ascii="Arial" w:eastAsia="Arial" w:hAnsi="Arial" w:cs="Arial"/>
          <w:color w:val="000000" w:themeColor="text1"/>
          <w:sz w:val="20"/>
          <w:szCs w:val="20"/>
        </w:rPr>
        <w:t>The limited use of regulatory enforcement action</w:t>
      </w:r>
      <w:r w:rsidR="00EA2C96">
        <w:rPr>
          <w:rFonts w:ascii="Arial" w:eastAsia="Arial" w:hAnsi="Arial" w:cs="Arial"/>
          <w:color w:val="000000" w:themeColor="text1"/>
          <w:sz w:val="20"/>
          <w:szCs w:val="20"/>
        </w:rPr>
        <w:t xml:space="preserve">, even in the context of </w:t>
      </w:r>
      <w:r w:rsidR="00EA2C96" w:rsidRPr="23CD2EB8">
        <w:rPr>
          <w:rFonts w:ascii="Arial" w:eastAsia="Arial" w:hAnsi="Arial" w:cs="Arial"/>
          <w:color w:val="000000" w:themeColor="text1"/>
          <w:sz w:val="20"/>
          <w:szCs w:val="20"/>
        </w:rPr>
        <w:t>persistently high debt levels at entry into hardship programs, low rates of successful program completion, and widespread concern among consumer advocates about the inadequacy of assistance being provided</w:t>
      </w:r>
      <w:r w:rsidR="00EA2C96">
        <w:rPr>
          <w:rFonts w:ascii="Arial" w:eastAsia="Arial" w:hAnsi="Arial" w:cs="Arial"/>
          <w:color w:val="000000" w:themeColor="text1"/>
          <w:sz w:val="20"/>
          <w:szCs w:val="20"/>
        </w:rPr>
        <w:t xml:space="preserve"> </w:t>
      </w:r>
      <w:r w:rsidRPr="23CD2EB8">
        <w:rPr>
          <w:rFonts w:ascii="Arial" w:eastAsia="Arial" w:hAnsi="Arial" w:cs="Arial"/>
          <w:color w:val="000000" w:themeColor="text1"/>
          <w:sz w:val="20"/>
          <w:szCs w:val="20"/>
        </w:rPr>
        <w:t>further highlights the need for clearer expectations, stronger retailer accountability, and more substantive standards of protection.</w:t>
      </w:r>
    </w:p>
    <w:p w14:paraId="2946195A" w14:textId="5EDBFC00" w:rsidR="00711091" w:rsidRPr="00EA2C96" w:rsidRDefault="0C0E6306" w:rsidP="00711091">
      <w:pPr>
        <w:pStyle w:val="NormalWeb"/>
        <w:jc w:val="both"/>
        <w:rPr>
          <w:rFonts w:ascii="Arial" w:hAnsi="Arial" w:cs="Arial"/>
          <w:color w:val="000000" w:themeColor="text1"/>
          <w:sz w:val="20"/>
          <w:szCs w:val="20"/>
        </w:rPr>
      </w:pPr>
      <w:r w:rsidRPr="23CD2EB8">
        <w:rPr>
          <w:rFonts w:ascii="Arial" w:hAnsi="Arial" w:cs="Arial"/>
          <w:color w:val="000000" w:themeColor="text1"/>
          <w:sz w:val="20"/>
          <w:szCs w:val="20"/>
        </w:rPr>
        <w:lastRenderedPageBreak/>
        <w:t xml:space="preserve">ACTCOSS </w:t>
      </w:r>
      <w:r w:rsidR="00994BDC">
        <w:rPr>
          <w:rFonts w:ascii="Arial" w:hAnsi="Arial" w:cs="Arial"/>
          <w:color w:val="000000" w:themeColor="text1"/>
          <w:sz w:val="20"/>
          <w:szCs w:val="20"/>
        </w:rPr>
        <w:t xml:space="preserve">does not regard the existence of prescriptive requirements as precluding </w:t>
      </w:r>
      <w:r w:rsidR="00A46107">
        <w:rPr>
          <w:rFonts w:ascii="Arial" w:hAnsi="Arial" w:cs="Arial"/>
          <w:color w:val="000000" w:themeColor="text1"/>
          <w:sz w:val="20"/>
          <w:szCs w:val="20"/>
        </w:rPr>
        <w:t>outcomes</w:t>
      </w:r>
      <w:r w:rsidR="00034B09">
        <w:rPr>
          <w:rFonts w:ascii="Arial" w:hAnsi="Arial" w:cs="Arial"/>
          <w:color w:val="000000" w:themeColor="text1"/>
          <w:sz w:val="20"/>
          <w:szCs w:val="20"/>
        </w:rPr>
        <w:t>-</w:t>
      </w:r>
      <w:r w:rsidR="00A46107">
        <w:rPr>
          <w:rFonts w:ascii="Arial" w:hAnsi="Arial" w:cs="Arial"/>
          <w:color w:val="000000" w:themeColor="text1"/>
          <w:sz w:val="20"/>
          <w:szCs w:val="20"/>
        </w:rPr>
        <w:t>based</w:t>
      </w:r>
      <w:r w:rsidR="00994BDC">
        <w:rPr>
          <w:rFonts w:ascii="Arial" w:hAnsi="Arial" w:cs="Arial"/>
          <w:color w:val="000000" w:themeColor="text1"/>
          <w:sz w:val="20"/>
          <w:szCs w:val="20"/>
        </w:rPr>
        <w:t xml:space="preserve"> regulatory requirements</w:t>
      </w:r>
      <w:r w:rsidR="00034B09">
        <w:rPr>
          <w:rFonts w:ascii="Arial" w:hAnsi="Arial" w:cs="Arial"/>
          <w:color w:val="000000" w:themeColor="text1"/>
          <w:sz w:val="20"/>
          <w:szCs w:val="20"/>
        </w:rPr>
        <w:t>.</w:t>
      </w:r>
      <w:r w:rsidR="00994BDC">
        <w:rPr>
          <w:rFonts w:ascii="Arial" w:hAnsi="Arial" w:cs="Arial"/>
          <w:color w:val="000000" w:themeColor="text1"/>
          <w:sz w:val="20"/>
          <w:szCs w:val="20"/>
        </w:rPr>
        <w:t xml:space="preserve"> ACTCOSS </w:t>
      </w:r>
      <w:r w:rsidRPr="23CD2EB8">
        <w:rPr>
          <w:rFonts w:ascii="Arial" w:hAnsi="Arial" w:cs="Arial"/>
          <w:color w:val="000000" w:themeColor="text1"/>
          <w:sz w:val="20"/>
          <w:szCs w:val="20"/>
        </w:rPr>
        <w:t xml:space="preserve">recommends ameliorating the risk of prescriptive requirements devolving into a superficial compliance exercise by treating compliance with </w:t>
      </w:r>
      <w:r w:rsidR="2FAE09D7" w:rsidRPr="23CD2EB8">
        <w:rPr>
          <w:rFonts w:ascii="Arial" w:hAnsi="Arial" w:cs="Arial"/>
          <w:color w:val="000000" w:themeColor="text1"/>
          <w:sz w:val="20"/>
          <w:szCs w:val="20"/>
        </w:rPr>
        <w:t xml:space="preserve">established </w:t>
      </w:r>
      <w:r w:rsidRPr="23CD2EB8">
        <w:rPr>
          <w:rFonts w:ascii="Arial" w:hAnsi="Arial" w:cs="Arial"/>
          <w:color w:val="000000" w:themeColor="text1"/>
          <w:sz w:val="20"/>
          <w:szCs w:val="20"/>
        </w:rPr>
        <w:t>minimum standards</w:t>
      </w:r>
      <w:r w:rsidR="2FAE09D7" w:rsidRPr="23CD2EB8">
        <w:rPr>
          <w:rFonts w:ascii="Arial" w:hAnsi="Arial" w:cs="Arial"/>
          <w:color w:val="000000" w:themeColor="text1"/>
          <w:sz w:val="20"/>
          <w:szCs w:val="20"/>
        </w:rPr>
        <w:t xml:space="preserve"> for retailer assistance</w:t>
      </w:r>
      <w:r w:rsidRPr="23CD2EB8">
        <w:rPr>
          <w:rFonts w:ascii="Arial" w:hAnsi="Arial" w:cs="Arial"/>
          <w:color w:val="000000" w:themeColor="text1"/>
          <w:sz w:val="20"/>
          <w:szCs w:val="20"/>
        </w:rPr>
        <w:t xml:space="preserve"> as</w:t>
      </w:r>
      <w:r w:rsidR="00EA2C96">
        <w:rPr>
          <w:rFonts w:ascii="Arial" w:hAnsi="Arial" w:cs="Arial"/>
          <w:color w:val="000000" w:themeColor="text1"/>
          <w:sz w:val="20"/>
          <w:szCs w:val="20"/>
        </w:rPr>
        <w:t xml:space="preserve"> </w:t>
      </w:r>
      <w:r w:rsidR="000209B1" w:rsidRPr="00F45C1B">
        <w:rPr>
          <w:rFonts w:ascii="Arial" w:hAnsi="Arial" w:cs="Arial"/>
          <w:i/>
          <w:iCs/>
          <w:color w:val="000000" w:themeColor="text1"/>
          <w:sz w:val="20"/>
          <w:szCs w:val="20"/>
        </w:rPr>
        <w:t>only</w:t>
      </w:r>
      <w:r w:rsidRPr="23CD2EB8">
        <w:rPr>
          <w:rStyle w:val="apple-converted-space"/>
          <w:rFonts w:ascii="Arial" w:eastAsiaTheme="majorEastAsia" w:hAnsi="Arial" w:cs="Arial"/>
          <w:color w:val="000000" w:themeColor="text1"/>
          <w:sz w:val="20"/>
          <w:szCs w:val="20"/>
        </w:rPr>
        <w:t> </w:t>
      </w:r>
      <w:r w:rsidRPr="23CD2EB8">
        <w:rPr>
          <w:rStyle w:val="Emphasis"/>
          <w:rFonts w:ascii="Arial" w:eastAsiaTheme="majorEastAsia" w:hAnsi="Arial" w:cs="Arial"/>
          <w:color w:val="000000" w:themeColor="text1"/>
          <w:sz w:val="20"/>
          <w:szCs w:val="20"/>
        </w:rPr>
        <w:t>prima facie</w:t>
      </w:r>
      <w:r w:rsidRPr="23CD2EB8">
        <w:rPr>
          <w:rStyle w:val="apple-converted-space"/>
          <w:rFonts w:ascii="Arial" w:eastAsiaTheme="majorEastAsia" w:hAnsi="Arial" w:cs="Arial"/>
          <w:color w:val="000000" w:themeColor="text1"/>
          <w:sz w:val="20"/>
          <w:szCs w:val="20"/>
        </w:rPr>
        <w:t> </w:t>
      </w:r>
      <w:r w:rsidRPr="23CD2EB8">
        <w:rPr>
          <w:rFonts w:ascii="Arial" w:hAnsi="Arial" w:cs="Arial"/>
          <w:color w:val="000000" w:themeColor="text1"/>
          <w:sz w:val="20"/>
          <w:szCs w:val="20"/>
        </w:rPr>
        <w:t>evidence of assistanc</w:t>
      </w:r>
      <w:r w:rsidR="22F5E1CB" w:rsidRPr="23CD2EB8">
        <w:rPr>
          <w:rFonts w:ascii="Arial" w:hAnsi="Arial" w:cs="Arial"/>
          <w:color w:val="000000" w:themeColor="text1"/>
          <w:sz w:val="20"/>
          <w:szCs w:val="20"/>
        </w:rPr>
        <w:t xml:space="preserve">e. </w:t>
      </w:r>
      <w:r w:rsidR="00F45C1B" w:rsidRPr="00F45C1B">
        <w:rPr>
          <w:rFonts w:ascii="Arial" w:hAnsi="Arial" w:cs="Arial"/>
          <w:color w:val="000000" w:themeColor="text1"/>
          <w:sz w:val="20"/>
          <w:szCs w:val="20"/>
        </w:rPr>
        <w:t xml:space="preserve">A presumption that may be rebutted, </w:t>
      </w:r>
      <w:r w:rsidR="00F45C1B">
        <w:rPr>
          <w:rFonts w:ascii="Arial" w:hAnsi="Arial" w:cs="Arial"/>
          <w:color w:val="000000" w:themeColor="text1"/>
          <w:sz w:val="20"/>
          <w:szCs w:val="20"/>
        </w:rPr>
        <w:t>if</w:t>
      </w:r>
      <w:r w:rsidR="00F45C1B" w:rsidRPr="00F45C1B">
        <w:rPr>
          <w:rFonts w:ascii="Arial" w:hAnsi="Arial" w:cs="Arial"/>
          <w:color w:val="000000" w:themeColor="text1"/>
          <w:sz w:val="20"/>
          <w:szCs w:val="20"/>
        </w:rPr>
        <w:t xml:space="preserve"> </w:t>
      </w:r>
      <w:r w:rsidR="00F45C1B">
        <w:rPr>
          <w:rFonts w:ascii="Arial" w:hAnsi="Arial" w:cs="Arial"/>
          <w:color w:val="000000" w:themeColor="text1"/>
          <w:sz w:val="20"/>
          <w:szCs w:val="20"/>
        </w:rPr>
        <w:t>a holistic analysis of the</w:t>
      </w:r>
      <w:r w:rsidR="00F45C1B" w:rsidRPr="00F45C1B">
        <w:rPr>
          <w:rFonts w:ascii="Arial" w:hAnsi="Arial" w:cs="Arial"/>
          <w:color w:val="000000" w:themeColor="text1"/>
          <w:sz w:val="20"/>
          <w:szCs w:val="20"/>
        </w:rPr>
        <w:t xml:space="preserve"> facts before the </w:t>
      </w:r>
      <w:r w:rsidR="00F45C1B">
        <w:rPr>
          <w:rFonts w:ascii="Arial" w:hAnsi="Arial" w:cs="Arial"/>
          <w:color w:val="000000" w:themeColor="text1"/>
          <w:sz w:val="20"/>
          <w:szCs w:val="20"/>
        </w:rPr>
        <w:t xml:space="preserve">regulator </w:t>
      </w:r>
      <w:r w:rsidR="00F45C1B" w:rsidRPr="00F45C1B">
        <w:rPr>
          <w:rFonts w:ascii="Arial" w:hAnsi="Arial" w:cs="Arial"/>
          <w:color w:val="000000" w:themeColor="text1"/>
          <w:sz w:val="20"/>
          <w:szCs w:val="20"/>
        </w:rPr>
        <w:t>support</w:t>
      </w:r>
      <w:r w:rsidR="00F45C1B">
        <w:rPr>
          <w:rFonts w:ascii="Arial" w:hAnsi="Arial" w:cs="Arial"/>
          <w:color w:val="000000" w:themeColor="text1"/>
          <w:sz w:val="20"/>
          <w:szCs w:val="20"/>
        </w:rPr>
        <w:t>s, on balance,</w:t>
      </w:r>
      <w:r w:rsidR="00F45C1B" w:rsidRPr="00F45C1B">
        <w:rPr>
          <w:rFonts w:ascii="Arial" w:hAnsi="Arial" w:cs="Arial"/>
          <w:color w:val="000000" w:themeColor="text1"/>
          <w:sz w:val="20"/>
          <w:szCs w:val="20"/>
        </w:rPr>
        <w:t xml:space="preserve"> </w:t>
      </w:r>
      <w:r w:rsidR="00F45C1B">
        <w:rPr>
          <w:rFonts w:ascii="Arial" w:hAnsi="Arial" w:cs="Arial"/>
          <w:color w:val="000000" w:themeColor="text1"/>
          <w:sz w:val="20"/>
          <w:szCs w:val="20"/>
        </w:rPr>
        <w:t xml:space="preserve">a </w:t>
      </w:r>
      <w:r w:rsidR="00F45C1B" w:rsidRPr="00F45C1B">
        <w:rPr>
          <w:rFonts w:ascii="Arial" w:hAnsi="Arial" w:cs="Arial"/>
          <w:color w:val="000000" w:themeColor="text1"/>
          <w:sz w:val="20"/>
          <w:szCs w:val="20"/>
        </w:rPr>
        <w:t>conclusion that the retailer has failed to comply with its obligation to assist customers experiencing energy hardship.</w:t>
      </w:r>
      <w:r w:rsidR="00CE7469">
        <w:rPr>
          <w:rFonts w:ascii="Arial" w:hAnsi="Arial" w:cs="Arial"/>
          <w:color w:val="000000" w:themeColor="text1"/>
          <w:sz w:val="20"/>
          <w:szCs w:val="20"/>
        </w:rPr>
        <w:t xml:space="preserve"> </w:t>
      </w:r>
      <w:r w:rsidRPr="23CD2EB8">
        <w:rPr>
          <w:rFonts w:ascii="Arial" w:hAnsi="Arial" w:cs="Arial"/>
          <w:color w:val="000000" w:themeColor="text1"/>
          <w:sz w:val="20"/>
          <w:szCs w:val="20"/>
        </w:rPr>
        <w:t>This approach would allow minimum standards to establish a clear baselin</w:t>
      </w:r>
      <w:r w:rsidR="6A06B63A" w:rsidRPr="23CD2EB8">
        <w:rPr>
          <w:rFonts w:ascii="Arial" w:hAnsi="Arial" w:cs="Arial"/>
          <w:color w:val="000000" w:themeColor="text1"/>
          <w:sz w:val="20"/>
          <w:szCs w:val="20"/>
        </w:rPr>
        <w:t xml:space="preserve">e facilitating greater clarity and accountability </w:t>
      </w:r>
      <w:r w:rsidRPr="23CD2EB8">
        <w:rPr>
          <w:rFonts w:ascii="Arial" w:hAnsi="Arial" w:cs="Arial"/>
          <w:color w:val="000000" w:themeColor="text1"/>
          <w:sz w:val="20"/>
          <w:szCs w:val="20"/>
        </w:rPr>
        <w:t>without displacing the substantive obligation to provide genuine and effective hardship assistance.</w:t>
      </w:r>
    </w:p>
    <w:p w14:paraId="1B26D52B" w14:textId="051C49C1" w:rsidR="006F0CF2" w:rsidRPr="00A5785F" w:rsidRDefault="006F0CF2" w:rsidP="00FE430A">
      <w:pPr>
        <w:pStyle w:val="ListParagraph"/>
        <w:numPr>
          <w:ilvl w:val="0"/>
          <w:numId w:val="16"/>
        </w:numPr>
        <w:jc w:val="both"/>
        <w:rPr>
          <w:rFonts w:cs="Arial"/>
          <w:b/>
          <w:bCs/>
          <w:szCs w:val="20"/>
        </w:rPr>
      </w:pPr>
      <w:r w:rsidRPr="00A5785F">
        <w:rPr>
          <w:rFonts w:cs="Arial"/>
          <w:b/>
          <w:bCs/>
          <w:szCs w:val="20"/>
        </w:rPr>
        <w:t xml:space="preserve">Recommends the AER consider the impact on </w:t>
      </w:r>
      <w:r w:rsidR="00A10514" w:rsidRPr="00A5785F">
        <w:rPr>
          <w:rFonts w:cs="Arial"/>
          <w:b/>
          <w:bCs/>
          <w:szCs w:val="20"/>
        </w:rPr>
        <w:t>consumer and regulator</w:t>
      </w:r>
      <w:r w:rsidRPr="00A5785F">
        <w:rPr>
          <w:rFonts w:cs="Arial"/>
          <w:b/>
          <w:bCs/>
          <w:szCs w:val="20"/>
        </w:rPr>
        <w:t xml:space="preserve"> ability to surface issues and take enforcement action when </w:t>
      </w:r>
      <w:r w:rsidR="00412355" w:rsidRPr="00A5785F">
        <w:rPr>
          <w:rFonts w:cs="Arial"/>
          <w:b/>
          <w:bCs/>
          <w:szCs w:val="20"/>
        </w:rPr>
        <w:t xml:space="preserve">retail guidelines are opaque. </w:t>
      </w:r>
    </w:p>
    <w:p w14:paraId="53A2942B" w14:textId="24E93039" w:rsidR="00A5785F" w:rsidRPr="00A5785F" w:rsidRDefault="00BD0F1A" w:rsidP="00F75B76">
      <w:pPr>
        <w:pStyle w:val="NormalWeb"/>
        <w:jc w:val="both"/>
        <w:rPr>
          <w:rFonts w:ascii="Arial" w:hAnsi="Arial" w:cs="Arial"/>
          <w:color w:val="000000"/>
          <w:sz w:val="20"/>
          <w:szCs w:val="20"/>
        </w:rPr>
      </w:pPr>
      <w:r>
        <w:rPr>
          <w:rFonts w:ascii="Arial" w:hAnsi="Arial" w:cs="Arial"/>
          <w:color w:val="000000" w:themeColor="text1"/>
          <w:sz w:val="20"/>
          <w:szCs w:val="20"/>
        </w:rPr>
        <w:t>Customers require</w:t>
      </w:r>
      <w:r w:rsidR="6A06B63A" w:rsidRPr="23CD2EB8">
        <w:rPr>
          <w:rFonts w:ascii="Arial" w:hAnsi="Arial" w:cs="Arial"/>
          <w:color w:val="000000" w:themeColor="text1"/>
          <w:sz w:val="20"/>
          <w:szCs w:val="20"/>
        </w:rPr>
        <w:t xml:space="preserve"> clear, authoritative statements setting out minimum expectations, or plain language that provides a reliable reference point for assessing whether the assistance offered </w:t>
      </w:r>
      <w:r w:rsidR="58B58225" w:rsidRPr="23CD2EB8">
        <w:rPr>
          <w:rFonts w:ascii="Arial" w:hAnsi="Arial" w:cs="Arial"/>
          <w:color w:val="000000" w:themeColor="text1"/>
          <w:sz w:val="20"/>
          <w:szCs w:val="20"/>
        </w:rPr>
        <w:t xml:space="preserve">by a retailer </w:t>
      </w:r>
      <w:r w:rsidR="6A06B63A" w:rsidRPr="23CD2EB8">
        <w:rPr>
          <w:rFonts w:ascii="Arial" w:hAnsi="Arial" w:cs="Arial"/>
          <w:color w:val="000000" w:themeColor="text1"/>
          <w:sz w:val="20"/>
          <w:szCs w:val="20"/>
        </w:rPr>
        <w:t>was adequate</w:t>
      </w:r>
      <w:r>
        <w:rPr>
          <w:rFonts w:ascii="Arial" w:hAnsi="Arial" w:cs="Arial"/>
          <w:color w:val="000000" w:themeColor="text1"/>
          <w:sz w:val="20"/>
          <w:szCs w:val="20"/>
        </w:rPr>
        <w:t>. Without them,</w:t>
      </w:r>
      <w:r w:rsidRPr="23CD2EB8">
        <w:rPr>
          <w:rFonts w:ascii="Arial" w:hAnsi="Arial" w:cs="Arial"/>
          <w:color w:val="000000" w:themeColor="text1"/>
          <w:sz w:val="20"/>
          <w:szCs w:val="20"/>
        </w:rPr>
        <w:t xml:space="preserve"> </w:t>
      </w:r>
      <w:r w:rsidR="6A06B63A" w:rsidRPr="23CD2EB8">
        <w:rPr>
          <w:rFonts w:ascii="Arial" w:hAnsi="Arial" w:cs="Arial"/>
          <w:color w:val="000000" w:themeColor="text1"/>
          <w:sz w:val="20"/>
          <w:szCs w:val="20"/>
        </w:rPr>
        <w:t>customers who have experienced conduct they view as “unfair” or “unhelpful”</w:t>
      </w:r>
      <w:r w:rsidR="58B58225" w:rsidRPr="23CD2EB8">
        <w:rPr>
          <w:rFonts w:ascii="Arial" w:hAnsi="Arial" w:cs="Arial"/>
          <w:color w:val="000000" w:themeColor="text1"/>
          <w:sz w:val="20"/>
          <w:szCs w:val="20"/>
        </w:rPr>
        <w:t xml:space="preserve"> may not identify retailer failure to provide payment difficulty assistance</w:t>
      </w:r>
      <w:r w:rsidR="2522F1E3" w:rsidRPr="23CD2EB8">
        <w:rPr>
          <w:rFonts w:ascii="Arial" w:hAnsi="Arial" w:cs="Arial"/>
          <w:color w:val="000000" w:themeColor="text1"/>
          <w:sz w:val="20"/>
          <w:szCs w:val="20"/>
        </w:rPr>
        <w:t xml:space="preserve">. Lacking the vocabulary required to describe their experience in a way that </w:t>
      </w:r>
      <w:r w:rsidR="606E0DB6" w:rsidRPr="23CD2EB8">
        <w:rPr>
          <w:rFonts w:ascii="Arial" w:hAnsi="Arial" w:cs="Arial"/>
          <w:color w:val="000000" w:themeColor="text1"/>
          <w:sz w:val="20"/>
          <w:szCs w:val="20"/>
        </w:rPr>
        <w:t xml:space="preserve">correlates with </w:t>
      </w:r>
      <w:r w:rsidR="2522F1E3" w:rsidRPr="23CD2EB8">
        <w:rPr>
          <w:rFonts w:ascii="Arial" w:hAnsi="Arial" w:cs="Arial"/>
          <w:color w:val="000000" w:themeColor="text1"/>
          <w:sz w:val="20"/>
          <w:szCs w:val="20"/>
        </w:rPr>
        <w:t xml:space="preserve">an enforceable retailer obligation to </w:t>
      </w:r>
      <w:bookmarkStart w:id="0" w:name="_Int_dxqp3oy7"/>
      <w:r w:rsidR="2522F1E3" w:rsidRPr="23CD2EB8">
        <w:rPr>
          <w:rFonts w:ascii="Arial" w:hAnsi="Arial" w:cs="Arial"/>
          <w:color w:val="000000" w:themeColor="text1"/>
          <w:sz w:val="20"/>
          <w:szCs w:val="20"/>
        </w:rPr>
        <w:t>provide assistance</w:t>
      </w:r>
      <w:bookmarkEnd w:id="0"/>
      <w:r w:rsidR="2522F1E3" w:rsidRPr="23CD2EB8">
        <w:rPr>
          <w:rFonts w:ascii="Arial" w:hAnsi="Arial" w:cs="Arial"/>
          <w:color w:val="000000" w:themeColor="text1"/>
          <w:sz w:val="20"/>
          <w:szCs w:val="20"/>
        </w:rPr>
        <w:t xml:space="preserve">, these customers may be discouraged from seeking redress or lodging complaints. Similarly, where retailer obligations are framed in high-level or discretionary terms, customers may be discouraged from lodging complaints due to an inability to distinguish between what a retailer is required to do and what may be offered at the retailer’s discretion. </w:t>
      </w:r>
    </w:p>
    <w:p w14:paraId="07AC0CCE" w14:textId="5277A931" w:rsidR="00373C87" w:rsidRDefault="00373C87" w:rsidP="00F75B76">
      <w:pPr>
        <w:pStyle w:val="NormalWeb"/>
        <w:jc w:val="both"/>
        <w:rPr>
          <w:rFonts w:ascii="Arial" w:hAnsi="Arial" w:cs="Arial"/>
          <w:color w:val="000000"/>
          <w:sz w:val="20"/>
          <w:szCs w:val="20"/>
        </w:rPr>
      </w:pPr>
      <w:r w:rsidRPr="00A5785F">
        <w:rPr>
          <w:rFonts w:ascii="Arial" w:hAnsi="Arial" w:cs="Arial"/>
          <w:color w:val="000000"/>
          <w:sz w:val="20"/>
          <w:szCs w:val="20"/>
        </w:rPr>
        <w:t>In circumstances where fewer complaints are raised or progressed, regulators may have less visibility of emerging issues, including patterns of inadequate assistance or practices that may warrant closer attention. This can limit the effectiveness of existing oversight and feedback mechanisms, particularly where concerns arise from cumulative practices rather than isolated incidents.</w:t>
      </w:r>
    </w:p>
    <w:p w14:paraId="5120A822" w14:textId="670DAA59" w:rsidR="00A95B55" w:rsidRPr="00A5785F" w:rsidRDefault="001D43EA" w:rsidP="00FE430A">
      <w:pPr>
        <w:pStyle w:val="ListParagraph"/>
        <w:numPr>
          <w:ilvl w:val="0"/>
          <w:numId w:val="16"/>
        </w:numPr>
        <w:jc w:val="both"/>
        <w:rPr>
          <w:rFonts w:cs="Arial"/>
          <w:szCs w:val="20"/>
        </w:rPr>
      </w:pPr>
      <w:r w:rsidRPr="00A5785F">
        <w:rPr>
          <w:rFonts w:cs="Arial"/>
          <w:b/>
          <w:bCs/>
          <w:szCs w:val="20"/>
        </w:rPr>
        <w:t>R</w:t>
      </w:r>
      <w:r w:rsidR="00504132" w:rsidRPr="00A5785F">
        <w:rPr>
          <w:rFonts w:cs="Arial"/>
          <w:b/>
          <w:bCs/>
          <w:szCs w:val="20"/>
        </w:rPr>
        <w:t>ecommends the AER give due consideration to</w:t>
      </w:r>
      <w:r w:rsidR="006F0CF2" w:rsidRPr="00A5785F">
        <w:rPr>
          <w:rFonts w:cs="Arial"/>
          <w:b/>
          <w:bCs/>
          <w:szCs w:val="20"/>
        </w:rPr>
        <w:t xml:space="preserve"> underlying</w:t>
      </w:r>
      <w:r w:rsidR="00504132" w:rsidRPr="00A5785F">
        <w:rPr>
          <w:rFonts w:cs="Arial"/>
          <w:b/>
          <w:bCs/>
          <w:szCs w:val="20"/>
        </w:rPr>
        <w:t xml:space="preserve"> </w:t>
      </w:r>
      <w:r w:rsidRPr="00A5785F">
        <w:rPr>
          <w:rFonts w:cs="Arial"/>
          <w:b/>
          <w:bCs/>
          <w:szCs w:val="20"/>
        </w:rPr>
        <w:t xml:space="preserve">structural factors driving retailer behaviour when determining the appropriate balance between prescription and discretion </w:t>
      </w:r>
      <w:r w:rsidR="006F0CF2" w:rsidRPr="00A5785F">
        <w:rPr>
          <w:rFonts w:cs="Arial"/>
          <w:b/>
          <w:bCs/>
          <w:szCs w:val="20"/>
        </w:rPr>
        <w:t>in</w:t>
      </w:r>
      <w:r w:rsidRPr="00A5785F">
        <w:rPr>
          <w:rFonts w:cs="Arial"/>
          <w:b/>
          <w:bCs/>
          <w:szCs w:val="20"/>
        </w:rPr>
        <w:t xml:space="preserve"> retail hardship guidelines</w:t>
      </w:r>
    </w:p>
    <w:p w14:paraId="54137899" w14:textId="3BB65618" w:rsidR="002521F6" w:rsidRPr="00A5785F" w:rsidRDefault="00A95B55" w:rsidP="00FE430A">
      <w:pPr>
        <w:jc w:val="both"/>
        <w:rPr>
          <w:rFonts w:cs="Arial"/>
          <w:color w:val="000000"/>
          <w:szCs w:val="20"/>
        </w:rPr>
      </w:pPr>
      <w:r w:rsidRPr="00A5785F">
        <w:rPr>
          <w:rFonts w:cs="Arial"/>
          <w:color w:val="000000"/>
          <w:szCs w:val="20"/>
        </w:rPr>
        <w:t>The context in which most Australian energy retailers</w:t>
      </w:r>
      <w:r w:rsidR="00D62827" w:rsidRPr="00A5785F">
        <w:rPr>
          <w:rFonts w:cs="Arial"/>
          <w:color w:val="000000"/>
          <w:szCs w:val="20"/>
        </w:rPr>
        <w:t xml:space="preserve"> operate</w:t>
      </w:r>
      <w:r w:rsidRPr="00A5785F">
        <w:rPr>
          <w:rFonts w:cs="Arial"/>
          <w:color w:val="000000"/>
          <w:szCs w:val="20"/>
        </w:rPr>
        <w:t xml:space="preserve"> </w:t>
      </w:r>
      <w:r w:rsidR="00D62827" w:rsidRPr="00A5785F">
        <w:rPr>
          <w:rFonts w:cs="Arial"/>
          <w:color w:val="000000"/>
          <w:szCs w:val="20"/>
        </w:rPr>
        <w:t>(</w:t>
      </w:r>
      <w:r w:rsidRPr="00A5785F">
        <w:rPr>
          <w:rFonts w:cs="Arial"/>
          <w:color w:val="000000"/>
          <w:szCs w:val="20"/>
        </w:rPr>
        <w:t xml:space="preserve">a </w:t>
      </w:r>
      <w:r w:rsidR="002521F6" w:rsidRPr="00A5785F">
        <w:rPr>
          <w:rFonts w:cs="Arial"/>
          <w:color w:val="000000"/>
          <w:szCs w:val="20"/>
        </w:rPr>
        <w:t xml:space="preserve">competitive </w:t>
      </w:r>
      <w:r w:rsidRPr="00A5785F">
        <w:rPr>
          <w:rFonts w:cs="Arial"/>
          <w:color w:val="000000"/>
          <w:szCs w:val="20"/>
        </w:rPr>
        <w:t xml:space="preserve">market economy, </w:t>
      </w:r>
      <w:r w:rsidR="00AF2CFF" w:rsidRPr="00A5785F">
        <w:rPr>
          <w:rFonts w:cs="Arial"/>
          <w:color w:val="000000"/>
          <w:szCs w:val="20"/>
        </w:rPr>
        <w:t>in which corporate governance structures</w:t>
      </w:r>
      <w:r w:rsidR="00D62827" w:rsidRPr="00A5785F">
        <w:rPr>
          <w:rFonts w:cs="Arial"/>
          <w:color w:val="000000"/>
          <w:szCs w:val="20"/>
        </w:rPr>
        <w:t xml:space="preserve"> and fiduciary duties </w:t>
      </w:r>
      <w:r w:rsidR="002521F6" w:rsidRPr="00A5785F">
        <w:rPr>
          <w:rFonts w:cs="Arial"/>
          <w:color w:val="000000"/>
          <w:szCs w:val="20"/>
        </w:rPr>
        <w:t xml:space="preserve">drive retail staff and office holders to maximise shareholder value) creates strong </w:t>
      </w:r>
      <w:r w:rsidR="00373C87" w:rsidRPr="00A5785F">
        <w:rPr>
          <w:rFonts w:cs="Arial"/>
          <w:color w:val="000000"/>
          <w:szCs w:val="20"/>
        </w:rPr>
        <w:t xml:space="preserve">natural </w:t>
      </w:r>
      <w:r w:rsidR="002521F6" w:rsidRPr="00A5785F">
        <w:rPr>
          <w:rFonts w:cs="Arial"/>
          <w:color w:val="000000"/>
          <w:szCs w:val="20"/>
        </w:rPr>
        <w:t xml:space="preserve">incentives to maximise profits and contain costs. </w:t>
      </w:r>
    </w:p>
    <w:p w14:paraId="302EFB92" w14:textId="396EBBAD" w:rsidR="002521F6" w:rsidRPr="00A5785F" w:rsidRDefault="006F0CF2" w:rsidP="00FE430A">
      <w:pPr>
        <w:jc w:val="both"/>
        <w:rPr>
          <w:rFonts w:cs="Arial"/>
          <w:szCs w:val="20"/>
        </w:rPr>
      </w:pPr>
      <w:r w:rsidRPr="00A5785F">
        <w:rPr>
          <w:rFonts w:cs="Arial"/>
          <w:color w:val="000000"/>
          <w:szCs w:val="20"/>
        </w:rPr>
        <w:t>In</w:t>
      </w:r>
      <w:r w:rsidR="002521F6" w:rsidRPr="00A5785F">
        <w:rPr>
          <w:rFonts w:cs="Arial"/>
          <w:color w:val="000000"/>
          <w:szCs w:val="20"/>
        </w:rPr>
        <w:t xml:space="preserve"> this context, </w:t>
      </w:r>
      <w:r w:rsidRPr="00A5785F">
        <w:rPr>
          <w:rFonts w:cs="Arial"/>
          <w:szCs w:val="20"/>
        </w:rPr>
        <w:t>r</w:t>
      </w:r>
      <w:r w:rsidR="002521F6" w:rsidRPr="00A5785F">
        <w:rPr>
          <w:rFonts w:cs="Arial"/>
          <w:szCs w:val="20"/>
        </w:rPr>
        <w:t>etailers have an inherent commercial incentive to minimise hardship program enrolments</w:t>
      </w:r>
      <w:r w:rsidR="005943B1" w:rsidRPr="00A5785F">
        <w:rPr>
          <w:rFonts w:cs="Arial"/>
          <w:szCs w:val="20"/>
        </w:rPr>
        <w:t xml:space="preserve"> and assistance. </w:t>
      </w:r>
      <w:r w:rsidR="00373C87" w:rsidRPr="00A5785F">
        <w:rPr>
          <w:rFonts w:cs="Arial"/>
          <w:szCs w:val="20"/>
        </w:rPr>
        <w:t>This is because, c</w:t>
      </w:r>
      <w:r w:rsidR="005943B1" w:rsidRPr="00A5785F">
        <w:rPr>
          <w:rFonts w:cs="Arial"/>
          <w:szCs w:val="20"/>
        </w:rPr>
        <w:t>ustomers</w:t>
      </w:r>
      <w:r w:rsidR="002521F6" w:rsidRPr="00A5785F">
        <w:rPr>
          <w:rFonts w:cs="Arial"/>
          <w:szCs w:val="20"/>
        </w:rPr>
        <w:t xml:space="preserve"> in hardship</w:t>
      </w:r>
      <w:r w:rsidR="005943B1" w:rsidRPr="00A5785F">
        <w:rPr>
          <w:rFonts w:cs="Arial"/>
          <w:szCs w:val="20"/>
        </w:rPr>
        <w:t xml:space="preserve"> programs</w:t>
      </w:r>
      <w:r w:rsidR="002521F6" w:rsidRPr="00A5785F">
        <w:rPr>
          <w:rFonts w:cs="Arial"/>
          <w:szCs w:val="20"/>
        </w:rPr>
        <w:t xml:space="preserve"> are more likely to be placed on extended payment plans, receive concessions, and </w:t>
      </w:r>
      <w:r w:rsidR="00D061B9">
        <w:rPr>
          <w:rFonts w:cs="Arial"/>
          <w:szCs w:val="20"/>
        </w:rPr>
        <w:t xml:space="preserve">receive </w:t>
      </w:r>
      <w:r w:rsidR="002521F6" w:rsidRPr="00A5785F">
        <w:rPr>
          <w:rFonts w:cs="Arial"/>
          <w:szCs w:val="20"/>
        </w:rPr>
        <w:t xml:space="preserve">protections from </w:t>
      </w:r>
      <w:r w:rsidR="005943B1" w:rsidRPr="00A5785F">
        <w:rPr>
          <w:rFonts w:cs="Arial"/>
          <w:szCs w:val="20"/>
        </w:rPr>
        <w:t>commercial practices that increase retailer revenue, all of which can reduce revenue and increase administration costs for retailers.</w:t>
      </w:r>
    </w:p>
    <w:p w14:paraId="3451A24F" w14:textId="77777777" w:rsidR="005A0CB0" w:rsidRDefault="005943B1" w:rsidP="006F0CF2">
      <w:pPr>
        <w:jc w:val="both"/>
        <w:rPr>
          <w:rFonts w:cs="Arial"/>
          <w:szCs w:val="20"/>
        </w:rPr>
      </w:pPr>
      <w:r w:rsidRPr="00A5785F">
        <w:rPr>
          <w:rFonts w:cs="Arial"/>
          <w:szCs w:val="20"/>
        </w:rPr>
        <w:t xml:space="preserve">To effectively counterbalance </w:t>
      </w:r>
      <w:r w:rsidR="006F0CF2" w:rsidRPr="00A5785F">
        <w:rPr>
          <w:rFonts w:cs="Arial"/>
          <w:szCs w:val="20"/>
        </w:rPr>
        <w:t>these incentives</w:t>
      </w:r>
      <w:r w:rsidR="00373C87" w:rsidRPr="00A5785F">
        <w:rPr>
          <w:rFonts w:cs="Arial"/>
          <w:szCs w:val="20"/>
        </w:rPr>
        <w:t>,</w:t>
      </w:r>
      <w:r w:rsidR="006F0CF2" w:rsidRPr="00A5785F">
        <w:rPr>
          <w:rFonts w:cs="Arial"/>
          <w:szCs w:val="20"/>
        </w:rPr>
        <w:t xml:space="preserve"> </w:t>
      </w:r>
      <w:r w:rsidRPr="00A5785F">
        <w:rPr>
          <w:rFonts w:cs="Arial"/>
          <w:szCs w:val="20"/>
        </w:rPr>
        <w:t xml:space="preserve">enforceable obligations, with financial or reputational consequences for their breach are necessary. </w:t>
      </w:r>
      <w:r w:rsidR="002521F6" w:rsidRPr="00A5785F">
        <w:rPr>
          <w:rFonts w:cs="Arial"/>
          <w:szCs w:val="20"/>
        </w:rPr>
        <w:t>Diluting prescription</w:t>
      </w:r>
      <w:r w:rsidRPr="00A5785F">
        <w:rPr>
          <w:rFonts w:cs="Arial"/>
          <w:szCs w:val="20"/>
        </w:rPr>
        <w:t xml:space="preserve"> in this context</w:t>
      </w:r>
      <w:r w:rsidR="002521F6" w:rsidRPr="00A5785F">
        <w:rPr>
          <w:rFonts w:cs="Arial"/>
          <w:szCs w:val="20"/>
        </w:rPr>
        <w:t xml:space="preserve"> risks weakening these countervailing incentives and undermining the effectiveness of the </w:t>
      </w:r>
      <w:r w:rsidRPr="00A5785F">
        <w:rPr>
          <w:rFonts w:cs="Arial"/>
          <w:szCs w:val="20"/>
        </w:rPr>
        <w:t xml:space="preserve">retail hardship guidelines </w:t>
      </w:r>
      <w:r w:rsidR="002521F6" w:rsidRPr="00A5785F">
        <w:rPr>
          <w:rFonts w:cs="Arial"/>
          <w:szCs w:val="20"/>
        </w:rPr>
        <w:t>as a consumer protection mechanism.</w:t>
      </w:r>
    </w:p>
    <w:p w14:paraId="643833A4" w14:textId="40A50EC8" w:rsidR="002521F6" w:rsidRPr="005A0CB0" w:rsidRDefault="006F0CF2" w:rsidP="005A0CB0">
      <w:pPr>
        <w:pStyle w:val="ListParagraph"/>
        <w:numPr>
          <w:ilvl w:val="0"/>
          <w:numId w:val="16"/>
        </w:numPr>
        <w:jc w:val="both"/>
        <w:rPr>
          <w:rFonts w:cs="Arial"/>
          <w:szCs w:val="20"/>
        </w:rPr>
      </w:pPr>
      <w:r w:rsidRPr="005A0CB0">
        <w:rPr>
          <w:rFonts w:cs="Arial"/>
          <w:b/>
          <w:bCs/>
          <w:color w:val="000000"/>
          <w:szCs w:val="20"/>
        </w:rPr>
        <w:lastRenderedPageBreak/>
        <w:t xml:space="preserve"> Recommends the AER take </w:t>
      </w:r>
      <w:r w:rsidR="00711091" w:rsidRPr="005A0CB0">
        <w:rPr>
          <w:rFonts w:cs="Arial"/>
          <w:b/>
          <w:bCs/>
          <w:color w:val="000000"/>
          <w:szCs w:val="20"/>
        </w:rPr>
        <w:t>into</w:t>
      </w:r>
      <w:r w:rsidRPr="005A0CB0">
        <w:rPr>
          <w:rFonts w:cs="Arial"/>
          <w:b/>
          <w:bCs/>
          <w:color w:val="000000"/>
          <w:szCs w:val="20"/>
        </w:rPr>
        <w:t xml:space="preserve"> consideration the impact of loosely defined retail obligations on consumer advocacy efforts. </w:t>
      </w:r>
    </w:p>
    <w:p w14:paraId="792D168F" w14:textId="77777777" w:rsidR="006F0CF2" w:rsidRPr="00A5785F" w:rsidRDefault="006F0CF2" w:rsidP="006F0CF2">
      <w:pPr>
        <w:jc w:val="both"/>
        <w:rPr>
          <w:rFonts w:cs="Arial"/>
          <w:szCs w:val="20"/>
        </w:rPr>
      </w:pPr>
      <w:r w:rsidRPr="00A5785F">
        <w:rPr>
          <w:rFonts w:cs="Arial"/>
          <w:szCs w:val="20"/>
        </w:rPr>
        <w:t xml:space="preserve">Reduced prescription and uncertainty about the minimum scope and content of hardship obligations significantly weakens the ability of financial counsellors and community advocates to act on behalf of consumers. Many customers experiencing hardship rely on third parties to negotiate with retailers. Where obligations are loosely defined or embedded in unpublished or highly discretionary retailer policies, outcomes can depend on goodwill, internal practices, or the capability of individual staff members, rather than on enforceable rights, or a clear authoritative statement that provide advocates with a reliable basis for engagement and escalation if necessary. </w:t>
      </w:r>
    </w:p>
    <w:p w14:paraId="02D2DD99" w14:textId="6E8BD6F3" w:rsidR="00811DE3" w:rsidRDefault="006F0CF2" w:rsidP="00711091">
      <w:pPr>
        <w:jc w:val="both"/>
        <w:rPr>
          <w:rFonts w:cs="Arial"/>
          <w:szCs w:val="20"/>
        </w:rPr>
      </w:pPr>
      <w:r w:rsidRPr="00A5785F">
        <w:rPr>
          <w:rFonts w:cs="Arial"/>
          <w:szCs w:val="20"/>
        </w:rPr>
        <w:t>This uncertainty can also have a chilling effect on complaints regarding retailer hardship practices, as community organisations must weigh the potential benefit of raising an issue against the risk of damaging working relationships with retailers on which their clients may depend.</w:t>
      </w:r>
    </w:p>
    <w:p w14:paraId="7BF6F9E1" w14:textId="77777777" w:rsidR="005A0CB0" w:rsidRDefault="005A0CB0" w:rsidP="00711091">
      <w:pPr>
        <w:jc w:val="both"/>
        <w:rPr>
          <w:rFonts w:cs="Arial"/>
          <w:szCs w:val="20"/>
        </w:rPr>
      </w:pPr>
    </w:p>
    <w:p w14:paraId="1F3262AB" w14:textId="5D05A985" w:rsidR="00711091" w:rsidRPr="003D6644" w:rsidRDefault="00711091" w:rsidP="00711091">
      <w:pPr>
        <w:jc w:val="both"/>
        <w:rPr>
          <w:rFonts w:eastAsia="Arial" w:cs="Arial"/>
          <w:szCs w:val="20"/>
        </w:rPr>
      </w:pPr>
      <w:r w:rsidRPr="16A3173D">
        <w:rPr>
          <w:rFonts w:cs="Arial"/>
        </w:rPr>
        <w:t xml:space="preserve">Sincerely, </w:t>
      </w:r>
    </w:p>
    <w:p w14:paraId="6B000379" w14:textId="77777777" w:rsidR="00711091" w:rsidRPr="003D6644" w:rsidRDefault="00711091" w:rsidP="00711091">
      <w:pPr>
        <w:jc w:val="both"/>
        <w:rPr>
          <w:rFonts w:eastAsia="Arial" w:cs="Arial"/>
          <w:szCs w:val="20"/>
        </w:rPr>
      </w:pPr>
      <w:r>
        <w:rPr>
          <w:noProof/>
        </w:rPr>
        <w:drawing>
          <wp:inline distT="0" distB="0" distL="0" distR="0" wp14:anchorId="55A7D713" wp14:editId="22F2E2E0">
            <wp:extent cx="1714286" cy="380952"/>
            <wp:effectExtent l="0" t="0" r="635" b="635"/>
            <wp:docPr id="8061011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668881" name="Picture 2049668881"/>
                    <pic:cNvPicPr/>
                  </pic:nvPicPr>
                  <pic:blipFill>
                    <a:blip r:embed="rId11">
                      <a:extLst>
                        <a:ext uri="{28A0092B-C50C-407E-A947-70E740481C1C}">
                          <a14:useLocalDpi xmlns:a14="http://schemas.microsoft.com/office/drawing/2010/main" val="0"/>
                        </a:ext>
                      </a:extLst>
                    </a:blip>
                    <a:stretch>
                      <a:fillRect/>
                    </a:stretch>
                  </pic:blipFill>
                  <pic:spPr>
                    <a:xfrm>
                      <a:off x="0" y="0"/>
                      <a:ext cx="1714286" cy="380952"/>
                    </a:xfrm>
                    <a:prstGeom prst="rect">
                      <a:avLst/>
                    </a:prstGeom>
                  </pic:spPr>
                </pic:pic>
              </a:graphicData>
            </a:graphic>
          </wp:inline>
        </w:drawing>
      </w:r>
    </w:p>
    <w:p w14:paraId="020B51E3" w14:textId="4419C098" w:rsidR="003B0B32" w:rsidRPr="00E7048B" w:rsidRDefault="00711091" w:rsidP="16A3173D">
      <w:pPr>
        <w:rPr>
          <w:rFonts w:eastAsia="Arial" w:cs="Arial"/>
          <w:szCs w:val="20"/>
          <w:lang w:val="en-US" w:eastAsia="en-US"/>
        </w:rPr>
      </w:pPr>
      <w:r w:rsidRPr="16A3173D">
        <w:rPr>
          <w:lang w:eastAsia="en-US"/>
        </w:rPr>
        <w:t>Dr Devin Bowles</w:t>
      </w:r>
      <w:r>
        <w:br/>
      </w:r>
      <w:r w:rsidRPr="16A3173D">
        <w:rPr>
          <w:lang w:val="en-US" w:eastAsia="en-US"/>
        </w:rPr>
        <w:t>Chief Executive Officer</w:t>
      </w:r>
      <w:r>
        <w:br/>
      </w:r>
      <w:r w:rsidRPr="16A3173D">
        <w:rPr>
          <w:lang w:val="en-US" w:eastAsia="en-US"/>
        </w:rPr>
        <w:t>ACT Council of Social Service</w:t>
      </w:r>
      <w:r>
        <w:br/>
      </w:r>
      <w:r w:rsidRPr="16A3173D">
        <w:rPr>
          <w:lang w:val="en-US" w:eastAsia="en-US"/>
        </w:rPr>
        <w:t>devin.bowles@actcoss.org.au</w:t>
      </w:r>
    </w:p>
    <w:sectPr w:rsidR="003B0B32" w:rsidRPr="00E7048B" w:rsidSect="0043669B">
      <w:headerReference w:type="default" r:id="rId12"/>
      <w:footerReference w:type="even" r:id="rId13"/>
      <w:footerReference w:type="default" r:id="rId14"/>
      <w:headerReference w:type="first" r:id="rId15"/>
      <w:footerReference w:type="first" r:id="rId16"/>
      <w:pgSz w:w="11900" w:h="16840"/>
      <w:pgMar w:top="3515" w:right="851" w:bottom="2665" w:left="851" w:header="6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7240B" w14:textId="77777777" w:rsidR="004749B1" w:rsidRDefault="004749B1" w:rsidP="000824AE">
      <w:pPr>
        <w:spacing w:after="0" w:line="240" w:lineRule="auto"/>
      </w:pPr>
      <w:r>
        <w:separator/>
      </w:r>
    </w:p>
  </w:endnote>
  <w:endnote w:type="continuationSeparator" w:id="0">
    <w:p w14:paraId="30D93CDA" w14:textId="77777777" w:rsidR="004749B1" w:rsidRDefault="004749B1" w:rsidP="000824AE">
      <w:pPr>
        <w:spacing w:after="0" w:line="240" w:lineRule="auto"/>
      </w:pPr>
      <w:r>
        <w:continuationSeparator/>
      </w:r>
    </w:p>
  </w:endnote>
  <w:endnote w:type="continuationNotice" w:id="1">
    <w:p w14:paraId="3B851FB4" w14:textId="77777777" w:rsidR="004749B1" w:rsidRDefault="004749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Inter">
    <w:altName w:val="Calibri"/>
    <w:charset w:val="00"/>
    <w:family w:val="swiss"/>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862821"/>
      <w:docPartObj>
        <w:docPartGallery w:val="Page Numbers (Bottom of Page)"/>
        <w:docPartUnique/>
      </w:docPartObj>
    </w:sdtPr>
    <w:sdtEndPr>
      <w:rPr>
        <w:rStyle w:val="PageNumber"/>
      </w:rPr>
    </w:sdtEndPr>
    <w:sdtContent>
      <w:p w14:paraId="715643B1" w14:textId="77777777" w:rsidR="001C7FB7" w:rsidRDefault="00245827" w:rsidP="002458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56FC741" w14:textId="77777777" w:rsidR="001C7FB7" w:rsidRDefault="001C7FB7" w:rsidP="002458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6174255"/>
      <w:docPartObj>
        <w:docPartGallery w:val="Page Numbers (Bottom of Page)"/>
        <w:docPartUnique/>
      </w:docPartObj>
    </w:sdtPr>
    <w:sdtEndPr>
      <w:rPr>
        <w:rStyle w:val="PageNumber"/>
        <w:sz w:val="19"/>
        <w:szCs w:val="19"/>
      </w:rPr>
    </w:sdtEndPr>
    <w:sdtContent>
      <w:p w14:paraId="19BFDAA2" w14:textId="77777777" w:rsidR="001C7FB7" w:rsidRPr="00B77E46" w:rsidRDefault="00245827" w:rsidP="00245827">
        <w:pPr>
          <w:pStyle w:val="Footer"/>
          <w:framePr w:wrap="none" w:vAnchor="text" w:hAnchor="margin" w:xAlign="right" w:y="1"/>
          <w:rPr>
            <w:rStyle w:val="PageNumber"/>
            <w:sz w:val="19"/>
            <w:szCs w:val="19"/>
          </w:rPr>
        </w:pPr>
        <w:r w:rsidRPr="00B77E46">
          <w:rPr>
            <w:rStyle w:val="PageNumber"/>
            <w:sz w:val="19"/>
            <w:szCs w:val="19"/>
          </w:rPr>
          <w:fldChar w:fldCharType="begin"/>
        </w:r>
        <w:r w:rsidRPr="00B77E46">
          <w:rPr>
            <w:rStyle w:val="PageNumber"/>
            <w:sz w:val="19"/>
            <w:szCs w:val="19"/>
          </w:rPr>
          <w:instrText xml:space="preserve"> PAGE </w:instrText>
        </w:r>
        <w:r w:rsidRPr="00B77E46">
          <w:rPr>
            <w:rStyle w:val="PageNumber"/>
            <w:sz w:val="19"/>
            <w:szCs w:val="19"/>
          </w:rPr>
          <w:fldChar w:fldCharType="separate"/>
        </w:r>
        <w:r w:rsidRPr="00B77E46">
          <w:rPr>
            <w:rStyle w:val="PageNumber"/>
            <w:noProof/>
            <w:sz w:val="19"/>
            <w:szCs w:val="19"/>
          </w:rPr>
          <w:t>2</w:t>
        </w:r>
        <w:r w:rsidRPr="00B77E46">
          <w:rPr>
            <w:rStyle w:val="PageNumber"/>
            <w:sz w:val="19"/>
            <w:szCs w:val="19"/>
          </w:rPr>
          <w:fldChar w:fldCharType="end"/>
        </w:r>
      </w:p>
    </w:sdtContent>
  </w:sdt>
  <w:p w14:paraId="70334AE5" w14:textId="77777777" w:rsidR="001C7FB7" w:rsidRDefault="00245827" w:rsidP="00245827">
    <w:pPr>
      <w:pStyle w:val="Footer"/>
      <w:ind w:right="360"/>
    </w:pPr>
    <w:r w:rsidRPr="00B77E46">
      <w:rPr>
        <w:rFonts w:cs="Arial"/>
        <w:color w:val="211D1E"/>
        <w:sz w:val="19"/>
        <w:szCs w:val="19"/>
      </w:rPr>
      <w:t>ABN 81 818 839 988</w:t>
    </w:r>
    <w:r>
      <w:rPr>
        <w:noProof/>
      </w:rPr>
      <w:drawing>
        <wp:anchor distT="0" distB="0" distL="114300" distR="114300" simplePos="0" relativeHeight="251658242" behindDoc="1" locked="0" layoutInCell="1" allowOverlap="1" wp14:anchorId="58B7CC04" wp14:editId="1E1A9417">
          <wp:simplePos x="0" y="0"/>
          <wp:positionH relativeFrom="column">
            <wp:posOffset>-560556</wp:posOffset>
          </wp:positionH>
          <wp:positionV relativeFrom="paragraph">
            <wp:posOffset>-2109087</wp:posOffset>
          </wp:positionV>
          <wp:extent cx="7584142" cy="2688842"/>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85564" cy="2689346"/>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9"/>
        <w:szCs w:val="19"/>
      </w:rPr>
      <w:id w:val="-1083987545"/>
      <w:docPartObj>
        <w:docPartGallery w:val="Page Numbers (Bottom of Page)"/>
        <w:docPartUnique/>
      </w:docPartObj>
    </w:sdtPr>
    <w:sdtEndPr>
      <w:rPr>
        <w:rStyle w:val="PageNumber"/>
      </w:rPr>
    </w:sdtEndPr>
    <w:sdtContent>
      <w:p w14:paraId="75CB69B2" w14:textId="77777777" w:rsidR="001C7FB7" w:rsidRPr="00B77E46" w:rsidRDefault="00245827" w:rsidP="00245827">
        <w:pPr>
          <w:pStyle w:val="Footer"/>
          <w:framePr w:wrap="none" w:vAnchor="text" w:hAnchor="margin" w:xAlign="right" w:y="1"/>
          <w:rPr>
            <w:rStyle w:val="PageNumber"/>
            <w:sz w:val="19"/>
            <w:szCs w:val="19"/>
          </w:rPr>
        </w:pPr>
        <w:r w:rsidRPr="00B77E46">
          <w:rPr>
            <w:rStyle w:val="PageNumber"/>
            <w:sz w:val="19"/>
            <w:szCs w:val="19"/>
          </w:rPr>
          <w:fldChar w:fldCharType="begin"/>
        </w:r>
        <w:r w:rsidRPr="00B77E46">
          <w:rPr>
            <w:rStyle w:val="PageNumber"/>
            <w:sz w:val="19"/>
            <w:szCs w:val="19"/>
          </w:rPr>
          <w:instrText xml:space="preserve"> PAGE </w:instrText>
        </w:r>
        <w:r w:rsidRPr="00B77E46">
          <w:rPr>
            <w:rStyle w:val="PageNumber"/>
            <w:sz w:val="19"/>
            <w:szCs w:val="19"/>
          </w:rPr>
          <w:fldChar w:fldCharType="separate"/>
        </w:r>
        <w:r w:rsidRPr="00B77E46">
          <w:rPr>
            <w:rStyle w:val="PageNumber"/>
            <w:noProof/>
            <w:sz w:val="19"/>
            <w:szCs w:val="19"/>
          </w:rPr>
          <w:t>1</w:t>
        </w:r>
        <w:r w:rsidRPr="00B77E46">
          <w:rPr>
            <w:rStyle w:val="PageNumber"/>
            <w:sz w:val="19"/>
            <w:szCs w:val="19"/>
          </w:rPr>
          <w:fldChar w:fldCharType="end"/>
        </w:r>
      </w:p>
    </w:sdtContent>
  </w:sdt>
  <w:p w14:paraId="17A2BA7E" w14:textId="77777777" w:rsidR="001C7FB7" w:rsidRPr="00B77E46" w:rsidRDefault="00245827" w:rsidP="00245827">
    <w:pPr>
      <w:pStyle w:val="Pa1"/>
      <w:spacing w:after="120" w:line="200" w:lineRule="atLeast"/>
      <w:rPr>
        <w:rFonts w:ascii="Arial" w:hAnsi="Arial" w:cs="Arial"/>
        <w:color w:val="211D1E"/>
        <w:sz w:val="19"/>
        <w:szCs w:val="19"/>
      </w:rPr>
    </w:pPr>
    <w:r w:rsidRPr="00B77E46">
      <w:rPr>
        <w:noProof/>
        <w:sz w:val="19"/>
        <w:szCs w:val="19"/>
      </w:rPr>
      <w:drawing>
        <wp:anchor distT="0" distB="0" distL="114300" distR="114300" simplePos="0" relativeHeight="251658241" behindDoc="1" locked="0" layoutInCell="1" allowOverlap="1" wp14:anchorId="34FED558" wp14:editId="2F4B50A9">
          <wp:simplePos x="0" y="0"/>
          <wp:positionH relativeFrom="column">
            <wp:posOffset>-535305</wp:posOffset>
          </wp:positionH>
          <wp:positionV relativeFrom="paragraph">
            <wp:posOffset>-2025131</wp:posOffset>
          </wp:positionV>
          <wp:extent cx="7547610" cy="2675890"/>
          <wp:effectExtent l="0" t="0" r="0"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47610" cy="2675890"/>
                  </a:xfrm>
                  <a:prstGeom prst="rect">
                    <a:avLst/>
                  </a:prstGeom>
                </pic:spPr>
              </pic:pic>
            </a:graphicData>
          </a:graphic>
          <wp14:sizeRelH relativeFrom="page">
            <wp14:pctWidth>0</wp14:pctWidth>
          </wp14:sizeRelH>
          <wp14:sizeRelV relativeFrom="page">
            <wp14:pctHeight>0</wp14:pctHeight>
          </wp14:sizeRelV>
        </wp:anchor>
      </w:drawing>
    </w:r>
    <w:r w:rsidRPr="00B77E46">
      <w:rPr>
        <w:rFonts w:ascii="Arial" w:hAnsi="Arial" w:cs="Arial"/>
        <w:color w:val="211D1E"/>
        <w:sz w:val="19"/>
        <w:szCs w:val="19"/>
      </w:rPr>
      <w:t>ABN 81 818 839 988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84D90" w14:textId="77777777" w:rsidR="004749B1" w:rsidRDefault="004749B1" w:rsidP="000824AE">
      <w:pPr>
        <w:spacing w:after="0" w:line="240" w:lineRule="auto"/>
      </w:pPr>
      <w:r>
        <w:separator/>
      </w:r>
    </w:p>
  </w:footnote>
  <w:footnote w:type="continuationSeparator" w:id="0">
    <w:p w14:paraId="58D4BEE9" w14:textId="77777777" w:rsidR="004749B1" w:rsidRDefault="004749B1" w:rsidP="000824AE">
      <w:pPr>
        <w:spacing w:after="0" w:line="240" w:lineRule="auto"/>
      </w:pPr>
      <w:r>
        <w:continuationSeparator/>
      </w:r>
    </w:p>
  </w:footnote>
  <w:footnote w:type="continuationNotice" w:id="1">
    <w:p w14:paraId="25003BCA" w14:textId="77777777" w:rsidR="004749B1" w:rsidRDefault="004749B1">
      <w:pPr>
        <w:spacing w:after="0" w:line="240" w:lineRule="auto"/>
      </w:pPr>
    </w:p>
  </w:footnote>
  <w:footnote w:id="2">
    <w:p w14:paraId="7CD096F3" w14:textId="2CD6C825" w:rsidR="00E0388A" w:rsidRPr="00E0388A" w:rsidRDefault="00E0388A">
      <w:pPr>
        <w:pStyle w:val="FootnoteText"/>
        <w:rPr>
          <w:rFonts w:cs="Arial"/>
          <w:sz w:val="16"/>
          <w:szCs w:val="16"/>
        </w:rPr>
      </w:pPr>
      <w:r>
        <w:rPr>
          <w:rStyle w:val="FootnoteReference"/>
        </w:rPr>
        <w:footnoteRef/>
      </w:r>
      <w:r>
        <w:t xml:space="preserve"> </w:t>
      </w:r>
      <w:r w:rsidRPr="00E0388A">
        <w:rPr>
          <w:rFonts w:cs="Arial"/>
          <w:sz w:val="16"/>
          <w:szCs w:val="16"/>
        </w:rPr>
        <w:t xml:space="preserve">Australian Energy Regulator, </w:t>
      </w:r>
      <w:r w:rsidRPr="00E0388A">
        <w:rPr>
          <w:rFonts w:cs="Arial"/>
          <w:i/>
          <w:iCs/>
          <w:sz w:val="16"/>
          <w:szCs w:val="16"/>
        </w:rPr>
        <w:t>Customer Hardship Policy Guideline</w:t>
      </w:r>
      <w:r w:rsidRPr="00E0388A">
        <w:rPr>
          <w:rFonts w:cs="Arial"/>
          <w:sz w:val="16"/>
          <w:szCs w:val="16"/>
        </w:rPr>
        <w:t xml:space="preserve"> (Guideline, 2019)</w:t>
      </w:r>
    </w:p>
  </w:footnote>
  <w:footnote w:id="3">
    <w:p w14:paraId="64BC9B52" w14:textId="7566ACA7" w:rsidR="00893D06" w:rsidRPr="00E0388A" w:rsidRDefault="00893D06">
      <w:pPr>
        <w:pStyle w:val="FootnoteText"/>
        <w:rPr>
          <w:sz w:val="16"/>
          <w:szCs w:val="16"/>
        </w:rPr>
      </w:pPr>
      <w:r>
        <w:rPr>
          <w:rStyle w:val="FootnoteReference"/>
        </w:rPr>
        <w:footnoteRef/>
      </w:r>
      <w:r>
        <w:t xml:space="preserve"> </w:t>
      </w:r>
      <w:r w:rsidRPr="00E0388A">
        <w:rPr>
          <w:sz w:val="16"/>
          <w:szCs w:val="16"/>
        </w:rPr>
        <w:t xml:space="preserve">Jacki Schirmer, Suzanne Carroll and Michael Dale, </w:t>
      </w:r>
      <w:r w:rsidRPr="00E0388A">
        <w:rPr>
          <w:i/>
          <w:iCs/>
          <w:sz w:val="16"/>
          <w:szCs w:val="16"/>
        </w:rPr>
        <w:t>Living Well in the ACT Region: Understanding the Changing Wellbeing of Canberrans</w:t>
      </w:r>
      <w:r w:rsidRPr="00E0388A">
        <w:rPr>
          <w:sz w:val="16"/>
          <w:szCs w:val="16"/>
        </w:rPr>
        <w:t>, 2019–2024 (Report, 2025)</w:t>
      </w:r>
    </w:p>
  </w:footnote>
  <w:footnote w:id="4">
    <w:p w14:paraId="377ADFCA" w14:textId="7FE80B84" w:rsidR="00F75B76" w:rsidRPr="00F75B76" w:rsidRDefault="0080254A" w:rsidP="0080254A">
      <w:pPr>
        <w:pStyle w:val="FootnoteText"/>
        <w:rPr>
          <w:sz w:val="16"/>
          <w:szCs w:val="16"/>
        </w:rPr>
      </w:pPr>
      <w:r w:rsidRPr="00F75B76">
        <w:rPr>
          <w:rStyle w:val="FootnoteReference"/>
          <w:sz w:val="16"/>
          <w:szCs w:val="16"/>
        </w:rPr>
        <w:footnoteRef/>
      </w:r>
      <w:r w:rsidRPr="00F75B76">
        <w:rPr>
          <w:sz w:val="16"/>
          <w:szCs w:val="16"/>
        </w:rPr>
        <w:t xml:space="preserve"> Ibid, 36.</w:t>
      </w:r>
    </w:p>
  </w:footnote>
  <w:footnote w:id="5">
    <w:p w14:paraId="7347804F" w14:textId="28C14DC1" w:rsidR="000653C5" w:rsidRDefault="000653C5">
      <w:pPr>
        <w:pStyle w:val="FootnoteText"/>
      </w:pPr>
      <w:r w:rsidRPr="00F75B76">
        <w:rPr>
          <w:rStyle w:val="FootnoteReference"/>
          <w:sz w:val="16"/>
          <w:szCs w:val="16"/>
        </w:rPr>
        <w:footnoteRef/>
      </w:r>
      <w:r w:rsidRPr="00F75B76">
        <w:rPr>
          <w:sz w:val="16"/>
          <w:szCs w:val="16"/>
        </w:rPr>
        <w:t xml:space="preserve"> </w:t>
      </w:r>
      <w:r w:rsidR="00A5785F" w:rsidRPr="00F75B76">
        <w:rPr>
          <w:sz w:val="16"/>
          <w:szCs w:val="16"/>
        </w:rPr>
        <w:t>Ibid</w:t>
      </w:r>
    </w:p>
  </w:footnote>
  <w:footnote w:id="6">
    <w:p w14:paraId="23FBC82E" w14:textId="040EBD92" w:rsidR="00F75B76" w:rsidRPr="00F75B76" w:rsidRDefault="00F75B76">
      <w:pPr>
        <w:pStyle w:val="FootnoteText"/>
        <w:rPr>
          <w:i/>
          <w:iCs/>
          <w:sz w:val="16"/>
          <w:szCs w:val="16"/>
        </w:rPr>
      </w:pPr>
      <w:r>
        <w:rPr>
          <w:rStyle w:val="FootnoteReference"/>
        </w:rPr>
        <w:footnoteRef/>
      </w:r>
      <w:r>
        <w:t xml:space="preserve"> </w:t>
      </w:r>
      <w:r w:rsidRPr="00F75B76">
        <w:rPr>
          <w:i/>
          <w:iCs/>
          <w:sz w:val="16"/>
          <w:szCs w:val="16"/>
        </w:rPr>
        <w:t>ACT Council of Social Service (ACTCOSS), Energy Experiences of Culturally and Linguistically Diverse People in the ACT (Report, September 2025).</w:t>
      </w:r>
      <w:r>
        <w:rPr>
          <w:i/>
          <w:iCs/>
          <w:sz w:val="16"/>
          <w:szCs w:val="16"/>
        </w:rPr>
        <w:t xml:space="preserve"> &lt;</w:t>
      </w:r>
      <w:r w:rsidRPr="00F75B76">
        <w:t xml:space="preserve"> </w:t>
      </w:r>
      <w:hyperlink r:id="rId1" w:history="1">
        <w:r w:rsidRPr="00E21247">
          <w:rPr>
            <w:rStyle w:val="Hyperlink"/>
            <w:i/>
            <w:iCs/>
            <w:sz w:val="16"/>
            <w:szCs w:val="16"/>
          </w:rPr>
          <w:t>https://actcoss.org.au/wp-content/uploads/2025/09/Report-on-the-energy-experiences-of-culturally-and-linguistically-diverse-people-in-the-ACT.pdf</w:t>
        </w:r>
      </w:hyperlink>
      <w:r>
        <w:rPr>
          <w:i/>
          <w:iCs/>
          <w:sz w:val="16"/>
          <w:szCs w:val="16"/>
        </w:rPr>
        <w:t>&gt;</w:t>
      </w:r>
    </w:p>
  </w:footnote>
  <w:footnote w:id="7">
    <w:p w14:paraId="29BC1272" w14:textId="434D72FC" w:rsidR="0081498A" w:rsidRDefault="0081498A" w:rsidP="0081498A">
      <w:pPr>
        <w:pStyle w:val="FootnoteText"/>
        <w:rPr>
          <w:sz w:val="16"/>
          <w:szCs w:val="16"/>
        </w:rPr>
      </w:pPr>
      <w:r w:rsidRPr="00811DE3">
        <w:rPr>
          <w:rStyle w:val="FootnoteReference"/>
          <w:sz w:val="16"/>
          <w:szCs w:val="16"/>
        </w:rPr>
        <w:footnoteRef/>
      </w:r>
      <w:r w:rsidRPr="00811DE3">
        <w:rPr>
          <w:sz w:val="16"/>
          <w:szCs w:val="16"/>
        </w:rPr>
        <w:t xml:space="preserve"> This includes </w:t>
      </w:r>
      <w:r w:rsidR="00A5785F" w:rsidRPr="00811DE3">
        <w:rPr>
          <w:rFonts w:cs="Arial"/>
          <w:color w:val="000000"/>
          <w:sz w:val="16"/>
          <w:szCs w:val="16"/>
        </w:rPr>
        <w:t xml:space="preserve">National Energy Retail Rules </w:t>
      </w:r>
      <w:proofErr w:type="spellStart"/>
      <w:r w:rsidR="00A5785F" w:rsidRPr="00811DE3">
        <w:rPr>
          <w:rFonts w:cs="Arial"/>
          <w:color w:val="000000"/>
          <w:sz w:val="16"/>
          <w:szCs w:val="16"/>
        </w:rPr>
        <w:t>rr</w:t>
      </w:r>
      <w:proofErr w:type="spellEnd"/>
      <w:r w:rsidR="00A5785F" w:rsidRPr="00811DE3">
        <w:rPr>
          <w:rFonts w:cs="Arial"/>
          <w:color w:val="000000"/>
          <w:sz w:val="16"/>
          <w:szCs w:val="16"/>
        </w:rPr>
        <w:t xml:space="preserve"> 75C, 75</w:t>
      </w:r>
      <w:r w:rsidR="00D1464E" w:rsidRPr="00811DE3">
        <w:rPr>
          <w:rFonts w:cs="Arial"/>
          <w:color w:val="000000"/>
          <w:sz w:val="16"/>
          <w:szCs w:val="16"/>
        </w:rPr>
        <w:t>D, scheduled</w:t>
      </w:r>
      <w:r w:rsidRPr="00811DE3">
        <w:rPr>
          <w:sz w:val="16"/>
          <w:szCs w:val="16"/>
        </w:rPr>
        <w:t xml:space="preserve"> to come in to force December 2026. </w:t>
      </w:r>
    </w:p>
    <w:p w14:paraId="16FBA7A3" w14:textId="77777777" w:rsidR="00811DE3" w:rsidRPr="00811DE3" w:rsidRDefault="00811DE3" w:rsidP="0081498A">
      <w:pPr>
        <w:pStyle w:val="FootnoteText"/>
        <w:rPr>
          <w:sz w:val="16"/>
          <w:szCs w:val="16"/>
        </w:rPr>
      </w:pPr>
    </w:p>
  </w:footnote>
  <w:footnote w:id="8">
    <w:p w14:paraId="70E8077A" w14:textId="7A94BCC9" w:rsidR="007F164D" w:rsidRDefault="007F164D">
      <w:pPr>
        <w:pStyle w:val="FootnoteText"/>
      </w:pPr>
      <w:r w:rsidRPr="00811DE3">
        <w:rPr>
          <w:rStyle w:val="FootnoteReference"/>
          <w:sz w:val="16"/>
          <w:szCs w:val="16"/>
        </w:rPr>
        <w:footnoteRef/>
      </w:r>
      <w:r w:rsidRPr="00811DE3">
        <w:rPr>
          <w:sz w:val="16"/>
          <w:szCs w:val="16"/>
        </w:rPr>
        <w:t xml:space="preserve"> </w:t>
      </w:r>
      <w:r w:rsidR="00D3608A" w:rsidRPr="00811DE3">
        <w:rPr>
          <w:sz w:val="16"/>
          <w:szCs w:val="16"/>
        </w:rPr>
        <w:t>Independent Competition and Regulatory Commission (ACT), ACT Retail Electricity Market Monitoring 2025 (Report No 8 of 2025, December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489AC" w14:textId="77777777" w:rsidR="001C7FB7" w:rsidRDefault="00245827" w:rsidP="00245827">
    <w:pPr>
      <w:pStyle w:val="Header"/>
      <w:tabs>
        <w:tab w:val="clear" w:pos="4513"/>
        <w:tab w:val="clear" w:pos="9026"/>
        <w:tab w:val="left" w:pos="2096"/>
      </w:tabs>
    </w:pPr>
    <w:r>
      <w:rPr>
        <w:noProof/>
      </w:rPr>
      <w:drawing>
        <wp:anchor distT="0" distB="0" distL="114300" distR="114300" simplePos="0" relativeHeight="251658244" behindDoc="0" locked="0" layoutInCell="1" allowOverlap="1" wp14:anchorId="1E700C2A" wp14:editId="4B8F6F90">
          <wp:simplePos x="0" y="0"/>
          <wp:positionH relativeFrom="column">
            <wp:posOffset>0</wp:posOffset>
          </wp:positionH>
          <wp:positionV relativeFrom="paragraph">
            <wp:posOffset>179510</wp:posOffset>
          </wp:positionV>
          <wp:extent cx="1682750" cy="89408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l="8779" t="13141" r="8942" b="14470"/>
                  <a:stretch/>
                </pic:blipFill>
                <pic:spPr bwMode="auto">
                  <a:xfrm>
                    <a:off x="0" y="0"/>
                    <a:ext cx="1682750" cy="8940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12238" w14:textId="77777777" w:rsidR="001C7FB7" w:rsidRDefault="00245827">
    <w:pPr>
      <w:pStyle w:val="Header"/>
    </w:pPr>
    <w:r w:rsidRPr="00B31509">
      <w:rPr>
        <w:noProof/>
      </w:rPr>
      <mc:AlternateContent>
        <mc:Choice Requires="wps">
          <w:drawing>
            <wp:anchor distT="0" distB="0" distL="114300" distR="114300" simplePos="0" relativeHeight="251658240" behindDoc="0" locked="0" layoutInCell="1" allowOverlap="1" wp14:anchorId="7CAFF9A3" wp14:editId="0608E6C4">
              <wp:simplePos x="0" y="0"/>
              <wp:positionH relativeFrom="column">
                <wp:posOffset>5028565</wp:posOffset>
              </wp:positionH>
              <wp:positionV relativeFrom="paragraph">
                <wp:posOffset>231429</wp:posOffset>
              </wp:positionV>
              <wp:extent cx="1655465" cy="988291"/>
              <wp:effectExtent l="0" t="0" r="8255" b="2540"/>
              <wp:wrapNone/>
              <wp:docPr id="9" name="Text Box 9"/>
              <wp:cNvGraphicFramePr/>
              <a:graphic xmlns:a="http://schemas.openxmlformats.org/drawingml/2006/main">
                <a:graphicData uri="http://schemas.microsoft.com/office/word/2010/wordprocessingShape">
                  <wps:wsp>
                    <wps:cNvSpPr txBox="1"/>
                    <wps:spPr>
                      <a:xfrm>
                        <a:off x="0" y="0"/>
                        <a:ext cx="1655465" cy="988291"/>
                      </a:xfrm>
                      <a:prstGeom prst="rect">
                        <a:avLst/>
                      </a:prstGeom>
                      <a:noFill/>
                      <a:ln w="6350">
                        <a:noFill/>
                      </a:ln>
                    </wps:spPr>
                    <wps:txbx>
                      <w:txbxContent>
                        <w:p w14:paraId="76D8078C" w14:textId="77777777" w:rsidR="001C7FB7" w:rsidRPr="00B77E46" w:rsidRDefault="00245827" w:rsidP="00245827">
                          <w:pPr>
                            <w:spacing w:after="120" w:line="200" w:lineRule="atLeast"/>
                            <w:rPr>
                              <w:rStyle w:val="Heading6Char"/>
                              <w:rFonts w:cs="Arial"/>
                              <w:szCs w:val="20"/>
                            </w:rPr>
                          </w:pPr>
                          <w:r w:rsidRPr="00B77E46">
                            <w:rPr>
                              <w:rStyle w:val="Heading6Char"/>
                              <w:rFonts w:cs="Arial"/>
                              <w:szCs w:val="20"/>
                            </w:rPr>
                            <w:t>1/6 Gritten St</w:t>
                          </w:r>
                          <w:r w:rsidRPr="00B77E46">
                            <w:rPr>
                              <w:rStyle w:val="Heading6Char"/>
                              <w:rFonts w:cs="Arial"/>
                              <w:szCs w:val="20"/>
                            </w:rPr>
                            <w:br/>
                            <w:t>Weston ACT 2611</w:t>
                          </w:r>
                        </w:p>
                        <w:p w14:paraId="58A67A26" w14:textId="77777777" w:rsidR="001C7FB7" w:rsidRPr="00B77E46" w:rsidRDefault="00245827" w:rsidP="00245827">
                          <w:pPr>
                            <w:spacing w:after="120" w:line="200" w:lineRule="atLeast"/>
                            <w:rPr>
                              <w:rFonts w:cs="Arial"/>
                              <w:color w:val="211D1E"/>
                              <w:szCs w:val="20"/>
                            </w:rPr>
                          </w:pPr>
                          <w:r w:rsidRPr="00B77E46">
                            <w:rPr>
                              <w:rStyle w:val="Heading6Char"/>
                              <w:rFonts w:cs="Arial"/>
                              <w:szCs w:val="20"/>
                            </w:rPr>
                            <w:t>02 6202 7200</w:t>
                          </w:r>
                          <w:r w:rsidRPr="00B77E46">
                            <w:rPr>
                              <w:rStyle w:val="Heading6Char"/>
                              <w:rFonts w:cs="Arial"/>
                              <w:szCs w:val="20"/>
                            </w:rPr>
                            <w:br/>
                            <w:t>actcoss@actcoss.org.au</w:t>
                          </w:r>
                        </w:p>
                        <w:p w14:paraId="05A8DA0D" w14:textId="77777777" w:rsidR="001C7FB7" w:rsidRPr="00B77E46" w:rsidRDefault="00245827" w:rsidP="00245827">
                          <w:pPr>
                            <w:spacing w:after="120" w:line="200" w:lineRule="atLeast"/>
                            <w:rPr>
                              <w:rFonts w:cs="Arial"/>
                              <w:color w:val="211D1E"/>
                              <w:szCs w:val="20"/>
                            </w:rPr>
                          </w:pPr>
                          <w:r w:rsidRPr="00B77E46">
                            <w:rPr>
                              <w:rStyle w:val="Heading6Char"/>
                              <w:rFonts w:cs="Arial"/>
                              <w:szCs w:val="20"/>
                            </w:rPr>
                            <w:t>actcoss.org.au</w:t>
                          </w:r>
                          <w:r w:rsidRPr="00B77E46">
                            <w:rPr>
                              <w:rStyle w:val="Heading6Char"/>
                              <w:rFonts w:cs="Arial"/>
                              <w:szCs w:val="20"/>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FF9A3" id="_x0000_t202" coordsize="21600,21600" o:spt="202" path="m,l,21600r21600,l21600,xe">
              <v:stroke joinstyle="miter"/>
              <v:path gradientshapeok="t" o:connecttype="rect"/>
            </v:shapetype>
            <v:shape id="Text Box 9" o:spid="_x0000_s1026" type="#_x0000_t202" style="position:absolute;margin-left:395.95pt;margin-top:18.2pt;width:130.35pt;height:7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Zq7DQIAABwEAAAOAAAAZHJzL2Uyb0RvYy54bWysU11v2jAUfZ+0/2D5fQTYQG1EqFgrpkmo&#10;rUSnPhvHJpEcX+/akLBfv2uTQNXtadqLc+P7fc7x4q5rDDsq9DXYgk9GY86UlVDWdl/wHy/rTzec&#10;+SBsKQxYVfCT8vxu+fHDonW5mkIFplTIqIj1eesKXoXg8izzslKN8CNwypJTAzYi0C/usxJFS9Ub&#10;k03H43nWApYOQSrv6fbh7OTLVF9rJcOT1l4FZgpOs4V0Yjp38cyWC5HvUbiqlv0Y4h+maERtqeml&#10;1IMIgh2w/qNUU0sEDzqMJDQZaF1LlXagbSbjd9tsK+FU2oXA8e4Ck/9/ZeXjceuekYXuK3REYASk&#10;dT73dBn36TQ28UuTMvIThKcLbKoLTMak+Wz2ZT7jTJLv9uZmepvKZNdshz58U9CwaBQciZaEljhu&#10;fKCOFDqExGYW1rUxiRpjWVvw+efZOCVcPJRhLCVeZ41W6HZdv8AOyhPthXCm3Du5rqn5RvjwLJA4&#10;plVIt+GJDm2AmkBvcVYB/vrbfYwn6MnLWUuaKbj/eRCoODPfLZESBTYYOBi7wbCH5h5IhhN6EU4m&#10;kxIwmMHUCM0ryXkVu5BLWEm9Ch4G8z6clUvPQarVKgWRjJwIG7t1MpaO8EUoX7pXga7HOxBTjzCo&#10;SeTvYD/HnoFfHQLoOnESAT2j2ONMEkxU9c8lavztf4q6PurlbwAAAP//AwBQSwMEFAAGAAgAAAAh&#10;AKSK2ofgAAAACwEAAA8AAABkcnMvZG93bnJldi54bWxMj01PhDAQhu8m/odmTLy5LagoSNkYP26u&#10;H6smeit0BCKdkraw+O/tnvQ2k3nyzvOW68UMbEbne0sSkpUAhtRY3VMr4e31/uQSmA+KtBosoYQf&#10;9LCuDg9KVWi7oxect6FlMYR8oSR0IYwF577p0Ci/siNSvH1ZZ1SIq2u5dmoXw83AUyEyblRP8UOn&#10;RrzpsPneTkbC8OHdQy3C53zbbsLzE5/e75JHKY+PlusrYAGX8AfDXj+qQxWdajuR9myQcJEneUQl&#10;nGZnwPaAOE8zYHWc8lQAr0r+v0P1CwAA//8DAFBLAQItABQABgAIAAAAIQC2gziS/gAAAOEBAAAT&#10;AAAAAAAAAAAAAAAAAAAAAABbQ29udGVudF9UeXBlc10ueG1sUEsBAi0AFAAGAAgAAAAhADj9If/W&#10;AAAAlAEAAAsAAAAAAAAAAAAAAAAALwEAAF9yZWxzLy5yZWxzUEsBAi0AFAAGAAgAAAAhAGNRmrsN&#10;AgAAHAQAAA4AAAAAAAAAAAAAAAAALgIAAGRycy9lMm9Eb2MueG1sUEsBAi0AFAAGAAgAAAAhAKSK&#10;2ofgAAAACwEAAA8AAAAAAAAAAAAAAAAAZwQAAGRycy9kb3ducmV2LnhtbFBLBQYAAAAABAAEAPMA&#10;AAB0BQAAAAA=&#10;" filled="f" stroked="f" strokeweight=".5pt">
              <v:textbox inset="0,0,0,0">
                <w:txbxContent>
                  <w:p w14:paraId="76D8078C" w14:textId="77777777" w:rsidR="001C7FB7" w:rsidRPr="00B77E46" w:rsidRDefault="00245827" w:rsidP="00245827">
                    <w:pPr>
                      <w:spacing w:after="120" w:line="200" w:lineRule="atLeast"/>
                      <w:rPr>
                        <w:rStyle w:val="Heading6Char"/>
                        <w:rFonts w:cs="Arial"/>
                        <w:szCs w:val="20"/>
                      </w:rPr>
                    </w:pPr>
                    <w:r w:rsidRPr="00B77E46">
                      <w:rPr>
                        <w:rStyle w:val="Heading6Char"/>
                        <w:rFonts w:cs="Arial"/>
                        <w:szCs w:val="20"/>
                      </w:rPr>
                      <w:t>1/6 Gritten St</w:t>
                    </w:r>
                    <w:r w:rsidRPr="00B77E46">
                      <w:rPr>
                        <w:rStyle w:val="Heading6Char"/>
                        <w:rFonts w:cs="Arial"/>
                        <w:szCs w:val="20"/>
                      </w:rPr>
                      <w:br/>
                      <w:t>Weston ACT 2611</w:t>
                    </w:r>
                  </w:p>
                  <w:p w14:paraId="58A67A26" w14:textId="77777777" w:rsidR="001C7FB7" w:rsidRPr="00B77E46" w:rsidRDefault="00245827" w:rsidP="00245827">
                    <w:pPr>
                      <w:spacing w:after="120" w:line="200" w:lineRule="atLeast"/>
                      <w:rPr>
                        <w:rFonts w:cs="Arial"/>
                        <w:color w:val="211D1E"/>
                        <w:szCs w:val="20"/>
                      </w:rPr>
                    </w:pPr>
                    <w:r w:rsidRPr="00B77E46">
                      <w:rPr>
                        <w:rStyle w:val="Heading6Char"/>
                        <w:rFonts w:cs="Arial"/>
                        <w:szCs w:val="20"/>
                      </w:rPr>
                      <w:t>02 6202 7200</w:t>
                    </w:r>
                    <w:r w:rsidRPr="00B77E46">
                      <w:rPr>
                        <w:rStyle w:val="Heading6Char"/>
                        <w:rFonts w:cs="Arial"/>
                        <w:szCs w:val="20"/>
                      </w:rPr>
                      <w:br/>
                      <w:t>actcoss@actcoss.org.au</w:t>
                    </w:r>
                  </w:p>
                  <w:p w14:paraId="05A8DA0D" w14:textId="77777777" w:rsidR="001C7FB7" w:rsidRPr="00B77E46" w:rsidRDefault="00245827" w:rsidP="00245827">
                    <w:pPr>
                      <w:spacing w:after="120" w:line="200" w:lineRule="atLeast"/>
                      <w:rPr>
                        <w:rFonts w:cs="Arial"/>
                        <w:color w:val="211D1E"/>
                        <w:szCs w:val="20"/>
                      </w:rPr>
                    </w:pPr>
                    <w:r w:rsidRPr="00B77E46">
                      <w:rPr>
                        <w:rStyle w:val="Heading6Char"/>
                        <w:rFonts w:cs="Arial"/>
                        <w:szCs w:val="20"/>
                      </w:rPr>
                      <w:t>actcoss.org.au</w:t>
                    </w:r>
                    <w:r w:rsidRPr="00B77E46">
                      <w:rPr>
                        <w:rStyle w:val="Heading6Char"/>
                        <w:rFonts w:cs="Arial"/>
                        <w:szCs w:val="20"/>
                      </w:rPr>
                      <w:br/>
                    </w:r>
                  </w:p>
                </w:txbxContent>
              </v:textbox>
            </v:shape>
          </w:pict>
        </mc:Fallback>
      </mc:AlternateContent>
    </w:r>
    <w:r>
      <w:rPr>
        <w:noProof/>
      </w:rPr>
      <w:drawing>
        <wp:anchor distT="0" distB="0" distL="114300" distR="114300" simplePos="0" relativeHeight="251658243" behindDoc="0" locked="0" layoutInCell="1" allowOverlap="1" wp14:anchorId="1E89AD1F" wp14:editId="22C32F6B">
          <wp:simplePos x="0" y="0"/>
          <wp:positionH relativeFrom="column">
            <wp:posOffset>0</wp:posOffset>
          </wp:positionH>
          <wp:positionV relativeFrom="paragraph">
            <wp:posOffset>157480</wp:posOffset>
          </wp:positionV>
          <wp:extent cx="1682750" cy="89408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l="8779" t="13141" r="8942" b="14470"/>
                  <a:stretch/>
                </pic:blipFill>
                <pic:spPr bwMode="auto">
                  <a:xfrm>
                    <a:off x="0" y="0"/>
                    <a:ext cx="1682750" cy="8940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gg/Esm5fpDIR8K" int2:id="qnB7y6Rk">
      <int2:state int2:value="Rejected" int2:type="spell"/>
    </int2:textHash>
    <int2:bookmark int2:bookmarkName="_Int_dxqp3oy7" int2:invalidationBookmarkName="" int2:hashCode="mwMS1DNURSEAPE" int2:id="6aC1pPW9">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67EBB"/>
    <w:multiLevelType w:val="hybridMultilevel"/>
    <w:tmpl w:val="C73CF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A77FDB"/>
    <w:multiLevelType w:val="hybridMultilevel"/>
    <w:tmpl w:val="3F10B30C"/>
    <w:lvl w:ilvl="0" w:tplc="7D5496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4351B7"/>
    <w:multiLevelType w:val="hybridMultilevel"/>
    <w:tmpl w:val="2BCC7532"/>
    <w:lvl w:ilvl="0" w:tplc="0809000F">
      <w:start w:val="1"/>
      <w:numFmt w:val="decimal"/>
      <w:lvlText w:val="%1."/>
      <w:lvlJc w:val="left"/>
      <w:pPr>
        <w:ind w:left="720" w:hanging="360"/>
      </w:pPr>
      <w:rPr>
        <w:rFonts w:hint="default"/>
      </w:rPr>
    </w:lvl>
    <w:lvl w:ilvl="1" w:tplc="60B0DDF0">
      <w:start w:val="1"/>
      <w:numFmt w:val="lowerLetter"/>
      <w:lvlText w:val="%2."/>
      <w:lvlJc w:val="left"/>
      <w:pPr>
        <w:ind w:left="1352" w:hanging="360"/>
      </w:pPr>
      <w:rPr>
        <w:strike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0B7853"/>
    <w:multiLevelType w:val="hybridMultilevel"/>
    <w:tmpl w:val="EEF61C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E77ACE"/>
    <w:multiLevelType w:val="multilevel"/>
    <w:tmpl w:val="0D84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016211"/>
    <w:multiLevelType w:val="hybridMultilevel"/>
    <w:tmpl w:val="54C8D09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FE10BF"/>
    <w:multiLevelType w:val="hybridMultilevel"/>
    <w:tmpl w:val="B94E530A"/>
    <w:lvl w:ilvl="0" w:tplc="9F7E1B5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AA1FD2"/>
    <w:multiLevelType w:val="hybridMultilevel"/>
    <w:tmpl w:val="C68A4994"/>
    <w:lvl w:ilvl="0" w:tplc="152453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D27F9F"/>
    <w:multiLevelType w:val="hybridMultilevel"/>
    <w:tmpl w:val="20D26364"/>
    <w:lvl w:ilvl="0" w:tplc="9C7CE41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27A284"/>
    <w:multiLevelType w:val="hybridMultilevel"/>
    <w:tmpl w:val="62BE7646"/>
    <w:lvl w:ilvl="0" w:tplc="CE808494">
      <w:start w:val="1"/>
      <w:numFmt w:val="lowerLetter"/>
      <w:lvlText w:val="(%1)"/>
      <w:lvlJc w:val="left"/>
      <w:pPr>
        <w:ind w:left="720" w:hanging="360"/>
      </w:pPr>
    </w:lvl>
    <w:lvl w:ilvl="1" w:tplc="B0901402">
      <w:start w:val="1"/>
      <w:numFmt w:val="lowerLetter"/>
      <w:lvlText w:val="%2."/>
      <w:lvlJc w:val="left"/>
      <w:pPr>
        <w:ind w:left="1440" w:hanging="360"/>
      </w:pPr>
    </w:lvl>
    <w:lvl w:ilvl="2" w:tplc="135AE0EA">
      <w:start w:val="1"/>
      <w:numFmt w:val="lowerRoman"/>
      <w:lvlText w:val="%3."/>
      <w:lvlJc w:val="right"/>
      <w:pPr>
        <w:ind w:left="2160" w:hanging="180"/>
      </w:pPr>
    </w:lvl>
    <w:lvl w:ilvl="3" w:tplc="0812DFB2">
      <w:start w:val="1"/>
      <w:numFmt w:val="decimal"/>
      <w:lvlText w:val="%4."/>
      <w:lvlJc w:val="left"/>
      <w:pPr>
        <w:ind w:left="2880" w:hanging="360"/>
      </w:pPr>
    </w:lvl>
    <w:lvl w:ilvl="4" w:tplc="37F2C35A">
      <w:start w:val="1"/>
      <w:numFmt w:val="lowerLetter"/>
      <w:lvlText w:val="%5."/>
      <w:lvlJc w:val="left"/>
      <w:pPr>
        <w:ind w:left="3600" w:hanging="360"/>
      </w:pPr>
    </w:lvl>
    <w:lvl w:ilvl="5" w:tplc="D50A7F76">
      <w:start w:val="1"/>
      <w:numFmt w:val="lowerRoman"/>
      <w:lvlText w:val="%6."/>
      <w:lvlJc w:val="right"/>
      <w:pPr>
        <w:ind w:left="4320" w:hanging="180"/>
      </w:pPr>
    </w:lvl>
    <w:lvl w:ilvl="6" w:tplc="46F47FD2">
      <w:start w:val="1"/>
      <w:numFmt w:val="decimal"/>
      <w:lvlText w:val="%7."/>
      <w:lvlJc w:val="left"/>
      <w:pPr>
        <w:ind w:left="5040" w:hanging="360"/>
      </w:pPr>
    </w:lvl>
    <w:lvl w:ilvl="7" w:tplc="3702CB74">
      <w:start w:val="1"/>
      <w:numFmt w:val="lowerLetter"/>
      <w:lvlText w:val="%8."/>
      <w:lvlJc w:val="left"/>
      <w:pPr>
        <w:ind w:left="5760" w:hanging="360"/>
      </w:pPr>
    </w:lvl>
    <w:lvl w:ilvl="8" w:tplc="A1B29558">
      <w:start w:val="1"/>
      <w:numFmt w:val="lowerRoman"/>
      <w:lvlText w:val="%9."/>
      <w:lvlJc w:val="right"/>
      <w:pPr>
        <w:ind w:left="6480" w:hanging="180"/>
      </w:pPr>
    </w:lvl>
  </w:abstractNum>
  <w:abstractNum w:abstractNumId="10" w15:restartNumberingAfterBreak="0">
    <w:nsid w:val="419073D5"/>
    <w:multiLevelType w:val="hybridMultilevel"/>
    <w:tmpl w:val="0C6CCF7C"/>
    <w:lvl w:ilvl="0" w:tplc="FFFFFFFF">
      <w:start w:val="1"/>
      <w:numFmt w:val="decimal"/>
      <w:lvlText w:val="(i)"/>
      <w:lvlJc w:val="left"/>
      <w:pPr>
        <w:ind w:left="360" w:hanging="360"/>
      </w:pPr>
      <w:rPr>
        <w:b w:val="0"/>
        <w:bCs w:val="0"/>
        <w:strike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2851FE6"/>
    <w:multiLevelType w:val="multilevel"/>
    <w:tmpl w:val="DF460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779FD"/>
    <w:multiLevelType w:val="hybridMultilevel"/>
    <w:tmpl w:val="2460EEB0"/>
    <w:lvl w:ilvl="0" w:tplc="62B2CE9A">
      <w:start w:val="1"/>
      <w:numFmt w:val="lowerLetter"/>
      <w:lvlText w:val="%1."/>
      <w:lvlJc w:val="left"/>
      <w:pPr>
        <w:ind w:left="720" w:hanging="360"/>
      </w:pPr>
    </w:lvl>
    <w:lvl w:ilvl="1" w:tplc="8BF82306">
      <w:start w:val="1"/>
      <w:numFmt w:val="lowerLetter"/>
      <w:lvlText w:val="%2."/>
      <w:lvlJc w:val="left"/>
      <w:pPr>
        <w:ind w:left="1440" w:hanging="360"/>
      </w:pPr>
    </w:lvl>
    <w:lvl w:ilvl="2" w:tplc="EB442450">
      <w:start w:val="1"/>
      <w:numFmt w:val="lowerRoman"/>
      <w:lvlText w:val="%3."/>
      <w:lvlJc w:val="right"/>
      <w:pPr>
        <w:ind w:left="2160" w:hanging="180"/>
      </w:pPr>
    </w:lvl>
    <w:lvl w:ilvl="3" w:tplc="71D46AEC">
      <w:start w:val="1"/>
      <w:numFmt w:val="decimal"/>
      <w:lvlText w:val="%4."/>
      <w:lvlJc w:val="left"/>
      <w:pPr>
        <w:ind w:left="2880" w:hanging="360"/>
      </w:pPr>
    </w:lvl>
    <w:lvl w:ilvl="4" w:tplc="742C3B30">
      <w:start w:val="1"/>
      <w:numFmt w:val="lowerLetter"/>
      <w:lvlText w:val="%5."/>
      <w:lvlJc w:val="left"/>
      <w:pPr>
        <w:ind w:left="3600" w:hanging="360"/>
      </w:pPr>
    </w:lvl>
    <w:lvl w:ilvl="5" w:tplc="15D2966E">
      <w:start w:val="1"/>
      <w:numFmt w:val="lowerRoman"/>
      <w:lvlText w:val="%6."/>
      <w:lvlJc w:val="right"/>
      <w:pPr>
        <w:ind w:left="4320" w:hanging="180"/>
      </w:pPr>
    </w:lvl>
    <w:lvl w:ilvl="6" w:tplc="9F8087EC">
      <w:start w:val="1"/>
      <w:numFmt w:val="decimal"/>
      <w:lvlText w:val="%7."/>
      <w:lvlJc w:val="left"/>
      <w:pPr>
        <w:ind w:left="5040" w:hanging="360"/>
      </w:pPr>
    </w:lvl>
    <w:lvl w:ilvl="7" w:tplc="CCC656E0">
      <w:start w:val="1"/>
      <w:numFmt w:val="lowerLetter"/>
      <w:lvlText w:val="%8."/>
      <w:lvlJc w:val="left"/>
      <w:pPr>
        <w:ind w:left="5760" w:hanging="360"/>
      </w:pPr>
    </w:lvl>
    <w:lvl w:ilvl="8" w:tplc="6646EB12">
      <w:start w:val="1"/>
      <w:numFmt w:val="lowerRoman"/>
      <w:lvlText w:val="%9."/>
      <w:lvlJc w:val="right"/>
      <w:pPr>
        <w:ind w:left="6480" w:hanging="180"/>
      </w:pPr>
    </w:lvl>
  </w:abstractNum>
  <w:abstractNum w:abstractNumId="13" w15:restartNumberingAfterBreak="0">
    <w:nsid w:val="56A95D7F"/>
    <w:multiLevelType w:val="hybridMultilevel"/>
    <w:tmpl w:val="B11E6858"/>
    <w:lvl w:ilvl="0" w:tplc="8C564454">
      <w:start w:val="1"/>
      <w:numFmt w:val="lowerRoman"/>
      <w:lvlText w:val="(%1)"/>
      <w:lvlJc w:val="left"/>
      <w:pPr>
        <w:ind w:left="1500" w:hanging="720"/>
      </w:pPr>
      <w:rPr>
        <w:rFonts w:hint="default"/>
      </w:r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abstractNum w:abstractNumId="14" w15:restartNumberingAfterBreak="0">
    <w:nsid w:val="5FB324AF"/>
    <w:multiLevelType w:val="hybridMultilevel"/>
    <w:tmpl w:val="7C987606"/>
    <w:lvl w:ilvl="0" w:tplc="23B6589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9F5439"/>
    <w:multiLevelType w:val="hybridMultilevel"/>
    <w:tmpl w:val="9F1C97A8"/>
    <w:lvl w:ilvl="0" w:tplc="8128847A">
      <w:start w:val="1"/>
      <w:numFmt w:val="lowerLetter"/>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E055AEF"/>
    <w:multiLevelType w:val="hybridMultilevel"/>
    <w:tmpl w:val="822C3AAA"/>
    <w:lvl w:ilvl="0" w:tplc="CC98632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2464050">
    <w:abstractNumId w:val="8"/>
  </w:num>
  <w:num w:numId="2" w16cid:durableId="1652636901">
    <w:abstractNumId w:val="6"/>
  </w:num>
  <w:num w:numId="3" w16cid:durableId="1989506693">
    <w:abstractNumId w:val="5"/>
  </w:num>
  <w:num w:numId="4" w16cid:durableId="891621722">
    <w:abstractNumId w:val="16"/>
  </w:num>
  <w:num w:numId="5" w16cid:durableId="451872610">
    <w:abstractNumId w:val="3"/>
  </w:num>
  <w:num w:numId="6" w16cid:durableId="1072042865">
    <w:abstractNumId w:val="14"/>
  </w:num>
  <w:num w:numId="7" w16cid:durableId="994996691">
    <w:abstractNumId w:val="2"/>
  </w:num>
  <w:num w:numId="8" w16cid:durableId="266618887">
    <w:abstractNumId w:val="7"/>
  </w:num>
  <w:num w:numId="9" w16cid:durableId="1400905001">
    <w:abstractNumId w:val="10"/>
  </w:num>
  <w:num w:numId="10" w16cid:durableId="68114426">
    <w:abstractNumId w:val="0"/>
  </w:num>
  <w:num w:numId="11" w16cid:durableId="1596548624">
    <w:abstractNumId w:val="1"/>
  </w:num>
  <w:num w:numId="12" w16cid:durableId="1909995393">
    <w:abstractNumId w:val="12"/>
  </w:num>
  <w:num w:numId="13" w16cid:durableId="1345328424">
    <w:abstractNumId w:val="9"/>
  </w:num>
  <w:num w:numId="14" w16cid:durableId="233125064">
    <w:abstractNumId w:val="11"/>
  </w:num>
  <w:num w:numId="15" w16cid:durableId="600991959">
    <w:abstractNumId w:val="4"/>
  </w:num>
  <w:num w:numId="16" w16cid:durableId="661472449">
    <w:abstractNumId w:val="15"/>
  </w:num>
  <w:num w:numId="17" w16cid:durableId="20987445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9B"/>
    <w:rsid w:val="000003E6"/>
    <w:rsid w:val="00004311"/>
    <w:rsid w:val="0001708C"/>
    <w:rsid w:val="0002045B"/>
    <w:rsid w:val="000209B1"/>
    <w:rsid w:val="00025BB9"/>
    <w:rsid w:val="00032956"/>
    <w:rsid w:val="00033602"/>
    <w:rsid w:val="00034B09"/>
    <w:rsid w:val="00035563"/>
    <w:rsid w:val="00036F62"/>
    <w:rsid w:val="00041310"/>
    <w:rsid w:val="000428D3"/>
    <w:rsid w:val="00047EE5"/>
    <w:rsid w:val="000516C1"/>
    <w:rsid w:val="000546F7"/>
    <w:rsid w:val="000642CD"/>
    <w:rsid w:val="000653C5"/>
    <w:rsid w:val="000667ED"/>
    <w:rsid w:val="0007641E"/>
    <w:rsid w:val="000824AE"/>
    <w:rsid w:val="00091EA6"/>
    <w:rsid w:val="000935EF"/>
    <w:rsid w:val="00093F0A"/>
    <w:rsid w:val="00095FA1"/>
    <w:rsid w:val="000A0114"/>
    <w:rsid w:val="000A016D"/>
    <w:rsid w:val="000A0561"/>
    <w:rsid w:val="000A2E2F"/>
    <w:rsid w:val="000A68EE"/>
    <w:rsid w:val="000B3274"/>
    <w:rsid w:val="000B3582"/>
    <w:rsid w:val="000B5A39"/>
    <w:rsid w:val="000D1AB3"/>
    <w:rsid w:val="000D1D70"/>
    <w:rsid w:val="000D34C1"/>
    <w:rsid w:val="000D511C"/>
    <w:rsid w:val="000E0E06"/>
    <w:rsid w:val="000E1C0A"/>
    <w:rsid w:val="000E301F"/>
    <w:rsid w:val="000E7B43"/>
    <w:rsid w:val="000E7C3A"/>
    <w:rsid w:val="000F00AC"/>
    <w:rsid w:val="00101A87"/>
    <w:rsid w:val="00102D6E"/>
    <w:rsid w:val="00103336"/>
    <w:rsid w:val="00105DE9"/>
    <w:rsid w:val="001122DE"/>
    <w:rsid w:val="00123027"/>
    <w:rsid w:val="00130E36"/>
    <w:rsid w:val="00131D69"/>
    <w:rsid w:val="00132029"/>
    <w:rsid w:val="0013605A"/>
    <w:rsid w:val="00137EEA"/>
    <w:rsid w:val="00142C16"/>
    <w:rsid w:val="0014401B"/>
    <w:rsid w:val="00145FFB"/>
    <w:rsid w:val="00147347"/>
    <w:rsid w:val="00152572"/>
    <w:rsid w:val="00153814"/>
    <w:rsid w:val="001632E6"/>
    <w:rsid w:val="0017387E"/>
    <w:rsid w:val="00174ABF"/>
    <w:rsid w:val="00177283"/>
    <w:rsid w:val="00183B85"/>
    <w:rsid w:val="00197A04"/>
    <w:rsid w:val="001B14BA"/>
    <w:rsid w:val="001C36D0"/>
    <w:rsid w:val="001C5592"/>
    <w:rsid w:val="001C7851"/>
    <w:rsid w:val="001C7FB7"/>
    <w:rsid w:val="001D3DF8"/>
    <w:rsid w:val="001D43EA"/>
    <w:rsid w:val="001D7280"/>
    <w:rsid w:val="001E0898"/>
    <w:rsid w:val="001E6625"/>
    <w:rsid w:val="001F1880"/>
    <w:rsid w:val="001F24EF"/>
    <w:rsid w:val="001F6062"/>
    <w:rsid w:val="00211FFF"/>
    <w:rsid w:val="00212818"/>
    <w:rsid w:val="002172E4"/>
    <w:rsid w:val="00224E5C"/>
    <w:rsid w:val="0022673C"/>
    <w:rsid w:val="0022727F"/>
    <w:rsid w:val="002305B0"/>
    <w:rsid w:val="00240B9A"/>
    <w:rsid w:val="00242D6E"/>
    <w:rsid w:val="00245827"/>
    <w:rsid w:val="0025059C"/>
    <w:rsid w:val="002521F6"/>
    <w:rsid w:val="002569A6"/>
    <w:rsid w:val="002574E6"/>
    <w:rsid w:val="00266160"/>
    <w:rsid w:val="002664E7"/>
    <w:rsid w:val="002668EC"/>
    <w:rsid w:val="002673E7"/>
    <w:rsid w:val="00277482"/>
    <w:rsid w:val="00280B1B"/>
    <w:rsid w:val="002811F0"/>
    <w:rsid w:val="00295EBD"/>
    <w:rsid w:val="00297327"/>
    <w:rsid w:val="002A060A"/>
    <w:rsid w:val="002A0AA7"/>
    <w:rsid w:val="002A103E"/>
    <w:rsid w:val="002A2D87"/>
    <w:rsid w:val="002B0736"/>
    <w:rsid w:val="002B4A16"/>
    <w:rsid w:val="002B54A0"/>
    <w:rsid w:val="002C1DC1"/>
    <w:rsid w:val="002D00FA"/>
    <w:rsid w:val="002E3F14"/>
    <w:rsid w:val="002E44FF"/>
    <w:rsid w:val="002E5844"/>
    <w:rsid w:val="002F349C"/>
    <w:rsid w:val="002F48FC"/>
    <w:rsid w:val="00300FAD"/>
    <w:rsid w:val="003026D4"/>
    <w:rsid w:val="00310038"/>
    <w:rsid w:val="003155FB"/>
    <w:rsid w:val="003231C8"/>
    <w:rsid w:val="00323ACF"/>
    <w:rsid w:val="00332D3E"/>
    <w:rsid w:val="003330D1"/>
    <w:rsid w:val="00347C7B"/>
    <w:rsid w:val="00350F33"/>
    <w:rsid w:val="003513DC"/>
    <w:rsid w:val="0035145E"/>
    <w:rsid w:val="00351BEA"/>
    <w:rsid w:val="00352A40"/>
    <w:rsid w:val="0035626B"/>
    <w:rsid w:val="003562A1"/>
    <w:rsid w:val="00356705"/>
    <w:rsid w:val="00356A5B"/>
    <w:rsid w:val="00356FAD"/>
    <w:rsid w:val="0036371C"/>
    <w:rsid w:val="00364DE1"/>
    <w:rsid w:val="00366331"/>
    <w:rsid w:val="00373C87"/>
    <w:rsid w:val="003747AD"/>
    <w:rsid w:val="00374CE3"/>
    <w:rsid w:val="0037607B"/>
    <w:rsid w:val="003827A7"/>
    <w:rsid w:val="00382DD8"/>
    <w:rsid w:val="0038563D"/>
    <w:rsid w:val="00387F4F"/>
    <w:rsid w:val="003903EB"/>
    <w:rsid w:val="003916BC"/>
    <w:rsid w:val="00393B36"/>
    <w:rsid w:val="00393CE6"/>
    <w:rsid w:val="00394355"/>
    <w:rsid w:val="003A16EC"/>
    <w:rsid w:val="003A18C3"/>
    <w:rsid w:val="003A5358"/>
    <w:rsid w:val="003B0B32"/>
    <w:rsid w:val="003B10A7"/>
    <w:rsid w:val="003B52F9"/>
    <w:rsid w:val="003B78C0"/>
    <w:rsid w:val="003B7BF6"/>
    <w:rsid w:val="003C0C68"/>
    <w:rsid w:val="003C3E33"/>
    <w:rsid w:val="003C69E3"/>
    <w:rsid w:val="003C75F2"/>
    <w:rsid w:val="003D08EF"/>
    <w:rsid w:val="003D394C"/>
    <w:rsid w:val="003D63D7"/>
    <w:rsid w:val="003D6644"/>
    <w:rsid w:val="003D7307"/>
    <w:rsid w:val="003E313A"/>
    <w:rsid w:val="003F25FC"/>
    <w:rsid w:val="003F4CE5"/>
    <w:rsid w:val="004045D3"/>
    <w:rsid w:val="00410D2A"/>
    <w:rsid w:val="004111DB"/>
    <w:rsid w:val="004121AE"/>
    <w:rsid w:val="00412355"/>
    <w:rsid w:val="004140DC"/>
    <w:rsid w:val="00426947"/>
    <w:rsid w:val="00426EDC"/>
    <w:rsid w:val="00433533"/>
    <w:rsid w:val="004336DF"/>
    <w:rsid w:val="00434951"/>
    <w:rsid w:val="0043669B"/>
    <w:rsid w:val="00436E7F"/>
    <w:rsid w:val="004456E7"/>
    <w:rsid w:val="00451844"/>
    <w:rsid w:val="004547E8"/>
    <w:rsid w:val="004552F1"/>
    <w:rsid w:val="004574CD"/>
    <w:rsid w:val="00463B67"/>
    <w:rsid w:val="00464F88"/>
    <w:rsid w:val="00467724"/>
    <w:rsid w:val="00470ACD"/>
    <w:rsid w:val="0047254B"/>
    <w:rsid w:val="004733D4"/>
    <w:rsid w:val="00473DC8"/>
    <w:rsid w:val="00473EFC"/>
    <w:rsid w:val="004749B1"/>
    <w:rsid w:val="00475D77"/>
    <w:rsid w:val="004875CA"/>
    <w:rsid w:val="00490BE0"/>
    <w:rsid w:val="004920A0"/>
    <w:rsid w:val="00494CF9"/>
    <w:rsid w:val="004A0C4A"/>
    <w:rsid w:val="004A0FAB"/>
    <w:rsid w:val="004A303C"/>
    <w:rsid w:val="004A4029"/>
    <w:rsid w:val="004A4750"/>
    <w:rsid w:val="004A5A33"/>
    <w:rsid w:val="004C32B0"/>
    <w:rsid w:val="004C53D3"/>
    <w:rsid w:val="004D558E"/>
    <w:rsid w:val="004E5E47"/>
    <w:rsid w:val="004F75F5"/>
    <w:rsid w:val="00504132"/>
    <w:rsid w:val="00505C8C"/>
    <w:rsid w:val="005117EB"/>
    <w:rsid w:val="0051514D"/>
    <w:rsid w:val="0051545B"/>
    <w:rsid w:val="00515A59"/>
    <w:rsid w:val="00521A9A"/>
    <w:rsid w:val="00522CCE"/>
    <w:rsid w:val="00522D49"/>
    <w:rsid w:val="00533D8E"/>
    <w:rsid w:val="005355FA"/>
    <w:rsid w:val="005363E4"/>
    <w:rsid w:val="00543996"/>
    <w:rsid w:val="00552143"/>
    <w:rsid w:val="0055678F"/>
    <w:rsid w:val="0056390B"/>
    <w:rsid w:val="00564BD6"/>
    <w:rsid w:val="00570BC3"/>
    <w:rsid w:val="00576520"/>
    <w:rsid w:val="005775A3"/>
    <w:rsid w:val="00585E7A"/>
    <w:rsid w:val="0059431E"/>
    <w:rsid w:val="005943B1"/>
    <w:rsid w:val="005A0CB0"/>
    <w:rsid w:val="005A5BB3"/>
    <w:rsid w:val="005B632F"/>
    <w:rsid w:val="005B7035"/>
    <w:rsid w:val="005C10B1"/>
    <w:rsid w:val="005C1448"/>
    <w:rsid w:val="005C27A3"/>
    <w:rsid w:val="005C4282"/>
    <w:rsid w:val="005D5CB4"/>
    <w:rsid w:val="005E0C51"/>
    <w:rsid w:val="005E433D"/>
    <w:rsid w:val="005F6514"/>
    <w:rsid w:val="006015B5"/>
    <w:rsid w:val="00601773"/>
    <w:rsid w:val="00606527"/>
    <w:rsid w:val="00612090"/>
    <w:rsid w:val="006207B4"/>
    <w:rsid w:val="00620D92"/>
    <w:rsid w:val="00633C7D"/>
    <w:rsid w:val="00637BCD"/>
    <w:rsid w:val="00642015"/>
    <w:rsid w:val="0064232F"/>
    <w:rsid w:val="006444B3"/>
    <w:rsid w:val="0065005C"/>
    <w:rsid w:val="006506BA"/>
    <w:rsid w:val="00651DF3"/>
    <w:rsid w:val="006544B3"/>
    <w:rsid w:val="00661655"/>
    <w:rsid w:val="00670CE7"/>
    <w:rsid w:val="00675E32"/>
    <w:rsid w:val="00681A44"/>
    <w:rsid w:val="00683120"/>
    <w:rsid w:val="00687F0A"/>
    <w:rsid w:val="006A0C2E"/>
    <w:rsid w:val="006A1726"/>
    <w:rsid w:val="006B1526"/>
    <w:rsid w:val="006B514E"/>
    <w:rsid w:val="006C2638"/>
    <w:rsid w:val="006C4804"/>
    <w:rsid w:val="006C4A2C"/>
    <w:rsid w:val="006C72C1"/>
    <w:rsid w:val="006D4190"/>
    <w:rsid w:val="006D650B"/>
    <w:rsid w:val="006E3804"/>
    <w:rsid w:val="006E7901"/>
    <w:rsid w:val="006F0173"/>
    <w:rsid w:val="006F0CF2"/>
    <w:rsid w:val="006F3A3E"/>
    <w:rsid w:val="00705252"/>
    <w:rsid w:val="00705FC8"/>
    <w:rsid w:val="00706842"/>
    <w:rsid w:val="0071071F"/>
    <w:rsid w:val="00710932"/>
    <w:rsid w:val="00711091"/>
    <w:rsid w:val="00715E9D"/>
    <w:rsid w:val="007268F1"/>
    <w:rsid w:val="00731853"/>
    <w:rsid w:val="007403E8"/>
    <w:rsid w:val="007413E2"/>
    <w:rsid w:val="00745EE1"/>
    <w:rsid w:val="00757C6A"/>
    <w:rsid w:val="00764611"/>
    <w:rsid w:val="00765560"/>
    <w:rsid w:val="00765804"/>
    <w:rsid w:val="007701BC"/>
    <w:rsid w:val="00770EE8"/>
    <w:rsid w:val="0077474B"/>
    <w:rsid w:val="00774FA2"/>
    <w:rsid w:val="007824AE"/>
    <w:rsid w:val="007824DB"/>
    <w:rsid w:val="00782BA9"/>
    <w:rsid w:val="0078504D"/>
    <w:rsid w:val="00787662"/>
    <w:rsid w:val="00787A66"/>
    <w:rsid w:val="00787F00"/>
    <w:rsid w:val="00792596"/>
    <w:rsid w:val="00793217"/>
    <w:rsid w:val="00796EB0"/>
    <w:rsid w:val="007A1081"/>
    <w:rsid w:val="007A2862"/>
    <w:rsid w:val="007A5F1B"/>
    <w:rsid w:val="007A6C1E"/>
    <w:rsid w:val="007B4873"/>
    <w:rsid w:val="007C02A0"/>
    <w:rsid w:val="007C28A7"/>
    <w:rsid w:val="007C4E44"/>
    <w:rsid w:val="007C66CB"/>
    <w:rsid w:val="007D03E9"/>
    <w:rsid w:val="007D0551"/>
    <w:rsid w:val="007D0851"/>
    <w:rsid w:val="007F01E7"/>
    <w:rsid w:val="007F0C85"/>
    <w:rsid w:val="007F164D"/>
    <w:rsid w:val="007F29C7"/>
    <w:rsid w:val="007F314E"/>
    <w:rsid w:val="007F46C6"/>
    <w:rsid w:val="0080254A"/>
    <w:rsid w:val="00804B1B"/>
    <w:rsid w:val="008052F9"/>
    <w:rsid w:val="00805B58"/>
    <w:rsid w:val="00811DE3"/>
    <w:rsid w:val="0081498A"/>
    <w:rsid w:val="008163AD"/>
    <w:rsid w:val="0082121C"/>
    <w:rsid w:val="00826633"/>
    <w:rsid w:val="008335EE"/>
    <w:rsid w:val="00840974"/>
    <w:rsid w:val="00840DAE"/>
    <w:rsid w:val="008568D3"/>
    <w:rsid w:val="0086119E"/>
    <w:rsid w:val="00871C40"/>
    <w:rsid w:val="0087222D"/>
    <w:rsid w:val="00872554"/>
    <w:rsid w:val="0087330B"/>
    <w:rsid w:val="008738A8"/>
    <w:rsid w:val="00875ED7"/>
    <w:rsid w:val="008876E5"/>
    <w:rsid w:val="00893D06"/>
    <w:rsid w:val="00894A22"/>
    <w:rsid w:val="008A204E"/>
    <w:rsid w:val="008A6AC6"/>
    <w:rsid w:val="008C010E"/>
    <w:rsid w:val="008C0647"/>
    <w:rsid w:val="008C1D6E"/>
    <w:rsid w:val="008C37C6"/>
    <w:rsid w:val="008C63D4"/>
    <w:rsid w:val="008D1176"/>
    <w:rsid w:val="008D1AB0"/>
    <w:rsid w:val="008E5CEB"/>
    <w:rsid w:val="008F0941"/>
    <w:rsid w:val="008F6A1E"/>
    <w:rsid w:val="00904312"/>
    <w:rsid w:val="00906845"/>
    <w:rsid w:val="00915E8A"/>
    <w:rsid w:val="009306E6"/>
    <w:rsid w:val="009324D4"/>
    <w:rsid w:val="00944A36"/>
    <w:rsid w:val="00945729"/>
    <w:rsid w:val="00951B7B"/>
    <w:rsid w:val="009555D8"/>
    <w:rsid w:val="009556A3"/>
    <w:rsid w:val="00956BFC"/>
    <w:rsid w:val="009704A5"/>
    <w:rsid w:val="00977A16"/>
    <w:rsid w:val="0098076D"/>
    <w:rsid w:val="00984FF6"/>
    <w:rsid w:val="00993601"/>
    <w:rsid w:val="00994BDC"/>
    <w:rsid w:val="009969A0"/>
    <w:rsid w:val="009A0A57"/>
    <w:rsid w:val="009A3011"/>
    <w:rsid w:val="009A6695"/>
    <w:rsid w:val="009B01E6"/>
    <w:rsid w:val="009B1C04"/>
    <w:rsid w:val="009B4DB7"/>
    <w:rsid w:val="009B6015"/>
    <w:rsid w:val="009C0B5D"/>
    <w:rsid w:val="009D2B32"/>
    <w:rsid w:val="009D3087"/>
    <w:rsid w:val="009D6D05"/>
    <w:rsid w:val="009D7511"/>
    <w:rsid w:val="009E184A"/>
    <w:rsid w:val="009E1DB5"/>
    <w:rsid w:val="009F1D5A"/>
    <w:rsid w:val="00A05041"/>
    <w:rsid w:val="00A06A34"/>
    <w:rsid w:val="00A10514"/>
    <w:rsid w:val="00A12184"/>
    <w:rsid w:val="00A13237"/>
    <w:rsid w:val="00A16D7B"/>
    <w:rsid w:val="00A20483"/>
    <w:rsid w:val="00A23E39"/>
    <w:rsid w:val="00A31D9D"/>
    <w:rsid w:val="00A336BD"/>
    <w:rsid w:val="00A3677B"/>
    <w:rsid w:val="00A44BF3"/>
    <w:rsid w:val="00A45755"/>
    <w:rsid w:val="00A46107"/>
    <w:rsid w:val="00A52F67"/>
    <w:rsid w:val="00A53F9C"/>
    <w:rsid w:val="00A53FC6"/>
    <w:rsid w:val="00A55445"/>
    <w:rsid w:val="00A5785F"/>
    <w:rsid w:val="00A66EB5"/>
    <w:rsid w:val="00A72290"/>
    <w:rsid w:val="00A74D2F"/>
    <w:rsid w:val="00A75237"/>
    <w:rsid w:val="00A754AD"/>
    <w:rsid w:val="00A81EC7"/>
    <w:rsid w:val="00A85AF1"/>
    <w:rsid w:val="00A85B13"/>
    <w:rsid w:val="00A95A87"/>
    <w:rsid w:val="00A95B55"/>
    <w:rsid w:val="00A97899"/>
    <w:rsid w:val="00A9BDA8"/>
    <w:rsid w:val="00AA0D60"/>
    <w:rsid w:val="00AA57DA"/>
    <w:rsid w:val="00AA7D3C"/>
    <w:rsid w:val="00AB0127"/>
    <w:rsid w:val="00AB086C"/>
    <w:rsid w:val="00AB0995"/>
    <w:rsid w:val="00AB3D12"/>
    <w:rsid w:val="00AB5A52"/>
    <w:rsid w:val="00AB6164"/>
    <w:rsid w:val="00AC0AB0"/>
    <w:rsid w:val="00AC34CC"/>
    <w:rsid w:val="00AD0053"/>
    <w:rsid w:val="00AD4B65"/>
    <w:rsid w:val="00AD71E1"/>
    <w:rsid w:val="00AE102B"/>
    <w:rsid w:val="00AF2268"/>
    <w:rsid w:val="00AF2CFF"/>
    <w:rsid w:val="00AF6835"/>
    <w:rsid w:val="00B05264"/>
    <w:rsid w:val="00B06D95"/>
    <w:rsid w:val="00B07D09"/>
    <w:rsid w:val="00B10E4D"/>
    <w:rsid w:val="00B1146E"/>
    <w:rsid w:val="00B11FA2"/>
    <w:rsid w:val="00B20B3E"/>
    <w:rsid w:val="00B20CF4"/>
    <w:rsid w:val="00B21BB6"/>
    <w:rsid w:val="00B251D8"/>
    <w:rsid w:val="00B25801"/>
    <w:rsid w:val="00B37DA5"/>
    <w:rsid w:val="00B42539"/>
    <w:rsid w:val="00B42F76"/>
    <w:rsid w:val="00B45DA6"/>
    <w:rsid w:val="00B515AC"/>
    <w:rsid w:val="00B61775"/>
    <w:rsid w:val="00B626DD"/>
    <w:rsid w:val="00B647A2"/>
    <w:rsid w:val="00B727EC"/>
    <w:rsid w:val="00B755CD"/>
    <w:rsid w:val="00B83758"/>
    <w:rsid w:val="00B852CA"/>
    <w:rsid w:val="00B935B1"/>
    <w:rsid w:val="00B93B5F"/>
    <w:rsid w:val="00B93CEA"/>
    <w:rsid w:val="00B9567A"/>
    <w:rsid w:val="00BA0CFB"/>
    <w:rsid w:val="00BA3D43"/>
    <w:rsid w:val="00BB60D1"/>
    <w:rsid w:val="00BC0DB3"/>
    <w:rsid w:val="00BC118A"/>
    <w:rsid w:val="00BC67D6"/>
    <w:rsid w:val="00BD0F1A"/>
    <w:rsid w:val="00BE27C3"/>
    <w:rsid w:val="00BE320A"/>
    <w:rsid w:val="00BE42BC"/>
    <w:rsid w:val="00BE53B2"/>
    <w:rsid w:val="00BE6F46"/>
    <w:rsid w:val="00BF3B46"/>
    <w:rsid w:val="00C01101"/>
    <w:rsid w:val="00C021C3"/>
    <w:rsid w:val="00C029C9"/>
    <w:rsid w:val="00C03C6D"/>
    <w:rsid w:val="00C0784F"/>
    <w:rsid w:val="00C0787C"/>
    <w:rsid w:val="00C10E31"/>
    <w:rsid w:val="00C133FA"/>
    <w:rsid w:val="00C20AAA"/>
    <w:rsid w:val="00C30C7C"/>
    <w:rsid w:val="00C3681D"/>
    <w:rsid w:val="00C42B85"/>
    <w:rsid w:val="00C45515"/>
    <w:rsid w:val="00C47A30"/>
    <w:rsid w:val="00C51DF5"/>
    <w:rsid w:val="00C56195"/>
    <w:rsid w:val="00C65D6C"/>
    <w:rsid w:val="00C660AC"/>
    <w:rsid w:val="00C67400"/>
    <w:rsid w:val="00C67DDD"/>
    <w:rsid w:val="00C803A0"/>
    <w:rsid w:val="00C80DFE"/>
    <w:rsid w:val="00C87C69"/>
    <w:rsid w:val="00C91BED"/>
    <w:rsid w:val="00C92C9F"/>
    <w:rsid w:val="00C97576"/>
    <w:rsid w:val="00CA09C1"/>
    <w:rsid w:val="00CA20C9"/>
    <w:rsid w:val="00CB2CCE"/>
    <w:rsid w:val="00CB43F5"/>
    <w:rsid w:val="00CD189A"/>
    <w:rsid w:val="00CE0E7C"/>
    <w:rsid w:val="00CE2266"/>
    <w:rsid w:val="00CE7469"/>
    <w:rsid w:val="00CF19BF"/>
    <w:rsid w:val="00D02682"/>
    <w:rsid w:val="00D04F41"/>
    <w:rsid w:val="00D061B9"/>
    <w:rsid w:val="00D1203E"/>
    <w:rsid w:val="00D13545"/>
    <w:rsid w:val="00D1464E"/>
    <w:rsid w:val="00D214E1"/>
    <w:rsid w:val="00D270A7"/>
    <w:rsid w:val="00D27D43"/>
    <w:rsid w:val="00D3608A"/>
    <w:rsid w:val="00D42747"/>
    <w:rsid w:val="00D432FB"/>
    <w:rsid w:val="00D436F8"/>
    <w:rsid w:val="00D47D87"/>
    <w:rsid w:val="00D5570D"/>
    <w:rsid w:val="00D6030D"/>
    <w:rsid w:val="00D62827"/>
    <w:rsid w:val="00D63BD0"/>
    <w:rsid w:val="00D710EF"/>
    <w:rsid w:val="00D71982"/>
    <w:rsid w:val="00D720E9"/>
    <w:rsid w:val="00D76EA1"/>
    <w:rsid w:val="00D77165"/>
    <w:rsid w:val="00D834E2"/>
    <w:rsid w:val="00D85F47"/>
    <w:rsid w:val="00D9314A"/>
    <w:rsid w:val="00DA0F08"/>
    <w:rsid w:val="00DA2C4F"/>
    <w:rsid w:val="00DA5F8A"/>
    <w:rsid w:val="00DB34B5"/>
    <w:rsid w:val="00DC18D6"/>
    <w:rsid w:val="00DC1E76"/>
    <w:rsid w:val="00DC3CE0"/>
    <w:rsid w:val="00DC498B"/>
    <w:rsid w:val="00DD22ED"/>
    <w:rsid w:val="00DD6300"/>
    <w:rsid w:val="00DD7802"/>
    <w:rsid w:val="00DF03ED"/>
    <w:rsid w:val="00DF2339"/>
    <w:rsid w:val="00DF3B52"/>
    <w:rsid w:val="00DF3EAF"/>
    <w:rsid w:val="00DF4806"/>
    <w:rsid w:val="00DF5B61"/>
    <w:rsid w:val="00DF6167"/>
    <w:rsid w:val="00E014CD"/>
    <w:rsid w:val="00E01AB6"/>
    <w:rsid w:val="00E0388A"/>
    <w:rsid w:val="00E0686C"/>
    <w:rsid w:val="00E11943"/>
    <w:rsid w:val="00E12A4C"/>
    <w:rsid w:val="00E1712A"/>
    <w:rsid w:val="00E24E55"/>
    <w:rsid w:val="00E33B77"/>
    <w:rsid w:val="00E3579D"/>
    <w:rsid w:val="00E42294"/>
    <w:rsid w:val="00E42DDB"/>
    <w:rsid w:val="00E44DD1"/>
    <w:rsid w:val="00E45E42"/>
    <w:rsid w:val="00E556A2"/>
    <w:rsid w:val="00E579A0"/>
    <w:rsid w:val="00E57B6B"/>
    <w:rsid w:val="00E625FC"/>
    <w:rsid w:val="00E645CD"/>
    <w:rsid w:val="00E7048B"/>
    <w:rsid w:val="00E81FB8"/>
    <w:rsid w:val="00E82FFE"/>
    <w:rsid w:val="00E832DA"/>
    <w:rsid w:val="00E83E18"/>
    <w:rsid w:val="00E84DA0"/>
    <w:rsid w:val="00E85B56"/>
    <w:rsid w:val="00E92024"/>
    <w:rsid w:val="00E95B90"/>
    <w:rsid w:val="00E9611E"/>
    <w:rsid w:val="00EA2C96"/>
    <w:rsid w:val="00EA2E9E"/>
    <w:rsid w:val="00EA36C8"/>
    <w:rsid w:val="00EA472A"/>
    <w:rsid w:val="00EA60AC"/>
    <w:rsid w:val="00EB2EDF"/>
    <w:rsid w:val="00EC3A0B"/>
    <w:rsid w:val="00ED0598"/>
    <w:rsid w:val="00ED1449"/>
    <w:rsid w:val="00ED3938"/>
    <w:rsid w:val="00ED7415"/>
    <w:rsid w:val="00EE4062"/>
    <w:rsid w:val="00EE41FB"/>
    <w:rsid w:val="00EE4791"/>
    <w:rsid w:val="00EF1AEC"/>
    <w:rsid w:val="00EF5A81"/>
    <w:rsid w:val="00EF666F"/>
    <w:rsid w:val="00F115B4"/>
    <w:rsid w:val="00F12137"/>
    <w:rsid w:val="00F16680"/>
    <w:rsid w:val="00F167FA"/>
    <w:rsid w:val="00F171B9"/>
    <w:rsid w:val="00F21EBD"/>
    <w:rsid w:val="00F227F3"/>
    <w:rsid w:val="00F23D25"/>
    <w:rsid w:val="00F26E79"/>
    <w:rsid w:val="00F27721"/>
    <w:rsid w:val="00F300A8"/>
    <w:rsid w:val="00F30F74"/>
    <w:rsid w:val="00F311A9"/>
    <w:rsid w:val="00F348CC"/>
    <w:rsid w:val="00F407AE"/>
    <w:rsid w:val="00F45C1B"/>
    <w:rsid w:val="00F46AEF"/>
    <w:rsid w:val="00F51652"/>
    <w:rsid w:val="00F539F3"/>
    <w:rsid w:val="00F53D3D"/>
    <w:rsid w:val="00F56931"/>
    <w:rsid w:val="00F679A4"/>
    <w:rsid w:val="00F75B04"/>
    <w:rsid w:val="00F75B76"/>
    <w:rsid w:val="00F76CCB"/>
    <w:rsid w:val="00F83CA6"/>
    <w:rsid w:val="00F86D0E"/>
    <w:rsid w:val="00F90F14"/>
    <w:rsid w:val="00F9551A"/>
    <w:rsid w:val="00FA46F4"/>
    <w:rsid w:val="00FA6D4A"/>
    <w:rsid w:val="00FB401E"/>
    <w:rsid w:val="00FB40C3"/>
    <w:rsid w:val="00FB57C2"/>
    <w:rsid w:val="00FB6D1F"/>
    <w:rsid w:val="00FC0672"/>
    <w:rsid w:val="00FC0E44"/>
    <w:rsid w:val="00FC1C8C"/>
    <w:rsid w:val="00FC5D54"/>
    <w:rsid w:val="00FC6849"/>
    <w:rsid w:val="00FC7931"/>
    <w:rsid w:val="00FD0FF4"/>
    <w:rsid w:val="00FD1042"/>
    <w:rsid w:val="00FD1A12"/>
    <w:rsid w:val="00FE0C48"/>
    <w:rsid w:val="00FE1433"/>
    <w:rsid w:val="00FE1E85"/>
    <w:rsid w:val="00FE3E93"/>
    <w:rsid w:val="00FE3F69"/>
    <w:rsid w:val="00FE430A"/>
    <w:rsid w:val="00FE4F7D"/>
    <w:rsid w:val="00FE5DF6"/>
    <w:rsid w:val="00FF5B14"/>
    <w:rsid w:val="011A63BD"/>
    <w:rsid w:val="013AA796"/>
    <w:rsid w:val="01A4599C"/>
    <w:rsid w:val="020ED736"/>
    <w:rsid w:val="02B40E97"/>
    <w:rsid w:val="02D122C3"/>
    <w:rsid w:val="02F0D72B"/>
    <w:rsid w:val="032FEF78"/>
    <w:rsid w:val="0381B0B3"/>
    <w:rsid w:val="03C455DB"/>
    <w:rsid w:val="05117F2F"/>
    <w:rsid w:val="052A8F97"/>
    <w:rsid w:val="056D2490"/>
    <w:rsid w:val="065FD043"/>
    <w:rsid w:val="06A0A224"/>
    <w:rsid w:val="06E93120"/>
    <w:rsid w:val="07ED88C1"/>
    <w:rsid w:val="09BFFF68"/>
    <w:rsid w:val="0A457C27"/>
    <w:rsid w:val="0A5A9F85"/>
    <w:rsid w:val="0AFA76C0"/>
    <w:rsid w:val="0B14BD7F"/>
    <w:rsid w:val="0C0E6306"/>
    <w:rsid w:val="0D423C80"/>
    <w:rsid w:val="0D6BA116"/>
    <w:rsid w:val="0DA9F7BD"/>
    <w:rsid w:val="0E7B2F6D"/>
    <w:rsid w:val="0F174674"/>
    <w:rsid w:val="1084ABDF"/>
    <w:rsid w:val="10B7C384"/>
    <w:rsid w:val="10C53EDF"/>
    <w:rsid w:val="10F7AA63"/>
    <w:rsid w:val="11973A78"/>
    <w:rsid w:val="11F87921"/>
    <w:rsid w:val="120EF2C4"/>
    <w:rsid w:val="121F93DB"/>
    <w:rsid w:val="130621B3"/>
    <w:rsid w:val="13E46C51"/>
    <w:rsid w:val="13F7D734"/>
    <w:rsid w:val="14B751FB"/>
    <w:rsid w:val="14C84D6A"/>
    <w:rsid w:val="14D15BCB"/>
    <w:rsid w:val="14FE0741"/>
    <w:rsid w:val="156E061A"/>
    <w:rsid w:val="16535868"/>
    <w:rsid w:val="16A3173D"/>
    <w:rsid w:val="171FC2C8"/>
    <w:rsid w:val="17740C37"/>
    <w:rsid w:val="189900DB"/>
    <w:rsid w:val="193B5E66"/>
    <w:rsid w:val="1963E3B0"/>
    <w:rsid w:val="196F02E8"/>
    <w:rsid w:val="1A3E6233"/>
    <w:rsid w:val="1A8D2495"/>
    <w:rsid w:val="1B753A3E"/>
    <w:rsid w:val="1BAD3EF5"/>
    <w:rsid w:val="1C5AEED7"/>
    <w:rsid w:val="1CCCF5C1"/>
    <w:rsid w:val="1CDCE483"/>
    <w:rsid w:val="1D07D0D0"/>
    <w:rsid w:val="1D43A2CE"/>
    <w:rsid w:val="1D6D1712"/>
    <w:rsid w:val="1EC5156A"/>
    <w:rsid w:val="1ECC6B94"/>
    <w:rsid w:val="1F13EF19"/>
    <w:rsid w:val="1F336A0E"/>
    <w:rsid w:val="1F51D40A"/>
    <w:rsid w:val="1F8A22DD"/>
    <w:rsid w:val="1F9A868F"/>
    <w:rsid w:val="1FC9BB23"/>
    <w:rsid w:val="20C532F1"/>
    <w:rsid w:val="21749D44"/>
    <w:rsid w:val="218390B7"/>
    <w:rsid w:val="21C00C4E"/>
    <w:rsid w:val="225A1846"/>
    <w:rsid w:val="228C4113"/>
    <w:rsid w:val="22F5E1CB"/>
    <w:rsid w:val="2302D015"/>
    <w:rsid w:val="23255DE5"/>
    <w:rsid w:val="236BE450"/>
    <w:rsid w:val="23AA697C"/>
    <w:rsid w:val="23CD2EB8"/>
    <w:rsid w:val="23D5494B"/>
    <w:rsid w:val="2522F1E3"/>
    <w:rsid w:val="2577DF54"/>
    <w:rsid w:val="26433DEB"/>
    <w:rsid w:val="26EE5D26"/>
    <w:rsid w:val="283E0382"/>
    <w:rsid w:val="2BFA3675"/>
    <w:rsid w:val="2D31337D"/>
    <w:rsid w:val="2DBA0316"/>
    <w:rsid w:val="2E74E1B8"/>
    <w:rsid w:val="2E7579EC"/>
    <w:rsid w:val="2E94978E"/>
    <w:rsid w:val="2EBCBCFE"/>
    <w:rsid w:val="2FAE09D7"/>
    <w:rsid w:val="2FBA0BEB"/>
    <w:rsid w:val="2FEB2E65"/>
    <w:rsid w:val="302476DF"/>
    <w:rsid w:val="30F3795F"/>
    <w:rsid w:val="3104763F"/>
    <w:rsid w:val="31338E44"/>
    <w:rsid w:val="3134CF5C"/>
    <w:rsid w:val="31516AD2"/>
    <w:rsid w:val="3158D208"/>
    <w:rsid w:val="31A5B77B"/>
    <w:rsid w:val="31B4036B"/>
    <w:rsid w:val="329C1238"/>
    <w:rsid w:val="32EE6387"/>
    <w:rsid w:val="33DD8B14"/>
    <w:rsid w:val="342168DF"/>
    <w:rsid w:val="34F701C7"/>
    <w:rsid w:val="35148932"/>
    <w:rsid w:val="3611E1BE"/>
    <w:rsid w:val="369C4C11"/>
    <w:rsid w:val="36E71693"/>
    <w:rsid w:val="3700D6FE"/>
    <w:rsid w:val="38B12525"/>
    <w:rsid w:val="38F2E3AA"/>
    <w:rsid w:val="3908DE3A"/>
    <w:rsid w:val="3969F2EE"/>
    <w:rsid w:val="39AAD0F9"/>
    <w:rsid w:val="39D046DB"/>
    <w:rsid w:val="3A9A76F9"/>
    <w:rsid w:val="3B26FF65"/>
    <w:rsid w:val="3B402844"/>
    <w:rsid w:val="3BA1437C"/>
    <w:rsid w:val="3BD2C286"/>
    <w:rsid w:val="3C030024"/>
    <w:rsid w:val="3F0A46CC"/>
    <w:rsid w:val="409B1C69"/>
    <w:rsid w:val="42F4AE91"/>
    <w:rsid w:val="44078348"/>
    <w:rsid w:val="4466A566"/>
    <w:rsid w:val="4505DCCC"/>
    <w:rsid w:val="451BA5A2"/>
    <w:rsid w:val="45D14DC5"/>
    <w:rsid w:val="46C2DE8C"/>
    <w:rsid w:val="47303F9C"/>
    <w:rsid w:val="47369EFF"/>
    <w:rsid w:val="47DB06E7"/>
    <w:rsid w:val="48959559"/>
    <w:rsid w:val="4A3310F7"/>
    <w:rsid w:val="4AB23741"/>
    <w:rsid w:val="4B5ECCA3"/>
    <w:rsid w:val="4BF6D3C1"/>
    <w:rsid w:val="4CB3CD54"/>
    <w:rsid w:val="4EA9103B"/>
    <w:rsid w:val="4EF41425"/>
    <w:rsid w:val="4F78FABA"/>
    <w:rsid w:val="50599767"/>
    <w:rsid w:val="5072F198"/>
    <w:rsid w:val="512BD86A"/>
    <w:rsid w:val="5130C7E2"/>
    <w:rsid w:val="51F316A2"/>
    <w:rsid w:val="51F62080"/>
    <w:rsid w:val="5227F8F2"/>
    <w:rsid w:val="5233722F"/>
    <w:rsid w:val="526E1E6B"/>
    <w:rsid w:val="53E9D690"/>
    <w:rsid w:val="549B32B9"/>
    <w:rsid w:val="55390BE9"/>
    <w:rsid w:val="55908486"/>
    <w:rsid w:val="55DF688F"/>
    <w:rsid w:val="56022945"/>
    <w:rsid w:val="56A39BE3"/>
    <w:rsid w:val="571C20F5"/>
    <w:rsid w:val="57C7356E"/>
    <w:rsid w:val="58869F2A"/>
    <w:rsid w:val="58967C83"/>
    <w:rsid w:val="58B58225"/>
    <w:rsid w:val="592DC920"/>
    <w:rsid w:val="597A2C86"/>
    <w:rsid w:val="59ECDF02"/>
    <w:rsid w:val="5A841A18"/>
    <w:rsid w:val="5AEE1FDA"/>
    <w:rsid w:val="5B273BBC"/>
    <w:rsid w:val="5B2BEEB1"/>
    <w:rsid w:val="5C21EABC"/>
    <w:rsid w:val="5C48DB06"/>
    <w:rsid w:val="5C80E38F"/>
    <w:rsid w:val="5C94DF86"/>
    <w:rsid w:val="5E3BF897"/>
    <w:rsid w:val="5F974915"/>
    <w:rsid w:val="5F9C276C"/>
    <w:rsid w:val="5FE92116"/>
    <w:rsid w:val="600DEE78"/>
    <w:rsid w:val="601E178D"/>
    <w:rsid w:val="6048951B"/>
    <w:rsid w:val="605B92B9"/>
    <w:rsid w:val="606E0DB6"/>
    <w:rsid w:val="610C7C55"/>
    <w:rsid w:val="610DBE3E"/>
    <w:rsid w:val="6120F0A1"/>
    <w:rsid w:val="620E0A6A"/>
    <w:rsid w:val="62519BAE"/>
    <w:rsid w:val="62E9523B"/>
    <w:rsid w:val="637E2969"/>
    <w:rsid w:val="63D7E9A4"/>
    <w:rsid w:val="640721DF"/>
    <w:rsid w:val="643F4889"/>
    <w:rsid w:val="6449FA5C"/>
    <w:rsid w:val="644C9469"/>
    <w:rsid w:val="6467F825"/>
    <w:rsid w:val="64876B49"/>
    <w:rsid w:val="64D39774"/>
    <w:rsid w:val="65D2CFCF"/>
    <w:rsid w:val="65D7C428"/>
    <w:rsid w:val="65E35618"/>
    <w:rsid w:val="66874D05"/>
    <w:rsid w:val="6769CE14"/>
    <w:rsid w:val="67B02770"/>
    <w:rsid w:val="6839C869"/>
    <w:rsid w:val="684CCE54"/>
    <w:rsid w:val="688BC72A"/>
    <w:rsid w:val="69B64DC1"/>
    <w:rsid w:val="69CF3B10"/>
    <w:rsid w:val="6A06B63A"/>
    <w:rsid w:val="6A84624F"/>
    <w:rsid w:val="6AB5524B"/>
    <w:rsid w:val="6B2A00F5"/>
    <w:rsid w:val="6B5DBCA1"/>
    <w:rsid w:val="6C6CA316"/>
    <w:rsid w:val="6D6A372E"/>
    <w:rsid w:val="6DC97EE2"/>
    <w:rsid w:val="6E05FF1C"/>
    <w:rsid w:val="6ECC7128"/>
    <w:rsid w:val="6F8FD02C"/>
    <w:rsid w:val="6FDF8A9D"/>
    <w:rsid w:val="706549EE"/>
    <w:rsid w:val="7075A094"/>
    <w:rsid w:val="71F32105"/>
    <w:rsid w:val="71F73A09"/>
    <w:rsid w:val="72A7A4E5"/>
    <w:rsid w:val="737C91D1"/>
    <w:rsid w:val="738C247D"/>
    <w:rsid w:val="73D95F2B"/>
    <w:rsid w:val="74698CBB"/>
    <w:rsid w:val="757C6F20"/>
    <w:rsid w:val="7586DBF5"/>
    <w:rsid w:val="76C5564C"/>
    <w:rsid w:val="776ED5FB"/>
    <w:rsid w:val="77CA4A12"/>
    <w:rsid w:val="78807B8A"/>
    <w:rsid w:val="78BD95D9"/>
    <w:rsid w:val="79242BFC"/>
    <w:rsid w:val="795DE9D7"/>
    <w:rsid w:val="79FFDE26"/>
    <w:rsid w:val="7AF05DD4"/>
    <w:rsid w:val="7C2CB573"/>
    <w:rsid w:val="7C788A87"/>
    <w:rsid w:val="7C8B4EF1"/>
    <w:rsid w:val="7CE363B2"/>
    <w:rsid w:val="7D32CF5D"/>
    <w:rsid w:val="7D458E43"/>
    <w:rsid w:val="7E036405"/>
    <w:rsid w:val="7F66A4C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4CD2D"/>
  <w15:chartTrackingRefBased/>
  <w15:docId w15:val="{419DF145-5198-4FCB-80DA-376CBBE70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69B"/>
    <w:pPr>
      <w:spacing w:after="200" w:line="276" w:lineRule="auto"/>
    </w:pPr>
    <w:rPr>
      <w:rFonts w:ascii="Arial" w:eastAsiaTheme="minorEastAsia" w:hAnsi="Arial"/>
      <w:color w:val="000000" w:themeColor="text1"/>
      <w:kern w:val="0"/>
      <w:sz w:val="20"/>
      <w:lang w:eastAsia="en-GB"/>
      <w14:ligatures w14:val="none"/>
    </w:rPr>
  </w:style>
  <w:style w:type="paragraph" w:styleId="Heading1">
    <w:name w:val="heading 1"/>
    <w:basedOn w:val="Normal"/>
    <w:next w:val="Normal"/>
    <w:link w:val="Heading1Char"/>
    <w:uiPriority w:val="9"/>
    <w:qFormat/>
    <w:rsid w:val="004366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66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66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66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66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66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66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66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66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6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66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66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66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66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66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66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66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669B"/>
    <w:rPr>
      <w:rFonts w:eastAsiaTheme="majorEastAsia" w:cstheme="majorBidi"/>
      <w:color w:val="272727" w:themeColor="text1" w:themeTint="D8"/>
    </w:rPr>
  </w:style>
  <w:style w:type="paragraph" w:styleId="Title">
    <w:name w:val="Title"/>
    <w:basedOn w:val="Normal"/>
    <w:next w:val="Normal"/>
    <w:link w:val="TitleChar"/>
    <w:uiPriority w:val="10"/>
    <w:qFormat/>
    <w:rsid w:val="004366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66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669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66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669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3669B"/>
    <w:rPr>
      <w:i/>
      <w:iCs/>
      <w:color w:val="404040" w:themeColor="text1" w:themeTint="BF"/>
    </w:rPr>
  </w:style>
  <w:style w:type="paragraph" w:styleId="ListParagraph">
    <w:name w:val="List Paragraph"/>
    <w:basedOn w:val="Normal"/>
    <w:uiPriority w:val="34"/>
    <w:qFormat/>
    <w:rsid w:val="0043669B"/>
    <w:pPr>
      <w:ind w:left="720"/>
      <w:contextualSpacing/>
    </w:pPr>
  </w:style>
  <w:style w:type="character" w:styleId="IntenseEmphasis">
    <w:name w:val="Intense Emphasis"/>
    <w:basedOn w:val="DefaultParagraphFont"/>
    <w:uiPriority w:val="21"/>
    <w:qFormat/>
    <w:rsid w:val="0043669B"/>
    <w:rPr>
      <w:i/>
      <w:iCs/>
      <w:color w:val="0F4761" w:themeColor="accent1" w:themeShade="BF"/>
    </w:rPr>
  </w:style>
  <w:style w:type="paragraph" w:styleId="IntenseQuote">
    <w:name w:val="Intense Quote"/>
    <w:basedOn w:val="Normal"/>
    <w:next w:val="Normal"/>
    <w:link w:val="IntenseQuoteChar"/>
    <w:uiPriority w:val="30"/>
    <w:qFormat/>
    <w:rsid w:val="004366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669B"/>
    <w:rPr>
      <w:i/>
      <w:iCs/>
      <w:color w:val="0F4761" w:themeColor="accent1" w:themeShade="BF"/>
    </w:rPr>
  </w:style>
  <w:style w:type="character" w:styleId="IntenseReference">
    <w:name w:val="Intense Reference"/>
    <w:basedOn w:val="DefaultParagraphFont"/>
    <w:uiPriority w:val="32"/>
    <w:qFormat/>
    <w:rsid w:val="0043669B"/>
    <w:rPr>
      <w:b/>
      <w:bCs/>
      <w:smallCaps/>
      <w:color w:val="0F4761" w:themeColor="accent1" w:themeShade="BF"/>
      <w:spacing w:val="5"/>
    </w:rPr>
  </w:style>
  <w:style w:type="paragraph" w:styleId="Header">
    <w:name w:val="header"/>
    <w:basedOn w:val="Normal"/>
    <w:link w:val="HeaderChar"/>
    <w:uiPriority w:val="99"/>
    <w:unhideWhenUsed/>
    <w:rsid w:val="00436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669B"/>
    <w:rPr>
      <w:rFonts w:ascii="Arial" w:eastAsiaTheme="minorEastAsia" w:hAnsi="Arial"/>
      <w:color w:val="000000" w:themeColor="text1"/>
      <w:kern w:val="0"/>
      <w:sz w:val="20"/>
      <w:lang w:eastAsia="en-GB"/>
      <w14:ligatures w14:val="none"/>
    </w:rPr>
  </w:style>
  <w:style w:type="paragraph" w:styleId="Footer">
    <w:name w:val="footer"/>
    <w:basedOn w:val="Normal"/>
    <w:link w:val="FooterChar"/>
    <w:uiPriority w:val="99"/>
    <w:unhideWhenUsed/>
    <w:rsid w:val="004366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669B"/>
    <w:rPr>
      <w:rFonts w:ascii="Arial" w:eastAsiaTheme="minorEastAsia" w:hAnsi="Arial"/>
      <w:color w:val="000000" w:themeColor="text1"/>
      <w:kern w:val="0"/>
      <w:sz w:val="20"/>
      <w:lang w:eastAsia="en-GB"/>
      <w14:ligatures w14:val="none"/>
    </w:rPr>
  </w:style>
  <w:style w:type="paragraph" w:customStyle="1" w:styleId="Pa1">
    <w:name w:val="Pa1"/>
    <w:basedOn w:val="Normal"/>
    <w:next w:val="Normal"/>
    <w:uiPriority w:val="99"/>
    <w:rsid w:val="0043669B"/>
    <w:pPr>
      <w:autoSpaceDE w:val="0"/>
      <w:autoSpaceDN w:val="0"/>
      <w:adjustRightInd w:val="0"/>
      <w:spacing w:after="0" w:line="241" w:lineRule="atLeast"/>
    </w:pPr>
    <w:rPr>
      <w:rFonts w:ascii="Inter" w:eastAsiaTheme="minorHAnsi" w:hAnsi="Inter"/>
      <w:color w:val="auto"/>
      <w:sz w:val="24"/>
      <w:lang w:val="en-GB" w:eastAsia="en-US"/>
    </w:rPr>
  </w:style>
  <w:style w:type="character" w:customStyle="1" w:styleId="A1">
    <w:name w:val="A1"/>
    <w:uiPriority w:val="99"/>
    <w:rsid w:val="0043669B"/>
    <w:rPr>
      <w:rFonts w:cs="Inter"/>
      <w:color w:val="211D1E"/>
      <w:sz w:val="17"/>
      <w:szCs w:val="17"/>
    </w:rPr>
  </w:style>
  <w:style w:type="character" w:styleId="PageNumber">
    <w:name w:val="page number"/>
    <w:basedOn w:val="DefaultParagraphFont"/>
    <w:uiPriority w:val="99"/>
    <w:semiHidden/>
    <w:unhideWhenUsed/>
    <w:rsid w:val="0043669B"/>
  </w:style>
  <w:style w:type="character" w:customStyle="1" w:styleId="apple-converted-space">
    <w:name w:val="apple-converted-space"/>
    <w:basedOn w:val="DefaultParagraphFont"/>
    <w:rsid w:val="0043669B"/>
  </w:style>
  <w:style w:type="paragraph" w:styleId="NormalWeb">
    <w:name w:val="Normal (Web)"/>
    <w:basedOn w:val="Normal"/>
    <w:uiPriority w:val="99"/>
    <w:unhideWhenUsed/>
    <w:rsid w:val="0043669B"/>
    <w:pPr>
      <w:spacing w:before="100" w:beforeAutospacing="1" w:after="100" w:afterAutospacing="1" w:line="240" w:lineRule="auto"/>
    </w:pPr>
    <w:rPr>
      <w:rFonts w:ascii="Times New Roman" w:eastAsia="Times New Roman" w:hAnsi="Times New Roman" w:cs="Times New Roman"/>
      <w:color w:val="auto"/>
      <w:sz w:val="24"/>
    </w:rPr>
  </w:style>
  <w:style w:type="character" w:styleId="Strong">
    <w:name w:val="Strong"/>
    <w:basedOn w:val="DefaultParagraphFont"/>
    <w:uiPriority w:val="22"/>
    <w:qFormat/>
    <w:rsid w:val="0043669B"/>
    <w:rPr>
      <w:b/>
      <w:bCs/>
    </w:rPr>
  </w:style>
  <w:style w:type="character" w:styleId="CommentReference">
    <w:name w:val="annotation reference"/>
    <w:basedOn w:val="DefaultParagraphFont"/>
    <w:uiPriority w:val="99"/>
    <w:semiHidden/>
    <w:unhideWhenUsed/>
    <w:rsid w:val="0043669B"/>
    <w:rPr>
      <w:sz w:val="16"/>
      <w:szCs w:val="16"/>
    </w:rPr>
  </w:style>
  <w:style w:type="paragraph" w:styleId="CommentText">
    <w:name w:val="annotation text"/>
    <w:basedOn w:val="Normal"/>
    <w:link w:val="CommentTextChar"/>
    <w:uiPriority w:val="99"/>
    <w:unhideWhenUsed/>
    <w:rsid w:val="0043669B"/>
    <w:pPr>
      <w:spacing w:line="240" w:lineRule="auto"/>
    </w:pPr>
    <w:rPr>
      <w:szCs w:val="20"/>
    </w:rPr>
  </w:style>
  <w:style w:type="character" w:customStyle="1" w:styleId="CommentTextChar">
    <w:name w:val="Comment Text Char"/>
    <w:basedOn w:val="DefaultParagraphFont"/>
    <w:link w:val="CommentText"/>
    <w:uiPriority w:val="99"/>
    <w:rsid w:val="0043669B"/>
    <w:rPr>
      <w:rFonts w:ascii="Arial" w:eastAsiaTheme="minorEastAsia" w:hAnsi="Arial"/>
      <w:color w:val="000000" w:themeColor="text1"/>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43669B"/>
    <w:rPr>
      <w:b/>
      <w:bCs/>
    </w:rPr>
  </w:style>
  <w:style w:type="character" w:customStyle="1" w:styleId="CommentSubjectChar">
    <w:name w:val="Comment Subject Char"/>
    <w:basedOn w:val="CommentTextChar"/>
    <w:link w:val="CommentSubject"/>
    <w:uiPriority w:val="99"/>
    <w:semiHidden/>
    <w:rsid w:val="0043669B"/>
    <w:rPr>
      <w:rFonts w:ascii="Arial" w:eastAsiaTheme="minorEastAsia" w:hAnsi="Arial"/>
      <w:b/>
      <w:bCs/>
      <w:color w:val="000000" w:themeColor="text1"/>
      <w:kern w:val="0"/>
      <w:sz w:val="20"/>
      <w:szCs w:val="20"/>
      <w:lang w:eastAsia="en-GB"/>
      <w14:ligatures w14:val="none"/>
    </w:rPr>
  </w:style>
  <w:style w:type="paragraph" w:styleId="Revision">
    <w:name w:val="Revision"/>
    <w:hidden/>
    <w:uiPriority w:val="99"/>
    <w:semiHidden/>
    <w:rsid w:val="001122DE"/>
    <w:rPr>
      <w:rFonts w:ascii="Arial" w:eastAsiaTheme="minorEastAsia" w:hAnsi="Arial"/>
      <w:color w:val="000000" w:themeColor="text1"/>
      <w:kern w:val="0"/>
      <w:sz w:val="20"/>
      <w:lang w:eastAsia="en-GB"/>
      <w14:ligatures w14:val="none"/>
    </w:rPr>
  </w:style>
  <w:style w:type="paragraph" w:styleId="FootnoteText">
    <w:name w:val="footnote text"/>
    <w:basedOn w:val="Normal"/>
    <w:link w:val="FootnoteTextChar"/>
    <w:uiPriority w:val="99"/>
    <w:unhideWhenUsed/>
    <w:rsid w:val="00BE27C3"/>
    <w:pPr>
      <w:spacing w:after="0" w:line="240" w:lineRule="auto"/>
    </w:pPr>
    <w:rPr>
      <w:szCs w:val="20"/>
    </w:rPr>
  </w:style>
  <w:style w:type="character" w:customStyle="1" w:styleId="FootnoteTextChar">
    <w:name w:val="Footnote Text Char"/>
    <w:basedOn w:val="DefaultParagraphFont"/>
    <w:link w:val="FootnoteText"/>
    <w:uiPriority w:val="99"/>
    <w:rsid w:val="00BE27C3"/>
    <w:rPr>
      <w:rFonts w:ascii="Arial" w:eastAsiaTheme="minorEastAsia" w:hAnsi="Arial"/>
      <w:color w:val="000000" w:themeColor="text1"/>
      <w:kern w:val="0"/>
      <w:sz w:val="20"/>
      <w:szCs w:val="20"/>
      <w:lang w:eastAsia="en-GB"/>
      <w14:ligatures w14:val="none"/>
    </w:rPr>
  </w:style>
  <w:style w:type="character" w:styleId="FootnoteReference">
    <w:name w:val="footnote reference"/>
    <w:basedOn w:val="DefaultParagraphFont"/>
    <w:uiPriority w:val="99"/>
    <w:semiHidden/>
    <w:unhideWhenUsed/>
    <w:rsid w:val="00BE27C3"/>
    <w:rPr>
      <w:vertAlign w:val="superscript"/>
    </w:rPr>
  </w:style>
  <w:style w:type="paragraph" w:styleId="EndnoteText">
    <w:name w:val="endnote text"/>
    <w:basedOn w:val="Normal"/>
    <w:link w:val="EndnoteTextChar"/>
    <w:uiPriority w:val="99"/>
    <w:semiHidden/>
    <w:unhideWhenUsed/>
    <w:rsid w:val="00DC498B"/>
    <w:pPr>
      <w:spacing w:after="0" w:line="240" w:lineRule="auto"/>
    </w:pPr>
    <w:rPr>
      <w:szCs w:val="20"/>
    </w:rPr>
  </w:style>
  <w:style w:type="character" w:customStyle="1" w:styleId="EndnoteTextChar">
    <w:name w:val="Endnote Text Char"/>
    <w:basedOn w:val="DefaultParagraphFont"/>
    <w:link w:val="EndnoteText"/>
    <w:uiPriority w:val="99"/>
    <w:semiHidden/>
    <w:rsid w:val="00DC498B"/>
    <w:rPr>
      <w:rFonts w:ascii="Arial" w:eastAsiaTheme="minorEastAsia" w:hAnsi="Arial"/>
      <w:color w:val="000000" w:themeColor="text1"/>
      <w:kern w:val="0"/>
      <w:sz w:val="20"/>
      <w:szCs w:val="20"/>
      <w:lang w:eastAsia="en-GB"/>
      <w14:ligatures w14:val="none"/>
    </w:rPr>
  </w:style>
  <w:style w:type="character" w:styleId="EndnoteReference">
    <w:name w:val="endnote reference"/>
    <w:basedOn w:val="DefaultParagraphFont"/>
    <w:uiPriority w:val="99"/>
    <w:semiHidden/>
    <w:unhideWhenUsed/>
    <w:rsid w:val="00DC498B"/>
    <w:rPr>
      <w:vertAlign w:val="superscript"/>
    </w:rPr>
  </w:style>
  <w:style w:type="character" w:styleId="Emphasis">
    <w:name w:val="Emphasis"/>
    <w:basedOn w:val="DefaultParagraphFont"/>
    <w:uiPriority w:val="20"/>
    <w:qFormat/>
    <w:rsid w:val="00764611"/>
    <w:rPr>
      <w:i/>
      <w:iCs/>
    </w:rPr>
  </w:style>
  <w:style w:type="character" w:styleId="Hyperlink">
    <w:name w:val="Hyperlink"/>
    <w:basedOn w:val="DefaultParagraphFont"/>
    <w:uiPriority w:val="99"/>
    <w:unhideWhenUsed/>
    <w:rsid w:val="00F75B76"/>
    <w:rPr>
      <w:color w:val="467886" w:themeColor="hyperlink"/>
      <w:u w:val="single"/>
    </w:rPr>
  </w:style>
  <w:style w:type="character" w:styleId="UnresolvedMention">
    <w:name w:val="Unresolved Mention"/>
    <w:basedOn w:val="DefaultParagraphFont"/>
    <w:uiPriority w:val="99"/>
    <w:semiHidden/>
    <w:unhideWhenUsed/>
    <w:rsid w:val="00F75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177924">
      <w:bodyDiv w:val="1"/>
      <w:marLeft w:val="0"/>
      <w:marRight w:val="0"/>
      <w:marTop w:val="0"/>
      <w:marBottom w:val="0"/>
      <w:divBdr>
        <w:top w:val="none" w:sz="0" w:space="0" w:color="auto"/>
        <w:left w:val="none" w:sz="0" w:space="0" w:color="auto"/>
        <w:bottom w:val="none" w:sz="0" w:space="0" w:color="auto"/>
        <w:right w:val="none" w:sz="0" w:space="0" w:color="auto"/>
      </w:divBdr>
    </w:div>
    <w:div w:id="593174654">
      <w:bodyDiv w:val="1"/>
      <w:marLeft w:val="0"/>
      <w:marRight w:val="0"/>
      <w:marTop w:val="0"/>
      <w:marBottom w:val="0"/>
      <w:divBdr>
        <w:top w:val="none" w:sz="0" w:space="0" w:color="auto"/>
        <w:left w:val="none" w:sz="0" w:space="0" w:color="auto"/>
        <w:bottom w:val="none" w:sz="0" w:space="0" w:color="auto"/>
        <w:right w:val="none" w:sz="0" w:space="0" w:color="auto"/>
      </w:divBdr>
    </w:div>
    <w:div w:id="638925027">
      <w:bodyDiv w:val="1"/>
      <w:marLeft w:val="0"/>
      <w:marRight w:val="0"/>
      <w:marTop w:val="0"/>
      <w:marBottom w:val="0"/>
      <w:divBdr>
        <w:top w:val="none" w:sz="0" w:space="0" w:color="auto"/>
        <w:left w:val="none" w:sz="0" w:space="0" w:color="auto"/>
        <w:bottom w:val="none" w:sz="0" w:space="0" w:color="auto"/>
        <w:right w:val="none" w:sz="0" w:space="0" w:color="auto"/>
      </w:divBdr>
    </w:div>
    <w:div w:id="646320223">
      <w:bodyDiv w:val="1"/>
      <w:marLeft w:val="0"/>
      <w:marRight w:val="0"/>
      <w:marTop w:val="0"/>
      <w:marBottom w:val="0"/>
      <w:divBdr>
        <w:top w:val="none" w:sz="0" w:space="0" w:color="auto"/>
        <w:left w:val="none" w:sz="0" w:space="0" w:color="auto"/>
        <w:bottom w:val="none" w:sz="0" w:space="0" w:color="auto"/>
        <w:right w:val="none" w:sz="0" w:space="0" w:color="auto"/>
      </w:divBdr>
    </w:div>
    <w:div w:id="719324195">
      <w:bodyDiv w:val="1"/>
      <w:marLeft w:val="0"/>
      <w:marRight w:val="0"/>
      <w:marTop w:val="0"/>
      <w:marBottom w:val="0"/>
      <w:divBdr>
        <w:top w:val="none" w:sz="0" w:space="0" w:color="auto"/>
        <w:left w:val="none" w:sz="0" w:space="0" w:color="auto"/>
        <w:bottom w:val="none" w:sz="0" w:space="0" w:color="auto"/>
        <w:right w:val="none" w:sz="0" w:space="0" w:color="auto"/>
      </w:divBdr>
    </w:div>
    <w:div w:id="846678288">
      <w:bodyDiv w:val="1"/>
      <w:marLeft w:val="0"/>
      <w:marRight w:val="0"/>
      <w:marTop w:val="0"/>
      <w:marBottom w:val="0"/>
      <w:divBdr>
        <w:top w:val="none" w:sz="0" w:space="0" w:color="auto"/>
        <w:left w:val="none" w:sz="0" w:space="0" w:color="auto"/>
        <w:bottom w:val="none" w:sz="0" w:space="0" w:color="auto"/>
        <w:right w:val="none" w:sz="0" w:space="0" w:color="auto"/>
      </w:divBdr>
    </w:div>
    <w:div w:id="1175192833">
      <w:bodyDiv w:val="1"/>
      <w:marLeft w:val="0"/>
      <w:marRight w:val="0"/>
      <w:marTop w:val="0"/>
      <w:marBottom w:val="0"/>
      <w:divBdr>
        <w:top w:val="none" w:sz="0" w:space="0" w:color="auto"/>
        <w:left w:val="none" w:sz="0" w:space="0" w:color="auto"/>
        <w:bottom w:val="none" w:sz="0" w:space="0" w:color="auto"/>
        <w:right w:val="none" w:sz="0" w:space="0" w:color="auto"/>
      </w:divBdr>
      <w:divsChild>
        <w:div w:id="1033071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4036612">
      <w:bodyDiv w:val="1"/>
      <w:marLeft w:val="0"/>
      <w:marRight w:val="0"/>
      <w:marTop w:val="0"/>
      <w:marBottom w:val="0"/>
      <w:divBdr>
        <w:top w:val="none" w:sz="0" w:space="0" w:color="auto"/>
        <w:left w:val="none" w:sz="0" w:space="0" w:color="auto"/>
        <w:bottom w:val="none" w:sz="0" w:space="0" w:color="auto"/>
        <w:right w:val="none" w:sz="0" w:space="0" w:color="auto"/>
      </w:divBdr>
    </w:div>
    <w:div w:id="1724718647">
      <w:bodyDiv w:val="1"/>
      <w:marLeft w:val="0"/>
      <w:marRight w:val="0"/>
      <w:marTop w:val="0"/>
      <w:marBottom w:val="0"/>
      <w:divBdr>
        <w:top w:val="none" w:sz="0" w:space="0" w:color="auto"/>
        <w:left w:val="none" w:sz="0" w:space="0" w:color="auto"/>
        <w:bottom w:val="none" w:sz="0" w:space="0" w:color="auto"/>
        <w:right w:val="none" w:sz="0" w:space="0" w:color="auto"/>
      </w:divBdr>
    </w:div>
    <w:div w:id="1782071057">
      <w:bodyDiv w:val="1"/>
      <w:marLeft w:val="0"/>
      <w:marRight w:val="0"/>
      <w:marTop w:val="0"/>
      <w:marBottom w:val="0"/>
      <w:divBdr>
        <w:top w:val="none" w:sz="0" w:space="0" w:color="auto"/>
        <w:left w:val="none" w:sz="0" w:space="0" w:color="auto"/>
        <w:bottom w:val="none" w:sz="0" w:space="0" w:color="auto"/>
        <w:right w:val="none" w:sz="0" w:space="0" w:color="auto"/>
      </w:divBdr>
    </w:div>
    <w:div w:id="1987930476">
      <w:bodyDiv w:val="1"/>
      <w:marLeft w:val="0"/>
      <w:marRight w:val="0"/>
      <w:marTop w:val="0"/>
      <w:marBottom w:val="0"/>
      <w:divBdr>
        <w:top w:val="none" w:sz="0" w:space="0" w:color="auto"/>
        <w:left w:val="none" w:sz="0" w:space="0" w:color="auto"/>
        <w:bottom w:val="none" w:sz="0" w:space="0" w:color="auto"/>
        <w:right w:val="none" w:sz="0" w:space="0" w:color="auto"/>
      </w:divBdr>
    </w:div>
    <w:div w:id="2016036932">
      <w:bodyDiv w:val="1"/>
      <w:marLeft w:val="0"/>
      <w:marRight w:val="0"/>
      <w:marTop w:val="0"/>
      <w:marBottom w:val="0"/>
      <w:divBdr>
        <w:top w:val="none" w:sz="0" w:space="0" w:color="auto"/>
        <w:left w:val="none" w:sz="0" w:space="0" w:color="auto"/>
        <w:bottom w:val="none" w:sz="0" w:space="0" w:color="auto"/>
        <w:right w:val="none" w:sz="0" w:space="0" w:color="auto"/>
      </w:divBdr>
    </w:div>
    <w:div w:id="207246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actcoss.org.au/wp-content/uploads/2025/09/Report-on-the-energy-experiences-of-culturally-and-linguistically-diverse-people-in-the-AC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393A2617EF7DB41893826E3ECAAB324" ma:contentTypeVersion="18" ma:contentTypeDescription="Create a new document." ma:contentTypeScope="" ma:versionID="ac67fd65b4e91f19242f9481b360049b">
  <xsd:schema xmlns:xsd="http://www.w3.org/2001/XMLSchema" xmlns:xs="http://www.w3.org/2001/XMLSchema" xmlns:p="http://schemas.microsoft.com/office/2006/metadata/properties" xmlns:ns2="32918964-d11d-4bda-ba04-9b8184f6a173" xmlns:ns3="ef2741e4-cc31-428c-aca2-d2da616e4ed0" targetNamespace="http://schemas.microsoft.com/office/2006/metadata/properties" ma:root="true" ma:fieldsID="d5d77889062f163d7b1aba472a1547bd" ns2:_="" ns3:_="">
    <xsd:import namespace="32918964-d11d-4bda-ba04-9b8184f6a173"/>
    <xsd:import namespace="ef2741e4-cc31-428c-aca2-d2da616e4e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18964-d11d-4bda-ba04-9b8184f6a1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8a2a78-f552-4495-aed7-c4dd8b0f31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741e4-cc31-428c-aca2-d2da616e4ed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3a9ae16-53fa-4810-8be8-89ac02ee10f6}" ma:internalName="TaxCatchAll" ma:showField="CatchAllData" ma:web="ef2741e4-cc31-428c-aca2-d2da616e4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918964-d11d-4bda-ba04-9b8184f6a173">
      <Terms xmlns="http://schemas.microsoft.com/office/infopath/2007/PartnerControls"/>
    </lcf76f155ced4ddcb4097134ff3c332f>
    <TaxCatchAll xmlns="ef2741e4-cc31-428c-aca2-d2da616e4ed0" xsi:nil="true"/>
  </documentManagement>
</p:properties>
</file>

<file path=customXml/itemProps1.xml><?xml version="1.0" encoding="utf-8"?>
<ds:datastoreItem xmlns:ds="http://schemas.openxmlformats.org/officeDocument/2006/customXml" ds:itemID="{0D5C80AE-4E93-4E06-891A-1D31672DFCE4}">
  <ds:schemaRefs>
    <ds:schemaRef ds:uri="http://schemas.microsoft.com/sharepoint/v3/contenttype/forms"/>
  </ds:schemaRefs>
</ds:datastoreItem>
</file>

<file path=customXml/itemProps2.xml><?xml version="1.0" encoding="utf-8"?>
<ds:datastoreItem xmlns:ds="http://schemas.openxmlformats.org/officeDocument/2006/customXml" ds:itemID="{70ED70AC-5A30-804C-A629-A71DC94FAB01}">
  <ds:schemaRefs>
    <ds:schemaRef ds:uri="http://schemas.openxmlformats.org/officeDocument/2006/bibliography"/>
  </ds:schemaRefs>
</ds:datastoreItem>
</file>

<file path=customXml/itemProps3.xml><?xml version="1.0" encoding="utf-8"?>
<ds:datastoreItem xmlns:ds="http://schemas.openxmlformats.org/officeDocument/2006/customXml" ds:itemID="{61DEA855-3DEF-4C66-91AA-B59F1C6CF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918964-d11d-4bda-ba04-9b8184f6a173"/>
    <ds:schemaRef ds:uri="ef2741e4-cc31-428c-aca2-d2da616e4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F30705-6D87-48F3-AAFC-EB7909B97059}">
  <ds:schemaRefs>
    <ds:schemaRef ds:uri="http://schemas.microsoft.com/office/2006/documentManagement/types"/>
    <ds:schemaRef ds:uri="http://purl.org/dc/elements/1.1/"/>
    <ds:schemaRef ds:uri="http://www.w3.org/XML/1998/namespace"/>
    <ds:schemaRef ds:uri="http://purl.org/dc/terms/"/>
    <ds:schemaRef ds:uri="32918964-d11d-4bda-ba04-9b8184f6a173"/>
    <ds:schemaRef ds:uri="ef2741e4-cc31-428c-aca2-d2da616e4ed0"/>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2187</Words>
  <Characters>13517</Characters>
  <Application>Microsoft Office Word</Application>
  <DocSecurity>0</DocSecurity>
  <Lines>170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15683</CharactersWithSpaces>
  <SharedDoc>false</SharedDoc>
  <HLinks>
    <vt:vector size="6" baseType="variant">
      <vt:variant>
        <vt:i4>4390943</vt:i4>
      </vt:variant>
      <vt:variant>
        <vt:i4>0</vt:i4>
      </vt:variant>
      <vt:variant>
        <vt:i4>0</vt:i4>
      </vt:variant>
      <vt:variant>
        <vt:i4>5</vt:i4>
      </vt:variant>
      <vt:variant>
        <vt:lpwstr>https://actcoss.org.au/wp-content/uploads/2025/09/Report-on-the-energy-experiences-of-culturally-and-linguistically-diverse-people-in-the-ACT.pdf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Farook</dc:creator>
  <cp:keywords/>
  <dc:description/>
  <cp:lastModifiedBy>Penelope Davie</cp:lastModifiedBy>
  <cp:revision>8</cp:revision>
  <cp:lastPrinted>2026-01-13T03:40:00Z</cp:lastPrinted>
  <dcterms:created xsi:type="dcterms:W3CDTF">2025-12-24T01:11:00Z</dcterms:created>
  <dcterms:modified xsi:type="dcterms:W3CDTF">2026-01-13T03:40:00Z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0x010100A393A2617EF7DB41893826E3ECAAB324</vt:lpwstr>
  </property>
  <property fmtid="{D5CDD505-2E9C-101B-9397-08002B2CF9AE}" pid="3" name="MediaServiceImageTags">
    <vt:lpwstr/>
  </property>
</Properties>
</file>