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D895" w14:textId="04300795" w:rsidR="00B50635" w:rsidRPr="009903E4" w:rsidRDefault="00A762F7" w:rsidP="00461460">
      <w:pPr>
        <w:ind w:right="-8"/>
        <w:rPr>
          <w:rFonts w:cs="Arial"/>
          <w:szCs w:val="20"/>
        </w:rPr>
      </w:pPr>
      <w:r w:rsidRPr="00A762F7">
        <w:rPr>
          <w:rFonts w:cs="Arial"/>
          <w:szCs w:val="20"/>
        </w:rPr>
        <w:t>Standing Committee on Environment and Planning</w:t>
      </w:r>
      <w:r w:rsidR="00B50635" w:rsidRPr="009903E4">
        <w:rPr>
          <w:rFonts w:cs="Arial"/>
          <w:szCs w:val="20"/>
        </w:rPr>
        <w:br/>
      </w:r>
      <w:r w:rsidR="00B25EAD" w:rsidRPr="00B25EAD">
        <w:rPr>
          <w:rFonts w:cs="Arial"/>
          <w:szCs w:val="20"/>
        </w:rPr>
        <w:t>ACT Legislative Assembly</w:t>
      </w:r>
      <w:r w:rsidR="00B50635" w:rsidRPr="009903E4">
        <w:rPr>
          <w:rFonts w:cs="Arial"/>
          <w:szCs w:val="20"/>
        </w:rPr>
        <w:br/>
      </w:r>
      <w:r w:rsidR="00B25EAD" w:rsidRPr="00B25EAD">
        <w:rPr>
          <w:rFonts w:cs="Arial"/>
          <w:szCs w:val="20"/>
        </w:rPr>
        <w:t>GPO Box 1020</w:t>
      </w:r>
      <w:r w:rsidR="00B25EAD">
        <w:rPr>
          <w:rFonts w:cs="Arial"/>
          <w:szCs w:val="20"/>
        </w:rPr>
        <w:t>, Canberra ACT 2601</w:t>
      </w:r>
      <w:r w:rsidR="00B77E46">
        <w:rPr>
          <w:rFonts w:cs="Arial"/>
          <w:szCs w:val="20"/>
        </w:rPr>
        <w:br/>
      </w:r>
      <w:hyperlink r:id="rId11" w:history="1">
        <w:r w:rsidR="00461460" w:rsidRPr="00461460">
          <w:rPr>
            <w:rStyle w:val="Hyperlink"/>
            <w:rFonts w:cs="Arial"/>
            <w:szCs w:val="20"/>
          </w:rPr>
          <w:t>LACommitteeEnvironment@parliament.act.gov.au</w:t>
        </w:r>
      </w:hyperlink>
    </w:p>
    <w:p w14:paraId="5B84AE35" w14:textId="2346A9FA" w:rsidR="00B50635" w:rsidRPr="009903E4" w:rsidRDefault="00B50635" w:rsidP="00B50635">
      <w:pPr>
        <w:rPr>
          <w:rFonts w:cs="Arial"/>
          <w:szCs w:val="20"/>
        </w:rPr>
      </w:pPr>
      <w:r>
        <w:rPr>
          <w:rFonts w:cs="Arial"/>
          <w:szCs w:val="20"/>
        </w:rPr>
        <w:fldChar w:fldCharType="begin"/>
      </w:r>
      <w:r>
        <w:rPr>
          <w:rFonts w:cs="Arial"/>
          <w:szCs w:val="20"/>
        </w:rPr>
        <w:instrText xml:space="preserve"> DATE \@ "d MMMM yyyy" </w:instrText>
      </w:r>
      <w:r>
        <w:rPr>
          <w:rFonts w:cs="Arial"/>
          <w:szCs w:val="20"/>
        </w:rPr>
        <w:fldChar w:fldCharType="separate"/>
      </w:r>
      <w:r w:rsidR="00A45874">
        <w:rPr>
          <w:rFonts w:cs="Arial"/>
          <w:noProof/>
          <w:szCs w:val="20"/>
        </w:rPr>
        <w:t>19 December</w:t>
      </w:r>
      <w:r w:rsidR="00A45874">
        <w:rPr>
          <w:rFonts w:cs="Arial"/>
          <w:noProof/>
          <w:szCs w:val="20"/>
        </w:rPr>
        <w:t xml:space="preserve"> 2026</w:t>
      </w:r>
      <w:r>
        <w:rPr>
          <w:rFonts w:cs="Arial"/>
          <w:szCs w:val="20"/>
        </w:rPr>
        <w:fldChar w:fldCharType="end"/>
      </w:r>
    </w:p>
    <w:p w14:paraId="0C1C1E8B" w14:textId="2F3C8AEB" w:rsidR="00B50635" w:rsidRDefault="00B50635" w:rsidP="00B50635">
      <w:pPr>
        <w:rPr>
          <w:rFonts w:cs="Arial"/>
          <w:szCs w:val="20"/>
        </w:rPr>
      </w:pPr>
      <w:r w:rsidRPr="009903E4">
        <w:rPr>
          <w:rFonts w:cs="Arial"/>
          <w:szCs w:val="20"/>
        </w:rPr>
        <w:t>Dear Sir/Madam</w:t>
      </w:r>
    </w:p>
    <w:p w14:paraId="32423429" w14:textId="3375262F" w:rsidR="00F9543D" w:rsidRPr="00A00BBC" w:rsidRDefault="00461460" w:rsidP="00B50635">
      <w:pPr>
        <w:rPr>
          <w:rFonts w:cs="Arial"/>
          <w:b/>
          <w:bCs/>
          <w:szCs w:val="20"/>
        </w:rPr>
      </w:pPr>
      <w:r>
        <w:rPr>
          <w:rFonts w:cs="Arial"/>
          <w:szCs w:val="20"/>
        </w:rPr>
        <w:t>RE:</w:t>
      </w:r>
      <w:r w:rsidR="00A00BBC" w:rsidRPr="00A00BBC">
        <w:rPr>
          <w:rFonts w:cs="Arial"/>
          <w:szCs w:val="20"/>
        </w:rPr>
        <w:t xml:space="preserve"> INQUIRY INTO DPA-04 – MISSING MIDDLE HOUSING REFORM</w:t>
      </w:r>
    </w:p>
    <w:p w14:paraId="65A97840" w14:textId="66EEFD41" w:rsidR="003309E7" w:rsidRDefault="003309E7" w:rsidP="00B50635">
      <w:pPr>
        <w:rPr>
          <w:rFonts w:cs="Arial"/>
          <w:szCs w:val="20"/>
        </w:rPr>
      </w:pPr>
      <w:r w:rsidRPr="003309E7">
        <w:rPr>
          <w:rFonts w:cs="Arial"/>
          <w:szCs w:val="20"/>
        </w:rPr>
        <w:t>The ACT Council of Social Service</w:t>
      </w:r>
      <w:r w:rsidR="0026113E">
        <w:rPr>
          <w:rFonts w:cs="Arial"/>
          <w:szCs w:val="20"/>
        </w:rPr>
        <w:t xml:space="preserve"> (ACTCOSS)</w:t>
      </w:r>
      <w:r w:rsidRPr="003309E7">
        <w:rPr>
          <w:rFonts w:cs="Arial"/>
          <w:szCs w:val="20"/>
        </w:rPr>
        <w:t xml:space="preserve"> welcomes the opportunity to provide comment </w:t>
      </w:r>
      <w:r w:rsidR="00F90243">
        <w:rPr>
          <w:rFonts w:cs="Arial"/>
          <w:szCs w:val="20"/>
        </w:rPr>
        <w:t xml:space="preserve">on the </w:t>
      </w:r>
      <w:r w:rsidR="00F90243" w:rsidRPr="00F90243">
        <w:rPr>
          <w:rFonts w:cs="Arial"/>
          <w:szCs w:val="20"/>
        </w:rPr>
        <w:t>Draft Major Plan Amendment to the Territory Plan 04 (DPA-04)</w:t>
      </w:r>
      <w:r w:rsidR="00C05F24">
        <w:rPr>
          <w:rFonts w:cs="Arial"/>
          <w:szCs w:val="20"/>
        </w:rPr>
        <w:t>.</w:t>
      </w:r>
    </w:p>
    <w:p w14:paraId="00B199CD" w14:textId="03E7E603" w:rsidR="00C57FDC" w:rsidRDefault="008A285C" w:rsidP="00C57FDC">
      <w:pPr>
        <w:rPr>
          <w:rFonts w:cs="Arial"/>
          <w:szCs w:val="20"/>
        </w:rPr>
      </w:pPr>
      <w:r>
        <w:rPr>
          <w:rFonts w:cs="Arial"/>
          <w:szCs w:val="20"/>
        </w:rPr>
        <w:t>ACTCOSS</w:t>
      </w:r>
      <w:r w:rsidR="00C57FDC" w:rsidRPr="00C57FDC">
        <w:rPr>
          <w:rFonts w:cs="Arial"/>
          <w:szCs w:val="20"/>
        </w:rPr>
        <w:t xml:space="preserve"> is the peak body for not-for-profit community organisations in the </w:t>
      </w:r>
      <w:r w:rsidR="0026113E">
        <w:rPr>
          <w:rFonts w:cs="Arial"/>
          <w:szCs w:val="20"/>
        </w:rPr>
        <w:t>ACT</w:t>
      </w:r>
      <w:r w:rsidR="00C57FDC" w:rsidRPr="00C57FDC">
        <w:rPr>
          <w:rFonts w:cs="Arial"/>
          <w:szCs w:val="20"/>
        </w:rPr>
        <w:t xml:space="preserve">. Our membership includes </w:t>
      </w:r>
      <w:r w:rsidR="00F70B37">
        <w:rPr>
          <w:rFonts w:cs="Arial"/>
          <w:szCs w:val="20"/>
        </w:rPr>
        <w:t>community housing providers</w:t>
      </w:r>
      <w:r w:rsidR="00FA0848">
        <w:rPr>
          <w:rFonts w:cs="Arial"/>
          <w:szCs w:val="20"/>
        </w:rPr>
        <w:t xml:space="preserve"> (CHPs)</w:t>
      </w:r>
      <w:r w:rsidR="00BF120D">
        <w:rPr>
          <w:rFonts w:cs="Arial"/>
          <w:szCs w:val="20"/>
        </w:rPr>
        <w:t>,</w:t>
      </w:r>
      <w:r w:rsidR="00C57FDC" w:rsidRPr="00C57FDC">
        <w:rPr>
          <w:rFonts w:cs="Arial"/>
          <w:szCs w:val="20"/>
        </w:rPr>
        <w:t xml:space="preserve"> and organisations that support </w:t>
      </w:r>
      <w:r w:rsidR="00BF120D">
        <w:rPr>
          <w:rFonts w:cs="Arial"/>
          <w:szCs w:val="20"/>
        </w:rPr>
        <w:t xml:space="preserve">people </w:t>
      </w:r>
      <w:r w:rsidR="00C57FDC" w:rsidRPr="00C57FDC">
        <w:rPr>
          <w:rFonts w:cs="Arial"/>
          <w:szCs w:val="20"/>
        </w:rPr>
        <w:t xml:space="preserve">on low incomes and those experiencing multiple, intersecting forms of disadvantage. We work in partnership with </w:t>
      </w:r>
      <w:r w:rsidR="00E501F4">
        <w:rPr>
          <w:rFonts w:cs="Arial"/>
          <w:szCs w:val="20"/>
        </w:rPr>
        <w:t>the</w:t>
      </w:r>
      <w:r w:rsidR="00EC33BC">
        <w:rPr>
          <w:rFonts w:cs="Arial"/>
          <w:szCs w:val="20"/>
        </w:rPr>
        <w:t xml:space="preserve"> community sector and </w:t>
      </w:r>
      <w:r w:rsidR="00CB6F43">
        <w:rPr>
          <w:rFonts w:cs="Arial"/>
          <w:szCs w:val="20"/>
        </w:rPr>
        <w:t>G</w:t>
      </w:r>
      <w:r w:rsidR="00EC33BC">
        <w:rPr>
          <w:rFonts w:cs="Arial"/>
          <w:szCs w:val="20"/>
        </w:rPr>
        <w:t>overnment</w:t>
      </w:r>
      <w:r w:rsidR="004A409A">
        <w:rPr>
          <w:rFonts w:cs="Arial"/>
          <w:szCs w:val="20"/>
        </w:rPr>
        <w:t xml:space="preserve"> to advance the vision of an inclusive Canberra in which no one lives in poverty. </w:t>
      </w:r>
    </w:p>
    <w:p w14:paraId="3CA5010E" w14:textId="40601825" w:rsidR="00A305BE" w:rsidRDefault="00CF6F1B" w:rsidP="00C57FDC">
      <w:pPr>
        <w:rPr>
          <w:rFonts w:cs="Arial"/>
          <w:szCs w:val="20"/>
        </w:rPr>
      </w:pPr>
      <w:r w:rsidRPr="00CF6F1B">
        <w:rPr>
          <w:rFonts w:cs="Arial"/>
          <w:szCs w:val="20"/>
        </w:rPr>
        <w:t>ACTCOSS support</w:t>
      </w:r>
      <w:r w:rsidR="000C6E97">
        <w:rPr>
          <w:rFonts w:cs="Arial"/>
          <w:szCs w:val="20"/>
        </w:rPr>
        <w:t>s</w:t>
      </w:r>
      <w:r w:rsidRPr="00CF6F1B">
        <w:rPr>
          <w:rFonts w:cs="Arial"/>
          <w:szCs w:val="20"/>
        </w:rPr>
        <w:t xml:space="preserve"> the</w:t>
      </w:r>
      <w:r w:rsidR="00056A1D">
        <w:rPr>
          <w:rFonts w:cs="Arial"/>
          <w:szCs w:val="20"/>
        </w:rPr>
        <w:t xml:space="preserve"> </w:t>
      </w:r>
      <w:r w:rsidR="00755E3F">
        <w:rPr>
          <w:rFonts w:cs="Arial"/>
          <w:szCs w:val="20"/>
        </w:rPr>
        <w:t xml:space="preserve">Government’s ambition to </w:t>
      </w:r>
      <w:r w:rsidR="005670FC">
        <w:rPr>
          <w:rFonts w:cs="Arial"/>
          <w:szCs w:val="20"/>
        </w:rPr>
        <w:t>facilitate more missing middle housing through DPA-04</w:t>
      </w:r>
      <w:r w:rsidR="0020739B">
        <w:rPr>
          <w:rFonts w:cs="Arial"/>
          <w:szCs w:val="20"/>
        </w:rPr>
        <w:t xml:space="preserve">, recognising the urgent need for planning reform </w:t>
      </w:r>
      <w:r w:rsidR="00E81443">
        <w:rPr>
          <w:rFonts w:cs="Arial"/>
          <w:szCs w:val="20"/>
        </w:rPr>
        <w:t xml:space="preserve">to increase housing </w:t>
      </w:r>
      <w:r w:rsidR="00EA621A">
        <w:rPr>
          <w:rFonts w:cs="Arial"/>
          <w:szCs w:val="20"/>
        </w:rPr>
        <w:t xml:space="preserve">supply and </w:t>
      </w:r>
      <w:r w:rsidR="00E81443">
        <w:rPr>
          <w:rFonts w:cs="Arial"/>
          <w:szCs w:val="20"/>
        </w:rPr>
        <w:t xml:space="preserve">diversity and make efficient use of well-located land. </w:t>
      </w:r>
      <w:r w:rsidR="00AA665F">
        <w:rPr>
          <w:rFonts w:cs="Arial"/>
          <w:szCs w:val="20"/>
        </w:rPr>
        <w:t>T</w:t>
      </w:r>
      <w:r w:rsidR="00B3308C" w:rsidRPr="00B3308C">
        <w:rPr>
          <w:rFonts w:cs="Arial"/>
          <w:szCs w:val="20"/>
        </w:rPr>
        <w:t xml:space="preserve">he significance of DPA-04 lies not only in increasing overall housing supply, but in how these reforms interact with existing housing strategies, public landholdings and delivery </w:t>
      </w:r>
      <w:r w:rsidR="007C6500">
        <w:rPr>
          <w:rFonts w:cs="Arial"/>
          <w:szCs w:val="20"/>
        </w:rPr>
        <w:t xml:space="preserve">of existing </w:t>
      </w:r>
      <w:r w:rsidR="00B3308C">
        <w:rPr>
          <w:rFonts w:cs="Arial"/>
          <w:szCs w:val="20"/>
        </w:rPr>
        <w:t xml:space="preserve">Government </w:t>
      </w:r>
      <w:r w:rsidR="00B3308C" w:rsidRPr="00B3308C">
        <w:rPr>
          <w:rFonts w:cs="Arial"/>
          <w:szCs w:val="20"/>
        </w:rPr>
        <w:t>commitments</w:t>
      </w:r>
      <w:r w:rsidR="00B3308C">
        <w:rPr>
          <w:rFonts w:cs="Arial"/>
          <w:szCs w:val="20"/>
        </w:rPr>
        <w:t xml:space="preserve"> – particularly those targeted at </w:t>
      </w:r>
      <w:r w:rsidR="00865408">
        <w:rPr>
          <w:rFonts w:cs="Arial"/>
          <w:szCs w:val="20"/>
        </w:rPr>
        <w:t>expanding the supply of social and affordable housing in the Territory.</w:t>
      </w:r>
      <w:r w:rsidR="00E81443">
        <w:rPr>
          <w:rFonts w:cs="Arial"/>
          <w:szCs w:val="20"/>
        </w:rPr>
        <w:t xml:space="preserve"> </w:t>
      </w:r>
    </w:p>
    <w:p w14:paraId="1DBA6DED" w14:textId="44D4156B" w:rsidR="00CF6F1B" w:rsidRDefault="00CF6F1B" w:rsidP="00C57FDC">
      <w:pPr>
        <w:rPr>
          <w:rFonts w:cs="Arial"/>
          <w:szCs w:val="20"/>
        </w:rPr>
      </w:pPr>
      <w:r w:rsidRPr="00CF6F1B">
        <w:rPr>
          <w:rFonts w:cs="Arial"/>
          <w:szCs w:val="20"/>
        </w:rPr>
        <w:t xml:space="preserve">In </w:t>
      </w:r>
      <w:r w:rsidR="00D526C3">
        <w:rPr>
          <w:rFonts w:cs="Arial"/>
          <w:szCs w:val="20"/>
        </w:rPr>
        <w:t>supporting these reforms</w:t>
      </w:r>
      <w:r w:rsidRPr="00CF6F1B">
        <w:rPr>
          <w:rFonts w:cs="Arial"/>
          <w:szCs w:val="20"/>
        </w:rPr>
        <w:t xml:space="preserve">, we wish to highlight several considerations that we believe must be central to the Committee’s deliberations on DPA-04. </w:t>
      </w:r>
      <w:r w:rsidR="00777530" w:rsidRPr="00777530">
        <w:rPr>
          <w:rFonts w:cs="Arial"/>
          <w:szCs w:val="20"/>
        </w:rPr>
        <w:t>This submission therefore focuses on the urgency of addressing housing insecurity and homelessness in the ACT, the need to significantly scale up social and affordable housing, the importance of clear alignment between DPA-04 and existing housing strategies and commitments, the management of proposed changes to the Lease Variation Charge</w:t>
      </w:r>
      <w:r w:rsidR="00777530">
        <w:rPr>
          <w:rFonts w:cs="Arial"/>
          <w:szCs w:val="20"/>
        </w:rPr>
        <w:t xml:space="preserve"> (LVC)</w:t>
      </w:r>
      <w:r w:rsidR="00777530" w:rsidRPr="00777530">
        <w:rPr>
          <w:rFonts w:cs="Arial"/>
          <w:szCs w:val="20"/>
        </w:rPr>
        <w:t>, and the complementary measures required to support effective implementation of the reforms.</w:t>
      </w:r>
    </w:p>
    <w:tbl>
      <w:tblPr>
        <w:tblStyle w:val="TableGrid"/>
        <w:tblpPr w:leftFromText="180" w:rightFromText="180" w:vertAnchor="page" w:horzAnchor="margin" w:tblpY="3081"/>
        <w:tblW w:w="0" w:type="auto"/>
        <w:tblLook w:val="04A0" w:firstRow="1" w:lastRow="0" w:firstColumn="1" w:lastColumn="0" w:noHBand="0" w:noVBand="1"/>
      </w:tblPr>
      <w:tblGrid>
        <w:gridCol w:w="10188"/>
      </w:tblGrid>
      <w:tr w:rsidR="00051AD9" w14:paraId="101BC735" w14:textId="77777777" w:rsidTr="234F088F">
        <w:tc>
          <w:tcPr>
            <w:tcW w:w="10188" w:type="dxa"/>
            <w:shd w:val="clear" w:color="auto" w:fill="FFF7E1"/>
          </w:tcPr>
          <w:p w14:paraId="6B78ABC6" w14:textId="77777777" w:rsidR="00051AD9" w:rsidRPr="004677EA" w:rsidRDefault="00051AD9" w:rsidP="00051AD9">
            <w:pPr>
              <w:pStyle w:val="Heading1"/>
              <w:spacing w:before="120" w:after="120" w:line="280" w:lineRule="atLeast"/>
            </w:pPr>
            <w:r w:rsidRPr="004677EA">
              <w:lastRenderedPageBreak/>
              <w:t>Key Points and Recommendations</w:t>
            </w:r>
          </w:p>
          <w:p w14:paraId="0F62BA5A" w14:textId="77777777" w:rsidR="00051AD9" w:rsidRPr="00D81EFA" w:rsidRDefault="00051AD9" w:rsidP="00051AD9">
            <w:pPr>
              <w:spacing w:before="120" w:after="120" w:line="280" w:lineRule="atLeast"/>
              <w:rPr>
                <w:rStyle w:val="IntenseEmphasis"/>
                <w:rFonts w:cs="Arial"/>
                <w:color w:val="2D6CB5"/>
                <w:szCs w:val="20"/>
              </w:rPr>
            </w:pPr>
            <w:r>
              <w:rPr>
                <w:rStyle w:val="IntenseEmphasis"/>
                <w:rFonts w:cs="Arial"/>
                <w:color w:val="2D6CB5"/>
                <w:szCs w:val="20"/>
              </w:rPr>
              <w:t xml:space="preserve">Link to other Government strategies and policies </w:t>
            </w:r>
          </w:p>
          <w:p w14:paraId="5993C611" w14:textId="59643046" w:rsidR="00051AD9" w:rsidRPr="009D1052" w:rsidRDefault="00051AD9" w:rsidP="00051AD9">
            <w:pPr>
              <w:pStyle w:val="ListParagraph"/>
              <w:numPr>
                <w:ilvl w:val="0"/>
                <w:numId w:val="3"/>
              </w:numPr>
              <w:spacing w:before="120" w:after="120" w:line="240" w:lineRule="atLeast"/>
              <w:ind w:left="714" w:hanging="357"/>
              <w:contextualSpacing w:val="0"/>
              <w:rPr>
                <w:color w:val="auto"/>
                <w:szCs w:val="20"/>
              </w:rPr>
            </w:pPr>
            <w:r w:rsidRPr="009D1052">
              <w:rPr>
                <w:color w:val="auto"/>
                <w:szCs w:val="20"/>
              </w:rPr>
              <w:t xml:space="preserve">The Committee </w:t>
            </w:r>
            <w:r w:rsidR="00B465FD">
              <w:rPr>
                <w:color w:val="auto"/>
                <w:szCs w:val="20"/>
              </w:rPr>
              <w:t>should</w:t>
            </w:r>
            <w:r w:rsidRPr="009D1052">
              <w:rPr>
                <w:color w:val="auto"/>
                <w:szCs w:val="20"/>
              </w:rPr>
              <w:t xml:space="preserve"> seek clarity on how the missing middle housing reforms are intended to support delivery of the ACT Government’s 2030 public housing targets, including a progress update on the planning work </w:t>
            </w:r>
            <w:r w:rsidR="009E636B">
              <w:rPr>
                <w:color w:val="auto"/>
                <w:szCs w:val="20"/>
              </w:rPr>
              <w:t xml:space="preserve">funded in the 2025-26 budget </w:t>
            </w:r>
            <w:r w:rsidRPr="009D1052">
              <w:rPr>
                <w:color w:val="auto"/>
                <w:szCs w:val="20"/>
              </w:rPr>
              <w:t>being undertaken by Infrastructure Canberra.</w:t>
            </w:r>
          </w:p>
          <w:p w14:paraId="15225CEF" w14:textId="4AE214E3" w:rsidR="00051AD9" w:rsidRPr="009D1052" w:rsidRDefault="00051AD9" w:rsidP="00051AD9">
            <w:pPr>
              <w:pStyle w:val="ListParagraph"/>
              <w:numPr>
                <w:ilvl w:val="0"/>
                <w:numId w:val="3"/>
              </w:numPr>
              <w:spacing w:before="120" w:after="120" w:line="240" w:lineRule="atLeast"/>
              <w:ind w:left="714" w:hanging="357"/>
              <w:contextualSpacing w:val="0"/>
              <w:rPr>
                <w:color w:val="auto"/>
                <w:szCs w:val="20"/>
              </w:rPr>
            </w:pPr>
            <w:r w:rsidRPr="009D1052">
              <w:rPr>
                <w:color w:val="auto"/>
                <w:szCs w:val="20"/>
              </w:rPr>
              <w:t xml:space="preserve">That DPA-04 and its Supporting Report more clearly articulate how the missing middle housing reforms align with, and support delivery of, the </w:t>
            </w:r>
            <w:r w:rsidRPr="009D1052">
              <w:rPr>
                <w:i/>
                <w:iCs/>
                <w:color w:val="auto"/>
                <w:szCs w:val="20"/>
              </w:rPr>
              <w:t>ACT Housing Strategy 2018</w:t>
            </w:r>
            <w:r w:rsidRPr="00CB2411">
              <w:rPr>
                <w:i/>
                <w:iCs/>
                <w:color w:val="auto"/>
                <w:szCs w:val="20"/>
              </w:rPr>
              <w:t>-</w:t>
            </w:r>
            <w:r w:rsidRPr="009D1052">
              <w:rPr>
                <w:i/>
                <w:iCs/>
                <w:color w:val="auto"/>
                <w:szCs w:val="20"/>
              </w:rPr>
              <w:t>2028</w:t>
            </w:r>
            <w:r w:rsidRPr="009D1052">
              <w:rPr>
                <w:color w:val="auto"/>
                <w:szCs w:val="20"/>
              </w:rPr>
              <w:t xml:space="preserve"> and its associated </w:t>
            </w:r>
            <w:r w:rsidRPr="009D1052">
              <w:rPr>
                <w:i/>
                <w:iCs/>
                <w:color w:val="auto"/>
                <w:szCs w:val="20"/>
              </w:rPr>
              <w:t>Implementation Plan</w:t>
            </w:r>
            <w:r>
              <w:rPr>
                <w:color w:val="auto"/>
                <w:szCs w:val="20"/>
              </w:rPr>
              <w:t xml:space="preserve">, </w:t>
            </w:r>
            <w:r w:rsidRPr="0068083A">
              <w:rPr>
                <w:color w:val="auto"/>
                <w:szCs w:val="20"/>
              </w:rPr>
              <w:t>and that any updates to these documents explicitly reflect the reforms</w:t>
            </w:r>
            <w:r w:rsidR="000620C6">
              <w:rPr>
                <w:color w:val="auto"/>
                <w:szCs w:val="20"/>
              </w:rPr>
              <w:t>,</w:t>
            </w:r>
            <w:r w:rsidRPr="0068083A">
              <w:rPr>
                <w:color w:val="auto"/>
                <w:szCs w:val="20"/>
              </w:rPr>
              <w:t xml:space="preserve"> if adopted. </w:t>
            </w:r>
          </w:p>
          <w:p w14:paraId="6253FFBC" w14:textId="77777777" w:rsidR="00051AD9" w:rsidRDefault="00051AD9" w:rsidP="00051AD9">
            <w:pPr>
              <w:spacing w:before="120" w:after="120" w:line="240" w:lineRule="atLeast"/>
              <w:rPr>
                <w:rStyle w:val="IntenseEmphasis"/>
              </w:rPr>
            </w:pPr>
            <w:r>
              <w:rPr>
                <w:rStyle w:val="IntenseEmphasis"/>
                <w:color w:val="2D6CB5"/>
              </w:rPr>
              <w:t>Lease Variation Charge</w:t>
            </w:r>
          </w:p>
          <w:p w14:paraId="4B86B101" w14:textId="2A2EC14A" w:rsidR="00051AD9" w:rsidRPr="00451F20" w:rsidRDefault="26B6470B" w:rsidP="00051AD9">
            <w:pPr>
              <w:pStyle w:val="ListParagraph"/>
              <w:numPr>
                <w:ilvl w:val="0"/>
                <w:numId w:val="4"/>
              </w:numPr>
              <w:spacing w:before="120" w:after="120" w:line="280" w:lineRule="atLeast"/>
              <w:ind w:left="714" w:hanging="357"/>
              <w:contextualSpacing w:val="0"/>
              <w:rPr>
                <w:color w:val="auto"/>
              </w:rPr>
            </w:pPr>
            <w:r w:rsidRPr="234F088F">
              <w:rPr>
                <w:color w:val="auto"/>
              </w:rPr>
              <w:t>That any review of the LVC aimed at increasing housing supply and facilitating more missing middle housing be undertaken through an open, consultative and transparent process, including publication of the modelling and assumptions underpinning proposed changes, and engagement with independent expertise such as the Tax and Transfer Policy Institute (TTPI) at ANU.</w:t>
            </w:r>
            <w:r w:rsidR="518F4CF9" w:rsidRPr="234F088F">
              <w:rPr>
                <w:color w:val="auto"/>
              </w:rPr>
              <w:t xml:space="preserve"> </w:t>
            </w:r>
          </w:p>
          <w:p w14:paraId="094147D0" w14:textId="32B55CC0" w:rsidR="00051AD9" w:rsidRPr="00097C95" w:rsidRDefault="00051AD9" w:rsidP="00051AD9">
            <w:pPr>
              <w:spacing w:before="120" w:after="120" w:line="280" w:lineRule="atLeast"/>
              <w:rPr>
                <w:i/>
                <w:iCs/>
                <w:color w:val="2D6CB5"/>
              </w:rPr>
            </w:pPr>
            <w:r>
              <w:rPr>
                <w:i/>
                <w:iCs/>
                <w:color w:val="2D6CB5"/>
              </w:rPr>
              <w:t>Compl</w:t>
            </w:r>
            <w:r w:rsidR="00E86B15">
              <w:rPr>
                <w:i/>
                <w:iCs/>
                <w:color w:val="2D6CB5"/>
              </w:rPr>
              <w:t>e</w:t>
            </w:r>
            <w:r>
              <w:rPr>
                <w:i/>
                <w:iCs/>
                <w:color w:val="2D6CB5"/>
              </w:rPr>
              <w:t xml:space="preserve">mentary measures  </w:t>
            </w:r>
          </w:p>
          <w:p w14:paraId="286C9EE0" w14:textId="76D55E47" w:rsidR="00051AD9" w:rsidRPr="009A5C14" w:rsidRDefault="00051AD9" w:rsidP="00051AD9">
            <w:pPr>
              <w:pStyle w:val="ListParagraph"/>
              <w:numPr>
                <w:ilvl w:val="0"/>
                <w:numId w:val="3"/>
              </w:numPr>
              <w:spacing w:before="120" w:after="120" w:line="240" w:lineRule="atLeast"/>
              <w:ind w:left="714" w:hanging="357"/>
              <w:contextualSpacing w:val="0"/>
            </w:pPr>
            <w:r w:rsidRPr="009A5C14">
              <w:t>That DPA-04 be accompanied by complementary measures, consistent with feedback from the consultation process</w:t>
            </w:r>
            <w:r w:rsidR="00517A02">
              <w:t xml:space="preserve"> conducted by the </w:t>
            </w:r>
            <w:r w:rsidR="009778B5">
              <w:t xml:space="preserve">Territory Planning Authority </w:t>
            </w:r>
            <w:r w:rsidR="00AA65D4">
              <w:t>earl</w:t>
            </w:r>
            <w:r w:rsidR="00641996">
              <w:t>ier in 2025</w:t>
            </w:r>
            <w:r w:rsidRPr="009A5C14">
              <w:t>, including:</w:t>
            </w:r>
          </w:p>
          <w:p w14:paraId="6A17C692" w14:textId="77777777" w:rsidR="00051AD9" w:rsidRPr="009A5C14" w:rsidRDefault="00051AD9" w:rsidP="00051AD9">
            <w:pPr>
              <w:pStyle w:val="ListParagraph"/>
              <w:numPr>
                <w:ilvl w:val="1"/>
                <w:numId w:val="3"/>
              </w:numPr>
              <w:spacing w:before="120" w:after="120" w:line="240" w:lineRule="atLeast"/>
              <w:contextualSpacing w:val="0"/>
            </w:pPr>
            <w:r w:rsidRPr="009A5C14">
              <w:t>incentives for the construction of single-level townhouses to support ageing in place and downsizing</w:t>
            </w:r>
          </w:p>
          <w:p w14:paraId="2D29CF05" w14:textId="77777777" w:rsidR="00051AD9" w:rsidRPr="009A5C14" w:rsidRDefault="00051AD9" w:rsidP="00051AD9">
            <w:pPr>
              <w:pStyle w:val="ListParagraph"/>
              <w:numPr>
                <w:ilvl w:val="1"/>
                <w:numId w:val="3"/>
              </w:numPr>
              <w:spacing w:before="120" w:after="120" w:line="240" w:lineRule="atLeast"/>
              <w:contextualSpacing w:val="0"/>
            </w:pPr>
            <w:r w:rsidRPr="009A5C14">
              <w:t>incentives for more liveable and accessible housing to expand options for people with disability</w:t>
            </w:r>
          </w:p>
          <w:p w14:paraId="37F7AF96" w14:textId="77777777" w:rsidR="00051AD9" w:rsidRPr="009A5C14" w:rsidRDefault="00051AD9" w:rsidP="00051AD9">
            <w:pPr>
              <w:pStyle w:val="ListParagraph"/>
              <w:numPr>
                <w:ilvl w:val="1"/>
                <w:numId w:val="3"/>
              </w:numPr>
              <w:spacing w:before="120" w:after="120" w:line="240" w:lineRule="atLeast"/>
              <w:contextualSpacing w:val="0"/>
            </w:pPr>
            <w:r w:rsidRPr="009A5C14">
              <w:t>robust data collection and regular evaluation to monitor uptake, outcomes and unintended consequences of the reforms over time</w:t>
            </w:r>
            <w:r>
              <w:t xml:space="preserve">, </w:t>
            </w:r>
            <w:r>
              <w:rPr>
                <w:rFonts w:cs="Arial"/>
                <w:szCs w:val="20"/>
              </w:rPr>
              <w:t>so that adequate and timely policy responses can be delivered.</w:t>
            </w:r>
          </w:p>
          <w:p w14:paraId="46949B64" w14:textId="77777777" w:rsidR="00051AD9" w:rsidRDefault="26B6470B" w:rsidP="00051AD9">
            <w:pPr>
              <w:pStyle w:val="ListParagraph"/>
              <w:numPr>
                <w:ilvl w:val="0"/>
                <w:numId w:val="3"/>
              </w:numPr>
              <w:spacing w:before="120" w:after="120" w:line="240" w:lineRule="atLeast"/>
              <w:ind w:left="714" w:hanging="357"/>
              <w:contextualSpacing w:val="0"/>
            </w:pPr>
            <w:r>
              <w:t>That the ACT Government progress the establishment of an independent Office of the Strata Commissioner and carefully consider the forthcoming findings and recommendations of the</w:t>
            </w:r>
            <w:r w:rsidRPr="234F088F">
              <w:rPr>
                <w:rFonts w:cs="Arial"/>
              </w:rPr>
              <w:t xml:space="preserve"> </w:t>
            </w:r>
            <w:r w:rsidRPr="234F088F">
              <w:rPr>
                <w:rFonts w:cs="Arial"/>
                <w:i/>
                <w:iCs/>
              </w:rPr>
              <w:t>Inquiry into the Management of Strata Properties</w:t>
            </w:r>
            <w:r>
              <w:t>, noting that effective strata governance will be critical to the long-term success of the missing middle housing reforms.</w:t>
            </w:r>
          </w:p>
          <w:p w14:paraId="3417CCE2" w14:textId="07C623A0" w:rsidR="00D97C74" w:rsidRPr="00DC64EE" w:rsidRDefault="110F7254" w:rsidP="234F088F">
            <w:pPr>
              <w:pStyle w:val="ListParagraph"/>
              <w:numPr>
                <w:ilvl w:val="0"/>
                <w:numId w:val="3"/>
              </w:numPr>
              <w:spacing w:before="120" w:after="120" w:line="240" w:lineRule="atLeast"/>
              <w:ind w:left="714" w:hanging="357"/>
            </w:pPr>
            <w:r>
              <w:t xml:space="preserve">That </w:t>
            </w:r>
            <w:r w:rsidR="68EF2FCF">
              <w:t xml:space="preserve">DPA-04 be </w:t>
            </w:r>
            <w:r w:rsidR="31EB5126">
              <w:t>accompanied</w:t>
            </w:r>
            <w:r w:rsidR="68EF2FCF">
              <w:t xml:space="preserve"> by complementary measures </w:t>
            </w:r>
            <w:r w:rsidR="31EB5126">
              <w:t xml:space="preserve">that incentivise </w:t>
            </w:r>
            <w:r w:rsidR="1928DA0F">
              <w:t>clubs with electronic gaming machines (EGMs) to transition completely away from gambling revenue (rather than merely diversifying their income</w:t>
            </w:r>
            <w:r w:rsidR="14BB59FC">
              <w:t xml:space="preserve"> through </w:t>
            </w:r>
            <w:r w:rsidR="6ECBCF59">
              <w:t>land development</w:t>
            </w:r>
            <w:r w:rsidR="1928DA0F">
              <w:t xml:space="preserve"> </w:t>
            </w:r>
            <w:r w:rsidR="78F2A18E">
              <w:t>to</w:t>
            </w:r>
            <w:r w:rsidR="1928DA0F">
              <w:t xml:space="preserve"> redu</w:t>
            </w:r>
            <w:r w:rsidR="78F2A18E">
              <w:t>ce</w:t>
            </w:r>
            <w:r w:rsidR="1928DA0F">
              <w:t xml:space="preserve"> but not eliminat</w:t>
            </w:r>
            <w:r w:rsidR="020C9C0C">
              <w:t>e</w:t>
            </w:r>
            <w:r w:rsidR="1928DA0F">
              <w:t xml:space="preserve"> their reliance on gambling). </w:t>
            </w:r>
          </w:p>
        </w:tc>
      </w:tr>
    </w:tbl>
    <w:p w14:paraId="403CC73A" w14:textId="0D39E9BE" w:rsidR="00095A6C" w:rsidRDefault="00095A6C" w:rsidP="00C57FDC">
      <w:pPr>
        <w:rPr>
          <w:rFonts w:cs="Arial"/>
          <w:szCs w:val="20"/>
        </w:rPr>
      </w:pPr>
    </w:p>
    <w:p w14:paraId="01C8D374" w14:textId="77777777" w:rsidR="00095A6C" w:rsidRDefault="00095A6C">
      <w:pPr>
        <w:spacing w:after="0" w:line="240" w:lineRule="auto"/>
        <w:rPr>
          <w:rFonts w:cs="Arial"/>
          <w:szCs w:val="20"/>
        </w:rPr>
      </w:pPr>
      <w:r>
        <w:rPr>
          <w:rFonts w:cs="Arial"/>
          <w:szCs w:val="20"/>
        </w:rPr>
        <w:br w:type="page"/>
      </w:r>
    </w:p>
    <w:p w14:paraId="17C08239" w14:textId="2018C769" w:rsidR="00354C8F" w:rsidRDefault="00354C8F" w:rsidP="00C57FDC">
      <w:pPr>
        <w:rPr>
          <w:rFonts w:cs="Arial"/>
          <w:b/>
          <w:bCs/>
          <w:szCs w:val="20"/>
        </w:rPr>
      </w:pPr>
      <w:r w:rsidRPr="00354C8F">
        <w:rPr>
          <w:rFonts w:cs="Arial"/>
          <w:b/>
          <w:bCs/>
          <w:szCs w:val="20"/>
        </w:rPr>
        <w:lastRenderedPageBreak/>
        <w:t>Housing insecurity and homelessness</w:t>
      </w:r>
    </w:p>
    <w:p w14:paraId="311649F5" w14:textId="77777777" w:rsidR="00C90118" w:rsidRPr="00C90118" w:rsidRDefault="00C90118" w:rsidP="00C90118">
      <w:pPr>
        <w:rPr>
          <w:rFonts w:cs="Arial"/>
          <w:szCs w:val="20"/>
        </w:rPr>
      </w:pPr>
      <w:r w:rsidRPr="00C90118">
        <w:rPr>
          <w:rFonts w:cs="Arial"/>
          <w:szCs w:val="20"/>
        </w:rPr>
        <w:t xml:space="preserve">The harm caused by housing insecurity and homelessness is profound and well-documented. People experiencing domestic and family violence are often forced to choose between remaining in unsafe environments and becoming homeless. People on low incomes frequently sacrifice essential needs such as food, heating or medical care </w:t>
      </w:r>
      <w:proofErr w:type="gramStart"/>
      <w:r w:rsidRPr="00C90118">
        <w:rPr>
          <w:rFonts w:cs="Arial"/>
          <w:szCs w:val="20"/>
        </w:rPr>
        <w:t>in order to</w:t>
      </w:r>
      <w:proofErr w:type="gramEnd"/>
      <w:r w:rsidRPr="00C90118">
        <w:rPr>
          <w:rFonts w:cs="Arial"/>
          <w:szCs w:val="20"/>
        </w:rPr>
        <w:t xml:space="preserve"> afford rent at market rates. For children and young people, housing instability is associated with poorer educational outcomes and reduced life opportunities.</w:t>
      </w:r>
    </w:p>
    <w:p w14:paraId="258E6936" w14:textId="1467C19C" w:rsidR="00354C8F" w:rsidRPr="00C57FDC" w:rsidRDefault="00C90118" w:rsidP="00C57FDC">
      <w:pPr>
        <w:rPr>
          <w:rFonts w:cs="Arial"/>
          <w:szCs w:val="20"/>
        </w:rPr>
      </w:pPr>
      <w:r w:rsidRPr="00C90118">
        <w:rPr>
          <w:rFonts w:cs="Arial"/>
          <w:szCs w:val="20"/>
        </w:rPr>
        <w:t>There are also significant long-term public costs associated with inadequate access to stable housing. As the duration of homelessness increases, needs become more complex, resulting in higher costs across health, justice and social services. From both a wellbeing and fiscal perspective, early access to secure, affordable housing is far more effective than crisis responses once homelessness has occurred.</w:t>
      </w:r>
      <w:r w:rsidR="00F50D36">
        <w:rPr>
          <w:rStyle w:val="FootnoteReference"/>
          <w:rFonts w:cs="Arial"/>
          <w:szCs w:val="20"/>
        </w:rPr>
        <w:footnoteReference w:id="1"/>
      </w:r>
      <w:r w:rsidRPr="00C90118">
        <w:rPr>
          <w:rFonts w:cs="Arial"/>
          <w:szCs w:val="20"/>
        </w:rPr>
        <w:t xml:space="preserve"> However, the current supply of social and affordable housing in the ACT is insufficient to support early intervention</w:t>
      </w:r>
      <w:r w:rsidR="00F1344E">
        <w:rPr>
          <w:rFonts w:cs="Arial"/>
          <w:szCs w:val="20"/>
        </w:rPr>
        <w:t xml:space="preserve"> for all Canberrans</w:t>
      </w:r>
      <w:r w:rsidRPr="00C90118">
        <w:rPr>
          <w:rFonts w:cs="Arial"/>
          <w:szCs w:val="20"/>
        </w:rPr>
        <w:t>, and the system is increasingly operating in crisis mode.</w:t>
      </w:r>
    </w:p>
    <w:p w14:paraId="38EED120" w14:textId="77777777" w:rsidR="004F6A4B" w:rsidRPr="004F6A4B" w:rsidRDefault="004F6A4B" w:rsidP="003161F5">
      <w:pPr>
        <w:rPr>
          <w:rFonts w:cs="Arial"/>
          <w:b/>
          <w:bCs/>
          <w:szCs w:val="20"/>
        </w:rPr>
      </w:pPr>
      <w:r w:rsidRPr="004F6A4B">
        <w:rPr>
          <w:rFonts w:cs="Arial"/>
          <w:b/>
          <w:bCs/>
          <w:szCs w:val="20"/>
        </w:rPr>
        <w:t>The need to scale up social and affordable housing</w:t>
      </w:r>
    </w:p>
    <w:p w14:paraId="6A263547" w14:textId="3412DC1E" w:rsidR="00221CE4" w:rsidRPr="00221CE4" w:rsidRDefault="00221CE4" w:rsidP="00221CE4">
      <w:pPr>
        <w:rPr>
          <w:rFonts w:cs="Arial"/>
          <w:szCs w:val="20"/>
        </w:rPr>
      </w:pPr>
      <w:r w:rsidRPr="00221CE4">
        <w:rPr>
          <w:rFonts w:cs="Arial"/>
          <w:szCs w:val="20"/>
        </w:rPr>
        <w:t xml:space="preserve">There is an urgent need to significantly increase the supply of </w:t>
      </w:r>
      <w:r w:rsidR="00831985">
        <w:rPr>
          <w:rFonts w:cs="Arial"/>
          <w:szCs w:val="20"/>
        </w:rPr>
        <w:t>social</w:t>
      </w:r>
      <w:r w:rsidRPr="00221CE4">
        <w:rPr>
          <w:rFonts w:cs="Arial"/>
          <w:szCs w:val="20"/>
        </w:rPr>
        <w:t xml:space="preserve"> and </w:t>
      </w:r>
      <w:r w:rsidR="00831985">
        <w:rPr>
          <w:rFonts w:cs="Arial"/>
          <w:szCs w:val="20"/>
        </w:rPr>
        <w:t xml:space="preserve">affordable </w:t>
      </w:r>
      <w:r w:rsidRPr="00221CE4">
        <w:rPr>
          <w:rFonts w:cs="Arial"/>
          <w:szCs w:val="20"/>
        </w:rPr>
        <w:t>housing in the ACT. For a growing proportion of households, social and affordable housing is the only viable option given the sustained unaffordability of the private rental market.</w:t>
      </w:r>
      <w:r w:rsidR="00D93BA4">
        <w:rPr>
          <w:rStyle w:val="FootnoteReference"/>
          <w:rFonts w:cs="Arial"/>
          <w:szCs w:val="20"/>
        </w:rPr>
        <w:footnoteReference w:id="2"/>
      </w:r>
    </w:p>
    <w:p w14:paraId="56D6E79E" w14:textId="033D09F3" w:rsidR="00221CE4" w:rsidRDefault="00221CE4" w:rsidP="00221CE4">
      <w:pPr>
        <w:rPr>
          <w:rFonts w:cs="Arial"/>
          <w:szCs w:val="20"/>
        </w:rPr>
      </w:pPr>
      <w:r w:rsidRPr="00221CE4">
        <w:rPr>
          <w:rFonts w:cs="Arial"/>
          <w:szCs w:val="20"/>
        </w:rPr>
        <w:t xml:space="preserve">At present, </w:t>
      </w:r>
      <w:r w:rsidR="005B2C13">
        <w:rPr>
          <w:rFonts w:cs="Arial"/>
          <w:szCs w:val="20"/>
        </w:rPr>
        <w:t>almost 3,500</w:t>
      </w:r>
      <w:r w:rsidRPr="00221CE4">
        <w:rPr>
          <w:rFonts w:cs="Arial"/>
          <w:szCs w:val="20"/>
        </w:rPr>
        <w:t xml:space="preserve"> </w:t>
      </w:r>
      <w:r w:rsidR="005B2C13">
        <w:rPr>
          <w:rFonts w:cs="Arial"/>
          <w:szCs w:val="20"/>
        </w:rPr>
        <w:t>applicants</w:t>
      </w:r>
      <w:r w:rsidRPr="00221CE4">
        <w:rPr>
          <w:rFonts w:cs="Arial"/>
          <w:szCs w:val="20"/>
        </w:rPr>
        <w:t xml:space="preserve"> are on the ACT public housing waitlist, with a further </w:t>
      </w:r>
      <w:r w:rsidR="005B2C13">
        <w:rPr>
          <w:rFonts w:cs="Arial"/>
          <w:szCs w:val="20"/>
        </w:rPr>
        <w:t>1,037</w:t>
      </w:r>
      <w:r w:rsidRPr="00221CE4">
        <w:rPr>
          <w:rFonts w:cs="Arial"/>
          <w:szCs w:val="20"/>
        </w:rPr>
        <w:t xml:space="preserve"> approved for transfer to more suitable housing. Average wait times for standard public housing </w:t>
      </w:r>
      <w:r w:rsidR="008148CE">
        <w:rPr>
          <w:rFonts w:cs="Arial"/>
          <w:szCs w:val="20"/>
        </w:rPr>
        <w:t xml:space="preserve">is almost </w:t>
      </w:r>
      <w:r w:rsidRPr="00221CE4">
        <w:rPr>
          <w:rFonts w:cs="Arial"/>
          <w:szCs w:val="20"/>
        </w:rPr>
        <w:t>five years. These figures understate underlying need, as eligibility criteria have become increasingly restrictive in response to limited supply.</w:t>
      </w:r>
    </w:p>
    <w:p w14:paraId="1D09449C" w14:textId="6A4A8298" w:rsidR="00C23FAA" w:rsidRDefault="00503779" w:rsidP="00221CE4">
      <w:pPr>
        <w:rPr>
          <w:rFonts w:cs="Arial"/>
          <w:szCs w:val="20"/>
        </w:rPr>
      </w:pPr>
      <w:r>
        <w:rPr>
          <w:rFonts w:cs="Arial"/>
          <w:szCs w:val="20"/>
        </w:rPr>
        <w:t xml:space="preserve">ACTCOSS </w:t>
      </w:r>
      <w:r w:rsidR="00792471">
        <w:rPr>
          <w:rFonts w:cs="Arial"/>
          <w:szCs w:val="20"/>
        </w:rPr>
        <w:t>and</w:t>
      </w:r>
      <w:r w:rsidR="00AC18A3">
        <w:rPr>
          <w:rFonts w:cs="Arial"/>
          <w:szCs w:val="20"/>
        </w:rPr>
        <w:t xml:space="preserve"> </w:t>
      </w:r>
      <w:r w:rsidR="00BD1ECD">
        <w:rPr>
          <w:rFonts w:cs="Arial"/>
          <w:szCs w:val="20"/>
        </w:rPr>
        <w:t xml:space="preserve">our </w:t>
      </w:r>
      <w:r>
        <w:rPr>
          <w:rFonts w:cs="Arial"/>
          <w:szCs w:val="20"/>
        </w:rPr>
        <w:t>member organisations</w:t>
      </w:r>
      <w:r w:rsidR="00792471">
        <w:rPr>
          <w:rFonts w:cs="Arial"/>
          <w:szCs w:val="20"/>
        </w:rPr>
        <w:t xml:space="preserve"> are also </w:t>
      </w:r>
      <w:r>
        <w:rPr>
          <w:rFonts w:cs="Arial"/>
          <w:szCs w:val="20"/>
        </w:rPr>
        <w:t>concern</w:t>
      </w:r>
      <w:r w:rsidR="00AC18A3">
        <w:rPr>
          <w:rFonts w:cs="Arial"/>
          <w:szCs w:val="20"/>
        </w:rPr>
        <w:t>ed</w:t>
      </w:r>
      <w:r>
        <w:rPr>
          <w:rFonts w:cs="Arial"/>
          <w:szCs w:val="20"/>
        </w:rPr>
        <w:t xml:space="preserve"> </w:t>
      </w:r>
      <w:r w:rsidR="00AC18A3">
        <w:rPr>
          <w:rFonts w:cs="Arial"/>
          <w:szCs w:val="20"/>
        </w:rPr>
        <w:t>about</w:t>
      </w:r>
      <w:r w:rsidR="00F468AB" w:rsidRPr="00F468AB">
        <w:rPr>
          <w:rFonts w:cs="Arial"/>
          <w:szCs w:val="20"/>
        </w:rPr>
        <w:t xml:space="preserve"> households who are not eligible for social housing, but who do not meet the minimum income thresholds </w:t>
      </w:r>
      <w:r w:rsidR="002F6F2E">
        <w:rPr>
          <w:rFonts w:cs="Arial"/>
          <w:szCs w:val="20"/>
        </w:rPr>
        <w:t>for available affordable</w:t>
      </w:r>
      <w:r w:rsidR="00010A62">
        <w:rPr>
          <w:rFonts w:cs="Arial"/>
          <w:szCs w:val="20"/>
        </w:rPr>
        <w:t xml:space="preserve"> rental</w:t>
      </w:r>
      <w:r w:rsidR="002F6F2E">
        <w:rPr>
          <w:rFonts w:cs="Arial"/>
          <w:szCs w:val="20"/>
        </w:rPr>
        <w:t xml:space="preserve"> housing </w:t>
      </w:r>
      <w:r w:rsidR="00037F81">
        <w:rPr>
          <w:rFonts w:cs="Arial"/>
          <w:szCs w:val="20"/>
        </w:rPr>
        <w:t>in the market.</w:t>
      </w:r>
      <w:r w:rsidR="00E60124">
        <w:rPr>
          <w:rStyle w:val="FootnoteReference"/>
        </w:rPr>
        <w:footnoteReference w:id="3"/>
      </w:r>
      <w:r w:rsidR="00E60124">
        <w:rPr>
          <w:rFonts w:cs="Arial"/>
          <w:szCs w:val="20"/>
        </w:rPr>
        <w:t xml:space="preserve"> </w:t>
      </w:r>
      <w:r w:rsidR="001663F2" w:rsidRPr="001663F2">
        <w:rPr>
          <w:rFonts w:cs="Arial"/>
          <w:szCs w:val="20"/>
        </w:rPr>
        <w:t>This group typically includes households in the upper range of the first income quintile and the lower range of the second income quintile.</w:t>
      </w:r>
      <w:r w:rsidR="001663F2">
        <w:rPr>
          <w:rFonts w:cs="Arial"/>
          <w:szCs w:val="20"/>
        </w:rPr>
        <w:t xml:space="preserve"> </w:t>
      </w:r>
    </w:p>
    <w:p w14:paraId="1EE18C96" w14:textId="07693F2C" w:rsidR="00503779" w:rsidRPr="00221CE4" w:rsidRDefault="00D13F59" w:rsidP="00221CE4">
      <w:r w:rsidRPr="00315F90">
        <w:t>Recent research</w:t>
      </w:r>
      <w:r>
        <w:t xml:space="preserve"> from YWCA Canberra</w:t>
      </w:r>
      <w:r w:rsidRPr="00315F90">
        <w:t xml:space="preserve"> </w:t>
      </w:r>
      <w:r w:rsidR="00CA3BD0">
        <w:t>support</w:t>
      </w:r>
      <w:r w:rsidRPr="00315F90">
        <w:t>s this: of the women who accessed homelessness services last year, the largest group were earning between $78,000 and $91,000, and over a third were earning between $53,000 and $104,000</w:t>
      </w:r>
      <w:r w:rsidR="001E6248">
        <w:t>.</w:t>
      </w:r>
      <w:r w:rsidR="00E928E1">
        <w:rPr>
          <w:rStyle w:val="FootnoteReference"/>
        </w:rPr>
        <w:footnoteReference w:id="4"/>
      </w:r>
      <w:r w:rsidR="001E6248">
        <w:t xml:space="preserve"> While these incomes levels would typically exclude hous</w:t>
      </w:r>
      <w:r w:rsidR="00FE3839">
        <w:t>e</w:t>
      </w:r>
      <w:r w:rsidR="001E6248">
        <w:t>holds f</w:t>
      </w:r>
      <w:r w:rsidR="00E04219">
        <w:t>rom</w:t>
      </w:r>
      <w:r w:rsidR="00FE3839">
        <w:t xml:space="preserve"> social housing</w:t>
      </w:r>
      <w:r w:rsidR="00F52351">
        <w:t xml:space="preserve"> and, in theory, make them eligible for affordable rental</w:t>
      </w:r>
      <w:r w:rsidR="00D96032">
        <w:t>s, private market rents in the ACT are so high, tha</w:t>
      </w:r>
      <w:r w:rsidR="00E83FE4">
        <w:t>t</w:t>
      </w:r>
      <w:r w:rsidR="00D96032">
        <w:t xml:space="preserve"> even </w:t>
      </w:r>
      <w:r w:rsidR="00D96032">
        <w:lastRenderedPageBreak/>
        <w:t xml:space="preserve">subsidised </w:t>
      </w:r>
      <w:r w:rsidR="00A57B53">
        <w:t xml:space="preserve">rents remain unaffordable for many. </w:t>
      </w:r>
      <w:r w:rsidR="008950E4">
        <w:t>W</w:t>
      </w:r>
      <w:r w:rsidR="00417440">
        <w:t>ith</w:t>
      </w:r>
      <w:r w:rsidR="009B07FA">
        <w:t xml:space="preserve"> </w:t>
      </w:r>
      <w:r w:rsidR="00816204">
        <w:t xml:space="preserve">few or no </w:t>
      </w:r>
      <w:r w:rsidR="008F4338">
        <w:t xml:space="preserve">such affordable rentals </w:t>
      </w:r>
      <w:r w:rsidR="00816204">
        <w:t xml:space="preserve">available </w:t>
      </w:r>
      <w:r w:rsidR="002419D9">
        <w:t xml:space="preserve">in the </w:t>
      </w:r>
      <w:r w:rsidR="00F04828">
        <w:t>market</w:t>
      </w:r>
      <w:r w:rsidR="008F4338">
        <w:t xml:space="preserve">, </w:t>
      </w:r>
      <w:r w:rsidR="00326AF6">
        <w:t>the</w:t>
      </w:r>
      <w:r w:rsidR="009C65D2">
        <w:t xml:space="preserve">se households </w:t>
      </w:r>
      <w:r w:rsidR="00326AF6">
        <w:t>find themselves</w:t>
      </w:r>
      <w:r w:rsidR="00E31BE7">
        <w:t xml:space="preserve"> unsupported</w:t>
      </w:r>
      <w:r w:rsidR="00BD7405">
        <w:t xml:space="preserve"> in a policy</w:t>
      </w:r>
      <w:r w:rsidR="005B47B7">
        <w:t>-created gap</w:t>
      </w:r>
      <w:r w:rsidR="008D2971">
        <w:t xml:space="preserve"> – neither eligible for social housing nor able to </w:t>
      </w:r>
      <w:r w:rsidR="008D7D1F">
        <w:t xml:space="preserve">secure genuinely affordable </w:t>
      </w:r>
      <w:r w:rsidR="00F87522">
        <w:t>housing in the market.</w:t>
      </w:r>
      <w:r w:rsidR="00BE767E">
        <w:t xml:space="preserve"> </w:t>
      </w:r>
    </w:p>
    <w:p w14:paraId="2BC7135D" w14:textId="11771689" w:rsidR="004C17CF" w:rsidRDefault="004C17CF" w:rsidP="003161F5">
      <w:pPr>
        <w:rPr>
          <w:rFonts w:cs="Arial"/>
          <w:b/>
          <w:bCs/>
          <w:szCs w:val="20"/>
        </w:rPr>
      </w:pPr>
      <w:r w:rsidRPr="004C17CF">
        <w:rPr>
          <w:rFonts w:cs="Arial"/>
          <w:b/>
          <w:bCs/>
          <w:szCs w:val="20"/>
        </w:rPr>
        <w:t>Link to other Government strategies and policies</w:t>
      </w:r>
    </w:p>
    <w:p w14:paraId="03B86CAE" w14:textId="3FEC3B82" w:rsidR="00CD2AFF" w:rsidRPr="00CD2AFF" w:rsidRDefault="00CD2AFF" w:rsidP="00CD2AFF">
      <w:pPr>
        <w:rPr>
          <w:rFonts w:cs="Arial"/>
          <w:szCs w:val="20"/>
        </w:rPr>
      </w:pPr>
      <w:r w:rsidRPr="00C6788B">
        <w:rPr>
          <w:rFonts w:cs="Arial"/>
          <w:b/>
          <w:bCs/>
          <w:szCs w:val="20"/>
        </w:rPr>
        <w:t>ACTCOSS notes that ACT Housing is the largest holder of RZ1 land in the Territory.</w:t>
      </w:r>
      <w:r w:rsidRPr="00CD2AFF">
        <w:rPr>
          <w:rFonts w:cs="Arial"/>
          <w:szCs w:val="20"/>
        </w:rPr>
        <w:t xml:space="preserve"> </w:t>
      </w:r>
      <w:r w:rsidRPr="00C6788B">
        <w:rPr>
          <w:rFonts w:cs="Arial"/>
          <w:b/>
          <w:bCs/>
          <w:szCs w:val="20"/>
        </w:rPr>
        <w:t xml:space="preserve">As such, ACT Housing will be a central delivery partner if the missing middle housing reforms are to contribute meaningfully to </w:t>
      </w:r>
      <w:r w:rsidR="0031525B" w:rsidRPr="00C6788B">
        <w:rPr>
          <w:rFonts w:cs="Arial"/>
          <w:b/>
          <w:bCs/>
          <w:szCs w:val="20"/>
        </w:rPr>
        <w:t xml:space="preserve">improving the affordability of </w:t>
      </w:r>
      <w:r w:rsidR="005E65A8" w:rsidRPr="00C6788B">
        <w:rPr>
          <w:rFonts w:cs="Arial"/>
          <w:b/>
          <w:bCs/>
          <w:szCs w:val="20"/>
        </w:rPr>
        <w:t>housing in the ACT</w:t>
      </w:r>
      <w:r w:rsidRPr="00C6788B">
        <w:rPr>
          <w:rFonts w:cs="Arial"/>
          <w:b/>
          <w:bCs/>
          <w:szCs w:val="20"/>
        </w:rPr>
        <w:t>.</w:t>
      </w:r>
      <w:r w:rsidRPr="00CD2AFF">
        <w:rPr>
          <w:rFonts w:cs="Arial"/>
          <w:szCs w:val="20"/>
        </w:rPr>
        <w:t xml:space="preserve"> In principle, DPA-04 should enable ACT Housing to use its landholdings </w:t>
      </w:r>
      <w:r w:rsidR="003E03A8">
        <w:rPr>
          <w:rFonts w:cs="Arial"/>
          <w:szCs w:val="20"/>
        </w:rPr>
        <w:t xml:space="preserve">to </w:t>
      </w:r>
      <w:r w:rsidRPr="00CD2AFF">
        <w:rPr>
          <w:rFonts w:cs="Arial"/>
          <w:szCs w:val="20"/>
        </w:rPr>
        <w:t xml:space="preserve">support </w:t>
      </w:r>
      <w:r w:rsidR="003E03A8">
        <w:rPr>
          <w:rFonts w:cs="Arial"/>
          <w:szCs w:val="20"/>
        </w:rPr>
        <w:t>the deliver</w:t>
      </w:r>
      <w:r w:rsidR="009829D4">
        <w:rPr>
          <w:rFonts w:cs="Arial"/>
          <w:szCs w:val="20"/>
        </w:rPr>
        <w:t>y</w:t>
      </w:r>
      <w:r w:rsidR="003E03A8">
        <w:rPr>
          <w:rFonts w:cs="Arial"/>
          <w:szCs w:val="20"/>
        </w:rPr>
        <w:t xml:space="preserve"> of more social and affordable housing</w:t>
      </w:r>
      <w:r w:rsidRPr="00CD2AFF">
        <w:rPr>
          <w:rFonts w:cs="Arial"/>
          <w:szCs w:val="20"/>
        </w:rPr>
        <w:t xml:space="preserve">. </w:t>
      </w:r>
      <w:r w:rsidR="003E03A8" w:rsidRPr="00CD2AFF">
        <w:rPr>
          <w:rFonts w:cs="Arial"/>
          <w:szCs w:val="20"/>
        </w:rPr>
        <w:t>ACTCOSS</w:t>
      </w:r>
      <w:r w:rsidR="003E03A8">
        <w:rPr>
          <w:rFonts w:cs="Arial"/>
          <w:szCs w:val="20"/>
        </w:rPr>
        <w:t xml:space="preserve"> </w:t>
      </w:r>
      <w:r w:rsidR="003E03A8" w:rsidRPr="00CD2AFF">
        <w:rPr>
          <w:rFonts w:cs="Arial"/>
          <w:szCs w:val="20"/>
        </w:rPr>
        <w:t>support</w:t>
      </w:r>
      <w:r w:rsidR="00682F62">
        <w:rPr>
          <w:rFonts w:cs="Arial"/>
          <w:szCs w:val="20"/>
        </w:rPr>
        <w:t xml:space="preserve"> for</w:t>
      </w:r>
      <w:r w:rsidR="003E03A8" w:rsidRPr="00CD2AFF">
        <w:rPr>
          <w:rFonts w:cs="Arial"/>
          <w:szCs w:val="20"/>
        </w:rPr>
        <w:t xml:space="preserve"> the missing middle reforms </w:t>
      </w:r>
      <w:r w:rsidR="00682F62">
        <w:rPr>
          <w:rFonts w:cs="Arial"/>
          <w:szCs w:val="20"/>
        </w:rPr>
        <w:t xml:space="preserve">is </w:t>
      </w:r>
      <w:r w:rsidR="00941A47">
        <w:rPr>
          <w:rFonts w:cs="Arial"/>
          <w:szCs w:val="20"/>
        </w:rPr>
        <w:t>set</w:t>
      </w:r>
      <w:r w:rsidR="00682F62">
        <w:rPr>
          <w:rFonts w:cs="Arial"/>
          <w:szCs w:val="20"/>
        </w:rPr>
        <w:t xml:space="preserve"> within</w:t>
      </w:r>
      <w:r w:rsidR="003E03A8" w:rsidRPr="00CD2AFF">
        <w:rPr>
          <w:rFonts w:cs="Arial"/>
          <w:szCs w:val="20"/>
        </w:rPr>
        <w:t xml:space="preserve"> this context</w:t>
      </w:r>
      <w:r w:rsidR="003E03A8">
        <w:rPr>
          <w:rFonts w:cs="Arial"/>
          <w:szCs w:val="20"/>
        </w:rPr>
        <w:t>.</w:t>
      </w:r>
      <w:r w:rsidR="003E03A8" w:rsidRPr="00CD2AFF">
        <w:rPr>
          <w:rFonts w:cs="Arial"/>
          <w:szCs w:val="20"/>
        </w:rPr>
        <w:t xml:space="preserve"> </w:t>
      </w:r>
      <w:r w:rsidRPr="00CD2AFF">
        <w:rPr>
          <w:rFonts w:cs="Arial"/>
          <w:szCs w:val="20"/>
        </w:rPr>
        <w:t>However, it is not clear how this is intended to occur in practice, or how the reforms interact with existing public housing commitments.</w:t>
      </w:r>
    </w:p>
    <w:p w14:paraId="552E0216" w14:textId="3B2A1989" w:rsidR="00CD2AFF" w:rsidRPr="00CD2AFF" w:rsidRDefault="00CD2AFF" w:rsidP="00CD2AFF">
      <w:pPr>
        <w:rPr>
          <w:rFonts w:cs="Arial"/>
          <w:szCs w:val="20"/>
        </w:rPr>
      </w:pPr>
      <w:r w:rsidRPr="00CD2AFF">
        <w:rPr>
          <w:rFonts w:cs="Arial"/>
          <w:szCs w:val="20"/>
        </w:rPr>
        <w:t>In the 2025</w:t>
      </w:r>
      <w:r w:rsidR="00087589">
        <w:rPr>
          <w:rFonts w:cs="Arial"/>
          <w:szCs w:val="20"/>
        </w:rPr>
        <w:t>-</w:t>
      </w:r>
      <w:r w:rsidRPr="00CD2AFF">
        <w:rPr>
          <w:rFonts w:cs="Arial"/>
          <w:szCs w:val="20"/>
        </w:rPr>
        <w:t>26 Budget, the ACT Government allocated $4.82 million to Infrastructure Canberra to develop a plan to deliver more than 1,000 additional public housing dwellings by 2030.</w:t>
      </w:r>
      <w:r w:rsidR="00682F62">
        <w:rPr>
          <w:rFonts w:cs="Arial"/>
          <w:szCs w:val="20"/>
        </w:rPr>
        <w:t xml:space="preserve"> </w:t>
      </w:r>
      <w:r w:rsidRPr="00CD2AFF">
        <w:rPr>
          <w:rFonts w:cs="Arial"/>
          <w:szCs w:val="20"/>
        </w:rPr>
        <w:t xml:space="preserve">However, there has been limited public information on how these planning reforms will support delivery of these commitments, or how they will be reflected in the </w:t>
      </w:r>
      <w:r w:rsidRPr="00CD2AFF">
        <w:rPr>
          <w:rFonts w:cs="Arial"/>
          <w:i/>
          <w:iCs/>
          <w:szCs w:val="20"/>
        </w:rPr>
        <w:t>ACT Housing Strategy Implementation Plan</w:t>
      </w:r>
      <w:r w:rsidRPr="00CD2AFF">
        <w:rPr>
          <w:rFonts w:cs="Arial"/>
          <w:szCs w:val="20"/>
        </w:rPr>
        <w:t xml:space="preserve">, which is currently under review. ACTCOSS </w:t>
      </w:r>
      <w:r w:rsidR="00646495">
        <w:rPr>
          <w:rFonts w:cs="Arial"/>
          <w:szCs w:val="20"/>
        </w:rPr>
        <w:t>urges</w:t>
      </w:r>
      <w:r w:rsidRPr="00CD2AFF">
        <w:rPr>
          <w:rFonts w:cs="Arial"/>
          <w:szCs w:val="20"/>
        </w:rPr>
        <w:t xml:space="preserve"> the Committee to seek clarity on this point.</w:t>
      </w:r>
    </w:p>
    <w:p w14:paraId="7A583713" w14:textId="72C86D99" w:rsidR="0031525B" w:rsidRPr="0031525B" w:rsidRDefault="0031525B" w:rsidP="0031525B">
      <w:pPr>
        <w:rPr>
          <w:rFonts w:cs="Arial"/>
          <w:szCs w:val="20"/>
        </w:rPr>
      </w:pPr>
      <w:r w:rsidRPr="0031525B">
        <w:rPr>
          <w:rFonts w:cs="Arial"/>
          <w:szCs w:val="20"/>
        </w:rPr>
        <w:t>On page 4 of DPA-04, it is stated that “</w:t>
      </w:r>
      <w:r w:rsidR="00291BE1">
        <w:rPr>
          <w:rFonts w:cs="Arial"/>
          <w:szCs w:val="20"/>
        </w:rPr>
        <w:t>F</w:t>
      </w:r>
      <w:r w:rsidRPr="0031525B">
        <w:rPr>
          <w:rFonts w:cs="Arial"/>
          <w:szCs w:val="20"/>
        </w:rPr>
        <w:t xml:space="preserve">urther detail about how this DPA meets the key strategic policy documents is set out in the Supporting Report.” ACTCOSS was concerned that neither the </w:t>
      </w:r>
      <w:r w:rsidRPr="0031525B">
        <w:rPr>
          <w:rFonts w:cs="Arial"/>
          <w:i/>
          <w:iCs/>
          <w:szCs w:val="20"/>
        </w:rPr>
        <w:t>ACT Housing Strategy 2018–2028</w:t>
      </w:r>
      <w:r w:rsidRPr="0031525B">
        <w:rPr>
          <w:rFonts w:cs="Arial"/>
          <w:szCs w:val="20"/>
        </w:rPr>
        <w:t xml:space="preserve"> nor the </w:t>
      </w:r>
      <w:r w:rsidRPr="0031525B">
        <w:rPr>
          <w:rFonts w:cs="Arial"/>
          <w:i/>
          <w:iCs/>
          <w:szCs w:val="20"/>
        </w:rPr>
        <w:t>ACT Housing Strategy Implementation Plan</w:t>
      </w:r>
      <w:r w:rsidRPr="0031525B">
        <w:rPr>
          <w:rFonts w:cs="Arial"/>
          <w:szCs w:val="20"/>
        </w:rPr>
        <w:t xml:space="preserve"> is explicitly identified among the relevant strategies listed in the Supporting Report, despite their clear relevance. This omission is particularly notable given that the Supporting Report acknowledges that the </w:t>
      </w:r>
      <w:r w:rsidRPr="0031525B">
        <w:rPr>
          <w:rFonts w:cs="Arial"/>
          <w:i/>
          <w:iCs/>
          <w:szCs w:val="20"/>
        </w:rPr>
        <w:t>ACT Planning Strategy 2018</w:t>
      </w:r>
      <w:r w:rsidRPr="0031525B">
        <w:rPr>
          <w:rFonts w:cs="Arial"/>
          <w:szCs w:val="20"/>
        </w:rPr>
        <w:t xml:space="preserve"> </w:t>
      </w:r>
      <w:r w:rsidR="005929D6">
        <w:rPr>
          <w:rFonts w:cs="Arial"/>
          <w:szCs w:val="20"/>
        </w:rPr>
        <w:t>“</w:t>
      </w:r>
      <w:r w:rsidR="007D27D1">
        <w:rPr>
          <w:rFonts w:cs="Arial"/>
          <w:szCs w:val="20"/>
        </w:rPr>
        <w:t xml:space="preserve">reflects and </w:t>
      </w:r>
      <w:r w:rsidRPr="0031525B">
        <w:rPr>
          <w:rFonts w:cs="Arial"/>
          <w:szCs w:val="20"/>
        </w:rPr>
        <w:t xml:space="preserve">integrates the vision and directions of </w:t>
      </w:r>
      <w:r w:rsidR="00DA12C1">
        <w:rPr>
          <w:rFonts w:cs="Arial"/>
          <w:szCs w:val="20"/>
        </w:rPr>
        <w:t xml:space="preserve">the community and </w:t>
      </w:r>
      <w:r w:rsidRPr="0031525B">
        <w:rPr>
          <w:rFonts w:cs="Arial"/>
          <w:szCs w:val="20"/>
        </w:rPr>
        <w:t xml:space="preserve">other ACT Government strategies, </w:t>
      </w:r>
      <w:r w:rsidR="00DA12C1">
        <w:rPr>
          <w:rFonts w:cs="Arial"/>
          <w:szCs w:val="20"/>
        </w:rPr>
        <w:t>particularly</w:t>
      </w:r>
      <w:r w:rsidRPr="0031525B">
        <w:rPr>
          <w:rFonts w:cs="Arial"/>
          <w:szCs w:val="20"/>
        </w:rPr>
        <w:t xml:space="preserve"> housing</w:t>
      </w:r>
      <w:r w:rsidR="00DA12C1">
        <w:rPr>
          <w:rFonts w:cs="Arial"/>
          <w:szCs w:val="20"/>
        </w:rPr>
        <w:t>…”</w:t>
      </w:r>
      <w:r w:rsidR="00BF62E8">
        <w:rPr>
          <w:rFonts w:cs="Arial"/>
          <w:szCs w:val="20"/>
        </w:rPr>
        <w:t xml:space="preserve"> </w:t>
      </w:r>
      <w:r w:rsidRPr="0031525B">
        <w:rPr>
          <w:rFonts w:cs="Arial"/>
          <w:szCs w:val="20"/>
        </w:rPr>
        <w:t xml:space="preserve">(see </w:t>
      </w:r>
      <w:hyperlink r:id="rId12" w:anchor="major-amendments-recommended-to-the-minister" w:history="1">
        <w:r w:rsidRPr="00051E61">
          <w:rPr>
            <w:rStyle w:val="Hyperlink"/>
            <w:rFonts w:cs="Arial"/>
            <w:szCs w:val="20"/>
          </w:rPr>
          <w:t>Supporting Report</w:t>
        </w:r>
      </w:hyperlink>
      <w:r w:rsidRPr="0031525B">
        <w:rPr>
          <w:rFonts w:cs="Arial"/>
          <w:szCs w:val="20"/>
        </w:rPr>
        <w:t>,</w:t>
      </w:r>
      <w:r w:rsidR="00163114">
        <w:rPr>
          <w:rFonts w:cs="Arial"/>
          <w:szCs w:val="20"/>
        </w:rPr>
        <w:t xml:space="preserve"> </w:t>
      </w:r>
      <w:r w:rsidR="00163114" w:rsidRPr="0031525B">
        <w:rPr>
          <w:rFonts w:cs="Arial"/>
          <w:szCs w:val="20"/>
        </w:rPr>
        <w:t>section 3.2</w:t>
      </w:r>
      <w:r w:rsidR="00163114">
        <w:rPr>
          <w:rFonts w:cs="Arial"/>
          <w:szCs w:val="20"/>
        </w:rPr>
        <w:t xml:space="preserve">, </w:t>
      </w:r>
      <w:r w:rsidRPr="0031525B">
        <w:rPr>
          <w:rFonts w:cs="Arial"/>
          <w:szCs w:val="20"/>
        </w:rPr>
        <w:t xml:space="preserve">p13). DPA-04 also links its amendments to fulfilling the targets of the </w:t>
      </w:r>
      <w:r w:rsidRPr="0031525B">
        <w:rPr>
          <w:rFonts w:cs="Arial"/>
          <w:i/>
          <w:iCs/>
          <w:szCs w:val="20"/>
        </w:rPr>
        <w:t>District Strategies</w:t>
      </w:r>
      <w:r w:rsidRPr="0031525B">
        <w:rPr>
          <w:rFonts w:cs="Arial"/>
          <w:szCs w:val="20"/>
        </w:rPr>
        <w:t xml:space="preserve">, which have clear alignment with the goals of the </w:t>
      </w:r>
      <w:r w:rsidRPr="007B0242">
        <w:rPr>
          <w:rFonts w:cs="Arial"/>
          <w:i/>
          <w:iCs/>
          <w:szCs w:val="20"/>
        </w:rPr>
        <w:t>ACT Housing Strategy</w:t>
      </w:r>
      <w:r w:rsidR="00BA7CE9">
        <w:rPr>
          <w:rFonts w:cs="Arial"/>
          <w:i/>
          <w:iCs/>
          <w:szCs w:val="20"/>
        </w:rPr>
        <w:t xml:space="preserve"> 2018-2028</w:t>
      </w:r>
      <w:r w:rsidRPr="0031525B">
        <w:rPr>
          <w:rFonts w:cs="Arial"/>
          <w:szCs w:val="20"/>
        </w:rPr>
        <w:t>.</w:t>
      </w:r>
    </w:p>
    <w:p w14:paraId="2545C1D3" w14:textId="6417C27A" w:rsidR="0031525B" w:rsidRPr="0031525B" w:rsidRDefault="0031525B" w:rsidP="0031525B">
      <w:pPr>
        <w:rPr>
          <w:rFonts w:cs="Arial"/>
          <w:szCs w:val="20"/>
        </w:rPr>
      </w:pPr>
      <w:r w:rsidRPr="0031525B">
        <w:rPr>
          <w:rFonts w:cs="Arial"/>
          <w:szCs w:val="20"/>
        </w:rPr>
        <w:t xml:space="preserve">ACTCOSS therefore considers it important that DPA-04 and its Supporting Report more clearly articulate how the missing middle housing reforms align with, and support delivery of, the </w:t>
      </w:r>
      <w:r w:rsidRPr="0031525B">
        <w:rPr>
          <w:rFonts w:cs="Arial"/>
          <w:i/>
          <w:iCs/>
          <w:szCs w:val="20"/>
        </w:rPr>
        <w:t>ACT Housing Strategy 2018–2028</w:t>
      </w:r>
      <w:r w:rsidRPr="0031525B">
        <w:rPr>
          <w:rFonts w:cs="Arial"/>
          <w:szCs w:val="20"/>
        </w:rPr>
        <w:t xml:space="preserve"> and its associated </w:t>
      </w:r>
      <w:r w:rsidRPr="0031525B">
        <w:rPr>
          <w:rFonts w:cs="Arial"/>
          <w:i/>
          <w:iCs/>
          <w:szCs w:val="20"/>
        </w:rPr>
        <w:t>Implementation Plan</w:t>
      </w:r>
      <w:r w:rsidR="00367071">
        <w:rPr>
          <w:rFonts w:cs="Arial"/>
          <w:szCs w:val="20"/>
        </w:rPr>
        <w:t xml:space="preserve">, </w:t>
      </w:r>
      <w:r w:rsidR="00367071" w:rsidRPr="00367071">
        <w:rPr>
          <w:rFonts w:cs="Arial"/>
          <w:szCs w:val="20"/>
        </w:rPr>
        <w:t>and that these reforms are explicitly reflected in any future updates to those documents if adopted.</w:t>
      </w:r>
      <w:r w:rsidRPr="0031525B">
        <w:rPr>
          <w:rFonts w:cs="Arial"/>
          <w:szCs w:val="20"/>
        </w:rPr>
        <w:t xml:space="preserve"> Clearer policy alignment would strengthen confidence that the reforms will contribute not only to increased housing supply, but to </w:t>
      </w:r>
      <w:r w:rsidR="0015408D">
        <w:rPr>
          <w:rFonts w:cs="Arial"/>
          <w:szCs w:val="20"/>
        </w:rPr>
        <w:t>a</w:t>
      </w:r>
      <w:r w:rsidR="00977C61">
        <w:rPr>
          <w:rFonts w:cs="Arial"/>
          <w:szCs w:val="20"/>
        </w:rPr>
        <w:t xml:space="preserve"> sustained </w:t>
      </w:r>
      <w:r w:rsidR="0015408D">
        <w:rPr>
          <w:rFonts w:cs="Arial"/>
          <w:szCs w:val="20"/>
        </w:rPr>
        <w:t>increase in</w:t>
      </w:r>
      <w:r w:rsidRPr="0031525B">
        <w:rPr>
          <w:rFonts w:cs="Arial"/>
          <w:szCs w:val="20"/>
        </w:rPr>
        <w:t xml:space="preserve"> social and affordable housing </w:t>
      </w:r>
      <w:r w:rsidR="0015408D">
        <w:rPr>
          <w:rFonts w:cs="Arial"/>
          <w:szCs w:val="20"/>
        </w:rPr>
        <w:t>in the ACT</w:t>
      </w:r>
      <w:r w:rsidRPr="0031525B">
        <w:rPr>
          <w:rFonts w:cs="Arial"/>
          <w:szCs w:val="20"/>
        </w:rPr>
        <w:t>.</w:t>
      </w:r>
    </w:p>
    <w:p w14:paraId="50F95AAE" w14:textId="09D2B0F4" w:rsidR="00380EED" w:rsidRPr="003161F5" w:rsidRDefault="00380EED" w:rsidP="003161F5">
      <w:pPr>
        <w:rPr>
          <w:rFonts w:cs="Arial"/>
          <w:b/>
          <w:bCs/>
          <w:szCs w:val="20"/>
        </w:rPr>
      </w:pPr>
      <w:r w:rsidRPr="00380EED">
        <w:rPr>
          <w:rFonts w:cs="Arial"/>
          <w:b/>
          <w:bCs/>
          <w:szCs w:val="20"/>
        </w:rPr>
        <w:t>Lease Variation Charge</w:t>
      </w:r>
    </w:p>
    <w:p w14:paraId="7C7BF1ED" w14:textId="6FA2E807" w:rsidR="00526DE6" w:rsidRDefault="00862FD0" w:rsidP="00526DE6">
      <w:pPr>
        <w:rPr>
          <w:rFonts w:cs="Arial"/>
          <w:szCs w:val="20"/>
        </w:rPr>
      </w:pPr>
      <w:r w:rsidRPr="00862FD0">
        <w:rPr>
          <w:rFonts w:cs="Arial"/>
          <w:szCs w:val="20"/>
        </w:rPr>
        <w:t xml:space="preserve">ACTCOSS understands that the missing middle reforms are intended to be accompanied by reforms to the LVC. </w:t>
      </w:r>
      <w:r w:rsidR="00267BC7" w:rsidRPr="00267BC7">
        <w:rPr>
          <w:rFonts w:cs="Arial"/>
          <w:szCs w:val="20"/>
        </w:rPr>
        <w:t>ACTCOSS supports the LVC as a value-capture mechanism that ensures a fair return to the community from planning decisions and public investment.</w:t>
      </w:r>
      <w:r w:rsidR="00267BC7">
        <w:rPr>
          <w:rFonts w:cs="Arial"/>
          <w:szCs w:val="20"/>
        </w:rPr>
        <w:t xml:space="preserve"> </w:t>
      </w:r>
      <w:r w:rsidR="00526DE6" w:rsidRPr="00526DE6">
        <w:rPr>
          <w:rFonts w:cs="Arial"/>
          <w:szCs w:val="20"/>
        </w:rPr>
        <w:t>The LVC plays an important role in promoting equity, moderating speculative activity that can inflate land values, and contributing to the ACT’s revenue base for social</w:t>
      </w:r>
      <w:r w:rsidR="00A84D92">
        <w:rPr>
          <w:rFonts w:cs="Arial"/>
          <w:szCs w:val="20"/>
        </w:rPr>
        <w:t xml:space="preserve"> </w:t>
      </w:r>
      <w:r w:rsidR="00526DE6" w:rsidRPr="00526DE6">
        <w:rPr>
          <w:rFonts w:cs="Arial"/>
          <w:szCs w:val="20"/>
        </w:rPr>
        <w:t>housing, community services and essential infrastructure.</w:t>
      </w:r>
      <w:r w:rsidR="00093516">
        <w:rPr>
          <w:rFonts w:cs="Arial"/>
          <w:szCs w:val="20"/>
        </w:rPr>
        <w:t xml:space="preserve"> </w:t>
      </w:r>
    </w:p>
    <w:p w14:paraId="7FA0906F" w14:textId="6617C60C" w:rsidR="006F30A2" w:rsidRDefault="006F30A2" w:rsidP="00746C46">
      <w:pPr>
        <w:rPr>
          <w:rFonts w:cs="Arial"/>
          <w:szCs w:val="20"/>
        </w:rPr>
      </w:pPr>
      <w:r w:rsidRPr="006F30A2">
        <w:rPr>
          <w:rFonts w:cs="Arial"/>
          <w:szCs w:val="20"/>
        </w:rPr>
        <w:t xml:space="preserve">ACTCOSS also recognises </w:t>
      </w:r>
      <w:r>
        <w:rPr>
          <w:rFonts w:cs="Arial"/>
          <w:szCs w:val="20"/>
        </w:rPr>
        <w:t xml:space="preserve">and supports </w:t>
      </w:r>
      <w:r w:rsidRPr="006F30A2">
        <w:rPr>
          <w:rFonts w:cs="Arial"/>
          <w:szCs w:val="20"/>
        </w:rPr>
        <w:t>the need for periodic review of tax settings, the financial constraints affecting housing construction, and the range of policy levers that must be activated to address the housing crisis.</w:t>
      </w:r>
    </w:p>
    <w:p w14:paraId="19EA9F4D" w14:textId="25593F25" w:rsidR="00746C46" w:rsidRDefault="00F96A3D" w:rsidP="234F088F">
      <w:pPr>
        <w:rPr>
          <w:rFonts w:cs="Arial"/>
        </w:rPr>
      </w:pPr>
      <w:r w:rsidRPr="234F088F">
        <w:rPr>
          <w:rFonts w:cs="Arial"/>
        </w:rPr>
        <w:lastRenderedPageBreak/>
        <w:t>Given the vast sums of money involved and</w:t>
      </w:r>
      <w:r w:rsidR="00875B9B" w:rsidRPr="234F088F">
        <w:rPr>
          <w:rFonts w:cs="Arial"/>
        </w:rPr>
        <w:t xml:space="preserve"> clear</w:t>
      </w:r>
      <w:r w:rsidRPr="234F088F">
        <w:rPr>
          <w:rFonts w:cs="Arial"/>
        </w:rPr>
        <w:t xml:space="preserve"> </w:t>
      </w:r>
      <w:r w:rsidR="00875B9B" w:rsidRPr="234F088F">
        <w:rPr>
          <w:rFonts w:cs="Arial"/>
        </w:rPr>
        <w:t>financial interests of some stakeholders, i</w:t>
      </w:r>
      <w:r w:rsidR="00363371" w:rsidRPr="234F088F">
        <w:rPr>
          <w:rFonts w:cs="Arial"/>
        </w:rPr>
        <w:t>t is our strong view that a</w:t>
      </w:r>
      <w:r w:rsidR="00746C46" w:rsidRPr="234F088F">
        <w:rPr>
          <w:rFonts w:cs="Arial"/>
        </w:rPr>
        <w:t>ny review of the LVC aimed at increasing housing supply and facilitating more missing middle housing should be undertaken through an open</w:t>
      </w:r>
      <w:r w:rsidR="00751EF0" w:rsidRPr="234F088F">
        <w:rPr>
          <w:rFonts w:cs="Arial"/>
        </w:rPr>
        <w:t>, consultative</w:t>
      </w:r>
      <w:r w:rsidR="00746C46" w:rsidRPr="234F088F">
        <w:rPr>
          <w:rFonts w:cs="Arial"/>
        </w:rPr>
        <w:t xml:space="preserve"> and transparent process</w:t>
      </w:r>
      <w:r w:rsidR="00596476" w:rsidRPr="234F088F">
        <w:rPr>
          <w:rFonts w:cs="Arial"/>
        </w:rPr>
        <w:t>.</w:t>
      </w:r>
      <w:r w:rsidR="005C1535" w:rsidRPr="234F088F">
        <w:rPr>
          <w:rFonts w:cs="Arial"/>
        </w:rPr>
        <w:t xml:space="preserve"> This should include publication of the modelling and assumptions underpinning proposed changes, and engagement with independent expertise, such as the Tax and Transfer Policy Institute (TTPI) at ANU. Drawing on such expertise</w:t>
      </w:r>
      <w:r w:rsidR="00A91A3C" w:rsidRPr="234F088F">
        <w:rPr>
          <w:rFonts w:cs="Arial"/>
        </w:rPr>
        <w:t xml:space="preserve">, as the ACT Government </w:t>
      </w:r>
      <w:r w:rsidR="002554B3" w:rsidRPr="234F088F">
        <w:rPr>
          <w:rFonts w:cs="Arial"/>
        </w:rPr>
        <w:t>has</w:t>
      </w:r>
      <w:r w:rsidR="00A91A3C" w:rsidRPr="234F088F">
        <w:rPr>
          <w:rFonts w:cs="Arial"/>
        </w:rPr>
        <w:t xml:space="preserve"> in </w:t>
      </w:r>
      <w:r w:rsidR="00473AB5" w:rsidRPr="234F088F">
        <w:rPr>
          <w:rFonts w:cs="Arial"/>
        </w:rPr>
        <w:t>the past</w:t>
      </w:r>
      <w:r w:rsidR="00A91A3C" w:rsidRPr="234F088F">
        <w:rPr>
          <w:rFonts w:cs="Arial"/>
        </w:rPr>
        <w:t>,</w:t>
      </w:r>
      <w:r w:rsidR="005C1535" w:rsidRPr="234F088F">
        <w:rPr>
          <w:rFonts w:cs="Arial"/>
        </w:rPr>
        <w:t xml:space="preserve"> will help ensure reforms are evidence-based and avoid unintended consequences for housing affordability and public revenue.</w:t>
      </w:r>
    </w:p>
    <w:p w14:paraId="6EF4E858" w14:textId="3E4CD1A0" w:rsidR="00DF6897" w:rsidRDefault="0091163A" w:rsidP="234F088F">
      <w:pPr>
        <w:rPr>
          <w:rFonts w:cs="Arial"/>
        </w:rPr>
      </w:pPr>
      <w:r w:rsidRPr="234F088F">
        <w:rPr>
          <w:rFonts w:cs="Arial"/>
        </w:rPr>
        <w:t xml:space="preserve">ACTCOSS </w:t>
      </w:r>
      <w:r w:rsidR="00E93B90">
        <w:rPr>
          <w:rFonts w:cs="Arial"/>
        </w:rPr>
        <w:t>considers</w:t>
      </w:r>
      <w:r w:rsidRPr="234F088F">
        <w:rPr>
          <w:rFonts w:cs="Arial"/>
        </w:rPr>
        <w:t xml:space="preserve"> </w:t>
      </w:r>
      <w:r w:rsidR="00D565D1" w:rsidRPr="234F088F">
        <w:rPr>
          <w:rFonts w:cs="Arial"/>
        </w:rPr>
        <w:t xml:space="preserve">that any review of the LVC should be </w:t>
      </w:r>
      <w:r w:rsidR="00704371" w:rsidRPr="234F088F">
        <w:rPr>
          <w:rFonts w:cs="Arial"/>
        </w:rPr>
        <w:t xml:space="preserve">guided by the </w:t>
      </w:r>
      <w:r w:rsidR="003D461F" w:rsidRPr="234F088F">
        <w:rPr>
          <w:rFonts w:cs="Arial"/>
        </w:rPr>
        <w:t>following core considerations</w:t>
      </w:r>
      <w:r w:rsidR="00CC14BE" w:rsidRPr="234F088F">
        <w:rPr>
          <w:rFonts w:cs="Arial"/>
        </w:rPr>
        <w:t>:</w:t>
      </w:r>
    </w:p>
    <w:p w14:paraId="3206DF48" w14:textId="14378BE7" w:rsidR="00D96786" w:rsidRPr="00BA4DC6" w:rsidRDefault="64645308" w:rsidP="00E77DC4">
      <w:pPr>
        <w:pStyle w:val="ListParagraph"/>
        <w:numPr>
          <w:ilvl w:val="0"/>
          <w:numId w:val="4"/>
        </w:numPr>
        <w:ind w:left="714" w:hanging="357"/>
        <w:contextualSpacing w:val="0"/>
        <w:rPr>
          <w:b/>
          <w:bCs/>
          <w:lang w:eastAsia="en-AU"/>
        </w:rPr>
      </w:pPr>
      <w:r w:rsidRPr="234F088F">
        <w:rPr>
          <w:b/>
          <w:bCs/>
        </w:rPr>
        <w:t xml:space="preserve">Timing of the LVC </w:t>
      </w:r>
      <w:r w:rsidR="317B06FA" w:rsidRPr="234F088F">
        <w:rPr>
          <w:b/>
          <w:bCs/>
        </w:rPr>
        <w:t>collection</w:t>
      </w:r>
      <w:r w:rsidR="317B06FA">
        <w:t>, and whether changes to it could reduce barriers by changing cashflow.</w:t>
      </w:r>
    </w:p>
    <w:p w14:paraId="2D8AADD7" w14:textId="74969B8F" w:rsidR="00D96786" w:rsidRPr="00BA4DC6" w:rsidRDefault="009B2411" w:rsidP="00E77DC4">
      <w:pPr>
        <w:pStyle w:val="ListParagraph"/>
        <w:numPr>
          <w:ilvl w:val="0"/>
          <w:numId w:val="4"/>
        </w:numPr>
        <w:ind w:left="714" w:hanging="357"/>
        <w:contextualSpacing w:val="0"/>
        <w:rPr>
          <w:lang w:eastAsia="en-AU"/>
        </w:rPr>
      </w:pPr>
      <w:r w:rsidRPr="234F088F">
        <w:rPr>
          <w:b/>
          <w:bCs/>
        </w:rPr>
        <w:t>Equity and distributional impacts</w:t>
      </w:r>
      <w:r w:rsidR="00D96786">
        <w:t xml:space="preserve"> of any proposed changes should be carefully examined. This includes assessing whether changes to the LVC would support the delivery of additional social and affordable housing, as well as their broader effects on housing prices and housing-related wealth inequality. </w:t>
      </w:r>
      <w:proofErr w:type="gramStart"/>
      <w:r w:rsidR="00D96786">
        <w:t>In particular</w:t>
      </w:r>
      <w:r w:rsidR="006E757E">
        <w:t xml:space="preserve">, </w:t>
      </w:r>
      <w:r w:rsidR="00D96786">
        <w:t>a</w:t>
      </w:r>
      <w:proofErr w:type="gramEnd"/>
      <w:r w:rsidR="00D96786">
        <w:t xml:space="preserve"> review should consider who ultimately benefits from </w:t>
      </w:r>
      <w:r w:rsidR="007352D8">
        <w:t>LVC changes</w:t>
      </w:r>
      <w:r w:rsidR="00D96786">
        <w:t xml:space="preserve">, including whether changes would result in a greater share of value uplift flowing to existing landowners, and the longer-term distributional consequences of this. This analysis should also </w:t>
      </w:r>
      <w:r w:rsidR="00857032">
        <w:t>consider</w:t>
      </w:r>
      <w:r w:rsidR="00D96786">
        <w:t xml:space="preserve"> the use of </w:t>
      </w:r>
      <w:r w:rsidR="00DC2AC0">
        <w:t xml:space="preserve">full or partial waivers </w:t>
      </w:r>
      <w:r>
        <w:t>of the LVC</w:t>
      </w:r>
      <w:r w:rsidR="00D96786">
        <w:t xml:space="preserve"> in developments where only a limited proportion of dwellings are delivered as affordable housing, especially where affordability is time-limited and dwellings subsequently revert to market rental or private ownership.</w:t>
      </w:r>
      <w:r w:rsidR="5C6264F7">
        <w:t xml:space="preserve"> There is scope to examine whether incentives to build housing suitable for people with disabilities and ageing in place, as well as housing with access to </w:t>
      </w:r>
      <w:r w:rsidR="3110D56F">
        <w:t>commonly owned spaces for children</w:t>
      </w:r>
      <w:r w:rsidR="5C6264F7">
        <w:t xml:space="preserve">. </w:t>
      </w:r>
    </w:p>
    <w:p w14:paraId="4F66019E" w14:textId="389EF225" w:rsidR="00F6705C" w:rsidRPr="00BA4DC6" w:rsidRDefault="00E222B5" w:rsidP="00E77DC4">
      <w:pPr>
        <w:pStyle w:val="ListParagraph"/>
        <w:numPr>
          <w:ilvl w:val="0"/>
          <w:numId w:val="4"/>
        </w:numPr>
        <w:ind w:left="714" w:hanging="357"/>
        <w:contextualSpacing w:val="0"/>
        <w:rPr>
          <w:rFonts w:eastAsia="Times New Roman"/>
          <w:color w:val="242424"/>
          <w:lang w:eastAsia="en-AU"/>
        </w:rPr>
      </w:pPr>
      <w:r w:rsidRPr="234F088F">
        <w:rPr>
          <w:rFonts w:cs="Arial"/>
          <w:color w:val="242424"/>
        </w:rPr>
        <w:t>The</w:t>
      </w:r>
      <w:r w:rsidRPr="234F088F">
        <w:rPr>
          <w:rFonts w:cs="Arial"/>
          <w:b/>
          <w:bCs/>
          <w:color w:val="242424"/>
        </w:rPr>
        <w:t xml:space="preserve"> i</w:t>
      </w:r>
      <w:r w:rsidR="00F6705C" w:rsidRPr="234F088F">
        <w:rPr>
          <w:rFonts w:cs="Arial"/>
          <w:b/>
          <w:bCs/>
          <w:color w:val="242424"/>
        </w:rPr>
        <w:t>mplications for public revenue</w:t>
      </w:r>
      <w:r w:rsidRPr="234F088F">
        <w:rPr>
          <w:rFonts w:cs="Arial"/>
          <w:color w:val="242424"/>
        </w:rPr>
        <w:t>,</w:t>
      </w:r>
      <w:r w:rsidR="00F6705C" w:rsidRPr="234F088F">
        <w:rPr>
          <w:rFonts w:cs="Arial"/>
          <w:color w:val="242424"/>
        </w:rPr>
        <w:t xml:space="preserve"> recognising the LVC as a significant and relatively efficient source of ACT Government revenue. Any changes should be assessed against their impact on the Territory’s capacity to fund social housing, community services and essential infrastructure over the medium to long term.</w:t>
      </w:r>
      <w:r w:rsidR="000B6674" w:rsidRPr="234F088F">
        <w:rPr>
          <w:rFonts w:cs="Arial"/>
          <w:color w:val="242424"/>
        </w:rPr>
        <w:t xml:space="preserve"> </w:t>
      </w:r>
      <w:r w:rsidR="000B6674" w:rsidRPr="234F088F">
        <w:rPr>
          <w:rFonts w:cs="Arial"/>
        </w:rPr>
        <w:t xml:space="preserve">In </w:t>
      </w:r>
      <w:r w:rsidR="00FA6468" w:rsidRPr="234F088F">
        <w:rPr>
          <w:rFonts w:cs="Arial"/>
        </w:rPr>
        <w:t>a</w:t>
      </w:r>
      <w:r w:rsidR="000B6674" w:rsidRPr="234F088F">
        <w:rPr>
          <w:rFonts w:cs="Arial"/>
        </w:rPr>
        <w:t xml:space="preserve"> constrained fiscal environment, </w:t>
      </w:r>
      <w:r w:rsidR="006037EF" w:rsidRPr="234F088F">
        <w:rPr>
          <w:rFonts w:cs="Arial"/>
        </w:rPr>
        <w:t xml:space="preserve">the LVC </w:t>
      </w:r>
      <w:r w:rsidR="00D74FDE" w:rsidRPr="234F088F">
        <w:rPr>
          <w:rFonts w:cs="Arial"/>
        </w:rPr>
        <w:t>a critical</w:t>
      </w:r>
      <w:r w:rsidR="000B6674" w:rsidRPr="234F088F">
        <w:rPr>
          <w:rFonts w:cs="Arial"/>
        </w:rPr>
        <w:t xml:space="preserve"> policy lever to create public goods. It is a critical mechanism by which Government can deliver community benefits which have been difficult to obtain without market intervention.</w:t>
      </w:r>
    </w:p>
    <w:p w14:paraId="3B4772C1" w14:textId="49655476" w:rsidR="004A5527" w:rsidRPr="005B39BA" w:rsidRDefault="004A5527" w:rsidP="00E77DC4">
      <w:pPr>
        <w:pStyle w:val="ListParagraph"/>
        <w:numPr>
          <w:ilvl w:val="0"/>
          <w:numId w:val="4"/>
        </w:numPr>
        <w:ind w:left="714" w:hanging="357"/>
        <w:contextualSpacing w:val="0"/>
        <w:rPr>
          <w:rFonts w:eastAsia="Times New Roman"/>
          <w:color w:val="242424"/>
          <w:lang w:eastAsia="en-AU"/>
        </w:rPr>
      </w:pPr>
      <w:r w:rsidRPr="234F088F">
        <w:rPr>
          <w:rStyle w:val="Strong"/>
          <w:rFonts w:cs="Arial"/>
          <w:color w:val="242424"/>
        </w:rPr>
        <w:t>Investment and market distortions</w:t>
      </w:r>
      <w:r w:rsidRPr="234F088F">
        <w:rPr>
          <w:b/>
          <w:bCs/>
          <w:color w:val="242424"/>
        </w:rPr>
        <w:t>,</w:t>
      </w:r>
      <w:r w:rsidRPr="234F088F">
        <w:rPr>
          <w:color w:val="242424"/>
        </w:rPr>
        <w:t xml:space="preserve"> including how different LVC settings may shape what types of housing are delivered, whether they encourage or discourage speculative behaviour (including land banking), and how they interact with broader incentives in the development system.</w:t>
      </w:r>
    </w:p>
    <w:p w14:paraId="0501615F" w14:textId="08A5FDA5" w:rsidR="008A0D7F" w:rsidRPr="00831CA9" w:rsidRDefault="008A0D7F" w:rsidP="00E77DC4">
      <w:pPr>
        <w:pStyle w:val="ListParagraph"/>
        <w:numPr>
          <w:ilvl w:val="0"/>
          <w:numId w:val="4"/>
        </w:numPr>
        <w:ind w:left="714" w:hanging="357"/>
        <w:contextualSpacing w:val="0"/>
        <w:rPr>
          <w:rFonts w:eastAsia="Times New Roman"/>
          <w:color w:val="242424"/>
          <w:lang w:eastAsia="en-AU"/>
        </w:rPr>
      </w:pPr>
      <w:r w:rsidRPr="234F088F">
        <w:rPr>
          <w:rStyle w:val="Strong"/>
          <w:rFonts w:cs="Arial"/>
          <w:color w:val="242424"/>
        </w:rPr>
        <w:t>Evidence of supply impacts</w:t>
      </w:r>
      <w:r w:rsidR="004306A9" w:rsidRPr="234F088F">
        <w:rPr>
          <w:rStyle w:val="Strong"/>
          <w:rFonts w:cs="Arial"/>
          <w:color w:val="242424"/>
        </w:rPr>
        <w:t xml:space="preserve">, </w:t>
      </w:r>
      <w:r w:rsidR="004306A9" w:rsidRPr="234F088F">
        <w:rPr>
          <w:rStyle w:val="Strong"/>
          <w:rFonts w:cs="Arial"/>
          <w:b w:val="0"/>
          <w:bCs w:val="0"/>
          <w:color w:val="242424"/>
        </w:rPr>
        <w:t xml:space="preserve">to determine whether proposed changes to the LVC are likely to result in additional rezoning and net increases in housing supply, as argued by </w:t>
      </w:r>
      <w:r w:rsidR="00F50AF5" w:rsidRPr="234F088F">
        <w:rPr>
          <w:rStyle w:val="Strong"/>
          <w:rFonts w:cs="Arial"/>
          <w:b w:val="0"/>
          <w:bCs w:val="0"/>
          <w:color w:val="242424"/>
        </w:rPr>
        <w:t>its</w:t>
      </w:r>
      <w:r w:rsidR="004306A9" w:rsidRPr="234F088F">
        <w:rPr>
          <w:rStyle w:val="Strong"/>
          <w:rFonts w:cs="Arial"/>
          <w:b w:val="0"/>
          <w:bCs w:val="0"/>
          <w:color w:val="242424"/>
        </w:rPr>
        <w:t xml:space="preserve"> proponents, or whether factors such as construction costs, financing conditions, labour availability or </w:t>
      </w:r>
      <w:r w:rsidR="00F50AF5" w:rsidRPr="234F088F">
        <w:rPr>
          <w:rStyle w:val="Strong"/>
          <w:rFonts w:cs="Arial"/>
          <w:b w:val="0"/>
          <w:bCs w:val="0"/>
          <w:color w:val="242424"/>
        </w:rPr>
        <w:t>market absorption are more significant constraints on delivery</w:t>
      </w:r>
      <w:r w:rsidR="0491F072" w:rsidRPr="234F088F">
        <w:rPr>
          <w:rStyle w:val="Strong"/>
          <w:rFonts w:cs="Arial"/>
          <w:b w:val="0"/>
          <w:bCs w:val="0"/>
          <w:color w:val="242424"/>
        </w:rPr>
        <w:t>.</w:t>
      </w:r>
    </w:p>
    <w:p w14:paraId="09FC1F94" w14:textId="77777777" w:rsidR="00DB6308" w:rsidRPr="00DB6308" w:rsidRDefault="00DB6308" w:rsidP="00DB6308">
      <w:pPr>
        <w:rPr>
          <w:rFonts w:cs="Arial"/>
          <w:b/>
          <w:bCs/>
          <w:szCs w:val="20"/>
        </w:rPr>
      </w:pPr>
      <w:r w:rsidRPr="00DB6308">
        <w:rPr>
          <w:rFonts w:cs="Arial"/>
          <w:b/>
          <w:bCs/>
          <w:szCs w:val="20"/>
        </w:rPr>
        <w:t>Complementary measures</w:t>
      </w:r>
    </w:p>
    <w:p w14:paraId="285428AA" w14:textId="76BE1EAF" w:rsidR="00DB6308" w:rsidRPr="00DB6308" w:rsidRDefault="00DB6308" w:rsidP="00DB6308">
      <w:pPr>
        <w:rPr>
          <w:rFonts w:cs="Arial"/>
          <w:szCs w:val="20"/>
        </w:rPr>
      </w:pPr>
      <w:r w:rsidRPr="00DB6308">
        <w:rPr>
          <w:rFonts w:cs="Arial"/>
          <w:szCs w:val="20"/>
        </w:rPr>
        <w:t xml:space="preserve">ACTCOSS supports recommendations </w:t>
      </w:r>
      <w:r w:rsidR="00F33CBC">
        <w:rPr>
          <w:rFonts w:cs="Arial"/>
          <w:szCs w:val="20"/>
        </w:rPr>
        <w:t>made through</w:t>
      </w:r>
      <w:r w:rsidRPr="00DB6308">
        <w:rPr>
          <w:rFonts w:cs="Arial"/>
          <w:szCs w:val="20"/>
        </w:rPr>
        <w:t xml:space="preserve"> the consultation process </w:t>
      </w:r>
      <w:r w:rsidR="00040E12">
        <w:t xml:space="preserve">conducted by the Territory Planning Authority earlier in 2025, </w:t>
      </w:r>
      <w:r w:rsidRPr="00DB6308">
        <w:rPr>
          <w:rFonts w:cs="Arial"/>
          <w:szCs w:val="20"/>
        </w:rPr>
        <w:t>that DPA-04 be accompanied by complementary measures, including:</w:t>
      </w:r>
    </w:p>
    <w:p w14:paraId="3FA8C891" w14:textId="77777777" w:rsidR="00DB6308" w:rsidRPr="00DB6308" w:rsidRDefault="00DB6308" w:rsidP="00DB6308">
      <w:pPr>
        <w:numPr>
          <w:ilvl w:val="0"/>
          <w:numId w:val="1"/>
        </w:numPr>
        <w:rPr>
          <w:rFonts w:cs="Arial"/>
          <w:szCs w:val="20"/>
        </w:rPr>
      </w:pPr>
      <w:r w:rsidRPr="00DB6308">
        <w:rPr>
          <w:rFonts w:cs="Arial"/>
          <w:szCs w:val="20"/>
        </w:rPr>
        <w:lastRenderedPageBreak/>
        <w:t>Incentives for construction of single-level townhouses to support ageing in place and downsizing</w:t>
      </w:r>
    </w:p>
    <w:p w14:paraId="49232F1A" w14:textId="77777777" w:rsidR="00DB6308" w:rsidRPr="00DB6308" w:rsidRDefault="00DB6308" w:rsidP="00DB6308">
      <w:pPr>
        <w:numPr>
          <w:ilvl w:val="0"/>
          <w:numId w:val="1"/>
        </w:numPr>
        <w:rPr>
          <w:rFonts w:cs="Arial"/>
          <w:szCs w:val="20"/>
        </w:rPr>
      </w:pPr>
      <w:r w:rsidRPr="00DB6308">
        <w:rPr>
          <w:rFonts w:cs="Arial"/>
          <w:szCs w:val="20"/>
        </w:rPr>
        <w:t>Incentives for more liveable and accessible housing to expand options for people with disability</w:t>
      </w:r>
    </w:p>
    <w:p w14:paraId="65D2DCC6" w14:textId="1A990272" w:rsidR="00DB6308" w:rsidRPr="00DB6308" w:rsidRDefault="00DB6308" w:rsidP="00DB6308">
      <w:pPr>
        <w:numPr>
          <w:ilvl w:val="0"/>
          <w:numId w:val="1"/>
        </w:numPr>
        <w:rPr>
          <w:rFonts w:cs="Arial"/>
          <w:szCs w:val="20"/>
        </w:rPr>
      </w:pPr>
      <w:r w:rsidRPr="00DB6308">
        <w:rPr>
          <w:rFonts w:cs="Arial"/>
          <w:szCs w:val="20"/>
        </w:rPr>
        <w:t>Robust data collection and regular evaluation to monitor uptake, outcomes and unintended consequences of the reforms over time</w:t>
      </w:r>
      <w:r w:rsidR="00F75DDE">
        <w:rPr>
          <w:rFonts w:cs="Arial"/>
          <w:szCs w:val="20"/>
        </w:rPr>
        <w:t xml:space="preserve">, so that </w:t>
      </w:r>
      <w:r w:rsidR="00226481">
        <w:rPr>
          <w:rFonts w:cs="Arial"/>
          <w:szCs w:val="20"/>
        </w:rPr>
        <w:t>adequate and timely policy responses can be delivered.</w:t>
      </w:r>
      <w:r w:rsidR="00555A88">
        <w:rPr>
          <w:rStyle w:val="FootnoteReference"/>
          <w:rFonts w:cs="Arial"/>
          <w:szCs w:val="20"/>
        </w:rPr>
        <w:footnoteReference w:id="5"/>
      </w:r>
      <w:r w:rsidR="00226481">
        <w:rPr>
          <w:rFonts w:cs="Arial"/>
          <w:szCs w:val="20"/>
        </w:rPr>
        <w:t xml:space="preserve"> </w:t>
      </w:r>
    </w:p>
    <w:p w14:paraId="0FD1581A" w14:textId="452AA234" w:rsidR="00AC702D" w:rsidRDefault="00DB6308" w:rsidP="234F088F">
      <w:pPr>
        <w:rPr>
          <w:rFonts w:cs="Arial"/>
        </w:rPr>
      </w:pPr>
      <w:r w:rsidRPr="234F088F">
        <w:rPr>
          <w:rFonts w:cs="Arial"/>
        </w:rPr>
        <w:t>We also emphasise the importance of progressing the establishment of a</w:t>
      </w:r>
      <w:r w:rsidR="00E731B8" w:rsidRPr="234F088F">
        <w:rPr>
          <w:rFonts w:cs="Arial"/>
        </w:rPr>
        <w:t>n</w:t>
      </w:r>
      <w:r w:rsidR="00B34B75" w:rsidRPr="234F088F">
        <w:rPr>
          <w:rFonts w:cs="Arial"/>
        </w:rPr>
        <w:t xml:space="preserve"> independent</w:t>
      </w:r>
      <w:r w:rsidR="00E731B8" w:rsidRPr="234F088F">
        <w:rPr>
          <w:rFonts w:cs="Arial"/>
        </w:rPr>
        <w:t xml:space="preserve"> Office of the</w:t>
      </w:r>
      <w:r w:rsidRPr="234F088F">
        <w:rPr>
          <w:rFonts w:cs="Arial"/>
        </w:rPr>
        <w:t xml:space="preserve"> Strata Commissioner</w:t>
      </w:r>
      <w:r w:rsidR="00E358E1" w:rsidRPr="234F088F">
        <w:rPr>
          <w:rFonts w:cs="Arial"/>
        </w:rPr>
        <w:t>. The Committee should</w:t>
      </w:r>
      <w:r w:rsidRPr="234F088F">
        <w:rPr>
          <w:rFonts w:cs="Arial"/>
        </w:rPr>
        <w:t xml:space="preserve"> carefully consider the findings</w:t>
      </w:r>
      <w:r w:rsidR="00557E87" w:rsidRPr="234F088F">
        <w:rPr>
          <w:rFonts w:cs="Arial"/>
        </w:rPr>
        <w:t xml:space="preserve"> and recommendations of the soon to be released report</w:t>
      </w:r>
      <w:r w:rsidRPr="234F088F">
        <w:rPr>
          <w:rFonts w:cs="Arial"/>
        </w:rPr>
        <w:t xml:space="preserve"> </w:t>
      </w:r>
      <w:r w:rsidR="00557E87" w:rsidRPr="234F088F">
        <w:rPr>
          <w:rFonts w:cs="Arial"/>
        </w:rPr>
        <w:t>following the</w:t>
      </w:r>
      <w:r w:rsidRPr="234F088F">
        <w:rPr>
          <w:rFonts w:cs="Arial"/>
        </w:rPr>
        <w:t xml:space="preserve"> inquiry into </w:t>
      </w:r>
      <w:r w:rsidR="00694451" w:rsidRPr="234F088F">
        <w:rPr>
          <w:rFonts w:cs="Arial"/>
        </w:rPr>
        <w:t xml:space="preserve">the management of </w:t>
      </w:r>
      <w:r w:rsidRPr="234F088F">
        <w:rPr>
          <w:rFonts w:cs="Arial"/>
        </w:rPr>
        <w:t>strat</w:t>
      </w:r>
      <w:r w:rsidR="00694451" w:rsidRPr="234F088F">
        <w:rPr>
          <w:rFonts w:cs="Arial"/>
        </w:rPr>
        <w:t>a properties</w:t>
      </w:r>
      <w:r w:rsidRPr="234F088F">
        <w:rPr>
          <w:rFonts w:cs="Arial"/>
        </w:rPr>
        <w:t xml:space="preserve">. Effective strata </w:t>
      </w:r>
      <w:r w:rsidR="001049C7" w:rsidRPr="234F088F">
        <w:rPr>
          <w:rFonts w:cs="Arial"/>
        </w:rPr>
        <w:t>management</w:t>
      </w:r>
      <w:r w:rsidRPr="234F088F">
        <w:rPr>
          <w:rFonts w:cs="Arial"/>
        </w:rPr>
        <w:t xml:space="preserve"> will be critical to the long-term success of the missing middle reforms.</w:t>
      </w:r>
      <w:r w:rsidR="00511847" w:rsidRPr="234F088F">
        <w:rPr>
          <w:rFonts w:cs="Arial"/>
        </w:rPr>
        <w:t xml:space="preserve"> </w:t>
      </w:r>
    </w:p>
    <w:p w14:paraId="270C20D6" w14:textId="484C52E1" w:rsidR="00332ACC" w:rsidRDefault="00332ACC" w:rsidP="234F088F">
      <w:pPr>
        <w:rPr>
          <w:rFonts w:cs="Arial"/>
        </w:rPr>
      </w:pPr>
      <w:r w:rsidRPr="234F088F">
        <w:rPr>
          <w:rFonts w:cs="Arial"/>
        </w:rPr>
        <w:t xml:space="preserve">ACTCOSS also notes that planning reforms of this scale have the potential to generate substantial new revenue streams for landholders, including clubs with electronic gaming machines (EGMs) and significant landholdings. Without appropriate safeguards, there is a risk that increased revenue derived from residential redevelopment could be used to reinforce or prolong reliance on gambling revenue, including through increased promotion and marketing of EGMs. Given the ACT Government’s long-standing commitment to reducing gambling harm, ACTCOSS considers it important that any policy settings associated with the missing middle reforms actively support a transition away from gambling revenue, rather than enabling </w:t>
      </w:r>
      <w:r w:rsidR="32EE1ACE" w:rsidRPr="234F088F">
        <w:rPr>
          <w:rFonts w:cs="Arial"/>
        </w:rPr>
        <w:t>“</w:t>
      </w:r>
      <w:r w:rsidRPr="234F088F">
        <w:rPr>
          <w:rFonts w:cs="Arial"/>
        </w:rPr>
        <w:t>diversification</w:t>
      </w:r>
      <w:r w:rsidR="0A9B9361" w:rsidRPr="234F088F">
        <w:rPr>
          <w:rFonts w:cs="Arial"/>
        </w:rPr>
        <w:t>”</w:t>
      </w:r>
      <w:r w:rsidRPr="234F088F">
        <w:rPr>
          <w:rFonts w:cs="Arial"/>
        </w:rPr>
        <w:t xml:space="preserve"> that leaves core gambling interests intact. </w:t>
      </w:r>
      <w:r w:rsidR="0A17D019" w:rsidRPr="234F088F">
        <w:rPr>
          <w:rFonts w:cs="Arial"/>
        </w:rPr>
        <w:t>This would ensure</w:t>
      </w:r>
      <w:r w:rsidR="00377A48" w:rsidRPr="234F088F">
        <w:rPr>
          <w:rFonts w:cs="Arial"/>
        </w:rPr>
        <w:t xml:space="preserve"> that the benefits of planning reform are not reinvested in activities that undermine public health objectives and diminish the intended community benefit.</w:t>
      </w:r>
    </w:p>
    <w:p w14:paraId="67551F9A" w14:textId="66ACA3C9" w:rsidR="00DB0337" w:rsidRPr="00DB0337" w:rsidRDefault="00DB0337" w:rsidP="234F088F">
      <w:pPr>
        <w:rPr>
          <w:rFonts w:cs="Arial"/>
          <w:b/>
          <w:bCs/>
        </w:rPr>
      </w:pPr>
      <w:r w:rsidRPr="234F088F">
        <w:rPr>
          <w:rFonts w:cs="Arial"/>
          <w:b/>
          <w:bCs/>
        </w:rPr>
        <w:t>Further Engagement</w:t>
      </w:r>
    </w:p>
    <w:p w14:paraId="3B19D9A1" w14:textId="183A2D50" w:rsidR="00D94890" w:rsidRPr="00746C46" w:rsidRDefault="00B836C3" w:rsidP="00B836C3">
      <w:pPr>
        <w:pStyle w:val="ListParagraph"/>
        <w:ind w:left="0"/>
        <w:rPr>
          <w:rFonts w:cs="Arial"/>
          <w:szCs w:val="20"/>
        </w:rPr>
      </w:pPr>
      <w:r w:rsidRPr="0023702C">
        <w:rPr>
          <w:rFonts w:cs="Arial"/>
          <w:szCs w:val="20"/>
        </w:rPr>
        <w:t xml:space="preserve">If you would like to discuss any of the issues raised in this feedback please contact Ms Jenny Sandilands, Head of Policy at ACTCOSS, at </w:t>
      </w:r>
      <w:hyperlink r:id="rId13" w:history="1">
        <w:r w:rsidRPr="0023702C">
          <w:rPr>
            <w:rStyle w:val="Hyperlink"/>
            <w:rFonts w:cs="Arial"/>
            <w:szCs w:val="20"/>
          </w:rPr>
          <w:t>jenny.sandilands@actcoss.org.au</w:t>
        </w:r>
      </w:hyperlink>
      <w:r w:rsidRPr="0023702C">
        <w:rPr>
          <w:rFonts w:cs="Arial"/>
          <w:szCs w:val="20"/>
        </w:rPr>
        <w:t xml:space="preserve"> or on (02) 6202 7200.</w:t>
      </w:r>
    </w:p>
    <w:p w14:paraId="0D24B959" w14:textId="77777777" w:rsidR="00D94890" w:rsidRPr="00D94890" w:rsidRDefault="00D94890" w:rsidP="00D94890">
      <w:pPr>
        <w:rPr>
          <w:rFonts w:eastAsiaTheme="minorHAnsi"/>
          <w:lang w:val="en-US" w:eastAsia="en-US"/>
        </w:rPr>
      </w:pPr>
      <w:r w:rsidRPr="00D94890">
        <w:rPr>
          <w:rFonts w:eastAsiaTheme="minorHAnsi"/>
          <w:lang w:val="en-US" w:eastAsia="en-US"/>
        </w:rPr>
        <w:t>Yours sincerely</w:t>
      </w:r>
    </w:p>
    <w:p w14:paraId="54E755BC" w14:textId="77777777" w:rsidR="00D94890" w:rsidRPr="00D94890" w:rsidRDefault="00D94890" w:rsidP="00D94890">
      <w:pPr>
        <w:rPr>
          <w:rFonts w:eastAsiaTheme="minorHAnsi"/>
          <w:lang w:val="en-US" w:eastAsia="en-US"/>
        </w:rPr>
      </w:pPr>
      <w:r w:rsidRPr="00D94890">
        <w:rPr>
          <w:rFonts w:eastAsiaTheme="minorHAnsi"/>
          <w:noProof/>
          <w:lang w:val="en-US" w:eastAsia="en-US"/>
        </w:rPr>
        <w:drawing>
          <wp:inline distT="0" distB="0" distL="0" distR="0" wp14:anchorId="705F42F1" wp14:editId="11980BB1">
            <wp:extent cx="1318054" cy="292901"/>
            <wp:effectExtent l="0" t="0" r="0" b="0"/>
            <wp:docPr id="1866790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90276" name="Picture 1866790276"/>
                    <pic:cNvPicPr/>
                  </pic:nvPicPr>
                  <pic:blipFill>
                    <a:blip r:embed="rId14">
                      <a:extLst>
                        <a:ext uri="{28A0092B-C50C-407E-A947-70E740481C1C}">
                          <a14:useLocalDpi xmlns:a14="http://schemas.microsoft.com/office/drawing/2010/main" val="0"/>
                        </a:ext>
                      </a:extLst>
                    </a:blip>
                    <a:stretch>
                      <a:fillRect/>
                    </a:stretch>
                  </pic:blipFill>
                  <pic:spPr>
                    <a:xfrm>
                      <a:off x="0" y="0"/>
                      <a:ext cx="1352728" cy="300606"/>
                    </a:xfrm>
                    <a:prstGeom prst="rect">
                      <a:avLst/>
                    </a:prstGeom>
                  </pic:spPr>
                </pic:pic>
              </a:graphicData>
            </a:graphic>
          </wp:inline>
        </w:drawing>
      </w:r>
    </w:p>
    <w:p w14:paraId="49D0F54C" w14:textId="77777777" w:rsidR="00D94890" w:rsidRPr="00D94890" w:rsidRDefault="00D94890" w:rsidP="00D94890">
      <w:pPr>
        <w:rPr>
          <w:rFonts w:eastAsiaTheme="minorHAnsi"/>
          <w:lang w:val="en-US" w:eastAsia="en-US"/>
        </w:rPr>
      </w:pPr>
      <w:r w:rsidRPr="00D94890">
        <w:rPr>
          <w:rFonts w:eastAsiaTheme="minorHAnsi"/>
          <w:lang w:eastAsia="en-US"/>
        </w:rPr>
        <w:t>Dr Devin Bowles</w:t>
      </w:r>
      <w:r w:rsidRPr="00D94890">
        <w:rPr>
          <w:rFonts w:eastAsiaTheme="minorHAnsi"/>
          <w:lang w:val="en-US" w:eastAsia="en-US"/>
        </w:rPr>
        <w:br/>
        <w:t>CEO</w:t>
      </w:r>
      <w:r w:rsidRPr="00D94890">
        <w:rPr>
          <w:rFonts w:eastAsiaTheme="minorHAnsi"/>
          <w:lang w:val="en-US" w:eastAsia="en-US"/>
        </w:rPr>
        <w:br/>
        <w:t>ACT Council of Social Service</w:t>
      </w:r>
      <w:r w:rsidRPr="00D94890">
        <w:rPr>
          <w:rFonts w:eastAsiaTheme="minorHAnsi"/>
          <w:lang w:val="en-US" w:eastAsia="en-US"/>
        </w:rPr>
        <w:br/>
      </w:r>
      <w:hyperlink r:id="rId15" w:history="1">
        <w:r w:rsidRPr="00D94890">
          <w:rPr>
            <w:rStyle w:val="Hyperlink"/>
            <w:rFonts w:eastAsiaTheme="minorHAnsi"/>
            <w:lang w:val="en-US" w:eastAsia="en-US"/>
          </w:rPr>
          <w:t>devin.bowles@actcoss.org.au</w:t>
        </w:r>
      </w:hyperlink>
      <w:r w:rsidRPr="00D94890">
        <w:rPr>
          <w:rFonts w:eastAsiaTheme="minorHAnsi"/>
          <w:lang w:val="en-US" w:eastAsia="en-US"/>
        </w:rPr>
        <w:t xml:space="preserve"> </w:t>
      </w:r>
    </w:p>
    <w:p w14:paraId="29FEB8B4" w14:textId="1129D6DE" w:rsidR="00621E13" w:rsidRPr="00CD4B44" w:rsidRDefault="00621E13" w:rsidP="00D94890">
      <w:pPr>
        <w:rPr>
          <w:rFonts w:eastAsiaTheme="minorHAnsi"/>
          <w:lang w:val="en-US" w:eastAsia="en-US"/>
        </w:rPr>
      </w:pPr>
    </w:p>
    <w:sectPr w:rsidR="00621E13" w:rsidRPr="00CD4B44" w:rsidSect="004153C5">
      <w:headerReference w:type="default" r:id="rId16"/>
      <w:footerReference w:type="even" r:id="rId17"/>
      <w:footerReference w:type="default" r:id="rId18"/>
      <w:headerReference w:type="first" r:id="rId19"/>
      <w:footerReference w:type="first" r:id="rId20"/>
      <w:pgSz w:w="11900" w:h="16840"/>
      <w:pgMar w:top="3402" w:right="851" w:bottom="2268" w:left="85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6A69" w14:textId="77777777" w:rsidR="003F21DC" w:rsidRDefault="003F21DC" w:rsidP="00B50635">
      <w:pPr>
        <w:spacing w:after="0" w:line="240" w:lineRule="auto"/>
      </w:pPr>
      <w:r>
        <w:separator/>
      </w:r>
    </w:p>
  </w:endnote>
  <w:endnote w:type="continuationSeparator" w:id="0">
    <w:p w14:paraId="249CE7F2" w14:textId="77777777" w:rsidR="003F21DC" w:rsidRDefault="003F21DC" w:rsidP="00B5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nter">
    <w:altName w:val="Calibri"/>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862821"/>
      <w:docPartObj>
        <w:docPartGallery w:val="Page Numbers (Bottom of Page)"/>
        <w:docPartUnique/>
      </w:docPartObj>
    </w:sdtPr>
    <w:sdtContent>
      <w:p w14:paraId="4476E073" w14:textId="324A2602" w:rsidR="00B77E46" w:rsidRDefault="00B77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A9B8D4" w14:textId="77777777" w:rsidR="00B77E46" w:rsidRDefault="00B77E46" w:rsidP="00B77E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174255"/>
      <w:docPartObj>
        <w:docPartGallery w:val="Page Numbers (Bottom of Page)"/>
        <w:docPartUnique/>
      </w:docPartObj>
    </w:sdtPr>
    <w:sdtEndPr>
      <w:rPr>
        <w:rStyle w:val="PageNumber"/>
        <w:sz w:val="19"/>
        <w:szCs w:val="19"/>
      </w:rPr>
    </w:sdtEndPr>
    <w:sdtContent>
      <w:p w14:paraId="61A0F085" w14:textId="23818245" w:rsidR="00B77E46" w:rsidRPr="00B77E46" w:rsidRDefault="00B77E46">
        <w:pPr>
          <w:pStyle w:val="Footer"/>
          <w:framePr w:wrap="none" w:vAnchor="text" w:hAnchor="margin" w:xAlign="right" w:y="1"/>
          <w:rPr>
            <w:rStyle w:val="PageNumber"/>
            <w:sz w:val="19"/>
            <w:szCs w:val="19"/>
          </w:rPr>
        </w:pPr>
        <w:r w:rsidRPr="00B77E46">
          <w:rPr>
            <w:rStyle w:val="PageNumber"/>
            <w:sz w:val="19"/>
            <w:szCs w:val="19"/>
          </w:rPr>
          <w:fldChar w:fldCharType="begin"/>
        </w:r>
        <w:r w:rsidRPr="00B77E46">
          <w:rPr>
            <w:rStyle w:val="PageNumber"/>
            <w:sz w:val="19"/>
            <w:szCs w:val="19"/>
          </w:rPr>
          <w:instrText xml:space="preserve"> PAGE </w:instrText>
        </w:r>
        <w:r w:rsidRPr="00B77E46">
          <w:rPr>
            <w:rStyle w:val="PageNumber"/>
            <w:sz w:val="19"/>
            <w:szCs w:val="19"/>
          </w:rPr>
          <w:fldChar w:fldCharType="separate"/>
        </w:r>
        <w:r w:rsidRPr="00B77E46">
          <w:rPr>
            <w:rStyle w:val="PageNumber"/>
            <w:noProof/>
            <w:sz w:val="19"/>
            <w:szCs w:val="19"/>
          </w:rPr>
          <w:t>2</w:t>
        </w:r>
        <w:r w:rsidRPr="00B77E46">
          <w:rPr>
            <w:rStyle w:val="PageNumber"/>
            <w:sz w:val="19"/>
            <w:szCs w:val="19"/>
          </w:rPr>
          <w:fldChar w:fldCharType="end"/>
        </w:r>
      </w:p>
    </w:sdtContent>
  </w:sdt>
  <w:p w14:paraId="0F29AAFF" w14:textId="4CFE6384" w:rsidR="00EA37B8" w:rsidRDefault="00170AF5" w:rsidP="00B77E46">
    <w:pPr>
      <w:pStyle w:val="Footer"/>
      <w:ind w:right="360"/>
    </w:pPr>
    <w:r>
      <w:rPr>
        <w:noProof/>
      </w:rPr>
      <w:drawing>
        <wp:anchor distT="0" distB="0" distL="114300" distR="114300" simplePos="0" relativeHeight="251658244" behindDoc="1" locked="0" layoutInCell="1" allowOverlap="1" wp14:anchorId="7BAF4A65" wp14:editId="636F7876">
          <wp:simplePos x="0" y="0"/>
          <wp:positionH relativeFrom="page">
            <wp:align>left</wp:align>
          </wp:positionH>
          <wp:positionV relativeFrom="paragraph">
            <wp:posOffset>-2108835</wp:posOffset>
          </wp:positionV>
          <wp:extent cx="7584142" cy="268884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84142" cy="268884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9"/>
        <w:szCs w:val="19"/>
      </w:rPr>
      <w:id w:val="-1083987545"/>
      <w:docPartObj>
        <w:docPartGallery w:val="Page Numbers (Bottom of Page)"/>
        <w:docPartUnique/>
      </w:docPartObj>
    </w:sdtPr>
    <w:sdtContent>
      <w:p w14:paraId="4488826C" w14:textId="482A6CA5" w:rsidR="00B77E46" w:rsidRPr="00B77E46" w:rsidRDefault="00B77E46">
        <w:pPr>
          <w:pStyle w:val="Footer"/>
          <w:framePr w:wrap="none" w:vAnchor="text" w:hAnchor="margin" w:xAlign="right" w:y="1"/>
          <w:rPr>
            <w:rStyle w:val="PageNumber"/>
            <w:sz w:val="19"/>
            <w:szCs w:val="19"/>
          </w:rPr>
        </w:pPr>
        <w:r w:rsidRPr="00B77E46">
          <w:rPr>
            <w:rStyle w:val="PageNumber"/>
            <w:sz w:val="19"/>
            <w:szCs w:val="19"/>
          </w:rPr>
          <w:fldChar w:fldCharType="begin"/>
        </w:r>
        <w:r w:rsidRPr="00B77E46">
          <w:rPr>
            <w:rStyle w:val="PageNumber"/>
            <w:sz w:val="19"/>
            <w:szCs w:val="19"/>
          </w:rPr>
          <w:instrText xml:space="preserve"> PAGE </w:instrText>
        </w:r>
        <w:r w:rsidRPr="00B77E46">
          <w:rPr>
            <w:rStyle w:val="PageNumber"/>
            <w:sz w:val="19"/>
            <w:szCs w:val="19"/>
          </w:rPr>
          <w:fldChar w:fldCharType="separate"/>
        </w:r>
        <w:r w:rsidRPr="00B77E46">
          <w:rPr>
            <w:rStyle w:val="PageNumber"/>
            <w:noProof/>
            <w:sz w:val="19"/>
            <w:szCs w:val="19"/>
          </w:rPr>
          <w:t>1</w:t>
        </w:r>
        <w:r w:rsidRPr="00B77E46">
          <w:rPr>
            <w:rStyle w:val="PageNumber"/>
            <w:sz w:val="19"/>
            <w:szCs w:val="19"/>
          </w:rPr>
          <w:fldChar w:fldCharType="end"/>
        </w:r>
      </w:p>
    </w:sdtContent>
  </w:sdt>
  <w:p w14:paraId="3C9648F3" w14:textId="2E1329D2" w:rsidR="00EA37B8" w:rsidRPr="00B77E46" w:rsidRDefault="00B77E46" w:rsidP="00B77E46">
    <w:pPr>
      <w:pStyle w:val="Pa1"/>
      <w:spacing w:after="120" w:line="200" w:lineRule="atLeast"/>
      <w:rPr>
        <w:rFonts w:ascii="Arial" w:hAnsi="Arial" w:cs="Arial"/>
        <w:color w:val="211D1E"/>
        <w:sz w:val="19"/>
        <w:szCs w:val="19"/>
      </w:rPr>
    </w:pPr>
    <w:r w:rsidRPr="00B77E46">
      <w:rPr>
        <w:noProof/>
        <w:sz w:val="19"/>
        <w:szCs w:val="19"/>
      </w:rPr>
      <w:drawing>
        <wp:anchor distT="0" distB="0" distL="114300" distR="114300" simplePos="0" relativeHeight="251658241" behindDoc="1" locked="0" layoutInCell="1" allowOverlap="1" wp14:anchorId="6AA6C172" wp14:editId="622385DB">
          <wp:simplePos x="0" y="0"/>
          <wp:positionH relativeFrom="column">
            <wp:posOffset>-535305</wp:posOffset>
          </wp:positionH>
          <wp:positionV relativeFrom="paragraph">
            <wp:posOffset>-2025131</wp:posOffset>
          </wp:positionV>
          <wp:extent cx="7547610" cy="26758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7610" cy="26758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00D2" w14:textId="77777777" w:rsidR="003F21DC" w:rsidRDefault="003F21DC" w:rsidP="00B50635">
      <w:pPr>
        <w:spacing w:after="0" w:line="240" w:lineRule="auto"/>
      </w:pPr>
      <w:r>
        <w:separator/>
      </w:r>
    </w:p>
  </w:footnote>
  <w:footnote w:type="continuationSeparator" w:id="0">
    <w:p w14:paraId="521705E6" w14:textId="77777777" w:rsidR="003F21DC" w:rsidRDefault="003F21DC" w:rsidP="00B50635">
      <w:pPr>
        <w:spacing w:after="0" w:line="240" w:lineRule="auto"/>
      </w:pPr>
      <w:r>
        <w:continuationSeparator/>
      </w:r>
    </w:p>
  </w:footnote>
  <w:footnote w:id="1">
    <w:p w14:paraId="19A0AB75" w14:textId="09DD906B" w:rsidR="00F50D36" w:rsidRPr="000A3747" w:rsidRDefault="00F50D36" w:rsidP="000A3747">
      <w:pPr>
        <w:pStyle w:val="FootnoteText"/>
        <w:spacing w:after="40"/>
        <w:rPr>
          <w:sz w:val="19"/>
          <w:szCs w:val="19"/>
          <w:lang w:val="en-US"/>
        </w:rPr>
      </w:pPr>
      <w:r w:rsidRPr="000A3747">
        <w:rPr>
          <w:rStyle w:val="FootnoteReference"/>
          <w:sz w:val="19"/>
          <w:szCs w:val="19"/>
        </w:rPr>
        <w:footnoteRef/>
      </w:r>
      <w:r w:rsidRPr="000A3747">
        <w:rPr>
          <w:sz w:val="19"/>
          <w:szCs w:val="19"/>
        </w:rPr>
        <w:t xml:space="preserve"> </w:t>
      </w:r>
      <w:r w:rsidR="009148A1" w:rsidRPr="000A3747">
        <w:rPr>
          <w:sz w:val="19"/>
          <w:szCs w:val="19"/>
        </w:rPr>
        <w:t xml:space="preserve">Davison, J., </w:t>
      </w:r>
      <w:proofErr w:type="spellStart"/>
      <w:r w:rsidR="009148A1" w:rsidRPr="000A3747">
        <w:rPr>
          <w:sz w:val="19"/>
          <w:szCs w:val="19"/>
        </w:rPr>
        <w:t>Brackertz</w:t>
      </w:r>
      <w:proofErr w:type="spellEnd"/>
      <w:r w:rsidR="009148A1" w:rsidRPr="000A3747">
        <w:rPr>
          <w:sz w:val="19"/>
          <w:szCs w:val="19"/>
        </w:rPr>
        <w:t xml:space="preserve">, N. and Alves, T (2021) </w:t>
      </w:r>
      <w:hyperlink r:id="rId1" w:history="1">
        <w:r w:rsidR="009148A1" w:rsidRPr="000A3747">
          <w:rPr>
            <w:rStyle w:val="Hyperlink"/>
            <w:i/>
            <w:iCs/>
            <w:sz w:val="19"/>
            <w:szCs w:val="19"/>
          </w:rPr>
          <w:t>Return on investment for social housing in the ACT</w:t>
        </w:r>
      </w:hyperlink>
      <w:r w:rsidR="009148A1" w:rsidRPr="000A3747">
        <w:rPr>
          <w:sz w:val="19"/>
          <w:szCs w:val="19"/>
        </w:rPr>
        <w:t>, Australian Housing and Urban Research Institute (AHURI) Professional Services, p1.</w:t>
      </w:r>
    </w:p>
  </w:footnote>
  <w:footnote w:id="2">
    <w:p w14:paraId="52934928" w14:textId="13F9FE90" w:rsidR="00D93BA4" w:rsidRPr="000A3747" w:rsidRDefault="00D93BA4" w:rsidP="000A3747">
      <w:pPr>
        <w:pStyle w:val="FootnoteText"/>
        <w:spacing w:after="40"/>
        <w:rPr>
          <w:sz w:val="19"/>
          <w:szCs w:val="19"/>
          <w:lang w:val="en-US"/>
        </w:rPr>
      </w:pPr>
      <w:r w:rsidRPr="000A3747">
        <w:rPr>
          <w:rStyle w:val="FootnoteReference"/>
          <w:sz w:val="19"/>
          <w:szCs w:val="19"/>
        </w:rPr>
        <w:footnoteRef/>
      </w:r>
      <w:r w:rsidRPr="000A3747">
        <w:rPr>
          <w:sz w:val="19"/>
          <w:szCs w:val="19"/>
        </w:rPr>
        <w:t xml:space="preserve"> </w:t>
      </w:r>
      <w:r w:rsidR="00F75E65" w:rsidRPr="000A3747">
        <w:rPr>
          <w:sz w:val="19"/>
          <w:szCs w:val="19"/>
        </w:rPr>
        <w:t xml:space="preserve">National Housing Supply and Affordability Council (2025) </w:t>
      </w:r>
      <w:hyperlink r:id="rId2" w:history="1">
        <w:r w:rsidR="00F75E65" w:rsidRPr="000A3747">
          <w:rPr>
            <w:rStyle w:val="Hyperlink"/>
            <w:i/>
            <w:iCs/>
            <w:sz w:val="19"/>
            <w:szCs w:val="19"/>
            <w:lang w:val="en-US"/>
          </w:rPr>
          <w:t>State of the Housing System 2025</w:t>
        </w:r>
      </w:hyperlink>
      <w:r w:rsidR="00F75E65" w:rsidRPr="000A3747">
        <w:rPr>
          <w:sz w:val="19"/>
          <w:szCs w:val="19"/>
          <w:lang w:val="en-US"/>
        </w:rPr>
        <w:t>, Australian Government, p57.</w:t>
      </w:r>
    </w:p>
  </w:footnote>
  <w:footnote w:id="3">
    <w:p w14:paraId="1F1E9D40" w14:textId="77777777" w:rsidR="00E60124" w:rsidRPr="000A3747" w:rsidRDefault="00E60124" w:rsidP="000A3747">
      <w:pPr>
        <w:pStyle w:val="FootnoteText"/>
        <w:spacing w:after="40"/>
        <w:rPr>
          <w:sz w:val="19"/>
          <w:szCs w:val="19"/>
          <w:lang w:val="en-US"/>
        </w:rPr>
      </w:pPr>
      <w:r w:rsidRPr="000A3747">
        <w:rPr>
          <w:rStyle w:val="FootnoteReference"/>
          <w:sz w:val="19"/>
          <w:szCs w:val="19"/>
        </w:rPr>
        <w:footnoteRef/>
      </w:r>
      <w:r w:rsidRPr="000A3747">
        <w:rPr>
          <w:sz w:val="19"/>
          <w:szCs w:val="19"/>
        </w:rPr>
        <w:t xml:space="preserve"> According to the </w:t>
      </w:r>
      <w:hyperlink r:id="rId3" w:history="1">
        <w:r w:rsidRPr="000A3747">
          <w:rPr>
            <w:rStyle w:val="Hyperlink"/>
            <w:i/>
            <w:iCs/>
            <w:sz w:val="19"/>
            <w:szCs w:val="19"/>
          </w:rPr>
          <w:t>ACT Housing Strategy: 5 Year Snapshot</w:t>
        </w:r>
      </w:hyperlink>
      <w:r w:rsidRPr="000A3747">
        <w:rPr>
          <w:sz w:val="19"/>
          <w:szCs w:val="19"/>
        </w:rPr>
        <w:t xml:space="preserve"> (June 2024, p 3), affordable rentals in the ACT target those in the second income quintile and the lower half of the third income quintile – those earning more than the lowest 20% but still below the median income. Most affordable rentals are managed by CHPs and rent is usually set as a discount on market rent, typically 20% to 25% below the market rate. </w:t>
      </w:r>
    </w:p>
  </w:footnote>
  <w:footnote w:id="4">
    <w:p w14:paraId="18A87A9B" w14:textId="5B40B71D" w:rsidR="00E928E1" w:rsidRPr="000A3747" w:rsidRDefault="00E928E1" w:rsidP="000A3747">
      <w:pPr>
        <w:pStyle w:val="FootnoteText"/>
        <w:spacing w:after="40"/>
        <w:rPr>
          <w:sz w:val="19"/>
          <w:szCs w:val="19"/>
          <w:lang w:val="en-US"/>
        </w:rPr>
      </w:pPr>
      <w:r w:rsidRPr="000A3747">
        <w:rPr>
          <w:rStyle w:val="FootnoteReference"/>
          <w:sz w:val="19"/>
          <w:szCs w:val="19"/>
        </w:rPr>
        <w:footnoteRef/>
      </w:r>
      <w:r w:rsidRPr="000A3747">
        <w:rPr>
          <w:sz w:val="19"/>
          <w:szCs w:val="19"/>
        </w:rPr>
        <w:t xml:space="preserve"> </w:t>
      </w:r>
      <w:r w:rsidR="00C07D7B" w:rsidRPr="000A3747">
        <w:rPr>
          <w:sz w:val="19"/>
          <w:szCs w:val="19"/>
        </w:rPr>
        <w:t xml:space="preserve">YWCA Canberra, </w:t>
      </w:r>
      <w:hyperlink r:id="rId4" w:history="1">
        <w:r w:rsidR="00C07D7B" w:rsidRPr="000A3747">
          <w:rPr>
            <w:rStyle w:val="Hyperlink"/>
            <w:i/>
            <w:iCs/>
            <w:sz w:val="19"/>
            <w:szCs w:val="19"/>
          </w:rPr>
          <w:t>Our Lives: Women in the ACT</w:t>
        </w:r>
        <w:r w:rsidR="006327F1" w:rsidRPr="000A3747">
          <w:rPr>
            <w:rStyle w:val="Hyperlink"/>
            <w:i/>
            <w:iCs/>
            <w:sz w:val="19"/>
            <w:szCs w:val="19"/>
          </w:rPr>
          <w:t xml:space="preserve"> Survey 2025</w:t>
        </w:r>
      </w:hyperlink>
      <w:r w:rsidR="00D453F4" w:rsidRPr="000A3747">
        <w:rPr>
          <w:sz w:val="19"/>
          <w:szCs w:val="19"/>
        </w:rPr>
        <w:t xml:space="preserve">, </w:t>
      </w:r>
      <w:r w:rsidR="007E30CE" w:rsidRPr="000A3747">
        <w:rPr>
          <w:sz w:val="19"/>
          <w:szCs w:val="19"/>
        </w:rPr>
        <w:t xml:space="preserve">December 2025, </w:t>
      </w:r>
      <w:r w:rsidR="00D453F4" w:rsidRPr="000A3747">
        <w:rPr>
          <w:sz w:val="19"/>
          <w:szCs w:val="19"/>
        </w:rPr>
        <w:t>p15</w:t>
      </w:r>
      <w:r w:rsidR="005D09C7" w:rsidRPr="000A3747">
        <w:rPr>
          <w:sz w:val="19"/>
          <w:szCs w:val="19"/>
        </w:rPr>
        <w:t>.</w:t>
      </w:r>
    </w:p>
  </w:footnote>
  <w:footnote w:id="5">
    <w:p w14:paraId="7AFF849C" w14:textId="6F5204C3" w:rsidR="00555A88" w:rsidRPr="00555A88" w:rsidRDefault="00555A88" w:rsidP="005106D7">
      <w:pPr>
        <w:pStyle w:val="FootnoteText"/>
        <w:spacing w:after="40"/>
        <w:rPr>
          <w:lang w:val="en-US"/>
        </w:rPr>
      </w:pPr>
      <w:r>
        <w:rPr>
          <w:rStyle w:val="FootnoteReference"/>
        </w:rPr>
        <w:footnoteRef/>
      </w:r>
      <w:r w:rsidR="006D2A66">
        <w:t xml:space="preserve"> </w:t>
      </w:r>
      <w:r w:rsidR="00AD6325" w:rsidRPr="005106D7">
        <w:rPr>
          <w:sz w:val="19"/>
          <w:szCs w:val="19"/>
        </w:rPr>
        <w:t xml:space="preserve">Territory Planning Authority, </w:t>
      </w:r>
      <w:hyperlink r:id="rId5" w:anchor="major-amendments-recommended-to-the-minister" w:history="1">
        <w:r w:rsidR="00CC4F52" w:rsidRPr="005106D7">
          <w:rPr>
            <w:rStyle w:val="Hyperlink"/>
            <w:i/>
            <w:iCs/>
            <w:sz w:val="19"/>
            <w:szCs w:val="19"/>
          </w:rPr>
          <w:t xml:space="preserve">Consultation </w:t>
        </w:r>
        <w:r w:rsidR="00157115" w:rsidRPr="005106D7">
          <w:rPr>
            <w:rStyle w:val="Hyperlink"/>
            <w:i/>
            <w:iCs/>
            <w:sz w:val="19"/>
            <w:szCs w:val="19"/>
          </w:rPr>
          <w:t>R</w:t>
        </w:r>
        <w:r w:rsidR="00CC4F52" w:rsidRPr="005106D7">
          <w:rPr>
            <w:rStyle w:val="Hyperlink"/>
            <w:i/>
            <w:iCs/>
            <w:sz w:val="19"/>
            <w:szCs w:val="19"/>
          </w:rPr>
          <w:t>eport</w:t>
        </w:r>
        <w:r w:rsidR="00157115" w:rsidRPr="005106D7">
          <w:rPr>
            <w:rStyle w:val="Hyperlink"/>
            <w:i/>
            <w:iCs/>
            <w:sz w:val="19"/>
            <w:szCs w:val="19"/>
          </w:rPr>
          <w:t xml:space="preserve"> – Missing Middle Housing Reform</w:t>
        </w:r>
      </w:hyperlink>
      <w:r w:rsidR="00157115" w:rsidRPr="005106D7">
        <w:rPr>
          <w:sz w:val="19"/>
          <w:szCs w:val="19"/>
        </w:rPr>
        <w:t xml:space="preserve">, </w:t>
      </w:r>
      <w:r w:rsidR="006D2A66" w:rsidRPr="005106D7">
        <w:rPr>
          <w:sz w:val="19"/>
          <w:szCs w:val="19"/>
        </w:rPr>
        <w:t>ACT Government,</w:t>
      </w:r>
      <w:r w:rsidR="00AD6325" w:rsidRPr="005106D7">
        <w:rPr>
          <w:sz w:val="19"/>
          <w:szCs w:val="19"/>
        </w:rPr>
        <w:t xml:space="preserve"> September 2025,</w:t>
      </w:r>
      <w:r w:rsidR="006D2A66" w:rsidRPr="005106D7">
        <w:rPr>
          <w:sz w:val="19"/>
          <w:szCs w:val="19"/>
        </w:rPr>
        <w:t xml:space="preserve"> </w:t>
      </w:r>
      <w:r w:rsidR="007D23BD" w:rsidRPr="005106D7">
        <w:rPr>
          <w:sz w:val="19"/>
          <w:szCs w:val="19"/>
        </w:rPr>
        <w:t>p 10.</w:t>
      </w:r>
      <w:r w:rsidR="007D23B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B7DC" w14:textId="18A1782E" w:rsidR="00B50635" w:rsidRDefault="008F38A0" w:rsidP="00B50635">
    <w:pPr>
      <w:pStyle w:val="Header"/>
      <w:tabs>
        <w:tab w:val="clear" w:pos="4513"/>
        <w:tab w:val="clear" w:pos="9026"/>
        <w:tab w:val="left" w:pos="2096"/>
      </w:tabs>
    </w:pPr>
    <w:r>
      <w:rPr>
        <w:noProof/>
      </w:rPr>
      <w:drawing>
        <wp:anchor distT="0" distB="0" distL="114300" distR="114300" simplePos="0" relativeHeight="251658243" behindDoc="0" locked="0" layoutInCell="1" allowOverlap="1" wp14:anchorId="058C3BA8" wp14:editId="6AE09EDC">
          <wp:simplePos x="0" y="0"/>
          <wp:positionH relativeFrom="column">
            <wp:posOffset>0</wp:posOffset>
          </wp:positionH>
          <wp:positionV relativeFrom="paragraph">
            <wp:posOffset>179510</wp:posOffset>
          </wp:positionV>
          <wp:extent cx="1682750" cy="89408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779" t="13141" r="8942" b="14470"/>
                  <a:stretch/>
                </pic:blipFill>
                <pic:spPr bwMode="auto">
                  <a:xfrm>
                    <a:off x="0" y="0"/>
                    <a:ext cx="1682750" cy="89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CB70" w14:textId="0878D7D9" w:rsidR="00B50635" w:rsidRDefault="00B77E46">
    <w:pPr>
      <w:pStyle w:val="Header"/>
    </w:pPr>
    <w:r w:rsidRPr="00B31509">
      <w:rPr>
        <w:noProof/>
      </w:rPr>
      <mc:AlternateContent>
        <mc:Choice Requires="wps">
          <w:drawing>
            <wp:anchor distT="0" distB="0" distL="114300" distR="114300" simplePos="0" relativeHeight="251658240" behindDoc="0" locked="0" layoutInCell="1" allowOverlap="1" wp14:anchorId="44191C09" wp14:editId="057584C9">
              <wp:simplePos x="0" y="0"/>
              <wp:positionH relativeFrom="column">
                <wp:posOffset>5028565</wp:posOffset>
              </wp:positionH>
              <wp:positionV relativeFrom="paragraph">
                <wp:posOffset>231429</wp:posOffset>
              </wp:positionV>
              <wp:extent cx="1655465" cy="988291"/>
              <wp:effectExtent l="0" t="0" r="8255" b="2540"/>
              <wp:wrapNone/>
              <wp:docPr id="9" name="Text Box 9"/>
              <wp:cNvGraphicFramePr/>
              <a:graphic xmlns:a="http://schemas.openxmlformats.org/drawingml/2006/main">
                <a:graphicData uri="http://schemas.microsoft.com/office/word/2010/wordprocessingShape">
                  <wps:wsp>
                    <wps:cNvSpPr txBox="1"/>
                    <wps:spPr>
                      <a:xfrm>
                        <a:off x="0" y="0"/>
                        <a:ext cx="1655465" cy="988291"/>
                      </a:xfrm>
                      <a:prstGeom prst="rect">
                        <a:avLst/>
                      </a:prstGeom>
                      <a:noFill/>
                      <a:ln w="6350">
                        <a:noFill/>
                      </a:ln>
                    </wps:spPr>
                    <wps:txbx>
                      <w:txbxContent>
                        <w:p w14:paraId="3659B31A" w14:textId="15DDE10F" w:rsidR="001B0D65" w:rsidRPr="00B77E46" w:rsidRDefault="001B0D65" w:rsidP="00B77E46">
                          <w:pPr>
                            <w:pStyle w:val="Pa1"/>
                            <w:spacing w:after="120" w:line="200" w:lineRule="atLeast"/>
                            <w:rPr>
                              <w:rStyle w:val="A1"/>
                              <w:rFonts w:ascii="Arial" w:hAnsi="Arial" w:cs="Arial"/>
                              <w:sz w:val="20"/>
                              <w:szCs w:val="20"/>
                            </w:rPr>
                          </w:pPr>
                          <w:r w:rsidRPr="00B77E46">
                            <w:rPr>
                              <w:rStyle w:val="A1"/>
                              <w:rFonts w:ascii="Arial" w:hAnsi="Arial" w:cs="Arial"/>
                              <w:sz w:val="20"/>
                              <w:szCs w:val="20"/>
                            </w:rPr>
                            <w:t>1/6 Gritten St</w:t>
                          </w:r>
                          <w:r w:rsidRPr="00B77E46">
                            <w:rPr>
                              <w:rStyle w:val="A1"/>
                              <w:rFonts w:ascii="Arial" w:hAnsi="Arial" w:cs="Arial"/>
                              <w:sz w:val="20"/>
                              <w:szCs w:val="20"/>
                            </w:rPr>
                            <w:br/>
                            <w:t>Weston ACT 2611</w:t>
                          </w:r>
                        </w:p>
                        <w:p w14:paraId="0EB959CE" w14:textId="482C6F3B" w:rsidR="00B50635" w:rsidRPr="00B77E46" w:rsidRDefault="00B50635" w:rsidP="00B77E46">
                          <w:pPr>
                            <w:pStyle w:val="Pa1"/>
                            <w:spacing w:after="120" w:line="200" w:lineRule="atLeast"/>
                            <w:rPr>
                              <w:rFonts w:ascii="Arial" w:hAnsi="Arial" w:cs="Arial"/>
                              <w:color w:val="211D1E"/>
                              <w:sz w:val="20"/>
                              <w:szCs w:val="20"/>
                            </w:rPr>
                          </w:pPr>
                          <w:r w:rsidRPr="00B77E46">
                            <w:rPr>
                              <w:rStyle w:val="A1"/>
                              <w:rFonts w:ascii="Arial" w:hAnsi="Arial" w:cs="Arial"/>
                              <w:sz w:val="20"/>
                              <w:szCs w:val="20"/>
                            </w:rPr>
                            <w:t>02 62</w:t>
                          </w:r>
                          <w:r w:rsidR="001B0D65" w:rsidRPr="00B77E46">
                            <w:rPr>
                              <w:rStyle w:val="A1"/>
                              <w:rFonts w:ascii="Arial" w:hAnsi="Arial" w:cs="Arial"/>
                              <w:sz w:val="20"/>
                              <w:szCs w:val="20"/>
                            </w:rPr>
                            <w:t>02</w:t>
                          </w:r>
                          <w:r w:rsidRPr="00B77E46">
                            <w:rPr>
                              <w:rStyle w:val="A1"/>
                              <w:rFonts w:ascii="Arial" w:hAnsi="Arial" w:cs="Arial"/>
                              <w:sz w:val="20"/>
                              <w:szCs w:val="20"/>
                            </w:rPr>
                            <w:t xml:space="preserve"> </w:t>
                          </w:r>
                          <w:r w:rsidR="001B0D65" w:rsidRPr="00B77E46">
                            <w:rPr>
                              <w:rStyle w:val="A1"/>
                              <w:rFonts w:ascii="Arial" w:hAnsi="Arial" w:cs="Arial"/>
                              <w:sz w:val="20"/>
                              <w:szCs w:val="20"/>
                            </w:rPr>
                            <w:t>7200</w:t>
                          </w:r>
                          <w:r w:rsidRPr="00B77E46">
                            <w:rPr>
                              <w:rStyle w:val="A1"/>
                              <w:rFonts w:ascii="Arial" w:hAnsi="Arial" w:cs="Arial"/>
                              <w:sz w:val="20"/>
                              <w:szCs w:val="20"/>
                            </w:rPr>
                            <w:br/>
                          </w:r>
                          <w:r w:rsidR="001B0D65" w:rsidRPr="00B77E46">
                            <w:rPr>
                              <w:rStyle w:val="A1"/>
                              <w:rFonts w:ascii="Arial" w:hAnsi="Arial" w:cs="Arial"/>
                              <w:sz w:val="20"/>
                              <w:szCs w:val="20"/>
                            </w:rPr>
                            <w:t>actcoss</w:t>
                          </w:r>
                          <w:r w:rsidRPr="00B77E46">
                            <w:rPr>
                              <w:rStyle w:val="A1"/>
                              <w:rFonts w:ascii="Arial" w:hAnsi="Arial" w:cs="Arial"/>
                              <w:sz w:val="20"/>
                              <w:szCs w:val="20"/>
                            </w:rPr>
                            <w:t>@</w:t>
                          </w:r>
                          <w:r w:rsidR="001B0D65" w:rsidRPr="00B77E46">
                            <w:rPr>
                              <w:rStyle w:val="A1"/>
                              <w:rFonts w:ascii="Arial" w:hAnsi="Arial" w:cs="Arial"/>
                              <w:sz w:val="20"/>
                              <w:szCs w:val="20"/>
                            </w:rPr>
                            <w:t>actcoss.org.au</w:t>
                          </w:r>
                        </w:p>
                        <w:p w14:paraId="41447DAC" w14:textId="41A6DB46" w:rsidR="00B50635" w:rsidRPr="00B77E46" w:rsidRDefault="001B0D65" w:rsidP="00B77E46">
                          <w:pPr>
                            <w:pStyle w:val="Pa1"/>
                            <w:spacing w:after="120" w:line="200" w:lineRule="atLeast"/>
                            <w:rPr>
                              <w:rFonts w:ascii="Arial" w:hAnsi="Arial" w:cs="Arial"/>
                              <w:color w:val="211D1E"/>
                              <w:sz w:val="20"/>
                              <w:szCs w:val="20"/>
                            </w:rPr>
                          </w:pPr>
                          <w:r w:rsidRPr="00B77E46">
                            <w:rPr>
                              <w:rStyle w:val="A1"/>
                              <w:rFonts w:ascii="Arial" w:hAnsi="Arial" w:cs="Arial"/>
                              <w:sz w:val="20"/>
                              <w:szCs w:val="20"/>
                            </w:rPr>
                            <w:t>actcoss.org</w:t>
                          </w:r>
                          <w:r w:rsidR="00B50635" w:rsidRPr="00B77E46">
                            <w:rPr>
                              <w:rStyle w:val="A1"/>
                              <w:rFonts w:ascii="Arial" w:hAnsi="Arial" w:cs="Arial"/>
                              <w:sz w:val="20"/>
                              <w:szCs w:val="20"/>
                            </w:rPr>
                            <w:t>.au</w:t>
                          </w:r>
                          <w:r w:rsidR="00B77E46" w:rsidRPr="00B77E46">
                            <w:rPr>
                              <w:rStyle w:val="A1"/>
                              <w:rFonts w:ascii="Arial" w:hAnsi="Arial" w:cs="Arial"/>
                              <w:sz w:val="20"/>
                              <w:szCs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91C09" id="_x0000_t202" coordsize="21600,21600" o:spt="202" path="m,l,21600r21600,l21600,xe">
              <v:stroke joinstyle="miter"/>
              <v:path gradientshapeok="t" o:connecttype="rect"/>
            </v:shapetype>
            <v:shape id="Text Box 9" o:spid="_x0000_s1026" type="#_x0000_t202" style="position:absolute;margin-left:395.95pt;margin-top:18.2pt;width:130.35pt;height:7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" filled="f" stroked="f" strokeweight=".5pt">
              <v:textbox inset="0,0,0,0">
                <w:txbxContent>
                  <w:p w14:paraId="3659B31A" w14:textId="15DDE10F" w:rsidR="001B0D65" w:rsidRPr="00B77E46" w:rsidRDefault="001B0D65" w:rsidP="00B77E46">
                    <w:pPr>
                      <w:pStyle w:val="Pa1"/>
                      <w:spacing w:after="120" w:line="200" w:lineRule="atLeast"/>
                      <w:rPr>
                        <w:rStyle w:val="A1"/>
                        <w:rFonts w:ascii="Arial" w:hAnsi="Arial" w:cs="Arial"/>
                        <w:sz w:val="20"/>
                        <w:szCs w:val="20"/>
                      </w:rPr>
                    </w:pPr>
                    <w:r w:rsidRPr="00B77E46">
                      <w:rPr>
                        <w:rStyle w:val="A1"/>
                        <w:rFonts w:ascii="Arial" w:hAnsi="Arial" w:cs="Arial"/>
                        <w:sz w:val="20"/>
                        <w:szCs w:val="20"/>
                      </w:rPr>
                      <w:t>1/6 Gritten St</w:t>
                    </w:r>
                    <w:r w:rsidRPr="00B77E46">
                      <w:rPr>
                        <w:rStyle w:val="A1"/>
                        <w:rFonts w:ascii="Arial" w:hAnsi="Arial" w:cs="Arial"/>
                        <w:sz w:val="20"/>
                        <w:szCs w:val="20"/>
                      </w:rPr>
                      <w:br/>
                      <w:t>Weston ACT 2611</w:t>
                    </w:r>
                  </w:p>
                  <w:p w14:paraId="0EB959CE" w14:textId="482C6F3B" w:rsidR="00B50635" w:rsidRPr="00B77E46" w:rsidRDefault="00B50635" w:rsidP="00B77E46">
                    <w:pPr>
                      <w:pStyle w:val="Pa1"/>
                      <w:spacing w:after="120" w:line="200" w:lineRule="atLeast"/>
                      <w:rPr>
                        <w:rFonts w:ascii="Arial" w:hAnsi="Arial" w:cs="Arial"/>
                        <w:color w:val="211D1E"/>
                        <w:sz w:val="20"/>
                        <w:szCs w:val="20"/>
                      </w:rPr>
                    </w:pPr>
                    <w:r w:rsidRPr="00B77E46">
                      <w:rPr>
                        <w:rStyle w:val="A1"/>
                        <w:rFonts w:ascii="Arial" w:hAnsi="Arial" w:cs="Arial"/>
                        <w:sz w:val="20"/>
                        <w:szCs w:val="20"/>
                      </w:rPr>
                      <w:t>02 62</w:t>
                    </w:r>
                    <w:r w:rsidR="001B0D65" w:rsidRPr="00B77E46">
                      <w:rPr>
                        <w:rStyle w:val="A1"/>
                        <w:rFonts w:ascii="Arial" w:hAnsi="Arial" w:cs="Arial"/>
                        <w:sz w:val="20"/>
                        <w:szCs w:val="20"/>
                      </w:rPr>
                      <w:t>02</w:t>
                    </w:r>
                    <w:r w:rsidRPr="00B77E46">
                      <w:rPr>
                        <w:rStyle w:val="A1"/>
                        <w:rFonts w:ascii="Arial" w:hAnsi="Arial" w:cs="Arial"/>
                        <w:sz w:val="20"/>
                        <w:szCs w:val="20"/>
                      </w:rPr>
                      <w:t xml:space="preserve"> </w:t>
                    </w:r>
                    <w:r w:rsidR="001B0D65" w:rsidRPr="00B77E46">
                      <w:rPr>
                        <w:rStyle w:val="A1"/>
                        <w:rFonts w:ascii="Arial" w:hAnsi="Arial" w:cs="Arial"/>
                        <w:sz w:val="20"/>
                        <w:szCs w:val="20"/>
                      </w:rPr>
                      <w:t>7200</w:t>
                    </w:r>
                    <w:r w:rsidRPr="00B77E46">
                      <w:rPr>
                        <w:rStyle w:val="A1"/>
                        <w:rFonts w:ascii="Arial" w:hAnsi="Arial" w:cs="Arial"/>
                        <w:sz w:val="20"/>
                        <w:szCs w:val="20"/>
                      </w:rPr>
                      <w:br/>
                    </w:r>
                    <w:r w:rsidR="001B0D65" w:rsidRPr="00B77E46">
                      <w:rPr>
                        <w:rStyle w:val="A1"/>
                        <w:rFonts w:ascii="Arial" w:hAnsi="Arial" w:cs="Arial"/>
                        <w:sz w:val="20"/>
                        <w:szCs w:val="20"/>
                      </w:rPr>
                      <w:t>actcoss</w:t>
                    </w:r>
                    <w:r w:rsidRPr="00B77E46">
                      <w:rPr>
                        <w:rStyle w:val="A1"/>
                        <w:rFonts w:ascii="Arial" w:hAnsi="Arial" w:cs="Arial"/>
                        <w:sz w:val="20"/>
                        <w:szCs w:val="20"/>
                      </w:rPr>
                      <w:t>@</w:t>
                    </w:r>
                    <w:r w:rsidR="001B0D65" w:rsidRPr="00B77E46">
                      <w:rPr>
                        <w:rStyle w:val="A1"/>
                        <w:rFonts w:ascii="Arial" w:hAnsi="Arial" w:cs="Arial"/>
                        <w:sz w:val="20"/>
                        <w:szCs w:val="20"/>
                      </w:rPr>
                      <w:t>actcoss.org.au</w:t>
                    </w:r>
                  </w:p>
                  <w:p w14:paraId="41447DAC" w14:textId="41A6DB46" w:rsidR="00B50635" w:rsidRPr="00B77E46" w:rsidRDefault="001B0D65" w:rsidP="00B77E46">
                    <w:pPr>
                      <w:pStyle w:val="Pa1"/>
                      <w:spacing w:after="120" w:line="200" w:lineRule="atLeast"/>
                      <w:rPr>
                        <w:rFonts w:ascii="Arial" w:hAnsi="Arial" w:cs="Arial"/>
                        <w:color w:val="211D1E"/>
                        <w:sz w:val="20"/>
                        <w:szCs w:val="20"/>
                      </w:rPr>
                    </w:pPr>
                    <w:r w:rsidRPr="00B77E46">
                      <w:rPr>
                        <w:rStyle w:val="A1"/>
                        <w:rFonts w:ascii="Arial" w:hAnsi="Arial" w:cs="Arial"/>
                        <w:sz w:val="20"/>
                        <w:szCs w:val="20"/>
                      </w:rPr>
                      <w:t>actcoss.org</w:t>
                    </w:r>
                    <w:r w:rsidR="00B50635" w:rsidRPr="00B77E46">
                      <w:rPr>
                        <w:rStyle w:val="A1"/>
                        <w:rFonts w:ascii="Arial" w:hAnsi="Arial" w:cs="Arial"/>
                        <w:sz w:val="20"/>
                        <w:szCs w:val="20"/>
                      </w:rPr>
                      <w:t>.au</w:t>
                    </w:r>
                    <w:r w:rsidR="00B77E46" w:rsidRPr="00B77E46">
                      <w:rPr>
                        <w:rStyle w:val="A1"/>
                        <w:rFonts w:ascii="Arial" w:hAnsi="Arial" w:cs="Arial"/>
                        <w:sz w:val="20"/>
                        <w:szCs w:val="20"/>
                      </w:rPr>
                      <w:br/>
                    </w:r>
                  </w:p>
                </w:txbxContent>
              </v:textbox>
            </v:shape>
          </w:pict>
        </mc:Fallback>
      </mc:AlternateContent>
    </w:r>
    <w:r w:rsidR="008F38A0">
      <w:rPr>
        <w:noProof/>
      </w:rPr>
      <w:drawing>
        <wp:anchor distT="0" distB="0" distL="114300" distR="114300" simplePos="0" relativeHeight="251658242" behindDoc="0" locked="0" layoutInCell="1" allowOverlap="1" wp14:anchorId="31356925" wp14:editId="324A2DAF">
          <wp:simplePos x="0" y="0"/>
          <wp:positionH relativeFrom="column">
            <wp:posOffset>0</wp:posOffset>
          </wp:positionH>
          <wp:positionV relativeFrom="paragraph">
            <wp:posOffset>157480</wp:posOffset>
          </wp:positionV>
          <wp:extent cx="1682750" cy="89408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779" t="13141" r="8942" b="14470"/>
                  <a:stretch/>
                </pic:blipFill>
                <pic:spPr bwMode="auto">
                  <a:xfrm>
                    <a:off x="0" y="0"/>
                    <a:ext cx="1682750" cy="89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F59"/>
    <w:multiLevelType w:val="hybridMultilevel"/>
    <w:tmpl w:val="0450E252"/>
    <w:lvl w:ilvl="0" w:tplc="85CED11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505198"/>
    <w:multiLevelType w:val="multilevel"/>
    <w:tmpl w:val="06BA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401FE"/>
    <w:multiLevelType w:val="multilevel"/>
    <w:tmpl w:val="5B58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71C10"/>
    <w:multiLevelType w:val="multilevel"/>
    <w:tmpl w:val="9FE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E181C"/>
    <w:multiLevelType w:val="hybridMultilevel"/>
    <w:tmpl w:val="D25CD524"/>
    <w:lvl w:ilvl="0" w:tplc="D2B63036">
      <w:numFmt w:val="bullet"/>
      <w:lvlText w:val="-"/>
      <w:lvlJc w:val="left"/>
      <w:pPr>
        <w:ind w:left="720" w:hanging="360"/>
      </w:pPr>
      <w:rPr>
        <w:rFonts w:ascii="Arial" w:eastAsiaTheme="minorEastAsia"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F00523"/>
    <w:multiLevelType w:val="multilevel"/>
    <w:tmpl w:val="8FAE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A375A"/>
    <w:multiLevelType w:val="multilevel"/>
    <w:tmpl w:val="8FDA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8482C"/>
    <w:multiLevelType w:val="hybridMultilevel"/>
    <w:tmpl w:val="CC905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144543">
    <w:abstractNumId w:val="1"/>
  </w:num>
  <w:num w:numId="2" w16cid:durableId="151027209">
    <w:abstractNumId w:val="4"/>
  </w:num>
  <w:num w:numId="3" w16cid:durableId="430394686">
    <w:abstractNumId w:val="0"/>
  </w:num>
  <w:num w:numId="4" w16cid:durableId="982153353">
    <w:abstractNumId w:val="7"/>
  </w:num>
  <w:num w:numId="5" w16cid:durableId="311301655">
    <w:abstractNumId w:val="5"/>
  </w:num>
  <w:num w:numId="6" w16cid:durableId="719520437">
    <w:abstractNumId w:val="6"/>
  </w:num>
  <w:num w:numId="7" w16cid:durableId="1013339479">
    <w:abstractNumId w:val="2"/>
  </w:num>
  <w:num w:numId="8" w16cid:durableId="1779761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35"/>
    <w:rsid w:val="00010A62"/>
    <w:rsid w:val="00020AEA"/>
    <w:rsid w:val="00025D07"/>
    <w:rsid w:val="000300B6"/>
    <w:rsid w:val="00037F81"/>
    <w:rsid w:val="00040E12"/>
    <w:rsid w:val="00051AD9"/>
    <w:rsid w:val="00051E61"/>
    <w:rsid w:val="00056A1D"/>
    <w:rsid w:val="00060269"/>
    <w:rsid w:val="000620C6"/>
    <w:rsid w:val="00062B86"/>
    <w:rsid w:val="0006383F"/>
    <w:rsid w:val="000642B5"/>
    <w:rsid w:val="00064C8B"/>
    <w:rsid w:val="000668DF"/>
    <w:rsid w:val="000674AB"/>
    <w:rsid w:val="00071145"/>
    <w:rsid w:val="00071AE3"/>
    <w:rsid w:val="000722FA"/>
    <w:rsid w:val="0007277C"/>
    <w:rsid w:val="0007283A"/>
    <w:rsid w:val="00081008"/>
    <w:rsid w:val="00085A0A"/>
    <w:rsid w:val="00086A5B"/>
    <w:rsid w:val="00087589"/>
    <w:rsid w:val="00090153"/>
    <w:rsid w:val="00093516"/>
    <w:rsid w:val="00095A6C"/>
    <w:rsid w:val="000A3747"/>
    <w:rsid w:val="000B3C7E"/>
    <w:rsid w:val="000B6674"/>
    <w:rsid w:val="000C12E5"/>
    <w:rsid w:val="000C6E97"/>
    <w:rsid w:val="000D1C16"/>
    <w:rsid w:val="000D3764"/>
    <w:rsid w:val="000E1B25"/>
    <w:rsid w:val="000E1B73"/>
    <w:rsid w:val="000F05A6"/>
    <w:rsid w:val="000F6910"/>
    <w:rsid w:val="00100441"/>
    <w:rsid w:val="001021EA"/>
    <w:rsid w:val="001049C7"/>
    <w:rsid w:val="00115843"/>
    <w:rsid w:val="00120B6D"/>
    <w:rsid w:val="00126FD8"/>
    <w:rsid w:val="001303AA"/>
    <w:rsid w:val="00130D8D"/>
    <w:rsid w:val="00133A5E"/>
    <w:rsid w:val="0013705F"/>
    <w:rsid w:val="00141C76"/>
    <w:rsid w:val="001428EB"/>
    <w:rsid w:val="00145B57"/>
    <w:rsid w:val="0015408D"/>
    <w:rsid w:val="00155D22"/>
    <w:rsid w:val="00156288"/>
    <w:rsid w:val="00157115"/>
    <w:rsid w:val="00163114"/>
    <w:rsid w:val="00164A79"/>
    <w:rsid w:val="00165059"/>
    <w:rsid w:val="001663F2"/>
    <w:rsid w:val="00170AF5"/>
    <w:rsid w:val="00184D79"/>
    <w:rsid w:val="001860FF"/>
    <w:rsid w:val="00190B4B"/>
    <w:rsid w:val="0019423F"/>
    <w:rsid w:val="00196731"/>
    <w:rsid w:val="001978E2"/>
    <w:rsid w:val="001A2C79"/>
    <w:rsid w:val="001A306D"/>
    <w:rsid w:val="001B0D65"/>
    <w:rsid w:val="001B1BB7"/>
    <w:rsid w:val="001B3497"/>
    <w:rsid w:val="001C22CF"/>
    <w:rsid w:val="001C6454"/>
    <w:rsid w:val="001D38E7"/>
    <w:rsid w:val="001E04CB"/>
    <w:rsid w:val="001E4A88"/>
    <w:rsid w:val="001E5209"/>
    <w:rsid w:val="001E6248"/>
    <w:rsid w:val="001E7903"/>
    <w:rsid w:val="00200C74"/>
    <w:rsid w:val="0020356F"/>
    <w:rsid w:val="00204B0C"/>
    <w:rsid w:val="0020739B"/>
    <w:rsid w:val="0021657D"/>
    <w:rsid w:val="00221CE4"/>
    <w:rsid w:val="00223759"/>
    <w:rsid w:val="00224D28"/>
    <w:rsid w:val="00226481"/>
    <w:rsid w:val="00227CBC"/>
    <w:rsid w:val="002316AE"/>
    <w:rsid w:val="002375F6"/>
    <w:rsid w:val="002419D9"/>
    <w:rsid w:val="00244AF4"/>
    <w:rsid w:val="002554B3"/>
    <w:rsid w:val="0026113E"/>
    <w:rsid w:val="002634A7"/>
    <w:rsid w:val="00264C23"/>
    <w:rsid w:val="00265DE4"/>
    <w:rsid w:val="00266EF4"/>
    <w:rsid w:val="00267BC7"/>
    <w:rsid w:val="002720D8"/>
    <w:rsid w:val="00283A1B"/>
    <w:rsid w:val="00291BE1"/>
    <w:rsid w:val="0029459A"/>
    <w:rsid w:val="002A209F"/>
    <w:rsid w:val="002A303A"/>
    <w:rsid w:val="002A5005"/>
    <w:rsid w:val="002B7478"/>
    <w:rsid w:val="002D38E1"/>
    <w:rsid w:val="002D7B18"/>
    <w:rsid w:val="002E31EF"/>
    <w:rsid w:val="002E56E8"/>
    <w:rsid w:val="002F373F"/>
    <w:rsid w:val="002F508B"/>
    <w:rsid w:val="002F6910"/>
    <w:rsid w:val="002F6F2E"/>
    <w:rsid w:val="003008A7"/>
    <w:rsid w:val="003037D1"/>
    <w:rsid w:val="003060B4"/>
    <w:rsid w:val="00312E68"/>
    <w:rsid w:val="0031525B"/>
    <w:rsid w:val="003161F5"/>
    <w:rsid w:val="00324C1B"/>
    <w:rsid w:val="00326AF6"/>
    <w:rsid w:val="003309E7"/>
    <w:rsid w:val="00332ACC"/>
    <w:rsid w:val="00336BC7"/>
    <w:rsid w:val="0034689D"/>
    <w:rsid w:val="00347B43"/>
    <w:rsid w:val="00354C8F"/>
    <w:rsid w:val="003631EC"/>
    <w:rsid w:val="00363371"/>
    <w:rsid w:val="00367071"/>
    <w:rsid w:val="00377A48"/>
    <w:rsid w:val="00380C4C"/>
    <w:rsid w:val="00380EED"/>
    <w:rsid w:val="00386C4C"/>
    <w:rsid w:val="0039722A"/>
    <w:rsid w:val="003A6FA1"/>
    <w:rsid w:val="003B36C3"/>
    <w:rsid w:val="003C10AD"/>
    <w:rsid w:val="003C6AEA"/>
    <w:rsid w:val="003D13CD"/>
    <w:rsid w:val="003D1D15"/>
    <w:rsid w:val="003D1DD5"/>
    <w:rsid w:val="003D2A99"/>
    <w:rsid w:val="003D461F"/>
    <w:rsid w:val="003E03A8"/>
    <w:rsid w:val="003E5254"/>
    <w:rsid w:val="003F21DC"/>
    <w:rsid w:val="003F54B8"/>
    <w:rsid w:val="003F5530"/>
    <w:rsid w:val="003F6B7B"/>
    <w:rsid w:val="00411A4F"/>
    <w:rsid w:val="00413078"/>
    <w:rsid w:val="004131EA"/>
    <w:rsid w:val="00413B7A"/>
    <w:rsid w:val="004153C5"/>
    <w:rsid w:val="00417440"/>
    <w:rsid w:val="004179B1"/>
    <w:rsid w:val="00421C38"/>
    <w:rsid w:val="00425D4E"/>
    <w:rsid w:val="004306A9"/>
    <w:rsid w:val="00445AE7"/>
    <w:rsid w:val="00451F20"/>
    <w:rsid w:val="0046067A"/>
    <w:rsid w:val="00461460"/>
    <w:rsid w:val="00465760"/>
    <w:rsid w:val="00473AB5"/>
    <w:rsid w:val="00481A14"/>
    <w:rsid w:val="004821FD"/>
    <w:rsid w:val="00483A74"/>
    <w:rsid w:val="00484390"/>
    <w:rsid w:val="00485371"/>
    <w:rsid w:val="0048677C"/>
    <w:rsid w:val="00492BBC"/>
    <w:rsid w:val="004A1790"/>
    <w:rsid w:val="004A409A"/>
    <w:rsid w:val="004A5527"/>
    <w:rsid w:val="004A59E3"/>
    <w:rsid w:val="004A69BE"/>
    <w:rsid w:val="004B1BCD"/>
    <w:rsid w:val="004C17CF"/>
    <w:rsid w:val="004C26E8"/>
    <w:rsid w:val="004C3A5C"/>
    <w:rsid w:val="004C52B2"/>
    <w:rsid w:val="004C7C31"/>
    <w:rsid w:val="004D3D3D"/>
    <w:rsid w:val="004D3D88"/>
    <w:rsid w:val="004E214E"/>
    <w:rsid w:val="004E3007"/>
    <w:rsid w:val="004E6FD7"/>
    <w:rsid w:val="004F15D4"/>
    <w:rsid w:val="004F4F29"/>
    <w:rsid w:val="004F692A"/>
    <w:rsid w:val="004F6A4B"/>
    <w:rsid w:val="0050262E"/>
    <w:rsid w:val="00503779"/>
    <w:rsid w:val="005038C7"/>
    <w:rsid w:val="00503F06"/>
    <w:rsid w:val="00505EA9"/>
    <w:rsid w:val="00506527"/>
    <w:rsid w:val="005102E1"/>
    <w:rsid w:val="005106D7"/>
    <w:rsid w:val="00511847"/>
    <w:rsid w:val="00516361"/>
    <w:rsid w:val="00517A02"/>
    <w:rsid w:val="00523B37"/>
    <w:rsid w:val="00526DE6"/>
    <w:rsid w:val="00532115"/>
    <w:rsid w:val="00533EAD"/>
    <w:rsid w:val="00534D44"/>
    <w:rsid w:val="00547C1B"/>
    <w:rsid w:val="005506E0"/>
    <w:rsid w:val="00555A88"/>
    <w:rsid w:val="00557E87"/>
    <w:rsid w:val="00563E2B"/>
    <w:rsid w:val="0056479F"/>
    <w:rsid w:val="005670FC"/>
    <w:rsid w:val="005679F5"/>
    <w:rsid w:val="0057355C"/>
    <w:rsid w:val="00592160"/>
    <w:rsid w:val="005929D6"/>
    <w:rsid w:val="00596476"/>
    <w:rsid w:val="00596AE0"/>
    <w:rsid w:val="005976BC"/>
    <w:rsid w:val="00597CD0"/>
    <w:rsid w:val="005A7269"/>
    <w:rsid w:val="005B2C13"/>
    <w:rsid w:val="005B39BA"/>
    <w:rsid w:val="005B3C44"/>
    <w:rsid w:val="005B47B7"/>
    <w:rsid w:val="005C1535"/>
    <w:rsid w:val="005C3884"/>
    <w:rsid w:val="005D09C7"/>
    <w:rsid w:val="005D59FD"/>
    <w:rsid w:val="005E015C"/>
    <w:rsid w:val="005E3382"/>
    <w:rsid w:val="005E5F36"/>
    <w:rsid w:val="005E65A8"/>
    <w:rsid w:val="005E7E6D"/>
    <w:rsid w:val="005F35D3"/>
    <w:rsid w:val="006037EF"/>
    <w:rsid w:val="0061408F"/>
    <w:rsid w:val="006140B1"/>
    <w:rsid w:val="00620953"/>
    <w:rsid w:val="00621E13"/>
    <w:rsid w:val="00622844"/>
    <w:rsid w:val="00623320"/>
    <w:rsid w:val="00630731"/>
    <w:rsid w:val="006327F1"/>
    <w:rsid w:val="00636EB4"/>
    <w:rsid w:val="0064190A"/>
    <w:rsid w:val="00641996"/>
    <w:rsid w:val="00646495"/>
    <w:rsid w:val="006523C5"/>
    <w:rsid w:val="006607A1"/>
    <w:rsid w:val="0066148D"/>
    <w:rsid w:val="00664EB3"/>
    <w:rsid w:val="00675904"/>
    <w:rsid w:val="00675D51"/>
    <w:rsid w:val="006802FD"/>
    <w:rsid w:val="0068083A"/>
    <w:rsid w:val="00682F62"/>
    <w:rsid w:val="00691750"/>
    <w:rsid w:val="00691814"/>
    <w:rsid w:val="00694451"/>
    <w:rsid w:val="006A034C"/>
    <w:rsid w:val="006A2E36"/>
    <w:rsid w:val="006A2E56"/>
    <w:rsid w:val="006A3EA9"/>
    <w:rsid w:val="006A5980"/>
    <w:rsid w:val="006A75F7"/>
    <w:rsid w:val="006B2220"/>
    <w:rsid w:val="006B791A"/>
    <w:rsid w:val="006C26D1"/>
    <w:rsid w:val="006C6438"/>
    <w:rsid w:val="006C6607"/>
    <w:rsid w:val="006C6AEA"/>
    <w:rsid w:val="006D054F"/>
    <w:rsid w:val="006D2A66"/>
    <w:rsid w:val="006E757E"/>
    <w:rsid w:val="006E7700"/>
    <w:rsid w:val="006F30A2"/>
    <w:rsid w:val="00701219"/>
    <w:rsid w:val="007019DC"/>
    <w:rsid w:val="00702D0E"/>
    <w:rsid w:val="00704371"/>
    <w:rsid w:val="007046A4"/>
    <w:rsid w:val="007046AE"/>
    <w:rsid w:val="00710E8C"/>
    <w:rsid w:val="007153B4"/>
    <w:rsid w:val="00734194"/>
    <w:rsid w:val="007352D8"/>
    <w:rsid w:val="00745759"/>
    <w:rsid w:val="00746C46"/>
    <w:rsid w:val="00751EF0"/>
    <w:rsid w:val="007545CE"/>
    <w:rsid w:val="00755E3F"/>
    <w:rsid w:val="0075793D"/>
    <w:rsid w:val="00761698"/>
    <w:rsid w:val="0076247D"/>
    <w:rsid w:val="00762D3B"/>
    <w:rsid w:val="00763153"/>
    <w:rsid w:val="00766443"/>
    <w:rsid w:val="00767D12"/>
    <w:rsid w:val="00770181"/>
    <w:rsid w:val="00771095"/>
    <w:rsid w:val="0077158B"/>
    <w:rsid w:val="007716DB"/>
    <w:rsid w:val="007767A0"/>
    <w:rsid w:val="00777530"/>
    <w:rsid w:val="00777C2C"/>
    <w:rsid w:val="0078070E"/>
    <w:rsid w:val="00784337"/>
    <w:rsid w:val="00792471"/>
    <w:rsid w:val="00792A35"/>
    <w:rsid w:val="00793CE2"/>
    <w:rsid w:val="0079752E"/>
    <w:rsid w:val="007A4846"/>
    <w:rsid w:val="007B0242"/>
    <w:rsid w:val="007B35B6"/>
    <w:rsid w:val="007B3810"/>
    <w:rsid w:val="007B6F2E"/>
    <w:rsid w:val="007B7472"/>
    <w:rsid w:val="007C3EC1"/>
    <w:rsid w:val="007C6500"/>
    <w:rsid w:val="007C7C97"/>
    <w:rsid w:val="007D23BD"/>
    <w:rsid w:val="007D27D1"/>
    <w:rsid w:val="007D296B"/>
    <w:rsid w:val="007D3EE3"/>
    <w:rsid w:val="007D4770"/>
    <w:rsid w:val="007D746A"/>
    <w:rsid w:val="007E0E27"/>
    <w:rsid w:val="007E30CE"/>
    <w:rsid w:val="0080087A"/>
    <w:rsid w:val="00806D9C"/>
    <w:rsid w:val="008124D9"/>
    <w:rsid w:val="008148CE"/>
    <w:rsid w:val="00816204"/>
    <w:rsid w:val="008304D4"/>
    <w:rsid w:val="00831985"/>
    <w:rsid w:val="00831CA9"/>
    <w:rsid w:val="00844EE6"/>
    <w:rsid w:val="0085590A"/>
    <w:rsid w:val="00857032"/>
    <w:rsid w:val="00857847"/>
    <w:rsid w:val="008612F8"/>
    <w:rsid w:val="00862FD0"/>
    <w:rsid w:val="00865408"/>
    <w:rsid w:val="00866DBB"/>
    <w:rsid w:val="00873992"/>
    <w:rsid w:val="008747F0"/>
    <w:rsid w:val="00874C78"/>
    <w:rsid w:val="00875B9B"/>
    <w:rsid w:val="00883E67"/>
    <w:rsid w:val="0088480D"/>
    <w:rsid w:val="0089105B"/>
    <w:rsid w:val="00892210"/>
    <w:rsid w:val="008950E4"/>
    <w:rsid w:val="008A00EA"/>
    <w:rsid w:val="008A0D7F"/>
    <w:rsid w:val="008A285C"/>
    <w:rsid w:val="008A3AB0"/>
    <w:rsid w:val="008B3CFD"/>
    <w:rsid w:val="008B6536"/>
    <w:rsid w:val="008B72DF"/>
    <w:rsid w:val="008C1999"/>
    <w:rsid w:val="008C77A1"/>
    <w:rsid w:val="008D1709"/>
    <w:rsid w:val="008D2971"/>
    <w:rsid w:val="008D2AEE"/>
    <w:rsid w:val="008D42D7"/>
    <w:rsid w:val="008D7D1F"/>
    <w:rsid w:val="008E0551"/>
    <w:rsid w:val="008E362E"/>
    <w:rsid w:val="008F38A0"/>
    <w:rsid w:val="008F4338"/>
    <w:rsid w:val="008F4FC0"/>
    <w:rsid w:val="008F6FF8"/>
    <w:rsid w:val="008F7624"/>
    <w:rsid w:val="008F7FF1"/>
    <w:rsid w:val="009014BF"/>
    <w:rsid w:val="00904029"/>
    <w:rsid w:val="00904B7D"/>
    <w:rsid w:val="00911192"/>
    <w:rsid w:val="0091163A"/>
    <w:rsid w:val="009148A1"/>
    <w:rsid w:val="009322DF"/>
    <w:rsid w:val="00936D62"/>
    <w:rsid w:val="00941A47"/>
    <w:rsid w:val="00941F80"/>
    <w:rsid w:val="00947767"/>
    <w:rsid w:val="009618E0"/>
    <w:rsid w:val="00972D12"/>
    <w:rsid w:val="009748BB"/>
    <w:rsid w:val="009778B5"/>
    <w:rsid w:val="00977C61"/>
    <w:rsid w:val="00982625"/>
    <w:rsid w:val="009829D4"/>
    <w:rsid w:val="00983B7F"/>
    <w:rsid w:val="009A5C14"/>
    <w:rsid w:val="009A7817"/>
    <w:rsid w:val="009B07B0"/>
    <w:rsid w:val="009B07FA"/>
    <w:rsid w:val="009B2411"/>
    <w:rsid w:val="009B653B"/>
    <w:rsid w:val="009C192C"/>
    <w:rsid w:val="009C35C1"/>
    <w:rsid w:val="009C3A1F"/>
    <w:rsid w:val="009C65D2"/>
    <w:rsid w:val="009D0929"/>
    <w:rsid w:val="009D1052"/>
    <w:rsid w:val="009D43A8"/>
    <w:rsid w:val="009D59BF"/>
    <w:rsid w:val="009E636B"/>
    <w:rsid w:val="009F3AC6"/>
    <w:rsid w:val="00A00BBC"/>
    <w:rsid w:val="00A131F7"/>
    <w:rsid w:val="00A23504"/>
    <w:rsid w:val="00A305BE"/>
    <w:rsid w:val="00A35A31"/>
    <w:rsid w:val="00A368DE"/>
    <w:rsid w:val="00A406E5"/>
    <w:rsid w:val="00A42E49"/>
    <w:rsid w:val="00A45874"/>
    <w:rsid w:val="00A47225"/>
    <w:rsid w:val="00A57B53"/>
    <w:rsid w:val="00A60332"/>
    <w:rsid w:val="00A63817"/>
    <w:rsid w:val="00A643F1"/>
    <w:rsid w:val="00A71F99"/>
    <w:rsid w:val="00A762F7"/>
    <w:rsid w:val="00A84D92"/>
    <w:rsid w:val="00A91A3C"/>
    <w:rsid w:val="00A923FF"/>
    <w:rsid w:val="00A92E29"/>
    <w:rsid w:val="00AA19C5"/>
    <w:rsid w:val="00AA2D1A"/>
    <w:rsid w:val="00AA58D8"/>
    <w:rsid w:val="00AA65D4"/>
    <w:rsid w:val="00AA665F"/>
    <w:rsid w:val="00AA75FA"/>
    <w:rsid w:val="00AB041F"/>
    <w:rsid w:val="00AB086C"/>
    <w:rsid w:val="00AC0FBE"/>
    <w:rsid w:val="00AC18A3"/>
    <w:rsid w:val="00AC702D"/>
    <w:rsid w:val="00AC74C0"/>
    <w:rsid w:val="00AD235E"/>
    <w:rsid w:val="00AD2BFF"/>
    <w:rsid w:val="00AD6325"/>
    <w:rsid w:val="00AF0BAB"/>
    <w:rsid w:val="00AF4EAD"/>
    <w:rsid w:val="00AF623B"/>
    <w:rsid w:val="00AF7E97"/>
    <w:rsid w:val="00B000E2"/>
    <w:rsid w:val="00B00245"/>
    <w:rsid w:val="00B02121"/>
    <w:rsid w:val="00B03FED"/>
    <w:rsid w:val="00B22ACE"/>
    <w:rsid w:val="00B24A92"/>
    <w:rsid w:val="00B25EAD"/>
    <w:rsid w:val="00B26AC1"/>
    <w:rsid w:val="00B26F09"/>
    <w:rsid w:val="00B3308C"/>
    <w:rsid w:val="00B34B75"/>
    <w:rsid w:val="00B35B9A"/>
    <w:rsid w:val="00B41127"/>
    <w:rsid w:val="00B465FD"/>
    <w:rsid w:val="00B504E2"/>
    <w:rsid w:val="00B50635"/>
    <w:rsid w:val="00B521E1"/>
    <w:rsid w:val="00B7711E"/>
    <w:rsid w:val="00B77E46"/>
    <w:rsid w:val="00B836C3"/>
    <w:rsid w:val="00B8485F"/>
    <w:rsid w:val="00B87FBB"/>
    <w:rsid w:val="00B90063"/>
    <w:rsid w:val="00B950DA"/>
    <w:rsid w:val="00B95653"/>
    <w:rsid w:val="00BA4DC6"/>
    <w:rsid w:val="00BA5A8D"/>
    <w:rsid w:val="00BA7CE9"/>
    <w:rsid w:val="00BB2ADA"/>
    <w:rsid w:val="00BB64D6"/>
    <w:rsid w:val="00BB7D2D"/>
    <w:rsid w:val="00BC36A3"/>
    <w:rsid w:val="00BC6390"/>
    <w:rsid w:val="00BC6CBE"/>
    <w:rsid w:val="00BC715A"/>
    <w:rsid w:val="00BD1ECD"/>
    <w:rsid w:val="00BD20B3"/>
    <w:rsid w:val="00BD7405"/>
    <w:rsid w:val="00BE767E"/>
    <w:rsid w:val="00BF120D"/>
    <w:rsid w:val="00BF1BFF"/>
    <w:rsid w:val="00BF2037"/>
    <w:rsid w:val="00BF62E8"/>
    <w:rsid w:val="00C05F24"/>
    <w:rsid w:val="00C065A5"/>
    <w:rsid w:val="00C06754"/>
    <w:rsid w:val="00C07868"/>
    <w:rsid w:val="00C07D7B"/>
    <w:rsid w:val="00C204F9"/>
    <w:rsid w:val="00C228C6"/>
    <w:rsid w:val="00C23763"/>
    <w:rsid w:val="00C23FAA"/>
    <w:rsid w:val="00C25FE1"/>
    <w:rsid w:val="00C26ED7"/>
    <w:rsid w:val="00C273C9"/>
    <w:rsid w:val="00C40C56"/>
    <w:rsid w:val="00C57FDC"/>
    <w:rsid w:val="00C64DD1"/>
    <w:rsid w:val="00C6643C"/>
    <w:rsid w:val="00C6788B"/>
    <w:rsid w:val="00C7159A"/>
    <w:rsid w:val="00C73B42"/>
    <w:rsid w:val="00C74CD7"/>
    <w:rsid w:val="00C80493"/>
    <w:rsid w:val="00C87F16"/>
    <w:rsid w:val="00C90118"/>
    <w:rsid w:val="00C97766"/>
    <w:rsid w:val="00CA3BD0"/>
    <w:rsid w:val="00CA6B53"/>
    <w:rsid w:val="00CB2411"/>
    <w:rsid w:val="00CB6C5F"/>
    <w:rsid w:val="00CB6F43"/>
    <w:rsid w:val="00CC14BE"/>
    <w:rsid w:val="00CC1D90"/>
    <w:rsid w:val="00CC4F52"/>
    <w:rsid w:val="00CC78C3"/>
    <w:rsid w:val="00CD1CEF"/>
    <w:rsid w:val="00CD2AFF"/>
    <w:rsid w:val="00CD4B44"/>
    <w:rsid w:val="00CD572B"/>
    <w:rsid w:val="00CD5EED"/>
    <w:rsid w:val="00CE7D23"/>
    <w:rsid w:val="00CF055A"/>
    <w:rsid w:val="00CF1DAE"/>
    <w:rsid w:val="00CF23FA"/>
    <w:rsid w:val="00CF6F1B"/>
    <w:rsid w:val="00D01800"/>
    <w:rsid w:val="00D03466"/>
    <w:rsid w:val="00D04E20"/>
    <w:rsid w:val="00D137C8"/>
    <w:rsid w:val="00D13F59"/>
    <w:rsid w:val="00D20490"/>
    <w:rsid w:val="00D2217A"/>
    <w:rsid w:val="00D256E1"/>
    <w:rsid w:val="00D358B6"/>
    <w:rsid w:val="00D36996"/>
    <w:rsid w:val="00D41D75"/>
    <w:rsid w:val="00D44422"/>
    <w:rsid w:val="00D44E20"/>
    <w:rsid w:val="00D453F4"/>
    <w:rsid w:val="00D478EE"/>
    <w:rsid w:val="00D526C3"/>
    <w:rsid w:val="00D565D1"/>
    <w:rsid w:val="00D72CC5"/>
    <w:rsid w:val="00D72E56"/>
    <w:rsid w:val="00D73962"/>
    <w:rsid w:val="00D74FDE"/>
    <w:rsid w:val="00D7647D"/>
    <w:rsid w:val="00D93BA4"/>
    <w:rsid w:val="00D94890"/>
    <w:rsid w:val="00D96032"/>
    <w:rsid w:val="00D96786"/>
    <w:rsid w:val="00D97C74"/>
    <w:rsid w:val="00DA12C1"/>
    <w:rsid w:val="00DA3ADE"/>
    <w:rsid w:val="00DA6145"/>
    <w:rsid w:val="00DB0337"/>
    <w:rsid w:val="00DB1EF0"/>
    <w:rsid w:val="00DB4BEC"/>
    <w:rsid w:val="00DB60A3"/>
    <w:rsid w:val="00DB6308"/>
    <w:rsid w:val="00DC2AC0"/>
    <w:rsid w:val="00DC3B3C"/>
    <w:rsid w:val="00DC64EE"/>
    <w:rsid w:val="00DC707B"/>
    <w:rsid w:val="00DC7164"/>
    <w:rsid w:val="00DC7E73"/>
    <w:rsid w:val="00DD3295"/>
    <w:rsid w:val="00DD6308"/>
    <w:rsid w:val="00DD764C"/>
    <w:rsid w:val="00DE17E0"/>
    <w:rsid w:val="00DE7A9F"/>
    <w:rsid w:val="00DF226C"/>
    <w:rsid w:val="00DF3D18"/>
    <w:rsid w:val="00DF6897"/>
    <w:rsid w:val="00DF6DE1"/>
    <w:rsid w:val="00DF70C9"/>
    <w:rsid w:val="00E04219"/>
    <w:rsid w:val="00E057A2"/>
    <w:rsid w:val="00E14E28"/>
    <w:rsid w:val="00E218FE"/>
    <w:rsid w:val="00E21C46"/>
    <w:rsid w:val="00E221F5"/>
    <w:rsid w:val="00E222B5"/>
    <w:rsid w:val="00E2413C"/>
    <w:rsid w:val="00E30025"/>
    <w:rsid w:val="00E309EA"/>
    <w:rsid w:val="00E31BE7"/>
    <w:rsid w:val="00E358E1"/>
    <w:rsid w:val="00E35FF3"/>
    <w:rsid w:val="00E37689"/>
    <w:rsid w:val="00E45322"/>
    <w:rsid w:val="00E46324"/>
    <w:rsid w:val="00E46764"/>
    <w:rsid w:val="00E501F4"/>
    <w:rsid w:val="00E56DB9"/>
    <w:rsid w:val="00E56F7B"/>
    <w:rsid w:val="00E57968"/>
    <w:rsid w:val="00E60124"/>
    <w:rsid w:val="00E65757"/>
    <w:rsid w:val="00E67F54"/>
    <w:rsid w:val="00E713D1"/>
    <w:rsid w:val="00E72F33"/>
    <w:rsid w:val="00E731B8"/>
    <w:rsid w:val="00E77DC4"/>
    <w:rsid w:val="00E81443"/>
    <w:rsid w:val="00E820CF"/>
    <w:rsid w:val="00E83FE4"/>
    <w:rsid w:val="00E85D9A"/>
    <w:rsid w:val="00E86B15"/>
    <w:rsid w:val="00E87318"/>
    <w:rsid w:val="00E87BE4"/>
    <w:rsid w:val="00E91725"/>
    <w:rsid w:val="00E91FF5"/>
    <w:rsid w:val="00E928E1"/>
    <w:rsid w:val="00E92BE4"/>
    <w:rsid w:val="00E93B90"/>
    <w:rsid w:val="00E956F5"/>
    <w:rsid w:val="00EA15EC"/>
    <w:rsid w:val="00EA37B8"/>
    <w:rsid w:val="00EA5834"/>
    <w:rsid w:val="00EA621A"/>
    <w:rsid w:val="00EB037C"/>
    <w:rsid w:val="00EB0D59"/>
    <w:rsid w:val="00EB2508"/>
    <w:rsid w:val="00EB657A"/>
    <w:rsid w:val="00EC33BC"/>
    <w:rsid w:val="00EC70EF"/>
    <w:rsid w:val="00ED0898"/>
    <w:rsid w:val="00ED2659"/>
    <w:rsid w:val="00ED5B27"/>
    <w:rsid w:val="00EE0BE6"/>
    <w:rsid w:val="00EE3C77"/>
    <w:rsid w:val="00EE7317"/>
    <w:rsid w:val="00EF7D3F"/>
    <w:rsid w:val="00EF7F07"/>
    <w:rsid w:val="00F018FF"/>
    <w:rsid w:val="00F02F4F"/>
    <w:rsid w:val="00F0320D"/>
    <w:rsid w:val="00F04828"/>
    <w:rsid w:val="00F050D0"/>
    <w:rsid w:val="00F127FD"/>
    <w:rsid w:val="00F1344E"/>
    <w:rsid w:val="00F170F4"/>
    <w:rsid w:val="00F33CBC"/>
    <w:rsid w:val="00F365C2"/>
    <w:rsid w:val="00F37111"/>
    <w:rsid w:val="00F468AB"/>
    <w:rsid w:val="00F50AF5"/>
    <w:rsid w:val="00F50D36"/>
    <w:rsid w:val="00F50DE6"/>
    <w:rsid w:val="00F522EF"/>
    <w:rsid w:val="00F52351"/>
    <w:rsid w:val="00F6191E"/>
    <w:rsid w:val="00F61958"/>
    <w:rsid w:val="00F6705C"/>
    <w:rsid w:val="00F670C7"/>
    <w:rsid w:val="00F70B37"/>
    <w:rsid w:val="00F712B8"/>
    <w:rsid w:val="00F71D45"/>
    <w:rsid w:val="00F747FB"/>
    <w:rsid w:val="00F75DDE"/>
    <w:rsid w:val="00F75E65"/>
    <w:rsid w:val="00F84A35"/>
    <w:rsid w:val="00F87522"/>
    <w:rsid w:val="00F90243"/>
    <w:rsid w:val="00F9543D"/>
    <w:rsid w:val="00F96A3D"/>
    <w:rsid w:val="00FA0848"/>
    <w:rsid w:val="00FA2F60"/>
    <w:rsid w:val="00FA4614"/>
    <w:rsid w:val="00FA47D9"/>
    <w:rsid w:val="00FA6468"/>
    <w:rsid w:val="00FB04E8"/>
    <w:rsid w:val="00FB233E"/>
    <w:rsid w:val="00FB46E0"/>
    <w:rsid w:val="00FB48F9"/>
    <w:rsid w:val="00FC6906"/>
    <w:rsid w:val="00FD0300"/>
    <w:rsid w:val="00FD6D5D"/>
    <w:rsid w:val="00FE1A54"/>
    <w:rsid w:val="00FE3839"/>
    <w:rsid w:val="00FE4F9A"/>
    <w:rsid w:val="00FE659B"/>
    <w:rsid w:val="00FE680A"/>
    <w:rsid w:val="00FE7D68"/>
    <w:rsid w:val="020C9C0C"/>
    <w:rsid w:val="0491F072"/>
    <w:rsid w:val="06E3F900"/>
    <w:rsid w:val="0A17D019"/>
    <w:rsid w:val="0A9B9361"/>
    <w:rsid w:val="110F7254"/>
    <w:rsid w:val="14BB59FC"/>
    <w:rsid w:val="1928DA0F"/>
    <w:rsid w:val="234F088F"/>
    <w:rsid w:val="26B6470B"/>
    <w:rsid w:val="3110D56F"/>
    <w:rsid w:val="317B06FA"/>
    <w:rsid w:val="31EB5126"/>
    <w:rsid w:val="32EE1ACE"/>
    <w:rsid w:val="518F4CF9"/>
    <w:rsid w:val="5C6264F7"/>
    <w:rsid w:val="64645308"/>
    <w:rsid w:val="68EF2FCF"/>
    <w:rsid w:val="6EB239EE"/>
    <w:rsid w:val="6ECBCF59"/>
    <w:rsid w:val="77135D4F"/>
    <w:rsid w:val="78F2A18E"/>
    <w:rsid w:val="792877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2870"/>
  <w15:chartTrackingRefBased/>
  <w15:docId w15:val="{62EBDCA0-4117-48EB-B6E9-62658453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44"/>
    <w:pPr>
      <w:spacing w:after="200" w:line="276" w:lineRule="auto"/>
    </w:pPr>
    <w:rPr>
      <w:rFonts w:eastAsiaTheme="minorEastAsia" w:cstheme="minorBidi"/>
      <w:color w:val="000000" w:themeColor="text1"/>
      <w:sz w:val="20"/>
      <w:lang w:eastAsia="en-GB"/>
    </w:rPr>
  </w:style>
  <w:style w:type="paragraph" w:styleId="Heading1">
    <w:name w:val="heading 1"/>
    <w:basedOn w:val="Normal"/>
    <w:next w:val="Normal"/>
    <w:link w:val="Heading1Char"/>
    <w:uiPriority w:val="9"/>
    <w:qFormat/>
    <w:rsid w:val="00A00B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308"/>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635"/>
    <w:rPr>
      <w:rFonts w:eastAsiaTheme="minorEastAsia" w:cstheme="minorBidi"/>
      <w:color w:val="000000" w:themeColor="text1"/>
      <w:sz w:val="20"/>
      <w:lang w:eastAsia="en-GB"/>
    </w:rPr>
  </w:style>
  <w:style w:type="paragraph" w:styleId="Footer">
    <w:name w:val="footer"/>
    <w:basedOn w:val="Normal"/>
    <w:link w:val="FooterChar"/>
    <w:uiPriority w:val="99"/>
    <w:unhideWhenUsed/>
    <w:rsid w:val="00B50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635"/>
    <w:rPr>
      <w:rFonts w:eastAsiaTheme="minorEastAsia" w:cstheme="minorBidi"/>
      <w:color w:val="000000" w:themeColor="text1"/>
      <w:sz w:val="20"/>
      <w:lang w:eastAsia="en-GB"/>
    </w:rPr>
  </w:style>
  <w:style w:type="paragraph" w:customStyle="1" w:styleId="Pa1">
    <w:name w:val="Pa1"/>
    <w:basedOn w:val="Normal"/>
    <w:next w:val="Normal"/>
    <w:uiPriority w:val="99"/>
    <w:rsid w:val="00B50635"/>
    <w:pPr>
      <w:autoSpaceDE w:val="0"/>
      <w:autoSpaceDN w:val="0"/>
      <w:adjustRightInd w:val="0"/>
      <w:spacing w:after="0" w:line="241" w:lineRule="atLeast"/>
    </w:pPr>
    <w:rPr>
      <w:rFonts w:ascii="Inter" w:eastAsiaTheme="minorHAnsi" w:hAnsi="Inter"/>
      <w:color w:val="auto"/>
      <w:sz w:val="24"/>
      <w:lang w:val="en-GB" w:eastAsia="en-US"/>
    </w:rPr>
  </w:style>
  <w:style w:type="character" w:customStyle="1" w:styleId="A1">
    <w:name w:val="A1"/>
    <w:uiPriority w:val="99"/>
    <w:rsid w:val="00B50635"/>
    <w:rPr>
      <w:rFonts w:cs="Inter"/>
      <w:color w:val="211D1E"/>
      <w:sz w:val="17"/>
      <w:szCs w:val="17"/>
    </w:rPr>
  </w:style>
  <w:style w:type="character" w:styleId="PageNumber">
    <w:name w:val="page number"/>
    <w:basedOn w:val="DefaultParagraphFont"/>
    <w:uiPriority w:val="99"/>
    <w:semiHidden/>
    <w:unhideWhenUsed/>
    <w:rsid w:val="00B77E46"/>
  </w:style>
  <w:style w:type="character" w:styleId="Hyperlink">
    <w:name w:val="Hyperlink"/>
    <w:basedOn w:val="DefaultParagraphFont"/>
    <w:uiPriority w:val="99"/>
    <w:unhideWhenUsed/>
    <w:rsid w:val="00461460"/>
    <w:rPr>
      <w:color w:val="0563C1" w:themeColor="hyperlink"/>
      <w:u w:val="single"/>
    </w:rPr>
  </w:style>
  <w:style w:type="character" w:styleId="UnresolvedMention">
    <w:name w:val="Unresolved Mention"/>
    <w:basedOn w:val="DefaultParagraphFont"/>
    <w:uiPriority w:val="99"/>
    <w:semiHidden/>
    <w:unhideWhenUsed/>
    <w:rsid w:val="00461460"/>
    <w:rPr>
      <w:color w:val="605E5C"/>
      <w:shd w:val="clear" w:color="auto" w:fill="E1DFDD"/>
    </w:rPr>
  </w:style>
  <w:style w:type="character" w:customStyle="1" w:styleId="Heading1Char">
    <w:name w:val="Heading 1 Char"/>
    <w:basedOn w:val="DefaultParagraphFont"/>
    <w:link w:val="Heading1"/>
    <w:uiPriority w:val="9"/>
    <w:rsid w:val="00A00BBC"/>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B836C3"/>
    <w:pPr>
      <w:ind w:left="720"/>
      <w:contextualSpacing/>
    </w:pPr>
  </w:style>
  <w:style w:type="character" w:customStyle="1" w:styleId="Heading3Char">
    <w:name w:val="Heading 3 Char"/>
    <w:basedOn w:val="DefaultParagraphFont"/>
    <w:link w:val="Heading3"/>
    <w:uiPriority w:val="9"/>
    <w:semiHidden/>
    <w:rsid w:val="00DB6308"/>
    <w:rPr>
      <w:rFonts w:asciiTheme="majorHAnsi" w:eastAsiaTheme="majorEastAsia" w:hAnsiTheme="majorHAnsi" w:cstheme="majorBidi"/>
      <w:color w:val="1F3763" w:themeColor="accent1" w:themeShade="7F"/>
      <w:lang w:eastAsia="en-GB"/>
    </w:rPr>
  </w:style>
  <w:style w:type="table" w:styleId="TableGrid">
    <w:name w:val="Table Grid"/>
    <w:basedOn w:val="TableNormal"/>
    <w:uiPriority w:val="39"/>
    <w:rsid w:val="00AF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AF4EAD"/>
    <w:rPr>
      <w:i/>
      <w:iCs/>
      <w:color w:val="4472C4" w:themeColor="accent1"/>
    </w:rPr>
  </w:style>
  <w:style w:type="paragraph" w:styleId="FootnoteText">
    <w:name w:val="footnote text"/>
    <w:basedOn w:val="Normal"/>
    <w:link w:val="FootnoteTextChar"/>
    <w:uiPriority w:val="99"/>
    <w:semiHidden/>
    <w:unhideWhenUsed/>
    <w:rsid w:val="00F50D36"/>
    <w:pPr>
      <w:spacing w:after="0" w:line="240" w:lineRule="auto"/>
    </w:pPr>
    <w:rPr>
      <w:szCs w:val="20"/>
    </w:rPr>
  </w:style>
  <w:style w:type="character" w:customStyle="1" w:styleId="FootnoteTextChar">
    <w:name w:val="Footnote Text Char"/>
    <w:basedOn w:val="DefaultParagraphFont"/>
    <w:link w:val="FootnoteText"/>
    <w:uiPriority w:val="99"/>
    <w:semiHidden/>
    <w:rsid w:val="00F50D36"/>
    <w:rPr>
      <w:rFonts w:eastAsiaTheme="minorEastAsia" w:cstheme="minorBidi"/>
      <w:color w:val="000000" w:themeColor="text1"/>
      <w:sz w:val="20"/>
      <w:szCs w:val="20"/>
      <w:lang w:eastAsia="en-GB"/>
    </w:rPr>
  </w:style>
  <w:style w:type="character" w:styleId="FootnoteReference">
    <w:name w:val="footnote reference"/>
    <w:basedOn w:val="DefaultParagraphFont"/>
    <w:uiPriority w:val="99"/>
    <w:semiHidden/>
    <w:unhideWhenUsed/>
    <w:rsid w:val="00F50D36"/>
    <w:rPr>
      <w:vertAlign w:val="superscript"/>
    </w:rPr>
  </w:style>
  <w:style w:type="character" w:styleId="CommentReference">
    <w:name w:val="annotation reference"/>
    <w:basedOn w:val="DefaultParagraphFont"/>
    <w:uiPriority w:val="99"/>
    <w:semiHidden/>
    <w:unhideWhenUsed/>
    <w:rsid w:val="00597CD0"/>
    <w:rPr>
      <w:sz w:val="16"/>
      <w:szCs w:val="16"/>
    </w:rPr>
  </w:style>
  <w:style w:type="paragraph" w:styleId="CommentText">
    <w:name w:val="annotation text"/>
    <w:basedOn w:val="Normal"/>
    <w:link w:val="CommentTextChar"/>
    <w:uiPriority w:val="99"/>
    <w:unhideWhenUsed/>
    <w:rsid w:val="00597CD0"/>
    <w:pPr>
      <w:spacing w:line="240" w:lineRule="auto"/>
    </w:pPr>
    <w:rPr>
      <w:szCs w:val="20"/>
    </w:rPr>
  </w:style>
  <w:style w:type="character" w:customStyle="1" w:styleId="CommentTextChar">
    <w:name w:val="Comment Text Char"/>
    <w:basedOn w:val="DefaultParagraphFont"/>
    <w:link w:val="CommentText"/>
    <w:uiPriority w:val="99"/>
    <w:rsid w:val="00597CD0"/>
    <w:rPr>
      <w:rFonts w:eastAsiaTheme="minorEastAsia" w:cstheme="minorBidi"/>
      <w:color w:val="000000" w:themeColor="text1"/>
      <w:sz w:val="20"/>
      <w:szCs w:val="20"/>
      <w:lang w:eastAsia="en-GB"/>
    </w:rPr>
  </w:style>
  <w:style w:type="paragraph" w:styleId="CommentSubject">
    <w:name w:val="annotation subject"/>
    <w:basedOn w:val="CommentText"/>
    <w:next w:val="CommentText"/>
    <w:link w:val="CommentSubjectChar"/>
    <w:uiPriority w:val="99"/>
    <w:semiHidden/>
    <w:unhideWhenUsed/>
    <w:rsid w:val="00597CD0"/>
    <w:rPr>
      <w:b/>
      <w:bCs/>
    </w:rPr>
  </w:style>
  <w:style w:type="character" w:customStyle="1" w:styleId="CommentSubjectChar">
    <w:name w:val="Comment Subject Char"/>
    <w:basedOn w:val="CommentTextChar"/>
    <w:link w:val="CommentSubject"/>
    <w:uiPriority w:val="99"/>
    <w:semiHidden/>
    <w:rsid w:val="00597CD0"/>
    <w:rPr>
      <w:rFonts w:eastAsiaTheme="minorEastAsia" w:cstheme="minorBidi"/>
      <w:b/>
      <w:bCs/>
      <w:color w:val="000000" w:themeColor="text1"/>
      <w:sz w:val="20"/>
      <w:szCs w:val="20"/>
      <w:lang w:eastAsia="en-GB"/>
    </w:rPr>
  </w:style>
  <w:style w:type="character" w:styleId="FollowedHyperlink">
    <w:name w:val="FollowedHyperlink"/>
    <w:basedOn w:val="DefaultParagraphFont"/>
    <w:uiPriority w:val="99"/>
    <w:semiHidden/>
    <w:unhideWhenUsed/>
    <w:rsid w:val="006140B1"/>
    <w:rPr>
      <w:color w:val="954F72" w:themeColor="followedHyperlink"/>
      <w:u w:val="single"/>
    </w:rPr>
  </w:style>
  <w:style w:type="paragraph" w:styleId="Revision">
    <w:name w:val="Revision"/>
    <w:hidden/>
    <w:uiPriority w:val="99"/>
    <w:semiHidden/>
    <w:rsid w:val="00F96A3D"/>
    <w:rPr>
      <w:rFonts w:eastAsiaTheme="minorEastAsia" w:cstheme="minorBidi"/>
      <w:color w:val="000000" w:themeColor="text1"/>
      <w:sz w:val="20"/>
      <w:lang w:eastAsia="en-GB"/>
    </w:rPr>
  </w:style>
  <w:style w:type="paragraph" w:styleId="NormalWeb">
    <w:name w:val="Normal (Web)"/>
    <w:basedOn w:val="Normal"/>
    <w:uiPriority w:val="99"/>
    <w:semiHidden/>
    <w:unhideWhenUsed/>
    <w:rsid w:val="005E7E6D"/>
    <w:pP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Strong">
    <w:name w:val="Strong"/>
    <w:basedOn w:val="DefaultParagraphFont"/>
    <w:uiPriority w:val="22"/>
    <w:qFormat/>
    <w:rsid w:val="005E7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941801">
      <w:bodyDiv w:val="1"/>
      <w:marLeft w:val="0"/>
      <w:marRight w:val="0"/>
      <w:marTop w:val="0"/>
      <w:marBottom w:val="0"/>
      <w:divBdr>
        <w:top w:val="none" w:sz="0" w:space="0" w:color="auto"/>
        <w:left w:val="none" w:sz="0" w:space="0" w:color="auto"/>
        <w:bottom w:val="none" w:sz="0" w:space="0" w:color="auto"/>
        <w:right w:val="none" w:sz="0" w:space="0" w:color="auto"/>
      </w:divBdr>
    </w:div>
    <w:div w:id="16093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y.sandilands@actcoss.org.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lanning.act.gov.au/professionals/our-planning-system/the-territory-plan/major-plan-amend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CommitteeEnvironment@parliament.act.gov.au" TargetMode="External"/><Relationship Id="rId5" Type="http://schemas.openxmlformats.org/officeDocument/2006/relationships/numbering" Target="numbering.xml"/><Relationship Id="rId15" Type="http://schemas.openxmlformats.org/officeDocument/2006/relationships/hyperlink" Target="mailto:devin.bowles@actcoss.org.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act.gov.au/__data/assets/pdf_file/0016/2511430/ACT-Housing-Strategy-Snapshot.pdf" TargetMode="External"/><Relationship Id="rId2" Type="http://schemas.openxmlformats.org/officeDocument/2006/relationships/hyperlink" Target="https://nhsac.gov.au/reports-and-submissions/state-housing-system-2025" TargetMode="External"/><Relationship Id="rId1" Type="http://schemas.openxmlformats.org/officeDocument/2006/relationships/hyperlink" Target="https://www.ahuri.edu.au/research/other-reports/return-on-investment-for-social-housing-in-the-act" TargetMode="External"/><Relationship Id="rId5" Type="http://schemas.openxmlformats.org/officeDocument/2006/relationships/hyperlink" Target="https://www.planning.act.gov.au/professionals/our-planning-system/the-territory-plan/major-plan-amendments" TargetMode="External"/><Relationship Id="rId4" Type="http://schemas.openxmlformats.org/officeDocument/2006/relationships/hyperlink" Target="https://ywca-canberra.org.au/advocacy/our-lives-women-in-th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9" ma:contentTypeDescription="Create a new document." ma:contentTypeScope="" ma:versionID="727683c6db8727248ed104d5b6c63dd7">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4bec507da30ad864a83a730ed624883b"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M&amp;E Capacity Building work also under Capability &gt; General &gt; Service Improvement Project"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e11ff-cfb9-4907-a91a-c48c341100bf}"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2741e4-cc31-428c-aca2-d2da616e4ed0" xsi:nil="true"/>
    <lcf76f155ced4ddcb4097134ff3c332f xmlns="32918964-d11d-4bda-ba04-9b8184f6a173">
      <Terms xmlns="http://schemas.microsoft.com/office/infopath/2007/PartnerControls"/>
    </lcf76f155ced4ddcb4097134ff3c332f>
    <Notes xmlns="32918964-d11d-4bda-ba04-9b8184f6a173" xsi:nil="true"/>
  </documentManagement>
</p:properties>
</file>

<file path=customXml/itemProps1.xml><?xml version="1.0" encoding="utf-8"?>
<ds:datastoreItem xmlns:ds="http://schemas.openxmlformats.org/officeDocument/2006/customXml" ds:itemID="{62593412-7524-4F11-A56B-1E920A253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18964-d11d-4bda-ba04-9b8184f6a173"/>
    <ds:schemaRef ds:uri="ef2741e4-cc31-428c-aca2-d2da616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54AE2-DD35-4DE1-8D42-F0FD9CC825A4}">
  <ds:schemaRefs>
    <ds:schemaRef ds:uri="http://schemas.openxmlformats.org/officeDocument/2006/bibliography"/>
  </ds:schemaRefs>
</ds:datastoreItem>
</file>

<file path=customXml/itemProps3.xml><?xml version="1.0" encoding="utf-8"?>
<ds:datastoreItem xmlns:ds="http://schemas.openxmlformats.org/officeDocument/2006/customXml" ds:itemID="{AE2FEDA7-97E5-4BAF-9890-6D9B8C22E870}">
  <ds:schemaRefs>
    <ds:schemaRef ds:uri="http://schemas.microsoft.com/sharepoint/v3/contenttype/forms"/>
  </ds:schemaRefs>
</ds:datastoreItem>
</file>

<file path=customXml/itemProps4.xml><?xml version="1.0" encoding="utf-8"?>
<ds:datastoreItem xmlns:ds="http://schemas.openxmlformats.org/officeDocument/2006/customXml" ds:itemID="{5FE9DDA6-19D8-4F63-ADFF-0F2B71BCCE4F}">
  <ds:schemaRefs>
    <ds:schemaRef ds:uri="http://schemas.microsoft.com/office/2006/metadata/properties"/>
    <ds:schemaRef ds:uri="http://schemas.microsoft.com/office/infopath/2007/PartnerControls"/>
    <ds:schemaRef ds:uri="ef2741e4-cc31-428c-aca2-d2da616e4ed0"/>
    <ds:schemaRef ds:uri="32918964-d11d-4bda-ba04-9b8184f6a17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2404</Words>
  <Characters>13703</Characters>
  <Application>Microsoft Office Word</Application>
  <DocSecurity>0</DocSecurity>
  <Lines>114</Lines>
  <Paragraphs>32</Paragraphs>
  <ScaleCrop>false</ScaleCrop>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Castro</dc:creator>
  <cp:keywords/>
  <dc:description/>
  <cp:lastModifiedBy>Emma Agostino</cp:lastModifiedBy>
  <cp:revision>519</cp:revision>
  <cp:lastPrinted>2025-12-18T18:44:00Z</cp:lastPrinted>
  <dcterms:created xsi:type="dcterms:W3CDTF">2025-12-18T13:26:00Z</dcterms:created>
  <dcterms:modified xsi:type="dcterms:W3CDTF">2026-01-30T06:05:00Z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0x010100A393A2617EF7DB41893826E3ECAAB324</vt:lpwstr>
  </property>
  <property fmtid="{D5CDD505-2E9C-101B-9397-08002B2CF9AE}" pid="3" name="MediaServiceImageTags">
    <vt:lpwstr/>
  </property>
</Properties>
</file>